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bottom"/>
        <w:rPr>
          <w:rFonts w:hint="eastAsia" w:ascii="宋体" w:hAnsi="宋体" w:eastAsia="宋体" w:cs="宋体"/>
          <w:b/>
          <w:color w:val="auto"/>
          <w:kern w:val="0"/>
          <w:sz w:val="52"/>
          <w:szCs w:val="52"/>
          <w:highlight w:val="none"/>
        </w:rPr>
      </w:pPr>
    </w:p>
    <w:p>
      <w:pPr>
        <w:jc w:val="center"/>
        <w:rPr>
          <w:rFonts w:hint="eastAsia" w:ascii="宋体" w:hAnsi="宋体" w:eastAsia="宋体" w:cs="宋体"/>
          <w:color w:val="auto"/>
          <w:sz w:val="36"/>
          <w:szCs w:val="36"/>
          <w:highlight w:val="none"/>
        </w:rPr>
      </w:pPr>
      <w:r>
        <w:rPr>
          <w:rFonts w:hint="eastAsia" w:ascii="宋体" w:hAnsi="宋体" w:eastAsia="宋体" w:cs="宋体"/>
          <w:color w:val="auto"/>
          <w:highlight w:val="none"/>
        </w:rPr>
        <w:pict>
          <v:shape id="图片 2" o:spid="_x0000_s1027" o:spt="75" type="#_x0000_t75" style="position:absolute;left:0pt;margin-left:108pt;margin-top:103.2pt;height:164.7pt;width:234pt;mso-position-horizontal-relative:page;mso-position-vertical-relative:page;z-index:-251657216;mso-width-relative:page;mso-height-relative:page;" filled="f" o:preferrelative="t" stroked="f" coordsize="21600,21600">
            <v:path/>
            <v:fill on="f" focussize="0,0"/>
            <v:stroke on="f"/>
            <v:imagedata r:id="rId6" gain="74472f" blacklevel="0f" o:title=""/>
            <o:lock v:ext="edit" aspectratio="t"/>
          </v:shape>
        </w:pict>
      </w:r>
    </w:p>
    <w:p>
      <w:pPr>
        <w:jc w:val="center"/>
        <w:rPr>
          <w:rFonts w:hint="eastAsia" w:ascii="宋体" w:hAnsi="宋体" w:eastAsia="宋体" w:cs="宋体"/>
          <w:color w:val="auto"/>
          <w:sz w:val="52"/>
          <w:szCs w:val="52"/>
          <w:highlight w:val="none"/>
          <w:lang w:eastAsia="zh-CN"/>
        </w:rPr>
      </w:pPr>
    </w:p>
    <w:p>
      <w:pPr>
        <w:ind w:left="0" w:leftChars="0" w:firstLine="0" w:firstLineChars="0"/>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lang w:val="en-US" w:eastAsia="zh-CN"/>
        </w:rPr>
        <w:t xml:space="preserve">         </w:t>
      </w:r>
      <w:r>
        <w:rPr>
          <w:rFonts w:hint="eastAsia" w:ascii="宋体" w:hAnsi="宋体" w:eastAsia="宋体" w:cs="宋体"/>
          <w:color w:val="auto"/>
          <w:sz w:val="72"/>
          <w:szCs w:val="72"/>
          <w:highlight w:val="none"/>
        </w:rPr>
        <w:t>F-STONE</w:t>
      </w:r>
    </w:p>
    <w:p>
      <w:pPr>
        <w:jc w:val="center"/>
        <w:rPr>
          <w:rFonts w:hint="eastAsia" w:ascii="宋体" w:hAnsi="宋体" w:eastAsia="宋体" w:cs="宋体"/>
          <w:color w:val="auto"/>
          <w:sz w:val="36"/>
          <w:szCs w:val="36"/>
          <w:highlight w:val="none"/>
        </w:rPr>
      </w:pPr>
    </w:p>
    <w:p>
      <w:pPr>
        <w:jc w:val="center"/>
        <w:rPr>
          <w:rFonts w:hint="eastAsia" w:ascii="宋体" w:hAnsi="宋体" w:eastAsia="宋体" w:cs="宋体"/>
          <w:b/>
          <w:color w:val="auto"/>
          <w:sz w:val="72"/>
          <w:szCs w:val="72"/>
          <w:highlight w:val="none"/>
          <w:lang w:eastAsia="zh-CN"/>
        </w:rPr>
      </w:pPr>
    </w:p>
    <w:p>
      <w:pPr>
        <w:shd w:val="clear" w:color="auto" w:fill="FFFFFF"/>
        <w:spacing w:line="360" w:lineRule="auto"/>
        <w:jc w:val="center"/>
        <w:textAlignment w:val="bottom"/>
        <w:rPr>
          <w:rFonts w:hint="eastAsia" w:ascii="宋体" w:hAnsi="宋体" w:eastAsia="宋体" w:cs="宋体"/>
          <w:b/>
          <w:color w:val="auto"/>
          <w:kern w:val="0"/>
          <w:sz w:val="52"/>
          <w:szCs w:val="52"/>
          <w:highlight w:val="none"/>
        </w:rPr>
      </w:pPr>
      <w:r>
        <w:rPr>
          <w:rFonts w:hint="eastAsia" w:ascii="宋体" w:hAnsi="宋体" w:eastAsia="宋体" w:cs="宋体"/>
          <w:b/>
          <w:color w:val="auto"/>
          <w:kern w:val="0"/>
          <w:sz w:val="52"/>
          <w:szCs w:val="52"/>
          <w:highlight w:val="none"/>
        </w:rPr>
        <w:t>政府采购</w:t>
      </w:r>
      <w:r>
        <w:rPr>
          <w:rFonts w:hint="eastAsia" w:ascii="宋体" w:hAnsi="宋体" w:eastAsia="宋体" w:cs="宋体"/>
          <w:b/>
          <w:color w:val="auto"/>
          <w:kern w:val="0"/>
          <w:sz w:val="52"/>
          <w:szCs w:val="52"/>
          <w:highlight w:val="none"/>
          <w:lang w:val="en-US" w:eastAsia="zh-CN"/>
        </w:rPr>
        <w:t>电子</w:t>
      </w:r>
      <w:r>
        <w:rPr>
          <w:rFonts w:hint="eastAsia" w:ascii="宋体" w:hAnsi="宋体" w:eastAsia="宋体" w:cs="宋体"/>
          <w:b/>
          <w:color w:val="auto"/>
          <w:kern w:val="0"/>
          <w:sz w:val="52"/>
          <w:szCs w:val="52"/>
          <w:highlight w:val="none"/>
        </w:rPr>
        <w:t>招标文件</w:t>
      </w:r>
    </w:p>
    <w:p>
      <w:pPr>
        <w:shd w:val="clear" w:color="auto" w:fill="FFFFFF"/>
        <w:spacing w:line="360" w:lineRule="auto"/>
        <w:jc w:val="center"/>
        <w:textAlignment w:val="bottom"/>
        <w:rPr>
          <w:rFonts w:hint="eastAsia" w:ascii="宋体" w:hAnsi="宋体" w:eastAsia="宋体" w:cs="宋体"/>
          <w:color w:val="auto"/>
          <w:sz w:val="28"/>
          <w:szCs w:val="28"/>
          <w:highlight w:val="none"/>
          <w:lang w:eastAsia="zh-CN"/>
        </w:rPr>
      </w:pPr>
    </w:p>
    <w:p>
      <w:pPr>
        <w:shd w:val="clear" w:color="auto" w:fill="FFFFFF"/>
        <w:spacing w:line="360" w:lineRule="auto"/>
        <w:jc w:val="center"/>
        <w:textAlignment w:val="bottom"/>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项目编号：</w:t>
      </w:r>
      <w:r>
        <w:rPr>
          <w:rFonts w:hint="eastAsia" w:ascii="宋体" w:hAnsi="宋体" w:cs="宋体"/>
          <w:color w:val="auto"/>
          <w:sz w:val="28"/>
          <w:szCs w:val="28"/>
          <w:highlight w:val="none"/>
          <w:lang w:eastAsia="zh-CN"/>
        </w:rPr>
        <w:t>ZJWS2021-LQ175</w:t>
      </w:r>
    </w:p>
    <w:p>
      <w:pPr>
        <w:shd w:val="clear" w:color="auto" w:fill="FFFFFF"/>
        <w:tabs>
          <w:tab w:val="left" w:pos="1860"/>
        </w:tabs>
        <w:spacing w:line="360" w:lineRule="auto"/>
        <w:textAlignment w:val="bottom"/>
        <w:rPr>
          <w:rFonts w:hint="eastAsia" w:ascii="宋体" w:hAnsi="宋体" w:eastAsia="宋体" w:cs="宋体"/>
          <w:color w:val="auto"/>
          <w:kern w:val="0"/>
          <w:sz w:val="28"/>
          <w:highlight w:val="none"/>
        </w:rPr>
      </w:pPr>
    </w:p>
    <w:p>
      <w:pPr>
        <w:shd w:val="clear" w:color="auto" w:fill="FFFFFF"/>
        <w:spacing w:line="360" w:lineRule="auto"/>
        <w:textAlignment w:val="bottom"/>
        <w:rPr>
          <w:rFonts w:hint="eastAsia" w:ascii="宋体" w:hAnsi="宋体" w:eastAsia="宋体" w:cs="宋体"/>
          <w:color w:val="auto"/>
          <w:kern w:val="0"/>
          <w:sz w:val="28"/>
          <w:highlight w:val="none"/>
        </w:rPr>
      </w:pPr>
    </w:p>
    <w:p>
      <w:pPr>
        <w:autoSpaceDE w:val="0"/>
        <w:autoSpaceDN w:val="0"/>
        <w:adjustRightInd w:val="0"/>
        <w:spacing w:line="360" w:lineRule="auto"/>
        <w:ind w:left="2796" w:leftChars="665" w:hanging="1400" w:hangingChars="500"/>
        <w:jc w:val="both"/>
        <w:rPr>
          <w:rFonts w:hint="eastAsia" w:ascii="宋体" w:hAnsi="宋体" w:eastAsia="宋体" w:cs="宋体"/>
          <w:color w:val="auto"/>
          <w:kern w:val="0"/>
          <w:sz w:val="28"/>
          <w:highlight w:val="none"/>
          <w:lang w:eastAsia="zh-CN"/>
        </w:rPr>
      </w:pPr>
      <w:r>
        <w:rPr>
          <w:rFonts w:hint="eastAsia" w:ascii="宋体" w:hAnsi="宋体" w:eastAsia="宋体" w:cs="宋体"/>
          <w:color w:val="auto"/>
          <w:kern w:val="0"/>
          <w:sz w:val="28"/>
          <w:highlight w:val="none"/>
          <w:lang w:eastAsia="zh-CN"/>
        </w:rPr>
        <w:t>采购项目：</w:t>
      </w:r>
      <w:r>
        <w:rPr>
          <w:rFonts w:hint="eastAsia" w:ascii="宋体" w:hAnsi="宋体" w:cs="宋体"/>
          <w:color w:val="auto"/>
          <w:kern w:val="0"/>
          <w:sz w:val="28"/>
          <w:highlight w:val="none"/>
          <w:lang w:eastAsia="zh-CN"/>
        </w:rPr>
        <w:t>路桥区生态环境数字化监管系统项目</w:t>
      </w:r>
    </w:p>
    <w:p>
      <w:pPr>
        <w:autoSpaceDE w:val="0"/>
        <w:autoSpaceDN w:val="0"/>
        <w:adjustRightInd w:val="0"/>
        <w:spacing w:line="360" w:lineRule="auto"/>
        <w:ind w:firstLine="1400" w:firstLineChars="500"/>
        <w:jc w:val="both"/>
        <w:rPr>
          <w:rFonts w:hint="eastAsia" w:ascii="宋体" w:hAnsi="宋体" w:eastAsia="宋体" w:cs="宋体"/>
          <w:color w:val="auto"/>
          <w:kern w:val="0"/>
          <w:sz w:val="28"/>
          <w:highlight w:val="none"/>
          <w:lang w:eastAsia="zh-CN"/>
        </w:rPr>
      </w:pPr>
      <w:r>
        <w:rPr>
          <w:rFonts w:hint="eastAsia" w:ascii="宋体" w:hAnsi="宋体" w:eastAsia="宋体" w:cs="宋体"/>
          <w:color w:val="auto"/>
          <w:kern w:val="0"/>
          <w:sz w:val="28"/>
          <w:highlight w:val="none"/>
        </w:rPr>
        <w:t>采购</w:t>
      </w:r>
      <w:r>
        <w:rPr>
          <w:rFonts w:hint="eastAsia" w:ascii="宋体" w:hAnsi="宋体" w:eastAsia="宋体" w:cs="宋体"/>
          <w:color w:val="auto"/>
          <w:kern w:val="0"/>
          <w:sz w:val="28"/>
          <w:highlight w:val="none"/>
          <w:lang w:val="en-US" w:eastAsia="zh-CN"/>
        </w:rPr>
        <w:t>单位</w:t>
      </w:r>
      <w:r>
        <w:rPr>
          <w:rFonts w:hint="eastAsia" w:ascii="宋体" w:hAnsi="宋体" w:eastAsia="宋体" w:cs="宋体"/>
          <w:color w:val="auto"/>
          <w:kern w:val="0"/>
          <w:sz w:val="28"/>
          <w:highlight w:val="none"/>
        </w:rPr>
        <w:t>：</w:t>
      </w:r>
      <w:r>
        <w:rPr>
          <w:rFonts w:hint="eastAsia" w:ascii="宋体" w:hAnsi="宋体" w:cs="宋体"/>
          <w:color w:val="auto"/>
          <w:kern w:val="0"/>
          <w:sz w:val="28"/>
          <w:highlight w:val="none"/>
          <w:lang w:eastAsia="zh-CN"/>
        </w:rPr>
        <w:t>台州市生态环境局路桥分局</w:t>
      </w:r>
    </w:p>
    <w:p>
      <w:pPr>
        <w:autoSpaceDE w:val="0"/>
        <w:autoSpaceDN w:val="0"/>
        <w:adjustRightInd w:val="0"/>
        <w:spacing w:line="360" w:lineRule="auto"/>
        <w:jc w:val="center"/>
        <w:rPr>
          <w:rFonts w:hint="eastAsia" w:ascii="宋体" w:hAnsi="宋体" w:eastAsia="宋体" w:cs="宋体"/>
          <w:color w:val="auto"/>
          <w:kern w:val="0"/>
          <w:sz w:val="28"/>
          <w:highlight w:val="none"/>
        </w:rPr>
      </w:pPr>
    </w:p>
    <w:p>
      <w:pPr>
        <w:autoSpaceDE w:val="0"/>
        <w:autoSpaceDN w:val="0"/>
        <w:adjustRightInd w:val="0"/>
        <w:spacing w:line="360" w:lineRule="auto"/>
        <w:jc w:val="center"/>
        <w:rPr>
          <w:rFonts w:hint="eastAsia" w:ascii="宋体" w:hAnsi="宋体" w:eastAsia="宋体" w:cs="宋体"/>
          <w:color w:val="auto"/>
          <w:kern w:val="0"/>
          <w:sz w:val="28"/>
          <w:highlight w:val="none"/>
        </w:rPr>
      </w:pPr>
    </w:p>
    <w:p>
      <w:pPr>
        <w:autoSpaceDE w:val="0"/>
        <w:autoSpaceDN w:val="0"/>
        <w:adjustRightInd w:val="0"/>
        <w:spacing w:line="360" w:lineRule="auto"/>
        <w:jc w:val="center"/>
        <w:rPr>
          <w:rFonts w:hint="eastAsia" w:ascii="宋体" w:hAnsi="宋体" w:eastAsia="宋体" w:cs="宋体"/>
          <w:color w:val="auto"/>
          <w:kern w:val="0"/>
          <w:sz w:val="28"/>
          <w:highlight w:val="none"/>
          <w:lang w:eastAsia="zh-CN"/>
        </w:rPr>
      </w:pPr>
      <w:r>
        <w:rPr>
          <w:rFonts w:hint="eastAsia" w:ascii="宋体" w:hAnsi="宋体" w:eastAsia="宋体" w:cs="宋体"/>
          <w:color w:val="auto"/>
          <w:kern w:val="0"/>
          <w:sz w:val="28"/>
          <w:highlight w:val="none"/>
          <w:lang w:eastAsia="zh-CN"/>
        </w:rPr>
        <w:t>采购代理机构：</w:t>
      </w:r>
      <w:r>
        <w:rPr>
          <w:rFonts w:hint="eastAsia" w:ascii="宋体" w:hAnsi="宋体" w:cs="宋体"/>
          <w:color w:val="auto"/>
          <w:kern w:val="0"/>
          <w:sz w:val="28"/>
          <w:highlight w:val="none"/>
          <w:lang w:eastAsia="zh-CN"/>
        </w:rPr>
        <w:t>浙江五石中正工程咨询有限公司</w:t>
      </w:r>
    </w:p>
    <w:p>
      <w:pPr>
        <w:autoSpaceDE w:val="0"/>
        <w:autoSpaceDN w:val="0"/>
        <w:adjustRightInd w:val="0"/>
        <w:spacing w:line="360" w:lineRule="auto"/>
        <w:jc w:val="center"/>
        <w:rPr>
          <w:rFonts w:hint="eastAsia" w:ascii="宋体" w:hAnsi="宋体" w:eastAsia="宋体" w:cs="宋体"/>
          <w:color w:val="auto"/>
          <w:kern w:val="0"/>
          <w:sz w:val="28"/>
          <w:highlight w:val="none"/>
        </w:rPr>
      </w:pPr>
      <w:r>
        <w:rPr>
          <w:rFonts w:hint="eastAsia" w:ascii="宋体" w:hAnsi="宋体" w:cs="宋体"/>
          <w:color w:val="auto"/>
          <w:kern w:val="0"/>
          <w:sz w:val="28"/>
          <w:highlight w:val="none"/>
          <w:lang w:val="en-US" w:eastAsia="zh-CN"/>
        </w:rPr>
        <w:t>2021</w:t>
      </w:r>
      <w:r>
        <w:rPr>
          <w:rFonts w:hint="eastAsia" w:ascii="宋体" w:hAnsi="宋体" w:eastAsia="宋体" w:cs="宋体"/>
          <w:color w:val="auto"/>
          <w:kern w:val="0"/>
          <w:sz w:val="28"/>
          <w:highlight w:val="none"/>
          <w:lang w:eastAsia="zh-CN"/>
        </w:rPr>
        <w:t>年</w:t>
      </w:r>
      <w:r>
        <w:rPr>
          <w:rFonts w:hint="eastAsia" w:ascii="宋体" w:hAnsi="宋体" w:cs="宋体"/>
          <w:color w:val="auto"/>
          <w:kern w:val="0"/>
          <w:sz w:val="28"/>
          <w:highlight w:val="none"/>
          <w:lang w:val="en-US" w:eastAsia="zh-CN"/>
        </w:rPr>
        <w:t>10</w:t>
      </w:r>
      <w:r>
        <w:rPr>
          <w:rFonts w:hint="eastAsia" w:ascii="宋体" w:hAnsi="宋体" w:eastAsia="宋体" w:cs="宋体"/>
          <w:color w:val="auto"/>
          <w:kern w:val="0"/>
          <w:sz w:val="28"/>
          <w:highlight w:val="none"/>
          <w:lang w:eastAsia="zh-CN"/>
        </w:rPr>
        <w:t>月</w:t>
      </w:r>
    </w:p>
    <w:p>
      <w:pPr>
        <w:bidi w:val="0"/>
        <w:spacing w:line="360" w:lineRule="auto"/>
        <w:ind w:firstLine="480" w:firstLineChars="200"/>
        <w:rPr>
          <w:rFonts w:hint="eastAsia" w:ascii="宋体" w:hAnsi="宋体" w:eastAsia="宋体" w:cs="宋体"/>
          <w:color w:val="auto"/>
          <w:sz w:val="24"/>
          <w:szCs w:val="32"/>
          <w:highlight w:val="none"/>
        </w:rPr>
      </w:pPr>
    </w:p>
    <w:p>
      <w:pPr>
        <w:bidi w:val="0"/>
        <w:spacing w:line="360" w:lineRule="auto"/>
        <w:ind w:firstLine="480" w:firstLineChars="200"/>
        <w:rPr>
          <w:rFonts w:hint="eastAsia" w:ascii="宋体" w:hAnsi="宋体" w:eastAsia="宋体" w:cs="宋体"/>
          <w:color w:val="auto"/>
          <w:sz w:val="24"/>
          <w:szCs w:val="32"/>
          <w:highlight w:val="none"/>
        </w:rPr>
      </w:pPr>
    </w:p>
    <w:p>
      <w:pPr>
        <w:pStyle w:val="2"/>
        <w:rPr>
          <w:rFonts w:hint="eastAsia"/>
          <w:color w:val="auto"/>
          <w:highlight w:val="none"/>
        </w:rPr>
      </w:pP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w:t>
      </w:r>
      <w:r>
        <w:rPr>
          <w:rFonts w:hint="eastAsia" w:ascii="宋体" w:hAnsi="宋体" w:eastAsia="宋体" w:cs="宋体"/>
          <w:b/>
          <w:bCs/>
          <w:color w:val="auto"/>
          <w:sz w:val="36"/>
          <w:szCs w:val="36"/>
          <w:highlight w:val="none"/>
          <w:lang w:val="en-US" w:eastAsia="zh-CN"/>
        </w:rPr>
        <w:t xml:space="preserve">  </w:t>
      </w:r>
      <w:r>
        <w:rPr>
          <w:rFonts w:hint="eastAsia" w:ascii="宋体" w:hAnsi="宋体" w:eastAsia="宋体" w:cs="宋体"/>
          <w:b/>
          <w:bCs/>
          <w:color w:val="auto"/>
          <w:sz w:val="36"/>
          <w:szCs w:val="36"/>
          <w:highlight w:val="none"/>
        </w:rPr>
        <w:t>录</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eastAsia="zh-CN"/>
        </w:rPr>
        <w:t>第一章</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公开招标采购公告</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eastAsia="zh-CN"/>
        </w:rPr>
        <w:t>第二章</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须知</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eastAsia="zh-CN"/>
        </w:rPr>
        <w:t>第三章</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评标办法及评分标准</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eastAsia="zh-CN"/>
        </w:rPr>
        <w:t>第四章</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公开招标需求</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eastAsia="zh-CN"/>
        </w:rPr>
        <w:t>第五章</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政府采购合同主要条款指引</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eastAsia="zh-CN"/>
        </w:rPr>
        <w:t>第六章</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投标文件格式附件</w:t>
      </w: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第一章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公开招标采购公告</w:t>
      </w:r>
    </w:p>
    <w:p>
      <w:pPr>
        <w:bidi w:val="0"/>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根据《中华人民共和国政府采购法》、《中华人民共和国政府采购法实施条例》和财政部令第87号《政府采购货物和服务招标投标管理办法》等有关规定</w:t>
      </w:r>
      <w:r>
        <w:rPr>
          <w:rFonts w:hint="eastAsia" w:ascii="宋体" w:hAnsi="宋体" w:eastAsia="宋体" w:cs="宋体"/>
          <w:color w:val="auto"/>
          <w:sz w:val="24"/>
          <w:szCs w:val="32"/>
          <w:highlight w:val="none"/>
          <w:lang w:eastAsia="zh-CN"/>
        </w:rPr>
        <w:t>，</w:t>
      </w:r>
      <w:r>
        <w:rPr>
          <w:rFonts w:hint="eastAsia" w:ascii="宋体" w:hAnsi="宋体" w:eastAsia="宋体" w:cs="宋体"/>
          <w:color w:val="auto"/>
          <w:sz w:val="24"/>
          <w:szCs w:val="32"/>
          <w:highlight w:val="none"/>
        </w:rPr>
        <w:t xml:space="preserve"> </w:t>
      </w:r>
      <w:r>
        <w:rPr>
          <w:rFonts w:hint="eastAsia" w:ascii="宋体" w:hAnsi="宋体" w:cs="宋体"/>
          <w:b/>
          <w:bCs/>
          <w:color w:val="auto"/>
          <w:sz w:val="24"/>
          <w:szCs w:val="32"/>
          <w:highlight w:val="none"/>
          <w:lang w:eastAsia="zh-CN"/>
        </w:rPr>
        <w:t>浙江五石中正工程咨询有限公司</w:t>
      </w:r>
      <w:r>
        <w:rPr>
          <w:rFonts w:hint="eastAsia" w:ascii="宋体" w:hAnsi="宋体" w:eastAsia="宋体" w:cs="宋体"/>
          <w:color w:val="auto"/>
          <w:sz w:val="24"/>
          <w:szCs w:val="32"/>
          <w:highlight w:val="none"/>
        </w:rPr>
        <w:t>受</w:t>
      </w:r>
      <w:r>
        <w:rPr>
          <w:rFonts w:hint="eastAsia" w:ascii="宋体" w:hAnsi="宋体" w:cs="宋体"/>
          <w:b/>
          <w:bCs/>
          <w:color w:val="auto"/>
          <w:sz w:val="24"/>
          <w:szCs w:val="32"/>
          <w:highlight w:val="none"/>
          <w:lang w:eastAsia="zh-CN"/>
        </w:rPr>
        <w:t>台州市生态环境局路桥分局</w:t>
      </w:r>
      <w:r>
        <w:rPr>
          <w:rFonts w:hint="eastAsia" w:ascii="宋体" w:hAnsi="宋体" w:eastAsia="宋体" w:cs="宋体"/>
          <w:color w:val="auto"/>
          <w:sz w:val="24"/>
          <w:szCs w:val="32"/>
          <w:highlight w:val="none"/>
        </w:rPr>
        <w:t>委托，现就</w:t>
      </w:r>
      <w:r>
        <w:rPr>
          <w:rFonts w:hint="eastAsia" w:ascii="宋体" w:hAnsi="宋体" w:eastAsia="宋体" w:cs="宋体"/>
          <w:color w:val="auto"/>
          <w:sz w:val="24"/>
          <w:szCs w:val="32"/>
          <w:highlight w:val="none"/>
          <w:lang w:eastAsia="zh-CN"/>
        </w:rPr>
        <w:t>其</w:t>
      </w:r>
      <w:r>
        <w:rPr>
          <w:rFonts w:hint="eastAsia" w:ascii="宋体" w:hAnsi="宋体" w:cs="宋体"/>
          <w:b/>
          <w:bCs/>
          <w:color w:val="auto"/>
          <w:sz w:val="24"/>
          <w:szCs w:val="32"/>
          <w:highlight w:val="none"/>
          <w:lang w:eastAsia="zh-CN"/>
        </w:rPr>
        <w:t>路桥区生态环境数字化监管系统项目</w:t>
      </w:r>
      <w:r>
        <w:rPr>
          <w:rFonts w:hint="eastAsia" w:ascii="宋体" w:hAnsi="宋体" w:eastAsia="宋体" w:cs="宋体"/>
          <w:color w:val="auto"/>
          <w:sz w:val="24"/>
          <w:szCs w:val="32"/>
          <w:highlight w:val="none"/>
        </w:rPr>
        <w:t>进行</w:t>
      </w:r>
      <w:r>
        <w:rPr>
          <w:rFonts w:hint="eastAsia" w:ascii="宋体" w:hAnsi="宋体" w:eastAsia="宋体" w:cs="宋体"/>
          <w:b/>
          <w:bCs/>
          <w:color w:val="auto"/>
          <w:sz w:val="24"/>
          <w:szCs w:val="32"/>
          <w:highlight w:val="none"/>
        </w:rPr>
        <w:t>公开招标</w:t>
      </w:r>
      <w:r>
        <w:rPr>
          <w:rFonts w:hint="eastAsia" w:ascii="宋体" w:hAnsi="宋体" w:eastAsia="宋体" w:cs="宋体"/>
          <w:color w:val="auto"/>
          <w:sz w:val="24"/>
          <w:szCs w:val="32"/>
          <w:highlight w:val="none"/>
        </w:rPr>
        <w:t>采购，欢迎合格供应商前来投标。</w:t>
      </w:r>
    </w:p>
    <w:p>
      <w:pPr>
        <w:bidi w:val="0"/>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lang w:eastAsia="zh-CN"/>
        </w:rPr>
        <w:t>一、</w:t>
      </w:r>
      <w:r>
        <w:rPr>
          <w:rFonts w:hint="eastAsia" w:ascii="宋体" w:hAnsi="宋体" w:eastAsia="宋体" w:cs="宋体"/>
          <w:b/>
          <w:bCs/>
          <w:color w:val="auto"/>
          <w:sz w:val="24"/>
          <w:szCs w:val="32"/>
          <w:highlight w:val="none"/>
        </w:rPr>
        <w:t>项目编号：</w:t>
      </w:r>
      <w:r>
        <w:rPr>
          <w:rFonts w:hint="eastAsia" w:ascii="宋体" w:hAnsi="宋体" w:cs="宋体"/>
          <w:color w:val="auto"/>
          <w:sz w:val="24"/>
          <w:szCs w:val="32"/>
          <w:highlight w:val="none"/>
          <w:lang w:eastAsia="zh-CN"/>
        </w:rPr>
        <w:t>ZJWS2021-LQ175</w:t>
      </w:r>
    </w:p>
    <w:p>
      <w:pP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eastAsia="zh-CN"/>
        </w:rPr>
        <w:t>二、</w:t>
      </w:r>
      <w:r>
        <w:rPr>
          <w:rFonts w:hint="eastAsia" w:ascii="宋体" w:hAnsi="宋体" w:eastAsia="宋体" w:cs="宋体"/>
          <w:b/>
          <w:bCs/>
          <w:color w:val="auto"/>
          <w:sz w:val="24"/>
          <w:szCs w:val="32"/>
          <w:highlight w:val="none"/>
        </w:rPr>
        <w:t>招标项目概况：</w:t>
      </w:r>
    </w:p>
    <w:tbl>
      <w:tblPr>
        <w:tblStyle w:val="27"/>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173"/>
        <w:gridCol w:w="780"/>
        <w:gridCol w:w="1877"/>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5" w:type="dxa"/>
            <w:vAlign w:val="center"/>
          </w:tcPr>
          <w:p>
            <w:pPr>
              <w:spacing w:line="360" w:lineRule="auto"/>
              <w:jc w:val="center"/>
              <w:rPr>
                <w:rFonts w:hint="eastAsia" w:ascii="宋体" w:hAnsi="宋体" w:eastAsia="宋体" w:cs="宋体"/>
                <w:b/>
                <w:color w:val="auto"/>
                <w:sz w:val="24"/>
                <w:szCs w:val="24"/>
                <w:highlight w:val="none"/>
              </w:rPr>
            </w:pPr>
            <w:bookmarkStart w:id="0" w:name="EBc3c9f0bc06b6413d849824fe98ba274c"/>
            <w:r>
              <w:rPr>
                <w:rFonts w:hint="eastAsia" w:ascii="宋体" w:hAnsi="宋体" w:eastAsia="宋体" w:cs="宋体"/>
                <w:b/>
                <w:color w:val="auto"/>
                <w:sz w:val="24"/>
                <w:szCs w:val="24"/>
                <w:highlight w:val="none"/>
              </w:rPr>
              <w:t>标段</w:t>
            </w:r>
          </w:p>
        </w:tc>
        <w:tc>
          <w:tcPr>
            <w:tcW w:w="3173" w:type="dxa"/>
            <w:vAlign w:val="center"/>
          </w:tcPr>
          <w:p>
            <w:pPr>
              <w:spacing w:line="360" w:lineRule="auto"/>
              <w:jc w:val="center"/>
              <w:rPr>
                <w:rFonts w:hint="eastAsia" w:ascii="宋体" w:hAnsi="宋体" w:cs="宋体"/>
                <w:b/>
                <w:color w:val="auto"/>
                <w:sz w:val="24"/>
                <w:szCs w:val="24"/>
                <w:highlight w:val="none"/>
                <w:lang w:eastAsia="zh-CN"/>
              </w:rPr>
            </w:pPr>
            <w:r>
              <w:rPr>
                <w:rFonts w:hint="eastAsia" w:ascii="宋体" w:hAnsi="宋体" w:cs="宋体"/>
                <w:b/>
                <w:color w:val="auto"/>
                <w:sz w:val="24"/>
                <w:szCs w:val="24"/>
                <w:highlight w:val="none"/>
                <w:lang w:eastAsia="zh-CN"/>
              </w:rPr>
              <w:t>名称</w:t>
            </w:r>
          </w:p>
        </w:tc>
        <w:tc>
          <w:tcPr>
            <w:tcW w:w="780"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1877" w:type="dxa"/>
            <w:vAlign w:val="center"/>
          </w:tcPr>
          <w:p>
            <w:pPr>
              <w:spacing w:line="360" w:lineRule="auto"/>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rPr>
              <w:t>预算</w:t>
            </w:r>
            <w:r>
              <w:rPr>
                <w:rFonts w:hint="eastAsia" w:ascii="宋体" w:hAnsi="宋体" w:cs="宋体"/>
                <w:b/>
                <w:color w:val="auto"/>
                <w:sz w:val="24"/>
                <w:szCs w:val="24"/>
                <w:highlight w:val="none"/>
                <w:lang w:val="en-US" w:eastAsia="zh-CN"/>
              </w:rPr>
              <w:t>/最高限价</w:t>
            </w:r>
          </w:p>
        </w:tc>
        <w:tc>
          <w:tcPr>
            <w:tcW w:w="2385" w:type="dxa"/>
            <w:vAlign w:val="center"/>
          </w:tcPr>
          <w:p>
            <w:pPr>
              <w:spacing w:line="360" w:lineRule="auto"/>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65"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173" w:type="dxa"/>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路桥区生态环境数字化监管和决策中心建设</w:t>
            </w:r>
          </w:p>
        </w:tc>
        <w:tc>
          <w:tcPr>
            <w:tcW w:w="780" w:type="dxa"/>
            <w:vAlign w:val="center"/>
          </w:tcPr>
          <w:p>
            <w:pPr>
              <w:spacing w:line="24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1项</w:t>
            </w:r>
          </w:p>
        </w:tc>
        <w:tc>
          <w:tcPr>
            <w:tcW w:w="1877" w:type="dxa"/>
            <w:vAlign w:val="center"/>
          </w:tcPr>
          <w:p>
            <w:pPr>
              <w:spacing w:line="24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305万元</w:t>
            </w:r>
          </w:p>
        </w:tc>
        <w:tc>
          <w:tcPr>
            <w:tcW w:w="2385" w:type="dxa"/>
            <w:vMerge w:val="restart"/>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5" w:type="dxa"/>
            <w:vAlign w:val="center"/>
          </w:tcPr>
          <w:p>
            <w:pPr>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3173" w:type="dxa"/>
            <w:vAlign w:val="center"/>
          </w:tcPr>
          <w:p>
            <w:pPr>
              <w:spacing w:line="240" w:lineRule="auto"/>
              <w:jc w:val="center"/>
              <w:rPr>
                <w:rFonts w:hint="eastAsia" w:ascii="宋体" w:hAnsi="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eastAsia="zh-CN"/>
              </w:rPr>
              <w:t>路桥区农田灌溉用水水质监管数字化改革试点</w:t>
            </w:r>
          </w:p>
        </w:tc>
        <w:tc>
          <w:tcPr>
            <w:tcW w:w="780" w:type="dxa"/>
            <w:vAlign w:val="center"/>
          </w:tcPr>
          <w:p>
            <w:pPr>
              <w:spacing w:line="24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1项</w:t>
            </w:r>
          </w:p>
        </w:tc>
        <w:tc>
          <w:tcPr>
            <w:tcW w:w="1877" w:type="dxa"/>
            <w:vAlign w:val="center"/>
          </w:tcPr>
          <w:p>
            <w:pPr>
              <w:spacing w:line="24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195万元</w:t>
            </w:r>
          </w:p>
        </w:tc>
        <w:tc>
          <w:tcPr>
            <w:tcW w:w="2385" w:type="dxa"/>
            <w:vMerge w:val="continue"/>
            <w:vAlign w:val="center"/>
          </w:tcPr>
          <w:p>
            <w:pPr>
              <w:spacing w:line="360" w:lineRule="auto"/>
              <w:jc w:val="center"/>
              <w:rPr>
                <w:rFonts w:hint="eastAsia" w:ascii="宋体" w:hAnsi="宋体" w:eastAsia="宋体" w:cs="宋体"/>
                <w:color w:val="auto"/>
                <w:sz w:val="24"/>
                <w:szCs w:val="24"/>
                <w:highlight w:val="none"/>
              </w:rPr>
            </w:pPr>
          </w:p>
        </w:tc>
      </w:tr>
      <w:bookmarkEnd w:id="0"/>
    </w:tbl>
    <w:p>
      <w:pP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eastAsia="zh-CN"/>
        </w:rPr>
        <w:t>三、</w:t>
      </w:r>
      <w:r>
        <w:rPr>
          <w:rFonts w:hint="eastAsia" w:ascii="宋体" w:hAnsi="宋体" w:eastAsia="宋体" w:cs="宋体"/>
          <w:b/>
          <w:bCs/>
          <w:color w:val="auto"/>
          <w:sz w:val="24"/>
          <w:szCs w:val="32"/>
          <w:highlight w:val="none"/>
        </w:rPr>
        <w:t>合格投标人的资格条件：</w:t>
      </w:r>
    </w:p>
    <w:p>
      <w:pP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①符合《中华人民共和国政府采购法》第二十二条及其他法律、行政法规规定的对投标主体的要求；</w:t>
      </w:r>
    </w:p>
    <w:p>
      <w:pP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②本项目不接受联合体投标。</w:t>
      </w:r>
    </w:p>
    <w:p>
      <w:pP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四、招标文件获取的</w:t>
      </w:r>
      <w:r>
        <w:rPr>
          <w:rFonts w:hint="eastAsia" w:ascii="宋体" w:hAnsi="宋体" w:eastAsia="宋体" w:cs="宋体"/>
          <w:b/>
          <w:bCs/>
          <w:color w:val="auto"/>
          <w:sz w:val="24"/>
          <w:szCs w:val="32"/>
          <w:highlight w:val="none"/>
          <w:lang w:eastAsia="zh-CN"/>
        </w:rPr>
        <w:t>时间</w:t>
      </w:r>
      <w:r>
        <w:rPr>
          <w:rFonts w:hint="eastAsia" w:ascii="宋体" w:hAnsi="宋体" w:eastAsia="宋体" w:cs="宋体"/>
          <w:b/>
          <w:bCs/>
          <w:color w:val="auto"/>
          <w:sz w:val="24"/>
          <w:szCs w:val="32"/>
          <w:highlight w:val="none"/>
        </w:rPr>
        <w:t>、</w:t>
      </w:r>
      <w:r>
        <w:rPr>
          <w:rFonts w:hint="eastAsia" w:ascii="宋体" w:hAnsi="宋体" w:eastAsia="宋体" w:cs="宋体"/>
          <w:b/>
          <w:bCs/>
          <w:color w:val="auto"/>
          <w:sz w:val="24"/>
          <w:szCs w:val="32"/>
          <w:highlight w:val="none"/>
          <w:lang w:eastAsia="zh-CN"/>
        </w:rPr>
        <w:t>方式</w:t>
      </w:r>
      <w:r>
        <w:rPr>
          <w:rFonts w:hint="eastAsia" w:ascii="宋体" w:hAnsi="宋体" w:eastAsia="宋体" w:cs="宋体"/>
          <w:b/>
          <w:bCs/>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1、本项目招标文件实行“政府采购云平台”在线获取，不提供招标文件纸质版。供应商获取招标文件前应先完成“政府采购云平台”的账号注册</w:t>
      </w:r>
      <w:r>
        <w:rPr>
          <w:rFonts w:hint="eastAsia" w:ascii="宋体" w:hAnsi="宋体" w:eastAsia="宋体" w:cs="宋体"/>
          <w:color w:val="auto"/>
          <w:sz w:val="24"/>
          <w:szCs w:val="32"/>
          <w:highlight w:val="none"/>
          <w:lang w:eastAsia="zh-CN"/>
        </w:rPr>
        <w:t>。</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2、获取时间：自本公告发布之日起至响应文件递交截止时间止（以供应商完成获取采购文件申请后下载采购文件的时间为准）</w:t>
      </w:r>
      <w:r>
        <w:rPr>
          <w:rFonts w:hint="eastAsia" w:ascii="宋体" w:hAnsi="宋体" w:eastAsia="宋体" w:cs="宋体"/>
          <w:color w:val="auto"/>
          <w:sz w:val="24"/>
          <w:szCs w:val="32"/>
          <w:highlight w:val="none"/>
          <w:lang w:eastAsia="zh-CN"/>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3、地点：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（1）政采云平台（</w:t>
      </w:r>
      <w:r>
        <w:rPr>
          <w:rFonts w:hint="eastAsia" w:ascii="宋体" w:hAnsi="宋体" w:eastAsia="宋体" w:cs="宋体"/>
          <w:color w:val="auto"/>
          <w:sz w:val="24"/>
          <w:szCs w:val="32"/>
          <w:highlight w:val="none"/>
        </w:rPr>
        <w:fldChar w:fldCharType="begin"/>
      </w:r>
      <w:r>
        <w:rPr>
          <w:rFonts w:hint="eastAsia" w:ascii="宋体" w:hAnsi="宋体" w:eastAsia="宋体" w:cs="宋体"/>
          <w:color w:val="auto"/>
          <w:sz w:val="24"/>
          <w:szCs w:val="32"/>
          <w:highlight w:val="none"/>
        </w:rPr>
        <w:instrText xml:space="preserve"> HYPERLINK "http://zfcg.czt.zj.gov.cn/" </w:instrText>
      </w:r>
      <w:r>
        <w:rPr>
          <w:rFonts w:hint="eastAsia" w:ascii="宋体" w:hAnsi="宋体" w:eastAsia="宋体" w:cs="宋体"/>
          <w:color w:val="auto"/>
          <w:sz w:val="24"/>
          <w:szCs w:val="32"/>
          <w:highlight w:val="none"/>
        </w:rPr>
        <w:fldChar w:fldCharType="separate"/>
      </w:r>
      <w:r>
        <w:rPr>
          <w:rFonts w:hint="eastAsia" w:ascii="宋体" w:hAnsi="宋体" w:eastAsia="宋体" w:cs="宋体"/>
          <w:color w:val="auto"/>
          <w:sz w:val="24"/>
          <w:szCs w:val="32"/>
          <w:highlight w:val="none"/>
        </w:rPr>
        <w:t>http</w:t>
      </w:r>
      <w:r>
        <w:rPr>
          <w:rFonts w:hint="eastAsia" w:ascii="宋体" w:hAnsi="宋体" w:eastAsia="宋体" w:cs="宋体"/>
          <w:color w:val="auto"/>
          <w:sz w:val="24"/>
          <w:szCs w:val="32"/>
          <w:highlight w:val="none"/>
          <w:lang w:eastAsia="zh-CN"/>
        </w:rPr>
        <w:t>：</w:t>
      </w:r>
      <w:r>
        <w:rPr>
          <w:rFonts w:hint="eastAsia" w:ascii="宋体" w:hAnsi="宋体" w:eastAsia="宋体" w:cs="宋体"/>
          <w:color w:val="auto"/>
          <w:sz w:val="24"/>
          <w:szCs w:val="32"/>
          <w:highlight w:val="none"/>
        </w:rPr>
        <w:t>//zfcg.czt.zj.gov.cn</w:t>
      </w:r>
      <w:r>
        <w:rPr>
          <w:rFonts w:hint="eastAsia" w:ascii="宋体" w:hAnsi="宋体" w:eastAsia="宋体" w:cs="宋体"/>
          <w:color w:val="auto"/>
          <w:sz w:val="24"/>
          <w:szCs w:val="32"/>
          <w:highlight w:val="none"/>
        </w:rPr>
        <w:fldChar w:fldCharType="end"/>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（2）供应商网上报名操作指南：“浙江政府采购网-办事指南-省采中心-网上报名”（http</w:t>
      </w:r>
      <w:r>
        <w:rPr>
          <w:rFonts w:hint="eastAsia" w:ascii="宋体" w:hAnsi="宋体" w:eastAsia="宋体" w:cs="宋体"/>
          <w:color w:val="auto"/>
          <w:sz w:val="24"/>
          <w:szCs w:val="32"/>
          <w:highlight w:val="none"/>
          <w:lang w:eastAsia="zh-CN"/>
        </w:rPr>
        <w:t>：</w:t>
      </w:r>
      <w:r>
        <w:rPr>
          <w:rFonts w:hint="eastAsia" w:ascii="宋体" w:hAnsi="宋体" w:eastAsia="宋体" w:cs="宋体"/>
          <w:color w:val="auto"/>
          <w:sz w:val="24"/>
          <w:szCs w:val="32"/>
          <w:highlight w:val="none"/>
        </w:rPr>
        <w:t>//zfcg.czt.zj.gov.cn/bs_other/2018-03-30/12002.html）。</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r>
        <w:rPr>
          <w:rFonts w:hint="eastAsia" w:ascii="宋体" w:hAnsi="宋体" w:eastAsia="宋体" w:cs="宋体"/>
          <w:color w:val="auto"/>
          <w:sz w:val="24"/>
          <w:szCs w:val="32"/>
          <w:highlight w:val="none"/>
          <w:lang w:eastAsia="zh-CN"/>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auto"/>
        <w:ind w:firstLine="480" w:firstLineChars="200"/>
        <w:rPr>
          <w:rFonts w:hint="eastAsia"/>
          <w:color w:val="auto"/>
          <w:highlight w:val="none"/>
        </w:rPr>
      </w:pPr>
      <w:r>
        <w:rPr>
          <w:rFonts w:hint="eastAsia" w:ascii="宋体" w:hAnsi="宋体" w:eastAsia="宋体" w:cs="宋体"/>
          <w:color w:val="auto"/>
          <w:sz w:val="24"/>
          <w:szCs w:val="32"/>
          <w:highlight w:val="none"/>
          <w:lang w:val="en-US" w:eastAsia="zh-CN"/>
        </w:rPr>
        <w:t>6、未进行供应商资格报名或登记（含网上报名登记）的供应商，应视为未参加政府采购活动，一般不得提出质疑，但因供应商资格条件受到限制、报名时间设定不符合有关规定等原因使供应商不能参加报名或登记的除外。</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五、投标说明：</w:t>
      </w:r>
    </w:p>
    <w:p>
      <w:pPr>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u w:val="single"/>
        </w:rPr>
        <w:t>2.投标人通过政采云平台电子投标工具制作投标文件，电子投标工具请供应商自行前往浙江政府采购网下载并安装（下载网址：http</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u w:val="single"/>
        </w:rPr>
        <w:t>//www.zjzfcg.gov.cn/bidClientTemplate/2019-05-27/12946.html）。</w:t>
      </w:r>
    </w:p>
    <w:p>
      <w:pPr>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u w:val="single"/>
        </w:rPr>
        <w:t>3.投标人应在开标前完成CA数字证书办理。（办理流程详见</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"http://www.zjzfcg.gov.cn/bidClientTemplate/2019-05-27/12945.html"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 w:val="24"/>
          <w:highlight w:val="none"/>
          <w:u w:val="single"/>
        </w:rPr>
        <w:t>http</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u w:val="single"/>
        </w:rPr>
        <w:t>//www.zjzfcg.gov.cn/bidClientTemplate/2019-05-27/12945.html</w:t>
      </w:r>
      <w:r>
        <w:rPr>
          <w:rFonts w:hint="eastAsia" w:ascii="宋体" w:hAnsi="宋体" w:eastAsia="宋体" w:cs="宋体"/>
          <w:color w:val="auto"/>
          <w:kern w:val="0"/>
          <w:sz w:val="24"/>
          <w:highlight w:val="none"/>
          <w:u w:val="single"/>
        </w:rPr>
        <w:fldChar w:fldCharType="end"/>
      </w:r>
      <w:r>
        <w:rPr>
          <w:rFonts w:hint="eastAsia" w:ascii="宋体" w:hAnsi="宋体" w:eastAsia="宋体" w:cs="宋体"/>
          <w:color w:val="auto"/>
          <w:kern w:val="0"/>
          <w:sz w:val="24"/>
          <w:highlight w:val="none"/>
          <w:u w:val="single"/>
        </w:rPr>
        <w:t>，完成CA数字证书办理预计一周左右，请各投标人自行把握时间）</w:t>
      </w:r>
    </w:p>
    <w:p>
      <w:pPr>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u w:val="singl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r>
        <w:rPr>
          <w:rFonts w:hint="eastAsia" w:ascii="宋体" w:hAnsi="宋体" w:eastAsia="宋体" w:cs="宋体"/>
          <w:color w:val="auto"/>
          <w:kern w:val="0"/>
          <w:sz w:val="24"/>
          <w:highlight w:val="none"/>
          <w:u w:val="single"/>
          <w:lang w:val="en-GB"/>
        </w:rPr>
        <w:t>在开标后规定的投标有效期内，投标人不能撤销投标文件。</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5.投标文件的组成、份数、密封、效力</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本项目实行电子投标，供应商应准备电子投标文件、以介质（U盘）存储的数据电文形式、纸质备份投标文件三类：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5.1电子投标文件，按政采云平台项目采购--电子招投标操作指南及本招标文件要求编制。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w:t>
      </w:r>
      <w:bookmarkStart w:id="1" w:name="_Hlk34638143"/>
      <w:r>
        <w:rPr>
          <w:rFonts w:hint="eastAsia" w:ascii="宋体" w:hAnsi="宋体" w:eastAsia="宋体" w:cs="宋体"/>
          <w:color w:val="auto"/>
          <w:sz w:val="24"/>
          <w:highlight w:val="none"/>
        </w:rPr>
        <w:t>纸质</w:t>
      </w:r>
      <w:bookmarkEnd w:id="1"/>
      <w:r>
        <w:rPr>
          <w:rFonts w:hint="eastAsia" w:ascii="宋体" w:hAnsi="宋体" w:eastAsia="宋体" w:cs="宋体"/>
          <w:color w:val="auto"/>
          <w:sz w:val="24"/>
          <w:highlight w:val="none"/>
        </w:rPr>
        <w:t>备份投标文件以纸质文件的形式编制，按资格证明文件、商务技术文件、报价文件三部分分别编制并单独装订成册，</w:t>
      </w:r>
      <w:r>
        <w:rPr>
          <w:rFonts w:hint="eastAsia" w:ascii="宋体" w:hAnsi="宋体" w:eastAsia="宋体" w:cs="宋体"/>
          <w:b/>
          <w:bCs/>
          <w:color w:val="auto"/>
          <w:sz w:val="24"/>
          <w:highlight w:val="none"/>
        </w:rPr>
        <w:t>数量均为2份（一正一副）</w:t>
      </w:r>
      <w:r>
        <w:rPr>
          <w:rFonts w:hint="eastAsia" w:ascii="宋体" w:hAnsi="宋体" w:eastAsia="宋体" w:cs="宋体"/>
          <w:color w:val="auto"/>
          <w:sz w:val="24"/>
          <w:highlight w:val="none"/>
        </w:rPr>
        <w:t>。资格证明文件、商务技术文件、报价文件三部分须分别密封封装，</w:t>
      </w:r>
      <w:r>
        <w:rPr>
          <w:rFonts w:hint="eastAsia" w:ascii="宋体" w:hAnsi="宋体" w:eastAsia="宋体" w:cs="宋体"/>
          <w:color w:val="auto"/>
          <w:sz w:val="24"/>
          <w:highlight w:val="none"/>
          <w:u w:val="single"/>
        </w:rPr>
        <w:t>资格证明文件、商务技术文件、报价文件三部分未分别密封的投标文件将为无效。</w:t>
      </w:r>
    </w:p>
    <w:p>
      <w:pPr>
        <w:spacing w:line="360" w:lineRule="auto"/>
        <w:ind w:firstLine="480" w:firstLineChars="200"/>
        <w:rPr>
          <w:rFonts w:hint="eastAsia" w:ascii="宋体" w:hAnsi="宋体" w:eastAsia="宋体" w:cs="宋体"/>
          <w:color w:val="auto"/>
          <w:sz w:val="24"/>
          <w:highlight w:val="none"/>
          <w:u w:val="single"/>
        </w:rPr>
      </w:pPr>
      <w:bookmarkStart w:id="2" w:name="_Hlk34639647"/>
      <w:r>
        <w:rPr>
          <w:rFonts w:hint="eastAsia" w:ascii="宋体" w:hAnsi="宋体" w:eastAsia="宋体" w:cs="宋体"/>
          <w:color w:val="auto"/>
          <w:sz w:val="24"/>
          <w:highlight w:val="none"/>
        </w:rPr>
        <w:t>5.3</w:t>
      </w:r>
      <w:r>
        <w:rPr>
          <w:rFonts w:hint="eastAsia" w:ascii="宋体" w:hAnsi="宋体" w:eastAsia="宋体" w:cs="宋体"/>
          <w:color w:val="auto"/>
          <w:sz w:val="24"/>
          <w:highlight w:val="none"/>
          <w:u w:val="single"/>
        </w:rPr>
        <w:t>投标供应商在“政府采购云平台”完成“电子加密投标文件”的上传递交后，还可以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①在投标截止时间前送交到开标地点；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②采用邮寄方式，邮寄公司统一采用顺丰（包裹外包装上请注明单位、项目名称、联系电话等信息，以便代理机构作接收登记工作），邮寄接收截止时间为投标截止时间前一个工作日下午16</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00整（邮寄地址：</w:t>
      </w:r>
      <w:r>
        <w:rPr>
          <w:rFonts w:hint="eastAsia" w:ascii="宋体" w:hAnsi="宋体" w:cs="宋体"/>
          <w:color w:val="auto"/>
          <w:sz w:val="24"/>
          <w:highlight w:val="none"/>
          <w:lang w:eastAsia="zh-CN"/>
        </w:rPr>
        <w:t>浙江五石中正工程咨询有限公司</w:t>
      </w:r>
      <w:r>
        <w:rPr>
          <w:rFonts w:hint="eastAsia" w:ascii="宋体" w:hAnsi="宋体" w:eastAsia="宋体" w:cs="宋体"/>
          <w:color w:val="auto"/>
          <w:sz w:val="24"/>
          <w:highlight w:val="none"/>
        </w:rPr>
        <w:t>（浙江省台州市椒江区东环大道576号二楼，联系人：金老师，电话：0576-88781913。）</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bookmarkEnd w:id="2"/>
    <w:p>
      <w:pPr>
        <w:spacing w:line="360" w:lineRule="auto"/>
        <w:ind w:firstLine="480" w:firstLineChars="200"/>
        <w:rPr>
          <w:rFonts w:hint="eastAsia" w:ascii="宋体" w:hAnsi="宋体" w:eastAsia="宋体" w:cs="宋体"/>
          <w:color w:val="auto"/>
          <w:sz w:val="24"/>
          <w:highlight w:val="none"/>
          <w:u w:val="single"/>
        </w:rPr>
      </w:pPr>
      <w:bookmarkStart w:id="3" w:name="_Hlk34638256"/>
      <w:r>
        <w:rPr>
          <w:rFonts w:hint="eastAsia" w:ascii="宋体" w:hAnsi="宋体" w:eastAsia="宋体" w:cs="宋体"/>
          <w:color w:val="auto"/>
          <w:sz w:val="24"/>
          <w:highlight w:val="none"/>
          <w:u w:val="single"/>
        </w:rPr>
        <w:t>5.5投标文件启用顺序和效力：投标文件的启用，按先后顺位分别为</w:t>
      </w:r>
      <w:bookmarkStart w:id="4" w:name="_Hlk34637932"/>
      <w:r>
        <w:rPr>
          <w:rFonts w:hint="eastAsia" w:ascii="宋体" w:hAnsi="宋体" w:eastAsia="宋体" w:cs="宋体"/>
          <w:color w:val="auto"/>
          <w:sz w:val="24"/>
          <w:highlight w:val="none"/>
          <w:u w:val="single"/>
        </w:rPr>
        <w:t>电子投标文件</w:t>
      </w:r>
      <w:bookmarkEnd w:id="4"/>
      <w:r>
        <w:rPr>
          <w:rFonts w:hint="eastAsia" w:ascii="宋体" w:hAnsi="宋体" w:eastAsia="宋体" w:cs="宋体"/>
          <w:color w:val="auto"/>
          <w:sz w:val="24"/>
          <w:highlight w:val="none"/>
          <w:u w:val="single"/>
        </w:rPr>
        <w:t>、以介质（U盘）存储的数据电文形式的备份投标文件和纸质备份投标文件。</w:t>
      </w:r>
      <w:bookmarkStart w:id="5" w:name="_Hlk34637983"/>
      <w:r>
        <w:rPr>
          <w:rFonts w:hint="eastAsia" w:ascii="宋体" w:hAnsi="宋体" w:eastAsia="宋体" w:cs="宋体"/>
          <w:color w:val="auto"/>
          <w:sz w:val="24"/>
          <w:highlight w:val="none"/>
          <w:u w:val="single"/>
        </w:rPr>
        <w:t>全部投标人的</w:t>
      </w:r>
      <w:bookmarkStart w:id="6" w:name="_Hlk34638083"/>
      <w:r>
        <w:rPr>
          <w:rFonts w:hint="eastAsia" w:ascii="宋体" w:hAnsi="宋体" w:eastAsia="宋体" w:cs="宋体"/>
          <w:color w:val="auto"/>
          <w:sz w:val="24"/>
          <w:highlight w:val="none"/>
          <w:u w:val="single"/>
        </w:rPr>
        <w:t>电子投标文件均已按时解密的，</w:t>
      </w:r>
      <w:bookmarkEnd w:id="6"/>
      <w:r>
        <w:rPr>
          <w:rFonts w:hint="eastAsia" w:ascii="宋体" w:hAnsi="宋体" w:eastAsia="宋体" w:cs="宋体"/>
          <w:color w:val="auto"/>
          <w:sz w:val="24"/>
          <w:highlight w:val="none"/>
          <w:u w:val="single"/>
        </w:rPr>
        <w:t>备份投标文件自动失效，全部投标人的电子投标文件均无法按时解密的，</w:t>
      </w:r>
      <w:bookmarkStart w:id="7" w:name="_Hlk34638161"/>
      <w:r>
        <w:rPr>
          <w:rFonts w:hint="eastAsia" w:ascii="宋体" w:hAnsi="宋体" w:eastAsia="宋体" w:cs="宋体"/>
          <w:color w:val="auto"/>
          <w:sz w:val="24"/>
          <w:highlight w:val="none"/>
          <w:u w:val="single"/>
        </w:rPr>
        <w:t>启用纸质备份投标文件进行线下开评标。</w:t>
      </w:r>
      <w:bookmarkEnd w:id="7"/>
      <w:r>
        <w:rPr>
          <w:rFonts w:hint="eastAsia" w:ascii="宋体" w:hAnsi="宋体" w:eastAsia="宋体" w:cs="宋体"/>
          <w:color w:val="auto"/>
          <w:sz w:val="24"/>
          <w:highlight w:val="none"/>
          <w:u w:val="single"/>
        </w:rPr>
        <w:t>如果某位投标人的电子</w:t>
      </w:r>
      <w:bookmarkStart w:id="8" w:name="_Hlk34638115"/>
      <w:r>
        <w:rPr>
          <w:rFonts w:hint="eastAsia" w:ascii="宋体" w:hAnsi="宋体" w:eastAsia="宋体" w:cs="宋体"/>
          <w:color w:val="auto"/>
          <w:sz w:val="24"/>
          <w:highlight w:val="none"/>
          <w:u w:val="single"/>
        </w:rPr>
        <w:t>投标文件</w:t>
      </w:r>
      <w:bookmarkEnd w:id="8"/>
      <w:r>
        <w:rPr>
          <w:rFonts w:hint="eastAsia" w:ascii="宋体" w:hAnsi="宋体" w:eastAsia="宋体" w:cs="宋体"/>
          <w:color w:val="auto"/>
          <w:sz w:val="24"/>
          <w:highlight w:val="none"/>
          <w:u w:val="single"/>
        </w:rPr>
        <w:t>无法按时解密的，其投标文件为无效标，不启用纸质备份投标文件。</w:t>
      </w:r>
      <w:bookmarkEnd w:id="3"/>
      <w:bookmarkEnd w:id="5"/>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5.6▲未传输递交电子投标文件的，投标无效。未按规定提供相应的备份投标文件，造成项目开评标活动无法进行下去的，投标无效。</w:t>
      </w:r>
    </w:p>
    <w:p>
      <w:pPr>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eastAsia="宋体" w:cs="宋体"/>
          <w:b/>
          <w:bCs/>
          <w:color w:val="auto"/>
          <w:sz w:val="24"/>
          <w:szCs w:val="32"/>
          <w:highlight w:val="none"/>
        </w:rPr>
        <w:t>六、投标截止时间及开标时间：</w:t>
      </w:r>
      <w:r>
        <w:rPr>
          <w:rFonts w:hint="eastAsia" w:ascii="宋体" w:hAnsi="宋体" w:eastAsia="宋体" w:cs="宋体"/>
          <w:b w:val="0"/>
          <w:bCs w:val="0"/>
          <w:color w:val="auto"/>
          <w:sz w:val="24"/>
          <w:szCs w:val="32"/>
          <w:highlight w:val="none"/>
          <w:lang w:eastAsia="zh-CN"/>
        </w:rPr>
        <w:t>北京时间</w:t>
      </w:r>
      <w:r>
        <w:rPr>
          <w:rFonts w:hint="eastAsia" w:ascii="宋体" w:hAnsi="宋体" w:cs="宋体"/>
          <w:color w:val="auto"/>
          <w:sz w:val="24"/>
          <w:szCs w:val="32"/>
          <w:highlight w:val="none"/>
          <w:lang w:eastAsia="zh-CN"/>
        </w:rPr>
        <w:t>2021年11月16日下午14:00</w:t>
      </w:r>
      <w:r>
        <w:rPr>
          <w:rFonts w:hint="eastAsia" w:ascii="宋体" w:hAnsi="宋体" w:eastAsia="宋体" w:cs="宋体"/>
          <w:color w:val="auto"/>
          <w:sz w:val="24"/>
          <w:szCs w:val="32"/>
          <w:highlight w:val="none"/>
          <w:lang w:eastAsia="zh-CN"/>
        </w:rPr>
        <w:t>整</w:t>
      </w:r>
    </w:p>
    <w:p>
      <w:pPr>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七、投标及开标地址：</w:t>
      </w:r>
      <w:r>
        <w:rPr>
          <w:rFonts w:hint="eastAsia" w:ascii="宋体" w:hAnsi="宋体" w:cs="宋体"/>
          <w:color w:val="auto"/>
          <w:sz w:val="24"/>
          <w:szCs w:val="24"/>
          <w:highlight w:val="none"/>
        </w:rPr>
        <w:t>台州市路桥区财富大道</w:t>
      </w:r>
      <w:r>
        <w:rPr>
          <w:rFonts w:ascii="宋体" w:hAnsi="宋体" w:cs="宋体"/>
          <w:color w:val="auto"/>
          <w:sz w:val="24"/>
          <w:szCs w:val="24"/>
          <w:highlight w:val="none"/>
        </w:rPr>
        <w:t>999</w:t>
      </w:r>
      <w:r>
        <w:rPr>
          <w:rFonts w:hint="eastAsia" w:ascii="宋体" w:hAnsi="宋体" w:cs="宋体"/>
          <w:color w:val="auto"/>
          <w:sz w:val="24"/>
          <w:szCs w:val="24"/>
          <w:highlight w:val="none"/>
        </w:rPr>
        <w:t>号区政府商城办公区（商城国际）五楼政府采购中心开标室（一）</w:t>
      </w:r>
      <w:r>
        <w:rPr>
          <w:rFonts w:hint="eastAsia" w:ascii="宋体" w:hAnsi="宋体" w:eastAsia="宋体" w:cs="宋体"/>
          <w:b w:val="0"/>
          <w:bCs w:val="0"/>
          <w:color w:val="auto"/>
          <w:sz w:val="24"/>
          <w:szCs w:val="32"/>
          <w:highlight w:val="none"/>
        </w:rPr>
        <w:t>。</w:t>
      </w:r>
    </w:p>
    <w:p>
      <w:pPr>
        <w:spacing w:line="360" w:lineRule="auto"/>
        <w:ind w:firstLine="482" w:firstLineChars="200"/>
        <w:outlineLvl w:val="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八、相关注意事项：</w:t>
      </w:r>
    </w:p>
    <w:p>
      <w:pPr>
        <w:spacing w:line="360" w:lineRule="auto"/>
        <w:ind w:firstLine="480" w:firstLineChars="200"/>
        <w:outlineLvl w:val="9"/>
        <w:rPr>
          <w:rFonts w:hint="eastAsia" w:ascii="宋体" w:hAnsi="宋体" w:eastAsia="宋体" w:cs="宋体"/>
          <w:b w:val="0"/>
          <w:bCs w:val="0"/>
          <w:color w:val="auto"/>
          <w:sz w:val="24"/>
          <w:szCs w:val="32"/>
          <w:highlight w:val="none"/>
        </w:rPr>
      </w:pPr>
      <w:r>
        <w:rPr>
          <w:rFonts w:hint="eastAsia" w:ascii="宋体" w:hAnsi="宋体" w:eastAsia="宋体" w:cs="宋体"/>
          <w:color w:val="auto"/>
          <w:sz w:val="24"/>
          <w:szCs w:val="32"/>
          <w:highlight w:val="none"/>
        </w:rPr>
        <w:t>供应商如对</w:t>
      </w:r>
      <w:r>
        <w:rPr>
          <w:rFonts w:hint="eastAsia" w:ascii="宋体" w:hAnsi="宋体" w:eastAsia="宋体" w:cs="宋体"/>
          <w:color w:val="auto"/>
          <w:sz w:val="24"/>
          <w:szCs w:val="32"/>
          <w:highlight w:val="none"/>
          <w:lang w:val="en-US" w:eastAsia="zh-CN"/>
        </w:rPr>
        <w:t>招标文件</w:t>
      </w:r>
      <w:r>
        <w:rPr>
          <w:rFonts w:hint="eastAsia" w:ascii="宋体" w:hAnsi="宋体" w:eastAsia="宋体" w:cs="宋体"/>
          <w:color w:val="auto"/>
          <w:sz w:val="24"/>
          <w:szCs w:val="32"/>
          <w:highlight w:val="none"/>
        </w:rPr>
        <w:t>有异议应按规定的时间提出，逾期提出的，采购组织机构可不予受理、答复。</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w:t>
      </w:r>
      <w:r>
        <w:rPr>
          <w:rFonts w:hint="eastAsia" w:ascii="宋体" w:hAnsi="宋体" w:eastAsia="宋体" w:cs="宋体"/>
          <w:color w:val="auto"/>
          <w:sz w:val="24"/>
          <w:highlight w:val="none"/>
        </w:rPr>
        <w:t>潜在供应商认为采购文件使自己的权益受到损害的，可以在依法获取采购文件之日或采购文件公告期限届满之日</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公告期限届满后获取采购文件的，以公告期限届满之日为准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起7个工作日内且应当在采购响应截止时间之前，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en-US" w:eastAsia="zh-CN"/>
        </w:rPr>
        <w:t>2</w:t>
      </w:r>
      <w:r>
        <w:rPr>
          <w:rFonts w:hint="eastAsia" w:ascii="宋体" w:hAnsi="宋体" w:eastAsia="宋体" w:cs="宋体"/>
          <w:color w:val="auto"/>
          <w:sz w:val="24"/>
          <w:szCs w:val="32"/>
          <w:highlight w:val="none"/>
        </w:rPr>
        <w:t>.根据财库[2016]125号《关于在政府采购活动中查询及使用信用记录有关问题的通知》要求，采购代理机构会对供应商信用记录进行查询并甄别。</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1）信用信息查询的截止时点：开标后评标前；</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2）查询渠道：“信用中国”（</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"qq://txfile/"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32"/>
          <w:highlight w:val="none"/>
        </w:rPr>
        <w:t>www.creditchina.gov.cn</w:t>
      </w:r>
      <w:r>
        <w:rPr>
          <w:rFonts w:hint="eastAsia" w:ascii="宋体" w:hAnsi="宋体" w:eastAsia="宋体" w:cs="宋体"/>
          <w:color w:val="auto"/>
          <w:sz w:val="24"/>
          <w:szCs w:val="32"/>
          <w:highlight w:val="none"/>
        </w:rPr>
        <w:fldChar w:fldCharType="end"/>
      </w:r>
      <w:r>
        <w:rPr>
          <w:rFonts w:hint="eastAsia" w:ascii="宋体" w:hAnsi="宋体" w:eastAsia="宋体" w:cs="宋体"/>
          <w:color w:val="auto"/>
          <w:sz w:val="24"/>
          <w:szCs w:val="32"/>
          <w:highlight w:val="none"/>
        </w:rPr>
        <w:t>）、“中国政府采购网”（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"qq://txfile/"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32"/>
          <w:highlight w:val="none"/>
        </w:rPr>
        <w:t>www.ccgp.gov.cn</w:t>
      </w:r>
      <w:r>
        <w:rPr>
          <w:rFonts w:hint="eastAsia" w:ascii="宋体" w:hAnsi="宋体" w:eastAsia="宋体" w:cs="宋体"/>
          <w:color w:val="auto"/>
          <w:sz w:val="24"/>
          <w:szCs w:val="32"/>
          <w:highlight w:val="none"/>
        </w:rPr>
        <w:fldChar w:fldCharType="end"/>
      </w:r>
      <w:r>
        <w:rPr>
          <w:rFonts w:hint="eastAsia" w:ascii="宋体" w:hAnsi="宋体" w:eastAsia="宋体" w:cs="宋体"/>
          <w:color w:val="auto"/>
          <w:sz w:val="24"/>
          <w:szCs w:val="32"/>
          <w:highlight w:val="none"/>
        </w:rPr>
        <w:t>）、“浙江政府采购网（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"qq://txfile/"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32"/>
          <w:highlight w:val="none"/>
        </w:rPr>
        <w:t>www.zjzfcg.gov.cn</w:t>
      </w:r>
      <w:r>
        <w:rPr>
          <w:rFonts w:hint="eastAsia" w:ascii="宋体" w:hAnsi="宋体" w:eastAsia="宋体" w:cs="宋体"/>
          <w:color w:val="auto"/>
          <w:sz w:val="24"/>
          <w:szCs w:val="32"/>
          <w:highlight w:val="none"/>
        </w:rPr>
        <w:fldChar w:fldCharType="end"/>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3）信用信息查询记录和证据留存具体方式：采购代理机构经办人将查询网页打印与其他项目相关文件文件一并保存；</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4）信用信息的使用规则：投标人存在不良信用记录的，其投标将被作为无效投标被拒绝。</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en-US" w:eastAsia="zh-CN"/>
        </w:rPr>
        <w:t>3</w:t>
      </w:r>
      <w:r>
        <w:rPr>
          <w:rFonts w:hint="eastAsia" w:ascii="宋体" w:hAnsi="宋体" w:eastAsia="宋体" w:cs="宋体"/>
          <w:color w:val="auto"/>
          <w:sz w:val="24"/>
          <w:szCs w:val="32"/>
          <w:highlight w:val="none"/>
        </w:rPr>
        <w:t>.不良信用记录指：被列入失信被执行人、重大税收违法案件当事人名单、政府采购严重违法失信行为记录名单或浙江政府采购网曝光台中尚在行政处罚期内的。</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val="en-US" w:eastAsia="zh-CN"/>
        </w:rPr>
        <w:t>4</w:t>
      </w:r>
      <w:r>
        <w:rPr>
          <w:rFonts w:hint="eastAsia" w:ascii="宋体" w:hAnsi="宋体" w:eastAsia="宋体" w:cs="宋体"/>
          <w:b/>
          <w:bCs/>
          <w:color w:val="auto"/>
          <w:sz w:val="24"/>
          <w:szCs w:val="32"/>
          <w:highlight w:val="none"/>
        </w:rPr>
        <w:t>.开标时间后30分钟内，供应商须登录“政采云”平台，用“项目采购-开标评标”功能解密投标文件，投标人未按时解密或解密失败的，其上传的电子投标文件自动失效。电脑及CA解密设备自备。</w:t>
      </w:r>
    </w:p>
    <w:p>
      <w:pP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val="en-US" w:eastAsia="zh-CN"/>
        </w:rPr>
        <w:t>九</w:t>
      </w:r>
      <w:r>
        <w:rPr>
          <w:rFonts w:hint="eastAsia" w:ascii="宋体" w:hAnsi="宋体" w:eastAsia="宋体" w:cs="宋体"/>
          <w:b/>
          <w:bCs/>
          <w:color w:val="auto"/>
          <w:sz w:val="24"/>
          <w:szCs w:val="32"/>
          <w:highlight w:val="none"/>
        </w:rPr>
        <w:t>、联系方式：</w:t>
      </w:r>
    </w:p>
    <w:p>
      <w:pPr>
        <w:bidi w:val="0"/>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eastAsia="宋体" w:cs="宋体"/>
          <w:b/>
          <w:bCs/>
          <w:color w:val="auto"/>
          <w:sz w:val="24"/>
          <w:szCs w:val="32"/>
          <w:highlight w:val="none"/>
          <w:lang w:eastAsia="zh-CN"/>
        </w:rPr>
        <w:t>1、采购代理机构：</w:t>
      </w:r>
      <w:r>
        <w:rPr>
          <w:rFonts w:hint="eastAsia" w:ascii="宋体" w:hAnsi="宋体" w:cs="宋体"/>
          <w:color w:val="auto"/>
          <w:sz w:val="24"/>
          <w:szCs w:val="32"/>
          <w:highlight w:val="none"/>
          <w:lang w:eastAsia="zh-CN"/>
        </w:rPr>
        <w:t>浙江五石中正工程咨询有限公司</w:t>
      </w:r>
      <w:r>
        <w:rPr>
          <w:rFonts w:hint="eastAsia" w:ascii="宋体" w:hAnsi="宋体" w:eastAsia="宋体" w:cs="宋体"/>
          <w:color w:val="auto"/>
          <w:sz w:val="24"/>
          <w:szCs w:val="32"/>
          <w:highlight w:val="none"/>
          <w:lang w:eastAsia="zh-CN"/>
        </w:rPr>
        <w:t>；</w:t>
      </w:r>
    </w:p>
    <w:p>
      <w:pP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项目负责人：徐名峰；联系电话：15088711407；</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eastAsia="zh-CN"/>
        </w:rPr>
        <w:t>质疑接收人：</w:t>
      </w:r>
      <w:r>
        <w:rPr>
          <w:rFonts w:hint="eastAsia" w:ascii="宋体" w:hAnsi="宋体" w:cs="宋体"/>
          <w:color w:val="auto"/>
          <w:sz w:val="24"/>
          <w:szCs w:val="32"/>
          <w:highlight w:val="none"/>
          <w:lang w:eastAsia="zh-CN"/>
        </w:rPr>
        <w:t>刘</w:t>
      </w:r>
      <w:r>
        <w:rPr>
          <w:rFonts w:hint="eastAsia" w:ascii="宋体" w:hAnsi="宋体" w:cs="宋体"/>
          <w:color w:val="auto"/>
          <w:sz w:val="24"/>
          <w:szCs w:val="32"/>
          <w:highlight w:val="none"/>
          <w:lang w:val="en-US" w:eastAsia="zh-CN"/>
        </w:rPr>
        <w:t xml:space="preserve">  </w:t>
      </w:r>
      <w:r>
        <w:rPr>
          <w:rFonts w:hint="eastAsia" w:ascii="宋体" w:hAnsi="宋体" w:cs="宋体"/>
          <w:color w:val="auto"/>
          <w:sz w:val="24"/>
          <w:szCs w:val="32"/>
          <w:highlight w:val="none"/>
          <w:lang w:eastAsia="zh-CN"/>
        </w:rPr>
        <w:t>婕</w:t>
      </w:r>
      <w:r>
        <w:rPr>
          <w:rFonts w:hint="eastAsia" w:ascii="宋体" w:hAnsi="宋体" w:eastAsia="宋体" w:cs="宋体"/>
          <w:color w:val="auto"/>
          <w:sz w:val="24"/>
          <w:szCs w:val="32"/>
          <w:highlight w:val="none"/>
          <w:lang w:eastAsia="zh-CN"/>
        </w:rPr>
        <w:t>；联系电话：0571-85340710；</w:t>
      </w:r>
    </w:p>
    <w:p>
      <w:pP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报名联系人：高女士；联系电话：0571-85334203；传真：0571-85342190；</w:t>
      </w:r>
    </w:p>
    <w:p>
      <w:pP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lang w:eastAsia="zh-CN"/>
        </w:rPr>
        <w:t>地址</w:t>
      </w:r>
      <w:r>
        <w:rPr>
          <w:rFonts w:hint="eastAsia" w:ascii="宋体" w:hAnsi="宋体" w:eastAsia="宋体" w:cs="宋体"/>
          <w:color w:val="auto"/>
          <w:sz w:val="24"/>
          <w:szCs w:val="32"/>
          <w:highlight w:val="none"/>
          <w:lang w:eastAsia="zh-CN"/>
        </w:rPr>
        <w:t>：杭州市</w:t>
      </w:r>
      <w:r>
        <w:rPr>
          <w:rFonts w:hint="eastAsia" w:ascii="宋体" w:hAnsi="宋体" w:cs="宋体"/>
          <w:color w:val="auto"/>
          <w:sz w:val="24"/>
          <w:szCs w:val="32"/>
          <w:highlight w:val="none"/>
          <w:lang w:eastAsia="zh-CN"/>
        </w:rPr>
        <w:t>拱墅区</w:t>
      </w:r>
      <w:r>
        <w:rPr>
          <w:rFonts w:hint="eastAsia" w:ascii="宋体" w:hAnsi="宋体" w:eastAsia="宋体" w:cs="宋体"/>
          <w:color w:val="auto"/>
          <w:sz w:val="24"/>
          <w:szCs w:val="32"/>
          <w:highlight w:val="none"/>
          <w:lang w:eastAsia="zh-CN"/>
        </w:rPr>
        <w:t>白石路318号中国（杭州）人力资源服务产业园北楼</w:t>
      </w:r>
      <w:r>
        <w:rPr>
          <w:rFonts w:hint="eastAsia" w:ascii="宋体" w:hAnsi="宋体" w:eastAsia="宋体" w:cs="宋体"/>
          <w:color w:val="auto"/>
          <w:sz w:val="24"/>
          <w:szCs w:val="32"/>
          <w:highlight w:val="none"/>
          <w:lang w:val="en-US" w:eastAsia="zh-CN"/>
        </w:rPr>
        <w:t>512</w:t>
      </w:r>
      <w:r>
        <w:rPr>
          <w:rFonts w:hint="eastAsia" w:ascii="宋体" w:hAnsi="宋体" w:eastAsia="宋体" w:cs="宋体"/>
          <w:color w:val="auto"/>
          <w:sz w:val="24"/>
          <w:szCs w:val="32"/>
          <w:highlight w:val="none"/>
          <w:lang w:eastAsia="zh-CN"/>
        </w:rPr>
        <w:t>室；</w:t>
      </w:r>
    </w:p>
    <w:p>
      <w:pPr>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cs="宋体"/>
          <w:b/>
          <w:bCs/>
          <w:color w:val="auto"/>
          <w:sz w:val="24"/>
          <w:szCs w:val="32"/>
          <w:highlight w:val="none"/>
        </w:rPr>
        <w:t>2、采购人：</w:t>
      </w:r>
      <w:r>
        <w:rPr>
          <w:rFonts w:hint="eastAsia" w:ascii="宋体" w:hAnsi="宋体" w:cs="宋体"/>
          <w:color w:val="auto"/>
          <w:sz w:val="24"/>
          <w:szCs w:val="32"/>
          <w:highlight w:val="none"/>
          <w:lang w:eastAsia="zh-CN"/>
        </w:rPr>
        <w:t>台州市生态环境局路桥分局；</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项目联系人：</w:t>
      </w:r>
      <w:r>
        <w:rPr>
          <w:rFonts w:hint="eastAsia" w:ascii="宋体" w:hAnsi="宋体" w:cs="宋体"/>
          <w:color w:val="auto"/>
          <w:sz w:val="24"/>
          <w:szCs w:val="32"/>
          <w:highlight w:val="none"/>
          <w:lang w:val="en-US" w:eastAsia="zh-CN"/>
        </w:rPr>
        <w:t>戴女士</w:t>
      </w:r>
      <w:r>
        <w:rPr>
          <w:rFonts w:hint="eastAsia" w:ascii="宋体" w:hAnsi="宋体" w:eastAsia="宋体" w:cs="宋体"/>
          <w:color w:val="auto"/>
          <w:sz w:val="24"/>
          <w:szCs w:val="32"/>
          <w:highlight w:val="none"/>
          <w:lang w:eastAsia="zh-CN"/>
        </w:rPr>
        <w:t>；联系电话：0576-82920611；</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质疑接收人：杨先生；联系电话：0576-82409160；</w:t>
      </w:r>
    </w:p>
    <w:p>
      <w:pPr>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地址：</w:t>
      </w:r>
      <w:r>
        <w:rPr>
          <w:rFonts w:hint="eastAsia" w:ascii="宋体" w:hAnsi="宋体" w:eastAsia="宋体" w:cs="宋体"/>
          <w:color w:val="auto"/>
          <w:sz w:val="24"/>
          <w:szCs w:val="32"/>
          <w:highlight w:val="none"/>
          <w:lang w:eastAsia="zh-CN"/>
        </w:rPr>
        <w:t>台州市路桥区月河北街</w:t>
      </w:r>
      <w:r>
        <w:rPr>
          <w:rFonts w:hint="eastAsia" w:ascii="宋体" w:hAnsi="宋体" w:eastAsia="宋体" w:cs="宋体"/>
          <w:color w:val="auto"/>
          <w:sz w:val="24"/>
          <w:szCs w:val="32"/>
          <w:highlight w:val="none"/>
          <w:lang w:val="en-US" w:eastAsia="zh-CN"/>
        </w:rPr>
        <w:t>1号洋张大厦</w:t>
      </w:r>
      <w:r>
        <w:rPr>
          <w:rFonts w:hint="eastAsia" w:ascii="宋体" w:hAnsi="宋体" w:eastAsia="宋体" w:cs="宋体"/>
          <w:color w:val="auto"/>
          <w:sz w:val="24"/>
          <w:szCs w:val="32"/>
          <w:highlight w:val="none"/>
          <w:lang w:eastAsia="zh-CN"/>
        </w:rPr>
        <w:t>；</w:t>
      </w:r>
    </w:p>
    <w:p>
      <w:pPr>
        <w:spacing w:line="360" w:lineRule="auto"/>
        <w:ind w:firstLine="482"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bCs/>
          <w:color w:val="auto"/>
          <w:sz w:val="24"/>
          <w:szCs w:val="32"/>
          <w:highlight w:val="none"/>
        </w:rPr>
        <w:t>3、同级政府采购监管管理部门：</w:t>
      </w:r>
      <w:r>
        <w:rPr>
          <w:rFonts w:hint="eastAsia" w:ascii="宋体" w:hAnsi="宋体" w:cs="宋体"/>
          <w:b w:val="0"/>
          <w:bCs w:val="0"/>
          <w:color w:val="auto"/>
          <w:sz w:val="24"/>
          <w:szCs w:val="32"/>
          <w:highlight w:val="none"/>
          <w:lang w:eastAsia="zh-CN"/>
        </w:rPr>
        <w:t>台州市路桥区财政局监督绩效管理与采购监管科</w:t>
      </w:r>
      <w:r>
        <w:rPr>
          <w:rFonts w:hint="eastAsia" w:ascii="宋体" w:hAnsi="宋体" w:eastAsia="宋体" w:cs="宋体"/>
          <w:b w:val="0"/>
          <w:bCs w:val="0"/>
          <w:color w:val="auto"/>
          <w:sz w:val="24"/>
          <w:szCs w:val="32"/>
          <w:highlight w:val="none"/>
          <w:lang w:eastAsia="zh-CN"/>
        </w:rPr>
        <w:t>；</w:t>
      </w:r>
    </w:p>
    <w:p>
      <w:pPr>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rPr>
        <w:t>联系人：吴女士；监督投诉电话：0576-82517851</w:t>
      </w:r>
      <w:r>
        <w:rPr>
          <w:rFonts w:hint="eastAsia" w:ascii="宋体" w:hAnsi="宋体" w:cs="宋体"/>
          <w:b w:val="0"/>
          <w:bCs w:val="0"/>
          <w:color w:val="auto"/>
          <w:sz w:val="24"/>
          <w:szCs w:val="32"/>
          <w:highlight w:val="none"/>
          <w:lang w:eastAsia="zh-CN"/>
        </w:rPr>
        <w:t>；</w:t>
      </w:r>
    </w:p>
    <w:p>
      <w:pPr>
        <w:spacing w:line="360" w:lineRule="auto"/>
        <w:ind w:firstLine="480" w:firstLineChars="200"/>
        <w:rPr>
          <w:rFonts w:hint="eastAsia" w:ascii="宋体" w:hAnsi="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rPr>
        <w:t>地址：台州市路桥区西路桥大道58号</w:t>
      </w:r>
      <w:r>
        <w:rPr>
          <w:rFonts w:hint="eastAsia" w:ascii="宋体" w:hAnsi="宋体" w:cs="宋体"/>
          <w:b w:val="0"/>
          <w:bCs w:val="0"/>
          <w:color w:val="auto"/>
          <w:sz w:val="24"/>
          <w:szCs w:val="32"/>
          <w:highlight w:val="none"/>
          <w:lang w:eastAsia="zh-CN"/>
        </w:rPr>
        <w:t>。</w:t>
      </w:r>
    </w:p>
    <w:p>
      <w:pPr>
        <w:spacing w:line="360" w:lineRule="auto"/>
        <w:ind w:firstLine="482"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bCs/>
          <w:color w:val="auto"/>
          <w:sz w:val="24"/>
          <w:szCs w:val="32"/>
          <w:highlight w:val="none"/>
          <w:lang w:val="en-US" w:eastAsia="zh-CN"/>
        </w:rPr>
        <w:t>4、其余事项：</w:t>
      </w:r>
      <w:r>
        <w:rPr>
          <w:rFonts w:hint="eastAsia" w:ascii="宋体" w:hAnsi="宋体" w:eastAsia="宋体" w:cs="宋体"/>
          <w:b w:val="0"/>
          <w:bCs w:val="0"/>
          <w:color w:val="auto"/>
          <w:sz w:val="24"/>
          <w:szCs w:val="32"/>
          <w:highlight w:val="none"/>
          <w:lang w:eastAsia="zh-CN"/>
        </w:rPr>
        <w:t>中标供应商如有融资需求，可使用以下银行的政采贷服务。</w:t>
      </w:r>
    </w:p>
    <w:tbl>
      <w:tblPr>
        <w:tblStyle w:val="27"/>
        <w:tblW w:w="9974" w:type="dxa"/>
        <w:jc w:val="center"/>
        <w:tblLayout w:type="fixed"/>
        <w:tblCellMar>
          <w:top w:w="0" w:type="dxa"/>
          <w:left w:w="0" w:type="dxa"/>
          <w:bottom w:w="0" w:type="dxa"/>
          <w:right w:w="0" w:type="dxa"/>
        </w:tblCellMar>
      </w:tblPr>
      <w:tblGrid>
        <w:gridCol w:w="644"/>
        <w:gridCol w:w="5352"/>
        <w:gridCol w:w="1530"/>
        <w:gridCol w:w="960"/>
        <w:gridCol w:w="1488"/>
      </w:tblGrid>
      <w:tr>
        <w:tblPrEx>
          <w:tblCellMar>
            <w:top w:w="0" w:type="dxa"/>
            <w:left w:w="0" w:type="dxa"/>
            <w:bottom w:w="0" w:type="dxa"/>
            <w:right w:w="0" w:type="dxa"/>
          </w:tblCellMar>
        </w:tblPrEx>
        <w:trPr>
          <w:trHeight w:val="93" w:hRule="atLeast"/>
          <w:jc w:val="center"/>
        </w:trPr>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序号</w:t>
            </w:r>
          </w:p>
        </w:tc>
        <w:tc>
          <w:tcPr>
            <w:tcW w:w="5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银</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行</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名</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称</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政采贷年利率</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联系人</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联系电话</w:t>
            </w:r>
          </w:p>
        </w:tc>
      </w:tr>
      <w:tr>
        <w:tblPrEx>
          <w:tblCellMar>
            <w:top w:w="0" w:type="dxa"/>
            <w:left w:w="0" w:type="dxa"/>
            <w:bottom w:w="0" w:type="dxa"/>
            <w:right w:w="0" w:type="dxa"/>
          </w:tblCellMar>
        </w:tblPrEx>
        <w:trPr>
          <w:trHeight w:val="90" w:hRule="atLeast"/>
          <w:jc w:val="center"/>
        </w:trPr>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w:t>
            </w:r>
          </w:p>
        </w:tc>
        <w:tc>
          <w:tcPr>
            <w:tcW w:w="5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中国建设银行股份有限公司台州路桥支行</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5.50%</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徐剑鸿</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15167671223</w:t>
            </w:r>
          </w:p>
        </w:tc>
      </w:tr>
      <w:tr>
        <w:tblPrEx>
          <w:tblCellMar>
            <w:top w:w="0" w:type="dxa"/>
            <w:left w:w="0" w:type="dxa"/>
            <w:bottom w:w="0" w:type="dxa"/>
            <w:right w:w="0" w:type="dxa"/>
          </w:tblCellMar>
        </w:tblPrEx>
        <w:trPr>
          <w:trHeight w:val="90" w:hRule="atLeast"/>
          <w:jc w:val="center"/>
        </w:trPr>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2</w:t>
            </w:r>
          </w:p>
        </w:tc>
        <w:tc>
          <w:tcPr>
            <w:tcW w:w="5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中国工商银行股份有限公司台州路桥支行</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3.8%</w:t>
            </w:r>
            <w:r>
              <w:rPr>
                <w:rFonts w:hint="eastAsia" w:ascii="宋体" w:hAnsi="宋体" w:cs="宋体"/>
                <w:color w:val="auto"/>
                <w:kern w:val="0"/>
                <w:sz w:val="24"/>
                <w:szCs w:val="24"/>
                <w:highlight w:val="none"/>
              </w:rPr>
              <w:t>起</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朱力杰</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18267601003</w:t>
            </w:r>
          </w:p>
        </w:tc>
      </w:tr>
      <w:tr>
        <w:tblPrEx>
          <w:tblCellMar>
            <w:top w:w="0" w:type="dxa"/>
            <w:left w:w="0" w:type="dxa"/>
            <w:bottom w:w="0" w:type="dxa"/>
            <w:right w:w="0" w:type="dxa"/>
          </w:tblCellMar>
        </w:tblPrEx>
        <w:trPr>
          <w:trHeight w:val="90" w:hRule="atLeast"/>
          <w:jc w:val="center"/>
        </w:trPr>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3</w:t>
            </w:r>
          </w:p>
        </w:tc>
        <w:tc>
          <w:tcPr>
            <w:tcW w:w="5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中国农业银行股份有限公司台州路桥支行</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4.6%-4.8%</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许小波</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13626657520</w:t>
            </w:r>
          </w:p>
        </w:tc>
      </w:tr>
      <w:tr>
        <w:tblPrEx>
          <w:tblCellMar>
            <w:top w:w="0" w:type="dxa"/>
            <w:left w:w="0" w:type="dxa"/>
            <w:bottom w:w="0" w:type="dxa"/>
            <w:right w:w="0" w:type="dxa"/>
          </w:tblCellMar>
        </w:tblPrEx>
        <w:trPr>
          <w:trHeight w:val="90" w:hRule="atLeast"/>
          <w:jc w:val="center"/>
        </w:trPr>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4</w:t>
            </w:r>
          </w:p>
        </w:tc>
        <w:tc>
          <w:tcPr>
            <w:tcW w:w="5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中国银行股份有限公司台州市路桥区支行</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4%</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潘优优</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15168693699</w:t>
            </w:r>
          </w:p>
        </w:tc>
      </w:tr>
      <w:tr>
        <w:tblPrEx>
          <w:tblCellMar>
            <w:top w:w="0" w:type="dxa"/>
            <w:left w:w="0" w:type="dxa"/>
            <w:bottom w:w="0" w:type="dxa"/>
            <w:right w:w="0" w:type="dxa"/>
          </w:tblCellMar>
        </w:tblPrEx>
        <w:trPr>
          <w:trHeight w:val="90" w:hRule="atLeast"/>
          <w:jc w:val="center"/>
        </w:trPr>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5</w:t>
            </w:r>
          </w:p>
        </w:tc>
        <w:tc>
          <w:tcPr>
            <w:tcW w:w="5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台州银行股份有限公司</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7.08%</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黄红芹</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13968689000</w:t>
            </w:r>
          </w:p>
        </w:tc>
      </w:tr>
      <w:tr>
        <w:tblPrEx>
          <w:tblCellMar>
            <w:top w:w="0" w:type="dxa"/>
            <w:left w:w="0" w:type="dxa"/>
            <w:bottom w:w="0" w:type="dxa"/>
            <w:right w:w="0" w:type="dxa"/>
          </w:tblCellMar>
        </w:tblPrEx>
        <w:trPr>
          <w:trHeight w:val="90" w:hRule="atLeast"/>
          <w:jc w:val="center"/>
        </w:trPr>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6</w:t>
            </w:r>
          </w:p>
        </w:tc>
        <w:tc>
          <w:tcPr>
            <w:tcW w:w="5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浙江泰隆商业银行股份有限公司</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7.08%</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冯观凤</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17858683988</w:t>
            </w:r>
          </w:p>
        </w:tc>
      </w:tr>
      <w:tr>
        <w:tblPrEx>
          <w:tblCellMar>
            <w:top w:w="0" w:type="dxa"/>
            <w:left w:w="0" w:type="dxa"/>
            <w:bottom w:w="0" w:type="dxa"/>
            <w:right w:w="0" w:type="dxa"/>
          </w:tblCellMar>
        </w:tblPrEx>
        <w:trPr>
          <w:trHeight w:val="90" w:hRule="atLeast"/>
          <w:jc w:val="center"/>
        </w:trPr>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7</w:t>
            </w:r>
          </w:p>
        </w:tc>
        <w:tc>
          <w:tcPr>
            <w:tcW w:w="5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中国邮政储蓄银行股份有限公司台州市路桥区支行</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4.35%</w:t>
            </w:r>
            <w:r>
              <w:rPr>
                <w:rFonts w:hint="eastAsia" w:ascii="宋体" w:hAnsi="宋体" w:cs="宋体"/>
                <w:color w:val="auto"/>
                <w:kern w:val="0"/>
                <w:sz w:val="24"/>
                <w:szCs w:val="24"/>
                <w:highlight w:val="none"/>
              </w:rPr>
              <w:t>起</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沈丹华</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13306566969</w:t>
            </w:r>
          </w:p>
        </w:tc>
      </w:tr>
      <w:tr>
        <w:tblPrEx>
          <w:tblCellMar>
            <w:top w:w="0" w:type="dxa"/>
            <w:left w:w="0" w:type="dxa"/>
            <w:bottom w:w="0" w:type="dxa"/>
            <w:right w:w="0" w:type="dxa"/>
          </w:tblCellMar>
        </w:tblPrEx>
        <w:trPr>
          <w:trHeight w:val="90" w:hRule="atLeast"/>
          <w:jc w:val="center"/>
        </w:trPr>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8</w:t>
            </w:r>
          </w:p>
        </w:tc>
        <w:tc>
          <w:tcPr>
            <w:tcW w:w="5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交通银行股份有限公司台州路桥支行</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4.05%</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张颖聪</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15726976805</w:t>
            </w:r>
          </w:p>
        </w:tc>
      </w:tr>
      <w:tr>
        <w:tblPrEx>
          <w:tblCellMar>
            <w:top w:w="0" w:type="dxa"/>
            <w:left w:w="0" w:type="dxa"/>
            <w:bottom w:w="0" w:type="dxa"/>
            <w:right w:w="0" w:type="dxa"/>
          </w:tblCellMar>
        </w:tblPrEx>
        <w:trPr>
          <w:trHeight w:val="90" w:hRule="atLeast"/>
          <w:jc w:val="center"/>
        </w:trPr>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9</w:t>
            </w:r>
          </w:p>
        </w:tc>
        <w:tc>
          <w:tcPr>
            <w:tcW w:w="5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兴业银行股份有限公司台州路桥支行</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5%-6%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陆罗亚</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15858609932</w:t>
            </w:r>
          </w:p>
        </w:tc>
      </w:tr>
      <w:tr>
        <w:tblPrEx>
          <w:tblCellMar>
            <w:top w:w="0" w:type="dxa"/>
            <w:left w:w="0" w:type="dxa"/>
            <w:bottom w:w="0" w:type="dxa"/>
            <w:right w:w="0" w:type="dxa"/>
          </w:tblCellMar>
        </w:tblPrEx>
        <w:trPr>
          <w:trHeight w:val="90" w:hRule="atLeast"/>
          <w:jc w:val="center"/>
        </w:trPr>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10</w:t>
            </w:r>
          </w:p>
        </w:tc>
        <w:tc>
          <w:tcPr>
            <w:tcW w:w="5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中信银行股份有限公司台州路桥支行</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4.15%</w:t>
            </w:r>
            <w:r>
              <w:rPr>
                <w:rFonts w:hint="eastAsia" w:ascii="宋体" w:hAnsi="宋体" w:cs="宋体"/>
                <w:color w:val="auto"/>
                <w:kern w:val="0"/>
                <w:sz w:val="24"/>
                <w:szCs w:val="24"/>
                <w:highlight w:val="none"/>
              </w:rPr>
              <w:t>起</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陈奕汝</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13732310221</w:t>
            </w:r>
          </w:p>
        </w:tc>
      </w:tr>
      <w:tr>
        <w:tblPrEx>
          <w:tblCellMar>
            <w:top w:w="0" w:type="dxa"/>
            <w:left w:w="0" w:type="dxa"/>
            <w:bottom w:w="0" w:type="dxa"/>
            <w:right w:w="0" w:type="dxa"/>
          </w:tblCellMar>
        </w:tblPrEx>
        <w:trPr>
          <w:trHeight w:val="90" w:hRule="atLeast"/>
          <w:jc w:val="center"/>
        </w:trPr>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11</w:t>
            </w:r>
          </w:p>
        </w:tc>
        <w:tc>
          <w:tcPr>
            <w:tcW w:w="5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浙商银行股份有限公司台州路桥小微企业专营支行</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6.75%</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庄道勇</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13867611023</w:t>
            </w:r>
          </w:p>
        </w:tc>
      </w:tr>
      <w:tr>
        <w:tblPrEx>
          <w:tblCellMar>
            <w:top w:w="0" w:type="dxa"/>
            <w:left w:w="0" w:type="dxa"/>
            <w:bottom w:w="0" w:type="dxa"/>
            <w:right w:w="0" w:type="dxa"/>
          </w:tblCellMar>
        </w:tblPrEx>
        <w:trPr>
          <w:trHeight w:val="90" w:hRule="atLeast"/>
          <w:jc w:val="center"/>
        </w:trPr>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12</w:t>
            </w:r>
          </w:p>
        </w:tc>
        <w:tc>
          <w:tcPr>
            <w:tcW w:w="5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广发银行股份有限公司台州路桥小微企业专营支行</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5.65%</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林春</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13858687790</w:t>
            </w:r>
          </w:p>
        </w:tc>
      </w:tr>
      <w:tr>
        <w:tblPrEx>
          <w:tblCellMar>
            <w:top w:w="0" w:type="dxa"/>
            <w:left w:w="0" w:type="dxa"/>
            <w:bottom w:w="0" w:type="dxa"/>
            <w:right w:w="0" w:type="dxa"/>
          </w:tblCellMar>
        </w:tblPrEx>
        <w:trPr>
          <w:trHeight w:val="90" w:hRule="atLeast"/>
          <w:jc w:val="center"/>
        </w:trPr>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13</w:t>
            </w:r>
          </w:p>
        </w:tc>
        <w:tc>
          <w:tcPr>
            <w:tcW w:w="5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平安银行股份有限公司台州路桥小微企业专营支行</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7%</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李俊丽</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15906861025</w:t>
            </w:r>
          </w:p>
        </w:tc>
      </w:tr>
      <w:tr>
        <w:tblPrEx>
          <w:tblCellMar>
            <w:top w:w="0" w:type="dxa"/>
            <w:left w:w="0" w:type="dxa"/>
            <w:bottom w:w="0" w:type="dxa"/>
            <w:right w:w="0" w:type="dxa"/>
          </w:tblCellMar>
        </w:tblPrEx>
        <w:trPr>
          <w:trHeight w:val="90" w:hRule="atLeast"/>
          <w:jc w:val="center"/>
        </w:trPr>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14</w:t>
            </w:r>
          </w:p>
        </w:tc>
        <w:tc>
          <w:tcPr>
            <w:tcW w:w="5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宁波银行股份有限公司台州路桥小微企业专营支行</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5%-6%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李诚杰</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13395745558</w:t>
            </w:r>
          </w:p>
        </w:tc>
      </w:tr>
      <w:tr>
        <w:tblPrEx>
          <w:tblCellMar>
            <w:top w:w="0" w:type="dxa"/>
            <w:left w:w="0" w:type="dxa"/>
            <w:bottom w:w="0" w:type="dxa"/>
            <w:right w:w="0" w:type="dxa"/>
          </w:tblCellMar>
        </w:tblPrEx>
        <w:trPr>
          <w:trHeight w:val="90" w:hRule="atLeast"/>
          <w:jc w:val="center"/>
        </w:trPr>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15</w:t>
            </w:r>
          </w:p>
        </w:tc>
        <w:tc>
          <w:tcPr>
            <w:tcW w:w="5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浙江台州路桥富民村镇银行股份有限公司</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7.80%</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hint="eastAsia" w:ascii="宋体" w:hAnsi="宋体" w:cs="宋体"/>
                <w:color w:val="auto"/>
                <w:kern w:val="0"/>
                <w:sz w:val="24"/>
                <w:szCs w:val="24"/>
                <w:highlight w:val="none"/>
              </w:rPr>
              <w:t>陈威</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jc w:val="center"/>
              <w:textAlignment w:val="center"/>
              <w:rPr>
                <w:rFonts w:ascii="宋体"/>
                <w:color w:val="auto"/>
                <w:sz w:val="24"/>
                <w:szCs w:val="24"/>
                <w:highlight w:val="none"/>
              </w:rPr>
            </w:pPr>
            <w:r>
              <w:rPr>
                <w:rFonts w:ascii="宋体" w:hAnsi="宋体" w:cs="宋体"/>
                <w:color w:val="auto"/>
                <w:kern w:val="0"/>
                <w:sz w:val="24"/>
                <w:szCs w:val="24"/>
                <w:highlight w:val="none"/>
              </w:rPr>
              <w:t>13626660510</w:t>
            </w:r>
          </w:p>
        </w:tc>
      </w:tr>
    </w:tbl>
    <w:p>
      <w:pPr>
        <w:spacing w:line="360" w:lineRule="auto"/>
        <w:jc w:val="right"/>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lang w:eastAsia="zh-CN"/>
        </w:rPr>
        <w:t>浙江五石中正工程咨询有限公司</w:t>
      </w:r>
    </w:p>
    <w:p>
      <w:pPr>
        <w:spacing w:line="360" w:lineRule="auto"/>
        <w:ind w:firstLine="6240" w:firstLineChars="26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202</w:t>
      </w:r>
      <w:r>
        <w:rPr>
          <w:rFonts w:hint="eastAsia" w:ascii="宋体" w:hAnsi="宋体" w:eastAsia="宋体" w:cs="宋体"/>
          <w:color w:val="auto"/>
          <w:sz w:val="24"/>
          <w:szCs w:val="32"/>
          <w:highlight w:val="none"/>
          <w:lang w:val="en-US" w:eastAsia="zh-CN"/>
        </w:rPr>
        <w:t>1</w:t>
      </w:r>
      <w:r>
        <w:rPr>
          <w:rFonts w:hint="eastAsia" w:ascii="宋体" w:hAnsi="宋体" w:eastAsia="宋体" w:cs="宋体"/>
          <w:color w:val="auto"/>
          <w:sz w:val="24"/>
          <w:szCs w:val="32"/>
          <w:highlight w:val="none"/>
        </w:rPr>
        <w:t>年</w:t>
      </w:r>
      <w:r>
        <w:rPr>
          <w:rFonts w:hint="eastAsia" w:ascii="宋体" w:hAnsi="宋体" w:cs="宋体"/>
          <w:color w:val="auto"/>
          <w:sz w:val="24"/>
          <w:szCs w:val="32"/>
          <w:highlight w:val="none"/>
          <w:lang w:val="en-US" w:eastAsia="zh-CN"/>
        </w:rPr>
        <w:t>10</w:t>
      </w:r>
      <w:r>
        <w:rPr>
          <w:rFonts w:hint="eastAsia" w:ascii="宋体" w:hAnsi="宋体" w:eastAsia="宋体" w:cs="宋体"/>
          <w:color w:val="auto"/>
          <w:sz w:val="24"/>
          <w:szCs w:val="32"/>
          <w:highlight w:val="none"/>
        </w:rPr>
        <w:t>月</w:t>
      </w:r>
    </w:p>
    <w:p>
      <w:pPr>
        <w:bidi w:val="0"/>
        <w:spacing w:line="360" w:lineRule="auto"/>
        <w:rPr>
          <w:rFonts w:hint="eastAsia" w:ascii="宋体" w:hAnsi="宋体" w:eastAsia="宋体" w:cs="宋体"/>
          <w:color w:val="auto"/>
          <w:sz w:val="24"/>
          <w:szCs w:val="32"/>
          <w:highlight w:val="none"/>
        </w:rPr>
      </w:pPr>
    </w:p>
    <w:p>
      <w:pP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第二章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投标人须知</w:t>
      </w:r>
    </w:p>
    <w:p>
      <w:pPr>
        <w:bidi w:val="0"/>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前附表</w:t>
      </w:r>
    </w:p>
    <w:tbl>
      <w:tblPr>
        <w:tblStyle w:val="27"/>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30"/>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530"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    目</w:t>
            </w:r>
          </w:p>
        </w:tc>
        <w:tc>
          <w:tcPr>
            <w:tcW w:w="7551"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30"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供应商特定资格要求</w:t>
            </w:r>
          </w:p>
        </w:tc>
        <w:tc>
          <w:tcPr>
            <w:tcW w:w="7551" w:type="dxa"/>
            <w:vAlign w:val="center"/>
          </w:tcPr>
          <w:p>
            <w:pPr>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符合招标公告资格要求的供应商</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2</w:t>
            </w:r>
          </w:p>
        </w:tc>
        <w:tc>
          <w:tcPr>
            <w:tcW w:w="1530"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答疑会或</w:t>
            </w:r>
            <w:r>
              <w:rPr>
                <w:rFonts w:hint="eastAsia" w:ascii="宋体" w:hAnsi="宋体" w:eastAsia="宋体" w:cs="宋体"/>
                <w:color w:val="auto"/>
                <w:sz w:val="24"/>
                <w:highlight w:val="none"/>
              </w:rPr>
              <w:t>现场踏勘</w:t>
            </w:r>
          </w:p>
        </w:tc>
        <w:tc>
          <w:tcPr>
            <w:tcW w:w="7551" w:type="dxa"/>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jc w:val="center"/>
        </w:trPr>
        <w:tc>
          <w:tcPr>
            <w:tcW w:w="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p>
        </w:tc>
        <w:tc>
          <w:tcPr>
            <w:tcW w:w="1530" w:type="dxa"/>
            <w:vAlign w:val="center"/>
          </w:tcPr>
          <w:p>
            <w:pPr>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投标文件的组成、份数、效力</w:t>
            </w:r>
          </w:p>
        </w:tc>
        <w:tc>
          <w:tcPr>
            <w:tcW w:w="7551" w:type="dxa"/>
            <w:vAlign w:val="center"/>
          </w:tcPr>
          <w:p>
            <w:pP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本项目实行电子投标，供应商应准备电子投标文件、以介质（U盘）存储的数据电文形式的备份投标文件、纸质备份投标文件三类：</w:t>
            </w:r>
          </w:p>
          <w:p>
            <w:pP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1.电子投标文件，按政采云平台项目采购--电子招投标操作指南及本招标文件要求编制、递交。</w:t>
            </w:r>
          </w:p>
          <w:p>
            <w:pP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2.以介质（U盘）存储的数据电文形式的备份投标文件，按政采云平台项目采购-电子招投标操作指南中上传的电子投标文件格式，以U盘形式提供。</w:t>
            </w:r>
          </w:p>
          <w:p>
            <w:pP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3.纸质备份投标文件以纸质文件的形式编制，按资格证明文件、商务技术文件、报价文件三部分分别编制并单独装订成册，</w:t>
            </w:r>
            <w:r>
              <w:rPr>
                <w:rFonts w:hint="eastAsia" w:ascii="宋体" w:hAnsi="宋体" w:eastAsia="宋体" w:cs="宋体"/>
                <w:b/>
                <w:bCs/>
                <w:color w:val="auto"/>
                <w:sz w:val="24"/>
                <w:szCs w:val="24"/>
                <w:highlight w:val="none"/>
                <w:lang w:val="en-US" w:eastAsia="zh-CN"/>
              </w:rPr>
              <w:t>数量均为2份（一正一副）</w:t>
            </w:r>
            <w:r>
              <w:rPr>
                <w:rFonts w:hint="eastAsia" w:ascii="宋体" w:hAnsi="宋体" w:eastAsia="宋体" w:cs="宋体"/>
                <w:color w:val="auto"/>
                <w:sz w:val="24"/>
                <w:szCs w:val="24"/>
                <w:highlight w:val="none"/>
                <w:lang w:val="en-US" w:eastAsia="zh-CN"/>
              </w:rPr>
              <w:t>。资格证明文件、商务技术文件、报价文件三部分须分别密封封装，资格证明文件、商务技术文件、报价文件三部分未分别密封的投标文件将为无效。</w:t>
            </w:r>
          </w:p>
          <w:p>
            <w:pP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投标文件启用顺序和效力：投标文件的启用，按先后顺位分别为电子投标文件、以介质（U盘）存储的数据电文形式的备份投标文件、纸质备份投标文件。顺位在先的投标文件已按时解密的，备份投标文件自动失效。在下一顺位的投标文件启用时，前一顺位的投标文件自动失效。</w:t>
            </w:r>
          </w:p>
          <w:p>
            <w:pP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5.▲未传输递交电子投标文件的，投标无效。▲未按规定提供相应的备份投标文件，造成项目开评标活动无法进行下去的，投标无效。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4</w:t>
            </w:r>
          </w:p>
        </w:tc>
        <w:tc>
          <w:tcPr>
            <w:tcW w:w="1530"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投标有效期</w:t>
            </w:r>
          </w:p>
        </w:tc>
        <w:tc>
          <w:tcPr>
            <w:tcW w:w="7551" w:type="dxa"/>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投标有效期为开标后90天，</w:t>
            </w:r>
            <w:r>
              <w:rPr>
                <w:rFonts w:hint="eastAsia" w:ascii="宋体" w:hAnsi="宋体" w:eastAsia="宋体" w:cs="宋体"/>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40"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5</w:t>
            </w:r>
          </w:p>
        </w:tc>
        <w:tc>
          <w:tcPr>
            <w:tcW w:w="1530"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投标文件递交</w:t>
            </w:r>
          </w:p>
        </w:tc>
        <w:tc>
          <w:tcPr>
            <w:tcW w:w="7551" w:type="dxa"/>
            <w:vAlign w:val="center"/>
          </w:tcPr>
          <w:p>
            <w:pPr>
              <w:spacing w:line="24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截止时间：</w:t>
            </w:r>
            <w:r>
              <w:rPr>
                <w:rFonts w:hint="eastAsia" w:ascii="宋体" w:hAnsi="宋体" w:eastAsia="宋体" w:cs="宋体"/>
                <w:b w:val="0"/>
                <w:bCs w:val="0"/>
                <w:color w:val="auto"/>
                <w:sz w:val="24"/>
                <w:szCs w:val="32"/>
                <w:highlight w:val="none"/>
                <w:lang w:eastAsia="zh-CN"/>
              </w:rPr>
              <w:t>北京时间</w:t>
            </w:r>
            <w:r>
              <w:rPr>
                <w:rFonts w:hint="eastAsia" w:ascii="宋体" w:hAnsi="宋体" w:cs="宋体"/>
                <w:color w:val="auto"/>
                <w:sz w:val="24"/>
                <w:szCs w:val="32"/>
                <w:highlight w:val="none"/>
                <w:lang w:eastAsia="zh-CN"/>
              </w:rPr>
              <w:t>2021年11月16日下午14:00</w:t>
            </w:r>
            <w:r>
              <w:rPr>
                <w:rFonts w:hint="eastAsia" w:ascii="宋体" w:hAnsi="宋体" w:eastAsia="宋体" w:cs="宋体"/>
                <w:color w:val="auto"/>
                <w:sz w:val="24"/>
                <w:szCs w:val="32"/>
                <w:highlight w:val="none"/>
                <w:lang w:eastAsia="zh-CN"/>
              </w:rPr>
              <w:t>整</w:t>
            </w:r>
          </w:p>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投标供应商应当在投标</w:t>
            </w:r>
            <w:bookmarkStart w:id="9" w:name="_GoBack"/>
            <w:bookmarkEnd w:id="9"/>
            <w:r>
              <w:rPr>
                <w:rFonts w:hint="eastAsia" w:ascii="宋体" w:hAnsi="宋体" w:eastAsia="宋体" w:cs="宋体"/>
                <w:color w:val="auto"/>
                <w:sz w:val="24"/>
                <w:highlight w:val="none"/>
              </w:rPr>
              <w:t>截止时间前将生成的“电子加密投标文件”上传递交至“政府采购云平台”，并在开标当日投标截止时间前提交纸质备份投标文件。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40"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6</w:t>
            </w:r>
          </w:p>
        </w:tc>
        <w:tc>
          <w:tcPr>
            <w:tcW w:w="1530"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开标时间及地点</w:t>
            </w:r>
          </w:p>
        </w:tc>
        <w:tc>
          <w:tcPr>
            <w:tcW w:w="7551" w:type="dxa"/>
            <w:vAlign w:val="center"/>
          </w:tcPr>
          <w:p>
            <w:pPr>
              <w:spacing w:line="24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时间：</w:t>
            </w:r>
            <w:r>
              <w:rPr>
                <w:rFonts w:hint="eastAsia" w:ascii="宋体" w:hAnsi="宋体" w:eastAsia="宋体" w:cs="宋体"/>
                <w:b w:val="0"/>
                <w:bCs w:val="0"/>
                <w:color w:val="auto"/>
                <w:sz w:val="24"/>
                <w:szCs w:val="32"/>
                <w:highlight w:val="none"/>
                <w:lang w:eastAsia="zh-CN"/>
              </w:rPr>
              <w:t>北京时间</w:t>
            </w:r>
            <w:r>
              <w:rPr>
                <w:rFonts w:hint="eastAsia" w:ascii="宋体" w:hAnsi="宋体" w:cs="宋体"/>
                <w:color w:val="auto"/>
                <w:sz w:val="24"/>
                <w:szCs w:val="32"/>
                <w:highlight w:val="none"/>
                <w:lang w:eastAsia="zh-CN"/>
              </w:rPr>
              <w:t>2021年11月16日下午14:00</w:t>
            </w:r>
            <w:r>
              <w:rPr>
                <w:rFonts w:hint="eastAsia" w:ascii="宋体" w:hAnsi="宋体" w:eastAsia="宋体" w:cs="宋体"/>
                <w:color w:val="auto"/>
                <w:sz w:val="24"/>
                <w:szCs w:val="32"/>
                <w:highlight w:val="none"/>
                <w:lang w:eastAsia="zh-CN"/>
              </w:rPr>
              <w:t>整</w:t>
            </w:r>
          </w:p>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地点：</w:t>
            </w:r>
            <w:r>
              <w:rPr>
                <w:rFonts w:hint="eastAsia" w:ascii="宋体" w:hAnsi="宋体" w:cs="宋体"/>
                <w:color w:val="auto"/>
                <w:sz w:val="24"/>
                <w:szCs w:val="24"/>
                <w:highlight w:val="none"/>
              </w:rPr>
              <w:t>台州市路桥区财富大道</w:t>
            </w:r>
            <w:r>
              <w:rPr>
                <w:rFonts w:ascii="宋体" w:hAnsi="宋体" w:cs="宋体"/>
                <w:color w:val="auto"/>
                <w:sz w:val="24"/>
                <w:szCs w:val="24"/>
                <w:highlight w:val="none"/>
              </w:rPr>
              <w:t>999</w:t>
            </w:r>
            <w:r>
              <w:rPr>
                <w:rFonts w:hint="eastAsia" w:ascii="宋体" w:hAnsi="宋体" w:cs="宋体"/>
                <w:color w:val="auto"/>
                <w:sz w:val="24"/>
                <w:szCs w:val="24"/>
                <w:highlight w:val="none"/>
              </w:rPr>
              <w:t>号区政府商城办公区（商城国际）五楼政府采购中心开标室（一）</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7</w:t>
            </w:r>
          </w:p>
        </w:tc>
        <w:tc>
          <w:tcPr>
            <w:tcW w:w="1530"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履约保证金</w:t>
            </w:r>
          </w:p>
        </w:tc>
        <w:tc>
          <w:tcPr>
            <w:tcW w:w="7551" w:type="dxa"/>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供应商在收到中标通知书后须向采购单位交纳本项目合同金额的5%作为履约保证金，履约保证金在质保满后7个工作日内无息退还。（履约保证金可采用保函、担保能形式）</w:t>
            </w:r>
            <w:r>
              <w:rPr>
                <w:rFonts w:hint="eastAsia" w:ascii="宋体" w:hAnsi="宋体" w:cs="宋体"/>
                <w:color w:val="auto"/>
                <w:sz w:val="24"/>
                <w:szCs w:val="32"/>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8</w:t>
            </w:r>
          </w:p>
        </w:tc>
        <w:tc>
          <w:tcPr>
            <w:tcW w:w="1530" w:type="dxa"/>
            <w:vAlign w:val="center"/>
          </w:tcPr>
          <w:p>
            <w:pPr>
              <w:autoSpaceDE w:val="0"/>
              <w:autoSpaceDN w:val="0"/>
              <w:adjustRightIn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rPr>
              <w:t>实质性条款</w:t>
            </w:r>
          </w:p>
        </w:tc>
        <w:tc>
          <w:tcPr>
            <w:tcW w:w="7551" w:type="dxa"/>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rPr>
              <w:t>带“</w:t>
            </w:r>
            <w:r>
              <w:rPr>
                <w:rFonts w:hint="eastAsia" w:ascii="宋体" w:hAnsi="宋体" w:eastAsia="宋体" w:cs="宋体"/>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9</w:t>
            </w:r>
          </w:p>
        </w:tc>
        <w:tc>
          <w:tcPr>
            <w:tcW w:w="1530"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样品</w:t>
            </w:r>
            <w:r>
              <w:rPr>
                <w:rFonts w:hint="eastAsia" w:ascii="宋体" w:hAnsi="宋体" w:eastAsia="宋体" w:cs="宋体"/>
                <w:color w:val="auto"/>
                <w:sz w:val="24"/>
                <w:highlight w:val="none"/>
                <w:lang w:val="en-US" w:eastAsia="zh-CN"/>
              </w:rPr>
              <w:t>及演示</w:t>
            </w:r>
          </w:p>
        </w:tc>
        <w:tc>
          <w:tcPr>
            <w:tcW w:w="7551" w:type="dxa"/>
            <w:vAlign w:val="center"/>
          </w:tcPr>
          <w:p>
            <w:pPr>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eastAsia="zh-CN"/>
              </w:rPr>
              <w:t>标段一要求演示，无原型系统演示或演示不符合业务实际不得分；标段二无演示要求。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0</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节能环保</w:t>
            </w:r>
          </w:p>
        </w:tc>
        <w:tc>
          <w:tcPr>
            <w:tcW w:w="755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其他</w:t>
            </w: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1、各供应商自行在浙江政府采购网下载或查阅采购文件和相关更正公告等，不另行通知，如有遗漏采购人、采购代理机构概不负责。</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2、两家或两家以上供应商提供的投标文件出自同一终端设备的，或在相同Internet主机分配地址（相同IP地址）报名或网上投标的，后果由供应商自行承担。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2</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解释权</w:t>
            </w:r>
          </w:p>
        </w:tc>
        <w:tc>
          <w:tcPr>
            <w:tcW w:w="755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本招标文件解释权属于采购人和</w:t>
            </w:r>
            <w:r>
              <w:rPr>
                <w:rFonts w:hint="eastAsia" w:ascii="宋体" w:hAnsi="宋体" w:cs="宋体"/>
                <w:color w:val="auto"/>
                <w:sz w:val="24"/>
                <w:highlight w:val="none"/>
                <w:lang w:eastAsia="zh-CN"/>
              </w:rPr>
              <w:t>浙江五石中正工程咨询有限公司</w:t>
            </w:r>
            <w:r>
              <w:rPr>
                <w:rFonts w:hint="eastAsia" w:ascii="宋体" w:hAnsi="宋体" w:eastAsia="宋体" w:cs="宋体"/>
                <w:color w:val="auto"/>
                <w:sz w:val="24"/>
                <w:highlight w:val="none"/>
              </w:rPr>
              <w:t>。</w:t>
            </w:r>
          </w:p>
        </w:tc>
      </w:tr>
    </w:tbl>
    <w:p>
      <w:pPr>
        <w:bidi w:val="0"/>
        <w:spacing w:line="360" w:lineRule="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一 、总  则</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（一） 适用范围</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本招标文件适用于本次项目的招标、投标、评标、定标、验收、合同履约、付款等行为（法律、法规另有规定的，从其规定）。</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（二）定义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w:t>
      </w:r>
      <w:r>
        <w:rPr>
          <w:rFonts w:hint="eastAsia" w:ascii="宋体" w:hAnsi="宋体" w:eastAsia="宋体" w:cs="宋体"/>
          <w:b w:val="0"/>
          <w:bCs w:val="0"/>
          <w:color w:val="auto"/>
          <w:sz w:val="24"/>
          <w:szCs w:val="32"/>
          <w:highlight w:val="none"/>
          <w:lang w:val="zh-CN" w:eastAsia="zh-CN"/>
        </w:rPr>
        <w:t>“采购组织机构”指采购人委托组织招标的采购代理机构。</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2、采购人：是指委托采购代理机构采购本次项目的国家机关、事业单位和团体组织。</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3、投标人：是指向采购</w:t>
      </w:r>
      <w:r>
        <w:rPr>
          <w:rFonts w:hint="eastAsia" w:ascii="宋体" w:hAnsi="宋体" w:eastAsia="宋体" w:cs="宋体"/>
          <w:b w:val="0"/>
          <w:bCs w:val="0"/>
          <w:color w:val="auto"/>
          <w:sz w:val="24"/>
          <w:szCs w:val="32"/>
          <w:highlight w:val="none"/>
          <w:lang w:val="zh-CN" w:eastAsia="zh-CN"/>
        </w:rPr>
        <w:t>组织</w:t>
      </w:r>
      <w:r>
        <w:rPr>
          <w:rFonts w:hint="eastAsia" w:ascii="宋体" w:hAnsi="宋体" w:eastAsia="宋体" w:cs="宋体"/>
          <w:b w:val="0"/>
          <w:bCs w:val="0"/>
          <w:color w:val="auto"/>
          <w:sz w:val="24"/>
          <w:szCs w:val="32"/>
          <w:highlight w:val="none"/>
          <w:lang w:eastAsia="zh-CN"/>
        </w:rPr>
        <w:t>机构提交投标文件的单位或个人。</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4、货物：是指各种形态和种类的物品，包括原材料、燃料、设备、产品等。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5、服务：是指除货物和工程以外的政府采购对象，包括各类专业服务、信息网络开发服务、金融保险服务、运输服务，以及维修与维护服务等。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6、“书面形式”包括信函、传真等。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7、“▲”系指实质性要求条款。</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（三）投标费用</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不论投标结果如何，投标人均应自行承担所有与投标有关的全部费用（招标文件有相关规定除外）。</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（四）特别说明</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eastAsia="宋体" w:cs="宋体"/>
          <w:b w:val="0"/>
          <w:bCs w:val="0"/>
          <w:color w:val="auto"/>
          <w:sz w:val="24"/>
          <w:szCs w:val="32"/>
          <w:highlight w:val="none"/>
          <w:lang w:eastAsia="zh-CN"/>
        </w:rPr>
        <w:tab/>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eastAsia="zh-CN"/>
        </w:rPr>
        <w:t>、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eastAsia="zh-CN"/>
        </w:rPr>
        <w:t>、投标人不得相互串通投标报价，不得妨碍其他投标人的公平竞争，不得损害采购人或其他投标人的合法权益，投标人不得以向采购人、评标委员会成员行贿或者采取其他不正当手段谋取中标。</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en-US" w:eastAsia="zh-CN"/>
        </w:rPr>
        <w:t>4</w:t>
      </w:r>
      <w:r>
        <w:rPr>
          <w:rFonts w:hint="eastAsia" w:ascii="宋体" w:hAnsi="宋体" w:eastAsia="宋体" w:cs="宋体"/>
          <w:b w:val="0"/>
          <w:bCs w:val="0"/>
          <w:color w:val="auto"/>
          <w:sz w:val="24"/>
          <w:szCs w:val="32"/>
          <w:highlight w:val="none"/>
          <w:lang w:eastAsia="zh-CN"/>
        </w:rPr>
        <w:t>、为采购项目提供整体设计、规范编制或者项目管理、监理、检测等服务的供应商，不得再参加该采购项目的其他采购活动。</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en-US" w:eastAsia="zh-CN"/>
        </w:rPr>
        <w:t>5</w:t>
      </w:r>
      <w:r>
        <w:rPr>
          <w:rFonts w:hint="eastAsia" w:ascii="宋体" w:hAnsi="宋体" w:eastAsia="宋体" w:cs="宋体"/>
          <w:b w:val="0"/>
          <w:bCs w:val="0"/>
          <w:color w:val="auto"/>
          <w:sz w:val="24"/>
          <w:szCs w:val="32"/>
          <w:highlight w:val="none"/>
          <w:lang w:eastAsia="zh-CN"/>
        </w:rPr>
        <w:t>、投标文件格式中的表格式样可以根据项目差别做适当调整，但应当保持表格样式基本形态不变。</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en-US" w:eastAsia="zh-CN"/>
        </w:rPr>
        <w:t>6</w:t>
      </w:r>
      <w:r>
        <w:rPr>
          <w:rFonts w:hint="eastAsia" w:ascii="宋体" w:hAnsi="宋体" w:eastAsia="宋体" w:cs="宋体"/>
          <w:b w:val="0"/>
          <w:bCs w:val="0"/>
          <w:color w:val="auto"/>
          <w:sz w:val="24"/>
          <w:szCs w:val="32"/>
          <w:highlight w:val="none"/>
          <w:lang w:eastAsia="zh-CN"/>
        </w:rPr>
        <w:t>、单位负责人为同一人或者存在直接控股、管理关系的不同供应商，不得参加同一合同项下的政府采购活动。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color w:val="auto"/>
          <w:sz w:val="24"/>
          <w:highlight w:val="none"/>
          <w:lang w:val="en-US" w:eastAsia="zh-CN"/>
        </w:rPr>
        <w:t>7、本项目不允许分包、转让。</w:t>
      </w:r>
    </w:p>
    <w:p>
      <w:pPr>
        <w:bidi w:val="0"/>
        <w:spacing w:line="360" w:lineRule="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二、招标文件</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（一）招标文件由招标文件总目录所列内容组成。</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（二）招标文件的澄清或修改</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2、投标人在规定的时间内未对招标文件提出疑问、质疑或要求澄清的，将视其为无异议。对招标文件中描述有歧义或前后不一致的地方，评标委员会有权进行评判，但对同一条款的评判应适用于每个投标人。</w:t>
      </w:r>
    </w:p>
    <w:p>
      <w:pPr>
        <w:bidi w:val="0"/>
        <w:spacing w:line="360" w:lineRule="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三、投标文件</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val="zh-CN" w:eastAsia="zh-CN"/>
        </w:rPr>
        <w:t>（一）</w:t>
      </w:r>
      <w:r>
        <w:rPr>
          <w:rFonts w:hint="eastAsia" w:ascii="宋体" w:hAnsi="宋体" w:eastAsia="宋体" w:cs="宋体"/>
          <w:b/>
          <w:bCs/>
          <w:color w:val="auto"/>
          <w:sz w:val="24"/>
          <w:szCs w:val="32"/>
          <w:highlight w:val="none"/>
          <w:lang w:eastAsia="zh-CN"/>
        </w:rPr>
        <w:t>投标文件的组成</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eastAsia="zh-CN"/>
        </w:rPr>
        <w:t>投标人接到招标文件后，按照采购组织机构的要求提供：资格证明文件、商务与技术文件和报价文件。</w:t>
      </w:r>
      <w:r>
        <w:rPr>
          <w:rFonts w:hint="eastAsia" w:ascii="宋体" w:hAnsi="宋体" w:eastAsia="宋体" w:cs="宋体"/>
          <w:color w:val="auto"/>
          <w:sz w:val="24"/>
          <w:szCs w:val="32"/>
          <w:highlight w:val="none"/>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1、资格证明文件的组成：</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val="en-US" w:eastAsia="zh-CN"/>
        </w:rPr>
        <w:t>1</w:t>
      </w:r>
      <w:r>
        <w:rPr>
          <w:rFonts w:hint="eastAsia" w:ascii="宋体" w:hAnsi="宋体" w:eastAsia="宋体" w:cs="宋体"/>
          <w:b w:val="0"/>
          <w:bCs w:val="0"/>
          <w:color w:val="auto"/>
          <w:sz w:val="24"/>
          <w:szCs w:val="32"/>
          <w:highlight w:val="none"/>
          <w:lang w:eastAsia="zh-CN"/>
        </w:rPr>
        <w:t>）投标声明书；</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eastAsia="zh-CN"/>
        </w:rPr>
        <w:t>）授权委托书（法定代表人亲自办理投标事宜的，则无需提交）；</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eastAsia="zh-CN"/>
        </w:rPr>
        <w:t>）法人或者其他组织的营业执照等证明文件，自然人的身份证明；</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val="en-US" w:eastAsia="zh-CN"/>
        </w:rPr>
        <w:t>4</w:t>
      </w:r>
      <w:r>
        <w:rPr>
          <w:rFonts w:hint="eastAsia" w:ascii="宋体" w:hAnsi="宋体" w:eastAsia="宋体" w:cs="宋体"/>
          <w:b w:val="0"/>
          <w:bCs w:val="0"/>
          <w:color w:val="auto"/>
          <w:sz w:val="24"/>
          <w:szCs w:val="32"/>
          <w:highlight w:val="none"/>
          <w:lang w:eastAsia="zh-CN"/>
        </w:rPr>
        <w:t>）财务状况报告，依法缴纳税收和社会保障资金的相关材料；</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val="en-US" w:eastAsia="zh-CN"/>
        </w:rPr>
        <w:t>5</w:t>
      </w:r>
      <w:r>
        <w:rPr>
          <w:rFonts w:hint="eastAsia" w:ascii="宋体" w:hAnsi="宋体" w:eastAsia="宋体" w:cs="宋体"/>
          <w:b w:val="0"/>
          <w:bCs w:val="0"/>
          <w:color w:val="auto"/>
          <w:sz w:val="24"/>
          <w:szCs w:val="32"/>
          <w:highlight w:val="none"/>
          <w:lang w:eastAsia="zh-CN"/>
        </w:rPr>
        <w:t>）具备履行合同所必需的设备和专业技术能力的证明材料（根据项目性质提供）；</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val="en-US" w:eastAsia="zh-CN"/>
        </w:rPr>
        <w:t>6</w:t>
      </w:r>
      <w:r>
        <w:rPr>
          <w:rFonts w:hint="eastAsia" w:ascii="宋体" w:hAnsi="宋体" w:eastAsia="宋体" w:cs="宋体"/>
          <w:b w:val="0"/>
          <w:bCs w:val="0"/>
          <w:color w:val="auto"/>
          <w:sz w:val="24"/>
          <w:szCs w:val="32"/>
          <w:highlight w:val="none"/>
          <w:lang w:eastAsia="zh-CN"/>
        </w:rPr>
        <w:t>）提供采购公告中符合供应商特定条件的有效资质证书复印件（投标供应商特定条件中有要求的必须提供），以及需要说明的其他资料。</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2、商务与技术文件的组成：</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（1）投标人情况介绍（人员与技术力量、经营业绩等）。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（2）投标方案描述：</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B.项目组织实施方案（包括项目工期、确保项目供货的措施或方案、项目实施进度安排、项目实施人员及项目负责人的资质、类似经验及社保证明等）。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C.安装、调试及验收方案（包括项目验收标准和验收方法等）和措施；</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（3）投标产品描述及相关资料：</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A.设备配置清单</w:t>
      </w:r>
      <w:r>
        <w:rPr>
          <w:rFonts w:hint="eastAsia" w:ascii="宋体" w:hAnsi="宋体" w:eastAsia="宋体" w:cs="宋体"/>
          <w:b/>
          <w:bCs/>
          <w:color w:val="auto"/>
          <w:sz w:val="24"/>
          <w:szCs w:val="32"/>
          <w:highlight w:val="none"/>
          <w:lang w:eastAsia="zh-CN"/>
        </w:rPr>
        <w:t>（均不含报价）</w:t>
      </w:r>
      <w:r>
        <w:rPr>
          <w:rFonts w:hint="eastAsia" w:ascii="宋体" w:hAnsi="宋体" w:eastAsia="宋体" w:cs="宋体"/>
          <w:b w:val="0"/>
          <w:bCs w:val="0"/>
          <w:color w:val="auto"/>
          <w:sz w:val="24"/>
          <w:szCs w:val="32"/>
          <w:highlight w:val="none"/>
          <w:lang w:eastAsia="zh-CN"/>
        </w:rPr>
        <w:t>。</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B.产品品牌及型号、技术参数指标、性能特点、图片资料以及所遵循的技术规范、产品质保期、出厂标准、产品质量相关检测报告等内容。</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C.商务及技术响应表。</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【特别提示：节能和环境标志产品最新一期政府采购清单，可在“中国政府采购网”中查看】</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（4）投标人通过的质量管理和质量保证体系、环保体系、自主创新相关证书、软件著作权证等等与本项目相关的认证证书或文件；</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（5）近三年来类似项目的成功案例；</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eastAsia="zh-CN"/>
        </w:rPr>
        <w:t>（6）投标人认为需要提供的其他资料（包括可能影响投标人商务与技术文件评分的各类证明材料）。</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（7）售后服务描述及承诺：</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A.距采购人最近的服务网点详细介绍（包括地理位置、资质资格、技术力量、工作业绩、服务内容及联系电话等）。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B.针对本项目的售后服务措施及承诺（售后技术服务方案、人员配备、故障响应时间、技术培训方案等）。</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3、报价文件的组成</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eastAsia="zh-CN"/>
        </w:rPr>
        <w:t>）</w:t>
      </w:r>
      <w:r>
        <w:rPr>
          <w:rFonts w:hint="eastAsia" w:ascii="宋体" w:hAnsi="宋体" w:eastAsia="宋体" w:cs="宋体"/>
          <w:color w:val="auto"/>
          <w:sz w:val="24"/>
          <w:szCs w:val="32"/>
          <w:highlight w:val="none"/>
        </w:rPr>
        <w:t>报价文件由开标一览表、报价明细表、</w:t>
      </w:r>
      <w:r>
        <w:rPr>
          <w:rFonts w:hint="eastAsia" w:ascii="宋体" w:hAnsi="宋体" w:eastAsia="宋体" w:cs="宋体"/>
          <w:color w:val="auto"/>
          <w:sz w:val="24"/>
          <w:szCs w:val="32"/>
          <w:highlight w:val="none"/>
          <w:lang w:val="en-US" w:eastAsia="zh-CN"/>
        </w:rPr>
        <w:t>中小企业等</w:t>
      </w:r>
      <w:r>
        <w:rPr>
          <w:rFonts w:hint="eastAsia" w:ascii="宋体" w:hAnsi="宋体" w:eastAsia="宋体" w:cs="宋体"/>
          <w:color w:val="auto"/>
          <w:sz w:val="24"/>
          <w:szCs w:val="32"/>
          <w:highlight w:val="none"/>
        </w:rPr>
        <w:t>声明函（不符合</w:t>
      </w:r>
      <w:r>
        <w:rPr>
          <w:rFonts w:hint="eastAsia" w:ascii="宋体" w:hAnsi="宋体" w:eastAsia="宋体" w:cs="宋体"/>
          <w:color w:val="auto"/>
          <w:sz w:val="24"/>
          <w:szCs w:val="32"/>
          <w:highlight w:val="none"/>
          <w:lang w:val="en-US" w:eastAsia="zh-CN"/>
        </w:rPr>
        <w:t>中小</w:t>
      </w:r>
      <w:r>
        <w:rPr>
          <w:rFonts w:hint="eastAsia" w:ascii="宋体" w:hAnsi="宋体" w:eastAsia="宋体" w:cs="宋体"/>
          <w:color w:val="auto"/>
          <w:sz w:val="24"/>
          <w:szCs w:val="32"/>
          <w:highlight w:val="none"/>
        </w:rPr>
        <w:t>企业要求的无需提供</w:t>
      </w:r>
      <w:r>
        <w:rPr>
          <w:rFonts w:hint="eastAsia" w:ascii="宋体" w:hAnsi="宋体" w:eastAsia="宋体" w:cs="宋体"/>
          <w:color w:val="auto"/>
          <w:sz w:val="24"/>
          <w:szCs w:val="32"/>
          <w:highlight w:val="none"/>
          <w:lang w:eastAsia="zh-CN"/>
        </w:rPr>
        <w:t>）</w:t>
      </w:r>
      <w:r>
        <w:rPr>
          <w:rFonts w:hint="eastAsia" w:ascii="宋体" w:hAnsi="宋体" w:eastAsia="宋体" w:cs="宋体"/>
          <w:color w:val="auto"/>
          <w:sz w:val="24"/>
          <w:szCs w:val="32"/>
          <w:highlight w:val="none"/>
        </w:rPr>
        <w:t>以及投标人认为其他需要说明的内容组成。</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（2）此报价为投标人一次性报出唯一的最终价格，包含其它一切所要涉及到的费用，有选择的报价将被拒绝。</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eastAsia="zh-CN"/>
        </w:rPr>
        <w:t>3</w:t>
      </w:r>
      <w:r>
        <w:rPr>
          <w:rFonts w:hint="eastAsia" w:ascii="宋体" w:hAnsi="宋体" w:eastAsia="宋体" w:cs="宋体"/>
          <w:b w:val="0"/>
          <w:bCs w:val="0"/>
          <w:color w:val="auto"/>
          <w:sz w:val="24"/>
          <w:szCs w:val="32"/>
          <w:highlight w:val="none"/>
          <w:lang w:val="zh-CN" w:eastAsia="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4</w:t>
      </w: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政府采购优惠政策相关资料（如有</w:t>
      </w:r>
      <w:r>
        <w:rPr>
          <w:rFonts w:hint="eastAsia" w:ascii="宋体" w:hAnsi="宋体" w:eastAsia="宋体" w:cs="宋体"/>
          <w:color w:val="auto"/>
          <w:sz w:val="24"/>
          <w:szCs w:val="32"/>
          <w:highlight w:val="none"/>
          <w:lang w:eastAsia="zh-CN"/>
        </w:rPr>
        <w:t>）</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（5）相关报价单需打印或用不退色的墨水填写， 投标报价单不得涂改和增删，如有错漏必须修改，修改处须由同一签署人签字或盖章。由于字迹模糊或表达不清引起的后果由投标人负责。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（6）投标报价应按招标文件中相关附表格式填写。</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（二）投标文件的制作及递交要求</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1、投标文件的制作要求</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（1）投标人应按照投标文件组成内容及项目招标需求制作投标文件，不按招标文件要求制作投标文件的将视情处理（拒收、扣分等），由此产生的责任由投标人自行承担。</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eastAsia="zh-CN"/>
        </w:rPr>
        <w:t>（2）投标人应对所提供的全部资料的真实性承担法律责任，</w:t>
      </w:r>
      <w:r>
        <w:rPr>
          <w:rFonts w:hint="eastAsia" w:ascii="宋体" w:hAnsi="宋体" w:eastAsia="宋体" w:cs="宋体"/>
          <w:b w:val="0"/>
          <w:bCs w:val="0"/>
          <w:color w:val="auto"/>
          <w:sz w:val="24"/>
          <w:szCs w:val="32"/>
          <w:highlight w:val="none"/>
          <w:lang w:val="zh-CN" w:eastAsia="zh-CN"/>
        </w:rPr>
        <w:t>投标文件内容中有要求盖章或签字的地方，必须加盖投标人的公章以及法定代表人或授权委托代理人盖章或签字。</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eastAsia="zh-CN"/>
        </w:rPr>
        <w:t>3</w:t>
      </w:r>
      <w:r>
        <w:rPr>
          <w:rFonts w:hint="eastAsia" w:ascii="宋体" w:hAnsi="宋体" w:eastAsia="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eastAsia="zh-CN"/>
        </w:rPr>
        <w:t>投标文件以及投标人与采购组织机构就有关投标事宜的所有来往函电，均应以中文汉语书写。除签字、盖章、专用名称等特殊情形外，以中文汉语以外的文字表述的投标文件视同未提供。</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（4）投标计量单位，招标文件已有明确规定的，使用招标文件规定的计量单位；招标文件没有规定的，应采用中华人民共和国法定计量单位（货币单位：人民币元）。</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（5）若投标人不按招标文件的要求提供资格审查材料，其风险由投标人自行承担。</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（6）与本次投标无关的内容请不要制作在内，确保投标文件有针对性、简洁明了。</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①投标文件的编制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本项目实行电子投标，</w:t>
      </w:r>
      <w:r>
        <w:rPr>
          <w:rFonts w:hint="eastAsia" w:ascii="宋体" w:hAnsi="宋体" w:eastAsia="宋体" w:cs="宋体"/>
          <w:color w:val="auto"/>
          <w:sz w:val="24"/>
          <w:highlight w:val="none"/>
        </w:rPr>
        <w:t>供应商应准备电子投标文件、以介质（U盘）存储的数据电文形式的备份投标文件、纸质备份投标文件三类</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rPr>
        <w:t>（1）按政采云平台项目采购--电子招投标操作指南及本招标文件要求编制。</w:t>
      </w:r>
      <w:r>
        <w:rPr>
          <w:rFonts w:hint="eastAsia" w:ascii="宋体" w:hAnsi="宋体" w:eastAsia="宋体" w:cs="宋体"/>
          <w:color w:val="auto"/>
          <w:sz w:val="24"/>
          <w:szCs w:val="32"/>
          <w:highlight w:val="none"/>
          <w:lang w:val="en-GB"/>
        </w:rPr>
        <w:t>投标人应通过“政采云电子交易客户端”，并按照本招标文件和“政府采购云平台”的要求编制并加密投标文件。</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1.</w:t>
      </w: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GB"/>
        </w:rPr>
        <w:t>投标人应当按照本章节 “投标文件组成”规定的内容及顺序在“政采云电子交易客户端”编制投标文件。其中《</w:t>
      </w:r>
      <w:r>
        <w:rPr>
          <w:rFonts w:hint="eastAsia" w:ascii="宋体" w:hAnsi="宋体" w:eastAsia="宋体" w:cs="宋体"/>
          <w:color w:val="auto"/>
          <w:sz w:val="24"/>
          <w:szCs w:val="32"/>
          <w:highlight w:val="none"/>
        </w:rPr>
        <w:t>资格证明文件</w:t>
      </w:r>
      <w:r>
        <w:rPr>
          <w:rFonts w:hint="eastAsia" w:ascii="宋体" w:hAnsi="宋体" w:eastAsia="宋体" w:cs="宋体"/>
          <w:color w:val="auto"/>
          <w:sz w:val="24"/>
          <w:szCs w:val="32"/>
          <w:highlight w:val="none"/>
          <w:lang w:val="en-GB"/>
        </w:rPr>
        <w:t>》和《</w:t>
      </w:r>
      <w:r>
        <w:rPr>
          <w:rFonts w:hint="eastAsia" w:ascii="宋体" w:hAnsi="宋体" w:eastAsia="宋体" w:cs="宋体"/>
          <w:color w:val="auto"/>
          <w:sz w:val="24"/>
          <w:szCs w:val="32"/>
          <w:highlight w:val="none"/>
        </w:rPr>
        <w:t>商务技术文件</w:t>
      </w:r>
      <w:r>
        <w:rPr>
          <w:rFonts w:hint="eastAsia" w:ascii="宋体" w:hAnsi="宋体" w:eastAsia="宋体" w:cs="宋体"/>
          <w:color w:val="auto"/>
          <w:sz w:val="24"/>
          <w:szCs w:val="32"/>
          <w:highlight w:val="none"/>
          <w:lang w:val="en-GB"/>
        </w:rPr>
        <w:t>》中不得出现本项目投标报价，如因投标人原因提前泄露投标报价，是投标人的责任。</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zh-CN"/>
        </w:rPr>
        <w:t>1.</w:t>
      </w:r>
      <w:r>
        <w:rPr>
          <w:rFonts w:hint="eastAsia" w:ascii="宋体" w:hAnsi="宋体" w:eastAsia="宋体" w:cs="宋体"/>
          <w:color w:val="auto"/>
          <w:sz w:val="24"/>
          <w:szCs w:val="32"/>
          <w:highlight w:val="none"/>
          <w:lang w:val="en-GB"/>
        </w:rPr>
        <w:t>2</w:t>
      </w:r>
      <w:r>
        <w:rPr>
          <w:rFonts w:hint="eastAsia" w:ascii="宋体" w:hAnsi="宋体" w:eastAsia="宋体" w:cs="宋体"/>
          <w:color w:val="auto"/>
          <w:sz w:val="24"/>
          <w:szCs w:val="32"/>
          <w:highlight w:val="none"/>
          <w:lang w:val="zh-CN"/>
        </w:rPr>
        <w:t>投标文件分为</w:t>
      </w:r>
      <w:r>
        <w:rPr>
          <w:rFonts w:hint="eastAsia" w:ascii="宋体" w:hAnsi="宋体" w:eastAsia="宋体" w:cs="宋体"/>
          <w:color w:val="auto"/>
          <w:sz w:val="24"/>
          <w:szCs w:val="32"/>
          <w:highlight w:val="none"/>
          <w:lang w:val="en-GB"/>
        </w:rPr>
        <w:t>资格证明文件、商务技术文件、报价文件三部分</w:t>
      </w:r>
      <w:r>
        <w:rPr>
          <w:rFonts w:hint="eastAsia" w:ascii="宋体" w:hAnsi="宋体" w:eastAsia="宋体" w:cs="宋体"/>
          <w:color w:val="auto"/>
          <w:sz w:val="24"/>
          <w:szCs w:val="32"/>
          <w:highlight w:val="none"/>
          <w:lang w:val="zh-CN"/>
        </w:rPr>
        <w:t>。各投标人在编制投标文件时请按照采购文件第六章规定的格式进行，</w:t>
      </w:r>
      <w:r>
        <w:rPr>
          <w:rFonts w:hint="eastAsia" w:ascii="宋体" w:hAnsi="宋体" w:eastAsia="宋体" w:cs="宋体"/>
          <w:color w:val="auto"/>
          <w:sz w:val="24"/>
          <w:szCs w:val="32"/>
          <w:highlight w:val="none"/>
          <w:lang w:val="en-GB"/>
        </w:rPr>
        <w:t>并按格式要求在指定位置根据要求进行签章，否则视为未提供，未提供格式的，请各投标人自行拟定格式，并加盖单位公章并由法定代表人或其</w:t>
      </w:r>
      <w:r>
        <w:rPr>
          <w:rFonts w:hint="eastAsia" w:ascii="宋体" w:hAnsi="宋体" w:cs="宋体"/>
          <w:color w:val="auto"/>
          <w:sz w:val="24"/>
          <w:szCs w:val="32"/>
          <w:highlight w:val="none"/>
          <w:lang w:val="en-GB" w:eastAsia="zh-CN"/>
        </w:rPr>
        <w:t>授权委托代理人</w:t>
      </w:r>
      <w:r>
        <w:rPr>
          <w:rFonts w:hint="eastAsia" w:ascii="宋体" w:hAnsi="宋体" w:eastAsia="宋体" w:cs="宋体"/>
          <w:color w:val="auto"/>
          <w:sz w:val="24"/>
          <w:szCs w:val="32"/>
          <w:highlight w:val="none"/>
          <w:lang w:val="en-GB"/>
        </w:rPr>
        <w:t>签署（签字或盖章），否则视为未提供。</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1.3《投标文件》内容不完整、</w:t>
      </w:r>
      <w:r>
        <w:rPr>
          <w:rFonts w:hint="eastAsia" w:ascii="宋体" w:hAnsi="宋体" w:eastAsia="宋体" w:cs="宋体"/>
          <w:color w:val="auto"/>
          <w:sz w:val="24"/>
          <w:szCs w:val="32"/>
          <w:highlight w:val="none"/>
          <w:lang w:val="zh-CN"/>
        </w:rPr>
        <w:t>混乱的编排导致投标文件被误读或评标委员会查找不到有效文件是投标人的责任。</w:t>
      </w:r>
      <w:r>
        <w:rPr>
          <w:rFonts w:hint="eastAsia" w:ascii="宋体" w:hAnsi="宋体" w:eastAsia="宋体" w:cs="宋体"/>
          <w:color w:val="auto"/>
          <w:sz w:val="24"/>
          <w:szCs w:val="32"/>
          <w:highlight w:val="none"/>
          <w:lang w:val="en-GB"/>
        </w:rPr>
        <w:t>《投标文件》因字迹潦草或表达不清所引起的后果由投标人负责，▲投标文件未按规定的格式编制的，投标无效。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（2）以介质</w:t>
      </w:r>
      <w:r>
        <w:rPr>
          <w:rFonts w:hint="eastAsia" w:ascii="宋体" w:hAnsi="宋体" w:eastAsia="宋体" w:cs="宋体"/>
          <w:color w:val="auto"/>
          <w:sz w:val="24"/>
          <w:highlight w:val="none"/>
        </w:rPr>
        <w:t>（U盘）</w:t>
      </w:r>
      <w:r>
        <w:rPr>
          <w:rFonts w:hint="eastAsia" w:ascii="宋体" w:hAnsi="宋体" w:eastAsia="宋体" w:cs="宋体"/>
          <w:color w:val="auto"/>
          <w:sz w:val="24"/>
          <w:szCs w:val="32"/>
          <w:highlight w:val="none"/>
        </w:rPr>
        <w:t>存储的数据电文形式的备份投标文件，按政采云平台项目采购-电子招投标操作指南中上传的电子投标文件格式，以U盘形式提供。数量为1份。</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（3）纸质备份投标文件以纸质文件的形式编制，按</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分别编制并单独装订成册，</w:t>
      </w:r>
      <w:r>
        <w:rPr>
          <w:rFonts w:hint="eastAsia" w:ascii="宋体" w:hAnsi="宋体" w:eastAsia="宋体" w:cs="宋体"/>
          <w:b/>
          <w:bCs/>
          <w:color w:val="auto"/>
          <w:sz w:val="24"/>
          <w:highlight w:val="none"/>
        </w:rPr>
        <w:t>数量均为2份（一正一副）</w:t>
      </w:r>
      <w:r>
        <w:rPr>
          <w:rFonts w:hint="eastAsia" w:ascii="宋体" w:hAnsi="宋体" w:eastAsia="宋体" w:cs="宋体"/>
          <w:color w:val="auto"/>
          <w:sz w:val="24"/>
          <w:szCs w:val="32"/>
          <w:highlight w:val="none"/>
        </w:rPr>
        <w:t>。</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须分别密封封装，</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未分别密封的投标文件将为无效。除报价文件外其余一律不准出现数字报价。如有不同标段，请按标段号分别装订，密封要求同上。</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Ⅰ电子投标文件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电子投标文件如内容不完整、编排混乱导致投标文件被误读、漏读，或者在按采购文件规定的部位查找不到相关内容的，由投标人自行承担。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2.温馨提醒：CA签章上目前没有法人或</w:t>
      </w:r>
      <w:r>
        <w:rPr>
          <w:rFonts w:hint="eastAsia" w:ascii="宋体" w:hAnsi="宋体" w:cs="宋体"/>
          <w:color w:val="auto"/>
          <w:sz w:val="24"/>
          <w:szCs w:val="32"/>
          <w:highlight w:val="none"/>
          <w:lang w:eastAsia="zh-CN"/>
        </w:rPr>
        <w:t>授权委托代理人</w:t>
      </w:r>
      <w:r>
        <w:rPr>
          <w:rFonts w:hint="eastAsia" w:ascii="宋体" w:hAnsi="宋体" w:eastAsia="宋体" w:cs="宋体"/>
          <w:color w:val="auto"/>
          <w:sz w:val="24"/>
          <w:szCs w:val="32"/>
          <w:highlight w:val="none"/>
        </w:rPr>
        <w:t>签字信息，需要投标人联系</w:t>
      </w:r>
      <w:r>
        <w:rPr>
          <w:rFonts w:hint="eastAsia" w:ascii="宋体" w:hAnsi="宋体" w:eastAsia="宋体" w:cs="宋体"/>
          <w:b/>
          <w:bCs/>
          <w:color w:val="auto"/>
          <w:sz w:val="24"/>
          <w:szCs w:val="32"/>
          <w:highlight w:val="none"/>
        </w:rPr>
        <w:t>浙江杭州汇信科技有限公司（400-8884636）</w:t>
      </w:r>
      <w:r>
        <w:rPr>
          <w:rFonts w:hint="eastAsia" w:ascii="宋体" w:hAnsi="宋体" w:eastAsia="宋体" w:cs="宋体"/>
          <w:color w:val="auto"/>
          <w:sz w:val="24"/>
          <w:szCs w:val="32"/>
          <w:highlight w:val="none"/>
        </w:rPr>
        <w:t>等相应公司进行办理，或在投标文件中涉及到签字的位置线下签好字然后扫描或者拍照做成PDF的格式亦可。</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w:t>
      </w:r>
      <w:r>
        <w:rPr>
          <w:rFonts w:hint="eastAsia" w:ascii="宋体" w:hAnsi="宋体" w:eastAsia="宋体" w:cs="宋体"/>
          <w:b/>
          <w:bCs/>
          <w:color w:val="auto"/>
          <w:sz w:val="24"/>
          <w:szCs w:val="32"/>
          <w:highlight w:val="none"/>
        </w:rPr>
        <w:t>以介质（U盘）存储的数据电文形式的备份投标文件</w:t>
      </w:r>
      <w:r>
        <w:rPr>
          <w:rFonts w:hint="eastAsia" w:ascii="宋体" w:hAnsi="宋体" w:eastAsia="宋体" w:cs="宋体"/>
          <w:color w:val="auto"/>
          <w:sz w:val="24"/>
          <w:szCs w:val="32"/>
          <w:highlight w:val="none"/>
        </w:rPr>
        <w:t>，按政采云平台项目采购-电子招投标操作指南中上传的电子投标文件格式，以U盘形式提供。数量为1份。</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Ⅱ纸质备份投标文件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1.所有纸质投标资料应按投标文件的组成所列内容及顺序装订成册，</w:t>
      </w:r>
      <w:r>
        <w:rPr>
          <w:rFonts w:hint="eastAsia" w:ascii="宋体" w:hAnsi="宋体" w:eastAsia="宋体" w:cs="宋体"/>
          <w:color w:val="auto"/>
          <w:sz w:val="24"/>
          <w:szCs w:val="32"/>
          <w:highlight w:val="none"/>
          <w:lang w:val="zh-CN"/>
        </w:rPr>
        <w:t>并逐页连续标注页码。因投标文件内容不完整、编排混乱导致投标文件被误读、漏读或者查找不到相关内容的责任由投标人自行承担。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2.投标人应按</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分别编制并单独装订成册，活页装订的投标文件将被拒绝。投标文件需打印或用不褪色的墨水填写。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3.投标人应按</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分别密封封装纸质备份投标文件。</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eastAsia="宋体" w:cs="宋体"/>
          <w:color w:val="auto"/>
          <w:sz w:val="24"/>
          <w:szCs w:val="32"/>
          <w:highlight w:val="none"/>
          <w:lang w:val="zh-CN"/>
        </w:rPr>
        <w:t>资格证明文件、商务技术文件、报价文件</w:t>
      </w:r>
      <w:r>
        <w:rPr>
          <w:rFonts w:hint="eastAsia" w:ascii="宋体" w:hAnsi="宋体" w:eastAsia="宋体" w:cs="宋体"/>
          <w:color w:val="auto"/>
          <w:sz w:val="24"/>
          <w:szCs w:val="32"/>
          <w:highlight w:val="none"/>
        </w:rPr>
        <w:t>）”、“开标时启封”字样，未按上述要求密封及加写标记，采购组织机构对投标文件的误投和提前启封不负责任。</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4.项目如分标段，各标段投标文件必须分开编制，并按上述份数要求单独密封包装。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w:t>
      </w:r>
      <w:r>
        <w:rPr>
          <w:rFonts w:hint="eastAsia" w:ascii="宋体" w:hAnsi="宋体" w:eastAsia="宋体" w:cs="宋体"/>
          <w:color w:val="auto"/>
          <w:sz w:val="24"/>
          <w:szCs w:val="32"/>
          <w:highlight w:val="none"/>
          <w:lang w:val="zh-CN"/>
        </w:rPr>
        <w:t>因密封不严、标记不明而造成失密、拒收、过早启封等情况，采购组织机构概不负责。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相关原件在投标文件递交截止时间前递交，逾期将不予接收（原件放置在档案袋中，可不用密封）。原件仅作为核查复印件真实性之用，如仅提供了原件，投标文件中未提供复印件，不予认定投标文件中具备该份资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6.投标人在投标截止时间之前，可以对已提交的纸质备份投标文件进行修改或撤回，但应以书面形式通知招标人，书面形式应加盖投标人公章或由</w:t>
      </w:r>
      <w:r>
        <w:rPr>
          <w:rFonts w:hint="eastAsia" w:ascii="宋体" w:hAnsi="宋体" w:eastAsia="宋体" w:cs="宋体"/>
          <w:color w:val="auto"/>
          <w:sz w:val="24"/>
          <w:szCs w:val="32"/>
          <w:highlight w:val="none"/>
          <w:lang w:val="zh-CN" w:eastAsia="zh-CN"/>
        </w:rPr>
        <w:t>法定代表人或授权委托</w:t>
      </w:r>
      <w:r>
        <w:rPr>
          <w:rFonts w:hint="eastAsia" w:ascii="宋体" w:hAnsi="宋体" w:eastAsia="宋体" w:cs="宋体"/>
          <w:color w:val="auto"/>
          <w:sz w:val="24"/>
          <w:szCs w:val="32"/>
          <w:highlight w:val="none"/>
          <w:lang w:val="en-US" w:eastAsia="zh-CN"/>
        </w:rPr>
        <w:t>代理</w:t>
      </w:r>
      <w:r>
        <w:rPr>
          <w:rFonts w:hint="eastAsia" w:ascii="宋体" w:hAnsi="宋体" w:eastAsia="宋体" w:cs="宋体"/>
          <w:color w:val="auto"/>
          <w:sz w:val="24"/>
          <w:szCs w:val="32"/>
          <w:highlight w:val="none"/>
          <w:lang w:val="zh-CN" w:eastAsia="zh-CN"/>
        </w:rPr>
        <w:t>人（签字</w:t>
      </w:r>
      <w:r>
        <w:rPr>
          <w:rFonts w:hint="eastAsia" w:ascii="宋体" w:hAnsi="宋体" w:eastAsia="宋体" w:cs="宋体"/>
          <w:color w:val="auto"/>
          <w:sz w:val="24"/>
          <w:szCs w:val="32"/>
          <w:highlight w:val="none"/>
          <w:lang w:val="en-US" w:eastAsia="zh-CN"/>
        </w:rPr>
        <w:t>或盖章</w:t>
      </w:r>
      <w:r>
        <w:rPr>
          <w:rFonts w:hint="eastAsia" w:ascii="宋体" w:hAnsi="宋体" w:eastAsia="宋体" w:cs="宋体"/>
          <w:color w:val="auto"/>
          <w:sz w:val="24"/>
          <w:szCs w:val="32"/>
          <w:highlight w:val="none"/>
          <w:lang w:val="zh-CN" w:eastAsia="zh-CN"/>
        </w:rPr>
        <w:t>）</w:t>
      </w:r>
      <w:r>
        <w:rPr>
          <w:rFonts w:hint="eastAsia" w:ascii="宋体" w:hAnsi="宋体" w:eastAsia="宋体" w:cs="宋体"/>
          <w:color w:val="auto"/>
          <w:sz w:val="24"/>
          <w:szCs w:val="32"/>
          <w:highlight w:val="none"/>
        </w:rPr>
        <w:t>。投标截止时间后，投标人不得撤回、修改投标文件。修改后重新递交的投标文件应当按本招标文件的要求签署、盖章和密封。</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7.纸质备份投标文件须由投标人在规定位置盖章并由法定代表人签署或盖章，投标人应写全称。纸质备份投标文件未按照招标文件要求签署、盖章的，其投标无效。</w:t>
      </w:r>
    </w:p>
    <w:p>
      <w:pPr>
        <w:spacing w:line="360" w:lineRule="auto"/>
        <w:ind w:firstLine="480" w:firstLineChars="200"/>
        <w:rPr>
          <w:rFonts w:hint="eastAsia" w:ascii="宋体" w:hAnsi="宋体" w:eastAsia="宋体" w:cs="宋体"/>
          <w:b/>
          <w:bCs/>
          <w:color w:val="auto"/>
          <w:sz w:val="24"/>
          <w:szCs w:val="32"/>
          <w:highlight w:val="none"/>
        </w:rPr>
      </w:pPr>
      <w:r>
        <w:rPr>
          <w:rFonts w:hint="eastAsia" w:ascii="宋体" w:hAnsi="宋体" w:eastAsia="宋体" w:cs="宋体"/>
          <w:color w:val="auto"/>
          <w:sz w:val="24"/>
          <w:szCs w:val="32"/>
          <w:highlight w:val="none"/>
        </w:rPr>
        <w:t>8.纸质备份投标文件不得涂改，若有修改错漏处，须加盖单位公章或法定代表人或</w:t>
      </w:r>
      <w:r>
        <w:rPr>
          <w:rFonts w:hint="eastAsia" w:ascii="宋体" w:hAnsi="宋体" w:cs="宋体"/>
          <w:color w:val="auto"/>
          <w:sz w:val="24"/>
          <w:szCs w:val="32"/>
          <w:highlight w:val="none"/>
          <w:lang w:eastAsia="zh-CN"/>
        </w:rPr>
        <w:t>授权委托代理人</w:t>
      </w:r>
      <w:r>
        <w:rPr>
          <w:rFonts w:hint="eastAsia" w:ascii="宋体" w:hAnsi="宋体" w:eastAsia="宋体" w:cs="宋体"/>
          <w:color w:val="auto"/>
          <w:sz w:val="24"/>
          <w:szCs w:val="32"/>
          <w:highlight w:val="none"/>
        </w:rPr>
        <w:t>签字或盖章。投标文件因字迹潦草或表达不清所引起的后果由投标人负责。</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2、投标文件的递交要求</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w:t>
      </w: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GB"/>
        </w:rPr>
        <w:t>）“投标文件”的上传、递交：见《前附表》。▲未传输递交电子投标文件的，投标无效。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（2）以介质</w:t>
      </w:r>
      <w:r>
        <w:rPr>
          <w:rFonts w:hint="eastAsia" w:ascii="宋体" w:hAnsi="宋体" w:eastAsia="宋体" w:cs="宋体"/>
          <w:color w:val="auto"/>
          <w:sz w:val="24"/>
          <w:highlight w:val="none"/>
        </w:rPr>
        <w:t>（U盘）</w:t>
      </w:r>
      <w:r>
        <w:rPr>
          <w:rFonts w:hint="eastAsia" w:ascii="宋体" w:hAnsi="宋体" w:eastAsia="宋体" w:cs="宋体"/>
          <w:color w:val="auto"/>
          <w:sz w:val="24"/>
          <w:szCs w:val="32"/>
          <w:highlight w:val="none"/>
        </w:rPr>
        <w:t>存储的数据电文形式的备份投标文件和纸质备份投标文件必须在规定时间前送达或邮寄至</w:t>
      </w:r>
      <w:r>
        <w:rPr>
          <w:rFonts w:hint="eastAsia" w:ascii="宋体" w:hAnsi="宋体" w:eastAsia="宋体" w:cs="宋体"/>
          <w:color w:val="auto"/>
          <w:sz w:val="24"/>
          <w:highlight w:val="none"/>
          <w:lang w:val="en-GB"/>
        </w:rPr>
        <w:t>公告规定的</w:t>
      </w:r>
      <w:r>
        <w:rPr>
          <w:rFonts w:hint="eastAsia" w:ascii="宋体" w:hAnsi="宋体" w:eastAsia="宋体" w:cs="宋体"/>
          <w:color w:val="auto"/>
          <w:sz w:val="24"/>
          <w:szCs w:val="32"/>
          <w:highlight w:val="none"/>
        </w:rPr>
        <w:t>地点。备份投标文件在截止时间后提交，采购组织机构将拒绝接收。</w:t>
      </w:r>
      <w:r>
        <w:rPr>
          <w:rFonts w:hint="eastAsia" w:ascii="宋体" w:hAnsi="宋体" w:eastAsia="宋体" w:cs="宋体"/>
          <w:color w:val="auto"/>
          <w:sz w:val="24"/>
          <w:highlight w:val="none"/>
          <w:lang w:val="en-GB"/>
        </w:rPr>
        <w:t>▲未按规定提供相应的备份投标文件，造成项目开评标活动无法进行下去的，投标无效。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（3）如有特殊情况，采购组织机构延长截止时间和开标时间，采购组织机构和投标人的权利和义务将受到新的截止时间和开标时间的约束。</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w:t>
      </w:r>
      <w:r>
        <w:rPr>
          <w:rFonts w:hint="eastAsia" w:ascii="宋体" w:hAnsi="宋体" w:eastAsia="宋体" w:cs="宋体"/>
          <w:color w:val="auto"/>
          <w:sz w:val="24"/>
          <w:szCs w:val="32"/>
          <w:highlight w:val="none"/>
        </w:rPr>
        <w:t>4</w:t>
      </w:r>
      <w:r>
        <w:rPr>
          <w:rFonts w:hint="eastAsia" w:ascii="宋体" w:hAnsi="宋体" w:eastAsia="宋体" w:cs="宋体"/>
          <w:color w:val="auto"/>
          <w:sz w:val="24"/>
          <w:szCs w:val="32"/>
          <w:highlight w:val="none"/>
          <w:lang w:val="en-GB"/>
        </w:rPr>
        <w:t>）投标文件的备选方案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en-GB"/>
        </w:rPr>
        <w:t>投标人不得递交任何的投标备选（替代）方案，否则其投标文件将作无效标处理。与“电子加密投标文件”同时生成的“备份投标文件”不是投标备选（替代）方案。</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（三）投标文件的有效期</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GB"/>
        </w:rPr>
        <w:t>自投标截止日起90天投标文件应保持有效。有效期不足的投标文件将被拒绝。</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rPr>
        <w:t>2.</w:t>
      </w:r>
      <w:r>
        <w:rPr>
          <w:rFonts w:hint="eastAsia" w:ascii="宋体" w:hAnsi="宋体" w:eastAsia="宋体" w:cs="宋体"/>
          <w:color w:val="auto"/>
          <w:sz w:val="24"/>
          <w:szCs w:val="32"/>
          <w:highlight w:val="none"/>
          <w:lang w:val="en-GB"/>
        </w:rPr>
        <w:t>在特殊情况下，采购人可与投标人协商延长投标文件的有效期，这种要求和答复均以书面形式进行。</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3.中标人的投标文件自开标之日起至合同履行完毕均应保持有效。</w:t>
      </w:r>
    </w:p>
    <w:p>
      <w:pPr>
        <w:spacing w:line="360" w:lineRule="auto"/>
        <w:rPr>
          <w:rFonts w:hint="eastAsia" w:ascii="宋体" w:hAnsi="宋体" w:eastAsia="宋体" w:cs="宋体"/>
          <w:color w:val="auto"/>
          <w:sz w:val="24"/>
          <w:szCs w:val="32"/>
          <w:highlight w:val="none"/>
        </w:rPr>
      </w:pPr>
      <w:r>
        <w:rPr>
          <w:rFonts w:hint="eastAsia" w:ascii="宋体" w:hAnsi="宋体" w:eastAsia="宋体" w:cs="宋体"/>
          <w:b/>
          <w:color w:val="auto"/>
          <w:kern w:val="0"/>
          <w:sz w:val="24"/>
          <w:highlight w:val="none"/>
        </w:rPr>
        <w:t>四、</w:t>
      </w:r>
      <w:r>
        <w:rPr>
          <w:rFonts w:hint="eastAsia" w:ascii="宋体" w:hAnsi="宋体" w:eastAsia="宋体" w:cs="宋体"/>
          <w:b/>
          <w:bCs/>
          <w:color w:val="auto"/>
          <w:sz w:val="24"/>
          <w:szCs w:val="32"/>
          <w:highlight w:val="none"/>
        </w:rPr>
        <w:t>开标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（一）开标事项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采购组织机构在“招标公告”规定的时间和地点公开开标，本次招标采用先评审商务资格和技术服务方案，后公开并评审报价的办法实施。</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（1）电子交易平台发生故障而无法登录访问的； </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（2）电子交易平台应用或数据库出现错误，不能进行正常操作的；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（3）电子交易平台发现严重安全漏洞，有潜在泄密危险的；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（4）病毒导致不能进行正常操作的；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（5）其他无法保证电子交易的公平、公正和安全的情况。</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（二） 开标程序：</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1、开标会由招标项目负责人主持，主持人宣布开标会议开始；</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2、主持人介绍参加开标会的人员名单； </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3、主持人宣布评标期间的有关事项，告知应当回避的情形</w:t>
      </w:r>
      <w:r>
        <w:rPr>
          <w:rFonts w:hint="eastAsia" w:ascii="宋体" w:hAnsi="宋体" w:eastAsia="宋体" w:cs="宋体"/>
          <w:color w:val="auto"/>
          <w:sz w:val="24"/>
          <w:szCs w:val="32"/>
          <w:highlight w:val="none"/>
          <w:lang w:eastAsia="zh-CN"/>
        </w:rPr>
        <w:t>，</w:t>
      </w:r>
      <w:r>
        <w:rPr>
          <w:rFonts w:hint="eastAsia" w:ascii="宋体" w:hAnsi="宋体" w:eastAsia="宋体" w:cs="宋体"/>
          <w:color w:val="auto"/>
          <w:sz w:val="24"/>
          <w:szCs w:val="32"/>
          <w:highlight w:val="none"/>
        </w:rPr>
        <w:t>提请有关人员回避；对投标人进行签到验证。</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5、采购组织机构点击【开启标书信息】，开启标书成功后进入开标流程。</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w:t>
      </w:r>
      <w:r>
        <w:rPr>
          <w:rFonts w:hint="eastAsia" w:ascii="宋体" w:hAnsi="宋体" w:eastAsia="宋体" w:cs="宋体"/>
          <w:color w:val="auto"/>
          <w:sz w:val="24"/>
          <w:szCs w:val="32"/>
          <w:highlight w:val="none"/>
          <w:lang w:val="zh-CN"/>
        </w:rPr>
        <w:t>资格证明文件和商务技术文件</w:t>
      </w:r>
      <w:r>
        <w:rPr>
          <w:rFonts w:hint="eastAsia" w:ascii="宋体" w:hAnsi="宋体" w:eastAsia="宋体" w:cs="宋体"/>
          <w:color w:val="auto"/>
          <w:sz w:val="24"/>
          <w:szCs w:val="32"/>
          <w:highlight w:val="none"/>
        </w:rPr>
        <w:t>评审；</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7、由主持人公布无效投标的投标人名单、投标无效的原因及其他有效投标的评分汇总分；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8、开启报价响应文件：采购代理机构成功开启报价响应文件后，方可查看各供应商报价情况。</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9、报价文件评审；</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10、由主持人公布无效投标的投标人名单、投标无效的原因及其他有效投标的报价文件得分；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11、宣布综合得分结果及中标候选人名单；</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12、开标会议结束。</w:t>
      </w:r>
    </w:p>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五、评标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（一）组建评标委员会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评标委员会由采购人代表和评审专家组成，成员人数为5人以上单数，其中评审专家不得少于成员总数的三分之二。</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（二）评标程序</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1、资格审查</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2、符合性审查</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3、综合比较与评价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（3）评标时，评标委员会各成员应当独立对每个投标人的投标文件进行评价，并汇总每个投标人的得分。</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4、得分确认及评审报告编写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（1）评标委员会对报价文件进行复核，对于系统计算出的价格分及总得分进行确认；</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（3）评标委员会按评标原则及得分情况编写评审报告。</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5、评价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采购组织机构对评标委员会评审专家进行评价。</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（三）澄清问题的形式</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（四）错误修正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投标文件报价出现前后不一致的，除招标文件另有规定外，按照下列规定修正：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1、投标文件中开标一览表（报价表）内容与投标文件中相应内容不一致的，以开标一览表（报价表）为准；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2、大写金额和小写金额不一致的，以大写金额为准；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3、单价金额小数点或者百分比有明显错位的，以开标一览表的总价为准，并修改单价；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4、总价金额与按单价汇总金额不一致的，以单价金额计算结果为准。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（五）投标人存在下列情况之一的，投标无效：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1、电子投标文件及纸质备份投标文件在指定页面无法定代表人盖章或签字、未在指定页面盖公章、在指定页面无被授权人签字或未提供法定代表人授权委托书。</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w:t>
      </w:r>
      <w:r>
        <w:rPr>
          <w:rFonts w:hint="eastAsia" w:ascii="宋体" w:hAnsi="宋体" w:eastAsia="宋体" w:cs="宋体"/>
          <w:color w:val="auto"/>
          <w:sz w:val="24"/>
          <w:szCs w:val="32"/>
          <w:highlight w:val="none"/>
          <w:lang w:val="zh-CN"/>
        </w:rPr>
        <w:t>资格证明文件、商务技术文件</w:t>
      </w:r>
      <w:r>
        <w:rPr>
          <w:rFonts w:hint="eastAsia" w:ascii="宋体" w:hAnsi="宋体" w:eastAsia="宋体" w:cs="宋体"/>
          <w:color w:val="auto"/>
          <w:sz w:val="24"/>
          <w:szCs w:val="32"/>
          <w:highlight w:val="none"/>
        </w:rPr>
        <w:t>跟报价文件出现混装或在</w:t>
      </w:r>
      <w:r>
        <w:rPr>
          <w:rFonts w:hint="eastAsia" w:ascii="宋体" w:hAnsi="宋体" w:eastAsia="宋体" w:cs="宋体"/>
          <w:color w:val="auto"/>
          <w:sz w:val="24"/>
          <w:szCs w:val="32"/>
          <w:highlight w:val="none"/>
          <w:lang w:val="zh-CN"/>
        </w:rPr>
        <w:t>资格证明文件、商务技术文件</w:t>
      </w:r>
      <w:r>
        <w:rPr>
          <w:rFonts w:hint="eastAsia" w:ascii="宋体" w:hAnsi="宋体" w:eastAsia="宋体" w:cs="宋体"/>
          <w:color w:val="auto"/>
          <w:sz w:val="24"/>
          <w:szCs w:val="32"/>
          <w:highlight w:val="none"/>
        </w:rPr>
        <w:t>中出现投标报价的，或者报价文件中报价的货物跟</w:t>
      </w:r>
      <w:r>
        <w:rPr>
          <w:rFonts w:hint="eastAsia" w:ascii="宋体" w:hAnsi="宋体" w:eastAsia="宋体" w:cs="宋体"/>
          <w:color w:val="auto"/>
          <w:sz w:val="24"/>
          <w:szCs w:val="32"/>
          <w:highlight w:val="none"/>
          <w:lang w:val="zh-CN"/>
        </w:rPr>
        <w:t>资格证明文件、商务技术文件</w:t>
      </w:r>
      <w:r>
        <w:rPr>
          <w:rFonts w:hint="eastAsia" w:ascii="宋体" w:hAnsi="宋体" w:eastAsia="宋体" w:cs="宋体"/>
          <w:color w:val="auto"/>
          <w:sz w:val="24"/>
          <w:szCs w:val="32"/>
          <w:highlight w:val="none"/>
        </w:rPr>
        <w:t>中的投标货物出现重大偏差的。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3、不具备招标文件中规定的资格要求的。</w:t>
      </w:r>
      <w:r>
        <w:rPr>
          <w:rFonts w:hint="eastAsia" w:ascii="宋体" w:hAnsi="宋体" w:eastAsia="宋体" w:cs="宋体"/>
          <w:color w:val="auto"/>
          <w:sz w:val="24"/>
          <w:szCs w:val="32"/>
          <w:highlight w:val="none"/>
        </w:rPr>
        <w:tab/>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4、投标文件含有采购人不能接受的附加条件的。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5、授权委托代理人未能出具身份证明或与法定代表人</w:t>
      </w:r>
      <w:r>
        <w:rPr>
          <w:rFonts w:hint="eastAsia" w:ascii="宋体" w:hAnsi="宋体" w:cs="宋体"/>
          <w:color w:val="auto"/>
          <w:sz w:val="24"/>
          <w:szCs w:val="32"/>
          <w:highlight w:val="none"/>
          <w:lang w:eastAsia="zh-CN"/>
        </w:rPr>
        <w:t>授权委托代理人</w:t>
      </w:r>
      <w:r>
        <w:rPr>
          <w:rFonts w:hint="eastAsia" w:ascii="宋体" w:hAnsi="宋体" w:eastAsia="宋体" w:cs="宋体"/>
          <w:color w:val="auto"/>
          <w:sz w:val="24"/>
          <w:szCs w:val="32"/>
          <w:highlight w:val="none"/>
        </w:rPr>
        <w:t>身份不符的。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7、报价超过招标文件中规定的预算金额/最高限价。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8、投标参数未如实填写，完全复制粘贴招标参数的。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9、投标文件提供虚假材料的。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10、投标人的电子投标文件无法按时解密的。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11、不符合中华人民共和国财政部令第87号《政府采购货物和服务招标投标管理办法》第三十七条情形之一的，视为投标人串通投标，其投标无效，并移送采购监管部门：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（1）不同投标人的投标文件由同一单位或者个人编制；不同投标人的投标文件</w:t>
      </w:r>
      <w:r>
        <w:rPr>
          <w:rFonts w:hint="eastAsia" w:ascii="宋体" w:hAnsi="宋体" w:eastAsia="宋体" w:cs="宋体"/>
          <w:color w:val="auto"/>
          <w:sz w:val="24"/>
          <w:szCs w:val="32"/>
          <w:highlight w:val="none"/>
          <w:lang w:eastAsia="zh-CN"/>
        </w:rPr>
        <w:t>，</w:t>
      </w:r>
      <w:r>
        <w:rPr>
          <w:rFonts w:hint="eastAsia" w:ascii="宋体" w:hAnsi="宋体" w:eastAsia="宋体" w:cs="宋体"/>
          <w:color w:val="auto"/>
          <w:sz w:val="24"/>
          <w:szCs w:val="32"/>
          <w:highlight w:val="none"/>
        </w:rPr>
        <w:t>由同一台电脑编制；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（2）不同投标人委托同一单位或者个人办理投标事宜；</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（3）不同投标人的投标文件载明的项目管理成员或者联系人员为同一人；</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（4）不同投标人的投标文件异常一致或者投标报价呈规律性差异；</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（5）不同投标人的投标文件相互混装。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12、不符合法律、法规和招标文件中规定的其他实质性要求的（招标文件中打“▲”内容及被拒绝的条款）。</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13、未传输递交电子投标文件的或者未按规定提供相应的备份投标文件，造成项目开评标活动无法进行下去的。</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（六）有下列情况之一的，本次招标作为废标处理：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1、出现影响采购公正的违法、违规行为的；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2、评标委员会发现招标文件存在歧义、重大缺陷导致评标工作无法进行，或者招标文件内容违反国家有关强制性规定的； </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3、因重大变故，采购任务取消的；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4、法律、法规和招标文件规定的其他导致评标结果无效的。</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（七）评标原则和评标办法</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2、评标办法。具体评标内容及评分标准等详见《第三章 评标方法及评分标准》。</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（八）评标过程的监控</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六、定标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3、发出中标通知书。采购组织机构在发布中标结果的同时，向中标人发出中标通知书。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4、中标人在领取通知书之后，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bidi w:val="0"/>
        <w:spacing w:line="360" w:lineRule="auto"/>
        <w:ind w:firstLine="480" w:firstLineChars="200"/>
        <w:rPr>
          <w:rFonts w:hint="eastAsia" w:ascii="宋体" w:hAnsi="宋体" w:eastAsia="宋体" w:cs="宋体"/>
          <w:b w:val="0"/>
          <w:bCs w:val="0"/>
          <w:color w:val="auto"/>
          <w:sz w:val="24"/>
          <w:szCs w:val="32"/>
          <w:highlight w:val="none"/>
          <w:lang w:val="en-GB"/>
        </w:rPr>
      </w:pPr>
      <w:r>
        <w:rPr>
          <w:rFonts w:hint="eastAsia" w:ascii="宋体" w:hAnsi="宋体" w:eastAsia="宋体" w:cs="宋体"/>
          <w:b w:val="0"/>
          <w:bCs w:val="0"/>
          <w:color w:val="auto"/>
          <w:sz w:val="24"/>
          <w:szCs w:val="32"/>
          <w:highlight w:val="none"/>
          <w:lang w:val="en-GB"/>
        </w:rPr>
        <w:t>5、招标代理费：按照《国家发展改革委关于 进一步放开建设项目专业服务价格的通知》（发改价格2015 299号）执行，按照中标金额的1</w:t>
      </w: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val="en-GB"/>
        </w:rPr>
        <w:t>%向中标人收取招标代理费，该费用中标人须在中标公告发出5日内一次性付清。（户名：</w:t>
      </w:r>
      <w:r>
        <w:rPr>
          <w:rFonts w:hint="eastAsia" w:ascii="宋体" w:hAnsi="宋体" w:cs="宋体"/>
          <w:b w:val="0"/>
          <w:bCs w:val="0"/>
          <w:color w:val="auto"/>
          <w:sz w:val="24"/>
          <w:szCs w:val="32"/>
          <w:highlight w:val="none"/>
          <w:lang w:val="en-GB" w:eastAsia="zh-CN"/>
        </w:rPr>
        <w:t>浙江五石中正工程咨询有限公司</w:t>
      </w:r>
      <w:r>
        <w:rPr>
          <w:rFonts w:hint="eastAsia" w:ascii="宋体" w:hAnsi="宋体" w:eastAsia="宋体" w:cs="宋体"/>
          <w:b w:val="0"/>
          <w:bCs w:val="0"/>
          <w:color w:val="auto"/>
          <w:sz w:val="24"/>
          <w:szCs w:val="32"/>
          <w:highlight w:val="none"/>
          <w:lang w:val="en-GB"/>
        </w:rPr>
        <w:t>；账号：1202003209900014176；开户银行：中国工商银行杭州市潮王路支行）,财务联系电话：0571-88271625。</w:t>
      </w:r>
    </w:p>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七、合同签订及公告</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（一）签订合同</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1、采购人应当自中标通知书发出之日起10个工作日内，按照招标文件和中标人投标文件的规定，与中标人签订书面合同。所签订的合同不得对招标文件确定的事项和中标人投标文件作实质性修改。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2、采购人不得向中标人提出任何不合理的要求作为签订合同的条件。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3、中标供应商无故拖延、拒签合同的</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取消中标资格。</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（二）合同公告及备案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1、采购人应当自政府采购合同签订之日起2个工作日内，在省级以上财政部门指定的政府采购信息发布媒体及相关网站上公告。</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2、采购人应当自政府采购合同签订之日起7个工作日内，将政府采购合同副本报同级人民政府财政部门备案以及采购组织机构存档。</w:t>
      </w: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pStyle w:val="2"/>
        <w:rPr>
          <w:rFonts w:hint="eastAsia"/>
          <w:color w:val="auto"/>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第三章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评标办法及评分标准</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一、采购组织机构将组织评标委员会，对投标人提供的投标文件进行综合评审。</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二、本次招标项目的评标方法为综合评分法，总计100分。</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（一）商务与技术文件中的客观分由评标委员会讨论后统一打分；其余在规定的分值内单独评定打分。</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（二）各投标人商务与技术文件得分按照评标委员会成员的独立评分结果汇总后的算术平均分计算，计算公式为：</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eastAsia="zh-CN"/>
        </w:rPr>
        <w:t>商务与技术文件得分</w:t>
      </w:r>
      <w:r>
        <w:rPr>
          <w:rFonts w:hint="eastAsia" w:ascii="宋体" w:hAnsi="宋体" w:eastAsia="宋体" w:cs="宋体"/>
          <w:b w:val="0"/>
          <w:bCs w:val="0"/>
          <w:color w:val="auto"/>
          <w:sz w:val="24"/>
          <w:szCs w:val="32"/>
          <w:highlight w:val="none"/>
          <w:lang w:val="zh-CN" w:eastAsia="zh-CN"/>
        </w:rPr>
        <w:t>=评标委员会所有成员评分合计数/评标委员会组成人员数。</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（三）投标报价得分采用低价优先法计算，即满足招标文件要求且投标价格最低的投标报价为评标基准价，其报价得满分。其他投标人的投标报价得分按下列公式计算：</w:t>
      </w:r>
    </w:p>
    <w:p>
      <w:pPr>
        <w:bidi w:val="0"/>
        <w:spacing w:line="360" w:lineRule="auto"/>
        <w:ind w:firstLine="480" w:firstLineChars="200"/>
        <w:rPr>
          <w:rFonts w:hint="eastAsia" w:ascii="宋体" w:hAnsi="宋体" w:eastAsia="宋体" w:cs="宋体"/>
          <w:b w:val="0"/>
          <w:bCs w:val="0"/>
          <w:color w:val="auto"/>
          <w:sz w:val="24"/>
          <w:szCs w:val="32"/>
          <w:highlight w:val="none"/>
          <w:u w:val="single"/>
          <w:lang w:eastAsia="zh-CN"/>
        </w:rPr>
      </w:pPr>
      <w:r>
        <w:rPr>
          <w:rFonts w:hint="eastAsia" w:ascii="宋体" w:hAnsi="宋体" w:eastAsia="宋体" w:cs="宋体"/>
          <w:b w:val="0"/>
          <w:bCs w:val="0"/>
          <w:color w:val="auto"/>
          <w:sz w:val="24"/>
          <w:szCs w:val="32"/>
          <w:highlight w:val="none"/>
          <w:u w:val="single"/>
          <w:lang w:eastAsia="zh-CN"/>
        </w:rPr>
        <w:t>投标报价得分=（评标基准价／投标报价）×</w:t>
      </w:r>
      <w:r>
        <w:rPr>
          <w:rFonts w:hint="eastAsia" w:ascii="宋体" w:hAnsi="宋体" w:cs="宋体"/>
          <w:b w:val="0"/>
          <w:bCs w:val="0"/>
          <w:color w:val="auto"/>
          <w:sz w:val="24"/>
          <w:szCs w:val="32"/>
          <w:highlight w:val="none"/>
          <w:u w:val="single"/>
          <w:lang w:val="en-US" w:eastAsia="zh-CN"/>
        </w:rPr>
        <w:t>20</w:t>
      </w:r>
      <w:r>
        <w:rPr>
          <w:rFonts w:hint="eastAsia" w:ascii="宋体" w:hAnsi="宋体" w:eastAsia="宋体" w:cs="宋体"/>
          <w:b w:val="0"/>
          <w:bCs w:val="0"/>
          <w:color w:val="auto"/>
          <w:sz w:val="24"/>
          <w:szCs w:val="32"/>
          <w:highlight w:val="none"/>
          <w:u w:val="single"/>
          <w:lang w:eastAsia="zh-CN"/>
        </w:rPr>
        <w:t>%×100 。</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（四）投标人综合得分＝资格证明文件、商务技术文件得分＋投标报价得分。</w:t>
      </w:r>
    </w:p>
    <w:p>
      <w:pPr>
        <w:spacing w:line="360" w:lineRule="auto"/>
        <w:ind w:firstLine="480" w:firstLineChars="200"/>
        <w:rPr>
          <w:rFonts w:hint="eastAsia" w:ascii="宋体" w:hAnsi="宋体" w:cs="宋体"/>
          <w:color w:val="auto"/>
          <w:sz w:val="24"/>
          <w:szCs w:val="32"/>
          <w:highlight w:val="none"/>
          <w:lang w:val="zh-CN"/>
        </w:rPr>
      </w:pPr>
      <w:r>
        <w:rPr>
          <w:rFonts w:hint="eastAsia" w:ascii="宋体" w:hAnsi="宋体" w:cs="宋体"/>
          <w:color w:val="auto"/>
          <w:sz w:val="24"/>
          <w:szCs w:val="32"/>
          <w:highlight w:val="none"/>
          <w:lang w:val="zh-CN"/>
        </w:rPr>
        <w:t>（五）政府采购政策及优惠：</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①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微企业报价给予 6%的扣除，用扣除后的价格参加评审。</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2%的扣除，用扣除后的价格参加评审。</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组成联合体或者接受分包的小微企业与联合体内其他企业、分包企业之间存在直接控股、管理关系的，不享受价格扣除优惠政策。</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以联合体形式参加政府采购活动，联合体各方均为中小企业的，联合体视同中小企业。其中，联合体各方均为小微企业的，联合体视同小微企业。</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投标文件中须同时出具《政府采购促进中小企业发展管理办法》【财库（2020）46号】规定的《中小企业声明函》，否则不得享受价格扣除。</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本项目对符合规定的小微企业（含小型企业）报价给予6% 的扣除。</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对符合规定的联合体或者大中型企业的报价给予2%的扣除。（不接受联合体投标的，本条不适用）。</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②根据《关于政府采购支持监狱企业发展有关问题的通知》（财库[2014]68号）的规定，供应商如为监狱企业且所投产品为小型或微型企业生产的，其投标报价扣除6%后参与评审。</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投标文件中须同时提供：供应商的省级以上监狱管理局、戒毒管理局(含新疆生产建设兵团)出具的属于监狱企业的证明文件，未提供完整证明材料的，投标报价不予扣减。</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享受政府采购支持政策的残疾人福利性单位应当同时满足以下条件：</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（一）安置的残疾人占本单位在职职工人数的比例不低于25%（含25%），并且安置的残疾人人数不少于10人（含10人）；</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（二）依法与安置的每位残疾人签订了一年以上（含一年）的劳动合同或服务协议；</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（三）为安置的每位残疾人按月足额缴纳了基本养老保险、基本医疗保险、失业保险、工伤保险和生育保险等社会保险费；</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（四）通过银行等金融机构向安置的每位残疾人，按月支付了不低于单位所在区县适用的经省级人民政府批准的月最低工资标准的工资；</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（五）提供本单位制造的货物、承担的工程或者服务（以下简称产品），或者提供其他残疾人福利性单位制造的货物（不包括使用非残疾人福利性单位注册商标的货物）。</w:t>
      </w:r>
    </w:p>
    <w:p>
      <w:pPr>
        <w:shd w:val="clear" w:color="auto" w:fill="auto"/>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hd w:val="clear" w:color="auto" w:fill="auto"/>
        <w:spacing w:line="360" w:lineRule="auto"/>
        <w:ind w:firstLine="480" w:firstLineChars="200"/>
        <w:rPr>
          <w:rFonts w:hint="eastAsia" w:ascii="宋体" w:hAnsi="宋体" w:cs="宋体"/>
          <w:color w:val="auto"/>
          <w:sz w:val="24"/>
          <w:szCs w:val="32"/>
          <w:highlight w:val="none"/>
          <w:lang w:val="zh-CN"/>
        </w:rPr>
      </w:pPr>
      <w:r>
        <w:rPr>
          <w:rFonts w:hint="eastAsia" w:ascii="宋体" w:hAnsi="宋体" w:eastAsia="宋体" w:cs="宋体"/>
          <w:color w:val="auto"/>
          <w:sz w:val="24"/>
          <w:szCs w:val="32"/>
          <w:highlight w:val="none"/>
          <w:lang w:val="zh-CN"/>
        </w:rPr>
        <w:t>注：得分以系统计算为准，保留2位小数</w:t>
      </w:r>
      <w:r>
        <w:rPr>
          <w:rFonts w:hint="eastAsia" w:ascii="宋体" w:hAnsi="宋体" w:cs="宋体"/>
          <w:color w:val="auto"/>
          <w:sz w:val="24"/>
          <w:szCs w:val="32"/>
          <w:highlight w:val="none"/>
          <w:lang w:val="zh-CN"/>
        </w:rPr>
        <w:t>。</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三、在最大限度地满足招标文件实质性要求前提下，评标委员会按照招标文件中规定的各项因素进行综合评审后，以评标总得分最高的投标人为中标候选人。</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四、如综合得分相同，投标报价低者为先；如综合得分且投标报价相同的，货物类采购项目以技术性能得分较高者为先，服务类采购项目以实力信誉及业绩得分较高者为先。</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五、提供相同品牌产品的不同投标人参加同一合同项下投标的，按一家供应商认定：</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（1）采用最低评标价法的采购项目，以其中通过资格审查、符合性审查且报价最低的参加评标；报价相同的，由评标委员会集体确定一个投标人参加评标，其他投标无效。</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六、本次评分具体分值细化条款如下：</w:t>
      </w:r>
    </w:p>
    <w:p>
      <w:pPr>
        <w:spacing w:line="360" w:lineRule="auto"/>
        <w:rPr>
          <w:rFonts w:hint="eastAsia" w:ascii="宋体" w:hAnsi="宋体" w:eastAsia="宋体" w:cs="宋体"/>
          <w:b/>
          <w:bCs/>
          <w:color w:val="auto"/>
          <w:sz w:val="24"/>
          <w:szCs w:val="32"/>
          <w:highlight w:val="none"/>
          <w:lang w:val="zh-CN" w:eastAsia="zh-CN"/>
        </w:rPr>
      </w:pPr>
      <w:r>
        <w:rPr>
          <w:rFonts w:hint="eastAsia" w:ascii="宋体" w:hAnsi="宋体" w:eastAsia="宋体" w:cs="宋体"/>
          <w:b/>
          <w:bCs/>
          <w:color w:val="auto"/>
          <w:sz w:val="24"/>
          <w:szCs w:val="32"/>
          <w:highlight w:val="none"/>
          <w:lang w:val="zh-CN" w:eastAsia="zh-CN"/>
        </w:rPr>
        <w:t>标段一</w:t>
      </w:r>
    </w:p>
    <w:tbl>
      <w:tblPr>
        <w:tblStyle w:val="27"/>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82"/>
        <w:gridCol w:w="6468"/>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28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评分内容</w:t>
            </w:r>
          </w:p>
        </w:tc>
        <w:tc>
          <w:tcPr>
            <w:tcW w:w="64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2"/>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评分标准</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vMerge w:val="restar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w:t>
            </w:r>
          </w:p>
        </w:tc>
        <w:tc>
          <w:tcPr>
            <w:tcW w:w="1282" w:type="dxa"/>
            <w:vMerge w:val="restar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技术性能</w:t>
            </w:r>
          </w:p>
        </w:tc>
        <w:tc>
          <w:tcPr>
            <w:tcW w:w="6468"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产品的技术性能，以及《偏离表》情况综合评分，全部满足招标文件要求得21分；★标注的重要指标若出现负偏差，每负偏离一项扣1.5分，其它非重要技术指标若出现负偏差，每负偏离一项扣1分，扣完为止。</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(技术指标中涉及提供图片、证书复印件的，若未按要求提供的，视为负偏离，按本项目评分规定执行）</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p>
        </w:tc>
        <w:tc>
          <w:tcPr>
            <w:tcW w:w="1282"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p>
        </w:tc>
        <w:tc>
          <w:tcPr>
            <w:tcW w:w="6468"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供的设计方案是否体现合理性、先进性、完整性和科学性：方案完整清晰阐述了整体设计思路，总体目标，总体架构，主要建设内容及预期成效得3-5分，方案内容相对完整并能对应阐述思路、目标等得1-2.9分，方案内容缺漏，阐述简略得0-0.9分。专家根据设计方案进行打分（0-5分）</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w:t>
            </w:r>
          </w:p>
        </w:tc>
        <w:tc>
          <w:tcPr>
            <w:tcW w:w="12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产品要求</w:t>
            </w:r>
          </w:p>
        </w:tc>
        <w:tc>
          <w:tcPr>
            <w:tcW w:w="6468"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音频厂商具有提绿色供应链评价证书，必须满足CEC 016-2017《绿色供应链评价技术规范 微型计算机、显示器》四星级评价要求，得2分</w:t>
            </w:r>
            <w:r>
              <w:rPr>
                <w:rFonts w:hint="eastAsia" w:ascii="宋体" w:hAnsi="宋体" w:eastAsia="宋体" w:cs="宋体"/>
                <w:color w:val="auto"/>
                <w:sz w:val="24"/>
                <w:szCs w:val="24"/>
                <w:highlight w:val="none"/>
                <w:lang w:eastAsia="zh-CN"/>
              </w:rPr>
              <w:t>。</w:t>
            </w:r>
          </w:p>
          <w:p>
            <w:pPr>
              <w:spacing w:line="24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所投音视频产品厂商具有覆盖范围含：音视频及智能灯光集成系统（数字会议、视频会议、分布式综合管理信息平台、中控矩阵、LED大屏及控制、智能灯光控制、专业音响）的五星级商品售后服务认证证书，厂家获得“音视频智能系统集成工程资质一级证书”</w:t>
            </w:r>
            <w:r>
              <w:rPr>
                <w:rFonts w:hint="eastAsia" w:ascii="宋体" w:hAnsi="宋体" w:cs="宋体"/>
                <w:color w:val="auto"/>
                <w:sz w:val="24"/>
                <w:szCs w:val="24"/>
                <w:highlight w:val="none"/>
                <w:lang w:val="en-US" w:eastAsia="zh-CN"/>
              </w:rPr>
              <w:t>或</w:t>
            </w:r>
            <w:r>
              <w:rPr>
                <w:rFonts w:hint="eastAsia" w:ascii="宋体" w:hAnsi="宋体" w:eastAsia="宋体" w:cs="宋体"/>
                <w:color w:val="auto"/>
                <w:sz w:val="24"/>
                <w:szCs w:val="24"/>
                <w:highlight w:val="none"/>
              </w:rPr>
              <w:t>“CMMI3软件能力成熟度集成模型认定”。</w:t>
            </w:r>
            <w:r>
              <w:rPr>
                <w:rFonts w:hint="eastAsia" w:ascii="宋体" w:hAnsi="宋体" w:cs="宋体"/>
                <w:color w:val="auto"/>
                <w:sz w:val="24"/>
                <w:szCs w:val="24"/>
                <w:highlight w:val="none"/>
                <w:lang w:val="en-US" w:eastAsia="zh-CN"/>
              </w:rPr>
              <w:t>每获得一个得2分，最高得4分。</w:t>
            </w:r>
          </w:p>
          <w:p>
            <w:pPr>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3、项目涉及的LED显示屏系统、扩声系统、会议系统、集中控制系统、分布式系统等系统核心设备为同一品牌，得2分</w:t>
            </w:r>
            <w:r>
              <w:rPr>
                <w:rFonts w:hint="eastAsia" w:ascii="宋体" w:hAnsi="宋体" w:eastAsia="宋体" w:cs="宋体"/>
                <w:color w:val="auto"/>
                <w:sz w:val="24"/>
                <w:szCs w:val="24"/>
                <w:highlight w:val="none"/>
                <w:lang w:eastAsia="zh-CN"/>
              </w:rPr>
              <w:t>。</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w:t>
            </w:r>
          </w:p>
        </w:tc>
        <w:tc>
          <w:tcPr>
            <w:tcW w:w="12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lang w:eastAsia="zh-CN"/>
              </w:rPr>
            </w:pPr>
            <w:r>
              <w:rPr>
                <w:rFonts w:hint="eastAsia" w:ascii="宋体" w:hAnsi="宋体" w:cs="宋体"/>
                <w:snapToGrid w:val="0"/>
                <w:color w:val="auto"/>
                <w:sz w:val="24"/>
                <w:szCs w:val="24"/>
                <w:highlight w:val="none"/>
                <w:lang w:val="en-US" w:eastAsia="zh-CN"/>
              </w:rPr>
              <w:t>证书</w:t>
            </w:r>
          </w:p>
        </w:tc>
        <w:tc>
          <w:tcPr>
            <w:tcW w:w="6468" w:type="dxa"/>
            <w:tcBorders>
              <w:top w:val="single" w:color="auto" w:sz="4" w:space="0"/>
              <w:left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根据投标单位具备信息系统安全等级保护三级（2分）、ITSS信息技术服务运行维护标准证书（2分）、 ISO27001信息安全管理体系证书（2分）、 ISO20000信息技术服务管理体系证书（2分）；共8分，少一份扣2分，扣完为止。</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4</w:t>
            </w:r>
          </w:p>
        </w:tc>
        <w:tc>
          <w:tcPr>
            <w:tcW w:w="12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业绩案例</w:t>
            </w:r>
          </w:p>
        </w:tc>
        <w:tc>
          <w:tcPr>
            <w:tcW w:w="6468"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投标单位2018年1月1日以来同类项目业绩情况。每提供一份合同一份得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分，最高</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分。（须提供合同复印件，合同以签订日期为准）</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5</w:t>
            </w:r>
          </w:p>
        </w:tc>
        <w:tc>
          <w:tcPr>
            <w:tcW w:w="12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人员力量</w:t>
            </w:r>
          </w:p>
        </w:tc>
        <w:tc>
          <w:tcPr>
            <w:tcW w:w="6468"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根据投标人拟派的项目负责人的专业素质、技术能力等酌情打分：项目负责人具备高级信息系统项目管理师证书、PMP证书、acp证书、CISP证书、智能化系统集成项目经理证书、OCP证书、RHCE证书的，</w:t>
            </w:r>
            <w:r>
              <w:rPr>
                <w:rFonts w:hint="eastAsia" w:ascii="宋体" w:hAnsi="宋体" w:cs="宋体"/>
                <w:color w:val="auto"/>
                <w:sz w:val="24"/>
                <w:szCs w:val="24"/>
                <w:highlight w:val="none"/>
                <w:lang w:val="en-US" w:eastAsia="zh-CN"/>
              </w:rPr>
              <w:t>每个得1分，最高</w:t>
            </w:r>
            <w:r>
              <w:rPr>
                <w:rFonts w:hint="eastAsia" w:ascii="宋体" w:hAnsi="宋体" w:eastAsia="宋体" w:cs="宋体"/>
                <w:color w:val="auto"/>
                <w:sz w:val="24"/>
                <w:szCs w:val="24"/>
                <w:highlight w:val="none"/>
              </w:rPr>
              <w:t>得6分；项目技术负责人具备PMP证书、CISP证书、HCIA证书、数据隐私解决方案工程师的，</w:t>
            </w:r>
            <w:r>
              <w:rPr>
                <w:rFonts w:hint="eastAsia" w:ascii="宋体" w:hAnsi="宋体" w:cs="宋体"/>
                <w:color w:val="auto"/>
                <w:sz w:val="24"/>
                <w:szCs w:val="24"/>
                <w:highlight w:val="none"/>
                <w:lang w:val="en-US" w:eastAsia="zh-CN"/>
              </w:rPr>
              <w:t>每个得1分，最高</w:t>
            </w:r>
            <w:r>
              <w:rPr>
                <w:rFonts w:hint="eastAsia" w:ascii="宋体" w:hAnsi="宋体" w:eastAsia="宋体" w:cs="宋体"/>
                <w:color w:val="auto"/>
                <w:sz w:val="24"/>
                <w:szCs w:val="24"/>
                <w:highlight w:val="none"/>
              </w:rPr>
              <w:t>得4分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(缺一份及以上的均不得分，需提供证书复印件以及社保明细证明并加盖公章）</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6</w:t>
            </w:r>
          </w:p>
        </w:tc>
        <w:tc>
          <w:tcPr>
            <w:tcW w:w="12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实施方案</w:t>
            </w:r>
          </w:p>
        </w:tc>
        <w:tc>
          <w:tcPr>
            <w:tcW w:w="6468"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根据投标人项目组织实施方案（包括现场勘察情况、实施思路、项目工期、确保项目供货和产品质量的措施或方案、项目实施进度安排等）的科学性、合理性等综合进行比较评分：</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优上2-4分，优中1-1.9分，优下0-0.9分，缺项不得分。</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vMerge w:val="restar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7</w:t>
            </w:r>
          </w:p>
        </w:tc>
        <w:tc>
          <w:tcPr>
            <w:tcW w:w="1282" w:type="dxa"/>
            <w:vMerge w:val="restar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售后服务</w:t>
            </w:r>
          </w:p>
        </w:tc>
        <w:tc>
          <w:tcPr>
            <w:tcW w:w="6468"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根据售后服务方案情况、人员配备、本地售后服务网点数量（需提供营业执照）、培训计划等进行打分。</w:t>
            </w:r>
            <w:r>
              <w:rPr>
                <w:rFonts w:hint="eastAsia" w:ascii="宋体" w:hAnsi="宋体" w:eastAsia="宋体" w:cs="宋体"/>
                <w:color w:val="auto"/>
                <w:sz w:val="24"/>
                <w:szCs w:val="24"/>
                <w:highlight w:val="none"/>
              </w:rPr>
              <w:tab/>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售后服务方案详细、人员配备及网点数量能保障服务质量的、培训计划详细得4-6分。</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售后服务方案内容相对齐全、人员配备及网点基本满足项目需求、培训方案较为齐全的得1-3.9分。</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售后服务方案内容粗略、人员及网点数量不能保障服务质量的、培训方案粗略的得0-0.9分。</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p>
        </w:tc>
        <w:tc>
          <w:tcPr>
            <w:tcW w:w="1282" w:type="dxa"/>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p>
        </w:tc>
        <w:tc>
          <w:tcPr>
            <w:tcW w:w="6468"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培训讲师同时具备中国信息安全测评中心的注册信息安全讲师证书、中国信息安全测评中心的注册信息安全专业人员证书、计算机技术与软件专业技术资格的网络工程师和计算机技术与软件专业技术资格的信息系统监理师的得3分,证书不全得1分，没有不得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（人员如为本单位职员，提供人员证书和人员近3个月社保证明扫描件并加盖单位公章；人员如为外聘，提供人员证书和人员外聘书证明扫描件并加盖单位公章，否则不得分）。</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vMerge w:val="restart"/>
            <w:tcBorders>
              <w:left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8</w:t>
            </w:r>
          </w:p>
        </w:tc>
        <w:tc>
          <w:tcPr>
            <w:tcW w:w="1282" w:type="dxa"/>
            <w:vMerge w:val="restart"/>
            <w:tcBorders>
              <w:left w:val="single" w:color="auto" w:sz="4" w:space="0"/>
              <w:right w:val="single" w:color="auto" w:sz="4" w:space="0"/>
            </w:tcBorders>
            <w:vAlign w:val="center"/>
          </w:tcPr>
          <w:p>
            <w:pPr>
              <w:spacing w:line="240" w:lineRule="auto"/>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系统演示</w:t>
            </w:r>
          </w:p>
        </w:tc>
        <w:tc>
          <w:tcPr>
            <w:tcW w:w="6468"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生态环境多跨融合“一中心”展示：一张图展示全局重点业务工作和关键指标，按照环境数据总览、环境数据公告、环境污染防治工作进展、业务指标、实时环境质量状况、污染源实时排放状况等方面，适时结合GIS地图进行综合展示。要求根据台州市生态环境局路桥分局业务实际，结合图形化组件突出展示各项业务关键指标。</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（要求采用台州市真实数据演示，无原型系统演示或演示不符合业务实际此项不得分）</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展示清晰、内容全面完善的得4.0-5.0分；</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展示模糊、内容基本全面，缺乏完善性的得2.0-3.9分；</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内容简单片面的得0.1-1.9分；未提及此项不得分。</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highlight w:val="none"/>
              </w:rPr>
            </w:pPr>
          </w:p>
        </w:tc>
        <w:tc>
          <w:tcPr>
            <w:tcW w:w="1282" w:type="dxa"/>
            <w:vMerge w:val="continue"/>
            <w:tcBorders>
              <w:left w:val="single" w:color="auto" w:sz="4" w:space="0"/>
              <w:bottom w:val="single" w:color="auto" w:sz="4" w:space="0"/>
              <w:right w:val="single" w:color="auto" w:sz="4" w:space="0"/>
            </w:tcBorders>
            <w:vAlign w:val="center"/>
          </w:tcPr>
          <w:p>
            <w:pPr>
              <w:spacing w:line="240" w:lineRule="auto"/>
              <w:rPr>
                <w:rStyle w:val="77"/>
                <w:rFonts w:hint="eastAsia" w:ascii="宋体" w:hAnsi="宋体" w:eastAsia="宋体" w:cs="宋体"/>
                <w:color w:val="auto"/>
                <w:sz w:val="24"/>
                <w:szCs w:val="24"/>
                <w:highlight w:val="none"/>
                <w:lang w:bidi="ar"/>
              </w:rPr>
            </w:pPr>
          </w:p>
        </w:tc>
        <w:tc>
          <w:tcPr>
            <w:tcW w:w="6468"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污染源智能化档案“一个库”展示：展示全市重点排污企业全生命周期档案一张表，按照企业基本情况、三废防治、能源消耗、总量控制、环境管理、环境应急和服务企业业务分类展示。要求根据台州市生态环境局路桥分局业务实际，突出各项业务关键指标。</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（要求采用台州市真实数据演示，无原型系统演示或演示不符合业务实际此项不得分）</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展示清晰、内容全面完善的得4.0-5.0分；</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展示模糊、内容基本全面，缺乏完善性的得2.0-3.9分；</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内容简单片面的得0.1-1.9分；未提及此项不得分。</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r>
    </w:tbl>
    <w:p>
      <w:pPr>
        <w:spacing w:line="360" w:lineRule="auto"/>
        <w:rPr>
          <w:rFonts w:hint="eastAsia" w:ascii="宋体" w:hAnsi="宋体" w:eastAsia="宋体" w:cs="宋体"/>
          <w:b/>
          <w:bCs/>
          <w:color w:val="auto"/>
          <w:sz w:val="24"/>
          <w:szCs w:val="32"/>
          <w:highlight w:val="none"/>
          <w:lang w:val="zh-CN" w:eastAsia="zh-CN"/>
        </w:rPr>
      </w:pPr>
      <w:r>
        <w:rPr>
          <w:rFonts w:hint="eastAsia" w:ascii="宋体" w:hAnsi="宋体" w:eastAsia="宋体" w:cs="宋体"/>
          <w:b/>
          <w:bCs/>
          <w:color w:val="auto"/>
          <w:sz w:val="24"/>
          <w:szCs w:val="32"/>
          <w:highlight w:val="none"/>
          <w:lang w:val="zh-CN" w:eastAsia="zh-CN"/>
        </w:rPr>
        <w:t>标段二</w:t>
      </w:r>
    </w:p>
    <w:tbl>
      <w:tblPr>
        <w:tblStyle w:val="27"/>
        <w:tblW w:w="9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04"/>
        <w:gridCol w:w="1294"/>
        <w:gridCol w:w="6853"/>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序号</w:t>
            </w:r>
          </w:p>
        </w:tc>
        <w:tc>
          <w:tcPr>
            <w:tcW w:w="129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评审因素</w:t>
            </w:r>
          </w:p>
        </w:tc>
        <w:tc>
          <w:tcPr>
            <w:tcW w:w="6853"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评审标准</w:t>
            </w:r>
          </w:p>
        </w:tc>
        <w:tc>
          <w:tcPr>
            <w:tcW w:w="980"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931" w:type="dxa"/>
            <w:gridSpan w:val="4"/>
            <w:shd w:val="clear" w:color="auto" w:fill="auto"/>
            <w:vAlign w:val="center"/>
          </w:tcPr>
          <w:p>
            <w:pPr>
              <w:pageBreakBefore w:val="0"/>
              <w:kinsoku/>
              <w:wordWrap/>
              <w:topLinePunct w:val="0"/>
              <w:bidi w:val="0"/>
              <w:spacing w:line="240" w:lineRule="auto"/>
              <w:jc w:val="center"/>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商务资信分（16分）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804" w:type="dxa"/>
            <w:vMerge w:val="restart"/>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294" w:type="dxa"/>
            <w:vMerge w:val="restart"/>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企业认证、荣誉等</w:t>
            </w:r>
          </w:p>
        </w:tc>
        <w:tc>
          <w:tcPr>
            <w:tcW w:w="6853" w:type="dxa"/>
            <w:shd w:val="clear" w:color="auto" w:fill="auto"/>
            <w:vAlign w:val="center"/>
          </w:tcPr>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投标人具有《质量管理体系认证证书》、《环境管理体系认证证书》、《职业健康安全管理体系认证证书》</w:t>
            </w:r>
            <w:r>
              <w:rPr>
                <w:rFonts w:hint="eastAsia" w:ascii="宋体" w:hAnsi="宋体" w:eastAsia="宋体" w:cs="宋体"/>
                <w:color w:val="auto"/>
                <w:sz w:val="24"/>
                <w:szCs w:val="24"/>
                <w:highlight w:val="none"/>
                <w:lang w:eastAsia="zh-CN"/>
              </w:rPr>
              <w:t>、《</w:t>
            </w:r>
            <w:r>
              <w:rPr>
                <w:rFonts w:hint="eastAsia" w:ascii="宋体" w:hAnsi="宋体" w:eastAsia="宋体" w:cs="宋体"/>
                <w:i w:val="0"/>
                <w:iCs w:val="0"/>
                <w:caps w:val="0"/>
                <w:color w:val="auto"/>
                <w:spacing w:val="0"/>
                <w:sz w:val="24"/>
                <w:szCs w:val="24"/>
                <w:highlight w:val="none"/>
                <w:shd w:val="clear" w:fill="FFFFFF"/>
              </w:rPr>
              <w:t>信息技术服务管理体系</w:t>
            </w:r>
            <w:r>
              <w:rPr>
                <w:rFonts w:hint="eastAsia" w:ascii="宋体" w:hAnsi="宋体" w:eastAsia="宋体" w:cs="宋体"/>
                <w:i w:val="0"/>
                <w:iCs w:val="0"/>
                <w:caps w:val="0"/>
                <w:color w:val="auto"/>
                <w:spacing w:val="0"/>
                <w:sz w:val="24"/>
                <w:szCs w:val="24"/>
                <w:highlight w:val="none"/>
                <w:shd w:val="clear" w:fill="FFFFFF"/>
                <w:lang w:val="en-US" w:eastAsia="zh-CN"/>
              </w:rPr>
              <w:t>认证证书</w:t>
            </w:r>
            <w:r>
              <w:rPr>
                <w:rFonts w:hint="eastAsia" w:ascii="宋体" w:hAnsi="宋体" w:eastAsia="宋体" w:cs="宋体"/>
                <w:color w:val="auto"/>
                <w:sz w:val="24"/>
                <w:szCs w:val="24"/>
                <w:highlight w:val="none"/>
                <w:lang w:eastAsia="zh-CN"/>
              </w:rPr>
              <w:t>》、《</w:t>
            </w:r>
            <w:r>
              <w:rPr>
                <w:rFonts w:hint="eastAsia" w:ascii="宋体" w:hAnsi="宋体" w:eastAsia="宋体" w:cs="宋体"/>
                <w:i w:val="0"/>
                <w:iCs w:val="0"/>
                <w:caps w:val="0"/>
                <w:color w:val="auto"/>
                <w:spacing w:val="0"/>
                <w:sz w:val="24"/>
                <w:szCs w:val="24"/>
                <w:highlight w:val="none"/>
                <w:shd w:val="clear" w:fill="FFFFFF"/>
              </w:rPr>
              <w:t>信息安全管理体系</w:t>
            </w:r>
            <w:r>
              <w:rPr>
                <w:rFonts w:hint="eastAsia" w:ascii="宋体" w:hAnsi="宋体" w:eastAsia="宋体" w:cs="宋体"/>
                <w:i w:val="0"/>
                <w:iCs w:val="0"/>
                <w:caps w:val="0"/>
                <w:color w:val="auto"/>
                <w:spacing w:val="0"/>
                <w:sz w:val="24"/>
                <w:szCs w:val="24"/>
                <w:highlight w:val="none"/>
                <w:shd w:val="clear" w:fill="FFFFFF"/>
                <w:lang w:val="en-US" w:eastAsia="zh-CN"/>
              </w:rPr>
              <w:t>认证证书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且在有效内的每项得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（提供相关</w:t>
            </w:r>
            <w:r>
              <w:rPr>
                <w:rFonts w:hint="eastAsia" w:ascii="宋体" w:hAnsi="宋体" w:eastAsia="宋体" w:cs="宋体"/>
                <w:b/>
                <w:color w:val="auto"/>
                <w:sz w:val="24"/>
                <w:szCs w:val="24"/>
                <w:highlight w:val="none"/>
                <w:lang w:val="en-US" w:eastAsia="zh-CN"/>
              </w:rPr>
              <w:t>证书</w:t>
            </w:r>
            <w:r>
              <w:rPr>
                <w:rFonts w:hint="eastAsia" w:ascii="宋体" w:hAnsi="宋体" w:eastAsia="宋体" w:cs="宋体"/>
                <w:b/>
                <w:color w:val="auto"/>
                <w:sz w:val="24"/>
                <w:szCs w:val="24"/>
                <w:highlight w:val="none"/>
              </w:rPr>
              <w:t>复印件，不提供不得分）</w:t>
            </w:r>
          </w:p>
        </w:tc>
        <w:tc>
          <w:tcPr>
            <w:tcW w:w="980" w:type="dxa"/>
            <w:shd w:val="clear" w:color="auto" w:fill="auto"/>
            <w:vAlign w:val="center"/>
          </w:tcPr>
          <w:p>
            <w:pPr>
              <w:pageBreakBefore w:val="0"/>
              <w:kinsoku/>
              <w:wordWrap/>
              <w:topLinePunct w:val="0"/>
              <w:bidi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804" w:type="dxa"/>
            <w:vMerge w:val="continue"/>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p>
        </w:tc>
        <w:tc>
          <w:tcPr>
            <w:tcW w:w="1294" w:type="dxa"/>
            <w:vMerge w:val="continue"/>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p>
        </w:tc>
        <w:tc>
          <w:tcPr>
            <w:tcW w:w="6853" w:type="dxa"/>
            <w:shd w:val="clear" w:color="auto" w:fill="auto"/>
            <w:vAlign w:val="center"/>
          </w:tcPr>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投标人自201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年1月1日（以颁发时间为准）以来，获得过第三方环保权威部门颁发的AAA级信用企业荣誉的得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分，AA级1分。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提供</w:t>
            </w:r>
            <w:r>
              <w:rPr>
                <w:rFonts w:hint="eastAsia" w:ascii="宋体" w:hAnsi="宋体" w:eastAsia="宋体" w:cs="宋体"/>
                <w:b/>
                <w:bCs/>
                <w:color w:val="auto"/>
                <w:sz w:val="24"/>
                <w:szCs w:val="24"/>
                <w:highlight w:val="none"/>
              </w:rPr>
              <w:t>相关证明材料复印件并加盖公章，否则不得分</w:t>
            </w:r>
            <w:r>
              <w:rPr>
                <w:rFonts w:hint="eastAsia" w:ascii="宋体" w:hAnsi="宋体" w:eastAsia="宋体" w:cs="宋体"/>
                <w:b/>
                <w:bCs/>
                <w:color w:val="auto"/>
                <w:sz w:val="24"/>
                <w:szCs w:val="24"/>
                <w:highlight w:val="none"/>
                <w:lang w:eastAsia="zh-CN"/>
              </w:rPr>
              <w:t>）</w:t>
            </w:r>
          </w:p>
        </w:tc>
        <w:tc>
          <w:tcPr>
            <w:tcW w:w="980"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804" w:type="dxa"/>
            <w:vMerge w:val="continue"/>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p>
        </w:tc>
        <w:tc>
          <w:tcPr>
            <w:tcW w:w="1294" w:type="dxa"/>
            <w:vMerge w:val="continue"/>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p>
        </w:tc>
        <w:tc>
          <w:tcPr>
            <w:tcW w:w="6853" w:type="dxa"/>
            <w:shd w:val="clear" w:color="auto" w:fill="auto"/>
            <w:vAlign w:val="center"/>
          </w:tcPr>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投标人同时具有地下水环境软件和企业环境管理信息平台著作权的得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分；具备其他内容软件著作权的，每具备一项得0.5分，最高1分。本项最高得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投标文件中须附上国家版权局颁发的软件著作权登记证书复印件并加盖公章，否则不得分</w:t>
            </w:r>
            <w:r>
              <w:rPr>
                <w:rFonts w:hint="eastAsia" w:ascii="宋体" w:hAnsi="宋体" w:eastAsia="宋体" w:cs="宋体"/>
                <w:color w:val="auto"/>
                <w:sz w:val="24"/>
                <w:szCs w:val="24"/>
                <w:highlight w:val="none"/>
                <w:lang w:eastAsia="zh-CN"/>
              </w:rPr>
              <w:t>）</w:t>
            </w:r>
          </w:p>
        </w:tc>
        <w:tc>
          <w:tcPr>
            <w:tcW w:w="980"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80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29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投标人业绩</w:t>
            </w:r>
          </w:p>
        </w:tc>
        <w:tc>
          <w:tcPr>
            <w:tcW w:w="6853" w:type="dxa"/>
            <w:shd w:val="clear" w:color="auto" w:fill="auto"/>
            <w:vAlign w:val="center"/>
          </w:tcPr>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自2018年1月1日（以合同签订时间为准）以来，投标人承接过同类业绩（如监测预警类、环境质量监控与分析类</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农作物种植调查分析类</w:t>
            </w:r>
            <w:r>
              <w:rPr>
                <w:rFonts w:hint="eastAsia" w:ascii="宋体" w:hAnsi="宋体" w:eastAsia="宋体" w:cs="宋体"/>
                <w:color w:val="auto"/>
                <w:sz w:val="24"/>
                <w:szCs w:val="24"/>
                <w:highlight w:val="none"/>
              </w:rPr>
              <w:t>等），每提供1个业绩得1分，最高4分。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投标文件中须附上合同复印件并加盖公章，其工作内容需在合同上体现，否则不得分</w:t>
            </w:r>
            <w:r>
              <w:rPr>
                <w:rFonts w:hint="eastAsia" w:ascii="宋体" w:hAnsi="宋体" w:eastAsia="宋体" w:cs="宋体"/>
                <w:b/>
                <w:bCs/>
                <w:color w:val="auto"/>
                <w:sz w:val="24"/>
                <w:szCs w:val="24"/>
                <w:highlight w:val="none"/>
                <w:lang w:eastAsia="zh-CN"/>
              </w:rPr>
              <w:t>）</w:t>
            </w:r>
          </w:p>
        </w:tc>
        <w:tc>
          <w:tcPr>
            <w:tcW w:w="980" w:type="dxa"/>
            <w:shd w:val="clear" w:color="auto" w:fill="auto"/>
            <w:vAlign w:val="center"/>
          </w:tcPr>
          <w:p>
            <w:pPr>
              <w:pStyle w:val="80"/>
              <w:pageBreakBefore w:val="0"/>
              <w:kinsoku/>
              <w:wordWrap/>
              <w:topLinePunct w:val="0"/>
              <w:bidi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80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29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标书质量</w:t>
            </w:r>
          </w:p>
        </w:tc>
        <w:tc>
          <w:tcPr>
            <w:tcW w:w="6853" w:type="dxa"/>
            <w:shd w:val="clear" w:color="auto" w:fill="auto"/>
            <w:vAlign w:val="center"/>
          </w:tcPr>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根据投标文件编制是否完整、投标文件内容简洁明确程度及针对性等情况酌情给分，最高得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分；投标文件有关内容前后矛盾、与招标文件要求不一致等，评审小组允许且需要通过询标等程序进行澄清的，该项不得分。</w:t>
            </w:r>
          </w:p>
        </w:tc>
        <w:tc>
          <w:tcPr>
            <w:tcW w:w="980" w:type="dxa"/>
            <w:shd w:val="clear" w:color="auto" w:fill="auto"/>
            <w:vAlign w:val="center"/>
          </w:tcPr>
          <w:p>
            <w:pPr>
              <w:pStyle w:val="80"/>
              <w:pageBreakBefore w:val="0"/>
              <w:kinsoku/>
              <w:wordWrap/>
              <w:topLinePunct w:val="0"/>
              <w:bidi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931" w:type="dxa"/>
            <w:gridSpan w:val="4"/>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技术分（64分）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80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29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对项目的认识与理解</w:t>
            </w:r>
          </w:p>
        </w:tc>
        <w:tc>
          <w:tcPr>
            <w:tcW w:w="6853" w:type="dxa"/>
            <w:shd w:val="clear" w:color="auto" w:fill="auto"/>
            <w:vAlign w:val="center"/>
          </w:tcPr>
          <w:p>
            <w:pPr>
              <w:pageBreakBefore w:val="0"/>
              <w:kinsoku/>
              <w:wordWrap/>
              <w:topLinePunct w:val="0"/>
              <w:bidi w:val="0"/>
              <w:adjustRightInd w:val="0"/>
              <w:snapToGrid w:val="0"/>
              <w:spacing w:line="240" w:lineRule="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根据投标人提供的现状、问题与需求分析打分，</w:t>
            </w:r>
            <w:r>
              <w:rPr>
                <w:rFonts w:hint="eastAsia" w:ascii="宋体" w:hAnsi="宋体" w:eastAsia="宋体" w:cs="宋体"/>
                <w:color w:val="auto"/>
                <w:sz w:val="24"/>
                <w:szCs w:val="24"/>
                <w:highlight w:val="none"/>
              </w:rPr>
              <w:t>最高得</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val="en-US" w:eastAsia="zh-CN"/>
              </w:rPr>
              <w:t>现状分析明确，</w:t>
            </w:r>
            <w:r>
              <w:rPr>
                <w:rFonts w:hint="eastAsia" w:ascii="宋体" w:hAnsi="宋体" w:eastAsia="宋体" w:cs="宋体"/>
                <w:color w:val="auto"/>
                <w:sz w:val="24"/>
                <w:szCs w:val="24"/>
                <w:highlight w:val="none"/>
                <w:lang w:val="en-US" w:eastAsia="zh-CN"/>
              </w:rPr>
              <w:t>详尽、准确，能客观、准确地分析项目建设的关键点，符合用户实际需求</w:t>
            </w:r>
            <w:r>
              <w:rPr>
                <w:rFonts w:hint="eastAsia" w:ascii="宋体" w:hAnsi="宋体" w:cs="宋体"/>
                <w:color w:val="auto"/>
                <w:sz w:val="24"/>
                <w:szCs w:val="24"/>
                <w:highlight w:val="none"/>
                <w:lang w:val="en-US" w:eastAsia="zh-CN"/>
              </w:rPr>
              <w:t>得5-7分，有比较明确的现状分析，但分析内容未能完全结合实际情况展开得3-4.9分，现状分析不明确且内容粗略得0-2.9分。</w:t>
            </w:r>
          </w:p>
        </w:tc>
        <w:tc>
          <w:tcPr>
            <w:tcW w:w="980" w:type="dxa"/>
            <w:shd w:val="clear" w:color="auto" w:fill="auto"/>
            <w:vAlign w:val="center"/>
          </w:tcPr>
          <w:p>
            <w:pPr>
              <w:snapToGri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80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29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总体服务方案</w:t>
            </w:r>
          </w:p>
        </w:tc>
        <w:tc>
          <w:tcPr>
            <w:tcW w:w="6853" w:type="dxa"/>
            <w:shd w:val="clear" w:color="auto" w:fill="auto"/>
            <w:vAlign w:val="center"/>
          </w:tcPr>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根据投标人结合</w:t>
            </w:r>
            <w:r>
              <w:rPr>
                <w:rFonts w:hint="eastAsia" w:ascii="宋体" w:hAnsi="宋体" w:eastAsia="宋体" w:cs="宋体"/>
                <w:color w:val="auto"/>
                <w:sz w:val="24"/>
                <w:szCs w:val="24"/>
                <w:highlight w:val="none"/>
                <w:lang w:val="en-US" w:eastAsia="zh-CN"/>
              </w:rPr>
              <w:t>路桥区农田灌溉用水监管需求</w:t>
            </w:r>
            <w:r>
              <w:rPr>
                <w:rFonts w:hint="eastAsia" w:ascii="宋体" w:hAnsi="宋体" w:eastAsia="宋体" w:cs="宋体"/>
                <w:color w:val="auto"/>
                <w:sz w:val="24"/>
                <w:szCs w:val="24"/>
                <w:highlight w:val="none"/>
              </w:rPr>
              <w:t>制定的服务及硬件建设方案（包括技术方案、技术路线、工作内容等），从方案的完整性、可靠性、合理性等方面进行评分；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①技术方案合理可行、内容齐全、结构完整、表述准确、条理清晰；技术路线科学可靠、工作步骤合理、成果表达完整；工作内容满足本项目需要的得</w:t>
            </w:r>
            <w:r>
              <w:rPr>
                <w:rFonts w:hint="eastAsia" w:ascii="宋体" w:hAnsi="宋体" w:eastAsia="宋体" w:cs="宋体"/>
                <w:color w:val="auto"/>
                <w:sz w:val="24"/>
                <w:szCs w:val="24"/>
                <w:highlight w:val="none"/>
                <w:lang w:val="en-US" w:eastAsia="zh-CN"/>
              </w:rPr>
              <w:t>10</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②技术方案简洁明了、内容较齐全、表述较准确、条理较清晰；技术路线较为科学可靠、工作步骤较合理、成果表达较完整。工作内容基本满足本项目需要的得</w:t>
            </w:r>
            <w:r>
              <w:rPr>
                <w:rFonts w:hint="eastAsia" w:ascii="宋体" w:hAnsi="宋体" w:eastAsia="宋体" w:cs="宋体"/>
                <w:color w:val="auto"/>
                <w:sz w:val="24"/>
                <w:szCs w:val="24"/>
                <w:highlight w:val="none"/>
                <w:lang w:val="en-US" w:eastAsia="zh-CN"/>
              </w:rPr>
              <w:t>5</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③技术方案不合理、内容缺失、结构不完整、表述错误、混乱；技术路线的可行性、科学性、合理性；工作步骤不合理、成果表达不完整、有缺陷；工作内容与本项目需求不符的得</w:t>
            </w: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-4.9</w:t>
            </w:r>
            <w:r>
              <w:rPr>
                <w:rFonts w:hint="eastAsia" w:ascii="宋体" w:hAnsi="宋体" w:eastAsia="宋体" w:cs="宋体"/>
                <w:color w:val="auto"/>
                <w:sz w:val="24"/>
                <w:szCs w:val="24"/>
                <w:highlight w:val="none"/>
              </w:rPr>
              <w:t>分。</w:t>
            </w:r>
          </w:p>
        </w:tc>
        <w:tc>
          <w:tcPr>
            <w:tcW w:w="980" w:type="dxa"/>
            <w:shd w:val="clear" w:color="auto" w:fill="auto"/>
            <w:vAlign w:val="center"/>
          </w:tcPr>
          <w:p>
            <w:pPr>
              <w:snapToGrid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80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129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投标产品符合度</w:t>
            </w:r>
          </w:p>
        </w:tc>
        <w:tc>
          <w:tcPr>
            <w:tcW w:w="6853" w:type="dxa"/>
            <w:shd w:val="clear" w:color="auto" w:fill="auto"/>
            <w:vAlign w:val="center"/>
          </w:tcPr>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根据投标产品的软硬件配置、功能特点等满足情况，以及《技术响应表》情况综合评分，全部满足招标文件要求得</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分；★标注的重要指标若出现负偏差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标</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指标需提供相应的报告或证书复印件，否则不予认可）</w:t>
            </w:r>
            <w:r>
              <w:rPr>
                <w:rFonts w:hint="eastAsia" w:ascii="宋体" w:hAnsi="宋体" w:eastAsia="宋体" w:cs="宋体"/>
                <w:color w:val="auto"/>
                <w:sz w:val="24"/>
                <w:szCs w:val="24"/>
                <w:highlight w:val="none"/>
              </w:rPr>
              <w:t>，每负偏离一项扣1分，其它非重要技术指标若出现负偏差，每负偏离一项扣0.5分，扣完为止。</w:t>
            </w:r>
          </w:p>
        </w:tc>
        <w:tc>
          <w:tcPr>
            <w:tcW w:w="980" w:type="dxa"/>
            <w:shd w:val="clear" w:color="auto" w:fill="auto"/>
            <w:vAlign w:val="center"/>
          </w:tcPr>
          <w:p>
            <w:pPr>
              <w:pageBreakBefore w:val="0"/>
              <w:kinsoku/>
              <w:wordWrap/>
              <w:topLinePunct w:val="0"/>
              <w:bidi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80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1294" w:type="dxa"/>
            <w:vMerge w:val="restart"/>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项目实施方案</w:t>
            </w:r>
          </w:p>
        </w:tc>
        <w:tc>
          <w:tcPr>
            <w:tcW w:w="6853" w:type="dxa"/>
            <w:shd w:val="clear" w:color="auto" w:fill="auto"/>
            <w:vAlign w:val="center"/>
          </w:tcPr>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1、根据投标人提供的针对本项目的实施进度安排情况进行评分：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①进度计划安排科学、合理、时间节点清晰、明朗，能较好符合项目开展要求的得3</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5分；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②进度计划安排时间节点不够清晰、周期较长的得1</w:t>
            </w: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lang w:val="en-US" w:eastAsia="zh-CN"/>
              </w:rPr>
              <w:t>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③进度计划安排混乱、不科学或无任何方案内容的得0</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lang w:val="en-US" w:eastAsia="zh-CN"/>
              </w:rPr>
              <w:t>分。</w:t>
            </w:r>
          </w:p>
        </w:tc>
        <w:tc>
          <w:tcPr>
            <w:tcW w:w="980" w:type="dxa"/>
            <w:shd w:val="clear" w:color="auto" w:fill="auto"/>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80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1294" w:type="dxa"/>
            <w:vMerge w:val="continue"/>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p>
        </w:tc>
        <w:tc>
          <w:tcPr>
            <w:tcW w:w="6853" w:type="dxa"/>
            <w:shd w:val="clear" w:color="auto" w:fill="auto"/>
            <w:vAlign w:val="center"/>
          </w:tcPr>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2、根据投标人提供的针对本项目实施的管理目标、组织结构、保障措施、实施流程等情况进行评分：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①实施方案内容完整、思路清晰、合理可行的，得3</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5分；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②实施方案内容较完善、条例较清晰、较合理可行的，得1</w:t>
            </w: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lang w:val="en-US" w:eastAsia="zh-CN"/>
              </w:rPr>
              <w:t>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③实施方案内容不完整、表述混乱、不合理得，得0</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lang w:val="en-US" w:eastAsia="zh-CN"/>
              </w:rPr>
              <w:t>分。</w:t>
            </w:r>
          </w:p>
        </w:tc>
        <w:tc>
          <w:tcPr>
            <w:tcW w:w="980" w:type="dxa"/>
            <w:shd w:val="clear" w:color="auto" w:fill="auto"/>
            <w:vAlign w:val="center"/>
          </w:tcPr>
          <w:p>
            <w:pPr>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80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1294" w:type="dxa"/>
            <w:vMerge w:val="restart"/>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服务团队情况</w:t>
            </w:r>
          </w:p>
        </w:tc>
        <w:tc>
          <w:tcPr>
            <w:tcW w:w="6853" w:type="dxa"/>
            <w:shd w:val="clear" w:color="auto" w:fill="auto"/>
            <w:vAlign w:val="center"/>
          </w:tcPr>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1、根据投标人拟派本项目的项目负责人资格情况进行评分：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项目负责人具有环境类正高级工程师职称且具有注册环保工程师资格的，得2分，具有环境类高级工程师职称且具有注册环保工程师资格的，得1分；本项最高得2分。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投标文件中须附上项目负责人的相关证书、开标前近三个月投标人为其在单位连续缴纳社保的证明材料等复印件并加盖公章，并提供原件核查，否则不得分</w:t>
            </w:r>
            <w:r>
              <w:rPr>
                <w:rFonts w:hint="eastAsia" w:ascii="宋体" w:hAnsi="宋体" w:eastAsia="宋体" w:cs="宋体"/>
                <w:b/>
                <w:bCs/>
                <w:color w:val="auto"/>
                <w:sz w:val="24"/>
                <w:szCs w:val="24"/>
                <w:highlight w:val="none"/>
                <w:lang w:eastAsia="zh-CN"/>
              </w:rPr>
              <w:t>）</w:t>
            </w:r>
          </w:p>
        </w:tc>
        <w:tc>
          <w:tcPr>
            <w:tcW w:w="980" w:type="dxa"/>
            <w:shd w:val="clear" w:color="auto" w:fill="auto"/>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80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1294" w:type="dxa"/>
            <w:vMerge w:val="continue"/>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p>
        </w:tc>
        <w:tc>
          <w:tcPr>
            <w:tcW w:w="6853" w:type="dxa"/>
            <w:shd w:val="clear" w:color="auto" w:fill="auto"/>
            <w:vAlign w:val="center"/>
          </w:tcPr>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2、根据投标人拟投入本项目的技术人员（项目负责人除外）配备情况进行评分：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（1）项目组成员具有环保类或软件类高级工程师及以上职称的人数在10人及以上的得3分；6-9人的得1分；6人（不含）以下的不得分。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（2）项目组成员具有注册环保工程师的人数在5人及以上的得3分，3-4人得1分，3人（不含）以下的不得分。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投标人拟投入本项目的实施团队成员（除项目负责人）中具有环境工程、计算机科学与技术</w:t>
            </w:r>
            <w:r>
              <w:rPr>
                <w:rFonts w:hint="eastAsia" w:ascii="宋体" w:hAnsi="宋体" w:eastAsia="宋体" w:cs="宋体"/>
                <w:color w:val="auto"/>
                <w:sz w:val="24"/>
                <w:szCs w:val="24"/>
                <w:highlight w:val="none"/>
                <w:lang w:val="en-US" w:eastAsia="zh-CN"/>
              </w:rPr>
              <w:t>专业</w:t>
            </w:r>
            <w:r>
              <w:rPr>
                <w:rFonts w:hint="eastAsia" w:ascii="宋体" w:hAnsi="宋体" w:eastAsia="宋体" w:cs="宋体"/>
                <w:color w:val="auto"/>
                <w:sz w:val="24"/>
                <w:szCs w:val="24"/>
                <w:highlight w:val="none"/>
              </w:rPr>
              <w:t>或农业资源</w:t>
            </w:r>
            <w:r>
              <w:rPr>
                <w:rFonts w:hint="eastAsia" w:ascii="宋体" w:hAnsi="宋体" w:eastAsia="宋体" w:cs="宋体"/>
                <w:color w:val="auto"/>
                <w:sz w:val="24"/>
                <w:szCs w:val="24"/>
                <w:highlight w:val="none"/>
                <w:lang w:eastAsia="zh-CN"/>
              </w:rPr>
              <w:t>专业的，</w:t>
            </w:r>
            <w:r>
              <w:rPr>
                <w:rFonts w:hint="eastAsia" w:ascii="宋体" w:hAnsi="宋体" w:eastAsia="宋体" w:cs="宋体"/>
                <w:color w:val="auto"/>
                <w:sz w:val="24"/>
                <w:szCs w:val="24"/>
                <w:highlight w:val="none"/>
              </w:rPr>
              <w:t>每提供1个工种专业人员的得1分，</w:t>
            </w:r>
            <w:r>
              <w:rPr>
                <w:rFonts w:hint="eastAsia" w:ascii="宋体" w:hAnsi="宋体" w:eastAsia="宋体" w:cs="宋体"/>
                <w:color w:val="auto"/>
                <w:sz w:val="24"/>
                <w:szCs w:val="24"/>
                <w:highlight w:val="none"/>
                <w:lang w:eastAsia="zh-CN"/>
              </w:rPr>
              <w:t>每个工种最多得</w:t>
            </w:r>
            <w:r>
              <w:rPr>
                <w:rFonts w:hint="eastAsia" w:ascii="宋体" w:hAnsi="宋体" w:eastAsia="宋体" w:cs="宋体"/>
                <w:color w:val="auto"/>
                <w:sz w:val="24"/>
                <w:szCs w:val="24"/>
                <w:highlight w:val="none"/>
                <w:lang w:val="en-US" w:eastAsia="zh-CN"/>
              </w:rPr>
              <w:t>2分，本项</w:t>
            </w:r>
            <w:r>
              <w:rPr>
                <w:rFonts w:hint="eastAsia" w:ascii="宋体" w:hAnsi="宋体" w:eastAsia="宋体" w:cs="宋体"/>
                <w:color w:val="auto"/>
                <w:sz w:val="24"/>
                <w:szCs w:val="24"/>
                <w:highlight w:val="none"/>
              </w:rPr>
              <w:t>最高得</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以上三项评分项在投标文件中须附上相关人员的身份证、相关证书、开标前近三个月投标人为其在单位连续缴纳社保的证明材料等复印件并加盖公章，并提供原件核查，否则不予认可</w:t>
            </w:r>
            <w:r>
              <w:rPr>
                <w:rFonts w:hint="eastAsia" w:ascii="宋体" w:hAnsi="宋体" w:eastAsia="宋体" w:cs="宋体"/>
                <w:b/>
                <w:bCs/>
                <w:color w:val="auto"/>
                <w:sz w:val="24"/>
                <w:szCs w:val="24"/>
                <w:highlight w:val="none"/>
                <w:lang w:eastAsia="zh-CN"/>
              </w:rPr>
              <w:t>）</w:t>
            </w:r>
          </w:p>
        </w:tc>
        <w:tc>
          <w:tcPr>
            <w:tcW w:w="980" w:type="dxa"/>
            <w:shd w:val="clear" w:color="auto" w:fill="auto"/>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80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1294" w:type="dxa"/>
            <w:shd w:val="clear" w:color="auto" w:fill="auto"/>
            <w:vAlign w:val="center"/>
          </w:tcPr>
          <w:p>
            <w:pPr>
              <w:pageBreakBefore w:val="0"/>
              <w:kinsoku/>
              <w:wordWrap/>
              <w:topLinePunct w:val="0"/>
              <w:bidi w:val="0"/>
              <w:adjustRightInd w:val="0"/>
              <w:snapToGrid w:val="0"/>
              <w:spacing w:line="240" w:lineRule="auto"/>
              <w:jc w:val="center"/>
              <w:outlineLvl w:val="9"/>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售后及维保服务</w:t>
            </w:r>
          </w:p>
        </w:tc>
        <w:tc>
          <w:tcPr>
            <w:tcW w:w="6853" w:type="dxa"/>
            <w:shd w:val="clear" w:color="auto" w:fill="auto"/>
            <w:vAlign w:val="center"/>
          </w:tcPr>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对投标人提供售后及维保服务方案（包括服务内容、服务标准、</w:t>
            </w:r>
            <w:r>
              <w:rPr>
                <w:rFonts w:hint="eastAsia" w:ascii="宋体" w:hAnsi="宋体" w:eastAsia="宋体" w:cs="宋体"/>
                <w:color w:val="auto"/>
                <w:sz w:val="24"/>
                <w:szCs w:val="24"/>
                <w:highlight w:val="none"/>
              </w:rPr>
              <w:t>故障响应修复时间</w:t>
            </w:r>
            <w:r>
              <w:rPr>
                <w:rFonts w:hint="eastAsia" w:ascii="宋体" w:hAnsi="宋体" w:eastAsia="宋体" w:cs="宋体"/>
                <w:color w:val="auto"/>
                <w:sz w:val="24"/>
                <w:szCs w:val="24"/>
                <w:highlight w:val="none"/>
                <w:lang w:val="en-US" w:eastAsia="zh-CN"/>
              </w:rPr>
              <w:t>方式</w:t>
            </w:r>
            <w:r>
              <w:rPr>
                <w:rFonts w:hint="eastAsia" w:ascii="宋体" w:hAnsi="宋体" w:eastAsia="宋体" w:cs="宋体"/>
                <w:color w:val="auto"/>
                <w:sz w:val="24"/>
                <w:szCs w:val="24"/>
                <w:highlight w:val="none"/>
              </w:rPr>
              <w:t>及保障措施等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的完整、详细及可行性进行综合打分。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①售后及维保服务方案内容全面、具体、合理可行，完全满足本项目需要的，得5</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8分；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②售后及维保服务方案内容较全面，基本满足本项目需要的，得3</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5分；</w:t>
            </w:r>
          </w:p>
          <w:p>
            <w:pPr>
              <w:pageBreakBefore w:val="0"/>
              <w:kinsoku/>
              <w:wordWrap/>
              <w:topLinePunct w:val="0"/>
              <w:bidi w:val="0"/>
              <w:adjustRightInd w:val="0"/>
              <w:snapToGrid w:val="0"/>
              <w:spacing w:line="24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③售后及维保服务方案不合理、内容缺失、表述不清晰的，得0</w:t>
            </w: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lang w:val="en-US" w:eastAsia="zh-CN"/>
              </w:rPr>
              <w:t>分。</w:t>
            </w:r>
          </w:p>
        </w:tc>
        <w:tc>
          <w:tcPr>
            <w:tcW w:w="980" w:type="dxa"/>
            <w:shd w:val="clear" w:color="auto" w:fill="auto"/>
            <w:vAlign w:val="center"/>
          </w:tcPr>
          <w:p>
            <w:pPr>
              <w:pageBreakBefore w:val="0"/>
              <w:kinsoku/>
              <w:wordWrap/>
              <w:topLinePunct w:val="0"/>
              <w:bidi w:val="0"/>
              <w:spacing w:line="240" w:lineRule="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8分</w:t>
            </w:r>
          </w:p>
        </w:tc>
      </w:tr>
    </w:tbl>
    <w:p>
      <w:pPr>
        <w:spacing w:line="360" w:lineRule="auto"/>
        <w:rPr>
          <w:rFonts w:hint="eastAsia" w:ascii="宋体" w:hAnsi="宋体" w:eastAsia="宋体" w:cs="宋体"/>
          <w:b/>
          <w:bCs/>
          <w:color w:val="auto"/>
          <w:sz w:val="24"/>
          <w:szCs w:val="32"/>
          <w:highlight w:val="none"/>
          <w:lang w:val="zh-CN" w:eastAsia="zh-CN"/>
        </w:rPr>
      </w:pPr>
    </w:p>
    <w:p>
      <w:pPr>
        <w:spacing w:line="360" w:lineRule="auto"/>
        <w:ind w:firstLine="480" w:firstLineChars="200"/>
        <w:rPr>
          <w:rFonts w:hint="eastAsia" w:ascii="宋体" w:hAnsi="宋体" w:eastAsia="宋体" w:cs="宋体"/>
          <w:b w:val="0"/>
          <w:bCs w:val="0"/>
          <w:color w:val="auto"/>
          <w:sz w:val="24"/>
          <w:szCs w:val="32"/>
          <w:highlight w:val="none"/>
          <w:lang w:eastAsia="zh-CN"/>
        </w:rPr>
      </w:pPr>
    </w:p>
    <w:p>
      <w:pPr>
        <w:spacing w:line="360" w:lineRule="auto"/>
        <w:ind w:firstLine="480" w:firstLineChars="200"/>
        <w:rPr>
          <w:rFonts w:hint="eastAsia" w:ascii="宋体" w:hAnsi="宋体" w:eastAsia="宋体" w:cs="宋体"/>
          <w:b w:val="0"/>
          <w:bCs w:val="0"/>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ind w:firstLine="723" w:firstLineChars="200"/>
        <w:jc w:val="center"/>
        <w:rPr>
          <w:rFonts w:hint="eastAsia" w:ascii="宋体" w:hAnsi="宋体" w:eastAsia="宋体" w:cs="宋体"/>
          <w:b/>
          <w:bCs/>
          <w:color w:val="auto"/>
          <w:sz w:val="36"/>
          <w:szCs w:val="44"/>
          <w:highlight w:val="none"/>
          <w:lang w:eastAsia="zh-CN"/>
        </w:rPr>
      </w:pPr>
    </w:p>
    <w:p>
      <w:pPr>
        <w:bidi w:val="0"/>
        <w:spacing w:line="360" w:lineRule="auto"/>
        <w:ind w:firstLine="723" w:firstLineChars="200"/>
        <w:jc w:val="center"/>
        <w:rPr>
          <w:rFonts w:hint="eastAsia" w:ascii="宋体" w:hAnsi="宋体" w:eastAsia="宋体" w:cs="宋体"/>
          <w:b/>
          <w:bCs/>
          <w:color w:val="auto"/>
          <w:sz w:val="36"/>
          <w:szCs w:val="44"/>
          <w:highlight w:val="none"/>
          <w:lang w:eastAsia="zh-CN"/>
        </w:rPr>
      </w:pPr>
    </w:p>
    <w:p>
      <w:pPr>
        <w:bidi w:val="0"/>
        <w:spacing w:line="360" w:lineRule="auto"/>
        <w:ind w:firstLine="723" w:firstLineChars="200"/>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第四章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公开招标需求</w:t>
      </w:r>
    </w:p>
    <w:p>
      <w:pPr>
        <w:spacing w:line="360" w:lineRule="auto"/>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一、招标项目一览表</w:t>
      </w:r>
    </w:p>
    <w:p>
      <w:pPr>
        <w:spacing w:line="360" w:lineRule="auto"/>
        <w:ind w:firstLine="480" w:firstLineChars="200"/>
        <w:jc w:val="left"/>
        <w:rPr>
          <w:rFonts w:hint="eastAsia" w:ascii="宋体" w:hAnsi="宋体" w:cs="宋体"/>
          <w:color w:val="auto"/>
          <w:sz w:val="24"/>
          <w:szCs w:val="32"/>
          <w:highlight w:val="none"/>
        </w:rPr>
      </w:pPr>
      <w:r>
        <w:rPr>
          <w:rFonts w:hint="eastAsia" w:ascii="宋体" w:hAnsi="宋体" w:cs="宋体"/>
          <w:color w:val="auto"/>
          <w:sz w:val="24"/>
          <w:szCs w:val="32"/>
          <w:highlight w:val="none"/>
        </w:rPr>
        <w:t>本次招标共</w:t>
      </w:r>
      <w:r>
        <w:rPr>
          <w:rFonts w:hint="eastAsia" w:ascii="宋体" w:hAnsi="宋体" w:cs="宋体"/>
          <w:color w:val="auto"/>
          <w:sz w:val="24"/>
          <w:szCs w:val="32"/>
          <w:highlight w:val="none"/>
          <w:u w:val="single"/>
          <w:lang w:val="en-US" w:eastAsia="zh-CN"/>
        </w:rPr>
        <w:t>2</w:t>
      </w:r>
      <w:r>
        <w:rPr>
          <w:rFonts w:hint="eastAsia" w:ascii="宋体" w:hAnsi="宋体" w:cs="宋体"/>
          <w:color w:val="auto"/>
          <w:sz w:val="24"/>
          <w:szCs w:val="32"/>
          <w:highlight w:val="none"/>
        </w:rPr>
        <w:t>个标段，具体内容如下表：</w:t>
      </w:r>
    </w:p>
    <w:tbl>
      <w:tblPr>
        <w:tblStyle w:val="27"/>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173"/>
        <w:gridCol w:w="780"/>
        <w:gridCol w:w="1877"/>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5"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标段</w:t>
            </w:r>
          </w:p>
        </w:tc>
        <w:tc>
          <w:tcPr>
            <w:tcW w:w="3173" w:type="dxa"/>
            <w:vAlign w:val="center"/>
          </w:tcPr>
          <w:p>
            <w:pPr>
              <w:spacing w:line="360" w:lineRule="auto"/>
              <w:jc w:val="center"/>
              <w:rPr>
                <w:rFonts w:hint="eastAsia" w:ascii="宋体" w:hAnsi="宋体" w:cs="宋体"/>
                <w:b/>
                <w:color w:val="auto"/>
                <w:sz w:val="24"/>
                <w:szCs w:val="24"/>
                <w:highlight w:val="none"/>
                <w:lang w:eastAsia="zh-CN"/>
              </w:rPr>
            </w:pPr>
            <w:r>
              <w:rPr>
                <w:rFonts w:hint="eastAsia" w:ascii="宋体" w:hAnsi="宋体" w:cs="宋体"/>
                <w:b/>
                <w:color w:val="auto"/>
                <w:sz w:val="24"/>
                <w:szCs w:val="24"/>
                <w:highlight w:val="none"/>
                <w:lang w:eastAsia="zh-CN"/>
              </w:rPr>
              <w:t>名称</w:t>
            </w:r>
          </w:p>
        </w:tc>
        <w:tc>
          <w:tcPr>
            <w:tcW w:w="780"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1877" w:type="dxa"/>
            <w:vAlign w:val="center"/>
          </w:tcPr>
          <w:p>
            <w:pPr>
              <w:spacing w:line="360" w:lineRule="auto"/>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rPr>
              <w:t>预算</w:t>
            </w:r>
            <w:r>
              <w:rPr>
                <w:rFonts w:hint="eastAsia" w:ascii="宋体" w:hAnsi="宋体" w:cs="宋体"/>
                <w:b/>
                <w:color w:val="auto"/>
                <w:sz w:val="24"/>
                <w:szCs w:val="24"/>
                <w:highlight w:val="none"/>
                <w:lang w:val="en-US" w:eastAsia="zh-CN"/>
              </w:rPr>
              <w:t>/最高限价</w:t>
            </w:r>
          </w:p>
        </w:tc>
        <w:tc>
          <w:tcPr>
            <w:tcW w:w="2385" w:type="dxa"/>
            <w:vAlign w:val="center"/>
          </w:tcPr>
          <w:p>
            <w:pPr>
              <w:spacing w:line="360" w:lineRule="auto"/>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5"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173" w:type="dxa"/>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路桥区生态环境数字化监管和决策中心建设</w:t>
            </w:r>
          </w:p>
        </w:tc>
        <w:tc>
          <w:tcPr>
            <w:tcW w:w="780" w:type="dxa"/>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1项</w:t>
            </w:r>
          </w:p>
        </w:tc>
        <w:tc>
          <w:tcPr>
            <w:tcW w:w="1877" w:type="dxa"/>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305万元</w:t>
            </w:r>
          </w:p>
        </w:tc>
        <w:tc>
          <w:tcPr>
            <w:tcW w:w="2385" w:type="dxa"/>
            <w:vMerge w:val="restart"/>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5"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3173" w:type="dxa"/>
            <w:vAlign w:val="center"/>
          </w:tcPr>
          <w:p>
            <w:pPr>
              <w:spacing w:line="360" w:lineRule="auto"/>
              <w:jc w:val="center"/>
              <w:rPr>
                <w:rFonts w:hint="eastAsia" w:ascii="宋体" w:hAnsi="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eastAsia="zh-CN"/>
              </w:rPr>
              <w:t>路桥区农田灌溉用水水质监管数字化改革试点</w:t>
            </w:r>
          </w:p>
        </w:tc>
        <w:tc>
          <w:tcPr>
            <w:tcW w:w="780" w:type="dxa"/>
            <w:vAlign w:val="center"/>
          </w:tcPr>
          <w:p>
            <w:pPr>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1项</w:t>
            </w:r>
          </w:p>
        </w:tc>
        <w:tc>
          <w:tcPr>
            <w:tcW w:w="1877" w:type="dxa"/>
            <w:vAlign w:val="center"/>
          </w:tcPr>
          <w:p>
            <w:pPr>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195万元</w:t>
            </w:r>
          </w:p>
        </w:tc>
        <w:tc>
          <w:tcPr>
            <w:tcW w:w="2385" w:type="dxa"/>
            <w:vMerge w:val="continue"/>
            <w:vAlign w:val="center"/>
          </w:tcPr>
          <w:p>
            <w:pPr>
              <w:spacing w:line="360" w:lineRule="auto"/>
              <w:jc w:val="center"/>
              <w:rPr>
                <w:rFonts w:hint="eastAsia" w:ascii="宋体" w:hAnsi="宋体" w:eastAsia="宋体" w:cs="宋体"/>
                <w:color w:val="auto"/>
                <w:sz w:val="24"/>
                <w:szCs w:val="24"/>
                <w:highlight w:val="none"/>
              </w:rPr>
            </w:pPr>
          </w:p>
        </w:tc>
      </w:tr>
    </w:tbl>
    <w:p>
      <w:pPr>
        <w:numPr>
          <w:ilvl w:val="0"/>
          <w:numId w:val="0"/>
        </w:numPr>
        <w:spacing w:line="360" w:lineRule="auto"/>
        <w:jc w:val="left"/>
        <w:rPr>
          <w:rFonts w:hint="default" w:ascii="宋体" w:hAnsi="宋体" w:cs="宋体"/>
          <w:b/>
          <w:bCs/>
          <w:color w:val="auto"/>
          <w:sz w:val="24"/>
          <w:szCs w:val="32"/>
          <w:highlight w:val="none"/>
          <w:lang w:val="en-US" w:eastAsia="zh-CN"/>
        </w:rPr>
      </w:pPr>
      <w:r>
        <w:rPr>
          <w:rFonts w:hint="eastAsia" w:ascii="宋体" w:hAnsi="宋体" w:cs="宋体"/>
          <w:b/>
          <w:bCs/>
          <w:color w:val="auto"/>
          <w:sz w:val="24"/>
          <w:szCs w:val="32"/>
          <w:highlight w:val="none"/>
          <w:lang w:val="en-US" w:eastAsia="zh-CN"/>
        </w:rPr>
        <w:t>二、标段一技术需求</w:t>
      </w:r>
    </w:p>
    <w:p>
      <w:pPr>
        <w:numPr>
          <w:ilvl w:val="0"/>
          <w:numId w:val="0"/>
        </w:numPr>
        <w:spacing w:line="360" w:lineRule="auto"/>
        <w:ind w:firstLine="241" w:firstLineChars="100"/>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lang w:val="en-US" w:eastAsia="zh-CN"/>
        </w:rPr>
        <w:t>（一）</w:t>
      </w:r>
      <w:r>
        <w:rPr>
          <w:rFonts w:hint="eastAsia" w:ascii="宋体" w:hAnsi="宋体" w:cs="宋体"/>
          <w:b/>
          <w:bCs/>
          <w:color w:val="auto"/>
          <w:sz w:val="24"/>
          <w:szCs w:val="32"/>
          <w:highlight w:val="none"/>
        </w:rPr>
        <w:t>项目背景</w:t>
      </w:r>
    </w:p>
    <w:p>
      <w:pPr>
        <w:spacing w:line="360" w:lineRule="auto"/>
        <w:ind w:firstLine="480" w:firstLineChars="200"/>
        <w:jc w:val="left"/>
        <w:rPr>
          <w:rFonts w:hint="eastAsia" w:ascii="宋体" w:hAnsi="宋体" w:cs="宋体"/>
          <w:color w:val="auto"/>
          <w:sz w:val="24"/>
          <w:szCs w:val="32"/>
          <w:highlight w:val="none"/>
        </w:rPr>
      </w:pPr>
      <w:r>
        <w:rPr>
          <w:rFonts w:hint="eastAsia" w:ascii="宋体" w:hAnsi="宋体" w:cs="宋体"/>
          <w:color w:val="auto"/>
          <w:sz w:val="24"/>
          <w:szCs w:val="32"/>
          <w:highlight w:val="none"/>
        </w:rPr>
        <w:t>2021年2月18日，省委召开全省数字化改革大会，落实“三个争先”特别是“改革突破争先”要求，全面部署我省数字化改革工作，围绕“1+5+2”工作体系，搭建好数字化改革“四梁八柱”。为贯彻实施数字经济“一号工程”，加快数字经济和实体经济融合，全面落实市委市政府《关于加快数字经济发展的实施发展意见》，台州市出台了《台州市产业数字化转型三年行动方案（2020-2022）》，从总体要求、主要任务、组织实施等三个方面对我市产业数字化转型工作作了明确部署，清单式推进我市产业数字化转型工作，通过数字赋能，助力新时代民营经济高质量发展强市建设。生态环境作为城市建设的重要组成部分，需对标“重要窗口”新目标、新定位，将数字技术与生态环境政务履职深度融合。</w:t>
      </w:r>
    </w:p>
    <w:p>
      <w:pPr>
        <w:spacing w:line="360" w:lineRule="auto"/>
        <w:ind w:firstLine="480" w:firstLineChars="200"/>
        <w:jc w:val="left"/>
        <w:rPr>
          <w:rFonts w:hint="eastAsia" w:ascii="宋体" w:hAnsi="宋体" w:cs="宋体"/>
          <w:color w:val="auto"/>
          <w:sz w:val="24"/>
          <w:szCs w:val="32"/>
          <w:highlight w:val="none"/>
        </w:rPr>
      </w:pPr>
      <w:r>
        <w:rPr>
          <w:rFonts w:hint="eastAsia" w:ascii="宋体" w:hAnsi="宋体" w:cs="宋体"/>
          <w:color w:val="auto"/>
          <w:sz w:val="24"/>
          <w:szCs w:val="32"/>
          <w:highlight w:val="none"/>
        </w:rPr>
        <w:t>根据《台州市2020年在线自动监控系统建设实施方案》、《台州市生态环境局关于“城市大脑+智慧环境监管”平台建设工作的通知》（台环函〔2020〕194号）、《台州市生态环境新基建三年行动方案》等文件要求，坚定践行“两山”理念，以美丽台州建设为总抓手，以建立智慧环保管理体系和生态环境监测网络为目标，基于局内核心业务梳理的脉络和成果，以需求为导向，全面赋能生态环境“新治理”，实现业务管理数字化的“从无到有”，基本覆盖路桥区生态环境管理主要业务，提升路桥区生态环境决策科学化、治理精准化、服务便捷化水平。</w:t>
      </w:r>
    </w:p>
    <w:p>
      <w:pPr>
        <w:spacing w:line="360" w:lineRule="auto"/>
        <w:ind w:firstLine="241" w:firstLineChars="100"/>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二</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建设目标</w:t>
      </w:r>
    </w:p>
    <w:p>
      <w:pPr>
        <w:spacing w:line="360" w:lineRule="auto"/>
        <w:ind w:firstLine="480" w:firstLineChars="200"/>
        <w:jc w:val="left"/>
        <w:rPr>
          <w:rFonts w:hint="eastAsia" w:ascii="宋体" w:hAnsi="宋体" w:cs="宋体"/>
          <w:color w:val="auto"/>
          <w:sz w:val="24"/>
          <w:szCs w:val="32"/>
          <w:highlight w:val="none"/>
        </w:rPr>
      </w:pPr>
      <w:r>
        <w:rPr>
          <w:rFonts w:hint="eastAsia" w:ascii="宋体" w:hAnsi="宋体" w:cs="宋体"/>
          <w:color w:val="auto"/>
          <w:sz w:val="24"/>
          <w:szCs w:val="32"/>
          <w:highlight w:val="none"/>
        </w:rPr>
        <w:t>通过建设路桥区生态环境数字化监管系统，对生态环境管理的各类业务系统数据打通、融合、计算，形成全方位、多维度的数据协同，建设生态环境大数据“一套标准”、生态环境多跨融合“一中心”、污染源智能化档案“一个库”、移动端浙政钉“环境钉”、浙里办“掌上办”等应用，实时掌握一手资料、一手舆情，实现对污染防治攻坚态势的宏观把控，说清环境质量现状，为决策和管理提供依据。</w:t>
      </w:r>
    </w:p>
    <w:p>
      <w:pPr>
        <w:spacing w:line="360" w:lineRule="auto"/>
        <w:ind w:firstLine="241" w:firstLineChars="100"/>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三</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技术要求</w:t>
      </w:r>
    </w:p>
    <w:p>
      <w:pPr>
        <w:spacing w:line="360" w:lineRule="auto"/>
        <w:ind w:firstLine="480" w:firstLineChars="200"/>
        <w:jc w:val="left"/>
        <w:rPr>
          <w:rFonts w:hint="eastAsia" w:ascii="宋体" w:hAnsi="宋体" w:cs="宋体"/>
          <w:color w:val="auto"/>
          <w:sz w:val="24"/>
          <w:szCs w:val="32"/>
          <w:highlight w:val="none"/>
        </w:rPr>
      </w:pPr>
      <w:r>
        <w:rPr>
          <w:rFonts w:hint="eastAsia" w:ascii="宋体" w:hAnsi="宋体" w:cs="宋体"/>
          <w:color w:val="auto"/>
          <w:sz w:val="24"/>
          <w:szCs w:val="32"/>
          <w:highlight w:val="none"/>
        </w:rPr>
        <w:t>系统主体采用B/S框架，辅助功能可采用手机端解决，兼容目前主流的系统，包括浏览器（确保系统能在IE各版本、360、腾讯、chrome等主流浏览器下，应用功能均可正常运行），最大限度降低系统的部署、维护成本，提高系统的易用性。</w:t>
      </w:r>
    </w:p>
    <w:p>
      <w:pPr>
        <w:spacing w:line="360" w:lineRule="auto"/>
        <w:ind w:firstLine="480" w:firstLineChars="200"/>
        <w:jc w:val="left"/>
        <w:rPr>
          <w:rFonts w:hint="eastAsia" w:ascii="宋体" w:hAnsi="宋体" w:cs="宋体"/>
          <w:color w:val="auto"/>
          <w:sz w:val="24"/>
          <w:szCs w:val="32"/>
          <w:highlight w:val="none"/>
        </w:rPr>
      </w:pPr>
      <w:r>
        <w:rPr>
          <w:rFonts w:hint="eastAsia" w:ascii="宋体" w:hAnsi="宋体" w:cs="宋体"/>
          <w:color w:val="auto"/>
          <w:sz w:val="24"/>
          <w:szCs w:val="32"/>
          <w:highlight w:val="none"/>
        </w:rPr>
        <w:t>平台数据库采用分步式数据库，并兼顾数据库节点路由规则的扩容改造及易维护性，采用J2EE架构开发。</w:t>
      </w:r>
      <w:r>
        <w:rPr>
          <w:rFonts w:hint="eastAsia" w:ascii="宋体" w:hAnsi="宋体" w:cs="宋体"/>
          <w:b/>
          <w:bCs/>
          <w:color w:val="auto"/>
          <w:sz w:val="24"/>
          <w:szCs w:val="32"/>
          <w:highlight w:val="none"/>
        </w:rPr>
        <w:t>其中系统数据库要求可适配国产化数据库，需提供数据库架构设计及选型分析方案。</w:t>
      </w:r>
      <w:r>
        <w:rPr>
          <w:rFonts w:hint="eastAsia" w:ascii="宋体" w:hAnsi="宋体" w:cs="宋体"/>
          <w:color w:val="auto"/>
          <w:sz w:val="24"/>
          <w:szCs w:val="32"/>
          <w:highlight w:val="none"/>
        </w:rPr>
        <w:t>系统部署于Linux操作系统下，web服务器采用apache/nginx，要求系统采用严格的静态、动态分离的结构设计，要求采用负载均衡技术，并提供基于HTML5的访问页面。要求使用Tomcat、Jboss等服务器中间件系统作为Web服务解析动态页面。要求采用预分析等缓冲技术提高系统效率。</w:t>
      </w:r>
      <w:r>
        <w:rPr>
          <w:rFonts w:hint="eastAsia" w:ascii="宋体" w:hAnsi="宋体" w:cs="宋体"/>
          <w:b/>
          <w:bCs/>
          <w:color w:val="auto"/>
          <w:sz w:val="24"/>
          <w:szCs w:val="32"/>
          <w:highlight w:val="none"/>
        </w:rPr>
        <w:t>系统要求针对静态页面负载均衡和预分析等缓冲技术进行针对性设计，在讲标时需阐述实现的技术方案。</w:t>
      </w:r>
    </w:p>
    <w:p>
      <w:pPr>
        <w:spacing w:line="360" w:lineRule="auto"/>
        <w:ind w:firstLine="241" w:firstLineChars="100"/>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四</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功能需求</w:t>
      </w:r>
    </w:p>
    <w:p>
      <w:pPr>
        <w:spacing w:line="360" w:lineRule="auto"/>
        <w:ind w:firstLine="480" w:firstLineChars="200"/>
        <w:jc w:val="left"/>
        <w:rPr>
          <w:rFonts w:hint="eastAsia" w:ascii="宋体" w:hAnsi="宋体" w:cs="宋体"/>
          <w:color w:val="auto"/>
          <w:sz w:val="24"/>
          <w:szCs w:val="32"/>
          <w:highlight w:val="none"/>
        </w:rPr>
      </w:pPr>
      <w:r>
        <w:rPr>
          <w:rFonts w:hint="eastAsia" w:ascii="宋体" w:hAnsi="宋体" w:cs="宋体"/>
          <w:color w:val="auto"/>
          <w:sz w:val="24"/>
          <w:szCs w:val="32"/>
          <w:highlight w:val="none"/>
        </w:rPr>
        <w:t>4.1生态环境数据“一套标准”</w:t>
      </w:r>
    </w:p>
    <w:p>
      <w:pPr>
        <w:spacing w:line="360" w:lineRule="auto"/>
        <w:ind w:firstLine="480" w:firstLineChars="200"/>
        <w:jc w:val="left"/>
        <w:rPr>
          <w:rFonts w:hint="eastAsia" w:ascii="宋体" w:hAnsi="宋体" w:cs="宋体"/>
          <w:color w:val="auto"/>
          <w:sz w:val="24"/>
          <w:szCs w:val="32"/>
          <w:highlight w:val="none"/>
        </w:rPr>
      </w:pPr>
      <w:r>
        <w:rPr>
          <w:rFonts w:hint="eastAsia" w:ascii="宋体" w:hAnsi="宋体" w:cs="宋体"/>
          <w:color w:val="auto"/>
          <w:sz w:val="24"/>
          <w:szCs w:val="32"/>
          <w:highlight w:val="none"/>
        </w:rPr>
        <w:t>建设一个面向综合环境业务、融合相关数据资源，包含结构化数据、文本数据、多媒体数据等多种类型资源的全域业务数字空间，基于统一的数据标准规范，实现各类环境质量监测、污染源监测、智能预报警等数据收集、汇总、清洗、共享，结合大数据智能服务，为数据的深度应用及生态环境管理、信息公开等提供数据服务和信息支持，为各类生态环境业务综合应用提供统一的数据支撑服务。</w:t>
      </w:r>
    </w:p>
    <w:p>
      <w:pPr>
        <w:spacing w:line="360" w:lineRule="auto"/>
        <w:ind w:firstLine="482" w:firstLineChars="200"/>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要求本系统与台州市生态环境智慧监管系统对接，按照数据源分析、数据交换共享、应用组件调用等提供整体解决方案，实现生态环境数据全生命周期管理。其中，数据库设计要求可适配国产化数据库，需提供数据库架构设计及选型分析方案。</w:t>
      </w:r>
    </w:p>
    <w:p>
      <w:pPr>
        <w:spacing w:line="360" w:lineRule="auto"/>
        <w:ind w:firstLine="482" w:firstLineChars="200"/>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4.2生态环境多跨融合“一中心”</w:t>
      </w:r>
    </w:p>
    <w:p>
      <w:pPr>
        <w:spacing w:line="360" w:lineRule="auto"/>
        <w:ind w:firstLine="480" w:firstLineChars="200"/>
        <w:jc w:val="left"/>
        <w:rPr>
          <w:rFonts w:hint="eastAsia" w:ascii="宋体" w:hAnsi="宋体" w:cs="宋体"/>
          <w:color w:val="auto"/>
          <w:sz w:val="24"/>
          <w:szCs w:val="32"/>
          <w:highlight w:val="none"/>
        </w:rPr>
      </w:pPr>
      <w:r>
        <w:rPr>
          <w:rFonts w:hint="eastAsia" w:ascii="宋体" w:hAnsi="宋体" w:cs="宋体"/>
          <w:color w:val="auto"/>
          <w:sz w:val="24"/>
          <w:szCs w:val="32"/>
          <w:highlight w:val="none"/>
        </w:rPr>
        <w:t>以路桥区大气环境、水环境、噪声环境质量感知，工业企业污染源，机动车尾气排放，横纵内外环境业务协同等数据为核心组成生态环境“一张网”，实现对路桥区生态环境全业务覆盖、多跨部门协同，对异常问题通过智能预警中心，实现预报警问题智能协同，也可实现跨系统任务协同，形成全业务链闭环处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7" w:firstLineChars="0"/>
        <w:jc w:val="left"/>
        <w:textAlignment w:val="auto"/>
        <w:rPr>
          <w:rFonts w:hint="eastAsia" w:ascii="宋体" w:hAnsi="宋体" w:cs="宋体"/>
          <w:color w:val="auto"/>
          <w:sz w:val="24"/>
          <w:szCs w:val="32"/>
          <w:highlight w:val="none"/>
        </w:rPr>
      </w:pPr>
      <w:r>
        <w:rPr>
          <w:rFonts w:hint="eastAsia" w:ascii="宋体" w:hAnsi="宋体" w:cs="宋体"/>
          <w:color w:val="auto"/>
          <w:sz w:val="24"/>
          <w:szCs w:val="32"/>
          <w:highlight w:val="none"/>
        </w:rPr>
        <w:t>大气环境质量数据协同包括常规空气站、乡镇街道站、工业园区站、清新空气站自动监测数据。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7" w:firstLineChars="0"/>
        <w:jc w:val="left"/>
        <w:textAlignment w:val="auto"/>
        <w:rPr>
          <w:rFonts w:hint="eastAsia" w:ascii="宋体" w:hAnsi="宋体" w:cs="宋体"/>
          <w:color w:val="auto"/>
          <w:sz w:val="24"/>
          <w:szCs w:val="32"/>
          <w:highlight w:val="none"/>
        </w:rPr>
      </w:pPr>
      <w:r>
        <w:rPr>
          <w:rFonts w:hint="eastAsia" w:ascii="宋体" w:hAnsi="宋体" w:cs="宋体"/>
          <w:color w:val="auto"/>
          <w:sz w:val="24"/>
          <w:szCs w:val="32"/>
          <w:highlight w:val="none"/>
        </w:rPr>
        <w:t>水环境质量数据协同包括重点断面、饮用水源点位自动监测数据。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7" w:firstLineChars="0"/>
        <w:jc w:val="left"/>
        <w:textAlignment w:val="auto"/>
        <w:rPr>
          <w:rFonts w:hint="eastAsia" w:ascii="宋体" w:hAnsi="宋体" w:cs="宋体"/>
          <w:color w:val="auto"/>
          <w:sz w:val="24"/>
          <w:szCs w:val="32"/>
          <w:highlight w:val="none"/>
        </w:rPr>
      </w:pPr>
      <w:r>
        <w:rPr>
          <w:rFonts w:hint="eastAsia" w:ascii="宋体" w:hAnsi="宋体" w:cs="宋体"/>
          <w:color w:val="auto"/>
          <w:sz w:val="24"/>
          <w:szCs w:val="32"/>
          <w:highlight w:val="none"/>
        </w:rPr>
        <w:t>噪声环境质量数据协同主要是噪声点位自动监测数据。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7" w:firstLineChars="0"/>
        <w:jc w:val="left"/>
        <w:textAlignment w:val="auto"/>
        <w:rPr>
          <w:rFonts w:hint="eastAsia" w:ascii="宋体" w:hAnsi="宋体" w:cs="宋体"/>
          <w:color w:val="auto"/>
          <w:sz w:val="24"/>
          <w:szCs w:val="32"/>
          <w:highlight w:val="none"/>
        </w:rPr>
      </w:pPr>
      <w:r>
        <w:rPr>
          <w:rFonts w:hint="eastAsia" w:ascii="宋体" w:hAnsi="宋体" w:cs="宋体"/>
          <w:color w:val="auto"/>
          <w:sz w:val="24"/>
          <w:szCs w:val="32"/>
          <w:highlight w:val="none"/>
        </w:rPr>
        <w:t>工业企业污染源数据协同包括涉水、涉气污染源、视频监控点位信息。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7" w:firstLineChars="0"/>
        <w:jc w:val="left"/>
        <w:textAlignment w:val="auto"/>
        <w:rPr>
          <w:rFonts w:hint="eastAsia" w:ascii="宋体" w:hAnsi="宋体" w:cs="宋体"/>
          <w:color w:val="auto"/>
          <w:sz w:val="24"/>
          <w:szCs w:val="32"/>
          <w:highlight w:val="none"/>
        </w:rPr>
      </w:pPr>
      <w:r>
        <w:rPr>
          <w:rFonts w:hint="eastAsia" w:ascii="宋体" w:hAnsi="宋体" w:cs="宋体"/>
          <w:color w:val="auto"/>
          <w:sz w:val="24"/>
          <w:szCs w:val="32"/>
          <w:highlight w:val="none"/>
        </w:rPr>
        <w:t>机动车尾气排放数据协同包括机动车定期排放检验与维修数据、OBD在线监测数据。</w:t>
      </w:r>
    </w:p>
    <w:p>
      <w:pPr>
        <w:spacing w:line="360" w:lineRule="auto"/>
        <w:ind w:firstLine="482" w:firstLineChars="200"/>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要求投标方基于路桥区生态环境业务实际，详细阐述环境质量感知、污染源监测点位现状及监测能力。</w:t>
      </w:r>
    </w:p>
    <w:p>
      <w:pPr>
        <w:spacing w:line="360" w:lineRule="auto"/>
        <w:ind w:firstLine="482" w:firstLineChars="200"/>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4.3污染源智能化档案“一个库”</w:t>
      </w:r>
    </w:p>
    <w:p>
      <w:pPr>
        <w:spacing w:line="360" w:lineRule="auto"/>
        <w:ind w:firstLine="480" w:firstLineChars="200"/>
        <w:jc w:val="left"/>
        <w:rPr>
          <w:rFonts w:hint="eastAsia" w:ascii="宋体" w:hAnsi="宋体" w:cs="宋体"/>
          <w:color w:val="auto"/>
          <w:sz w:val="24"/>
          <w:szCs w:val="32"/>
          <w:highlight w:val="none"/>
        </w:rPr>
      </w:pPr>
      <w:r>
        <w:rPr>
          <w:rFonts w:hint="eastAsia" w:ascii="宋体" w:hAnsi="宋体" w:cs="宋体"/>
          <w:color w:val="auto"/>
          <w:sz w:val="24"/>
          <w:szCs w:val="32"/>
          <w:highlight w:val="none"/>
        </w:rPr>
        <w:t>通过与台州市生态环境智慧监管系统、台州市环境自动监测与信息管理系统、台州市污染治理设施过程监控系统等数据对接，实现污染源全生命周期管理。将企业基本情况、环境评价、排污许可、污染源排放和治理、环境应急和周边环境等多类环保信息，以及为其提供服务的第三方环境服务企业等进行整合建档，建立实时动态更新的企业全生命周期档案一张表，实现“一企一档”，为强化全区域污染源的精细化管理奠定坚实基础。</w:t>
      </w:r>
    </w:p>
    <w:p>
      <w:pPr>
        <w:spacing w:line="360" w:lineRule="auto"/>
        <w:ind w:firstLine="482" w:firstLineChars="200"/>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要求实现本场景与台州市生态环境企业一张表对接，基于企业基本情况、三废防治、能源消耗、总量控制、环境管理、环境应急和服务企业业务提供分类管理设计方案。投标方需结合路桥区各企业实际，设计方案要求不限于对企业产品产能、重点关注物质、处罚整改、信用评价等的详细阐述。</w:t>
      </w:r>
    </w:p>
    <w:p>
      <w:pPr>
        <w:spacing w:line="360" w:lineRule="auto"/>
        <w:ind w:firstLine="482" w:firstLineChars="200"/>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4.4浙政钉“环境钉”</w:t>
      </w:r>
    </w:p>
    <w:p>
      <w:pPr>
        <w:spacing w:line="360" w:lineRule="auto"/>
        <w:ind w:firstLine="480" w:firstLineChars="200"/>
        <w:jc w:val="left"/>
        <w:rPr>
          <w:rFonts w:hint="eastAsia" w:ascii="宋体" w:hAnsi="宋体" w:cs="宋体"/>
          <w:color w:val="auto"/>
          <w:sz w:val="24"/>
          <w:szCs w:val="32"/>
          <w:highlight w:val="none"/>
        </w:rPr>
      </w:pPr>
      <w:r>
        <w:rPr>
          <w:rFonts w:hint="eastAsia" w:ascii="宋体" w:hAnsi="宋体" w:cs="宋体"/>
          <w:color w:val="auto"/>
          <w:sz w:val="24"/>
          <w:szCs w:val="32"/>
          <w:highlight w:val="none"/>
        </w:rPr>
        <w:t>按照浙政钉框架标准规范体系，结合台州市生态环境局路桥分局实际需求，基于移动办公应用实现环境质量和污染源企业信息随时查，通过异常智能报警、发现事件及时上报实现任务协同处置，也可实时查询环保手册和法律法规等，为业主现场事件处置提供便捷服务，提高工作效率。</w:t>
      </w:r>
    </w:p>
    <w:p>
      <w:pPr>
        <w:spacing w:line="360" w:lineRule="auto"/>
        <w:ind w:firstLine="482" w:firstLineChars="200"/>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4.5浙里办“掌上办”</w:t>
      </w:r>
    </w:p>
    <w:p>
      <w:pPr>
        <w:spacing w:line="360" w:lineRule="auto"/>
        <w:ind w:firstLine="480" w:firstLineChars="200"/>
        <w:jc w:val="left"/>
        <w:rPr>
          <w:rFonts w:hint="eastAsia" w:ascii="宋体" w:hAnsi="宋体" w:cs="宋体"/>
          <w:color w:val="auto"/>
          <w:sz w:val="24"/>
          <w:szCs w:val="32"/>
          <w:highlight w:val="none"/>
        </w:rPr>
      </w:pPr>
      <w:r>
        <w:rPr>
          <w:rFonts w:hint="eastAsia" w:ascii="宋体" w:hAnsi="宋体" w:cs="宋体"/>
          <w:color w:val="auto"/>
          <w:sz w:val="24"/>
          <w:szCs w:val="32"/>
          <w:highlight w:val="none"/>
        </w:rPr>
        <w:t>与浙里办应用集成，基于浙里办发布周边环境、环保宣教信息，并提供环保业务咨询服务。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7" w:firstLineChars="0"/>
        <w:jc w:val="left"/>
        <w:textAlignment w:val="auto"/>
        <w:rPr>
          <w:rFonts w:hint="eastAsia" w:ascii="宋体" w:hAnsi="宋体" w:cs="宋体"/>
          <w:color w:val="auto"/>
          <w:sz w:val="24"/>
          <w:szCs w:val="32"/>
          <w:highlight w:val="none"/>
        </w:rPr>
      </w:pPr>
      <w:r>
        <w:rPr>
          <w:rFonts w:hint="eastAsia" w:ascii="宋体" w:hAnsi="宋体" w:cs="宋体"/>
          <w:color w:val="auto"/>
          <w:sz w:val="24"/>
          <w:szCs w:val="32"/>
          <w:highlight w:val="none"/>
        </w:rPr>
        <w:t>周边环境。可实时发布路桥区以及台州市各地区实时空气质量状况、未来7天空气质量预测信息。同时，公众也可了解周边空气站的实时环境质量。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7" w:firstLineChars="0"/>
        <w:jc w:val="left"/>
        <w:textAlignment w:val="auto"/>
        <w:rPr>
          <w:rFonts w:hint="eastAsia" w:ascii="宋体" w:hAnsi="宋体" w:cs="宋体"/>
          <w:color w:val="auto"/>
          <w:sz w:val="24"/>
          <w:szCs w:val="32"/>
          <w:highlight w:val="none"/>
        </w:rPr>
      </w:pPr>
      <w:r>
        <w:rPr>
          <w:rFonts w:hint="eastAsia" w:ascii="宋体" w:hAnsi="宋体" w:cs="宋体"/>
          <w:color w:val="auto"/>
          <w:sz w:val="24"/>
          <w:szCs w:val="32"/>
          <w:highlight w:val="none"/>
        </w:rPr>
        <w:t>环保宣教。为公众提供环保政策查询，支持信息下载。同时，通过工作台可支持政策信息发布，可支持文字、图片、文件、表格等信息即时发布。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7" w:firstLineChars="0"/>
        <w:jc w:val="left"/>
        <w:textAlignment w:val="auto"/>
        <w:rPr>
          <w:rFonts w:hint="eastAsia" w:ascii="宋体" w:hAnsi="宋体" w:cs="宋体"/>
          <w:color w:val="auto"/>
          <w:sz w:val="24"/>
          <w:szCs w:val="32"/>
          <w:highlight w:val="none"/>
        </w:rPr>
      </w:pPr>
      <w:r>
        <w:rPr>
          <w:rFonts w:hint="eastAsia" w:ascii="宋体" w:hAnsi="宋体" w:cs="宋体"/>
          <w:color w:val="auto"/>
          <w:sz w:val="24"/>
          <w:szCs w:val="32"/>
          <w:highlight w:val="none"/>
        </w:rPr>
        <w:t>为公众提供一站式环境业务咨询服务，可在线咨询与生态环境相关各类生产、治理等相关业务问题，结合大数据智能搜索，通过定向问题匹配，以问答交流、图文等形式进行答疑。</w:t>
      </w:r>
    </w:p>
    <w:p>
      <w:pPr>
        <w:spacing w:line="360" w:lineRule="auto"/>
        <w:ind w:firstLine="482" w:firstLineChars="200"/>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4.6业务平台接口</w:t>
      </w:r>
    </w:p>
    <w:p>
      <w:pPr>
        <w:spacing w:line="360" w:lineRule="auto"/>
        <w:ind w:firstLine="480" w:firstLineChars="200"/>
        <w:jc w:val="left"/>
        <w:rPr>
          <w:rFonts w:hint="eastAsia" w:ascii="宋体" w:hAnsi="宋体" w:cs="宋体"/>
          <w:color w:val="auto"/>
          <w:sz w:val="24"/>
          <w:szCs w:val="32"/>
          <w:highlight w:val="none"/>
        </w:rPr>
      </w:pPr>
      <w:r>
        <w:rPr>
          <w:rFonts w:hint="eastAsia" w:ascii="宋体" w:hAnsi="宋体" w:cs="宋体"/>
          <w:color w:val="auto"/>
          <w:sz w:val="24"/>
          <w:szCs w:val="32"/>
          <w:highlight w:val="none"/>
        </w:rPr>
        <w:t>通过与台州市生态环境智慧监管系统、台州市生态环境企业一张表等信息系统无缝对接，获取台州市空气站、水质自动站、污染源在线和全过程工况数据、未来空气质量预报数据等，为路桥区数字化监管提供基础的数据支撑。</w:t>
      </w:r>
    </w:p>
    <w:p>
      <w:pPr>
        <w:spacing w:line="360" w:lineRule="auto"/>
        <w:ind w:firstLine="482" w:firstLineChars="200"/>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4.7决策中心</w:t>
      </w:r>
    </w:p>
    <w:p>
      <w:pPr>
        <w:spacing w:line="360" w:lineRule="auto"/>
        <w:ind w:firstLine="480" w:firstLineChars="200"/>
        <w:jc w:val="left"/>
        <w:rPr>
          <w:rFonts w:hint="eastAsia" w:ascii="宋体" w:hAnsi="宋体" w:cs="宋体"/>
          <w:color w:val="auto"/>
          <w:sz w:val="24"/>
          <w:szCs w:val="32"/>
          <w:highlight w:val="none"/>
        </w:rPr>
      </w:pPr>
      <w:r>
        <w:rPr>
          <w:rFonts w:hint="eastAsia" w:ascii="宋体" w:hAnsi="宋体" w:cs="宋体"/>
          <w:color w:val="auto"/>
          <w:sz w:val="24"/>
          <w:szCs w:val="32"/>
          <w:highlight w:val="none"/>
        </w:rPr>
        <w:t>建设一套集日常会议、视频会议、多功能会议为一体的决策中心，确保会议室设计理念先进、系统稳定、功能完善、指挥高效。</w:t>
      </w:r>
    </w:p>
    <w:p>
      <w:pPr>
        <w:spacing w:line="360" w:lineRule="auto"/>
        <w:ind w:firstLine="482" w:firstLineChars="200"/>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要求使用http、Webservice、socket等手段实数据交换及各业务系统间的数据共享，确保高并发访问时的及时响应，要求响应速度快，不得直接写数据库，并要求投标方对接口效率有明确阐述。</w:t>
      </w:r>
    </w:p>
    <w:p>
      <w:pPr>
        <w:spacing w:line="360" w:lineRule="auto"/>
        <w:ind w:firstLine="241" w:firstLineChars="100"/>
        <w:jc w:val="left"/>
        <w:rPr>
          <w:rFonts w:hint="default" w:ascii="宋体" w:hAnsi="宋体" w:eastAsia="宋体" w:cs="宋体"/>
          <w:b/>
          <w:bCs/>
          <w:color w:val="auto"/>
          <w:sz w:val="24"/>
          <w:szCs w:val="32"/>
          <w:highlight w:val="none"/>
          <w:lang w:val="en-US" w:eastAsia="zh-CN"/>
        </w:rPr>
      </w:pP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lang w:val="en-US" w:eastAsia="zh-CN"/>
        </w:rPr>
        <w:t>五</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lang w:val="en-US" w:eastAsia="zh-CN"/>
        </w:rPr>
        <w:t>商务需求</w:t>
      </w:r>
    </w:p>
    <w:p>
      <w:pPr>
        <w:spacing w:line="360" w:lineRule="auto"/>
        <w:ind w:firstLine="480" w:firstLineChars="200"/>
        <w:jc w:val="left"/>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支付方式：签订合同后，支付合同总金额的30%，设备到货后支付</w:t>
      </w:r>
      <w:r>
        <w:rPr>
          <w:rFonts w:hint="eastAsia" w:ascii="宋体" w:hAnsi="宋体" w:cs="宋体"/>
          <w:color w:val="auto"/>
          <w:sz w:val="24"/>
          <w:szCs w:val="32"/>
          <w:highlight w:val="none"/>
          <w:lang w:val="en-US" w:eastAsia="zh-CN"/>
        </w:rPr>
        <w:t>合同</w:t>
      </w:r>
      <w:r>
        <w:rPr>
          <w:rFonts w:hint="eastAsia" w:ascii="宋体" w:hAnsi="宋体" w:cs="宋体"/>
          <w:color w:val="auto"/>
          <w:sz w:val="24"/>
          <w:szCs w:val="32"/>
          <w:highlight w:val="none"/>
        </w:rPr>
        <w:t>款的</w:t>
      </w: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rPr>
        <w:t>0%，系统上线并进入试运行后支付</w:t>
      </w:r>
      <w:r>
        <w:rPr>
          <w:rFonts w:hint="eastAsia" w:ascii="宋体" w:hAnsi="宋体" w:cs="宋体"/>
          <w:color w:val="auto"/>
          <w:sz w:val="24"/>
          <w:szCs w:val="32"/>
          <w:highlight w:val="none"/>
          <w:lang w:val="en-US" w:eastAsia="zh-CN"/>
        </w:rPr>
        <w:t>合同款</w:t>
      </w:r>
      <w:r>
        <w:rPr>
          <w:rFonts w:hint="eastAsia" w:ascii="宋体" w:hAnsi="宋体" w:cs="宋体"/>
          <w:color w:val="auto"/>
          <w:sz w:val="24"/>
          <w:szCs w:val="32"/>
          <w:highlight w:val="none"/>
        </w:rPr>
        <w:t>的</w:t>
      </w:r>
      <w:r>
        <w:rPr>
          <w:rFonts w:hint="eastAsia" w:ascii="宋体" w:hAnsi="宋体" w:cs="宋体"/>
          <w:color w:val="auto"/>
          <w:sz w:val="24"/>
          <w:szCs w:val="32"/>
          <w:highlight w:val="none"/>
          <w:lang w:val="en-US" w:eastAsia="zh-CN"/>
        </w:rPr>
        <w:t>20</w:t>
      </w:r>
      <w:r>
        <w:rPr>
          <w:rFonts w:hint="eastAsia" w:ascii="宋体" w:hAnsi="宋体" w:cs="宋体"/>
          <w:color w:val="auto"/>
          <w:sz w:val="24"/>
          <w:szCs w:val="32"/>
          <w:highlight w:val="none"/>
        </w:rPr>
        <w:t>%，整体项目验收合格后支付合同总金额的</w:t>
      </w:r>
      <w:r>
        <w:rPr>
          <w:rFonts w:hint="eastAsia" w:ascii="宋体" w:hAnsi="宋体" w:cs="宋体"/>
          <w:color w:val="auto"/>
          <w:sz w:val="24"/>
          <w:szCs w:val="32"/>
          <w:highlight w:val="none"/>
          <w:lang w:val="en-US" w:eastAsia="zh-CN"/>
        </w:rPr>
        <w:t>30</w:t>
      </w:r>
      <w:r>
        <w:rPr>
          <w:rFonts w:hint="eastAsia" w:ascii="宋体" w:hAnsi="宋体" w:cs="宋体"/>
          <w:color w:val="auto"/>
          <w:sz w:val="24"/>
          <w:szCs w:val="32"/>
          <w:highlight w:val="none"/>
        </w:rPr>
        <w:t>%。</w:t>
      </w:r>
    </w:p>
    <w:p>
      <w:pPr>
        <w:spacing w:line="360" w:lineRule="auto"/>
        <w:ind w:firstLine="480" w:firstLineChars="200"/>
        <w:jc w:val="left"/>
        <w:rPr>
          <w:rFonts w:hint="eastAsia" w:ascii="宋体" w:hAnsi="宋体" w:cs="宋体"/>
          <w:color w:val="auto"/>
          <w:sz w:val="24"/>
          <w:szCs w:val="32"/>
          <w:highlight w:val="none"/>
        </w:rPr>
      </w:pPr>
      <w:r>
        <w:rPr>
          <w:rFonts w:hint="eastAsia" w:ascii="宋体" w:hAnsi="宋体" w:cs="宋体"/>
          <w:b w:val="0"/>
          <w:bCs w:val="0"/>
          <w:color w:val="auto"/>
          <w:sz w:val="24"/>
          <w:szCs w:val="32"/>
          <w:highlight w:val="none"/>
          <w:lang w:val="en-US" w:eastAsia="zh-CN"/>
        </w:rPr>
        <w:t>质保及软件免费维保期</w:t>
      </w:r>
      <w:r>
        <w:rPr>
          <w:rFonts w:hint="eastAsia" w:ascii="宋体" w:hAnsi="宋体" w:cs="宋体"/>
          <w:color w:val="auto"/>
          <w:sz w:val="24"/>
          <w:szCs w:val="32"/>
          <w:highlight w:val="none"/>
        </w:rPr>
        <w:t>：</w:t>
      </w:r>
      <w:r>
        <w:rPr>
          <w:rFonts w:hint="eastAsia" w:ascii="宋体" w:hAnsi="宋体" w:cs="宋体"/>
          <w:b w:val="0"/>
          <w:bCs w:val="0"/>
          <w:color w:val="auto"/>
          <w:sz w:val="24"/>
          <w:szCs w:val="32"/>
          <w:highlight w:val="none"/>
          <w:lang w:val="en-US" w:eastAsia="zh-CN"/>
        </w:rPr>
        <w:t>项目验收通过后两年</w:t>
      </w:r>
      <w:r>
        <w:rPr>
          <w:rFonts w:hint="eastAsia" w:ascii="宋体" w:hAnsi="宋体" w:cs="宋体"/>
          <w:color w:val="auto"/>
          <w:sz w:val="24"/>
          <w:szCs w:val="32"/>
          <w:highlight w:val="none"/>
        </w:rPr>
        <w:t>。</w:t>
      </w:r>
    </w:p>
    <w:p>
      <w:pPr>
        <w:spacing w:line="360" w:lineRule="auto"/>
        <w:ind w:firstLine="241" w:firstLineChars="100"/>
        <w:jc w:val="left"/>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（六）附件清单</w:t>
      </w:r>
    </w:p>
    <w:tbl>
      <w:tblPr>
        <w:tblStyle w:val="27"/>
        <w:tblW w:w="0" w:type="auto"/>
        <w:jc w:val="center"/>
        <w:shd w:val="clear" w:color="auto" w:fill="auto"/>
        <w:tblLayout w:type="autofit"/>
        <w:tblCellMar>
          <w:top w:w="0" w:type="dxa"/>
          <w:left w:w="108" w:type="dxa"/>
          <w:bottom w:w="0" w:type="dxa"/>
          <w:right w:w="108" w:type="dxa"/>
        </w:tblCellMar>
      </w:tblPr>
      <w:tblGrid>
        <w:gridCol w:w="796"/>
        <w:gridCol w:w="1457"/>
        <w:gridCol w:w="4713"/>
        <w:gridCol w:w="775"/>
        <w:gridCol w:w="775"/>
      </w:tblGrid>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名称</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规格及说明</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r>
      <w:tr>
        <w:tblPrEx>
          <w:shd w:val="clear" w:color="auto" w:fill="auto"/>
          <w:tblCellMar>
            <w:top w:w="0" w:type="dxa"/>
            <w:left w:w="108" w:type="dxa"/>
            <w:bottom w:w="0" w:type="dxa"/>
            <w:right w:w="108" w:type="dxa"/>
          </w:tblCellMar>
        </w:tblPrEx>
        <w:trPr>
          <w:trHeight w:val="0" w:hRule="atLeast"/>
          <w:jc w:val="center"/>
        </w:trPr>
        <w:tc>
          <w:tcPr>
            <w:tcW w:w="87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1、生态环境数据“一套标准”</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数字空间规划</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数据源分析、数据标准规范、构建全域业务数字空间</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生态环境业务数据关联模型建立</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生态环境业务数据关联模型建立</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数据资源一体化</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数据交换共享、应用组件调用、云资源“一本账”管理</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大数据智能服务</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可视化分析服务、环境数据挖掘与分析、数据运维与数据安全服务</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7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2、生态环境多跨融合“一中心”</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多跨数据协同</w:t>
            </w:r>
          </w:p>
        </w:tc>
        <w:tc>
          <w:tcPr>
            <w:tcW w:w="4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大气环境质量数据协同、水环境质量数据协同、污染源在线监测数据协同、机动车尾气数据协同、多跨部门数据协同</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环境智能预警中心</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数据预警规则引擎</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预报警智能协同</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相关责任人、处置人推送、跨系统协同</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7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3、污染源智能化档案“一个库”</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建设项目环评审批</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建设项目环评审批</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排污许可</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排污许可</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环境信访</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环境信访</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监察执法</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监察执法</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环境处罚</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环境处罚</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环境应急</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环境应急</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环境报警</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环境报警</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7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4、移动端</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浙政钉“环境钉”</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建立浙政钉用户体系、移动办公</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浙里办“掌上办”</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建立浙里办用户体系、周边环境、环保宣教、业务咨询</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7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5、系统协同对接</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业务协同</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业务协同</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消息协同</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消息协同</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数据协同</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数据协同</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7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6、配套工程建设费用</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软件测评</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软件测评</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云服务</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政务云和公有云服务</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年</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等保测评</w:t>
            </w:r>
          </w:p>
        </w:tc>
        <w:tc>
          <w:tcPr>
            <w:tcW w:w="4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二级等保测评</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shd w:val="clear" w:color="auto" w:fill="auto"/>
          <w:tblCellMar>
            <w:top w:w="0" w:type="dxa"/>
            <w:left w:w="108" w:type="dxa"/>
            <w:bottom w:w="0" w:type="dxa"/>
            <w:right w:w="108" w:type="dxa"/>
          </w:tblCellMar>
        </w:tblPrEx>
        <w:trPr>
          <w:trHeight w:val="0" w:hRule="atLeast"/>
          <w:jc w:val="center"/>
        </w:trPr>
        <w:tc>
          <w:tcPr>
            <w:tcW w:w="87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7、LED显示屏系统(显示屏净尺寸4.8m*2.025m，屏体分辨率：3840*1620）</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户内全彩LED屏</w:t>
            </w:r>
          </w:p>
        </w:tc>
        <w:tc>
          <w:tcPr>
            <w:tcW w:w="4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1.★LED灯珠选用科锐、日亚或国星表贴三合一等原厂铜线封装，LED封装形式：SMD1010黑灯，并提供原厂封装证明文件。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2.LED灯珠发光点颜色组合（像素结构）由1R1G1B构成。</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3.驱动IC采用ICND2153技术，采用恒流驱动方式，刷新频率≥3840Hz。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4.LED显示屏采用≤1.25mm点间距，像素密度≥640000点/㎡。需提供第三方检测机构出具的带有CNAS标志的检测报告。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5.箱体尺寸：600*337.5（mm），箱体分辨率≥480*270，箱体尺寸比例16：9；规格：压铸铝；支持前维护，防护等级可达IP5X。</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6.亮度要求满足200-800CD/㎡，对比度可达对比度：10000:1，并支持亮度/ 色度矫正功能，支持单点色度校正，软件具有亮暗线修缝，亮度均匀性≥98%，色度均匀性±0.003Cx，Cy之内。需提供第三方检测机构出具的带有CNAS标志的检测报告。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为保证观看和播放效果，要求观看水平视角≥160°、垂直视角≥160°，换帧频率≥60Hz，灰度等级支持12/14/16bit；要求LED显示屏具有防消影技术，无鬼影、无拖影，无“毛毛虫”现象。需提供第三方检测机构出具的带有CNAS标志的检测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8.LED显示屏像素失控率≤1/100000，且无连续失控点。要求LED显示屏使用寿命100000H，平均无故障时间：≥10000H。</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9.LED显示屏需能在-10℃至40℃的温度中正常运行。</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10.LED显示屏采用无底壳设计，箱体与模组直接接触，提高散热，无需增加塑料底壳；箱体采用信号电源插件直接接入，箱体之间无裸露线材连接。需提供第三方检测机构出具的带有CNAS标志的检测报告。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单元箱体具有LCD显示面板，具有安装角度检测功能，可非常直观地显示箱体的安装的水平垂直角度值。具有单箱检测功能，屏体通电后可通过箱体上按键进行单箱体检测。需提供第三方检测机构出具的带有CNAS标志的检测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12.支持X、Y、Z 和Y、U、V色彩变换以及HDR高动态显示，符合DCI-P3色域要求，色域覆盖率≥125%。采用跨板耦合设计，有效解决低灰色块、偏色暗亮。需提供第三方检测机构出具的带有CNAS标志的检测报告。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13.LED显示屏PCB板需经过EN60695-2-11:2014标准检测，阻燃等级V-0级。需提供第三方检测机构出具的带有CNAS标志的检测报告。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14.LED显示屏需经过抗紫外线UV测试并符合要求。需提供第三方检测机构出具的带有CNAS标志的检测报告并加盖原厂公章。</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15.LED显示屏需通过中性盐雾抗腐蚀性GB2423.17-2008标准试验，进行72小时试验后无明显腐蚀现象，应能正常工作。需提供第三方检测机构出具的带有CNAS标志的检测报告。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16.LED显示屏须经过噪音测试，并要求屏前2米处噪音≤6dB。需提供第三方检测机构出具的带有CNAS标志的检测报告。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17.为充分保证模块抗氧化性，模组PCB板应采用沉金工艺处理方式，模组接插件信号简牛、电源座采用镀金工艺处理，有效提高信号传输、直流供电稳定性，镀金厚度≥2μ。需提供第三方检测机构出具的带有CNAS标志的检测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★18.为保证显示产品检测机构的权威性，需提供“中国合格评定国家认可委员会与国家认证认可监督管理委员会或省级质量技术监督部门”出具带有检测机构印章的授权证明文件复印件。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19.屏体为全国质量信得过产品、全国质量检验稳定合格产品</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9.72</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平方米</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视频处理器</w:t>
            </w:r>
          </w:p>
        </w:tc>
        <w:tc>
          <w:tcPr>
            <w:tcW w:w="4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1.大带载支持16路网口和4路光纤输出，带载高达1040万像素，最大宽度16384像素，最大高度8192像素。</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2.支持HDR输出能够极大地增强显示屏的画质，使画面色彩更加真实生动，细节更加清晰。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3.支持个性化的画质缩放。</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4.支持三种画面缩放模式，包括点对点模式、全屏缩放、自定义缩放。</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5.支持5窗口任意布局。</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6.支持监视输出画面将监视内容通过HDMI发送到显示器显示。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7.支持场景预设，最多可创建10个用户场景作为模板保存，可直接调用，方便使用。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8.支持用户自定 EDID和预设EDID。</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技术参数: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输入接口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1.3G-SDI*1：最大支持1920*1080@60Hz分辨率视频源输入，向下兼容；支持去隔行</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2.DVI*4：单链路DVI输入，每路最高支持1920*1200@60Hz视频源输入，向下兼容</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3.HDMI*1：最大支持3840*2160@60Hz分辨率视频源输入，向下兼容；支持 HDCP 1.4 和 EDID 1.4</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输出接口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1.Port*16：RJ45，16路千兆网口输出，16个网口可上下左右任意拼接控制接口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2.OPT1*4：4路10G光纤输出接口；OPT1传输 1～8 路网口数据；OPT2传输 9～16 路网口数据；OPT3为 OPT1 或 1～8 路网口的复制通道；OPT4为 OPT2 或 9～16 路网口的复制通道</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3.MONITOR*1：HDMI接口，预监输出，支持1920*1080@60Hz分辨率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控制接口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1.ETHERNET*1：连接PC通讯（仅在调试时使用）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2.USB(方口)*1：连接PC，调试设备，设备级联输入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3.USB(扁口)*1：用于设备级联输出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4.RS232*1：连接中控设备</w:t>
            </w:r>
          </w:p>
        </w:tc>
        <w:tc>
          <w:tcPr>
            <w:tcW w:w="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控制系统</w:t>
            </w:r>
          </w:p>
        </w:tc>
        <w:tc>
          <w:tcPr>
            <w:tcW w:w="4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1.高清视频传输接口，最高支持1080P60输入输出高清矩阵。</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2.内置DSP音频处理器，全数字音频处理算法，每个输入通道均有31段参量均衡。（提供功能界面截图）</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★3.具备1路HDBaseT输入，3路HDMI输入，2路HDMI输出。（提供产品图片接口标注图）</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4.具备1路音频线路和1路MIC输入，1路音频线路输出。（提供产品图片接口标注图）</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5.支持网络扩展设备，可实现网络扩展控制电源等设备。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6.支持433MHz无线控制功能。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7.支持支持1路红外学习口等。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8.支持1路RJ45网络接口。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9.支持通过手机APP无线管控，支持WEB控制。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10.支持网络传输数字音频，通过网络有源音响进行音频传输扩音。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★所投设备与LED屏体、音箱设备为同一厂家，不接受OEM产品</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LED显示屏智慧控制系统</w:t>
            </w:r>
          </w:p>
        </w:tc>
        <w:tc>
          <w:tcPr>
            <w:tcW w:w="4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1.配置显示屏的性能参数，如：LED显示屏视觉刷新率，灰度级数，移位时钟频率等；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2.配置显示屏的传输方式和方向；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3.配置控制器映射位置和大小；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4.保存和加载控制系统参数；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5.周期刷新显示屏控制系统的工作状态；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6.读取显示屏校正系数，手动调节显示屏的校正系数；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7.上传校正数据到控制系统；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8.配置显示屏的亮度调节模式，设置每种模式对应的参数；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9.配置显示屏色温列表，对显示屏进行色温调节；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10.对显示屏进行Gamma调节；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11.查看当前控制系统的映射信息、版本信息，并对控制器进行授权；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12.显示屏画面控制，包括：画面黑屏、画面锁定、正常显示；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★13.软件支持二次开发，生产厂家须具备CMMI3级（含）成熟度认证（提供复印件），官网可查</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配电柜</w:t>
            </w:r>
          </w:p>
        </w:tc>
        <w:tc>
          <w:tcPr>
            <w:tcW w:w="4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1.额定功率：10KW，输出路数：3路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2.配电柜输入电压为交流380V±15%，工频50Hz。具有过压、浪涌、短路、过流、过载、漏电等保护功能。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3.内置避雷器，具有避雷防雷功能。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4.配电柜含多功能卡控制，具有远程控制功能。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5.支持通过LED显示屏智慧控制系统软件实现远程开关电箱、远程通讯、电源监视、温度监控、消防监控等操作。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★6.具有PLC智通远程控制系统软件著作权，提供资料复印件，及官网截图</w:t>
            </w:r>
          </w:p>
        </w:tc>
        <w:tc>
          <w:tcPr>
            <w:tcW w:w="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结构边框</w:t>
            </w:r>
          </w:p>
        </w:tc>
        <w:tc>
          <w:tcPr>
            <w:tcW w:w="4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室内钢结构设计,采用Q235B国标材料</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shd w:val="clear" w:color="auto" w:fill="auto"/>
          <w:tblCellMar>
            <w:top w:w="0" w:type="dxa"/>
            <w:left w:w="108" w:type="dxa"/>
            <w:bottom w:w="0" w:type="dxa"/>
            <w:right w:w="108" w:type="dxa"/>
          </w:tblCellMar>
        </w:tblPrEx>
        <w:trPr>
          <w:trHeight w:val="0" w:hRule="atLeast"/>
          <w:jc w:val="center"/>
        </w:trPr>
        <w:tc>
          <w:tcPr>
            <w:tcW w:w="87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8、扩声系统</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专业功放</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1.工业造型钢面板，专业设计坚固面耐用，面板防尘网可折洗结构设计，可拆卸清洗的散热通风口。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2.开机软启动，防止开机时向电网吸收大电流，干扰其它用电设备。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3.智能控制强制散热设计，风机噪音小，散热效率高等特点。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4.两声道功放有三档输入灵敏度选择，轻松接纳宽幅度范围信号源输入；输入灵敏度：0.775V/1V/1.44V</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★5.完善可靠的安全保护措施和工作状态指示（短路、过载、直流和过热保护、变压器过热保护）。(出具满足该参数的第三方权威机构检测报告，提供相关证明材料)。</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6.智能削峰限幅器，控制功率模块及扬声器系统在安全范围内工作。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7.标准XLR+TRS1/4” 复合输入接口，简洁的接口更加方便不同用户需求。</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8.高品质变压器和低阻大容量电解滤波，保证大动态工作应付自如。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9.适应不同场合所需，可选立体声或桥接工作模式。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10.输入座接地脚接地和悬浮控制。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11.输出功率（20Hz-20KHz/THD≤1％）：立体声/并联8Ω×2：200W×2；立体声/并联4Ω×2：300W×2；桥接8Ω：600W</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★12.产品厂家获得国家版权局颁发的“功放线路自动检测嵌入式集成控制软件”计算机软件著作权登记证书，且同时提供软件测试报告（全套）资料，提供证书官网截图。</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13.产品厂商具有标准化良好行为证书，提供证明文件</w:t>
            </w:r>
          </w:p>
        </w:tc>
        <w:tc>
          <w:tcPr>
            <w:tcW w:w="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专业音箱</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1.阻抗：8Ω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2.频响：65Hz~20KHz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3.额定功率：150W</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4.灵敏度：95dB/W/M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5.覆盖角度：(H)80°(V)60°</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6.高音：3"锥形高音单元×2</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7.低音：8"低音×1</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厂家入库EASE声学设计库，提供证明文件及官网截图</w:t>
            </w:r>
          </w:p>
        </w:tc>
        <w:tc>
          <w:tcPr>
            <w:tcW w:w="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只</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支架</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固定面板尺寸（长*宽）： 140mm*65mm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箱体固定面板尺寸（长*宽）： 128mm*70mm</w:t>
            </w:r>
          </w:p>
        </w:tc>
        <w:tc>
          <w:tcPr>
            <w:tcW w:w="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只</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调音台</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1.支持≥8路麦克风输入兼容6路线路输入接口，支持≥2路立体声输入接口，≥4路RCA输入，话筒接口幻象电源：+48V。</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2.具有≥2组立体主输出、≥4路编组输出、≥4路辅助输出、≥1组立体声监听输出、≥1个耳机监听输出、≥2个效果输出、≥1组主混音断点插入、≥6个断点插入。（提供接口截图佐证）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3.内置24位DSP效果器，提供100种预设效果。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4.具备13个60mm行程的高精密碳膜推子。</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5.内置USB声卡模块，支持连接电脑进行音乐播放和声音录音；内置MP3播放器，支持1个USB接口接U盘播放音乐。（提供功能截图佐证）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6.频率响应：20Hz-20kHz，±2dB；失真度：&lt;0.03% at+0dB,22Hz-22KHz A-weighted；灵敏度；+21dB~-30dB；信噪比：&lt;-100dBr A-weighted。</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★7.具有由国家版权局颁发的“调音台音频处理软件”著作权证书,网址可查,同时产品通过国家CCC认证（证书名称需与产品名称一致）</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音频处理器</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1.数字音频处理器支持≥4路平衡式话筒/线路输入通道，采用裸线接口端子，平衡接法；支持≥4路平衡式线路输出，采用裸线接口端子，平衡接法。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2、输入通道支持前级放大、信号发生器、扩展器、压缩器、5段参量均衡、AM自动混音功能、AFC自适应反馈消除、AEC回声消除、ANC噪声消除。</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3、输出通道支持31段参量均衡器、延时器、分频器、高低通滤波器、限幅器。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4.支持24bit/48KHz卓越的高品质声音，支持输入通道48V幻象供电，频率响应：20Hz-20KHz，总谐波失真＜0.002%@1KHz,4dBu，数/模动态范围(A-计权)：120dB；最大输出电平≥+24dBu，最大输入电平≥+24dBu。</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支持通过ipad或iPhone或安卓手机APP软件进行操作控制，面板具备USB接口，支持多媒体存储，可进行播放或存储录播。（提供功能界面截图及接口截图佐证）(出具满足该功能参数的第三方权威机构检测报告，提供相关证明材料)</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6.配置双向RS-232接口，可用于控制外部设备；配置RS-485接口，可实现自动摄像跟踪功能。配置8通道可编程GPIO控制接口（可自定义输入输出）。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7.支持断电自动保护记忆功能。支持通道拷贝、粘贴、联控功能。支持通过浏览器访问设备，下载自带管理控制软件；软件界面直观、图形化，可工作在XP/Windows7.8.10等系统环境下。</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8.内置软件通过国家版权局颁发的数字音频矩阵处理器内嵌软件著作权证书提供复印件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9.生产厂家出具中国电子声学会颁发的声频工程企业综合技术壹级证书复印件</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无线话筒</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1.频率指标：470-510M 540-590M 640-690M 740-790M 807-830MHz 五段（要求满足或优于此性能），调制方式：宽带FM，频道数目：500个频道。(出具满足该参数的第三方权威机构检测报告，提供相关证明材料)</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2.配套有1台接收主机和2个无线手持话筒。</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4.带8级射频电平显示，8级音频电平显示，频道菜单显示，静音显示；具有SCAN 自动扫频功能，使用前按SET功能键自动找一个环境最干净的频点处停下来，此频率作为接收机的使用频率。(出具满足该参数的第三方权威机构检测报告，提供相关证明材料)</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5.平衡和非平衡两种选择输出端口，适应不同的设备连接需求。</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6.接收机指标：采用二次变频超外差的接收机方式，灵敏度: 12dB μV（80dBS/N)，灵敏度调节范围:12-32dB μV，频率响应:80Hz-18KHz（±3dB）。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7.发射机指标：音头采用动圈式麦克风</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8.输出功率:3mW~30mW。</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电源时序器</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1.支持8通道电源时序打开/关闭，每路动作延时时间：1秒，支持远程控制（上电+24V直流信号）8通道电源时序打开/关闭—当电源开关锁处于off位置时有效。支持配置CH1和CH2通道为受控或不受控状态。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2.当远程控制有效时同时控制后板ALARM（报警）端口导通—起到级联控制ALARM（报警）功能。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3.单个通道最大负载功率2200W，所有通道负载总功率达6000W。输出连接器：多用途电源插座。</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7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9、会议系统</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会议系统主机</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采用5GHz的通信频段，拥有更强的抗干扰能力，提供更大的带宽和传输速度，并不受移动电话和其他蓝牙设备干扰，确保实现最佳的信号接收。采用128位AES加密技术，支持WPA/WPA2无线安全技术，防止窃听和非授权访问，提供更高的会议系统机密性。（此功能参数提供中国质量认证中心出具的检验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内置高性能双处理器，超强的处理能力，内核具有28/56位、50MIPS数字音频DSP处理器，立体声音频ADC和DAC，支持8KHz至96KHz范围内的采样速率，并支持数字音量控制。（此功能参数提供中国质量认证中心出具的检验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具有≥4.3英寸触摸屏，具有WIFI网络接口，可以通过连接POE网络交换机扩充无线AP数量，提供更大的无线覆盖范围。具有1-4路会议单元输出接口，具有超大系统容量，系统最大支持≥4096台有线会议单元，≥300台无线会议单元。系统最大支持同时开≥8个有线话筒和≥6个无线话筒。（此功能参数提供中国质量认证中心出具的检验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支持WiFi会议系统和全数字会议系统同时使用（有线会议单元和WiFi会议单元同时使用）。具有一键关机所有无线单元功能。具有1路USB接口，支持插入U盘设备进行录音功能，支持播放背景音乐功能。具有≥两路功放输出接口，可接驳2*25W定阻音箱。（此功能参数提供中国质量认证中心出具的检验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5、遵循规范：IEC60914，兼容GBT15381-94标准；支持同声传译功能，支持四种话筒管理模式：FIFO/NORMOL/VOICE(声控)/APPLY。具有1路EXTENSION 口，可用于连接扩展主机。（此功能参数提供中国质量认证中心出具的检验报告）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具有≥1路RS-485接口，支持一台摄像机实现摄像跟踪。具有≥1路消防报警联动触发接口，在消防紧急状况下可为会议主机面板触摸屏、单元机屏、PC软件提供火灾报警信息。具有≥1路平衡信号和≥1路非平衡信号输入接口，≥1路平衡信号和≥1路非平衡信号输出接口。（提供对应设备接口图标识佐证）（此功能参数提供中国质量认证中心出具的检验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7、PC软件端可查看无线单元的电池电量、WiFi信号等信息状态。支持中英文语言界面切换。（此功能参数提供中国质量认证中心出具的检验报告）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具有丰富的会议应用功能，支持投票表决功能、会议签到功能、5段EQ调节功能、广播短消息、茶水申请服务等，支持会议信息导出，满足日常会议应用所需。（此功能参数提供中国质量认证中心出具的检验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9、频率响应范围20Hz~20KHz，总谐波失真&lt;0.05%，信噪比&gt;85dB(A)，动态范围&gt;80dB。                                                                                                               提供主机单页彩页接口图片（投标文件提供复印件）                                                                                                                                             需提供产品认证3C、CE、CB证书复印件                                                                                                                                                        ★支持与科大讯飞对接语音转文本功能，可实现角色分离的语音转文本写录功能。（厂家需出具对接证明函）</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抑制器</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1.48kHz采样频率，32-bit DPS处理器（300兆主频），24-bitA/D及D/A转换。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2.5档全自动移频模式选择，适用于各种场景及麦克风类型。(出具满足该参数的第三方权威机构检测报告，提供相关证明材料)</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3.采用2英寸IPS真彩显示屏，分辨率320*240。支持中/英文菜单显示。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4.48个陷波器状态LED指示灯实时显示，每通道12个静态+12个动态陷波器。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5.采用单键飞梭快捷操作，快速实现模式、直通、锁定及中英文选择功能。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6.移频器±10Hz可调（1Hz步进），陷波器增益、Q值、数量可调。</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7.独立每通道增益、噪声门、压限器、移频、陷波、高低通、7段PEQ功能设置。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8.提供USB和RS-485通讯接口，连接PC上位机及中控设备。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9.通过PC上位机可任意编辑5档预设模式，支持模式存档及EQ存档导入导出。(出具满足该参数的第三方权威机构检测报告，提供相关证明材料)</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连接线</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20米延长线（一公一母）</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插座</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1.采用铝合金材料，独特的外观设计，防锈处理。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2.一进三出，采用100M 网络传输。</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主席单元</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1.嵌入式话筒采用48KHz采样率，内部具有DSP音频处理，没有“噗噗”的低频冲击声；采用100M网络传输，实现手拉手级联，长距离输对音质不会有任何影响。</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2.支持触摸按键签到功能，支持声控功能。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3.遵循规范：IEC60914，采用心型指向性驻极体麦克风，频率响应：80Hz-16KHz，信噪比&gt;80dB(A)，THD&lt;0.1%。</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4.单元具备优先权功能，可关闭正在发言的所有代表话筒。</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5.支持5段EQ调节功能，后台软件可针对发言者的声音特点调节不同的音效。（具有国国家版权局通过的“手拉手会议代表控制内嵌软件”软件著作权证书，提供证书复印件和查询网址）</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代表单元</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1.嵌入式话筒采用48KHz采样率，内部具有DSP音频处理，没有“噗噗”的低频冲击声；采用100M网络传输，实现手拉手级联，长距离输对音质不会有任何影响。</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2.支持触摸按键签到功能，支持声控功能。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3.遵循规范：IEC60914，采用心型指向性驻极体麦克风，频率响应：80Hz-16KHz，信噪比&gt;80dB(A)，THD&lt;0.1%。</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4.支持5段EQ调节功能，后台软件可针对发言者的声音特点调节不同的音效。（需提供证明满足此功能第三方检测结构出具的检验报告）</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7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10、集中控制系统</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网络中控主机</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1.采用嵌入式硬件架构，稳定可靠，可以7×24小时不间断运行。采用最新32位Cortex-A7ARM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2.具备100Mbps标准RJ45网络接口，支持本地及远程多样控制方式，可实现全网络控制。支持分布式部署架构，可根据需求无限扩展接口。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3.支持可编程控制平台，交互式的控制结构，可进行多设备间智能联动。支持B/S架构，支持IOS、安卓等操作系统的PC、移动平台对分布式系统的管控。</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4.具备8路独立可编程串口，可双向传输RS232，RS485及RS422信号；具备≥8路数字I/0输入输出控制口，具备8路弱电继电器接口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5.具备4路独立可编程IR红外发射口，可调发射功率；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6.内嵌智能红外学习功能模块，无须配置专业学习器，具备1个红外接收口，可支持红外遥控学习。提供第三方权威机构出具的本功能检测结果符合要求的检测报告复印件。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所投产品需具备分布式中控系统逻辑处理内嵌软件的著作权登记证书及软件测试报告，提供证书复印件；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★提供由中华人民共和国国家版权局颁发的计算机软件著作权登记证书“分布式拼接显示系统终端嵌入式软件”以及检测报告复印件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需提供中国国家强制性产品认证3C证书复印件（并附官网查询截图佐证）。</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控制平板</w:t>
            </w:r>
          </w:p>
        </w:tc>
        <w:tc>
          <w:tcPr>
            <w:tcW w:w="4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平板 10.1英寸平板4GB+64GB</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无线路由器</w:t>
            </w:r>
          </w:p>
        </w:tc>
        <w:tc>
          <w:tcPr>
            <w:tcW w:w="4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1300M双频全千兆家用无线路由器，2.4G、 5G双频，4个千兆口(1WAN+3LAN)。外置天线，整机最大无线接入速率1267Mbps,支持802.11b/g/n和802.11a/n/ac Wave 1/Wave2,支持单台与多台两种工作模式，支持“易联"零配置组网，有线中继与无线中继智能切换，支持“睿易"APP与易点点小程序管理</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控制器</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1.具有≥8路自动、手动电源控制器，内置8个20A继电器，最大负载能力4400W/单路；配合中控主机使用，用于控制灯光、电动投影幕、电动窗帘等会议室周边设备。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2.每路继电器都有三连接点的接线柱,具有常开与常闭的功能。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★3.具有复位按键，支持恢复到出厂的默认设置。具有1路网络接口，支持通过网络实现远程控制。（提供复位按键及网口接口图佐证）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4.具有设备运行状态指示灯及8个继电器的开关状态指示灯。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5.具有键盘锁（LOCK）功能，防止误操作，便于用于维护管理。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6.机器具备ID识别，通过中控主机网络控制多台时，可通过ID识别。</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编程软件</w:t>
            </w:r>
          </w:p>
        </w:tc>
        <w:tc>
          <w:tcPr>
            <w:tcW w:w="4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★1、通过移动端（手机或平板）控制上大屏的电脑界面，可将打开对应电脑的PPT等格式文档功能，并且支持PPT全屏、翻页等功能。（提供移动端软件播放PPT界面截图）</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2、支持放大镜放大局部功能，可对PPT中文字等较小或看不清的部分进行放大操作。（提供放大镜功能截图）</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3、具备基本辅助工具，包括荧光笔、聚光灯、放大镜等，荧光笔颜色、聚光灯大小及放大镜倍数通过移动端轻松可调。</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4、通过移动端与电脑端软件进行互动，通过移动端扫描二维码方式与PC电脑端连接。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5、支持将现场情况通过拍摄方式，实时同步到现场PC电脑端（输出给大屏）放大显示。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6、根据现场情况进行其他功能定制</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shd w:val="clear" w:color="auto" w:fill="auto"/>
          <w:tblCellMar>
            <w:top w:w="0" w:type="dxa"/>
            <w:left w:w="108" w:type="dxa"/>
            <w:bottom w:w="0" w:type="dxa"/>
            <w:right w:w="108" w:type="dxa"/>
          </w:tblCellMar>
        </w:tblPrEx>
        <w:trPr>
          <w:trHeight w:val="0" w:hRule="atLeast"/>
          <w:jc w:val="center"/>
        </w:trPr>
        <w:tc>
          <w:tcPr>
            <w:tcW w:w="87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w:t>
            </w:r>
            <w:r>
              <w:rPr>
                <w:rStyle w:val="82"/>
                <w:rFonts w:hint="eastAsia" w:ascii="宋体" w:hAnsi="宋体" w:eastAsia="宋体" w:cs="宋体"/>
                <w:color w:val="auto"/>
                <w:sz w:val="24"/>
                <w:szCs w:val="24"/>
                <w:highlight w:val="none"/>
                <w:lang w:val="en-US" w:eastAsia="zh-CN" w:bidi="ar"/>
              </w:rPr>
              <w:t>1、分布式系统</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分布式综合管理平台</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1.设备采用机架式设计，采用B/S架构，通过浏览器即可便捷的可视化管理整个分布式系统。需提供第三方检验报告复印件。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2.系统采用第三代拼接处理设计，基于分布式架构，可高效地对拼接系统进行管理、控制、数据交互等。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3.存储空间不低于2TB，具备6个硬盘位可扩容空间。</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★4.支持双机热备份，当宕机后，马上切换至备用进行工作，完成主备切换后，备用设备代替主设备进行工作。需提供第三方检验报告复印件。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5.支持1路VGA和1路DVI视频接口输出，具备2个RJ45网口。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6.支持硬件监测：故障/错误/过载和报警(包括磁盘/ RAID /电力/风机/温度/ IO性能)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★提供由中华人民共和国国家版权局颁发的计算机软件著作权登记证书“分布式拼接显示系统终端嵌入式软件”以及检测报告复印件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需提供中国国家强制性产品认证3C证书复印件（并附官网查询截图佐证）。</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分布式综合管理平台嵌入软件</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1．分布式综合管理平台软件运行于嵌入式系统，稳定可靠，可高效地对分布式综合管理平台系统设备进行管理、控制、数据交互等。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2．B/S管理控制架构，支持网页web访问系统后台管理。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支持自由操控，可实现所有视频信号源的视窗管理、拼接、任意缩放、整屏和画中画、漫游等功能，可实现对视窗参数的调整（叠加关系、位置、大小、比例等）；自动识别和适应的变化，方便的拖放操作，极易上手。</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具备中控功能，可实现可编辑中控，多种控件选择，可随意配置中控界面。可控制高清矩阵，电源设备开关，摄像头的转动方向，设备音量，灯光空调开关等中控功能，需提供分布式中控系统逻辑处理内嵌软件著作版权并官网地址查询截图。</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5．支持KVM功能，可以控制动态视频信号的播放和停止，PC端播放PPT画面，可以实现对PPT的翻页（上一页、下一页）操作,提供“KVM嵌入式控制软件”件著作版权，证书可查。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6．支持软件界面自定义，支持多级管理模式。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7．支持不同用户登陆管理，支持权限分配，实现不同用户呈现不同的控制界面。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8．支持记住密码和自动登陆功能。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9．场景切换响应时间短，超低延时，画面极致流畅，窗口操作即时响应，手指离开操作平台立马会显示在大屏上。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10．支持分布式中控系统交互式控制架构，实现远程管理会议室的环境设备、集中管理、场景调用，实现多个会议室音视频控制的互联互通互动。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11．支持显示预案设置、存储、调用，支持音频、视频、控制信号场景一键式快速调用，可定义不同场景切换效果及场景名称。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12．支持场景轮询，轮询时间可调。</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13．支持对输入盒（采集盒）、输出盒（拼接盒）的管理及状态实时监测，支持远程控制升级盒子应用程序，支持自动侦测盒子上下线状态、IP地址、盒子名称等（提供省及以上第三方功能性检查报告）。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14．支持对拼接单元的绑定和接触，IP显示等功能。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15．支持实现输入盒（采集盒）、输出盒（拼接盒）自动备份配置，断电重启后可自动恢复配置，无需担心数据损失。</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16．支持字幕在全屏任意位置任意增加、删除、修改。</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17．支持onvif自动搜索 IP摄像头，并接入分布式综合管理系统，IP摄像头摄像内容可存储录制、预览、下载。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18．支持实时预览录播视频画面，并且可实现视频回放功能。</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分布式拼接显示系统管理软件</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1.分布式综合管理平台应用投屏软件对Windows上的软件界面进行采集；视频编码：H.264。</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2.支持同时采集≥6个应用程序软件界面，支持投屏的启动与停止操作。（提供功能界面截图佐证）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3.支持设置帧率：5.10.15帧，码率支持：1M、2M；支持通过分布式综合管理平台iPad版软件对PPT的翻页、网页的翻页功能。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4.支持自动检测网络状态。</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分布式采集盒</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1.视频编码处理器，要求支持高性能的H.264.H.265视频编码，能够实现不同分辨率视频的自适应采集及视频编码，分辨率≥1080P。</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★2.支持≥1路HDMI视频输入接口、≥1路HDMI视频环出接口、≥1路3.5mm音频输入接口、≥1路RJ45网口。（提供设备接口图佐证）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3.支持采用POE供电，也支持通过电源适配器进行供电，采用低功耗设计，功耗＜8W。</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4.自带一键复位动态IP功能，支持远程固件升级。（提供产品一键复位图佐证）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5.支持1路USB接口，支持KVM功能，支持控制电脑、大屏的视频窗口切换等功能；支持鼠标漫游跨屏功能。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★6.支持中控功能，具有≥1×RS-485接口、≥1×RS-232接口、≥2×I/O口、≥1×IR IN、≥1×IR OUT；支持自定义配置。（提供设备接口图佐证）</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分布式采集盒</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1.分辨率：1080P30帧、1080P60帧，编解码能力：支持H.264/H.265视频编码、AAC-LC音频编码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2.采用超低低功耗设计，POE供电最大仅7W；良好散热静音无风扇设计，运行时不会发出任何噪音。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3.采用高性能H.265视频解码技术，兼容H.264视频解码，支持高清视频信号1080P60帧输出。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4.支持对解码后的视频进行缩放、切割、拼接、叠加、同步及显示等处理。支持1×1、2×2、3×3等布局方式，支持手动自定义输入行、列数。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5.支持画面分割功能，单屏输出视频窗口可达16路，视频效果可达1080P30帧。</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6.支持AAC-LC音频编解码。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7.支持断电重启后可自动恢复配置，无需担心数据损失。</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8.支持通过系统后台管理对输入盒进行远程固件升级，无需到盒子本地升级，减轻维护人员工作强度。</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9.盒子自带一键复位动态IP功能。（提供产品一键复位图佐证）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10.支持1路HDMI视频接口和1路VGA视频接口输出，具备3.5mm音频输出接口，支持HDMI音频输出，支持音视频同步传输。</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11.支持KVM坐席管理功能，通过指令调出信号管理界面进行KVM坐席信号切换，一套键盘鼠标对多显示器实现操作，简洁桌面环境。支持KVM坐席多屏间鼠标漫游功能，支持KVM坐席单屏多画面鼠标漫游功能。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12.支持KVM功能，支持控制电脑、大屏的视频窗口切换等功能；支持鼠标漫游跨屏功能；可实现跨平台操作，包括Windows、linux、Mac等系统平台。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13.KVM坐席管理可实现信息实时抓取，支持通过一套键盘的热键，坐席人员可以将任意显示器或大屏信息抓取至本地显示器，也可以将本地显示器的信息推送至任意显示器或大屏。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14.支持字幕功能，可改变字体颜色、字体大小、位置等，并显示在视频层上面；支持图标功能。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15.具备中控功能，支持RS-232、RS-485、I/O口、红外信号的输入和输出信号，可自定义配置。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16.支持开机画面出厂设置，支持显示本机IP功能。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★17.视频接口：1×HDMI、1×VGA，音频接口：1×3.5mm立体声音频输出，USB接口：2×USB（KVM接口），网口：1×RJ45，10/100/1000Base-T，支持POE，串口：1×RS-485、1×RS-232，红外：1×IR IN、1×IR OUT，I/O口：2×I/O口（提供设备接口图佐证）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18.指示灯：运行指示灯、红外信号输入、红外信号输出指示灯、电源指示灯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19.供电方式：DC 12V/POE</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分布式输出盒</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1.分辨率：1080P30帧、1080P60帧，编解码能力：支持H.264/H.265视频编码、AAC-LC音频编码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2.采用超低低功耗设计，POE供电最大仅7W；良好散热静音无风扇设计，运行时不会发出任何噪音。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3.采用高性能H.265视频解码技术，兼容H.264视频解码，支持高清视频信号1080P60帧输出。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4.支持对解码后的视频进行缩放、切割、拼接、叠加、同步及显示等处理。支持1×1、2×2、3×3等布局方式，支持手动自定义输入行、列数。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5.支持画面分割功能，单屏输出视频窗口可达16路，视频效果可达1080P30帧。</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6.支持AAC-LC音频编解码。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7.支持断电重启后可自动恢复配置，无需担心数据损失。</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8.支持通过系统后台管理对输入盒进行远程固件升级，无需到盒子本地升级，减轻维护人员工作强度。</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9.盒子自带一键复位动态IP功能。（提供产品一键复位图佐证）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10.支持1路HDMI视频接口和1路VGA视频接口输出，具备3.5mm音频输出接口，支持HDMI音频输出，支持音视频同步传输。</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11.支持KVM坐席管理功能，通过指令调出信号管理界面进行KVM坐席信号切换，一套键盘鼠标对多显示器实现操作，简洁桌面环境。支持KVM坐席多屏间鼠标漫游功能，支持KVM坐席单屏多画面鼠标漫游功能。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12.支持KVM功能，支持控制电脑、大屏的视频窗口切换等功能；支持鼠标漫游跨屏功能；可实现跨平台操作，包括Windows、linux、Mac等系统平台。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13.KVM坐席管理可实现信息实时抓取，支持通过一套键盘的热键，坐席人员可以将任意显示器或大屏信息抓取至本地显示器，也可以将本地显示器的信息推送至任意显示器或大屏。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14.支持字幕功能，可改变字体颜色、字体大小、位置等，并显示在视频层上面；支持图标功能。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15.具备中控功能，支持RS-232、RS-485、I/O口、红外信号的输入和输出信号，可自定义配置。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16.支持开机画面出厂设置，支持显示本机IP功能。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★17.视频接口：1×HDMI、1×VGA，音频接口：1×3.5mm立体声音频输出，USB接口：2×USB（KVM接口），网口：1×RJ45，10/100/1000Base-T，支持POE，串口：1×RS-485、1×RS-232，红外：1×IR IN、1×IR OUT，I/O口：2×I/O口（提供设备接口图佐证）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18.指示灯：运行指示灯、红外信号输入、红外信号输出指示灯、电源指示灯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19.供电方式：DC 12V/POE</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149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交换机</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24个10/100/1000M自适应电口，支持PoE/PoE+，其中1-4口支持HPoE(需另配PBox) ，4个SFP光口，PoE总功率370W，支持IPv4静态路由,RIP、OSPF,Routing Policy</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摄像机</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1.高清摄像机具备12倍光学变倍镜头，支持16倍电子变焦；采用1/2.8英寸、207万有效像素的高品质HD CMOS传感器。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2.镜头支持≥72.5°高品质超广角；镜头焦距f3.5mm ~ 42.3mm, 光圈系数F1.8 ~ F2.8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3.支持1080p60、1080p50、1080p30、1080p25.720p60、720p50、720p30分辨率，支持输出帧率60帧/秒。</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4.具备1路HDMI和1路3G-SDI高清视频输出接口、支持CVBS标清输出，支持HDMI、SDI、网络三路可同时输出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5.支持RS232和RS485串口，可对摄像机进行控制。支预置位数量255个，预置位精度：0.1°。</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6.水平视场角：72.5°-6.9°；支持水平转动范围：-170°～+170°，垂直转动范围：-30°～+90°，水平转动速度范围：水平：1.7° ~ 100°/s，俯仰：1.7° ~ 69.9°/s。</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7.支持先进的2D、3D降噪技术；最低照度：0.01Lux。</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r>
      <w:tr>
        <w:tblPrEx>
          <w:tblCellMar>
            <w:top w:w="0" w:type="dxa"/>
            <w:left w:w="108" w:type="dxa"/>
            <w:bottom w:w="0" w:type="dxa"/>
            <w:right w:w="108" w:type="dxa"/>
          </w:tblCellMar>
        </w:tblPrEx>
        <w:trPr>
          <w:trHeight w:val="0" w:hRule="atLeast"/>
          <w:jc w:val="center"/>
        </w:trPr>
        <w:tc>
          <w:tcPr>
            <w:tcW w:w="87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w:t>
            </w:r>
            <w:r>
              <w:rPr>
                <w:rStyle w:val="82"/>
                <w:rFonts w:hint="eastAsia" w:ascii="宋体" w:hAnsi="宋体" w:eastAsia="宋体" w:cs="宋体"/>
                <w:color w:val="auto"/>
                <w:sz w:val="24"/>
                <w:szCs w:val="24"/>
                <w:highlight w:val="none"/>
                <w:lang w:val="en-US" w:eastAsia="zh-CN" w:bidi="ar"/>
              </w:rPr>
              <w:t>2、辅助材料</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机柜</w:t>
            </w:r>
          </w:p>
        </w:tc>
        <w:tc>
          <w:tcPr>
            <w:tcW w:w="4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提供参考，需另行购买，参数由厂家提供</w:t>
            </w:r>
          </w:p>
        </w:tc>
        <w:tc>
          <w:tcPr>
            <w:tcW w:w="79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r>
      <w:tr>
        <w:tblPrEx>
          <w:tblCellMar>
            <w:top w:w="0" w:type="dxa"/>
            <w:left w:w="108" w:type="dxa"/>
            <w:bottom w:w="0" w:type="dxa"/>
            <w:right w:w="108" w:type="dxa"/>
          </w:tblCellMar>
        </w:tblPrEx>
        <w:trPr>
          <w:trHeight w:val="0" w:hRule="atLeast"/>
          <w:jc w:val="center"/>
        </w:trPr>
        <w:tc>
          <w:tcPr>
            <w:tcW w:w="813"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辅材</w:t>
            </w:r>
          </w:p>
        </w:tc>
        <w:tc>
          <w:tcPr>
            <w:tcW w:w="483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各类线材，包含且不限于网线，电源线，信号线，视频线等</w:t>
            </w:r>
          </w:p>
        </w:tc>
        <w:tc>
          <w:tcPr>
            <w:tcW w:w="79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批</w:t>
            </w:r>
          </w:p>
        </w:tc>
      </w:tr>
      <w:tr>
        <w:tblPrEx>
          <w:tblCellMar>
            <w:top w:w="0" w:type="dxa"/>
            <w:left w:w="108" w:type="dxa"/>
            <w:bottom w:w="0" w:type="dxa"/>
            <w:right w:w="108" w:type="dxa"/>
          </w:tblCellMar>
        </w:tblPrEx>
        <w:trPr>
          <w:trHeight w:val="0" w:hRule="atLeast"/>
          <w:jc w:val="center"/>
        </w:trPr>
        <w:tc>
          <w:tcPr>
            <w:tcW w:w="87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w:t>
            </w:r>
            <w:r>
              <w:rPr>
                <w:rStyle w:val="82"/>
                <w:rFonts w:hint="eastAsia" w:ascii="宋体" w:hAnsi="宋体" w:eastAsia="宋体" w:cs="宋体"/>
                <w:color w:val="auto"/>
                <w:sz w:val="24"/>
                <w:szCs w:val="24"/>
                <w:highlight w:val="none"/>
                <w:lang w:val="en-US" w:eastAsia="zh-CN" w:bidi="ar"/>
              </w:rPr>
              <w:t>3、桌椅</w:t>
            </w:r>
          </w:p>
        </w:tc>
      </w:tr>
      <w:tr>
        <w:tblPrEx>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会议桌</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长6M，宽2M，含定制开孔</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张</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会议椅子</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配会议桌</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张</w:t>
            </w:r>
          </w:p>
        </w:tc>
      </w:tr>
      <w:tr>
        <w:tblPrEx>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条形桌</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长1.8M，宽0.4M</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张</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椅子</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配条形桌</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张</w:t>
            </w:r>
          </w:p>
        </w:tc>
      </w:tr>
      <w:tr>
        <w:tblPrEx>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茶水柜</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iCs w:val="0"/>
                <w:color w:val="auto"/>
                <w:sz w:val="24"/>
                <w:szCs w:val="24"/>
                <w:highlight w:val="none"/>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张</w:t>
            </w:r>
          </w:p>
        </w:tc>
      </w:tr>
      <w:tr>
        <w:tblPrEx>
          <w:tblCellMar>
            <w:top w:w="0" w:type="dxa"/>
            <w:left w:w="108" w:type="dxa"/>
            <w:bottom w:w="0" w:type="dxa"/>
            <w:right w:w="108" w:type="dxa"/>
          </w:tblCellMar>
        </w:tblPrEx>
        <w:trPr>
          <w:trHeight w:val="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操作台</w:t>
            </w:r>
          </w:p>
        </w:tc>
        <w:tc>
          <w:tcPr>
            <w:tcW w:w="48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4工位，含椅子和显示器支架</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工位</w:t>
            </w:r>
          </w:p>
        </w:tc>
      </w:tr>
      <w:tr>
        <w:tblPrEx>
          <w:tblCellMar>
            <w:top w:w="0" w:type="dxa"/>
            <w:left w:w="108" w:type="dxa"/>
            <w:bottom w:w="0" w:type="dxa"/>
            <w:right w:w="108" w:type="dxa"/>
          </w:tblCellMar>
        </w:tblPrEx>
        <w:trPr>
          <w:trHeight w:val="0" w:hRule="atLeast"/>
          <w:jc w:val="center"/>
        </w:trPr>
        <w:tc>
          <w:tcPr>
            <w:tcW w:w="87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w:t>
            </w:r>
            <w:r>
              <w:rPr>
                <w:rStyle w:val="82"/>
                <w:rFonts w:hint="eastAsia" w:ascii="宋体" w:hAnsi="宋体" w:eastAsia="宋体" w:cs="宋体"/>
                <w:color w:val="auto"/>
                <w:sz w:val="24"/>
                <w:szCs w:val="24"/>
                <w:highlight w:val="none"/>
                <w:lang w:val="en-US" w:eastAsia="zh-CN" w:bidi="ar"/>
              </w:rPr>
              <w:t>4、装修</w:t>
            </w:r>
          </w:p>
        </w:tc>
      </w:tr>
      <w:tr>
        <w:tblPrEx>
          <w:shd w:val="clear" w:color="auto" w:fill="auto"/>
          <w:tblCellMar>
            <w:top w:w="0" w:type="dxa"/>
            <w:left w:w="108" w:type="dxa"/>
            <w:bottom w:w="0" w:type="dxa"/>
            <w:right w:w="108" w:type="dxa"/>
          </w:tblCellMar>
        </w:tblPrEx>
        <w:trPr>
          <w:trHeight w:val="0" w:hRule="atLeast"/>
          <w:jc w:val="center"/>
        </w:trPr>
        <w:tc>
          <w:tcPr>
            <w:tcW w:w="813"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装修</w:t>
            </w:r>
          </w:p>
        </w:tc>
        <w:tc>
          <w:tcPr>
            <w:tcW w:w="4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会议室装修</w:t>
            </w:r>
          </w:p>
        </w:tc>
        <w:tc>
          <w:tcPr>
            <w:tcW w:w="79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r>
        <w:tblPrEx>
          <w:tblCellMar>
            <w:top w:w="0" w:type="dxa"/>
            <w:left w:w="108" w:type="dxa"/>
            <w:bottom w:w="0" w:type="dxa"/>
            <w:right w:w="108" w:type="dxa"/>
          </w:tblCellMar>
        </w:tblPrEx>
        <w:trPr>
          <w:trHeight w:val="0" w:hRule="atLeast"/>
          <w:jc w:val="center"/>
        </w:trPr>
        <w:tc>
          <w:tcPr>
            <w:tcW w:w="87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w:t>
            </w:r>
            <w:r>
              <w:rPr>
                <w:rStyle w:val="82"/>
                <w:rFonts w:hint="eastAsia" w:ascii="宋体" w:hAnsi="宋体" w:eastAsia="宋体" w:cs="宋体"/>
                <w:color w:val="auto"/>
                <w:sz w:val="24"/>
                <w:szCs w:val="24"/>
                <w:highlight w:val="none"/>
                <w:lang w:val="en-US" w:eastAsia="zh-CN" w:bidi="ar"/>
              </w:rPr>
              <w:t>5、集成费</w:t>
            </w:r>
          </w:p>
        </w:tc>
      </w:tr>
      <w:tr>
        <w:tblPrEx>
          <w:tblCellMar>
            <w:top w:w="0" w:type="dxa"/>
            <w:left w:w="108" w:type="dxa"/>
            <w:bottom w:w="0" w:type="dxa"/>
            <w:right w:w="108" w:type="dxa"/>
          </w:tblCellMar>
        </w:tblPrEx>
        <w:trPr>
          <w:trHeight w:val="0" w:hRule="atLeast"/>
          <w:jc w:val="center"/>
        </w:trPr>
        <w:tc>
          <w:tcPr>
            <w:tcW w:w="813"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集成费</w:t>
            </w:r>
          </w:p>
        </w:tc>
        <w:tc>
          <w:tcPr>
            <w:tcW w:w="4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宋体" w:hAnsi="宋体" w:eastAsia="宋体" w:cs="宋体"/>
                <w:i w:val="0"/>
                <w:iCs w:val="0"/>
                <w:color w:val="auto"/>
                <w:sz w:val="24"/>
                <w:szCs w:val="24"/>
                <w:highlight w:val="none"/>
                <w:u w:val="none"/>
              </w:rPr>
            </w:pPr>
          </w:p>
        </w:tc>
        <w:tc>
          <w:tcPr>
            <w:tcW w:w="79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9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r>
    </w:tbl>
    <w:p>
      <w:pPr>
        <w:bidi w:val="0"/>
        <w:spacing w:line="360" w:lineRule="auto"/>
        <w:rPr>
          <w:rFonts w:hint="default" w:ascii="宋体" w:hAnsi="宋体" w:cs="宋体"/>
          <w:b/>
          <w:bCs/>
          <w:color w:val="auto"/>
          <w:sz w:val="24"/>
          <w:szCs w:val="32"/>
          <w:highlight w:val="none"/>
          <w:lang w:val="en-US" w:eastAsia="zh-CN"/>
        </w:rPr>
      </w:pPr>
    </w:p>
    <w:p>
      <w:pPr>
        <w:bidi w:val="0"/>
        <w:spacing w:line="360" w:lineRule="auto"/>
        <w:rPr>
          <w:rFonts w:hint="eastAsia" w:ascii="宋体" w:hAnsi="宋体" w:eastAsia="宋体" w:cs="宋体"/>
          <w:b/>
          <w:bCs/>
          <w:color w:val="auto"/>
          <w:sz w:val="24"/>
          <w:szCs w:val="32"/>
          <w:highlight w:val="none"/>
          <w:lang w:eastAsia="zh-CN"/>
        </w:rPr>
      </w:pPr>
      <w:r>
        <w:rPr>
          <w:rFonts w:hint="eastAsia" w:ascii="宋体" w:hAnsi="宋体" w:cs="宋体"/>
          <w:b/>
          <w:bCs/>
          <w:color w:val="auto"/>
          <w:sz w:val="24"/>
          <w:szCs w:val="32"/>
          <w:highlight w:val="none"/>
          <w:lang w:val="en-US" w:eastAsia="zh-CN"/>
        </w:rPr>
        <w:t>三</w:t>
      </w:r>
      <w:r>
        <w:rPr>
          <w:rFonts w:hint="eastAsia" w:ascii="宋体" w:hAnsi="宋体" w:eastAsia="宋体" w:cs="宋体"/>
          <w:b/>
          <w:bCs/>
          <w:color w:val="auto"/>
          <w:sz w:val="24"/>
          <w:szCs w:val="32"/>
          <w:highlight w:val="none"/>
          <w:lang w:eastAsia="zh-CN"/>
        </w:rPr>
        <w:t>、</w:t>
      </w:r>
      <w:r>
        <w:rPr>
          <w:rFonts w:hint="eastAsia" w:ascii="宋体" w:hAnsi="宋体" w:cs="宋体"/>
          <w:b/>
          <w:bCs/>
          <w:color w:val="auto"/>
          <w:sz w:val="24"/>
          <w:szCs w:val="32"/>
          <w:highlight w:val="none"/>
          <w:lang w:val="en-US" w:eastAsia="zh-CN"/>
        </w:rPr>
        <w:t>标段二技术</w:t>
      </w:r>
      <w:r>
        <w:rPr>
          <w:rFonts w:hint="eastAsia" w:ascii="宋体" w:hAnsi="宋体" w:eastAsia="宋体" w:cs="宋体"/>
          <w:b/>
          <w:bCs/>
          <w:color w:val="auto"/>
          <w:sz w:val="24"/>
          <w:szCs w:val="32"/>
          <w:highlight w:val="none"/>
          <w:lang w:eastAsia="zh-CN"/>
        </w:rPr>
        <w:t>需求</w:t>
      </w:r>
    </w:p>
    <w:p>
      <w:pPr>
        <w:spacing w:line="360" w:lineRule="auto"/>
        <w:ind w:firstLine="241" w:firstLineChars="100"/>
        <w:jc w:val="left"/>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（一）项目概况</w:t>
      </w:r>
    </w:p>
    <w:p>
      <w:pPr>
        <w:spacing w:line="360" w:lineRule="auto"/>
        <w:ind w:firstLine="480" w:firstLineChars="200"/>
        <w:jc w:val="left"/>
        <w:rPr>
          <w:rFonts w:hint="default" w:ascii="宋体" w:hAnsi="宋体" w:eastAsia="宋体" w:cs="宋体"/>
          <w:color w:val="auto"/>
          <w:sz w:val="24"/>
          <w:szCs w:val="32"/>
          <w:highlight w:val="none"/>
          <w:lang w:val="en-US"/>
        </w:rPr>
      </w:pPr>
      <w:r>
        <w:rPr>
          <w:rFonts w:hint="eastAsia" w:ascii="宋体" w:hAnsi="宋体" w:eastAsia="宋体" w:cs="宋体"/>
          <w:color w:val="auto"/>
          <w:sz w:val="24"/>
          <w:szCs w:val="32"/>
          <w:highlight w:val="none"/>
          <w:lang w:val="en-US" w:eastAsia="zh-CN"/>
        </w:rPr>
        <w:t>为进一步提升路桥区现代环境治理能力，落实全省数字化改革任务要求，加快开展农田灌溉用水水质监管数字化改革试点工作，弥补薄弱环节，统筹部门职能，优化监管流程，需要开展路桥区农田灌溉用水水质监管预警研究工作。</w:t>
      </w:r>
    </w:p>
    <w:p>
      <w:pPr>
        <w:spacing w:line="360" w:lineRule="auto"/>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采购需求汇总表</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093"/>
        <w:gridCol w:w="5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4" w:type="dxa"/>
            <w:vAlign w:val="center"/>
          </w:tcPr>
          <w:p>
            <w:pPr>
              <w:bidi w:val="0"/>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093" w:type="dxa"/>
            <w:vAlign w:val="center"/>
          </w:tcPr>
          <w:p>
            <w:pPr>
              <w:bidi w:val="0"/>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采购内容</w:t>
            </w:r>
          </w:p>
        </w:tc>
        <w:tc>
          <w:tcPr>
            <w:tcW w:w="5725" w:type="dxa"/>
            <w:vAlign w:val="center"/>
          </w:tcPr>
          <w:p>
            <w:pPr>
              <w:bidi w:val="0"/>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要求完成时间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w:t>
            </w:r>
          </w:p>
        </w:tc>
        <w:tc>
          <w:tcPr>
            <w:tcW w:w="2093"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灌溉用水水质预警体系构建</w:t>
            </w:r>
          </w:p>
        </w:tc>
        <w:tc>
          <w:tcPr>
            <w:tcW w:w="5725" w:type="dxa"/>
            <w:vAlign w:val="center"/>
          </w:tcPr>
          <w:p>
            <w:pPr>
              <w:bidi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完成时间：合同签订后50天内；</w:t>
            </w:r>
          </w:p>
          <w:p>
            <w:pPr>
              <w:bidi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工作内容：确定灌溉用水水质预警等级与预警规则，提交《路桥区灌溉用水水质预警体系研究报告》。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w:t>
            </w:r>
          </w:p>
        </w:tc>
        <w:tc>
          <w:tcPr>
            <w:tcW w:w="2093" w:type="dxa"/>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应用场景建设</w:t>
            </w:r>
          </w:p>
        </w:tc>
        <w:tc>
          <w:tcPr>
            <w:tcW w:w="5725" w:type="dxa"/>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完成时间：合同签订后</w:t>
            </w:r>
            <w:r>
              <w:rPr>
                <w:rFonts w:hint="eastAsia" w:ascii="宋体" w:hAnsi="宋体" w:eastAsia="宋体" w:cs="宋体"/>
                <w:color w:val="auto"/>
                <w:sz w:val="24"/>
                <w:szCs w:val="24"/>
                <w:highlight w:val="none"/>
                <w:lang w:val="en-US" w:eastAsia="zh-CN"/>
              </w:rPr>
              <w:t>100</w:t>
            </w:r>
            <w:r>
              <w:rPr>
                <w:rFonts w:hint="eastAsia" w:ascii="宋体" w:hAnsi="宋体" w:eastAsia="宋体" w:cs="宋体"/>
                <w:color w:val="auto"/>
                <w:sz w:val="24"/>
                <w:szCs w:val="24"/>
                <w:highlight w:val="none"/>
              </w:rPr>
              <w:t>天内；</w:t>
            </w:r>
          </w:p>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工作内容：完成</w:t>
            </w:r>
            <w:r>
              <w:rPr>
                <w:rFonts w:hint="eastAsia" w:ascii="宋体" w:hAnsi="宋体" w:eastAsia="宋体" w:cs="宋体"/>
                <w:color w:val="auto"/>
                <w:sz w:val="24"/>
                <w:szCs w:val="24"/>
                <w:highlight w:val="none"/>
                <w:lang w:val="en-US" w:eastAsia="zh-CN"/>
              </w:rPr>
              <w:t>灌溉用水水质监管预警应用场景</w:t>
            </w:r>
            <w:r>
              <w:rPr>
                <w:rFonts w:hint="eastAsia" w:ascii="宋体" w:hAnsi="宋体" w:eastAsia="宋体" w:cs="宋体"/>
                <w:color w:val="auto"/>
                <w:sz w:val="24"/>
                <w:szCs w:val="24"/>
                <w:highlight w:val="none"/>
              </w:rPr>
              <w:t>上线试运行。</w:t>
            </w:r>
          </w:p>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2、完成时间：合同签订</w:t>
            </w:r>
            <w:r>
              <w:rPr>
                <w:rFonts w:hint="eastAsia" w:ascii="宋体" w:hAnsi="宋体" w:eastAsia="宋体" w:cs="宋体"/>
                <w:color w:val="auto"/>
                <w:sz w:val="24"/>
                <w:szCs w:val="24"/>
                <w:highlight w:val="none"/>
                <w:lang w:val="en-US" w:eastAsia="zh-CN"/>
              </w:rPr>
              <w:t>160</w:t>
            </w:r>
            <w:r>
              <w:rPr>
                <w:rFonts w:hint="eastAsia" w:ascii="宋体" w:hAnsi="宋体" w:eastAsia="宋体" w:cs="宋体"/>
                <w:color w:val="auto"/>
                <w:sz w:val="24"/>
                <w:szCs w:val="24"/>
                <w:highlight w:val="none"/>
              </w:rPr>
              <w:t>天内；</w:t>
            </w:r>
          </w:p>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工作内容：完成</w:t>
            </w:r>
            <w:r>
              <w:rPr>
                <w:rFonts w:hint="eastAsia" w:ascii="宋体" w:hAnsi="宋体" w:eastAsia="宋体" w:cs="宋体"/>
                <w:color w:val="auto"/>
                <w:sz w:val="24"/>
                <w:szCs w:val="24"/>
                <w:highlight w:val="none"/>
                <w:lang w:val="en-US" w:eastAsia="zh-CN"/>
              </w:rPr>
              <w:t>应用场景</w:t>
            </w:r>
            <w:r>
              <w:rPr>
                <w:rFonts w:hint="eastAsia" w:ascii="宋体" w:hAnsi="宋体" w:eastAsia="宋体" w:cs="宋体"/>
                <w:color w:val="auto"/>
                <w:sz w:val="24"/>
                <w:szCs w:val="24"/>
                <w:highlight w:val="none"/>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w:t>
            </w:r>
          </w:p>
        </w:tc>
        <w:tc>
          <w:tcPr>
            <w:tcW w:w="2093"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配套能力建设</w:t>
            </w:r>
          </w:p>
        </w:tc>
        <w:tc>
          <w:tcPr>
            <w:tcW w:w="5725" w:type="dxa"/>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完成时间：合同签订</w:t>
            </w:r>
            <w:r>
              <w:rPr>
                <w:rFonts w:hint="eastAsia" w:ascii="宋体" w:hAnsi="宋体" w:eastAsia="宋体" w:cs="宋体"/>
                <w:color w:val="auto"/>
                <w:sz w:val="24"/>
                <w:szCs w:val="24"/>
                <w:highlight w:val="none"/>
                <w:lang w:val="en-US" w:eastAsia="zh-CN"/>
              </w:rPr>
              <w:t>100</w:t>
            </w:r>
            <w:r>
              <w:rPr>
                <w:rFonts w:hint="eastAsia" w:ascii="宋体" w:hAnsi="宋体" w:eastAsia="宋体" w:cs="宋体"/>
                <w:color w:val="auto"/>
                <w:sz w:val="24"/>
                <w:szCs w:val="24"/>
                <w:highlight w:val="none"/>
              </w:rPr>
              <w:t>天内</w:t>
            </w:r>
            <w:r>
              <w:rPr>
                <w:rFonts w:hint="eastAsia" w:ascii="宋体" w:hAnsi="宋体" w:eastAsia="宋体" w:cs="宋体"/>
                <w:color w:val="auto"/>
                <w:sz w:val="24"/>
                <w:szCs w:val="24"/>
                <w:highlight w:val="none"/>
                <w:lang w:eastAsia="zh-CN"/>
              </w:rPr>
              <w:t>；</w:t>
            </w:r>
          </w:p>
          <w:p>
            <w:pPr>
              <w:bidi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工作内容：</w:t>
            </w:r>
            <w:r>
              <w:rPr>
                <w:rFonts w:hint="eastAsia" w:ascii="宋体" w:hAnsi="宋体" w:eastAsia="宋体" w:cs="宋体"/>
                <w:color w:val="auto"/>
                <w:sz w:val="24"/>
                <w:szCs w:val="24"/>
                <w:highlight w:val="none"/>
              </w:rPr>
              <w:t>按照采购人要求</w:t>
            </w:r>
            <w:r>
              <w:rPr>
                <w:rFonts w:hint="eastAsia" w:ascii="宋体" w:hAnsi="宋体" w:eastAsia="宋体" w:cs="宋体"/>
                <w:color w:val="auto"/>
                <w:sz w:val="24"/>
                <w:szCs w:val="24"/>
                <w:highlight w:val="none"/>
                <w:lang w:val="en-US" w:eastAsia="zh-CN"/>
              </w:rPr>
              <w:t>提供设备，完成设备安装调试；</w:t>
            </w:r>
          </w:p>
          <w:p>
            <w:pPr>
              <w:bidi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完成时间：</w:t>
            </w:r>
            <w:r>
              <w:rPr>
                <w:rFonts w:hint="eastAsia" w:ascii="宋体" w:hAnsi="宋体" w:eastAsia="宋体" w:cs="宋体"/>
                <w:color w:val="auto"/>
                <w:sz w:val="24"/>
                <w:szCs w:val="24"/>
                <w:highlight w:val="none"/>
                <w:lang w:val="en-US" w:eastAsia="zh-CN"/>
              </w:rPr>
              <w:t>合同签订160天内；</w:t>
            </w:r>
          </w:p>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工作内容：实现监测数据上传，完成设备验收。</w:t>
            </w:r>
          </w:p>
        </w:tc>
      </w:tr>
    </w:tbl>
    <w:p>
      <w:pPr>
        <w:spacing w:line="360" w:lineRule="auto"/>
        <w:ind w:firstLine="241" w:firstLineChars="100"/>
        <w:jc w:val="left"/>
        <w:rPr>
          <w:rFonts w:hint="default"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（二）项目建设相关要求</w:t>
      </w:r>
    </w:p>
    <w:p>
      <w:pPr>
        <w:spacing w:line="360" w:lineRule="auto"/>
        <w:ind w:firstLine="480" w:firstLineChars="200"/>
        <w:jc w:val="left"/>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1、灌溉用水水质预警体系构建</w:t>
      </w:r>
    </w:p>
    <w:p>
      <w:pPr>
        <w:spacing w:line="360" w:lineRule="auto"/>
        <w:ind w:firstLine="480" w:firstLineChars="200"/>
        <w:jc w:val="left"/>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基于农田灌溉用水水质监测数据，构建灌溉用水水质预警体系。当主要水质指标超过《农田灌溉水质标准》（GB5084-2021）的限值要求时，分析异常指标对不同农作物的影响程度。针对路桥区常见农作物种类建立主要水质指标预警阈值数据库，形成“红、黄、绿”三级预警，确定灌溉用水水质预警等级与预警规则，提交《路桥区灌溉用水水质预警体系研究报告》。</w:t>
      </w:r>
    </w:p>
    <w:p>
      <w:pPr>
        <w:spacing w:line="360" w:lineRule="auto"/>
        <w:ind w:firstLine="480" w:firstLineChars="200"/>
        <w:jc w:val="left"/>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2、农田灌溉用水水质监管预警应用场景构建</w:t>
      </w:r>
    </w:p>
    <w:p>
      <w:pPr>
        <w:spacing w:line="360" w:lineRule="auto"/>
        <w:ind w:firstLine="480" w:firstLineChars="200"/>
        <w:jc w:val="left"/>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农田灌溉用水水质监管预警应用场景围绕农田灌溉用水监管和安全保障，整合各项基础数据和监测数据，实现灌溉用水全过程智慧监管。应用场景针对不同应用载体和用户对象，设置PC端和移动端2个应用端，同路桥区环境管理协同平台结合，接入浙里办和浙政钉，人员架构使用两端架构，浙政钉面向管理人员使用，浙里办面向农户使用。</w:t>
      </w:r>
    </w:p>
    <w:p>
      <w:pPr>
        <w:spacing w:line="360" w:lineRule="auto"/>
        <w:ind w:firstLine="480" w:firstLineChars="200"/>
        <w:jc w:val="left"/>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应用场景建设内容包括：</w:t>
      </w:r>
    </w:p>
    <w:p>
      <w:pPr>
        <w:spacing w:line="360" w:lineRule="auto"/>
        <w:ind w:firstLine="480" w:firstLineChars="200"/>
        <w:jc w:val="left"/>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（1）农田灌溉用水监管一张图：基于GIS与图表相结合的方式，以一张图形式集中展示农田灌溉水相关的环境要素，包括重点耕地区块、重点灌溉取水口、河流水系、水质监测、雨污水排口、异常预警等信息。</w:t>
      </w:r>
    </w:p>
    <w:p>
      <w:pPr>
        <w:spacing w:line="360" w:lineRule="auto"/>
        <w:ind w:firstLine="480" w:firstLineChars="200"/>
        <w:jc w:val="left"/>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w:t>
      </w:r>
      <w:r>
        <w:rPr>
          <w:rFonts w:hint="default" w:ascii="宋体" w:hAnsi="宋体" w:eastAsia="宋体" w:cs="宋体"/>
          <w:color w:val="auto"/>
          <w:sz w:val="24"/>
          <w:szCs w:val="32"/>
          <w:highlight w:val="none"/>
          <w:lang w:val="en-US" w:eastAsia="zh-CN"/>
        </w:rPr>
        <w:t>灌溉用水水质监管模块</w:t>
      </w:r>
      <w:r>
        <w:rPr>
          <w:rFonts w:hint="eastAsia" w:ascii="宋体" w:hAnsi="宋体" w:eastAsia="宋体" w:cs="宋体"/>
          <w:color w:val="auto"/>
          <w:sz w:val="24"/>
          <w:szCs w:val="32"/>
          <w:highlight w:val="none"/>
          <w:lang w:val="en-US" w:eastAsia="zh-CN"/>
        </w:rPr>
        <w:t>：展示耕种区河道地表水和农田地下水的水质监测情况，实现监测污染物变化趋势分析、水质对比分析等多维度统计分析，及时预警水质异常情况。</w:t>
      </w:r>
    </w:p>
    <w:p>
      <w:pPr>
        <w:spacing w:line="360" w:lineRule="auto"/>
        <w:ind w:firstLine="480" w:firstLineChars="200"/>
        <w:jc w:val="left"/>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w:t>
      </w:r>
      <w:r>
        <w:rPr>
          <w:rFonts w:hint="default" w:ascii="宋体" w:hAnsi="宋体" w:eastAsia="宋体" w:cs="宋体"/>
          <w:color w:val="auto"/>
          <w:sz w:val="24"/>
          <w:szCs w:val="32"/>
          <w:highlight w:val="none"/>
          <w:lang w:val="en-US" w:eastAsia="zh-CN"/>
        </w:rPr>
        <w:t>灌溉用水量监控模块</w:t>
      </w:r>
      <w:r>
        <w:rPr>
          <w:rFonts w:hint="eastAsia" w:ascii="宋体" w:hAnsi="宋体" w:eastAsia="宋体" w:cs="宋体"/>
          <w:color w:val="auto"/>
          <w:sz w:val="24"/>
          <w:szCs w:val="32"/>
          <w:highlight w:val="none"/>
          <w:lang w:val="en-US" w:eastAsia="zh-CN"/>
        </w:rPr>
        <w:t>：对农田灌溉用水量进行监控和管理，实现农田用水资源数据展示和统计分析，展示农田灌溉用水取水口分布情况和用水量信息，分析用水量变化情况。</w:t>
      </w:r>
    </w:p>
    <w:p>
      <w:pPr>
        <w:spacing w:line="360" w:lineRule="auto"/>
        <w:ind w:firstLine="480" w:firstLineChars="200"/>
        <w:jc w:val="left"/>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（4）</w:t>
      </w:r>
      <w:r>
        <w:rPr>
          <w:rFonts w:hint="default" w:ascii="宋体" w:hAnsi="宋体" w:eastAsia="宋体" w:cs="宋体"/>
          <w:color w:val="auto"/>
          <w:sz w:val="24"/>
          <w:szCs w:val="32"/>
          <w:highlight w:val="none"/>
          <w:lang w:val="en-US" w:eastAsia="zh-CN"/>
        </w:rPr>
        <w:t>灌溉用水水质预警模块</w:t>
      </w:r>
      <w:r>
        <w:rPr>
          <w:rFonts w:hint="eastAsia" w:ascii="宋体" w:hAnsi="宋体" w:eastAsia="宋体" w:cs="宋体"/>
          <w:color w:val="auto"/>
          <w:sz w:val="24"/>
          <w:szCs w:val="32"/>
          <w:highlight w:val="none"/>
          <w:lang w:val="en-US" w:eastAsia="zh-CN"/>
        </w:rPr>
        <w:t>：建立针对常见农作物的特征污染因子预警阈值数据库，根据灌溉用水水质监测数据生成多级预警，结合GIS地图直观展示预警信息，并分析预警点位及周边概况，为预警原因排查提供数据支撑。</w:t>
      </w:r>
    </w:p>
    <w:p>
      <w:pPr>
        <w:spacing w:line="360" w:lineRule="auto"/>
        <w:ind w:firstLine="480" w:firstLineChars="200"/>
        <w:jc w:val="left"/>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（5）风险协同处置模块：基于多级预警机制可自动生成对应的预警处置流程，实现多部门协同处置，形成处置流程闭环；支持流程进度跟踪，实现流程流转可视化。</w:t>
      </w:r>
    </w:p>
    <w:p>
      <w:pPr>
        <w:spacing w:line="360" w:lineRule="auto"/>
        <w:ind w:firstLine="480" w:firstLineChars="200"/>
        <w:jc w:val="left"/>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（6）日常巡查管理模块：支持农田灌溉用水日常巡查记录填报和问题上报，实现巡查问题闭环管理；支持巡查记录和问题查询。</w:t>
      </w:r>
    </w:p>
    <w:p>
      <w:pPr>
        <w:spacing w:line="360" w:lineRule="auto"/>
        <w:ind w:firstLine="480" w:firstLineChars="200"/>
        <w:jc w:val="left"/>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应用场景功能清单如下：</w:t>
      </w:r>
    </w:p>
    <w:tbl>
      <w:tblPr>
        <w:tblStyle w:val="27"/>
        <w:tblpPr w:leftFromText="181" w:rightFromText="181" w:vertAnchor="text" w:horzAnchor="page" w:tblpXSpec="center" w:tblpY="1"/>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700"/>
        <w:gridCol w:w="1970"/>
        <w:gridCol w:w="4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blHeader/>
          <w:jc w:val="center"/>
        </w:trPr>
        <w:tc>
          <w:tcPr>
            <w:tcW w:w="765" w:type="dxa"/>
            <w:noWrap w:val="0"/>
            <w:vAlign w:val="center"/>
          </w:tcPr>
          <w:p>
            <w:pPr>
              <w:bidi w:val="0"/>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700" w:type="dxa"/>
            <w:noWrap w:val="0"/>
            <w:vAlign w:val="center"/>
          </w:tcPr>
          <w:p>
            <w:pPr>
              <w:bidi w:val="0"/>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一级功能</w:t>
            </w:r>
          </w:p>
        </w:tc>
        <w:tc>
          <w:tcPr>
            <w:tcW w:w="1970" w:type="dxa"/>
            <w:noWrap w:val="0"/>
            <w:vAlign w:val="center"/>
          </w:tcPr>
          <w:p>
            <w:pPr>
              <w:bidi w:val="0"/>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二级功能</w:t>
            </w:r>
          </w:p>
        </w:tc>
        <w:tc>
          <w:tcPr>
            <w:tcW w:w="4087" w:type="dxa"/>
            <w:noWrap w:val="0"/>
            <w:vAlign w:val="center"/>
          </w:tcPr>
          <w:p>
            <w:pPr>
              <w:bidi w:val="0"/>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restart"/>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700" w:type="dxa"/>
            <w:vMerge w:val="restart"/>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农田灌溉用水监管一张图</w:t>
            </w: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GIS地图展示</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接入后台数据，通过GIS地图展示农田</w:t>
            </w:r>
            <w:r>
              <w:rPr>
                <w:rFonts w:hint="eastAsia" w:ascii="宋体" w:hAnsi="宋体" w:eastAsia="宋体" w:cs="宋体"/>
                <w:color w:val="auto"/>
                <w:sz w:val="24"/>
                <w:szCs w:val="24"/>
                <w:highlight w:val="none"/>
                <w:lang w:val="en-US" w:eastAsia="zh-CN"/>
              </w:rPr>
              <w:t>分布</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水质监测</w:t>
            </w:r>
            <w:r>
              <w:rPr>
                <w:rFonts w:hint="eastAsia" w:ascii="宋体" w:hAnsi="宋体" w:eastAsia="宋体" w:cs="宋体"/>
                <w:color w:val="auto"/>
                <w:sz w:val="24"/>
                <w:szCs w:val="24"/>
                <w:highlight w:val="none"/>
              </w:rPr>
              <w:t>、灌溉用水取水口、雨污水排口</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统计分析、异常报警</w:t>
            </w:r>
            <w:r>
              <w:rPr>
                <w:rFonts w:hint="eastAsia" w:ascii="宋体" w:hAnsi="宋体" w:eastAsia="宋体" w:cs="宋体"/>
                <w:color w:val="auto"/>
                <w:sz w:val="24"/>
                <w:szCs w:val="24"/>
                <w:highlight w:val="none"/>
              </w:rPr>
              <w:t>等信息，支持点击详情查看。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700"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数据图表分析</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分析水质、水量、取水口数量等数据变化特征，</w:t>
            </w:r>
            <w:r>
              <w:rPr>
                <w:rFonts w:hint="eastAsia" w:ascii="宋体" w:hAnsi="宋体" w:eastAsia="宋体" w:cs="宋体"/>
                <w:color w:val="auto"/>
                <w:sz w:val="24"/>
                <w:szCs w:val="24"/>
                <w:highlight w:val="none"/>
                <w:lang w:val="en-US" w:eastAsia="zh-CN"/>
              </w:rPr>
              <w:t>以图表形式直观展示分析结果</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700"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问题清单罗列</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以列表形式</w:t>
            </w:r>
            <w:r>
              <w:rPr>
                <w:rFonts w:hint="eastAsia" w:ascii="宋体" w:hAnsi="宋体" w:eastAsia="宋体" w:cs="宋体"/>
                <w:color w:val="auto"/>
                <w:sz w:val="24"/>
                <w:szCs w:val="24"/>
                <w:highlight w:val="none"/>
              </w:rPr>
              <w:t>滚动展示</w:t>
            </w:r>
            <w:r>
              <w:rPr>
                <w:rFonts w:hint="eastAsia" w:ascii="宋体" w:hAnsi="宋体" w:eastAsia="宋体" w:cs="宋体"/>
                <w:color w:val="auto"/>
                <w:sz w:val="24"/>
                <w:szCs w:val="24"/>
                <w:highlight w:val="none"/>
                <w:lang w:val="en-US" w:eastAsia="zh-CN"/>
              </w:rPr>
              <w:t>水质</w:t>
            </w:r>
            <w:r>
              <w:rPr>
                <w:rFonts w:hint="eastAsia" w:ascii="宋体" w:hAnsi="宋体" w:eastAsia="宋体" w:cs="宋体"/>
                <w:color w:val="auto"/>
                <w:sz w:val="24"/>
                <w:szCs w:val="24"/>
                <w:highlight w:val="none"/>
              </w:rPr>
              <w:t>超标预警、问题清单以及日常管理事项</w:t>
            </w:r>
            <w:r>
              <w:rPr>
                <w:rFonts w:hint="eastAsia" w:ascii="宋体" w:hAnsi="宋体" w:eastAsia="宋体" w:cs="宋体"/>
                <w:color w:val="auto"/>
                <w:sz w:val="24"/>
                <w:szCs w:val="24"/>
                <w:highlight w:val="none"/>
                <w:lang w:val="en-US" w:eastAsia="zh-CN"/>
              </w:rPr>
              <w:t>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restart"/>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700" w:type="dxa"/>
            <w:vMerge w:val="restart"/>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灌溉用水水质监管模块</w:t>
            </w: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水质综合展示</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综合展示整体水质类别占比、各站点水质类别统计、达标率、超标因子等信息，通过图表形式直观可视化展示灌溉用水水质总体情况。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700"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监测数据展示</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对接地表水、地下水自动监测数据库，</w:t>
            </w:r>
            <w:r>
              <w:rPr>
                <w:rFonts w:hint="eastAsia" w:ascii="宋体" w:hAnsi="宋体" w:eastAsia="宋体" w:cs="宋体"/>
                <w:color w:val="auto"/>
                <w:sz w:val="24"/>
                <w:szCs w:val="24"/>
                <w:highlight w:val="none"/>
                <w:lang w:val="en-US" w:eastAsia="zh-CN"/>
              </w:rPr>
              <w:t>实现监测数据实时展示</w:t>
            </w:r>
            <w:r>
              <w:rPr>
                <w:rFonts w:hint="eastAsia" w:ascii="宋体" w:hAnsi="宋体" w:eastAsia="宋体" w:cs="宋体"/>
                <w:color w:val="auto"/>
                <w:sz w:val="24"/>
                <w:szCs w:val="24"/>
                <w:highlight w:val="none"/>
              </w:rPr>
              <w:t>，支持不同条件的数据</w:t>
            </w:r>
            <w:r>
              <w:rPr>
                <w:rFonts w:hint="eastAsia" w:ascii="宋体" w:hAnsi="宋体" w:eastAsia="宋体" w:cs="宋体"/>
                <w:color w:val="auto"/>
                <w:sz w:val="24"/>
                <w:szCs w:val="24"/>
                <w:highlight w:val="none"/>
                <w:lang w:val="en-US" w:eastAsia="zh-CN"/>
              </w:rPr>
              <w:t>查询</w:t>
            </w:r>
            <w:r>
              <w:rPr>
                <w:rFonts w:hint="eastAsia" w:ascii="宋体" w:hAnsi="宋体" w:eastAsia="宋体" w:cs="宋体"/>
                <w:color w:val="auto"/>
                <w:sz w:val="24"/>
                <w:szCs w:val="24"/>
                <w:highlight w:val="none"/>
              </w:rPr>
              <w:t>与导出功能。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700"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数据统计分析</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对水质</w:t>
            </w:r>
            <w:r>
              <w:rPr>
                <w:rFonts w:hint="eastAsia" w:ascii="宋体" w:hAnsi="宋体" w:eastAsia="宋体" w:cs="宋体"/>
                <w:color w:val="auto"/>
                <w:sz w:val="24"/>
                <w:szCs w:val="24"/>
                <w:highlight w:val="none"/>
              </w:rPr>
              <w:t>监测数据</w:t>
            </w:r>
            <w:r>
              <w:rPr>
                <w:rFonts w:hint="eastAsia" w:ascii="宋体" w:hAnsi="宋体" w:eastAsia="宋体" w:cs="宋体"/>
                <w:color w:val="auto"/>
                <w:sz w:val="24"/>
                <w:szCs w:val="24"/>
                <w:highlight w:val="none"/>
                <w:lang w:val="en-US" w:eastAsia="zh-CN"/>
              </w:rPr>
              <w:t>进行</w:t>
            </w:r>
            <w:r>
              <w:rPr>
                <w:rFonts w:hint="eastAsia" w:ascii="宋体" w:hAnsi="宋体" w:eastAsia="宋体" w:cs="宋体"/>
                <w:color w:val="auto"/>
                <w:sz w:val="24"/>
                <w:szCs w:val="24"/>
                <w:highlight w:val="none"/>
              </w:rPr>
              <w:t>统计分析，</w:t>
            </w:r>
            <w:r>
              <w:rPr>
                <w:rFonts w:hint="eastAsia" w:ascii="宋体" w:hAnsi="宋体" w:eastAsia="宋体" w:cs="宋体"/>
                <w:color w:val="auto"/>
                <w:sz w:val="24"/>
                <w:szCs w:val="24"/>
                <w:highlight w:val="none"/>
                <w:lang w:val="en-US" w:eastAsia="zh-CN"/>
              </w:rPr>
              <w:t>实现水质类别分析、趋势分析、水质排名等</w:t>
            </w:r>
            <w:r>
              <w:rPr>
                <w:rFonts w:hint="eastAsia" w:ascii="宋体" w:hAnsi="宋体" w:eastAsia="宋体" w:cs="宋体"/>
                <w:color w:val="auto"/>
                <w:sz w:val="24"/>
                <w:szCs w:val="24"/>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700"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基础数据管理</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展示各地表水和地下水监测站点位置、类型、监测因子、数值单位、数据上下限等基础信息。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700"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设备状态监控</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在线查询并展示监测设备运行状态等信息。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700"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手工数据上传</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支持水质手工监测数据人工上传、审核。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restart"/>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700" w:type="dxa"/>
            <w:vMerge w:val="restart"/>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灌溉用水量监控模块</w:t>
            </w: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数据展示</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显示各个取水口的用水量数据、作物种植情况等，支持不同条件的数据筛选与导出功能。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700"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数据统计分析</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根据取水口点位、监测时段对数据统计分析，对不同乡镇的用水量进行统计排名，支持分析结果导出功能。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restart"/>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700" w:type="dxa"/>
            <w:vMerge w:val="restart"/>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灌溉用水水质预警模块</w:t>
            </w: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预警信息展示</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根据“红黄绿”三级预警体系，显示并管理超标预警信息，包括预警点位、预警农田范围、主要影响农作物种类等。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700"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预警因子及阈值管理</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设定各污染因子红色预警和黄色预警的浓度阈值，支持手工添加与修改。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700"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预警分析</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分析预警点位及周边环境的具体情况，包括预警指标变化趋势、预警点位上游雨污水排口情况等信息，为预警原因排查提供数据支撑。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700"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关联信息数据库</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表格展示取水口、雨污水排口等信息，支持手工添加、录入相关信息及图片等附件上传。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restart"/>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700" w:type="dxa"/>
            <w:vMerge w:val="restart"/>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风险协同处置模块</w:t>
            </w: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预警信息管理</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若出现超标预警事件，自动生成预警信息条目，支持人工审核、修改与筛选；支持专家决策信息发布。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700"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处置任务下发</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若出现超标事件，自动记录，可创建处置流程，根据超标情况可选择节点、时间期限与责任人，支持短信、讯息自动推送。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700"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流程跟踪管理</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对协同任务的流程状态进行实时跟踪显示，支持对流程执行过程进行监控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restart"/>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700" w:type="dxa"/>
            <w:vMerge w:val="restart"/>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日常巡查管理模块</w:t>
            </w: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巡查任务管理</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支持数据</w:t>
            </w:r>
            <w:r>
              <w:rPr>
                <w:rFonts w:hint="eastAsia" w:ascii="宋体" w:hAnsi="宋体" w:eastAsia="宋体" w:cs="宋体"/>
                <w:color w:val="auto"/>
                <w:sz w:val="24"/>
                <w:szCs w:val="24"/>
                <w:highlight w:val="none"/>
                <w:lang w:val="en-US" w:eastAsia="zh-CN"/>
              </w:rPr>
              <w:t>填报和</w:t>
            </w:r>
            <w:r>
              <w:rPr>
                <w:rFonts w:hint="eastAsia" w:ascii="宋体" w:hAnsi="宋体" w:eastAsia="宋体" w:cs="宋体"/>
                <w:color w:val="auto"/>
                <w:sz w:val="24"/>
                <w:szCs w:val="24"/>
                <w:highlight w:val="none"/>
              </w:rPr>
              <w:t>上传，巡查信息查询与统计。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5"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700" w:type="dxa"/>
            <w:vMerge w:val="continue"/>
            <w:noWrap w:val="0"/>
            <w:vAlign w:val="center"/>
          </w:tcPr>
          <w:p>
            <w:pPr>
              <w:bidi w:val="0"/>
              <w:spacing w:line="240" w:lineRule="auto"/>
              <w:jc w:val="center"/>
              <w:rPr>
                <w:rFonts w:hint="eastAsia" w:ascii="宋体" w:hAnsi="宋体" w:eastAsia="宋体" w:cs="宋体"/>
                <w:color w:val="auto"/>
                <w:sz w:val="24"/>
                <w:szCs w:val="24"/>
                <w:highlight w:val="none"/>
              </w:rPr>
            </w:pPr>
          </w:p>
        </w:tc>
        <w:tc>
          <w:tcPr>
            <w:tcW w:w="1970" w:type="dxa"/>
            <w:noWrap w:val="0"/>
            <w:vAlign w:val="center"/>
          </w:tcPr>
          <w:p>
            <w:pPr>
              <w:bidi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问题</w:t>
            </w:r>
            <w:r>
              <w:rPr>
                <w:rFonts w:hint="eastAsia" w:ascii="宋体" w:hAnsi="宋体" w:eastAsia="宋体" w:cs="宋体"/>
                <w:color w:val="auto"/>
                <w:sz w:val="24"/>
                <w:szCs w:val="24"/>
                <w:highlight w:val="none"/>
                <w:lang w:val="en-US" w:eastAsia="zh-CN"/>
              </w:rPr>
              <w:t>台账</w:t>
            </w:r>
            <w:r>
              <w:rPr>
                <w:rFonts w:hint="eastAsia" w:ascii="宋体" w:hAnsi="宋体" w:eastAsia="宋体" w:cs="宋体"/>
                <w:color w:val="auto"/>
                <w:sz w:val="24"/>
                <w:szCs w:val="24"/>
                <w:highlight w:val="none"/>
              </w:rPr>
              <w:t>管理</w:t>
            </w:r>
          </w:p>
        </w:tc>
        <w:tc>
          <w:tcPr>
            <w:tcW w:w="4087" w:type="dxa"/>
            <w:noWrap w:val="0"/>
            <w:vAlign w:val="center"/>
          </w:tcPr>
          <w:p>
            <w:pPr>
              <w:bidi w:val="0"/>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支持</w:t>
            </w:r>
            <w:r>
              <w:rPr>
                <w:rFonts w:hint="eastAsia" w:ascii="宋体" w:hAnsi="宋体" w:eastAsia="宋体" w:cs="宋体"/>
                <w:color w:val="auto"/>
                <w:sz w:val="24"/>
                <w:szCs w:val="24"/>
                <w:highlight w:val="none"/>
                <w:lang w:val="en-US" w:eastAsia="zh-CN"/>
              </w:rPr>
              <w:t>问题上报</w:t>
            </w:r>
            <w:r>
              <w:rPr>
                <w:rFonts w:hint="eastAsia" w:ascii="宋体" w:hAnsi="宋体" w:eastAsia="宋体" w:cs="宋体"/>
                <w:color w:val="auto"/>
                <w:sz w:val="24"/>
                <w:szCs w:val="24"/>
                <w:highlight w:val="none"/>
              </w:rPr>
              <w:t>与处置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可实现不同条件组合查询问题清单和详情</w:t>
            </w:r>
            <w:r>
              <w:rPr>
                <w:rFonts w:hint="eastAsia" w:ascii="宋体" w:hAnsi="宋体" w:eastAsia="宋体" w:cs="宋体"/>
                <w:color w:val="auto"/>
                <w:sz w:val="24"/>
                <w:szCs w:val="24"/>
                <w:highlight w:val="none"/>
                <w:lang w:eastAsia="zh-CN"/>
              </w:rPr>
              <w:t>。</w:t>
            </w:r>
          </w:p>
        </w:tc>
      </w:tr>
    </w:tbl>
    <w:p>
      <w:pPr>
        <w:spacing w:line="360" w:lineRule="auto"/>
        <w:ind w:firstLine="480" w:firstLineChars="200"/>
        <w:jc w:val="left"/>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服务器配置要求：</w:t>
      </w:r>
    </w:p>
    <w:tbl>
      <w:tblPr>
        <w:tblStyle w:val="27"/>
        <w:tblW w:w="8522" w:type="dxa"/>
        <w:jc w:val="center"/>
        <w:tblLayout w:type="fixed"/>
        <w:tblCellMar>
          <w:top w:w="0" w:type="dxa"/>
          <w:left w:w="108" w:type="dxa"/>
          <w:bottom w:w="0" w:type="dxa"/>
          <w:right w:w="108" w:type="dxa"/>
        </w:tblCellMar>
      </w:tblPr>
      <w:tblGrid>
        <w:gridCol w:w="953"/>
        <w:gridCol w:w="1644"/>
        <w:gridCol w:w="1654"/>
        <w:gridCol w:w="2252"/>
        <w:gridCol w:w="1010"/>
        <w:gridCol w:w="1009"/>
      </w:tblGrid>
      <w:tr>
        <w:tblPrEx>
          <w:tblCellMar>
            <w:top w:w="0" w:type="dxa"/>
            <w:left w:w="108" w:type="dxa"/>
            <w:bottom w:w="0" w:type="dxa"/>
            <w:right w:w="108" w:type="dxa"/>
          </w:tblCellMar>
        </w:tblPrEx>
        <w:trPr>
          <w:trHeight w:val="278" w:hRule="atLeast"/>
          <w:tblHeader/>
          <w:jc w:val="center"/>
        </w:trPr>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644"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名称</w:t>
            </w:r>
          </w:p>
        </w:tc>
        <w:tc>
          <w:tcPr>
            <w:tcW w:w="1654"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品牌</w:t>
            </w:r>
          </w:p>
        </w:tc>
        <w:tc>
          <w:tcPr>
            <w:tcW w:w="2252"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参数要求</w:t>
            </w:r>
          </w:p>
        </w:tc>
        <w:tc>
          <w:tcPr>
            <w:tcW w:w="1010"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1009"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r>
      <w:tr>
        <w:tblPrEx>
          <w:tblCellMar>
            <w:top w:w="0" w:type="dxa"/>
            <w:left w:w="108" w:type="dxa"/>
            <w:bottom w:w="0" w:type="dxa"/>
            <w:right w:w="108" w:type="dxa"/>
          </w:tblCellMar>
        </w:tblPrEx>
        <w:trPr>
          <w:trHeight w:val="920" w:hRule="atLeast"/>
          <w:jc w:val="center"/>
        </w:trPr>
        <w:tc>
          <w:tcPr>
            <w:tcW w:w="953" w:type="dxa"/>
            <w:tcBorders>
              <w:top w:val="nil"/>
              <w:left w:val="single" w:color="auto" w:sz="4" w:space="0"/>
              <w:bottom w:val="single" w:color="auto" w:sz="4" w:space="0"/>
              <w:right w:val="single" w:color="auto" w:sz="4" w:space="0"/>
            </w:tcBorders>
            <w:shd w:val="clear" w:color="auto" w:fill="auto"/>
            <w:noWrap/>
            <w:vAlign w:val="center"/>
          </w:tcPr>
          <w:p>
            <w:pPr>
              <w:bidi w:val="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1644" w:type="dxa"/>
            <w:tcBorders>
              <w:top w:val="nil"/>
              <w:left w:val="nil"/>
              <w:bottom w:val="single" w:color="auto" w:sz="4" w:space="0"/>
              <w:right w:val="single" w:color="auto" w:sz="4" w:space="0"/>
            </w:tcBorders>
            <w:shd w:val="clear" w:color="auto" w:fill="auto"/>
            <w:vAlign w:val="center"/>
          </w:tcPr>
          <w:p>
            <w:pPr>
              <w:bidi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容灾备份服务</w:t>
            </w:r>
          </w:p>
        </w:tc>
        <w:tc>
          <w:tcPr>
            <w:tcW w:w="1654" w:type="dxa"/>
            <w:tcBorders>
              <w:top w:val="nil"/>
              <w:left w:val="nil"/>
              <w:bottom w:val="single" w:color="auto" w:sz="4" w:space="0"/>
              <w:right w:val="single" w:color="auto" w:sz="4" w:space="0"/>
            </w:tcBorders>
            <w:shd w:val="clear" w:color="auto" w:fill="auto"/>
            <w:noWrap/>
            <w:vAlign w:val="center"/>
          </w:tcPr>
          <w:p>
            <w:pPr>
              <w:bidi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云资源虚机</w:t>
            </w:r>
          </w:p>
        </w:tc>
        <w:tc>
          <w:tcPr>
            <w:tcW w:w="2252" w:type="dxa"/>
            <w:tcBorders>
              <w:top w:val="nil"/>
              <w:left w:val="nil"/>
              <w:bottom w:val="single" w:color="auto" w:sz="4" w:space="0"/>
              <w:right w:val="single" w:color="auto" w:sz="4" w:space="0"/>
            </w:tcBorders>
            <w:shd w:val="clear" w:color="auto" w:fill="auto"/>
            <w:vAlign w:val="center"/>
          </w:tcPr>
          <w:p>
            <w:pPr>
              <w:bidi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CentOS 7.0/</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核CPU/</w:t>
            </w:r>
            <w:r>
              <w:rPr>
                <w:rFonts w:hint="eastAsia" w:ascii="宋体" w:hAnsi="宋体" w:eastAsia="宋体" w:cs="宋体"/>
                <w:color w:val="auto"/>
                <w:sz w:val="24"/>
                <w:szCs w:val="24"/>
                <w:highlight w:val="none"/>
                <w:lang w:val="en-US" w:eastAsia="zh-CN"/>
              </w:rPr>
              <w:t>32</w:t>
            </w:r>
            <w:r>
              <w:rPr>
                <w:rFonts w:hint="eastAsia" w:ascii="宋体" w:hAnsi="宋体" w:eastAsia="宋体" w:cs="宋体"/>
                <w:color w:val="auto"/>
                <w:sz w:val="24"/>
                <w:szCs w:val="24"/>
                <w:highlight w:val="none"/>
              </w:rPr>
              <w:t>G内存</w:t>
            </w:r>
          </w:p>
        </w:tc>
        <w:tc>
          <w:tcPr>
            <w:tcW w:w="1010" w:type="dxa"/>
            <w:tcBorders>
              <w:top w:val="nil"/>
              <w:left w:val="nil"/>
              <w:bottom w:val="single" w:color="auto" w:sz="4" w:space="0"/>
              <w:right w:val="single" w:color="auto" w:sz="4" w:space="0"/>
            </w:tcBorders>
            <w:shd w:val="clear" w:color="auto" w:fill="auto"/>
            <w:vAlign w:val="center"/>
          </w:tcPr>
          <w:p>
            <w:pPr>
              <w:bidi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009" w:type="dxa"/>
            <w:tcBorders>
              <w:top w:val="nil"/>
              <w:left w:val="nil"/>
              <w:bottom w:val="single" w:color="auto" w:sz="4" w:space="0"/>
              <w:right w:val="single" w:color="auto" w:sz="4" w:space="0"/>
            </w:tcBorders>
            <w:shd w:val="clear" w:color="auto" w:fill="auto"/>
            <w:noWrap/>
            <w:vAlign w:val="center"/>
          </w:tcPr>
          <w:p>
            <w:pPr>
              <w:bidi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r>
      <w:tr>
        <w:tblPrEx>
          <w:tblCellMar>
            <w:top w:w="0" w:type="dxa"/>
            <w:left w:w="108" w:type="dxa"/>
            <w:bottom w:w="0" w:type="dxa"/>
            <w:right w:w="108" w:type="dxa"/>
          </w:tblCellMar>
        </w:tblPrEx>
        <w:trPr>
          <w:trHeight w:val="820" w:hRule="atLeast"/>
          <w:jc w:val="center"/>
        </w:trPr>
        <w:tc>
          <w:tcPr>
            <w:tcW w:w="953" w:type="dxa"/>
            <w:tcBorders>
              <w:top w:val="nil"/>
              <w:left w:val="single" w:color="auto" w:sz="4" w:space="0"/>
              <w:bottom w:val="single" w:color="auto" w:sz="4" w:space="0"/>
              <w:right w:val="single" w:color="auto" w:sz="4" w:space="0"/>
            </w:tcBorders>
            <w:shd w:val="clear" w:color="auto" w:fill="auto"/>
            <w:noWrap/>
            <w:vAlign w:val="center"/>
          </w:tcPr>
          <w:p>
            <w:pPr>
              <w:bidi w:val="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c>
          <w:tcPr>
            <w:tcW w:w="1644" w:type="dxa"/>
            <w:tcBorders>
              <w:top w:val="nil"/>
              <w:left w:val="nil"/>
              <w:bottom w:val="single" w:color="auto" w:sz="4" w:space="0"/>
              <w:right w:val="single" w:color="auto" w:sz="4" w:space="0"/>
            </w:tcBorders>
            <w:shd w:val="clear" w:color="auto" w:fill="auto"/>
            <w:vAlign w:val="center"/>
          </w:tcPr>
          <w:p>
            <w:pPr>
              <w:bidi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应用服务</w:t>
            </w:r>
          </w:p>
        </w:tc>
        <w:tc>
          <w:tcPr>
            <w:tcW w:w="1654" w:type="dxa"/>
            <w:tcBorders>
              <w:top w:val="nil"/>
              <w:left w:val="nil"/>
              <w:bottom w:val="single" w:color="auto" w:sz="4" w:space="0"/>
              <w:right w:val="single" w:color="auto" w:sz="4" w:space="0"/>
            </w:tcBorders>
            <w:shd w:val="clear" w:color="auto" w:fill="auto"/>
            <w:noWrap/>
            <w:vAlign w:val="center"/>
          </w:tcPr>
          <w:p>
            <w:pPr>
              <w:bidi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云资源虚机</w:t>
            </w:r>
          </w:p>
        </w:tc>
        <w:tc>
          <w:tcPr>
            <w:tcW w:w="2252" w:type="dxa"/>
            <w:tcBorders>
              <w:top w:val="nil"/>
              <w:left w:val="nil"/>
              <w:bottom w:val="single" w:color="auto" w:sz="4" w:space="0"/>
              <w:right w:val="single" w:color="auto" w:sz="4" w:space="0"/>
            </w:tcBorders>
            <w:shd w:val="clear" w:color="auto" w:fill="auto"/>
            <w:vAlign w:val="center"/>
          </w:tcPr>
          <w:p>
            <w:pPr>
              <w:bidi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CentOS 7.0/</w:t>
            </w: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rPr>
              <w:t>核CPU/32G内存/500G数据盘</w:t>
            </w:r>
          </w:p>
        </w:tc>
        <w:tc>
          <w:tcPr>
            <w:tcW w:w="1010" w:type="dxa"/>
            <w:tcBorders>
              <w:top w:val="nil"/>
              <w:left w:val="nil"/>
              <w:bottom w:val="single" w:color="auto" w:sz="4" w:space="0"/>
              <w:right w:val="single" w:color="auto" w:sz="4" w:space="0"/>
            </w:tcBorders>
            <w:shd w:val="clear" w:color="auto" w:fill="auto"/>
            <w:vAlign w:val="center"/>
          </w:tcPr>
          <w:p>
            <w:pPr>
              <w:bidi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009" w:type="dxa"/>
            <w:tcBorders>
              <w:top w:val="nil"/>
              <w:left w:val="nil"/>
              <w:bottom w:val="single" w:color="auto" w:sz="4" w:space="0"/>
              <w:right w:val="single" w:color="auto" w:sz="4" w:space="0"/>
            </w:tcBorders>
            <w:shd w:val="clear" w:color="auto" w:fill="auto"/>
            <w:noWrap/>
            <w:vAlign w:val="center"/>
          </w:tcPr>
          <w:p>
            <w:pPr>
              <w:bidi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r>
      <w:tr>
        <w:tblPrEx>
          <w:tblCellMar>
            <w:top w:w="0" w:type="dxa"/>
            <w:left w:w="108" w:type="dxa"/>
            <w:bottom w:w="0" w:type="dxa"/>
            <w:right w:w="108" w:type="dxa"/>
          </w:tblCellMar>
        </w:tblPrEx>
        <w:trPr>
          <w:trHeight w:val="480" w:hRule="atLeast"/>
          <w:jc w:val="center"/>
        </w:trPr>
        <w:tc>
          <w:tcPr>
            <w:tcW w:w="953" w:type="dxa"/>
            <w:tcBorders>
              <w:top w:val="nil"/>
              <w:left w:val="single" w:color="auto" w:sz="4" w:space="0"/>
              <w:bottom w:val="single" w:color="auto" w:sz="4" w:space="0"/>
              <w:right w:val="single" w:color="auto" w:sz="4" w:space="0"/>
            </w:tcBorders>
            <w:shd w:val="clear" w:color="auto" w:fill="auto"/>
            <w:noWrap/>
            <w:vAlign w:val="center"/>
          </w:tcPr>
          <w:p>
            <w:pPr>
              <w:bidi w:val="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c>
          <w:tcPr>
            <w:tcW w:w="1644" w:type="dxa"/>
            <w:tcBorders>
              <w:top w:val="nil"/>
              <w:left w:val="nil"/>
              <w:bottom w:val="single" w:color="auto" w:sz="4" w:space="0"/>
              <w:right w:val="single" w:color="auto" w:sz="4" w:space="0"/>
            </w:tcBorders>
            <w:shd w:val="clear" w:color="auto" w:fill="auto"/>
            <w:vAlign w:val="center"/>
          </w:tcPr>
          <w:p>
            <w:pPr>
              <w:bidi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数据库服务</w:t>
            </w:r>
          </w:p>
        </w:tc>
        <w:tc>
          <w:tcPr>
            <w:tcW w:w="1654" w:type="dxa"/>
            <w:tcBorders>
              <w:top w:val="nil"/>
              <w:left w:val="nil"/>
              <w:bottom w:val="single" w:color="auto" w:sz="4" w:space="0"/>
              <w:right w:val="single" w:color="auto" w:sz="4" w:space="0"/>
            </w:tcBorders>
            <w:shd w:val="clear" w:color="auto" w:fill="auto"/>
            <w:noWrap/>
            <w:vAlign w:val="center"/>
          </w:tcPr>
          <w:p>
            <w:pPr>
              <w:bidi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云资源虚机</w:t>
            </w:r>
          </w:p>
        </w:tc>
        <w:tc>
          <w:tcPr>
            <w:tcW w:w="2252" w:type="dxa"/>
            <w:tcBorders>
              <w:top w:val="nil"/>
              <w:left w:val="nil"/>
              <w:bottom w:val="single" w:color="auto" w:sz="4" w:space="0"/>
              <w:right w:val="single" w:color="auto" w:sz="4" w:space="0"/>
            </w:tcBorders>
            <w:shd w:val="clear" w:color="auto" w:fill="auto"/>
            <w:vAlign w:val="center"/>
          </w:tcPr>
          <w:p>
            <w:pPr>
              <w:bidi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CentOS 7.0/8核CPU/32G内存/</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000G数据盘</w:t>
            </w:r>
          </w:p>
        </w:tc>
        <w:tc>
          <w:tcPr>
            <w:tcW w:w="1010" w:type="dxa"/>
            <w:tcBorders>
              <w:top w:val="nil"/>
              <w:left w:val="nil"/>
              <w:bottom w:val="single" w:color="auto" w:sz="4" w:space="0"/>
              <w:right w:val="single" w:color="auto" w:sz="4" w:space="0"/>
            </w:tcBorders>
            <w:shd w:val="clear" w:color="auto" w:fill="auto"/>
            <w:vAlign w:val="center"/>
          </w:tcPr>
          <w:p>
            <w:pPr>
              <w:bidi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009" w:type="dxa"/>
            <w:tcBorders>
              <w:top w:val="nil"/>
              <w:left w:val="nil"/>
              <w:bottom w:val="single" w:color="auto" w:sz="4" w:space="0"/>
              <w:right w:val="single" w:color="auto" w:sz="4" w:space="0"/>
            </w:tcBorders>
            <w:shd w:val="clear" w:color="auto" w:fill="auto"/>
            <w:noWrap/>
            <w:vAlign w:val="center"/>
          </w:tcPr>
          <w:p>
            <w:pPr>
              <w:bidi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r>
    </w:tbl>
    <w:p>
      <w:pPr>
        <w:spacing w:line="360" w:lineRule="auto"/>
        <w:ind w:firstLine="480" w:firstLineChars="200"/>
        <w:jc w:val="left"/>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3、配套能力建设</w:t>
      </w:r>
    </w:p>
    <w:p>
      <w:pPr>
        <w:spacing w:line="360" w:lineRule="auto"/>
        <w:ind w:firstLine="480" w:firstLineChars="200"/>
        <w:jc w:val="left"/>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为增加灌溉用水水质监管的精确性和预警的及时性，在接入现有地表水在线数据以及农业、水利数据的基础上，在重点区域增设部分水质监测设备，监测因子涵盖pH值、电导率、氯化物、藻密度等指标。其中新建2套地下水水质监测系统，监测因子包括pH值、电导率和氯化物，在现有地表水水质监测系统基础上升级6套系统，增加pH值、电导率、氯化物和藻密度四项监测因子。设备参数要求：</w:t>
      </w:r>
    </w:p>
    <w:tbl>
      <w:tblPr>
        <w:tblStyle w:val="27"/>
        <w:tblW w:w="8648" w:type="dxa"/>
        <w:jc w:val="center"/>
        <w:tblLayout w:type="fixed"/>
        <w:tblCellMar>
          <w:top w:w="0" w:type="dxa"/>
          <w:left w:w="108" w:type="dxa"/>
          <w:bottom w:w="0" w:type="dxa"/>
          <w:right w:w="108" w:type="dxa"/>
        </w:tblCellMar>
      </w:tblPr>
      <w:tblGrid>
        <w:gridCol w:w="771"/>
        <w:gridCol w:w="1434"/>
        <w:gridCol w:w="3805"/>
        <w:gridCol w:w="872"/>
        <w:gridCol w:w="811"/>
        <w:gridCol w:w="955"/>
      </w:tblGrid>
      <w:tr>
        <w:tblPrEx>
          <w:tblCellMar>
            <w:top w:w="0" w:type="dxa"/>
            <w:left w:w="108" w:type="dxa"/>
            <w:bottom w:w="0" w:type="dxa"/>
            <w:right w:w="108" w:type="dxa"/>
          </w:tblCellMar>
        </w:tblPrEx>
        <w:trPr>
          <w:trHeight w:val="420" w:hRule="atLeast"/>
          <w:jc w:val="center"/>
        </w:trPr>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4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品名</w:t>
            </w:r>
          </w:p>
        </w:tc>
        <w:tc>
          <w:tcPr>
            <w:tcW w:w="380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参数要求</w:t>
            </w:r>
          </w:p>
        </w:tc>
        <w:tc>
          <w:tcPr>
            <w:tcW w:w="8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c>
          <w:tcPr>
            <w:tcW w:w="9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CellMar>
            <w:top w:w="0" w:type="dxa"/>
            <w:left w:w="108" w:type="dxa"/>
            <w:bottom w:w="0" w:type="dxa"/>
            <w:right w:w="108" w:type="dxa"/>
          </w:tblCellMar>
        </w:tblPrEx>
        <w:trPr>
          <w:trHeight w:val="420" w:hRule="atLeast"/>
          <w:jc w:val="center"/>
        </w:trPr>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p>
        </w:tc>
        <w:tc>
          <w:tcPr>
            <w:tcW w:w="14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水质多参数在线检测仪</w:t>
            </w:r>
          </w:p>
        </w:tc>
        <w:tc>
          <w:tcPr>
            <w:tcW w:w="3805"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测量因子：同时测量及显示pH、氯化物、电导率、藻密度等指标</w:t>
            </w:r>
          </w:p>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输出功能： </w:t>
            </w:r>
            <w:r>
              <w:rPr>
                <w:rFonts w:hint="eastAsia" w:ascii="宋体" w:hAnsi="宋体" w:eastAsia="宋体" w:cs="宋体"/>
                <w:color w:val="auto"/>
                <w:sz w:val="24"/>
                <w:szCs w:val="24"/>
                <w:highlight w:val="none"/>
              </w:rPr>
              <w:t>RS485 Modbus RTU标准协议</w:t>
            </w:r>
            <w:r>
              <w:rPr>
                <w:rFonts w:hint="eastAsia" w:ascii="宋体" w:hAnsi="宋体" w:eastAsia="宋体" w:cs="宋体"/>
                <w:color w:val="auto"/>
                <w:sz w:val="24"/>
                <w:szCs w:val="24"/>
                <w:highlight w:val="none"/>
                <w:lang w:val="en-US" w:eastAsia="zh-CN"/>
              </w:rPr>
              <w:t>、HJ212国家站协议可选</w:t>
            </w:r>
          </w:p>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★性能：具备静电放电抗干扰、电快速瞬变脉冲群抗干扰能力，取得省级及以上机构检测报告</w:t>
            </w:r>
          </w:p>
        </w:tc>
        <w:tc>
          <w:tcPr>
            <w:tcW w:w="8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套</w:t>
            </w:r>
          </w:p>
        </w:tc>
        <w:tc>
          <w:tcPr>
            <w:tcW w:w="9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p>
          <w:p>
            <w:pPr>
              <w:widowControl/>
              <w:spacing w:line="240" w:lineRule="auto"/>
              <w:jc w:val="center"/>
              <w:rPr>
                <w:rFonts w:hint="eastAsia" w:ascii="宋体" w:hAnsi="宋体" w:eastAsia="宋体" w:cs="宋体"/>
                <w:color w:val="auto"/>
                <w:sz w:val="24"/>
                <w:szCs w:val="24"/>
                <w:highlight w:val="none"/>
                <w:lang w:val="en-US" w:eastAsia="zh-CN"/>
              </w:rPr>
            </w:pPr>
          </w:p>
        </w:tc>
      </w:tr>
      <w:tr>
        <w:tblPrEx>
          <w:tblCellMar>
            <w:top w:w="0" w:type="dxa"/>
            <w:left w:w="108" w:type="dxa"/>
            <w:bottom w:w="0" w:type="dxa"/>
            <w:right w:w="108" w:type="dxa"/>
          </w:tblCellMar>
        </w:tblPrEx>
        <w:trPr>
          <w:trHeight w:val="420" w:hRule="atLeast"/>
          <w:jc w:val="center"/>
        </w:trPr>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4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一体式集成系统</w:t>
            </w:r>
          </w:p>
        </w:tc>
        <w:tc>
          <w:tcPr>
            <w:tcW w:w="3805"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包含采水单元、数据采集传输单元和控制单元等，保证监测系统完整性</w:t>
            </w:r>
          </w:p>
        </w:tc>
        <w:tc>
          <w:tcPr>
            <w:tcW w:w="8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套</w:t>
            </w:r>
          </w:p>
        </w:tc>
        <w:tc>
          <w:tcPr>
            <w:tcW w:w="9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p>
        </w:tc>
      </w:tr>
      <w:tr>
        <w:tblPrEx>
          <w:tblCellMar>
            <w:top w:w="0" w:type="dxa"/>
            <w:left w:w="108" w:type="dxa"/>
            <w:bottom w:w="0" w:type="dxa"/>
            <w:right w:w="108" w:type="dxa"/>
          </w:tblCellMar>
        </w:tblPrEx>
        <w:trPr>
          <w:trHeight w:val="420" w:hRule="atLeast"/>
          <w:jc w:val="center"/>
        </w:trPr>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4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pH分析仪</w:t>
            </w:r>
          </w:p>
        </w:tc>
        <w:tc>
          <w:tcPr>
            <w:tcW w:w="3805"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测量原理：玻璃电极法</w:t>
            </w:r>
          </w:p>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分辨率：0.01</w:t>
            </w:r>
          </w:p>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★重复性：＜0.05pH</w:t>
            </w:r>
          </w:p>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★资质认证：取得CCEP中国环保认证证书；取得IP68防护等级认证证书</w:t>
            </w:r>
          </w:p>
        </w:tc>
        <w:tc>
          <w:tcPr>
            <w:tcW w:w="8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套</w:t>
            </w:r>
          </w:p>
        </w:tc>
        <w:tc>
          <w:tcPr>
            <w:tcW w:w="9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420" w:hRule="atLeast"/>
          <w:jc w:val="center"/>
        </w:trPr>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4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电导率分析仪</w:t>
            </w:r>
          </w:p>
        </w:tc>
        <w:tc>
          <w:tcPr>
            <w:tcW w:w="3805"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★测量原理：四极式电极法（避免离子云干扰）</w:t>
            </w:r>
          </w:p>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分辨率：0.01/0.1/1（视量程而定）</w:t>
            </w:r>
          </w:p>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重复性：＜1%</w:t>
            </w:r>
          </w:p>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★资质认证：取得CCEP中国环保认证证书；取得IP68防护等级认证证书</w:t>
            </w:r>
          </w:p>
        </w:tc>
        <w:tc>
          <w:tcPr>
            <w:tcW w:w="8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套</w:t>
            </w:r>
          </w:p>
        </w:tc>
        <w:tc>
          <w:tcPr>
            <w:tcW w:w="9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420" w:hRule="atLeast"/>
          <w:jc w:val="center"/>
        </w:trPr>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4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氯化物在线分析仪</w:t>
            </w:r>
          </w:p>
        </w:tc>
        <w:tc>
          <w:tcPr>
            <w:tcW w:w="3805"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测量原理：离子电极法</w:t>
            </w:r>
          </w:p>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分辨率：0.01 mg/L</w:t>
            </w:r>
          </w:p>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重复性：＜5%</w:t>
            </w:r>
          </w:p>
        </w:tc>
        <w:tc>
          <w:tcPr>
            <w:tcW w:w="8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套</w:t>
            </w:r>
          </w:p>
        </w:tc>
        <w:tc>
          <w:tcPr>
            <w:tcW w:w="9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420" w:hRule="atLeast"/>
          <w:jc w:val="center"/>
        </w:trPr>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14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蓝绿藻在线分析仪</w:t>
            </w:r>
          </w:p>
        </w:tc>
        <w:tc>
          <w:tcPr>
            <w:tcW w:w="3805"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测量原理： 荧光法</w:t>
            </w:r>
          </w:p>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分辨率：0.1Kcells/mL </w:t>
            </w:r>
          </w:p>
          <w:p>
            <w:pPr>
              <w:widowControl/>
              <w:numPr>
                <w:ilvl w:val="0"/>
                <w:numId w:val="4"/>
              </w:numPr>
              <w:spacing w:line="240" w:lineRule="auto"/>
              <w:ind w:left="420" w:leftChars="0" w:hanging="42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重复性：＜5% </w:t>
            </w:r>
          </w:p>
        </w:tc>
        <w:tc>
          <w:tcPr>
            <w:tcW w:w="8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套</w:t>
            </w:r>
          </w:p>
        </w:tc>
        <w:tc>
          <w:tcPr>
            <w:tcW w:w="9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auto"/>
                <w:sz w:val="24"/>
                <w:szCs w:val="24"/>
                <w:highlight w:val="none"/>
              </w:rPr>
            </w:pPr>
          </w:p>
        </w:tc>
      </w:tr>
    </w:tbl>
    <w:p>
      <w:pPr>
        <w:spacing w:line="360" w:lineRule="auto"/>
        <w:ind w:firstLine="241" w:firstLineChars="100"/>
        <w:jc w:val="left"/>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zh-CN" w:eastAsia="zh-CN"/>
        </w:rPr>
        <w:t>（</w:t>
      </w:r>
      <w:r>
        <w:rPr>
          <w:rFonts w:hint="eastAsia" w:ascii="宋体" w:hAnsi="宋体" w:eastAsia="宋体" w:cs="宋体"/>
          <w:b/>
          <w:bCs/>
          <w:color w:val="auto"/>
          <w:sz w:val="24"/>
          <w:szCs w:val="32"/>
          <w:highlight w:val="none"/>
          <w:lang w:val="en-US" w:eastAsia="zh-CN"/>
        </w:rPr>
        <w:t>三</w:t>
      </w:r>
      <w:r>
        <w:rPr>
          <w:rFonts w:hint="eastAsia" w:ascii="宋体" w:hAnsi="宋体" w:eastAsia="宋体" w:cs="宋体"/>
          <w:b/>
          <w:bCs/>
          <w:color w:val="auto"/>
          <w:sz w:val="24"/>
          <w:szCs w:val="32"/>
          <w:highlight w:val="none"/>
          <w:lang w:val="zh-CN" w:eastAsia="zh-CN"/>
        </w:rPr>
        <w:t>）</w:t>
      </w:r>
      <w:r>
        <w:rPr>
          <w:rFonts w:hint="eastAsia" w:ascii="宋体" w:hAnsi="宋体" w:eastAsia="宋体" w:cs="宋体"/>
          <w:b/>
          <w:bCs/>
          <w:color w:val="auto"/>
          <w:sz w:val="24"/>
          <w:szCs w:val="32"/>
          <w:highlight w:val="none"/>
          <w:lang w:val="en-US" w:eastAsia="zh-CN"/>
        </w:rPr>
        <w:t>商务要求</w:t>
      </w:r>
    </w:p>
    <w:p>
      <w:pPr>
        <w:spacing w:line="360" w:lineRule="auto"/>
        <w:ind w:firstLine="241" w:firstLineChars="100"/>
        <w:jc w:val="left"/>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1、服务期限：</w:t>
      </w:r>
      <w:r>
        <w:rPr>
          <w:rFonts w:hint="eastAsia" w:ascii="宋体" w:hAnsi="宋体" w:eastAsia="宋体" w:cs="宋体"/>
          <w:b w:val="0"/>
          <w:bCs w:val="0"/>
          <w:color w:val="auto"/>
          <w:sz w:val="24"/>
          <w:szCs w:val="32"/>
          <w:highlight w:val="none"/>
          <w:lang w:val="en-US" w:eastAsia="zh-CN"/>
        </w:rPr>
        <w:t>按采购需求的具体服务时间规定执行。</w:t>
      </w:r>
    </w:p>
    <w:p>
      <w:pPr>
        <w:spacing w:line="360" w:lineRule="auto"/>
        <w:ind w:firstLine="482" w:firstLineChars="200"/>
        <w:jc w:val="left"/>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2、付款方式：</w:t>
      </w:r>
      <w:r>
        <w:rPr>
          <w:rFonts w:hint="eastAsia" w:ascii="宋体" w:hAnsi="宋体" w:cs="宋体"/>
          <w:color w:val="auto"/>
          <w:sz w:val="24"/>
          <w:szCs w:val="32"/>
          <w:highlight w:val="none"/>
        </w:rPr>
        <w:t>签订合同后，支付合同总金额的30%，设备到货后支付</w:t>
      </w:r>
      <w:r>
        <w:rPr>
          <w:rFonts w:hint="eastAsia" w:ascii="宋体" w:hAnsi="宋体" w:cs="宋体"/>
          <w:color w:val="auto"/>
          <w:sz w:val="24"/>
          <w:szCs w:val="32"/>
          <w:highlight w:val="none"/>
          <w:lang w:val="en-US" w:eastAsia="zh-CN"/>
        </w:rPr>
        <w:t>合同</w:t>
      </w:r>
      <w:r>
        <w:rPr>
          <w:rFonts w:hint="eastAsia" w:ascii="宋体" w:hAnsi="宋体" w:cs="宋体"/>
          <w:color w:val="auto"/>
          <w:sz w:val="24"/>
          <w:szCs w:val="32"/>
          <w:highlight w:val="none"/>
        </w:rPr>
        <w:t>款的</w:t>
      </w: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rPr>
        <w:t>0%，系统上线并进入试运行后支付</w:t>
      </w:r>
      <w:r>
        <w:rPr>
          <w:rFonts w:hint="eastAsia" w:ascii="宋体" w:hAnsi="宋体" w:cs="宋体"/>
          <w:color w:val="auto"/>
          <w:sz w:val="24"/>
          <w:szCs w:val="32"/>
          <w:highlight w:val="none"/>
          <w:lang w:val="en-US" w:eastAsia="zh-CN"/>
        </w:rPr>
        <w:t>合同款</w:t>
      </w:r>
      <w:r>
        <w:rPr>
          <w:rFonts w:hint="eastAsia" w:ascii="宋体" w:hAnsi="宋体" w:cs="宋体"/>
          <w:color w:val="auto"/>
          <w:sz w:val="24"/>
          <w:szCs w:val="32"/>
          <w:highlight w:val="none"/>
        </w:rPr>
        <w:t>的</w:t>
      </w:r>
      <w:r>
        <w:rPr>
          <w:rFonts w:hint="eastAsia" w:ascii="宋体" w:hAnsi="宋体" w:cs="宋体"/>
          <w:color w:val="auto"/>
          <w:sz w:val="24"/>
          <w:szCs w:val="32"/>
          <w:highlight w:val="none"/>
          <w:lang w:val="en-US" w:eastAsia="zh-CN"/>
        </w:rPr>
        <w:t>20</w:t>
      </w:r>
      <w:r>
        <w:rPr>
          <w:rFonts w:hint="eastAsia" w:ascii="宋体" w:hAnsi="宋体" w:cs="宋体"/>
          <w:color w:val="auto"/>
          <w:sz w:val="24"/>
          <w:szCs w:val="32"/>
          <w:highlight w:val="none"/>
        </w:rPr>
        <w:t>%，整体项目验收合格后支付合同总金额的</w:t>
      </w:r>
      <w:r>
        <w:rPr>
          <w:rFonts w:hint="eastAsia" w:ascii="宋体" w:hAnsi="宋体" w:cs="宋体"/>
          <w:color w:val="auto"/>
          <w:sz w:val="24"/>
          <w:szCs w:val="32"/>
          <w:highlight w:val="none"/>
          <w:lang w:val="en-US" w:eastAsia="zh-CN"/>
        </w:rPr>
        <w:t>30</w:t>
      </w:r>
      <w:r>
        <w:rPr>
          <w:rFonts w:hint="eastAsia" w:ascii="宋体" w:hAnsi="宋体" w:cs="宋体"/>
          <w:color w:val="auto"/>
          <w:sz w:val="24"/>
          <w:szCs w:val="32"/>
          <w:highlight w:val="none"/>
        </w:rPr>
        <w:t>%。</w:t>
      </w:r>
    </w:p>
    <w:p>
      <w:pPr>
        <w:pStyle w:val="2"/>
        <w:rPr>
          <w:rFonts w:hint="default"/>
          <w:color w:val="auto"/>
          <w:highlight w:val="none"/>
          <w:lang w:val="en-US" w:eastAsia="zh-CN"/>
        </w:rPr>
      </w:pPr>
      <w:r>
        <w:rPr>
          <w:rFonts w:hint="eastAsia" w:ascii="宋体" w:hAnsi="宋体" w:cs="宋体"/>
          <w:b w:val="0"/>
          <w:bCs w:val="0"/>
          <w:color w:val="auto"/>
          <w:sz w:val="24"/>
          <w:szCs w:val="32"/>
          <w:highlight w:val="none"/>
          <w:lang w:val="en-US" w:eastAsia="zh-CN"/>
        </w:rPr>
        <w:t xml:space="preserve">  3、质保及软件免费维保期：项目验收通过后两年。</w:t>
      </w:r>
    </w:p>
    <w:p>
      <w:pPr>
        <w:spacing w:line="360" w:lineRule="auto"/>
        <w:jc w:val="left"/>
        <w:rPr>
          <w:rFonts w:hint="eastAsia" w:ascii="宋体" w:hAnsi="宋体" w:eastAsia="宋体" w:cs="宋体"/>
          <w:b w:val="0"/>
          <w:bCs w:val="0"/>
          <w:color w:val="auto"/>
          <w:sz w:val="24"/>
          <w:szCs w:val="32"/>
          <w:highlight w:val="none"/>
          <w:lang w:val="en-US" w:eastAsia="zh-CN"/>
        </w:rPr>
      </w:pPr>
    </w:p>
    <w:p>
      <w:pPr>
        <w:spacing w:line="360" w:lineRule="auto"/>
        <w:jc w:val="left"/>
        <w:rPr>
          <w:rFonts w:hint="eastAsia" w:ascii="宋体" w:hAnsi="宋体" w:eastAsia="宋体" w:cs="宋体"/>
          <w:b w:val="0"/>
          <w:bCs w:val="0"/>
          <w:color w:val="auto"/>
          <w:sz w:val="24"/>
          <w:szCs w:val="32"/>
          <w:highlight w:val="none"/>
          <w:lang w:val="en-US" w:eastAsia="zh-CN"/>
        </w:rPr>
      </w:pPr>
    </w:p>
    <w:p>
      <w:pPr>
        <w:spacing w:line="360" w:lineRule="auto"/>
        <w:jc w:val="left"/>
        <w:rPr>
          <w:rFonts w:hint="eastAsia" w:ascii="宋体" w:hAnsi="宋体" w:eastAsia="宋体" w:cs="宋体"/>
          <w:b w:val="0"/>
          <w:bCs w:val="0"/>
          <w:color w:val="auto"/>
          <w:sz w:val="24"/>
          <w:szCs w:val="32"/>
          <w:highlight w:val="none"/>
          <w:lang w:val="en-US" w:eastAsia="zh-CN"/>
        </w:rPr>
      </w:pPr>
    </w:p>
    <w:p>
      <w:pPr>
        <w:spacing w:line="360" w:lineRule="auto"/>
        <w:jc w:val="left"/>
        <w:rPr>
          <w:rFonts w:hint="eastAsia" w:ascii="宋体" w:hAnsi="宋体" w:eastAsia="宋体" w:cs="宋体"/>
          <w:b w:val="0"/>
          <w:bCs w:val="0"/>
          <w:color w:val="auto"/>
          <w:sz w:val="24"/>
          <w:szCs w:val="32"/>
          <w:highlight w:val="none"/>
          <w:lang w:val="en-US" w:eastAsia="zh-CN"/>
        </w:rPr>
      </w:pPr>
    </w:p>
    <w:p>
      <w:pPr>
        <w:spacing w:line="360" w:lineRule="auto"/>
        <w:jc w:val="left"/>
        <w:rPr>
          <w:rFonts w:hint="eastAsia" w:ascii="宋体" w:hAnsi="宋体" w:eastAsia="宋体" w:cs="宋体"/>
          <w:b w:val="0"/>
          <w:bCs w:val="0"/>
          <w:color w:val="auto"/>
          <w:sz w:val="24"/>
          <w:szCs w:val="32"/>
          <w:highlight w:val="none"/>
          <w:lang w:val="en-US" w:eastAsia="zh-CN"/>
        </w:rPr>
      </w:pPr>
    </w:p>
    <w:p>
      <w:pPr>
        <w:spacing w:line="360" w:lineRule="auto"/>
        <w:jc w:val="left"/>
        <w:rPr>
          <w:rFonts w:hint="eastAsia" w:ascii="宋体" w:hAnsi="宋体" w:eastAsia="宋体" w:cs="宋体"/>
          <w:b w:val="0"/>
          <w:bCs w:val="0"/>
          <w:color w:val="auto"/>
          <w:sz w:val="24"/>
          <w:szCs w:val="32"/>
          <w:highlight w:val="none"/>
          <w:lang w:val="en-US" w:eastAsia="zh-CN"/>
        </w:rPr>
      </w:pPr>
    </w:p>
    <w:p>
      <w:pPr>
        <w:spacing w:line="360" w:lineRule="auto"/>
        <w:jc w:val="left"/>
        <w:rPr>
          <w:rFonts w:hint="eastAsia" w:ascii="宋体" w:hAnsi="宋体" w:eastAsia="宋体" w:cs="宋体"/>
          <w:b w:val="0"/>
          <w:bCs w:val="0"/>
          <w:color w:val="auto"/>
          <w:sz w:val="24"/>
          <w:szCs w:val="32"/>
          <w:highlight w:val="none"/>
          <w:lang w:val="en-US" w:eastAsia="zh-CN"/>
        </w:rPr>
      </w:pPr>
    </w:p>
    <w:p>
      <w:pPr>
        <w:spacing w:line="360" w:lineRule="auto"/>
        <w:jc w:val="left"/>
        <w:rPr>
          <w:rFonts w:hint="eastAsia" w:ascii="宋体" w:hAnsi="宋体" w:eastAsia="宋体" w:cs="宋体"/>
          <w:b w:val="0"/>
          <w:bCs w:val="0"/>
          <w:color w:val="auto"/>
          <w:sz w:val="24"/>
          <w:szCs w:val="32"/>
          <w:highlight w:val="none"/>
          <w:lang w:val="en-US" w:eastAsia="zh-CN"/>
        </w:rPr>
      </w:pPr>
    </w:p>
    <w:p>
      <w:pPr>
        <w:spacing w:line="360" w:lineRule="auto"/>
        <w:jc w:val="left"/>
        <w:rPr>
          <w:rFonts w:hint="eastAsia" w:ascii="宋体" w:hAnsi="宋体" w:eastAsia="宋体" w:cs="宋体"/>
          <w:b w:val="0"/>
          <w:bCs w:val="0"/>
          <w:color w:val="auto"/>
          <w:sz w:val="24"/>
          <w:szCs w:val="32"/>
          <w:highlight w:val="none"/>
          <w:lang w:val="en-US" w:eastAsia="zh-CN"/>
        </w:rPr>
      </w:pPr>
    </w:p>
    <w:p>
      <w:pPr>
        <w:spacing w:line="360" w:lineRule="auto"/>
        <w:jc w:val="left"/>
        <w:rPr>
          <w:rFonts w:hint="eastAsia" w:ascii="宋体" w:hAnsi="宋体" w:eastAsia="宋体" w:cs="宋体"/>
          <w:b w:val="0"/>
          <w:bCs w:val="0"/>
          <w:color w:val="auto"/>
          <w:sz w:val="24"/>
          <w:szCs w:val="32"/>
          <w:highlight w:val="none"/>
          <w:lang w:val="en-US" w:eastAsia="zh-CN"/>
        </w:rPr>
      </w:pPr>
    </w:p>
    <w:p>
      <w:pPr>
        <w:spacing w:line="360" w:lineRule="auto"/>
        <w:jc w:val="left"/>
        <w:rPr>
          <w:rFonts w:hint="eastAsia" w:ascii="宋体" w:hAnsi="宋体" w:eastAsia="宋体" w:cs="宋体"/>
          <w:b w:val="0"/>
          <w:bCs w:val="0"/>
          <w:color w:val="auto"/>
          <w:sz w:val="24"/>
          <w:szCs w:val="32"/>
          <w:highlight w:val="none"/>
          <w:lang w:val="en-US" w:eastAsia="zh-CN"/>
        </w:rPr>
      </w:pPr>
    </w:p>
    <w:p>
      <w:pPr>
        <w:pStyle w:val="2"/>
        <w:rPr>
          <w:rFonts w:hint="eastAsia" w:ascii="宋体" w:hAnsi="宋体" w:eastAsia="宋体" w:cs="宋体"/>
          <w:b w:val="0"/>
          <w:bCs w:val="0"/>
          <w:color w:val="auto"/>
          <w:sz w:val="24"/>
          <w:szCs w:val="32"/>
          <w:highlight w:val="none"/>
          <w:lang w:val="en-US" w:eastAsia="zh-CN"/>
        </w:rPr>
      </w:pPr>
    </w:p>
    <w:p>
      <w:pPr>
        <w:pStyle w:val="3"/>
        <w:rPr>
          <w:rFonts w:hint="eastAsia" w:ascii="宋体" w:hAnsi="宋体" w:eastAsia="宋体" w:cs="宋体"/>
          <w:b w:val="0"/>
          <w:bCs w:val="0"/>
          <w:color w:val="auto"/>
          <w:sz w:val="24"/>
          <w:szCs w:val="32"/>
          <w:highlight w:val="none"/>
          <w:lang w:val="en-US" w:eastAsia="zh-CN"/>
        </w:rPr>
      </w:pPr>
    </w:p>
    <w:p>
      <w:pPr>
        <w:pStyle w:val="4"/>
        <w:rPr>
          <w:rFonts w:hint="eastAsia" w:ascii="宋体" w:hAnsi="宋体" w:eastAsia="宋体" w:cs="宋体"/>
          <w:b w:val="0"/>
          <w:bCs w:val="0"/>
          <w:color w:val="auto"/>
          <w:sz w:val="24"/>
          <w:szCs w:val="32"/>
          <w:highlight w:val="none"/>
          <w:lang w:val="en-US" w:eastAsia="zh-CN"/>
        </w:rPr>
      </w:pPr>
    </w:p>
    <w:p>
      <w:pPr>
        <w:rPr>
          <w:rFonts w:hint="eastAsia"/>
          <w:color w:val="auto"/>
          <w:highlight w:val="none"/>
          <w:lang w:val="en-US" w:eastAsia="zh-CN"/>
        </w:rPr>
      </w:pPr>
    </w:p>
    <w:p>
      <w:pPr>
        <w:bidi w:val="0"/>
        <w:spacing w:line="360" w:lineRule="auto"/>
        <w:ind w:firstLine="723" w:firstLineChars="200"/>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第五章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合同主要条款</w:t>
      </w:r>
    </w:p>
    <w:p>
      <w:pPr>
        <w:spacing w:line="360" w:lineRule="auto"/>
        <w:ind w:left="1200" w:hanging="1200" w:hangingChars="5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r>
        <w:rPr>
          <w:rFonts w:hint="eastAsia" w:ascii="宋体" w:hAnsi="宋体" w:cs="宋体"/>
          <w:b w:val="0"/>
          <w:bCs w:val="0"/>
          <w:color w:val="auto"/>
          <w:sz w:val="24"/>
          <w:szCs w:val="32"/>
          <w:highlight w:val="none"/>
          <w:lang w:eastAsia="zh-CN"/>
        </w:rPr>
        <w:t>路桥区生态环境数字化监管系统项目</w:t>
      </w:r>
    </w:p>
    <w:p>
      <w:pPr>
        <w:spacing w:line="360" w:lineRule="auto"/>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cs="宋体"/>
          <w:b w:val="0"/>
          <w:bCs w:val="0"/>
          <w:color w:val="auto"/>
          <w:sz w:val="24"/>
          <w:szCs w:val="32"/>
          <w:highlight w:val="none"/>
          <w:lang w:eastAsia="zh-CN"/>
        </w:rPr>
        <w:t>ZJWS2021-LQ175</w:t>
      </w:r>
    </w:p>
    <w:p>
      <w:pPr>
        <w:spacing w:line="360" w:lineRule="auto"/>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甲方（采购人）：</w:t>
      </w:r>
      <w:r>
        <w:rPr>
          <w:rFonts w:hint="eastAsia" w:ascii="宋体" w:hAnsi="宋体" w:cs="宋体"/>
          <w:b w:val="0"/>
          <w:bCs w:val="0"/>
          <w:color w:val="auto"/>
          <w:sz w:val="24"/>
          <w:szCs w:val="32"/>
          <w:highlight w:val="none"/>
          <w:lang w:eastAsia="zh-CN"/>
        </w:rPr>
        <w:t>台州市生态环境局路桥分局</w:t>
      </w:r>
    </w:p>
    <w:p>
      <w:pPr>
        <w:spacing w:line="360" w:lineRule="auto"/>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乙方（供应商）：</w:t>
      </w:r>
    </w:p>
    <w:p>
      <w:pPr>
        <w:pStyle w:val="2"/>
        <w:rPr>
          <w:rFonts w:hint="default"/>
          <w:color w:val="auto"/>
          <w:highlight w:val="none"/>
          <w:lang w:val="en-US" w:eastAsia="zh-CN"/>
        </w:rPr>
      </w:pPr>
      <w:r>
        <w:rPr>
          <w:rFonts w:hint="eastAsia" w:ascii="宋体" w:hAnsi="宋体" w:cs="宋体"/>
          <w:b w:val="0"/>
          <w:bCs w:val="0"/>
          <w:color w:val="auto"/>
          <w:sz w:val="24"/>
          <w:szCs w:val="32"/>
          <w:highlight w:val="none"/>
          <w:lang w:val="en-US" w:eastAsia="zh-CN"/>
        </w:rPr>
        <w:t>标段：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甲、乙双方根据</w:t>
      </w:r>
      <w:r>
        <w:rPr>
          <w:rFonts w:hint="eastAsia" w:ascii="宋体" w:hAnsi="宋体" w:cs="宋体"/>
          <w:b w:val="0"/>
          <w:bCs w:val="0"/>
          <w:color w:val="auto"/>
          <w:sz w:val="24"/>
          <w:szCs w:val="32"/>
          <w:highlight w:val="none"/>
          <w:lang w:val="zh-CN" w:eastAsia="zh-CN"/>
        </w:rPr>
        <w:t>浙江五石中正工程咨询有限公司</w:t>
      </w:r>
      <w:r>
        <w:rPr>
          <w:rFonts w:hint="eastAsia" w:ascii="宋体" w:hAnsi="宋体" w:eastAsia="宋体" w:cs="宋体"/>
          <w:b w:val="0"/>
          <w:bCs w:val="0"/>
          <w:color w:val="auto"/>
          <w:sz w:val="24"/>
          <w:szCs w:val="32"/>
          <w:highlight w:val="none"/>
          <w:lang w:val="zh-CN" w:eastAsia="zh-CN"/>
        </w:rPr>
        <w:t>关于</w:t>
      </w:r>
      <w:r>
        <w:rPr>
          <w:rFonts w:hint="eastAsia" w:ascii="宋体" w:hAnsi="宋体" w:cs="宋体"/>
          <w:b w:val="0"/>
          <w:bCs w:val="0"/>
          <w:color w:val="auto"/>
          <w:sz w:val="24"/>
          <w:szCs w:val="32"/>
          <w:highlight w:val="none"/>
          <w:u w:val="single"/>
          <w:lang w:val="zh-CN" w:eastAsia="zh-CN"/>
        </w:rPr>
        <w:t>路桥区生态环境数字化监管系统项目</w:t>
      </w:r>
      <w:r>
        <w:rPr>
          <w:rFonts w:hint="eastAsia" w:ascii="宋体" w:hAnsi="宋体" w:eastAsia="宋体" w:cs="宋体"/>
          <w:b w:val="0"/>
          <w:bCs w:val="0"/>
          <w:color w:val="auto"/>
          <w:sz w:val="24"/>
          <w:szCs w:val="32"/>
          <w:highlight w:val="none"/>
          <w:lang w:val="zh-CN" w:eastAsia="zh-CN"/>
        </w:rPr>
        <w:t>（编号为</w:t>
      </w:r>
      <w:r>
        <w:rPr>
          <w:rFonts w:hint="eastAsia" w:ascii="宋体" w:hAnsi="宋体" w:cs="宋体"/>
          <w:b w:val="0"/>
          <w:bCs w:val="0"/>
          <w:color w:val="auto"/>
          <w:sz w:val="24"/>
          <w:szCs w:val="32"/>
          <w:highlight w:val="none"/>
          <w:u w:val="single"/>
          <w:lang w:val="zh-CN" w:eastAsia="zh-CN"/>
        </w:rPr>
        <w:t>ZJWS2021-LQ175</w:t>
      </w:r>
      <w:r>
        <w:rPr>
          <w:rFonts w:hint="eastAsia" w:ascii="宋体" w:hAnsi="宋体" w:eastAsia="宋体" w:cs="宋体"/>
          <w:b w:val="0"/>
          <w:bCs w:val="0"/>
          <w:color w:val="auto"/>
          <w:sz w:val="24"/>
          <w:szCs w:val="32"/>
          <w:highlight w:val="none"/>
          <w:lang w:val="zh-CN" w:eastAsia="zh-CN"/>
        </w:rPr>
        <w:t>）公开招标的结果，签署本合同。</w:t>
      </w:r>
    </w:p>
    <w:p>
      <w:pPr>
        <w:spacing w:line="360" w:lineRule="auto"/>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zh-CN" w:eastAsia="zh-CN"/>
        </w:rPr>
        <w:t xml:space="preserve">一、合同文件： </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1.合同条款。</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2.中标通知书。</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3.更正补充文件。</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4.招标文件。</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5.中标供应商投标文件。</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6.其他。</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上述所指合同文件应认为是互相补充和解释的，但是有模棱两可或互相矛盾之处，以其所列内容顺序为准。</w:t>
      </w:r>
    </w:p>
    <w:p>
      <w:pPr>
        <w:spacing w:line="360" w:lineRule="auto"/>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zh-CN" w:eastAsia="zh-CN"/>
        </w:rPr>
        <w:t>二、货物内容</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1.货物名称：</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2.型号规格：</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3.技术参数：</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4.数量（单位）：</w:t>
      </w:r>
    </w:p>
    <w:p>
      <w:pPr>
        <w:spacing w:line="360" w:lineRule="auto"/>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zh-CN" w:eastAsia="zh-CN"/>
        </w:rPr>
        <w:t>三、合同金额</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 xml:space="preserve"> 本合同金额为（大写）：_________________元（¥__________元）人民币。</w:t>
      </w:r>
    </w:p>
    <w:p>
      <w:pPr>
        <w:spacing w:line="360" w:lineRule="auto"/>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zh-CN" w:eastAsia="zh-CN"/>
        </w:rPr>
        <w:t>四、技术资料</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1.乙方应按招标文件规定的时间向甲方提供使用货物的有关技术资料。</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zh-CN" w:eastAsia="zh-CN"/>
        </w:rPr>
        <w:t>五、知识产权</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1.乙方应保证所提供的货物或其任何一部分均不会侵犯任何第三方的知识产权。</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2.若侵犯，由乙方赔偿甲方因此遭受的损失（包括但不限于应对及追偿过程中所支付的律师费、差旅费、诉讼费、保全费、鉴定费、评估费等）。</w:t>
      </w:r>
    </w:p>
    <w:p>
      <w:pPr>
        <w:spacing w:line="360" w:lineRule="auto"/>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zh-CN" w:eastAsia="zh-CN"/>
        </w:rPr>
        <w:t>六、产权担保</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乙方保证所交付的货物的所有权完全属于乙方且无任何抵押、查封等产权瑕疵。</w:t>
      </w:r>
    </w:p>
    <w:p>
      <w:pPr>
        <w:spacing w:line="360" w:lineRule="auto"/>
        <w:rPr>
          <w:rFonts w:hint="eastAsia" w:ascii="宋体" w:hAnsi="宋体" w:eastAsia="宋体" w:cs="宋体"/>
          <w:b/>
          <w:bCs/>
          <w:color w:val="auto"/>
          <w:sz w:val="24"/>
          <w:highlight w:val="none"/>
          <w:lang w:val="zh-CN" w:eastAsia="zh-CN"/>
        </w:rPr>
      </w:pPr>
      <w:r>
        <w:rPr>
          <w:rFonts w:hint="eastAsia" w:ascii="宋体" w:hAnsi="宋体" w:eastAsia="宋体" w:cs="宋体"/>
          <w:b/>
          <w:bCs/>
          <w:color w:val="auto"/>
          <w:sz w:val="24"/>
          <w:highlight w:val="none"/>
          <w:lang w:val="zh-CN" w:eastAsia="zh-CN"/>
        </w:rPr>
        <w:t>七、履约保证金</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highlight w:val="none"/>
          <w:lang w:val="en-US" w:eastAsia="zh-CN"/>
        </w:rPr>
        <w:t>乙方在收到中标通知书后须向甲方交纳本项目合同金额的5%作为履约保证金，履约保证金在质保满后7个工作日内无息退还。（履约保证金可采用保函、担保能形式）</w:t>
      </w:r>
      <w:r>
        <w:rPr>
          <w:rFonts w:hint="eastAsia" w:ascii="宋体" w:hAnsi="宋体" w:cs="宋体"/>
          <w:color w:val="auto"/>
          <w:sz w:val="24"/>
          <w:szCs w:val="32"/>
          <w:highlight w:val="none"/>
          <w:lang w:val="zh-CN"/>
        </w:rPr>
        <w:t>。</w:t>
      </w:r>
    </w:p>
    <w:p>
      <w:pPr>
        <w:spacing w:line="360" w:lineRule="auto"/>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zh-CN" w:eastAsia="zh-CN"/>
        </w:rPr>
        <w:t>八、转包或分包</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1.本合同范围的货物，应由乙方直接供应，不得转让他人供应；</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2.除非得到甲方的书面同意，乙方不得将本合同范围的货物全部或部分分包给他人供应；</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3.如有转让和未经甲方同意的分包行为，甲方有权解除合同，没收履约保证金并追究乙方的违约责任。</w:t>
      </w:r>
    </w:p>
    <w:p>
      <w:pPr>
        <w:spacing w:line="360" w:lineRule="auto"/>
        <w:rPr>
          <w:rFonts w:hint="default" w:ascii="宋体" w:hAnsi="宋体" w:cs="宋体"/>
          <w:b/>
          <w:bCs/>
          <w:color w:val="auto"/>
          <w:sz w:val="24"/>
          <w:highlight w:val="none"/>
          <w:lang w:val="en-US" w:eastAsia="zh-CN"/>
        </w:rPr>
      </w:pPr>
      <w:r>
        <w:rPr>
          <w:rFonts w:hint="eastAsia" w:ascii="宋体" w:hAnsi="宋体" w:cs="宋体"/>
          <w:b/>
          <w:bCs/>
          <w:color w:val="auto"/>
          <w:sz w:val="24"/>
          <w:highlight w:val="none"/>
          <w:lang w:val="zh-CN" w:eastAsia="zh-CN"/>
        </w:rPr>
        <w:t>九、质保</w:t>
      </w:r>
      <w:r>
        <w:rPr>
          <w:rFonts w:hint="eastAsia" w:ascii="宋体" w:hAnsi="宋体" w:cs="宋体"/>
          <w:b/>
          <w:bCs/>
          <w:color w:val="auto"/>
          <w:sz w:val="24"/>
          <w:highlight w:val="none"/>
          <w:lang w:val="en-US" w:eastAsia="zh-CN"/>
        </w:rPr>
        <w:t>及软件免费维保</w:t>
      </w:r>
    </w:p>
    <w:p>
      <w:pPr>
        <w:spacing w:line="360" w:lineRule="auto"/>
        <w:ind w:firstLine="470" w:firstLineChars="196"/>
        <w:rPr>
          <w:rFonts w:hint="eastAsia" w:ascii="宋体" w:hAnsi="宋体" w:eastAsia="宋体" w:cs="宋体"/>
          <w:b/>
          <w:bCs/>
          <w:color w:val="auto"/>
          <w:sz w:val="24"/>
          <w:highlight w:val="none"/>
          <w:lang w:val="zh-CN" w:eastAsia="zh-CN"/>
        </w:rPr>
      </w:pPr>
      <w:r>
        <w:rPr>
          <w:rFonts w:hint="eastAsia" w:ascii="宋体" w:hAnsi="宋体" w:cs="宋体"/>
          <w:color w:val="auto"/>
          <w:sz w:val="24"/>
          <w:highlight w:val="none"/>
          <w:u w:val="single"/>
          <w:lang w:val="en-US" w:eastAsia="zh-CN"/>
        </w:rPr>
        <w:t xml:space="preserve">  2 </w:t>
      </w:r>
      <w:r>
        <w:rPr>
          <w:rFonts w:hint="eastAsia" w:ascii="宋体" w:hAnsi="宋体" w:cs="宋体"/>
          <w:color w:val="auto"/>
          <w:sz w:val="24"/>
          <w:highlight w:val="none"/>
          <w:lang w:val="zh-CN" w:eastAsia="zh-CN"/>
        </w:rPr>
        <w:t>年。（自交货验收合格之日起计）</w:t>
      </w:r>
    </w:p>
    <w:p>
      <w:pPr>
        <w:spacing w:line="360" w:lineRule="auto"/>
        <w:rPr>
          <w:rFonts w:hint="eastAsia" w:ascii="宋体" w:hAnsi="宋体" w:eastAsia="宋体" w:cs="宋体"/>
          <w:b/>
          <w:bCs/>
          <w:color w:val="auto"/>
          <w:sz w:val="24"/>
          <w:highlight w:val="none"/>
          <w:lang w:val="zh-CN" w:eastAsia="zh-CN"/>
        </w:rPr>
      </w:pPr>
      <w:r>
        <w:rPr>
          <w:rFonts w:hint="eastAsia" w:ascii="宋体" w:hAnsi="宋体" w:eastAsia="宋体" w:cs="宋体"/>
          <w:b/>
          <w:bCs/>
          <w:color w:val="auto"/>
          <w:sz w:val="24"/>
          <w:highlight w:val="none"/>
          <w:lang w:val="zh-CN" w:eastAsia="zh-CN"/>
        </w:rPr>
        <w:t>十、</w:t>
      </w:r>
      <w:r>
        <w:rPr>
          <w:rFonts w:hint="eastAsia" w:ascii="宋体" w:hAnsi="宋体" w:cs="宋体"/>
          <w:b/>
          <w:bCs/>
          <w:color w:val="auto"/>
          <w:sz w:val="24"/>
          <w:highlight w:val="none"/>
          <w:lang w:val="zh-CN" w:eastAsia="zh-CN"/>
        </w:rPr>
        <w:t>交货期</w:t>
      </w:r>
      <w:r>
        <w:rPr>
          <w:rFonts w:hint="eastAsia" w:ascii="宋体" w:hAnsi="宋体" w:eastAsia="宋体" w:cs="宋体"/>
          <w:b/>
          <w:bCs/>
          <w:color w:val="auto"/>
          <w:sz w:val="24"/>
          <w:highlight w:val="none"/>
          <w:lang w:val="zh-CN" w:eastAsia="zh-CN"/>
        </w:rPr>
        <w:t>、交货方式及交货地点</w:t>
      </w:r>
    </w:p>
    <w:p>
      <w:pPr>
        <w:bidi w:val="0"/>
        <w:spacing w:line="360" w:lineRule="auto"/>
        <w:ind w:firstLine="480" w:firstLineChars="200"/>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1.交货期</w:t>
      </w:r>
      <w:r>
        <w:rPr>
          <w:rFonts w:hint="eastAsia" w:ascii="宋体" w:hAnsi="宋体" w:eastAsia="宋体" w:cs="宋体"/>
          <w:b w:val="0"/>
          <w:bCs w:val="0"/>
          <w:color w:val="auto"/>
          <w:sz w:val="24"/>
          <w:szCs w:val="32"/>
          <w:highlight w:val="none"/>
          <w:lang w:eastAsia="zh-CN"/>
        </w:rPr>
        <w:t>：</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2.交货方式：</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3.交货地点：甲方指定地点。</w:t>
      </w:r>
    </w:p>
    <w:p>
      <w:pPr>
        <w:spacing w:line="360" w:lineRule="auto"/>
        <w:rPr>
          <w:rFonts w:hint="eastAsia" w:ascii="宋体" w:hAnsi="宋体" w:eastAsia="宋体" w:cs="宋体"/>
          <w:color w:val="auto"/>
          <w:sz w:val="24"/>
          <w:highlight w:val="none"/>
          <w:lang w:val="zh-CN" w:eastAsia="zh-CN"/>
        </w:rPr>
      </w:pPr>
      <w:r>
        <w:rPr>
          <w:rFonts w:hint="eastAsia" w:ascii="宋体" w:hAnsi="宋体" w:cs="宋体"/>
          <w:b/>
          <w:bCs/>
          <w:color w:val="auto"/>
          <w:sz w:val="24"/>
          <w:highlight w:val="none"/>
          <w:lang w:val="zh-CN" w:eastAsia="zh-CN"/>
        </w:rPr>
        <w:t>十一、付款方式</w:t>
      </w:r>
    </w:p>
    <w:p>
      <w:pPr>
        <w:spacing w:line="360" w:lineRule="auto"/>
        <w:ind w:firstLine="482" w:firstLineChars="200"/>
        <w:jc w:val="left"/>
        <w:rPr>
          <w:rFonts w:hint="eastAsia" w:ascii="宋体" w:hAnsi="宋体" w:eastAsia="宋体" w:cs="宋体"/>
          <w:color w:val="auto"/>
          <w:sz w:val="24"/>
          <w:szCs w:val="32"/>
          <w:highlight w:val="none"/>
          <w:lang w:eastAsia="zh-CN"/>
        </w:rPr>
      </w:pPr>
      <w:r>
        <w:rPr>
          <w:rFonts w:hint="eastAsia" w:ascii="宋体" w:hAnsi="宋体" w:cs="宋体"/>
          <w:b/>
          <w:bCs/>
          <w:color w:val="auto"/>
          <w:sz w:val="24"/>
          <w:highlight w:val="none"/>
          <w:lang w:val="en-US" w:eastAsia="zh-CN"/>
        </w:rPr>
        <w:t>标段一</w:t>
      </w:r>
      <w:r>
        <w:rPr>
          <w:rFonts w:hint="eastAsia" w:ascii="宋体" w:hAnsi="宋体" w:cs="宋体"/>
          <w:b/>
          <w:bCs/>
          <w:color w:val="auto"/>
          <w:sz w:val="24"/>
          <w:szCs w:val="32"/>
          <w:highlight w:val="none"/>
        </w:rPr>
        <w:t>支付方式：</w:t>
      </w:r>
      <w:r>
        <w:rPr>
          <w:rFonts w:hint="eastAsia" w:ascii="宋体" w:hAnsi="宋体" w:cs="宋体"/>
          <w:color w:val="auto"/>
          <w:sz w:val="24"/>
          <w:szCs w:val="32"/>
          <w:highlight w:val="none"/>
        </w:rPr>
        <w:t>签订合同后，支付合同总金额的30%，设备到货后支付</w:t>
      </w:r>
      <w:r>
        <w:rPr>
          <w:rFonts w:hint="eastAsia" w:ascii="宋体" w:hAnsi="宋体" w:cs="宋体"/>
          <w:color w:val="auto"/>
          <w:sz w:val="24"/>
          <w:szCs w:val="32"/>
          <w:highlight w:val="none"/>
          <w:lang w:val="en-US" w:eastAsia="zh-CN"/>
        </w:rPr>
        <w:t>合同</w:t>
      </w:r>
      <w:r>
        <w:rPr>
          <w:rFonts w:hint="eastAsia" w:ascii="宋体" w:hAnsi="宋体" w:cs="宋体"/>
          <w:color w:val="auto"/>
          <w:sz w:val="24"/>
          <w:szCs w:val="32"/>
          <w:highlight w:val="none"/>
        </w:rPr>
        <w:t>款的</w:t>
      </w: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rPr>
        <w:t>0%，监管系统上线并进入试运行后支付</w:t>
      </w:r>
      <w:r>
        <w:rPr>
          <w:rFonts w:hint="eastAsia" w:ascii="宋体" w:hAnsi="宋体" w:cs="宋体"/>
          <w:color w:val="auto"/>
          <w:sz w:val="24"/>
          <w:szCs w:val="32"/>
          <w:highlight w:val="none"/>
          <w:lang w:val="en-US" w:eastAsia="zh-CN"/>
        </w:rPr>
        <w:t>合同款</w:t>
      </w:r>
      <w:r>
        <w:rPr>
          <w:rFonts w:hint="eastAsia" w:ascii="宋体" w:hAnsi="宋体" w:cs="宋体"/>
          <w:color w:val="auto"/>
          <w:sz w:val="24"/>
          <w:szCs w:val="32"/>
          <w:highlight w:val="none"/>
        </w:rPr>
        <w:t>的</w:t>
      </w:r>
      <w:r>
        <w:rPr>
          <w:rFonts w:hint="eastAsia" w:ascii="宋体" w:hAnsi="宋体" w:cs="宋体"/>
          <w:color w:val="auto"/>
          <w:sz w:val="24"/>
          <w:szCs w:val="32"/>
          <w:highlight w:val="none"/>
          <w:lang w:val="en-US" w:eastAsia="zh-CN"/>
        </w:rPr>
        <w:t>20</w:t>
      </w:r>
      <w:r>
        <w:rPr>
          <w:rFonts w:hint="eastAsia" w:ascii="宋体" w:hAnsi="宋体" w:cs="宋体"/>
          <w:color w:val="auto"/>
          <w:sz w:val="24"/>
          <w:szCs w:val="32"/>
          <w:highlight w:val="none"/>
        </w:rPr>
        <w:t>%，整体项目验收合格后支付合同总金额的</w:t>
      </w:r>
      <w:r>
        <w:rPr>
          <w:rFonts w:hint="eastAsia" w:ascii="宋体" w:hAnsi="宋体" w:cs="宋体"/>
          <w:color w:val="auto"/>
          <w:sz w:val="24"/>
          <w:szCs w:val="32"/>
          <w:highlight w:val="none"/>
          <w:lang w:val="en-US" w:eastAsia="zh-CN"/>
        </w:rPr>
        <w:t>30</w:t>
      </w:r>
      <w:r>
        <w:rPr>
          <w:rFonts w:hint="eastAsia" w:ascii="宋体" w:hAnsi="宋体" w:cs="宋体"/>
          <w:color w:val="auto"/>
          <w:sz w:val="24"/>
          <w:szCs w:val="32"/>
          <w:highlight w:val="none"/>
        </w:rPr>
        <w:t>%。</w:t>
      </w:r>
    </w:p>
    <w:p>
      <w:pPr>
        <w:spacing w:line="360" w:lineRule="auto"/>
        <w:ind w:firstLine="480" w:firstLineChars="200"/>
        <w:jc w:val="left"/>
        <w:rPr>
          <w:rFonts w:hint="eastAsia" w:ascii="宋体" w:hAnsi="宋体" w:cs="宋体"/>
          <w:color w:val="auto"/>
          <w:sz w:val="24"/>
          <w:szCs w:val="32"/>
          <w:highlight w:val="none"/>
        </w:rPr>
      </w:pPr>
    </w:p>
    <w:p>
      <w:pPr>
        <w:spacing w:line="360" w:lineRule="auto"/>
        <w:ind w:firstLine="482" w:firstLineChars="200"/>
        <w:jc w:val="left"/>
        <w:rPr>
          <w:rFonts w:hint="default" w:ascii="宋体" w:hAnsi="宋体" w:eastAsia="宋体" w:cs="宋体"/>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标段二付款方式：</w:t>
      </w:r>
      <w:r>
        <w:rPr>
          <w:rFonts w:hint="eastAsia" w:ascii="宋体" w:hAnsi="宋体" w:cs="宋体"/>
          <w:color w:val="auto"/>
          <w:sz w:val="24"/>
          <w:szCs w:val="32"/>
          <w:highlight w:val="none"/>
        </w:rPr>
        <w:t>签订合同后，支付合同总金额的30%，设备到货后支付</w:t>
      </w:r>
      <w:r>
        <w:rPr>
          <w:rFonts w:hint="eastAsia" w:ascii="宋体" w:hAnsi="宋体" w:cs="宋体"/>
          <w:color w:val="auto"/>
          <w:sz w:val="24"/>
          <w:szCs w:val="32"/>
          <w:highlight w:val="none"/>
          <w:lang w:val="en-US" w:eastAsia="zh-CN"/>
        </w:rPr>
        <w:t>合同</w:t>
      </w:r>
      <w:r>
        <w:rPr>
          <w:rFonts w:hint="eastAsia" w:ascii="宋体" w:hAnsi="宋体" w:cs="宋体"/>
          <w:color w:val="auto"/>
          <w:sz w:val="24"/>
          <w:szCs w:val="32"/>
          <w:highlight w:val="none"/>
        </w:rPr>
        <w:t>款的</w:t>
      </w: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rPr>
        <w:t>0%，监管系统上线并进入试运行后支付</w:t>
      </w:r>
      <w:r>
        <w:rPr>
          <w:rFonts w:hint="eastAsia" w:ascii="宋体" w:hAnsi="宋体" w:cs="宋体"/>
          <w:color w:val="auto"/>
          <w:sz w:val="24"/>
          <w:szCs w:val="32"/>
          <w:highlight w:val="none"/>
          <w:lang w:val="en-US" w:eastAsia="zh-CN"/>
        </w:rPr>
        <w:t>合同款</w:t>
      </w:r>
      <w:r>
        <w:rPr>
          <w:rFonts w:hint="eastAsia" w:ascii="宋体" w:hAnsi="宋体" w:cs="宋体"/>
          <w:color w:val="auto"/>
          <w:sz w:val="24"/>
          <w:szCs w:val="32"/>
          <w:highlight w:val="none"/>
        </w:rPr>
        <w:t>的</w:t>
      </w:r>
      <w:r>
        <w:rPr>
          <w:rFonts w:hint="eastAsia" w:ascii="宋体" w:hAnsi="宋体" w:cs="宋体"/>
          <w:color w:val="auto"/>
          <w:sz w:val="24"/>
          <w:szCs w:val="32"/>
          <w:highlight w:val="none"/>
          <w:lang w:val="en-US" w:eastAsia="zh-CN"/>
        </w:rPr>
        <w:t>20</w:t>
      </w:r>
      <w:r>
        <w:rPr>
          <w:rFonts w:hint="eastAsia" w:ascii="宋体" w:hAnsi="宋体" w:cs="宋体"/>
          <w:color w:val="auto"/>
          <w:sz w:val="24"/>
          <w:szCs w:val="32"/>
          <w:highlight w:val="none"/>
        </w:rPr>
        <w:t>%，整体项目验收合格后支付合同总金额的</w:t>
      </w:r>
      <w:r>
        <w:rPr>
          <w:rFonts w:hint="eastAsia" w:ascii="宋体" w:hAnsi="宋体" w:cs="宋体"/>
          <w:color w:val="auto"/>
          <w:sz w:val="24"/>
          <w:szCs w:val="32"/>
          <w:highlight w:val="none"/>
          <w:lang w:val="en-US" w:eastAsia="zh-CN"/>
        </w:rPr>
        <w:t>30</w:t>
      </w:r>
      <w:r>
        <w:rPr>
          <w:rFonts w:hint="eastAsia" w:ascii="宋体" w:hAnsi="宋体" w:cs="宋体"/>
          <w:color w:val="auto"/>
          <w:sz w:val="24"/>
          <w:szCs w:val="32"/>
          <w:highlight w:val="none"/>
        </w:rPr>
        <w:t>%。</w:t>
      </w:r>
    </w:p>
    <w:p>
      <w:pPr>
        <w:spacing w:line="360" w:lineRule="auto"/>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zh-CN" w:eastAsia="zh-CN"/>
        </w:rPr>
        <w:t>十二、税费</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本合同执行中相关的一切税费均由乙方负担。</w:t>
      </w:r>
    </w:p>
    <w:p>
      <w:pPr>
        <w:spacing w:line="360" w:lineRule="auto"/>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zh-CN" w:eastAsia="zh-CN"/>
        </w:rPr>
        <w:t>十三、质量保证及售后服务</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1.乙方应按招标文件规定的货物性能、技术要求、质量标准向甲方提供未经使用的全新产品。</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2.乙方提供的货物在质保期内因货物本身的质量问题发生故障，乙方应负责免费更换。对达不到技术要求者，根据实际情况，经双方协商，可按以下办法处理：</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⑴更换：由乙方承担所发生的全部费用。</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⑵贬值处理：由甲乙双方合议定价。</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⑶退货处理：乙方应退还甲方支付的合同款，同时应承担该货物的直接费用（运输、保险、检验、货款利息及银行手续费等）。</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3.如在使用过程中发生质量问题，乙方在接到甲方通知后在</w:t>
      </w:r>
      <w:r>
        <w:rPr>
          <w:rFonts w:hint="eastAsia" w:ascii="宋体" w:hAnsi="宋体" w:cs="宋体"/>
          <w:color w:val="auto"/>
          <w:sz w:val="24"/>
          <w:highlight w:val="none"/>
          <w:u w:val="single"/>
          <w:lang w:val="zh-CN" w:eastAsia="zh-CN"/>
        </w:rPr>
        <w:t xml:space="preserve">   </w:t>
      </w:r>
      <w:r>
        <w:rPr>
          <w:rFonts w:hint="eastAsia" w:ascii="宋体" w:hAnsi="宋体" w:cs="宋体"/>
          <w:color w:val="auto"/>
          <w:sz w:val="24"/>
          <w:highlight w:val="none"/>
          <w:lang w:val="zh-CN" w:eastAsia="zh-CN"/>
        </w:rPr>
        <w:t>小时内到达甲方现场。</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4.在质保期内，乙方应对货物出现的质量及安全问题负责处理解决并承担一切费用。</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5.上述的货物免费保修期为</w:t>
      </w:r>
      <w:r>
        <w:rPr>
          <w:rFonts w:hint="eastAsia" w:ascii="宋体" w:hAnsi="宋体" w:cs="宋体"/>
          <w:color w:val="auto"/>
          <w:sz w:val="24"/>
          <w:highlight w:val="none"/>
          <w:u w:val="single"/>
          <w:lang w:val="zh-CN" w:eastAsia="zh-CN"/>
        </w:rPr>
        <w:t xml:space="preserve"> </w:t>
      </w:r>
      <w:r>
        <w:rPr>
          <w:rFonts w:hint="eastAsia" w:ascii="宋体" w:hAnsi="宋体" w:cs="宋体"/>
          <w:color w:val="auto"/>
          <w:sz w:val="24"/>
          <w:highlight w:val="none"/>
          <w:u w:val="single"/>
          <w:lang w:val="en-US" w:eastAsia="zh-CN"/>
        </w:rPr>
        <w:t xml:space="preserve"> 2</w:t>
      </w:r>
      <w:r>
        <w:rPr>
          <w:rFonts w:hint="eastAsia" w:ascii="宋体" w:hAnsi="宋体" w:cs="宋体"/>
          <w:color w:val="auto"/>
          <w:sz w:val="24"/>
          <w:highlight w:val="none"/>
          <w:u w:val="single"/>
          <w:lang w:val="zh-CN" w:eastAsia="zh-CN"/>
        </w:rPr>
        <w:t xml:space="preserve"> </w:t>
      </w:r>
      <w:r>
        <w:rPr>
          <w:rFonts w:hint="eastAsia" w:ascii="宋体" w:hAnsi="宋体" w:cs="宋体"/>
          <w:color w:val="auto"/>
          <w:sz w:val="24"/>
          <w:highlight w:val="none"/>
          <w:lang w:val="zh-CN" w:eastAsia="zh-CN"/>
        </w:rPr>
        <w:t>年，因人为因素出现的故障不在免费保修范围内。</w:t>
      </w:r>
    </w:p>
    <w:p>
      <w:pPr>
        <w:pStyle w:val="2"/>
        <w:rPr>
          <w:rFonts w:hint="eastAsia"/>
          <w:color w:val="auto"/>
          <w:highlight w:val="none"/>
          <w:lang w:val="zh-CN" w:eastAsia="zh-CN"/>
        </w:rPr>
      </w:pPr>
    </w:p>
    <w:p>
      <w:pPr>
        <w:spacing w:line="360" w:lineRule="auto"/>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zh-CN" w:eastAsia="zh-CN"/>
        </w:rPr>
        <w:t>十四、调试和验收</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1.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2.乙方交货前应对产品作出全面检查和对验收文件进行整理，并列出清单，作为甲方收货验收和使用的技术条件依据，检验的结果应随货物交甲方。</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3.甲方对乙方提供的货物在使用前进行调试时，乙方需负责安装并培训甲方的使用操作人员，并协助甲方一起调试，直到符合技术要求，甲方才做最终验收。</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4.对技术复杂的货物，甲方应请国家认可的专业检测机构参与初步验收及最终验收，并由其出具质量检测报告。</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5.验收时乙方必须在现场，验收完毕后作出验收结果报告；验收费用由甲方负责。</w:t>
      </w:r>
    </w:p>
    <w:p>
      <w:pPr>
        <w:spacing w:line="360" w:lineRule="auto"/>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zh-CN" w:eastAsia="zh-CN"/>
        </w:rPr>
        <w:t>十五、货物包装、发运及运输</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1.乙方应在货物发运前对其进行满足运输距离、防潮、防震、防锈和防破损装卸等要求包装，以保证货物安全运达甲方指定地点。</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2.使用说明书、质量检验证明书、随配附件和工具以及清单一并附于货物内。</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3.乙方在货物发运手续办理完毕后24小时内或货到甲方48小时前通知甲方，以准备接货。</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4.货物在交付甲方前发生的风险均由乙方负责。</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5.货物在规定的交付期限内由乙方送达甲方指定的地点，乙方同时需通知甲方接收货物。办理交接手续后视为货物已送达。</w:t>
      </w:r>
    </w:p>
    <w:p>
      <w:pPr>
        <w:spacing w:line="360" w:lineRule="auto"/>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zh-CN" w:eastAsia="zh-CN"/>
        </w:rPr>
        <w:t>十六、违约责任</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1.甲方无正当理由拒收货物的，甲方向乙方偿付拒收货款总值的</w:t>
      </w:r>
      <w:r>
        <w:rPr>
          <w:rFonts w:hint="eastAsia" w:ascii="宋体" w:hAnsi="宋体" w:cs="宋体"/>
          <w:color w:val="auto"/>
          <w:sz w:val="24"/>
          <w:highlight w:val="none"/>
          <w:u w:val="single"/>
          <w:lang w:val="zh-CN" w:eastAsia="zh-CN"/>
        </w:rPr>
        <w:t>百分之五</w:t>
      </w:r>
      <w:r>
        <w:rPr>
          <w:rFonts w:hint="eastAsia" w:ascii="宋体" w:hAnsi="宋体" w:cs="宋体"/>
          <w:color w:val="auto"/>
          <w:sz w:val="24"/>
          <w:highlight w:val="none"/>
          <w:lang w:val="zh-CN" w:eastAsia="zh-CN"/>
        </w:rPr>
        <w:t>违约金。</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2.甲方无故逾期验收和办理货款支付手续的，甲方应按逾期付款总额每日</w:t>
      </w:r>
      <w:r>
        <w:rPr>
          <w:rFonts w:hint="eastAsia" w:ascii="宋体" w:hAnsi="宋体" w:cs="宋体"/>
          <w:color w:val="auto"/>
          <w:sz w:val="24"/>
          <w:highlight w:val="none"/>
          <w:u w:val="single"/>
          <w:lang w:val="zh-CN" w:eastAsia="zh-CN"/>
        </w:rPr>
        <w:t>万分之五</w:t>
      </w:r>
      <w:r>
        <w:rPr>
          <w:rFonts w:hint="eastAsia" w:ascii="宋体" w:hAnsi="宋体" w:cs="宋体"/>
          <w:color w:val="auto"/>
          <w:sz w:val="24"/>
          <w:highlight w:val="none"/>
          <w:lang w:val="zh-CN" w:eastAsia="zh-CN"/>
        </w:rPr>
        <w:t>向乙方支付违约金。</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3.乙方逾期交付货物的，乙方应按逾期交货总额每日</w:t>
      </w:r>
      <w:r>
        <w:rPr>
          <w:rFonts w:hint="eastAsia" w:ascii="宋体" w:hAnsi="宋体" w:cs="宋体"/>
          <w:color w:val="auto"/>
          <w:sz w:val="24"/>
          <w:highlight w:val="none"/>
          <w:u w:val="single"/>
          <w:lang w:val="zh-CN" w:eastAsia="zh-CN"/>
        </w:rPr>
        <w:t>千分之六</w:t>
      </w:r>
      <w:r>
        <w:rPr>
          <w:rFonts w:hint="eastAsia" w:ascii="宋体" w:hAnsi="宋体" w:cs="宋体"/>
          <w:color w:val="auto"/>
          <w:sz w:val="24"/>
          <w:highlight w:val="none"/>
          <w:lang w:val="zh-CN" w:eastAsia="zh-CN"/>
        </w:rPr>
        <w:t>向甲方支付违约金，由甲方从待付货款中扣除。逾期超过约定日期</w:t>
      </w:r>
      <w:r>
        <w:rPr>
          <w:rFonts w:hint="eastAsia" w:ascii="宋体" w:hAnsi="宋体" w:cs="宋体"/>
          <w:color w:val="auto"/>
          <w:sz w:val="24"/>
          <w:highlight w:val="none"/>
          <w:u w:val="single"/>
          <w:lang w:val="zh-CN" w:eastAsia="zh-CN"/>
        </w:rPr>
        <w:t>10个工作日</w:t>
      </w:r>
      <w:r>
        <w:rPr>
          <w:rFonts w:hint="eastAsia" w:ascii="宋体" w:hAnsi="宋体" w:cs="宋体"/>
          <w:color w:val="auto"/>
          <w:sz w:val="24"/>
          <w:highlight w:val="none"/>
          <w:lang w:val="zh-CN" w:eastAsia="zh-CN"/>
        </w:rPr>
        <w:t>不能交货的，甲方可解除本合同。乙方因逾期交货或因其他违约行为导致甲方解除合同的，乙方应向甲方支付合同总值</w:t>
      </w:r>
      <w:r>
        <w:rPr>
          <w:rFonts w:hint="eastAsia" w:ascii="宋体" w:hAnsi="宋体" w:cs="宋体"/>
          <w:color w:val="auto"/>
          <w:sz w:val="24"/>
          <w:highlight w:val="none"/>
          <w:u w:val="single"/>
          <w:lang w:val="zh-CN" w:eastAsia="zh-CN"/>
        </w:rPr>
        <w:t>5%</w:t>
      </w:r>
      <w:r>
        <w:rPr>
          <w:rFonts w:hint="eastAsia" w:ascii="宋体" w:hAnsi="宋体" w:cs="宋体"/>
          <w:color w:val="auto"/>
          <w:sz w:val="24"/>
          <w:highlight w:val="none"/>
          <w:lang w:val="zh-CN" w:eastAsia="zh-CN"/>
        </w:rPr>
        <w:t xml:space="preserve">的违约金，如造成甲方损失超过违约金的，超出部分由乙方继续承担赔偿责任。 </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5.若发生纠纷，由违约方赔偿守约方因纠纷所支付的费用（包括但不限于律师费、差旅费、诉讼费、保全费、鉴定费、评估费等）</w:t>
      </w:r>
    </w:p>
    <w:p>
      <w:pPr>
        <w:spacing w:line="360" w:lineRule="auto"/>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zh-CN" w:eastAsia="zh-CN"/>
        </w:rPr>
        <w:t>十七、不可抗力事件处理</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1.在合同有效期内，任何一方因不可抗力事件导致不能履行合同，则合同履行期可延长，其延长期与不可抗力影响期相同。</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2.不可抗力事件发生后，应立即通知对方，并寄送有关权威机构出具的证明。</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3.不可抗力事件延续120天以上，双方应通过友好协商，确定是否继续履行合同。</w:t>
      </w:r>
    </w:p>
    <w:p>
      <w:pPr>
        <w:spacing w:line="360" w:lineRule="auto"/>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zh-CN" w:eastAsia="zh-CN"/>
        </w:rPr>
        <w:t>十八、解决争议的方法</w:t>
      </w:r>
    </w:p>
    <w:p>
      <w:pPr>
        <w:widowControl/>
        <w:spacing w:line="360" w:lineRule="auto"/>
        <w:ind w:firstLine="480" w:firstLineChars="200"/>
        <w:jc w:val="left"/>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1.如双方在履行合同时发生纠纷，应协商解决；协商不成时，可提请政府采购管理部门调解；调解不成的通过以下方式解决（两种解决方式只能择其一）：</w:t>
      </w:r>
      <w:r>
        <w:rPr>
          <w:rFonts w:hint="eastAsia" w:ascii="宋体" w:hAnsi="宋体" w:cs="宋体"/>
          <w:color w:val="auto"/>
          <w:sz w:val="24"/>
          <w:highlight w:val="none"/>
          <w:lang w:val="zh-CN" w:eastAsia="zh-CN"/>
        </w:rPr>
        <w:br w:type="textWrapping"/>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val="zh-CN" w:eastAsia="zh-CN"/>
        </w:rPr>
        <w:t>（1）提交</w:t>
      </w:r>
      <w:r>
        <w:rPr>
          <w:rFonts w:hint="eastAsia" w:ascii="宋体" w:hAnsi="宋体" w:cs="宋体"/>
          <w:color w:val="auto"/>
          <w:sz w:val="24"/>
          <w:highlight w:val="none"/>
          <w:u w:val="single"/>
          <w:lang w:val="zh-CN" w:eastAsia="zh-CN"/>
        </w:rPr>
        <w:t>台州</w:t>
      </w:r>
      <w:r>
        <w:rPr>
          <w:rFonts w:hint="eastAsia" w:ascii="宋体" w:hAnsi="宋体" w:cs="宋体"/>
          <w:color w:val="auto"/>
          <w:sz w:val="24"/>
          <w:highlight w:val="none"/>
          <w:lang w:val="zh-CN" w:eastAsia="zh-CN"/>
        </w:rPr>
        <w:t>仲裁委员会仲裁。</w:t>
      </w:r>
      <w:r>
        <w:rPr>
          <w:rFonts w:hint="eastAsia" w:ascii="宋体" w:hAnsi="宋体" w:cs="宋体"/>
          <w:color w:val="auto"/>
          <w:sz w:val="24"/>
          <w:highlight w:val="none"/>
          <w:lang w:val="zh-CN" w:eastAsia="zh-CN"/>
        </w:rPr>
        <w:br w:type="textWrapping"/>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val="zh-CN" w:eastAsia="zh-CN"/>
        </w:rPr>
        <w:t>（2）依法向</w:t>
      </w:r>
      <w:r>
        <w:rPr>
          <w:rFonts w:hint="eastAsia" w:ascii="宋体" w:hAnsi="宋体" w:cs="宋体"/>
          <w:color w:val="auto"/>
          <w:sz w:val="24"/>
          <w:highlight w:val="none"/>
          <w:u w:val="single"/>
          <w:lang w:val="zh-CN" w:eastAsia="zh-CN"/>
        </w:rPr>
        <w:t>甲方所在地</w:t>
      </w:r>
      <w:r>
        <w:rPr>
          <w:rFonts w:hint="eastAsia" w:ascii="宋体" w:hAnsi="宋体" w:cs="宋体"/>
          <w:color w:val="auto"/>
          <w:sz w:val="24"/>
          <w:highlight w:val="none"/>
          <w:lang w:val="zh-CN" w:eastAsia="zh-CN"/>
        </w:rPr>
        <w:t>人民法院提起诉讼。</w:t>
      </w:r>
    </w:p>
    <w:p>
      <w:pPr>
        <w:spacing w:line="360" w:lineRule="auto"/>
        <w:rPr>
          <w:rFonts w:hint="eastAsia" w:ascii="宋体" w:hAnsi="宋体" w:cs="宋体"/>
          <w:b/>
          <w:bCs/>
          <w:color w:val="auto"/>
          <w:sz w:val="24"/>
          <w:highlight w:val="none"/>
          <w:lang w:val="zh-CN" w:eastAsia="zh-CN"/>
        </w:rPr>
      </w:pPr>
      <w:r>
        <w:rPr>
          <w:rFonts w:hint="eastAsia" w:ascii="宋体" w:hAnsi="宋体" w:cs="宋体"/>
          <w:b/>
          <w:bCs/>
          <w:color w:val="auto"/>
          <w:sz w:val="24"/>
          <w:highlight w:val="none"/>
          <w:lang w:val="zh-CN" w:eastAsia="zh-CN"/>
        </w:rPr>
        <w:t>十九、合同生效及其它</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1.合同经双方法定代表人或授权委托代理人签字并加盖单位公章后生效。</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2.本合同未尽事宜双方可签订补充协议。本合同的附件及补充协议是本合同的组成部分与本合同具有同等法律效力。附件与本合同内容不一致以本合同为准，补充协议与本合同内容不一致以补充协议为准。</w:t>
      </w:r>
    </w:p>
    <w:p>
      <w:pPr>
        <w:spacing w:line="360" w:lineRule="auto"/>
        <w:ind w:firstLine="470" w:firstLineChars="196"/>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3.本合同一式陆份。甲、乙双方各执贰份，采购组织机构及同级人民政府财政采购监管部门各执壹份，具有同等法律效力。本项目未尽事宜以招标文件、投标文件及澄清文件等为准。</w:t>
      </w:r>
    </w:p>
    <w:p>
      <w:pPr>
        <w:bidi w:val="0"/>
        <w:spacing w:line="360" w:lineRule="auto"/>
        <w:jc w:val="both"/>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 xml:space="preserve">甲方（公章）：                   </w:t>
      </w:r>
      <w:r>
        <w:rPr>
          <w:rFonts w:hint="eastAsia" w:ascii="宋体" w:hAnsi="宋体" w:cs="宋体"/>
          <w:b w:val="0"/>
          <w:bCs w:val="0"/>
          <w:color w:val="auto"/>
          <w:sz w:val="24"/>
          <w:szCs w:val="32"/>
          <w:highlight w:val="none"/>
          <w:lang w:val="en-US" w:eastAsia="zh-CN"/>
        </w:rPr>
        <w:t xml:space="preserve">  </w:t>
      </w:r>
      <w:r>
        <w:rPr>
          <w:rFonts w:hint="eastAsia" w:ascii="宋体" w:hAnsi="宋体" w:eastAsia="宋体" w:cs="宋体"/>
          <w:b w:val="0"/>
          <w:bCs w:val="0"/>
          <w:color w:val="auto"/>
          <w:sz w:val="24"/>
          <w:szCs w:val="32"/>
          <w:highlight w:val="none"/>
          <w:lang w:eastAsia="zh-CN"/>
        </w:rPr>
        <w:t xml:space="preserve"> 乙方（公章）：</w:t>
      </w:r>
    </w:p>
    <w:p>
      <w:pPr>
        <w:bidi w:val="0"/>
        <w:spacing w:line="360" w:lineRule="auto"/>
        <w:jc w:val="both"/>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 xml:space="preserve">法定代表人或授权委托代理人（签字）：  </w:t>
      </w:r>
      <w:r>
        <w:rPr>
          <w:rFonts w:hint="eastAsia" w:ascii="宋体" w:hAnsi="宋体" w:eastAsia="宋体" w:cs="宋体"/>
          <w:b w:val="0"/>
          <w:bCs w:val="0"/>
          <w:color w:val="auto"/>
          <w:sz w:val="24"/>
          <w:szCs w:val="32"/>
          <w:highlight w:val="none"/>
          <w:lang w:val="en-US" w:eastAsia="zh-CN"/>
        </w:rPr>
        <w:t>法定代表人或授权委托代理人（签字）</w:t>
      </w:r>
      <w:r>
        <w:rPr>
          <w:rFonts w:hint="eastAsia" w:ascii="宋体" w:hAnsi="宋体" w:eastAsia="宋体" w:cs="宋体"/>
          <w:b w:val="0"/>
          <w:bCs w:val="0"/>
          <w:color w:val="auto"/>
          <w:sz w:val="24"/>
          <w:szCs w:val="32"/>
          <w:highlight w:val="none"/>
          <w:lang w:eastAsia="zh-CN"/>
        </w:rPr>
        <w:t>：</w:t>
      </w:r>
    </w:p>
    <w:p>
      <w:pPr>
        <w:bidi w:val="0"/>
        <w:spacing w:line="360" w:lineRule="auto"/>
        <w:jc w:val="both"/>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 xml:space="preserve">联系电话：                   </w:t>
      </w:r>
      <w:r>
        <w:rPr>
          <w:rFonts w:hint="eastAsia" w:ascii="宋体" w:hAnsi="宋体" w:cs="宋体"/>
          <w:b w:val="0"/>
          <w:bCs w:val="0"/>
          <w:color w:val="auto"/>
          <w:sz w:val="24"/>
          <w:szCs w:val="32"/>
          <w:highlight w:val="none"/>
          <w:lang w:val="en-US" w:eastAsia="zh-CN"/>
        </w:rPr>
        <w:t xml:space="preserve">      </w:t>
      </w:r>
      <w:r>
        <w:rPr>
          <w:rFonts w:hint="eastAsia" w:ascii="宋体" w:hAnsi="宋体" w:eastAsia="宋体" w:cs="宋体"/>
          <w:b w:val="0"/>
          <w:bCs w:val="0"/>
          <w:color w:val="auto"/>
          <w:sz w:val="24"/>
          <w:szCs w:val="32"/>
          <w:highlight w:val="none"/>
          <w:lang w:eastAsia="zh-CN"/>
        </w:rPr>
        <w:t xml:space="preserve"> 联系电话：</w:t>
      </w:r>
    </w:p>
    <w:p>
      <w:pPr>
        <w:bidi w:val="0"/>
        <w:spacing w:line="360" w:lineRule="auto"/>
        <w:jc w:val="both"/>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 xml:space="preserve">开户银行：               </w:t>
      </w:r>
      <w:r>
        <w:rPr>
          <w:rFonts w:hint="eastAsia" w:ascii="宋体" w:hAnsi="宋体" w:eastAsia="宋体" w:cs="宋体"/>
          <w:b w:val="0"/>
          <w:bCs w:val="0"/>
          <w:color w:val="auto"/>
          <w:sz w:val="24"/>
          <w:szCs w:val="32"/>
          <w:highlight w:val="none"/>
          <w:lang w:val="en-US" w:eastAsia="zh-CN"/>
        </w:rPr>
        <w:t xml:space="preserve">        </w:t>
      </w:r>
      <w:r>
        <w:rPr>
          <w:rFonts w:hint="eastAsia" w:ascii="宋体" w:hAnsi="宋体" w:eastAsia="宋体" w:cs="宋体"/>
          <w:b w:val="0"/>
          <w:bCs w:val="0"/>
          <w:color w:val="auto"/>
          <w:sz w:val="24"/>
          <w:szCs w:val="32"/>
          <w:highlight w:val="none"/>
          <w:lang w:eastAsia="zh-CN"/>
        </w:rPr>
        <w:t xml:space="preserve">   开户银行（必填）：</w:t>
      </w:r>
    </w:p>
    <w:p>
      <w:pPr>
        <w:bidi w:val="0"/>
        <w:spacing w:line="360" w:lineRule="auto"/>
        <w:jc w:val="both"/>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账</w:t>
      </w:r>
      <w:r>
        <w:rPr>
          <w:rFonts w:hint="eastAsia" w:ascii="宋体" w:hAnsi="宋体" w:eastAsia="宋体" w:cs="宋体"/>
          <w:b w:val="0"/>
          <w:bCs w:val="0"/>
          <w:color w:val="auto"/>
          <w:sz w:val="24"/>
          <w:szCs w:val="32"/>
          <w:highlight w:val="none"/>
          <w:lang w:val="en-US" w:eastAsia="zh-CN"/>
        </w:rPr>
        <w:t xml:space="preserve">    </w:t>
      </w:r>
      <w:r>
        <w:rPr>
          <w:rFonts w:hint="eastAsia" w:ascii="宋体" w:hAnsi="宋体" w:eastAsia="宋体" w:cs="宋体"/>
          <w:b w:val="0"/>
          <w:bCs w:val="0"/>
          <w:color w:val="auto"/>
          <w:sz w:val="24"/>
          <w:szCs w:val="32"/>
          <w:highlight w:val="none"/>
          <w:lang w:eastAsia="zh-CN"/>
        </w:rPr>
        <w:t xml:space="preserve">号：                         </w:t>
      </w:r>
      <w:r>
        <w:rPr>
          <w:rFonts w:hint="eastAsia" w:ascii="宋体" w:hAnsi="宋体" w:eastAsia="宋体" w:cs="宋体"/>
          <w:b w:val="0"/>
          <w:bCs w:val="0"/>
          <w:color w:val="auto"/>
          <w:sz w:val="24"/>
          <w:szCs w:val="32"/>
          <w:highlight w:val="none"/>
          <w:lang w:val="en-US" w:eastAsia="zh-CN"/>
        </w:rPr>
        <w:t xml:space="preserve"> </w:t>
      </w:r>
      <w:r>
        <w:rPr>
          <w:rFonts w:hint="eastAsia" w:ascii="宋体" w:hAnsi="宋体" w:eastAsia="宋体" w:cs="宋体"/>
          <w:b w:val="0"/>
          <w:bCs w:val="0"/>
          <w:color w:val="auto"/>
          <w:sz w:val="24"/>
          <w:szCs w:val="32"/>
          <w:highlight w:val="none"/>
          <w:lang w:eastAsia="zh-CN"/>
        </w:rPr>
        <w:t>账</w:t>
      </w:r>
      <w:r>
        <w:rPr>
          <w:rFonts w:hint="eastAsia" w:ascii="宋体" w:hAnsi="宋体" w:eastAsia="宋体" w:cs="宋体"/>
          <w:b w:val="0"/>
          <w:bCs w:val="0"/>
          <w:color w:val="auto"/>
          <w:sz w:val="24"/>
          <w:szCs w:val="32"/>
          <w:highlight w:val="none"/>
          <w:lang w:val="en-US" w:eastAsia="zh-CN"/>
        </w:rPr>
        <w:t xml:space="preserve">    </w:t>
      </w:r>
      <w:r>
        <w:rPr>
          <w:rFonts w:hint="eastAsia" w:ascii="宋体" w:hAnsi="宋体" w:eastAsia="宋体" w:cs="宋体"/>
          <w:b w:val="0"/>
          <w:bCs w:val="0"/>
          <w:color w:val="auto"/>
          <w:sz w:val="24"/>
          <w:szCs w:val="32"/>
          <w:highlight w:val="none"/>
          <w:lang w:eastAsia="zh-CN"/>
        </w:rPr>
        <w:t>号（必填）：</w:t>
      </w:r>
    </w:p>
    <w:p>
      <w:pPr>
        <w:bidi w:val="0"/>
        <w:spacing w:line="360" w:lineRule="auto"/>
        <w:jc w:val="both"/>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签订时间：    年   月    日</w:t>
      </w:r>
      <w:r>
        <w:rPr>
          <w:rFonts w:hint="eastAsia" w:ascii="宋体" w:hAnsi="宋体" w:eastAsia="宋体" w:cs="宋体"/>
          <w:b w:val="0"/>
          <w:bCs w:val="0"/>
          <w:color w:val="auto"/>
          <w:sz w:val="24"/>
          <w:szCs w:val="32"/>
          <w:highlight w:val="none"/>
          <w:lang w:val="en-US" w:eastAsia="zh-CN"/>
        </w:rPr>
        <w:t xml:space="preserve">         </w:t>
      </w:r>
      <w:r>
        <w:rPr>
          <w:rFonts w:hint="eastAsia" w:ascii="宋体" w:hAnsi="宋体" w:eastAsia="宋体" w:cs="宋体"/>
          <w:b w:val="0"/>
          <w:bCs w:val="0"/>
          <w:color w:val="auto"/>
          <w:sz w:val="24"/>
          <w:szCs w:val="32"/>
          <w:highlight w:val="none"/>
          <w:lang w:eastAsia="zh-CN"/>
        </w:rPr>
        <w:t>签订时间：    年   月    日</w:t>
      </w:r>
    </w:p>
    <w:p>
      <w:pPr>
        <w:bidi w:val="0"/>
        <w:spacing w:line="360" w:lineRule="auto"/>
        <w:jc w:val="both"/>
        <w:rPr>
          <w:rFonts w:hint="eastAsia" w:ascii="宋体" w:hAnsi="宋体" w:eastAsia="宋体" w:cs="宋体"/>
          <w:b/>
          <w:bCs/>
          <w:color w:val="auto"/>
          <w:sz w:val="24"/>
          <w:szCs w:val="32"/>
          <w:highlight w:val="none"/>
          <w:lang w:val="en-US"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合同</w:t>
      </w:r>
      <w:r>
        <w:rPr>
          <w:rFonts w:hint="eastAsia" w:ascii="宋体" w:hAnsi="宋体" w:eastAsia="宋体" w:cs="宋体"/>
          <w:b w:val="0"/>
          <w:bCs w:val="0"/>
          <w:color w:val="auto"/>
          <w:sz w:val="24"/>
          <w:szCs w:val="32"/>
          <w:highlight w:val="none"/>
          <w:lang w:val="en-US" w:eastAsia="zh-CN"/>
        </w:rPr>
        <w:t>鉴证</w:t>
      </w:r>
      <w:r>
        <w:rPr>
          <w:rFonts w:hint="eastAsia" w:ascii="宋体" w:hAnsi="宋体" w:eastAsia="宋体" w:cs="宋体"/>
          <w:b w:val="0"/>
          <w:bCs w:val="0"/>
          <w:color w:val="auto"/>
          <w:sz w:val="24"/>
          <w:szCs w:val="32"/>
          <w:highlight w:val="none"/>
          <w:lang w:eastAsia="zh-CN"/>
        </w:rPr>
        <w:t>方（鉴证章）：</w:t>
      </w:r>
    </w:p>
    <w:p>
      <w:pPr>
        <w:bidi w:val="0"/>
        <w:spacing w:line="360" w:lineRule="auto"/>
        <w:jc w:val="both"/>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en-US" w:eastAsia="zh-CN"/>
        </w:rPr>
        <w:t>鉴证</w:t>
      </w:r>
      <w:r>
        <w:rPr>
          <w:rFonts w:hint="eastAsia" w:ascii="宋体" w:hAnsi="宋体" w:eastAsia="宋体" w:cs="宋体"/>
          <w:b w:val="0"/>
          <w:bCs w:val="0"/>
          <w:color w:val="auto"/>
          <w:sz w:val="24"/>
          <w:szCs w:val="32"/>
          <w:highlight w:val="none"/>
          <w:lang w:eastAsia="zh-CN"/>
        </w:rPr>
        <w:t>日期：</w:t>
      </w:r>
    </w:p>
    <w:p>
      <w:pPr>
        <w:pStyle w:val="2"/>
        <w:rPr>
          <w:rFonts w:hint="eastAsia"/>
          <w:color w:val="auto"/>
          <w:highlight w:val="none"/>
          <w:lang w:val="en-US" w:eastAsia="zh-CN"/>
        </w:rPr>
      </w:pPr>
    </w:p>
    <w:p>
      <w:pPr>
        <w:bidi w:val="0"/>
        <w:spacing w:line="360" w:lineRule="auto"/>
        <w:jc w:val="center"/>
        <w:rPr>
          <w:rFonts w:hint="eastAsia" w:ascii="宋体" w:hAnsi="宋体" w:eastAsia="宋体" w:cs="宋体"/>
          <w:b/>
          <w:bCs/>
          <w:color w:val="auto"/>
          <w:sz w:val="36"/>
          <w:szCs w:val="44"/>
          <w:highlight w:val="none"/>
          <w:lang w:eastAsia="zh-CN"/>
        </w:rPr>
      </w:pPr>
      <w:r>
        <w:rPr>
          <w:rFonts w:hint="eastAsia" w:ascii="宋体" w:hAnsi="宋体" w:eastAsia="宋体" w:cs="宋体"/>
          <w:b/>
          <w:bCs/>
          <w:color w:val="auto"/>
          <w:sz w:val="36"/>
          <w:szCs w:val="44"/>
          <w:highlight w:val="none"/>
          <w:lang w:eastAsia="zh-CN"/>
        </w:rPr>
        <w:t>第六章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lang w:eastAsia="zh-CN"/>
        </w:rPr>
        <w:t>投标文件格式附件</w:t>
      </w:r>
    </w:p>
    <w:p>
      <w:pPr>
        <w:rPr>
          <w:rFonts w:hint="eastAsia" w:ascii="宋体" w:hAnsi="宋体" w:eastAsia="宋体" w:cs="宋体"/>
          <w:b/>
          <w:color w:val="auto"/>
          <w:kern w:val="0"/>
          <w:sz w:val="28"/>
          <w:szCs w:val="28"/>
          <w:highlight w:val="none"/>
        </w:rPr>
      </w:pPr>
      <w:r>
        <w:rPr>
          <w:rFonts w:hint="eastAsia" w:ascii="宋体" w:hAnsi="宋体" w:eastAsia="宋体" w:cs="宋体"/>
          <w:b/>
          <w:bCs/>
          <w:color w:val="auto"/>
          <w:sz w:val="28"/>
          <w:szCs w:val="36"/>
          <w:highlight w:val="none"/>
        </w:rPr>
        <w:t>附件1　</w:t>
      </w:r>
      <w:r>
        <w:rPr>
          <w:rFonts w:hint="eastAsia" w:ascii="宋体" w:hAnsi="宋体" w:eastAsia="宋体" w:cs="宋体"/>
          <w:color w:val="auto"/>
          <w:sz w:val="30"/>
          <w:szCs w:val="30"/>
          <w:highlight w:val="none"/>
        </w:rPr>
        <w:t>　　</w:t>
      </w:r>
      <w:r>
        <w:rPr>
          <w:rFonts w:hint="eastAsia" w:ascii="宋体" w:hAnsi="宋体" w:eastAsia="宋体" w:cs="宋体"/>
          <w:color w:val="auto"/>
          <w:sz w:val="30"/>
          <w:szCs w:val="30"/>
          <w:highlight w:val="none"/>
          <w:lang w:val="en-US" w:eastAsia="zh-CN"/>
        </w:rPr>
        <w:t xml:space="preserve">                                       </w:t>
      </w:r>
      <w:r>
        <w:rPr>
          <w:rFonts w:hint="eastAsia" w:ascii="宋体" w:hAnsi="宋体" w:eastAsia="宋体" w:cs="宋体"/>
          <w:color w:val="auto"/>
          <w:sz w:val="30"/>
          <w:szCs w:val="30"/>
          <w:highlight w:val="none"/>
          <w:u w:val="single"/>
          <w:lang w:val="en-US" w:eastAsia="zh-CN"/>
        </w:rPr>
        <w:t xml:space="preserve">   </w:t>
      </w:r>
      <w:r>
        <w:rPr>
          <w:rFonts w:hint="eastAsia" w:ascii="宋体" w:hAnsi="宋体" w:eastAsia="宋体" w:cs="宋体"/>
          <w:bCs/>
          <w:color w:val="auto"/>
          <w:sz w:val="24"/>
          <w:highlight w:val="none"/>
        </w:rPr>
        <w:t>本</w:t>
      </w:r>
    </w:p>
    <w:p>
      <w:pPr>
        <w:numPr>
          <w:ilvl w:val="0"/>
          <w:numId w:val="0"/>
        </w:numPr>
        <w:spacing w:line="360" w:lineRule="auto"/>
        <w:jc w:val="both"/>
        <w:rPr>
          <w:rFonts w:hint="eastAsia" w:ascii="宋体" w:hAnsi="宋体" w:eastAsia="宋体" w:cs="宋体"/>
          <w:b/>
          <w:color w:val="auto"/>
          <w:sz w:val="30"/>
          <w:szCs w:val="30"/>
          <w:highlight w:val="none"/>
        </w:rPr>
      </w:pPr>
    </w:p>
    <w:p>
      <w:pPr>
        <w:bidi w:val="0"/>
        <w:spacing w:line="360" w:lineRule="auto"/>
        <w:jc w:val="center"/>
        <w:rPr>
          <w:rFonts w:hint="eastAsia" w:ascii="宋体" w:hAnsi="宋体" w:eastAsia="宋体" w:cs="宋体"/>
          <w:color w:val="auto"/>
          <w:spacing w:val="40"/>
          <w:sz w:val="52"/>
          <w:szCs w:val="52"/>
          <w:highlight w:val="none"/>
        </w:rPr>
      </w:pPr>
      <w:r>
        <w:rPr>
          <w:rFonts w:hint="eastAsia" w:ascii="宋体" w:hAnsi="宋体" w:eastAsia="宋体" w:cs="宋体"/>
          <w:color w:val="auto"/>
          <w:spacing w:val="40"/>
          <w:sz w:val="52"/>
          <w:szCs w:val="52"/>
          <w:highlight w:val="none"/>
        </w:rPr>
        <w:t>项目名称</w:t>
      </w:r>
    </w:p>
    <w:p>
      <w:pPr>
        <w:bidi w:val="0"/>
        <w:spacing w:line="360"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项目编号：（标段）</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投</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标</w:t>
      </w:r>
    </w:p>
    <w:p>
      <w:pPr>
        <w:autoSpaceDE w:val="0"/>
        <w:autoSpaceDN w:val="0"/>
        <w:adjustRightInd w:val="0"/>
        <w:spacing w:line="360" w:lineRule="auto"/>
        <w:jc w:val="center"/>
        <w:rPr>
          <w:rFonts w:hint="eastAsia" w:ascii="宋体" w:hAnsi="宋体" w:eastAsia="宋体" w:cs="宋体"/>
          <w:color w:val="auto"/>
          <w:sz w:val="84"/>
          <w:szCs w:val="84"/>
          <w:highlight w:val="none"/>
        </w:rPr>
      </w:pPr>
      <w:r>
        <w:rPr>
          <w:rFonts w:hint="eastAsia" w:ascii="宋体" w:hAnsi="宋体" w:eastAsia="宋体" w:cs="宋体"/>
          <w:color w:val="auto"/>
          <w:sz w:val="84"/>
          <w:szCs w:val="84"/>
          <w:highlight w:val="none"/>
          <w:lang w:val="zh-CN"/>
        </w:rPr>
        <w:t>文</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件</w:t>
      </w:r>
    </w:p>
    <w:p>
      <w:pPr>
        <w:autoSpaceDE w:val="0"/>
        <w:autoSpaceDN w:val="0"/>
        <w:adjustRightInd w:val="0"/>
        <w:spacing w:line="360" w:lineRule="auto"/>
        <w:jc w:val="center"/>
        <w:rPr>
          <w:rFonts w:hint="eastAsia" w:ascii="宋体" w:hAnsi="宋体" w:eastAsia="宋体" w:cs="宋体"/>
          <w:b/>
          <w:color w:val="auto"/>
          <w:spacing w:val="40"/>
          <w:sz w:val="28"/>
          <w:szCs w:val="28"/>
          <w:highlight w:val="none"/>
        </w:rPr>
      </w:pPr>
      <w:r>
        <w:rPr>
          <w:rFonts w:hint="eastAsia" w:ascii="宋体" w:hAnsi="宋体" w:eastAsia="宋体" w:cs="宋体"/>
          <w:color w:val="auto"/>
          <w:sz w:val="28"/>
          <w:szCs w:val="28"/>
          <w:highlight w:val="none"/>
          <w:lang w:val="zh-CN"/>
        </w:rPr>
        <w:t>（</w:t>
      </w:r>
      <w:r>
        <w:rPr>
          <w:rFonts w:hint="eastAsia" w:ascii="宋体" w:hAnsi="宋体" w:eastAsia="宋体" w:cs="宋体"/>
          <w:b/>
          <w:color w:val="auto"/>
          <w:spacing w:val="40"/>
          <w:sz w:val="28"/>
          <w:szCs w:val="28"/>
          <w:highlight w:val="none"/>
        </w:rPr>
        <w:t>资格证明文件）</w:t>
      </w:r>
    </w:p>
    <w:p>
      <w:pPr>
        <w:autoSpaceDE w:val="0"/>
        <w:autoSpaceDN w:val="0"/>
        <w:adjustRightInd w:val="0"/>
        <w:spacing w:line="360" w:lineRule="auto"/>
        <w:jc w:val="both"/>
        <w:rPr>
          <w:rFonts w:hint="eastAsia" w:ascii="宋体" w:hAnsi="宋体" w:eastAsia="宋体" w:cs="宋体"/>
          <w:color w:val="auto"/>
          <w:sz w:val="36"/>
          <w:szCs w:val="36"/>
          <w:highlight w:val="none"/>
        </w:rPr>
      </w:pPr>
    </w:p>
    <w:p>
      <w:pPr>
        <w:autoSpaceDE w:val="0"/>
        <w:autoSpaceDN w:val="0"/>
        <w:adjustRightInd w:val="0"/>
        <w:spacing w:line="360" w:lineRule="auto"/>
        <w:jc w:val="both"/>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投标人全称（公章）：</w:t>
      </w:r>
    </w:p>
    <w:p>
      <w:pPr>
        <w:autoSpaceDE w:val="0"/>
        <w:autoSpaceDN w:val="0"/>
        <w:adjustRightInd w:val="0"/>
        <w:spacing w:line="360" w:lineRule="auto"/>
        <w:jc w:val="both"/>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地址：</w:t>
      </w:r>
    </w:p>
    <w:p>
      <w:pPr>
        <w:autoSpaceDE w:val="0"/>
        <w:autoSpaceDN w:val="0"/>
        <w:adjustRightInd w:val="0"/>
        <w:spacing w:line="360" w:lineRule="auto"/>
        <w:jc w:val="both"/>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时间：</w:t>
      </w: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资格证明文件目录</w:t>
      </w: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lang w:eastAsia="zh-CN"/>
        </w:rPr>
        <w:t>）投标声明书；</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lang w:eastAsia="zh-CN"/>
        </w:rPr>
        <w:t>）授权委托书（法定代表人亲自办理投标事宜的，则无需提交）；</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lang w:eastAsia="zh-CN"/>
        </w:rPr>
        <w:t>）法人或者其他组织的营业执照等证明文件，自然人的身份证明；</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lang w:eastAsia="zh-CN"/>
        </w:rPr>
        <w:t>）财务状况报告，依法缴纳税收和社会保障资金的相关材料；</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lang w:eastAsia="zh-CN"/>
        </w:rPr>
        <w:t>）具备履行合同所必需的设备和专业技术能力的证明材料（根据项目性质提供）；</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6</w:t>
      </w:r>
      <w:r>
        <w:rPr>
          <w:rFonts w:hint="eastAsia" w:ascii="宋体" w:hAnsi="宋体" w:eastAsia="宋体" w:cs="宋体"/>
          <w:b w:val="0"/>
          <w:bCs w:val="0"/>
          <w:color w:val="auto"/>
          <w:sz w:val="28"/>
          <w:szCs w:val="28"/>
          <w:highlight w:val="none"/>
          <w:lang w:eastAsia="zh-CN"/>
        </w:rPr>
        <w:t>）提供采购公告中符合供应商特定条件的有效资质证书复印件（投标供应商特定条件中有要求的必须提供），以及需要说明的其他资料。</w:t>
      </w: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z w:val="28"/>
          <w:highlight w:val="none"/>
        </w:rPr>
        <w:t xml:space="preserve">附件2                  </w:t>
      </w:r>
      <w:r>
        <w:rPr>
          <w:rFonts w:hint="eastAsia" w:ascii="宋体" w:hAnsi="宋体" w:eastAsia="宋体" w:cs="宋体"/>
          <w:b/>
          <w:color w:val="auto"/>
          <w:kern w:val="0"/>
          <w:sz w:val="32"/>
          <w:szCs w:val="32"/>
          <w:highlight w:val="none"/>
          <w:lang w:val="zh-CN"/>
        </w:rPr>
        <w:t>投标声明书</w:t>
      </w:r>
    </w:p>
    <w:p>
      <w:pPr>
        <w:spacing w:line="360" w:lineRule="auto"/>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u w:val="single"/>
          <w:lang w:val="en-US" w:eastAsia="zh-CN"/>
        </w:rPr>
        <w:t>浙江五石中正工程咨询有限公司</w:t>
      </w:r>
      <w:r>
        <w:rPr>
          <w:rFonts w:hint="eastAsia" w:ascii="宋体" w:hAnsi="宋体" w:eastAsia="宋体" w:cs="宋体"/>
          <w:color w:val="auto"/>
          <w:sz w:val="24"/>
          <w:szCs w:val="32"/>
          <w:highlight w:val="none"/>
          <w:lang w:val="en-US" w:eastAsia="zh-CN"/>
        </w:rPr>
        <w:t>（采购代理机构名称）：</w:t>
      </w:r>
    </w:p>
    <w:p>
      <w:pPr>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（投标人名称）</w:t>
      </w:r>
      <w:r>
        <w:rPr>
          <w:rFonts w:hint="eastAsia" w:ascii="宋体" w:hAnsi="宋体" w:eastAsia="宋体" w:cs="宋体"/>
          <w:color w:val="auto"/>
          <w:sz w:val="24"/>
          <w:szCs w:val="32"/>
          <w:highlight w:val="none"/>
          <w:lang w:val="en-US" w:eastAsia="zh-CN"/>
        </w:rPr>
        <w:t>系中华人民共和国合法企业，经营地址。</w:t>
      </w:r>
    </w:p>
    <w:p>
      <w:pPr>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我（</w:t>
      </w:r>
      <w:r>
        <w:rPr>
          <w:rFonts w:hint="eastAsia" w:ascii="宋体" w:hAnsi="宋体" w:eastAsia="宋体" w:cs="宋体"/>
          <w:color w:val="auto"/>
          <w:sz w:val="24"/>
          <w:szCs w:val="32"/>
          <w:highlight w:val="none"/>
          <w:u w:val="single"/>
          <w:lang w:val="en-US" w:eastAsia="zh-CN"/>
        </w:rPr>
        <w:t xml:space="preserve"> 姓名 </w:t>
      </w:r>
      <w:r>
        <w:rPr>
          <w:rFonts w:hint="eastAsia" w:ascii="宋体" w:hAnsi="宋体" w:eastAsia="宋体" w:cs="宋体"/>
          <w:color w:val="auto"/>
          <w:sz w:val="24"/>
          <w:szCs w:val="32"/>
          <w:highlight w:val="none"/>
          <w:lang w:val="en-US" w:eastAsia="zh-CN"/>
        </w:rPr>
        <w:t>）系（</w:t>
      </w:r>
      <w:r>
        <w:rPr>
          <w:rFonts w:hint="eastAsia" w:ascii="宋体" w:hAnsi="宋体" w:eastAsia="宋体" w:cs="宋体"/>
          <w:color w:val="auto"/>
          <w:sz w:val="24"/>
          <w:szCs w:val="32"/>
          <w:highlight w:val="none"/>
          <w:u w:val="single"/>
          <w:lang w:val="en-US" w:eastAsia="zh-CN"/>
        </w:rPr>
        <w:t xml:space="preserve"> 投标人名称 </w:t>
      </w:r>
      <w:r>
        <w:rPr>
          <w:rFonts w:hint="eastAsia" w:ascii="宋体" w:hAnsi="宋体" w:eastAsia="宋体" w:cs="宋体"/>
          <w:color w:val="auto"/>
          <w:sz w:val="24"/>
          <w:szCs w:val="32"/>
          <w:highlight w:val="none"/>
          <w:lang w:val="en-US" w:eastAsia="zh-CN"/>
        </w:rPr>
        <w:t>）的法定代表人，我公司自愿参加贵方组织的（</w:t>
      </w:r>
      <w:r>
        <w:rPr>
          <w:rFonts w:hint="eastAsia" w:ascii="宋体" w:hAnsi="宋体" w:eastAsia="宋体" w:cs="宋体"/>
          <w:color w:val="auto"/>
          <w:sz w:val="24"/>
          <w:szCs w:val="32"/>
          <w:highlight w:val="none"/>
          <w:u w:val="single"/>
          <w:lang w:val="en-US" w:eastAsia="zh-CN"/>
        </w:rPr>
        <w:t xml:space="preserve"> </w:t>
      </w:r>
      <w:r>
        <w:rPr>
          <w:rFonts w:hint="eastAsia" w:ascii="宋体" w:hAnsi="宋体" w:cs="宋体"/>
          <w:color w:val="auto"/>
          <w:sz w:val="24"/>
          <w:szCs w:val="32"/>
          <w:highlight w:val="none"/>
          <w:u w:val="single"/>
          <w:lang w:val="en-US" w:eastAsia="zh-CN"/>
        </w:rPr>
        <w:t>路桥区生态环境数字化监管系统项目</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）（编号为</w:t>
      </w:r>
      <w:r>
        <w:rPr>
          <w:rFonts w:hint="eastAsia" w:ascii="宋体" w:hAnsi="宋体" w:eastAsia="宋体" w:cs="宋体"/>
          <w:color w:val="auto"/>
          <w:sz w:val="24"/>
          <w:szCs w:val="32"/>
          <w:highlight w:val="none"/>
          <w:u w:val="single"/>
          <w:lang w:val="en-US" w:eastAsia="zh-CN"/>
        </w:rPr>
        <w:t xml:space="preserve"> </w:t>
      </w:r>
      <w:r>
        <w:rPr>
          <w:rFonts w:hint="eastAsia" w:ascii="宋体" w:hAnsi="宋体" w:cs="宋体"/>
          <w:color w:val="auto"/>
          <w:sz w:val="24"/>
          <w:szCs w:val="32"/>
          <w:highlight w:val="none"/>
          <w:u w:val="single"/>
          <w:lang w:val="en-US" w:eastAsia="zh-CN"/>
        </w:rPr>
        <w:t>ZJWS2021-LQ175</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）的投标，为此，我公司就本次投标有关事项郑重声明如下：</w:t>
      </w:r>
    </w:p>
    <w:p>
      <w:pPr>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3、我</w:t>
      </w:r>
      <w:r>
        <w:rPr>
          <w:rFonts w:hint="eastAsia" w:ascii="宋体" w:hAnsi="宋体" w:eastAsia="宋体" w:cs="宋体"/>
          <w:color w:val="auto"/>
          <w:sz w:val="24"/>
          <w:szCs w:val="32"/>
          <w:highlight w:val="none"/>
          <w:lang w:val="zh-CN" w:eastAsia="zh-CN"/>
        </w:rPr>
        <w:t>公司</w:t>
      </w:r>
      <w:r>
        <w:rPr>
          <w:rFonts w:hint="eastAsia" w:ascii="宋体" w:hAnsi="宋体" w:eastAsia="宋体" w:cs="宋体"/>
          <w:color w:val="auto"/>
          <w:sz w:val="24"/>
          <w:szCs w:val="32"/>
          <w:highlight w:val="none"/>
          <w:lang w:val="en-US" w:eastAsia="zh-CN"/>
        </w:rPr>
        <w:t>不是采购人的附属机构；在获知本项目采购信息后，与采购人聘请的为此项目提供咨询服务的公司及其附属机构没有任何联系。</w:t>
      </w:r>
    </w:p>
    <w:p>
      <w:pPr>
        <w:spacing w:line="360" w:lineRule="auto"/>
        <w:ind w:firstLine="480" w:firstLineChars="200"/>
        <w:rPr>
          <w:rFonts w:hint="eastAsia" w:ascii="宋体" w:hAnsi="宋体" w:eastAsia="宋体" w:cs="宋体"/>
          <w:color w:val="auto"/>
          <w:sz w:val="24"/>
          <w:szCs w:val="32"/>
          <w:highlight w:val="none"/>
          <w:lang w:val="af-ZA" w:eastAsia="zh-CN"/>
        </w:rPr>
      </w:pPr>
      <w:r>
        <w:rPr>
          <w:rFonts w:hint="eastAsia" w:ascii="宋体" w:hAnsi="宋体" w:eastAsia="宋体" w:cs="宋体"/>
          <w:color w:val="auto"/>
          <w:sz w:val="24"/>
          <w:szCs w:val="32"/>
          <w:highlight w:val="none"/>
          <w:lang w:val="en-US" w:eastAsia="zh-CN"/>
        </w:rPr>
        <w:t>4、我</w:t>
      </w:r>
      <w:r>
        <w:rPr>
          <w:rFonts w:hint="eastAsia" w:ascii="宋体" w:hAnsi="宋体" w:eastAsia="宋体" w:cs="宋体"/>
          <w:color w:val="auto"/>
          <w:sz w:val="24"/>
          <w:szCs w:val="32"/>
          <w:highlight w:val="none"/>
          <w:lang w:val="zh-CN" w:eastAsia="zh-CN"/>
        </w:rPr>
        <w:t>公司</w:t>
      </w:r>
      <w:r>
        <w:rPr>
          <w:rFonts w:hint="eastAsia" w:ascii="宋体" w:hAnsi="宋体" w:eastAsia="宋体" w:cs="宋体"/>
          <w:color w:val="auto"/>
          <w:sz w:val="24"/>
          <w:szCs w:val="32"/>
          <w:highlight w:val="none"/>
          <w:lang w:val="en-US" w:eastAsia="zh-CN"/>
        </w:rPr>
        <w:t>保证，</w:t>
      </w:r>
      <w:r>
        <w:rPr>
          <w:rFonts w:hint="eastAsia" w:ascii="宋体" w:hAnsi="宋体" w:eastAsia="宋体" w:cs="宋体"/>
          <w:color w:val="auto"/>
          <w:sz w:val="24"/>
          <w:szCs w:val="32"/>
          <w:highlight w:val="none"/>
          <w:lang w:val="af-ZA" w:eastAsia="zh-CN"/>
        </w:rPr>
        <w:t>采购人在中华人民共和国境内使用</w:t>
      </w:r>
      <w:r>
        <w:rPr>
          <w:rFonts w:hint="eastAsia" w:ascii="宋体" w:hAnsi="宋体" w:eastAsia="宋体" w:cs="宋体"/>
          <w:color w:val="auto"/>
          <w:sz w:val="24"/>
          <w:szCs w:val="32"/>
          <w:highlight w:val="none"/>
          <w:lang w:val="en-US" w:eastAsia="zh-CN"/>
        </w:rPr>
        <w:t>我</w:t>
      </w:r>
      <w:r>
        <w:rPr>
          <w:rFonts w:hint="eastAsia" w:ascii="宋体" w:hAnsi="宋体" w:eastAsia="宋体" w:cs="宋体"/>
          <w:color w:val="auto"/>
          <w:sz w:val="24"/>
          <w:szCs w:val="32"/>
          <w:highlight w:val="none"/>
          <w:lang w:val="zh-CN" w:eastAsia="zh-CN"/>
        </w:rPr>
        <w:t>公司</w:t>
      </w:r>
      <w:r>
        <w:rPr>
          <w:rFonts w:hint="eastAsia" w:ascii="宋体" w:hAnsi="宋体" w:eastAsia="宋体" w:cs="宋体"/>
          <w:color w:val="auto"/>
          <w:sz w:val="24"/>
          <w:szCs w:val="32"/>
          <w:highlight w:val="none"/>
          <w:lang w:val="af-ZA" w:eastAsia="zh-CN"/>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af-ZA" w:eastAsia="zh-CN"/>
        </w:rPr>
        <w:t>5、我</w:t>
      </w:r>
      <w:r>
        <w:rPr>
          <w:rFonts w:hint="eastAsia" w:ascii="宋体" w:hAnsi="宋体" w:eastAsia="宋体" w:cs="宋体"/>
          <w:color w:val="auto"/>
          <w:sz w:val="24"/>
          <w:szCs w:val="32"/>
          <w:highlight w:val="none"/>
          <w:lang w:val="zh-CN" w:eastAsia="zh-CN"/>
        </w:rPr>
        <w:t>公司</w:t>
      </w:r>
      <w:r>
        <w:rPr>
          <w:rFonts w:hint="eastAsia" w:ascii="宋体" w:hAnsi="宋体" w:eastAsia="宋体" w:cs="宋体"/>
          <w:color w:val="auto"/>
          <w:sz w:val="24"/>
          <w:szCs w:val="32"/>
          <w:highlight w:val="none"/>
          <w:lang w:val="af-ZA" w:eastAsia="zh-CN"/>
        </w:rPr>
        <w:t>严格履行政府采购合同，不降低合同约定的产品质量和服务，不擅自变更、中止、终止合同，或拒绝履行合同义务；</w:t>
      </w:r>
    </w:p>
    <w:p>
      <w:pPr>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6、以上事项如有虚假或隐瞒，我</w:t>
      </w:r>
      <w:r>
        <w:rPr>
          <w:rFonts w:hint="eastAsia" w:ascii="宋体" w:hAnsi="宋体" w:eastAsia="宋体" w:cs="宋体"/>
          <w:color w:val="auto"/>
          <w:sz w:val="24"/>
          <w:szCs w:val="32"/>
          <w:highlight w:val="none"/>
          <w:lang w:val="zh-CN" w:eastAsia="zh-CN"/>
        </w:rPr>
        <w:t>公司</w:t>
      </w:r>
      <w:r>
        <w:rPr>
          <w:rFonts w:hint="eastAsia" w:ascii="宋体" w:hAnsi="宋体" w:eastAsia="宋体" w:cs="宋体"/>
          <w:color w:val="auto"/>
          <w:sz w:val="24"/>
          <w:szCs w:val="32"/>
          <w:highlight w:val="none"/>
          <w:lang w:val="en-US" w:eastAsia="zh-CN"/>
        </w:rPr>
        <w:t>愿意承担一切后果，并不再寻求任何旨在减轻或免除法律责任的辩解。</w:t>
      </w:r>
    </w:p>
    <w:p>
      <w:pPr>
        <w:adjustRightInd w:val="0"/>
        <w:snapToGrid w:val="0"/>
        <w:spacing w:line="360" w:lineRule="auto"/>
        <w:ind w:firstLine="480"/>
        <w:rPr>
          <w:rFonts w:hint="eastAsia" w:ascii="宋体" w:hAnsi="宋体" w:eastAsia="宋体" w:cs="宋体"/>
          <w:color w:val="auto"/>
          <w:kern w:val="0"/>
          <w:sz w:val="24"/>
          <w:highlight w:val="none"/>
        </w:rPr>
      </w:pPr>
    </w:p>
    <w:p>
      <w:pPr>
        <w:spacing w:line="360" w:lineRule="auto"/>
        <w:ind w:firstLine="4560" w:firstLineChars="1900"/>
        <w:rPr>
          <w:rFonts w:hint="eastAsia" w:ascii="宋体" w:hAnsi="宋体" w:eastAsia="宋体" w:cs="宋体"/>
          <w:color w:val="auto"/>
          <w:sz w:val="24"/>
          <w:szCs w:val="32"/>
          <w:highlight w:val="none"/>
          <w:lang w:val="zh-CN" w:eastAsia="zh-CN"/>
        </w:rPr>
      </w:pPr>
      <w:r>
        <w:rPr>
          <w:rFonts w:hint="eastAsia" w:ascii="宋体" w:hAnsi="宋体" w:eastAsia="宋体" w:cs="宋体"/>
          <w:color w:val="auto"/>
          <w:sz w:val="24"/>
          <w:szCs w:val="32"/>
          <w:highlight w:val="none"/>
          <w:lang w:val="zh-CN" w:eastAsia="zh-CN"/>
        </w:rPr>
        <w:t>投标人名称（公章）：</w:t>
      </w:r>
    </w:p>
    <w:p>
      <w:pPr>
        <w:spacing w:line="360" w:lineRule="auto"/>
        <w:ind w:firstLine="2640" w:firstLineChars="1100"/>
        <w:rPr>
          <w:rFonts w:hint="eastAsia" w:ascii="宋体" w:hAnsi="宋体" w:eastAsia="宋体" w:cs="宋体"/>
          <w:color w:val="auto"/>
          <w:sz w:val="24"/>
          <w:szCs w:val="32"/>
          <w:highlight w:val="none"/>
          <w:lang w:val="zh-CN" w:eastAsia="zh-CN"/>
        </w:rPr>
      </w:pPr>
      <w:r>
        <w:rPr>
          <w:rFonts w:hint="eastAsia" w:ascii="宋体" w:hAnsi="宋体" w:eastAsia="宋体" w:cs="宋体"/>
          <w:color w:val="auto"/>
          <w:sz w:val="24"/>
          <w:szCs w:val="32"/>
          <w:highlight w:val="none"/>
          <w:lang w:val="zh-CN" w:eastAsia="zh-CN"/>
        </w:rPr>
        <w:t>法定代表人或</w:t>
      </w:r>
      <w:r>
        <w:rPr>
          <w:rFonts w:hint="eastAsia" w:ascii="宋体" w:hAnsi="宋体" w:cs="宋体"/>
          <w:color w:val="auto"/>
          <w:sz w:val="24"/>
          <w:szCs w:val="32"/>
          <w:highlight w:val="none"/>
          <w:lang w:val="zh-CN" w:eastAsia="zh-CN"/>
        </w:rPr>
        <w:t>授权委托代理人</w:t>
      </w:r>
      <w:r>
        <w:rPr>
          <w:rFonts w:hint="eastAsia" w:ascii="宋体" w:hAnsi="宋体" w:eastAsia="宋体" w:cs="宋体"/>
          <w:color w:val="auto"/>
          <w:sz w:val="24"/>
          <w:szCs w:val="32"/>
          <w:highlight w:val="none"/>
          <w:lang w:val="zh-CN" w:eastAsia="zh-CN"/>
        </w:rPr>
        <w:t>（签字）：</w:t>
      </w:r>
    </w:p>
    <w:p>
      <w:pPr>
        <w:spacing w:line="360" w:lineRule="auto"/>
        <w:ind w:firstLine="4560" w:firstLineChars="1900"/>
        <w:rPr>
          <w:rFonts w:hint="eastAsia" w:ascii="宋体" w:hAnsi="宋体" w:eastAsia="宋体" w:cs="宋体"/>
          <w:color w:val="auto"/>
          <w:sz w:val="24"/>
          <w:szCs w:val="32"/>
          <w:highlight w:val="none"/>
          <w:lang w:val="zh-CN" w:eastAsia="zh-CN"/>
        </w:rPr>
      </w:pPr>
      <w:r>
        <w:rPr>
          <w:rFonts w:hint="eastAsia" w:ascii="宋体" w:hAnsi="宋体" w:eastAsia="宋体" w:cs="宋体"/>
          <w:color w:val="auto"/>
          <w:sz w:val="24"/>
          <w:szCs w:val="32"/>
          <w:highlight w:val="none"/>
          <w:lang w:val="zh-CN" w:eastAsia="zh-CN"/>
        </w:rPr>
        <w:t>日期：</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eastAsia="zh-CN"/>
        </w:rPr>
        <w:t>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eastAsia="zh-CN"/>
        </w:rPr>
        <w:t>月</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eastAsia="zh-CN"/>
        </w:rPr>
        <w:t>日</w:t>
      </w:r>
    </w:p>
    <w:p>
      <w:pPr>
        <w:spacing w:line="360" w:lineRule="auto"/>
        <w:rPr>
          <w:rFonts w:hint="eastAsia" w:ascii="宋体" w:hAnsi="宋体" w:eastAsia="宋体" w:cs="宋体"/>
          <w:b/>
          <w:color w:val="auto"/>
          <w:sz w:val="28"/>
          <w:highlight w:val="none"/>
        </w:rPr>
      </w:pPr>
      <w:r>
        <w:rPr>
          <w:rFonts w:hint="eastAsia" w:ascii="宋体" w:hAnsi="宋体" w:eastAsia="宋体" w:cs="宋体"/>
          <w:b/>
          <w:color w:val="auto"/>
          <w:sz w:val="28"/>
          <w:highlight w:val="none"/>
        </w:rPr>
        <w:t>附件3                   授权委托书</w:t>
      </w:r>
    </w:p>
    <w:p>
      <w:pPr>
        <w:spacing w:line="360" w:lineRule="auto"/>
        <w:jc w:val="left"/>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u w:val="single"/>
          <w:lang w:val="en-US" w:eastAsia="zh-CN"/>
        </w:rPr>
        <w:t>浙江五石中正工程咨询有限公司</w:t>
      </w:r>
      <w:r>
        <w:rPr>
          <w:rFonts w:hint="eastAsia" w:ascii="宋体" w:hAnsi="宋体" w:eastAsia="宋体" w:cs="宋体"/>
          <w:color w:val="auto"/>
          <w:sz w:val="24"/>
          <w:szCs w:val="32"/>
          <w:highlight w:val="none"/>
          <w:lang w:val="en-US" w:eastAsia="zh-CN"/>
        </w:rPr>
        <w:t>（采购代理机构名称）：</w:t>
      </w:r>
    </w:p>
    <w:p>
      <w:pPr>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rPr>
        <w:t>（投标人全称）</w:t>
      </w:r>
      <w:r>
        <w:rPr>
          <w:rFonts w:hint="eastAsia" w:ascii="宋体" w:hAnsi="宋体" w:eastAsia="宋体" w:cs="宋体"/>
          <w:color w:val="auto"/>
          <w:sz w:val="24"/>
          <w:szCs w:val="32"/>
          <w:highlight w:val="none"/>
        </w:rPr>
        <w:t>法定代表人</w:t>
      </w:r>
      <w:r>
        <w:rPr>
          <w:rFonts w:hint="eastAsia" w:ascii="宋体" w:hAnsi="宋体" w:eastAsia="宋体" w:cs="宋体"/>
          <w:color w:val="auto"/>
          <w:sz w:val="24"/>
          <w:szCs w:val="32"/>
          <w:highlight w:val="none"/>
          <w:u w:val="none"/>
        </w:rPr>
        <w:t>（或营业执照中单位负责人）</w:t>
      </w:r>
      <w:r>
        <w:rPr>
          <w:rFonts w:hint="eastAsia" w:ascii="宋体" w:hAnsi="宋体" w:eastAsia="宋体" w:cs="宋体"/>
          <w:color w:val="auto"/>
          <w:sz w:val="24"/>
          <w:szCs w:val="32"/>
          <w:highlight w:val="none"/>
          <w:u w:val="single"/>
        </w:rPr>
        <w:tab/>
      </w:r>
      <w:r>
        <w:rPr>
          <w:rFonts w:hint="eastAsia" w:ascii="宋体" w:hAnsi="宋体" w:eastAsia="宋体" w:cs="宋体"/>
          <w:color w:val="auto"/>
          <w:sz w:val="24"/>
          <w:szCs w:val="32"/>
          <w:highlight w:val="none"/>
          <w:u w:val="single"/>
        </w:rPr>
        <w:t>（法定代表人或营业执照中单位负责人姓名）</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rPr>
        <w:t>授权</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u w:val="single"/>
        </w:rPr>
        <w:t>（</w:t>
      </w:r>
      <w:r>
        <w:rPr>
          <w:rFonts w:hint="eastAsia" w:ascii="宋体" w:hAnsi="宋体" w:eastAsia="宋体" w:cs="宋体"/>
          <w:color w:val="auto"/>
          <w:sz w:val="24"/>
          <w:szCs w:val="32"/>
          <w:highlight w:val="none"/>
          <w:u w:val="single"/>
          <w:lang w:val="en-US" w:eastAsia="zh-CN"/>
        </w:rPr>
        <w:t>授权委托代理人</w:t>
      </w:r>
      <w:r>
        <w:rPr>
          <w:rFonts w:hint="eastAsia" w:ascii="宋体" w:hAnsi="宋体" w:eastAsia="宋体" w:cs="宋体"/>
          <w:color w:val="auto"/>
          <w:sz w:val="24"/>
          <w:szCs w:val="32"/>
          <w:highlight w:val="none"/>
          <w:u w:val="single"/>
        </w:rPr>
        <w:t>姓名）</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rPr>
        <w:t>为</w:t>
      </w:r>
      <w:r>
        <w:rPr>
          <w:rFonts w:hint="eastAsia" w:ascii="宋体" w:hAnsi="宋体" w:eastAsia="宋体" w:cs="宋体"/>
          <w:color w:val="auto"/>
          <w:sz w:val="24"/>
          <w:szCs w:val="32"/>
          <w:highlight w:val="none"/>
          <w:lang w:val="en-US" w:eastAsia="zh-CN"/>
        </w:rPr>
        <w:t>授权委托代理人</w:t>
      </w:r>
      <w:r>
        <w:rPr>
          <w:rFonts w:hint="eastAsia" w:ascii="宋体" w:hAnsi="宋体" w:eastAsia="宋体" w:cs="宋体"/>
          <w:color w:val="auto"/>
          <w:sz w:val="24"/>
          <w:szCs w:val="32"/>
          <w:highlight w:val="none"/>
        </w:rPr>
        <w:t>，参加贵单位组织的</w:t>
      </w:r>
      <w:r>
        <w:rPr>
          <w:rFonts w:hint="eastAsia" w:ascii="宋体" w:hAnsi="宋体" w:eastAsia="宋体" w:cs="宋体"/>
          <w:color w:val="auto"/>
          <w:sz w:val="24"/>
          <w:szCs w:val="32"/>
          <w:highlight w:val="none"/>
          <w:u w:val="single"/>
          <w:lang w:val="en-US" w:eastAsia="zh-CN"/>
        </w:rPr>
        <w:t xml:space="preserve"> </w:t>
      </w:r>
      <w:r>
        <w:rPr>
          <w:rFonts w:hint="eastAsia" w:ascii="宋体" w:hAnsi="宋体" w:cs="宋体"/>
          <w:color w:val="auto"/>
          <w:sz w:val="24"/>
          <w:szCs w:val="32"/>
          <w:highlight w:val="none"/>
          <w:u w:val="single"/>
          <w:lang w:val="en-US" w:eastAsia="zh-CN"/>
        </w:rPr>
        <w:t>路桥区生态环境数字化监管系统项目</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rPr>
        <w:t>的采购活动，并代表我方全权办理针对上述项目的投标、开标、评标、签约等具体事务和签署相关文件。我方对授权委托代理人的</w:t>
      </w:r>
      <w:r>
        <w:rPr>
          <w:rFonts w:hint="eastAsia" w:ascii="宋体" w:hAnsi="宋体" w:eastAsia="宋体" w:cs="宋体"/>
          <w:color w:val="auto"/>
          <w:sz w:val="24"/>
          <w:szCs w:val="32"/>
          <w:highlight w:val="none"/>
          <w:lang w:eastAsia="zh-CN"/>
        </w:rPr>
        <w:t>签字</w:t>
      </w:r>
      <w:r>
        <w:rPr>
          <w:rFonts w:hint="eastAsia" w:ascii="宋体" w:hAnsi="宋体" w:eastAsia="宋体" w:cs="宋体"/>
          <w:color w:val="auto"/>
          <w:sz w:val="24"/>
          <w:szCs w:val="32"/>
          <w:highlight w:val="none"/>
        </w:rPr>
        <w:t>事项负全部责任。</w:t>
      </w:r>
    </w:p>
    <w:p>
      <w:pPr>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在撤销授权的书面通知以前，本授权书一直有效。授权委托代理人在授权委托书有效期内签署的所有文件不因授权的撤销而失效。</w:t>
      </w:r>
    </w:p>
    <w:p>
      <w:pPr>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授权委托代理人无转委托权，特此委托。</w:t>
      </w:r>
    </w:p>
    <w:p>
      <w:pPr>
        <w:spacing w:line="360" w:lineRule="auto"/>
        <w:ind w:firstLine="480" w:firstLineChars="200"/>
        <w:rPr>
          <w:rFonts w:hint="eastAsia" w:ascii="宋体" w:hAnsi="宋体" w:eastAsia="宋体" w:cs="宋体"/>
          <w:color w:val="auto"/>
          <w:sz w:val="24"/>
          <w:szCs w:val="32"/>
          <w:highlight w:val="none"/>
          <w:lang w:val="en-US" w:eastAsia="zh-CN"/>
        </w:rPr>
      </w:pPr>
    </w:p>
    <w:p>
      <w:pPr>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法定代表人签字或盖章：</w:t>
      </w:r>
    </w:p>
    <w:p>
      <w:pPr>
        <w:spacing w:line="360" w:lineRule="auto"/>
        <w:ind w:firstLine="480" w:firstLineChars="200"/>
        <w:rPr>
          <w:rFonts w:hint="eastAsia" w:ascii="宋体" w:hAnsi="宋体" w:eastAsia="宋体" w:cs="宋体"/>
          <w:color w:val="auto"/>
          <w:sz w:val="24"/>
          <w:szCs w:val="32"/>
          <w:highlight w:val="none"/>
          <w:lang w:val="en-US" w:eastAsia="zh-CN"/>
        </w:rPr>
      </w:pPr>
    </w:p>
    <w:p>
      <w:pPr>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 xml:space="preserve">投标人全称（公章）：                      </w:t>
      </w:r>
      <w:r>
        <w:rPr>
          <w:rFonts w:hint="eastAsia" w:ascii="宋体" w:hAnsi="宋体" w:eastAsia="宋体" w:cs="宋体"/>
          <w:color w:val="auto"/>
          <w:sz w:val="24"/>
          <w:szCs w:val="32"/>
          <w:highlight w:val="none"/>
          <w:lang w:val="zh-CN" w:eastAsia="zh-CN"/>
        </w:rPr>
        <w:t>日期：</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eastAsia="zh-CN"/>
        </w:rPr>
        <w:t>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eastAsia="zh-CN"/>
        </w:rPr>
        <w:t>月</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eastAsia="zh-CN"/>
        </w:rPr>
        <w:t>日</w:t>
      </w:r>
    </w:p>
    <w:p>
      <w:pPr>
        <w:spacing w:line="360" w:lineRule="auto"/>
        <w:ind w:firstLine="480" w:firstLineChars="200"/>
        <w:rPr>
          <w:rFonts w:hint="eastAsia" w:ascii="宋体" w:hAnsi="宋体" w:eastAsia="宋体" w:cs="宋体"/>
          <w:color w:val="auto"/>
          <w:sz w:val="24"/>
          <w:szCs w:val="32"/>
          <w:highlight w:val="none"/>
          <w:lang w:val="en-US" w:eastAsia="zh-CN"/>
        </w:rPr>
      </w:pPr>
    </w:p>
    <w:p>
      <w:pPr>
        <w:spacing w:line="360" w:lineRule="auto"/>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附：</w:t>
      </w: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法定代表身份证复印件粘帖处</w:t>
            </w:r>
          </w:p>
        </w:tc>
      </w:tr>
    </w:tbl>
    <w:p>
      <w:pPr>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法定代表人姓名：</w:t>
      </w:r>
    </w:p>
    <w:p>
      <w:pPr>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传真：</w:t>
      </w:r>
    </w:p>
    <w:p>
      <w:pPr>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手机：</w:t>
      </w:r>
    </w:p>
    <w:p>
      <w:pPr>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详细通讯地址：</w:t>
      </w:r>
    </w:p>
    <w:p>
      <w:pPr>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邮政编码：</w:t>
      </w:r>
    </w:p>
    <w:p>
      <w:pPr>
        <w:spacing w:line="360" w:lineRule="auto"/>
        <w:rPr>
          <w:rFonts w:hint="eastAsia" w:ascii="宋体" w:hAnsi="宋体" w:eastAsia="宋体" w:cs="宋体"/>
          <w:b/>
          <w:color w:val="auto"/>
          <w:sz w:val="24"/>
          <w:highlight w:val="none"/>
        </w:rPr>
      </w:pP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授权委托代理人</w:t>
            </w:r>
            <w:r>
              <w:rPr>
                <w:rFonts w:hint="eastAsia" w:ascii="宋体" w:hAnsi="宋体" w:eastAsia="宋体" w:cs="宋体"/>
                <w:b/>
                <w:color w:val="auto"/>
                <w:sz w:val="24"/>
                <w:highlight w:val="none"/>
              </w:rPr>
              <w:t>身份证复印件粘帖处</w:t>
            </w:r>
          </w:p>
        </w:tc>
      </w:tr>
    </w:tbl>
    <w:p>
      <w:pPr>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授权委托代理人姓名：</w:t>
      </w:r>
    </w:p>
    <w:p>
      <w:pPr>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职务：</w:t>
      </w:r>
    </w:p>
    <w:p>
      <w:pPr>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传真：</w:t>
      </w:r>
    </w:p>
    <w:p>
      <w:pPr>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手机：</w:t>
      </w:r>
    </w:p>
    <w:p>
      <w:pPr>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详细通讯地址：</w:t>
      </w:r>
    </w:p>
    <w:p>
      <w:pPr>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邮政编码：</w:t>
      </w:r>
    </w:p>
    <w:p>
      <w:pP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附件4　</w:t>
      </w:r>
      <w:r>
        <w:rPr>
          <w:rFonts w:hint="eastAsia" w:ascii="宋体" w:hAnsi="宋体" w:eastAsia="宋体" w:cs="宋体"/>
          <w:color w:val="auto"/>
          <w:sz w:val="30"/>
          <w:szCs w:val="30"/>
          <w:highlight w:val="none"/>
        </w:rPr>
        <w:t>　　</w:t>
      </w:r>
      <w:r>
        <w:rPr>
          <w:rFonts w:hint="eastAsia" w:ascii="宋体" w:hAnsi="宋体" w:eastAsia="宋体" w:cs="宋体"/>
          <w:color w:val="auto"/>
          <w:sz w:val="30"/>
          <w:szCs w:val="30"/>
          <w:highlight w:val="none"/>
          <w:lang w:val="en-US" w:eastAsia="zh-CN"/>
        </w:rPr>
        <w:t xml:space="preserve">                                       </w:t>
      </w:r>
      <w:r>
        <w:rPr>
          <w:rFonts w:hint="eastAsia" w:ascii="宋体" w:hAnsi="宋体" w:eastAsia="宋体" w:cs="宋体"/>
          <w:color w:val="auto"/>
          <w:sz w:val="30"/>
          <w:szCs w:val="30"/>
          <w:highlight w:val="none"/>
          <w:u w:val="single"/>
          <w:lang w:val="en-US" w:eastAsia="zh-CN"/>
        </w:rPr>
        <w:t xml:space="preserve">   </w:t>
      </w:r>
      <w:r>
        <w:rPr>
          <w:rFonts w:hint="eastAsia" w:ascii="宋体" w:hAnsi="宋体" w:eastAsia="宋体" w:cs="宋体"/>
          <w:bCs/>
          <w:color w:val="auto"/>
          <w:sz w:val="24"/>
          <w:highlight w:val="none"/>
        </w:rPr>
        <w:t>本</w:t>
      </w: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center"/>
        <w:rPr>
          <w:rFonts w:hint="eastAsia" w:ascii="宋体" w:hAnsi="宋体" w:eastAsia="宋体" w:cs="宋体"/>
          <w:color w:val="auto"/>
          <w:spacing w:val="40"/>
          <w:sz w:val="52"/>
          <w:szCs w:val="52"/>
          <w:highlight w:val="none"/>
        </w:rPr>
      </w:pPr>
      <w:r>
        <w:rPr>
          <w:rFonts w:hint="eastAsia" w:ascii="宋体" w:hAnsi="宋体" w:eastAsia="宋体" w:cs="宋体"/>
          <w:color w:val="auto"/>
          <w:spacing w:val="40"/>
          <w:sz w:val="52"/>
          <w:szCs w:val="52"/>
          <w:highlight w:val="none"/>
        </w:rPr>
        <w:t>项目名称</w:t>
      </w:r>
    </w:p>
    <w:p>
      <w:pPr>
        <w:bidi w:val="0"/>
        <w:spacing w:line="360"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项目编号：（标段）</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投</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标</w:t>
      </w:r>
    </w:p>
    <w:p>
      <w:pPr>
        <w:autoSpaceDE w:val="0"/>
        <w:autoSpaceDN w:val="0"/>
        <w:adjustRightInd w:val="0"/>
        <w:spacing w:line="360" w:lineRule="auto"/>
        <w:jc w:val="center"/>
        <w:rPr>
          <w:rFonts w:hint="eastAsia" w:ascii="宋体" w:hAnsi="宋体" w:eastAsia="宋体" w:cs="宋体"/>
          <w:color w:val="auto"/>
          <w:sz w:val="84"/>
          <w:szCs w:val="84"/>
          <w:highlight w:val="none"/>
        </w:rPr>
      </w:pPr>
      <w:r>
        <w:rPr>
          <w:rFonts w:hint="eastAsia" w:ascii="宋体" w:hAnsi="宋体" w:eastAsia="宋体" w:cs="宋体"/>
          <w:color w:val="auto"/>
          <w:sz w:val="84"/>
          <w:szCs w:val="84"/>
          <w:highlight w:val="none"/>
          <w:lang w:val="zh-CN"/>
        </w:rPr>
        <w:t>文</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件</w:t>
      </w:r>
    </w:p>
    <w:p>
      <w:pPr>
        <w:autoSpaceDE w:val="0"/>
        <w:autoSpaceDN w:val="0"/>
        <w:adjustRightInd w:val="0"/>
        <w:spacing w:line="360" w:lineRule="auto"/>
        <w:jc w:val="center"/>
        <w:rPr>
          <w:rFonts w:hint="eastAsia" w:ascii="宋体" w:hAnsi="宋体" w:eastAsia="宋体" w:cs="宋体"/>
          <w:b w:val="0"/>
          <w:bCs w:val="0"/>
          <w:color w:val="auto"/>
          <w:spacing w:val="40"/>
          <w:sz w:val="28"/>
          <w:szCs w:val="28"/>
          <w:highlight w:val="none"/>
        </w:rPr>
      </w:pPr>
      <w:r>
        <w:rPr>
          <w:rFonts w:hint="eastAsia" w:ascii="宋体" w:hAnsi="宋体" w:eastAsia="宋体" w:cs="宋体"/>
          <w:b w:val="0"/>
          <w:bCs w:val="0"/>
          <w:color w:val="auto"/>
          <w:sz w:val="28"/>
          <w:szCs w:val="28"/>
          <w:highlight w:val="none"/>
          <w:lang w:val="zh-CN"/>
        </w:rPr>
        <w:t>（商务与技术文件</w:t>
      </w:r>
      <w:r>
        <w:rPr>
          <w:rFonts w:hint="eastAsia" w:ascii="宋体" w:hAnsi="宋体" w:eastAsia="宋体" w:cs="宋体"/>
          <w:b w:val="0"/>
          <w:bCs w:val="0"/>
          <w:color w:val="auto"/>
          <w:spacing w:val="40"/>
          <w:sz w:val="28"/>
          <w:szCs w:val="28"/>
          <w:highlight w:val="none"/>
        </w:rPr>
        <w:t>）</w:t>
      </w:r>
    </w:p>
    <w:p>
      <w:pPr>
        <w:autoSpaceDE w:val="0"/>
        <w:autoSpaceDN w:val="0"/>
        <w:adjustRightInd w:val="0"/>
        <w:spacing w:line="360" w:lineRule="auto"/>
        <w:jc w:val="both"/>
        <w:rPr>
          <w:rFonts w:hint="eastAsia" w:ascii="宋体" w:hAnsi="宋体" w:eastAsia="宋体" w:cs="宋体"/>
          <w:color w:val="auto"/>
          <w:sz w:val="36"/>
          <w:szCs w:val="36"/>
          <w:highlight w:val="none"/>
        </w:rPr>
      </w:pPr>
    </w:p>
    <w:p>
      <w:pPr>
        <w:autoSpaceDE w:val="0"/>
        <w:autoSpaceDN w:val="0"/>
        <w:adjustRightInd w:val="0"/>
        <w:spacing w:line="360" w:lineRule="auto"/>
        <w:jc w:val="both"/>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投标人全称（公章）：</w:t>
      </w:r>
    </w:p>
    <w:p>
      <w:pPr>
        <w:autoSpaceDE w:val="0"/>
        <w:autoSpaceDN w:val="0"/>
        <w:adjustRightInd w:val="0"/>
        <w:spacing w:line="360" w:lineRule="auto"/>
        <w:jc w:val="both"/>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地址：</w:t>
      </w:r>
    </w:p>
    <w:p>
      <w:pPr>
        <w:autoSpaceDE w:val="0"/>
        <w:autoSpaceDN w:val="0"/>
        <w:adjustRightInd w:val="0"/>
        <w:spacing w:line="360" w:lineRule="auto"/>
        <w:jc w:val="both"/>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时间：</w:t>
      </w: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center"/>
        <w:rPr>
          <w:rFonts w:hint="eastAsia" w:ascii="宋体" w:hAnsi="宋体" w:eastAsia="宋体" w:cs="宋体"/>
          <w:b/>
          <w:bCs/>
          <w:color w:val="auto"/>
          <w:sz w:val="32"/>
          <w:szCs w:val="40"/>
          <w:highlight w:val="none"/>
        </w:rPr>
      </w:pPr>
      <w:r>
        <w:rPr>
          <w:rFonts w:hint="eastAsia" w:ascii="宋体" w:hAnsi="宋体" w:eastAsia="宋体" w:cs="宋体"/>
          <w:b/>
          <w:bCs/>
          <w:color w:val="auto"/>
          <w:sz w:val="32"/>
          <w:szCs w:val="40"/>
          <w:highlight w:val="none"/>
          <w:lang w:val="zh-CN"/>
        </w:rPr>
        <w:t>商务与技术文件</w:t>
      </w:r>
      <w:r>
        <w:rPr>
          <w:rFonts w:hint="eastAsia" w:ascii="宋体" w:hAnsi="宋体" w:eastAsia="宋体" w:cs="宋体"/>
          <w:b/>
          <w:bCs/>
          <w:color w:val="auto"/>
          <w:sz w:val="32"/>
          <w:szCs w:val="40"/>
          <w:highlight w:val="none"/>
        </w:rPr>
        <w:t>目录</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（1）投标人情况介绍（人员与技术力量、经营业绩等）。</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（2）投标方案描述：</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B.项目组织实施方案（包括项目工期、确保项目供货的措施或方案、项目实施进度安排、项目实施人员及项目负责人的资质、类似经验及社保证明等）。</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C.安装、调试及验收方案（包括项目验收标准和验收方法等）和措施；</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（3）投标产品描述及相关资料：</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A.设备配置清单</w:t>
      </w:r>
      <w:r>
        <w:rPr>
          <w:rFonts w:hint="eastAsia" w:ascii="宋体" w:hAnsi="宋体" w:eastAsia="宋体" w:cs="宋体"/>
          <w:b/>
          <w:bCs/>
          <w:color w:val="auto"/>
          <w:sz w:val="28"/>
          <w:szCs w:val="28"/>
          <w:highlight w:val="none"/>
          <w:lang w:eastAsia="zh-CN"/>
        </w:rPr>
        <w:t>（均不含报价）</w:t>
      </w:r>
      <w:r>
        <w:rPr>
          <w:rFonts w:hint="eastAsia" w:ascii="宋体" w:hAnsi="宋体" w:eastAsia="宋体" w:cs="宋体"/>
          <w:b w:val="0"/>
          <w:bCs w:val="0"/>
          <w:color w:val="auto"/>
          <w:sz w:val="28"/>
          <w:szCs w:val="28"/>
          <w:highlight w:val="none"/>
          <w:lang w:eastAsia="zh-CN"/>
        </w:rPr>
        <w:t>。</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B.产品品牌及型号、技术参数指标、性能特点、图片资料以及所遵循的技术规范、产品质保期、出厂标准、产品质量相关检测报告等内容。</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C.商务及技术响应表。</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【特别提示：节能和环境标志产品最新一期政府采购清单，可在“中国政府采购网”中查看】</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（4）投标人通过的质量管理和质量保证体系、环保体系、自主创新相关证书、软件著作权证等等与本项目相关的认证证书或文件；</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（5）近三年来类似项目的成功案例；</w:t>
      </w:r>
    </w:p>
    <w:p>
      <w:pPr>
        <w:bidi w:val="0"/>
        <w:spacing w:line="360" w:lineRule="auto"/>
        <w:ind w:firstLine="560" w:firstLineChars="200"/>
        <w:rPr>
          <w:rFonts w:hint="eastAsia" w:ascii="宋体" w:hAnsi="宋体" w:eastAsia="宋体" w:cs="宋体"/>
          <w:b w:val="0"/>
          <w:bCs w:val="0"/>
          <w:color w:val="auto"/>
          <w:sz w:val="28"/>
          <w:szCs w:val="28"/>
          <w:highlight w:val="none"/>
          <w:lang w:val="zh-CN" w:eastAsia="zh-CN"/>
        </w:rPr>
      </w:pPr>
      <w:r>
        <w:rPr>
          <w:rFonts w:hint="eastAsia" w:ascii="宋体" w:hAnsi="宋体" w:eastAsia="宋体" w:cs="宋体"/>
          <w:b w:val="0"/>
          <w:bCs w:val="0"/>
          <w:color w:val="auto"/>
          <w:sz w:val="28"/>
          <w:szCs w:val="28"/>
          <w:highlight w:val="none"/>
          <w:lang w:eastAsia="zh-CN"/>
        </w:rPr>
        <w:t>（6）投标人认为需要提供的其他资料（包括可能影响投标人商务与技术文件评分的各类证明材料）。</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（7）售后服务描述及承诺：</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A.距采购人最近的服务网点详细介绍（包括地理位置、资质资格、技术力量、工作业绩、服务内容及联系电话等）。</w:t>
      </w:r>
    </w:p>
    <w:p>
      <w:pPr>
        <w:bidi w:val="0"/>
        <w:spacing w:line="360" w:lineRule="auto"/>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B.针对本项目的售后服务措施及承诺（售后技术服务方案、人员配备、故障响应时间、技术培训方案等）。</w:t>
      </w: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rPr>
          <w:rFonts w:hint="eastAsia" w:ascii="宋体" w:hAnsi="宋体" w:eastAsia="宋体" w:cs="宋体"/>
          <w:b/>
          <w:bCs/>
          <w:color w:val="auto"/>
          <w:sz w:val="28"/>
          <w:szCs w:val="36"/>
          <w:highlight w:val="none"/>
          <w:lang w:val="zh-CN"/>
        </w:rPr>
      </w:pPr>
    </w:p>
    <w:p>
      <w:pPr>
        <w:rPr>
          <w:rFonts w:hint="eastAsia" w:ascii="宋体" w:hAnsi="宋体" w:eastAsia="宋体" w:cs="宋体"/>
          <w:b/>
          <w:bCs/>
          <w:color w:val="auto"/>
          <w:sz w:val="28"/>
          <w:szCs w:val="36"/>
          <w:highlight w:val="none"/>
          <w:lang w:val="zh-CN"/>
        </w:rPr>
      </w:pPr>
    </w:p>
    <w:p>
      <w:pPr>
        <w:rPr>
          <w:rFonts w:hint="eastAsia" w:ascii="宋体" w:hAnsi="宋体" w:eastAsia="宋体" w:cs="宋体"/>
          <w:b/>
          <w:bCs/>
          <w:color w:val="auto"/>
          <w:sz w:val="28"/>
          <w:szCs w:val="36"/>
          <w:highlight w:val="none"/>
          <w:lang w:val="zh-CN"/>
        </w:rPr>
      </w:pPr>
    </w:p>
    <w:p>
      <w:pPr>
        <w:rPr>
          <w:rFonts w:hint="eastAsia" w:ascii="宋体" w:hAnsi="宋体" w:eastAsia="宋体" w:cs="宋体"/>
          <w:b/>
          <w:bCs/>
          <w:color w:val="auto"/>
          <w:sz w:val="28"/>
          <w:szCs w:val="36"/>
          <w:highlight w:val="none"/>
          <w:lang w:val="zh-CN"/>
        </w:rPr>
      </w:pPr>
    </w:p>
    <w:p>
      <w:pPr>
        <w:rPr>
          <w:rFonts w:hint="eastAsia" w:ascii="宋体" w:hAnsi="宋体" w:eastAsia="宋体" w:cs="宋体"/>
          <w:b/>
          <w:bCs/>
          <w:color w:val="auto"/>
          <w:sz w:val="28"/>
          <w:szCs w:val="36"/>
          <w:highlight w:val="none"/>
          <w:lang w:val="zh-CN"/>
        </w:rPr>
      </w:pPr>
    </w:p>
    <w:p>
      <w:pPr>
        <w:rPr>
          <w:rFonts w:hint="eastAsia" w:ascii="宋体" w:hAnsi="宋体" w:eastAsia="宋体" w:cs="宋体"/>
          <w:b/>
          <w:bCs/>
          <w:color w:val="auto"/>
          <w:sz w:val="28"/>
          <w:szCs w:val="36"/>
          <w:highlight w:val="none"/>
          <w:lang w:val="zh-CN"/>
        </w:rPr>
      </w:pPr>
    </w:p>
    <w:p>
      <w:pPr>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lang w:val="zh-CN"/>
        </w:rPr>
        <w:t>附件5</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投标人基本情况表</w:t>
      </w:r>
    </w:p>
    <w:tbl>
      <w:tblPr>
        <w:tblStyle w:val="27"/>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880" w:type="dxa"/>
            <w:shd w:val="clear" w:color="auto" w:fill="auto"/>
            <w:vAlign w:val="center"/>
          </w:tcPr>
          <w:p>
            <w:pPr>
              <w:pStyle w:val="50"/>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企业名称</w:t>
            </w:r>
          </w:p>
        </w:tc>
        <w:tc>
          <w:tcPr>
            <w:tcW w:w="3765" w:type="dxa"/>
            <w:gridSpan w:val="6"/>
            <w:shd w:val="clear" w:color="auto" w:fill="auto"/>
            <w:vAlign w:val="center"/>
          </w:tcPr>
          <w:p>
            <w:pPr>
              <w:pStyle w:val="50"/>
              <w:shd w:val="clear" w:color="auto" w:fill="FFFFFF"/>
              <w:spacing w:line="360" w:lineRule="auto"/>
              <w:jc w:val="both"/>
              <w:rPr>
                <w:rFonts w:hint="eastAsia" w:ascii="宋体" w:hAnsi="宋体" w:eastAsia="宋体" w:cs="宋体"/>
                <w:bCs/>
                <w:color w:val="auto"/>
                <w:sz w:val="24"/>
                <w:szCs w:val="24"/>
                <w:highlight w:val="none"/>
              </w:rPr>
            </w:pPr>
          </w:p>
        </w:tc>
        <w:tc>
          <w:tcPr>
            <w:tcW w:w="1560" w:type="dxa"/>
            <w:shd w:val="clear" w:color="auto" w:fill="auto"/>
            <w:vAlign w:val="center"/>
          </w:tcPr>
          <w:p>
            <w:pPr>
              <w:pStyle w:val="50"/>
              <w:shd w:val="clear" w:color="auto" w:fill="FFFFFF"/>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法人代表</w:t>
            </w:r>
          </w:p>
        </w:tc>
        <w:tc>
          <w:tcPr>
            <w:tcW w:w="2608" w:type="dxa"/>
            <w:gridSpan w:val="3"/>
            <w:shd w:val="clear" w:color="auto" w:fill="auto"/>
            <w:vAlign w:val="center"/>
          </w:tcPr>
          <w:p>
            <w:pPr>
              <w:pStyle w:val="50"/>
              <w:shd w:val="clear" w:color="auto" w:fill="FFFFFF"/>
              <w:spacing w:line="360" w:lineRule="auto"/>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880" w:type="dxa"/>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地址</w:t>
            </w:r>
          </w:p>
        </w:tc>
        <w:tc>
          <w:tcPr>
            <w:tcW w:w="3765" w:type="dxa"/>
            <w:gridSpan w:val="6"/>
            <w:tcBorders>
              <w:bottom w:val="single" w:color="auto" w:sz="4" w:space="0"/>
            </w:tcBorders>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0"/>
              <w:shd w:val="clear" w:color="auto" w:fill="FFFFFF"/>
              <w:spacing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企业性质</w:t>
            </w:r>
          </w:p>
        </w:tc>
        <w:tc>
          <w:tcPr>
            <w:tcW w:w="2608" w:type="dxa"/>
            <w:gridSpan w:val="3"/>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80" w:type="dxa"/>
            <w:tcBorders>
              <w:bottom w:val="single" w:color="auto" w:sz="4" w:space="0"/>
            </w:tcBorders>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股东姓名</w:t>
            </w:r>
          </w:p>
        </w:tc>
        <w:tc>
          <w:tcPr>
            <w:tcW w:w="690" w:type="dxa"/>
            <w:tcBorders>
              <w:bottom w:val="single" w:color="auto" w:sz="4" w:space="0"/>
            </w:tcBorders>
            <w:shd w:val="clear" w:color="auto" w:fill="auto"/>
            <w:vAlign w:val="center"/>
          </w:tcPr>
          <w:p>
            <w:pPr>
              <w:pStyle w:val="50"/>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rPr>
            </w:pPr>
          </w:p>
        </w:tc>
        <w:tc>
          <w:tcPr>
            <w:tcW w:w="960" w:type="dxa"/>
            <w:gridSpan w:val="2"/>
            <w:tcBorders>
              <w:bottom w:val="single" w:color="auto" w:sz="4" w:space="0"/>
            </w:tcBorders>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股权结构（%）</w:t>
            </w:r>
          </w:p>
        </w:tc>
        <w:tc>
          <w:tcPr>
            <w:tcW w:w="2115" w:type="dxa"/>
            <w:gridSpan w:val="3"/>
            <w:tcBorders>
              <w:bottom w:val="single" w:color="auto" w:sz="4" w:space="0"/>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0"/>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0"/>
              <w:shd w:val="clear" w:color="auto" w:fill="FFFFFF"/>
              <w:spacing w:line="360" w:lineRule="auto"/>
              <w:ind w:left="107"/>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股东关系</w:t>
            </w:r>
          </w:p>
        </w:tc>
        <w:tc>
          <w:tcPr>
            <w:tcW w:w="2608" w:type="dxa"/>
            <w:gridSpan w:val="3"/>
            <w:shd w:val="clear" w:color="auto" w:fill="auto"/>
            <w:vAlign w:val="center"/>
          </w:tcPr>
          <w:p>
            <w:pPr>
              <w:pStyle w:val="50"/>
              <w:shd w:val="clear" w:color="auto" w:fill="FFFFFF"/>
              <w:spacing w:line="360" w:lineRule="auto"/>
              <w:ind w:left="107"/>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880" w:type="dxa"/>
            <w:vMerge w:val="restart"/>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2"/>
                <w:sz w:val="24"/>
                <w:szCs w:val="24"/>
                <w:highlight w:val="none"/>
              </w:rPr>
              <w:t>联系人</w:t>
            </w:r>
            <w:r>
              <w:rPr>
                <w:rFonts w:hint="eastAsia" w:ascii="宋体" w:hAnsi="宋体" w:eastAsia="宋体" w:cs="宋体"/>
                <w:bCs/>
                <w:color w:val="auto"/>
                <w:spacing w:val="27"/>
                <w:sz w:val="24"/>
                <w:szCs w:val="24"/>
                <w:highlight w:val="none"/>
              </w:rPr>
              <w:t>姓名</w:t>
            </w:r>
          </w:p>
        </w:tc>
        <w:tc>
          <w:tcPr>
            <w:tcW w:w="690" w:type="dxa"/>
            <w:vMerge w:val="restart"/>
            <w:tcBorders>
              <w:top w:val="nil"/>
            </w:tcBorders>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p>
        </w:tc>
        <w:tc>
          <w:tcPr>
            <w:tcW w:w="960" w:type="dxa"/>
            <w:gridSpan w:val="2"/>
            <w:tcBorders>
              <w:top w:val="nil"/>
              <w:bottom w:val="single" w:color="auto" w:sz="4" w:space="0"/>
            </w:tcBorders>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固定电话</w:t>
            </w:r>
          </w:p>
        </w:tc>
        <w:tc>
          <w:tcPr>
            <w:tcW w:w="2115" w:type="dxa"/>
            <w:gridSpan w:val="3"/>
            <w:tcBorders>
              <w:top w:val="nil"/>
              <w:bottom w:val="single" w:color="auto" w:sz="4" w:space="0"/>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0"/>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vMerge w:val="restart"/>
            <w:shd w:val="clear" w:color="auto" w:fill="auto"/>
            <w:vAlign w:val="center"/>
          </w:tcPr>
          <w:p>
            <w:pPr>
              <w:pStyle w:val="50"/>
              <w:shd w:val="clear" w:color="auto" w:fill="FFFFFF"/>
              <w:spacing w:before="0" w:beforeAutospacing="0" w:after="0" w:afterAutospacing="0"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传真</w:t>
            </w:r>
          </w:p>
        </w:tc>
        <w:tc>
          <w:tcPr>
            <w:tcW w:w="2608" w:type="dxa"/>
            <w:gridSpan w:val="3"/>
            <w:vMerge w:val="restart"/>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9" w:hRule="atLeast"/>
        </w:trPr>
        <w:tc>
          <w:tcPr>
            <w:tcW w:w="880" w:type="dxa"/>
            <w:vMerge w:val="continue"/>
            <w:tcBorders>
              <w:bottom w:val="single" w:color="auto" w:sz="4" w:space="0"/>
            </w:tcBorders>
            <w:shd w:val="clear" w:color="auto" w:fill="auto"/>
            <w:vAlign w:val="center"/>
          </w:tcPr>
          <w:p>
            <w:pPr>
              <w:pStyle w:val="50"/>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vMerge w:val="continue"/>
            <w:tcBorders>
              <w:bottom w:val="single" w:color="auto" w:sz="4" w:space="0"/>
            </w:tcBorders>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p>
        </w:tc>
        <w:tc>
          <w:tcPr>
            <w:tcW w:w="960" w:type="dxa"/>
            <w:gridSpan w:val="2"/>
            <w:tcBorders>
              <w:bottom w:val="single" w:color="auto" w:sz="4" w:space="0"/>
            </w:tcBorders>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手机</w:t>
            </w:r>
          </w:p>
        </w:tc>
        <w:tc>
          <w:tcPr>
            <w:tcW w:w="2115" w:type="dxa"/>
            <w:gridSpan w:val="3"/>
            <w:tcBorders>
              <w:bottom w:val="single" w:color="auto" w:sz="4" w:space="0"/>
            </w:tcBorders>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vMerge w:val="continue"/>
            <w:shd w:val="clear" w:color="auto" w:fill="auto"/>
            <w:vAlign w:val="center"/>
          </w:tcPr>
          <w:p>
            <w:pPr>
              <w:pStyle w:val="50"/>
              <w:shd w:val="clear" w:color="auto" w:fill="FFFFFF"/>
              <w:spacing w:line="360" w:lineRule="auto"/>
              <w:jc w:val="center"/>
              <w:rPr>
                <w:rFonts w:hint="eastAsia" w:ascii="宋体" w:hAnsi="宋体" w:eastAsia="宋体" w:cs="宋体"/>
                <w:bCs/>
                <w:color w:val="auto"/>
                <w:spacing w:val="16"/>
                <w:sz w:val="24"/>
                <w:szCs w:val="24"/>
                <w:highlight w:val="none"/>
              </w:rPr>
            </w:pPr>
          </w:p>
        </w:tc>
        <w:tc>
          <w:tcPr>
            <w:tcW w:w="2608" w:type="dxa"/>
            <w:gridSpan w:val="3"/>
            <w:vMerge w:val="continue"/>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87" w:hRule="atLeast"/>
        </w:trPr>
        <w:tc>
          <w:tcPr>
            <w:tcW w:w="880" w:type="dxa"/>
            <w:vMerge w:val="restart"/>
            <w:shd w:val="clear" w:color="auto" w:fill="auto"/>
            <w:vAlign w:val="center"/>
          </w:tcPr>
          <w:p>
            <w:pPr>
              <w:pStyle w:val="50"/>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p>
            <w:pPr>
              <w:pStyle w:val="50"/>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企</w:t>
            </w:r>
          </w:p>
          <w:p>
            <w:pPr>
              <w:pStyle w:val="50"/>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业</w:t>
            </w:r>
          </w:p>
          <w:p>
            <w:pPr>
              <w:pStyle w:val="50"/>
              <w:shd w:val="clear" w:color="auto" w:fill="FFFFFF"/>
              <w:spacing w:line="360" w:lineRule="auto"/>
              <w:ind w:left="107"/>
              <w:jc w:val="both"/>
              <w:rPr>
                <w:rFonts w:hint="eastAsia" w:ascii="宋体" w:hAnsi="宋体" w:eastAsia="宋体" w:cs="宋体"/>
                <w:bCs/>
                <w:color w:val="auto"/>
                <w:spacing w:val="27"/>
                <w:sz w:val="24"/>
                <w:szCs w:val="24"/>
                <w:highlight w:val="none"/>
              </w:rPr>
            </w:pPr>
            <w:r>
              <w:rPr>
                <w:rFonts w:hint="eastAsia" w:ascii="宋体" w:hAnsi="宋体" w:eastAsia="宋体" w:cs="宋体"/>
                <w:bCs/>
                <w:color w:val="auto"/>
                <w:spacing w:val="27"/>
                <w:sz w:val="24"/>
                <w:szCs w:val="24"/>
                <w:highlight w:val="none"/>
              </w:rPr>
              <w:t>概</w:t>
            </w:r>
          </w:p>
          <w:p>
            <w:pPr>
              <w:pStyle w:val="50"/>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况</w:t>
            </w:r>
          </w:p>
        </w:tc>
        <w:tc>
          <w:tcPr>
            <w:tcW w:w="690" w:type="dxa"/>
            <w:tcBorders>
              <w:top w:val="nil"/>
            </w:tcBorders>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职工人数</w:t>
            </w:r>
          </w:p>
        </w:tc>
        <w:tc>
          <w:tcPr>
            <w:tcW w:w="960" w:type="dxa"/>
            <w:gridSpan w:val="2"/>
            <w:tcBorders>
              <w:top w:val="nil"/>
            </w:tcBorders>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p>
        </w:tc>
        <w:tc>
          <w:tcPr>
            <w:tcW w:w="926" w:type="dxa"/>
            <w:tcBorders>
              <w:top w:val="nil"/>
            </w:tcBorders>
            <w:shd w:val="clear" w:color="auto" w:fill="auto"/>
            <w:vAlign w:val="center"/>
          </w:tcPr>
          <w:p>
            <w:pPr>
              <w:pStyle w:val="50"/>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8"/>
                <w:sz w:val="24"/>
                <w:szCs w:val="24"/>
                <w:highlight w:val="none"/>
              </w:rPr>
              <w:t>具备大专以</w:t>
            </w:r>
            <w:r>
              <w:rPr>
                <w:rFonts w:hint="eastAsia" w:ascii="宋体" w:hAnsi="宋体" w:eastAsia="宋体" w:cs="宋体"/>
                <w:bCs/>
                <w:color w:val="auto"/>
                <w:spacing w:val="12"/>
                <w:sz w:val="24"/>
                <w:szCs w:val="24"/>
                <w:highlight w:val="none"/>
              </w:rPr>
              <w:t>上学历人数</w:t>
            </w:r>
          </w:p>
        </w:tc>
        <w:tc>
          <w:tcPr>
            <w:tcW w:w="1189" w:type="dxa"/>
            <w:gridSpan w:val="2"/>
            <w:tcBorders>
              <w:top w:val="nil"/>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widowControl/>
              <w:spacing w:line="360" w:lineRule="auto"/>
              <w:jc w:val="both"/>
              <w:rPr>
                <w:rFonts w:hint="eastAsia" w:ascii="宋体" w:hAnsi="宋体" w:eastAsia="宋体" w:cs="宋体"/>
                <w:bCs/>
                <w:color w:val="auto"/>
                <w:spacing w:val="16"/>
                <w:kern w:val="0"/>
                <w:sz w:val="24"/>
                <w:szCs w:val="24"/>
                <w:highlight w:val="none"/>
              </w:rPr>
            </w:pPr>
          </w:p>
          <w:p>
            <w:pPr>
              <w:pStyle w:val="50"/>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0"/>
              <w:shd w:val="clear" w:color="auto" w:fill="FFFFFF"/>
              <w:spacing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65"/>
                <w:sz w:val="24"/>
                <w:szCs w:val="24"/>
                <w:highlight w:val="none"/>
              </w:rPr>
              <w:t>国家授予技</w:t>
            </w:r>
            <w:r>
              <w:rPr>
                <w:rFonts w:hint="eastAsia" w:ascii="宋体" w:hAnsi="宋体" w:eastAsia="宋体" w:cs="宋体"/>
                <w:bCs/>
                <w:color w:val="auto"/>
                <w:spacing w:val="12"/>
                <w:sz w:val="24"/>
                <w:szCs w:val="24"/>
                <w:highlight w:val="none"/>
              </w:rPr>
              <w:t>术职称人数</w:t>
            </w:r>
          </w:p>
        </w:tc>
        <w:tc>
          <w:tcPr>
            <w:tcW w:w="2608" w:type="dxa"/>
            <w:gridSpan w:val="3"/>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0"/>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12" w:hRule="atLeast"/>
        </w:trPr>
        <w:tc>
          <w:tcPr>
            <w:tcW w:w="880" w:type="dxa"/>
            <w:vMerge w:val="continue"/>
            <w:shd w:val="clear" w:color="auto" w:fill="auto"/>
            <w:vAlign w:val="center"/>
          </w:tcPr>
          <w:p>
            <w:pPr>
              <w:pStyle w:val="50"/>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0"/>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占地面积</w:t>
            </w:r>
          </w:p>
        </w:tc>
        <w:tc>
          <w:tcPr>
            <w:tcW w:w="960" w:type="dxa"/>
            <w:gridSpan w:val="2"/>
            <w:shd w:val="clear" w:color="auto" w:fill="auto"/>
            <w:vAlign w:val="center"/>
          </w:tcPr>
          <w:p>
            <w:pPr>
              <w:pStyle w:val="50"/>
              <w:shd w:val="clear" w:color="auto" w:fill="FFFFFF"/>
              <w:spacing w:line="360" w:lineRule="auto"/>
              <w:jc w:val="both"/>
              <w:rPr>
                <w:rFonts w:hint="eastAsia" w:ascii="宋体" w:hAnsi="宋体" w:eastAsia="宋体" w:cs="宋体"/>
                <w:bCs/>
                <w:color w:val="auto"/>
                <w:sz w:val="24"/>
                <w:szCs w:val="24"/>
                <w:highlight w:val="none"/>
              </w:rPr>
            </w:pPr>
          </w:p>
        </w:tc>
        <w:tc>
          <w:tcPr>
            <w:tcW w:w="926" w:type="dxa"/>
            <w:shd w:val="clear" w:color="auto" w:fill="auto"/>
            <w:vAlign w:val="center"/>
          </w:tcPr>
          <w:p>
            <w:pPr>
              <w:pStyle w:val="50"/>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建筑面积</w:t>
            </w:r>
          </w:p>
        </w:tc>
        <w:tc>
          <w:tcPr>
            <w:tcW w:w="1189" w:type="dxa"/>
            <w:gridSpan w:val="2"/>
            <w:shd w:val="clear" w:color="auto" w:fill="auto"/>
            <w:vAlign w:val="center"/>
          </w:tcPr>
          <w:p>
            <w:pPr>
              <w:pStyle w:val="50"/>
              <w:shd w:val="clear" w:color="auto" w:fill="FFFFFF"/>
              <w:spacing w:line="360" w:lineRule="auto"/>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平方米</w:t>
            </w:r>
          </w:p>
          <w:p>
            <w:pPr>
              <w:pStyle w:val="50"/>
              <w:shd w:val="clear" w:color="auto" w:fill="FFFFFF"/>
              <w:spacing w:line="360" w:lineRule="auto"/>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pacing w:val="16"/>
                <w:sz w:val="24"/>
                <w:szCs w:val="24"/>
                <w:highlight w:val="none"/>
              </w:rPr>
              <w:t>□自有□租</w:t>
            </w:r>
            <w:r>
              <w:rPr>
                <w:rFonts w:hint="eastAsia" w:ascii="宋体" w:hAnsi="宋体" w:eastAsia="宋体" w:cs="宋体"/>
                <w:bCs/>
                <w:color w:val="auto"/>
                <w:spacing w:val="16"/>
                <w:sz w:val="24"/>
                <w:szCs w:val="24"/>
                <w:highlight w:val="none"/>
                <w:lang w:eastAsia="zh-CN"/>
              </w:rPr>
              <w:t>赁</w:t>
            </w:r>
          </w:p>
        </w:tc>
        <w:tc>
          <w:tcPr>
            <w:tcW w:w="1560" w:type="dxa"/>
            <w:shd w:val="clear" w:color="auto" w:fill="auto"/>
            <w:vAlign w:val="center"/>
          </w:tcPr>
          <w:p>
            <w:pPr>
              <w:pStyle w:val="50"/>
              <w:shd w:val="clear" w:color="auto" w:fill="FFFFFF"/>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生产经营场所及场所的设施与设备</w:t>
            </w:r>
          </w:p>
        </w:tc>
        <w:tc>
          <w:tcPr>
            <w:tcW w:w="2608" w:type="dxa"/>
            <w:gridSpan w:val="3"/>
            <w:shd w:val="clear" w:color="auto" w:fill="auto"/>
            <w:vAlign w:val="center"/>
          </w:tcPr>
          <w:p>
            <w:pPr>
              <w:pStyle w:val="50"/>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4" w:hRule="atLeast"/>
        </w:trPr>
        <w:tc>
          <w:tcPr>
            <w:tcW w:w="880" w:type="dxa"/>
            <w:vMerge w:val="continue"/>
            <w:shd w:val="clear" w:color="auto" w:fill="auto"/>
            <w:vAlign w:val="center"/>
          </w:tcPr>
          <w:p>
            <w:pPr>
              <w:pStyle w:val="50"/>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0"/>
              <w:shd w:val="clear" w:color="auto" w:fill="FFFFFF"/>
              <w:spacing w:line="360" w:lineRule="auto"/>
              <w:ind w:left="2"/>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注册资金</w:t>
            </w:r>
          </w:p>
        </w:tc>
        <w:tc>
          <w:tcPr>
            <w:tcW w:w="960" w:type="dxa"/>
            <w:gridSpan w:val="2"/>
            <w:shd w:val="clear" w:color="auto" w:fill="auto"/>
            <w:vAlign w:val="center"/>
          </w:tcPr>
          <w:p>
            <w:pPr>
              <w:pStyle w:val="50"/>
              <w:shd w:val="clear" w:color="auto" w:fill="FFFFFF"/>
              <w:spacing w:line="360" w:lineRule="auto"/>
              <w:ind w:left="2"/>
              <w:jc w:val="both"/>
              <w:rPr>
                <w:rFonts w:hint="eastAsia" w:ascii="宋体" w:hAnsi="宋体" w:eastAsia="宋体" w:cs="宋体"/>
                <w:bCs/>
                <w:color w:val="auto"/>
                <w:sz w:val="24"/>
                <w:szCs w:val="24"/>
                <w:highlight w:val="none"/>
              </w:rPr>
            </w:pPr>
          </w:p>
        </w:tc>
        <w:tc>
          <w:tcPr>
            <w:tcW w:w="926" w:type="dxa"/>
            <w:shd w:val="clear" w:color="auto" w:fill="auto"/>
            <w:vAlign w:val="center"/>
          </w:tcPr>
          <w:p>
            <w:pPr>
              <w:pStyle w:val="50"/>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注册发证</w:t>
            </w:r>
            <w:r>
              <w:rPr>
                <w:rFonts w:hint="eastAsia" w:ascii="宋体" w:hAnsi="宋体" w:eastAsia="宋体" w:cs="宋体"/>
                <w:bCs/>
                <w:color w:val="auto"/>
                <w:spacing w:val="27"/>
                <w:sz w:val="24"/>
                <w:szCs w:val="24"/>
                <w:highlight w:val="none"/>
              </w:rPr>
              <w:t>机关</w:t>
            </w:r>
          </w:p>
        </w:tc>
        <w:tc>
          <w:tcPr>
            <w:tcW w:w="2749" w:type="dxa"/>
            <w:gridSpan w:val="3"/>
            <w:shd w:val="clear" w:color="auto" w:fill="auto"/>
            <w:vAlign w:val="center"/>
          </w:tcPr>
          <w:p>
            <w:pPr>
              <w:widowControl/>
              <w:spacing w:line="360" w:lineRule="auto"/>
              <w:jc w:val="both"/>
              <w:rPr>
                <w:rFonts w:hint="eastAsia" w:ascii="宋体" w:hAnsi="宋体" w:eastAsia="宋体" w:cs="宋体"/>
                <w:bCs/>
                <w:color w:val="auto"/>
                <w:kern w:val="0"/>
                <w:sz w:val="24"/>
                <w:szCs w:val="24"/>
                <w:highlight w:val="none"/>
              </w:rPr>
            </w:pPr>
          </w:p>
          <w:p>
            <w:pPr>
              <w:pStyle w:val="50"/>
              <w:shd w:val="clear" w:color="auto" w:fill="FFFFFF"/>
              <w:spacing w:line="360" w:lineRule="auto"/>
              <w:ind w:left="107"/>
              <w:jc w:val="both"/>
              <w:rPr>
                <w:rFonts w:hint="eastAsia" w:ascii="宋体" w:hAnsi="宋体" w:eastAsia="宋体" w:cs="宋体"/>
                <w:bCs/>
                <w:color w:val="auto"/>
                <w:sz w:val="24"/>
                <w:szCs w:val="24"/>
                <w:highlight w:val="none"/>
              </w:rPr>
            </w:pPr>
          </w:p>
        </w:tc>
        <w:tc>
          <w:tcPr>
            <w:tcW w:w="1675" w:type="dxa"/>
            <w:gridSpan w:val="2"/>
            <w:shd w:val="clear" w:color="auto" w:fill="auto"/>
            <w:vAlign w:val="center"/>
          </w:tcPr>
          <w:p>
            <w:pPr>
              <w:pStyle w:val="50"/>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公司成</w:t>
            </w:r>
            <w:r>
              <w:rPr>
                <w:rFonts w:hint="eastAsia" w:ascii="宋体" w:hAnsi="宋体" w:eastAsia="宋体" w:cs="宋体"/>
                <w:bCs/>
                <w:color w:val="auto"/>
                <w:spacing w:val="12"/>
                <w:sz w:val="24"/>
                <w:szCs w:val="24"/>
                <w:highlight w:val="none"/>
              </w:rPr>
              <w:t>立时间</w:t>
            </w:r>
          </w:p>
        </w:tc>
        <w:tc>
          <w:tcPr>
            <w:tcW w:w="933" w:type="dxa"/>
            <w:shd w:val="clear" w:color="auto" w:fill="auto"/>
            <w:vAlign w:val="center"/>
          </w:tcPr>
          <w:p>
            <w:pPr>
              <w:pStyle w:val="50"/>
              <w:shd w:val="clear" w:color="auto" w:fill="FFFFFF"/>
              <w:spacing w:line="360" w:lineRule="auto"/>
              <w:ind w:left="107"/>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9" w:hRule="atLeast"/>
        </w:trPr>
        <w:tc>
          <w:tcPr>
            <w:tcW w:w="880" w:type="dxa"/>
            <w:vMerge w:val="continue"/>
            <w:shd w:val="clear" w:color="auto" w:fill="auto"/>
            <w:vAlign w:val="center"/>
          </w:tcPr>
          <w:p>
            <w:pPr>
              <w:pStyle w:val="50"/>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0"/>
              <w:shd w:val="clear" w:color="auto" w:fill="FFFFFF"/>
              <w:spacing w:line="360" w:lineRule="auto"/>
              <w:ind w:left="2"/>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核准经营范围</w:t>
            </w:r>
          </w:p>
        </w:tc>
        <w:tc>
          <w:tcPr>
            <w:tcW w:w="7243" w:type="dxa"/>
            <w:gridSpan w:val="9"/>
            <w:shd w:val="clear" w:color="auto" w:fill="auto"/>
            <w:vAlign w:val="center"/>
          </w:tcPr>
          <w:p>
            <w:pPr>
              <w:pStyle w:val="50"/>
              <w:shd w:val="clear" w:color="auto" w:fill="FFFFFF"/>
              <w:spacing w:line="360" w:lineRule="auto"/>
              <w:ind w:left="107"/>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880" w:type="dxa"/>
            <w:vMerge w:val="continue"/>
            <w:shd w:val="clear" w:color="auto" w:fill="auto"/>
            <w:vAlign w:val="center"/>
          </w:tcPr>
          <w:p>
            <w:pPr>
              <w:pStyle w:val="50"/>
              <w:shd w:val="clear" w:color="auto" w:fill="FFFFFF"/>
              <w:spacing w:line="360" w:lineRule="auto"/>
              <w:ind w:left="107"/>
              <w:jc w:val="both"/>
              <w:rPr>
                <w:rFonts w:hint="eastAsia" w:ascii="宋体" w:hAnsi="宋体" w:eastAsia="宋体" w:cs="宋体"/>
                <w:bCs/>
                <w:color w:val="auto"/>
                <w:sz w:val="24"/>
                <w:szCs w:val="24"/>
                <w:highlight w:val="none"/>
              </w:rPr>
            </w:pPr>
          </w:p>
        </w:tc>
        <w:tc>
          <w:tcPr>
            <w:tcW w:w="7933" w:type="dxa"/>
            <w:gridSpan w:val="10"/>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3"/>
                <w:sz w:val="24"/>
                <w:szCs w:val="24"/>
                <w:highlight w:val="none"/>
              </w:rPr>
            </w:pPr>
            <w:r>
              <w:rPr>
                <w:rFonts w:hint="eastAsia" w:ascii="宋体" w:hAnsi="宋体" w:eastAsia="宋体" w:cs="宋体"/>
                <w:bCs/>
                <w:color w:val="auto"/>
                <w:spacing w:val="13"/>
                <w:sz w:val="24"/>
                <w:szCs w:val="24"/>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3" w:hRule="atLeast"/>
        </w:trPr>
        <w:tc>
          <w:tcPr>
            <w:tcW w:w="880" w:type="dxa"/>
            <w:vMerge w:val="restart"/>
            <w:shd w:val="clear" w:color="auto" w:fill="auto"/>
            <w:vAlign w:val="center"/>
          </w:tcPr>
          <w:p>
            <w:pPr>
              <w:pStyle w:val="50"/>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p>
            <w:pPr>
              <w:pStyle w:val="50"/>
              <w:shd w:val="clear" w:color="auto" w:fill="FFFFFF"/>
              <w:spacing w:line="360" w:lineRule="auto"/>
              <w:ind w:left="107"/>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z w:val="24"/>
                <w:szCs w:val="24"/>
                <w:highlight w:val="none"/>
              </w:rPr>
              <w:t>企</w:t>
            </w:r>
            <w:r>
              <w:rPr>
                <w:rFonts w:hint="eastAsia" w:ascii="宋体" w:hAnsi="宋体" w:eastAsia="宋体" w:cs="宋体"/>
                <w:bCs/>
                <w:color w:val="auto"/>
                <w:spacing w:val="12"/>
                <w:sz w:val="24"/>
                <w:szCs w:val="24"/>
                <w:highlight w:val="none"/>
              </w:rPr>
              <w:t>业有关资质获证情况</w:t>
            </w:r>
          </w:p>
        </w:tc>
        <w:tc>
          <w:tcPr>
            <w:tcW w:w="1355" w:type="dxa"/>
            <w:gridSpan w:val="2"/>
            <w:vMerge w:val="restart"/>
            <w:shd w:val="clear" w:color="auto" w:fill="auto"/>
            <w:vAlign w:val="center"/>
          </w:tcPr>
          <w:p>
            <w:pPr>
              <w:pStyle w:val="50"/>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2"/>
                <w:sz w:val="24"/>
                <w:szCs w:val="24"/>
                <w:highlight w:val="none"/>
              </w:rPr>
              <w:t>产品生产许可证情况</w:t>
            </w:r>
            <w:r>
              <w:rPr>
                <w:rFonts w:hint="eastAsia" w:ascii="宋体" w:hAnsi="宋体" w:eastAsia="宋体" w:cs="宋体"/>
                <w:bCs/>
                <w:color w:val="auto"/>
                <w:spacing w:val="41"/>
                <w:sz w:val="24"/>
                <w:szCs w:val="24"/>
                <w:highlight w:val="none"/>
              </w:rPr>
              <w:t>（对需获得生产许可证的</w:t>
            </w:r>
            <w:r>
              <w:rPr>
                <w:rFonts w:hint="eastAsia" w:ascii="宋体" w:hAnsi="宋体" w:eastAsia="宋体" w:cs="宋体"/>
                <w:bCs/>
                <w:color w:val="auto"/>
                <w:spacing w:val="11"/>
                <w:sz w:val="24"/>
                <w:szCs w:val="24"/>
                <w:highlight w:val="none"/>
              </w:rPr>
              <w:t>产品要填写此栏）</w:t>
            </w:r>
          </w:p>
        </w:tc>
        <w:tc>
          <w:tcPr>
            <w:tcW w:w="1333" w:type="dxa"/>
            <w:gridSpan w:val="3"/>
            <w:shd w:val="clear" w:color="auto" w:fill="auto"/>
            <w:vAlign w:val="center"/>
          </w:tcPr>
          <w:p>
            <w:pPr>
              <w:pStyle w:val="50"/>
              <w:shd w:val="clear" w:color="auto" w:fill="FFFFFF"/>
              <w:spacing w:line="360" w:lineRule="auto"/>
              <w:ind w:right="-78" w:rightChars="-37"/>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产品名称</w:t>
            </w:r>
          </w:p>
        </w:tc>
        <w:tc>
          <w:tcPr>
            <w:tcW w:w="1077" w:type="dxa"/>
            <w:shd w:val="clear" w:color="auto" w:fill="auto"/>
            <w:vAlign w:val="center"/>
          </w:tcPr>
          <w:p>
            <w:pPr>
              <w:pStyle w:val="50"/>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发证机关</w:t>
            </w:r>
          </w:p>
        </w:tc>
        <w:tc>
          <w:tcPr>
            <w:tcW w:w="1617" w:type="dxa"/>
            <w:gridSpan w:val="2"/>
            <w:shd w:val="clear" w:color="auto" w:fill="auto"/>
            <w:vAlign w:val="center"/>
          </w:tcPr>
          <w:p>
            <w:pPr>
              <w:pStyle w:val="50"/>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编号</w:t>
            </w:r>
          </w:p>
        </w:tc>
        <w:tc>
          <w:tcPr>
            <w:tcW w:w="1618" w:type="dxa"/>
            <w:shd w:val="clear" w:color="auto" w:fill="auto"/>
            <w:vAlign w:val="center"/>
          </w:tcPr>
          <w:p>
            <w:pPr>
              <w:pStyle w:val="50"/>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发证时间</w:t>
            </w:r>
          </w:p>
        </w:tc>
        <w:tc>
          <w:tcPr>
            <w:tcW w:w="933" w:type="dxa"/>
            <w:shd w:val="clear" w:color="auto" w:fill="auto"/>
            <w:vAlign w:val="center"/>
          </w:tcPr>
          <w:p>
            <w:pPr>
              <w:pStyle w:val="50"/>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28" w:hRule="atLeast"/>
        </w:trPr>
        <w:tc>
          <w:tcPr>
            <w:tcW w:w="880" w:type="dxa"/>
            <w:vMerge w:val="continue"/>
            <w:shd w:val="clear" w:color="auto" w:fill="auto"/>
            <w:vAlign w:val="center"/>
          </w:tcPr>
          <w:p>
            <w:pPr>
              <w:pStyle w:val="50"/>
              <w:shd w:val="clear" w:color="auto" w:fill="FFFFFF"/>
              <w:spacing w:line="360" w:lineRule="auto"/>
              <w:ind w:left="107"/>
              <w:jc w:val="both"/>
              <w:rPr>
                <w:rFonts w:hint="eastAsia" w:ascii="宋体" w:hAnsi="宋体" w:eastAsia="宋体" w:cs="宋体"/>
                <w:bCs/>
                <w:color w:val="auto"/>
                <w:sz w:val="24"/>
                <w:szCs w:val="24"/>
                <w:highlight w:val="none"/>
              </w:rPr>
            </w:pPr>
          </w:p>
        </w:tc>
        <w:tc>
          <w:tcPr>
            <w:tcW w:w="1355" w:type="dxa"/>
            <w:gridSpan w:val="2"/>
            <w:vMerge w:val="continue"/>
            <w:shd w:val="clear" w:color="auto" w:fill="auto"/>
            <w:vAlign w:val="center"/>
          </w:tcPr>
          <w:p>
            <w:pPr>
              <w:pStyle w:val="50"/>
              <w:shd w:val="clear" w:color="auto" w:fill="FFFFFF"/>
              <w:spacing w:line="360" w:lineRule="auto"/>
              <w:jc w:val="both"/>
              <w:rPr>
                <w:rFonts w:hint="eastAsia" w:ascii="宋体" w:hAnsi="宋体" w:eastAsia="宋体" w:cs="宋体"/>
                <w:bCs/>
                <w:color w:val="auto"/>
                <w:sz w:val="24"/>
                <w:szCs w:val="24"/>
                <w:highlight w:val="none"/>
              </w:rPr>
            </w:pPr>
          </w:p>
        </w:tc>
        <w:tc>
          <w:tcPr>
            <w:tcW w:w="1333" w:type="dxa"/>
            <w:gridSpan w:val="3"/>
            <w:shd w:val="clear" w:color="auto" w:fill="auto"/>
            <w:vAlign w:val="center"/>
          </w:tcPr>
          <w:p>
            <w:pPr>
              <w:pStyle w:val="50"/>
              <w:shd w:val="clear" w:color="auto" w:fill="FFFFFF"/>
              <w:spacing w:line="360" w:lineRule="auto"/>
              <w:jc w:val="both"/>
              <w:rPr>
                <w:rFonts w:hint="eastAsia" w:ascii="宋体" w:hAnsi="宋体" w:eastAsia="宋体" w:cs="宋体"/>
                <w:bCs/>
                <w:color w:val="auto"/>
                <w:sz w:val="24"/>
                <w:szCs w:val="24"/>
                <w:highlight w:val="none"/>
              </w:rPr>
            </w:pPr>
          </w:p>
        </w:tc>
        <w:tc>
          <w:tcPr>
            <w:tcW w:w="1077" w:type="dxa"/>
            <w:shd w:val="clear" w:color="auto" w:fill="auto"/>
            <w:vAlign w:val="center"/>
          </w:tcPr>
          <w:p>
            <w:pPr>
              <w:pStyle w:val="50"/>
              <w:shd w:val="clear" w:color="auto" w:fill="FFFFFF"/>
              <w:spacing w:line="360" w:lineRule="auto"/>
              <w:jc w:val="both"/>
              <w:rPr>
                <w:rFonts w:hint="eastAsia" w:ascii="宋体" w:hAnsi="宋体" w:eastAsia="宋体" w:cs="宋体"/>
                <w:bCs/>
                <w:color w:val="auto"/>
                <w:sz w:val="24"/>
                <w:szCs w:val="24"/>
                <w:highlight w:val="none"/>
              </w:rPr>
            </w:pPr>
          </w:p>
        </w:tc>
        <w:tc>
          <w:tcPr>
            <w:tcW w:w="1617" w:type="dxa"/>
            <w:gridSpan w:val="2"/>
            <w:shd w:val="clear" w:color="auto" w:fill="auto"/>
            <w:vAlign w:val="center"/>
          </w:tcPr>
          <w:p>
            <w:pPr>
              <w:pStyle w:val="50"/>
              <w:shd w:val="clear" w:color="auto" w:fill="FFFFFF"/>
              <w:spacing w:line="360" w:lineRule="auto"/>
              <w:jc w:val="both"/>
              <w:rPr>
                <w:rFonts w:hint="eastAsia" w:ascii="宋体" w:hAnsi="宋体" w:eastAsia="宋体" w:cs="宋体"/>
                <w:bCs/>
                <w:color w:val="auto"/>
                <w:sz w:val="24"/>
                <w:szCs w:val="24"/>
                <w:highlight w:val="none"/>
              </w:rPr>
            </w:pPr>
          </w:p>
        </w:tc>
        <w:tc>
          <w:tcPr>
            <w:tcW w:w="2551" w:type="dxa"/>
            <w:gridSpan w:val="2"/>
            <w:shd w:val="clear" w:color="auto" w:fill="auto"/>
            <w:vAlign w:val="center"/>
          </w:tcPr>
          <w:p>
            <w:pPr>
              <w:pStyle w:val="50"/>
              <w:shd w:val="clear" w:color="auto" w:fill="FFFFFF"/>
              <w:spacing w:line="360" w:lineRule="auto"/>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35" w:hRule="atLeast"/>
        </w:trPr>
        <w:tc>
          <w:tcPr>
            <w:tcW w:w="880" w:type="dxa"/>
            <w:vMerge w:val="continue"/>
            <w:shd w:val="clear" w:color="auto" w:fill="auto"/>
            <w:vAlign w:val="center"/>
          </w:tcPr>
          <w:p>
            <w:pPr>
              <w:pStyle w:val="50"/>
              <w:shd w:val="clear" w:color="auto" w:fill="FFFFFF"/>
              <w:spacing w:line="360" w:lineRule="auto"/>
              <w:ind w:left="107"/>
              <w:jc w:val="both"/>
              <w:rPr>
                <w:rFonts w:hint="eastAsia" w:ascii="宋体" w:hAnsi="宋体" w:eastAsia="宋体" w:cs="宋体"/>
                <w:bCs/>
                <w:color w:val="auto"/>
                <w:spacing w:val="16"/>
                <w:sz w:val="24"/>
                <w:szCs w:val="24"/>
                <w:highlight w:val="none"/>
              </w:rPr>
            </w:pPr>
          </w:p>
        </w:tc>
        <w:tc>
          <w:tcPr>
            <w:tcW w:w="1355" w:type="dxa"/>
            <w:gridSpan w:val="2"/>
            <w:shd w:val="clear" w:color="auto" w:fill="auto"/>
            <w:vAlign w:val="center"/>
          </w:tcPr>
          <w:p>
            <w:pPr>
              <w:pStyle w:val="50"/>
              <w:shd w:val="clear" w:color="auto" w:fill="FFFFFF"/>
              <w:spacing w:before="0" w:beforeAutospacing="0" w:after="0" w:afterAutospacing="0" w:line="360" w:lineRule="auto"/>
              <w:ind w:right="-107" w:rightChars="-51"/>
              <w:jc w:val="both"/>
              <w:rPr>
                <w:rFonts w:hint="eastAsia" w:ascii="宋体" w:hAnsi="宋体" w:eastAsia="宋体" w:cs="宋体"/>
                <w:bCs/>
                <w:color w:val="auto"/>
                <w:spacing w:val="41"/>
                <w:sz w:val="24"/>
                <w:szCs w:val="24"/>
                <w:highlight w:val="none"/>
              </w:rPr>
            </w:pPr>
            <w:r>
              <w:rPr>
                <w:rFonts w:hint="eastAsia" w:ascii="宋体" w:hAnsi="宋体" w:eastAsia="宋体" w:cs="宋体"/>
                <w:bCs/>
                <w:color w:val="auto"/>
                <w:spacing w:val="41"/>
                <w:sz w:val="24"/>
                <w:szCs w:val="24"/>
                <w:highlight w:val="none"/>
              </w:rPr>
              <w:t>企业通过质量体系、环保</w:t>
            </w:r>
            <w:r>
              <w:rPr>
                <w:rFonts w:hint="eastAsia" w:ascii="宋体" w:hAnsi="宋体" w:eastAsia="宋体" w:cs="宋体"/>
                <w:bCs/>
                <w:color w:val="auto"/>
                <w:spacing w:val="11"/>
                <w:sz w:val="24"/>
                <w:szCs w:val="24"/>
                <w:highlight w:val="none"/>
              </w:rPr>
              <w:t>体系、计量等认证情况</w:t>
            </w:r>
          </w:p>
        </w:tc>
        <w:tc>
          <w:tcPr>
            <w:tcW w:w="6578" w:type="dxa"/>
            <w:gridSpan w:val="8"/>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7" w:hRule="atLeast"/>
        </w:trPr>
        <w:tc>
          <w:tcPr>
            <w:tcW w:w="880" w:type="dxa"/>
            <w:vMerge w:val="continue"/>
            <w:shd w:val="clear" w:color="auto" w:fill="auto"/>
            <w:vAlign w:val="center"/>
          </w:tcPr>
          <w:p>
            <w:pPr>
              <w:pStyle w:val="50"/>
              <w:shd w:val="clear" w:color="auto" w:fill="FFFFFF"/>
              <w:spacing w:line="360" w:lineRule="auto"/>
              <w:ind w:left="107"/>
              <w:jc w:val="both"/>
              <w:rPr>
                <w:rFonts w:hint="eastAsia" w:ascii="宋体" w:hAnsi="宋体" w:eastAsia="宋体" w:cs="宋体"/>
                <w:bCs/>
                <w:color w:val="auto"/>
                <w:spacing w:val="27"/>
                <w:sz w:val="24"/>
                <w:szCs w:val="24"/>
                <w:highlight w:val="none"/>
              </w:rPr>
            </w:pPr>
          </w:p>
        </w:tc>
        <w:tc>
          <w:tcPr>
            <w:tcW w:w="1355" w:type="dxa"/>
            <w:gridSpan w:val="2"/>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0"/>
                <w:sz w:val="24"/>
                <w:szCs w:val="24"/>
                <w:highlight w:val="none"/>
              </w:rPr>
              <w:t>企业获得专利情况</w:t>
            </w:r>
          </w:p>
        </w:tc>
        <w:tc>
          <w:tcPr>
            <w:tcW w:w="6578" w:type="dxa"/>
            <w:gridSpan w:val="8"/>
            <w:shd w:val="clear" w:color="auto" w:fill="auto"/>
            <w:vAlign w:val="center"/>
          </w:tcPr>
          <w:p>
            <w:pPr>
              <w:pStyle w:val="50"/>
              <w:shd w:val="clear" w:color="auto" w:fill="FFFFFF"/>
              <w:spacing w:line="360" w:lineRule="auto"/>
              <w:jc w:val="both"/>
              <w:rPr>
                <w:rFonts w:hint="eastAsia" w:ascii="宋体" w:hAnsi="宋体" w:eastAsia="宋体" w:cs="宋体"/>
                <w:bCs/>
                <w:color w:val="auto"/>
                <w:spacing w:val="16"/>
                <w:sz w:val="24"/>
                <w:szCs w:val="24"/>
                <w:highlight w:val="none"/>
              </w:rPr>
            </w:pPr>
          </w:p>
        </w:tc>
      </w:tr>
    </w:tbl>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要求：</w:t>
      </w:r>
    </w:p>
    <w:p>
      <w:pPr>
        <w:bidi w:val="0"/>
        <w:spacing w:line="360" w:lineRule="auto"/>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1.姓名栏必须将所有股东都统计在内，若非股份公司此行（第三行）无需填写；</w:t>
      </w:r>
    </w:p>
    <w:p>
      <w:pPr>
        <w:bidi w:val="0"/>
        <w:spacing w:line="360" w:lineRule="auto"/>
        <w:jc w:val="both"/>
        <w:rPr>
          <w:rFonts w:hint="eastAsia" w:ascii="宋体" w:hAnsi="宋体" w:eastAsia="宋体" w:cs="宋体"/>
          <w:b w:val="0"/>
          <w:bCs w:val="0"/>
          <w:color w:val="auto"/>
          <w:sz w:val="24"/>
          <w:szCs w:val="32"/>
          <w:highlight w:val="none"/>
          <w:lang w:eastAsia="zh-CN"/>
        </w:rPr>
      </w:pPr>
    </w:p>
    <w:p>
      <w:pPr>
        <w:spacing w:line="48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投标人名称（盖章）：</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eastAsia="zh-CN"/>
        </w:rPr>
        <w:t>法定代表人或授权委托</w:t>
      </w:r>
      <w:r>
        <w:rPr>
          <w:rFonts w:hint="eastAsia" w:ascii="宋体" w:hAnsi="宋体" w:eastAsia="宋体" w:cs="宋体"/>
          <w:color w:val="auto"/>
          <w:sz w:val="24"/>
          <w:highlight w:val="none"/>
          <w:lang w:val="en-US" w:eastAsia="zh-CN"/>
        </w:rPr>
        <w:t>代理</w:t>
      </w:r>
      <w:r>
        <w:rPr>
          <w:rFonts w:hint="eastAsia" w:ascii="宋体" w:hAnsi="宋体" w:eastAsia="宋体" w:cs="宋体"/>
          <w:color w:val="auto"/>
          <w:sz w:val="24"/>
          <w:highlight w:val="none"/>
          <w:lang w:val="zh-CN" w:eastAsia="zh-CN"/>
        </w:rPr>
        <w:t>人（签字</w:t>
      </w:r>
      <w:r>
        <w:rPr>
          <w:rFonts w:hint="eastAsia" w:ascii="宋体" w:hAnsi="宋体" w:eastAsia="宋体" w:cs="宋体"/>
          <w:color w:val="auto"/>
          <w:sz w:val="24"/>
          <w:highlight w:val="none"/>
          <w:lang w:val="en-US" w:eastAsia="zh-CN"/>
        </w:rPr>
        <w:t>或盖章</w:t>
      </w: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lang w:val="en-US" w:eastAsia="zh-CN"/>
        </w:rPr>
        <w:t xml:space="preserve">                         </w:t>
      </w:r>
    </w:p>
    <w:p>
      <w:pPr>
        <w:bidi w:val="0"/>
        <w:spacing w:line="360" w:lineRule="auto"/>
        <w:jc w:val="both"/>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8"/>
          <w:highlight w:val="none"/>
        </w:rPr>
        <w:t>附件6</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项目实施人员一览表（标段）</w:t>
      </w:r>
    </w:p>
    <w:p>
      <w:pPr>
        <w:spacing w:line="360" w:lineRule="auto"/>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（主要从业人员及其技术资格）</w:t>
      </w:r>
    </w:p>
    <w:tbl>
      <w:tblPr>
        <w:tblStyle w:val="27"/>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hint="eastAsia" w:ascii="宋体" w:hAnsi="宋体" w:eastAsia="宋体" w:cs="宋体"/>
                <w:b/>
                <w:bCs/>
                <w:color w:val="auto"/>
                <w:sz w:val="24"/>
                <w:szCs w:val="20"/>
                <w:highlight w:val="none"/>
              </w:rPr>
            </w:pPr>
            <w:r>
              <w:rPr>
                <w:rFonts w:hint="eastAsia" w:ascii="宋体" w:hAnsi="宋体" w:eastAsia="宋体" w:cs="宋体"/>
                <w:b/>
                <w:bCs/>
                <w:color w:val="auto"/>
                <w:sz w:val="24"/>
                <w:highlight w:val="none"/>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hint="eastAsia" w:ascii="宋体" w:hAnsi="宋体" w:eastAsia="宋体" w:cs="宋体"/>
                <w:b/>
                <w:bCs/>
                <w:color w:val="auto"/>
                <w:sz w:val="24"/>
                <w:szCs w:val="20"/>
                <w:highlight w:val="none"/>
              </w:rPr>
            </w:pPr>
            <w:r>
              <w:rPr>
                <w:rFonts w:hint="eastAsia" w:ascii="宋体" w:hAnsi="宋体" w:eastAsia="宋体" w:cs="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6"/>
              <w:snapToGrid w:val="0"/>
              <w:spacing w:beforeLines="50" w:after="50" w:line="360" w:lineRule="auto"/>
              <w:ind w:left="5250"/>
              <w:rPr>
                <w:rFonts w:hint="eastAsia" w:ascii="宋体" w:hAnsi="宋体" w:eastAsia="宋体" w:cs="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6"/>
              <w:snapToGrid w:val="0"/>
              <w:spacing w:beforeLines="50" w:after="50" w:line="360" w:lineRule="auto"/>
              <w:ind w:left="5250"/>
              <w:rPr>
                <w:rFonts w:hint="eastAsia" w:ascii="宋体" w:hAnsi="宋体" w:eastAsia="宋体" w:cs="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6"/>
              <w:spacing w:line="360" w:lineRule="auto"/>
              <w:ind w:left="5250"/>
              <w:rPr>
                <w:rFonts w:hint="eastAsia" w:ascii="宋体" w:hAnsi="宋体" w:eastAsia="宋体" w:cs="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auto"/>
                <w:kern w:val="44"/>
                <w:sz w:val="24"/>
                <w:szCs w:val="20"/>
                <w:highlight w:val="none"/>
              </w:rPr>
            </w:pPr>
          </w:p>
        </w:tc>
      </w:tr>
    </w:tbl>
    <w:p>
      <w:pPr>
        <w:spacing w:line="360" w:lineRule="auto"/>
        <w:jc w:val="left"/>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要求：</w:t>
      </w:r>
    </w:p>
    <w:p>
      <w:pPr>
        <w:spacing w:line="360" w:lineRule="auto"/>
        <w:ind w:firstLine="480" w:firstLineChars="200"/>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1.在填写时，如本表格不适合投标单位的实际情况，可根据本表格式自行划表填写。</w:t>
      </w:r>
    </w:p>
    <w:p>
      <w:pPr>
        <w:spacing w:line="360" w:lineRule="auto"/>
        <w:ind w:firstLine="480" w:firstLineChars="200"/>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2.附人员证书复印件；</w:t>
      </w:r>
    </w:p>
    <w:p>
      <w:pPr>
        <w:spacing w:line="360" w:lineRule="auto"/>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3.出具上述人员在本单位服务的外部证明，如：投标截止日之前六个月以内的代缴个税税单、参加社会保险的《投保单》或《社会保险参保人员证明》等。</w:t>
      </w:r>
    </w:p>
    <w:p>
      <w:pPr>
        <w:bidi w:val="0"/>
        <w:spacing w:line="360" w:lineRule="auto"/>
        <w:rPr>
          <w:rFonts w:hint="eastAsia" w:ascii="宋体" w:hAnsi="宋体" w:eastAsia="宋体" w:cs="宋体"/>
          <w:b w:val="0"/>
          <w:bCs w:val="0"/>
          <w:color w:val="auto"/>
          <w:sz w:val="24"/>
          <w:szCs w:val="32"/>
          <w:highlight w:val="none"/>
        </w:rPr>
      </w:pP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投标人名称（盖章）：</w:t>
      </w:r>
      <w:r>
        <w:rPr>
          <w:rFonts w:hint="eastAsia" w:ascii="宋体" w:hAnsi="宋体" w:eastAsia="宋体" w:cs="宋体"/>
          <w:color w:val="auto"/>
          <w:sz w:val="24"/>
          <w:highlight w:val="none"/>
          <w:u w:val="single"/>
          <w:lang w:val="en-US" w:eastAsia="zh-CN"/>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eastAsia="zh-CN"/>
        </w:rPr>
        <w:t>法定代表人或授权委托</w:t>
      </w:r>
      <w:r>
        <w:rPr>
          <w:rFonts w:hint="eastAsia" w:ascii="宋体" w:hAnsi="宋体" w:eastAsia="宋体" w:cs="宋体"/>
          <w:color w:val="auto"/>
          <w:sz w:val="24"/>
          <w:highlight w:val="none"/>
          <w:lang w:val="en-US" w:eastAsia="zh-CN"/>
        </w:rPr>
        <w:t>代理</w:t>
      </w:r>
      <w:r>
        <w:rPr>
          <w:rFonts w:hint="eastAsia" w:ascii="宋体" w:hAnsi="宋体" w:eastAsia="宋体" w:cs="宋体"/>
          <w:color w:val="auto"/>
          <w:sz w:val="24"/>
          <w:highlight w:val="none"/>
          <w:lang w:val="zh-CN" w:eastAsia="zh-CN"/>
        </w:rPr>
        <w:t>人（签字</w:t>
      </w:r>
      <w:r>
        <w:rPr>
          <w:rFonts w:hint="eastAsia" w:ascii="宋体" w:hAnsi="宋体" w:eastAsia="宋体" w:cs="宋体"/>
          <w:color w:val="auto"/>
          <w:sz w:val="24"/>
          <w:highlight w:val="none"/>
          <w:lang w:val="en-US" w:eastAsia="zh-CN"/>
        </w:rPr>
        <w:t>或盖章</w:t>
      </w: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val="en-US" w:eastAsia="zh-CN"/>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lang w:val="en-US" w:eastAsia="zh-CN"/>
        </w:rPr>
        <w:t xml:space="preserve">                         </w:t>
      </w:r>
    </w:p>
    <w:p>
      <w:pPr>
        <w:spacing w:line="360" w:lineRule="auto"/>
        <w:rPr>
          <w:rFonts w:hint="eastAsia" w:ascii="宋体" w:hAnsi="宋体" w:eastAsia="宋体" w:cs="宋体"/>
          <w:b/>
          <w:color w:val="auto"/>
          <w:sz w:val="28"/>
          <w:highlight w:val="none"/>
        </w:rPr>
      </w:pPr>
      <w:r>
        <w:rPr>
          <w:rFonts w:hint="eastAsia" w:ascii="宋体" w:hAnsi="宋体" w:eastAsia="宋体" w:cs="宋体"/>
          <w:b/>
          <w:color w:val="auto"/>
          <w:sz w:val="28"/>
          <w:highlight w:val="none"/>
        </w:rPr>
        <w:t>附件7</w:t>
      </w:r>
    </w:p>
    <w:p>
      <w:pPr>
        <w:spacing w:beforeLines="50" w:afterLines="50" w:line="360" w:lineRule="auto"/>
        <w:ind w:right="-1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项目负责人资格情况表</w:t>
      </w:r>
    </w:p>
    <w:p>
      <w:pPr>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采购项目：</w:t>
      </w:r>
      <w:r>
        <w:rPr>
          <w:rFonts w:hint="eastAsia" w:ascii="宋体" w:hAnsi="宋体" w:eastAsia="宋体" w:cs="宋体"/>
          <w:color w:val="auto"/>
          <w:sz w:val="24"/>
          <w:szCs w:val="32"/>
          <w:highlight w:val="none"/>
          <w:lang w:val="en-US" w:eastAsia="zh-CN"/>
        </w:rPr>
        <w:t xml:space="preserve">                                        </w:t>
      </w:r>
      <w:r>
        <w:rPr>
          <w:rFonts w:hint="eastAsia" w:ascii="宋体" w:hAnsi="宋体" w:eastAsia="宋体" w:cs="宋体"/>
          <w:color w:val="auto"/>
          <w:sz w:val="24"/>
          <w:szCs w:val="32"/>
          <w:highlight w:val="none"/>
        </w:rPr>
        <w:t>采购编号：</w:t>
      </w:r>
    </w:p>
    <w:tbl>
      <w:tblPr>
        <w:tblStyle w:val="27"/>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注：业绩证明应提供旁证材料</w:t>
            </w:r>
          </w:p>
          <w:p>
            <w:pPr>
              <w:bidi w:val="0"/>
              <w:spacing w:line="240" w:lineRule="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bidi w:val="0"/>
              <w:spacing w:line="240" w:lineRule="auto"/>
              <w:jc w:val="center"/>
              <w:rPr>
                <w:rFonts w:hint="eastAsia" w:ascii="宋体" w:hAnsi="宋体" w:eastAsia="宋体" w:cs="宋体"/>
                <w:b/>
                <w:bCs/>
                <w:color w:val="auto"/>
                <w:sz w:val="24"/>
                <w:szCs w:val="24"/>
                <w:highlight w:val="none"/>
                <w:lang w:val="zh-CN"/>
              </w:rPr>
            </w:pPr>
          </w:p>
        </w:tc>
      </w:tr>
    </w:tbl>
    <w:p>
      <w:pPr>
        <w:spacing w:line="360" w:lineRule="auto"/>
        <w:rPr>
          <w:rFonts w:hint="eastAsia" w:ascii="宋体" w:hAnsi="宋体" w:eastAsia="宋体" w:cs="宋体"/>
          <w:color w:val="auto"/>
          <w:sz w:val="24"/>
          <w:highlight w:val="none"/>
        </w:rPr>
      </w:pPr>
    </w:p>
    <w:p>
      <w:pPr>
        <w:spacing w:line="48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投标人名称（盖章）：</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eastAsia="zh-CN"/>
        </w:rPr>
        <w:t>法定代表人或授权委托</w:t>
      </w:r>
      <w:r>
        <w:rPr>
          <w:rFonts w:hint="eastAsia" w:ascii="宋体" w:hAnsi="宋体" w:eastAsia="宋体" w:cs="宋体"/>
          <w:color w:val="auto"/>
          <w:sz w:val="24"/>
          <w:highlight w:val="none"/>
          <w:lang w:val="en-US" w:eastAsia="zh-CN"/>
        </w:rPr>
        <w:t>代理</w:t>
      </w:r>
      <w:r>
        <w:rPr>
          <w:rFonts w:hint="eastAsia" w:ascii="宋体" w:hAnsi="宋体" w:eastAsia="宋体" w:cs="宋体"/>
          <w:color w:val="auto"/>
          <w:sz w:val="24"/>
          <w:highlight w:val="none"/>
          <w:lang w:val="zh-CN" w:eastAsia="zh-CN"/>
        </w:rPr>
        <w:t>人（签字</w:t>
      </w:r>
      <w:r>
        <w:rPr>
          <w:rFonts w:hint="eastAsia" w:ascii="宋体" w:hAnsi="宋体" w:eastAsia="宋体" w:cs="宋体"/>
          <w:color w:val="auto"/>
          <w:sz w:val="24"/>
          <w:highlight w:val="none"/>
          <w:lang w:val="en-US" w:eastAsia="zh-CN"/>
        </w:rPr>
        <w:t>或盖章</w:t>
      </w: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bidi w:val="0"/>
        <w:spacing w:line="360" w:lineRule="auto"/>
        <w:rPr>
          <w:rFonts w:hint="eastAsia" w:ascii="宋体" w:hAnsi="宋体" w:eastAsia="宋体" w:cs="宋体"/>
          <w:b w:val="0"/>
          <w:bCs w:val="0"/>
          <w:color w:val="auto"/>
          <w:sz w:val="24"/>
          <w:szCs w:val="32"/>
          <w:highlight w:val="none"/>
        </w:rPr>
      </w:pPr>
    </w:p>
    <w:p>
      <w:pPr>
        <w:bidi w:val="0"/>
        <w:spacing w:line="360" w:lineRule="auto"/>
        <w:rPr>
          <w:rFonts w:hint="eastAsia" w:ascii="宋体" w:hAnsi="宋体" w:eastAsia="宋体" w:cs="宋体"/>
          <w:b w:val="0"/>
          <w:bCs w:val="0"/>
          <w:color w:val="auto"/>
          <w:sz w:val="24"/>
          <w:szCs w:val="32"/>
          <w:highlight w:val="none"/>
        </w:rPr>
      </w:pPr>
    </w:p>
    <w:p>
      <w:pPr>
        <w:spacing w:line="480" w:lineRule="exact"/>
        <w:jc w:val="left"/>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rPr>
        <w:t>8</w:t>
      </w:r>
    </w:p>
    <w:p>
      <w:pPr>
        <w:spacing w:line="480" w:lineRule="exact"/>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供货清单（</w:t>
      </w:r>
      <w:r>
        <w:rPr>
          <w:rFonts w:hint="eastAsia" w:ascii="宋体" w:hAnsi="宋体" w:cs="宋体"/>
          <w:b/>
          <w:bCs/>
          <w:color w:val="auto"/>
          <w:sz w:val="32"/>
          <w:szCs w:val="40"/>
          <w:highlight w:val="none"/>
          <w:lang w:val="en-US" w:eastAsia="zh-CN"/>
        </w:rPr>
        <w:t>标段</w:t>
      </w:r>
      <w:r>
        <w:rPr>
          <w:rFonts w:hint="eastAsia" w:ascii="宋体" w:hAnsi="宋体" w:eastAsia="宋体" w:cs="宋体"/>
          <w:b/>
          <w:bCs/>
          <w:color w:val="auto"/>
          <w:sz w:val="32"/>
          <w:szCs w:val="40"/>
          <w:highlight w:val="none"/>
          <w:lang w:val="zh-CN"/>
        </w:rPr>
        <w:t>）</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w:t>
      </w:r>
    </w:p>
    <w:tbl>
      <w:tblPr>
        <w:tblStyle w:val="27"/>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2169" w:type="dxa"/>
            <w:vAlign w:val="center"/>
          </w:tcPr>
          <w:p>
            <w:pPr>
              <w:tabs>
                <w:tab w:val="left" w:pos="8280"/>
              </w:tabs>
              <w:autoSpaceDE w:val="0"/>
              <w:autoSpaceDN w:val="0"/>
              <w:adjustRightInd w:val="0"/>
              <w:ind w:right="25"/>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134" w:type="dxa"/>
            <w:vAlign w:val="center"/>
          </w:tcPr>
          <w:p>
            <w:pPr>
              <w:tabs>
                <w:tab w:val="left" w:pos="8280"/>
              </w:tabs>
              <w:autoSpaceDE w:val="0"/>
              <w:autoSpaceDN w:val="0"/>
              <w:adjustRightInd w:val="0"/>
              <w:ind w:right="25"/>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品牌</w:t>
            </w:r>
          </w:p>
        </w:tc>
        <w:tc>
          <w:tcPr>
            <w:tcW w:w="1842" w:type="dxa"/>
            <w:vAlign w:val="center"/>
          </w:tcPr>
          <w:p>
            <w:pPr>
              <w:tabs>
                <w:tab w:val="left" w:pos="8280"/>
              </w:tabs>
              <w:autoSpaceDE w:val="0"/>
              <w:autoSpaceDN w:val="0"/>
              <w:adjustRightInd w:val="0"/>
              <w:ind w:right="25"/>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规格型号</w:t>
            </w:r>
          </w:p>
        </w:tc>
        <w:tc>
          <w:tcPr>
            <w:tcW w:w="993"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产地</w:t>
            </w:r>
          </w:p>
        </w:tc>
        <w:tc>
          <w:tcPr>
            <w:tcW w:w="1559"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hint="eastAsia" w:ascii="宋体" w:hAnsi="宋体" w:eastAsia="宋体" w:cs="宋体"/>
                <w:color w:val="auto"/>
                <w:sz w:val="24"/>
                <w:highlight w:val="none"/>
              </w:rPr>
            </w:pPr>
          </w:p>
        </w:tc>
        <w:tc>
          <w:tcPr>
            <w:tcW w:w="2169" w:type="dxa"/>
            <w:vAlign w:val="center"/>
          </w:tcPr>
          <w:p>
            <w:pPr>
              <w:jc w:val="center"/>
              <w:rPr>
                <w:rFonts w:hint="eastAsia" w:ascii="宋体" w:hAnsi="宋体" w:eastAsia="宋体" w:cs="宋体"/>
                <w:color w:val="auto"/>
                <w:sz w:val="24"/>
                <w:highlight w:val="none"/>
              </w:rPr>
            </w:pPr>
          </w:p>
        </w:tc>
        <w:tc>
          <w:tcPr>
            <w:tcW w:w="1134" w:type="dxa"/>
            <w:vAlign w:val="center"/>
          </w:tcPr>
          <w:p>
            <w:pPr>
              <w:jc w:val="center"/>
              <w:rPr>
                <w:rFonts w:hint="eastAsia" w:ascii="宋体" w:hAnsi="宋体" w:eastAsia="宋体" w:cs="宋体"/>
                <w:color w:val="auto"/>
                <w:sz w:val="24"/>
                <w:highlight w:val="none"/>
              </w:rPr>
            </w:pPr>
          </w:p>
        </w:tc>
        <w:tc>
          <w:tcPr>
            <w:tcW w:w="1842" w:type="dxa"/>
            <w:vAlign w:val="center"/>
          </w:tcPr>
          <w:p>
            <w:pPr>
              <w:jc w:val="center"/>
              <w:rPr>
                <w:rFonts w:hint="eastAsia" w:ascii="宋体" w:hAnsi="宋体" w:eastAsia="宋体" w:cs="宋体"/>
                <w:color w:val="auto"/>
                <w:sz w:val="24"/>
                <w:highlight w:val="none"/>
              </w:rPr>
            </w:pPr>
          </w:p>
        </w:tc>
        <w:tc>
          <w:tcPr>
            <w:tcW w:w="993" w:type="dxa"/>
            <w:vAlign w:val="center"/>
          </w:tcPr>
          <w:p>
            <w:pPr>
              <w:jc w:val="center"/>
              <w:rPr>
                <w:rFonts w:hint="eastAsia" w:ascii="宋体" w:hAnsi="宋体" w:eastAsia="宋体" w:cs="宋体"/>
                <w:color w:val="auto"/>
                <w:sz w:val="24"/>
                <w:highlight w:val="none"/>
              </w:rPr>
            </w:pPr>
          </w:p>
        </w:tc>
        <w:tc>
          <w:tcPr>
            <w:tcW w:w="155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hint="eastAsia" w:ascii="宋体" w:hAnsi="宋体" w:eastAsia="宋体" w:cs="宋体"/>
                <w:color w:val="auto"/>
                <w:sz w:val="24"/>
                <w:highlight w:val="none"/>
              </w:rPr>
            </w:pPr>
          </w:p>
        </w:tc>
        <w:tc>
          <w:tcPr>
            <w:tcW w:w="2169" w:type="dxa"/>
            <w:vAlign w:val="center"/>
          </w:tcPr>
          <w:p>
            <w:pPr>
              <w:jc w:val="center"/>
              <w:rPr>
                <w:rFonts w:hint="eastAsia" w:ascii="宋体" w:hAnsi="宋体" w:eastAsia="宋体" w:cs="宋体"/>
                <w:color w:val="auto"/>
                <w:sz w:val="24"/>
                <w:highlight w:val="none"/>
              </w:rPr>
            </w:pPr>
          </w:p>
        </w:tc>
        <w:tc>
          <w:tcPr>
            <w:tcW w:w="1134" w:type="dxa"/>
            <w:vAlign w:val="center"/>
          </w:tcPr>
          <w:p>
            <w:pPr>
              <w:jc w:val="center"/>
              <w:rPr>
                <w:rFonts w:hint="eastAsia" w:ascii="宋体" w:hAnsi="宋体" w:eastAsia="宋体" w:cs="宋体"/>
                <w:color w:val="auto"/>
                <w:sz w:val="24"/>
                <w:highlight w:val="none"/>
              </w:rPr>
            </w:pPr>
          </w:p>
        </w:tc>
        <w:tc>
          <w:tcPr>
            <w:tcW w:w="1842" w:type="dxa"/>
            <w:vAlign w:val="center"/>
          </w:tcPr>
          <w:p>
            <w:pPr>
              <w:jc w:val="center"/>
              <w:rPr>
                <w:rFonts w:hint="eastAsia" w:ascii="宋体" w:hAnsi="宋体" w:eastAsia="宋体" w:cs="宋体"/>
                <w:color w:val="auto"/>
                <w:sz w:val="24"/>
                <w:highlight w:val="none"/>
              </w:rPr>
            </w:pPr>
          </w:p>
        </w:tc>
        <w:tc>
          <w:tcPr>
            <w:tcW w:w="993" w:type="dxa"/>
            <w:vAlign w:val="center"/>
          </w:tcPr>
          <w:p>
            <w:pPr>
              <w:jc w:val="center"/>
              <w:rPr>
                <w:rFonts w:hint="eastAsia" w:ascii="宋体" w:hAnsi="宋体" w:eastAsia="宋体" w:cs="宋体"/>
                <w:color w:val="auto"/>
                <w:sz w:val="24"/>
                <w:highlight w:val="none"/>
              </w:rPr>
            </w:pPr>
          </w:p>
        </w:tc>
        <w:tc>
          <w:tcPr>
            <w:tcW w:w="155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hint="eastAsia" w:ascii="宋体" w:hAnsi="宋体" w:eastAsia="宋体" w:cs="宋体"/>
                <w:color w:val="auto"/>
                <w:sz w:val="24"/>
                <w:highlight w:val="none"/>
              </w:rPr>
            </w:pPr>
          </w:p>
        </w:tc>
        <w:tc>
          <w:tcPr>
            <w:tcW w:w="2169" w:type="dxa"/>
            <w:vAlign w:val="center"/>
          </w:tcPr>
          <w:p>
            <w:pPr>
              <w:jc w:val="center"/>
              <w:rPr>
                <w:rFonts w:hint="eastAsia" w:ascii="宋体" w:hAnsi="宋体" w:eastAsia="宋体" w:cs="宋体"/>
                <w:color w:val="auto"/>
                <w:sz w:val="24"/>
                <w:highlight w:val="none"/>
              </w:rPr>
            </w:pPr>
          </w:p>
        </w:tc>
        <w:tc>
          <w:tcPr>
            <w:tcW w:w="1134" w:type="dxa"/>
            <w:vAlign w:val="center"/>
          </w:tcPr>
          <w:p>
            <w:pPr>
              <w:jc w:val="center"/>
              <w:rPr>
                <w:rFonts w:hint="eastAsia" w:ascii="宋体" w:hAnsi="宋体" w:eastAsia="宋体" w:cs="宋体"/>
                <w:color w:val="auto"/>
                <w:sz w:val="24"/>
                <w:highlight w:val="none"/>
              </w:rPr>
            </w:pPr>
          </w:p>
        </w:tc>
        <w:tc>
          <w:tcPr>
            <w:tcW w:w="1842" w:type="dxa"/>
            <w:vAlign w:val="center"/>
          </w:tcPr>
          <w:p>
            <w:pPr>
              <w:jc w:val="center"/>
              <w:rPr>
                <w:rFonts w:hint="eastAsia" w:ascii="宋体" w:hAnsi="宋体" w:eastAsia="宋体" w:cs="宋体"/>
                <w:color w:val="auto"/>
                <w:sz w:val="24"/>
                <w:highlight w:val="none"/>
              </w:rPr>
            </w:pPr>
          </w:p>
        </w:tc>
        <w:tc>
          <w:tcPr>
            <w:tcW w:w="993" w:type="dxa"/>
            <w:vAlign w:val="center"/>
          </w:tcPr>
          <w:p>
            <w:pPr>
              <w:jc w:val="center"/>
              <w:rPr>
                <w:rFonts w:hint="eastAsia" w:ascii="宋体" w:hAnsi="宋体" w:eastAsia="宋体" w:cs="宋体"/>
                <w:color w:val="auto"/>
                <w:sz w:val="24"/>
                <w:highlight w:val="none"/>
              </w:rPr>
            </w:pPr>
          </w:p>
        </w:tc>
        <w:tc>
          <w:tcPr>
            <w:tcW w:w="155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hint="eastAsia" w:ascii="宋体" w:hAnsi="宋体" w:eastAsia="宋体" w:cs="宋体"/>
                <w:color w:val="auto"/>
                <w:sz w:val="24"/>
                <w:highlight w:val="none"/>
              </w:rPr>
            </w:pPr>
          </w:p>
        </w:tc>
        <w:tc>
          <w:tcPr>
            <w:tcW w:w="2169" w:type="dxa"/>
            <w:vAlign w:val="center"/>
          </w:tcPr>
          <w:p>
            <w:pPr>
              <w:jc w:val="center"/>
              <w:rPr>
                <w:rFonts w:hint="eastAsia" w:ascii="宋体" w:hAnsi="宋体" w:eastAsia="宋体" w:cs="宋体"/>
                <w:color w:val="auto"/>
                <w:sz w:val="24"/>
                <w:highlight w:val="none"/>
              </w:rPr>
            </w:pPr>
          </w:p>
        </w:tc>
        <w:tc>
          <w:tcPr>
            <w:tcW w:w="1134" w:type="dxa"/>
            <w:vAlign w:val="center"/>
          </w:tcPr>
          <w:p>
            <w:pPr>
              <w:jc w:val="center"/>
              <w:rPr>
                <w:rFonts w:hint="eastAsia" w:ascii="宋体" w:hAnsi="宋体" w:eastAsia="宋体" w:cs="宋体"/>
                <w:color w:val="auto"/>
                <w:sz w:val="24"/>
                <w:highlight w:val="none"/>
              </w:rPr>
            </w:pPr>
          </w:p>
        </w:tc>
        <w:tc>
          <w:tcPr>
            <w:tcW w:w="1842" w:type="dxa"/>
            <w:vAlign w:val="center"/>
          </w:tcPr>
          <w:p>
            <w:pPr>
              <w:jc w:val="center"/>
              <w:rPr>
                <w:rFonts w:hint="eastAsia" w:ascii="宋体" w:hAnsi="宋体" w:eastAsia="宋体" w:cs="宋体"/>
                <w:color w:val="auto"/>
                <w:sz w:val="24"/>
                <w:highlight w:val="none"/>
              </w:rPr>
            </w:pPr>
          </w:p>
        </w:tc>
        <w:tc>
          <w:tcPr>
            <w:tcW w:w="993" w:type="dxa"/>
            <w:vAlign w:val="center"/>
          </w:tcPr>
          <w:p>
            <w:pPr>
              <w:jc w:val="center"/>
              <w:rPr>
                <w:rFonts w:hint="eastAsia" w:ascii="宋体" w:hAnsi="宋体" w:eastAsia="宋体" w:cs="宋体"/>
                <w:color w:val="auto"/>
                <w:sz w:val="24"/>
                <w:highlight w:val="none"/>
              </w:rPr>
            </w:pPr>
          </w:p>
        </w:tc>
        <w:tc>
          <w:tcPr>
            <w:tcW w:w="155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hint="eastAsia" w:ascii="宋体" w:hAnsi="宋体" w:eastAsia="宋体" w:cs="宋体"/>
                <w:color w:val="auto"/>
                <w:sz w:val="24"/>
                <w:highlight w:val="none"/>
              </w:rPr>
            </w:pPr>
          </w:p>
        </w:tc>
        <w:tc>
          <w:tcPr>
            <w:tcW w:w="2169" w:type="dxa"/>
            <w:vAlign w:val="center"/>
          </w:tcPr>
          <w:p>
            <w:pPr>
              <w:jc w:val="center"/>
              <w:rPr>
                <w:rFonts w:hint="eastAsia" w:ascii="宋体" w:hAnsi="宋体" w:eastAsia="宋体" w:cs="宋体"/>
                <w:color w:val="auto"/>
                <w:sz w:val="24"/>
                <w:highlight w:val="none"/>
              </w:rPr>
            </w:pPr>
          </w:p>
        </w:tc>
        <w:tc>
          <w:tcPr>
            <w:tcW w:w="1134" w:type="dxa"/>
            <w:vAlign w:val="center"/>
          </w:tcPr>
          <w:p>
            <w:pPr>
              <w:jc w:val="center"/>
              <w:rPr>
                <w:rFonts w:hint="eastAsia" w:ascii="宋体" w:hAnsi="宋体" w:eastAsia="宋体" w:cs="宋体"/>
                <w:color w:val="auto"/>
                <w:sz w:val="24"/>
                <w:highlight w:val="none"/>
              </w:rPr>
            </w:pPr>
          </w:p>
        </w:tc>
        <w:tc>
          <w:tcPr>
            <w:tcW w:w="1842" w:type="dxa"/>
            <w:vAlign w:val="center"/>
          </w:tcPr>
          <w:p>
            <w:pPr>
              <w:jc w:val="center"/>
              <w:rPr>
                <w:rFonts w:hint="eastAsia" w:ascii="宋体" w:hAnsi="宋体" w:eastAsia="宋体" w:cs="宋体"/>
                <w:color w:val="auto"/>
                <w:sz w:val="24"/>
                <w:highlight w:val="none"/>
              </w:rPr>
            </w:pPr>
          </w:p>
        </w:tc>
        <w:tc>
          <w:tcPr>
            <w:tcW w:w="993" w:type="dxa"/>
            <w:vAlign w:val="center"/>
          </w:tcPr>
          <w:p>
            <w:pPr>
              <w:jc w:val="center"/>
              <w:rPr>
                <w:rFonts w:hint="eastAsia" w:ascii="宋体" w:hAnsi="宋体" w:eastAsia="宋体" w:cs="宋体"/>
                <w:color w:val="auto"/>
                <w:sz w:val="24"/>
                <w:highlight w:val="none"/>
              </w:rPr>
            </w:pPr>
          </w:p>
        </w:tc>
        <w:tc>
          <w:tcPr>
            <w:tcW w:w="155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hint="eastAsia" w:ascii="宋体" w:hAnsi="宋体" w:eastAsia="宋体" w:cs="宋体"/>
                <w:color w:val="auto"/>
                <w:sz w:val="24"/>
                <w:highlight w:val="none"/>
              </w:rPr>
            </w:pPr>
          </w:p>
        </w:tc>
        <w:tc>
          <w:tcPr>
            <w:tcW w:w="2169" w:type="dxa"/>
            <w:vAlign w:val="center"/>
          </w:tcPr>
          <w:p>
            <w:pPr>
              <w:jc w:val="center"/>
              <w:rPr>
                <w:rFonts w:hint="eastAsia" w:ascii="宋体" w:hAnsi="宋体" w:eastAsia="宋体" w:cs="宋体"/>
                <w:color w:val="auto"/>
                <w:sz w:val="24"/>
                <w:highlight w:val="none"/>
              </w:rPr>
            </w:pPr>
          </w:p>
        </w:tc>
        <w:tc>
          <w:tcPr>
            <w:tcW w:w="1134" w:type="dxa"/>
            <w:vAlign w:val="center"/>
          </w:tcPr>
          <w:p>
            <w:pPr>
              <w:jc w:val="center"/>
              <w:rPr>
                <w:rFonts w:hint="eastAsia" w:ascii="宋体" w:hAnsi="宋体" w:eastAsia="宋体" w:cs="宋体"/>
                <w:color w:val="auto"/>
                <w:sz w:val="24"/>
                <w:highlight w:val="none"/>
              </w:rPr>
            </w:pPr>
          </w:p>
        </w:tc>
        <w:tc>
          <w:tcPr>
            <w:tcW w:w="1842" w:type="dxa"/>
            <w:vAlign w:val="center"/>
          </w:tcPr>
          <w:p>
            <w:pPr>
              <w:jc w:val="center"/>
              <w:rPr>
                <w:rFonts w:hint="eastAsia" w:ascii="宋体" w:hAnsi="宋体" w:eastAsia="宋体" w:cs="宋体"/>
                <w:color w:val="auto"/>
                <w:sz w:val="24"/>
                <w:highlight w:val="none"/>
              </w:rPr>
            </w:pPr>
          </w:p>
        </w:tc>
        <w:tc>
          <w:tcPr>
            <w:tcW w:w="993" w:type="dxa"/>
            <w:vAlign w:val="center"/>
          </w:tcPr>
          <w:p>
            <w:pPr>
              <w:jc w:val="center"/>
              <w:rPr>
                <w:rFonts w:hint="eastAsia" w:ascii="宋体" w:hAnsi="宋体" w:eastAsia="宋体" w:cs="宋体"/>
                <w:color w:val="auto"/>
                <w:sz w:val="24"/>
                <w:highlight w:val="none"/>
              </w:rPr>
            </w:pPr>
          </w:p>
        </w:tc>
        <w:tc>
          <w:tcPr>
            <w:tcW w:w="155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hint="eastAsia" w:ascii="宋体" w:hAnsi="宋体" w:eastAsia="宋体" w:cs="宋体"/>
                <w:color w:val="auto"/>
                <w:sz w:val="24"/>
                <w:highlight w:val="none"/>
              </w:rPr>
            </w:pPr>
          </w:p>
        </w:tc>
        <w:tc>
          <w:tcPr>
            <w:tcW w:w="2169" w:type="dxa"/>
            <w:vAlign w:val="center"/>
          </w:tcPr>
          <w:p>
            <w:pPr>
              <w:jc w:val="center"/>
              <w:rPr>
                <w:rFonts w:hint="eastAsia" w:ascii="宋体" w:hAnsi="宋体" w:eastAsia="宋体" w:cs="宋体"/>
                <w:color w:val="auto"/>
                <w:sz w:val="24"/>
                <w:highlight w:val="none"/>
              </w:rPr>
            </w:pPr>
          </w:p>
        </w:tc>
        <w:tc>
          <w:tcPr>
            <w:tcW w:w="1134" w:type="dxa"/>
            <w:vAlign w:val="center"/>
          </w:tcPr>
          <w:p>
            <w:pPr>
              <w:jc w:val="center"/>
              <w:rPr>
                <w:rFonts w:hint="eastAsia" w:ascii="宋体" w:hAnsi="宋体" w:eastAsia="宋体" w:cs="宋体"/>
                <w:color w:val="auto"/>
                <w:sz w:val="24"/>
                <w:highlight w:val="none"/>
              </w:rPr>
            </w:pPr>
          </w:p>
        </w:tc>
        <w:tc>
          <w:tcPr>
            <w:tcW w:w="1842" w:type="dxa"/>
            <w:vAlign w:val="center"/>
          </w:tcPr>
          <w:p>
            <w:pPr>
              <w:jc w:val="center"/>
              <w:rPr>
                <w:rFonts w:hint="eastAsia" w:ascii="宋体" w:hAnsi="宋体" w:eastAsia="宋体" w:cs="宋体"/>
                <w:color w:val="auto"/>
                <w:sz w:val="24"/>
                <w:highlight w:val="none"/>
              </w:rPr>
            </w:pPr>
          </w:p>
        </w:tc>
        <w:tc>
          <w:tcPr>
            <w:tcW w:w="993" w:type="dxa"/>
            <w:vAlign w:val="center"/>
          </w:tcPr>
          <w:p>
            <w:pPr>
              <w:jc w:val="center"/>
              <w:rPr>
                <w:rFonts w:hint="eastAsia" w:ascii="宋体" w:hAnsi="宋体" w:eastAsia="宋体" w:cs="宋体"/>
                <w:color w:val="auto"/>
                <w:sz w:val="24"/>
                <w:highlight w:val="none"/>
              </w:rPr>
            </w:pPr>
          </w:p>
        </w:tc>
        <w:tc>
          <w:tcPr>
            <w:tcW w:w="1559" w:type="dxa"/>
            <w:vAlign w:val="center"/>
          </w:tcPr>
          <w:p>
            <w:pPr>
              <w:jc w:val="center"/>
              <w:rPr>
                <w:rFonts w:hint="eastAsia" w:ascii="宋体" w:hAnsi="宋体" w:eastAsia="宋体" w:cs="宋体"/>
                <w:color w:val="auto"/>
                <w:sz w:val="24"/>
                <w:highlight w:val="none"/>
              </w:rPr>
            </w:pPr>
          </w:p>
        </w:tc>
      </w:tr>
    </w:tbl>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1.本表中的名称、数量应与报价明细表中相对应的报价名称、数量一致。</w:t>
      </w:r>
    </w:p>
    <w:p>
      <w:pPr>
        <w:spacing w:line="360" w:lineRule="auto"/>
        <w:rPr>
          <w:rFonts w:hint="eastAsia" w:ascii="宋体" w:hAnsi="宋体" w:eastAsia="宋体" w:cs="宋体"/>
          <w:color w:val="auto"/>
          <w:sz w:val="24"/>
          <w:highlight w:val="none"/>
        </w:rPr>
      </w:pP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投标人名称（盖章）：</w:t>
      </w:r>
      <w:r>
        <w:rPr>
          <w:rFonts w:hint="eastAsia" w:ascii="宋体" w:hAnsi="宋体" w:eastAsia="宋体" w:cs="宋体"/>
          <w:color w:val="auto"/>
          <w:sz w:val="24"/>
          <w:highlight w:val="none"/>
          <w:u w:val="single"/>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eastAsia="zh-CN"/>
        </w:rPr>
        <w:t>法定代表人或授权委托</w:t>
      </w:r>
      <w:r>
        <w:rPr>
          <w:rFonts w:hint="eastAsia" w:ascii="宋体" w:hAnsi="宋体" w:eastAsia="宋体" w:cs="宋体"/>
          <w:color w:val="auto"/>
          <w:sz w:val="24"/>
          <w:highlight w:val="none"/>
          <w:lang w:val="en-US" w:eastAsia="zh-CN"/>
        </w:rPr>
        <w:t>代理</w:t>
      </w:r>
      <w:r>
        <w:rPr>
          <w:rFonts w:hint="eastAsia" w:ascii="宋体" w:hAnsi="宋体" w:eastAsia="宋体" w:cs="宋体"/>
          <w:color w:val="auto"/>
          <w:sz w:val="24"/>
          <w:highlight w:val="none"/>
          <w:lang w:val="zh-CN" w:eastAsia="zh-CN"/>
        </w:rPr>
        <w:t>人（签字</w:t>
      </w:r>
      <w:r>
        <w:rPr>
          <w:rFonts w:hint="eastAsia" w:ascii="宋体" w:hAnsi="宋体" w:eastAsia="宋体" w:cs="宋体"/>
          <w:color w:val="auto"/>
          <w:sz w:val="24"/>
          <w:highlight w:val="none"/>
          <w:lang w:val="en-US" w:eastAsia="zh-CN"/>
        </w:rPr>
        <w:t>或盖章</w:t>
      </w: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bidi w:val="0"/>
        <w:spacing w:line="360" w:lineRule="auto"/>
        <w:jc w:val="left"/>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9</w:t>
      </w:r>
    </w:p>
    <w:p>
      <w:pPr>
        <w:spacing w:line="360" w:lineRule="auto"/>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kern w:val="0"/>
          <w:sz w:val="32"/>
          <w:szCs w:val="32"/>
          <w:highlight w:val="none"/>
        </w:rPr>
        <w:t>技术需求响应表</w:t>
      </w:r>
      <w:r>
        <w:rPr>
          <w:rFonts w:hint="eastAsia" w:ascii="宋体" w:hAnsi="宋体" w:cs="宋体"/>
          <w:b/>
          <w:bCs/>
          <w:color w:val="auto"/>
          <w:kern w:val="0"/>
          <w:sz w:val="32"/>
          <w:szCs w:val="32"/>
          <w:highlight w:val="none"/>
          <w:lang w:eastAsia="zh-CN"/>
        </w:rPr>
        <w:t>（</w:t>
      </w:r>
      <w:r>
        <w:rPr>
          <w:rFonts w:hint="eastAsia" w:ascii="宋体" w:hAnsi="宋体" w:cs="宋体"/>
          <w:b/>
          <w:bCs/>
          <w:color w:val="auto"/>
          <w:kern w:val="0"/>
          <w:sz w:val="32"/>
          <w:szCs w:val="32"/>
          <w:highlight w:val="none"/>
          <w:lang w:val="en-US" w:eastAsia="zh-CN"/>
        </w:rPr>
        <w:t>标段</w:t>
      </w:r>
      <w:r>
        <w:rPr>
          <w:rFonts w:hint="eastAsia" w:ascii="宋体" w:hAnsi="宋体" w:cs="宋体"/>
          <w:b/>
          <w:bCs/>
          <w:color w:val="auto"/>
          <w:kern w:val="0"/>
          <w:sz w:val="32"/>
          <w:szCs w:val="32"/>
          <w:highlight w:val="none"/>
          <w:lang w:eastAsia="zh-CN"/>
        </w:rPr>
        <w:t>）</w:t>
      </w:r>
    </w:p>
    <w:p>
      <w:pPr>
        <w:spacing w:line="360" w:lineRule="auto"/>
        <w:rPr>
          <w:rFonts w:hint="eastAsia" w:ascii="宋体" w:hAnsi="宋体" w:eastAsia="宋体" w:cs="宋体"/>
          <w:color w:val="auto"/>
          <w:sz w:val="24"/>
          <w:highlight w:val="none"/>
        </w:rPr>
      </w:pPr>
    </w:p>
    <w:tbl>
      <w:tblPr>
        <w:tblStyle w:val="27"/>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785" w:type="dxa"/>
            <w:vAlign w:val="center"/>
          </w:tcPr>
          <w:p>
            <w:pPr>
              <w:spacing w:line="360" w:lineRule="auto"/>
              <w:ind w:left="13" w:leftChars="6"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449" w:type="dxa"/>
            <w:vAlign w:val="center"/>
          </w:tcPr>
          <w:p>
            <w:pPr>
              <w:spacing w:line="360" w:lineRule="auto"/>
              <w:ind w:left="5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规格型号</w:t>
            </w:r>
          </w:p>
        </w:tc>
        <w:tc>
          <w:tcPr>
            <w:tcW w:w="1560" w:type="dxa"/>
            <w:vAlign w:val="center"/>
          </w:tcPr>
          <w:p>
            <w:pPr>
              <w:spacing w:line="360" w:lineRule="auto"/>
              <w:ind w:left="15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招标参数</w:t>
            </w:r>
          </w:p>
        </w:tc>
        <w:tc>
          <w:tcPr>
            <w:tcW w:w="1401" w:type="dxa"/>
            <w:vAlign w:val="center"/>
          </w:tcPr>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投标参数</w:t>
            </w:r>
          </w:p>
        </w:tc>
        <w:tc>
          <w:tcPr>
            <w:tcW w:w="1365" w:type="dxa"/>
            <w:vAlign w:val="center"/>
          </w:tcPr>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hint="eastAsia" w:ascii="宋体" w:hAnsi="宋体" w:eastAsia="宋体" w:cs="宋体"/>
                <w:color w:val="auto"/>
                <w:sz w:val="24"/>
                <w:highlight w:val="none"/>
              </w:rPr>
            </w:pPr>
          </w:p>
        </w:tc>
        <w:tc>
          <w:tcPr>
            <w:tcW w:w="1785" w:type="dxa"/>
            <w:vAlign w:val="center"/>
          </w:tcPr>
          <w:p>
            <w:pPr>
              <w:spacing w:line="360" w:lineRule="auto"/>
              <w:rPr>
                <w:rFonts w:hint="eastAsia" w:ascii="宋体" w:hAnsi="宋体" w:eastAsia="宋体" w:cs="宋体"/>
                <w:color w:val="auto"/>
                <w:sz w:val="24"/>
                <w:highlight w:val="none"/>
              </w:rPr>
            </w:pPr>
          </w:p>
        </w:tc>
        <w:tc>
          <w:tcPr>
            <w:tcW w:w="1449" w:type="dxa"/>
            <w:vAlign w:val="center"/>
          </w:tcPr>
          <w:p>
            <w:pPr>
              <w:spacing w:line="360" w:lineRule="auto"/>
              <w:rPr>
                <w:rFonts w:hint="eastAsia" w:ascii="宋体" w:hAnsi="宋体" w:eastAsia="宋体" w:cs="宋体"/>
                <w:color w:val="auto"/>
                <w:sz w:val="24"/>
                <w:highlight w:val="none"/>
              </w:rPr>
            </w:pPr>
          </w:p>
        </w:tc>
        <w:tc>
          <w:tcPr>
            <w:tcW w:w="1560" w:type="dxa"/>
            <w:vAlign w:val="center"/>
          </w:tcPr>
          <w:p>
            <w:pPr>
              <w:spacing w:line="360" w:lineRule="auto"/>
              <w:rPr>
                <w:rFonts w:hint="eastAsia" w:ascii="宋体" w:hAnsi="宋体" w:eastAsia="宋体" w:cs="宋体"/>
                <w:color w:val="auto"/>
                <w:sz w:val="24"/>
                <w:highlight w:val="none"/>
              </w:rPr>
            </w:pPr>
          </w:p>
        </w:tc>
        <w:tc>
          <w:tcPr>
            <w:tcW w:w="1401" w:type="dxa"/>
            <w:vAlign w:val="center"/>
          </w:tcPr>
          <w:p>
            <w:pPr>
              <w:spacing w:line="360" w:lineRule="auto"/>
              <w:rPr>
                <w:rFonts w:hint="eastAsia" w:ascii="宋体" w:hAnsi="宋体" w:eastAsia="宋体" w:cs="宋体"/>
                <w:color w:val="auto"/>
                <w:sz w:val="24"/>
                <w:highlight w:val="none"/>
              </w:rPr>
            </w:pPr>
          </w:p>
        </w:tc>
        <w:tc>
          <w:tcPr>
            <w:tcW w:w="1365" w:type="dxa"/>
            <w:vAlign w:val="center"/>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hint="eastAsia" w:ascii="宋体" w:hAnsi="宋体" w:eastAsia="宋体" w:cs="宋体"/>
                <w:color w:val="auto"/>
                <w:sz w:val="24"/>
                <w:highlight w:val="none"/>
              </w:rPr>
            </w:pPr>
          </w:p>
        </w:tc>
        <w:tc>
          <w:tcPr>
            <w:tcW w:w="1785" w:type="dxa"/>
            <w:vAlign w:val="center"/>
          </w:tcPr>
          <w:p>
            <w:pPr>
              <w:spacing w:line="360" w:lineRule="auto"/>
              <w:rPr>
                <w:rFonts w:hint="eastAsia" w:ascii="宋体" w:hAnsi="宋体" w:eastAsia="宋体" w:cs="宋体"/>
                <w:color w:val="auto"/>
                <w:sz w:val="24"/>
                <w:highlight w:val="none"/>
              </w:rPr>
            </w:pPr>
          </w:p>
        </w:tc>
        <w:tc>
          <w:tcPr>
            <w:tcW w:w="1449" w:type="dxa"/>
            <w:vAlign w:val="center"/>
          </w:tcPr>
          <w:p>
            <w:pPr>
              <w:spacing w:line="360" w:lineRule="auto"/>
              <w:rPr>
                <w:rFonts w:hint="eastAsia" w:ascii="宋体" w:hAnsi="宋体" w:eastAsia="宋体" w:cs="宋体"/>
                <w:color w:val="auto"/>
                <w:sz w:val="24"/>
                <w:highlight w:val="none"/>
              </w:rPr>
            </w:pPr>
          </w:p>
        </w:tc>
        <w:tc>
          <w:tcPr>
            <w:tcW w:w="1560" w:type="dxa"/>
            <w:vAlign w:val="center"/>
          </w:tcPr>
          <w:p>
            <w:pPr>
              <w:spacing w:line="360" w:lineRule="auto"/>
              <w:rPr>
                <w:rFonts w:hint="eastAsia" w:ascii="宋体" w:hAnsi="宋体" w:eastAsia="宋体" w:cs="宋体"/>
                <w:color w:val="auto"/>
                <w:sz w:val="24"/>
                <w:highlight w:val="none"/>
              </w:rPr>
            </w:pPr>
          </w:p>
        </w:tc>
        <w:tc>
          <w:tcPr>
            <w:tcW w:w="1401" w:type="dxa"/>
            <w:vAlign w:val="center"/>
          </w:tcPr>
          <w:p>
            <w:pPr>
              <w:spacing w:line="360" w:lineRule="auto"/>
              <w:rPr>
                <w:rFonts w:hint="eastAsia" w:ascii="宋体" w:hAnsi="宋体" w:eastAsia="宋体" w:cs="宋体"/>
                <w:color w:val="auto"/>
                <w:sz w:val="24"/>
                <w:highlight w:val="none"/>
              </w:rPr>
            </w:pPr>
          </w:p>
        </w:tc>
        <w:tc>
          <w:tcPr>
            <w:tcW w:w="1365" w:type="dxa"/>
            <w:vAlign w:val="center"/>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hint="eastAsia" w:ascii="宋体" w:hAnsi="宋体" w:eastAsia="宋体" w:cs="宋体"/>
                <w:color w:val="auto"/>
                <w:sz w:val="24"/>
                <w:highlight w:val="none"/>
              </w:rPr>
            </w:pPr>
          </w:p>
        </w:tc>
        <w:tc>
          <w:tcPr>
            <w:tcW w:w="1785" w:type="dxa"/>
            <w:vAlign w:val="center"/>
          </w:tcPr>
          <w:p>
            <w:pPr>
              <w:spacing w:line="360" w:lineRule="auto"/>
              <w:rPr>
                <w:rFonts w:hint="eastAsia" w:ascii="宋体" w:hAnsi="宋体" w:eastAsia="宋体" w:cs="宋体"/>
                <w:color w:val="auto"/>
                <w:sz w:val="24"/>
                <w:highlight w:val="none"/>
              </w:rPr>
            </w:pPr>
          </w:p>
        </w:tc>
        <w:tc>
          <w:tcPr>
            <w:tcW w:w="1449" w:type="dxa"/>
            <w:vAlign w:val="center"/>
          </w:tcPr>
          <w:p>
            <w:pPr>
              <w:spacing w:line="360" w:lineRule="auto"/>
              <w:rPr>
                <w:rFonts w:hint="eastAsia" w:ascii="宋体" w:hAnsi="宋体" w:eastAsia="宋体" w:cs="宋体"/>
                <w:color w:val="auto"/>
                <w:sz w:val="24"/>
                <w:highlight w:val="none"/>
              </w:rPr>
            </w:pPr>
          </w:p>
        </w:tc>
        <w:tc>
          <w:tcPr>
            <w:tcW w:w="1560" w:type="dxa"/>
            <w:vAlign w:val="center"/>
          </w:tcPr>
          <w:p>
            <w:pPr>
              <w:spacing w:line="360" w:lineRule="auto"/>
              <w:rPr>
                <w:rFonts w:hint="eastAsia" w:ascii="宋体" w:hAnsi="宋体" w:eastAsia="宋体" w:cs="宋体"/>
                <w:color w:val="auto"/>
                <w:sz w:val="24"/>
                <w:highlight w:val="none"/>
              </w:rPr>
            </w:pPr>
          </w:p>
        </w:tc>
        <w:tc>
          <w:tcPr>
            <w:tcW w:w="1401" w:type="dxa"/>
            <w:vAlign w:val="center"/>
          </w:tcPr>
          <w:p>
            <w:pPr>
              <w:spacing w:line="360" w:lineRule="auto"/>
              <w:rPr>
                <w:rFonts w:hint="eastAsia" w:ascii="宋体" w:hAnsi="宋体" w:eastAsia="宋体" w:cs="宋体"/>
                <w:color w:val="auto"/>
                <w:sz w:val="24"/>
                <w:highlight w:val="none"/>
              </w:rPr>
            </w:pPr>
          </w:p>
        </w:tc>
        <w:tc>
          <w:tcPr>
            <w:tcW w:w="1365" w:type="dxa"/>
            <w:vAlign w:val="center"/>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hint="eastAsia" w:ascii="宋体" w:hAnsi="宋体" w:eastAsia="宋体" w:cs="宋体"/>
                <w:color w:val="auto"/>
                <w:sz w:val="24"/>
                <w:highlight w:val="none"/>
              </w:rPr>
            </w:pPr>
          </w:p>
        </w:tc>
        <w:tc>
          <w:tcPr>
            <w:tcW w:w="1785" w:type="dxa"/>
            <w:vAlign w:val="center"/>
          </w:tcPr>
          <w:p>
            <w:pPr>
              <w:spacing w:line="360" w:lineRule="auto"/>
              <w:rPr>
                <w:rFonts w:hint="eastAsia" w:ascii="宋体" w:hAnsi="宋体" w:eastAsia="宋体" w:cs="宋体"/>
                <w:color w:val="auto"/>
                <w:sz w:val="24"/>
                <w:highlight w:val="none"/>
              </w:rPr>
            </w:pPr>
          </w:p>
        </w:tc>
        <w:tc>
          <w:tcPr>
            <w:tcW w:w="1449" w:type="dxa"/>
            <w:vAlign w:val="center"/>
          </w:tcPr>
          <w:p>
            <w:pPr>
              <w:spacing w:line="360" w:lineRule="auto"/>
              <w:rPr>
                <w:rFonts w:hint="eastAsia" w:ascii="宋体" w:hAnsi="宋体" w:eastAsia="宋体" w:cs="宋体"/>
                <w:color w:val="auto"/>
                <w:sz w:val="24"/>
                <w:highlight w:val="none"/>
              </w:rPr>
            </w:pPr>
          </w:p>
        </w:tc>
        <w:tc>
          <w:tcPr>
            <w:tcW w:w="1560" w:type="dxa"/>
            <w:vAlign w:val="center"/>
          </w:tcPr>
          <w:p>
            <w:pPr>
              <w:spacing w:line="360" w:lineRule="auto"/>
              <w:rPr>
                <w:rFonts w:hint="eastAsia" w:ascii="宋体" w:hAnsi="宋体" w:eastAsia="宋体" w:cs="宋体"/>
                <w:color w:val="auto"/>
                <w:sz w:val="24"/>
                <w:highlight w:val="none"/>
              </w:rPr>
            </w:pPr>
          </w:p>
        </w:tc>
        <w:tc>
          <w:tcPr>
            <w:tcW w:w="1401" w:type="dxa"/>
            <w:vAlign w:val="center"/>
          </w:tcPr>
          <w:p>
            <w:pPr>
              <w:spacing w:line="360" w:lineRule="auto"/>
              <w:rPr>
                <w:rFonts w:hint="eastAsia" w:ascii="宋体" w:hAnsi="宋体" w:eastAsia="宋体" w:cs="宋体"/>
                <w:color w:val="auto"/>
                <w:sz w:val="24"/>
                <w:highlight w:val="none"/>
              </w:rPr>
            </w:pPr>
          </w:p>
        </w:tc>
        <w:tc>
          <w:tcPr>
            <w:tcW w:w="1365" w:type="dxa"/>
            <w:vAlign w:val="center"/>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hint="eastAsia" w:ascii="宋体" w:hAnsi="宋体" w:eastAsia="宋体" w:cs="宋体"/>
                <w:color w:val="auto"/>
                <w:sz w:val="24"/>
                <w:highlight w:val="none"/>
              </w:rPr>
            </w:pPr>
          </w:p>
        </w:tc>
        <w:tc>
          <w:tcPr>
            <w:tcW w:w="1785" w:type="dxa"/>
            <w:vAlign w:val="center"/>
          </w:tcPr>
          <w:p>
            <w:pPr>
              <w:spacing w:line="360" w:lineRule="auto"/>
              <w:rPr>
                <w:rFonts w:hint="eastAsia" w:ascii="宋体" w:hAnsi="宋体" w:eastAsia="宋体" w:cs="宋体"/>
                <w:color w:val="auto"/>
                <w:sz w:val="24"/>
                <w:highlight w:val="none"/>
              </w:rPr>
            </w:pPr>
          </w:p>
        </w:tc>
        <w:tc>
          <w:tcPr>
            <w:tcW w:w="1449" w:type="dxa"/>
            <w:vAlign w:val="center"/>
          </w:tcPr>
          <w:p>
            <w:pPr>
              <w:spacing w:line="360" w:lineRule="auto"/>
              <w:rPr>
                <w:rFonts w:hint="eastAsia" w:ascii="宋体" w:hAnsi="宋体" w:eastAsia="宋体" w:cs="宋体"/>
                <w:color w:val="auto"/>
                <w:sz w:val="24"/>
                <w:highlight w:val="none"/>
              </w:rPr>
            </w:pPr>
          </w:p>
        </w:tc>
        <w:tc>
          <w:tcPr>
            <w:tcW w:w="1560" w:type="dxa"/>
            <w:vAlign w:val="center"/>
          </w:tcPr>
          <w:p>
            <w:pPr>
              <w:spacing w:line="360" w:lineRule="auto"/>
              <w:rPr>
                <w:rFonts w:hint="eastAsia" w:ascii="宋体" w:hAnsi="宋体" w:eastAsia="宋体" w:cs="宋体"/>
                <w:color w:val="auto"/>
                <w:sz w:val="24"/>
                <w:highlight w:val="none"/>
              </w:rPr>
            </w:pPr>
          </w:p>
        </w:tc>
        <w:tc>
          <w:tcPr>
            <w:tcW w:w="1401" w:type="dxa"/>
            <w:vAlign w:val="center"/>
          </w:tcPr>
          <w:p>
            <w:pPr>
              <w:spacing w:line="360" w:lineRule="auto"/>
              <w:rPr>
                <w:rFonts w:hint="eastAsia" w:ascii="宋体" w:hAnsi="宋体" w:eastAsia="宋体" w:cs="宋体"/>
                <w:color w:val="auto"/>
                <w:sz w:val="24"/>
                <w:highlight w:val="none"/>
              </w:rPr>
            </w:pPr>
          </w:p>
        </w:tc>
        <w:tc>
          <w:tcPr>
            <w:tcW w:w="1365" w:type="dxa"/>
            <w:vAlign w:val="center"/>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hint="eastAsia" w:ascii="宋体" w:hAnsi="宋体" w:eastAsia="宋体" w:cs="宋体"/>
                <w:color w:val="auto"/>
                <w:sz w:val="24"/>
                <w:highlight w:val="none"/>
              </w:rPr>
            </w:pPr>
          </w:p>
        </w:tc>
        <w:tc>
          <w:tcPr>
            <w:tcW w:w="1785" w:type="dxa"/>
            <w:vAlign w:val="center"/>
          </w:tcPr>
          <w:p>
            <w:pPr>
              <w:spacing w:line="360" w:lineRule="auto"/>
              <w:rPr>
                <w:rFonts w:hint="eastAsia" w:ascii="宋体" w:hAnsi="宋体" w:eastAsia="宋体" w:cs="宋体"/>
                <w:color w:val="auto"/>
                <w:sz w:val="24"/>
                <w:highlight w:val="none"/>
              </w:rPr>
            </w:pPr>
          </w:p>
        </w:tc>
        <w:tc>
          <w:tcPr>
            <w:tcW w:w="1449" w:type="dxa"/>
            <w:vAlign w:val="center"/>
          </w:tcPr>
          <w:p>
            <w:pPr>
              <w:spacing w:line="360" w:lineRule="auto"/>
              <w:rPr>
                <w:rFonts w:hint="eastAsia" w:ascii="宋体" w:hAnsi="宋体" w:eastAsia="宋体" w:cs="宋体"/>
                <w:color w:val="auto"/>
                <w:sz w:val="24"/>
                <w:highlight w:val="none"/>
              </w:rPr>
            </w:pPr>
          </w:p>
        </w:tc>
        <w:tc>
          <w:tcPr>
            <w:tcW w:w="1560" w:type="dxa"/>
            <w:vAlign w:val="center"/>
          </w:tcPr>
          <w:p>
            <w:pPr>
              <w:spacing w:line="360" w:lineRule="auto"/>
              <w:rPr>
                <w:rFonts w:hint="eastAsia" w:ascii="宋体" w:hAnsi="宋体" w:eastAsia="宋体" w:cs="宋体"/>
                <w:color w:val="auto"/>
                <w:sz w:val="24"/>
                <w:highlight w:val="none"/>
              </w:rPr>
            </w:pPr>
          </w:p>
        </w:tc>
        <w:tc>
          <w:tcPr>
            <w:tcW w:w="1401" w:type="dxa"/>
            <w:vAlign w:val="center"/>
          </w:tcPr>
          <w:p>
            <w:pPr>
              <w:spacing w:line="360" w:lineRule="auto"/>
              <w:rPr>
                <w:rFonts w:hint="eastAsia" w:ascii="宋体" w:hAnsi="宋体" w:eastAsia="宋体" w:cs="宋体"/>
                <w:color w:val="auto"/>
                <w:sz w:val="24"/>
                <w:highlight w:val="none"/>
              </w:rPr>
            </w:pPr>
          </w:p>
        </w:tc>
        <w:tc>
          <w:tcPr>
            <w:tcW w:w="1365" w:type="dxa"/>
            <w:vAlign w:val="center"/>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hint="eastAsia" w:ascii="宋体" w:hAnsi="宋体" w:eastAsia="宋体" w:cs="宋体"/>
                <w:color w:val="auto"/>
                <w:sz w:val="24"/>
                <w:highlight w:val="none"/>
              </w:rPr>
            </w:pPr>
          </w:p>
        </w:tc>
        <w:tc>
          <w:tcPr>
            <w:tcW w:w="1785" w:type="dxa"/>
            <w:vAlign w:val="center"/>
          </w:tcPr>
          <w:p>
            <w:pPr>
              <w:spacing w:line="360" w:lineRule="auto"/>
              <w:rPr>
                <w:rFonts w:hint="eastAsia" w:ascii="宋体" w:hAnsi="宋体" w:eastAsia="宋体" w:cs="宋体"/>
                <w:color w:val="auto"/>
                <w:sz w:val="24"/>
                <w:highlight w:val="none"/>
              </w:rPr>
            </w:pPr>
          </w:p>
        </w:tc>
        <w:tc>
          <w:tcPr>
            <w:tcW w:w="1449" w:type="dxa"/>
            <w:vAlign w:val="center"/>
          </w:tcPr>
          <w:p>
            <w:pPr>
              <w:spacing w:line="360" w:lineRule="auto"/>
              <w:rPr>
                <w:rFonts w:hint="eastAsia" w:ascii="宋体" w:hAnsi="宋体" w:eastAsia="宋体" w:cs="宋体"/>
                <w:color w:val="auto"/>
                <w:sz w:val="24"/>
                <w:highlight w:val="none"/>
              </w:rPr>
            </w:pPr>
          </w:p>
        </w:tc>
        <w:tc>
          <w:tcPr>
            <w:tcW w:w="1560" w:type="dxa"/>
            <w:vAlign w:val="center"/>
          </w:tcPr>
          <w:p>
            <w:pPr>
              <w:spacing w:line="360" w:lineRule="auto"/>
              <w:rPr>
                <w:rFonts w:hint="eastAsia" w:ascii="宋体" w:hAnsi="宋体" w:eastAsia="宋体" w:cs="宋体"/>
                <w:color w:val="auto"/>
                <w:sz w:val="24"/>
                <w:highlight w:val="none"/>
              </w:rPr>
            </w:pPr>
          </w:p>
        </w:tc>
        <w:tc>
          <w:tcPr>
            <w:tcW w:w="1401" w:type="dxa"/>
            <w:vAlign w:val="center"/>
          </w:tcPr>
          <w:p>
            <w:pPr>
              <w:spacing w:line="360" w:lineRule="auto"/>
              <w:rPr>
                <w:rFonts w:hint="eastAsia" w:ascii="宋体" w:hAnsi="宋体" w:eastAsia="宋体" w:cs="宋体"/>
                <w:color w:val="auto"/>
                <w:sz w:val="24"/>
                <w:highlight w:val="none"/>
              </w:rPr>
            </w:pPr>
          </w:p>
        </w:tc>
        <w:tc>
          <w:tcPr>
            <w:tcW w:w="1365" w:type="dxa"/>
            <w:vAlign w:val="center"/>
          </w:tcPr>
          <w:p>
            <w:pPr>
              <w:spacing w:line="360" w:lineRule="auto"/>
              <w:rPr>
                <w:rFonts w:hint="eastAsia" w:ascii="宋体" w:hAnsi="宋体" w:eastAsia="宋体" w:cs="宋体"/>
                <w:color w:val="auto"/>
                <w:sz w:val="24"/>
                <w:highlight w:val="none"/>
              </w:rPr>
            </w:pPr>
          </w:p>
        </w:tc>
      </w:tr>
    </w:tbl>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1.本表的名称须与《报价明细表》一致。</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2.本表参照本招标文件第</w:t>
      </w:r>
      <w:r>
        <w:rPr>
          <w:rFonts w:hint="eastAsia" w:ascii="宋体" w:hAnsi="宋体" w:eastAsia="宋体" w:cs="宋体"/>
          <w:color w:val="auto"/>
          <w:sz w:val="24"/>
          <w:highlight w:val="none"/>
          <w:lang w:eastAsia="zh-CN"/>
        </w:rPr>
        <w:t>四章</w:t>
      </w:r>
      <w:r>
        <w:rPr>
          <w:rFonts w:hint="eastAsia" w:ascii="宋体" w:hAnsi="宋体" w:eastAsia="宋体" w:cs="宋体"/>
          <w:color w:val="auto"/>
          <w:sz w:val="24"/>
          <w:highlight w:val="none"/>
        </w:rPr>
        <w:t>“公开招标需求”</w:t>
      </w:r>
      <w:r>
        <w:rPr>
          <w:rFonts w:hint="eastAsia" w:ascii="宋体" w:hAnsi="宋体" w:eastAsia="宋体" w:cs="宋体"/>
          <w:color w:val="auto"/>
          <w:sz w:val="24"/>
          <w:highlight w:val="none"/>
          <w:lang w:eastAsia="zh-CN"/>
        </w:rPr>
        <w:t>内容</w:t>
      </w:r>
      <w:r>
        <w:rPr>
          <w:rFonts w:hint="eastAsia" w:ascii="宋体" w:hAnsi="宋体" w:eastAsia="宋体" w:cs="宋体"/>
          <w:color w:val="auto"/>
          <w:sz w:val="24"/>
          <w:highlight w:val="none"/>
        </w:rPr>
        <w:t>填制，投标人应根据投标设备的性能指标、服务指标，对照招标文件要求在“偏离情况”栏注明“正偏离”、“负偏离”或“无偏离”。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hint="eastAsia" w:ascii="宋体" w:hAnsi="宋体" w:eastAsia="宋体" w:cs="宋体"/>
          <w:color w:val="auto"/>
          <w:sz w:val="24"/>
          <w:highlight w:val="none"/>
        </w:rPr>
      </w:pPr>
    </w:p>
    <w:p>
      <w:pPr>
        <w:spacing w:line="48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投标人名称（盖章）：</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eastAsia="zh-CN"/>
        </w:rPr>
        <w:t>法定代表人或授权委托</w:t>
      </w:r>
      <w:r>
        <w:rPr>
          <w:rFonts w:hint="eastAsia" w:ascii="宋体" w:hAnsi="宋体" w:eastAsia="宋体" w:cs="宋体"/>
          <w:color w:val="auto"/>
          <w:sz w:val="24"/>
          <w:highlight w:val="none"/>
          <w:lang w:val="en-US" w:eastAsia="zh-CN"/>
        </w:rPr>
        <w:t>代理</w:t>
      </w:r>
      <w:r>
        <w:rPr>
          <w:rFonts w:hint="eastAsia" w:ascii="宋体" w:hAnsi="宋体" w:eastAsia="宋体" w:cs="宋体"/>
          <w:color w:val="auto"/>
          <w:sz w:val="24"/>
          <w:highlight w:val="none"/>
          <w:lang w:val="zh-CN" w:eastAsia="zh-CN"/>
        </w:rPr>
        <w:t>人（签字</w:t>
      </w:r>
      <w:r>
        <w:rPr>
          <w:rFonts w:hint="eastAsia" w:ascii="宋体" w:hAnsi="宋体" w:eastAsia="宋体" w:cs="宋体"/>
          <w:color w:val="auto"/>
          <w:sz w:val="24"/>
          <w:highlight w:val="none"/>
          <w:lang w:val="en-US" w:eastAsia="zh-CN"/>
        </w:rPr>
        <w:t>或盖章</w:t>
      </w: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lang w:val="en-US" w:eastAsia="zh-CN"/>
        </w:rPr>
        <w:t xml:space="preserve">                         </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bidi w:val="0"/>
        <w:spacing w:line="360" w:lineRule="auto"/>
        <w:jc w:val="left"/>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10</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证书一览表</w:t>
      </w:r>
    </w:p>
    <w:p>
      <w:pPr>
        <w:bidi w:val="0"/>
        <w:spacing w:line="360" w:lineRule="auto"/>
        <w:jc w:val="left"/>
        <w:rPr>
          <w:rFonts w:hint="eastAsia" w:ascii="宋体" w:hAnsi="宋体" w:eastAsia="宋体" w:cs="宋体"/>
          <w:b/>
          <w:bCs/>
          <w:color w:val="auto"/>
          <w:sz w:val="24"/>
          <w:szCs w:val="32"/>
          <w:highlight w:val="none"/>
          <w:lang w:val="zh-CN"/>
        </w:rPr>
      </w:pPr>
    </w:p>
    <w:tbl>
      <w:tblPr>
        <w:tblStyle w:val="27"/>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54"/>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证书名称</w:t>
            </w:r>
          </w:p>
        </w:tc>
        <w:tc>
          <w:tcPr>
            <w:tcW w:w="2258" w:type="dxa"/>
            <w:tcBorders>
              <w:top w:val="double" w:color="auto" w:sz="4" w:space="0"/>
            </w:tcBorders>
          </w:tcPr>
          <w:p>
            <w:pPr>
              <w:pStyle w:val="54"/>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发证单位</w:t>
            </w:r>
          </w:p>
        </w:tc>
        <w:tc>
          <w:tcPr>
            <w:tcW w:w="2260" w:type="dxa"/>
            <w:tcBorders>
              <w:top w:val="double" w:color="auto" w:sz="4" w:space="0"/>
            </w:tcBorders>
          </w:tcPr>
          <w:p>
            <w:pPr>
              <w:pStyle w:val="54"/>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证书等级</w:t>
            </w:r>
          </w:p>
        </w:tc>
        <w:tc>
          <w:tcPr>
            <w:tcW w:w="2047" w:type="dxa"/>
            <w:tcBorders>
              <w:top w:val="double" w:color="auto" w:sz="4" w:space="0"/>
              <w:right w:val="single" w:color="auto" w:sz="4" w:space="0"/>
            </w:tcBorders>
          </w:tcPr>
          <w:p>
            <w:pPr>
              <w:pStyle w:val="54"/>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4"/>
              <w:spacing w:line="360" w:lineRule="auto"/>
              <w:jc w:val="center"/>
              <w:rPr>
                <w:rFonts w:hint="eastAsia" w:ascii="宋体" w:hAnsi="宋体" w:eastAsia="宋体" w:cs="宋体"/>
                <w:color w:val="auto"/>
                <w:szCs w:val="21"/>
                <w:highlight w:val="none"/>
              </w:rPr>
            </w:pPr>
          </w:p>
        </w:tc>
        <w:tc>
          <w:tcPr>
            <w:tcW w:w="2258" w:type="dxa"/>
          </w:tcPr>
          <w:p>
            <w:pPr>
              <w:pStyle w:val="54"/>
              <w:spacing w:line="360" w:lineRule="auto"/>
              <w:jc w:val="center"/>
              <w:rPr>
                <w:rFonts w:hint="eastAsia" w:ascii="宋体" w:hAnsi="宋体" w:eastAsia="宋体" w:cs="宋体"/>
                <w:color w:val="auto"/>
                <w:szCs w:val="21"/>
                <w:highlight w:val="none"/>
              </w:rPr>
            </w:pPr>
          </w:p>
        </w:tc>
        <w:tc>
          <w:tcPr>
            <w:tcW w:w="2260" w:type="dxa"/>
          </w:tcPr>
          <w:p>
            <w:pPr>
              <w:pStyle w:val="54"/>
              <w:spacing w:line="360" w:lineRule="auto"/>
              <w:jc w:val="center"/>
              <w:rPr>
                <w:rFonts w:hint="eastAsia" w:ascii="宋体" w:hAnsi="宋体" w:eastAsia="宋体" w:cs="宋体"/>
                <w:color w:val="auto"/>
                <w:szCs w:val="21"/>
                <w:highlight w:val="none"/>
              </w:rPr>
            </w:pPr>
          </w:p>
        </w:tc>
        <w:tc>
          <w:tcPr>
            <w:tcW w:w="2047" w:type="dxa"/>
            <w:tcBorders>
              <w:right w:val="single" w:color="auto" w:sz="4" w:space="0"/>
            </w:tcBorders>
          </w:tcPr>
          <w:p>
            <w:pPr>
              <w:pStyle w:val="54"/>
              <w:spacing w:line="360" w:lineRule="auto"/>
              <w:jc w:val="center"/>
              <w:rPr>
                <w:rFonts w:hint="eastAsia" w:ascii="宋体" w:hAnsi="宋体" w:eastAsia="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4"/>
              <w:spacing w:line="360" w:lineRule="auto"/>
              <w:jc w:val="center"/>
              <w:rPr>
                <w:rFonts w:hint="eastAsia" w:ascii="宋体" w:hAnsi="宋体" w:eastAsia="宋体" w:cs="宋体"/>
                <w:color w:val="auto"/>
                <w:szCs w:val="21"/>
                <w:highlight w:val="none"/>
              </w:rPr>
            </w:pPr>
          </w:p>
        </w:tc>
        <w:tc>
          <w:tcPr>
            <w:tcW w:w="2258" w:type="dxa"/>
          </w:tcPr>
          <w:p>
            <w:pPr>
              <w:pStyle w:val="54"/>
              <w:spacing w:line="360" w:lineRule="auto"/>
              <w:jc w:val="center"/>
              <w:rPr>
                <w:rFonts w:hint="eastAsia" w:ascii="宋体" w:hAnsi="宋体" w:eastAsia="宋体" w:cs="宋体"/>
                <w:color w:val="auto"/>
                <w:szCs w:val="21"/>
                <w:highlight w:val="none"/>
              </w:rPr>
            </w:pPr>
          </w:p>
        </w:tc>
        <w:tc>
          <w:tcPr>
            <w:tcW w:w="2260" w:type="dxa"/>
          </w:tcPr>
          <w:p>
            <w:pPr>
              <w:pStyle w:val="54"/>
              <w:spacing w:line="360" w:lineRule="auto"/>
              <w:jc w:val="center"/>
              <w:rPr>
                <w:rFonts w:hint="eastAsia" w:ascii="宋体" w:hAnsi="宋体" w:eastAsia="宋体" w:cs="宋体"/>
                <w:color w:val="auto"/>
                <w:szCs w:val="21"/>
                <w:highlight w:val="none"/>
              </w:rPr>
            </w:pPr>
          </w:p>
        </w:tc>
        <w:tc>
          <w:tcPr>
            <w:tcW w:w="2047" w:type="dxa"/>
            <w:tcBorders>
              <w:right w:val="single" w:color="auto" w:sz="4" w:space="0"/>
            </w:tcBorders>
          </w:tcPr>
          <w:p>
            <w:pPr>
              <w:pStyle w:val="54"/>
              <w:spacing w:line="360" w:lineRule="auto"/>
              <w:jc w:val="center"/>
              <w:rPr>
                <w:rFonts w:hint="eastAsia" w:ascii="宋体" w:hAnsi="宋体" w:eastAsia="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4"/>
              <w:spacing w:line="360" w:lineRule="auto"/>
              <w:jc w:val="center"/>
              <w:rPr>
                <w:rFonts w:hint="eastAsia" w:ascii="宋体" w:hAnsi="宋体" w:eastAsia="宋体" w:cs="宋体"/>
                <w:color w:val="auto"/>
                <w:szCs w:val="21"/>
                <w:highlight w:val="none"/>
              </w:rPr>
            </w:pPr>
          </w:p>
        </w:tc>
        <w:tc>
          <w:tcPr>
            <w:tcW w:w="2258" w:type="dxa"/>
          </w:tcPr>
          <w:p>
            <w:pPr>
              <w:pStyle w:val="54"/>
              <w:spacing w:line="360" w:lineRule="auto"/>
              <w:jc w:val="center"/>
              <w:rPr>
                <w:rFonts w:hint="eastAsia" w:ascii="宋体" w:hAnsi="宋体" w:eastAsia="宋体" w:cs="宋体"/>
                <w:color w:val="auto"/>
                <w:szCs w:val="21"/>
                <w:highlight w:val="none"/>
              </w:rPr>
            </w:pPr>
          </w:p>
        </w:tc>
        <w:tc>
          <w:tcPr>
            <w:tcW w:w="2260" w:type="dxa"/>
          </w:tcPr>
          <w:p>
            <w:pPr>
              <w:pStyle w:val="54"/>
              <w:spacing w:line="360" w:lineRule="auto"/>
              <w:jc w:val="center"/>
              <w:rPr>
                <w:rFonts w:hint="eastAsia" w:ascii="宋体" w:hAnsi="宋体" w:eastAsia="宋体" w:cs="宋体"/>
                <w:color w:val="auto"/>
                <w:szCs w:val="21"/>
                <w:highlight w:val="none"/>
              </w:rPr>
            </w:pPr>
          </w:p>
        </w:tc>
        <w:tc>
          <w:tcPr>
            <w:tcW w:w="2047" w:type="dxa"/>
            <w:tcBorders>
              <w:right w:val="single" w:color="auto" w:sz="4" w:space="0"/>
            </w:tcBorders>
          </w:tcPr>
          <w:p>
            <w:pPr>
              <w:pStyle w:val="54"/>
              <w:spacing w:line="360" w:lineRule="auto"/>
              <w:jc w:val="center"/>
              <w:rPr>
                <w:rFonts w:hint="eastAsia" w:ascii="宋体" w:hAnsi="宋体" w:eastAsia="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4"/>
              <w:spacing w:line="360" w:lineRule="auto"/>
              <w:jc w:val="center"/>
              <w:rPr>
                <w:rFonts w:hint="eastAsia" w:ascii="宋体" w:hAnsi="宋体" w:eastAsia="宋体" w:cs="宋体"/>
                <w:color w:val="auto"/>
                <w:szCs w:val="21"/>
                <w:highlight w:val="none"/>
              </w:rPr>
            </w:pPr>
          </w:p>
        </w:tc>
        <w:tc>
          <w:tcPr>
            <w:tcW w:w="2258" w:type="dxa"/>
          </w:tcPr>
          <w:p>
            <w:pPr>
              <w:pStyle w:val="54"/>
              <w:spacing w:line="360" w:lineRule="auto"/>
              <w:jc w:val="center"/>
              <w:rPr>
                <w:rFonts w:hint="eastAsia" w:ascii="宋体" w:hAnsi="宋体" w:eastAsia="宋体" w:cs="宋体"/>
                <w:color w:val="auto"/>
                <w:szCs w:val="21"/>
                <w:highlight w:val="none"/>
              </w:rPr>
            </w:pPr>
          </w:p>
        </w:tc>
        <w:tc>
          <w:tcPr>
            <w:tcW w:w="2260" w:type="dxa"/>
          </w:tcPr>
          <w:p>
            <w:pPr>
              <w:pStyle w:val="54"/>
              <w:spacing w:line="360" w:lineRule="auto"/>
              <w:jc w:val="center"/>
              <w:rPr>
                <w:rFonts w:hint="eastAsia" w:ascii="宋体" w:hAnsi="宋体" w:eastAsia="宋体" w:cs="宋体"/>
                <w:color w:val="auto"/>
                <w:szCs w:val="21"/>
                <w:highlight w:val="none"/>
              </w:rPr>
            </w:pPr>
          </w:p>
        </w:tc>
        <w:tc>
          <w:tcPr>
            <w:tcW w:w="2047" w:type="dxa"/>
            <w:tcBorders>
              <w:right w:val="single" w:color="auto" w:sz="4" w:space="0"/>
            </w:tcBorders>
          </w:tcPr>
          <w:p>
            <w:pPr>
              <w:pStyle w:val="54"/>
              <w:spacing w:line="360" w:lineRule="auto"/>
              <w:jc w:val="center"/>
              <w:rPr>
                <w:rFonts w:hint="eastAsia" w:ascii="宋体" w:hAnsi="宋体" w:eastAsia="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4"/>
              <w:spacing w:line="360" w:lineRule="auto"/>
              <w:jc w:val="center"/>
              <w:rPr>
                <w:rFonts w:hint="eastAsia" w:ascii="宋体" w:hAnsi="宋体" w:eastAsia="宋体" w:cs="宋体"/>
                <w:color w:val="auto"/>
                <w:szCs w:val="21"/>
                <w:highlight w:val="none"/>
              </w:rPr>
            </w:pPr>
          </w:p>
        </w:tc>
        <w:tc>
          <w:tcPr>
            <w:tcW w:w="2258" w:type="dxa"/>
          </w:tcPr>
          <w:p>
            <w:pPr>
              <w:pStyle w:val="54"/>
              <w:spacing w:line="360" w:lineRule="auto"/>
              <w:jc w:val="center"/>
              <w:rPr>
                <w:rFonts w:hint="eastAsia" w:ascii="宋体" w:hAnsi="宋体" w:eastAsia="宋体" w:cs="宋体"/>
                <w:color w:val="auto"/>
                <w:szCs w:val="21"/>
                <w:highlight w:val="none"/>
              </w:rPr>
            </w:pPr>
          </w:p>
        </w:tc>
        <w:tc>
          <w:tcPr>
            <w:tcW w:w="2260" w:type="dxa"/>
          </w:tcPr>
          <w:p>
            <w:pPr>
              <w:pStyle w:val="54"/>
              <w:spacing w:line="360" w:lineRule="auto"/>
              <w:jc w:val="center"/>
              <w:rPr>
                <w:rFonts w:hint="eastAsia" w:ascii="宋体" w:hAnsi="宋体" w:eastAsia="宋体" w:cs="宋体"/>
                <w:color w:val="auto"/>
                <w:szCs w:val="21"/>
                <w:highlight w:val="none"/>
              </w:rPr>
            </w:pPr>
          </w:p>
        </w:tc>
        <w:tc>
          <w:tcPr>
            <w:tcW w:w="2047" w:type="dxa"/>
            <w:tcBorders>
              <w:right w:val="single" w:color="auto" w:sz="4" w:space="0"/>
            </w:tcBorders>
          </w:tcPr>
          <w:p>
            <w:pPr>
              <w:pStyle w:val="54"/>
              <w:spacing w:line="360" w:lineRule="auto"/>
              <w:jc w:val="center"/>
              <w:rPr>
                <w:rFonts w:hint="eastAsia" w:ascii="宋体" w:hAnsi="宋体" w:eastAsia="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4"/>
              <w:spacing w:line="360" w:lineRule="auto"/>
              <w:jc w:val="center"/>
              <w:rPr>
                <w:rFonts w:hint="eastAsia" w:ascii="宋体" w:hAnsi="宋体" w:eastAsia="宋体" w:cs="宋体"/>
                <w:color w:val="auto"/>
                <w:szCs w:val="21"/>
                <w:highlight w:val="none"/>
              </w:rPr>
            </w:pPr>
          </w:p>
        </w:tc>
        <w:tc>
          <w:tcPr>
            <w:tcW w:w="2258" w:type="dxa"/>
          </w:tcPr>
          <w:p>
            <w:pPr>
              <w:pStyle w:val="54"/>
              <w:spacing w:line="360" w:lineRule="auto"/>
              <w:jc w:val="center"/>
              <w:rPr>
                <w:rFonts w:hint="eastAsia" w:ascii="宋体" w:hAnsi="宋体" w:eastAsia="宋体" w:cs="宋体"/>
                <w:color w:val="auto"/>
                <w:szCs w:val="21"/>
                <w:highlight w:val="none"/>
              </w:rPr>
            </w:pPr>
          </w:p>
        </w:tc>
        <w:tc>
          <w:tcPr>
            <w:tcW w:w="2260" w:type="dxa"/>
          </w:tcPr>
          <w:p>
            <w:pPr>
              <w:pStyle w:val="54"/>
              <w:spacing w:line="360" w:lineRule="auto"/>
              <w:jc w:val="center"/>
              <w:rPr>
                <w:rFonts w:hint="eastAsia" w:ascii="宋体" w:hAnsi="宋体" w:eastAsia="宋体" w:cs="宋体"/>
                <w:color w:val="auto"/>
                <w:szCs w:val="21"/>
                <w:highlight w:val="none"/>
              </w:rPr>
            </w:pPr>
          </w:p>
        </w:tc>
        <w:tc>
          <w:tcPr>
            <w:tcW w:w="2047" w:type="dxa"/>
            <w:tcBorders>
              <w:right w:val="single" w:color="auto" w:sz="4" w:space="0"/>
            </w:tcBorders>
          </w:tcPr>
          <w:p>
            <w:pPr>
              <w:pStyle w:val="54"/>
              <w:spacing w:line="360" w:lineRule="auto"/>
              <w:jc w:val="center"/>
              <w:rPr>
                <w:rFonts w:hint="eastAsia" w:ascii="宋体" w:hAnsi="宋体" w:eastAsia="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54"/>
              <w:spacing w:line="360" w:lineRule="auto"/>
              <w:jc w:val="center"/>
              <w:rPr>
                <w:rFonts w:hint="eastAsia" w:ascii="宋体" w:hAnsi="宋体" w:eastAsia="宋体" w:cs="宋体"/>
                <w:color w:val="auto"/>
                <w:szCs w:val="21"/>
                <w:highlight w:val="none"/>
              </w:rPr>
            </w:pPr>
          </w:p>
        </w:tc>
        <w:tc>
          <w:tcPr>
            <w:tcW w:w="2258" w:type="dxa"/>
            <w:tcBorders>
              <w:bottom w:val="double" w:color="auto" w:sz="4" w:space="0"/>
            </w:tcBorders>
          </w:tcPr>
          <w:p>
            <w:pPr>
              <w:pStyle w:val="54"/>
              <w:spacing w:line="360" w:lineRule="auto"/>
              <w:jc w:val="center"/>
              <w:rPr>
                <w:rFonts w:hint="eastAsia" w:ascii="宋体" w:hAnsi="宋体" w:eastAsia="宋体" w:cs="宋体"/>
                <w:color w:val="auto"/>
                <w:szCs w:val="21"/>
                <w:highlight w:val="none"/>
              </w:rPr>
            </w:pPr>
          </w:p>
        </w:tc>
        <w:tc>
          <w:tcPr>
            <w:tcW w:w="2260" w:type="dxa"/>
            <w:tcBorders>
              <w:bottom w:val="double" w:color="auto" w:sz="4" w:space="0"/>
            </w:tcBorders>
          </w:tcPr>
          <w:p>
            <w:pPr>
              <w:pStyle w:val="54"/>
              <w:spacing w:line="360" w:lineRule="auto"/>
              <w:jc w:val="center"/>
              <w:rPr>
                <w:rFonts w:hint="eastAsia" w:ascii="宋体" w:hAnsi="宋体" w:eastAsia="宋体" w:cs="宋体"/>
                <w:color w:val="auto"/>
                <w:szCs w:val="21"/>
                <w:highlight w:val="none"/>
              </w:rPr>
            </w:pPr>
          </w:p>
        </w:tc>
        <w:tc>
          <w:tcPr>
            <w:tcW w:w="2047" w:type="dxa"/>
            <w:tcBorders>
              <w:bottom w:val="double" w:color="auto" w:sz="4" w:space="0"/>
              <w:right w:val="single" w:color="auto" w:sz="4" w:space="0"/>
            </w:tcBorders>
          </w:tcPr>
          <w:p>
            <w:pPr>
              <w:pStyle w:val="54"/>
              <w:spacing w:line="360" w:lineRule="auto"/>
              <w:jc w:val="center"/>
              <w:rPr>
                <w:rFonts w:hint="eastAsia" w:ascii="宋体" w:hAnsi="宋体" w:eastAsia="宋体" w:cs="宋体"/>
                <w:color w:val="auto"/>
                <w:szCs w:val="21"/>
                <w:highlight w:val="none"/>
              </w:rPr>
            </w:pPr>
          </w:p>
        </w:tc>
      </w:tr>
    </w:tbl>
    <w:p>
      <w:pPr>
        <w:bidi w:val="0"/>
        <w:spacing w:line="360" w:lineRule="auto"/>
        <w:jc w:val="left"/>
        <w:rPr>
          <w:rFonts w:hint="eastAsia" w:ascii="宋体" w:hAnsi="宋体" w:eastAsia="宋体" w:cs="宋体"/>
          <w:b/>
          <w:bCs/>
          <w:color w:val="auto"/>
          <w:sz w:val="24"/>
          <w:szCs w:val="32"/>
          <w:highlight w:val="none"/>
          <w:lang w:val="zh-CN"/>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1.填写投标人获得资质、认证或企业信誉证书；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2.附所列证书复印件或其他证明材料。</w:t>
      </w:r>
    </w:p>
    <w:p>
      <w:pPr>
        <w:bidi w:val="0"/>
        <w:spacing w:line="360" w:lineRule="auto"/>
        <w:jc w:val="left"/>
        <w:rPr>
          <w:rFonts w:hint="eastAsia" w:ascii="宋体" w:hAnsi="宋体" w:eastAsia="宋体" w:cs="宋体"/>
          <w:b/>
          <w:bCs/>
          <w:color w:val="auto"/>
          <w:sz w:val="24"/>
          <w:szCs w:val="32"/>
          <w:highlight w:val="none"/>
          <w:lang w:val="zh-CN"/>
        </w:rPr>
      </w:pPr>
    </w:p>
    <w:p>
      <w:pPr>
        <w:bidi w:val="0"/>
        <w:spacing w:line="360" w:lineRule="auto"/>
        <w:jc w:val="left"/>
        <w:rPr>
          <w:rFonts w:hint="eastAsia" w:ascii="宋体" w:hAnsi="宋体" w:eastAsia="宋体" w:cs="宋体"/>
          <w:b/>
          <w:bCs/>
          <w:color w:val="auto"/>
          <w:sz w:val="24"/>
          <w:szCs w:val="32"/>
          <w:highlight w:val="none"/>
          <w:lang w:val="zh-CN"/>
        </w:rPr>
      </w:pPr>
    </w:p>
    <w:p>
      <w:pPr>
        <w:bidi w:val="0"/>
        <w:spacing w:line="360" w:lineRule="auto"/>
        <w:jc w:val="left"/>
        <w:rPr>
          <w:rFonts w:hint="eastAsia" w:ascii="宋体" w:hAnsi="宋体" w:eastAsia="宋体" w:cs="宋体"/>
          <w:b/>
          <w:bCs/>
          <w:color w:val="auto"/>
          <w:sz w:val="24"/>
          <w:szCs w:val="32"/>
          <w:highlight w:val="none"/>
          <w:lang w:val="zh-CN"/>
        </w:rPr>
      </w:pPr>
    </w:p>
    <w:p>
      <w:pPr>
        <w:spacing w:line="48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投标人名称（盖章）：</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eastAsia="zh-CN"/>
        </w:rPr>
        <w:t>法定代表人或授权委托</w:t>
      </w:r>
      <w:r>
        <w:rPr>
          <w:rFonts w:hint="eastAsia" w:ascii="宋体" w:hAnsi="宋体" w:eastAsia="宋体" w:cs="宋体"/>
          <w:color w:val="auto"/>
          <w:sz w:val="24"/>
          <w:highlight w:val="none"/>
          <w:lang w:val="en-US" w:eastAsia="zh-CN"/>
        </w:rPr>
        <w:t>代理</w:t>
      </w:r>
      <w:r>
        <w:rPr>
          <w:rFonts w:hint="eastAsia" w:ascii="宋体" w:hAnsi="宋体" w:eastAsia="宋体" w:cs="宋体"/>
          <w:color w:val="auto"/>
          <w:sz w:val="24"/>
          <w:highlight w:val="none"/>
          <w:lang w:val="zh-CN" w:eastAsia="zh-CN"/>
        </w:rPr>
        <w:t>人（签字</w:t>
      </w:r>
      <w:r>
        <w:rPr>
          <w:rFonts w:hint="eastAsia" w:ascii="宋体" w:hAnsi="宋体" w:eastAsia="宋体" w:cs="宋体"/>
          <w:color w:val="auto"/>
          <w:sz w:val="24"/>
          <w:highlight w:val="none"/>
          <w:lang w:val="en-US" w:eastAsia="zh-CN"/>
        </w:rPr>
        <w:t>或盖章</w:t>
      </w: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lang w:val="en-US" w:eastAsia="zh-CN"/>
        </w:rPr>
        <w:t xml:space="preserve">                         </w:t>
      </w:r>
    </w:p>
    <w:p>
      <w:pPr>
        <w:spacing w:line="360" w:lineRule="auto"/>
        <w:rPr>
          <w:rFonts w:hint="eastAsia" w:ascii="宋体" w:hAnsi="宋体" w:eastAsia="宋体" w:cs="宋体"/>
          <w:b/>
          <w:bCs/>
          <w:color w:val="auto"/>
          <w:sz w:val="24"/>
          <w:highlight w:val="none"/>
        </w:rPr>
      </w:pPr>
    </w:p>
    <w:p>
      <w:pPr>
        <w:spacing w:line="360" w:lineRule="auto"/>
        <w:rPr>
          <w:rFonts w:hint="eastAsia" w:ascii="宋体" w:hAnsi="宋体" w:eastAsia="宋体" w:cs="宋体"/>
          <w:b/>
          <w:bCs/>
          <w:color w:val="auto"/>
          <w:sz w:val="24"/>
          <w:highlight w:val="none"/>
        </w:rPr>
      </w:pPr>
    </w:p>
    <w:p>
      <w:pPr>
        <w:spacing w:line="360" w:lineRule="auto"/>
        <w:rPr>
          <w:rFonts w:hint="eastAsia" w:ascii="宋体" w:hAnsi="宋体" w:eastAsia="宋体" w:cs="宋体"/>
          <w:b/>
          <w:bCs/>
          <w:color w:val="auto"/>
          <w:sz w:val="24"/>
          <w:highlight w:val="none"/>
        </w:rPr>
      </w:pPr>
    </w:p>
    <w:p>
      <w:pPr>
        <w:spacing w:line="360" w:lineRule="auto"/>
        <w:rPr>
          <w:rFonts w:hint="eastAsia" w:ascii="宋体" w:hAnsi="宋体" w:eastAsia="宋体" w:cs="宋体"/>
          <w:b/>
          <w:bCs/>
          <w:color w:val="auto"/>
          <w:sz w:val="24"/>
          <w:highlight w:val="none"/>
        </w:rPr>
      </w:pPr>
    </w:p>
    <w:p>
      <w:pPr>
        <w:spacing w:line="360" w:lineRule="auto"/>
        <w:rPr>
          <w:rFonts w:hint="eastAsia" w:ascii="宋体" w:hAnsi="宋体" w:eastAsia="宋体" w:cs="宋体"/>
          <w:b/>
          <w:bCs/>
          <w:color w:val="auto"/>
          <w:sz w:val="24"/>
          <w:highlight w:val="none"/>
        </w:rPr>
      </w:pPr>
    </w:p>
    <w:p>
      <w:pPr>
        <w:spacing w:line="360" w:lineRule="auto"/>
        <w:rPr>
          <w:rFonts w:hint="eastAsia" w:ascii="宋体" w:hAnsi="宋体" w:eastAsia="宋体" w:cs="宋体"/>
          <w:b/>
          <w:bCs/>
          <w:color w:val="auto"/>
          <w:sz w:val="24"/>
          <w:highlight w:val="none"/>
        </w:rPr>
      </w:pPr>
    </w:p>
    <w:p>
      <w:pPr>
        <w:bidi w:val="0"/>
        <w:spacing w:line="360" w:lineRule="auto"/>
        <w:jc w:val="left"/>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附件1</w:t>
      </w:r>
      <w:r>
        <w:rPr>
          <w:rFonts w:hint="eastAsia" w:ascii="宋体" w:hAnsi="宋体" w:eastAsia="宋体" w:cs="宋体"/>
          <w:b/>
          <w:bCs/>
          <w:color w:val="auto"/>
          <w:sz w:val="28"/>
          <w:szCs w:val="36"/>
          <w:highlight w:val="none"/>
          <w:lang w:val="en-US" w:eastAsia="zh-CN"/>
        </w:rPr>
        <w:t>1</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投标人类似项目实施情况一览表</w:t>
      </w:r>
    </w:p>
    <w:p>
      <w:pPr>
        <w:spacing w:line="360" w:lineRule="auto"/>
        <w:rPr>
          <w:rFonts w:hint="eastAsia" w:ascii="宋体" w:hAnsi="宋体" w:eastAsia="宋体" w:cs="宋体"/>
          <w:b/>
          <w:bCs/>
          <w:color w:val="auto"/>
          <w:sz w:val="24"/>
          <w:highlight w:val="none"/>
        </w:rPr>
      </w:pPr>
    </w:p>
    <w:tbl>
      <w:tblPr>
        <w:tblStyle w:val="27"/>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3"/>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3"/>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3"/>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3"/>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3"/>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3"/>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3"/>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3"/>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3"/>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3"/>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3"/>
              <w:spacing w:line="360" w:lineRule="auto"/>
              <w:rPr>
                <w:rFonts w:hint="eastAsia" w:ascii="宋体" w:hAnsi="宋体" w:eastAsia="宋体" w:cs="宋体"/>
                <w:color w:val="auto"/>
                <w:sz w:val="24"/>
                <w:highlight w:val="none"/>
              </w:rPr>
            </w:pPr>
          </w:p>
        </w:tc>
      </w:tr>
    </w:tbl>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1.业绩证明应提供证明材料（合同复印件可只提供首页、含金额页、盖章页并加盖投标人公章）；</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2.报价供应商可按此表格式复制。</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48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投标人名称（盖章）：</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eastAsia="zh-CN"/>
        </w:rPr>
        <w:t>法定代表人或授权委托</w:t>
      </w:r>
      <w:r>
        <w:rPr>
          <w:rFonts w:hint="eastAsia" w:ascii="宋体" w:hAnsi="宋体" w:eastAsia="宋体" w:cs="宋体"/>
          <w:color w:val="auto"/>
          <w:sz w:val="24"/>
          <w:highlight w:val="none"/>
          <w:lang w:val="en-US" w:eastAsia="zh-CN"/>
        </w:rPr>
        <w:t>代理</w:t>
      </w:r>
      <w:r>
        <w:rPr>
          <w:rFonts w:hint="eastAsia" w:ascii="宋体" w:hAnsi="宋体" w:eastAsia="宋体" w:cs="宋体"/>
          <w:color w:val="auto"/>
          <w:sz w:val="24"/>
          <w:highlight w:val="none"/>
          <w:lang w:val="zh-CN" w:eastAsia="zh-CN"/>
        </w:rPr>
        <w:t>人（签字</w:t>
      </w:r>
      <w:r>
        <w:rPr>
          <w:rFonts w:hint="eastAsia" w:ascii="宋体" w:hAnsi="宋体" w:eastAsia="宋体" w:cs="宋体"/>
          <w:color w:val="auto"/>
          <w:sz w:val="24"/>
          <w:highlight w:val="none"/>
          <w:lang w:val="en-US" w:eastAsia="zh-CN"/>
        </w:rPr>
        <w:t>或盖章</w:t>
      </w: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lang w:val="en-US" w:eastAsia="zh-CN"/>
        </w:rPr>
        <w:t xml:space="preserve">                         </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bidi w:val="0"/>
        <w:spacing w:line="360" w:lineRule="auto"/>
        <w:jc w:val="left"/>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附件1</w:t>
      </w:r>
      <w:r>
        <w:rPr>
          <w:rFonts w:hint="eastAsia" w:ascii="宋体" w:hAnsi="宋体" w:eastAsia="宋体" w:cs="宋体"/>
          <w:b/>
          <w:bCs/>
          <w:color w:val="auto"/>
          <w:sz w:val="28"/>
          <w:szCs w:val="36"/>
          <w:highlight w:val="none"/>
          <w:lang w:val="en-US" w:eastAsia="zh-CN"/>
        </w:rPr>
        <w:t>2</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资信及商务需求响应表</w:t>
      </w:r>
      <w:r>
        <w:rPr>
          <w:rFonts w:hint="eastAsia" w:ascii="宋体" w:hAnsi="宋体" w:cs="宋体"/>
          <w:b/>
          <w:bCs/>
          <w:color w:val="auto"/>
          <w:sz w:val="32"/>
          <w:szCs w:val="40"/>
          <w:highlight w:val="none"/>
          <w:lang w:val="zh-CN"/>
        </w:rPr>
        <w:t>（</w:t>
      </w:r>
      <w:r>
        <w:rPr>
          <w:rFonts w:hint="eastAsia" w:ascii="宋体" w:hAnsi="宋体" w:cs="宋体"/>
          <w:b/>
          <w:bCs/>
          <w:color w:val="auto"/>
          <w:sz w:val="32"/>
          <w:szCs w:val="40"/>
          <w:highlight w:val="none"/>
          <w:lang w:val="en-US" w:eastAsia="zh-CN"/>
        </w:rPr>
        <w:t>标段</w:t>
      </w:r>
      <w:r>
        <w:rPr>
          <w:rFonts w:hint="eastAsia" w:ascii="宋体" w:hAnsi="宋体" w:cs="宋体"/>
          <w:b/>
          <w:bCs/>
          <w:color w:val="auto"/>
          <w:sz w:val="32"/>
          <w:szCs w:val="40"/>
          <w:highlight w:val="none"/>
          <w:lang w:val="zh-CN"/>
        </w:rPr>
        <w:t>）</w:t>
      </w:r>
    </w:p>
    <w:p>
      <w:pPr>
        <w:spacing w:line="360" w:lineRule="auto"/>
        <w:rPr>
          <w:rFonts w:hint="eastAsia" w:ascii="宋体" w:hAnsi="宋体" w:eastAsia="宋体" w:cs="宋体"/>
          <w:b/>
          <w:color w:val="auto"/>
          <w:sz w:val="24"/>
          <w:szCs w:val="24"/>
          <w:highlight w:val="none"/>
        </w:rPr>
      </w:pPr>
    </w:p>
    <w:tbl>
      <w:tblPr>
        <w:tblStyle w:val="27"/>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785" w:type="dxa"/>
            <w:vAlign w:val="center"/>
          </w:tcPr>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内容</w:t>
            </w:r>
          </w:p>
        </w:tc>
        <w:tc>
          <w:tcPr>
            <w:tcW w:w="1785" w:type="dxa"/>
            <w:vAlign w:val="center"/>
          </w:tcPr>
          <w:p>
            <w:pPr>
              <w:ind w:left="53" w:leftChars="25"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招标需求</w:t>
            </w:r>
          </w:p>
        </w:tc>
        <w:tc>
          <w:tcPr>
            <w:tcW w:w="1365" w:type="dxa"/>
            <w:vAlign w:val="center"/>
          </w:tcPr>
          <w:p>
            <w:pPr>
              <w:ind w:left="15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是否响应</w:t>
            </w:r>
          </w:p>
        </w:tc>
        <w:tc>
          <w:tcPr>
            <w:tcW w:w="2625" w:type="dxa"/>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hint="eastAsia" w:ascii="宋体" w:hAnsi="宋体" w:eastAsia="宋体" w:cs="宋体"/>
                <w:color w:val="auto"/>
                <w:sz w:val="24"/>
                <w:highlight w:val="none"/>
              </w:rPr>
            </w:pPr>
          </w:p>
        </w:tc>
        <w:tc>
          <w:tcPr>
            <w:tcW w:w="1785" w:type="dxa"/>
            <w:vAlign w:val="center"/>
          </w:tcPr>
          <w:p>
            <w:pPr>
              <w:snapToGrid w:val="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售后服务保障要求</w:t>
            </w:r>
          </w:p>
        </w:tc>
        <w:tc>
          <w:tcPr>
            <w:tcW w:w="1785" w:type="dxa"/>
            <w:vAlign w:val="center"/>
          </w:tcPr>
          <w:p>
            <w:pPr>
              <w:rPr>
                <w:rFonts w:hint="eastAsia" w:ascii="宋体" w:hAnsi="宋体" w:eastAsia="宋体" w:cs="宋体"/>
                <w:color w:val="auto"/>
                <w:sz w:val="24"/>
                <w:highlight w:val="none"/>
              </w:rPr>
            </w:pPr>
          </w:p>
        </w:tc>
        <w:tc>
          <w:tcPr>
            <w:tcW w:w="1365" w:type="dxa"/>
            <w:vAlign w:val="center"/>
          </w:tcPr>
          <w:p>
            <w:pPr>
              <w:rPr>
                <w:rFonts w:hint="eastAsia" w:ascii="宋体" w:hAnsi="宋体" w:eastAsia="宋体" w:cs="宋体"/>
                <w:color w:val="auto"/>
                <w:sz w:val="24"/>
                <w:highlight w:val="none"/>
              </w:rPr>
            </w:pPr>
          </w:p>
        </w:tc>
        <w:tc>
          <w:tcPr>
            <w:tcW w:w="2625" w:type="dxa"/>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hint="eastAsia" w:ascii="宋体" w:hAnsi="宋体" w:eastAsia="宋体" w:cs="宋体"/>
                <w:color w:val="auto"/>
                <w:sz w:val="24"/>
                <w:highlight w:val="none"/>
              </w:rPr>
            </w:pPr>
          </w:p>
        </w:tc>
        <w:tc>
          <w:tcPr>
            <w:tcW w:w="1785" w:type="dxa"/>
            <w:vAlign w:val="center"/>
          </w:tcPr>
          <w:p>
            <w:pPr>
              <w:snapToGrid w:val="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备品备件及耗材等要求</w:t>
            </w:r>
          </w:p>
        </w:tc>
        <w:tc>
          <w:tcPr>
            <w:tcW w:w="1785" w:type="dxa"/>
            <w:vAlign w:val="center"/>
          </w:tcPr>
          <w:p>
            <w:pPr>
              <w:rPr>
                <w:rFonts w:hint="eastAsia" w:ascii="宋体" w:hAnsi="宋体" w:eastAsia="宋体" w:cs="宋体"/>
                <w:color w:val="auto"/>
                <w:sz w:val="24"/>
                <w:highlight w:val="none"/>
              </w:rPr>
            </w:pPr>
          </w:p>
        </w:tc>
        <w:tc>
          <w:tcPr>
            <w:tcW w:w="1365" w:type="dxa"/>
            <w:vAlign w:val="center"/>
          </w:tcPr>
          <w:p>
            <w:pPr>
              <w:rPr>
                <w:rFonts w:hint="eastAsia" w:ascii="宋体" w:hAnsi="宋体" w:eastAsia="宋体" w:cs="宋体"/>
                <w:color w:val="auto"/>
                <w:sz w:val="24"/>
                <w:highlight w:val="none"/>
              </w:rPr>
            </w:pPr>
          </w:p>
        </w:tc>
        <w:tc>
          <w:tcPr>
            <w:tcW w:w="2625" w:type="dxa"/>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hint="eastAsia" w:ascii="宋体" w:hAnsi="宋体" w:eastAsia="宋体" w:cs="宋体"/>
                <w:color w:val="auto"/>
                <w:sz w:val="24"/>
                <w:highlight w:val="none"/>
              </w:rPr>
            </w:pPr>
          </w:p>
        </w:tc>
        <w:tc>
          <w:tcPr>
            <w:tcW w:w="1785" w:type="dxa"/>
            <w:vAlign w:val="center"/>
          </w:tcPr>
          <w:p>
            <w:pPr>
              <w:snapToGrid w:val="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质保期</w:t>
            </w:r>
          </w:p>
        </w:tc>
        <w:tc>
          <w:tcPr>
            <w:tcW w:w="1785" w:type="dxa"/>
            <w:vAlign w:val="center"/>
          </w:tcPr>
          <w:p>
            <w:pPr>
              <w:rPr>
                <w:rFonts w:hint="eastAsia" w:ascii="宋体" w:hAnsi="宋体" w:eastAsia="宋体" w:cs="宋体"/>
                <w:color w:val="auto"/>
                <w:sz w:val="24"/>
                <w:highlight w:val="none"/>
              </w:rPr>
            </w:pPr>
          </w:p>
        </w:tc>
        <w:tc>
          <w:tcPr>
            <w:tcW w:w="1365" w:type="dxa"/>
            <w:vAlign w:val="center"/>
          </w:tcPr>
          <w:p>
            <w:pPr>
              <w:rPr>
                <w:rFonts w:hint="eastAsia" w:ascii="宋体" w:hAnsi="宋体" w:eastAsia="宋体" w:cs="宋体"/>
                <w:color w:val="auto"/>
                <w:sz w:val="24"/>
                <w:highlight w:val="none"/>
              </w:rPr>
            </w:pPr>
          </w:p>
        </w:tc>
        <w:tc>
          <w:tcPr>
            <w:tcW w:w="2625" w:type="dxa"/>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hint="eastAsia" w:ascii="宋体" w:hAnsi="宋体" w:eastAsia="宋体" w:cs="宋体"/>
                <w:color w:val="auto"/>
                <w:sz w:val="24"/>
                <w:highlight w:val="none"/>
              </w:rPr>
            </w:pPr>
          </w:p>
        </w:tc>
        <w:tc>
          <w:tcPr>
            <w:tcW w:w="1785" w:type="dxa"/>
            <w:vAlign w:val="center"/>
          </w:tcPr>
          <w:p>
            <w:pPr>
              <w:snapToGrid w:val="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交货和服务</w:t>
            </w:r>
          </w:p>
          <w:p>
            <w:pPr>
              <w:snapToGrid w:val="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时间及地点</w:t>
            </w:r>
          </w:p>
        </w:tc>
        <w:tc>
          <w:tcPr>
            <w:tcW w:w="1785" w:type="dxa"/>
            <w:vAlign w:val="center"/>
          </w:tcPr>
          <w:p>
            <w:pPr>
              <w:rPr>
                <w:rFonts w:hint="eastAsia" w:ascii="宋体" w:hAnsi="宋体" w:eastAsia="宋体" w:cs="宋体"/>
                <w:color w:val="auto"/>
                <w:sz w:val="24"/>
                <w:highlight w:val="none"/>
              </w:rPr>
            </w:pPr>
          </w:p>
        </w:tc>
        <w:tc>
          <w:tcPr>
            <w:tcW w:w="1365" w:type="dxa"/>
            <w:vAlign w:val="center"/>
          </w:tcPr>
          <w:p>
            <w:pPr>
              <w:rPr>
                <w:rFonts w:hint="eastAsia" w:ascii="宋体" w:hAnsi="宋体" w:eastAsia="宋体" w:cs="宋体"/>
                <w:color w:val="auto"/>
                <w:sz w:val="24"/>
                <w:highlight w:val="none"/>
              </w:rPr>
            </w:pPr>
          </w:p>
        </w:tc>
        <w:tc>
          <w:tcPr>
            <w:tcW w:w="2625" w:type="dxa"/>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hint="eastAsia" w:ascii="宋体" w:hAnsi="宋体" w:eastAsia="宋体" w:cs="宋体"/>
                <w:color w:val="auto"/>
                <w:sz w:val="24"/>
                <w:highlight w:val="none"/>
              </w:rPr>
            </w:pPr>
          </w:p>
        </w:tc>
        <w:tc>
          <w:tcPr>
            <w:tcW w:w="1785" w:type="dxa"/>
            <w:vAlign w:val="center"/>
          </w:tcPr>
          <w:p>
            <w:pPr>
              <w:snapToGrid w:val="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付款条件</w:t>
            </w:r>
          </w:p>
        </w:tc>
        <w:tc>
          <w:tcPr>
            <w:tcW w:w="1785" w:type="dxa"/>
            <w:vAlign w:val="center"/>
          </w:tcPr>
          <w:p>
            <w:pPr>
              <w:rPr>
                <w:rFonts w:hint="eastAsia" w:ascii="宋体" w:hAnsi="宋体" w:eastAsia="宋体" w:cs="宋体"/>
                <w:color w:val="auto"/>
                <w:sz w:val="24"/>
                <w:highlight w:val="none"/>
              </w:rPr>
            </w:pPr>
          </w:p>
        </w:tc>
        <w:tc>
          <w:tcPr>
            <w:tcW w:w="1365" w:type="dxa"/>
            <w:vAlign w:val="center"/>
          </w:tcPr>
          <w:p>
            <w:pPr>
              <w:rPr>
                <w:rFonts w:hint="eastAsia" w:ascii="宋体" w:hAnsi="宋体" w:eastAsia="宋体" w:cs="宋体"/>
                <w:color w:val="auto"/>
                <w:sz w:val="24"/>
                <w:highlight w:val="none"/>
              </w:rPr>
            </w:pPr>
          </w:p>
        </w:tc>
        <w:tc>
          <w:tcPr>
            <w:tcW w:w="2625" w:type="dxa"/>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hint="eastAsia" w:ascii="宋体" w:hAnsi="宋体" w:eastAsia="宋体" w:cs="宋体"/>
                <w:color w:val="auto"/>
                <w:sz w:val="24"/>
                <w:highlight w:val="none"/>
              </w:rPr>
            </w:pPr>
          </w:p>
        </w:tc>
        <w:tc>
          <w:tcPr>
            <w:tcW w:w="1785" w:type="dxa"/>
            <w:vAlign w:val="center"/>
          </w:tcPr>
          <w:p>
            <w:pPr>
              <w:snapToGrid w:val="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785" w:type="dxa"/>
            <w:vAlign w:val="center"/>
          </w:tcPr>
          <w:p>
            <w:pPr>
              <w:rPr>
                <w:rFonts w:hint="eastAsia" w:ascii="宋体" w:hAnsi="宋体" w:eastAsia="宋体" w:cs="宋体"/>
                <w:color w:val="auto"/>
                <w:sz w:val="24"/>
                <w:highlight w:val="none"/>
              </w:rPr>
            </w:pPr>
          </w:p>
        </w:tc>
        <w:tc>
          <w:tcPr>
            <w:tcW w:w="1365" w:type="dxa"/>
            <w:vAlign w:val="center"/>
          </w:tcPr>
          <w:p>
            <w:pPr>
              <w:rPr>
                <w:rFonts w:hint="eastAsia" w:ascii="宋体" w:hAnsi="宋体" w:eastAsia="宋体" w:cs="宋体"/>
                <w:color w:val="auto"/>
                <w:sz w:val="24"/>
                <w:highlight w:val="none"/>
              </w:rPr>
            </w:pPr>
          </w:p>
        </w:tc>
        <w:tc>
          <w:tcPr>
            <w:tcW w:w="2625" w:type="dxa"/>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hint="eastAsia" w:ascii="宋体" w:hAnsi="宋体" w:eastAsia="宋体" w:cs="宋体"/>
                <w:color w:val="auto"/>
                <w:sz w:val="24"/>
                <w:highlight w:val="none"/>
              </w:rPr>
            </w:pPr>
          </w:p>
        </w:tc>
        <w:tc>
          <w:tcPr>
            <w:tcW w:w="1785" w:type="dxa"/>
          </w:tcPr>
          <w:p>
            <w:pPr>
              <w:snapToGrid w:val="0"/>
              <w:rPr>
                <w:rFonts w:hint="eastAsia" w:ascii="宋体" w:hAnsi="宋体" w:eastAsia="宋体" w:cs="宋体"/>
                <w:color w:val="auto"/>
                <w:sz w:val="24"/>
                <w:highlight w:val="none"/>
              </w:rPr>
            </w:pPr>
          </w:p>
        </w:tc>
        <w:tc>
          <w:tcPr>
            <w:tcW w:w="1785" w:type="dxa"/>
            <w:vAlign w:val="center"/>
          </w:tcPr>
          <w:p>
            <w:pPr>
              <w:rPr>
                <w:rFonts w:hint="eastAsia" w:ascii="宋体" w:hAnsi="宋体" w:eastAsia="宋体" w:cs="宋体"/>
                <w:color w:val="auto"/>
                <w:sz w:val="24"/>
                <w:highlight w:val="none"/>
              </w:rPr>
            </w:pPr>
          </w:p>
        </w:tc>
        <w:tc>
          <w:tcPr>
            <w:tcW w:w="1365" w:type="dxa"/>
            <w:vAlign w:val="center"/>
          </w:tcPr>
          <w:p>
            <w:pPr>
              <w:rPr>
                <w:rFonts w:hint="eastAsia" w:ascii="宋体" w:hAnsi="宋体" w:eastAsia="宋体" w:cs="宋体"/>
                <w:color w:val="auto"/>
                <w:sz w:val="24"/>
                <w:highlight w:val="none"/>
              </w:rPr>
            </w:pPr>
          </w:p>
        </w:tc>
        <w:tc>
          <w:tcPr>
            <w:tcW w:w="2625" w:type="dxa"/>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hint="eastAsia" w:ascii="宋体" w:hAnsi="宋体" w:eastAsia="宋体" w:cs="宋体"/>
                <w:color w:val="auto"/>
                <w:sz w:val="24"/>
                <w:highlight w:val="none"/>
              </w:rPr>
            </w:pPr>
          </w:p>
        </w:tc>
        <w:tc>
          <w:tcPr>
            <w:tcW w:w="1785" w:type="dxa"/>
          </w:tcPr>
          <w:p>
            <w:pPr>
              <w:snapToGrid w:val="0"/>
              <w:rPr>
                <w:rFonts w:hint="eastAsia" w:ascii="宋体" w:hAnsi="宋体" w:eastAsia="宋体" w:cs="宋体"/>
                <w:color w:val="auto"/>
                <w:sz w:val="24"/>
                <w:highlight w:val="none"/>
              </w:rPr>
            </w:pPr>
          </w:p>
        </w:tc>
        <w:tc>
          <w:tcPr>
            <w:tcW w:w="1785" w:type="dxa"/>
            <w:vAlign w:val="center"/>
          </w:tcPr>
          <w:p>
            <w:pPr>
              <w:rPr>
                <w:rFonts w:hint="eastAsia" w:ascii="宋体" w:hAnsi="宋体" w:eastAsia="宋体" w:cs="宋体"/>
                <w:color w:val="auto"/>
                <w:sz w:val="24"/>
                <w:highlight w:val="none"/>
              </w:rPr>
            </w:pPr>
          </w:p>
        </w:tc>
        <w:tc>
          <w:tcPr>
            <w:tcW w:w="1365" w:type="dxa"/>
            <w:vAlign w:val="center"/>
          </w:tcPr>
          <w:p>
            <w:pPr>
              <w:rPr>
                <w:rFonts w:hint="eastAsia" w:ascii="宋体" w:hAnsi="宋体" w:eastAsia="宋体" w:cs="宋体"/>
                <w:color w:val="auto"/>
                <w:sz w:val="24"/>
                <w:highlight w:val="none"/>
              </w:rPr>
            </w:pPr>
          </w:p>
        </w:tc>
        <w:tc>
          <w:tcPr>
            <w:tcW w:w="2625" w:type="dxa"/>
            <w:vAlign w:val="center"/>
          </w:tcPr>
          <w:p>
            <w:pPr>
              <w:rPr>
                <w:rFonts w:hint="eastAsia" w:ascii="宋体" w:hAnsi="宋体" w:eastAsia="宋体" w:cs="宋体"/>
                <w:color w:val="auto"/>
                <w:sz w:val="24"/>
                <w:highlight w:val="none"/>
              </w:rPr>
            </w:pPr>
          </w:p>
        </w:tc>
      </w:tr>
    </w:tbl>
    <w:p>
      <w:pPr>
        <w:spacing w:line="360" w:lineRule="auto"/>
        <w:rPr>
          <w:rFonts w:hint="eastAsia" w:ascii="宋体" w:hAnsi="宋体" w:eastAsia="宋体" w:cs="宋体"/>
          <w:b/>
          <w:color w:val="auto"/>
          <w:sz w:val="24"/>
          <w:szCs w:val="24"/>
          <w:highlight w:val="none"/>
        </w:rPr>
      </w:pPr>
    </w:p>
    <w:p>
      <w:pPr>
        <w:spacing w:line="48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投标人名称（盖章）：</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eastAsia="zh-CN"/>
        </w:rPr>
        <w:t>法定代表人或授权委托</w:t>
      </w:r>
      <w:r>
        <w:rPr>
          <w:rFonts w:hint="eastAsia" w:ascii="宋体" w:hAnsi="宋体" w:eastAsia="宋体" w:cs="宋体"/>
          <w:color w:val="auto"/>
          <w:sz w:val="24"/>
          <w:highlight w:val="none"/>
          <w:lang w:val="en-US" w:eastAsia="zh-CN"/>
        </w:rPr>
        <w:t>代理</w:t>
      </w:r>
      <w:r>
        <w:rPr>
          <w:rFonts w:hint="eastAsia" w:ascii="宋体" w:hAnsi="宋体" w:eastAsia="宋体" w:cs="宋体"/>
          <w:color w:val="auto"/>
          <w:sz w:val="24"/>
          <w:highlight w:val="none"/>
          <w:lang w:val="zh-CN" w:eastAsia="zh-CN"/>
        </w:rPr>
        <w:t>人（签字</w:t>
      </w:r>
      <w:r>
        <w:rPr>
          <w:rFonts w:hint="eastAsia" w:ascii="宋体" w:hAnsi="宋体" w:eastAsia="宋体" w:cs="宋体"/>
          <w:color w:val="auto"/>
          <w:sz w:val="24"/>
          <w:highlight w:val="none"/>
          <w:lang w:val="en-US" w:eastAsia="zh-CN"/>
        </w:rPr>
        <w:t>或盖章</w:t>
      </w: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lang w:val="en-US" w:eastAsia="zh-CN"/>
        </w:rPr>
        <w:t xml:space="preserve">                         </w:t>
      </w:r>
    </w:p>
    <w:p>
      <w:pPr>
        <w:spacing w:line="360" w:lineRule="auto"/>
        <w:rPr>
          <w:rFonts w:hint="eastAsia" w:ascii="宋体" w:hAnsi="宋体" w:eastAsia="宋体" w:cs="宋体"/>
          <w:b/>
          <w:color w:val="auto"/>
          <w:sz w:val="24"/>
          <w:szCs w:val="24"/>
          <w:highlight w:val="none"/>
        </w:rPr>
      </w:pPr>
    </w:p>
    <w:p>
      <w:pPr>
        <w:spacing w:line="360" w:lineRule="auto"/>
        <w:rPr>
          <w:rFonts w:hint="eastAsia" w:ascii="宋体" w:hAnsi="宋体" w:eastAsia="宋体" w:cs="宋体"/>
          <w:b/>
          <w:color w:val="auto"/>
          <w:sz w:val="24"/>
          <w:szCs w:val="24"/>
          <w:highlight w:val="none"/>
        </w:rPr>
      </w:pPr>
    </w:p>
    <w:p>
      <w:pPr>
        <w:spacing w:line="360" w:lineRule="auto"/>
        <w:rPr>
          <w:rFonts w:hint="eastAsia" w:ascii="宋体" w:hAnsi="宋体" w:eastAsia="宋体" w:cs="宋体"/>
          <w:b/>
          <w:color w:val="auto"/>
          <w:sz w:val="24"/>
          <w:szCs w:val="24"/>
          <w:highlight w:val="none"/>
        </w:rPr>
      </w:pPr>
    </w:p>
    <w:p>
      <w:pPr>
        <w:spacing w:line="360" w:lineRule="auto"/>
        <w:rPr>
          <w:rFonts w:hint="eastAsia" w:ascii="宋体" w:hAnsi="宋体" w:eastAsia="宋体" w:cs="宋体"/>
          <w:b/>
          <w:color w:val="auto"/>
          <w:sz w:val="24"/>
          <w:szCs w:val="24"/>
          <w:highlight w:val="none"/>
        </w:rPr>
      </w:pPr>
    </w:p>
    <w:p>
      <w:pPr>
        <w:spacing w:line="360" w:lineRule="auto"/>
        <w:rPr>
          <w:rFonts w:hint="eastAsia" w:ascii="宋体" w:hAnsi="宋体" w:eastAsia="宋体" w:cs="宋体"/>
          <w:b/>
          <w:color w:val="auto"/>
          <w:sz w:val="24"/>
          <w:szCs w:val="24"/>
          <w:highlight w:val="none"/>
        </w:rPr>
      </w:pPr>
    </w:p>
    <w:p>
      <w:pPr>
        <w:spacing w:line="360" w:lineRule="auto"/>
        <w:rPr>
          <w:rFonts w:hint="eastAsia" w:ascii="宋体" w:hAnsi="宋体" w:eastAsia="宋体" w:cs="宋体"/>
          <w:b/>
          <w:color w:val="auto"/>
          <w:sz w:val="24"/>
          <w:szCs w:val="24"/>
          <w:highlight w:val="none"/>
        </w:rPr>
      </w:pPr>
    </w:p>
    <w:p>
      <w:pPr>
        <w:spacing w:line="360" w:lineRule="auto"/>
        <w:rPr>
          <w:rFonts w:hint="eastAsia" w:ascii="宋体" w:hAnsi="宋体" w:eastAsia="宋体" w:cs="宋体"/>
          <w:b/>
          <w:color w:val="auto"/>
          <w:sz w:val="24"/>
          <w:szCs w:val="24"/>
          <w:highlight w:val="none"/>
        </w:rPr>
      </w:pPr>
    </w:p>
    <w:p>
      <w:pPr>
        <w:spacing w:line="360" w:lineRule="auto"/>
        <w:rPr>
          <w:rFonts w:hint="eastAsia" w:ascii="宋体" w:hAnsi="宋体" w:eastAsia="宋体" w:cs="宋体"/>
          <w:b/>
          <w:color w:val="auto"/>
          <w:sz w:val="24"/>
          <w:szCs w:val="24"/>
          <w:highlight w:val="none"/>
        </w:rPr>
      </w:pPr>
    </w:p>
    <w:p>
      <w:pPr>
        <w:tabs>
          <w:tab w:val="left" w:pos="2460"/>
        </w:tabs>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3</w:t>
      </w:r>
    </w:p>
    <w:p>
      <w:pPr>
        <w:spacing w:line="48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售后服务情况表</w:t>
      </w:r>
    </w:p>
    <w:p>
      <w:pPr>
        <w:spacing w:line="360" w:lineRule="auto"/>
        <w:rPr>
          <w:rFonts w:hint="eastAsia" w:ascii="宋体" w:hAnsi="宋体" w:eastAsia="宋体" w:cs="宋体"/>
          <w:b/>
          <w:color w:val="auto"/>
          <w:sz w:val="24"/>
          <w:szCs w:val="24"/>
          <w:highlight w:val="none"/>
        </w:rPr>
      </w:pPr>
    </w:p>
    <w:tbl>
      <w:tblPr>
        <w:tblStyle w:val="27"/>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55"/>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2355" w:type="dxa"/>
            <w:tcBorders>
              <w:top w:val="single" w:color="auto" w:sz="4" w:space="0"/>
            </w:tcBorders>
            <w:vAlign w:val="center"/>
          </w:tcPr>
          <w:p>
            <w:pPr>
              <w:pStyle w:val="55"/>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w:t>
            </w:r>
          </w:p>
        </w:tc>
        <w:tc>
          <w:tcPr>
            <w:tcW w:w="4061" w:type="dxa"/>
            <w:tcBorders>
              <w:top w:val="single" w:color="auto" w:sz="4" w:space="0"/>
            </w:tcBorders>
            <w:vAlign w:val="center"/>
          </w:tcPr>
          <w:p>
            <w:pPr>
              <w:pStyle w:val="55"/>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投标人情况</w:t>
            </w:r>
          </w:p>
        </w:tc>
        <w:tc>
          <w:tcPr>
            <w:tcW w:w="1373" w:type="dxa"/>
            <w:tcBorders>
              <w:top w:val="single" w:color="auto" w:sz="4" w:space="0"/>
            </w:tcBorders>
            <w:vAlign w:val="center"/>
          </w:tcPr>
          <w:p>
            <w:pPr>
              <w:pStyle w:val="55"/>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55"/>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p>
        </w:tc>
        <w:tc>
          <w:tcPr>
            <w:tcW w:w="2355" w:type="dxa"/>
            <w:vMerge w:val="restart"/>
            <w:vAlign w:val="center"/>
          </w:tcPr>
          <w:p>
            <w:pPr>
              <w:pStyle w:val="55"/>
              <w:widowControl/>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保修期内售后服务情况(服务方式、服务网点、售后服务的内容和措施等等，可用附页和宣传材料)</w:t>
            </w:r>
          </w:p>
        </w:tc>
        <w:tc>
          <w:tcPr>
            <w:tcW w:w="4061" w:type="dxa"/>
          </w:tcPr>
          <w:p>
            <w:pPr>
              <w:pStyle w:val="55"/>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生产厂商售后服务情况：</w:t>
            </w:r>
          </w:p>
        </w:tc>
        <w:tc>
          <w:tcPr>
            <w:tcW w:w="1373" w:type="dxa"/>
          </w:tcPr>
          <w:p>
            <w:pPr>
              <w:pStyle w:val="55"/>
              <w:spacing w:line="360" w:lineRule="auto"/>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55"/>
              <w:widowControl/>
              <w:spacing w:line="360" w:lineRule="auto"/>
              <w:jc w:val="left"/>
              <w:rPr>
                <w:rFonts w:hint="eastAsia" w:ascii="宋体" w:hAnsi="宋体" w:eastAsia="宋体" w:cs="宋体"/>
                <w:bCs/>
                <w:color w:val="auto"/>
                <w:sz w:val="24"/>
                <w:highlight w:val="none"/>
              </w:rPr>
            </w:pPr>
          </w:p>
        </w:tc>
        <w:tc>
          <w:tcPr>
            <w:tcW w:w="2355" w:type="dxa"/>
            <w:vMerge w:val="continue"/>
            <w:vAlign w:val="center"/>
          </w:tcPr>
          <w:p>
            <w:pPr>
              <w:pStyle w:val="55"/>
              <w:widowControl/>
              <w:spacing w:line="360" w:lineRule="auto"/>
              <w:jc w:val="left"/>
              <w:rPr>
                <w:rFonts w:hint="eastAsia" w:ascii="宋体" w:hAnsi="宋体" w:eastAsia="宋体" w:cs="宋体"/>
                <w:bCs/>
                <w:color w:val="auto"/>
                <w:sz w:val="24"/>
                <w:highlight w:val="none"/>
              </w:rPr>
            </w:pPr>
          </w:p>
        </w:tc>
        <w:tc>
          <w:tcPr>
            <w:tcW w:w="4061" w:type="dxa"/>
          </w:tcPr>
          <w:p>
            <w:pPr>
              <w:pStyle w:val="55"/>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投标人售后服务情况：</w:t>
            </w:r>
          </w:p>
        </w:tc>
        <w:tc>
          <w:tcPr>
            <w:tcW w:w="1373" w:type="dxa"/>
          </w:tcPr>
          <w:p>
            <w:pPr>
              <w:pStyle w:val="55"/>
              <w:spacing w:line="360" w:lineRule="auto"/>
              <w:jc w:val="left"/>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55"/>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w:t>
            </w:r>
          </w:p>
        </w:tc>
        <w:tc>
          <w:tcPr>
            <w:tcW w:w="2355" w:type="dxa"/>
            <w:vAlign w:val="center"/>
          </w:tcPr>
          <w:p>
            <w:pPr>
              <w:pStyle w:val="55"/>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保修期后售后服务</w:t>
            </w:r>
          </w:p>
        </w:tc>
        <w:tc>
          <w:tcPr>
            <w:tcW w:w="4061" w:type="dxa"/>
          </w:tcPr>
          <w:p>
            <w:pPr>
              <w:pStyle w:val="55"/>
              <w:widowControl/>
              <w:spacing w:line="360" w:lineRule="auto"/>
              <w:jc w:val="left"/>
              <w:rPr>
                <w:rFonts w:hint="eastAsia" w:ascii="宋体" w:hAnsi="宋体" w:eastAsia="宋体" w:cs="宋体"/>
                <w:bCs/>
                <w:color w:val="auto"/>
                <w:sz w:val="24"/>
                <w:highlight w:val="none"/>
              </w:rPr>
            </w:pPr>
          </w:p>
          <w:p>
            <w:pPr>
              <w:pStyle w:val="55"/>
              <w:widowControl/>
              <w:spacing w:line="360" w:lineRule="auto"/>
              <w:jc w:val="left"/>
              <w:rPr>
                <w:rFonts w:hint="eastAsia" w:ascii="宋体" w:hAnsi="宋体" w:eastAsia="宋体" w:cs="宋体"/>
                <w:bCs/>
                <w:color w:val="auto"/>
                <w:sz w:val="24"/>
                <w:highlight w:val="none"/>
              </w:rPr>
            </w:pPr>
          </w:p>
          <w:p>
            <w:pPr>
              <w:pStyle w:val="55"/>
              <w:spacing w:line="360" w:lineRule="auto"/>
              <w:rPr>
                <w:rFonts w:hint="eastAsia" w:ascii="宋体" w:hAnsi="宋体" w:eastAsia="宋体" w:cs="宋体"/>
                <w:bCs/>
                <w:color w:val="auto"/>
                <w:sz w:val="24"/>
                <w:highlight w:val="none"/>
              </w:rPr>
            </w:pPr>
          </w:p>
        </w:tc>
        <w:tc>
          <w:tcPr>
            <w:tcW w:w="1373" w:type="dxa"/>
          </w:tcPr>
          <w:p>
            <w:pPr>
              <w:pStyle w:val="55"/>
              <w:widowControl/>
              <w:spacing w:line="360" w:lineRule="auto"/>
              <w:jc w:val="left"/>
              <w:rPr>
                <w:rFonts w:hint="eastAsia" w:ascii="宋体" w:hAnsi="宋体" w:eastAsia="宋体" w:cs="宋体"/>
                <w:bCs/>
                <w:color w:val="auto"/>
                <w:sz w:val="24"/>
                <w:highlight w:val="none"/>
              </w:rPr>
            </w:pPr>
          </w:p>
          <w:p>
            <w:pPr>
              <w:pStyle w:val="55"/>
              <w:widowControl/>
              <w:spacing w:line="360" w:lineRule="auto"/>
              <w:jc w:val="left"/>
              <w:rPr>
                <w:rFonts w:hint="eastAsia" w:ascii="宋体" w:hAnsi="宋体" w:eastAsia="宋体" w:cs="宋体"/>
                <w:bCs/>
                <w:color w:val="auto"/>
                <w:sz w:val="24"/>
                <w:highlight w:val="none"/>
              </w:rPr>
            </w:pPr>
          </w:p>
          <w:p>
            <w:pPr>
              <w:pStyle w:val="55"/>
              <w:spacing w:line="360" w:lineRule="auto"/>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55"/>
              <w:widowControl/>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3</w:t>
            </w:r>
          </w:p>
        </w:tc>
        <w:tc>
          <w:tcPr>
            <w:tcW w:w="2355" w:type="dxa"/>
            <w:vAlign w:val="center"/>
          </w:tcPr>
          <w:p>
            <w:pPr>
              <w:pStyle w:val="55"/>
              <w:widowControl/>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培训方案（可用附页）</w:t>
            </w:r>
          </w:p>
        </w:tc>
        <w:tc>
          <w:tcPr>
            <w:tcW w:w="4061" w:type="dxa"/>
          </w:tcPr>
          <w:p>
            <w:pPr>
              <w:pStyle w:val="55"/>
              <w:widowControl/>
              <w:spacing w:line="360" w:lineRule="auto"/>
              <w:jc w:val="left"/>
              <w:rPr>
                <w:rFonts w:hint="eastAsia" w:ascii="宋体" w:hAnsi="宋体" w:eastAsia="宋体" w:cs="宋体"/>
                <w:bCs/>
                <w:i/>
                <w:color w:val="auto"/>
                <w:sz w:val="24"/>
                <w:highlight w:val="none"/>
              </w:rPr>
            </w:pPr>
          </w:p>
          <w:p>
            <w:pPr>
              <w:pStyle w:val="55"/>
              <w:widowControl/>
              <w:spacing w:line="360" w:lineRule="auto"/>
              <w:jc w:val="left"/>
              <w:rPr>
                <w:rFonts w:hint="eastAsia" w:ascii="宋体" w:hAnsi="宋体" w:eastAsia="宋体" w:cs="宋体"/>
                <w:bCs/>
                <w:i/>
                <w:color w:val="auto"/>
                <w:sz w:val="24"/>
                <w:highlight w:val="none"/>
              </w:rPr>
            </w:pPr>
          </w:p>
        </w:tc>
        <w:tc>
          <w:tcPr>
            <w:tcW w:w="1373" w:type="dxa"/>
          </w:tcPr>
          <w:p>
            <w:pPr>
              <w:pStyle w:val="55"/>
              <w:widowControl/>
              <w:spacing w:line="360" w:lineRule="auto"/>
              <w:jc w:val="left"/>
              <w:rPr>
                <w:rFonts w:hint="eastAsia" w:ascii="宋体" w:hAnsi="宋体" w:eastAsia="宋体" w:cs="宋体"/>
                <w:bCs/>
                <w:i/>
                <w:color w:val="auto"/>
                <w:sz w:val="24"/>
                <w:highlight w:val="none"/>
              </w:rPr>
            </w:pPr>
          </w:p>
          <w:p>
            <w:pPr>
              <w:pStyle w:val="55"/>
              <w:widowControl/>
              <w:spacing w:line="360" w:lineRule="auto"/>
              <w:jc w:val="left"/>
              <w:rPr>
                <w:rFonts w:hint="eastAsia" w:ascii="宋体" w:hAnsi="宋体" w:eastAsia="宋体" w:cs="宋体"/>
                <w:bCs/>
                <w:i/>
                <w:color w:val="auto"/>
                <w:sz w:val="24"/>
                <w:highlight w:val="none"/>
              </w:rPr>
            </w:pPr>
          </w:p>
          <w:p>
            <w:pPr>
              <w:pStyle w:val="55"/>
              <w:widowControl/>
              <w:spacing w:line="360" w:lineRule="auto"/>
              <w:jc w:val="left"/>
              <w:rPr>
                <w:rFonts w:hint="eastAsia" w:ascii="宋体" w:hAnsi="宋体" w:eastAsia="宋体" w:cs="宋体"/>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55"/>
              <w:widowControl/>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w:t>
            </w:r>
          </w:p>
        </w:tc>
        <w:tc>
          <w:tcPr>
            <w:tcW w:w="2355" w:type="dxa"/>
            <w:tcBorders>
              <w:bottom w:val="single" w:color="auto" w:sz="4" w:space="0"/>
            </w:tcBorders>
            <w:vAlign w:val="center"/>
          </w:tcPr>
          <w:p>
            <w:pPr>
              <w:pStyle w:val="55"/>
              <w:widowControl/>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w:t>
            </w:r>
          </w:p>
        </w:tc>
        <w:tc>
          <w:tcPr>
            <w:tcW w:w="4061" w:type="dxa"/>
            <w:tcBorders>
              <w:bottom w:val="single" w:color="auto" w:sz="4" w:space="0"/>
            </w:tcBorders>
          </w:tcPr>
          <w:p>
            <w:pPr>
              <w:pStyle w:val="55"/>
              <w:widowControl/>
              <w:spacing w:line="360" w:lineRule="auto"/>
              <w:jc w:val="left"/>
              <w:rPr>
                <w:rFonts w:hint="eastAsia" w:ascii="宋体" w:hAnsi="宋体" w:eastAsia="宋体" w:cs="宋体"/>
                <w:bCs/>
                <w:color w:val="auto"/>
                <w:sz w:val="24"/>
                <w:highlight w:val="none"/>
              </w:rPr>
            </w:pPr>
          </w:p>
        </w:tc>
        <w:tc>
          <w:tcPr>
            <w:tcW w:w="1373" w:type="dxa"/>
            <w:tcBorders>
              <w:bottom w:val="single" w:color="auto" w:sz="4" w:space="0"/>
            </w:tcBorders>
          </w:tcPr>
          <w:p>
            <w:pPr>
              <w:pStyle w:val="55"/>
              <w:widowControl/>
              <w:spacing w:line="360" w:lineRule="auto"/>
              <w:jc w:val="left"/>
              <w:rPr>
                <w:rFonts w:hint="eastAsia" w:ascii="宋体" w:hAnsi="宋体" w:eastAsia="宋体" w:cs="宋体"/>
                <w:bCs/>
                <w:color w:val="auto"/>
                <w:sz w:val="24"/>
                <w:highlight w:val="none"/>
              </w:rPr>
            </w:pPr>
          </w:p>
        </w:tc>
      </w:tr>
    </w:tbl>
    <w:p>
      <w:pPr>
        <w:spacing w:line="360" w:lineRule="auto"/>
        <w:ind w:left="549" w:hanging="549" w:hangingChars="171"/>
        <w:jc w:val="center"/>
        <w:rPr>
          <w:rFonts w:hint="eastAsia" w:ascii="宋体" w:hAnsi="宋体" w:eastAsia="宋体" w:cs="宋体"/>
          <w:b/>
          <w:color w:val="auto"/>
          <w:sz w:val="32"/>
          <w:szCs w:val="32"/>
          <w:highlight w:val="none"/>
        </w:rPr>
      </w:pPr>
    </w:p>
    <w:p>
      <w:pPr>
        <w:spacing w:line="360" w:lineRule="auto"/>
        <w:rPr>
          <w:rFonts w:hint="eastAsia" w:ascii="宋体" w:hAnsi="宋体" w:eastAsia="宋体" w:cs="宋体"/>
          <w:color w:val="auto"/>
          <w:sz w:val="24"/>
          <w:highlight w:val="none"/>
        </w:rPr>
      </w:pPr>
    </w:p>
    <w:p>
      <w:pPr>
        <w:spacing w:line="48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投标人名称（盖章）：</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eastAsia="zh-CN"/>
        </w:rPr>
        <w:t>法定代表人或授权委托</w:t>
      </w:r>
      <w:r>
        <w:rPr>
          <w:rFonts w:hint="eastAsia" w:ascii="宋体" w:hAnsi="宋体" w:eastAsia="宋体" w:cs="宋体"/>
          <w:color w:val="auto"/>
          <w:sz w:val="24"/>
          <w:highlight w:val="none"/>
          <w:lang w:val="en-US" w:eastAsia="zh-CN"/>
        </w:rPr>
        <w:t>代理</w:t>
      </w:r>
      <w:r>
        <w:rPr>
          <w:rFonts w:hint="eastAsia" w:ascii="宋体" w:hAnsi="宋体" w:eastAsia="宋体" w:cs="宋体"/>
          <w:color w:val="auto"/>
          <w:sz w:val="24"/>
          <w:highlight w:val="none"/>
          <w:lang w:val="zh-CN" w:eastAsia="zh-CN"/>
        </w:rPr>
        <w:t>人（签字</w:t>
      </w:r>
      <w:r>
        <w:rPr>
          <w:rFonts w:hint="eastAsia" w:ascii="宋体" w:hAnsi="宋体" w:eastAsia="宋体" w:cs="宋体"/>
          <w:color w:val="auto"/>
          <w:sz w:val="24"/>
          <w:highlight w:val="none"/>
          <w:lang w:val="en-US" w:eastAsia="zh-CN"/>
        </w:rPr>
        <w:t>或盖章</w:t>
      </w: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spacing w:line="360" w:lineRule="auto"/>
        <w:jc w:val="both"/>
        <w:rPr>
          <w:rFonts w:hint="eastAsia" w:ascii="宋体" w:hAnsi="宋体" w:eastAsia="宋体" w:cs="宋体"/>
          <w:b/>
          <w:color w:val="auto"/>
          <w:sz w:val="24"/>
          <w:szCs w:val="24"/>
          <w:highlight w:val="none"/>
        </w:rPr>
      </w:pPr>
    </w:p>
    <w:p>
      <w:pPr>
        <w:spacing w:line="360" w:lineRule="auto"/>
        <w:jc w:val="both"/>
        <w:rPr>
          <w:rFonts w:hint="eastAsia" w:ascii="宋体" w:hAnsi="宋体" w:eastAsia="宋体" w:cs="宋体"/>
          <w:b/>
          <w:color w:val="auto"/>
          <w:sz w:val="24"/>
          <w:szCs w:val="24"/>
          <w:highlight w:val="none"/>
        </w:rPr>
      </w:pPr>
    </w:p>
    <w:p>
      <w:pPr>
        <w:spacing w:line="360" w:lineRule="auto"/>
        <w:jc w:val="both"/>
        <w:rPr>
          <w:rFonts w:hint="eastAsia" w:ascii="宋体" w:hAnsi="宋体" w:eastAsia="宋体" w:cs="宋体"/>
          <w:b/>
          <w:color w:val="auto"/>
          <w:sz w:val="24"/>
          <w:szCs w:val="24"/>
          <w:highlight w:val="none"/>
        </w:rPr>
      </w:pPr>
    </w:p>
    <w:p>
      <w:pPr>
        <w:spacing w:line="360" w:lineRule="auto"/>
        <w:jc w:val="both"/>
        <w:rPr>
          <w:rFonts w:hint="eastAsia" w:ascii="宋体" w:hAnsi="宋体" w:eastAsia="宋体" w:cs="宋体"/>
          <w:b/>
          <w:color w:val="auto"/>
          <w:sz w:val="24"/>
          <w:szCs w:val="24"/>
          <w:highlight w:val="none"/>
        </w:rPr>
      </w:pPr>
    </w:p>
    <w:p>
      <w:pPr>
        <w:spacing w:line="360" w:lineRule="auto"/>
        <w:jc w:val="both"/>
        <w:rPr>
          <w:rFonts w:hint="eastAsia" w:ascii="宋体" w:hAnsi="宋体" w:eastAsia="宋体" w:cs="宋体"/>
          <w:b/>
          <w:color w:val="auto"/>
          <w:sz w:val="24"/>
          <w:szCs w:val="24"/>
          <w:highlight w:val="none"/>
        </w:rPr>
      </w:pPr>
    </w:p>
    <w:p>
      <w:pPr>
        <w:spacing w:line="360" w:lineRule="auto"/>
        <w:jc w:val="both"/>
        <w:rPr>
          <w:rFonts w:hint="eastAsia" w:ascii="宋体" w:hAnsi="宋体" w:eastAsia="宋体" w:cs="宋体"/>
          <w:b/>
          <w:color w:val="auto"/>
          <w:sz w:val="24"/>
          <w:szCs w:val="24"/>
          <w:highlight w:val="none"/>
        </w:rPr>
      </w:pPr>
    </w:p>
    <w:p>
      <w:pPr>
        <w:rPr>
          <w:rFonts w:hint="eastAsia" w:ascii="宋体" w:hAnsi="宋体" w:eastAsia="宋体" w:cs="宋体"/>
          <w:b/>
          <w:bCs/>
          <w:color w:val="auto"/>
          <w:sz w:val="28"/>
          <w:szCs w:val="36"/>
          <w:highlight w:val="none"/>
          <w:lang w:eastAsia="zh-CN"/>
        </w:rPr>
      </w:pPr>
      <w:r>
        <w:rPr>
          <w:rFonts w:hint="eastAsia" w:ascii="宋体" w:hAnsi="宋体" w:eastAsia="宋体" w:cs="宋体"/>
          <w:b/>
          <w:bCs/>
          <w:color w:val="auto"/>
          <w:sz w:val="28"/>
          <w:szCs w:val="36"/>
          <w:highlight w:val="none"/>
        </w:rPr>
        <w:t>附件1</w:t>
      </w:r>
      <w:r>
        <w:rPr>
          <w:rFonts w:hint="eastAsia" w:ascii="宋体" w:hAnsi="宋体" w:eastAsia="宋体" w:cs="宋体"/>
          <w:b/>
          <w:bCs/>
          <w:color w:val="auto"/>
          <w:sz w:val="28"/>
          <w:szCs w:val="36"/>
          <w:highlight w:val="none"/>
          <w:lang w:val="en-US" w:eastAsia="zh-CN"/>
        </w:rPr>
        <w:t>4</w:t>
      </w:r>
      <w:r>
        <w:rPr>
          <w:rFonts w:hint="eastAsia" w:ascii="宋体" w:hAnsi="宋体" w:eastAsia="宋体" w:cs="宋体"/>
          <w:b/>
          <w:bCs/>
          <w:color w:val="auto"/>
          <w:sz w:val="28"/>
          <w:szCs w:val="36"/>
          <w:highlight w:val="none"/>
        </w:rPr>
        <w:t>　</w:t>
      </w:r>
      <w:r>
        <w:rPr>
          <w:rFonts w:hint="eastAsia" w:ascii="宋体" w:hAnsi="宋体" w:eastAsia="宋体" w:cs="宋体"/>
          <w:color w:val="auto"/>
          <w:sz w:val="30"/>
          <w:szCs w:val="30"/>
          <w:highlight w:val="none"/>
        </w:rPr>
        <w:t>　</w:t>
      </w:r>
      <w:r>
        <w:rPr>
          <w:rFonts w:hint="eastAsia" w:ascii="宋体" w:hAnsi="宋体" w:eastAsia="宋体" w:cs="宋体"/>
          <w:color w:val="auto"/>
          <w:sz w:val="30"/>
          <w:szCs w:val="30"/>
          <w:highlight w:val="none"/>
          <w:lang w:val="en-US" w:eastAsia="zh-CN"/>
        </w:rPr>
        <w:t xml:space="preserve">                                       </w:t>
      </w:r>
      <w:r>
        <w:rPr>
          <w:rFonts w:hint="eastAsia" w:ascii="宋体" w:hAnsi="宋体" w:eastAsia="宋体" w:cs="宋体"/>
          <w:color w:val="auto"/>
          <w:sz w:val="30"/>
          <w:szCs w:val="30"/>
          <w:highlight w:val="none"/>
          <w:u w:val="single"/>
          <w:lang w:val="en-US" w:eastAsia="zh-CN"/>
        </w:rPr>
        <w:t xml:space="preserve">   </w:t>
      </w:r>
      <w:r>
        <w:rPr>
          <w:rFonts w:hint="eastAsia" w:ascii="宋体" w:hAnsi="宋体" w:eastAsia="宋体" w:cs="宋体"/>
          <w:bCs/>
          <w:color w:val="auto"/>
          <w:sz w:val="24"/>
          <w:highlight w:val="none"/>
        </w:rPr>
        <w:t>本</w:t>
      </w:r>
    </w:p>
    <w:p>
      <w:pPr>
        <w:jc w:val="center"/>
        <w:rPr>
          <w:rFonts w:hint="eastAsia" w:ascii="宋体" w:hAnsi="宋体" w:eastAsia="宋体" w:cs="宋体"/>
          <w:color w:val="auto"/>
          <w:spacing w:val="40"/>
          <w:sz w:val="52"/>
          <w:szCs w:val="52"/>
          <w:highlight w:val="none"/>
        </w:rPr>
      </w:pPr>
      <w:r>
        <w:rPr>
          <w:rFonts w:hint="eastAsia" w:ascii="宋体" w:hAnsi="宋体" w:eastAsia="宋体" w:cs="宋体"/>
          <w:color w:val="auto"/>
          <w:spacing w:val="40"/>
          <w:sz w:val="52"/>
          <w:szCs w:val="52"/>
          <w:highlight w:val="none"/>
        </w:rPr>
        <w:t>项目名称</w:t>
      </w:r>
    </w:p>
    <w:p>
      <w:pPr>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项目编号：（标段）</w:t>
      </w:r>
    </w:p>
    <w:p>
      <w:pPr>
        <w:jc w:val="center"/>
        <w:rPr>
          <w:rFonts w:hint="eastAsia" w:ascii="宋体" w:hAnsi="宋体" w:eastAsia="宋体" w:cs="宋体"/>
          <w:b/>
          <w:color w:val="auto"/>
          <w:spacing w:val="40"/>
          <w:sz w:val="84"/>
          <w:szCs w:val="84"/>
          <w:highlight w:val="none"/>
        </w:rPr>
      </w:pPr>
    </w:p>
    <w:p>
      <w:pPr>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报</w:t>
      </w:r>
    </w:p>
    <w:p>
      <w:pPr>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价</w:t>
      </w:r>
    </w:p>
    <w:p>
      <w:pPr>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文</w:t>
      </w:r>
    </w:p>
    <w:p>
      <w:pPr>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件</w:t>
      </w:r>
    </w:p>
    <w:p>
      <w:pPr>
        <w:jc w:val="center"/>
        <w:rPr>
          <w:rFonts w:hint="eastAsia" w:ascii="宋体" w:hAnsi="宋体" w:eastAsia="宋体" w:cs="宋体"/>
          <w:color w:val="auto"/>
          <w:sz w:val="36"/>
          <w:szCs w:val="36"/>
          <w:highlight w:val="none"/>
        </w:rPr>
      </w:pPr>
    </w:p>
    <w:p>
      <w:pPr>
        <w:jc w:val="center"/>
        <w:rPr>
          <w:rFonts w:hint="eastAsia" w:ascii="宋体" w:hAnsi="宋体" w:eastAsia="宋体" w:cs="宋体"/>
          <w:color w:val="auto"/>
          <w:sz w:val="36"/>
          <w:szCs w:val="36"/>
          <w:highlight w:val="none"/>
        </w:rPr>
      </w:pPr>
    </w:p>
    <w:p>
      <w:pPr>
        <w:spacing w:line="360" w:lineRule="auto"/>
        <w:ind w:right="532"/>
        <w:jc w:val="center"/>
        <w:rPr>
          <w:rFonts w:hint="eastAsia" w:ascii="宋体" w:hAnsi="宋体" w:eastAsia="宋体" w:cs="宋体"/>
          <w:color w:val="auto"/>
          <w:sz w:val="36"/>
          <w:szCs w:val="36"/>
          <w:highlight w:val="none"/>
        </w:rPr>
      </w:pPr>
    </w:p>
    <w:p>
      <w:pPr>
        <w:jc w:val="both"/>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供应商全称（公章）：</w:t>
      </w:r>
    </w:p>
    <w:p>
      <w:pPr>
        <w:jc w:val="both"/>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地址：</w:t>
      </w:r>
    </w:p>
    <w:p>
      <w:pPr>
        <w:jc w:val="both"/>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时间：</w:t>
      </w: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报价文件目录</w:t>
      </w:r>
    </w:p>
    <w:p>
      <w:pPr>
        <w:spacing w:line="360" w:lineRule="auto"/>
        <w:rPr>
          <w:rFonts w:hint="eastAsia" w:ascii="宋体" w:hAnsi="宋体" w:eastAsia="宋体" w:cs="宋体"/>
          <w:color w:val="auto"/>
          <w:sz w:val="24"/>
          <w:highlight w:val="none"/>
        </w:rPr>
      </w:pPr>
    </w:p>
    <w:p>
      <w:pPr>
        <w:spacing w:line="360" w:lineRule="auto"/>
        <w:jc w:val="left"/>
        <w:rPr>
          <w:rFonts w:ascii="宋体" w:cs="宋体"/>
          <w:color w:val="auto"/>
          <w:sz w:val="28"/>
          <w:szCs w:val="36"/>
          <w:highlight w:val="none"/>
        </w:rPr>
      </w:pPr>
      <w:r>
        <w:rPr>
          <w:rFonts w:ascii="宋体" w:hAnsi="宋体" w:cs="宋体"/>
          <w:color w:val="auto"/>
          <w:sz w:val="28"/>
          <w:szCs w:val="36"/>
          <w:highlight w:val="none"/>
        </w:rPr>
        <w:t>1</w:t>
      </w:r>
      <w:r>
        <w:rPr>
          <w:rFonts w:hint="eastAsia" w:ascii="宋体" w:hAnsi="宋体" w:cs="宋体"/>
          <w:color w:val="auto"/>
          <w:sz w:val="28"/>
          <w:szCs w:val="36"/>
          <w:highlight w:val="none"/>
        </w:rPr>
        <w:t>、开标一览表（附件</w:t>
      </w:r>
      <w:r>
        <w:rPr>
          <w:rFonts w:ascii="宋体" w:hAnsi="宋体" w:cs="宋体"/>
          <w:color w:val="auto"/>
          <w:sz w:val="28"/>
          <w:szCs w:val="36"/>
          <w:highlight w:val="none"/>
        </w:rPr>
        <w:t>15</w:t>
      </w:r>
      <w:r>
        <w:rPr>
          <w:rFonts w:hint="eastAsia" w:ascii="宋体" w:hAnsi="宋体" w:cs="宋体"/>
          <w:color w:val="auto"/>
          <w:sz w:val="28"/>
          <w:szCs w:val="36"/>
          <w:highlight w:val="none"/>
        </w:rPr>
        <w:t>）；</w:t>
      </w:r>
    </w:p>
    <w:p>
      <w:pPr>
        <w:spacing w:line="360" w:lineRule="auto"/>
        <w:jc w:val="left"/>
        <w:rPr>
          <w:rFonts w:ascii="宋体" w:cs="宋体"/>
          <w:color w:val="auto"/>
          <w:sz w:val="28"/>
          <w:szCs w:val="36"/>
          <w:highlight w:val="none"/>
        </w:rPr>
      </w:pPr>
      <w:r>
        <w:rPr>
          <w:rFonts w:ascii="宋体" w:hAnsi="宋体" w:cs="宋体"/>
          <w:color w:val="auto"/>
          <w:sz w:val="28"/>
          <w:szCs w:val="36"/>
          <w:highlight w:val="none"/>
        </w:rPr>
        <w:t>2</w:t>
      </w:r>
      <w:r>
        <w:rPr>
          <w:rFonts w:hint="eastAsia" w:ascii="宋体" w:hAnsi="宋体" w:cs="宋体"/>
          <w:color w:val="auto"/>
          <w:sz w:val="28"/>
          <w:szCs w:val="36"/>
          <w:highlight w:val="none"/>
        </w:rPr>
        <w:t>、报价明细表（附件</w:t>
      </w:r>
      <w:r>
        <w:rPr>
          <w:rFonts w:ascii="宋体" w:hAnsi="宋体" w:cs="宋体"/>
          <w:color w:val="auto"/>
          <w:sz w:val="28"/>
          <w:szCs w:val="36"/>
          <w:highlight w:val="none"/>
        </w:rPr>
        <w:t>16</w:t>
      </w:r>
      <w:r>
        <w:rPr>
          <w:rFonts w:hint="eastAsia" w:ascii="宋体" w:hAnsi="宋体" w:cs="宋体"/>
          <w:color w:val="auto"/>
          <w:sz w:val="28"/>
          <w:szCs w:val="36"/>
          <w:highlight w:val="none"/>
        </w:rPr>
        <w:t>）；</w:t>
      </w:r>
    </w:p>
    <w:p>
      <w:pPr>
        <w:spacing w:line="360" w:lineRule="auto"/>
        <w:jc w:val="left"/>
        <w:rPr>
          <w:rFonts w:ascii="宋体" w:cs="宋体"/>
          <w:color w:val="auto"/>
          <w:sz w:val="28"/>
          <w:szCs w:val="36"/>
          <w:highlight w:val="none"/>
        </w:rPr>
      </w:pPr>
      <w:r>
        <w:rPr>
          <w:rFonts w:ascii="宋体" w:hAnsi="宋体" w:cs="宋体"/>
          <w:color w:val="auto"/>
          <w:sz w:val="28"/>
          <w:szCs w:val="36"/>
          <w:highlight w:val="none"/>
        </w:rPr>
        <w:t>3</w:t>
      </w:r>
      <w:r>
        <w:rPr>
          <w:rFonts w:hint="eastAsia" w:ascii="宋体" w:hAnsi="宋体" w:cs="宋体"/>
          <w:color w:val="auto"/>
          <w:sz w:val="28"/>
          <w:szCs w:val="36"/>
          <w:highlight w:val="none"/>
        </w:rPr>
        <w:t>、针对报价投标人认为其他需要说明的；</w:t>
      </w:r>
    </w:p>
    <w:p>
      <w:pPr>
        <w:spacing w:line="360" w:lineRule="auto"/>
        <w:jc w:val="left"/>
        <w:rPr>
          <w:rFonts w:hint="eastAsia" w:ascii="宋体" w:hAnsi="宋体" w:eastAsia="宋体" w:cs="宋体"/>
          <w:b w:val="0"/>
          <w:bCs w:val="0"/>
          <w:color w:val="auto"/>
          <w:sz w:val="24"/>
          <w:szCs w:val="32"/>
          <w:highlight w:val="none"/>
          <w:lang w:eastAsia="zh-CN"/>
        </w:rPr>
      </w:pPr>
      <w:r>
        <w:rPr>
          <w:rFonts w:ascii="宋体" w:hAnsi="宋体" w:cs="宋体"/>
          <w:color w:val="auto"/>
          <w:sz w:val="28"/>
          <w:szCs w:val="36"/>
          <w:highlight w:val="none"/>
        </w:rPr>
        <w:t>4</w:t>
      </w:r>
      <w:r>
        <w:rPr>
          <w:rFonts w:hint="eastAsia" w:ascii="宋体" w:hAnsi="宋体" w:cs="宋体"/>
          <w:color w:val="auto"/>
          <w:sz w:val="28"/>
          <w:szCs w:val="36"/>
          <w:highlight w:val="none"/>
        </w:rPr>
        <w:t>、</w:t>
      </w:r>
      <w:r>
        <w:rPr>
          <w:rFonts w:hint="eastAsia" w:ascii="宋体" w:hAnsi="宋体" w:eastAsia="宋体" w:cs="宋体"/>
          <w:color w:val="auto"/>
          <w:sz w:val="28"/>
          <w:szCs w:val="36"/>
          <w:highlight w:val="none"/>
          <w:lang w:val="en-US" w:eastAsia="zh-CN"/>
        </w:rPr>
        <w:t>中小</w:t>
      </w:r>
      <w:r>
        <w:rPr>
          <w:rFonts w:hint="eastAsia" w:ascii="宋体" w:hAnsi="宋体" w:eastAsia="宋体" w:cs="宋体"/>
          <w:color w:val="auto"/>
          <w:sz w:val="28"/>
          <w:szCs w:val="36"/>
          <w:highlight w:val="none"/>
        </w:rPr>
        <w:t>企业</w:t>
      </w:r>
      <w:r>
        <w:rPr>
          <w:rFonts w:hint="eastAsia" w:ascii="宋体" w:hAnsi="宋体" w:eastAsia="宋体" w:cs="宋体"/>
          <w:color w:val="auto"/>
          <w:sz w:val="28"/>
          <w:szCs w:val="36"/>
          <w:highlight w:val="none"/>
          <w:lang w:val="en-US" w:eastAsia="zh-CN"/>
        </w:rPr>
        <w:t>等</w:t>
      </w:r>
      <w:r>
        <w:rPr>
          <w:rFonts w:hint="eastAsia" w:ascii="宋体" w:hAnsi="宋体" w:eastAsia="宋体" w:cs="宋体"/>
          <w:color w:val="auto"/>
          <w:sz w:val="28"/>
          <w:szCs w:val="36"/>
          <w:highlight w:val="none"/>
        </w:rPr>
        <w:t>声明函（附件1</w:t>
      </w:r>
      <w:r>
        <w:rPr>
          <w:rFonts w:hint="eastAsia" w:ascii="宋体" w:hAnsi="宋体" w:eastAsia="宋体" w:cs="宋体"/>
          <w:color w:val="auto"/>
          <w:sz w:val="28"/>
          <w:szCs w:val="36"/>
          <w:highlight w:val="none"/>
          <w:lang w:val="en-US" w:eastAsia="zh-CN"/>
        </w:rPr>
        <w:t>7</w:t>
      </w:r>
      <w:r>
        <w:rPr>
          <w:rFonts w:hint="eastAsia" w:ascii="宋体" w:hAnsi="宋体" w:eastAsia="宋体" w:cs="宋体"/>
          <w:color w:val="auto"/>
          <w:sz w:val="28"/>
          <w:szCs w:val="36"/>
          <w:highlight w:val="none"/>
        </w:rPr>
        <w:t>）</w:t>
      </w:r>
      <w:r>
        <w:rPr>
          <w:rFonts w:hint="eastAsia" w:ascii="宋体" w:hAnsi="宋体" w:cs="宋体"/>
          <w:color w:val="auto"/>
          <w:sz w:val="28"/>
          <w:szCs w:val="36"/>
          <w:highlight w:val="none"/>
          <w:lang w:eastAsia="zh-CN"/>
        </w:rPr>
        <w:t>。</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5</w:t>
      </w:r>
    </w:p>
    <w:p>
      <w:pPr>
        <w:spacing w:line="360" w:lineRule="auto"/>
        <w:ind w:left="-2" w:hanging="2"/>
        <w:jc w:val="center"/>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开标一览表</w:t>
      </w:r>
      <w:r>
        <w:rPr>
          <w:rFonts w:hint="eastAsia" w:ascii="宋体" w:hAnsi="宋体" w:cs="宋体"/>
          <w:b/>
          <w:color w:val="auto"/>
          <w:sz w:val="32"/>
          <w:szCs w:val="32"/>
          <w:highlight w:val="none"/>
          <w:lang w:eastAsia="zh-CN"/>
        </w:rPr>
        <w:t>（</w:t>
      </w:r>
      <w:r>
        <w:rPr>
          <w:rFonts w:hint="eastAsia" w:ascii="宋体" w:hAnsi="宋体" w:cs="宋体"/>
          <w:b/>
          <w:color w:val="auto"/>
          <w:sz w:val="32"/>
          <w:szCs w:val="32"/>
          <w:highlight w:val="none"/>
          <w:lang w:val="en-US" w:eastAsia="zh-CN"/>
        </w:rPr>
        <w:t>标段</w:t>
      </w:r>
      <w:r>
        <w:rPr>
          <w:rFonts w:hint="eastAsia" w:ascii="宋体" w:hAnsi="宋体" w:cs="宋体"/>
          <w:b/>
          <w:color w:val="auto"/>
          <w:sz w:val="32"/>
          <w:szCs w:val="32"/>
          <w:highlight w:val="none"/>
          <w:lang w:eastAsia="zh-CN"/>
        </w:rPr>
        <w:t>）</w:t>
      </w:r>
    </w:p>
    <w:p>
      <w:pPr>
        <w:spacing w:line="360" w:lineRule="auto"/>
        <w:ind w:left="-2" w:hanging="2"/>
        <w:jc w:val="center"/>
        <w:rPr>
          <w:rFonts w:hint="eastAsia" w:ascii="宋体" w:hAnsi="宋体" w:eastAsia="宋体" w:cs="宋体"/>
          <w:b/>
          <w:color w:val="auto"/>
          <w:sz w:val="32"/>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eastAsia="宋体" w:cs="宋体"/>
          <w:b w:val="0"/>
          <w:bCs w:val="0"/>
          <w:color w:val="auto"/>
          <w:sz w:val="24"/>
          <w:szCs w:val="32"/>
          <w:highlight w:val="none"/>
          <w:lang w:val="en-US" w:eastAsia="zh-CN"/>
        </w:rPr>
        <w:t xml:space="preserve">                                       [单位：人民币/元]</w:t>
      </w:r>
    </w:p>
    <w:tbl>
      <w:tblPr>
        <w:tblStyle w:val="27"/>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投标总报价(元)</w:t>
            </w:r>
          </w:p>
        </w:tc>
        <w:tc>
          <w:tcPr>
            <w:tcW w:w="1349" w:type="dxa"/>
            <w:vAlign w:val="center"/>
          </w:tcPr>
          <w:p>
            <w:pPr>
              <w:autoSpaceDE w:val="0"/>
              <w:autoSpaceDN w:val="0"/>
              <w:spacing w:line="450" w:lineRule="exact"/>
              <w:jc w:val="center"/>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大写</w:t>
            </w:r>
          </w:p>
        </w:tc>
        <w:tc>
          <w:tcPr>
            <w:tcW w:w="4629" w:type="dxa"/>
            <w:vAlign w:val="center"/>
          </w:tcPr>
          <w:p>
            <w:pPr>
              <w:autoSpaceDE w:val="0"/>
              <w:autoSpaceDN w:val="0"/>
              <w:spacing w:line="450" w:lineRule="exact"/>
              <w:jc w:val="center"/>
              <w:textAlignment w:val="bottom"/>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00" w:hRule="atLeast"/>
          <w:jc w:val="center"/>
        </w:trPr>
        <w:tc>
          <w:tcPr>
            <w:tcW w:w="2694" w:type="dxa"/>
            <w:vMerge w:val="continue"/>
            <w:vAlign w:val="center"/>
          </w:tcPr>
          <w:p>
            <w:pPr>
              <w:rPr>
                <w:rFonts w:hint="eastAsia" w:ascii="宋体" w:hAnsi="宋体" w:eastAsia="宋体" w:cs="宋体"/>
                <w:color w:val="auto"/>
                <w:sz w:val="24"/>
                <w:highlight w:val="none"/>
              </w:rPr>
            </w:pPr>
          </w:p>
        </w:tc>
        <w:tc>
          <w:tcPr>
            <w:tcW w:w="1349" w:type="dxa"/>
            <w:vAlign w:val="center"/>
          </w:tcPr>
          <w:p>
            <w:pPr>
              <w:autoSpaceDE w:val="0"/>
              <w:autoSpaceDN w:val="0"/>
              <w:spacing w:line="450" w:lineRule="exact"/>
              <w:jc w:val="center"/>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小写</w:t>
            </w:r>
          </w:p>
        </w:tc>
        <w:tc>
          <w:tcPr>
            <w:tcW w:w="4629" w:type="dxa"/>
            <w:vAlign w:val="center"/>
          </w:tcPr>
          <w:p>
            <w:pPr>
              <w:autoSpaceDE w:val="0"/>
              <w:autoSpaceDN w:val="0"/>
              <w:spacing w:line="450" w:lineRule="exact"/>
              <w:jc w:val="center"/>
              <w:textAlignment w:val="bottom"/>
              <w:rPr>
                <w:rFonts w:hint="eastAsia" w:ascii="宋体" w:hAnsi="宋体" w:eastAsia="宋体" w:cs="宋体"/>
                <w:color w:val="auto"/>
                <w:sz w:val="24"/>
                <w:highlight w:val="none"/>
              </w:rPr>
            </w:pPr>
          </w:p>
        </w:tc>
      </w:tr>
    </w:tbl>
    <w:p>
      <w:pP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p>
    <w:p>
      <w:pPr>
        <w:bidi w:val="0"/>
        <w:spacing w:line="360" w:lineRule="auto"/>
        <w:jc w:val="left"/>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填报要求：</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1.投标总报价包括货款、标准附件、备品备件、专用工具、包装、运输、装卸、保险、税金、货到就位以及安装、调试、培训、保修、合同包含的所有风险责任等各项费用及不可预见费等所需的全部费用。</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2.报价一经涂改，应在涂改处加盖单位公章，或者由法定代表人或</w:t>
      </w:r>
      <w:r>
        <w:rPr>
          <w:rFonts w:hint="eastAsia" w:ascii="宋体" w:hAnsi="宋体" w:eastAsia="宋体" w:cs="宋体"/>
          <w:b w:val="0"/>
          <w:bCs w:val="0"/>
          <w:color w:val="auto"/>
          <w:sz w:val="24"/>
          <w:szCs w:val="32"/>
          <w:highlight w:val="none"/>
          <w:lang w:val="en-US" w:eastAsia="zh-CN"/>
        </w:rPr>
        <w:t>授权委托代理人</w:t>
      </w:r>
      <w:r>
        <w:rPr>
          <w:rFonts w:hint="eastAsia" w:ascii="宋体" w:hAnsi="宋体" w:eastAsia="宋体" w:cs="宋体"/>
          <w:b w:val="0"/>
          <w:bCs w:val="0"/>
          <w:color w:val="auto"/>
          <w:sz w:val="24"/>
          <w:szCs w:val="32"/>
          <w:highlight w:val="none"/>
          <w:lang w:eastAsia="zh-CN"/>
        </w:rPr>
        <w:t>签字或盖章，否则其投标作无效标处理。</w:t>
      </w:r>
    </w:p>
    <w:p>
      <w:pPr>
        <w:spacing w:line="360" w:lineRule="auto"/>
        <w:rPr>
          <w:rFonts w:hint="eastAsia" w:ascii="宋体" w:hAnsi="宋体" w:eastAsia="宋体" w:cs="宋体"/>
          <w:color w:val="auto"/>
          <w:sz w:val="24"/>
          <w:highlight w:val="none"/>
        </w:rPr>
      </w:pPr>
    </w:p>
    <w:p>
      <w:pPr>
        <w:spacing w:line="48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投标人名称（盖章）：</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eastAsia="zh-CN"/>
        </w:rPr>
        <w:t>法定代表人或授权委托</w:t>
      </w:r>
      <w:r>
        <w:rPr>
          <w:rFonts w:hint="eastAsia" w:ascii="宋体" w:hAnsi="宋体" w:eastAsia="宋体" w:cs="宋体"/>
          <w:color w:val="auto"/>
          <w:sz w:val="24"/>
          <w:highlight w:val="none"/>
          <w:lang w:val="en-US" w:eastAsia="zh-CN"/>
        </w:rPr>
        <w:t>代理</w:t>
      </w:r>
      <w:r>
        <w:rPr>
          <w:rFonts w:hint="eastAsia" w:ascii="宋体" w:hAnsi="宋体" w:eastAsia="宋体" w:cs="宋体"/>
          <w:color w:val="auto"/>
          <w:sz w:val="24"/>
          <w:highlight w:val="none"/>
          <w:lang w:val="zh-CN" w:eastAsia="zh-CN"/>
        </w:rPr>
        <w:t>人（签字</w:t>
      </w:r>
      <w:r>
        <w:rPr>
          <w:rFonts w:hint="eastAsia" w:ascii="宋体" w:hAnsi="宋体" w:eastAsia="宋体" w:cs="宋体"/>
          <w:color w:val="auto"/>
          <w:sz w:val="24"/>
          <w:highlight w:val="none"/>
          <w:lang w:val="en-US" w:eastAsia="zh-CN"/>
        </w:rPr>
        <w:t>或盖章</w:t>
      </w: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lang w:val="en-US" w:eastAsia="zh-CN"/>
        </w:rPr>
        <w:t xml:space="preserve">                         </w:t>
      </w:r>
    </w:p>
    <w:p>
      <w:pPr>
        <w:bidi w:val="0"/>
        <w:spacing w:line="360" w:lineRule="auto"/>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6</w:t>
      </w:r>
    </w:p>
    <w:p>
      <w:pPr>
        <w:spacing w:line="360" w:lineRule="auto"/>
        <w:jc w:val="center"/>
        <w:rPr>
          <w:rFonts w:hint="eastAsia" w:ascii="宋体" w:hAnsi="宋体" w:eastAsia="宋体" w:cs="宋体"/>
          <w:color w:val="auto"/>
          <w:highlight w:val="none"/>
          <w:lang w:eastAsia="zh-CN"/>
        </w:rPr>
      </w:pPr>
      <w:r>
        <w:rPr>
          <w:rFonts w:hint="eastAsia" w:ascii="宋体" w:hAnsi="宋体" w:eastAsia="宋体" w:cs="宋体"/>
          <w:b/>
          <w:color w:val="auto"/>
          <w:sz w:val="32"/>
          <w:szCs w:val="32"/>
          <w:highlight w:val="none"/>
        </w:rPr>
        <w:t>报价明细表</w:t>
      </w:r>
      <w:r>
        <w:rPr>
          <w:rFonts w:hint="eastAsia" w:ascii="宋体" w:hAnsi="宋体" w:cs="宋体"/>
          <w:b/>
          <w:color w:val="auto"/>
          <w:sz w:val="32"/>
          <w:szCs w:val="32"/>
          <w:highlight w:val="none"/>
          <w:lang w:eastAsia="zh-CN"/>
        </w:rPr>
        <w:t>（</w:t>
      </w:r>
      <w:r>
        <w:rPr>
          <w:rFonts w:hint="eastAsia" w:ascii="宋体" w:hAnsi="宋体" w:cs="宋体"/>
          <w:b/>
          <w:color w:val="auto"/>
          <w:sz w:val="32"/>
          <w:szCs w:val="32"/>
          <w:highlight w:val="none"/>
          <w:lang w:val="en-US" w:eastAsia="zh-CN"/>
        </w:rPr>
        <w:t>标段</w:t>
      </w:r>
      <w:r>
        <w:rPr>
          <w:rFonts w:hint="eastAsia" w:ascii="宋体" w:hAnsi="宋体" w:cs="宋体"/>
          <w:b/>
          <w:color w:val="auto"/>
          <w:sz w:val="32"/>
          <w:szCs w:val="32"/>
          <w:highlight w:val="none"/>
          <w:lang w:eastAsia="zh-CN"/>
        </w:rPr>
        <w:t>）</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eastAsia="宋体" w:cs="宋体"/>
          <w:b w:val="0"/>
          <w:bCs w:val="0"/>
          <w:color w:val="auto"/>
          <w:sz w:val="24"/>
          <w:szCs w:val="32"/>
          <w:highlight w:val="none"/>
          <w:lang w:val="en-US" w:eastAsia="zh-CN"/>
        </w:rPr>
        <w:t xml:space="preserve">                                       [单位：人民币/元]</w:t>
      </w:r>
    </w:p>
    <w:tbl>
      <w:tblPr>
        <w:tblStyle w:val="2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460" w:type="dxa"/>
            <w:vAlign w:val="center"/>
          </w:tcPr>
          <w:p>
            <w:pPr>
              <w:tabs>
                <w:tab w:val="left" w:pos="8280"/>
              </w:tabs>
              <w:autoSpaceDE w:val="0"/>
              <w:autoSpaceDN w:val="0"/>
              <w:adjustRightInd w:val="0"/>
              <w:spacing w:line="360" w:lineRule="auto"/>
              <w:ind w:right="25"/>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报价项目</w:t>
            </w:r>
          </w:p>
        </w:tc>
        <w:tc>
          <w:tcPr>
            <w:tcW w:w="1559" w:type="dxa"/>
            <w:vAlign w:val="center"/>
          </w:tcPr>
          <w:p>
            <w:pPr>
              <w:tabs>
                <w:tab w:val="left" w:pos="8280"/>
              </w:tabs>
              <w:autoSpaceDE w:val="0"/>
              <w:autoSpaceDN w:val="0"/>
              <w:adjustRightInd w:val="0"/>
              <w:spacing w:line="360" w:lineRule="auto"/>
              <w:ind w:right="25"/>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品牌、产地</w:t>
            </w:r>
          </w:p>
        </w:tc>
        <w:tc>
          <w:tcPr>
            <w:tcW w:w="1559" w:type="dxa"/>
            <w:vAlign w:val="center"/>
          </w:tcPr>
          <w:p>
            <w:pPr>
              <w:spacing w:line="360" w:lineRule="auto"/>
              <w:ind w:left="52"/>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型号规格</w:t>
            </w:r>
          </w:p>
        </w:tc>
        <w:tc>
          <w:tcPr>
            <w:tcW w:w="851" w:type="dxa"/>
            <w:vAlign w:val="center"/>
          </w:tcPr>
          <w:p>
            <w:pPr>
              <w:spacing w:line="360" w:lineRule="auto"/>
              <w:ind w:left="152"/>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992"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单价</w:t>
            </w:r>
          </w:p>
        </w:tc>
        <w:tc>
          <w:tcPr>
            <w:tcW w:w="992"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小计</w:t>
            </w:r>
          </w:p>
        </w:tc>
        <w:tc>
          <w:tcPr>
            <w:tcW w:w="709"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vAlign w:val="center"/>
          </w:tcPr>
          <w:p>
            <w:pPr>
              <w:spacing w:line="360" w:lineRule="auto"/>
              <w:jc w:val="center"/>
              <w:rPr>
                <w:rFonts w:hint="eastAsia" w:ascii="宋体" w:hAnsi="宋体" w:eastAsia="宋体" w:cs="宋体"/>
                <w:color w:val="auto"/>
                <w:sz w:val="24"/>
                <w:highlight w:val="none"/>
              </w:rPr>
            </w:pPr>
          </w:p>
        </w:tc>
        <w:tc>
          <w:tcPr>
            <w:tcW w:w="1460" w:type="dxa"/>
            <w:vAlign w:val="center"/>
          </w:tcPr>
          <w:p>
            <w:pPr>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851"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pacing w:line="360" w:lineRule="auto"/>
              <w:jc w:val="center"/>
              <w:rPr>
                <w:rFonts w:hint="eastAsia" w:ascii="宋体" w:hAnsi="宋体" w:eastAsia="宋体" w:cs="宋体"/>
                <w:color w:val="auto"/>
                <w:sz w:val="24"/>
                <w:highlight w:val="none"/>
              </w:rPr>
            </w:pPr>
          </w:p>
        </w:tc>
        <w:tc>
          <w:tcPr>
            <w:tcW w:w="709"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vAlign w:val="center"/>
          </w:tcPr>
          <w:p>
            <w:pPr>
              <w:spacing w:line="360" w:lineRule="auto"/>
              <w:jc w:val="center"/>
              <w:rPr>
                <w:rFonts w:hint="eastAsia" w:ascii="宋体" w:hAnsi="宋体" w:eastAsia="宋体" w:cs="宋体"/>
                <w:color w:val="auto"/>
                <w:sz w:val="24"/>
                <w:highlight w:val="none"/>
              </w:rPr>
            </w:pPr>
          </w:p>
        </w:tc>
        <w:tc>
          <w:tcPr>
            <w:tcW w:w="1460" w:type="dxa"/>
            <w:vAlign w:val="center"/>
          </w:tcPr>
          <w:p>
            <w:pPr>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851"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pacing w:line="360" w:lineRule="auto"/>
              <w:jc w:val="center"/>
              <w:rPr>
                <w:rFonts w:hint="eastAsia" w:ascii="宋体" w:hAnsi="宋体" w:eastAsia="宋体" w:cs="宋体"/>
                <w:color w:val="auto"/>
                <w:sz w:val="24"/>
                <w:highlight w:val="none"/>
              </w:rPr>
            </w:pPr>
          </w:p>
        </w:tc>
        <w:tc>
          <w:tcPr>
            <w:tcW w:w="709"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hint="eastAsia" w:ascii="宋体" w:hAnsi="宋体" w:eastAsia="宋体" w:cs="宋体"/>
                <w:color w:val="auto"/>
                <w:sz w:val="24"/>
                <w:highlight w:val="none"/>
              </w:rPr>
            </w:pPr>
          </w:p>
        </w:tc>
        <w:tc>
          <w:tcPr>
            <w:tcW w:w="1460" w:type="dxa"/>
            <w:vAlign w:val="center"/>
          </w:tcPr>
          <w:p>
            <w:pPr>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851"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pacing w:line="360" w:lineRule="auto"/>
              <w:jc w:val="center"/>
              <w:rPr>
                <w:rFonts w:hint="eastAsia" w:ascii="宋体" w:hAnsi="宋体" w:eastAsia="宋体" w:cs="宋体"/>
                <w:color w:val="auto"/>
                <w:sz w:val="24"/>
                <w:highlight w:val="none"/>
              </w:rPr>
            </w:pPr>
          </w:p>
        </w:tc>
        <w:tc>
          <w:tcPr>
            <w:tcW w:w="709"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hint="eastAsia" w:ascii="宋体" w:hAnsi="宋体" w:eastAsia="宋体" w:cs="宋体"/>
                <w:color w:val="auto"/>
                <w:sz w:val="24"/>
                <w:highlight w:val="none"/>
              </w:rPr>
            </w:pPr>
          </w:p>
        </w:tc>
        <w:tc>
          <w:tcPr>
            <w:tcW w:w="1460" w:type="dxa"/>
            <w:vAlign w:val="center"/>
          </w:tcPr>
          <w:p>
            <w:pPr>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851"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pacing w:line="360" w:lineRule="auto"/>
              <w:jc w:val="center"/>
              <w:rPr>
                <w:rFonts w:hint="eastAsia" w:ascii="宋体" w:hAnsi="宋体" w:eastAsia="宋体" w:cs="宋体"/>
                <w:color w:val="auto"/>
                <w:sz w:val="24"/>
                <w:highlight w:val="none"/>
              </w:rPr>
            </w:pPr>
          </w:p>
        </w:tc>
        <w:tc>
          <w:tcPr>
            <w:tcW w:w="709"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vAlign w:val="center"/>
          </w:tcPr>
          <w:p>
            <w:pPr>
              <w:spacing w:line="360" w:lineRule="auto"/>
              <w:jc w:val="center"/>
              <w:rPr>
                <w:rFonts w:hint="eastAsia" w:ascii="宋体" w:hAnsi="宋体" w:eastAsia="宋体" w:cs="宋体"/>
                <w:color w:val="auto"/>
                <w:sz w:val="24"/>
                <w:highlight w:val="none"/>
              </w:rPr>
            </w:pPr>
          </w:p>
        </w:tc>
        <w:tc>
          <w:tcPr>
            <w:tcW w:w="1460" w:type="dxa"/>
            <w:vAlign w:val="center"/>
          </w:tcPr>
          <w:p>
            <w:pPr>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851"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pacing w:line="360" w:lineRule="auto"/>
              <w:jc w:val="center"/>
              <w:rPr>
                <w:rFonts w:hint="eastAsia" w:ascii="宋体" w:hAnsi="宋体" w:eastAsia="宋体" w:cs="宋体"/>
                <w:color w:val="auto"/>
                <w:sz w:val="24"/>
                <w:highlight w:val="none"/>
              </w:rPr>
            </w:pPr>
          </w:p>
        </w:tc>
        <w:tc>
          <w:tcPr>
            <w:tcW w:w="709"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647" w:type="dxa"/>
            <w:gridSpan w:val="8"/>
            <w:vAlign w:val="center"/>
          </w:tcPr>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合计人民币：大写                               小写</w:t>
            </w:r>
          </w:p>
        </w:tc>
      </w:tr>
    </w:tbl>
    <w:p>
      <w:pPr>
        <w:bidi w:val="0"/>
        <w:spacing w:line="360" w:lineRule="auto"/>
        <w:jc w:val="left"/>
        <w:rPr>
          <w:rFonts w:hint="eastAsia" w:ascii="宋体" w:hAnsi="宋体" w:eastAsia="宋体" w:cs="宋体"/>
          <w:b/>
          <w:bCs/>
          <w:color w:val="auto"/>
          <w:sz w:val="24"/>
          <w:szCs w:val="32"/>
          <w:highlight w:val="none"/>
          <w:lang w:val="en-US" w:eastAsia="zh-CN"/>
        </w:rPr>
      </w:pPr>
    </w:p>
    <w:p>
      <w:pPr>
        <w:bidi w:val="0"/>
        <w:spacing w:line="360" w:lineRule="auto"/>
        <w:jc w:val="left"/>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要求：</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1.本表为《开标一览表》的报价明细表，如有缺项、漏项，视为投标报价中已包含相关费用，采购人无需另外支付任何费用。</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val="zh-CN" w:eastAsia="zh-CN"/>
        </w:rPr>
        <w:t>“报价明细表”中的报价合计应与“开标一览表”中的投标总报价相一致，不一致时，以开标一览表为准。</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val="zh-CN" w:eastAsia="zh-CN"/>
        </w:rPr>
        <w:t>投标报价明细表所填内容按招标文件采购设备清单要求为准。如有漏报的，视同已包含在投标总价内或已作优惠处理。有重大缺项的将作无效标处理。</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4.本表中的型号规格必须明确，招标文件中明确要求定制的除外。</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p>
    <w:p>
      <w:pPr>
        <w:spacing w:line="48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投标人名称（盖章）：</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eastAsia="zh-CN"/>
        </w:rPr>
        <w:t>法定代表人或授权委托</w:t>
      </w:r>
      <w:r>
        <w:rPr>
          <w:rFonts w:hint="eastAsia" w:ascii="宋体" w:hAnsi="宋体" w:eastAsia="宋体" w:cs="宋体"/>
          <w:color w:val="auto"/>
          <w:sz w:val="24"/>
          <w:highlight w:val="none"/>
          <w:lang w:val="en-US" w:eastAsia="zh-CN"/>
        </w:rPr>
        <w:t>代理</w:t>
      </w:r>
      <w:r>
        <w:rPr>
          <w:rFonts w:hint="eastAsia" w:ascii="宋体" w:hAnsi="宋体" w:eastAsia="宋体" w:cs="宋体"/>
          <w:color w:val="auto"/>
          <w:sz w:val="24"/>
          <w:highlight w:val="none"/>
          <w:lang w:val="zh-CN" w:eastAsia="zh-CN"/>
        </w:rPr>
        <w:t>人（签字</w:t>
      </w:r>
      <w:r>
        <w:rPr>
          <w:rFonts w:hint="eastAsia" w:ascii="宋体" w:hAnsi="宋体" w:eastAsia="宋体" w:cs="宋体"/>
          <w:color w:val="auto"/>
          <w:sz w:val="24"/>
          <w:highlight w:val="none"/>
          <w:lang w:val="en-US" w:eastAsia="zh-CN"/>
        </w:rPr>
        <w:t>或盖章</w:t>
      </w: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val="en-US" w:eastAsia="zh-CN"/>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shd w:val="clear"/>
        <w:tabs>
          <w:tab w:val="left" w:pos="2460"/>
        </w:tabs>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7</w:t>
      </w:r>
    </w:p>
    <w:p>
      <w:pPr>
        <w:shd w:val="clea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中小企业声明函（货物）</w:t>
      </w:r>
    </w:p>
    <w:p>
      <w:pPr>
        <w:shd w:val="clear"/>
        <w:spacing w:line="360" w:lineRule="auto"/>
        <w:ind w:firstLine="480" w:firstLineChars="2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本公司郑重声明，根据《政府采购促进中小企业发展管理办法》（财库﹝2020﹞46 号）的规定，本公司参加</w:t>
      </w:r>
      <w:r>
        <w:rPr>
          <w:rFonts w:hint="eastAsia" w:ascii="宋体" w:hAnsi="宋体" w:eastAsia="宋体" w:cs="宋体"/>
          <w:b w:val="0"/>
          <w:bCs/>
          <w:color w:val="auto"/>
          <w:sz w:val="24"/>
          <w:szCs w:val="24"/>
          <w:highlight w:val="none"/>
          <w:u w:val="single"/>
          <w:lang w:val="en-US" w:eastAsia="zh-CN"/>
        </w:rPr>
        <w:t>（单位名称）</w:t>
      </w:r>
      <w:r>
        <w:rPr>
          <w:rFonts w:hint="eastAsia" w:ascii="宋体" w:hAnsi="宋体" w:eastAsia="宋体" w:cs="宋体"/>
          <w:b w:val="0"/>
          <w:bCs/>
          <w:color w:val="auto"/>
          <w:sz w:val="24"/>
          <w:szCs w:val="24"/>
          <w:highlight w:val="none"/>
          <w:lang w:val="en-US" w:eastAsia="zh-CN"/>
        </w:rPr>
        <w:t>的</w:t>
      </w:r>
      <w:r>
        <w:rPr>
          <w:rFonts w:hint="eastAsia" w:ascii="宋体" w:hAnsi="宋体" w:eastAsia="宋体" w:cs="宋体"/>
          <w:b w:val="0"/>
          <w:bCs/>
          <w:color w:val="auto"/>
          <w:sz w:val="24"/>
          <w:szCs w:val="24"/>
          <w:highlight w:val="none"/>
          <w:u w:val="single"/>
          <w:lang w:val="en-US" w:eastAsia="zh-CN"/>
        </w:rPr>
        <w:t>（项目名称）</w:t>
      </w:r>
      <w:r>
        <w:rPr>
          <w:rFonts w:hint="eastAsia" w:ascii="宋体" w:hAnsi="宋体" w:eastAsia="宋体" w:cs="宋体"/>
          <w:b w:val="0"/>
          <w:bCs/>
          <w:color w:val="auto"/>
          <w:sz w:val="24"/>
          <w:szCs w:val="24"/>
          <w:highlight w:val="none"/>
          <w:lang w:val="en-US" w:eastAsia="zh-CN"/>
        </w:rPr>
        <w:t xml:space="preserve">采购活动，提供的货物全部由符合政策要求的中小企业制造。相关企业的具体情况如下： </w:t>
      </w:r>
    </w:p>
    <w:p>
      <w:pPr>
        <w:shd w:val="clear"/>
        <w:spacing w:line="360" w:lineRule="auto"/>
        <w:ind w:firstLine="480" w:firstLineChars="2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u w:val="single"/>
          <w:lang w:val="en-US" w:eastAsia="zh-CN"/>
        </w:rPr>
        <w:t>（标的名称）</w:t>
      </w:r>
      <w:r>
        <w:rPr>
          <w:rFonts w:hint="eastAsia" w:ascii="宋体" w:hAnsi="宋体" w:eastAsia="宋体" w:cs="宋体"/>
          <w:b w:val="0"/>
          <w:bCs/>
          <w:color w:val="auto"/>
          <w:sz w:val="24"/>
          <w:szCs w:val="24"/>
          <w:highlight w:val="none"/>
          <w:lang w:val="en-US" w:eastAsia="zh-CN"/>
        </w:rPr>
        <w:t>，属于</w:t>
      </w:r>
      <w:r>
        <w:rPr>
          <w:rFonts w:hint="eastAsia" w:ascii="宋体" w:hAnsi="宋体" w:eastAsia="宋体" w:cs="宋体"/>
          <w:b w:val="0"/>
          <w:bCs/>
          <w:color w:val="auto"/>
          <w:sz w:val="24"/>
          <w:szCs w:val="24"/>
          <w:highlight w:val="none"/>
          <w:u w:val="single"/>
          <w:lang w:val="en-US" w:eastAsia="zh-CN"/>
        </w:rPr>
        <w:t>（采购文件中明确的所属行业）</w:t>
      </w:r>
      <w:r>
        <w:rPr>
          <w:rFonts w:hint="eastAsia" w:ascii="宋体" w:hAnsi="宋体" w:eastAsia="宋体" w:cs="宋体"/>
          <w:b w:val="0"/>
          <w:bCs/>
          <w:color w:val="auto"/>
          <w:sz w:val="24"/>
          <w:szCs w:val="24"/>
          <w:highlight w:val="none"/>
          <w:lang w:val="en-US" w:eastAsia="zh-CN"/>
        </w:rPr>
        <w:t>行业；制造商为</w:t>
      </w:r>
      <w:r>
        <w:rPr>
          <w:rFonts w:hint="eastAsia" w:ascii="宋体" w:hAnsi="宋体" w:eastAsia="宋体" w:cs="宋体"/>
          <w:b w:val="0"/>
          <w:bCs/>
          <w:color w:val="auto"/>
          <w:sz w:val="24"/>
          <w:szCs w:val="24"/>
          <w:highlight w:val="none"/>
          <w:u w:val="single"/>
          <w:lang w:val="en-US" w:eastAsia="zh-CN"/>
        </w:rPr>
        <w:t>（企业名称）</w:t>
      </w:r>
      <w:r>
        <w:rPr>
          <w:rFonts w:hint="eastAsia" w:ascii="宋体" w:hAnsi="宋体" w:eastAsia="宋体" w:cs="宋体"/>
          <w:b w:val="0"/>
          <w:bCs/>
          <w:color w:val="auto"/>
          <w:sz w:val="24"/>
          <w:szCs w:val="24"/>
          <w:highlight w:val="none"/>
          <w:lang w:val="en-US" w:eastAsia="zh-CN"/>
        </w:rPr>
        <w:t>，从业人员</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lang w:val="en-US" w:eastAsia="zh-CN"/>
        </w:rPr>
        <w:t>人，营业收入为</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lang w:val="en-US" w:eastAsia="zh-CN"/>
        </w:rPr>
        <w:t>万元，资产总额为</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lang w:val="en-US" w:eastAsia="zh-CN"/>
        </w:rPr>
        <w:t>万元</w:t>
      </w:r>
      <w:r>
        <w:rPr>
          <w:rStyle w:val="31"/>
          <w:rFonts w:hint="eastAsia" w:ascii="宋体" w:hAnsi="宋体" w:eastAsia="宋体" w:cs="宋体"/>
          <w:b w:val="0"/>
          <w:bCs/>
          <w:color w:val="auto"/>
          <w:sz w:val="24"/>
          <w:szCs w:val="24"/>
          <w:highlight w:val="none"/>
          <w:lang w:val="en-US" w:eastAsia="zh-CN"/>
        </w:rPr>
        <w:footnoteReference w:id="0"/>
      </w:r>
      <w:r>
        <w:rPr>
          <w:rFonts w:hint="eastAsia" w:ascii="宋体" w:hAnsi="宋体" w:eastAsia="宋体" w:cs="宋体"/>
          <w:b w:val="0"/>
          <w:bCs/>
          <w:color w:val="auto"/>
          <w:sz w:val="24"/>
          <w:szCs w:val="24"/>
          <w:highlight w:val="none"/>
          <w:lang w:val="en-US" w:eastAsia="zh-CN"/>
        </w:rPr>
        <w:t>，属于</w:t>
      </w:r>
      <w:r>
        <w:rPr>
          <w:rFonts w:hint="eastAsia" w:ascii="宋体" w:hAnsi="宋体" w:eastAsia="宋体" w:cs="宋体"/>
          <w:b w:val="0"/>
          <w:bCs/>
          <w:color w:val="auto"/>
          <w:sz w:val="24"/>
          <w:szCs w:val="24"/>
          <w:highlight w:val="none"/>
          <w:u w:val="single"/>
          <w:lang w:val="en-US" w:eastAsia="zh-CN"/>
        </w:rPr>
        <w:t>（中型企业、小型企业、微型企业）</w:t>
      </w:r>
      <w:r>
        <w:rPr>
          <w:rFonts w:hint="eastAsia" w:ascii="宋体" w:hAnsi="宋体" w:eastAsia="宋体" w:cs="宋体"/>
          <w:b w:val="0"/>
          <w:bCs/>
          <w:color w:val="auto"/>
          <w:sz w:val="24"/>
          <w:szCs w:val="24"/>
          <w:highlight w:val="none"/>
          <w:lang w:val="en-US" w:eastAsia="zh-CN"/>
        </w:rPr>
        <w:t>；</w:t>
      </w:r>
    </w:p>
    <w:p>
      <w:pPr>
        <w:shd w:val="clear"/>
        <w:spacing w:line="360" w:lineRule="auto"/>
        <w:ind w:firstLine="480" w:firstLineChars="2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u w:val="single"/>
          <w:lang w:val="en-US" w:eastAsia="zh-CN"/>
        </w:rPr>
        <w:t>（标的名称）</w:t>
      </w:r>
      <w:r>
        <w:rPr>
          <w:rFonts w:hint="eastAsia" w:ascii="宋体" w:hAnsi="宋体" w:eastAsia="宋体" w:cs="宋体"/>
          <w:b w:val="0"/>
          <w:bCs/>
          <w:color w:val="auto"/>
          <w:sz w:val="24"/>
          <w:szCs w:val="24"/>
          <w:highlight w:val="none"/>
          <w:lang w:val="en-US" w:eastAsia="zh-CN"/>
        </w:rPr>
        <w:t>，属于</w:t>
      </w:r>
      <w:r>
        <w:rPr>
          <w:rFonts w:hint="eastAsia" w:ascii="宋体" w:hAnsi="宋体" w:eastAsia="宋体" w:cs="宋体"/>
          <w:b w:val="0"/>
          <w:bCs/>
          <w:color w:val="auto"/>
          <w:sz w:val="24"/>
          <w:szCs w:val="24"/>
          <w:highlight w:val="none"/>
          <w:u w:val="single"/>
          <w:lang w:val="en-US" w:eastAsia="zh-CN"/>
        </w:rPr>
        <w:t>（采购文件中明确的所属行业）</w:t>
      </w:r>
      <w:r>
        <w:rPr>
          <w:rFonts w:hint="eastAsia" w:ascii="宋体" w:hAnsi="宋体" w:eastAsia="宋体" w:cs="宋体"/>
          <w:b w:val="0"/>
          <w:bCs/>
          <w:color w:val="auto"/>
          <w:sz w:val="24"/>
          <w:szCs w:val="24"/>
          <w:highlight w:val="none"/>
          <w:lang w:val="en-US" w:eastAsia="zh-CN"/>
        </w:rPr>
        <w:t>行业；制造商为</w:t>
      </w:r>
      <w:r>
        <w:rPr>
          <w:rFonts w:hint="eastAsia" w:ascii="宋体" w:hAnsi="宋体" w:eastAsia="宋体" w:cs="宋体"/>
          <w:b w:val="0"/>
          <w:bCs/>
          <w:color w:val="auto"/>
          <w:sz w:val="24"/>
          <w:szCs w:val="24"/>
          <w:highlight w:val="none"/>
          <w:u w:val="single"/>
          <w:lang w:val="en-US" w:eastAsia="zh-CN"/>
        </w:rPr>
        <w:t>（企业名称）</w:t>
      </w:r>
      <w:r>
        <w:rPr>
          <w:rFonts w:hint="eastAsia" w:ascii="宋体" w:hAnsi="宋体" w:eastAsia="宋体" w:cs="宋体"/>
          <w:b w:val="0"/>
          <w:bCs/>
          <w:color w:val="auto"/>
          <w:sz w:val="24"/>
          <w:szCs w:val="24"/>
          <w:highlight w:val="none"/>
          <w:lang w:val="en-US" w:eastAsia="zh-CN"/>
        </w:rPr>
        <w:t>，从业人员</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lang w:val="en-US" w:eastAsia="zh-CN"/>
        </w:rPr>
        <w:t>人，营业收入为</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lang w:val="en-US" w:eastAsia="zh-CN"/>
        </w:rPr>
        <w:t>万元，资产总额为</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lang w:val="en-US" w:eastAsia="zh-CN"/>
        </w:rPr>
        <w:t>万元，属于</w:t>
      </w:r>
      <w:r>
        <w:rPr>
          <w:rFonts w:hint="eastAsia" w:ascii="宋体" w:hAnsi="宋体" w:eastAsia="宋体" w:cs="宋体"/>
          <w:b w:val="0"/>
          <w:bCs/>
          <w:color w:val="auto"/>
          <w:sz w:val="24"/>
          <w:szCs w:val="24"/>
          <w:highlight w:val="none"/>
          <w:u w:val="single"/>
          <w:lang w:val="en-US" w:eastAsia="zh-CN"/>
        </w:rPr>
        <w:t>（中型企业、小型企业、微型企业）</w:t>
      </w:r>
      <w:r>
        <w:rPr>
          <w:rFonts w:hint="eastAsia" w:ascii="宋体" w:hAnsi="宋体" w:eastAsia="宋体" w:cs="宋体"/>
          <w:b w:val="0"/>
          <w:bCs/>
          <w:color w:val="auto"/>
          <w:sz w:val="24"/>
          <w:szCs w:val="24"/>
          <w:highlight w:val="none"/>
          <w:lang w:val="en-US" w:eastAsia="zh-CN"/>
        </w:rPr>
        <w:t>；</w:t>
      </w:r>
    </w:p>
    <w:p>
      <w:pPr>
        <w:shd w:val="clear"/>
        <w:spacing w:line="360" w:lineRule="auto"/>
        <w:ind w:firstLine="480" w:firstLineChars="2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w:t>
      </w:r>
    </w:p>
    <w:p>
      <w:pPr>
        <w:shd w:val="clear"/>
        <w:spacing w:line="360" w:lineRule="auto"/>
        <w:ind w:firstLine="480" w:firstLineChars="2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本企业对上述声明内容的真实性负责。如有虚假，将依法承担相应责任。 </w:t>
      </w: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ind w:firstLine="4800" w:firstLineChars="20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企业名称（盖章）：</w:t>
      </w:r>
    </w:p>
    <w:p>
      <w:pPr>
        <w:shd w:val="clear"/>
        <w:spacing w:line="360" w:lineRule="auto"/>
        <w:ind w:firstLine="4800" w:firstLineChars="20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日 期：</w:t>
      </w: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jc w:val="center"/>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中小企业声明函（工程、服务）</w:t>
      </w:r>
    </w:p>
    <w:p>
      <w:pPr>
        <w:shd w:val="clear"/>
        <w:spacing w:line="360" w:lineRule="auto"/>
        <w:ind w:firstLine="480" w:firstLineChars="2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本公司郑重声明，根据《政府采购促进中小企业发展管理办法》（财库﹝2020﹞46 号）的规定，本公司参加</w:t>
      </w:r>
      <w:r>
        <w:rPr>
          <w:rFonts w:hint="eastAsia" w:ascii="宋体" w:hAnsi="宋体" w:eastAsia="宋体" w:cs="宋体"/>
          <w:b w:val="0"/>
          <w:bCs/>
          <w:color w:val="auto"/>
          <w:sz w:val="24"/>
          <w:szCs w:val="24"/>
          <w:highlight w:val="none"/>
          <w:u w:val="single"/>
          <w:lang w:val="en-US" w:eastAsia="zh-CN"/>
        </w:rPr>
        <w:t>（单位名称）</w:t>
      </w:r>
      <w:r>
        <w:rPr>
          <w:rFonts w:hint="eastAsia" w:ascii="宋体" w:hAnsi="宋体" w:eastAsia="宋体" w:cs="宋体"/>
          <w:b w:val="0"/>
          <w:bCs/>
          <w:color w:val="auto"/>
          <w:sz w:val="24"/>
          <w:szCs w:val="24"/>
          <w:highlight w:val="none"/>
          <w:lang w:val="en-US" w:eastAsia="zh-CN"/>
        </w:rPr>
        <w:t>的</w:t>
      </w:r>
      <w:r>
        <w:rPr>
          <w:rFonts w:hint="eastAsia" w:ascii="宋体" w:hAnsi="宋体" w:eastAsia="宋体" w:cs="宋体"/>
          <w:b w:val="0"/>
          <w:bCs/>
          <w:color w:val="auto"/>
          <w:sz w:val="24"/>
          <w:szCs w:val="24"/>
          <w:highlight w:val="none"/>
          <w:u w:val="single"/>
          <w:lang w:val="en-US" w:eastAsia="zh-CN"/>
        </w:rPr>
        <w:t>（项目名称）</w:t>
      </w:r>
      <w:r>
        <w:rPr>
          <w:rFonts w:hint="eastAsia" w:ascii="宋体" w:hAnsi="宋体" w:eastAsia="宋体" w:cs="宋体"/>
          <w:b w:val="0"/>
          <w:bCs/>
          <w:color w:val="auto"/>
          <w:sz w:val="24"/>
          <w:szCs w:val="24"/>
          <w:highlight w:val="none"/>
          <w:lang w:val="en-US" w:eastAsia="zh-CN"/>
        </w:rPr>
        <w:t>采购活动，工程的施工单位全部为符合政策要求的中小企业（或者：服务全部由符合政策要求的中小企业承接）。相关企业的具体情况如下：</w:t>
      </w:r>
    </w:p>
    <w:p>
      <w:pPr>
        <w:shd w:val="clear"/>
        <w:spacing w:line="360" w:lineRule="auto"/>
        <w:ind w:firstLine="480" w:firstLineChars="2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u w:val="single"/>
          <w:lang w:val="en-US" w:eastAsia="zh-CN"/>
        </w:rPr>
        <w:t>（标的名称）</w:t>
      </w:r>
      <w:r>
        <w:rPr>
          <w:rFonts w:hint="eastAsia" w:ascii="宋体" w:hAnsi="宋体" w:eastAsia="宋体" w:cs="宋体"/>
          <w:b w:val="0"/>
          <w:bCs/>
          <w:color w:val="auto"/>
          <w:sz w:val="24"/>
          <w:szCs w:val="24"/>
          <w:highlight w:val="none"/>
          <w:lang w:val="en-US" w:eastAsia="zh-CN"/>
        </w:rPr>
        <w:t>，属于</w:t>
      </w:r>
      <w:r>
        <w:rPr>
          <w:rFonts w:hint="eastAsia" w:ascii="宋体" w:hAnsi="宋体" w:eastAsia="宋体" w:cs="宋体"/>
          <w:b w:val="0"/>
          <w:bCs/>
          <w:color w:val="auto"/>
          <w:sz w:val="24"/>
          <w:szCs w:val="24"/>
          <w:highlight w:val="none"/>
          <w:u w:val="single"/>
          <w:lang w:val="en-US" w:eastAsia="zh-CN"/>
        </w:rPr>
        <w:t>（采购文件中明确的所属行业）</w:t>
      </w:r>
      <w:r>
        <w:rPr>
          <w:rFonts w:hint="eastAsia" w:ascii="宋体" w:hAnsi="宋体" w:eastAsia="宋体" w:cs="宋体"/>
          <w:b w:val="0"/>
          <w:bCs/>
          <w:color w:val="auto"/>
          <w:sz w:val="24"/>
          <w:szCs w:val="24"/>
          <w:highlight w:val="none"/>
          <w:lang w:val="en-US" w:eastAsia="zh-CN"/>
        </w:rPr>
        <w:t>；承建（承接）企业为</w:t>
      </w:r>
      <w:r>
        <w:rPr>
          <w:rFonts w:hint="eastAsia" w:ascii="宋体" w:hAnsi="宋体" w:eastAsia="宋体" w:cs="宋体"/>
          <w:b w:val="0"/>
          <w:bCs/>
          <w:color w:val="auto"/>
          <w:sz w:val="24"/>
          <w:szCs w:val="24"/>
          <w:highlight w:val="none"/>
          <w:u w:val="single"/>
          <w:lang w:val="en-US" w:eastAsia="zh-CN"/>
        </w:rPr>
        <w:t>（企业名称）</w:t>
      </w:r>
      <w:r>
        <w:rPr>
          <w:rFonts w:hint="eastAsia" w:ascii="宋体" w:hAnsi="宋体" w:eastAsia="宋体" w:cs="宋体"/>
          <w:b w:val="0"/>
          <w:bCs/>
          <w:color w:val="auto"/>
          <w:sz w:val="24"/>
          <w:szCs w:val="24"/>
          <w:highlight w:val="none"/>
          <w:lang w:val="en-US" w:eastAsia="zh-CN"/>
        </w:rPr>
        <w:t>，从业人员</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lang w:val="en-US" w:eastAsia="zh-CN"/>
        </w:rPr>
        <w:t>人，营业收入为</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lang w:val="en-US" w:eastAsia="zh-CN"/>
        </w:rPr>
        <w:t>万元，资产总额为</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lang w:val="en-US" w:eastAsia="zh-CN"/>
        </w:rPr>
        <w:t>万元</w:t>
      </w:r>
      <w:r>
        <w:rPr>
          <w:rStyle w:val="31"/>
          <w:rFonts w:hint="eastAsia" w:ascii="宋体" w:hAnsi="宋体" w:eastAsia="宋体" w:cs="宋体"/>
          <w:b w:val="0"/>
          <w:bCs/>
          <w:color w:val="auto"/>
          <w:sz w:val="24"/>
          <w:szCs w:val="24"/>
          <w:highlight w:val="none"/>
          <w:lang w:val="en-US" w:eastAsia="zh-CN"/>
        </w:rPr>
        <w:footnoteReference w:id="1"/>
      </w:r>
      <w:r>
        <w:rPr>
          <w:rFonts w:hint="eastAsia" w:ascii="宋体" w:hAnsi="宋体" w:eastAsia="宋体" w:cs="宋体"/>
          <w:b w:val="0"/>
          <w:bCs/>
          <w:color w:val="auto"/>
          <w:sz w:val="24"/>
          <w:szCs w:val="24"/>
          <w:highlight w:val="none"/>
          <w:lang w:val="en-US" w:eastAsia="zh-CN"/>
        </w:rPr>
        <w:t>，属于</w:t>
      </w:r>
      <w:r>
        <w:rPr>
          <w:rFonts w:hint="eastAsia" w:ascii="宋体" w:hAnsi="宋体" w:eastAsia="宋体" w:cs="宋体"/>
          <w:b w:val="0"/>
          <w:bCs/>
          <w:color w:val="auto"/>
          <w:sz w:val="24"/>
          <w:szCs w:val="24"/>
          <w:highlight w:val="none"/>
          <w:u w:val="single"/>
          <w:lang w:val="en-US" w:eastAsia="zh-CN"/>
        </w:rPr>
        <w:t>（中型企业、小型企业、微型企业）</w:t>
      </w:r>
      <w:r>
        <w:rPr>
          <w:rFonts w:hint="eastAsia" w:ascii="宋体" w:hAnsi="宋体" w:eastAsia="宋体" w:cs="宋体"/>
          <w:b w:val="0"/>
          <w:bCs/>
          <w:color w:val="auto"/>
          <w:sz w:val="24"/>
          <w:szCs w:val="24"/>
          <w:highlight w:val="none"/>
          <w:lang w:val="en-US" w:eastAsia="zh-CN"/>
        </w:rPr>
        <w:t>；</w:t>
      </w:r>
    </w:p>
    <w:p>
      <w:pPr>
        <w:shd w:val="clear"/>
        <w:spacing w:line="360" w:lineRule="auto"/>
        <w:ind w:firstLine="480" w:firstLineChars="2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u w:val="single"/>
          <w:lang w:val="en-US" w:eastAsia="zh-CN"/>
        </w:rPr>
        <w:t>（标的名称）</w:t>
      </w:r>
      <w:r>
        <w:rPr>
          <w:rFonts w:hint="eastAsia" w:ascii="宋体" w:hAnsi="宋体" w:eastAsia="宋体" w:cs="宋体"/>
          <w:b w:val="0"/>
          <w:bCs/>
          <w:color w:val="auto"/>
          <w:sz w:val="24"/>
          <w:szCs w:val="24"/>
          <w:highlight w:val="none"/>
          <w:lang w:val="en-US" w:eastAsia="zh-CN"/>
        </w:rPr>
        <w:t>，属于</w:t>
      </w:r>
      <w:r>
        <w:rPr>
          <w:rFonts w:hint="eastAsia" w:ascii="宋体" w:hAnsi="宋体" w:eastAsia="宋体" w:cs="宋体"/>
          <w:b w:val="0"/>
          <w:bCs/>
          <w:color w:val="auto"/>
          <w:sz w:val="24"/>
          <w:szCs w:val="24"/>
          <w:highlight w:val="none"/>
          <w:u w:val="single"/>
          <w:lang w:val="en-US" w:eastAsia="zh-CN"/>
        </w:rPr>
        <w:t>（采购文件中明确的所属行业）</w:t>
      </w:r>
      <w:r>
        <w:rPr>
          <w:rFonts w:hint="eastAsia" w:ascii="宋体" w:hAnsi="宋体" w:eastAsia="宋体" w:cs="宋体"/>
          <w:b w:val="0"/>
          <w:bCs/>
          <w:color w:val="auto"/>
          <w:sz w:val="24"/>
          <w:szCs w:val="24"/>
          <w:highlight w:val="none"/>
          <w:lang w:val="en-US" w:eastAsia="zh-CN"/>
        </w:rPr>
        <w:t>；承建（承接）企业为</w:t>
      </w:r>
      <w:r>
        <w:rPr>
          <w:rFonts w:hint="eastAsia" w:ascii="宋体" w:hAnsi="宋体" w:eastAsia="宋体" w:cs="宋体"/>
          <w:b w:val="0"/>
          <w:bCs/>
          <w:color w:val="auto"/>
          <w:sz w:val="24"/>
          <w:szCs w:val="24"/>
          <w:highlight w:val="none"/>
          <w:u w:val="single"/>
          <w:lang w:val="en-US" w:eastAsia="zh-CN"/>
        </w:rPr>
        <w:t>（企业名称）</w:t>
      </w:r>
      <w:r>
        <w:rPr>
          <w:rFonts w:hint="eastAsia" w:ascii="宋体" w:hAnsi="宋体" w:eastAsia="宋体" w:cs="宋体"/>
          <w:b w:val="0"/>
          <w:bCs/>
          <w:color w:val="auto"/>
          <w:sz w:val="24"/>
          <w:szCs w:val="24"/>
          <w:highlight w:val="none"/>
          <w:lang w:val="en-US" w:eastAsia="zh-CN"/>
        </w:rPr>
        <w:t>，从业人员</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lang w:val="en-US" w:eastAsia="zh-CN"/>
        </w:rPr>
        <w:t>人，营业收入为</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lang w:val="en-US" w:eastAsia="zh-CN"/>
        </w:rPr>
        <w:t>万元，资产总额为</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lang w:val="en-US" w:eastAsia="zh-CN"/>
        </w:rPr>
        <w:t>万元，属于</w:t>
      </w:r>
      <w:r>
        <w:rPr>
          <w:rFonts w:hint="eastAsia" w:ascii="宋体" w:hAnsi="宋体" w:eastAsia="宋体" w:cs="宋体"/>
          <w:b w:val="0"/>
          <w:bCs/>
          <w:color w:val="auto"/>
          <w:sz w:val="24"/>
          <w:szCs w:val="24"/>
          <w:highlight w:val="none"/>
          <w:u w:val="single"/>
          <w:lang w:val="en-US" w:eastAsia="zh-CN"/>
        </w:rPr>
        <w:t>（中型企业、小型企业、微型企业）</w:t>
      </w:r>
      <w:r>
        <w:rPr>
          <w:rFonts w:hint="eastAsia" w:ascii="宋体" w:hAnsi="宋体" w:eastAsia="宋体" w:cs="宋体"/>
          <w:b w:val="0"/>
          <w:bCs/>
          <w:color w:val="auto"/>
          <w:sz w:val="24"/>
          <w:szCs w:val="24"/>
          <w:highlight w:val="none"/>
          <w:lang w:val="en-US" w:eastAsia="zh-CN"/>
        </w:rPr>
        <w:t>；</w:t>
      </w:r>
    </w:p>
    <w:p>
      <w:pPr>
        <w:shd w:val="clear"/>
        <w:spacing w:line="360" w:lineRule="auto"/>
        <w:ind w:firstLine="480" w:firstLineChars="2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w:t>
      </w:r>
    </w:p>
    <w:p>
      <w:pPr>
        <w:shd w:val="clear"/>
        <w:spacing w:line="360" w:lineRule="auto"/>
        <w:ind w:firstLine="480" w:firstLineChars="2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本企业对上述声明内容的真实性负责。如有虚假，将依法承担相应责任。 </w:t>
      </w: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ind w:firstLine="4800" w:firstLineChars="20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企业名称（盖章）：</w:t>
      </w:r>
    </w:p>
    <w:p>
      <w:pPr>
        <w:shd w:val="clear"/>
        <w:spacing w:line="360" w:lineRule="auto"/>
        <w:ind w:firstLine="4800" w:firstLineChars="20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日 期：</w:t>
      </w: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jc w:val="left"/>
        <w:rPr>
          <w:rFonts w:hint="eastAsia" w:ascii="宋体" w:hAnsi="宋体" w:eastAsia="宋体" w:cs="宋体"/>
          <w:b w:val="0"/>
          <w:bCs/>
          <w:color w:val="auto"/>
          <w:sz w:val="24"/>
          <w:szCs w:val="24"/>
          <w:highlight w:val="none"/>
          <w:lang w:val="en-US" w:eastAsia="zh-CN"/>
        </w:rPr>
      </w:pPr>
    </w:p>
    <w:p>
      <w:pPr>
        <w:shd w:val="clear"/>
        <w:spacing w:line="360" w:lineRule="auto"/>
        <w:ind w:left="-2" w:hanging="2"/>
        <w:jc w:val="center"/>
        <w:rPr>
          <w:rFonts w:hint="eastAsia" w:ascii="宋体" w:hAnsi="宋体" w:eastAsia="宋体" w:cs="宋体"/>
          <w:b/>
          <w:color w:val="auto"/>
          <w:sz w:val="32"/>
          <w:szCs w:val="32"/>
          <w:highlight w:val="none"/>
          <w:lang w:val="en-GB"/>
        </w:rPr>
      </w:pPr>
      <w:r>
        <w:rPr>
          <w:rFonts w:hint="eastAsia" w:ascii="宋体" w:hAnsi="宋体" w:eastAsia="宋体" w:cs="宋体"/>
          <w:b/>
          <w:color w:val="auto"/>
          <w:sz w:val="32"/>
          <w:szCs w:val="32"/>
          <w:highlight w:val="none"/>
          <w:lang w:val="en-GB"/>
        </w:rPr>
        <w:t>残疾人福利性单位声明函</w:t>
      </w:r>
    </w:p>
    <w:p>
      <w:pPr>
        <w:shd w:val="clear"/>
        <w:spacing w:line="360" w:lineRule="auto"/>
        <w:ind w:firstLine="480" w:firstLineChars="2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hd w:val="clear"/>
        <w:spacing w:line="360" w:lineRule="auto"/>
        <w:ind w:firstLine="480" w:firstLineChars="2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本单位对上述声明的真实性负责。如有虚假，将依法承担相应责任。</w:t>
      </w:r>
    </w:p>
    <w:p>
      <w:pPr>
        <w:shd w:val="clear"/>
        <w:spacing w:line="360" w:lineRule="auto"/>
        <w:ind w:firstLine="480" w:firstLineChars="200"/>
        <w:jc w:val="left"/>
        <w:rPr>
          <w:rFonts w:hint="eastAsia" w:ascii="宋体" w:hAnsi="宋体" w:eastAsia="宋体" w:cs="宋体"/>
          <w:b w:val="0"/>
          <w:bCs/>
          <w:color w:val="auto"/>
          <w:sz w:val="24"/>
          <w:szCs w:val="24"/>
          <w:highlight w:val="none"/>
          <w:lang w:val="en-US" w:eastAsia="zh-CN"/>
        </w:rPr>
      </w:pPr>
    </w:p>
    <w:p>
      <w:pPr>
        <w:shd w:val="clear"/>
        <w:spacing w:line="360" w:lineRule="auto"/>
        <w:ind w:firstLine="3120" w:firstLineChars="130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单位名称（单位公章）：</w:t>
      </w:r>
    </w:p>
    <w:p>
      <w:pPr>
        <w:shd w:val="clear"/>
        <w:spacing w:line="360" w:lineRule="auto"/>
        <w:ind w:firstLine="5040" w:firstLineChars="2100"/>
        <w:jc w:val="both"/>
        <w:rPr>
          <w:rFonts w:hint="eastAsia" w:ascii="宋体" w:hAnsi="宋体" w:eastAsia="宋体" w:cs="宋体"/>
          <w:color w:val="auto"/>
          <w:sz w:val="24"/>
          <w:szCs w:val="32"/>
          <w:highlight w:val="none"/>
        </w:rPr>
      </w:pPr>
      <w:r>
        <w:rPr>
          <w:rFonts w:hint="eastAsia" w:ascii="宋体" w:hAnsi="宋体" w:eastAsia="宋体" w:cs="宋体"/>
          <w:b w:val="0"/>
          <w:bCs/>
          <w:color w:val="auto"/>
          <w:sz w:val="24"/>
          <w:szCs w:val="24"/>
          <w:highlight w:val="none"/>
          <w:lang w:val="en-US" w:eastAsia="zh-CN"/>
        </w:rPr>
        <w:t>日期：</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lang w:val="en-US" w:eastAsia="zh-CN"/>
        </w:rPr>
        <w:t>年</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lang w:val="en-US" w:eastAsia="zh-CN"/>
        </w:rPr>
        <w:t>月</w:t>
      </w:r>
      <w:r>
        <w:rPr>
          <w:rFonts w:hint="eastAsia" w:ascii="宋体" w:hAnsi="宋体" w:eastAsia="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lang w:val="en-US" w:eastAsia="zh-CN"/>
        </w:rPr>
        <w:t>日</w:t>
      </w:r>
    </w:p>
    <w:sectPr>
      <w:headerReference r:id="rId4" w:type="default"/>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2010601030101010101"/>
    <w:charset w:val="86"/>
    <w:family w:val="script"/>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长城仿宋">
    <w:altName w:val="黑体"/>
    <w:panose1 w:val="020B0604020202020204"/>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22"/>
        <w:snapToGrid w:val="0"/>
      </w:pPr>
      <w:r>
        <w:rPr>
          <w:rStyle w:val="31"/>
        </w:rPr>
        <w:footnoteRef/>
      </w:r>
      <w:r>
        <w:t xml:space="preserve"> </w:t>
      </w:r>
      <w:r>
        <w:rPr>
          <w:rFonts w:hint="eastAsia" w:ascii="宋体" w:hAnsi="宋体"/>
          <w:b w:val="0"/>
          <w:bCs/>
          <w:color w:val="auto"/>
          <w:sz w:val="24"/>
          <w:szCs w:val="24"/>
          <w:lang w:val="en-US" w:eastAsia="zh-CN"/>
        </w:rPr>
        <w:t>从业人员、营业收入、资产总额填报上一年度数据，无上一年度数据的新成立企业可不填报。</w:t>
      </w:r>
    </w:p>
  </w:footnote>
  <w:footnote w:id="1">
    <w:p>
      <w:pPr>
        <w:pStyle w:val="22"/>
        <w:snapToGrid w:val="0"/>
      </w:pPr>
      <w:r>
        <w:rPr>
          <w:rStyle w:val="31"/>
        </w:rPr>
        <w:footnoteRef/>
      </w:r>
      <w:r>
        <w:t xml:space="preserve"> </w:t>
      </w:r>
      <w:r>
        <w:rPr>
          <w:rFonts w:hint="eastAsia" w:ascii="宋体" w:hAnsi="宋体"/>
          <w:b w:val="0"/>
          <w:bCs/>
          <w:color w:val="auto"/>
          <w:sz w:val="24"/>
          <w:szCs w:val="24"/>
          <w:lang w:val="en-US" w:eastAsia="zh-CN"/>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rFonts w:hint="eastAsia"/>
        <w:b/>
        <w:i/>
        <w:color w:val="000000"/>
        <w:kern w:val="0"/>
        <w:sz w:val="18"/>
        <w:u w:val="single"/>
        <w:lang w:eastAsia="zh-CN"/>
      </w:rPr>
      <w:t>台州市</w:t>
    </w:r>
    <w:r>
      <w:rPr>
        <w:rFonts w:hint="eastAsia"/>
        <w:b/>
        <w:i/>
        <w:color w:val="000000"/>
        <w:kern w:val="0"/>
        <w:sz w:val="18"/>
        <w:u w:val="single"/>
      </w:rPr>
      <w:t>政府采购</w:t>
    </w:r>
    <w:r>
      <w:rPr>
        <w:rFonts w:hint="eastAsia"/>
        <w:b/>
        <w:i/>
        <w:color w:val="000000"/>
        <w:kern w:val="0"/>
        <w:sz w:val="18"/>
        <w:u w:val="single"/>
        <w:lang w:val="en-US" w:eastAsia="zh-CN"/>
      </w:rPr>
      <w:t>电子</w:t>
    </w:r>
    <w:r>
      <w:rPr>
        <w:rFonts w:hint="eastAsia"/>
        <w:b/>
        <w:i/>
        <w:color w:val="000000"/>
        <w:kern w:val="0"/>
        <w:sz w:val="18"/>
        <w:u w:val="single"/>
      </w:rPr>
      <w:t>招标文件</w:t>
    </w:r>
    <w:r>
      <w:rPr>
        <w:b/>
        <w:i/>
        <w:color w:val="000000"/>
        <w:kern w:val="0"/>
        <w:sz w:val="18"/>
        <w:u w:val="single"/>
      </w:rPr>
      <w:t xml:space="preserve">      </w:t>
    </w:r>
    <w:r>
      <w:rPr>
        <w:rFonts w:hint="eastAsia"/>
        <w:b/>
        <w:i/>
        <w:color w:val="000000"/>
        <w:kern w:val="0"/>
        <w:sz w:val="18"/>
        <w:u w:val="single"/>
        <w:lang w:val="en-US" w:eastAsia="zh-CN"/>
      </w:rPr>
      <w:t xml:space="preserve">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1</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51</w:t>
    </w:r>
    <w:r>
      <w:rPr>
        <w:b/>
        <w:i/>
        <w:color w:val="000000"/>
        <w:spacing w:val="-20"/>
        <w:kern w:val="0"/>
        <w:sz w:val="18"/>
        <w:u w:val="single"/>
      </w:rPr>
      <w:fldChar w:fldCharType="end"/>
    </w:r>
    <w:r>
      <w:rPr>
        <w:rFonts w:hint="eastAsia"/>
        <w:b/>
        <w:i/>
        <w:color w:val="000000"/>
        <w:spacing w:val="-20"/>
        <w:kern w:val="0"/>
        <w:sz w:val="18"/>
        <w:u w:val="single"/>
      </w:rPr>
      <w:t>页</w:t>
    </w:r>
  </w:p>
  <w:p>
    <w:pPr>
      <w:pStyle w:val="20"/>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D8F7B"/>
    <w:multiLevelType w:val="singleLevel"/>
    <w:tmpl w:val="AE2D8F7B"/>
    <w:lvl w:ilvl="0" w:tentative="0">
      <w:start w:val="1"/>
      <w:numFmt w:val="decimal"/>
      <w:pStyle w:val="9"/>
      <w:lvlText w:val="%1."/>
      <w:lvlJc w:val="left"/>
      <w:pPr>
        <w:tabs>
          <w:tab w:val="left" w:pos="360"/>
        </w:tabs>
        <w:ind w:left="360" w:hanging="360"/>
      </w:pPr>
      <w:rPr>
        <w:rFonts w:cs="Times New Roman"/>
      </w:rPr>
    </w:lvl>
  </w:abstractNum>
  <w:abstractNum w:abstractNumId="1">
    <w:nsid w:val="E49B6C9A"/>
    <w:multiLevelType w:val="singleLevel"/>
    <w:tmpl w:val="E49B6C9A"/>
    <w:lvl w:ilvl="0" w:tentative="0">
      <w:start w:val="1"/>
      <w:numFmt w:val="bullet"/>
      <w:lvlText w:val=""/>
      <w:lvlJc w:val="left"/>
      <w:pPr>
        <w:ind w:left="420" w:hanging="420"/>
      </w:pPr>
      <w:rPr>
        <w:rFonts w:hint="default" w:ascii="Wingdings" w:hAnsi="Wingdings"/>
        <w:color w:val="000000" w:themeColor="text1"/>
      </w:rPr>
    </w:lvl>
  </w:abstractNum>
  <w:abstractNum w:abstractNumId="2">
    <w:nsid w:val="1D1853B4"/>
    <w:multiLevelType w:val="singleLevel"/>
    <w:tmpl w:val="1D1853B4"/>
    <w:lvl w:ilvl="0" w:tentative="0">
      <w:start w:val="1"/>
      <w:numFmt w:val="bullet"/>
      <w:lvlText w:val=""/>
      <w:lvlJc w:val="left"/>
      <w:pPr>
        <w:ind w:left="420" w:hanging="420"/>
      </w:pPr>
      <w:rPr>
        <w:rFonts w:hint="default" w:ascii="Wingdings" w:hAnsi="Wingdings"/>
      </w:rPr>
    </w:lvl>
  </w:abstractNum>
  <w:abstractNum w:abstractNumId="3">
    <w:nsid w:val="56BC3DD6"/>
    <w:multiLevelType w:val="multilevel"/>
    <w:tmpl w:val="56BC3DD6"/>
    <w:lvl w:ilvl="0" w:tentative="0">
      <w:start w:val="1"/>
      <w:numFmt w:val="decimal"/>
      <w:pStyle w:val="75"/>
      <w:suff w:val="space"/>
      <w:lvlText w:val="%1) "/>
      <w:lvlJc w:val="left"/>
      <w:pPr>
        <w:ind w:left="735" w:firstLine="116"/>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footnotePr>
    <w:footnote w:id="4"/>
    <w:footnote w:id="5"/>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E970358"/>
    <w:rsid w:val="00016260"/>
    <w:rsid w:val="0002035B"/>
    <w:rsid w:val="000403F7"/>
    <w:rsid w:val="0006294D"/>
    <w:rsid w:val="00062AB3"/>
    <w:rsid w:val="000630DA"/>
    <w:rsid w:val="00107BF6"/>
    <w:rsid w:val="001334F2"/>
    <w:rsid w:val="001358F3"/>
    <w:rsid w:val="00165F2A"/>
    <w:rsid w:val="00180836"/>
    <w:rsid w:val="00201D2F"/>
    <w:rsid w:val="00201D62"/>
    <w:rsid w:val="00203C2F"/>
    <w:rsid w:val="0021318F"/>
    <w:rsid w:val="00241352"/>
    <w:rsid w:val="002A1620"/>
    <w:rsid w:val="003102FB"/>
    <w:rsid w:val="0033011F"/>
    <w:rsid w:val="00332E30"/>
    <w:rsid w:val="00353DAF"/>
    <w:rsid w:val="00394F4B"/>
    <w:rsid w:val="003C020E"/>
    <w:rsid w:val="003C5E00"/>
    <w:rsid w:val="003E6DE1"/>
    <w:rsid w:val="003F595C"/>
    <w:rsid w:val="003F78E0"/>
    <w:rsid w:val="00441FAE"/>
    <w:rsid w:val="00446CEF"/>
    <w:rsid w:val="00491BDF"/>
    <w:rsid w:val="004B4165"/>
    <w:rsid w:val="004E36F6"/>
    <w:rsid w:val="00501A00"/>
    <w:rsid w:val="00531666"/>
    <w:rsid w:val="00542F87"/>
    <w:rsid w:val="00616E31"/>
    <w:rsid w:val="00636172"/>
    <w:rsid w:val="00646CA0"/>
    <w:rsid w:val="006540F3"/>
    <w:rsid w:val="00655E3C"/>
    <w:rsid w:val="00674C42"/>
    <w:rsid w:val="006E5A80"/>
    <w:rsid w:val="006F4DFE"/>
    <w:rsid w:val="0075349E"/>
    <w:rsid w:val="00783370"/>
    <w:rsid w:val="00793C81"/>
    <w:rsid w:val="007A2629"/>
    <w:rsid w:val="007C1005"/>
    <w:rsid w:val="007F5FAF"/>
    <w:rsid w:val="00802325"/>
    <w:rsid w:val="008154BD"/>
    <w:rsid w:val="00823978"/>
    <w:rsid w:val="00847BE5"/>
    <w:rsid w:val="0088066B"/>
    <w:rsid w:val="008A4030"/>
    <w:rsid w:val="008E781F"/>
    <w:rsid w:val="00912983"/>
    <w:rsid w:val="00944004"/>
    <w:rsid w:val="009B3E22"/>
    <w:rsid w:val="009F3459"/>
    <w:rsid w:val="009F36F6"/>
    <w:rsid w:val="00A12F71"/>
    <w:rsid w:val="00A17880"/>
    <w:rsid w:val="00A30B75"/>
    <w:rsid w:val="00A730CA"/>
    <w:rsid w:val="00AF276E"/>
    <w:rsid w:val="00B0420E"/>
    <w:rsid w:val="00BE0ADF"/>
    <w:rsid w:val="00C44AFB"/>
    <w:rsid w:val="00C52E14"/>
    <w:rsid w:val="00C767D4"/>
    <w:rsid w:val="00CB0437"/>
    <w:rsid w:val="00CC232E"/>
    <w:rsid w:val="00CD1804"/>
    <w:rsid w:val="00D264AC"/>
    <w:rsid w:val="00D5269F"/>
    <w:rsid w:val="00DA25C4"/>
    <w:rsid w:val="00DB2B95"/>
    <w:rsid w:val="00DB6334"/>
    <w:rsid w:val="00E319E7"/>
    <w:rsid w:val="00E372BC"/>
    <w:rsid w:val="00EF2797"/>
    <w:rsid w:val="00F127FF"/>
    <w:rsid w:val="00F64E95"/>
    <w:rsid w:val="00F74D1E"/>
    <w:rsid w:val="00F835F4"/>
    <w:rsid w:val="00F94869"/>
    <w:rsid w:val="014A6BE8"/>
    <w:rsid w:val="0162067B"/>
    <w:rsid w:val="01751D37"/>
    <w:rsid w:val="01935887"/>
    <w:rsid w:val="01C16083"/>
    <w:rsid w:val="022F3D89"/>
    <w:rsid w:val="025F5180"/>
    <w:rsid w:val="026B5F45"/>
    <w:rsid w:val="02856943"/>
    <w:rsid w:val="03887300"/>
    <w:rsid w:val="04720CEC"/>
    <w:rsid w:val="047E0ADB"/>
    <w:rsid w:val="048E62DE"/>
    <w:rsid w:val="04CC341D"/>
    <w:rsid w:val="05137CD7"/>
    <w:rsid w:val="05557603"/>
    <w:rsid w:val="05785425"/>
    <w:rsid w:val="060B26E0"/>
    <w:rsid w:val="06445431"/>
    <w:rsid w:val="065522E1"/>
    <w:rsid w:val="06DB10F3"/>
    <w:rsid w:val="073D4ECF"/>
    <w:rsid w:val="074F597B"/>
    <w:rsid w:val="08DE7A29"/>
    <w:rsid w:val="090874FB"/>
    <w:rsid w:val="09170415"/>
    <w:rsid w:val="09D552BB"/>
    <w:rsid w:val="0A150253"/>
    <w:rsid w:val="0A207EE3"/>
    <w:rsid w:val="0A9C7DB9"/>
    <w:rsid w:val="0AB63296"/>
    <w:rsid w:val="0AB97872"/>
    <w:rsid w:val="0ADB4F19"/>
    <w:rsid w:val="0B6F6C6A"/>
    <w:rsid w:val="0BA55634"/>
    <w:rsid w:val="0C1E2BA0"/>
    <w:rsid w:val="0C300B41"/>
    <w:rsid w:val="0C5A0B48"/>
    <w:rsid w:val="0C765CB2"/>
    <w:rsid w:val="0D0D122B"/>
    <w:rsid w:val="0DAC1076"/>
    <w:rsid w:val="0E970358"/>
    <w:rsid w:val="10053DFB"/>
    <w:rsid w:val="102B0608"/>
    <w:rsid w:val="102E3001"/>
    <w:rsid w:val="10392EAE"/>
    <w:rsid w:val="103F136E"/>
    <w:rsid w:val="10706EC2"/>
    <w:rsid w:val="107F6D30"/>
    <w:rsid w:val="111D1229"/>
    <w:rsid w:val="114D620F"/>
    <w:rsid w:val="11A00E64"/>
    <w:rsid w:val="12807280"/>
    <w:rsid w:val="12B874F8"/>
    <w:rsid w:val="12D942F5"/>
    <w:rsid w:val="1308694E"/>
    <w:rsid w:val="1312189C"/>
    <w:rsid w:val="13367EC3"/>
    <w:rsid w:val="13763D70"/>
    <w:rsid w:val="137C69A7"/>
    <w:rsid w:val="13FC1BC3"/>
    <w:rsid w:val="148463E6"/>
    <w:rsid w:val="14D20D9B"/>
    <w:rsid w:val="15A72BED"/>
    <w:rsid w:val="15FC186E"/>
    <w:rsid w:val="1621170E"/>
    <w:rsid w:val="16D8586C"/>
    <w:rsid w:val="16DD3E60"/>
    <w:rsid w:val="178C056A"/>
    <w:rsid w:val="18820ED2"/>
    <w:rsid w:val="18B91D2B"/>
    <w:rsid w:val="18C40414"/>
    <w:rsid w:val="18DD0515"/>
    <w:rsid w:val="18E11A7C"/>
    <w:rsid w:val="190919A9"/>
    <w:rsid w:val="19694088"/>
    <w:rsid w:val="1A0E6B24"/>
    <w:rsid w:val="1A6A6D44"/>
    <w:rsid w:val="1A746DC7"/>
    <w:rsid w:val="1A817123"/>
    <w:rsid w:val="1A8564E4"/>
    <w:rsid w:val="1AE720A0"/>
    <w:rsid w:val="1B3409E4"/>
    <w:rsid w:val="1B416BA7"/>
    <w:rsid w:val="1B674FFA"/>
    <w:rsid w:val="1C093ECB"/>
    <w:rsid w:val="1C2A1FDB"/>
    <w:rsid w:val="1C300CB9"/>
    <w:rsid w:val="1CE4433A"/>
    <w:rsid w:val="1D0A52C3"/>
    <w:rsid w:val="1DC530BD"/>
    <w:rsid w:val="1DD722C7"/>
    <w:rsid w:val="1E4110C2"/>
    <w:rsid w:val="1E58234F"/>
    <w:rsid w:val="1E9955EF"/>
    <w:rsid w:val="1EE84AA8"/>
    <w:rsid w:val="20631590"/>
    <w:rsid w:val="211C0774"/>
    <w:rsid w:val="21244A8C"/>
    <w:rsid w:val="212C25FC"/>
    <w:rsid w:val="22384D29"/>
    <w:rsid w:val="227D13F1"/>
    <w:rsid w:val="228447E5"/>
    <w:rsid w:val="23424F53"/>
    <w:rsid w:val="235E4041"/>
    <w:rsid w:val="236E14E2"/>
    <w:rsid w:val="23B70D6B"/>
    <w:rsid w:val="23D94C12"/>
    <w:rsid w:val="24EA31B9"/>
    <w:rsid w:val="24FE2F42"/>
    <w:rsid w:val="25236751"/>
    <w:rsid w:val="25C11B38"/>
    <w:rsid w:val="268A132E"/>
    <w:rsid w:val="26DE30DF"/>
    <w:rsid w:val="26FC1041"/>
    <w:rsid w:val="279D5AA1"/>
    <w:rsid w:val="28215C9F"/>
    <w:rsid w:val="28C532D0"/>
    <w:rsid w:val="28E64005"/>
    <w:rsid w:val="292E48EE"/>
    <w:rsid w:val="29744295"/>
    <w:rsid w:val="297B5C4D"/>
    <w:rsid w:val="29D148D0"/>
    <w:rsid w:val="29D95FC8"/>
    <w:rsid w:val="2A4665A4"/>
    <w:rsid w:val="2A473857"/>
    <w:rsid w:val="2A4F23A6"/>
    <w:rsid w:val="2AC803DC"/>
    <w:rsid w:val="2AF71430"/>
    <w:rsid w:val="2B045C6D"/>
    <w:rsid w:val="2B520C88"/>
    <w:rsid w:val="2B67284F"/>
    <w:rsid w:val="2CE0601B"/>
    <w:rsid w:val="2DB034A1"/>
    <w:rsid w:val="2E0C567E"/>
    <w:rsid w:val="2E167163"/>
    <w:rsid w:val="2E305B30"/>
    <w:rsid w:val="2E796301"/>
    <w:rsid w:val="2EAB5949"/>
    <w:rsid w:val="2ECF2C3A"/>
    <w:rsid w:val="2EFB4A3F"/>
    <w:rsid w:val="2F402F53"/>
    <w:rsid w:val="2F411E89"/>
    <w:rsid w:val="30005EA4"/>
    <w:rsid w:val="30143D85"/>
    <w:rsid w:val="306C1617"/>
    <w:rsid w:val="31192A64"/>
    <w:rsid w:val="31752B09"/>
    <w:rsid w:val="322F6DC5"/>
    <w:rsid w:val="323A7CA1"/>
    <w:rsid w:val="341018E5"/>
    <w:rsid w:val="341548E3"/>
    <w:rsid w:val="356446C3"/>
    <w:rsid w:val="359B739A"/>
    <w:rsid w:val="361262CF"/>
    <w:rsid w:val="3640011B"/>
    <w:rsid w:val="36623E0E"/>
    <w:rsid w:val="37712A39"/>
    <w:rsid w:val="37FD340A"/>
    <w:rsid w:val="38306064"/>
    <w:rsid w:val="39697DDF"/>
    <w:rsid w:val="398B40D3"/>
    <w:rsid w:val="3AAA7E09"/>
    <w:rsid w:val="3AE50133"/>
    <w:rsid w:val="3B345EA5"/>
    <w:rsid w:val="3B641BB6"/>
    <w:rsid w:val="3CB64975"/>
    <w:rsid w:val="3CFA0F81"/>
    <w:rsid w:val="3D1275D3"/>
    <w:rsid w:val="3DB531EC"/>
    <w:rsid w:val="3DBB71E5"/>
    <w:rsid w:val="3E0D1752"/>
    <w:rsid w:val="3E191EF3"/>
    <w:rsid w:val="3E45444A"/>
    <w:rsid w:val="3F147E3A"/>
    <w:rsid w:val="40386D46"/>
    <w:rsid w:val="40D83598"/>
    <w:rsid w:val="40EF0FBC"/>
    <w:rsid w:val="4141095B"/>
    <w:rsid w:val="416B097A"/>
    <w:rsid w:val="420358DF"/>
    <w:rsid w:val="427A3313"/>
    <w:rsid w:val="42E85089"/>
    <w:rsid w:val="43036342"/>
    <w:rsid w:val="4374690A"/>
    <w:rsid w:val="43D911A2"/>
    <w:rsid w:val="44037960"/>
    <w:rsid w:val="44E23928"/>
    <w:rsid w:val="450E6C5C"/>
    <w:rsid w:val="4563730C"/>
    <w:rsid w:val="456B496E"/>
    <w:rsid w:val="45AF22FE"/>
    <w:rsid w:val="45D513DD"/>
    <w:rsid w:val="45E167A6"/>
    <w:rsid w:val="45FE60A8"/>
    <w:rsid w:val="4614316F"/>
    <w:rsid w:val="46626001"/>
    <w:rsid w:val="46D95851"/>
    <w:rsid w:val="48694FA0"/>
    <w:rsid w:val="488E768B"/>
    <w:rsid w:val="48E64A08"/>
    <w:rsid w:val="48EE62AA"/>
    <w:rsid w:val="49493556"/>
    <w:rsid w:val="49F41D5E"/>
    <w:rsid w:val="4B18654E"/>
    <w:rsid w:val="4B1E31F7"/>
    <w:rsid w:val="4BCB3573"/>
    <w:rsid w:val="4BD17878"/>
    <w:rsid w:val="4CDF09B6"/>
    <w:rsid w:val="4CE75373"/>
    <w:rsid w:val="4D5934CA"/>
    <w:rsid w:val="4D5A79C4"/>
    <w:rsid w:val="4DBA747C"/>
    <w:rsid w:val="4E290CE2"/>
    <w:rsid w:val="4EA478DF"/>
    <w:rsid w:val="4F7C51B4"/>
    <w:rsid w:val="4FD3428B"/>
    <w:rsid w:val="51696472"/>
    <w:rsid w:val="522C29C1"/>
    <w:rsid w:val="53942022"/>
    <w:rsid w:val="54471133"/>
    <w:rsid w:val="54D32532"/>
    <w:rsid w:val="55817BBD"/>
    <w:rsid w:val="55BA4166"/>
    <w:rsid w:val="56547E4D"/>
    <w:rsid w:val="566D4B95"/>
    <w:rsid w:val="5682580A"/>
    <w:rsid w:val="572656D4"/>
    <w:rsid w:val="577608BD"/>
    <w:rsid w:val="578671EF"/>
    <w:rsid w:val="57EE7D58"/>
    <w:rsid w:val="583656B5"/>
    <w:rsid w:val="587C62B3"/>
    <w:rsid w:val="59234CED"/>
    <w:rsid w:val="59903D10"/>
    <w:rsid w:val="59AD06A4"/>
    <w:rsid w:val="59B23AD0"/>
    <w:rsid w:val="5A4D586D"/>
    <w:rsid w:val="5A6249B0"/>
    <w:rsid w:val="5AB011DA"/>
    <w:rsid w:val="5BD62A08"/>
    <w:rsid w:val="5C330937"/>
    <w:rsid w:val="5CE426D3"/>
    <w:rsid w:val="5D9957F7"/>
    <w:rsid w:val="5EE84C68"/>
    <w:rsid w:val="5F050EA2"/>
    <w:rsid w:val="5FA703FC"/>
    <w:rsid w:val="602463B0"/>
    <w:rsid w:val="6026592A"/>
    <w:rsid w:val="60E07B05"/>
    <w:rsid w:val="61246A68"/>
    <w:rsid w:val="61427FC2"/>
    <w:rsid w:val="621D5BA4"/>
    <w:rsid w:val="624D267E"/>
    <w:rsid w:val="63197EAF"/>
    <w:rsid w:val="633775AB"/>
    <w:rsid w:val="635B6748"/>
    <w:rsid w:val="63947A95"/>
    <w:rsid w:val="6401505A"/>
    <w:rsid w:val="648E5C86"/>
    <w:rsid w:val="670F3633"/>
    <w:rsid w:val="67275432"/>
    <w:rsid w:val="676F49FF"/>
    <w:rsid w:val="67B00854"/>
    <w:rsid w:val="67B05ABC"/>
    <w:rsid w:val="67B167D1"/>
    <w:rsid w:val="67DB0789"/>
    <w:rsid w:val="67E17416"/>
    <w:rsid w:val="67E33A6D"/>
    <w:rsid w:val="685F1C50"/>
    <w:rsid w:val="699022E9"/>
    <w:rsid w:val="6A416CEB"/>
    <w:rsid w:val="6A714498"/>
    <w:rsid w:val="6B54384B"/>
    <w:rsid w:val="6B5517F4"/>
    <w:rsid w:val="6B634446"/>
    <w:rsid w:val="6C0306B4"/>
    <w:rsid w:val="6C1625B8"/>
    <w:rsid w:val="6F801877"/>
    <w:rsid w:val="6FC330B5"/>
    <w:rsid w:val="706731A9"/>
    <w:rsid w:val="727151E7"/>
    <w:rsid w:val="72C60D24"/>
    <w:rsid w:val="72D263C2"/>
    <w:rsid w:val="7444613E"/>
    <w:rsid w:val="745919C6"/>
    <w:rsid w:val="74676780"/>
    <w:rsid w:val="74702A9A"/>
    <w:rsid w:val="74F15D06"/>
    <w:rsid w:val="75745308"/>
    <w:rsid w:val="761C2BBB"/>
    <w:rsid w:val="76443A46"/>
    <w:rsid w:val="7671701C"/>
    <w:rsid w:val="772628C0"/>
    <w:rsid w:val="7734591A"/>
    <w:rsid w:val="774065EE"/>
    <w:rsid w:val="775C1C6C"/>
    <w:rsid w:val="776A1DE8"/>
    <w:rsid w:val="77AA6501"/>
    <w:rsid w:val="785D00CA"/>
    <w:rsid w:val="78D02752"/>
    <w:rsid w:val="7A307C05"/>
    <w:rsid w:val="7A350C22"/>
    <w:rsid w:val="7AA57BE5"/>
    <w:rsid w:val="7B1642C0"/>
    <w:rsid w:val="7BC51E54"/>
    <w:rsid w:val="7CA37938"/>
    <w:rsid w:val="7D6E784A"/>
    <w:rsid w:val="7DC13E81"/>
    <w:rsid w:val="7DDD6CEA"/>
    <w:rsid w:val="7DED0920"/>
    <w:rsid w:val="7E636E14"/>
    <w:rsid w:val="7F160BB9"/>
    <w:rsid w:val="7F32693E"/>
    <w:rsid w:val="7F50352D"/>
    <w:rsid w:val="7FF363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semiHidden="0" w:name="toc 2"/>
    <w:lsdException w:uiPriority="39" w:name="toc 3" w:locked="1"/>
    <w:lsdException w:qFormat="1" w:unhideWhenUsed="0" w:uiPriority="0" w:semiHidden="0" w:name="toc 4" w:locked="1"/>
    <w:lsdException w:uiPriority="39" w:name="toc 5" w:locked="1"/>
    <w:lsdException w:qFormat="1" w:unhideWhenUsed="0" w:uiPriority="39" w:semiHidden="0" w:name="toc 6" w:locked="1"/>
    <w:lsdException w:uiPriority="39" w:name="toc 7" w:locked="1"/>
    <w:lsdException w:uiPriority="39" w:name="toc 8" w:locked="1"/>
    <w:lsdException w:uiPriority="39" w:name="toc 9" w:locked="1"/>
    <w:lsdException w:qFormat="1" w:unhideWhenUsed="0" w:uiPriority="99" w:semiHidden="0" w:name="Normal Indent"/>
    <w:lsdException w:qFormat="1"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iPriority="0" w:semiHidden="0" w:name="Body Text Indent 2" w:locked="1"/>
    <w:lsdException w:uiPriority="99" w:name="Body Text Indent 3" w:locked="1"/>
    <w:lsdException w:qFormat="1" w:unhideWhenUsed="0" w:uiPriority="99" w:semiHidden="0"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4"/>
    <w:qFormat/>
    <w:uiPriority w:val="99"/>
    <w:pPr>
      <w:keepNext/>
      <w:keepLines/>
      <w:spacing w:before="340" w:after="330" w:line="578" w:lineRule="auto"/>
      <w:outlineLvl w:val="0"/>
    </w:pPr>
    <w:rPr>
      <w:b/>
      <w:bCs/>
      <w:kern w:val="44"/>
      <w:sz w:val="44"/>
      <w:szCs w:val="44"/>
    </w:rPr>
  </w:style>
  <w:style w:type="paragraph" w:styleId="6">
    <w:name w:val="heading 2"/>
    <w:basedOn w:val="1"/>
    <w:next w:val="1"/>
    <w:link w:val="35"/>
    <w:qFormat/>
    <w:uiPriority w:val="99"/>
    <w:pPr>
      <w:keepNext/>
      <w:keepLines/>
      <w:spacing w:before="260" w:after="260" w:line="416" w:lineRule="auto"/>
      <w:outlineLvl w:val="1"/>
    </w:pPr>
    <w:rPr>
      <w:rFonts w:ascii="Calibri Light" w:hAnsi="Calibri Light"/>
      <w:b/>
      <w:bCs/>
      <w:sz w:val="32"/>
      <w:szCs w:val="32"/>
    </w:rPr>
  </w:style>
  <w:style w:type="paragraph" w:styleId="7">
    <w:name w:val="heading 3"/>
    <w:basedOn w:val="1"/>
    <w:next w:val="1"/>
    <w:link w:val="36"/>
    <w:qFormat/>
    <w:uiPriority w:val="99"/>
    <w:pPr>
      <w:keepNext/>
      <w:keepLines/>
      <w:spacing w:before="260" w:after="260" w:line="416" w:lineRule="auto"/>
      <w:outlineLvl w:val="2"/>
    </w:pPr>
    <w:rPr>
      <w:b/>
      <w:bCs/>
      <w:sz w:val="32"/>
      <w:szCs w:val="32"/>
    </w:rPr>
  </w:style>
  <w:style w:type="paragraph" w:styleId="8">
    <w:name w:val="heading 4"/>
    <w:basedOn w:val="1"/>
    <w:next w:val="1"/>
    <w:qFormat/>
    <w:locked/>
    <w:uiPriority w:val="0"/>
    <w:pPr>
      <w:keepNext/>
      <w:keepLines/>
      <w:spacing w:before="280" w:after="290" w:line="372" w:lineRule="auto"/>
      <w:outlineLvl w:val="3"/>
    </w:pPr>
    <w:rPr>
      <w:rFonts w:ascii="Arial" w:hAnsi="Arial"/>
      <w:b/>
    </w:rPr>
  </w:style>
  <w:style w:type="character" w:default="1" w:styleId="29">
    <w:name w:val="Default Paragraph Font"/>
    <w:semiHidden/>
    <w:qFormat/>
    <w:uiPriority w:val="99"/>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7"/>
    <w:qFormat/>
    <w:uiPriority w:val="99"/>
    <w:pPr>
      <w:spacing w:line="360" w:lineRule="exact"/>
    </w:pPr>
    <w:rPr>
      <w:sz w:val="24"/>
    </w:rPr>
  </w:style>
  <w:style w:type="paragraph" w:styleId="3">
    <w:name w:val="Body Text First Indent"/>
    <w:basedOn w:val="2"/>
    <w:next w:val="4"/>
    <w:qFormat/>
    <w:locked/>
    <w:uiPriority w:val="99"/>
    <w:pPr>
      <w:ind w:firstLine="420"/>
    </w:pPr>
    <w:rPr>
      <w:rFonts w:ascii="Times New Roman"/>
      <w:sz w:val="21"/>
    </w:rPr>
  </w:style>
  <w:style w:type="paragraph" w:styleId="4">
    <w:name w:val="toc 6"/>
    <w:basedOn w:val="1"/>
    <w:next w:val="1"/>
    <w:qFormat/>
    <w:locked/>
    <w:uiPriority w:val="39"/>
    <w:pPr>
      <w:widowControl/>
      <w:ind w:left="1000"/>
      <w:jc w:val="left"/>
    </w:pPr>
    <w:rPr>
      <w:kern w:val="0"/>
      <w:sz w:val="18"/>
      <w:szCs w:val="20"/>
    </w:rPr>
  </w:style>
  <w:style w:type="paragraph" w:styleId="9">
    <w:name w:val="List Number"/>
    <w:basedOn w:val="1"/>
    <w:qFormat/>
    <w:uiPriority w:val="99"/>
    <w:pPr>
      <w:numPr>
        <w:ilvl w:val="0"/>
        <w:numId w:val="1"/>
      </w:numPr>
    </w:pPr>
  </w:style>
  <w:style w:type="paragraph" w:styleId="10">
    <w:name w:val="Normal Indent"/>
    <w:basedOn w:val="1"/>
    <w:next w:val="11"/>
    <w:qFormat/>
    <w:uiPriority w:val="99"/>
    <w:pPr>
      <w:ind w:firstLine="420"/>
    </w:pPr>
    <w:rPr>
      <w:szCs w:val="20"/>
    </w:rPr>
  </w:style>
  <w:style w:type="paragraph" w:styleId="11">
    <w:name w:val="toc 2"/>
    <w:basedOn w:val="1"/>
    <w:next w:val="1"/>
    <w:qFormat/>
    <w:uiPriority w:val="99"/>
    <w:pPr>
      <w:ind w:left="420" w:leftChars="200"/>
    </w:pPr>
  </w:style>
  <w:style w:type="paragraph" w:styleId="12">
    <w:name w:val="annotation text"/>
    <w:basedOn w:val="1"/>
    <w:link w:val="38"/>
    <w:qFormat/>
    <w:uiPriority w:val="99"/>
    <w:pPr>
      <w:jc w:val="left"/>
    </w:pPr>
  </w:style>
  <w:style w:type="paragraph" w:styleId="13">
    <w:name w:val="Body Text Indent"/>
    <w:basedOn w:val="1"/>
    <w:next w:val="1"/>
    <w:link w:val="39"/>
    <w:qFormat/>
    <w:uiPriority w:val="99"/>
    <w:pPr>
      <w:spacing w:after="120"/>
      <w:ind w:left="420" w:leftChars="200"/>
    </w:pPr>
  </w:style>
  <w:style w:type="paragraph" w:styleId="14">
    <w:name w:val="Block Text"/>
    <w:basedOn w:val="1"/>
    <w:qFormat/>
    <w:locked/>
    <w:uiPriority w:val="99"/>
    <w:pPr>
      <w:adjustRightInd w:val="0"/>
      <w:spacing w:line="300" w:lineRule="auto"/>
      <w:ind w:left="958" w:right="-120" w:rightChars="-120"/>
      <w:jc w:val="left"/>
    </w:pPr>
    <w:rPr>
      <w:rFonts w:ascii="宋体" w:hAnsi="宋体"/>
      <w:sz w:val="28"/>
    </w:rPr>
  </w:style>
  <w:style w:type="paragraph" w:styleId="15">
    <w:name w:val="Plain Text"/>
    <w:basedOn w:val="1"/>
    <w:link w:val="40"/>
    <w:qFormat/>
    <w:uiPriority w:val="99"/>
    <w:rPr>
      <w:rFonts w:ascii="宋体" w:hAnsi="Courier New"/>
    </w:rPr>
  </w:style>
  <w:style w:type="paragraph" w:styleId="16">
    <w:name w:val="Date"/>
    <w:basedOn w:val="1"/>
    <w:next w:val="1"/>
    <w:link w:val="41"/>
    <w:qFormat/>
    <w:uiPriority w:val="99"/>
    <w:pPr>
      <w:ind w:left="2500" w:leftChars="2500"/>
    </w:pPr>
    <w:rPr>
      <w:rFonts w:ascii="Calibri" w:hAnsi="Calibri" w:eastAsia="楷体_GB2312"/>
      <w:sz w:val="32"/>
      <w:szCs w:val="22"/>
    </w:rPr>
  </w:style>
  <w:style w:type="paragraph" w:styleId="17">
    <w:name w:val="Body Text Indent 2"/>
    <w:basedOn w:val="1"/>
    <w:next w:val="1"/>
    <w:unhideWhenUsed/>
    <w:qFormat/>
    <w:locked/>
    <w:uiPriority w:val="0"/>
  </w:style>
  <w:style w:type="paragraph" w:styleId="18">
    <w:name w:val="Balloon Text"/>
    <w:basedOn w:val="1"/>
    <w:link w:val="42"/>
    <w:qFormat/>
    <w:uiPriority w:val="99"/>
    <w:rPr>
      <w:sz w:val="18"/>
      <w:szCs w:val="18"/>
    </w:rPr>
  </w:style>
  <w:style w:type="paragraph" w:styleId="19">
    <w:name w:val="footer"/>
    <w:basedOn w:val="1"/>
    <w:link w:val="43"/>
    <w:qFormat/>
    <w:uiPriority w:val="99"/>
    <w:pPr>
      <w:tabs>
        <w:tab w:val="center" w:pos="4153"/>
        <w:tab w:val="right" w:pos="8306"/>
      </w:tabs>
      <w:snapToGrid w:val="0"/>
      <w:jc w:val="left"/>
    </w:pPr>
    <w:rPr>
      <w:sz w:val="18"/>
    </w:rPr>
  </w:style>
  <w:style w:type="paragraph" w:styleId="20">
    <w:name w:val="header"/>
    <w:basedOn w:val="1"/>
    <w:link w:val="4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4"/>
    <w:basedOn w:val="1"/>
    <w:next w:val="1"/>
    <w:qFormat/>
    <w:locked/>
    <w:uiPriority w:val="0"/>
    <w:pPr>
      <w:wordWrap w:val="0"/>
      <w:ind w:left="850"/>
      <w:jc w:val="both"/>
    </w:pPr>
    <w:rPr>
      <w:sz w:val="21"/>
      <w:lang w:val="en-US" w:eastAsia="zh-CN" w:bidi="ar-SA"/>
    </w:rPr>
  </w:style>
  <w:style w:type="paragraph" w:styleId="22">
    <w:name w:val="footnote text"/>
    <w:basedOn w:val="1"/>
    <w:semiHidden/>
    <w:unhideWhenUsed/>
    <w:qFormat/>
    <w:locked/>
    <w:uiPriority w:val="99"/>
    <w:pPr>
      <w:snapToGrid w:val="0"/>
      <w:jc w:val="left"/>
    </w:pPr>
    <w:rPr>
      <w:sz w:val="18"/>
    </w:rPr>
  </w:style>
  <w:style w:type="paragraph" w:styleId="23">
    <w:name w:val="Normal (Web)"/>
    <w:basedOn w:val="1"/>
    <w:qFormat/>
    <w:uiPriority w:val="99"/>
    <w:pPr>
      <w:widowControl/>
      <w:spacing w:before="100" w:beforeAutospacing="1" w:after="100" w:afterAutospacing="1"/>
      <w:jc w:val="left"/>
    </w:pPr>
    <w:rPr>
      <w:rFonts w:ascii="宋体" w:hAnsi="宋体"/>
      <w:kern w:val="0"/>
      <w:sz w:val="24"/>
    </w:rPr>
  </w:style>
  <w:style w:type="paragraph" w:styleId="24">
    <w:name w:val="Title"/>
    <w:basedOn w:val="1"/>
    <w:next w:val="1"/>
    <w:qFormat/>
    <w:locked/>
    <w:uiPriority w:val="0"/>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25">
    <w:name w:val="annotation subject"/>
    <w:basedOn w:val="12"/>
    <w:next w:val="12"/>
    <w:link w:val="45"/>
    <w:qFormat/>
    <w:uiPriority w:val="99"/>
    <w:rPr>
      <w:b/>
      <w:bCs/>
    </w:rPr>
  </w:style>
  <w:style w:type="paragraph" w:styleId="26">
    <w:name w:val="Body Text First Indent 2"/>
    <w:basedOn w:val="13"/>
    <w:next w:val="1"/>
    <w:qFormat/>
    <w:locked/>
    <w:uiPriority w:val="0"/>
    <w:pPr>
      <w:widowControl w:val="0"/>
      <w:autoSpaceDE/>
      <w:autoSpaceDN/>
      <w:snapToGrid/>
      <w:spacing w:after="120" w:line="240" w:lineRule="auto"/>
      <w:ind w:left="420" w:leftChars="200" w:firstLine="420"/>
      <w:textAlignment w:val="auto"/>
    </w:pPr>
    <w:rPr>
      <w:kern w:val="2"/>
      <w:sz w:val="21"/>
      <w:szCs w:val="24"/>
    </w:rPr>
  </w:style>
  <w:style w:type="table" w:styleId="28">
    <w:name w:val="Table Grid"/>
    <w:basedOn w:val="27"/>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annotation reference"/>
    <w:basedOn w:val="29"/>
    <w:qFormat/>
    <w:uiPriority w:val="99"/>
    <w:rPr>
      <w:rFonts w:cs="Times New Roman"/>
      <w:sz w:val="21"/>
      <w:szCs w:val="21"/>
    </w:rPr>
  </w:style>
  <w:style w:type="character" w:styleId="31">
    <w:name w:val="footnote reference"/>
    <w:basedOn w:val="29"/>
    <w:semiHidden/>
    <w:unhideWhenUsed/>
    <w:qFormat/>
    <w:locked/>
    <w:uiPriority w:val="99"/>
    <w:rPr>
      <w:vertAlign w:val="superscript"/>
    </w:rPr>
  </w:style>
  <w:style w:type="paragraph" w:customStyle="1" w:styleId="32">
    <w:name w:val="正文（首行缩进2字符）"/>
    <w:basedOn w:val="1"/>
    <w:qFormat/>
    <w:uiPriority w:val="0"/>
    <w:pPr>
      <w:spacing w:line="360" w:lineRule="auto"/>
      <w:ind w:firstLine="420" w:firstLineChars="200"/>
    </w:pPr>
    <w:rPr>
      <w:szCs w:val="21"/>
    </w:rPr>
  </w:style>
  <w:style w:type="paragraph" w:customStyle="1" w:styleId="33">
    <w:name w:val="无间隔1"/>
    <w:qFormat/>
    <w:uiPriority w:val="99"/>
    <w:pPr>
      <w:adjustRightInd w:val="0"/>
      <w:snapToGrid w:val="0"/>
    </w:pPr>
    <w:rPr>
      <w:rFonts w:ascii="Tahoma" w:hAnsi="Tahoma" w:eastAsia="微软雅黑" w:cs="Times New Roman"/>
      <w:kern w:val="0"/>
      <w:sz w:val="22"/>
      <w:szCs w:val="22"/>
      <w:lang w:val="en-US" w:eastAsia="zh-CN" w:bidi="ar-SA"/>
    </w:rPr>
  </w:style>
  <w:style w:type="character" w:customStyle="1" w:styleId="34">
    <w:name w:val="Heading 1 Char"/>
    <w:basedOn w:val="29"/>
    <w:link w:val="5"/>
    <w:qFormat/>
    <w:locked/>
    <w:uiPriority w:val="99"/>
    <w:rPr>
      <w:rFonts w:ascii="Times New Roman" w:hAnsi="Times New Roman" w:cs="Times New Roman"/>
      <w:b/>
      <w:bCs/>
      <w:kern w:val="44"/>
      <w:sz w:val="44"/>
      <w:szCs w:val="44"/>
    </w:rPr>
  </w:style>
  <w:style w:type="character" w:customStyle="1" w:styleId="35">
    <w:name w:val="Heading 2 Char"/>
    <w:basedOn w:val="29"/>
    <w:link w:val="6"/>
    <w:semiHidden/>
    <w:qFormat/>
    <w:locked/>
    <w:uiPriority w:val="99"/>
    <w:rPr>
      <w:rFonts w:ascii="Cambria" w:hAnsi="Cambria" w:eastAsia="宋体" w:cs="Times New Roman"/>
      <w:b/>
      <w:bCs/>
      <w:sz w:val="32"/>
      <w:szCs w:val="32"/>
    </w:rPr>
  </w:style>
  <w:style w:type="character" w:customStyle="1" w:styleId="36">
    <w:name w:val="Heading 3 Char"/>
    <w:basedOn w:val="29"/>
    <w:link w:val="7"/>
    <w:semiHidden/>
    <w:qFormat/>
    <w:locked/>
    <w:uiPriority w:val="99"/>
    <w:rPr>
      <w:rFonts w:cs="Times New Roman"/>
      <w:b/>
      <w:bCs/>
      <w:sz w:val="32"/>
      <w:szCs w:val="32"/>
    </w:rPr>
  </w:style>
  <w:style w:type="character" w:customStyle="1" w:styleId="37">
    <w:name w:val="Body Text Char"/>
    <w:basedOn w:val="29"/>
    <w:link w:val="2"/>
    <w:semiHidden/>
    <w:qFormat/>
    <w:locked/>
    <w:uiPriority w:val="99"/>
    <w:rPr>
      <w:rFonts w:cs="Times New Roman"/>
      <w:sz w:val="24"/>
      <w:szCs w:val="24"/>
    </w:rPr>
  </w:style>
  <w:style w:type="character" w:customStyle="1" w:styleId="38">
    <w:name w:val="Comment Text Char"/>
    <w:basedOn w:val="29"/>
    <w:link w:val="12"/>
    <w:qFormat/>
    <w:locked/>
    <w:uiPriority w:val="99"/>
    <w:rPr>
      <w:rFonts w:ascii="Times New Roman" w:hAnsi="Times New Roman" w:eastAsia="宋体" w:cs="Times New Roman"/>
      <w:kern w:val="2"/>
      <w:sz w:val="24"/>
      <w:szCs w:val="24"/>
    </w:rPr>
  </w:style>
  <w:style w:type="character" w:customStyle="1" w:styleId="39">
    <w:name w:val="Body Text Indent Char"/>
    <w:basedOn w:val="29"/>
    <w:link w:val="13"/>
    <w:qFormat/>
    <w:locked/>
    <w:uiPriority w:val="99"/>
    <w:rPr>
      <w:rFonts w:cs="Times New Roman"/>
      <w:kern w:val="2"/>
      <w:sz w:val="24"/>
      <w:szCs w:val="24"/>
    </w:rPr>
  </w:style>
  <w:style w:type="character" w:customStyle="1" w:styleId="40">
    <w:name w:val="Plain Text Char"/>
    <w:basedOn w:val="29"/>
    <w:link w:val="15"/>
    <w:semiHidden/>
    <w:qFormat/>
    <w:locked/>
    <w:uiPriority w:val="99"/>
    <w:rPr>
      <w:rFonts w:ascii="宋体" w:hAnsi="Courier New" w:cs="Courier New"/>
      <w:sz w:val="21"/>
      <w:szCs w:val="21"/>
    </w:rPr>
  </w:style>
  <w:style w:type="character" w:customStyle="1" w:styleId="41">
    <w:name w:val="Date Char"/>
    <w:basedOn w:val="29"/>
    <w:link w:val="16"/>
    <w:semiHidden/>
    <w:qFormat/>
    <w:locked/>
    <w:uiPriority w:val="99"/>
    <w:rPr>
      <w:rFonts w:cs="Times New Roman"/>
      <w:sz w:val="24"/>
      <w:szCs w:val="24"/>
    </w:rPr>
  </w:style>
  <w:style w:type="character" w:customStyle="1" w:styleId="42">
    <w:name w:val="Balloon Text Char"/>
    <w:basedOn w:val="29"/>
    <w:link w:val="18"/>
    <w:qFormat/>
    <w:locked/>
    <w:uiPriority w:val="99"/>
    <w:rPr>
      <w:rFonts w:ascii="Times New Roman" w:hAnsi="Times New Roman" w:eastAsia="宋体" w:cs="Times New Roman"/>
      <w:kern w:val="2"/>
      <w:sz w:val="18"/>
      <w:szCs w:val="18"/>
    </w:rPr>
  </w:style>
  <w:style w:type="character" w:customStyle="1" w:styleId="43">
    <w:name w:val="Footer Char"/>
    <w:basedOn w:val="29"/>
    <w:link w:val="19"/>
    <w:semiHidden/>
    <w:qFormat/>
    <w:locked/>
    <w:uiPriority w:val="99"/>
    <w:rPr>
      <w:rFonts w:cs="Times New Roman"/>
      <w:sz w:val="18"/>
      <w:szCs w:val="18"/>
    </w:rPr>
  </w:style>
  <w:style w:type="character" w:customStyle="1" w:styleId="44">
    <w:name w:val="Header Char"/>
    <w:basedOn w:val="29"/>
    <w:link w:val="20"/>
    <w:semiHidden/>
    <w:qFormat/>
    <w:locked/>
    <w:uiPriority w:val="99"/>
    <w:rPr>
      <w:rFonts w:cs="Times New Roman"/>
      <w:sz w:val="18"/>
      <w:szCs w:val="18"/>
    </w:rPr>
  </w:style>
  <w:style w:type="character" w:customStyle="1" w:styleId="45">
    <w:name w:val="Comment Subject Char"/>
    <w:basedOn w:val="38"/>
    <w:link w:val="25"/>
    <w:qFormat/>
    <w:locked/>
    <w:uiPriority w:val="99"/>
    <w:rPr>
      <w:b/>
      <w:bCs/>
    </w:rPr>
  </w:style>
  <w:style w:type="paragraph" w:customStyle="1" w:styleId="46">
    <w:name w:val="zw"/>
    <w:basedOn w:val="1"/>
    <w:qFormat/>
    <w:uiPriority w:val="99"/>
    <w:pPr>
      <w:widowControl/>
      <w:spacing w:before="30"/>
      <w:ind w:left="100" w:right="100"/>
    </w:pPr>
    <w:rPr>
      <w:rFonts w:ascii="方正书宋简体" w:hAnsi="宋体" w:eastAsia="方正书宋简体"/>
      <w:color w:val="000000"/>
      <w:kern w:val="0"/>
      <w:szCs w:val="21"/>
    </w:rPr>
  </w:style>
  <w:style w:type="paragraph" w:styleId="47">
    <w:name w:val="List Paragraph"/>
    <w:basedOn w:val="1"/>
    <w:qFormat/>
    <w:uiPriority w:val="99"/>
    <w:pPr>
      <w:ind w:firstLine="420" w:firstLineChars="200"/>
    </w:pPr>
    <w:rPr>
      <w:rFonts w:ascii="Calibri" w:hAnsi="Calibri"/>
      <w:szCs w:val="22"/>
    </w:rPr>
  </w:style>
  <w:style w:type="paragraph" w:customStyle="1" w:styleId="48">
    <w:name w:val="列出段落1"/>
    <w:basedOn w:val="1"/>
    <w:qFormat/>
    <w:uiPriority w:val="99"/>
    <w:pPr>
      <w:ind w:firstLine="420" w:firstLineChars="200"/>
    </w:pPr>
    <w:rPr>
      <w:rFonts w:ascii="Calibri" w:hAnsi="Calibri"/>
      <w:kern w:val="0"/>
      <w:szCs w:val="20"/>
    </w:rPr>
  </w:style>
  <w:style w:type="paragraph" w:customStyle="1" w:styleId="49">
    <w:name w:val="无间隔11"/>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50">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51">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正文_14"/>
    <w:qFormat/>
    <w:uiPriority w:val="99"/>
    <w:rPr>
      <w:rFonts w:ascii="Times New Roman" w:hAnsi="Times New Roman" w:eastAsia="宋体" w:cs="Times New Roman"/>
      <w:kern w:val="0"/>
      <w:sz w:val="21"/>
      <w:szCs w:val="22"/>
      <w:lang w:val="en-US" w:eastAsia="zh-CN" w:bidi="ar-SA"/>
    </w:rPr>
  </w:style>
  <w:style w:type="paragraph" w:customStyle="1" w:styleId="53">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纯文本_3"/>
    <w:basedOn w:val="55"/>
    <w:qFormat/>
    <w:uiPriority w:val="99"/>
    <w:pPr>
      <w:widowControl/>
      <w:jc w:val="left"/>
    </w:pPr>
    <w:rPr>
      <w:rFonts w:ascii="宋体" w:hAnsi="Courier New"/>
      <w:szCs w:val="21"/>
    </w:rPr>
  </w:style>
  <w:style w:type="paragraph" w:customStyle="1" w:styleId="57">
    <w:name w:val="纯文本_0_1"/>
    <w:basedOn w:val="1"/>
    <w:qFormat/>
    <w:uiPriority w:val="99"/>
    <w:pPr>
      <w:widowControl/>
      <w:jc w:val="left"/>
    </w:pPr>
    <w:rPr>
      <w:rFonts w:ascii="宋体" w:hAnsi="Courier New"/>
      <w:szCs w:val="21"/>
    </w:rPr>
  </w:style>
  <w:style w:type="paragraph" w:customStyle="1" w:styleId="58">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2">
    <w:name w:val="正文 A"/>
    <w:qFormat/>
    <w:uiPriority w:val="99"/>
    <w:pPr>
      <w:widowControl w:val="0"/>
      <w:jc w:val="both"/>
    </w:pPr>
    <w:rPr>
      <w:rFonts w:ascii="Calibri" w:hAnsi="Calibri" w:eastAsia="宋体" w:cs="Calibri"/>
      <w:color w:val="000000"/>
      <w:kern w:val="2"/>
      <w:sz w:val="21"/>
      <w:szCs w:val="21"/>
      <w:u w:color="000000"/>
      <w:lang w:val="en-US" w:eastAsia="zh-CN" w:bidi="ar-SA"/>
    </w:rPr>
  </w:style>
  <w:style w:type="paragraph" w:customStyle="1" w:styleId="63">
    <w:name w:val="页眉与页脚"/>
    <w:qFormat/>
    <w:uiPriority w:val="99"/>
    <w:pPr>
      <w:tabs>
        <w:tab w:val="right" w:pos="9020"/>
      </w:tabs>
    </w:pPr>
    <w:rPr>
      <w:rFonts w:ascii="Helvetica" w:hAnsi="Helvetica" w:eastAsia="宋体" w:cs="Arial Unicode MS"/>
      <w:color w:val="000000"/>
      <w:kern w:val="0"/>
      <w:sz w:val="24"/>
      <w:szCs w:val="24"/>
      <w:lang w:val="en-US" w:eastAsia="zh-CN" w:bidi="ar-SA"/>
    </w:rPr>
  </w:style>
  <w:style w:type="character" w:customStyle="1" w:styleId="64">
    <w:name w:val="font11"/>
    <w:qFormat/>
    <w:uiPriority w:val="0"/>
    <w:rPr>
      <w:rFonts w:hint="default" w:ascii="Times New Roman" w:hAnsi="Times New Roman" w:cs="Times New Roman"/>
      <w:color w:val="000000"/>
      <w:sz w:val="24"/>
      <w:szCs w:val="24"/>
      <w:u w:val="none"/>
    </w:rPr>
  </w:style>
  <w:style w:type="character" w:customStyle="1" w:styleId="65">
    <w:name w:val="font01"/>
    <w:qFormat/>
    <w:uiPriority w:val="0"/>
    <w:rPr>
      <w:rFonts w:hint="eastAsia" w:ascii="宋体" w:hAnsi="宋体" w:eastAsia="宋体" w:cs="宋体"/>
      <w:color w:val="000000"/>
      <w:sz w:val="24"/>
      <w:szCs w:val="24"/>
      <w:u w:val="none"/>
    </w:rPr>
  </w:style>
  <w:style w:type="character" w:customStyle="1" w:styleId="66">
    <w:name w:val="font31"/>
    <w:qFormat/>
    <w:uiPriority w:val="0"/>
    <w:rPr>
      <w:rFonts w:hint="eastAsia" w:ascii="宋体" w:hAnsi="宋体" w:eastAsia="宋体" w:cs="宋体"/>
      <w:color w:val="000000"/>
      <w:sz w:val="24"/>
      <w:szCs w:val="24"/>
      <w:u w:val="none"/>
    </w:rPr>
  </w:style>
  <w:style w:type="paragraph" w:customStyle="1" w:styleId="67">
    <w:name w:val="正文 New New New New"/>
    <w:qFormat/>
    <w:uiPriority w:val="0"/>
    <w:pPr>
      <w:widowControl w:val="0"/>
      <w:spacing w:after="0" w:line="240" w:lineRule="auto"/>
      <w:jc w:val="both"/>
    </w:pPr>
    <w:rPr>
      <w:rFonts w:ascii="Times New Roman" w:hAnsi="Times New Roman" w:eastAsia="宋体" w:cs="Times New Roman"/>
      <w:sz w:val="21"/>
      <w:szCs w:val="24"/>
      <w:lang w:val="en-US" w:eastAsia="zh-CN" w:bidi="ar-SA"/>
    </w:rPr>
  </w:style>
  <w:style w:type="paragraph" w:customStyle="1" w:styleId="68">
    <w:name w:val="p18"/>
    <w:basedOn w:val="1"/>
    <w:qFormat/>
    <w:uiPriority w:val="99"/>
    <w:pPr>
      <w:widowControl/>
      <w:spacing w:line="748" w:lineRule="atLeast"/>
      <w:ind w:left="-527" w:firstLine="527"/>
    </w:pPr>
    <w:rPr>
      <w:rFonts w:ascii="宋体" w:hAnsi="宋体" w:cs="宋体"/>
      <w:kern w:val="0"/>
      <w:sz w:val="24"/>
    </w:rPr>
  </w:style>
  <w:style w:type="paragraph" w:customStyle="1" w:styleId="69">
    <w:name w:val="投标标题1"/>
    <w:qFormat/>
    <w:uiPriority w:val="0"/>
    <w:pPr>
      <w:keepNext/>
      <w:keepLines/>
      <w:widowControl w:val="0"/>
      <w:spacing w:before="120" w:after="120"/>
      <w:ind w:left="144" w:hanging="144"/>
      <w:jc w:val="center"/>
      <w:outlineLvl w:val="0"/>
    </w:pPr>
    <w:rPr>
      <w:rFonts w:hint="eastAsia" w:ascii="黑体" w:hAnsi="Times New Roman" w:eastAsia="黑体" w:cs="Times New Roman"/>
      <w:b/>
      <w:kern w:val="44"/>
      <w:sz w:val="28"/>
      <w:szCs w:val="28"/>
      <w:lang w:val="en-US" w:eastAsia="zh-CN" w:bidi="ar-SA"/>
    </w:rPr>
  </w:style>
  <w:style w:type="paragraph" w:customStyle="1" w:styleId="70">
    <w:name w:val="投标正文"/>
    <w:basedOn w:val="1"/>
    <w:qFormat/>
    <w:uiPriority w:val="0"/>
    <w:pPr>
      <w:keepNext w:val="0"/>
      <w:keepLines w:val="0"/>
      <w:widowControl w:val="0"/>
      <w:suppressLineNumbers w:val="0"/>
      <w:spacing w:line="360" w:lineRule="auto"/>
      <w:ind w:left="100" w:firstLine="480" w:firstLineChars="200"/>
      <w:jc w:val="both"/>
    </w:pPr>
    <w:rPr>
      <w:rFonts w:hint="default" w:ascii="Calibri" w:hAnsi="Calibri" w:eastAsia="宋体" w:cs="Times New Roman"/>
      <w:kern w:val="2"/>
      <w:sz w:val="24"/>
      <w:szCs w:val="24"/>
      <w:lang w:val="en-US" w:eastAsia="zh-CN" w:bidi="ar"/>
    </w:rPr>
  </w:style>
  <w:style w:type="paragraph" w:customStyle="1" w:styleId="71">
    <w:name w:val="投标文件正文"/>
    <w:basedOn w:val="1"/>
    <w:qFormat/>
    <w:uiPriority w:val="0"/>
    <w:pPr>
      <w:keepNext w:val="0"/>
      <w:keepLines w:val="0"/>
      <w:widowControl w:val="0"/>
      <w:suppressLineNumbers w:val="0"/>
      <w:spacing w:after="50" w:afterLines="50" w:afterAutospacing="0" w:line="360" w:lineRule="auto"/>
      <w:ind w:firstLine="200" w:firstLineChars="200"/>
      <w:jc w:val="both"/>
    </w:pPr>
    <w:rPr>
      <w:rFonts w:hint="eastAsia" w:ascii="宋体" w:hAnsi="宋体" w:eastAsia="宋体" w:cs="Times New Roman"/>
      <w:color w:val="000000"/>
      <w:kern w:val="2"/>
      <w:sz w:val="24"/>
      <w:szCs w:val="24"/>
      <w:lang w:val="en-US" w:eastAsia="zh-CN" w:bidi="ar"/>
    </w:rPr>
  </w:style>
  <w:style w:type="paragraph" w:customStyle="1" w:styleId="72">
    <w:name w:val="投标标题2"/>
    <w:qFormat/>
    <w:uiPriority w:val="0"/>
    <w:pPr>
      <w:keepNext/>
      <w:keepLines/>
      <w:widowControl w:val="0"/>
      <w:spacing w:before="120" w:after="120" w:line="412" w:lineRule="auto"/>
      <w:ind w:left="576" w:hanging="576"/>
      <w:jc w:val="both"/>
      <w:outlineLvl w:val="1"/>
    </w:pPr>
    <w:rPr>
      <w:rFonts w:ascii="Times New Roman" w:hAnsi="Times New Roman" w:eastAsia="黑体" w:cs="Times New Roman"/>
      <w:b/>
      <w:kern w:val="2"/>
      <w:sz w:val="28"/>
      <w:szCs w:val="28"/>
      <w:lang w:val="en-US" w:eastAsia="zh-CN" w:bidi="ar-SA"/>
    </w:rPr>
  </w:style>
  <w:style w:type="paragraph" w:customStyle="1" w:styleId="73">
    <w:name w:val="投标标题3"/>
    <w:qFormat/>
    <w:uiPriority w:val="0"/>
    <w:pPr>
      <w:keepNext/>
      <w:keepLines/>
      <w:widowControl w:val="0"/>
      <w:spacing w:before="156" w:beforeLines="50" w:after="156" w:afterLines="50" w:line="480" w:lineRule="auto"/>
      <w:ind w:left="420" w:hanging="420"/>
      <w:jc w:val="both"/>
      <w:outlineLvl w:val="2"/>
    </w:pPr>
    <w:rPr>
      <w:rFonts w:hint="eastAsia" w:ascii="宋体" w:hAnsi="宋体" w:eastAsia="宋体" w:cs="Times New Roman"/>
      <w:b/>
      <w:color w:val="000000"/>
      <w:kern w:val="2"/>
      <w:sz w:val="24"/>
      <w:szCs w:val="24"/>
      <w:lang w:val="en-US" w:eastAsia="zh-CN" w:bidi="ar-SA"/>
    </w:rPr>
  </w:style>
  <w:style w:type="paragraph" w:customStyle="1" w:styleId="74">
    <w:name w:val="Default"/>
    <w:qFormat/>
    <w:uiPriority w:val="0"/>
    <w:pPr>
      <w:widowControl w:val="0"/>
      <w:autoSpaceDE w:val="0"/>
      <w:autoSpaceDN w:val="0"/>
      <w:adjustRightInd w:val="0"/>
    </w:pPr>
    <w:rPr>
      <w:rFonts w:ascii="宋体" w:hAnsi="Times New Roman" w:eastAsia="宋体" w:cs="Times New Roman"/>
      <w:color w:val="000000"/>
      <w:kern w:val="0"/>
      <w:sz w:val="24"/>
      <w:szCs w:val="20"/>
      <w:lang w:val="en-US" w:eastAsia="zh-CN" w:bidi="ar-SA"/>
    </w:rPr>
  </w:style>
  <w:style w:type="paragraph" w:customStyle="1" w:styleId="75">
    <w:name w:val="项目编号"/>
    <w:basedOn w:val="1"/>
    <w:qFormat/>
    <w:uiPriority w:val="0"/>
    <w:pPr>
      <w:numPr>
        <w:ilvl w:val="0"/>
        <w:numId w:val="2"/>
      </w:numPr>
      <w:spacing w:line="360" w:lineRule="auto"/>
    </w:pPr>
    <w:rPr>
      <w:rFonts w:ascii="仿宋_GB2312" w:eastAsia="仿宋_GB2312"/>
    </w:rPr>
  </w:style>
  <w:style w:type="paragraph" w:customStyle="1" w:styleId="76">
    <w:name w:val="文档正文"/>
    <w:basedOn w:val="1"/>
    <w:qFormat/>
    <w:uiPriority w:val="0"/>
    <w:pPr>
      <w:ind w:firstLine="567"/>
    </w:pPr>
    <w:rPr>
      <w:rFonts w:ascii="长城仿宋" w:eastAsia="长城仿宋"/>
      <w:sz w:val="28"/>
    </w:rPr>
  </w:style>
  <w:style w:type="character" w:customStyle="1" w:styleId="77">
    <w:name w:val="font21"/>
    <w:basedOn w:val="29"/>
    <w:qFormat/>
    <w:uiPriority w:val="0"/>
    <w:rPr>
      <w:rFonts w:ascii="Calibri" w:hAnsi="Calibri" w:cs="Calibri"/>
      <w:color w:val="000000"/>
      <w:sz w:val="22"/>
      <w:szCs w:val="22"/>
      <w:u w:val="none"/>
    </w:rPr>
  </w:style>
  <w:style w:type="character" w:customStyle="1" w:styleId="78">
    <w:name w:val="font71"/>
    <w:basedOn w:val="29"/>
    <w:qFormat/>
    <w:uiPriority w:val="0"/>
    <w:rPr>
      <w:rFonts w:hint="default" w:ascii="Calibri" w:hAnsi="Calibri" w:cs="Calibri"/>
      <w:color w:val="000000"/>
      <w:sz w:val="22"/>
      <w:szCs w:val="22"/>
      <w:u w:val="none"/>
    </w:rPr>
  </w:style>
  <w:style w:type="character" w:customStyle="1" w:styleId="79">
    <w:name w:val="font41"/>
    <w:basedOn w:val="29"/>
    <w:qFormat/>
    <w:uiPriority w:val="0"/>
    <w:rPr>
      <w:rFonts w:hint="eastAsia" w:ascii="宋体" w:hAnsi="宋体" w:eastAsia="宋体" w:cs="宋体"/>
      <w:color w:val="000000"/>
      <w:sz w:val="22"/>
      <w:szCs w:val="22"/>
      <w:u w:val="none"/>
    </w:rPr>
  </w:style>
  <w:style w:type="paragraph" w:customStyle="1" w:styleId="80">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1">
    <w:name w:val="列表段落1"/>
    <w:basedOn w:val="1"/>
    <w:next w:val="1"/>
    <w:qFormat/>
    <w:uiPriority w:val="34"/>
  </w:style>
  <w:style w:type="character" w:customStyle="1" w:styleId="82">
    <w:name w:val="font61"/>
    <w:basedOn w:val="29"/>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57</Pages>
  <Words>25560</Words>
  <Characters>27174</Characters>
  <Lines>0</Lines>
  <Paragraphs>0</Paragraphs>
  <TotalTime>25</TotalTime>
  <ScaleCrop>false</ScaleCrop>
  <LinksUpToDate>false</LinksUpToDate>
  <CharactersWithSpaces>28779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cp:lastModifiedBy>
  <dcterms:modified xsi:type="dcterms:W3CDTF">2021-10-26T01:08:08Z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D3E1EC54885542A2A3C7E47325026FDD</vt:lpwstr>
  </property>
</Properties>
</file>