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480" w:beforeLines="200" w:line="360" w:lineRule="auto"/>
        <w:jc w:val="center"/>
        <w:rPr>
          <w:rFonts w:hint="eastAsia" w:eastAsia="宋体"/>
          <w:b/>
          <w:bCs/>
          <w:sz w:val="48"/>
          <w:szCs w:val="48"/>
          <w:lang w:eastAsia="zh-CN"/>
        </w:rPr>
      </w:pPr>
      <w:r>
        <w:rPr>
          <w:rFonts w:hint="eastAsia"/>
          <w:b/>
          <w:bCs/>
          <w:sz w:val="48"/>
          <w:szCs w:val="48"/>
        </w:rPr>
        <w:t>浙江财经大学</w:t>
      </w:r>
      <w:r>
        <w:rPr>
          <w:rFonts w:hint="eastAsia"/>
          <w:b/>
          <w:bCs/>
          <w:sz w:val="48"/>
          <w:szCs w:val="48"/>
          <w:lang w:eastAsia="zh-CN"/>
        </w:rPr>
        <w:t>智慧教务综合服务平台二期项目</w:t>
      </w:r>
    </w:p>
    <w:p>
      <w:pPr>
        <w:spacing w:after="480" w:afterLines="200" w:line="360" w:lineRule="auto"/>
        <w:jc w:val="center"/>
        <w:rPr>
          <w:rFonts w:hint="eastAsia" w:ascii="Times New Roman" w:hAnsi="Times New Roman" w:eastAsia="宋体"/>
          <w:sz w:val="30"/>
          <w:szCs w:val="30"/>
          <w:lang w:eastAsia="zh-CN"/>
        </w:rPr>
      </w:pPr>
      <w:r>
        <w:rPr>
          <w:rFonts w:hint="eastAsia" w:ascii="Times New Roman" w:hAnsi="Times New Roman"/>
          <w:sz w:val="30"/>
          <w:szCs w:val="30"/>
        </w:rPr>
        <w:t>项目编号：</w:t>
      </w:r>
      <w:r>
        <w:rPr>
          <w:rFonts w:hint="eastAsia" w:ascii="Times New Roman" w:hAnsi="Times New Roman"/>
          <w:sz w:val="30"/>
          <w:szCs w:val="30"/>
          <w:lang w:eastAsia="zh-CN"/>
        </w:rPr>
        <w:t>浙财大2020-09</w:t>
      </w:r>
    </w:p>
    <w:p>
      <w:pPr>
        <w:snapToGrid w:val="0"/>
        <w:jc w:val="center"/>
        <w:rPr>
          <w:rFonts w:ascii="黑体" w:hAnsi="黑体" w:eastAsia="黑体" w:cs="黑体"/>
          <w:b/>
          <w:bCs/>
          <w:sz w:val="60"/>
          <w:szCs w:val="60"/>
        </w:rPr>
      </w:pPr>
      <w:r>
        <w:rPr>
          <w:rFonts w:hint="eastAsia" w:ascii="黑体" w:hAnsi="黑体" w:eastAsia="黑体" w:cs="黑体"/>
          <w:b/>
          <w:bCs/>
          <w:sz w:val="60"/>
          <w:szCs w:val="60"/>
        </w:rPr>
        <w:t>单</w:t>
      </w:r>
    </w:p>
    <w:p>
      <w:pPr>
        <w:snapToGrid w:val="0"/>
        <w:jc w:val="center"/>
        <w:rPr>
          <w:rFonts w:ascii="黑体" w:hAnsi="黑体" w:eastAsia="黑体" w:cs="黑体"/>
          <w:b/>
          <w:bCs/>
          <w:sz w:val="60"/>
          <w:szCs w:val="60"/>
        </w:rPr>
      </w:pPr>
      <w:r>
        <w:rPr>
          <w:rFonts w:hint="eastAsia" w:ascii="黑体" w:hAnsi="黑体" w:eastAsia="黑体" w:cs="黑体"/>
          <w:b/>
          <w:bCs/>
          <w:sz w:val="60"/>
          <w:szCs w:val="60"/>
        </w:rPr>
        <w:t>一</w:t>
      </w:r>
    </w:p>
    <w:p>
      <w:pPr>
        <w:snapToGrid w:val="0"/>
        <w:jc w:val="center"/>
        <w:rPr>
          <w:rFonts w:ascii="黑体" w:hAnsi="黑体" w:eastAsia="黑体" w:cs="黑体"/>
          <w:b/>
          <w:bCs/>
          <w:sz w:val="60"/>
          <w:szCs w:val="60"/>
        </w:rPr>
      </w:pPr>
      <w:r>
        <w:rPr>
          <w:rFonts w:hint="eastAsia" w:ascii="黑体" w:hAnsi="黑体" w:eastAsia="黑体" w:cs="黑体"/>
          <w:b/>
          <w:bCs/>
          <w:sz w:val="60"/>
          <w:szCs w:val="60"/>
        </w:rPr>
        <w:t>来</w:t>
      </w:r>
    </w:p>
    <w:p>
      <w:pPr>
        <w:snapToGrid w:val="0"/>
        <w:jc w:val="center"/>
        <w:rPr>
          <w:rFonts w:ascii="黑体" w:hAnsi="黑体" w:eastAsia="黑体" w:cs="黑体"/>
          <w:b/>
          <w:bCs/>
          <w:sz w:val="60"/>
          <w:szCs w:val="60"/>
        </w:rPr>
      </w:pPr>
      <w:r>
        <w:rPr>
          <w:rFonts w:hint="eastAsia" w:ascii="黑体" w:hAnsi="黑体" w:eastAsia="黑体" w:cs="黑体"/>
          <w:b/>
          <w:bCs/>
          <w:sz w:val="60"/>
          <w:szCs w:val="60"/>
        </w:rPr>
        <w:t>源</w:t>
      </w:r>
    </w:p>
    <w:p>
      <w:pPr>
        <w:snapToGrid w:val="0"/>
        <w:jc w:val="center"/>
        <w:rPr>
          <w:rFonts w:ascii="黑体" w:hAnsi="黑体" w:eastAsia="黑体" w:cs="黑体"/>
          <w:b/>
          <w:bCs/>
          <w:sz w:val="60"/>
          <w:szCs w:val="60"/>
        </w:rPr>
      </w:pPr>
      <w:r>
        <w:rPr>
          <w:rFonts w:hint="eastAsia" w:ascii="黑体" w:hAnsi="黑体" w:eastAsia="黑体" w:cs="黑体"/>
          <w:b/>
          <w:bCs/>
          <w:sz w:val="60"/>
          <w:szCs w:val="60"/>
        </w:rPr>
        <w:t>采</w:t>
      </w:r>
    </w:p>
    <w:p>
      <w:pPr>
        <w:snapToGrid w:val="0"/>
        <w:jc w:val="center"/>
        <w:rPr>
          <w:rFonts w:ascii="黑体" w:hAnsi="黑体" w:eastAsia="黑体" w:cs="黑体"/>
          <w:b/>
          <w:bCs/>
          <w:sz w:val="60"/>
          <w:szCs w:val="60"/>
        </w:rPr>
      </w:pPr>
      <w:r>
        <w:rPr>
          <w:rFonts w:hint="eastAsia" w:ascii="黑体" w:hAnsi="黑体" w:eastAsia="黑体" w:cs="黑体"/>
          <w:b/>
          <w:bCs/>
          <w:sz w:val="60"/>
          <w:szCs w:val="60"/>
        </w:rPr>
        <w:t>购</w:t>
      </w:r>
    </w:p>
    <w:p>
      <w:pPr>
        <w:snapToGrid w:val="0"/>
        <w:jc w:val="center"/>
        <w:rPr>
          <w:rFonts w:ascii="黑体" w:hAnsi="黑体" w:eastAsia="黑体" w:cs="黑体"/>
          <w:b/>
          <w:bCs/>
          <w:sz w:val="60"/>
          <w:szCs w:val="60"/>
        </w:rPr>
      </w:pPr>
      <w:r>
        <w:rPr>
          <w:rFonts w:hint="eastAsia" w:ascii="黑体" w:hAnsi="黑体" w:eastAsia="黑体" w:cs="黑体"/>
          <w:b/>
          <w:bCs/>
          <w:sz w:val="60"/>
          <w:szCs w:val="60"/>
        </w:rPr>
        <w:t>文</w:t>
      </w:r>
    </w:p>
    <w:p>
      <w:pPr>
        <w:snapToGrid w:val="0"/>
        <w:jc w:val="center"/>
        <w:rPr>
          <w:rFonts w:ascii="黑体" w:hAnsi="黑体" w:eastAsia="黑体" w:cs="黑体"/>
          <w:b/>
          <w:bCs/>
          <w:sz w:val="60"/>
          <w:szCs w:val="60"/>
        </w:rPr>
      </w:pPr>
      <w:r>
        <w:rPr>
          <w:rFonts w:hint="eastAsia" w:ascii="黑体" w:hAnsi="黑体" w:eastAsia="黑体" w:cs="黑体"/>
          <w:b/>
          <w:bCs/>
          <w:sz w:val="60"/>
          <w:szCs w:val="60"/>
        </w:rPr>
        <w:t>件</w:t>
      </w:r>
    </w:p>
    <w:p>
      <w:pPr>
        <w:rPr>
          <w:rFonts w:eastAsia="仿宋"/>
          <w:sz w:val="32"/>
          <w:szCs w:val="32"/>
        </w:rPr>
      </w:pPr>
    </w:p>
    <w:p>
      <w:pPr>
        <w:rPr>
          <w:rFonts w:eastAsia="仿宋"/>
          <w:sz w:val="32"/>
          <w:szCs w:val="32"/>
        </w:rPr>
      </w:pPr>
    </w:p>
    <w:p>
      <w:pPr>
        <w:rPr>
          <w:rFonts w:eastAsia="仿宋"/>
          <w:sz w:val="32"/>
          <w:szCs w:val="32"/>
        </w:rPr>
      </w:pPr>
    </w:p>
    <w:p>
      <w:pPr>
        <w:rPr>
          <w:rFonts w:eastAsia="仿宋"/>
          <w:sz w:val="32"/>
          <w:szCs w:val="32"/>
        </w:rPr>
      </w:pPr>
    </w:p>
    <w:p>
      <w:pPr>
        <w:spacing w:after="240" w:afterLines="100" w:line="360" w:lineRule="auto"/>
        <w:jc w:val="center"/>
        <w:rPr>
          <w:rFonts w:ascii="Times New Roman" w:hAnsi="Times New Roman"/>
          <w:b/>
          <w:sz w:val="32"/>
          <w:szCs w:val="32"/>
        </w:rPr>
      </w:pPr>
      <w:r>
        <w:rPr>
          <w:rFonts w:hint="eastAsia" w:ascii="Times New Roman" w:hAnsi="Times New Roman"/>
          <w:b/>
          <w:sz w:val="32"/>
          <w:szCs w:val="32"/>
        </w:rPr>
        <w:t>浙江财经大学</w:t>
      </w:r>
    </w:p>
    <w:p>
      <w:pPr>
        <w:spacing w:line="360" w:lineRule="auto"/>
        <w:jc w:val="center"/>
        <w:rPr>
          <w:rFonts w:ascii="宋体"/>
          <w:b/>
          <w:szCs w:val="21"/>
        </w:rPr>
        <w:sectPr>
          <w:footerReference r:id="rId3" w:type="default"/>
          <w:pgSz w:w="11906" w:h="16838"/>
          <w:pgMar w:top="1440" w:right="1797" w:bottom="1440" w:left="1797" w:header="851" w:footer="992" w:gutter="0"/>
          <w:pgNumType w:start="0"/>
          <w:cols w:space="720" w:num="1"/>
          <w:titlePg/>
          <w:docGrid w:linePitch="312" w:charSpace="0"/>
        </w:sectPr>
      </w:pPr>
      <w:r>
        <w:rPr>
          <w:rFonts w:ascii="Times New Roman" w:hAnsi="Times New Roman"/>
          <w:b/>
          <w:sz w:val="32"/>
          <w:szCs w:val="32"/>
        </w:rPr>
        <w:t>2020</w:t>
      </w:r>
      <w:r>
        <w:rPr>
          <w:rFonts w:hint="eastAsia" w:ascii="Times New Roman" w:hAnsi="Times New Roman"/>
          <w:b/>
          <w:sz w:val="32"/>
          <w:szCs w:val="32"/>
        </w:rPr>
        <w:t>年</w:t>
      </w:r>
      <w:r>
        <w:rPr>
          <w:rFonts w:hint="eastAsia" w:ascii="Times New Roman" w:hAnsi="Times New Roman"/>
          <w:b/>
          <w:sz w:val="32"/>
          <w:szCs w:val="32"/>
          <w:lang w:val="en-US" w:eastAsia="zh-CN"/>
        </w:rPr>
        <w:t>7</w:t>
      </w:r>
      <w:r>
        <w:rPr>
          <w:rFonts w:hint="eastAsia" w:ascii="Times New Roman" w:hAnsi="Times New Roman"/>
          <w:b/>
          <w:sz w:val="32"/>
          <w:szCs w:val="32"/>
        </w:rPr>
        <w:t>月</w:t>
      </w:r>
    </w:p>
    <w:p>
      <w:pPr>
        <w:spacing w:line="360" w:lineRule="auto"/>
        <w:jc w:val="center"/>
        <w:rPr>
          <w:rFonts w:ascii="黑体" w:hAnsi="宋体" w:eastAsia="黑体"/>
          <w:b/>
          <w:szCs w:val="21"/>
        </w:rPr>
      </w:pPr>
      <w:r>
        <w:rPr>
          <w:rFonts w:hint="eastAsia" w:ascii="黑体" w:hAnsi="宋体" w:eastAsia="黑体"/>
          <w:b/>
          <w:sz w:val="44"/>
          <w:szCs w:val="21"/>
        </w:rPr>
        <w:t>目录</w:t>
      </w:r>
    </w:p>
    <w:p>
      <w:pPr>
        <w:pStyle w:val="14"/>
        <w:jc w:val="center"/>
        <w:rPr>
          <w:rFonts w:ascii="宋体" w:cs="Arial"/>
          <w:sz w:val="28"/>
          <w:szCs w:val="21"/>
        </w:rPr>
      </w:pPr>
    </w:p>
    <w:p>
      <w:pPr>
        <w:pStyle w:val="14"/>
        <w:rPr>
          <w:rFonts w:asciiTheme="minorHAnsi" w:hAnsiTheme="minorHAnsi" w:eastAsiaTheme="minorEastAsia" w:cstheme="minorBidi"/>
          <w:szCs w:val="22"/>
        </w:rPr>
      </w:pPr>
      <w:r>
        <w:rPr>
          <w:rFonts w:ascii="Times New Roman" w:hAnsi="Times New Roman"/>
          <w:sz w:val="24"/>
        </w:rPr>
        <w:fldChar w:fldCharType="begin"/>
      </w:r>
      <w:r>
        <w:rPr>
          <w:rFonts w:ascii="Times New Roman" w:hAnsi="Times New Roman"/>
          <w:sz w:val="24"/>
        </w:rPr>
        <w:instrText xml:space="preserve"> TOC \o "1-2" \h \z \u </w:instrText>
      </w:r>
      <w:r>
        <w:rPr>
          <w:rFonts w:ascii="Times New Roman" w:hAnsi="Times New Roman"/>
          <w:sz w:val="24"/>
        </w:rPr>
        <w:fldChar w:fldCharType="separate"/>
      </w:r>
      <w:r>
        <w:fldChar w:fldCharType="begin"/>
      </w:r>
      <w:r>
        <w:instrText xml:space="preserve"> HYPERLINK \l "_Toc499729038" </w:instrText>
      </w:r>
      <w:r>
        <w:fldChar w:fldCharType="separate"/>
      </w:r>
      <w:r>
        <w:rPr>
          <w:rStyle w:val="24"/>
          <w:rFonts w:hint="eastAsia" w:ascii="黑体" w:hAnsi="宋体" w:cs="Arial"/>
          <w:color w:val="auto"/>
        </w:rPr>
        <w:t>第一章</w:t>
      </w:r>
      <w:r>
        <w:rPr>
          <w:rStyle w:val="24"/>
          <w:rFonts w:hint="eastAsia" w:ascii="黑体" w:hAnsi="宋体"/>
          <w:color w:val="auto"/>
        </w:rPr>
        <w:t>单一来源采购邀请书</w:t>
      </w:r>
      <w:r>
        <w:tab/>
      </w:r>
      <w:r>
        <w:fldChar w:fldCharType="begin"/>
      </w:r>
      <w:r>
        <w:instrText xml:space="preserve"> PAGEREF _Toc499729038 \h </w:instrText>
      </w:r>
      <w:r>
        <w:fldChar w:fldCharType="separate"/>
      </w:r>
      <w:r>
        <w:t>2</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"_Toc499729039" </w:instrText>
      </w:r>
      <w:r>
        <w:fldChar w:fldCharType="separate"/>
      </w:r>
      <w:r>
        <w:rPr>
          <w:rStyle w:val="24"/>
          <w:rFonts w:hint="eastAsia"/>
          <w:color w:val="auto"/>
        </w:rPr>
        <w:t>第二章供应商须知</w:t>
      </w:r>
      <w:r>
        <w:tab/>
      </w:r>
      <w:r>
        <w:fldChar w:fldCharType="begin"/>
      </w:r>
      <w:r>
        <w:instrText xml:space="preserve"> PAGEREF _Toc499729039 \h </w:instrText>
      </w:r>
      <w:r>
        <w:fldChar w:fldCharType="separate"/>
      </w:r>
      <w:r>
        <w:t>3</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"_Toc499729040" </w:instrText>
      </w:r>
      <w:r>
        <w:fldChar w:fldCharType="separate"/>
      </w:r>
      <w:r>
        <w:rPr>
          <w:rStyle w:val="24"/>
          <w:rFonts w:hint="eastAsia"/>
          <w:color w:val="auto"/>
        </w:rPr>
        <w:t>（一）采购说明</w:t>
      </w:r>
      <w:r>
        <w:tab/>
      </w:r>
      <w:r>
        <w:fldChar w:fldCharType="begin"/>
      </w:r>
      <w:r>
        <w:instrText xml:space="preserve"> PAGEREF _Toc499729040 \h </w:instrText>
      </w:r>
      <w:r>
        <w:fldChar w:fldCharType="separate"/>
      </w:r>
      <w:r>
        <w:t>3</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"_Toc499729041" </w:instrText>
      </w:r>
      <w:r>
        <w:fldChar w:fldCharType="separate"/>
      </w:r>
      <w:r>
        <w:rPr>
          <w:rStyle w:val="24"/>
          <w:rFonts w:hint="eastAsia"/>
          <w:color w:val="auto"/>
        </w:rPr>
        <w:t>（二）采购文件</w:t>
      </w:r>
      <w:r>
        <w:tab/>
      </w:r>
      <w:r>
        <w:fldChar w:fldCharType="begin"/>
      </w:r>
      <w:r>
        <w:instrText xml:space="preserve"> PAGEREF _Toc499729041 \h </w:instrText>
      </w:r>
      <w:r>
        <w:fldChar w:fldCharType="separate"/>
      </w:r>
      <w:r>
        <w:t>4</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"_Toc499729042" </w:instrText>
      </w:r>
      <w:r>
        <w:fldChar w:fldCharType="separate"/>
      </w:r>
      <w:r>
        <w:rPr>
          <w:rStyle w:val="24"/>
          <w:rFonts w:hint="eastAsia"/>
          <w:color w:val="auto"/>
        </w:rPr>
        <w:t>（三）采购响应文件的编制</w:t>
      </w:r>
      <w:r>
        <w:tab/>
      </w:r>
      <w:r>
        <w:fldChar w:fldCharType="begin"/>
      </w:r>
      <w:r>
        <w:instrText xml:space="preserve"> PAGEREF _Toc499729042 \h </w:instrText>
      </w:r>
      <w:r>
        <w:fldChar w:fldCharType="separate"/>
      </w:r>
      <w:r>
        <w:t>4</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"_Toc499729043" </w:instrText>
      </w:r>
      <w:r>
        <w:fldChar w:fldCharType="separate"/>
      </w:r>
      <w:r>
        <w:rPr>
          <w:rStyle w:val="24"/>
          <w:rFonts w:hint="eastAsia"/>
          <w:color w:val="auto"/>
        </w:rPr>
        <w:t>（四）采购响应文件的递交</w:t>
      </w:r>
      <w:r>
        <w:tab/>
      </w:r>
      <w:r>
        <w:fldChar w:fldCharType="begin"/>
      </w:r>
      <w:r>
        <w:instrText xml:space="preserve"> PAGEREF _Toc499729043 \h </w:instrText>
      </w:r>
      <w:r>
        <w:fldChar w:fldCharType="separate"/>
      </w:r>
      <w:r>
        <w:t>5</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"_Toc499729044" </w:instrText>
      </w:r>
      <w:r>
        <w:fldChar w:fldCharType="separate"/>
      </w:r>
      <w:r>
        <w:rPr>
          <w:rStyle w:val="24"/>
          <w:rFonts w:hint="eastAsia"/>
          <w:color w:val="auto"/>
        </w:rPr>
        <w:t>（五）谈判及合同签订</w:t>
      </w:r>
      <w:r>
        <w:tab/>
      </w:r>
      <w:r>
        <w:fldChar w:fldCharType="begin"/>
      </w:r>
      <w:r>
        <w:instrText xml:space="preserve"> PAGEREF _Toc499729044 \h </w:instrText>
      </w:r>
      <w:r>
        <w:fldChar w:fldCharType="separate"/>
      </w:r>
      <w:r>
        <w:t>6</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"_Toc499729045" </w:instrText>
      </w:r>
      <w:r>
        <w:fldChar w:fldCharType="separate"/>
      </w:r>
      <w:r>
        <w:rPr>
          <w:rStyle w:val="24"/>
          <w:rFonts w:hint="eastAsia"/>
          <w:color w:val="auto"/>
        </w:rPr>
        <w:t>第三章采购技术需求及商务条款</w:t>
      </w:r>
      <w:r>
        <w:tab/>
      </w:r>
      <w:r>
        <w:fldChar w:fldCharType="begin"/>
      </w:r>
      <w:r>
        <w:instrText xml:space="preserve"> PAGEREF _Toc499729045 \h </w:instrText>
      </w:r>
      <w:r>
        <w:fldChar w:fldCharType="separate"/>
      </w:r>
      <w:r>
        <w:t>9</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"_Toc499729050" </w:instrText>
      </w:r>
      <w:r>
        <w:fldChar w:fldCharType="separate"/>
      </w:r>
      <w:r>
        <w:rPr>
          <w:rStyle w:val="24"/>
          <w:rFonts w:hint="eastAsia"/>
          <w:color w:val="auto"/>
        </w:rPr>
        <w:t>第四章采购合同的主要条款</w:t>
      </w:r>
      <w:r>
        <w:tab/>
      </w:r>
      <w:r>
        <w:fldChar w:fldCharType="begin"/>
      </w:r>
      <w:r>
        <w:instrText xml:space="preserve"> PAGEREF _Toc499729050 \h </w:instrText>
      </w:r>
      <w:r>
        <w:fldChar w:fldCharType="separate"/>
      </w:r>
      <w:r>
        <w:t>13</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"_Toc499729051" </w:instrText>
      </w:r>
      <w:r>
        <w:fldChar w:fldCharType="separate"/>
      </w:r>
      <w:r>
        <w:rPr>
          <w:rStyle w:val="24"/>
          <w:rFonts w:hint="eastAsia"/>
          <w:color w:val="auto"/>
        </w:rPr>
        <w:t>第五章附件</w:t>
      </w:r>
      <w:r>
        <w:tab/>
      </w:r>
      <w:r>
        <w:fldChar w:fldCharType="begin"/>
      </w:r>
      <w:r>
        <w:instrText xml:space="preserve"> PAGEREF _Toc499729051 \h </w:instrText>
      </w:r>
      <w:r>
        <w:fldChar w:fldCharType="separate"/>
      </w:r>
      <w:r>
        <w:t>14</w:t>
      </w:r>
      <w:r>
        <w:fldChar w:fldCharType="end"/>
      </w:r>
      <w:r>
        <w:fldChar w:fldCharType="end"/>
      </w:r>
    </w:p>
    <w:p>
      <w:pPr>
        <w:pStyle w:val="14"/>
        <w:jc w:val="center"/>
        <w:rPr>
          <w:rFonts w:ascii="Times New Roman" w:hAnsi="Times New Roman"/>
          <w:sz w:val="24"/>
        </w:rPr>
      </w:pPr>
      <w:r>
        <w:rPr>
          <w:rFonts w:ascii="Times New Roman" w:hAnsi="Times New Roman"/>
          <w:sz w:val="24"/>
        </w:rPr>
        <w:fldChar w:fldCharType="end"/>
      </w:r>
    </w:p>
    <w:p>
      <w:pPr>
        <w:pStyle w:val="2"/>
        <w:spacing w:before="240" w:after="240"/>
        <w:rPr>
          <w:rFonts w:ascii="黑体" w:hAnsi="宋体"/>
          <w:bCs w:val="0"/>
          <w:sz w:val="32"/>
          <w:szCs w:val="32"/>
        </w:rPr>
      </w:pPr>
      <w:r>
        <w:rPr>
          <w:rFonts w:ascii="宋体" w:eastAsia="宋体" w:cs="Arial"/>
          <w:sz w:val="24"/>
        </w:rPr>
        <w:br w:type="page"/>
      </w:r>
      <w:bookmarkStart w:id="0" w:name="_Toc361750516"/>
      <w:bookmarkStart w:id="1" w:name="_Toc499729038"/>
      <w:r>
        <w:rPr>
          <w:rFonts w:hint="eastAsia" w:ascii="黑体" w:hAnsi="宋体" w:cs="Arial"/>
          <w:sz w:val="32"/>
          <w:szCs w:val="32"/>
        </w:rPr>
        <w:t xml:space="preserve">第一章 </w:t>
      </w:r>
      <w:r>
        <w:rPr>
          <w:rFonts w:hint="eastAsia" w:ascii="黑体" w:hAnsi="宋体"/>
          <w:bCs w:val="0"/>
          <w:sz w:val="32"/>
          <w:szCs w:val="32"/>
        </w:rPr>
        <w:t>单一来源采购邀请书</w:t>
      </w:r>
      <w:bookmarkEnd w:id="0"/>
      <w:bookmarkEnd w:id="1"/>
    </w:p>
    <w:p>
      <w:pPr>
        <w:adjustRightInd w:val="0"/>
        <w:snapToGrid w:val="0"/>
        <w:spacing w:line="360" w:lineRule="auto"/>
        <w:rPr>
          <w:rFonts w:ascii="Times New Roman" w:hAnsi="Times New Roman"/>
          <w:szCs w:val="21"/>
        </w:rPr>
      </w:pPr>
      <w:bookmarkStart w:id="2" w:name="_Toc361750517"/>
      <w:r>
        <w:rPr>
          <w:rFonts w:hint="eastAsia" w:ascii="Times New Roman" w:hAnsi="Times New Roman"/>
          <w:szCs w:val="21"/>
        </w:rPr>
        <w:t>致：</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根据《中华人民共和国政府采购法》等有关法律规定，经报浙江省财政厅采购监管处批准，浙江财经大学</w:t>
      </w:r>
      <w:r>
        <w:rPr>
          <w:rFonts w:hint="eastAsia" w:ascii="Times New Roman" w:hAnsi="Times New Roman"/>
          <w:szCs w:val="21"/>
          <w:lang w:eastAsia="zh-CN"/>
        </w:rPr>
        <w:t>智慧教务综合服务平台二期项目</w:t>
      </w:r>
      <w:r>
        <w:rPr>
          <w:rFonts w:hint="eastAsia" w:ascii="Times New Roman" w:hAnsi="Times New Roman"/>
          <w:szCs w:val="21"/>
        </w:rPr>
        <w:t>采用单一来源采购方式。现特邀请贵公司参与本项目的采购报价。</w:t>
      </w:r>
    </w:p>
    <w:p>
      <w:pPr>
        <w:adjustRightInd w:val="0"/>
        <w:snapToGrid w:val="0"/>
        <w:spacing w:line="360" w:lineRule="auto"/>
        <w:ind w:firstLine="420" w:firstLineChars="200"/>
        <w:rPr>
          <w:rFonts w:hint="eastAsia" w:ascii="Times New Roman" w:hAnsi="Times New Roman" w:eastAsia="宋体"/>
          <w:szCs w:val="21"/>
          <w:lang w:eastAsia="zh-CN"/>
        </w:rPr>
      </w:pPr>
      <w:r>
        <w:rPr>
          <w:rFonts w:ascii="Times New Roman" w:hAnsi="Times New Roman"/>
          <w:szCs w:val="21"/>
        </w:rPr>
        <w:t>1</w:t>
      </w:r>
      <w:r>
        <w:rPr>
          <w:rFonts w:hint="eastAsia" w:ascii="Times New Roman" w:hAnsi="Times New Roman"/>
          <w:szCs w:val="21"/>
        </w:rPr>
        <w:t>、采购编号：</w:t>
      </w:r>
      <w:r>
        <w:rPr>
          <w:rFonts w:hint="eastAsia" w:ascii="Times New Roman" w:hAnsi="Times New Roman"/>
          <w:szCs w:val="21"/>
          <w:lang w:eastAsia="zh-CN"/>
        </w:rPr>
        <w:t>浙财大2020-09</w:t>
      </w:r>
    </w:p>
    <w:p>
      <w:pPr>
        <w:adjustRightInd w:val="0"/>
        <w:snapToGrid w:val="0"/>
        <w:spacing w:line="360" w:lineRule="auto"/>
        <w:ind w:firstLine="420" w:firstLineChars="200"/>
        <w:rPr>
          <w:rFonts w:hint="eastAsia" w:ascii="Times New Roman" w:hAnsi="Times New Roman"/>
          <w:szCs w:val="21"/>
          <w:lang w:eastAsia="zh-CN"/>
        </w:rPr>
      </w:pPr>
      <w:r>
        <w:rPr>
          <w:rFonts w:ascii="Times New Roman" w:hAnsi="Times New Roman"/>
          <w:szCs w:val="21"/>
        </w:rPr>
        <w:t>2</w:t>
      </w:r>
      <w:r>
        <w:rPr>
          <w:rFonts w:hint="eastAsia" w:ascii="Times New Roman" w:hAnsi="Times New Roman"/>
          <w:szCs w:val="21"/>
        </w:rPr>
        <w:t>、项目名称：浙江财经大学</w:t>
      </w:r>
      <w:r>
        <w:rPr>
          <w:rFonts w:hint="eastAsia" w:ascii="Times New Roman" w:hAnsi="Times New Roman"/>
          <w:szCs w:val="21"/>
          <w:lang w:eastAsia="zh-CN"/>
        </w:rPr>
        <w:t>智慧教务综合服务平台二期项目</w:t>
      </w:r>
    </w:p>
    <w:p>
      <w:pPr>
        <w:adjustRightInd w:val="0"/>
        <w:snapToGrid w:val="0"/>
        <w:spacing w:line="360" w:lineRule="auto"/>
        <w:ind w:firstLine="420" w:firstLineChars="200"/>
        <w:rPr>
          <w:rFonts w:hint="default" w:ascii="Times New Roman" w:hAnsi="Times New Roman"/>
          <w:szCs w:val="21"/>
          <w:lang w:val="en-US" w:eastAsia="zh-CN"/>
        </w:rPr>
      </w:pPr>
      <w:r>
        <w:rPr>
          <w:rFonts w:hint="eastAsia" w:ascii="Times New Roman" w:hAnsi="Times New Roman"/>
          <w:szCs w:val="21"/>
          <w:lang w:val="en-US" w:eastAsia="zh-CN"/>
        </w:rPr>
        <w:t>3、确认书号：[2020]28970号</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lang w:val="en-US" w:eastAsia="zh-CN"/>
        </w:rPr>
        <w:t>4</w:t>
      </w:r>
      <w:r>
        <w:rPr>
          <w:rFonts w:hint="eastAsia" w:ascii="Times New Roman" w:hAnsi="Times New Roman"/>
          <w:szCs w:val="21"/>
        </w:rPr>
        <w:t>、采购内容、规格、型号、数量：</w:t>
      </w:r>
    </w:p>
    <w:tbl>
      <w:tblPr>
        <w:tblStyle w:val="19"/>
        <w:tblW w:w="7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1794"/>
        <w:gridCol w:w="162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909" w:type="dxa"/>
            <w:vAlign w:val="bottom"/>
          </w:tcPr>
          <w:p>
            <w:pPr>
              <w:adjustRightInd w:val="0"/>
              <w:snapToGrid w:val="0"/>
              <w:spacing w:line="360" w:lineRule="auto"/>
              <w:jc w:val="center"/>
              <w:rPr>
                <w:rFonts w:ascii="宋体" w:hAnsi="宋体" w:cs="Arial"/>
                <w:b/>
                <w:szCs w:val="21"/>
              </w:rPr>
            </w:pPr>
            <w:r>
              <w:rPr>
                <w:rFonts w:hint="eastAsia" w:ascii="宋体" w:hAnsi="宋体" w:cs="Arial"/>
                <w:b/>
                <w:szCs w:val="21"/>
              </w:rPr>
              <w:t>采购内容</w:t>
            </w:r>
          </w:p>
        </w:tc>
        <w:tc>
          <w:tcPr>
            <w:tcW w:w="1794" w:type="dxa"/>
            <w:vAlign w:val="bottom"/>
          </w:tcPr>
          <w:p>
            <w:pPr>
              <w:adjustRightInd w:val="0"/>
              <w:snapToGrid w:val="0"/>
              <w:spacing w:line="360" w:lineRule="auto"/>
              <w:jc w:val="center"/>
              <w:rPr>
                <w:rFonts w:hint="eastAsia" w:ascii="宋体" w:hAnsi="宋体" w:eastAsia="宋体" w:cs="Arial"/>
                <w:b/>
                <w:szCs w:val="21"/>
                <w:lang w:eastAsia="zh-CN"/>
              </w:rPr>
            </w:pPr>
            <w:r>
              <w:rPr>
                <w:rFonts w:hint="eastAsia" w:ascii="宋体" w:hAnsi="宋体" w:cs="Arial"/>
                <w:b/>
                <w:szCs w:val="21"/>
                <w:lang w:val="en-US" w:eastAsia="zh-CN"/>
              </w:rPr>
              <w:t>参数</w:t>
            </w:r>
          </w:p>
        </w:tc>
        <w:tc>
          <w:tcPr>
            <w:tcW w:w="1625" w:type="dxa"/>
            <w:vAlign w:val="bottom"/>
          </w:tcPr>
          <w:p>
            <w:pPr>
              <w:adjustRightInd w:val="0"/>
              <w:snapToGrid w:val="0"/>
              <w:spacing w:line="360" w:lineRule="auto"/>
              <w:jc w:val="center"/>
              <w:rPr>
                <w:rFonts w:ascii="宋体" w:hAnsi="宋体" w:cs="Arial"/>
                <w:b/>
                <w:szCs w:val="21"/>
              </w:rPr>
            </w:pPr>
            <w:r>
              <w:rPr>
                <w:rFonts w:hint="eastAsia" w:ascii="宋体" w:hAnsi="宋体" w:cs="Arial"/>
                <w:b/>
                <w:szCs w:val="21"/>
              </w:rPr>
              <w:t>预算（万</w:t>
            </w:r>
            <w:r>
              <w:rPr>
                <w:rFonts w:ascii="宋体" w:hAnsi="宋体" w:cs="Arial"/>
                <w:b/>
                <w:szCs w:val="21"/>
              </w:rPr>
              <w:t>元</w:t>
            </w:r>
            <w:r>
              <w:rPr>
                <w:rFonts w:hint="eastAsia" w:ascii="宋体" w:hAnsi="宋体" w:cs="Arial"/>
                <w:b/>
                <w:szCs w:val="21"/>
              </w:rPr>
              <w:t>）</w:t>
            </w:r>
          </w:p>
        </w:tc>
        <w:tc>
          <w:tcPr>
            <w:tcW w:w="1472" w:type="dxa"/>
            <w:vAlign w:val="bottom"/>
          </w:tcPr>
          <w:p>
            <w:pPr>
              <w:adjustRightInd w:val="0"/>
              <w:snapToGrid w:val="0"/>
              <w:spacing w:line="360" w:lineRule="auto"/>
              <w:jc w:val="center"/>
              <w:rPr>
                <w:rFonts w:ascii="宋体" w:hAnsi="宋体" w:cs="Arial"/>
                <w:b/>
                <w:szCs w:val="21"/>
              </w:rPr>
            </w:pPr>
            <w:r>
              <w:rPr>
                <w:rFonts w:hint="eastAsia" w:ascii="宋体" w:hAnsi="宋体" w:cs="Arial"/>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909" w:type="dxa"/>
            <w:vAlign w:val="bottom"/>
          </w:tcPr>
          <w:p>
            <w:pPr>
              <w:adjustRightInd w:val="0"/>
              <w:snapToGrid w:val="0"/>
              <w:spacing w:line="360" w:lineRule="auto"/>
              <w:jc w:val="center"/>
              <w:rPr>
                <w:rFonts w:ascii="宋体" w:hAnsi="宋体" w:cs="Arial"/>
                <w:szCs w:val="21"/>
              </w:rPr>
            </w:pPr>
            <w:r>
              <w:rPr>
                <w:rFonts w:hint="eastAsia" w:ascii="Times New Roman" w:hAnsi="Times New Roman"/>
                <w:szCs w:val="21"/>
                <w:lang w:eastAsia="zh-CN"/>
              </w:rPr>
              <w:t>智慧教务综合服务平台二期</w:t>
            </w:r>
          </w:p>
        </w:tc>
        <w:tc>
          <w:tcPr>
            <w:tcW w:w="1794" w:type="dxa"/>
            <w:vAlign w:val="bottom"/>
          </w:tcPr>
          <w:p>
            <w:pPr>
              <w:adjustRightInd w:val="0"/>
              <w:snapToGrid w:val="0"/>
              <w:spacing w:line="360" w:lineRule="auto"/>
              <w:jc w:val="center"/>
              <w:rPr>
                <w:rFonts w:ascii="宋体" w:hAnsi="宋体" w:cs="Arial"/>
                <w:szCs w:val="21"/>
              </w:rPr>
            </w:pPr>
            <w:r>
              <w:rPr>
                <w:rFonts w:hint="eastAsia" w:ascii="宋体" w:hAnsi="宋体" w:cs="Arial"/>
                <w:szCs w:val="21"/>
              </w:rPr>
              <w:t>详见需求</w:t>
            </w:r>
          </w:p>
        </w:tc>
        <w:tc>
          <w:tcPr>
            <w:tcW w:w="1625" w:type="dxa"/>
            <w:vAlign w:val="bottom"/>
          </w:tcPr>
          <w:p>
            <w:pPr>
              <w:adjustRightInd w:val="0"/>
              <w:snapToGrid w:val="0"/>
              <w:spacing w:line="360" w:lineRule="auto"/>
              <w:jc w:val="center"/>
              <w:rPr>
                <w:rFonts w:hint="default" w:ascii="宋体" w:hAnsi="宋体" w:eastAsia="宋体" w:cs="Arial"/>
                <w:szCs w:val="21"/>
                <w:lang w:val="en-US" w:eastAsia="zh-CN"/>
              </w:rPr>
            </w:pPr>
            <w:r>
              <w:rPr>
                <w:rFonts w:hint="eastAsia"/>
                <w:sz w:val="24"/>
                <w:lang w:val="en-US" w:eastAsia="zh-CN"/>
              </w:rPr>
              <w:t>57.00</w:t>
            </w:r>
          </w:p>
        </w:tc>
        <w:tc>
          <w:tcPr>
            <w:tcW w:w="1472" w:type="dxa"/>
            <w:vAlign w:val="center"/>
          </w:tcPr>
          <w:p>
            <w:pPr>
              <w:adjustRightInd w:val="0"/>
              <w:snapToGrid w:val="0"/>
              <w:spacing w:line="360" w:lineRule="auto"/>
              <w:jc w:val="center"/>
              <w:rPr>
                <w:rFonts w:ascii="宋体" w:hAnsi="宋体" w:cs="Arial"/>
                <w:szCs w:val="21"/>
              </w:rPr>
            </w:pPr>
          </w:p>
        </w:tc>
      </w:tr>
    </w:tbl>
    <w:p>
      <w:pPr>
        <w:adjustRightInd w:val="0"/>
        <w:snapToGrid w:val="0"/>
        <w:spacing w:before="120" w:beforeLines="50" w:line="360" w:lineRule="auto"/>
        <w:ind w:firstLine="525" w:firstLineChars="250"/>
        <w:rPr>
          <w:rFonts w:ascii="Times New Roman" w:hAnsi="Times New Roman"/>
          <w:szCs w:val="21"/>
        </w:rPr>
      </w:pPr>
      <w:r>
        <w:rPr>
          <w:rFonts w:hint="eastAsia" w:ascii="宋体" w:hAnsi="宋体" w:cs="Arial"/>
          <w:szCs w:val="21"/>
        </w:rPr>
        <w:t>详见</w:t>
      </w:r>
      <w:r>
        <w:rPr>
          <w:rFonts w:hint="eastAsia" w:ascii="宋体" w:hAnsi="宋体"/>
          <w:szCs w:val="21"/>
        </w:rPr>
        <w:t>采购</w:t>
      </w:r>
      <w:r>
        <w:rPr>
          <w:rFonts w:hint="eastAsia" w:ascii="宋体" w:hAnsi="宋体" w:cs="Arial"/>
          <w:szCs w:val="21"/>
        </w:rPr>
        <w:t>文件第三章</w:t>
      </w:r>
      <w:r>
        <w:rPr>
          <w:rFonts w:ascii="宋体" w:hAnsi="宋体" w:cs="Arial"/>
          <w:szCs w:val="21"/>
        </w:rPr>
        <w:t xml:space="preserve"> </w:t>
      </w:r>
      <w:r>
        <w:rPr>
          <w:rFonts w:hint="eastAsia" w:ascii="宋体" w:hAnsi="宋体" w:cs="Arial"/>
          <w:szCs w:val="21"/>
        </w:rPr>
        <w:t>“采购要求及商务条款”。</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lang w:val="en-US" w:eastAsia="zh-CN"/>
        </w:rPr>
        <w:t>5</w:t>
      </w:r>
      <w:r>
        <w:rPr>
          <w:rFonts w:hint="eastAsia" w:ascii="Times New Roman" w:hAnsi="Times New Roman"/>
          <w:szCs w:val="21"/>
        </w:rPr>
        <w:t>、合格的供应商应具备的资格要求：</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符合《中华人民共和国政府采购法》第二十二条规定的资格条件；</w:t>
      </w:r>
    </w:p>
    <w:p>
      <w:pPr>
        <w:adjustRightInd w:val="0"/>
        <w:snapToGrid w:val="0"/>
        <w:spacing w:line="360" w:lineRule="auto"/>
        <w:ind w:firstLine="420" w:firstLineChars="200"/>
        <w:rPr>
          <w:rFonts w:ascii="Times New Roman" w:hAnsi="Times New Roman"/>
          <w:szCs w:val="21"/>
          <w:shd w:val="clear" w:color="FFFFFF" w:fill="D9D9D9"/>
        </w:rPr>
      </w:pPr>
      <w:r>
        <w:rPr>
          <w:rFonts w:hint="eastAsia" w:ascii="Times New Roman" w:hAnsi="Times New Roman"/>
          <w:szCs w:val="21"/>
        </w:rPr>
        <w:t>具有相关资质。</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lang w:val="en-US" w:eastAsia="zh-CN"/>
        </w:rPr>
        <w:t>6</w:t>
      </w:r>
      <w:r>
        <w:rPr>
          <w:rFonts w:hint="eastAsia" w:ascii="Times New Roman" w:hAnsi="Times New Roman"/>
          <w:szCs w:val="21"/>
        </w:rPr>
        <w:t>、采购方式：单一来源采购。</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lang w:val="en-US" w:eastAsia="zh-CN"/>
        </w:rPr>
        <w:t>7</w:t>
      </w:r>
      <w:r>
        <w:rPr>
          <w:rFonts w:hint="eastAsia" w:ascii="Times New Roman" w:hAnsi="Times New Roman"/>
          <w:szCs w:val="21"/>
        </w:rPr>
        <w:t>、领取采购文件时必须提供：</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）法人代表授权委托书（或介绍信）及身份证；</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）营业执照（复印件加盖公章）。</w:t>
      </w:r>
    </w:p>
    <w:p>
      <w:pPr>
        <w:adjustRightInd w:val="0"/>
        <w:snapToGrid w:val="0"/>
        <w:spacing w:line="360" w:lineRule="auto"/>
        <w:ind w:firstLine="422" w:firstLineChars="200"/>
        <w:rPr>
          <w:rFonts w:ascii="Times New Roman" w:hAnsi="Times New Roman"/>
          <w:b/>
          <w:szCs w:val="21"/>
        </w:rPr>
      </w:pPr>
      <w:r>
        <w:rPr>
          <w:rFonts w:hint="eastAsia" w:ascii="Times New Roman" w:hAnsi="Times New Roman"/>
          <w:b/>
          <w:szCs w:val="21"/>
        </w:rPr>
        <w:t>供应商报名后</w:t>
      </w:r>
      <w:r>
        <w:rPr>
          <w:rFonts w:ascii="Times New Roman" w:hAnsi="Times New Roman"/>
          <w:b/>
          <w:szCs w:val="21"/>
        </w:rPr>
        <w:t>可到采购人处领取</w:t>
      </w:r>
      <w:r>
        <w:rPr>
          <w:rFonts w:hint="eastAsia" w:ascii="Times New Roman" w:hAnsi="Times New Roman"/>
          <w:b/>
          <w:szCs w:val="21"/>
        </w:rPr>
        <w:t>采购</w:t>
      </w:r>
      <w:r>
        <w:rPr>
          <w:rFonts w:ascii="Times New Roman" w:hAnsi="Times New Roman"/>
          <w:b/>
          <w:szCs w:val="21"/>
        </w:rPr>
        <w:t>文件。</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lang w:val="en-US" w:eastAsia="zh-CN"/>
        </w:rPr>
        <w:t>8</w:t>
      </w:r>
      <w:r>
        <w:rPr>
          <w:rFonts w:hint="eastAsia" w:ascii="Times New Roman" w:hAnsi="Times New Roman"/>
          <w:szCs w:val="21"/>
        </w:rPr>
        <w:t>、递交采购响应文件截止时间：</w:t>
      </w:r>
      <w:r>
        <w:rPr>
          <w:rFonts w:ascii="Times New Roman" w:hAnsi="Times New Roman"/>
          <w:bCs/>
          <w:szCs w:val="21"/>
          <w:u w:val="single"/>
        </w:rPr>
        <w:t>2020</w:t>
      </w:r>
      <w:r>
        <w:rPr>
          <w:rFonts w:hint="eastAsia" w:ascii="Times New Roman" w:hAnsi="Times New Roman"/>
          <w:bCs/>
          <w:szCs w:val="21"/>
        </w:rPr>
        <w:t>年</w:t>
      </w:r>
      <w:r>
        <w:rPr>
          <w:rFonts w:ascii="Times New Roman" w:hAnsi="Times New Roman"/>
          <w:bCs/>
          <w:szCs w:val="21"/>
          <w:u w:val="single"/>
        </w:rPr>
        <w:t xml:space="preserve"> </w:t>
      </w:r>
      <w:r>
        <w:rPr>
          <w:rFonts w:hint="eastAsia" w:ascii="Times New Roman" w:hAnsi="Times New Roman"/>
          <w:bCs/>
          <w:szCs w:val="21"/>
          <w:u w:val="single"/>
          <w:lang w:val="en-US" w:eastAsia="zh-CN"/>
        </w:rPr>
        <w:t xml:space="preserve">7 </w:t>
      </w:r>
      <w:r>
        <w:rPr>
          <w:rFonts w:ascii="Times New Roman" w:hAnsi="Times New Roman"/>
          <w:bCs/>
          <w:szCs w:val="21"/>
          <w:u w:val="single"/>
        </w:rPr>
        <w:t xml:space="preserve"> </w:t>
      </w:r>
      <w:r>
        <w:rPr>
          <w:rFonts w:hint="eastAsia" w:ascii="Times New Roman" w:hAnsi="Times New Roman"/>
          <w:bCs/>
          <w:szCs w:val="21"/>
        </w:rPr>
        <w:t>月</w:t>
      </w:r>
      <w:r>
        <w:rPr>
          <w:rFonts w:ascii="Times New Roman" w:hAnsi="Times New Roman"/>
          <w:bCs/>
          <w:szCs w:val="21"/>
          <w:u w:val="single"/>
        </w:rPr>
        <w:t xml:space="preserve"> </w:t>
      </w:r>
      <w:r>
        <w:rPr>
          <w:rFonts w:hint="eastAsia" w:ascii="Times New Roman" w:hAnsi="Times New Roman"/>
          <w:bCs/>
          <w:szCs w:val="21"/>
          <w:u w:val="single"/>
          <w:lang w:val="en-US" w:eastAsia="zh-CN"/>
        </w:rPr>
        <w:t>14</w:t>
      </w:r>
      <w:r>
        <w:rPr>
          <w:rFonts w:ascii="Times New Roman" w:hAnsi="Times New Roman"/>
          <w:bCs/>
          <w:szCs w:val="21"/>
          <w:u w:val="single"/>
        </w:rPr>
        <w:t xml:space="preserve"> </w:t>
      </w:r>
      <w:r>
        <w:rPr>
          <w:rFonts w:hint="eastAsia" w:ascii="Times New Roman" w:hAnsi="Times New Roman"/>
          <w:bCs/>
          <w:szCs w:val="21"/>
        </w:rPr>
        <w:t>日</w:t>
      </w:r>
      <w:r>
        <w:rPr>
          <w:rFonts w:ascii="Times New Roman" w:hAnsi="Times New Roman"/>
          <w:bCs/>
          <w:szCs w:val="21"/>
          <w:u w:val="single"/>
        </w:rPr>
        <w:t xml:space="preserve"> </w:t>
      </w:r>
      <w:r>
        <w:rPr>
          <w:rFonts w:hint="eastAsia" w:ascii="Times New Roman" w:hAnsi="Times New Roman"/>
          <w:bCs/>
          <w:szCs w:val="21"/>
          <w:u w:val="single"/>
          <w:lang w:val="en-US" w:eastAsia="zh-CN"/>
        </w:rPr>
        <w:t>14</w:t>
      </w:r>
      <w:r>
        <w:rPr>
          <w:rFonts w:ascii="Times New Roman" w:hAnsi="Times New Roman"/>
          <w:bCs/>
          <w:szCs w:val="21"/>
          <w:u w:val="single"/>
        </w:rPr>
        <w:t xml:space="preserve"> </w:t>
      </w:r>
      <w:r>
        <w:rPr>
          <w:rFonts w:hint="eastAsia" w:ascii="Times New Roman" w:hAnsi="Times New Roman"/>
          <w:bCs/>
          <w:szCs w:val="21"/>
        </w:rPr>
        <w:t>时</w:t>
      </w:r>
      <w:r>
        <w:rPr>
          <w:rFonts w:ascii="Times New Roman" w:hAnsi="Times New Roman"/>
          <w:bCs/>
          <w:szCs w:val="21"/>
          <w:u w:val="single"/>
        </w:rPr>
        <w:t xml:space="preserve"> 00 </w:t>
      </w:r>
      <w:r>
        <w:rPr>
          <w:rFonts w:hint="eastAsia" w:ascii="Times New Roman" w:hAnsi="Times New Roman"/>
          <w:bCs/>
          <w:szCs w:val="21"/>
        </w:rPr>
        <w:t>分</w:t>
      </w:r>
      <w:r>
        <w:rPr>
          <w:rFonts w:hint="eastAsia" w:ascii="Times New Roman" w:hAnsi="Times New Roman"/>
          <w:szCs w:val="21"/>
        </w:rPr>
        <w:t>；</w:t>
      </w:r>
    </w:p>
    <w:p>
      <w:pPr>
        <w:adjustRightInd w:val="0"/>
        <w:snapToGrid w:val="0"/>
        <w:spacing w:line="360" w:lineRule="auto"/>
        <w:ind w:firstLine="735" w:firstLineChars="350"/>
        <w:rPr>
          <w:rFonts w:ascii="Times New Roman" w:hAnsi="Times New Roman"/>
          <w:szCs w:val="21"/>
        </w:rPr>
      </w:pPr>
      <w:r>
        <w:rPr>
          <w:rFonts w:hint="eastAsia" w:ascii="Times New Roman" w:hAnsi="Times New Roman"/>
          <w:szCs w:val="21"/>
        </w:rPr>
        <w:t>递交地点：</w:t>
      </w:r>
      <w:r>
        <w:rPr>
          <w:rFonts w:hint="eastAsia" w:ascii="宋体" w:hAnsi="宋体" w:cs="Arial"/>
          <w:szCs w:val="21"/>
        </w:rPr>
        <w:t>浙江财经大学行政楼204（东）会议室（杭州下沙高教园区学源街18号）</w:t>
      </w:r>
      <w:r>
        <w:rPr>
          <w:rFonts w:hint="eastAsia" w:ascii="Times New Roman" w:hAnsi="Times New Roman"/>
          <w:szCs w:val="21"/>
        </w:rPr>
        <w:t>。</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lang w:val="en-US" w:eastAsia="zh-CN"/>
        </w:rPr>
        <w:t>9</w:t>
      </w:r>
      <w:r>
        <w:rPr>
          <w:rFonts w:hint="eastAsia" w:ascii="Times New Roman" w:hAnsi="Times New Roman"/>
          <w:szCs w:val="21"/>
        </w:rPr>
        <w:t>、谈判时间与地点：</w:t>
      </w:r>
      <w:r>
        <w:rPr>
          <w:rFonts w:ascii="Times New Roman" w:hAnsi="Times New Roman"/>
          <w:bCs/>
          <w:szCs w:val="21"/>
          <w:u w:val="single"/>
        </w:rPr>
        <w:t>2020</w:t>
      </w:r>
      <w:r>
        <w:rPr>
          <w:rFonts w:hint="eastAsia" w:ascii="Times New Roman" w:hAnsi="Times New Roman"/>
          <w:bCs/>
          <w:szCs w:val="21"/>
        </w:rPr>
        <w:t>年</w:t>
      </w:r>
      <w:r>
        <w:rPr>
          <w:rFonts w:ascii="Times New Roman" w:hAnsi="Times New Roman"/>
          <w:bCs/>
          <w:szCs w:val="21"/>
          <w:u w:val="single"/>
        </w:rPr>
        <w:t xml:space="preserve"> </w:t>
      </w:r>
      <w:r>
        <w:rPr>
          <w:rFonts w:hint="eastAsia" w:ascii="Times New Roman" w:hAnsi="Times New Roman"/>
          <w:bCs/>
          <w:szCs w:val="21"/>
          <w:u w:val="single"/>
          <w:lang w:val="en-US" w:eastAsia="zh-CN"/>
        </w:rPr>
        <w:t>7</w:t>
      </w:r>
      <w:r>
        <w:rPr>
          <w:rFonts w:ascii="Times New Roman" w:hAnsi="Times New Roman"/>
          <w:bCs/>
          <w:szCs w:val="21"/>
          <w:u w:val="single"/>
        </w:rPr>
        <w:t xml:space="preserve"> </w:t>
      </w:r>
      <w:r>
        <w:rPr>
          <w:rFonts w:hint="eastAsia" w:ascii="Times New Roman" w:hAnsi="Times New Roman"/>
          <w:bCs/>
          <w:szCs w:val="21"/>
        </w:rPr>
        <w:t>月</w:t>
      </w:r>
      <w:r>
        <w:rPr>
          <w:rFonts w:ascii="Times New Roman" w:hAnsi="Times New Roman"/>
          <w:bCs/>
          <w:szCs w:val="21"/>
          <w:u w:val="single"/>
        </w:rPr>
        <w:t xml:space="preserve"> </w:t>
      </w:r>
      <w:r>
        <w:rPr>
          <w:rFonts w:hint="eastAsia" w:ascii="Times New Roman" w:hAnsi="Times New Roman"/>
          <w:bCs/>
          <w:szCs w:val="21"/>
          <w:u w:val="single"/>
          <w:lang w:val="en-US" w:eastAsia="zh-CN"/>
        </w:rPr>
        <w:t>14</w:t>
      </w:r>
      <w:bookmarkStart w:id="49" w:name="_GoBack"/>
      <w:bookmarkEnd w:id="49"/>
      <w:r>
        <w:rPr>
          <w:rFonts w:ascii="Times New Roman" w:hAnsi="Times New Roman"/>
          <w:bCs/>
          <w:szCs w:val="21"/>
          <w:u w:val="single"/>
        </w:rPr>
        <w:t xml:space="preserve"> </w:t>
      </w:r>
      <w:r>
        <w:rPr>
          <w:rFonts w:hint="eastAsia" w:ascii="Times New Roman" w:hAnsi="Times New Roman"/>
          <w:bCs/>
          <w:szCs w:val="21"/>
        </w:rPr>
        <w:t>日</w:t>
      </w:r>
      <w:r>
        <w:rPr>
          <w:rFonts w:ascii="Times New Roman" w:hAnsi="Times New Roman"/>
          <w:bCs/>
          <w:szCs w:val="21"/>
          <w:u w:val="single"/>
        </w:rPr>
        <w:t xml:space="preserve"> </w:t>
      </w:r>
      <w:r>
        <w:rPr>
          <w:rFonts w:hint="eastAsia" w:ascii="Times New Roman" w:hAnsi="Times New Roman"/>
          <w:bCs/>
          <w:szCs w:val="21"/>
          <w:u w:val="single"/>
          <w:lang w:val="en-US" w:eastAsia="zh-CN"/>
        </w:rPr>
        <w:t>14</w:t>
      </w:r>
      <w:r>
        <w:rPr>
          <w:rFonts w:ascii="Times New Roman" w:hAnsi="Times New Roman"/>
          <w:bCs/>
          <w:szCs w:val="21"/>
          <w:u w:val="single"/>
        </w:rPr>
        <w:t xml:space="preserve"> </w:t>
      </w:r>
      <w:r>
        <w:rPr>
          <w:rFonts w:hint="eastAsia" w:ascii="Times New Roman" w:hAnsi="Times New Roman"/>
          <w:bCs/>
          <w:szCs w:val="21"/>
        </w:rPr>
        <w:t>时</w:t>
      </w:r>
      <w:r>
        <w:rPr>
          <w:rFonts w:ascii="Times New Roman" w:hAnsi="Times New Roman"/>
          <w:bCs/>
          <w:szCs w:val="21"/>
          <w:u w:val="single"/>
        </w:rPr>
        <w:t xml:space="preserve"> 00 </w:t>
      </w:r>
      <w:r>
        <w:rPr>
          <w:rFonts w:hint="eastAsia" w:ascii="Times New Roman" w:hAnsi="Times New Roman"/>
          <w:bCs/>
          <w:szCs w:val="21"/>
        </w:rPr>
        <w:t>分</w:t>
      </w:r>
      <w:r>
        <w:rPr>
          <w:rFonts w:hint="eastAsia" w:ascii="Times New Roman" w:hAnsi="Times New Roman"/>
          <w:szCs w:val="21"/>
        </w:rPr>
        <w:t>；</w:t>
      </w:r>
    </w:p>
    <w:p>
      <w:pPr>
        <w:adjustRightInd w:val="0"/>
        <w:snapToGrid w:val="0"/>
        <w:spacing w:line="360" w:lineRule="auto"/>
        <w:ind w:firstLine="735" w:firstLineChars="350"/>
        <w:rPr>
          <w:rFonts w:ascii="Times New Roman" w:hAnsi="Times New Roman"/>
          <w:szCs w:val="21"/>
        </w:rPr>
      </w:pPr>
      <w:r>
        <w:rPr>
          <w:rFonts w:hint="eastAsia" w:ascii="Times New Roman" w:hAnsi="Times New Roman"/>
          <w:szCs w:val="21"/>
        </w:rPr>
        <w:t>谈判地点：</w:t>
      </w:r>
      <w:r>
        <w:rPr>
          <w:rFonts w:hint="eastAsia" w:ascii="宋体" w:hAnsi="宋体" w:cs="Arial"/>
          <w:szCs w:val="21"/>
        </w:rPr>
        <w:t>浙江财经大学行政楼204（东）会议室（杭州下沙高教园区学源街18号）</w:t>
      </w:r>
      <w:r>
        <w:rPr>
          <w:rFonts w:hint="eastAsia" w:ascii="Times New Roman" w:hAnsi="Times New Roman"/>
          <w:szCs w:val="21"/>
        </w:rPr>
        <w:t>。</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lang w:val="en-US" w:eastAsia="zh-CN"/>
        </w:rPr>
        <w:t>10</w:t>
      </w:r>
      <w:r>
        <w:rPr>
          <w:rFonts w:hint="eastAsia" w:ascii="Times New Roman" w:hAnsi="Times New Roman"/>
          <w:szCs w:val="21"/>
        </w:rPr>
        <w:t>、联系方式：</w:t>
      </w:r>
    </w:p>
    <w:p>
      <w:pPr>
        <w:snapToGrid w:val="0"/>
        <w:spacing w:line="360" w:lineRule="auto"/>
        <w:ind w:firstLine="420" w:firstLineChars="200"/>
        <w:rPr>
          <w:rFonts w:ascii="Times New Roman" w:hAnsi="Times New Roman"/>
          <w:szCs w:val="21"/>
        </w:rPr>
      </w:pPr>
      <w:r>
        <w:rPr>
          <w:rFonts w:hint="eastAsia" w:ascii="Times New Roman" w:hAnsi="Times New Roman"/>
          <w:szCs w:val="21"/>
        </w:rPr>
        <w:t>采购人名称：浙江财经大学</w:t>
      </w:r>
    </w:p>
    <w:p>
      <w:pPr>
        <w:snapToGrid w:val="0"/>
        <w:spacing w:line="360" w:lineRule="auto"/>
        <w:ind w:firstLine="420" w:firstLineChars="200"/>
        <w:rPr>
          <w:rFonts w:ascii="Times New Roman" w:hAnsi="Times New Roman"/>
          <w:szCs w:val="21"/>
        </w:rPr>
      </w:pPr>
      <w:r>
        <w:rPr>
          <w:rFonts w:hint="eastAsia" w:ascii="Times New Roman" w:hAnsi="Times New Roman"/>
          <w:szCs w:val="21"/>
        </w:rPr>
        <w:t>地点：浙江省杭州市下沙高教园区学源街</w:t>
      </w:r>
      <w:r>
        <w:rPr>
          <w:rFonts w:ascii="Times New Roman" w:hAnsi="Times New Roman"/>
          <w:szCs w:val="21"/>
        </w:rPr>
        <w:t>18</w:t>
      </w:r>
      <w:r>
        <w:rPr>
          <w:rFonts w:hint="eastAsia" w:ascii="Times New Roman" w:hAnsi="Times New Roman"/>
          <w:szCs w:val="21"/>
        </w:rPr>
        <w:t>号</w:t>
      </w:r>
    </w:p>
    <w:p>
      <w:pPr>
        <w:snapToGrid w:val="0"/>
        <w:spacing w:line="360" w:lineRule="auto"/>
        <w:ind w:firstLine="420" w:firstLineChars="200"/>
        <w:rPr>
          <w:rFonts w:ascii="Times New Roman" w:hAnsi="Times New Roman"/>
          <w:szCs w:val="21"/>
        </w:rPr>
      </w:pPr>
      <w:r>
        <w:rPr>
          <w:rFonts w:hint="eastAsia" w:ascii="Times New Roman" w:hAnsi="Times New Roman"/>
          <w:szCs w:val="21"/>
        </w:rPr>
        <w:t>招标联系人：汪老师    联系电话：</w:t>
      </w:r>
      <w:r>
        <w:rPr>
          <w:rFonts w:ascii="Times New Roman" w:hAnsi="Times New Roman"/>
          <w:szCs w:val="21"/>
        </w:rPr>
        <w:t>0571-86731939</w:t>
      </w:r>
    </w:p>
    <w:p>
      <w:pPr>
        <w:snapToGrid w:val="0"/>
        <w:spacing w:line="360" w:lineRule="auto"/>
        <w:ind w:firstLine="420" w:firstLineChars="200"/>
        <w:rPr>
          <w:rFonts w:ascii="宋体" w:hAnsi="宋体" w:cs="Arial"/>
          <w:szCs w:val="21"/>
        </w:rPr>
      </w:pPr>
      <w:r>
        <w:rPr>
          <w:rFonts w:hint="eastAsia" w:ascii="宋体" w:hAnsi="宋体" w:cs="Arial"/>
          <w:szCs w:val="21"/>
        </w:rPr>
        <w:t>项目联系人：</w:t>
      </w:r>
      <w:r>
        <w:rPr>
          <w:rFonts w:hint="eastAsia" w:ascii="宋体" w:hAnsi="宋体" w:cs="Arial"/>
          <w:szCs w:val="21"/>
          <w:lang w:val="en-US" w:eastAsia="zh-CN"/>
        </w:rPr>
        <w:t>吴</w:t>
      </w:r>
      <w:r>
        <w:rPr>
          <w:rFonts w:hint="eastAsia" w:ascii="宋体" w:hAnsi="宋体" w:cs="Arial"/>
          <w:szCs w:val="21"/>
        </w:rPr>
        <w:t>老师    联系电话：</w:t>
      </w:r>
      <w:r>
        <w:rPr>
          <w:rFonts w:hint="eastAsia" w:ascii="Times New Roman" w:hAnsi="Times New Roman"/>
          <w:szCs w:val="21"/>
          <w:lang w:val="en-US" w:eastAsia="zh-CN"/>
        </w:rPr>
        <w:t>0571-</w:t>
      </w:r>
      <w:r>
        <w:rPr>
          <w:rFonts w:hint="eastAsia" w:ascii="Times New Roman" w:hAnsi="Times New Roman"/>
          <w:szCs w:val="21"/>
        </w:rPr>
        <w:t>87557068</w:t>
      </w:r>
    </w:p>
    <w:p>
      <w:pPr>
        <w:adjustRightInd w:val="0"/>
        <w:snapToGrid w:val="0"/>
        <w:spacing w:line="360" w:lineRule="auto"/>
        <w:ind w:firstLine="7035" w:firstLineChars="3350"/>
        <w:rPr>
          <w:rFonts w:ascii="Times New Roman" w:hAnsi="Times New Roman"/>
          <w:szCs w:val="21"/>
        </w:rPr>
      </w:pPr>
      <w:r>
        <w:rPr>
          <w:rFonts w:hint="eastAsia" w:ascii="Times New Roman" w:hAnsi="Times New Roman"/>
          <w:szCs w:val="21"/>
        </w:rPr>
        <w:t>浙江财经大学</w:t>
      </w:r>
    </w:p>
    <w:p>
      <w:pPr>
        <w:adjustRightInd w:val="0"/>
        <w:snapToGrid w:val="0"/>
        <w:spacing w:line="360" w:lineRule="auto"/>
        <w:ind w:firstLine="7140" w:firstLineChars="3400"/>
        <w:rPr>
          <w:rFonts w:ascii="Times New Roman" w:hAnsi="Times New Roman"/>
          <w:szCs w:val="21"/>
        </w:rPr>
      </w:pPr>
      <w:r>
        <w:rPr>
          <w:rFonts w:hint="eastAsia" w:ascii="Times New Roman" w:hAnsi="Times New Roman"/>
          <w:szCs w:val="21"/>
        </w:rPr>
        <w:t>2020年</w:t>
      </w:r>
      <w:r>
        <w:rPr>
          <w:rFonts w:hint="eastAsia" w:ascii="Times New Roman" w:hAnsi="Times New Roman"/>
          <w:szCs w:val="21"/>
          <w:lang w:val="en-US" w:eastAsia="zh-CN"/>
        </w:rPr>
        <w:t>7</w:t>
      </w:r>
      <w:r>
        <w:rPr>
          <w:rFonts w:hint="eastAsia" w:ascii="Times New Roman" w:hAnsi="Times New Roman"/>
          <w:szCs w:val="21"/>
        </w:rPr>
        <w:t>月</w:t>
      </w:r>
    </w:p>
    <w:p>
      <w:pPr>
        <w:pStyle w:val="2"/>
        <w:spacing w:before="240" w:after="240"/>
      </w:pPr>
      <w:bookmarkStart w:id="3" w:name="_Toc499729039"/>
      <w:r>
        <w:rPr>
          <w:sz w:val="21"/>
          <w:szCs w:val="21"/>
        </w:rPr>
        <w:br w:type="page"/>
      </w:r>
      <w:r>
        <w:rPr>
          <w:rFonts w:hint="eastAsia"/>
        </w:rPr>
        <w:t>第二章 供应商须知</w:t>
      </w:r>
      <w:bookmarkEnd w:id="3"/>
    </w:p>
    <w:p>
      <w:pPr>
        <w:pStyle w:val="3"/>
      </w:pPr>
      <w:bookmarkStart w:id="4" w:name="_Toc499729040"/>
      <w:r>
        <w:rPr>
          <w:rFonts w:hint="eastAsia"/>
        </w:rPr>
        <w:t>（一）采购说明</w:t>
      </w:r>
      <w:bookmarkEnd w:id="4"/>
    </w:p>
    <w:p>
      <w:pPr>
        <w:snapToGrid w:val="0"/>
        <w:spacing w:line="360" w:lineRule="auto"/>
        <w:rPr>
          <w:rFonts w:ascii="Times New Roman" w:hAnsi="Times New Roman"/>
          <w:b/>
          <w:szCs w:val="21"/>
        </w:rPr>
      </w:pPr>
      <w:r>
        <w:rPr>
          <w:rFonts w:ascii="Times New Roman" w:hAnsi="Times New Roman"/>
          <w:b/>
          <w:szCs w:val="21"/>
        </w:rPr>
        <w:t>1</w:t>
      </w:r>
      <w:r>
        <w:rPr>
          <w:rFonts w:hint="eastAsia" w:ascii="Times New Roman" w:hAnsi="Times New Roman"/>
          <w:b/>
          <w:szCs w:val="21"/>
        </w:rPr>
        <w:t>、法规及文件解释</w:t>
      </w:r>
    </w:p>
    <w:p>
      <w:pPr>
        <w:snapToGrid w:val="0"/>
        <w:spacing w:line="360" w:lineRule="auto"/>
        <w:ind w:firstLine="420" w:firstLineChars="200"/>
        <w:rPr>
          <w:rFonts w:ascii="Times New Roman" w:hAnsi="Times New Roman"/>
          <w:szCs w:val="21"/>
        </w:rPr>
      </w:pPr>
      <w:r>
        <w:rPr>
          <w:rFonts w:hint="eastAsia" w:ascii="Times New Roman" w:hAnsi="Times New Roman"/>
          <w:szCs w:val="21"/>
        </w:rPr>
        <w:t>本次采购严格按照《中华人民共和国政府采购法》等有关规定组织和实施。供应商如对采购文件有异议，应当在递交采购响应文件截止时间</w:t>
      </w:r>
      <w:r>
        <w:rPr>
          <w:rFonts w:ascii="Times New Roman" w:hAnsi="Times New Roman"/>
          <w:szCs w:val="21"/>
        </w:rPr>
        <w:t>3</w:t>
      </w:r>
      <w:r>
        <w:rPr>
          <w:rFonts w:hint="eastAsia" w:ascii="Times New Roman" w:hAnsi="Times New Roman"/>
          <w:szCs w:val="21"/>
        </w:rPr>
        <w:t>个工作日前书面向采购人提出，采购人在递交采购响应文件截止时间前</w:t>
      </w:r>
      <w:r>
        <w:rPr>
          <w:rFonts w:ascii="Times New Roman" w:hAnsi="Times New Roman"/>
          <w:szCs w:val="21"/>
        </w:rPr>
        <w:t>1</w:t>
      </w:r>
      <w:r>
        <w:rPr>
          <w:rFonts w:hint="eastAsia" w:ascii="Times New Roman" w:hAnsi="Times New Roman"/>
          <w:szCs w:val="21"/>
        </w:rPr>
        <w:t>个工作日内统一进行澄清和修改，并书面通知所有采购文件收受人。逾期提出的，采购人可不予受理、答复。</w:t>
      </w:r>
    </w:p>
    <w:p>
      <w:pPr>
        <w:pStyle w:val="40"/>
        <w:adjustRightInd w:val="0"/>
        <w:snapToGrid w:val="0"/>
        <w:spacing w:before="0"/>
        <w:ind w:firstLine="420"/>
        <w:rPr>
          <w:rFonts w:ascii="Times New Roman" w:hAnsi="Times New Roman"/>
          <w:sz w:val="21"/>
          <w:szCs w:val="21"/>
        </w:rPr>
      </w:pPr>
      <w:r>
        <w:rPr>
          <w:rFonts w:hint="eastAsia" w:ascii="Times New Roman" w:hAnsi="Times New Roman"/>
          <w:sz w:val="21"/>
          <w:szCs w:val="21"/>
        </w:rPr>
        <w:t>不论采购人向供应商发送的资料文件，还是供应商提出的问题，均采用书面形式，任何口头提问及答复一律无效。</w:t>
      </w:r>
    </w:p>
    <w:p>
      <w:pPr>
        <w:snapToGrid w:val="0"/>
        <w:spacing w:line="360" w:lineRule="auto"/>
        <w:ind w:firstLine="420" w:firstLineChars="200"/>
        <w:rPr>
          <w:rFonts w:ascii="Times New Roman" w:hAnsi="Times New Roman"/>
          <w:szCs w:val="21"/>
        </w:rPr>
      </w:pPr>
      <w:r>
        <w:rPr>
          <w:rFonts w:hint="eastAsia" w:ascii="Times New Roman" w:hAnsi="Times New Roman"/>
          <w:szCs w:val="21"/>
        </w:rPr>
        <w:t>本采购文件及相应的补充文件、通知等解释权归浙江财经大学所有。</w:t>
      </w:r>
    </w:p>
    <w:p>
      <w:pPr>
        <w:snapToGrid w:val="0"/>
        <w:spacing w:line="360" w:lineRule="auto"/>
        <w:rPr>
          <w:rFonts w:ascii="Times New Roman" w:hAnsi="Times New Roman"/>
          <w:b/>
          <w:szCs w:val="21"/>
        </w:rPr>
      </w:pPr>
      <w:r>
        <w:rPr>
          <w:rFonts w:ascii="Times New Roman" w:hAnsi="Times New Roman"/>
          <w:b/>
          <w:szCs w:val="21"/>
        </w:rPr>
        <w:t>2</w:t>
      </w:r>
      <w:r>
        <w:rPr>
          <w:rFonts w:hint="eastAsia" w:ascii="Times New Roman" w:hAnsi="Times New Roman"/>
          <w:b/>
          <w:szCs w:val="21"/>
        </w:rPr>
        <w:t>、合格的供应商</w:t>
      </w:r>
    </w:p>
    <w:p>
      <w:pPr>
        <w:snapToGrid w:val="0"/>
        <w:spacing w:line="360" w:lineRule="auto"/>
        <w:ind w:firstLine="420" w:firstLineChars="200"/>
        <w:rPr>
          <w:rFonts w:ascii="Times New Roman" w:hAnsi="Times New Roman"/>
          <w:szCs w:val="21"/>
        </w:rPr>
      </w:pPr>
      <w:r>
        <w:rPr>
          <w:rFonts w:hint="eastAsia" w:ascii="Times New Roman" w:hAnsi="Times New Roman"/>
          <w:szCs w:val="21"/>
        </w:rPr>
        <w:t>符合《中华人民共和国政府采购法》第二十二条规定的资格条件，并具有相关资质。</w:t>
      </w:r>
    </w:p>
    <w:p>
      <w:pPr>
        <w:snapToGrid w:val="0"/>
        <w:spacing w:line="360" w:lineRule="auto"/>
        <w:rPr>
          <w:rFonts w:ascii="Times New Roman" w:hAnsi="Times New Roman"/>
          <w:b/>
          <w:szCs w:val="21"/>
        </w:rPr>
      </w:pPr>
      <w:r>
        <w:rPr>
          <w:rFonts w:ascii="Times New Roman" w:hAnsi="Times New Roman"/>
          <w:b/>
          <w:szCs w:val="21"/>
        </w:rPr>
        <w:t>3</w:t>
      </w:r>
      <w:r>
        <w:rPr>
          <w:rFonts w:hint="eastAsia" w:ascii="Times New Roman" w:hAnsi="Times New Roman"/>
          <w:b/>
          <w:szCs w:val="21"/>
        </w:rPr>
        <w:t>、其他要求</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3.1 </w:t>
      </w:r>
      <w:r>
        <w:rPr>
          <w:rFonts w:hint="eastAsia" w:ascii="Times New Roman" w:hAnsi="Times New Roman"/>
          <w:szCs w:val="21"/>
        </w:rPr>
        <w:t>无论采购流程和结果如何，供应商自行承担采购活动中所发生的全部费用。</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3.2 </w:t>
      </w:r>
      <w:r>
        <w:rPr>
          <w:rFonts w:hint="eastAsia" w:ascii="Times New Roman" w:hAnsi="Times New Roman"/>
          <w:szCs w:val="21"/>
        </w:rPr>
        <w:t>合同实施过程中，成交人须与采购人积极配合。成交人自行承担本次采购活动中所发生的全部费用。</w:t>
      </w:r>
    </w:p>
    <w:p>
      <w:pPr>
        <w:snapToGrid w:val="0"/>
        <w:spacing w:line="360" w:lineRule="auto"/>
        <w:rPr>
          <w:rFonts w:ascii="Times New Roman" w:hAnsi="Times New Roman"/>
          <w:b/>
          <w:szCs w:val="21"/>
        </w:rPr>
      </w:pPr>
      <w:r>
        <w:rPr>
          <w:rFonts w:ascii="Times New Roman" w:hAnsi="Times New Roman"/>
          <w:b/>
          <w:szCs w:val="21"/>
        </w:rPr>
        <w:t>4</w:t>
      </w:r>
      <w:r>
        <w:rPr>
          <w:rFonts w:hint="eastAsia" w:ascii="Times New Roman" w:hAnsi="Times New Roman"/>
          <w:b/>
          <w:szCs w:val="21"/>
        </w:rPr>
        <w:t>、定义</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4.1 </w:t>
      </w:r>
      <w:r>
        <w:rPr>
          <w:rFonts w:hint="eastAsia" w:ascii="Times New Roman" w:hAnsi="Times New Roman"/>
          <w:szCs w:val="21"/>
        </w:rPr>
        <w:t>采购人：系指浙江财经大学。</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4.2 </w:t>
      </w:r>
      <w:r>
        <w:rPr>
          <w:rFonts w:hint="eastAsia" w:ascii="Times New Roman" w:hAnsi="Times New Roman"/>
          <w:szCs w:val="21"/>
        </w:rPr>
        <w:t>供应商：系指参与本次报价的合格供应商。</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4.3 </w:t>
      </w:r>
      <w:r>
        <w:rPr>
          <w:rFonts w:hint="eastAsia" w:ascii="Times New Roman" w:hAnsi="Times New Roman"/>
          <w:szCs w:val="21"/>
        </w:rPr>
        <w:t>采购文件：系指本文件。</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4.4 </w:t>
      </w:r>
      <w:r>
        <w:rPr>
          <w:rFonts w:hint="eastAsia" w:ascii="Times New Roman" w:hAnsi="Times New Roman"/>
          <w:szCs w:val="21"/>
        </w:rPr>
        <w:t>采购响应文件：系指供应商参与本次采购活动所提供的书面资料。</w:t>
      </w:r>
    </w:p>
    <w:p>
      <w:pPr>
        <w:snapToGrid w:val="0"/>
        <w:spacing w:line="360" w:lineRule="auto"/>
        <w:rPr>
          <w:rFonts w:ascii="Times New Roman" w:hAnsi="Times New Roman"/>
          <w:b/>
          <w:szCs w:val="21"/>
        </w:rPr>
      </w:pPr>
      <w:r>
        <w:rPr>
          <w:rFonts w:ascii="Times New Roman" w:hAnsi="Times New Roman"/>
          <w:b/>
          <w:szCs w:val="21"/>
        </w:rPr>
        <w:t>5</w:t>
      </w:r>
      <w:r>
        <w:rPr>
          <w:rFonts w:hint="eastAsia" w:ascii="Times New Roman" w:hAnsi="Times New Roman"/>
          <w:b/>
          <w:szCs w:val="21"/>
        </w:rPr>
        <w:t>、备注</w:t>
      </w:r>
    </w:p>
    <w:p>
      <w:pPr>
        <w:snapToGrid w:val="0"/>
        <w:spacing w:line="360" w:lineRule="auto"/>
        <w:ind w:firstLine="420" w:firstLineChars="200"/>
        <w:rPr>
          <w:rFonts w:ascii="Times New Roman" w:hAnsi="Times New Roman"/>
          <w:bCs/>
          <w:szCs w:val="21"/>
        </w:rPr>
      </w:pPr>
      <w:r>
        <w:rPr>
          <w:rFonts w:hint="eastAsia" w:ascii="Times New Roman" w:hAnsi="Times New Roman"/>
          <w:bCs/>
          <w:szCs w:val="21"/>
        </w:rPr>
        <w:t>请供应商仔细阅读本采购文件，其中有的条款以带“</w:t>
      </w:r>
      <w:r>
        <w:rPr>
          <w:rFonts w:ascii="Times New Roman" w:hAnsi="Times New Roman"/>
          <w:bCs/>
          <w:szCs w:val="21"/>
        </w:rPr>
        <w:t>▲</w:t>
      </w:r>
      <w:r>
        <w:rPr>
          <w:rFonts w:hint="eastAsia" w:ascii="Times New Roman" w:hAnsi="Times New Roman"/>
          <w:bCs/>
          <w:szCs w:val="21"/>
        </w:rPr>
        <w:t>”、加粗或加下划线的形式强调，对这些条款的负偏离将有可能在评审过程中被认定为实质性不响应本采购文件。</w:t>
      </w:r>
    </w:p>
    <w:p>
      <w:pPr>
        <w:snapToGrid w:val="0"/>
        <w:spacing w:line="360" w:lineRule="auto"/>
        <w:rPr>
          <w:rFonts w:ascii="Times New Roman" w:hAnsi="Times New Roman"/>
          <w:b/>
          <w:szCs w:val="21"/>
        </w:rPr>
      </w:pPr>
      <w:r>
        <w:rPr>
          <w:rFonts w:ascii="Times New Roman" w:hAnsi="Times New Roman"/>
          <w:b/>
          <w:szCs w:val="21"/>
        </w:rPr>
        <w:t>6</w:t>
      </w:r>
      <w:r>
        <w:rPr>
          <w:rFonts w:hint="eastAsia" w:ascii="Times New Roman" w:hAnsi="Times New Roman"/>
          <w:b/>
          <w:szCs w:val="21"/>
        </w:rPr>
        <w:t>、质疑和投诉</w:t>
      </w:r>
    </w:p>
    <w:p>
      <w:pPr>
        <w:snapToGrid w:val="0"/>
        <w:spacing w:line="360" w:lineRule="auto"/>
        <w:ind w:firstLine="420" w:firstLineChars="200"/>
        <w:rPr>
          <w:rFonts w:ascii="Times New Roman" w:hAnsi="Times New Roman"/>
          <w:szCs w:val="21"/>
        </w:rPr>
      </w:pPr>
      <w:r>
        <w:rPr>
          <w:rFonts w:ascii="Times New Roman" w:hAnsi="Times New Roman"/>
          <w:szCs w:val="21"/>
        </w:rPr>
        <w:t>6.1</w:t>
      </w:r>
      <w:r>
        <w:rPr>
          <w:rFonts w:hint="eastAsia" w:ascii="Times New Roman" w:hAnsi="Times New Roman"/>
          <w:szCs w:val="21"/>
        </w:rPr>
        <w:t>供应商认为采购文件、采购过程或成交结果使自己的合法权益受到损害的，应当在知道或者应知其权益受到损害之日起</w:t>
      </w:r>
      <w:r>
        <w:rPr>
          <w:rFonts w:ascii="Times New Roman" w:hAnsi="Times New Roman"/>
          <w:szCs w:val="21"/>
        </w:rPr>
        <w:t>7</w:t>
      </w:r>
      <w:r>
        <w:rPr>
          <w:rFonts w:hint="eastAsia" w:ascii="Times New Roman" w:hAnsi="Times New Roman"/>
          <w:szCs w:val="21"/>
        </w:rPr>
        <w:t>个工作日内，以书面形式向采购人提出质疑。供应商对采购人的质疑答复不满意或者采购人未在规定时间内作出答复的，可以在答复期满后</w:t>
      </w:r>
      <w:r>
        <w:rPr>
          <w:rFonts w:ascii="Times New Roman" w:hAnsi="Times New Roman"/>
          <w:szCs w:val="21"/>
        </w:rPr>
        <w:t>15</w:t>
      </w:r>
      <w:r>
        <w:rPr>
          <w:rFonts w:hint="eastAsia" w:ascii="Times New Roman" w:hAnsi="Times New Roman"/>
          <w:szCs w:val="21"/>
        </w:rPr>
        <w:t>个工作日内向浙江省财政局政府采购监管处投诉。</w:t>
      </w:r>
    </w:p>
    <w:p>
      <w:pPr>
        <w:snapToGrid w:val="0"/>
        <w:spacing w:line="360" w:lineRule="auto"/>
        <w:ind w:firstLine="420" w:firstLineChars="200"/>
        <w:rPr>
          <w:rFonts w:ascii="Times New Roman" w:hAnsi="Times New Roman"/>
          <w:szCs w:val="21"/>
        </w:rPr>
      </w:pPr>
      <w:r>
        <w:rPr>
          <w:rFonts w:ascii="Times New Roman" w:hAnsi="Times New Roman"/>
          <w:szCs w:val="21"/>
        </w:rPr>
        <w:t>6.2</w:t>
      </w:r>
      <w:r>
        <w:rPr>
          <w:rFonts w:hint="eastAsia" w:ascii="Times New Roman" w:hAnsi="Times New Roman"/>
          <w:szCs w:val="21"/>
        </w:rPr>
        <w:t>质疑、投诉应当采用书面形式，质疑书、投诉书均应明确阐述招标文件、招标过程或成交结果中使自己合法权益受到损害的实质性内容，提供相关事实、依据和证据及其来源或线索，便于有关单位调查、答复和处理。</w:t>
      </w:r>
    </w:p>
    <w:p>
      <w:pPr>
        <w:snapToGrid w:val="0"/>
        <w:spacing w:line="360" w:lineRule="auto"/>
        <w:ind w:firstLine="420" w:firstLineChars="200"/>
        <w:rPr>
          <w:rFonts w:ascii="Times New Roman" w:hAnsi="Times New Roman"/>
          <w:szCs w:val="21"/>
        </w:rPr>
      </w:pPr>
    </w:p>
    <w:p>
      <w:pPr>
        <w:pStyle w:val="3"/>
      </w:pPr>
      <w:bookmarkStart w:id="5" w:name="_Toc499729041"/>
      <w:r>
        <w:rPr>
          <w:rFonts w:hint="eastAsia"/>
        </w:rPr>
        <w:t>（二）采购文件</w:t>
      </w:r>
      <w:bookmarkEnd w:id="5"/>
    </w:p>
    <w:p>
      <w:pPr>
        <w:snapToGrid w:val="0"/>
        <w:spacing w:line="360" w:lineRule="auto"/>
        <w:rPr>
          <w:rFonts w:ascii="Times New Roman" w:hAnsi="Times New Roman"/>
          <w:b/>
          <w:szCs w:val="21"/>
        </w:rPr>
      </w:pPr>
      <w:r>
        <w:rPr>
          <w:rFonts w:ascii="Times New Roman" w:hAnsi="Times New Roman"/>
          <w:b/>
          <w:szCs w:val="21"/>
        </w:rPr>
        <w:t>1</w:t>
      </w:r>
      <w:r>
        <w:rPr>
          <w:rFonts w:hint="eastAsia" w:ascii="Times New Roman" w:hAnsi="Times New Roman"/>
          <w:b/>
          <w:szCs w:val="21"/>
        </w:rPr>
        <w:t>、采购文件的组成</w:t>
      </w:r>
    </w:p>
    <w:p>
      <w:pPr>
        <w:snapToGrid w:val="0"/>
        <w:spacing w:line="360" w:lineRule="auto"/>
        <w:ind w:firstLine="420" w:firstLineChars="200"/>
        <w:rPr>
          <w:rFonts w:ascii="Times New Roman" w:hAnsi="Times New Roman"/>
          <w:szCs w:val="21"/>
        </w:rPr>
      </w:pPr>
      <w:r>
        <w:rPr>
          <w:rFonts w:hint="eastAsia" w:ascii="Times New Roman" w:hAnsi="Times New Roman"/>
          <w:szCs w:val="21"/>
        </w:rPr>
        <w:t>采购文件由采购文件总目录所列内容及采购补充文件（如有）组成。</w:t>
      </w:r>
    </w:p>
    <w:p>
      <w:pPr>
        <w:snapToGrid w:val="0"/>
        <w:spacing w:line="360" w:lineRule="auto"/>
        <w:rPr>
          <w:rFonts w:ascii="Times New Roman" w:hAnsi="Times New Roman"/>
          <w:b/>
          <w:szCs w:val="21"/>
        </w:rPr>
      </w:pPr>
      <w:r>
        <w:rPr>
          <w:rFonts w:ascii="Times New Roman" w:hAnsi="Times New Roman"/>
          <w:b/>
          <w:szCs w:val="21"/>
        </w:rPr>
        <w:t>2</w:t>
      </w:r>
      <w:r>
        <w:rPr>
          <w:rFonts w:hint="eastAsia" w:ascii="Times New Roman" w:hAnsi="Times New Roman"/>
          <w:b/>
          <w:szCs w:val="21"/>
        </w:rPr>
        <w:t>、采购文件的获取</w:t>
      </w:r>
    </w:p>
    <w:p>
      <w:pPr>
        <w:snapToGrid w:val="0"/>
        <w:spacing w:line="360" w:lineRule="auto"/>
        <w:ind w:firstLine="420" w:firstLineChars="200"/>
        <w:rPr>
          <w:rFonts w:ascii="Times New Roman" w:hAnsi="Times New Roman"/>
          <w:szCs w:val="21"/>
        </w:rPr>
      </w:pPr>
      <w:r>
        <w:rPr>
          <w:rFonts w:hint="eastAsia" w:ascii="Times New Roman" w:hAnsi="Times New Roman"/>
          <w:szCs w:val="21"/>
        </w:rPr>
        <w:t>参见采购邀请书。</w:t>
      </w:r>
    </w:p>
    <w:p>
      <w:pPr>
        <w:snapToGrid w:val="0"/>
        <w:spacing w:line="360" w:lineRule="auto"/>
        <w:rPr>
          <w:rFonts w:ascii="Times New Roman" w:hAnsi="Times New Roman"/>
          <w:b/>
          <w:szCs w:val="21"/>
        </w:rPr>
      </w:pPr>
      <w:r>
        <w:rPr>
          <w:rFonts w:ascii="Times New Roman" w:hAnsi="Times New Roman"/>
          <w:b/>
          <w:szCs w:val="21"/>
        </w:rPr>
        <w:t>3</w:t>
      </w:r>
      <w:r>
        <w:rPr>
          <w:rFonts w:hint="eastAsia" w:ascii="Times New Roman" w:hAnsi="Times New Roman"/>
          <w:b/>
          <w:szCs w:val="21"/>
        </w:rPr>
        <w:t>、采购文件的澄清</w:t>
      </w:r>
    </w:p>
    <w:p>
      <w:pPr>
        <w:snapToGrid w:val="0"/>
        <w:spacing w:line="360" w:lineRule="auto"/>
        <w:ind w:firstLine="420" w:firstLineChars="200"/>
        <w:rPr>
          <w:rFonts w:ascii="Times New Roman" w:hAnsi="Times New Roman"/>
          <w:szCs w:val="21"/>
        </w:rPr>
      </w:pPr>
      <w:r>
        <w:rPr>
          <w:rFonts w:hint="eastAsia" w:ascii="Times New Roman" w:hAnsi="Times New Roman"/>
          <w:szCs w:val="21"/>
        </w:rPr>
        <w:t>供应商对采购文件如有疑点要求澄清可用书面形式（包括信函，传真）通知采购人，采购人将用书面形式予以答复。</w:t>
      </w:r>
    </w:p>
    <w:p>
      <w:pPr>
        <w:snapToGrid w:val="0"/>
        <w:spacing w:line="360" w:lineRule="auto"/>
        <w:rPr>
          <w:rFonts w:ascii="Times New Roman" w:hAnsi="Times New Roman"/>
          <w:b/>
          <w:szCs w:val="21"/>
        </w:rPr>
      </w:pPr>
      <w:r>
        <w:rPr>
          <w:rFonts w:ascii="Times New Roman" w:hAnsi="Times New Roman"/>
          <w:b/>
          <w:szCs w:val="21"/>
        </w:rPr>
        <w:t>4</w:t>
      </w:r>
      <w:r>
        <w:rPr>
          <w:rFonts w:hint="eastAsia" w:ascii="Times New Roman" w:hAnsi="Times New Roman"/>
          <w:b/>
          <w:szCs w:val="21"/>
        </w:rPr>
        <w:t>、采购文件的修改</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4.1 </w:t>
      </w:r>
      <w:r>
        <w:rPr>
          <w:rFonts w:hint="eastAsia" w:ascii="Times New Roman" w:hAnsi="Times New Roman"/>
          <w:szCs w:val="21"/>
        </w:rPr>
        <w:t>在采购响应文件递交截止时间前，采购人有权修改采购文件，并以书面形式通知供应商。修改文件作为采购文件的补充和组成部分，对供应商均有约束力。</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4.2 </w:t>
      </w:r>
      <w:r>
        <w:rPr>
          <w:rFonts w:hint="eastAsia" w:ascii="Times New Roman" w:hAnsi="Times New Roman"/>
          <w:szCs w:val="21"/>
        </w:rPr>
        <w:t>为使供应商有足够的时间按修改文件要求修正采购响应文件，采购人可酌情推迟采购响应文件提交截止时间和谈判时间，并将此变更通知供应商。</w:t>
      </w:r>
    </w:p>
    <w:p>
      <w:pPr>
        <w:snapToGrid w:val="0"/>
        <w:spacing w:line="360" w:lineRule="auto"/>
        <w:ind w:firstLine="420" w:firstLineChars="200"/>
        <w:rPr>
          <w:rFonts w:ascii="Times New Roman" w:hAnsi="Times New Roman"/>
          <w:szCs w:val="21"/>
        </w:rPr>
      </w:pPr>
    </w:p>
    <w:p>
      <w:pPr>
        <w:pStyle w:val="3"/>
      </w:pPr>
      <w:bookmarkStart w:id="6" w:name="_Toc499729042"/>
      <w:r>
        <w:rPr>
          <w:rFonts w:hint="eastAsia"/>
        </w:rPr>
        <w:t>（三）采购响应文件的编制</w:t>
      </w:r>
      <w:bookmarkEnd w:id="6"/>
    </w:p>
    <w:p>
      <w:pPr>
        <w:snapToGrid w:val="0"/>
        <w:spacing w:line="360" w:lineRule="auto"/>
        <w:rPr>
          <w:rFonts w:ascii="Times New Roman" w:hAnsi="Times New Roman"/>
          <w:b/>
          <w:szCs w:val="21"/>
        </w:rPr>
      </w:pPr>
      <w:r>
        <w:rPr>
          <w:rFonts w:ascii="Times New Roman" w:hAnsi="Times New Roman"/>
          <w:b/>
          <w:szCs w:val="21"/>
        </w:rPr>
        <w:t>1</w:t>
      </w:r>
      <w:r>
        <w:rPr>
          <w:rFonts w:hint="eastAsia" w:ascii="Times New Roman" w:hAnsi="Times New Roman"/>
          <w:b/>
          <w:szCs w:val="21"/>
        </w:rPr>
        <w:t>、采购响应文件</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1.1 </w:t>
      </w:r>
      <w:r>
        <w:rPr>
          <w:rFonts w:hint="eastAsia" w:ascii="Times New Roman" w:hAnsi="Times New Roman"/>
          <w:szCs w:val="21"/>
        </w:rPr>
        <w:t>供应商应仔细阅读采购文件中的所有内容，按照采购文件要求，详细编制采购响应文件，提供相关技术参数、资料，对采购文件中给予实质性响应，并保证采购响应文件的正确性和真实性，</w:t>
      </w:r>
      <w:r>
        <w:rPr>
          <w:rFonts w:hint="eastAsia" w:ascii="Times New Roman" w:hAnsi="Times New Roman"/>
          <w:bCs/>
          <w:szCs w:val="21"/>
        </w:rPr>
        <w:t>否则可能导致不利于其采购响应文件的评定</w:t>
      </w:r>
      <w:r>
        <w:rPr>
          <w:rFonts w:hint="eastAsia" w:ascii="Times New Roman" w:hAnsi="Times New Roman"/>
          <w:szCs w:val="21"/>
        </w:rPr>
        <w:t>。</w:t>
      </w:r>
      <w:r>
        <w:rPr>
          <w:rFonts w:hint="eastAsia" w:ascii="Times New Roman" w:hAnsi="Times New Roman"/>
          <w:bCs/>
          <w:szCs w:val="21"/>
        </w:rPr>
        <w:t>技术和商务如有偏离均应填写偏离表，如不填写，采购人有权视作完全响应采购文件要求。</w:t>
      </w:r>
      <w:r>
        <w:rPr>
          <w:rFonts w:hint="eastAsia" w:ascii="Times New Roman" w:hAnsi="Times New Roman"/>
          <w:szCs w:val="21"/>
        </w:rPr>
        <w:t>采购响应文件统一采用汉语言文字，计量单位应使用国际单位（文件中另有规定的除外）。</w:t>
      </w:r>
    </w:p>
    <w:p>
      <w:pPr>
        <w:snapToGrid w:val="0"/>
        <w:spacing w:line="360" w:lineRule="auto"/>
        <w:ind w:firstLine="420" w:firstLineChars="200"/>
        <w:rPr>
          <w:rFonts w:ascii="Times New Roman" w:hAnsi="Times New Roman"/>
          <w:bCs/>
          <w:szCs w:val="21"/>
          <w:u w:val="single"/>
        </w:rPr>
      </w:pPr>
      <w:r>
        <w:rPr>
          <w:rFonts w:ascii="Times New Roman" w:hAnsi="Times New Roman"/>
          <w:bCs/>
          <w:szCs w:val="21"/>
          <w:u w:val="single"/>
        </w:rPr>
        <w:t xml:space="preserve">1.2 </w:t>
      </w:r>
      <w:r>
        <w:rPr>
          <w:rFonts w:hint="eastAsia" w:ascii="Times New Roman" w:hAnsi="Times New Roman"/>
          <w:bCs/>
          <w:szCs w:val="21"/>
          <w:u w:val="single"/>
        </w:rPr>
        <w:t>不按采购文件的要求提供的采购响应文件可能导致被拒绝。</w:t>
      </w:r>
    </w:p>
    <w:p>
      <w:pPr>
        <w:snapToGrid w:val="0"/>
        <w:spacing w:line="360" w:lineRule="auto"/>
        <w:rPr>
          <w:rFonts w:ascii="Times New Roman" w:hAnsi="Times New Roman"/>
          <w:b/>
          <w:szCs w:val="21"/>
        </w:rPr>
      </w:pPr>
      <w:r>
        <w:rPr>
          <w:rFonts w:ascii="Times New Roman" w:hAnsi="Times New Roman"/>
          <w:b/>
          <w:szCs w:val="21"/>
        </w:rPr>
        <w:t>2</w:t>
      </w:r>
      <w:r>
        <w:rPr>
          <w:rFonts w:hint="eastAsia" w:ascii="Times New Roman" w:hAnsi="Times New Roman"/>
          <w:b/>
          <w:szCs w:val="21"/>
        </w:rPr>
        <w:t>、采购响应文件的组成</w:t>
      </w:r>
    </w:p>
    <w:p>
      <w:pPr>
        <w:pStyle w:val="9"/>
        <w:adjustRightInd w:val="0"/>
        <w:snapToGrid w:val="0"/>
        <w:rPr>
          <w:szCs w:val="21"/>
        </w:rPr>
      </w:pPr>
      <w:r>
        <w:rPr>
          <w:rFonts w:hint="eastAsia"/>
          <w:szCs w:val="21"/>
        </w:rPr>
        <w:t>采购响应文件须按照采购文件要求制作。</w:t>
      </w:r>
    </w:p>
    <w:p>
      <w:pPr>
        <w:pStyle w:val="40"/>
        <w:adjustRightInd w:val="0"/>
        <w:snapToGrid w:val="0"/>
        <w:spacing w:before="0"/>
        <w:ind w:firstLine="0" w:firstLineChars="0"/>
        <w:rPr>
          <w:rFonts w:ascii="Times New Roman" w:hAnsi="Times New Roman"/>
          <w:b/>
          <w:kern w:val="0"/>
          <w:sz w:val="21"/>
          <w:szCs w:val="21"/>
          <w:lang w:val="zh-CN"/>
        </w:rPr>
      </w:pPr>
      <w:r>
        <w:rPr>
          <w:rFonts w:ascii="Times New Roman" w:hAnsi="Times New Roman"/>
          <w:b/>
          <w:kern w:val="0"/>
          <w:sz w:val="21"/>
          <w:szCs w:val="21"/>
          <w:lang w:val="zh-CN"/>
        </w:rPr>
        <w:t>3</w:t>
      </w:r>
      <w:r>
        <w:rPr>
          <w:rFonts w:hint="eastAsia" w:ascii="Times New Roman" w:hAnsi="Times New Roman"/>
          <w:b/>
          <w:kern w:val="0"/>
          <w:sz w:val="21"/>
          <w:szCs w:val="21"/>
          <w:lang w:val="zh-CN"/>
        </w:rPr>
        <w:t>、采购响应文件的语言</w:t>
      </w:r>
    </w:p>
    <w:p>
      <w:pPr>
        <w:snapToGrid w:val="0"/>
        <w:spacing w:line="360" w:lineRule="auto"/>
        <w:ind w:firstLine="420" w:firstLineChars="200"/>
        <w:rPr>
          <w:rFonts w:ascii="Times New Roman" w:hAnsi="Times New Roman"/>
          <w:szCs w:val="21"/>
        </w:rPr>
      </w:pPr>
      <w:r>
        <w:rPr>
          <w:rFonts w:hint="eastAsia" w:ascii="Times New Roman" w:hAnsi="Times New Roman"/>
          <w:szCs w:val="21"/>
        </w:rPr>
        <w:t>与采购有关的来往通知、函件和文件均应使用中文。</w:t>
      </w:r>
    </w:p>
    <w:p>
      <w:pPr>
        <w:snapToGrid w:val="0"/>
        <w:spacing w:line="360" w:lineRule="auto"/>
        <w:rPr>
          <w:rFonts w:ascii="Times New Roman" w:hAnsi="Times New Roman"/>
          <w:b/>
          <w:szCs w:val="21"/>
        </w:rPr>
      </w:pPr>
      <w:r>
        <w:rPr>
          <w:rFonts w:ascii="Times New Roman" w:hAnsi="Times New Roman"/>
          <w:b/>
          <w:szCs w:val="21"/>
        </w:rPr>
        <w:t>4</w:t>
      </w:r>
      <w:r>
        <w:rPr>
          <w:rFonts w:hint="eastAsia" w:ascii="Times New Roman" w:hAnsi="Times New Roman"/>
          <w:b/>
          <w:szCs w:val="21"/>
        </w:rPr>
        <w:t>、报价要求</w:t>
      </w:r>
    </w:p>
    <w:p>
      <w:pPr>
        <w:snapToGrid w:val="0"/>
        <w:spacing w:line="360" w:lineRule="auto"/>
        <w:ind w:firstLine="420" w:firstLineChars="200"/>
        <w:rPr>
          <w:rFonts w:ascii="Times New Roman" w:hAnsi="Times New Roman"/>
          <w:kern w:val="0"/>
          <w:szCs w:val="21"/>
          <w:lang w:val="zh-CN"/>
        </w:rPr>
      </w:pPr>
      <w:r>
        <w:rPr>
          <w:rFonts w:ascii="Times New Roman" w:hAnsi="Times New Roman"/>
          <w:szCs w:val="21"/>
        </w:rPr>
        <w:t>4.1</w:t>
      </w:r>
      <w:r>
        <w:rPr>
          <w:rFonts w:hint="eastAsia" w:ascii="Times New Roman" w:hAnsi="Times New Roman"/>
          <w:kern w:val="0"/>
          <w:szCs w:val="21"/>
          <w:lang w:val="zh-CN"/>
        </w:rPr>
        <w:t>有关本项目所需的</w:t>
      </w:r>
      <w:r>
        <w:rPr>
          <w:rFonts w:hint="eastAsia" w:ascii="Times New Roman" w:hAnsi="Times New Roman"/>
          <w:b/>
          <w:kern w:val="0"/>
          <w:szCs w:val="21"/>
          <w:lang w:val="zh-CN"/>
        </w:rPr>
        <w:t>为完成本项目所需的一切费用均计入报价，</w:t>
      </w:r>
      <w:r>
        <w:rPr>
          <w:rFonts w:hint="eastAsia" w:ascii="Times New Roman" w:hAnsi="Times New Roman"/>
          <w:kern w:val="0"/>
          <w:szCs w:val="21"/>
          <w:lang w:val="zh-CN"/>
        </w:rPr>
        <w:t>采购人不再另行支付合同价以外的其他款项。</w:t>
      </w:r>
    </w:p>
    <w:p>
      <w:pPr>
        <w:snapToGrid w:val="0"/>
        <w:spacing w:line="360" w:lineRule="auto"/>
        <w:ind w:firstLine="420" w:firstLineChars="200"/>
        <w:rPr>
          <w:rFonts w:ascii="Times New Roman" w:hAnsi="Times New Roman"/>
          <w:b/>
          <w:bCs/>
          <w:szCs w:val="21"/>
          <w:u w:val="thick"/>
        </w:rPr>
      </w:pPr>
      <w:r>
        <w:rPr>
          <w:rFonts w:ascii="Times New Roman" w:hAnsi="Times New Roman"/>
          <w:szCs w:val="21"/>
        </w:rPr>
        <w:t xml:space="preserve">4.2 </w:t>
      </w:r>
      <w:r>
        <w:rPr>
          <w:rFonts w:hint="eastAsia" w:ascii="Times New Roman" w:hAnsi="Times New Roman"/>
          <w:szCs w:val="21"/>
        </w:rPr>
        <w:t>报价价格单位为人民币，报价时精确到元。</w:t>
      </w:r>
    </w:p>
    <w:p>
      <w:pPr>
        <w:snapToGrid w:val="0"/>
        <w:spacing w:line="360" w:lineRule="auto"/>
        <w:ind w:firstLine="420" w:firstLineChars="200"/>
        <w:rPr>
          <w:rFonts w:ascii="Times New Roman" w:hAnsi="Times New Roman"/>
          <w:bCs/>
          <w:szCs w:val="21"/>
          <w:u w:val="single"/>
        </w:rPr>
      </w:pPr>
      <w:r>
        <w:rPr>
          <w:rFonts w:ascii="Times New Roman" w:hAnsi="Times New Roman"/>
          <w:bCs/>
          <w:szCs w:val="21"/>
        </w:rPr>
        <w:t xml:space="preserve">4.3 </w:t>
      </w:r>
      <w:r>
        <w:rPr>
          <w:rFonts w:hint="eastAsia" w:ascii="Times New Roman" w:hAnsi="Times New Roman"/>
          <w:bCs/>
          <w:szCs w:val="21"/>
          <w:u w:val="single"/>
        </w:rPr>
        <w:t>供应商的报价应按采购文件要求的格式、顺序编制，未按采购文件要求编制的采购响应文件将可能被拒绝。</w:t>
      </w:r>
    </w:p>
    <w:p>
      <w:pPr>
        <w:snapToGrid w:val="0"/>
        <w:spacing w:line="360" w:lineRule="auto"/>
        <w:rPr>
          <w:rFonts w:ascii="Times New Roman" w:hAnsi="Times New Roman"/>
          <w:b/>
          <w:szCs w:val="21"/>
        </w:rPr>
      </w:pPr>
      <w:r>
        <w:rPr>
          <w:rFonts w:ascii="Times New Roman" w:hAnsi="Times New Roman"/>
          <w:b/>
          <w:szCs w:val="21"/>
        </w:rPr>
        <w:t>5</w:t>
      </w:r>
      <w:r>
        <w:rPr>
          <w:rFonts w:hint="eastAsia" w:ascii="Times New Roman" w:hAnsi="Times New Roman"/>
          <w:b/>
          <w:szCs w:val="21"/>
        </w:rPr>
        <w:t>、采购响应文件的有效期</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5.1 </w:t>
      </w:r>
      <w:r>
        <w:rPr>
          <w:rFonts w:hint="eastAsia" w:ascii="Times New Roman" w:hAnsi="Times New Roman"/>
          <w:szCs w:val="21"/>
        </w:rPr>
        <w:t>自采购响应文件提交截止之日起</w:t>
      </w:r>
      <w:r>
        <w:rPr>
          <w:rFonts w:ascii="Times New Roman" w:hAnsi="Times New Roman"/>
          <w:szCs w:val="21"/>
        </w:rPr>
        <w:t>90</w:t>
      </w:r>
      <w:r>
        <w:rPr>
          <w:rFonts w:hint="eastAsia" w:ascii="Times New Roman" w:hAnsi="Times New Roman"/>
          <w:szCs w:val="21"/>
        </w:rPr>
        <w:t>天内，采购响应文件应保持有效。有效期短于这个规定期限的采购响应文件将被拒绝。</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5.2 </w:t>
      </w:r>
      <w:r>
        <w:rPr>
          <w:rFonts w:hint="eastAsia" w:ascii="Times New Roman" w:hAnsi="Times New Roman"/>
          <w:szCs w:val="21"/>
        </w:rPr>
        <w:t>在特殊情况下，采购人可与供应商协商延长采购响应文件的有效期，这种要求和答复均应以书面形式进行。</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5.3 </w:t>
      </w:r>
      <w:r>
        <w:rPr>
          <w:rFonts w:hint="eastAsia" w:ascii="Times New Roman" w:hAnsi="Times New Roman"/>
          <w:szCs w:val="21"/>
        </w:rPr>
        <w:t>供应商可拒绝接受延期要求。同意延长有效期的供应商不能修改采购响应文件。</w:t>
      </w:r>
    </w:p>
    <w:p>
      <w:pPr>
        <w:snapToGrid w:val="0"/>
        <w:spacing w:line="360" w:lineRule="auto"/>
        <w:rPr>
          <w:rFonts w:ascii="Times New Roman" w:hAnsi="Times New Roman"/>
          <w:b/>
          <w:szCs w:val="21"/>
        </w:rPr>
      </w:pPr>
      <w:r>
        <w:rPr>
          <w:rFonts w:ascii="Times New Roman" w:hAnsi="Times New Roman"/>
          <w:b/>
          <w:szCs w:val="21"/>
        </w:rPr>
        <w:t>6</w:t>
      </w:r>
      <w:r>
        <w:rPr>
          <w:rFonts w:hint="eastAsia" w:ascii="Times New Roman" w:hAnsi="Times New Roman"/>
          <w:b/>
          <w:szCs w:val="21"/>
        </w:rPr>
        <w:t>、采购响应文件的签署和份数</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6.1 </w:t>
      </w:r>
      <w:r>
        <w:rPr>
          <w:rFonts w:hint="eastAsia" w:ascii="Times New Roman" w:hAnsi="Times New Roman"/>
          <w:szCs w:val="21"/>
        </w:rPr>
        <w:t>采购响应文件的正本应使用不褪色的材料书写或打印，并注明“正本”字样。副本可以复印。</w:t>
      </w:r>
    </w:p>
    <w:p>
      <w:pPr>
        <w:snapToGrid w:val="0"/>
        <w:spacing w:line="360" w:lineRule="auto"/>
        <w:ind w:firstLine="420" w:firstLineChars="200"/>
        <w:rPr>
          <w:rFonts w:ascii="Times New Roman" w:hAnsi="Times New Roman"/>
          <w:bCs/>
          <w:szCs w:val="21"/>
          <w:u w:val="thick"/>
        </w:rPr>
      </w:pPr>
      <w:r>
        <w:rPr>
          <w:rFonts w:ascii="Times New Roman" w:hAnsi="Times New Roman"/>
          <w:szCs w:val="21"/>
        </w:rPr>
        <w:t xml:space="preserve">6.2 </w:t>
      </w:r>
      <w:r>
        <w:rPr>
          <w:rFonts w:hint="eastAsia" w:ascii="Times New Roman" w:hAnsi="Times New Roman"/>
          <w:bCs/>
          <w:szCs w:val="21"/>
        </w:rPr>
        <w:t>采购响应文件需按采购文件提供的格式要求由供应商盖公章、法定代表人或授权代表签字，供应商名称应写全称。</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6.3 </w:t>
      </w:r>
      <w:r>
        <w:rPr>
          <w:rFonts w:hint="eastAsia" w:ascii="Times New Roman" w:hAnsi="Times New Roman"/>
          <w:szCs w:val="21"/>
        </w:rPr>
        <w:t>采购响应文件的份数</w:t>
      </w:r>
    </w:p>
    <w:p>
      <w:pPr>
        <w:snapToGrid w:val="0"/>
        <w:spacing w:line="360" w:lineRule="auto"/>
        <w:ind w:firstLine="420" w:firstLineChars="200"/>
        <w:rPr>
          <w:rFonts w:ascii="Times New Roman" w:hAnsi="Times New Roman"/>
          <w:szCs w:val="21"/>
        </w:rPr>
      </w:pPr>
      <w:r>
        <w:rPr>
          <w:rFonts w:hint="eastAsia" w:ascii="Times New Roman" w:hAnsi="Times New Roman"/>
          <w:szCs w:val="21"/>
        </w:rPr>
        <w:t>按采购文件第三部分供应商须知中第三条采购响应文件中第</w:t>
      </w:r>
      <w:r>
        <w:rPr>
          <w:rFonts w:ascii="Times New Roman" w:hAnsi="Times New Roman"/>
          <w:szCs w:val="21"/>
        </w:rPr>
        <w:t>2</w:t>
      </w:r>
      <w:r>
        <w:rPr>
          <w:rFonts w:hint="eastAsia" w:ascii="Times New Roman" w:hAnsi="Times New Roman"/>
          <w:szCs w:val="21"/>
        </w:rPr>
        <w:t>款要求提供的</w:t>
      </w:r>
      <w:r>
        <w:rPr>
          <w:rFonts w:hint="eastAsia" w:ascii="Times New Roman" w:hAnsi="Times New Roman"/>
          <w:bCs/>
          <w:szCs w:val="21"/>
        </w:rPr>
        <w:t>采购响应文件装订</w:t>
      </w:r>
      <w:r>
        <w:rPr>
          <w:rFonts w:hint="eastAsia" w:ascii="Times New Roman" w:hAnsi="Times New Roman"/>
          <w:szCs w:val="21"/>
        </w:rPr>
        <w:t>成册，</w:t>
      </w:r>
      <w:r>
        <w:rPr>
          <w:rFonts w:hint="eastAsia" w:ascii="Times New Roman" w:hAnsi="Times New Roman"/>
          <w:b/>
          <w:bCs/>
          <w:szCs w:val="21"/>
        </w:rPr>
        <w:t>提供一式叁份，其中正本</w:t>
      </w:r>
      <w:r>
        <w:rPr>
          <w:rFonts w:hint="eastAsia" w:ascii="Times New Roman" w:hAnsi="Times New Roman"/>
          <w:b/>
          <w:bCs/>
          <w:szCs w:val="21"/>
          <w:u w:val="single"/>
        </w:rPr>
        <w:t>壹</w:t>
      </w:r>
      <w:r>
        <w:rPr>
          <w:rFonts w:hint="eastAsia" w:ascii="Times New Roman" w:hAnsi="Times New Roman"/>
          <w:b/>
          <w:bCs/>
          <w:szCs w:val="21"/>
        </w:rPr>
        <w:t>份，副本</w:t>
      </w:r>
      <w:r>
        <w:rPr>
          <w:rFonts w:hint="eastAsia" w:ascii="Times New Roman" w:hAnsi="Times New Roman"/>
          <w:b/>
          <w:bCs/>
          <w:szCs w:val="21"/>
          <w:u w:val="single"/>
        </w:rPr>
        <w:t>贰</w:t>
      </w:r>
      <w:r>
        <w:rPr>
          <w:rFonts w:hint="eastAsia" w:ascii="Times New Roman" w:hAnsi="Times New Roman"/>
          <w:b/>
          <w:bCs/>
          <w:szCs w:val="21"/>
        </w:rPr>
        <w:t>份，另电子文档</w:t>
      </w:r>
      <w:r>
        <w:rPr>
          <w:rFonts w:hint="eastAsia" w:ascii="Times New Roman" w:hAnsi="Times New Roman"/>
          <w:b/>
          <w:bCs/>
          <w:szCs w:val="21"/>
          <w:u w:val="single"/>
        </w:rPr>
        <w:t>壹</w:t>
      </w:r>
      <w:r>
        <w:rPr>
          <w:rFonts w:hint="eastAsia" w:ascii="Times New Roman" w:hAnsi="Times New Roman"/>
          <w:b/>
          <w:bCs/>
          <w:szCs w:val="21"/>
        </w:rPr>
        <w:t>份（光盘或</w:t>
      </w:r>
      <w:r>
        <w:rPr>
          <w:rFonts w:ascii="Times New Roman" w:hAnsi="Times New Roman"/>
          <w:b/>
          <w:bCs/>
          <w:szCs w:val="21"/>
        </w:rPr>
        <w:t>U</w:t>
      </w:r>
      <w:r>
        <w:rPr>
          <w:rFonts w:hint="eastAsia" w:ascii="Times New Roman" w:hAnsi="Times New Roman"/>
          <w:b/>
          <w:bCs/>
          <w:szCs w:val="21"/>
        </w:rPr>
        <w:t>盘）。</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6.4 </w:t>
      </w:r>
      <w:r>
        <w:rPr>
          <w:rFonts w:hint="eastAsia" w:ascii="Times New Roman" w:hAnsi="Times New Roman"/>
          <w:szCs w:val="21"/>
        </w:rPr>
        <w:t>采购响应文件不得涂改和增删，如有错漏必须修改，修改处须由法定代表人或</w:t>
      </w:r>
      <w:r>
        <w:rPr>
          <w:rFonts w:hint="eastAsia" w:ascii="Times New Roman" w:hAnsi="Times New Roman"/>
          <w:bCs/>
          <w:szCs w:val="21"/>
        </w:rPr>
        <w:t>法定代表人授权代表同一人签字或加盖公章</w:t>
      </w:r>
      <w:r>
        <w:rPr>
          <w:rFonts w:hint="eastAsia" w:ascii="Times New Roman" w:hAnsi="Times New Roman"/>
          <w:szCs w:val="21"/>
        </w:rPr>
        <w:t>。</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6.5 </w:t>
      </w:r>
      <w:r>
        <w:rPr>
          <w:rFonts w:hint="eastAsia" w:ascii="Times New Roman" w:hAnsi="Times New Roman"/>
          <w:szCs w:val="21"/>
        </w:rPr>
        <w:t>由于字迹模糊或表达不清引起的后果由供应商负责。</w:t>
      </w:r>
    </w:p>
    <w:p>
      <w:pPr>
        <w:snapToGrid w:val="0"/>
        <w:spacing w:line="360" w:lineRule="auto"/>
        <w:ind w:firstLine="420" w:firstLineChars="200"/>
        <w:rPr>
          <w:rFonts w:ascii="宋体" w:cs="宋体"/>
          <w:szCs w:val="21"/>
        </w:rPr>
      </w:pPr>
    </w:p>
    <w:p>
      <w:pPr>
        <w:pStyle w:val="3"/>
      </w:pPr>
      <w:bookmarkStart w:id="7" w:name="_Toc499729043"/>
      <w:r>
        <w:rPr>
          <w:rFonts w:hint="eastAsia"/>
        </w:rPr>
        <w:t>（四）采购响应文件的递交</w:t>
      </w:r>
      <w:bookmarkEnd w:id="7"/>
    </w:p>
    <w:p>
      <w:pPr>
        <w:snapToGrid w:val="0"/>
        <w:spacing w:line="360" w:lineRule="auto"/>
        <w:rPr>
          <w:rFonts w:ascii="Times New Roman" w:hAnsi="Times New Roman"/>
          <w:b/>
          <w:szCs w:val="21"/>
        </w:rPr>
      </w:pPr>
      <w:r>
        <w:rPr>
          <w:rFonts w:ascii="Times New Roman" w:hAnsi="Times New Roman"/>
          <w:b/>
          <w:szCs w:val="21"/>
        </w:rPr>
        <w:t>1</w:t>
      </w:r>
      <w:r>
        <w:rPr>
          <w:rFonts w:hint="eastAsia" w:ascii="Times New Roman" w:hAnsi="Times New Roman"/>
          <w:b/>
          <w:szCs w:val="21"/>
        </w:rPr>
        <w:t>、采购响应文件的密封及标记</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1.1 </w:t>
      </w:r>
      <w:r>
        <w:rPr>
          <w:rFonts w:hint="eastAsia" w:ascii="Times New Roman" w:hAnsi="Times New Roman"/>
          <w:szCs w:val="21"/>
        </w:rPr>
        <w:t>采购响应文件应按以下方法分别装袋密封</w:t>
      </w:r>
    </w:p>
    <w:p>
      <w:pPr>
        <w:snapToGrid w:val="0"/>
        <w:spacing w:line="360" w:lineRule="auto"/>
        <w:ind w:firstLine="420" w:firstLineChars="200"/>
        <w:rPr>
          <w:rFonts w:ascii="Times New Roman" w:hAnsi="Times New Roman"/>
          <w:szCs w:val="21"/>
        </w:rPr>
      </w:pPr>
      <w:r>
        <w:rPr>
          <w:rFonts w:hint="eastAsia" w:ascii="Times New Roman" w:hAnsi="Times New Roman"/>
          <w:szCs w:val="21"/>
        </w:rPr>
        <w:t>采购响应文件需按次序装订成册，</w:t>
      </w:r>
      <w:r>
        <w:rPr>
          <w:rFonts w:hint="eastAsia" w:ascii="Times New Roman" w:hAnsi="Times New Roman"/>
          <w:b/>
          <w:szCs w:val="21"/>
        </w:rPr>
        <w:t>正、副本共一式叁份</w:t>
      </w:r>
      <w:r>
        <w:rPr>
          <w:rFonts w:hint="eastAsia" w:ascii="Times New Roman" w:hAnsi="Times New Roman"/>
          <w:szCs w:val="21"/>
        </w:rPr>
        <w:t>均须装在密封袋内，在密封袋封皮上写明采购编号、采购项目名称、供应商名称。封口处应有供应商公章或</w:t>
      </w:r>
      <w:r>
        <w:rPr>
          <w:rFonts w:hint="eastAsia" w:ascii="Times New Roman" w:hAnsi="Times New Roman"/>
          <w:bCs/>
          <w:szCs w:val="21"/>
        </w:rPr>
        <w:t>法定代表人或授权代表</w:t>
      </w:r>
      <w:r>
        <w:rPr>
          <w:rFonts w:hint="eastAsia" w:ascii="Times New Roman" w:hAnsi="Times New Roman"/>
          <w:szCs w:val="21"/>
        </w:rPr>
        <w:t>签字。</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1.2 </w:t>
      </w:r>
      <w:r>
        <w:rPr>
          <w:rFonts w:hint="eastAsia" w:ascii="Times New Roman" w:hAnsi="Times New Roman"/>
          <w:szCs w:val="21"/>
        </w:rPr>
        <w:t>如果供应商未按上述要求密封及加写标记，采购人对采购响应文件的误投和提前启封不负责任。</w:t>
      </w:r>
    </w:p>
    <w:p>
      <w:pPr>
        <w:snapToGrid w:val="0"/>
        <w:spacing w:line="360" w:lineRule="auto"/>
        <w:rPr>
          <w:rFonts w:ascii="Times New Roman" w:hAnsi="Times New Roman"/>
          <w:b/>
          <w:szCs w:val="21"/>
        </w:rPr>
      </w:pPr>
      <w:r>
        <w:rPr>
          <w:rFonts w:ascii="Times New Roman" w:hAnsi="Times New Roman"/>
          <w:b/>
          <w:szCs w:val="21"/>
        </w:rPr>
        <w:t>2</w:t>
      </w:r>
      <w:r>
        <w:rPr>
          <w:rFonts w:hint="eastAsia" w:ascii="Times New Roman" w:hAnsi="Times New Roman"/>
          <w:b/>
          <w:szCs w:val="21"/>
        </w:rPr>
        <w:t>、递交采购响应文件截止时间</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2.1 </w:t>
      </w:r>
      <w:r>
        <w:rPr>
          <w:rFonts w:hint="eastAsia" w:ascii="Times New Roman" w:hAnsi="Times New Roman"/>
          <w:bCs/>
          <w:szCs w:val="21"/>
        </w:rPr>
        <w:t>采购响应文件必须在规定的递交截止时间前按采购文件规定送达指定的采购响应文件提交地点。</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2.2 </w:t>
      </w:r>
      <w:r>
        <w:rPr>
          <w:rFonts w:hint="eastAsia" w:ascii="Times New Roman" w:hAnsi="Times New Roman"/>
          <w:szCs w:val="21"/>
        </w:rPr>
        <w:t>采购人如因故推迟采购响应文件提交截止时间，应以书面形式通知所有供应商。在这种情况下，采购人和供应商的权利和义务将受到新的截止时间的约束。</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2.3 </w:t>
      </w:r>
      <w:r>
        <w:rPr>
          <w:rFonts w:hint="eastAsia" w:ascii="Times New Roman" w:hAnsi="Times New Roman"/>
          <w:bCs/>
          <w:szCs w:val="21"/>
        </w:rPr>
        <w:t>递交</w:t>
      </w:r>
      <w:r>
        <w:rPr>
          <w:rFonts w:hint="eastAsia" w:ascii="Times New Roman" w:hAnsi="Times New Roman"/>
          <w:szCs w:val="21"/>
        </w:rPr>
        <w:t>截止时间后递交的采购响应文件将拒绝。</w:t>
      </w:r>
    </w:p>
    <w:p>
      <w:pPr>
        <w:snapToGrid w:val="0"/>
        <w:spacing w:line="360" w:lineRule="auto"/>
        <w:rPr>
          <w:rFonts w:ascii="Times New Roman" w:hAnsi="Times New Roman"/>
          <w:b/>
          <w:szCs w:val="21"/>
        </w:rPr>
      </w:pPr>
      <w:r>
        <w:rPr>
          <w:rFonts w:ascii="Times New Roman" w:hAnsi="Times New Roman"/>
          <w:b/>
          <w:szCs w:val="21"/>
        </w:rPr>
        <w:t>3</w:t>
      </w:r>
      <w:r>
        <w:rPr>
          <w:rFonts w:hint="eastAsia" w:ascii="Times New Roman" w:hAnsi="Times New Roman"/>
          <w:b/>
          <w:szCs w:val="21"/>
        </w:rPr>
        <w:t>、采购响应文件的修改和撤回</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3.1 </w:t>
      </w:r>
      <w:r>
        <w:rPr>
          <w:rFonts w:hint="eastAsia" w:ascii="Times New Roman" w:hAnsi="Times New Roman"/>
          <w:szCs w:val="21"/>
        </w:rPr>
        <w:t>供应商在报价以后如必须修改或撤回采购响应文件，必须在采购响应文件提交截止时间以前将书面的报价修改文件或撤标通知邮寄到达或送达采购人。</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3.2 </w:t>
      </w:r>
      <w:r>
        <w:rPr>
          <w:rFonts w:hint="eastAsia" w:ascii="Times New Roman" w:hAnsi="Times New Roman"/>
          <w:szCs w:val="21"/>
        </w:rPr>
        <w:t>报价修改文件必须密封，在密封袋上写明采购编号、采购项目名称、供应商名称、并注明“修改文件”、“谈判时启封”字样。</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3.3 </w:t>
      </w:r>
      <w:r>
        <w:rPr>
          <w:rFonts w:hint="eastAsia" w:ascii="Times New Roman" w:hAnsi="Times New Roman"/>
          <w:szCs w:val="21"/>
        </w:rPr>
        <w:t>供应商以传真或电报形式通知采购人撤标时，必须随后补充有法定代表人或法定代表人授权代表签署的正式文件。</w:t>
      </w:r>
    </w:p>
    <w:p>
      <w:pPr>
        <w:snapToGrid w:val="0"/>
        <w:spacing w:line="360" w:lineRule="auto"/>
        <w:ind w:firstLine="420" w:firstLineChars="200"/>
        <w:rPr>
          <w:rFonts w:ascii="Times New Roman" w:hAnsi="Times New Roman"/>
          <w:szCs w:val="21"/>
        </w:rPr>
      </w:pPr>
    </w:p>
    <w:p>
      <w:pPr>
        <w:pStyle w:val="3"/>
      </w:pPr>
      <w:bookmarkStart w:id="8" w:name="_Toc499729044"/>
      <w:r>
        <w:rPr>
          <w:rFonts w:hint="eastAsia"/>
        </w:rPr>
        <w:t>（五）谈判及合同签订</w:t>
      </w:r>
      <w:bookmarkEnd w:id="8"/>
    </w:p>
    <w:p>
      <w:pPr>
        <w:snapToGrid w:val="0"/>
        <w:spacing w:line="360" w:lineRule="auto"/>
        <w:rPr>
          <w:rFonts w:ascii="Times New Roman" w:hAnsi="Times New Roman"/>
          <w:b/>
          <w:szCs w:val="21"/>
        </w:rPr>
      </w:pPr>
      <w:r>
        <w:rPr>
          <w:rFonts w:ascii="Times New Roman" w:hAnsi="Times New Roman"/>
          <w:b/>
          <w:szCs w:val="21"/>
        </w:rPr>
        <w:t>1</w:t>
      </w:r>
      <w:r>
        <w:rPr>
          <w:rFonts w:hint="eastAsia" w:ascii="Times New Roman" w:hAnsi="Times New Roman"/>
          <w:b/>
          <w:szCs w:val="21"/>
        </w:rPr>
        <w:t>、递交采购响应文件</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1.1 </w:t>
      </w:r>
      <w:r>
        <w:rPr>
          <w:rFonts w:hint="eastAsia" w:ascii="Times New Roman" w:hAnsi="Times New Roman"/>
          <w:szCs w:val="21"/>
        </w:rPr>
        <w:t>供应商按采购文件规定的时间、地点参加采购活动。</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1.2 </w:t>
      </w:r>
      <w:r>
        <w:rPr>
          <w:rFonts w:hint="eastAsia" w:ascii="Times New Roman" w:hAnsi="Times New Roman"/>
          <w:szCs w:val="21"/>
        </w:rPr>
        <w:t>供应商法定代表人或法定代表人授权代表必须签名报到。</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1.3 </w:t>
      </w:r>
      <w:r>
        <w:rPr>
          <w:rFonts w:hint="eastAsia" w:ascii="Times New Roman" w:hAnsi="Times New Roman"/>
          <w:szCs w:val="21"/>
        </w:rPr>
        <w:t>采购人对签收采购响应文件，以存档备查。</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1.4 </w:t>
      </w:r>
      <w:r>
        <w:rPr>
          <w:rFonts w:hint="eastAsia" w:ascii="Times New Roman" w:hAnsi="Times New Roman"/>
          <w:szCs w:val="21"/>
        </w:rPr>
        <w:t>开标时采购响应文件中的报价一览表内容与报价明细表内容不一致的，以报价一览表为准。采购响应文件的大写金额和小写金额不一致的，以大写金额为准；总价金额与按单价汇总金额不一致的，以单价金额计算结果为准；单价金额小数点有明显错位的，应以总价为准，并修改单价；对不同文字文本采购响应文件的解释发生异议的，以中文文本为准。</w:t>
      </w:r>
    </w:p>
    <w:p>
      <w:pPr>
        <w:snapToGrid w:val="0"/>
        <w:spacing w:line="360" w:lineRule="auto"/>
        <w:ind w:firstLine="422" w:firstLineChars="200"/>
        <w:rPr>
          <w:rFonts w:ascii="Times New Roman" w:hAnsi="Times New Roman"/>
          <w:b/>
          <w:szCs w:val="21"/>
        </w:rPr>
      </w:pPr>
      <w:r>
        <w:rPr>
          <w:rFonts w:ascii="Times New Roman" w:hAnsi="Times New Roman"/>
          <w:b/>
          <w:szCs w:val="21"/>
        </w:rPr>
        <w:t xml:space="preserve">1.5  </w:t>
      </w:r>
      <w:r>
        <w:rPr>
          <w:rFonts w:hint="eastAsia" w:ascii="Times New Roman" w:hAnsi="Times New Roman"/>
          <w:b/>
          <w:szCs w:val="21"/>
        </w:rPr>
        <w:t>采购响应文件有下列情况之一者将视为无效：</w:t>
      </w:r>
    </w:p>
    <w:p>
      <w:pPr>
        <w:pStyle w:val="39"/>
        <w:snapToGrid w:val="0"/>
        <w:spacing w:before="0" w:line="360" w:lineRule="auto"/>
        <w:ind w:left="0" w:firstLine="420" w:firstLineChars="200"/>
        <w:rPr>
          <w:rFonts w:ascii="Times New Roman" w:hAnsi="Times New Roman"/>
          <w:bCs/>
          <w:kern w:val="2"/>
          <w:szCs w:val="21"/>
        </w:rPr>
      </w:pPr>
      <w:r>
        <w:rPr>
          <w:rFonts w:hint="eastAsia" w:ascii="Times New Roman" w:hAnsi="Times New Roman"/>
          <w:bCs/>
          <w:szCs w:val="21"/>
        </w:rPr>
        <w:t>（</w:t>
      </w:r>
      <w:r>
        <w:rPr>
          <w:rFonts w:ascii="Times New Roman" w:hAnsi="Times New Roman"/>
          <w:bCs/>
          <w:kern w:val="2"/>
          <w:szCs w:val="21"/>
        </w:rPr>
        <w:t>1</w:t>
      </w:r>
      <w:r>
        <w:rPr>
          <w:rFonts w:hint="eastAsia" w:ascii="Times New Roman" w:hAnsi="Times New Roman"/>
          <w:bCs/>
          <w:kern w:val="2"/>
          <w:szCs w:val="21"/>
        </w:rPr>
        <w:t>）在</w:t>
      </w:r>
      <w:r>
        <w:rPr>
          <w:rFonts w:hint="eastAsia" w:ascii="Times New Roman" w:hAnsi="Times New Roman"/>
          <w:bCs/>
          <w:szCs w:val="21"/>
        </w:rPr>
        <w:t>采购</w:t>
      </w:r>
      <w:r>
        <w:rPr>
          <w:rFonts w:hint="eastAsia" w:ascii="Times New Roman" w:hAnsi="Times New Roman"/>
          <w:bCs/>
          <w:kern w:val="2"/>
          <w:szCs w:val="21"/>
        </w:rPr>
        <w:t>响应文件递交截止时间以后送达的；</w:t>
      </w:r>
    </w:p>
    <w:p>
      <w:pPr>
        <w:pStyle w:val="39"/>
        <w:snapToGrid w:val="0"/>
        <w:spacing w:before="0" w:line="360" w:lineRule="auto"/>
        <w:ind w:left="0" w:firstLine="411" w:firstLineChars="196"/>
        <w:rPr>
          <w:rFonts w:ascii="Times New Roman" w:hAnsi="Times New Roman"/>
          <w:bCs/>
          <w:kern w:val="2"/>
          <w:szCs w:val="21"/>
        </w:rPr>
      </w:pPr>
      <w:r>
        <w:rPr>
          <w:rFonts w:hint="eastAsia" w:ascii="Times New Roman" w:hAnsi="Times New Roman"/>
          <w:bCs/>
          <w:kern w:val="2"/>
          <w:szCs w:val="21"/>
        </w:rPr>
        <w:t>（</w:t>
      </w:r>
      <w:r>
        <w:rPr>
          <w:rFonts w:ascii="Times New Roman" w:hAnsi="Times New Roman"/>
          <w:bCs/>
          <w:kern w:val="2"/>
          <w:szCs w:val="21"/>
        </w:rPr>
        <w:t>2</w:t>
      </w:r>
      <w:r>
        <w:rPr>
          <w:rFonts w:hint="eastAsia" w:ascii="Times New Roman" w:hAnsi="Times New Roman"/>
          <w:bCs/>
          <w:kern w:val="2"/>
          <w:szCs w:val="21"/>
        </w:rPr>
        <w:t>）</w:t>
      </w:r>
      <w:r>
        <w:rPr>
          <w:rFonts w:hint="eastAsia" w:ascii="Times New Roman" w:hAnsi="Times New Roman"/>
          <w:bCs/>
          <w:szCs w:val="21"/>
        </w:rPr>
        <w:t>采购</w:t>
      </w:r>
      <w:r>
        <w:rPr>
          <w:rFonts w:hint="eastAsia" w:ascii="Times New Roman" w:hAnsi="Times New Roman"/>
          <w:bCs/>
          <w:kern w:val="2"/>
          <w:szCs w:val="21"/>
        </w:rPr>
        <w:t>响应文件</w:t>
      </w:r>
      <w:r>
        <w:rPr>
          <w:rFonts w:hint="eastAsia" w:ascii="Times New Roman" w:hAnsi="Times New Roman"/>
          <w:bCs/>
          <w:szCs w:val="21"/>
        </w:rPr>
        <w:t>没有密封包装或者由于包装不妥，在送交途中严重破损或失散的；</w:t>
      </w:r>
    </w:p>
    <w:p>
      <w:pPr>
        <w:pStyle w:val="39"/>
        <w:snapToGrid w:val="0"/>
        <w:spacing w:before="0" w:line="360" w:lineRule="auto"/>
        <w:ind w:left="0" w:firstLine="420" w:firstLineChars="200"/>
        <w:rPr>
          <w:rFonts w:ascii="Times New Roman" w:hAnsi="Times New Roman"/>
          <w:bCs/>
          <w:kern w:val="2"/>
          <w:szCs w:val="21"/>
        </w:rPr>
      </w:pPr>
      <w:r>
        <w:rPr>
          <w:rFonts w:hint="eastAsia" w:ascii="Times New Roman" w:hAnsi="Times New Roman"/>
          <w:bCs/>
          <w:kern w:val="2"/>
          <w:szCs w:val="21"/>
        </w:rPr>
        <w:t>（</w:t>
      </w:r>
      <w:r>
        <w:rPr>
          <w:rFonts w:ascii="Times New Roman" w:hAnsi="Times New Roman"/>
          <w:bCs/>
          <w:kern w:val="2"/>
          <w:szCs w:val="21"/>
        </w:rPr>
        <w:t>3</w:t>
      </w:r>
      <w:r>
        <w:rPr>
          <w:rFonts w:hint="eastAsia" w:ascii="Times New Roman" w:hAnsi="Times New Roman"/>
          <w:bCs/>
          <w:kern w:val="2"/>
          <w:szCs w:val="21"/>
        </w:rPr>
        <w:t>）仅以非纸制文本形式的</w:t>
      </w:r>
      <w:r>
        <w:rPr>
          <w:rFonts w:hint="eastAsia" w:ascii="Times New Roman" w:hAnsi="Times New Roman"/>
          <w:bCs/>
          <w:szCs w:val="21"/>
        </w:rPr>
        <w:t>采购</w:t>
      </w:r>
      <w:r>
        <w:rPr>
          <w:rFonts w:hint="eastAsia" w:ascii="Times New Roman" w:hAnsi="Times New Roman"/>
          <w:bCs/>
          <w:kern w:val="2"/>
          <w:szCs w:val="21"/>
        </w:rPr>
        <w:t>响应文件；</w:t>
      </w:r>
    </w:p>
    <w:p>
      <w:pPr>
        <w:pStyle w:val="39"/>
        <w:snapToGrid w:val="0"/>
        <w:spacing w:before="0" w:line="360" w:lineRule="auto"/>
        <w:ind w:left="0" w:firstLine="420" w:firstLineChars="200"/>
        <w:rPr>
          <w:rFonts w:ascii="Times New Roman" w:hAnsi="Times New Roman"/>
          <w:bCs/>
          <w:kern w:val="2"/>
          <w:szCs w:val="21"/>
        </w:rPr>
      </w:pPr>
      <w:r>
        <w:rPr>
          <w:rFonts w:hint="eastAsia" w:ascii="Times New Roman" w:hAnsi="Times New Roman"/>
          <w:bCs/>
          <w:kern w:val="2"/>
          <w:szCs w:val="21"/>
        </w:rPr>
        <w:t>（</w:t>
      </w:r>
      <w:r>
        <w:rPr>
          <w:rFonts w:ascii="Times New Roman" w:hAnsi="Times New Roman"/>
          <w:bCs/>
          <w:kern w:val="2"/>
          <w:szCs w:val="21"/>
        </w:rPr>
        <w:t>4</w:t>
      </w:r>
      <w:r>
        <w:rPr>
          <w:rFonts w:hint="eastAsia" w:ascii="Times New Roman" w:hAnsi="Times New Roman"/>
          <w:bCs/>
          <w:kern w:val="2"/>
          <w:szCs w:val="21"/>
        </w:rPr>
        <w:t>）供应商的法定代表人或授权代表人未准时到场参加的；</w:t>
      </w:r>
    </w:p>
    <w:p>
      <w:pPr>
        <w:pStyle w:val="39"/>
        <w:snapToGrid w:val="0"/>
        <w:spacing w:before="0" w:line="360" w:lineRule="auto"/>
        <w:ind w:left="0" w:firstLine="420" w:firstLineChars="200"/>
        <w:rPr>
          <w:rFonts w:ascii="Times New Roman" w:hAnsi="Times New Roman"/>
          <w:bCs/>
          <w:kern w:val="2"/>
          <w:szCs w:val="21"/>
        </w:rPr>
      </w:pPr>
      <w:r>
        <w:rPr>
          <w:rFonts w:hint="eastAsia" w:ascii="Times New Roman" w:hAnsi="Times New Roman"/>
          <w:bCs/>
          <w:kern w:val="2"/>
          <w:szCs w:val="21"/>
        </w:rPr>
        <w:t>（</w:t>
      </w:r>
      <w:r>
        <w:rPr>
          <w:rFonts w:ascii="Times New Roman" w:hAnsi="Times New Roman"/>
          <w:bCs/>
          <w:kern w:val="2"/>
          <w:szCs w:val="21"/>
        </w:rPr>
        <w:t>5</w:t>
      </w:r>
      <w:r>
        <w:rPr>
          <w:rFonts w:hint="eastAsia" w:ascii="Times New Roman" w:hAnsi="Times New Roman"/>
          <w:bCs/>
          <w:kern w:val="2"/>
          <w:szCs w:val="21"/>
        </w:rPr>
        <w:t>）未能提供满足采购文件的资格要求的</w:t>
      </w:r>
      <w:r>
        <w:rPr>
          <w:rFonts w:hint="eastAsia" w:ascii="Times New Roman" w:hAnsi="Times New Roman"/>
          <w:bCs/>
          <w:szCs w:val="21"/>
        </w:rPr>
        <w:t>采购</w:t>
      </w:r>
      <w:r>
        <w:rPr>
          <w:rFonts w:hint="eastAsia" w:ascii="Times New Roman" w:hAnsi="Times New Roman"/>
          <w:bCs/>
          <w:kern w:val="2"/>
          <w:szCs w:val="21"/>
        </w:rPr>
        <w:t>响应文件；</w:t>
      </w:r>
    </w:p>
    <w:p>
      <w:pPr>
        <w:pStyle w:val="39"/>
        <w:snapToGrid w:val="0"/>
        <w:spacing w:before="0" w:line="360" w:lineRule="auto"/>
        <w:ind w:left="0" w:firstLine="420" w:firstLineChars="200"/>
        <w:rPr>
          <w:rFonts w:ascii="Times New Roman" w:hAnsi="Times New Roman"/>
          <w:bCs/>
          <w:kern w:val="2"/>
          <w:szCs w:val="21"/>
        </w:rPr>
      </w:pPr>
      <w:r>
        <w:rPr>
          <w:rFonts w:hint="eastAsia" w:ascii="Times New Roman" w:hAnsi="Times New Roman"/>
          <w:bCs/>
          <w:kern w:val="2"/>
          <w:szCs w:val="21"/>
        </w:rPr>
        <w:t>（</w:t>
      </w:r>
      <w:r>
        <w:rPr>
          <w:rFonts w:ascii="Times New Roman" w:hAnsi="Times New Roman"/>
          <w:bCs/>
          <w:kern w:val="2"/>
          <w:szCs w:val="21"/>
        </w:rPr>
        <w:t>6</w:t>
      </w:r>
      <w:r>
        <w:rPr>
          <w:rFonts w:hint="eastAsia" w:ascii="Times New Roman" w:hAnsi="Times New Roman"/>
          <w:bCs/>
          <w:kern w:val="2"/>
          <w:szCs w:val="21"/>
        </w:rPr>
        <w:t>）</w:t>
      </w:r>
      <w:r>
        <w:rPr>
          <w:rFonts w:hint="eastAsia" w:ascii="Times New Roman" w:hAnsi="Times New Roman"/>
          <w:bCs/>
          <w:szCs w:val="21"/>
        </w:rPr>
        <w:t>采购</w:t>
      </w:r>
      <w:r>
        <w:rPr>
          <w:rFonts w:hint="eastAsia" w:ascii="Times New Roman" w:hAnsi="Times New Roman"/>
          <w:bCs/>
          <w:kern w:val="2"/>
          <w:szCs w:val="21"/>
        </w:rPr>
        <w:t>响应文件有采购人不能接受的附加条件的</w:t>
      </w:r>
      <w:r>
        <w:rPr>
          <w:rFonts w:ascii="Times New Roman" w:hAnsi="Times New Roman"/>
          <w:bCs/>
          <w:kern w:val="2"/>
          <w:szCs w:val="21"/>
        </w:rPr>
        <w:t>,</w:t>
      </w:r>
      <w:r>
        <w:rPr>
          <w:rFonts w:hint="eastAsia" w:ascii="Times New Roman" w:hAnsi="Times New Roman"/>
          <w:bCs/>
          <w:szCs w:val="21"/>
        </w:rPr>
        <w:t>报价超预算的</w:t>
      </w:r>
      <w:r>
        <w:rPr>
          <w:rFonts w:hint="eastAsia" w:ascii="Times New Roman" w:hAnsi="Times New Roman"/>
          <w:bCs/>
          <w:kern w:val="2"/>
          <w:szCs w:val="21"/>
        </w:rPr>
        <w:t>；</w:t>
      </w:r>
    </w:p>
    <w:p>
      <w:pPr>
        <w:pStyle w:val="39"/>
        <w:snapToGrid w:val="0"/>
        <w:spacing w:before="0" w:line="360" w:lineRule="auto"/>
        <w:ind w:left="0" w:firstLine="420" w:firstLineChars="200"/>
        <w:rPr>
          <w:rFonts w:ascii="Times New Roman" w:hAnsi="Times New Roman"/>
          <w:bCs/>
          <w:kern w:val="2"/>
          <w:szCs w:val="21"/>
        </w:rPr>
      </w:pPr>
      <w:r>
        <w:rPr>
          <w:rFonts w:hint="eastAsia" w:ascii="Times New Roman" w:hAnsi="Times New Roman"/>
          <w:bCs/>
          <w:kern w:val="2"/>
          <w:szCs w:val="21"/>
        </w:rPr>
        <w:t>（</w:t>
      </w:r>
      <w:r>
        <w:rPr>
          <w:rFonts w:ascii="Times New Roman" w:hAnsi="Times New Roman"/>
          <w:bCs/>
          <w:kern w:val="2"/>
          <w:szCs w:val="21"/>
        </w:rPr>
        <w:t>7</w:t>
      </w:r>
      <w:r>
        <w:rPr>
          <w:rFonts w:hint="eastAsia" w:ascii="Times New Roman" w:hAnsi="Times New Roman"/>
          <w:bCs/>
          <w:kern w:val="2"/>
          <w:szCs w:val="21"/>
        </w:rPr>
        <w:t>）与采购文件有重大偏离或缺漏的</w:t>
      </w:r>
      <w:r>
        <w:rPr>
          <w:rFonts w:hint="eastAsia" w:ascii="Times New Roman" w:hAnsi="Times New Roman"/>
          <w:bCs/>
          <w:szCs w:val="21"/>
        </w:rPr>
        <w:t>采购</w:t>
      </w:r>
      <w:r>
        <w:rPr>
          <w:rFonts w:hint="eastAsia" w:ascii="Times New Roman" w:hAnsi="Times New Roman"/>
          <w:bCs/>
          <w:kern w:val="2"/>
          <w:szCs w:val="21"/>
        </w:rPr>
        <w:t>响应文件；</w:t>
      </w:r>
    </w:p>
    <w:p>
      <w:pPr>
        <w:pStyle w:val="39"/>
        <w:snapToGrid w:val="0"/>
        <w:spacing w:before="0" w:line="360" w:lineRule="auto"/>
        <w:ind w:left="0" w:firstLine="420" w:firstLineChars="200"/>
        <w:rPr>
          <w:rFonts w:ascii="Times New Roman" w:hAnsi="Times New Roman"/>
          <w:bCs/>
          <w:kern w:val="2"/>
          <w:szCs w:val="21"/>
        </w:rPr>
      </w:pPr>
      <w:r>
        <w:rPr>
          <w:rFonts w:hint="eastAsia" w:ascii="Times New Roman" w:hAnsi="Times New Roman"/>
          <w:bCs/>
          <w:kern w:val="2"/>
          <w:szCs w:val="21"/>
        </w:rPr>
        <w:t>（</w:t>
      </w:r>
      <w:r>
        <w:rPr>
          <w:rFonts w:ascii="Times New Roman" w:hAnsi="Times New Roman"/>
          <w:bCs/>
          <w:kern w:val="2"/>
          <w:szCs w:val="21"/>
        </w:rPr>
        <w:t>8</w:t>
      </w:r>
      <w:r>
        <w:rPr>
          <w:rFonts w:hint="eastAsia" w:ascii="Times New Roman" w:hAnsi="Times New Roman"/>
          <w:bCs/>
          <w:kern w:val="2"/>
          <w:szCs w:val="21"/>
        </w:rPr>
        <w:t>）未提供或未如实提供采购内容的技术参数；</w:t>
      </w:r>
      <w:r>
        <w:rPr>
          <w:rFonts w:hint="eastAsia" w:ascii="Times New Roman" w:hAnsi="Times New Roman"/>
          <w:bCs/>
          <w:szCs w:val="21"/>
        </w:rPr>
        <w:t>采购</w:t>
      </w:r>
      <w:r>
        <w:rPr>
          <w:rFonts w:hint="eastAsia" w:ascii="Times New Roman" w:hAnsi="Times New Roman"/>
          <w:bCs/>
          <w:kern w:val="2"/>
          <w:szCs w:val="21"/>
        </w:rPr>
        <w:t>响应文件标明的商务、技术响应或偏离与事实不符或虚假应标的；</w:t>
      </w:r>
    </w:p>
    <w:p>
      <w:pPr>
        <w:pStyle w:val="39"/>
        <w:snapToGrid w:val="0"/>
        <w:spacing w:before="0" w:line="360" w:lineRule="auto"/>
        <w:ind w:left="0" w:firstLine="420" w:firstLineChars="200"/>
        <w:rPr>
          <w:rFonts w:ascii="Times New Roman" w:hAnsi="Times New Roman"/>
          <w:bCs/>
          <w:kern w:val="2"/>
          <w:szCs w:val="21"/>
        </w:rPr>
      </w:pPr>
      <w:r>
        <w:rPr>
          <w:rFonts w:hint="eastAsia" w:ascii="Times New Roman" w:hAnsi="Times New Roman"/>
          <w:bCs/>
          <w:kern w:val="2"/>
          <w:szCs w:val="21"/>
        </w:rPr>
        <w:t>（</w:t>
      </w:r>
      <w:r>
        <w:rPr>
          <w:rFonts w:ascii="Times New Roman" w:hAnsi="Times New Roman"/>
          <w:bCs/>
          <w:kern w:val="2"/>
          <w:szCs w:val="21"/>
        </w:rPr>
        <w:t>9</w:t>
      </w:r>
      <w:r>
        <w:rPr>
          <w:rFonts w:hint="eastAsia" w:ascii="Times New Roman" w:hAnsi="Times New Roman"/>
          <w:bCs/>
          <w:kern w:val="2"/>
          <w:szCs w:val="21"/>
        </w:rPr>
        <w:t>）</w:t>
      </w:r>
      <w:r>
        <w:rPr>
          <w:rFonts w:hint="eastAsia" w:ascii="Times New Roman" w:hAnsi="Times New Roman"/>
          <w:bCs/>
          <w:szCs w:val="21"/>
        </w:rPr>
        <w:t>采购</w:t>
      </w:r>
      <w:r>
        <w:rPr>
          <w:rFonts w:hint="eastAsia" w:ascii="Times New Roman" w:hAnsi="Times New Roman"/>
          <w:bCs/>
          <w:kern w:val="2"/>
          <w:szCs w:val="21"/>
        </w:rPr>
        <w:t>响应文件未有效授权或未提供谈判响应函、报价一览表的</w:t>
      </w:r>
      <w:r>
        <w:rPr>
          <w:rFonts w:hint="eastAsia" w:ascii="Times New Roman" w:hAnsi="Times New Roman"/>
          <w:bCs/>
          <w:szCs w:val="21"/>
        </w:rPr>
        <w:t>采购</w:t>
      </w:r>
      <w:r>
        <w:rPr>
          <w:rFonts w:hint="eastAsia" w:ascii="Times New Roman" w:hAnsi="Times New Roman"/>
          <w:bCs/>
          <w:kern w:val="2"/>
          <w:szCs w:val="21"/>
        </w:rPr>
        <w:t>响应文件；法定代表人授权委托书等填写不完整或有涂改的；</w:t>
      </w:r>
    </w:p>
    <w:p>
      <w:pPr>
        <w:pStyle w:val="39"/>
        <w:snapToGrid w:val="0"/>
        <w:spacing w:before="0" w:line="360" w:lineRule="auto"/>
        <w:ind w:left="0" w:firstLine="0"/>
        <w:rPr>
          <w:rFonts w:ascii="Times New Roman" w:hAnsi="Times New Roman"/>
          <w:bCs/>
          <w:kern w:val="2"/>
          <w:szCs w:val="21"/>
        </w:rPr>
      </w:pPr>
      <w:r>
        <w:rPr>
          <w:rFonts w:hint="eastAsia" w:ascii="Times New Roman" w:hAnsi="Times New Roman"/>
          <w:bCs/>
          <w:kern w:val="2"/>
          <w:szCs w:val="21"/>
        </w:rPr>
        <w:t>　　（</w:t>
      </w:r>
      <w:r>
        <w:rPr>
          <w:rFonts w:ascii="Times New Roman" w:hAnsi="Times New Roman"/>
          <w:bCs/>
          <w:kern w:val="2"/>
          <w:szCs w:val="21"/>
        </w:rPr>
        <w:t>10</w:t>
      </w:r>
      <w:r>
        <w:rPr>
          <w:rFonts w:hint="eastAsia" w:ascii="Times New Roman" w:hAnsi="Times New Roman"/>
          <w:bCs/>
          <w:kern w:val="2"/>
          <w:szCs w:val="21"/>
        </w:rPr>
        <w:t>）不符合法律、法规和本采购文件规定的其他实质性要求的。</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1.6 </w:t>
      </w:r>
      <w:r>
        <w:rPr>
          <w:rFonts w:hint="eastAsia" w:ascii="Times New Roman" w:hAnsi="Times New Roman"/>
          <w:szCs w:val="21"/>
        </w:rPr>
        <w:t>采购响应文件鉴定</w:t>
      </w:r>
    </w:p>
    <w:p>
      <w:pPr>
        <w:snapToGrid w:val="0"/>
        <w:spacing w:line="360" w:lineRule="auto"/>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）采购响应文件被开启时确认为无效，采购人将及时通知该供应商。</w:t>
      </w:r>
    </w:p>
    <w:p>
      <w:pPr>
        <w:snapToGrid w:val="0"/>
        <w:spacing w:line="360" w:lineRule="auto"/>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）开启后递交至谈判小组的采购响应文件，仍需接受相关符合性的检查，并有可能在谈判过程中被判为无效。</w:t>
      </w:r>
    </w:p>
    <w:p>
      <w:pPr>
        <w:snapToGrid w:val="0"/>
        <w:spacing w:line="360" w:lineRule="auto"/>
        <w:rPr>
          <w:rFonts w:ascii="Times New Roman" w:hAnsi="Times New Roman"/>
          <w:b/>
          <w:szCs w:val="21"/>
        </w:rPr>
      </w:pPr>
      <w:r>
        <w:rPr>
          <w:rFonts w:ascii="Times New Roman" w:hAnsi="Times New Roman"/>
          <w:b/>
          <w:szCs w:val="21"/>
        </w:rPr>
        <w:t>2</w:t>
      </w:r>
      <w:r>
        <w:rPr>
          <w:rFonts w:hint="eastAsia" w:ascii="Times New Roman" w:hAnsi="Times New Roman"/>
          <w:b/>
          <w:szCs w:val="21"/>
        </w:rPr>
        <w:t>、评审</w:t>
      </w:r>
    </w:p>
    <w:p>
      <w:pPr>
        <w:snapToGrid w:val="0"/>
        <w:spacing w:line="360" w:lineRule="auto"/>
        <w:ind w:firstLine="420" w:firstLineChars="200"/>
        <w:rPr>
          <w:rFonts w:ascii="Times New Roman" w:hAnsi="Times New Roman"/>
          <w:szCs w:val="21"/>
          <w:lang w:val="zh-CN"/>
        </w:rPr>
      </w:pPr>
      <w:r>
        <w:rPr>
          <w:rFonts w:ascii="Times New Roman" w:hAnsi="Times New Roman"/>
          <w:szCs w:val="21"/>
        </w:rPr>
        <w:t>2.1</w:t>
      </w:r>
      <w:r>
        <w:rPr>
          <w:rFonts w:hint="eastAsia" w:ascii="Times New Roman" w:hAnsi="Times New Roman"/>
          <w:szCs w:val="21"/>
        </w:rPr>
        <w:t>谈判小组由</w:t>
      </w:r>
      <w:r>
        <w:rPr>
          <w:rFonts w:ascii="Times New Roman" w:hAnsi="Times New Roman"/>
          <w:szCs w:val="21"/>
        </w:rPr>
        <w:t>3</w:t>
      </w:r>
      <w:r>
        <w:rPr>
          <w:rFonts w:hint="eastAsia" w:ascii="Times New Roman" w:hAnsi="Times New Roman"/>
          <w:szCs w:val="21"/>
        </w:rPr>
        <w:t>人及以上单数的人员组成，负责对采购响应文件进行审查、谈判。谈判小组</w:t>
      </w:r>
      <w:r>
        <w:rPr>
          <w:rFonts w:hint="eastAsia" w:ascii="Times New Roman" w:hAnsi="Times New Roman"/>
          <w:szCs w:val="21"/>
          <w:lang w:val="zh-CN"/>
        </w:rPr>
        <w:t>由采购人代表和政府采购咨询专家组成，其中政府采购咨询专家人数不少于成员总数的三分之二。</w:t>
      </w:r>
    </w:p>
    <w:p>
      <w:pPr>
        <w:snapToGrid w:val="0"/>
        <w:spacing w:line="360" w:lineRule="auto"/>
        <w:ind w:firstLine="422" w:firstLineChars="200"/>
        <w:rPr>
          <w:rFonts w:ascii="Times New Roman" w:hAnsi="Times New Roman"/>
          <w:b/>
          <w:bCs/>
          <w:szCs w:val="21"/>
        </w:rPr>
      </w:pPr>
      <w:r>
        <w:rPr>
          <w:rFonts w:ascii="Times New Roman" w:hAnsi="Times New Roman"/>
          <w:b/>
          <w:bCs/>
          <w:szCs w:val="21"/>
        </w:rPr>
        <w:t xml:space="preserve">2.2 </w:t>
      </w:r>
      <w:r>
        <w:rPr>
          <w:rFonts w:hint="eastAsia" w:ascii="Times New Roman" w:hAnsi="Times New Roman"/>
          <w:b/>
          <w:bCs/>
          <w:szCs w:val="21"/>
        </w:rPr>
        <w:t>单一来源采购允许多轮报价，最终以质量保证、物有所值、价格合理的原则成交。</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2.3 </w:t>
      </w:r>
      <w:r>
        <w:rPr>
          <w:rFonts w:hint="eastAsia" w:ascii="Times New Roman" w:hAnsi="Times New Roman"/>
          <w:szCs w:val="21"/>
        </w:rPr>
        <w:t>遵循公开、公正、公平、科学、择优的原则，谈判小组成员将本着认真、公正、诚实、廉洁的精神，择优推荐成交候选人。在评审期间，谈判小组及相关工作人员必须严格遵守保密规定，不得泄露评审的有关情况。</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2.4 </w:t>
      </w:r>
      <w:r>
        <w:rPr>
          <w:rFonts w:hint="eastAsia" w:ascii="Times New Roman" w:hAnsi="Times New Roman"/>
          <w:szCs w:val="21"/>
        </w:rPr>
        <w:t>若出现下列情况之一的，经谈判小组评审决议后，可认定为无效采购响应文件：</w:t>
      </w:r>
    </w:p>
    <w:p>
      <w:pPr>
        <w:snapToGrid w:val="0"/>
        <w:spacing w:line="360" w:lineRule="auto"/>
        <w:ind w:firstLine="315" w:firstLineChars="150"/>
        <w:rPr>
          <w:rFonts w:ascii="Times New Roman" w:hAnsi="Times New Roman"/>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）谈判小组少数服从多数原则认定后属于重大偏离的；</w:t>
      </w:r>
    </w:p>
    <w:p>
      <w:pPr>
        <w:snapToGrid w:val="0"/>
        <w:spacing w:line="360" w:lineRule="auto"/>
        <w:ind w:firstLine="315" w:firstLineChars="150"/>
        <w:rPr>
          <w:rFonts w:ascii="Times New Roman" w:hAnsi="Times New Roman"/>
          <w:szCs w:val="21"/>
        </w:rPr>
      </w:pP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）谈判小组认定采购响应文件格式严重不符合采购文件规定的格式要求或字迹模糊、辨认不清的采购响应文件；</w:t>
      </w:r>
    </w:p>
    <w:p>
      <w:pPr>
        <w:snapToGrid w:val="0"/>
        <w:spacing w:line="360" w:lineRule="auto"/>
        <w:ind w:firstLine="315" w:firstLineChars="150"/>
        <w:rPr>
          <w:rFonts w:ascii="Times New Roman" w:hAnsi="Times New Roman"/>
          <w:szCs w:val="21"/>
        </w:rPr>
      </w:pPr>
      <w:r>
        <w:rPr>
          <w:rFonts w:hint="eastAsia" w:ascii="Times New Roman" w:hAnsi="Times New Roman"/>
          <w:szCs w:val="21"/>
        </w:rPr>
        <w:t>（</w:t>
      </w:r>
      <w:r>
        <w:rPr>
          <w:rFonts w:ascii="Times New Roman" w:hAnsi="Times New Roman"/>
          <w:szCs w:val="21"/>
        </w:rPr>
        <w:t>3</w:t>
      </w:r>
      <w:r>
        <w:rPr>
          <w:rFonts w:hint="eastAsia" w:ascii="Times New Roman" w:hAnsi="Times New Roman"/>
          <w:szCs w:val="21"/>
        </w:rPr>
        <w:t>）采购响应文件附有采购人不能接受的条款；</w:t>
      </w:r>
    </w:p>
    <w:p>
      <w:pPr>
        <w:snapToGrid w:val="0"/>
        <w:spacing w:line="360" w:lineRule="auto"/>
        <w:ind w:firstLine="315" w:firstLineChars="150"/>
        <w:rPr>
          <w:rFonts w:ascii="Times New Roman" w:hAnsi="Times New Roman"/>
          <w:szCs w:val="21"/>
        </w:rPr>
      </w:pPr>
      <w:r>
        <w:rPr>
          <w:rFonts w:hint="eastAsia" w:ascii="Times New Roman" w:hAnsi="Times New Roman"/>
          <w:szCs w:val="21"/>
        </w:rPr>
        <w:t>（</w:t>
      </w:r>
      <w:r>
        <w:rPr>
          <w:rFonts w:ascii="Times New Roman" w:hAnsi="Times New Roman"/>
          <w:szCs w:val="21"/>
        </w:rPr>
        <w:t>4</w:t>
      </w:r>
      <w:r>
        <w:rPr>
          <w:rFonts w:hint="eastAsia" w:ascii="Times New Roman" w:hAnsi="Times New Roman"/>
          <w:szCs w:val="21"/>
        </w:rPr>
        <w:t>）报价明显不合理且又不能提供合理的理由或存在弄虚作假情况的；</w:t>
      </w:r>
    </w:p>
    <w:p>
      <w:pPr>
        <w:snapToGrid w:val="0"/>
        <w:spacing w:line="360" w:lineRule="auto"/>
        <w:rPr>
          <w:rFonts w:ascii="Times New Roman" w:hAnsi="Times New Roman"/>
          <w:b/>
          <w:szCs w:val="21"/>
        </w:rPr>
      </w:pPr>
      <w:r>
        <w:rPr>
          <w:rFonts w:ascii="Times New Roman" w:hAnsi="Times New Roman"/>
          <w:b/>
          <w:szCs w:val="21"/>
        </w:rPr>
        <w:t>3</w:t>
      </w:r>
      <w:r>
        <w:rPr>
          <w:rFonts w:hint="eastAsia" w:ascii="Times New Roman" w:hAnsi="Times New Roman"/>
          <w:b/>
          <w:szCs w:val="21"/>
        </w:rPr>
        <w:t>、谈判内容的保密</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3.1 </w:t>
      </w:r>
      <w:r>
        <w:rPr>
          <w:rFonts w:hint="eastAsia" w:ascii="Times New Roman" w:hAnsi="Times New Roman"/>
          <w:szCs w:val="21"/>
        </w:rPr>
        <w:t>报价响应文件被开启后直到宣布成交止，凡属于审查、澄清、评价的所有资料，都不应向供应商或与评审无关的其他人泄露。</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3.2 </w:t>
      </w:r>
      <w:r>
        <w:rPr>
          <w:rFonts w:hint="eastAsia" w:ascii="Times New Roman" w:hAnsi="Times New Roman"/>
          <w:szCs w:val="21"/>
        </w:rPr>
        <w:t>在采购响应文件的审查、澄清、评价和比较以及确定成交人过程中，供应商对采购人和谈判小组施加影响的任何行为，都将导致取消资格。</w:t>
      </w:r>
    </w:p>
    <w:p>
      <w:pPr>
        <w:snapToGrid w:val="0"/>
        <w:spacing w:line="360" w:lineRule="auto"/>
        <w:rPr>
          <w:rFonts w:ascii="Times New Roman" w:hAnsi="Times New Roman"/>
          <w:b/>
          <w:szCs w:val="21"/>
        </w:rPr>
      </w:pPr>
      <w:r>
        <w:rPr>
          <w:rFonts w:ascii="Times New Roman" w:hAnsi="Times New Roman"/>
          <w:b/>
          <w:szCs w:val="21"/>
        </w:rPr>
        <w:t>4</w:t>
      </w:r>
      <w:r>
        <w:rPr>
          <w:rFonts w:hint="eastAsia" w:ascii="Times New Roman" w:hAnsi="Times New Roman"/>
          <w:b/>
          <w:szCs w:val="21"/>
        </w:rPr>
        <w:t>、成交条件</w:t>
      </w:r>
    </w:p>
    <w:p>
      <w:pPr>
        <w:snapToGrid w:val="0"/>
        <w:spacing w:line="360" w:lineRule="auto"/>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）基本符合采购文件要求；</w:t>
      </w:r>
    </w:p>
    <w:p>
      <w:pPr>
        <w:snapToGrid w:val="0"/>
        <w:spacing w:line="360" w:lineRule="auto"/>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）有良好的执行合同的能力；</w:t>
      </w:r>
    </w:p>
    <w:p>
      <w:pPr>
        <w:snapToGrid w:val="0"/>
        <w:spacing w:line="360" w:lineRule="auto"/>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3</w:t>
      </w:r>
      <w:r>
        <w:rPr>
          <w:rFonts w:hint="eastAsia" w:ascii="Times New Roman" w:hAnsi="Times New Roman"/>
          <w:szCs w:val="21"/>
        </w:rPr>
        <w:t>）报价合理。</w:t>
      </w:r>
    </w:p>
    <w:p>
      <w:pPr>
        <w:snapToGrid w:val="0"/>
        <w:spacing w:line="360" w:lineRule="auto"/>
        <w:rPr>
          <w:rFonts w:ascii="Times New Roman" w:hAnsi="Times New Roman"/>
          <w:b/>
          <w:szCs w:val="21"/>
        </w:rPr>
      </w:pPr>
      <w:r>
        <w:rPr>
          <w:rFonts w:ascii="Times New Roman" w:hAnsi="Times New Roman"/>
          <w:b/>
          <w:szCs w:val="21"/>
        </w:rPr>
        <w:t>5</w:t>
      </w:r>
      <w:r>
        <w:rPr>
          <w:rFonts w:hint="eastAsia" w:ascii="Times New Roman" w:hAnsi="Times New Roman"/>
          <w:b/>
          <w:szCs w:val="21"/>
        </w:rPr>
        <w:t>、确定成交供应商</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5.1 </w:t>
      </w:r>
      <w:r>
        <w:rPr>
          <w:rFonts w:hint="eastAsia" w:ascii="Times New Roman" w:hAnsi="Times New Roman"/>
          <w:szCs w:val="21"/>
        </w:rPr>
        <w:t>谈判小组将根据采购文件的规定，履行谈判评审工作职责，以谈判评审要点为标准，全面衡量供应商对采购文件的响应情况。</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 xml:space="preserve">5.2 </w:t>
      </w:r>
      <w:r>
        <w:rPr>
          <w:rFonts w:hint="eastAsia" w:ascii="Times New Roman" w:hAnsi="Times New Roman"/>
          <w:szCs w:val="21"/>
        </w:rPr>
        <w:t>未注册入库的供应商拟参与采购活动的，可以先获取采购文件，再补办注册登记手续，请在报价截止时间前注册入库。一旦被确定为成交候选供应商的，应在成交通知书发出前的</w:t>
      </w:r>
      <w:r>
        <w:rPr>
          <w:rFonts w:ascii="Times New Roman" w:hAnsi="Times New Roman"/>
          <w:szCs w:val="21"/>
        </w:rPr>
        <w:t>3</w:t>
      </w:r>
      <w:r>
        <w:rPr>
          <w:rFonts w:hint="eastAsia" w:ascii="Times New Roman" w:hAnsi="Times New Roman"/>
          <w:szCs w:val="21"/>
        </w:rPr>
        <w:t>个工作日内按有关规定注册，否则，采购组织单位可以拒绝向其发出成交通知书。</w:t>
      </w:r>
    </w:p>
    <w:p>
      <w:pPr>
        <w:snapToGrid w:val="0"/>
        <w:spacing w:line="360" w:lineRule="auto"/>
        <w:rPr>
          <w:rFonts w:ascii="Times New Roman" w:hAnsi="Times New Roman"/>
          <w:b/>
          <w:szCs w:val="21"/>
        </w:rPr>
      </w:pPr>
      <w:r>
        <w:rPr>
          <w:rFonts w:ascii="Times New Roman" w:hAnsi="Times New Roman"/>
          <w:b/>
          <w:szCs w:val="21"/>
        </w:rPr>
        <w:t>6</w:t>
      </w:r>
      <w:r>
        <w:rPr>
          <w:rFonts w:hint="eastAsia" w:ascii="Times New Roman" w:hAnsi="Times New Roman"/>
          <w:b/>
          <w:szCs w:val="21"/>
        </w:rPr>
        <w:t>、成交通知书</w:t>
      </w:r>
    </w:p>
    <w:p>
      <w:pPr>
        <w:snapToGrid w:val="0"/>
        <w:spacing w:line="360" w:lineRule="auto"/>
        <w:ind w:firstLine="420" w:firstLineChars="200"/>
        <w:rPr>
          <w:rFonts w:ascii="Times New Roman" w:hAnsi="Times New Roman"/>
          <w:szCs w:val="21"/>
        </w:rPr>
      </w:pPr>
      <w:r>
        <w:rPr>
          <w:rFonts w:hint="eastAsia" w:ascii="Times New Roman" w:hAnsi="Times New Roman"/>
          <w:szCs w:val="21"/>
        </w:rPr>
        <w:t>在确定成交人后，将以书面形式向成交人发出成交通知书。</w:t>
      </w:r>
    </w:p>
    <w:p>
      <w:pPr>
        <w:snapToGrid w:val="0"/>
        <w:spacing w:line="360" w:lineRule="auto"/>
        <w:rPr>
          <w:rFonts w:ascii="Times New Roman" w:hAnsi="Times New Roman"/>
          <w:bCs/>
          <w:szCs w:val="21"/>
        </w:rPr>
      </w:pPr>
      <w:r>
        <w:rPr>
          <w:rFonts w:ascii="Times New Roman" w:hAnsi="Times New Roman"/>
          <w:b/>
          <w:szCs w:val="21"/>
        </w:rPr>
        <w:t>7</w:t>
      </w:r>
      <w:r>
        <w:rPr>
          <w:rFonts w:hint="eastAsia" w:ascii="Times New Roman" w:hAnsi="Times New Roman"/>
          <w:b/>
          <w:szCs w:val="21"/>
        </w:rPr>
        <w:t>、签订合同</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7.1 </w:t>
      </w:r>
      <w:r>
        <w:rPr>
          <w:rFonts w:hint="eastAsia" w:ascii="Times New Roman" w:hAnsi="Times New Roman"/>
          <w:szCs w:val="21"/>
        </w:rPr>
        <w:t>成交人应按成交通知书规定的时间、地点与采购人签订合同。</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7.2 </w:t>
      </w:r>
      <w:r>
        <w:rPr>
          <w:rFonts w:hint="eastAsia" w:ascii="Times New Roman" w:hAnsi="Times New Roman"/>
          <w:szCs w:val="21"/>
        </w:rPr>
        <w:t>采购文件、成交人的采购响应文件及报价修改文件、评审过程中有关澄清、谈判纪要和成交通知书均作为合同附件。</w:t>
      </w:r>
    </w:p>
    <w:p>
      <w:pPr>
        <w:snapToGrid w:val="0"/>
        <w:spacing w:line="360" w:lineRule="auto"/>
        <w:ind w:firstLine="420" w:firstLineChars="200"/>
        <w:rPr>
          <w:rFonts w:ascii="Times New Roman" w:hAnsi="Times New Roman"/>
          <w:szCs w:val="21"/>
        </w:rPr>
      </w:pPr>
      <w:r>
        <w:rPr>
          <w:rFonts w:ascii="Times New Roman" w:hAnsi="Times New Roman"/>
          <w:szCs w:val="21"/>
        </w:rPr>
        <w:t xml:space="preserve">7.3 </w:t>
      </w:r>
      <w:r>
        <w:rPr>
          <w:rFonts w:hint="eastAsia" w:ascii="Times New Roman" w:hAnsi="Times New Roman"/>
          <w:szCs w:val="21"/>
        </w:rPr>
        <w:t>拒签合同的责任</w:t>
      </w:r>
    </w:p>
    <w:p>
      <w:pPr>
        <w:snapToGrid w:val="0"/>
        <w:spacing w:line="360" w:lineRule="auto"/>
        <w:ind w:firstLine="420" w:firstLineChars="200"/>
        <w:rPr>
          <w:rFonts w:ascii="Times New Roman" w:hAnsi="Times New Roman"/>
          <w:szCs w:val="21"/>
        </w:rPr>
      </w:pPr>
      <w:r>
        <w:rPr>
          <w:rFonts w:hint="eastAsia" w:ascii="Times New Roman" w:hAnsi="Times New Roman"/>
          <w:szCs w:val="21"/>
        </w:rPr>
        <w:t>成交人接到成交通知书后，在规定时间内借故否认已经承诺的条件而拒签合同者，以谈判违约处理，并赔偿采购人由此造成的直接经济损失。</w:t>
      </w:r>
    </w:p>
    <w:p>
      <w:pPr>
        <w:pStyle w:val="40"/>
        <w:adjustRightInd w:val="0"/>
        <w:snapToGrid w:val="0"/>
        <w:spacing w:before="0"/>
        <w:ind w:firstLine="0" w:firstLineChars="0"/>
        <w:rPr>
          <w:rFonts w:ascii="Times New Roman" w:hAnsi="Times New Roman"/>
          <w:b/>
          <w:sz w:val="21"/>
          <w:szCs w:val="21"/>
        </w:rPr>
      </w:pPr>
      <w:r>
        <w:rPr>
          <w:rFonts w:ascii="Times New Roman" w:hAnsi="Times New Roman"/>
          <w:b/>
          <w:sz w:val="21"/>
          <w:szCs w:val="21"/>
        </w:rPr>
        <w:t>8</w:t>
      </w:r>
      <w:r>
        <w:rPr>
          <w:rFonts w:hint="eastAsia" w:ascii="Times New Roman" w:hAnsi="Times New Roman"/>
          <w:b/>
          <w:sz w:val="21"/>
          <w:szCs w:val="21"/>
        </w:rPr>
        <w:t>、谈判中止</w:t>
      </w:r>
    </w:p>
    <w:p>
      <w:pPr>
        <w:pStyle w:val="8"/>
        <w:adjustRightInd w:val="0"/>
        <w:snapToGrid w:val="0"/>
        <w:spacing w:line="360" w:lineRule="auto"/>
        <w:ind w:firstLine="420"/>
        <w:rPr>
          <w:rFonts w:ascii="Times New Roman" w:hAnsi="Times New Roman"/>
          <w:bCs/>
          <w:sz w:val="21"/>
          <w:szCs w:val="21"/>
        </w:rPr>
      </w:pPr>
      <w:r>
        <w:rPr>
          <w:rFonts w:hint="eastAsia" w:ascii="Times New Roman" w:hAnsi="Times New Roman"/>
          <w:bCs/>
          <w:sz w:val="21"/>
          <w:szCs w:val="21"/>
        </w:rPr>
        <w:t>在采购中，出现下列情形之一的，应予中止：</w:t>
      </w:r>
    </w:p>
    <w:p>
      <w:pPr>
        <w:pStyle w:val="8"/>
        <w:adjustRightInd w:val="0"/>
        <w:snapToGrid w:val="0"/>
        <w:spacing w:line="360" w:lineRule="auto"/>
        <w:ind w:firstLine="420"/>
        <w:rPr>
          <w:rFonts w:ascii="Times New Roman" w:hAnsi="Times New Roman"/>
          <w:bCs/>
          <w:sz w:val="21"/>
          <w:szCs w:val="21"/>
        </w:rPr>
      </w:pPr>
      <w:r>
        <w:rPr>
          <w:rFonts w:hint="eastAsia" w:ascii="Times New Roman" w:hAnsi="Times New Roman"/>
          <w:bCs/>
          <w:sz w:val="21"/>
          <w:szCs w:val="21"/>
        </w:rPr>
        <w:t>（</w:t>
      </w:r>
      <w:r>
        <w:rPr>
          <w:rFonts w:ascii="Times New Roman" w:hAnsi="Times New Roman"/>
          <w:bCs/>
          <w:sz w:val="21"/>
          <w:szCs w:val="21"/>
        </w:rPr>
        <w:t>1</w:t>
      </w:r>
      <w:r>
        <w:rPr>
          <w:rFonts w:hint="eastAsia" w:ascii="Times New Roman" w:hAnsi="Times New Roman"/>
          <w:bCs/>
          <w:sz w:val="21"/>
          <w:szCs w:val="21"/>
        </w:rPr>
        <w:t>）出现影响采购公正的违法、违规行为的；</w:t>
      </w:r>
    </w:p>
    <w:p>
      <w:pPr>
        <w:pStyle w:val="8"/>
        <w:adjustRightInd w:val="0"/>
        <w:snapToGrid w:val="0"/>
        <w:spacing w:line="360" w:lineRule="auto"/>
        <w:ind w:firstLine="422"/>
        <w:rPr>
          <w:rFonts w:ascii="Times New Roman" w:hAnsi="Times New Roman"/>
          <w:b/>
          <w:sz w:val="21"/>
          <w:szCs w:val="21"/>
        </w:rPr>
      </w:pPr>
      <w:r>
        <w:rPr>
          <w:rFonts w:hint="eastAsia" w:ascii="Times New Roman" w:hAnsi="Times New Roman"/>
          <w:b/>
          <w:sz w:val="21"/>
          <w:szCs w:val="21"/>
        </w:rPr>
        <w:t>（</w:t>
      </w:r>
      <w:r>
        <w:rPr>
          <w:rFonts w:ascii="Times New Roman" w:hAnsi="Times New Roman"/>
          <w:b/>
          <w:sz w:val="21"/>
          <w:szCs w:val="21"/>
        </w:rPr>
        <w:t>2</w:t>
      </w:r>
      <w:r>
        <w:rPr>
          <w:rFonts w:hint="eastAsia" w:ascii="Times New Roman" w:hAnsi="Times New Roman"/>
          <w:b/>
          <w:sz w:val="21"/>
          <w:szCs w:val="21"/>
        </w:rPr>
        <w:t>）报价均超过预算，不能支付的（</w:t>
      </w:r>
      <w:r>
        <w:rPr>
          <w:rFonts w:hint="eastAsia" w:ascii="Times New Roman" w:hAnsi="Times New Roman"/>
          <w:b/>
          <w:sz w:val="21"/>
          <w:szCs w:val="21"/>
          <w:lang w:val="en-US" w:eastAsia="zh-CN"/>
        </w:rPr>
        <w:t>预算：57万元</w:t>
      </w:r>
      <w:r>
        <w:rPr>
          <w:rFonts w:hint="eastAsia" w:ascii="Times New Roman" w:hAnsi="Times New Roman"/>
          <w:b/>
          <w:sz w:val="21"/>
          <w:szCs w:val="21"/>
        </w:rPr>
        <w:t>）；</w:t>
      </w:r>
    </w:p>
    <w:p>
      <w:pPr>
        <w:pStyle w:val="8"/>
        <w:adjustRightInd w:val="0"/>
        <w:snapToGrid w:val="0"/>
        <w:spacing w:line="360" w:lineRule="auto"/>
        <w:ind w:firstLine="420"/>
        <w:rPr>
          <w:rFonts w:ascii="Times New Roman" w:hAnsi="Times New Roman"/>
          <w:bCs/>
          <w:sz w:val="21"/>
          <w:szCs w:val="21"/>
        </w:rPr>
      </w:pPr>
      <w:r>
        <w:rPr>
          <w:rFonts w:hint="eastAsia" w:ascii="Times New Roman" w:hAnsi="Times New Roman"/>
          <w:bCs/>
          <w:sz w:val="21"/>
          <w:szCs w:val="21"/>
        </w:rPr>
        <w:t>（</w:t>
      </w:r>
      <w:r>
        <w:rPr>
          <w:rFonts w:ascii="Times New Roman" w:hAnsi="Times New Roman"/>
          <w:bCs/>
          <w:sz w:val="21"/>
          <w:szCs w:val="21"/>
        </w:rPr>
        <w:t>3</w:t>
      </w:r>
      <w:r>
        <w:rPr>
          <w:rFonts w:hint="eastAsia" w:ascii="Times New Roman" w:hAnsi="Times New Roman"/>
          <w:bCs/>
          <w:sz w:val="21"/>
          <w:szCs w:val="21"/>
        </w:rPr>
        <w:t>）因重大变故，采购任务取消的。</w:t>
      </w:r>
    </w:p>
    <w:p>
      <w:pPr>
        <w:pStyle w:val="2"/>
        <w:spacing w:before="240" w:after="240"/>
      </w:pPr>
      <w:r>
        <w:rPr>
          <w:highlight w:val="yellow"/>
        </w:rPr>
        <w:br w:type="page"/>
      </w:r>
      <w:bookmarkStart w:id="9" w:name="_Toc499729045"/>
      <w:r>
        <w:rPr>
          <w:rFonts w:hint="eastAsia"/>
        </w:rPr>
        <w:t>第三章 采购技术需求及商务条款</w:t>
      </w:r>
      <w:bookmarkEnd w:id="2"/>
      <w:bookmarkEnd w:id="9"/>
    </w:p>
    <w:p>
      <w:pPr>
        <w:adjustRightInd w:val="0"/>
        <w:spacing w:line="360" w:lineRule="auto"/>
        <w:ind w:firstLine="600" w:firstLineChars="250"/>
        <w:textAlignment w:val="baseline"/>
        <w:rPr>
          <w:rFonts w:asciiTheme="minorEastAsia" w:hAnsiTheme="minorEastAsia" w:eastAsiaTheme="minorEastAsia"/>
          <w:sz w:val="24"/>
        </w:rPr>
      </w:pPr>
      <w:bookmarkStart w:id="10" w:name="_Toc499729050"/>
      <w:r>
        <w:rPr>
          <w:rFonts w:hint="eastAsia" w:asciiTheme="minorEastAsia" w:hAnsiTheme="minorEastAsia" w:eastAsiaTheme="minorEastAsia"/>
          <w:sz w:val="24"/>
        </w:rPr>
        <w:t>本项目为浙江财经大学智慧教务综合服务平台</w:t>
      </w:r>
      <w:r>
        <w:rPr>
          <w:rFonts w:hint="eastAsia" w:asciiTheme="minorEastAsia" w:hAnsiTheme="minorEastAsia" w:eastAsiaTheme="minorEastAsia"/>
          <w:sz w:val="24"/>
          <w:lang w:eastAsia="zh-CN"/>
        </w:rPr>
        <w:t>二期</w:t>
      </w:r>
      <w:r>
        <w:rPr>
          <w:rFonts w:hint="eastAsia" w:asciiTheme="minorEastAsia" w:hAnsiTheme="minorEastAsia" w:eastAsiaTheme="minorEastAsia"/>
          <w:sz w:val="24"/>
        </w:rPr>
        <w:t>项目，详见采购项目概述。</w:t>
      </w:r>
    </w:p>
    <w:p>
      <w:pPr>
        <w:pStyle w:val="2"/>
        <w:numPr>
          <w:ilvl w:val="0"/>
          <w:numId w:val="1"/>
        </w:numPr>
        <w:spacing w:before="240" w:beforeLines="0" w:after="240" w:afterLines="0" w:line="578" w:lineRule="auto"/>
        <w:jc w:val="both"/>
      </w:pPr>
      <w:r>
        <w:rPr>
          <w:rFonts w:hint="eastAsia"/>
        </w:rPr>
        <w:t>项目</w:t>
      </w:r>
      <w:r>
        <w:t>概述</w:t>
      </w:r>
    </w:p>
    <w:p>
      <w:pPr>
        <w:pStyle w:val="3"/>
        <w:numPr>
          <w:ilvl w:val="1"/>
          <w:numId w:val="1"/>
        </w:numPr>
        <w:spacing w:before="260" w:after="260" w:line="416" w:lineRule="auto"/>
        <w:jc w:val="both"/>
      </w:pPr>
      <w:r>
        <w:rPr>
          <w:rFonts w:hint="eastAsia"/>
        </w:rPr>
        <w:t>项目</w:t>
      </w:r>
      <w:r>
        <w:t>背景</w:t>
      </w:r>
    </w:p>
    <w:p>
      <w:pPr>
        <w:spacing w:line="360" w:lineRule="auto"/>
        <w:ind w:firstLine="420" w:firstLineChars="200"/>
        <w:rPr>
          <w:rFonts w:hint="eastAsia"/>
        </w:rPr>
      </w:pPr>
      <w:r>
        <w:rPr>
          <w:rFonts w:hint="eastAsia"/>
        </w:rPr>
        <w:t>2012年3月教育部正式颁布了《教育信息化十年发展规划（2011-2020年）》，文件指出以教育信息化带动教育现代化，是我国教育事业发展的战略选择。制定和实施《规划》，建设覆盖城乡各级各类学校的教育信息化体系，促进优质教育资源普及共享，推进信息技术与教育教学深度融合，实现教育思想、理念、方法和手段全方位创新，对于提高教育质量、促进教育公平、构建学习型社会和人力资源强国具有重大意义。这也意味着教学信息化工作应随着教育工作改革不断推进。</w:t>
      </w:r>
    </w:p>
    <w:p>
      <w:pPr>
        <w:spacing w:line="360" w:lineRule="auto"/>
        <w:ind w:firstLine="420" w:firstLineChars="200"/>
        <w:rPr>
          <w:rFonts w:hint="eastAsia"/>
        </w:rPr>
      </w:pPr>
      <w:r>
        <w:rPr>
          <w:rFonts w:hint="eastAsia"/>
        </w:rPr>
        <w:t>浙江省在《浙江省中长期教育改革和发展规划纲要（2010-2020年）》中确立了全面加快教育现代化的总体战略，并突出强调教育信息化在教育现代化建设中的地位和作用，把教育信息化作为教育现代化的主要目标之一和重要支撑。2016年，浙江省教育厅下发了《关于开展浙江省普通本科高校分类评价管理改革的办法（试行）》浙教高教〔2016〕107号的通知，主要目标定位于推动高校科学定位，集聚优势，特色发展，努力优化我省高等教育结构，加快构建现代高等教育体系，实现“不同类型的高校，不同的建设任务、不同的政策支持、不同的考核要求”，不断提升高等教育发展水平，为经济社会发展提供更强有力的人才保证、智力支持和科技支撑。</w:t>
      </w:r>
    </w:p>
    <w:p>
      <w:pPr>
        <w:spacing w:line="360" w:lineRule="auto"/>
        <w:ind w:firstLine="420" w:firstLineChars="200"/>
      </w:pPr>
      <w:r>
        <w:rPr>
          <w:rFonts w:hint="eastAsia"/>
        </w:rPr>
        <w:t>因此，当前高校教育制度与人才培养改革、教学与管理信息化的变革将推动高校教务管理工作的改革，也对教务管理系统的建设提出了更高的要求。</w:t>
      </w:r>
    </w:p>
    <w:p>
      <w:pPr>
        <w:pStyle w:val="3"/>
        <w:numPr>
          <w:ilvl w:val="1"/>
          <w:numId w:val="1"/>
        </w:numPr>
        <w:spacing w:before="260" w:after="260" w:line="416" w:lineRule="auto"/>
        <w:jc w:val="both"/>
      </w:pPr>
      <w:r>
        <w:rPr>
          <w:rFonts w:hint="eastAsia"/>
        </w:rPr>
        <w:t>项目建设</w:t>
      </w:r>
      <w:r>
        <w:t>意义</w:t>
      </w:r>
    </w:p>
    <w:p>
      <w:pPr>
        <w:spacing w:line="360" w:lineRule="auto"/>
        <w:ind w:firstLine="420" w:firstLineChars="200"/>
        <w:rPr>
          <w:rFonts w:hint="eastAsia"/>
        </w:rPr>
      </w:pPr>
      <w:r>
        <w:rPr>
          <w:rFonts w:hint="eastAsia"/>
        </w:rPr>
        <w:t>教务管理的实质是设计并维持一种良好的教学管理环境，使教师和学生在教学过程中高效率地达成既定的教学目标。将先进的信息技术运用到日常管理工作中，是深化教务体制改革、实现教学管理科学化、规范化和现代化的必要手段。</w:t>
      </w:r>
    </w:p>
    <w:p>
      <w:pPr>
        <w:spacing w:line="360" w:lineRule="auto"/>
        <w:ind w:firstLine="420" w:firstLineChars="200"/>
        <w:rPr>
          <w:rFonts w:hint="eastAsia"/>
        </w:rPr>
      </w:pPr>
      <w:r>
        <w:rPr>
          <w:rFonts w:hint="eastAsia"/>
        </w:rPr>
        <w:t>（1）能够增强学校在教学信息化方面的管理能力，进一步提升学校在教学信息化建设中的综合竞争力及品牌效应；</w:t>
      </w:r>
    </w:p>
    <w:p>
      <w:pPr>
        <w:spacing w:line="360" w:lineRule="auto"/>
        <w:ind w:firstLine="420" w:firstLineChars="200"/>
        <w:rPr>
          <w:rFonts w:hint="eastAsia"/>
        </w:rPr>
      </w:pPr>
      <w:r>
        <w:rPr>
          <w:rFonts w:hint="eastAsia"/>
        </w:rPr>
        <w:t>（2）能够适应学校大类分类等教学改革的需要，改善部分业务条块分割问题。通过对学校的选课流程优化，进而提高管理、教学等办公效率；</w:t>
      </w:r>
    </w:p>
    <w:p>
      <w:pPr>
        <w:spacing w:line="360" w:lineRule="auto"/>
        <w:ind w:firstLine="420" w:firstLineChars="200"/>
        <w:rPr>
          <w:rFonts w:hint="eastAsia"/>
        </w:rPr>
      </w:pPr>
      <w:r>
        <w:rPr>
          <w:rFonts w:hint="eastAsia"/>
        </w:rPr>
        <w:t>（3）能够节约学校日常教学方面的运营成本，为广大师生日常教学工作及管理工作带来更大的便利；</w:t>
      </w:r>
    </w:p>
    <w:p>
      <w:pPr>
        <w:spacing w:line="360" w:lineRule="auto"/>
        <w:ind w:firstLine="420" w:firstLineChars="200"/>
        <w:rPr>
          <w:rFonts w:hint="eastAsia"/>
        </w:rPr>
      </w:pPr>
      <w:r>
        <w:rPr>
          <w:rFonts w:hint="eastAsia"/>
        </w:rPr>
        <w:t>（4）加速教育教学观念的转变，利用无线技术加强移动终端应用，确立以人为本的教学理念，将更便捷的教学服务引入到教学中，最终实现教育教学观念和方式的转变。</w:t>
      </w:r>
    </w:p>
    <w:p>
      <w:pPr>
        <w:spacing w:line="360" w:lineRule="auto"/>
        <w:ind w:firstLine="420" w:firstLineChars="200"/>
      </w:pPr>
      <w:r>
        <w:rPr>
          <w:rFonts w:hint="eastAsia"/>
        </w:rPr>
        <w:t>（5）各级领导教学管理决策数字化，通过前期教学基础数据的积累，结合信息技术的应用成果，为各级领导提供决策所需的信息资源，帮助明确决策目标，为正确教学决策提供必要支持。</w:t>
      </w:r>
    </w:p>
    <w:p>
      <w:pPr>
        <w:pStyle w:val="2"/>
        <w:numPr>
          <w:ilvl w:val="0"/>
          <w:numId w:val="1"/>
        </w:numPr>
        <w:spacing w:before="240" w:beforeLines="0" w:after="240" w:afterLines="0" w:line="578" w:lineRule="auto"/>
        <w:jc w:val="both"/>
      </w:pPr>
      <w:r>
        <w:rPr>
          <w:rFonts w:hint="eastAsia"/>
        </w:rPr>
        <w:t>技术</w:t>
      </w:r>
      <w:r>
        <w:t>要求</w:t>
      </w:r>
    </w:p>
    <w:p>
      <w:pPr>
        <w:pStyle w:val="3"/>
        <w:numPr>
          <w:ilvl w:val="1"/>
          <w:numId w:val="1"/>
        </w:numPr>
        <w:spacing w:before="260" w:after="260" w:line="416" w:lineRule="auto"/>
        <w:jc w:val="both"/>
      </w:pPr>
      <w:r>
        <w:rPr>
          <w:rFonts w:hint="eastAsia"/>
        </w:rPr>
        <w:t>软硬件要求</w:t>
      </w:r>
    </w:p>
    <w:p>
      <w:pPr>
        <w:pStyle w:val="43"/>
        <w:widowControl w:val="0"/>
        <w:numPr>
          <w:ilvl w:val="0"/>
          <w:numId w:val="2"/>
        </w:numPr>
        <w:spacing w:after="0" w:line="360" w:lineRule="auto"/>
        <w:contextualSpacing w:val="0"/>
        <w:jc w:val="both"/>
      </w:pPr>
      <w:bookmarkStart w:id="11" w:name="_Toc307129004"/>
      <w:bookmarkStart w:id="12" w:name="_Toc355318763"/>
      <w:r>
        <w:rPr>
          <w:rFonts w:hint="eastAsia"/>
        </w:rPr>
        <w:t>开发及运行平台</w:t>
      </w:r>
      <w:bookmarkEnd w:id="11"/>
      <w:bookmarkEnd w:id="12"/>
    </w:p>
    <w:p>
      <w:pPr>
        <w:pStyle w:val="43"/>
        <w:spacing w:line="360" w:lineRule="auto"/>
        <w:ind w:left="420" w:leftChars="200"/>
        <w:rPr>
          <w:lang w:eastAsia="zh-CN"/>
        </w:rPr>
      </w:pPr>
      <w:r>
        <w:rPr>
          <w:rFonts w:hint="eastAsia"/>
          <w:lang w:eastAsia="zh-CN"/>
        </w:rPr>
        <w:t>系统应采用成熟的体系架构，具备良好的跨平台能力；系统服务器采用</w:t>
      </w:r>
      <w:r>
        <w:rPr>
          <w:lang w:eastAsia="zh-CN"/>
        </w:rPr>
        <w:t>L</w:t>
      </w:r>
      <w:r>
        <w:rPr>
          <w:rFonts w:hint="eastAsia"/>
          <w:lang w:eastAsia="zh-CN"/>
        </w:rPr>
        <w:t>inux 操作系统，中间件采用</w:t>
      </w:r>
      <w:r>
        <w:rPr>
          <w:rFonts w:hint="eastAsia"/>
          <w:lang w:val="en-US" w:eastAsia="zh-CN"/>
        </w:rPr>
        <w:t>Tomcat7.0及以上版本</w:t>
      </w:r>
      <w:r>
        <w:rPr>
          <w:rFonts w:hint="eastAsia"/>
          <w:lang w:eastAsia="zh-CN"/>
        </w:rPr>
        <w:t>、数据库采用Oracle</w:t>
      </w:r>
      <w:r>
        <w:rPr>
          <w:lang w:eastAsia="zh-CN"/>
        </w:rPr>
        <w:t xml:space="preserve"> 1</w:t>
      </w:r>
      <w:r>
        <w:rPr>
          <w:rFonts w:hint="eastAsia"/>
          <w:lang w:val="en-US" w:eastAsia="zh-CN"/>
        </w:rPr>
        <w:t>1G及以上版本</w:t>
      </w:r>
      <w:r>
        <w:rPr>
          <w:rFonts w:hint="eastAsia"/>
          <w:lang w:eastAsia="zh-CN"/>
        </w:rPr>
        <w:t>等。</w:t>
      </w:r>
    </w:p>
    <w:p>
      <w:pPr>
        <w:pStyle w:val="43"/>
        <w:widowControl w:val="0"/>
        <w:numPr>
          <w:ilvl w:val="0"/>
          <w:numId w:val="2"/>
        </w:numPr>
        <w:spacing w:after="0" w:line="360" w:lineRule="auto"/>
        <w:contextualSpacing w:val="0"/>
        <w:jc w:val="both"/>
      </w:pPr>
      <w:r>
        <w:rPr>
          <w:rFonts w:hint="eastAsia"/>
        </w:rPr>
        <w:t>软件体系架构要求</w:t>
      </w:r>
    </w:p>
    <w:p>
      <w:pPr>
        <w:pStyle w:val="43"/>
        <w:spacing w:line="360" w:lineRule="auto"/>
        <w:ind w:left="420" w:leftChars="200"/>
        <w:rPr>
          <w:lang w:eastAsia="zh-CN"/>
        </w:rPr>
      </w:pPr>
      <w:r>
        <w:rPr>
          <w:lang w:eastAsia="zh-CN"/>
        </w:rPr>
        <w:t>系统</w:t>
      </w:r>
      <w:r>
        <w:rPr>
          <w:rFonts w:hint="eastAsia"/>
          <w:lang w:eastAsia="zh-CN"/>
        </w:rPr>
        <w:t>设计</w:t>
      </w:r>
      <w:r>
        <w:rPr>
          <w:lang w:eastAsia="zh-CN"/>
        </w:rPr>
        <w:t>必须是</w:t>
      </w:r>
      <w:r>
        <w:rPr>
          <w:rFonts w:hint="eastAsia"/>
          <w:lang w:val="en-US" w:eastAsia="zh-CN"/>
        </w:rPr>
        <w:t>组</w:t>
      </w:r>
      <w:r>
        <w:rPr>
          <w:lang w:eastAsia="zh-CN"/>
        </w:rPr>
        <w:t>件化、面向对象的，做到灵活性好、可维护性高</w:t>
      </w:r>
      <w:r>
        <w:rPr>
          <w:rFonts w:hint="eastAsia"/>
          <w:lang w:eastAsia="zh-CN"/>
        </w:rPr>
        <w:t>,校方可以进行独立二次开发。</w:t>
      </w:r>
    </w:p>
    <w:p>
      <w:pPr>
        <w:pStyle w:val="43"/>
        <w:widowControl w:val="0"/>
        <w:numPr>
          <w:ilvl w:val="0"/>
          <w:numId w:val="2"/>
        </w:numPr>
        <w:spacing w:after="0" w:line="360" w:lineRule="auto"/>
        <w:contextualSpacing w:val="0"/>
        <w:jc w:val="both"/>
        <w:rPr>
          <w:lang w:eastAsia="zh-CN"/>
        </w:rPr>
      </w:pPr>
      <w:r>
        <w:rPr>
          <w:rFonts w:hint="eastAsia"/>
          <w:lang w:eastAsia="zh-CN"/>
        </w:rPr>
        <w:t>系统架构开放，采用表现层、业务逻辑层、数据层等的三层或多层分离结构基础上的B</w:t>
      </w:r>
      <w:r>
        <w:rPr>
          <w:lang w:eastAsia="zh-CN"/>
        </w:rPr>
        <w:t>/S</w:t>
      </w:r>
      <w:r>
        <w:rPr>
          <w:rFonts w:hint="eastAsia"/>
          <w:lang w:eastAsia="zh-CN"/>
        </w:rPr>
        <w:t>模式。</w:t>
      </w:r>
    </w:p>
    <w:p>
      <w:pPr>
        <w:pStyle w:val="43"/>
        <w:widowControl w:val="0"/>
        <w:numPr>
          <w:ilvl w:val="0"/>
          <w:numId w:val="2"/>
        </w:numPr>
        <w:spacing w:after="0" w:line="360" w:lineRule="auto"/>
        <w:contextualSpacing w:val="0"/>
        <w:jc w:val="both"/>
        <w:rPr>
          <w:lang w:eastAsia="zh-CN"/>
        </w:rPr>
      </w:pPr>
      <w:r>
        <w:rPr>
          <w:rFonts w:hint="eastAsia"/>
          <w:lang w:eastAsia="zh-CN"/>
        </w:rPr>
        <w:t>系统软件功能架构设计支持水平和垂直的扩展，以保证系统的升级和扩充。</w:t>
      </w:r>
    </w:p>
    <w:p>
      <w:pPr>
        <w:pStyle w:val="43"/>
        <w:widowControl w:val="0"/>
        <w:numPr>
          <w:ilvl w:val="0"/>
          <w:numId w:val="2"/>
        </w:numPr>
        <w:spacing w:after="0" w:line="360" w:lineRule="auto"/>
        <w:contextualSpacing w:val="0"/>
        <w:jc w:val="both"/>
        <w:rPr>
          <w:lang w:eastAsia="zh-CN"/>
        </w:rPr>
      </w:pPr>
      <w:r>
        <w:rPr>
          <w:rFonts w:hint="eastAsia"/>
          <w:lang w:eastAsia="zh-CN"/>
        </w:rPr>
        <w:t>预留标准的外部接入接口和平台对外服务API</w:t>
      </w:r>
      <w:r>
        <w:rPr>
          <w:lang w:eastAsia="zh-CN"/>
        </w:rPr>
        <w:t xml:space="preserve"> 。</w:t>
      </w:r>
    </w:p>
    <w:p>
      <w:pPr>
        <w:pStyle w:val="43"/>
        <w:widowControl w:val="0"/>
        <w:numPr>
          <w:ilvl w:val="0"/>
          <w:numId w:val="2"/>
        </w:numPr>
        <w:spacing w:after="0" w:line="360" w:lineRule="auto"/>
        <w:contextualSpacing w:val="0"/>
        <w:jc w:val="both"/>
      </w:pPr>
      <w:r>
        <w:rPr>
          <w:rFonts w:hint="eastAsia"/>
        </w:rPr>
        <w:t>硬件</w:t>
      </w:r>
      <w:r>
        <w:t>部署</w:t>
      </w:r>
      <w:r>
        <w:rPr>
          <w:rFonts w:hint="eastAsia"/>
        </w:rPr>
        <w:t>方案</w:t>
      </w:r>
    </w:p>
    <w:p>
      <w:pPr>
        <w:pStyle w:val="43"/>
        <w:spacing w:line="360" w:lineRule="auto"/>
        <w:ind w:left="420" w:leftChars="200"/>
        <w:rPr>
          <w:lang w:eastAsia="zh-CN"/>
        </w:rPr>
      </w:pPr>
      <w:r>
        <w:rPr>
          <w:rFonts w:hint="eastAsia"/>
          <w:lang w:eastAsia="zh-CN"/>
        </w:rPr>
        <w:t>提供硬件的配套架构及技术方案，满足</w:t>
      </w:r>
      <w:r>
        <w:rPr>
          <w:lang w:eastAsia="zh-CN"/>
        </w:rPr>
        <w:t>学校系统的高并发</w:t>
      </w:r>
      <w:r>
        <w:rPr>
          <w:rFonts w:hint="eastAsia"/>
          <w:lang w:eastAsia="zh-CN"/>
        </w:rPr>
        <w:t>性</w:t>
      </w:r>
      <w:r>
        <w:rPr>
          <w:lang w:eastAsia="zh-CN"/>
        </w:rPr>
        <w:t>和数据可靠性的需求</w:t>
      </w:r>
      <w:r>
        <w:rPr>
          <w:rFonts w:hint="eastAsia"/>
          <w:lang w:eastAsia="zh-CN"/>
        </w:rPr>
        <w:t>。满足学校</w:t>
      </w:r>
      <w:r>
        <w:rPr>
          <w:lang w:eastAsia="zh-CN"/>
        </w:rPr>
        <w:t>教职工人数众多</w:t>
      </w:r>
      <w:r>
        <w:rPr>
          <w:rFonts w:hint="eastAsia"/>
          <w:lang w:eastAsia="zh-CN"/>
        </w:rPr>
        <w:t>等</w:t>
      </w:r>
      <w:r>
        <w:rPr>
          <w:lang w:eastAsia="zh-CN"/>
        </w:rPr>
        <w:t>特点。</w:t>
      </w:r>
    </w:p>
    <w:p>
      <w:pPr>
        <w:pStyle w:val="3"/>
        <w:numPr>
          <w:ilvl w:val="1"/>
          <w:numId w:val="1"/>
        </w:numPr>
        <w:spacing w:before="260" w:after="260" w:line="416" w:lineRule="auto"/>
        <w:jc w:val="both"/>
      </w:pPr>
      <w:r>
        <w:rPr>
          <w:rFonts w:hint="eastAsia"/>
        </w:rPr>
        <w:t>稳定及并发性要求</w:t>
      </w:r>
    </w:p>
    <w:p>
      <w:pPr>
        <w:pStyle w:val="43"/>
        <w:widowControl w:val="0"/>
        <w:numPr>
          <w:ilvl w:val="0"/>
          <w:numId w:val="3"/>
        </w:numPr>
        <w:spacing w:after="0" w:line="360" w:lineRule="auto"/>
        <w:contextualSpacing w:val="0"/>
        <w:jc w:val="both"/>
      </w:pPr>
      <w:r>
        <w:rPr>
          <w:rFonts w:hint="eastAsia"/>
        </w:rPr>
        <w:t>支持</w:t>
      </w:r>
      <w:r>
        <w:t>IE9</w:t>
      </w:r>
      <w:r>
        <w:rPr>
          <w:rFonts w:hint="eastAsia"/>
        </w:rPr>
        <w:t>、</w:t>
      </w:r>
      <w:r>
        <w:t>IE10</w:t>
      </w:r>
      <w:r>
        <w:rPr>
          <w:rFonts w:hint="eastAsia"/>
        </w:rPr>
        <w:t>、</w:t>
      </w:r>
      <w:r>
        <w:t>IE11</w:t>
      </w:r>
      <w:r>
        <w:rPr>
          <w:rFonts w:hint="eastAsia"/>
        </w:rPr>
        <w:t>、Chrome、</w:t>
      </w:r>
      <w:r>
        <w:t>FireFox</w:t>
      </w:r>
      <w:r>
        <w:rPr>
          <w:rFonts w:hint="eastAsia"/>
        </w:rPr>
        <w:t>、Edge等主流浏览器。</w:t>
      </w:r>
    </w:p>
    <w:p>
      <w:pPr>
        <w:pStyle w:val="43"/>
        <w:widowControl w:val="0"/>
        <w:numPr>
          <w:ilvl w:val="0"/>
          <w:numId w:val="3"/>
        </w:numPr>
        <w:spacing w:after="0" w:line="360" w:lineRule="auto"/>
        <w:contextualSpacing w:val="0"/>
        <w:jc w:val="both"/>
        <w:rPr>
          <w:lang w:eastAsia="zh-CN"/>
        </w:rPr>
      </w:pPr>
      <w:r>
        <w:rPr>
          <w:rFonts w:hint="eastAsia"/>
          <w:lang w:eastAsia="zh-CN"/>
        </w:rPr>
        <w:t>稳定性方面：系统应能够7</w:t>
      </w:r>
      <w:r>
        <w:rPr>
          <w:lang w:eastAsia="zh-CN"/>
        </w:rPr>
        <w:t>*24</w:t>
      </w:r>
      <w:r>
        <w:rPr>
          <w:rFonts w:hint="eastAsia"/>
          <w:lang w:eastAsia="zh-CN"/>
        </w:rPr>
        <w:t>小时连续不间断工作，不应出现妨碍工作顺利进行的系统错误或意外中止的情况。</w:t>
      </w:r>
    </w:p>
    <w:p>
      <w:pPr>
        <w:pStyle w:val="43"/>
        <w:widowControl w:val="0"/>
        <w:numPr>
          <w:ilvl w:val="0"/>
          <w:numId w:val="3"/>
        </w:numPr>
        <w:spacing w:after="0" w:line="360" w:lineRule="auto"/>
        <w:contextualSpacing w:val="0"/>
        <w:jc w:val="both"/>
        <w:rPr>
          <w:lang w:eastAsia="zh-CN"/>
        </w:rPr>
      </w:pPr>
      <w:r>
        <w:rPr>
          <w:rFonts w:hint="eastAsia"/>
          <w:lang w:eastAsia="zh-CN"/>
        </w:rPr>
        <w:t>各系统并发满足实际需求：要求满足</w:t>
      </w:r>
      <w:r>
        <w:rPr>
          <w:lang w:eastAsia="zh-CN"/>
        </w:rPr>
        <w:t>30000</w:t>
      </w:r>
      <w:r>
        <w:rPr>
          <w:rFonts w:hint="eastAsia"/>
          <w:lang w:eastAsia="zh-CN"/>
        </w:rPr>
        <w:t>人同时在线，并发数≥</w:t>
      </w:r>
      <w:r>
        <w:rPr>
          <w:lang w:eastAsia="zh-CN"/>
        </w:rPr>
        <w:t>10</w:t>
      </w:r>
      <w:r>
        <w:rPr>
          <w:rFonts w:hint="eastAsia"/>
          <w:lang w:eastAsia="zh-CN"/>
        </w:rPr>
        <w:t>00人；其它要求满足至少</w:t>
      </w:r>
      <w:r>
        <w:rPr>
          <w:lang w:eastAsia="zh-CN"/>
        </w:rPr>
        <w:t>5000</w:t>
      </w:r>
      <w:r>
        <w:rPr>
          <w:rFonts w:hint="eastAsia"/>
          <w:lang w:eastAsia="zh-CN"/>
        </w:rPr>
        <w:t>人同时在线，并发数≥</w:t>
      </w:r>
      <w:r>
        <w:rPr>
          <w:lang w:eastAsia="zh-CN"/>
        </w:rPr>
        <w:t>2</w:t>
      </w:r>
      <w:r>
        <w:rPr>
          <w:rFonts w:hint="eastAsia"/>
          <w:lang w:eastAsia="zh-CN"/>
        </w:rPr>
        <w:t>00人。</w:t>
      </w:r>
    </w:p>
    <w:p>
      <w:pPr>
        <w:pStyle w:val="3"/>
        <w:numPr>
          <w:ilvl w:val="1"/>
          <w:numId w:val="1"/>
        </w:numPr>
        <w:spacing w:before="260" w:after="260" w:line="416" w:lineRule="auto"/>
        <w:jc w:val="both"/>
      </w:pPr>
      <w:bookmarkStart w:id="13" w:name="_Toc400952986"/>
      <w:bookmarkStart w:id="14" w:name="_Toc399415973"/>
      <w:bookmarkStart w:id="15" w:name="_Toc453071210"/>
      <w:bookmarkStart w:id="16" w:name="_Toc452528811"/>
      <w:bookmarkStart w:id="17" w:name="_Toc405385257"/>
      <w:r>
        <w:rPr>
          <w:rFonts w:hint="eastAsia"/>
        </w:rPr>
        <w:t>安全性要求</w:t>
      </w:r>
      <w:bookmarkEnd w:id="13"/>
      <w:bookmarkEnd w:id="14"/>
      <w:bookmarkEnd w:id="15"/>
      <w:bookmarkEnd w:id="16"/>
      <w:bookmarkEnd w:id="17"/>
    </w:p>
    <w:p>
      <w:pPr>
        <w:pStyle w:val="43"/>
        <w:widowControl w:val="0"/>
        <w:numPr>
          <w:ilvl w:val="0"/>
          <w:numId w:val="4"/>
        </w:numPr>
        <w:spacing w:after="0" w:line="360" w:lineRule="auto"/>
        <w:contextualSpacing w:val="0"/>
        <w:jc w:val="both"/>
        <w:rPr>
          <w:lang w:eastAsia="zh-CN"/>
        </w:rPr>
      </w:pPr>
      <w:r>
        <w:rPr>
          <w:rFonts w:hint="eastAsia"/>
          <w:lang w:eastAsia="zh-CN"/>
        </w:rPr>
        <w:t>系统建设</w:t>
      </w:r>
      <w:r>
        <w:rPr>
          <w:lang w:eastAsia="zh-CN"/>
        </w:rPr>
        <w:t>前应确定信息安全</w:t>
      </w:r>
      <w:r>
        <w:rPr>
          <w:rFonts w:hint="eastAsia"/>
          <w:lang w:eastAsia="zh-CN"/>
        </w:rPr>
        <w:t>等级</w:t>
      </w:r>
      <w:r>
        <w:rPr>
          <w:lang w:eastAsia="zh-CN"/>
        </w:rPr>
        <w:t>保护定级级别，系统建设过程中</w:t>
      </w:r>
      <w:r>
        <w:rPr>
          <w:rFonts w:hint="eastAsia"/>
          <w:lang w:eastAsia="zh-CN"/>
        </w:rPr>
        <w:t>的</w:t>
      </w:r>
      <w:r>
        <w:rPr>
          <w:lang w:eastAsia="zh-CN"/>
        </w:rPr>
        <w:t>安全建设应参考定级级别的安全要求进行</w:t>
      </w:r>
      <w:r>
        <w:rPr>
          <w:rFonts w:hint="eastAsia"/>
          <w:lang w:eastAsia="zh-CN"/>
        </w:rPr>
        <w:t>。</w:t>
      </w:r>
    </w:p>
    <w:p>
      <w:pPr>
        <w:pStyle w:val="43"/>
        <w:widowControl w:val="0"/>
        <w:numPr>
          <w:ilvl w:val="0"/>
          <w:numId w:val="4"/>
        </w:numPr>
        <w:spacing w:after="0" w:line="360" w:lineRule="auto"/>
        <w:contextualSpacing w:val="0"/>
        <w:jc w:val="both"/>
        <w:rPr>
          <w:lang w:eastAsia="zh-CN"/>
        </w:rPr>
      </w:pPr>
      <w:r>
        <w:rPr>
          <w:rFonts w:hint="eastAsia"/>
          <w:lang w:eastAsia="zh-CN"/>
        </w:rPr>
        <w:t>系统对敏感数据存储和传输要进行加密处理。</w:t>
      </w:r>
    </w:p>
    <w:p>
      <w:pPr>
        <w:pStyle w:val="43"/>
        <w:widowControl w:val="0"/>
        <w:numPr>
          <w:ilvl w:val="0"/>
          <w:numId w:val="4"/>
        </w:numPr>
        <w:spacing w:after="0" w:line="360" w:lineRule="auto"/>
        <w:contextualSpacing w:val="0"/>
        <w:jc w:val="both"/>
        <w:rPr>
          <w:lang w:eastAsia="zh-CN"/>
        </w:rPr>
      </w:pPr>
      <w:r>
        <w:rPr>
          <w:rFonts w:hint="eastAsia"/>
          <w:lang w:eastAsia="zh-CN"/>
        </w:rPr>
        <w:t>承建方提供系统全生命周期内的安全保证。</w:t>
      </w:r>
    </w:p>
    <w:p>
      <w:pPr>
        <w:pStyle w:val="43"/>
        <w:widowControl w:val="0"/>
        <w:numPr>
          <w:ilvl w:val="0"/>
          <w:numId w:val="4"/>
        </w:numPr>
        <w:spacing w:after="0" w:line="360" w:lineRule="auto"/>
        <w:contextualSpacing w:val="0"/>
        <w:jc w:val="both"/>
        <w:rPr>
          <w:lang w:eastAsia="zh-CN"/>
        </w:rPr>
      </w:pPr>
      <w:r>
        <w:rPr>
          <w:rFonts w:hint="eastAsia"/>
          <w:lang w:eastAsia="zh-CN"/>
        </w:rPr>
        <w:t>严格</w:t>
      </w:r>
      <w:r>
        <w:rPr>
          <w:lang w:eastAsia="zh-CN"/>
        </w:rPr>
        <w:t>的</w:t>
      </w:r>
      <w:r>
        <w:rPr>
          <w:rFonts w:hint="eastAsia"/>
          <w:lang w:eastAsia="zh-CN"/>
        </w:rPr>
        <w:t>权限管理（包括功能权限管理和数据访问权限管理），</w:t>
      </w:r>
      <w:r>
        <w:rPr>
          <w:lang w:eastAsia="zh-CN"/>
        </w:rPr>
        <w:t>不得出现非</w:t>
      </w:r>
      <w:r>
        <w:rPr>
          <w:rFonts w:hint="eastAsia"/>
          <w:lang w:eastAsia="zh-CN"/>
        </w:rPr>
        <w:t>授权的</w:t>
      </w:r>
      <w:r>
        <w:rPr>
          <w:lang w:eastAsia="zh-CN"/>
        </w:rPr>
        <w:t>访问</w:t>
      </w:r>
      <w:r>
        <w:rPr>
          <w:rFonts w:hint="eastAsia"/>
          <w:lang w:eastAsia="zh-CN"/>
        </w:rPr>
        <w:t>，并可通过简单的配置实现权限</w:t>
      </w:r>
      <w:r>
        <w:rPr>
          <w:lang w:eastAsia="zh-CN"/>
        </w:rPr>
        <w:t>划分</w:t>
      </w:r>
      <w:r>
        <w:rPr>
          <w:rFonts w:hint="eastAsia"/>
          <w:lang w:eastAsia="zh-CN"/>
        </w:rPr>
        <w:t>的调整。</w:t>
      </w:r>
    </w:p>
    <w:p>
      <w:pPr>
        <w:pStyle w:val="43"/>
        <w:widowControl w:val="0"/>
        <w:numPr>
          <w:ilvl w:val="0"/>
          <w:numId w:val="4"/>
        </w:numPr>
        <w:spacing w:after="0" w:line="360" w:lineRule="auto"/>
        <w:contextualSpacing w:val="0"/>
        <w:jc w:val="both"/>
        <w:rPr>
          <w:lang w:eastAsia="zh-CN"/>
        </w:rPr>
      </w:pPr>
      <w:r>
        <w:rPr>
          <w:rFonts w:hint="eastAsia"/>
          <w:lang w:eastAsia="zh-CN"/>
        </w:rPr>
        <w:t>安全审计，可</w:t>
      </w:r>
      <w:r>
        <w:rPr>
          <w:lang w:eastAsia="zh-CN"/>
        </w:rPr>
        <w:t>提供完善的审计功能</w:t>
      </w:r>
      <w:r>
        <w:rPr>
          <w:rFonts w:hint="eastAsia"/>
          <w:lang w:eastAsia="zh-CN"/>
        </w:rPr>
        <w:t>及完整的审计日志</w:t>
      </w:r>
      <w:r>
        <w:rPr>
          <w:lang w:eastAsia="zh-CN"/>
        </w:rPr>
        <w:t>，实现操作的追溯。</w:t>
      </w:r>
    </w:p>
    <w:p>
      <w:pPr>
        <w:pStyle w:val="43"/>
        <w:widowControl w:val="0"/>
        <w:numPr>
          <w:ilvl w:val="0"/>
          <w:numId w:val="4"/>
        </w:numPr>
        <w:spacing w:after="0" w:line="360" w:lineRule="auto"/>
        <w:contextualSpacing w:val="0"/>
        <w:jc w:val="both"/>
        <w:rPr>
          <w:lang w:eastAsia="zh-CN"/>
        </w:rPr>
      </w:pPr>
      <w:r>
        <w:rPr>
          <w:rFonts w:hint="eastAsia"/>
          <w:lang w:eastAsia="zh-CN"/>
        </w:rPr>
        <w:t>完善</w:t>
      </w:r>
      <w:r>
        <w:rPr>
          <w:lang w:eastAsia="zh-CN"/>
        </w:rPr>
        <w:t>的备份与恢复机制。</w:t>
      </w:r>
    </w:p>
    <w:p>
      <w:pPr>
        <w:pStyle w:val="43"/>
        <w:widowControl w:val="0"/>
        <w:numPr>
          <w:ilvl w:val="0"/>
          <w:numId w:val="4"/>
        </w:numPr>
        <w:spacing w:after="0" w:line="360" w:lineRule="auto"/>
        <w:contextualSpacing w:val="0"/>
        <w:jc w:val="both"/>
        <w:rPr>
          <w:lang w:eastAsia="zh-CN"/>
        </w:rPr>
      </w:pPr>
      <w:r>
        <w:rPr>
          <w:rFonts w:hint="eastAsia"/>
          <w:lang w:eastAsia="zh-CN"/>
        </w:rPr>
        <w:t>严格遵守校方关于数据保密的相关规定及要求</w:t>
      </w:r>
      <w:r>
        <w:rPr>
          <w:lang w:eastAsia="zh-CN"/>
        </w:rPr>
        <w:t>。</w:t>
      </w:r>
    </w:p>
    <w:p>
      <w:pPr>
        <w:pStyle w:val="43"/>
        <w:widowControl w:val="0"/>
        <w:numPr>
          <w:ilvl w:val="0"/>
          <w:numId w:val="4"/>
        </w:numPr>
        <w:spacing w:after="0" w:line="360" w:lineRule="auto"/>
        <w:contextualSpacing w:val="0"/>
        <w:jc w:val="both"/>
      </w:pPr>
      <w:r>
        <w:rPr>
          <w:rFonts w:hint="eastAsia"/>
        </w:rPr>
        <w:t>密码符合国密要求。</w:t>
      </w:r>
    </w:p>
    <w:p>
      <w:pPr>
        <w:pStyle w:val="2"/>
        <w:numPr>
          <w:ilvl w:val="0"/>
          <w:numId w:val="1"/>
        </w:numPr>
        <w:spacing w:before="240" w:beforeLines="0" w:after="240" w:afterLines="0" w:line="578" w:lineRule="auto"/>
        <w:jc w:val="both"/>
      </w:pPr>
      <w:r>
        <w:rPr>
          <w:rFonts w:hint="eastAsia"/>
        </w:rPr>
        <w:t>建设</w:t>
      </w:r>
      <w:r>
        <w:t>内容</w:t>
      </w:r>
    </w:p>
    <w:p>
      <w:pPr>
        <w:pStyle w:val="43"/>
        <w:keepNext/>
        <w:keepLines/>
        <w:widowControl w:val="0"/>
        <w:numPr>
          <w:ilvl w:val="0"/>
          <w:numId w:val="5"/>
        </w:numPr>
        <w:spacing w:before="260" w:after="260" w:line="416" w:lineRule="auto"/>
        <w:contextualSpacing w:val="0"/>
        <w:jc w:val="both"/>
        <w:outlineLvl w:val="2"/>
        <w:rPr>
          <w:b/>
          <w:bCs/>
          <w:vanish/>
          <w:sz w:val="32"/>
          <w:szCs w:val="32"/>
        </w:rPr>
      </w:pPr>
    </w:p>
    <w:p>
      <w:pPr>
        <w:pStyle w:val="43"/>
        <w:keepNext/>
        <w:keepLines/>
        <w:widowControl w:val="0"/>
        <w:numPr>
          <w:ilvl w:val="0"/>
          <w:numId w:val="5"/>
        </w:numPr>
        <w:spacing w:before="260" w:after="260" w:line="416" w:lineRule="auto"/>
        <w:contextualSpacing w:val="0"/>
        <w:jc w:val="both"/>
        <w:outlineLvl w:val="2"/>
        <w:rPr>
          <w:b/>
          <w:bCs/>
          <w:vanish/>
          <w:sz w:val="32"/>
          <w:szCs w:val="32"/>
        </w:rPr>
      </w:pPr>
    </w:p>
    <w:p>
      <w:pPr>
        <w:pStyle w:val="43"/>
        <w:keepNext/>
        <w:keepLines/>
        <w:widowControl w:val="0"/>
        <w:numPr>
          <w:ilvl w:val="0"/>
          <w:numId w:val="5"/>
        </w:numPr>
        <w:spacing w:before="260" w:after="260" w:line="416" w:lineRule="auto"/>
        <w:contextualSpacing w:val="0"/>
        <w:jc w:val="both"/>
        <w:outlineLvl w:val="2"/>
        <w:rPr>
          <w:b/>
          <w:bCs/>
          <w:vanish/>
          <w:sz w:val="32"/>
          <w:szCs w:val="32"/>
        </w:rPr>
      </w:pPr>
    </w:p>
    <w:p>
      <w:pPr>
        <w:pStyle w:val="43"/>
        <w:keepNext/>
        <w:keepLines/>
        <w:widowControl w:val="0"/>
        <w:numPr>
          <w:ilvl w:val="1"/>
          <w:numId w:val="5"/>
        </w:numPr>
        <w:spacing w:before="260" w:after="260" w:line="416" w:lineRule="auto"/>
        <w:contextualSpacing w:val="0"/>
        <w:jc w:val="both"/>
        <w:outlineLvl w:val="2"/>
        <w:rPr>
          <w:b/>
          <w:bCs/>
          <w:vanish/>
          <w:sz w:val="32"/>
          <w:szCs w:val="32"/>
        </w:rPr>
      </w:pPr>
    </w:p>
    <w:p>
      <w:pPr>
        <w:pStyle w:val="43"/>
        <w:keepNext/>
        <w:keepLines/>
        <w:widowControl w:val="0"/>
        <w:numPr>
          <w:ilvl w:val="1"/>
          <w:numId w:val="5"/>
        </w:numPr>
        <w:spacing w:before="260" w:after="260" w:line="416" w:lineRule="auto"/>
        <w:contextualSpacing w:val="0"/>
        <w:jc w:val="both"/>
        <w:outlineLvl w:val="2"/>
        <w:rPr>
          <w:b/>
          <w:bCs/>
          <w:vanish/>
          <w:sz w:val="32"/>
          <w:szCs w:val="32"/>
        </w:rPr>
      </w:pPr>
    </w:p>
    <w:p>
      <w:pPr>
        <w:pStyle w:val="3"/>
        <w:numPr>
          <w:ilvl w:val="1"/>
          <w:numId w:val="1"/>
        </w:numPr>
        <w:spacing w:before="260" w:after="260" w:line="416" w:lineRule="auto"/>
        <w:jc w:val="both"/>
      </w:pPr>
      <w:r>
        <w:rPr>
          <w:rFonts w:hint="eastAsia"/>
          <w:lang w:eastAsia="zh-CN"/>
        </w:rPr>
        <w:t>工作量模块</w:t>
      </w:r>
    </w:p>
    <w:p>
      <w:pPr>
        <w:spacing w:line="360" w:lineRule="auto"/>
        <w:ind w:firstLine="420" w:firstLineChars="200"/>
        <w:rPr>
          <w:rFonts w:hint="eastAsia"/>
        </w:rPr>
      </w:pPr>
      <w:r>
        <w:rPr>
          <w:rFonts w:hint="eastAsia"/>
        </w:rPr>
        <w:t>教学工作量计算模块需要完成教师教学工作量的计算和薪酬的统计。系统需要能从选定学期的时间段中转入教学安排数据，对接教务系统中的开课</w:t>
      </w:r>
      <w:r>
        <w:rPr>
          <w:rFonts w:hint="eastAsia"/>
          <w:lang w:eastAsia="zh-CN"/>
        </w:rPr>
        <w:t>部门</w:t>
      </w:r>
      <w:r>
        <w:rPr>
          <w:rFonts w:hint="eastAsia"/>
        </w:rPr>
        <w:t>的教学任务，人为控制同步时间和数据范围，可选择同步某个字段（人工数据同步教学任务），此外做好教职工基本信息同步，支持页面教师信息修改维护。</w:t>
      </w:r>
    </w:p>
    <w:p>
      <w:pPr>
        <w:spacing w:line="360" w:lineRule="auto"/>
        <w:ind w:firstLine="420" w:firstLineChars="200"/>
        <w:rPr>
          <w:rFonts w:hint="eastAsia"/>
        </w:rPr>
      </w:pPr>
      <w:r>
        <w:rPr>
          <w:rFonts w:hint="eastAsia"/>
        </w:rPr>
        <w:t>系统支持校级和院级双重标准，每个学院可以自行设置院级相关系数和工作量类别，可以选择以教师维度还是开课部门维度或都适用，院级和校级分别出</w:t>
      </w:r>
      <w:r>
        <w:rPr>
          <w:rFonts w:hint="eastAsia"/>
          <w:lang w:eastAsia="zh-CN"/>
        </w:rPr>
        <w:t>不同维度的</w:t>
      </w:r>
      <w:r>
        <w:rPr>
          <w:rFonts w:hint="eastAsia"/>
        </w:rPr>
        <w:t>报表，在系数和工作量类别设置时需标识级别、用途（如课堂教学与非课堂教学）等，比如级别标识是院级报表统计还是校级报表统计或是两者都</w:t>
      </w:r>
      <w:r>
        <w:rPr>
          <w:rFonts w:hint="eastAsia"/>
          <w:lang w:eastAsia="zh-CN"/>
        </w:rPr>
        <w:t>适用</w:t>
      </w:r>
      <w:r>
        <w:rPr>
          <w:rFonts w:hint="eastAsia"/>
        </w:rPr>
        <w:t>。</w:t>
      </w:r>
    </w:p>
    <w:p>
      <w:pPr>
        <w:spacing w:line="360" w:lineRule="auto"/>
        <w:ind w:firstLine="420" w:firstLineChars="200"/>
        <w:rPr>
          <w:rFonts w:hint="eastAsia"/>
        </w:rPr>
      </w:pPr>
      <w:r>
        <w:rPr>
          <w:rFonts w:hint="eastAsia"/>
        </w:rPr>
        <w:t>支持界面颗粒模块授权和多角色授权，精确到学生标记，班级，专业，学院等，数据范围可以同时支持开课部门和教师所在部门的内容供学院查看，学院可以看到学校标准的和自己学院标准的工作量数据。</w:t>
      </w:r>
    </w:p>
    <w:p>
      <w:pPr>
        <w:spacing w:line="360" w:lineRule="auto"/>
        <w:ind w:firstLine="420" w:firstLineChars="200"/>
        <w:rPr>
          <w:rFonts w:hint="eastAsia" w:eastAsia="宋体"/>
          <w:lang w:eastAsia="zh-CN"/>
        </w:rPr>
      </w:pPr>
      <w:r>
        <w:rPr>
          <w:rFonts w:hint="eastAsia"/>
          <w:lang w:eastAsia="zh-CN"/>
        </w:rPr>
        <w:t>支持学校层面、学院层面的</w:t>
      </w:r>
      <w:r>
        <w:rPr>
          <w:rFonts w:hint="eastAsia"/>
        </w:rPr>
        <w:t>系数申报审批流</w:t>
      </w:r>
      <w:r>
        <w:rPr>
          <w:rFonts w:hint="eastAsia"/>
          <w:lang w:eastAsia="zh-CN"/>
        </w:rPr>
        <w:t>设置。</w:t>
      </w:r>
    </w:p>
    <w:p>
      <w:pPr>
        <w:spacing w:line="360" w:lineRule="auto"/>
        <w:ind w:firstLine="420" w:firstLineChars="200"/>
        <w:rPr>
          <w:rFonts w:hint="eastAsia"/>
        </w:rPr>
      </w:pPr>
      <w:r>
        <w:rPr>
          <w:rFonts w:hint="eastAsia"/>
        </w:rPr>
        <w:t>支持计划外工作量申报，即实践类，非课堂教学相关工作量，申报类型支持设置。</w:t>
      </w:r>
    </w:p>
    <w:p>
      <w:pPr>
        <w:spacing w:line="360" w:lineRule="auto"/>
        <w:ind w:firstLine="420" w:firstLineChars="200"/>
        <w:rPr>
          <w:rFonts w:hint="eastAsia"/>
        </w:rPr>
      </w:pPr>
      <w:r>
        <w:rPr>
          <w:rFonts w:hint="eastAsia"/>
        </w:rPr>
        <w:t>支持课堂教学相关工作量申报，申报类型支持设置，申报时需填写原始发生的学年学期，发生情况：不在教务系统里落任务的，需要通过申报，且申报时有可能已经过了实际发生的学年学期，属于补报。</w:t>
      </w:r>
    </w:p>
    <w:p>
      <w:pPr>
        <w:spacing w:line="360" w:lineRule="auto"/>
        <w:ind w:firstLine="420" w:firstLineChars="200"/>
        <w:rPr>
          <w:rFonts w:hint="eastAsia"/>
        </w:rPr>
      </w:pPr>
      <w:r>
        <w:rPr>
          <w:rFonts w:hint="eastAsia"/>
        </w:rPr>
        <w:t>系统具有时盒功能，学院机构变更保留历史数据，如A学院和B学院合并为C学院，那么设置归属学院（AB归属为C），C学院的管理人员可以看到A、B学院的数据，如A变成B，（A归属为B），B可见A的数据</w:t>
      </w:r>
    </w:p>
    <w:p>
      <w:pPr>
        <w:spacing w:line="360" w:lineRule="auto"/>
        <w:ind w:firstLine="420" w:firstLineChars="200"/>
        <w:rPr>
          <w:rFonts w:hint="eastAsia"/>
        </w:rPr>
      </w:pPr>
      <w:r>
        <w:rPr>
          <w:rFonts w:hint="eastAsia"/>
        </w:rPr>
        <w:t>支持工作量拆分，教师替换（从教务系统同步的教学任务数据如有多教师合并上课的，标识出，并且学院可以便捷的查看到哪些是多教师上课的，由学院去给各位老师分配课时，配分的老师不一定是已安排的老师）</w:t>
      </w:r>
    </w:p>
    <w:p>
      <w:pPr>
        <w:spacing w:line="360" w:lineRule="auto"/>
        <w:ind w:firstLine="420" w:firstLineChars="200"/>
        <w:rPr>
          <w:rFonts w:hint="eastAsia"/>
        </w:rPr>
      </w:pPr>
      <w:r>
        <w:rPr>
          <w:rFonts w:hint="eastAsia"/>
        </w:rPr>
        <w:t>通过设定的工作量计算公式统计任课老师各课程的课时数和教学工作量。此外，系数有些是每个教学班都可以奖励，有些是只奖励单个教学班，比如新开课的系数，教师同一学期新开课程一门有多个教学班，奖励给上课人数最多的教学班即可，其余教学班不奖励该系数，以此为例，设计时需考虑如何实现页面控制。</w:t>
      </w:r>
    </w:p>
    <w:p>
      <w:pPr>
        <w:spacing w:line="360" w:lineRule="auto"/>
        <w:ind w:firstLine="420" w:firstLineChars="200"/>
        <w:rPr>
          <w:rFonts w:hint="eastAsia"/>
        </w:rPr>
      </w:pPr>
      <w:r>
        <w:rPr>
          <w:rFonts w:hint="eastAsia"/>
          <w:lang w:eastAsia="zh-CN"/>
        </w:rPr>
        <w:t>统计页面</w:t>
      </w:r>
      <w:r>
        <w:rPr>
          <w:rFonts w:hint="eastAsia"/>
        </w:rPr>
        <w:t>设置：可设置教师工作量计算的范围，包括：学年学期、起始日期、截止日期、可设置排除特殊日期（如：国庆假期）、可选择计算起始节次和截止节次。</w:t>
      </w:r>
    </w:p>
    <w:p>
      <w:pPr>
        <w:spacing w:line="360" w:lineRule="auto"/>
        <w:ind w:firstLine="420" w:firstLineChars="200"/>
        <w:rPr>
          <w:rFonts w:hint="eastAsia"/>
        </w:rPr>
      </w:pPr>
      <w:r>
        <w:rPr>
          <w:rFonts w:hint="eastAsia"/>
        </w:rPr>
        <w:t>公式和系数要有继承、时盒功能，以防后续有变更。</w:t>
      </w:r>
    </w:p>
    <w:p>
      <w:pPr>
        <w:spacing w:line="360" w:lineRule="auto"/>
        <w:ind w:firstLine="420" w:firstLineChars="200"/>
        <w:rPr>
          <w:rFonts w:hint="eastAsia"/>
        </w:rPr>
      </w:pPr>
      <w:r>
        <w:rPr>
          <w:rFonts w:hint="eastAsia"/>
        </w:rPr>
        <w:t>标准工作量设置：能依照职称、教职工类别、编制类别等批量设置标准工作量，工作量计算：提供灵活的工作量计算公式编辑工具，可根据实际情况设置工作量计算公式，针对不同课时类型（如：理论课、实验课、双语教学、实践课）、不同教师职称、教学班人数等来设置工作量计算系数；依据教学工作量计算公式自动计算教学工作量，并可按照教师部门、和开课方等进行统计，支持院级和校级双重标准。</w:t>
      </w:r>
    </w:p>
    <w:p>
      <w:pPr>
        <w:spacing w:line="360" w:lineRule="auto"/>
        <w:ind w:firstLine="420" w:firstLineChars="200"/>
        <w:rPr>
          <w:rFonts w:hint="eastAsia"/>
        </w:rPr>
      </w:pPr>
      <w:r>
        <w:rPr>
          <w:rFonts w:hint="eastAsia"/>
        </w:rPr>
        <w:t>校级管理员可以设置按开课部门维度还是教师部门维度维护工作量系数和公式。结果统计查询时，各学院1.既能按开课部门维度查询全校教师上本学院课程的按开课学院工作量系数和公式计算的工作量信息及按校级工作量系数和公式计算的工作量信息，2.也能按教师维度查询本学院教师的按教师部门工作量系数和公式计算的所有工作量信息及按校级工作量系数和公式计算的工作量信息。</w:t>
      </w:r>
    </w:p>
    <w:p>
      <w:pPr>
        <w:spacing w:line="360" w:lineRule="auto"/>
        <w:ind w:firstLine="420" w:firstLineChars="200"/>
        <w:rPr>
          <w:rFonts w:hint="eastAsia"/>
        </w:rPr>
      </w:pPr>
      <w:r>
        <w:rPr>
          <w:rFonts w:hint="eastAsia"/>
        </w:rPr>
        <w:t>按学校需求配置各式报表和查询界面</w:t>
      </w:r>
      <w:r>
        <w:rPr>
          <w:rFonts w:hint="eastAsia"/>
          <w:lang w:eastAsia="zh-CN"/>
        </w:rPr>
        <w:t>及</w:t>
      </w:r>
      <w:r>
        <w:rPr>
          <w:rFonts w:hint="eastAsia"/>
        </w:rPr>
        <w:t>个性化报表定制（如国际学院工作量，留学生相关和国际学院开课的都由国际学院发放，如有与普通学生行政班合班的，由开课部门发放</w:t>
      </w:r>
      <w:r>
        <w:rPr>
          <w:rFonts w:hint="eastAsia"/>
          <w:lang w:eastAsia="zh-CN"/>
        </w:rPr>
        <w:t>），</w:t>
      </w:r>
      <w:r>
        <w:rPr>
          <w:rFonts w:hint="eastAsia"/>
        </w:rPr>
        <w:t>可统计出教师的实际工作量</w:t>
      </w:r>
      <w:r>
        <w:rPr>
          <w:rFonts w:hint="eastAsia"/>
          <w:lang w:eastAsia="zh-CN"/>
        </w:rPr>
        <w:t>（课时量）</w:t>
      </w:r>
      <w:r>
        <w:rPr>
          <w:rFonts w:hint="eastAsia"/>
        </w:rPr>
        <w:t>、标准工作量</w:t>
      </w:r>
      <w:r>
        <w:rPr>
          <w:rFonts w:hint="eastAsia"/>
          <w:lang w:eastAsia="zh-CN"/>
        </w:rPr>
        <w:t>（只算人数系数）</w:t>
      </w:r>
      <w:r>
        <w:rPr>
          <w:rFonts w:hint="eastAsia"/>
        </w:rPr>
        <w:t>、最终工作量</w:t>
      </w:r>
      <w:r>
        <w:rPr>
          <w:rFonts w:hint="eastAsia"/>
          <w:lang w:eastAsia="zh-CN"/>
        </w:rPr>
        <w:t>（全部系数）</w:t>
      </w:r>
      <w:r>
        <w:rPr>
          <w:rFonts w:hint="eastAsia"/>
        </w:rPr>
        <w:t>。</w:t>
      </w:r>
    </w:p>
    <w:p>
      <w:pPr>
        <w:spacing w:line="360" w:lineRule="auto"/>
        <w:ind w:firstLine="420" w:firstLineChars="200"/>
        <w:rPr>
          <w:rFonts w:hint="eastAsia"/>
        </w:rPr>
      </w:pPr>
      <w:r>
        <w:rPr>
          <w:rFonts w:hint="eastAsia"/>
        </w:rPr>
        <w:t>支持各类浏览器，手机自适应。</w:t>
      </w:r>
    </w:p>
    <w:p>
      <w:pPr>
        <w:numPr>
          <w:ilvl w:val="0"/>
          <w:numId w:val="0"/>
        </w:numPr>
        <w:spacing w:line="360" w:lineRule="auto"/>
        <w:ind w:firstLine="420" w:firstLineChars="200"/>
      </w:pPr>
      <w:r>
        <w:rPr>
          <w:rFonts w:hint="eastAsia"/>
          <w:lang w:val="en-US" w:eastAsia="zh-CN"/>
        </w:rPr>
        <w:t>做好老工作量系统数据迁移至新系统的工作。</w:t>
      </w:r>
    </w:p>
    <w:p>
      <w:pPr>
        <w:pStyle w:val="43"/>
        <w:keepNext/>
        <w:keepLines/>
        <w:widowControl w:val="0"/>
        <w:numPr>
          <w:ilvl w:val="0"/>
          <w:numId w:val="6"/>
        </w:numPr>
        <w:spacing w:before="280" w:after="290" w:line="376" w:lineRule="auto"/>
        <w:contextualSpacing w:val="0"/>
        <w:jc w:val="both"/>
        <w:outlineLvl w:val="3"/>
        <w:rPr>
          <w:b/>
          <w:bCs/>
          <w:vanish/>
          <w:sz w:val="28"/>
          <w:szCs w:val="28"/>
        </w:rPr>
      </w:pPr>
    </w:p>
    <w:p>
      <w:pPr>
        <w:pStyle w:val="43"/>
        <w:keepNext/>
        <w:keepLines/>
        <w:widowControl w:val="0"/>
        <w:numPr>
          <w:ilvl w:val="0"/>
          <w:numId w:val="6"/>
        </w:numPr>
        <w:spacing w:before="280" w:after="290" w:line="376" w:lineRule="auto"/>
        <w:contextualSpacing w:val="0"/>
        <w:jc w:val="both"/>
        <w:outlineLvl w:val="3"/>
        <w:rPr>
          <w:b/>
          <w:bCs/>
          <w:vanish/>
          <w:sz w:val="28"/>
          <w:szCs w:val="28"/>
        </w:rPr>
      </w:pPr>
    </w:p>
    <w:p>
      <w:pPr>
        <w:pStyle w:val="43"/>
        <w:keepNext/>
        <w:keepLines/>
        <w:widowControl w:val="0"/>
        <w:numPr>
          <w:ilvl w:val="0"/>
          <w:numId w:val="6"/>
        </w:numPr>
        <w:spacing w:before="280" w:after="290" w:line="376" w:lineRule="auto"/>
        <w:contextualSpacing w:val="0"/>
        <w:jc w:val="both"/>
        <w:outlineLvl w:val="3"/>
        <w:rPr>
          <w:b/>
          <w:bCs/>
          <w:vanish/>
          <w:sz w:val="28"/>
          <w:szCs w:val="28"/>
        </w:rPr>
      </w:pPr>
    </w:p>
    <w:p>
      <w:pPr>
        <w:pStyle w:val="43"/>
        <w:keepNext/>
        <w:keepLines/>
        <w:widowControl w:val="0"/>
        <w:numPr>
          <w:ilvl w:val="1"/>
          <w:numId w:val="6"/>
        </w:numPr>
        <w:spacing w:before="280" w:after="290" w:line="376" w:lineRule="auto"/>
        <w:contextualSpacing w:val="0"/>
        <w:jc w:val="both"/>
        <w:outlineLvl w:val="3"/>
        <w:rPr>
          <w:b/>
          <w:bCs/>
          <w:vanish/>
          <w:sz w:val="28"/>
          <w:szCs w:val="28"/>
        </w:rPr>
      </w:pPr>
    </w:p>
    <w:p>
      <w:pPr>
        <w:pStyle w:val="43"/>
        <w:keepNext/>
        <w:keepLines/>
        <w:widowControl w:val="0"/>
        <w:numPr>
          <w:ilvl w:val="1"/>
          <w:numId w:val="6"/>
        </w:numPr>
        <w:spacing w:before="280" w:after="290" w:line="376" w:lineRule="auto"/>
        <w:contextualSpacing w:val="0"/>
        <w:jc w:val="both"/>
        <w:outlineLvl w:val="3"/>
        <w:rPr>
          <w:b/>
          <w:bCs/>
          <w:vanish/>
          <w:sz w:val="28"/>
          <w:szCs w:val="28"/>
        </w:rPr>
      </w:pPr>
    </w:p>
    <w:p>
      <w:pPr>
        <w:pStyle w:val="43"/>
        <w:keepNext/>
        <w:keepLines/>
        <w:widowControl w:val="0"/>
        <w:numPr>
          <w:ilvl w:val="2"/>
          <w:numId w:val="6"/>
        </w:numPr>
        <w:spacing w:before="280" w:after="290" w:line="376" w:lineRule="auto"/>
        <w:contextualSpacing w:val="0"/>
        <w:jc w:val="both"/>
        <w:outlineLvl w:val="3"/>
        <w:rPr>
          <w:b/>
          <w:bCs/>
          <w:vanish/>
          <w:sz w:val="28"/>
          <w:szCs w:val="28"/>
        </w:rPr>
      </w:pPr>
    </w:p>
    <w:p>
      <w:pPr>
        <w:pStyle w:val="43"/>
        <w:keepNext/>
        <w:keepLines/>
        <w:widowControl w:val="0"/>
        <w:numPr>
          <w:ilvl w:val="0"/>
          <w:numId w:val="7"/>
        </w:numPr>
        <w:spacing w:before="260" w:after="260" w:line="416" w:lineRule="auto"/>
        <w:contextualSpacing w:val="0"/>
        <w:jc w:val="both"/>
        <w:outlineLvl w:val="2"/>
        <w:rPr>
          <w:b/>
          <w:bCs/>
          <w:vanish/>
          <w:sz w:val="32"/>
          <w:szCs w:val="32"/>
        </w:rPr>
      </w:pPr>
    </w:p>
    <w:p>
      <w:pPr>
        <w:pStyle w:val="43"/>
        <w:keepNext/>
        <w:keepLines/>
        <w:widowControl w:val="0"/>
        <w:numPr>
          <w:ilvl w:val="0"/>
          <w:numId w:val="7"/>
        </w:numPr>
        <w:spacing w:before="260" w:after="260" w:line="416" w:lineRule="auto"/>
        <w:contextualSpacing w:val="0"/>
        <w:jc w:val="both"/>
        <w:outlineLvl w:val="2"/>
        <w:rPr>
          <w:b/>
          <w:bCs/>
          <w:vanish/>
          <w:sz w:val="32"/>
          <w:szCs w:val="32"/>
        </w:rPr>
      </w:pPr>
    </w:p>
    <w:p>
      <w:pPr>
        <w:pStyle w:val="43"/>
        <w:keepNext/>
        <w:keepLines/>
        <w:widowControl w:val="0"/>
        <w:numPr>
          <w:ilvl w:val="0"/>
          <w:numId w:val="7"/>
        </w:numPr>
        <w:spacing w:before="260" w:after="260" w:line="416" w:lineRule="auto"/>
        <w:contextualSpacing w:val="0"/>
        <w:jc w:val="both"/>
        <w:outlineLvl w:val="2"/>
        <w:rPr>
          <w:b/>
          <w:bCs/>
          <w:vanish/>
          <w:sz w:val="32"/>
          <w:szCs w:val="32"/>
        </w:rPr>
      </w:pPr>
    </w:p>
    <w:p>
      <w:pPr>
        <w:pStyle w:val="43"/>
        <w:keepNext/>
        <w:keepLines/>
        <w:widowControl w:val="0"/>
        <w:numPr>
          <w:ilvl w:val="1"/>
          <w:numId w:val="7"/>
        </w:numPr>
        <w:spacing w:before="260" w:after="260" w:line="416" w:lineRule="auto"/>
        <w:contextualSpacing w:val="0"/>
        <w:jc w:val="both"/>
        <w:outlineLvl w:val="2"/>
        <w:rPr>
          <w:b/>
          <w:bCs/>
          <w:vanish/>
          <w:sz w:val="32"/>
          <w:szCs w:val="32"/>
        </w:rPr>
      </w:pPr>
    </w:p>
    <w:p>
      <w:pPr>
        <w:pStyle w:val="3"/>
        <w:numPr>
          <w:ilvl w:val="1"/>
          <w:numId w:val="1"/>
        </w:numPr>
        <w:spacing w:before="260" w:after="260" w:line="416" w:lineRule="auto"/>
        <w:jc w:val="both"/>
        <w:rPr>
          <w:rFonts w:hint="default"/>
          <w:lang w:val="en-US" w:eastAsia="zh-CN"/>
        </w:rPr>
      </w:pPr>
      <w:r>
        <w:rPr>
          <w:rFonts w:hint="eastAsia"/>
          <w:lang w:val="en-US" w:eastAsia="zh-CN"/>
        </w:rPr>
        <w:t>准出模块</w:t>
      </w:r>
    </w:p>
    <w:p>
      <w:pPr>
        <w:spacing w:line="360" w:lineRule="auto"/>
        <w:ind w:firstLine="420" w:firstLineChars="200"/>
        <w:rPr>
          <w:rFonts w:hint="eastAsia"/>
        </w:rPr>
      </w:pPr>
      <w:r>
        <w:rPr>
          <w:rFonts w:hint="eastAsia"/>
        </w:rPr>
        <w:t>专业准出</w:t>
      </w:r>
    </w:p>
    <w:p>
      <w:pPr>
        <w:spacing w:line="360" w:lineRule="auto"/>
        <w:ind w:firstLine="420" w:firstLineChars="200"/>
        <w:rPr>
          <w:rFonts w:hint="eastAsia"/>
        </w:rPr>
      </w:pPr>
      <w:r>
        <w:rPr>
          <w:rFonts w:hint="eastAsia"/>
        </w:rPr>
        <w:t>学生达到准出专业培养方案的要求，可申请从准出专业毕业。</w:t>
      </w:r>
    </w:p>
    <w:p>
      <w:pPr>
        <w:spacing w:line="360" w:lineRule="auto"/>
        <w:ind w:firstLine="420" w:firstLineChars="200"/>
        <w:rPr>
          <w:rFonts w:hint="eastAsia"/>
        </w:rPr>
      </w:pPr>
      <w:r>
        <w:rPr>
          <w:rFonts w:hint="eastAsia"/>
        </w:rPr>
        <w:t>1）准出方案设置</w:t>
      </w:r>
    </w:p>
    <w:p>
      <w:pPr>
        <w:spacing w:line="360" w:lineRule="auto"/>
        <w:ind w:firstLine="420" w:firstLineChars="200"/>
        <w:rPr>
          <w:rFonts w:hint="eastAsia"/>
        </w:rPr>
      </w:pPr>
      <w:r>
        <w:rPr>
          <w:rFonts w:hint="eastAsia"/>
        </w:rPr>
        <w:t>根据专业（类）设置准出方案，如：已确定主修专业且符合准出条件，修完另外专业培养方案指定课程，并完成相应毕业实习和毕业论文的可以申请辅修专业证书。</w:t>
      </w:r>
    </w:p>
    <w:p>
      <w:pPr>
        <w:spacing w:line="360" w:lineRule="auto"/>
        <w:ind w:firstLine="420" w:firstLineChars="200"/>
        <w:rPr>
          <w:rFonts w:hint="eastAsia"/>
        </w:rPr>
      </w:pPr>
      <w:r>
        <w:rPr>
          <w:rFonts w:hint="eastAsia"/>
        </w:rPr>
        <w:t>2）学生申请</w:t>
      </w:r>
    </w:p>
    <w:p>
      <w:pPr>
        <w:spacing w:line="360" w:lineRule="auto"/>
        <w:ind w:firstLine="420" w:firstLineChars="200"/>
        <w:rPr>
          <w:rFonts w:hint="eastAsia"/>
        </w:rPr>
      </w:pPr>
      <w:r>
        <w:rPr>
          <w:rFonts w:hint="eastAsia"/>
        </w:rPr>
        <w:t>符合多个专业准出条件的，只能选择一个准出专业毕业，其余专业可申请辅修专业证书。申请专业准出后学生仍归属现所在学院管理。</w:t>
      </w:r>
    </w:p>
    <w:p>
      <w:pPr>
        <w:spacing w:line="360" w:lineRule="auto"/>
        <w:ind w:firstLine="420" w:firstLineChars="200"/>
        <w:rPr>
          <w:rFonts w:hint="eastAsia"/>
        </w:rPr>
      </w:pPr>
      <w:r>
        <w:rPr>
          <w:rFonts w:hint="eastAsia"/>
        </w:rPr>
        <w:t>在现专业修读准出专业课程的，在预期达到准出条件的当学期提出申请，批准后由准出专业安排毕业论文等培养环节。</w:t>
      </w:r>
    </w:p>
    <w:p>
      <w:pPr>
        <w:spacing w:line="360" w:lineRule="auto"/>
        <w:ind w:firstLine="420" w:firstLineChars="200"/>
        <w:rPr>
          <w:rFonts w:hint="eastAsia"/>
          <w:lang w:val="en-US" w:eastAsia="zh-CN"/>
        </w:rPr>
      </w:pPr>
      <w:r>
        <w:rPr>
          <w:rFonts w:hint="eastAsia"/>
          <w:lang w:val="en-US" w:eastAsia="zh-CN"/>
        </w:rPr>
        <w:t>3）准出毕业审核（主修、辅修）</w:t>
      </w:r>
    </w:p>
    <w:p>
      <w:pPr>
        <w:spacing w:line="360" w:lineRule="auto"/>
        <w:ind w:firstLine="420" w:firstLineChars="200"/>
        <w:rPr>
          <w:rFonts w:hint="eastAsia"/>
          <w:lang w:val="en-US" w:eastAsia="zh-CN"/>
        </w:rPr>
      </w:pPr>
      <w:r>
        <w:rPr>
          <w:rFonts w:hint="eastAsia"/>
          <w:lang w:val="en-US" w:eastAsia="zh-CN"/>
        </w:rPr>
        <w:t>学生学业修读情况比对学校各专业培养计划吻合度，系统给出吻合度高的为推荐毕业专业，管理端可以自主输入完成计划的百分比。另外对于达到准出专业培养方案要求的，学生可申请该专业毕业证书，符合学士学位授予条件的，可申请学士学位证书。学院、教务处对学生提交的申请进行审核。</w:t>
      </w:r>
    </w:p>
    <w:p>
      <w:pPr>
        <w:spacing w:line="360" w:lineRule="auto"/>
        <w:ind w:firstLine="420" w:firstLineChars="200"/>
        <w:rPr>
          <w:rFonts w:hint="eastAsia"/>
          <w:lang w:val="en-US" w:eastAsia="zh-CN"/>
        </w:rPr>
      </w:pPr>
      <w:r>
        <w:rPr>
          <w:rFonts w:hint="eastAsia"/>
          <w:lang w:val="en-US" w:eastAsia="zh-CN"/>
        </w:rPr>
        <w:t>由于存在课程替代混乱问题，要求系统能实现自动识别可替代课程进行主修专业毕业审核和多个辅修专业毕业审核，根据替代库、认定表、替代表、成绩表等，形成一张虚拟学生成绩表，用于主辅修毕业审核。</w:t>
      </w:r>
    </w:p>
    <w:p>
      <w:pPr>
        <w:spacing w:line="360" w:lineRule="auto"/>
        <w:ind w:firstLine="420" w:firstLineChars="200"/>
        <w:rPr>
          <w:rFonts w:hint="eastAsia"/>
          <w:lang w:val="en-US" w:eastAsia="zh-CN"/>
        </w:rPr>
      </w:pPr>
      <w:r>
        <w:rPr>
          <w:rFonts w:hint="eastAsia"/>
          <w:lang w:val="en-US" w:eastAsia="zh-CN"/>
        </w:rPr>
        <w:t>多个辅修专业时，毕业生辅助信息表需要存储多个专业和毕业论文题目。</w:t>
      </w:r>
    </w:p>
    <w:p>
      <w:pPr>
        <w:spacing w:line="360" w:lineRule="auto"/>
        <w:ind w:firstLine="420" w:firstLineChars="200"/>
        <w:rPr>
          <w:rFonts w:hint="eastAsia"/>
          <w:lang w:val="en-US" w:eastAsia="zh-CN"/>
        </w:rPr>
      </w:pPr>
      <w:r>
        <w:rPr>
          <w:rFonts w:hint="eastAsia"/>
          <w:lang w:val="en-US" w:eastAsia="zh-CN"/>
        </w:rPr>
        <w:t>学籍卡显示多个辅修专业。</w:t>
      </w:r>
    </w:p>
    <w:p>
      <w:pPr>
        <w:spacing w:line="360" w:lineRule="auto"/>
        <w:ind w:firstLine="420" w:firstLineChars="200"/>
        <w:rPr>
          <w:rFonts w:hint="eastAsia"/>
          <w:lang w:val="en-US" w:eastAsia="zh-CN"/>
        </w:rPr>
      </w:pPr>
      <w:r>
        <w:rPr>
          <w:rFonts w:hint="eastAsia"/>
          <w:lang w:val="en-US" w:eastAsia="zh-CN"/>
        </w:rPr>
        <w:t>成绩单显示多个毕业论文题目。</w:t>
      </w:r>
    </w:p>
    <w:p>
      <w:pPr>
        <w:pStyle w:val="3"/>
        <w:numPr>
          <w:ilvl w:val="1"/>
          <w:numId w:val="1"/>
        </w:numPr>
        <w:spacing w:before="260" w:after="260" w:line="416" w:lineRule="auto"/>
        <w:jc w:val="both"/>
        <w:rPr>
          <w:rFonts w:hint="eastAsia"/>
          <w:lang w:val="en-US" w:eastAsia="zh-CN"/>
        </w:rPr>
      </w:pPr>
      <w:r>
        <w:rPr>
          <w:rFonts w:hint="eastAsia"/>
          <w:lang w:val="en-US" w:eastAsia="zh-CN"/>
        </w:rPr>
        <w:t>选课模块</w:t>
      </w:r>
    </w:p>
    <w:p>
      <w:pPr>
        <w:spacing w:line="360" w:lineRule="auto"/>
        <w:ind w:firstLine="420" w:firstLineChars="200"/>
        <w:rPr>
          <w:rFonts w:hint="eastAsia"/>
        </w:rPr>
      </w:pPr>
      <w:r>
        <w:rPr>
          <w:rFonts w:hint="eastAsia"/>
        </w:rPr>
        <w:t>根据学校本科生大类培养分流及选课办法对选课管理模块进行改造，主要包括课表预置阶段、第一轮（筛选制）选课、第二轮（优先制）、第三轮（优先制）四个部分。</w:t>
      </w:r>
    </w:p>
    <w:p>
      <w:pPr>
        <w:spacing w:line="360" w:lineRule="auto"/>
        <w:ind w:firstLine="420" w:firstLineChars="200"/>
        <w:rPr>
          <w:rFonts w:hint="eastAsia"/>
          <w:lang w:val="en-US" w:eastAsia="zh-CN"/>
        </w:rPr>
      </w:pPr>
      <w:r>
        <w:rPr>
          <w:rFonts w:hint="eastAsia"/>
          <w:lang w:eastAsia="zh-CN"/>
        </w:rPr>
        <w:t>重修报名通道的学分统筹纳入选课总学分控制，二专业</w:t>
      </w:r>
      <w:r>
        <w:rPr>
          <w:rFonts w:hint="eastAsia"/>
          <w:lang w:val="en-US" w:eastAsia="zh-CN"/>
        </w:rPr>
        <w:t>/微专业通道、准入准出意向选课通道学分控制单独控制。</w:t>
      </w:r>
    </w:p>
    <w:p>
      <w:pPr>
        <w:spacing w:line="360" w:lineRule="auto"/>
        <w:ind w:firstLine="420" w:firstLineChars="200"/>
        <w:rPr>
          <w:rFonts w:hint="default"/>
          <w:lang w:val="en-US" w:eastAsia="zh-CN"/>
        </w:rPr>
      </w:pPr>
      <w:r>
        <w:rPr>
          <w:rFonts w:hint="eastAsia"/>
          <w:lang w:val="en-US" w:eastAsia="zh-CN"/>
        </w:rPr>
        <w:t>重修教学班管理和准入准出教学班管理是否限报可以根据选课任务是否可选课一键更新同步。</w:t>
      </w:r>
    </w:p>
    <w:p>
      <w:pPr>
        <w:spacing w:line="360" w:lineRule="auto"/>
        <w:ind w:firstLine="420" w:firstLineChars="200"/>
        <w:rPr>
          <w:rFonts w:hint="eastAsia"/>
        </w:rPr>
      </w:pPr>
      <w:r>
        <w:rPr>
          <w:rFonts w:hint="eastAsia"/>
        </w:rPr>
        <w:t>（1）课表预置阶段</w:t>
      </w:r>
    </w:p>
    <w:p>
      <w:pPr>
        <w:spacing w:line="360" w:lineRule="auto"/>
        <w:ind w:firstLine="420" w:firstLineChars="200"/>
        <w:rPr>
          <w:rFonts w:hint="eastAsia"/>
        </w:rPr>
      </w:pPr>
      <w:r>
        <w:rPr>
          <w:rFonts w:hint="eastAsia"/>
        </w:rPr>
        <w:t>包括课表预置范围设置、课表预置名单生成。</w:t>
      </w:r>
    </w:p>
    <w:p>
      <w:pPr>
        <w:spacing w:line="360" w:lineRule="auto"/>
        <w:ind w:firstLine="420" w:firstLineChars="200"/>
        <w:rPr>
          <w:rFonts w:hint="eastAsia"/>
        </w:rPr>
      </w:pPr>
      <w:r>
        <w:rPr>
          <w:rFonts w:hint="eastAsia"/>
        </w:rPr>
        <w:t>（2）第一轮（筛选制）</w:t>
      </w:r>
    </w:p>
    <w:p>
      <w:pPr>
        <w:spacing w:line="360" w:lineRule="auto"/>
        <w:ind w:firstLine="420" w:firstLineChars="200"/>
        <w:rPr>
          <w:rFonts w:hint="eastAsia"/>
        </w:rPr>
      </w:pPr>
      <w:r>
        <w:rPr>
          <w:rFonts w:hint="eastAsia"/>
        </w:rPr>
        <w:t>包括选课开课类型范围设置（主修课、重修课、准出准入意向选课、通识选修课、网络课）、选课规则控制范围、其他选课规则控制范围（如：总学分控制最低15选课学分，最高28选课学分）、选课约束关系（先修后续课选课要求、准出意向选课）、筛选优先规则</w:t>
      </w:r>
      <w:r>
        <w:rPr>
          <w:rFonts w:hint="eastAsia"/>
          <w:lang w:eastAsia="zh-CN"/>
        </w:rPr>
        <w:t>（多次变更准出意向的比一直保持同一准出意向的优先级低）</w:t>
      </w:r>
      <w:r>
        <w:rPr>
          <w:rFonts w:hint="eastAsia"/>
        </w:rPr>
        <w:t>、第一轮选课信息公布。</w:t>
      </w:r>
    </w:p>
    <w:p>
      <w:pPr>
        <w:spacing w:line="360" w:lineRule="auto"/>
        <w:ind w:firstLine="420" w:firstLineChars="200"/>
        <w:rPr>
          <w:rFonts w:hint="eastAsia"/>
        </w:rPr>
      </w:pPr>
      <w:r>
        <w:rPr>
          <w:rFonts w:hint="eastAsia"/>
        </w:rPr>
        <w:t>（3）第二轮（优先制）</w:t>
      </w:r>
    </w:p>
    <w:p>
      <w:pPr>
        <w:spacing w:line="360" w:lineRule="auto"/>
        <w:ind w:firstLine="420" w:firstLineChars="200"/>
        <w:rPr>
          <w:rFonts w:hint="eastAsia"/>
        </w:rPr>
      </w:pPr>
      <w:r>
        <w:rPr>
          <w:rFonts w:hint="eastAsia"/>
        </w:rPr>
        <w:t>包括选课开课类型范围、选课规则控制范围、其他选课规则控制范围、选课约束关系、第二轮选课结束后处理、第二轮选课信息公布。</w:t>
      </w:r>
    </w:p>
    <w:p>
      <w:pPr>
        <w:spacing w:line="360" w:lineRule="auto"/>
        <w:ind w:firstLine="420" w:firstLineChars="200"/>
        <w:rPr>
          <w:rFonts w:hint="eastAsia"/>
        </w:rPr>
      </w:pPr>
      <w:r>
        <w:rPr>
          <w:rFonts w:hint="eastAsia"/>
        </w:rPr>
        <w:t>（4）第三轮（优先制）</w:t>
      </w:r>
    </w:p>
    <w:p>
      <w:pPr>
        <w:spacing w:line="360" w:lineRule="auto"/>
        <w:ind w:firstLine="420" w:firstLineChars="200"/>
        <w:rPr>
          <w:rFonts w:hint="eastAsia"/>
        </w:rPr>
      </w:pPr>
      <w:r>
        <w:rPr>
          <w:rFonts w:hint="eastAsia"/>
        </w:rPr>
        <w:t>包括第三轮选课阶段（第1阶段转专业</w:t>
      </w:r>
      <w:r>
        <w:rPr>
          <w:rFonts w:hint="eastAsia"/>
          <w:lang w:eastAsia="zh-CN"/>
        </w:rPr>
        <w:t>、复学等</w:t>
      </w:r>
      <w:r>
        <w:rPr>
          <w:rFonts w:hint="eastAsia"/>
        </w:rPr>
        <w:t>学生选课、第</w:t>
      </w:r>
      <w:r>
        <w:rPr>
          <w:rFonts w:hint="eastAsia"/>
          <w:lang w:val="en-US" w:eastAsia="zh-CN"/>
        </w:rPr>
        <w:t>2</w:t>
      </w:r>
      <w:r>
        <w:rPr>
          <w:rFonts w:hint="eastAsia"/>
        </w:rPr>
        <w:t>阶段正常补退选、第</w:t>
      </w:r>
      <w:r>
        <w:rPr>
          <w:rFonts w:hint="eastAsia"/>
          <w:lang w:val="en-US" w:eastAsia="zh-CN"/>
        </w:rPr>
        <w:t>3</w:t>
      </w:r>
      <w:r>
        <w:rPr>
          <w:rFonts w:hint="eastAsia"/>
        </w:rPr>
        <w:t>阶段正常补选）、每一阶段开课类型、范围及控制、选课约束关系（同第一轮、第二轮对应的选课约束关系）。</w:t>
      </w:r>
    </w:p>
    <w:p>
      <w:pPr>
        <w:pStyle w:val="3"/>
        <w:numPr>
          <w:ilvl w:val="1"/>
          <w:numId w:val="1"/>
        </w:numPr>
        <w:spacing w:before="260" w:after="260" w:line="416" w:lineRule="auto"/>
        <w:jc w:val="both"/>
        <w:rPr>
          <w:rFonts w:hint="eastAsia"/>
          <w:lang w:val="en-US" w:eastAsia="zh-CN"/>
        </w:rPr>
      </w:pPr>
      <w:r>
        <w:rPr>
          <w:rFonts w:hint="eastAsia"/>
          <w:lang w:val="en-US" w:eastAsia="zh-CN"/>
        </w:rPr>
        <w:t>培养方案与执行计划模块</w:t>
      </w:r>
    </w:p>
    <w:p>
      <w:pPr>
        <w:spacing w:line="360" w:lineRule="auto"/>
        <w:ind w:firstLine="420" w:firstLineChars="200"/>
        <w:rPr>
          <w:rFonts w:hint="eastAsia"/>
          <w:lang w:eastAsia="zh-CN"/>
        </w:rPr>
      </w:pPr>
      <w:r>
        <w:rPr>
          <w:rFonts w:hint="eastAsia"/>
          <w:lang w:eastAsia="zh-CN"/>
        </w:rPr>
        <w:t>根据准入准出需求，增加培养方案和执行计划页面准入课程、准出课程标记维护。</w:t>
      </w:r>
    </w:p>
    <w:p>
      <w:pPr>
        <w:spacing w:line="360" w:lineRule="auto"/>
        <w:ind w:firstLine="420" w:firstLineChars="200"/>
        <w:rPr>
          <w:rFonts w:hint="eastAsia"/>
          <w:lang w:eastAsia="zh-CN"/>
        </w:rPr>
      </w:pPr>
      <w:r>
        <w:rPr>
          <w:rFonts w:hint="eastAsia"/>
          <w:lang w:eastAsia="zh-CN"/>
        </w:rPr>
        <w:t>完善个人培养方案继承和维护功能，可以根据学生标记进行筛选，对其批量继承和修改维护方案课程。</w:t>
      </w:r>
    </w:p>
    <w:p>
      <w:pPr>
        <w:pStyle w:val="3"/>
        <w:numPr>
          <w:ilvl w:val="1"/>
          <w:numId w:val="1"/>
        </w:numPr>
        <w:spacing w:before="260" w:after="260" w:line="416" w:lineRule="auto"/>
        <w:jc w:val="both"/>
        <w:rPr>
          <w:rFonts w:hint="eastAsia"/>
          <w:lang w:val="en-US" w:eastAsia="zh-CN"/>
        </w:rPr>
      </w:pPr>
      <w:r>
        <w:rPr>
          <w:rFonts w:hint="eastAsia"/>
          <w:lang w:val="en-US" w:eastAsia="zh-CN"/>
        </w:rPr>
        <w:t>微信对接移动教务</w:t>
      </w:r>
    </w:p>
    <w:p>
      <w:pPr>
        <w:numPr>
          <w:ilvl w:val="0"/>
          <w:numId w:val="8"/>
        </w:numPr>
        <w:spacing w:line="360" w:lineRule="auto"/>
        <w:ind w:firstLine="420" w:firstLineChars="200"/>
        <w:rPr>
          <w:rFonts w:hint="eastAsia"/>
          <w:lang w:val="en-US" w:eastAsia="zh-CN"/>
        </w:rPr>
      </w:pPr>
      <w:r>
        <w:rPr>
          <w:rFonts w:hint="eastAsia"/>
          <w:lang w:val="en-US" w:eastAsia="zh-CN"/>
        </w:rPr>
        <w:t>学校企业号、教务处微信公众号对接移动教务，要求身份绑定和登录时使用同一身份认证的账号密码。</w:t>
      </w:r>
    </w:p>
    <w:p>
      <w:pPr>
        <w:numPr>
          <w:ilvl w:val="0"/>
          <w:numId w:val="8"/>
        </w:numPr>
        <w:spacing w:line="360" w:lineRule="auto"/>
        <w:ind w:firstLine="420" w:firstLineChars="200"/>
        <w:rPr>
          <w:rFonts w:hint="default"/>
          <w:lang w:val="en-US" w:eastAsia="zh-CN"/>
        </w:rPr>
      </w:pPr>
      <w:r>
        <w:rPr>
          <w:rFonts w:hint="eastAsia"/>
          <w:lang w:val="en-US" w:eastAsia="zh-CN"/>
        </w:rPr>
        <w:t>微信关联教务系统业务做推送消息功能，例如有人发起申请，审核人在绑定的企业号和教务处微信公众号里接收到待审核消息，也可通过短信接收，要求学校企业号和教务处微信公众号同时推送。</w:t>
      </w:r>
    </w:p>
    <w:p>
      <w:pPr>
        <w:pStyle w:val="3"/>
        <w:numPr>
          <w:ilvl w:val="1"/>
          <w:numId w:val="1"/>
        </w:numPr>
        <w:spacing w:before="260" w:after="260" w:line="416" w:lineRule="auto"/>
        <w:jc w:val="both"/>
        <w:rPr>
          <w:rFonts w:hint="default"/>
          <w:lang w:val="en-US" w:eastAsia="zh-CN"/>
        </w:rPr>
      </w:pPr>
      <w:r>
        <w:rPr>
          <w:rFonts w:hint="eastAsia"/>
          <w:lang w:val="en-US" w:eastAsia="zh-CN"/>
        </w:rPr>
        <w:t>学籍信息上报学信网学位网导出</w:t>
      </w:r>
    </w:p>
    <w:p>
      <w:pPr>
        <w:numPr>
          <w:ilvl w:val="0"/>
          <w:numId w:val="9"/>
        </w:numPr>
        <w:spacing w:line="360" w:lineRule="auto"/>
        <w:ind w:firstLine="420" w:firstLineChars="200"/>
        <w:rPr>
          <w:rFonts w:hint="eastAsia"/>
          <w:lang w:val="en-US" w:eastAsia="zh-CN"/>
        </w:rPr>
      </w:pPr>
      <w:r>
        <w:rPr>
          <w:rFonts w:hint="eastAsia"/>
          <w:lang w:val="en-US" w:eastAsia="zh-CN"/>
        </w:rPr>
        <w:t>学信网新生电子注册报送导出</w:t>
      </w:r>
    </w:p>
    <w:p>
      <w:pPr>
        <w:numPr>
          <w:ilvl w:val="0"/>
          <w:numId w:val="9"/>
        </w:numPr>
        <w:spacing w:line="360" w:lineRule="auto"/>
        <w:ind w:firstLine="420" w:firstLineChars="200"/>
        <w:rPr>
          <w:rFonts w:hint="eastAsia"/>
          <w:lang w:eastAsia="zh-CN"/>
        </w:rPr>
      </w:pPr>
      <w:r>
        <w:rPr>
          <w:rFonts w:hint="eastAsia"/>
          <w:lang w:eastAsia="zh-CN"/>
        </w:rPr>
        <w:t>学信网日常异动数据更新报送导出</w:t>
      </w:r>
    </w:p>
    <w:p>
      <w:pPr>
        <w:numPr>
          <w:ilvl w:val="0"/>
          <w:numId w:val="9"/>
        </w:numPr>
        <w:spacing w:line="360" w:lineRule="auto"/>
        <w:ind w:firstLine="420" w:firstLineChars="200"/>
        <w:rPr>
          <w:rFonts w:hint="eastAsia"/>
          <w:lang w:eastAsia="zh-CN"/>
        </w:rPr>
      </w:pPr>
      <w:r>
        <w:rPr>
          <w:rFonts w:hint="eastAsia"/>
          <w:lang w:eastAsia="zh-CN"/>
        </w:rPr>
        <w:t>学历信息报送导出</w:t>
      </w:r>
    </w:p>
    <w:p>
      <w:pPr>
        <w:numPr>
          <w:ilvl w:val="0"/>
          <w:numId w:val="9"/>
        </w:numPr>
        <w:spacing w:line="360" w:lineRule="auto"/>
        <w:ind w:firstLine="420" w:firstLineChars="200"/>
        <w:rPr>
          <w:rFonts w:hint="default"/>
          <w:lang w:val="en-US" w:eastAsia="zh-CN"/>
        </w:rPr>
      </w:pPr>
      <w:r>
        <w:rPr>
          <w:rFonts w:hint="eastAsia"/>
          <w:lang w:eastAsia="zh-CN"/>
        </w:rPr>
        <w:t>学位信息报送导出</w:t>
      </w:r>
    </w:p>
    <w:p>
      <w:pPr>
        <w:pStyle w:val="3"/>
        <w:numPr>
          <w:ilvl w:val="1"/>
          <w:numId w:val="1"/>
        </w:numPr>
        <w:spacing w:before="260" w:after="260" w:line="416" w:lineRule="auto"/>
        <w:jc w:val="both"/>
        <w:rPr>
          <w:rFonts w:hint="default"/>
          <w:lang w:val="en-US" w:eastAsia="zh-CN"/>
        </w:rPr>
      </w:pPr>
      <w:r>
        <w:rPr>
          <w:rFonts w:hint="eastAsia"/>
          <w:lang w:val="en-US" w:eastAsia="zh-CN"/>
        </w:rPr>
        <w:t>增加学生学业成绩单打印</w:t>
      </w:r>
    </w:p>
    <w:p>
      <w:pPr>
        <w:numPr>
          <w:ilvl w:val="0"/>
          <w:numId w:val="10"/>
        </w:numPr>
        <w:spacing w:line="360" w:lineRule="auto"/>
        <w:ind w:firstLine="420" w:firstLineChars="200"/>
        <w:rPr>
          <w:rFonts w:hint="eastAsia"/>
          <w:lang w:val="en-US" w:eastAsia="zh-CN"/>
        </w:rPr>
      </w:pPr>
      <w:r>
        <w:rPr>
          <w:rFonts w:hint="eastAsia"/>
          <w:lang w:val="en-US" w:eastAsia="zh-CN"/>
        </w:rPr>
        <w:t>替代后的主辅修成绩单（成绩取值：正考成绩，补考最高成绩，重修最高成绩）</w:t>
      </w:r>
    </w:p>
    <w:p>
      <w:pPr>
        <w:numPr>
          <w:ilvl w:val="0"/>
          <w:numId w:val="10"/>
        </w:numPr>
        <w:spacing w:line="360" w:lineRule="auto"/>
        <w:ind w:firstLine="420" w:firstLineChars="200"/>
        <w:rPr>
          <w:rFonts w:hint="eastAsia"/>
          <w:lang w:eastAsia="zh-CN"/>
        </w:rPr>
      </w:pPr>
      <w:r>
        <w:rPr>
          <w:rFonts w:hint="eastAsia"/>
          <w:lang w:eastAsia="zh-CN"/>
        </w:rPr>
        <w:t>替代前（根据实际修读显示）的主辅修成绩单（过程性）</w:t>
      </w:r>
    </w:p>
    <w:p>
      <w:pPr>
        <w:numPr>
          <w:ilvl w:val="0"/>
          <w:numId w:val="10"/>
        </w:numPr>
        <w:spacing w:line="360" w:lineRule="auto"/>
        <w:ind w:firstLine="420" w:firstLineChars="200"/>
        <w:rPr>
          <w:rFonts w:hint="eastAsia"/>
          <w:lang w:eastAsia="zh-CN"/>
        </w:rPr>
      </w:pPr>
      <w:r>
        <w:rPr>
          <w:rFonts w:hint="eastAsia"/>
          <w:lang w:eastAsia="zh-CN"/>
        </w:rPr>
        <w:t>替代前（根据实际修读显示）的主修成绩单（过程性）</w:t>
      </w:r>
    </w:p>
    <w:p>
      <w:pPr>
        <w:numPr>
          <w:ilvl w:val="0"/>
          <w:numId w:val="10"/>
        </w:numPr>
        <w:spacing w:line="360" w:lineRule="auto"/>
        <w:ind w:firstLine="420" w:firstLineChars="200"/>
        <w:rPr>
          <w:rFonts w:hint="eastAsia"/>
          <w:lang w:eastAsia="zh-CN"/>
        </w:rPr>
      </w:pPr>
      <w:r>
        <w:rPr>
          <w:rFonts w:hint="eastAsia"/>
          <w:lang w:eastAsia="zh-CN"/>
        </w:rPr>
        <w:t>替代前（根据实际修读显示）的二专业成绩单（根据二专业执行计划读取）（过程性）</w:t>
      </w:r>
    </w:p>
    <w:p>
      <w:pPr>
        <w:numPr>
          <w:ilvl w:val="0"/>
          <w:numId w:val="10"/>
        </w:numPr>
        <w:spacing w:line="360" w:lineRule="auto"/>
        <w:ind w:firstLine="420" w:firstLineChars="200"/>
        <w:rPr>
          <w:rFonts w:hint="eastAsia"/>
          <w:lang w:eastAsia="zh-CN"/>
        </w:rPr>
      </w:pPr>
      <w:r>
        <w:rPr>
          <w:rFonts w:hint="eastAsia"/>
          <w:lang w:eastAsia="zh-CN"/>
        </w:rPr>
        <w:t>替代后的二专业成绩单（根据二专业执行计划读取）（过程性）</w:t>
      </w:r>
    </w:p>
    <w:p>
      <w:pPr>
        <w:pStyle w:val="3"/>
        <w:numPr>
          <w:ilvl w:val="1"/>
          <w:numId w:val="1"/>
        </w:numPr>
        <w:spacing w:before="260" w:after="260" w:line="416" w:lineRule="auto"/>
        <w:jc w:val="both"/>
        <w:rPr>
          <w:rFonts w:hint="default"/>
          <w:lang w:val="en-US" w:eastAsia="zh-CN"/>
        </w:rPr>
      </w:pPr>
      <w:r>
        <w:rPr>
          <w:rFonts w:hint="eastAsia"/>
          <w:lang w:val="en-US" w:eastAsia="zh-CN"/>
        </w:rPr>
        <w:t>增加学生结业换证考试成绩单</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5" w:firstLineChars="0"/>
        <w:jc w:val="both"/>
        <w:textAlignment w:val="auto"/>
        <w:rPr>
          <w:rFonts w:hint="eastAsia"/>
          <w:lang w:val="en-US" w:eastAsia="zh-CN"/>
        </w:rPr>
      </w:pPr>
      <w:r>
        <w:rPr>
          <w:rFonts w:hint="eastAsia"/>
          <w:lang w:val="en-US" w:eastAsia="zh-CN"/>
        </w:rPr>
        <w:t>成绩修改增加开放“结业换证考”成绩性质</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5" w:firstLineChars="0"/>
        <w:jc w:val="both"/>
        <w:textAlignment w:val="auto"/>
        <w:rPr>
          <w:rFonts w:hint="eastAsia"/>
          <w:lang w:val="en-US" w:eastAsia="zh-CN"/>
        </w:rPr>
      </w:pPr>
      <w:r>
        <w:rPr>
          <w:rFonts w:hint="eastAsia"/>
          <w:lang w:val="en-US" w:eastAsia="zh-CN"/>
        </w:rPr>
        <w:t>增加结业换证考成绩单，结业换证考的成绩是毕业后产生的，不对原来在校期间成绩的统计结果产生影响，且毕业的时候毕业成绩单已经存档，结业换证考成绩单需单独出，作为补充增加存档</w:t>
      </w:r>
    </w:p>
    <w:p>
      <w:pPr>
        <w:pStyle w:val="3"/>
        <w:numPr>
          <w:ilvl w:val="1"/>
          <w:numId w:val="1"/>
        </w:numPr>
        <w:spacing w:before="260" w:after="260" w:line="416" w:lineRule="auto"/>
        <w:jc w:val="both"/>
        <w:rPr>
          <w:rFonts w:hint="default"/>
          <w:lang w:val="en-US" w:eastAsia="zh-CN"/>
        </w:rPr>
      </w:pPr>
      <w:r>
        <w:rPr>
          <w:rFonts w:hint="eastAsia"/>
          <w:lang w:val="en-US" w:eastAsia="zh-CN"/>
        </w:rPr>
        <w:t>成绩录入设置界面增加显示列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lang w:val="en-US" w:eastAsia="zh-CN"/>
        </w:rPr>
      </w:pPr>
      <w:r>
        <w:rPr>
          <w:rFonts w:hint="eastAsia"/>
          <w:lang w:val="en-US" w:eastAsia="zh-CN"/>
        </w:rPr>
        <w:t>成绩管理——成绩录入设置管理——成绩录入设置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lang w:val="en-US" w:eastAsia="zh-CN"/>
        </w:rPr>
      </w:pPr>
      <w:r>
        <w:rPr>
          <w:rFonts w:hint="eastAsia"/>
          <w:lang w:val="en-US" w:eastAsia="zh-CN"/>
        </w:rPr>
        <w:t>成绩管理——成绩录入设置管理——补考成绩录入设置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lang w:val="en-US" w:eastAsia="zh-CN"/>
        </w:rPr>
      </w:pPr>
      <w:r>
        <w:rPr>
          <w:rFonts w:hint="eastAsia"/>
          <w:lang w:val="en-US" w:eastAsia="zh-CN"/>
        </w:rPr>
        <w:t>成绩管理——成绩录入设置管理——缓考成绩录入设置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jc w:val="both"/>
        <w:textAlignment w:val="auto"/>
        <w:rPr>
          <w:rFonts w:hint="eastAsia"/>
          <w:lang w:val="en-US" w:eastAsia="zh-CN"/>
        </w:rPr>
      </w:pPr>
      <w:r>
        <w:rPr>
          <w:rFonts w:hint="eastAsia"/>
          <w:lang w:val="en-US" w:eastAsia="zh-CN"/>
        </w:rPr>
        <w:t>三个成绩录入设置界面增加总评级制显示。</w:t>
      </w:r>
    </w:p>
    <w:p>
      <w:pPr>
        <w:pStyle w:val="2"/>
        <w:numPr>
          <w:ilvl w:val="0"/>
          <w:numId w:val="1"/>
        </w:numPr>
        <w:spacing w:before="240" w:beforeLines="0" w:after="240" w:afterLines="0" w:line="578" w:lineRule="auto"/>
        <w:jc w:val="both"/>
        <w:rPr>
          <w:rFonts w:hint="eastAsia"/>
        </w:rPr>
      </w:pPr>
      <w:bookmarkStart w:id="18" w:name="_Toc5995172"/>
      <w:bookmarkStart w:id="19" w:name="_Toc516475327"/>
      <w:r>
        <w:rPr>
          <w:rFonts w:hint="eastAsia"/>
        </w:rPr>
        <w:t>项目工期</w:t>
      </w:r>
      <w:bookmarkEnd w:id="18"/>
      <w:bookmarkEnd w:id="19"/>
    </w:p>
    <w:p>
      <w:pPr>
        <w:spacing w:line="360" w:lineRule="auto"/>
        <w:ind w:firstLine="420" w:firstLineChars="200"/>
      </w:pPr>
      <w:r>
        <w:rPr>
          <w:rFonts w:hint="eastAsia"/>
        </w:rPr>
        <w:t xml:space="preserve"> </w:t>
      </w:r>
      <w:r>
        <w:t>该项目规模较大，系统需求复杂，涉及</w:t>
      </w:r>
      <w:r>
        <w:rPr>
          <w:rFonts w:hint="eastAsia"/>
        </w:rPr>
        <w:t>跨</w:t>
      </w:r>
      <w:r>
        <w:t>校区，跨部门、系统多，为了保证实施过程顺利有序，</w:t>
      </w:r>
      <w:r>
        <w:rPr>
          <w:rFonts w:hint="eastAsia"/>
        </w:rPr>
        <w:t>投标人</w:t>
      </w:r>
      <w:r>
        <w:t>应制定详细的实施计划，</w:t>
      </w:r>
      <w:r>
        <w:rPr>
          <w:rFonts w:hint="eastAsia"/>
        </w:rPr>
        <w:t>保证</w:t>
      </w:r>
      <w:r>
        <w:t>顺利完成验收。项目建设过程中，校方可对需求进行调整、增加功能模块，但不超过实际总工作量的15%。</w:t>
      </w:r>
    </w:p>
    <w:p>
      <w:pPr>
        <w:spacing w:line="360" w:lineRule="auto"/>
        <w:ind w:firstLine="420" w:firstLineChars="200"/>
      </w:pPr>
      <w:r>
        <w:t>承建方须在投标文件中给出详细、合理的项目进度安排，明确各阶段建设目标、建</w:t>
      </w:r>
      <w:r>
        <w:rPr>
          <w:rFonts w:hint="eastAsia"/>
        </w:rPr>
        <w:t>设</w:t>
      </w:r>
      <w:r>
        <w:t>内容，确定各平台间相互关系，协调各平台建设进度。合同签订前，承建方需与校方共同商定项目进度安排，并按项目进度安排签署合同，依次开工建设，项目建设中应严格遵守项目进度安排。</w:t>
      </w:r>
    </w:p>
    <w:p>
      <w:pPr>
        <w:pStyle w:val="2"/>
        <w:numPr>
          <w:ilvl w:val="0"/>
          <w:numId w:val="1"/>
        </w:numPr>
        <w:spacing w:before="240" w:beforeLines="0" w:after="240" w:afterLines="0" w:line="578" w:lineRule="auto"/>
        <w:jc w:val="both"/>
        <w:rPr>
          <w:rFonts w:hint="eastAsia"/>
        </w:rPr>
      </w:pPr>
      <w:r>
        <w:rPr>
          <w:rFonts w:hint="eastAsia"/>
        </w:rPr>
        <w:t>验收交付要求</w:t>
      </w:r>
    </w:p>
    <w:p>
      <w:pPr>
        <w:spacing w:line="360" w:lineRule="auto"/>
        <w:ind w:firstLine="420" w:firstLineChars="200"/>
      </w:pPr>
      <w:r>
        <w:rPr>
          <w:rFonts w:hint="eastAsia"/>
        </w:rPr>
        <w:t>在项目实施的整个过程中，制定明确的总体和分阶段成果交付与验收内容、准则、程序、监控手段等。这些成果和文档资料对系统的维护和持续发展起着非常重要的作用，因此要求这些成果和文档资料必须符合软件工程的相关要求，须提供明确的交付清单并交付给学校。要交付的成果和文档资料主要包括以下部分：</w:t>
      </w:r>
    </w:p>
    <w:p>
      <w:pPr>
        <w:spacing w:line="360" w:lineRule="auto"/>
        <w:ind w:firstLine="420" w:firstLineChars="200"/>
      </w:pPr>
      <w:r>
        <w:rPr>
          <w:rFonts w:hint="eastAsia"/>
        </w:rPr>
        <w:t>（1）执行代码：包括项目开发中形成的非原有公司或第三方已经申请知识产权的全部的可执行代码。</w:t>
      </w:r>
    </w:p>
    <w:p>
      <w:pPr>
        <w:spacing w:line="360" w:lineRule="auto"/>
        <w:ind w:firstLine="420" w:firstLineChars="200"/>
      </w:pPr>
      <w:r>
        <w:rPr>
          <w:rFonts w:hint="eastAsia"/>
        </w:rPr>
        <w:t>（2）技术文档：包括项目开发中的各种技术文档，含：环境配置说明、数据结构（数据字典）、软件工具清单、需求分析说明、需求及实施变更说明、系统设计说明、用户手册、测试文档（压力测试、测试方法、测试用例、测试数据及结论）、漏洞扫描文档、系统维护说明、系统培训资料以及有关系统集成接口源代码和技术说明等。</w:t>
      </w:r>
    </w:p>
    <w:p>
      <w:pPr>
        <w:spacing w:line="360" w:lineRule="auto"/>
        <w:ind w:firstLine="420" w:firstLineChars="200"/>
      </w:pPr>
      <w:r>
        <w:rPr>
          <w:rFonts w:hint="eastAsia"/>
        </w:rPr>
        <w:t>（3）管理文档：包括项目开发中的一些工作文档，如项目实施计划、阶段报告、讨论纲要、会议记录等。</w:t>
      </w:r>
    </w:p>
    <w:p>
      <w:pPr>
        <w:pStyle w:val="2"/>
        <w:numPr>
          <w:ilvl w:val="0"/>
          <w:numId w:val="1"/>
        </w:numPr>
        <w:spacing w:before="240" w:beforeLines="0" w:after="240" w:afterLines="0" w:line="578" w:lineRule="auto"/>
        <w:jc w:val="both"/>
        <w:rPr>
          <w:rFonts w:hint="eastAsia"/>
        </w:rPr>
      </w:pPr>
      <w:bookmarkStart w:id="20" w:name="_Toc516475328"/>
      <w:bookmarkStart w:id="21" w:name="_Toc5995173"/>
      <w:r>
        <w:rPr>
          <w:rFonts w:hint="eastAsia"/>
        </w:rPr>
        <w:t>售后服务要求</w:t>
      </w:r>
      <w:bookmarkEnd w:id="20"/>
      <w:bookmarkEnd w:id="21"/>
    </w:p>
    <w:p>
      <w:pPr>
        <w:spacing w:line="360" w:lineRule="auto"/>
        <w:ind w:firstLine="420" w:firstLineChars="200"/>
      </w:pPr>
      <w:r>
        <w:t>本项目业务需求复杂、服务内容多样、面向用户广泛，服务提供难度大。承建方应建立相对稳定、有业务素养的技术支持与服务队伍，不断跟踪业务需求的变化，进行系统的完善，提供全面的技术支持服务。承建方必须在投标文件中给出切实可行的技术支持与服务方案，技术支持与服务队伍人员名单、人员保证措施、技术支持与服务计划、质量控制措施、拟提交的服务文档和用户满意度指标和标准等。</w:t>
      </w:r>
    </w:p>
    <w:p>
      <w:pPr>
        <w:spacing w:line="360" w:lineRule="auto"/>
        <w:ind w:firstLine="420" w:firstLineChars="200"/>
      </w:pPr>
      <w:r>
        <w:t>本项目须提供</w:t>
      </w:r>
      <w:r>
        <w:rPr>
          <w:rFonts w:hint="eastAsia"/>
          <w:lang w:eastAsia="zh-CN"/>
        </w:rPr>
        <w:t>“</w:t>
      </w:r>
      <w:r>
        <w:rPr>
          <w:rFonts w:hint="eastAsia"/>
        </w:rPr>
        <w:t>浙江财经大学智慧教务综合服务平台项目</w:t>
      </w:r>
      <w:r>
        <w:rPr>
          <w:rFonts w:hint="eastAsia"/>
          <w:lang w:eastAsia="zh-CN"/>
        </w:rPr>
        <w:t>一</w:t>
      </w:r>
      <w:r>
        <w:rPr>
          <w:rFonts w:hint="eastAsia"/>
        </w:rPr>
        <w:t>期</w:t>
      </w:r>
      <w:r>
        <w:rPr>
          <w:rFonts w:hint="eastAsia"/>
          <w:lang w:eastAsia="zh-CN"/>
        </w:rPr>
        <w:t>”</w:t>
      </w:r>
      <w:r>
        <w:rPr>
          <w:rFonts w:hint="eastAsia"/>
        </w:rPr>
        <w:t>维保期满后2</w:t>
      </w:r>
      <w:r>
        <w:t>年售后服务，承建方应有本地服务机构，具体要求如下：</w:t>
      </w:r>
    </w:p>
    <w:p>
      <w:pPr>
        <w:spacing w:line="360" w:lineRule="auto"/>
        <w:ind w:firstLine="420" w:firstLineChars="200"/>
      </w:pPr>
      <w:r>
        <w:t>（1）技术支持</w:t>
      </w:r>
    </w:p>
    <w:p>
      <w:pPr>
        <w:spacing w:line="360" w:lineRule="auto"/>
        <w:ind w:firstLine="420" w:firstLineChars="200"/>
      </w:pPr>
      <w:r>
        <w:t>承建方应提供 7×24 小时技术支持服务，在接到技术支持要求时，应为系统使用人员提供如何使用系统的咨询。</w:t>
      </w:r>
    </w:p>
    <w:p>
      <w:pPr>
        <w:spacing w:line="360" w:lineRule="auto"/>
        <w:ind w:firstLine="420" w:firstLineChars="200"/>
      </w:pPr>
      <w:r>
        <w:t>（2）故障响应</w:t>
      </w:r>
    </w:p>
    <w:p>
      <w:pPr>
        <w:spacing w:line="360" w:lineRule="auto"/>
        <w:ind w:firstLine="420" w:firstLineChars="200"/>
      </w:pPr>
      <w:r>
        <w:t>承建方应保证在售后服务期内，各类故障应在 1 小时内响应，2小时内提供应急解决方案。影响系统正常使用的 bug 在使用方提出后 48 小时内修正；系统安全漏洞的修复，要在使用方提出后 48 小时内解决；上述问题发生后需 24小时内提供应急解决方案。</w:t>
      </w:r>
    </w:p>
    <w:p>
      <w:pPr>
        <w:spacing w:line="360" w:lineRule="auto"/>
        <w:ind w:firstLine="420" w:firstLineChars="200"/>
      </w:pPr>
      <w:r>
        <w:t>若承建方未能按时派员到现场或未能按时限解决问题，建设单位有权自行处理，所发生费用由承建方承担（在合同经费中扣除）。</w:t>
      </w:r>
    </w:p>
    <w:p>
      <w:pPr>
        <w:spacing w:line="360" w:lineRule="auto"/>
        <w:ind w:firstLine="420" w:firstLineChars="200"/>
      </w:pPr>
      <w:r>
        <w:rPr>
          <w:rFonts w:hint="eastAsia"/>
        </w:rPr>
        <w:t>（3）定期巡检服务</w:t>
      </w:r>
    </w:p>
    <w:p>
      <w:pPr>
        <w:spacing w:line="360" w:lineRule="auto"/>
        <w:ind w:firstLine="420" w:firstLineChars="200"/>
        <w:rPr>
          <w:rFonts w:ascii="宋体" w:hAnsi="宋体"/>
          <w:szCs w:val="21"/>
        </w:rPr>
      </w:pPr>
      <w:r>
        <w:rPr>
          <w:rFonts w:hint="eastAsia"/>
        </w:rPr>
        <w:t>每月对项目相关平台巡检一次。可</w:t>
      </w:r>
      <w:r>
        <w:rPr>
          <w:rFonts w:hint="eastAsia" w:ascii="宋体" w:hAnsi="宋体"/>
          <w:szCs w:val="21"/>
        </w:rPr>
        <w:t>提供软件升级服务及系统性能优化服务。</w:t>
      </w:r>
    </w:p>
    <w:p>
      <w:pPr>
        <w:spacing w:line="360" w:lineRule="auto"/>
        <w:ind w:firstLine="420" w:firstLineChars="200"/>
        <w:rPr>
          <w:rFonts w:ascii="宋体" w:hAnsi="宋体"/>
          <w:szCs w:val="21"/>
        </w:rPr>
      </w:pPr>
      <w:r>
        <w:rPr>
          <w:rFonts w:hint="eastAsia" w:ascii="宋体" w:hAnsi="宋体"/>
          <w:szCs w:val="21"/>
        </w:rPr>
        <w:t>（4）文档服务</w:t>
      </w:r>
    </w:p>
    <w:p>
      <w:pPr>
        <w:spacing w:line="360" w:lineRule="auto"/>
        <w:ind w:firstLine="420" w:firstLineChars="200"/>
      </w:pPr>
      <w:r>
        <w:rPr>
          <w:rFonts w:hint="eastAsia"/>
        </w:rPr>
        <w:t>整个服务过程均需有完善的文档记录，便于跟踪、分析问题；对各项服务提供详细的书面报告，包括故障处理报告、健康巡检报告、平台性能检测调优报告、维护总表报告、服务年度报告等。</w:t>
      </w:r>
    </w:p>
    <w:p>
      <w:pPr>
        <w:spacing w:line="360" w:lineRule="auto"/>
        <w:ind w:firstLine="420" w:firstLineChars="200"/>
      </w:pPr>
      <w:r>
        <w:t xml:space="preserve">（5）热线服务 </w:t>
      </w:r>
    </w:p>
    <w:p>
      <w:pPr>
        <w:spacing w:line="360" w:lineRule="auto"/>
        <w:ind w:firstLine="420" w:firstLineChars="200"/>
      </w:pPr>
      <w:r>
        <w:t>承建方应保证在质保期内为招标方的所有应用单位提供电话客服服务，并且承建方应提供本单位的热线电话、E-mail、传真、网站等途径，随时接受建设单位及项目使用 单位提出的各种技术问题，并在 24 小时内提供解决方案。</w:t>
      </w:r>
    </w:p>
    <w:p>
      <w:pPr>
        <w:spacing w:line="360" w:lineRule="auto"/>
        <w:ind w:firstLine="420" w:firstLineChars="200"/>
      </w:pPr>
      <w:r>
        <w:t>（6）免费售后服务期后承建方承诺以最低价提供续保服务，续保期内提供与免费售后服务期内相同的服务内容与服务质量。</w:t>
      </w:r>
    </w:p>
    <w:p>
      <w:pPr>
        <w:spacing w:line="360" w:lineRule="auto"/>
        <w:ind w:firstLine="420" w:firstLineChars="200"/>
      </w:pPr>
      <w:r>
        <w:rPr>
          <w:rFonts w:hint="eastAsia"/>
        </w:rPr>
        <w:t>（</w:t>
      </w:r>
      <w:r>
        <w:t>7</w:t>
      </w:r>
      <w:r>
        <w:rPr>
          <w:rFonts w:hint="eastAsia"/>
        </w:rPr>
        <w:t>）投标人</w:t>
      </w:r>
      <w:r>
        <w:t>应在报价中</w:t>
      </w:r>
      <w:r>
        <w:rPr>
          <w:rFonts w:hint="eastAsia"/>
        </w:rPr>
        <w:t>体现</w:t>
      </w:r>
      <w:r>
        <w:t>本期项目的实施费用和项目维保期过后的</w:t>
      </w:r>
      <w:r>
        <w:rPr>
          <w:rFonts w:hint="eastAsia"/>
        </w:rPr>
        <w:t>维护</w:t>
      </w:r>
      <w:r>
        <w:t>费用。</w:t>
      </w:r>
      <w:r>
        <w:rPr>
          <w:rFonts w:hint="eastAsia"/>
        </w:rPr>
        <w:t>且</w:t>
      </w:r>
      <w:r>
        <w:t>维护费用不得高于项目总额的</w:t>
      </w:r>
      <w:r>
        <w:rPr>
          <w:rFonts w:hint="eastAsia"/>
        </w:rPr>
        <w:t>10</w:t>
      </w:r>
      <w:r>
        <w:t>%。</w:t>
      </w:r>
    </w:p>
    <w:p>
      <w:pPr>
        <w:spacing w:line="360" w:lineRule="auto"/>
        <w:ind w:firstLine="420" w:firstLineChars="200"/>
        <w:rPr>
          <w:rFonts w:ascii="宋体" w:hAnsi="宋体"/>
          <w:color w:val="000000"/>
          <w:szCs w:val="21"/>
        </w:rPr>
      </w:pPr>
      <w:r>
        <w:rPr>
          <w:rFonts w:hint="eastAsia"/>
        </w:rPr>
        <w:t>（</w:t>
      </w:r>
      <w:r>
        <w:t>8</w:t>
      </w:r>
      <w:r>
        <w:rPr>
          <w:rFonts w:hint="eastAsia"/>
        </w:rPr>
        <w:t>）承建方</w:t>
      </w:r>
      <w:r>
        <w:rPr>
          <w:rFonts w:hint="eastAsia" w:ascii="宋体" w:hAnsi="宋体"/>
          <w:color w:val="000000"/>
          <w:szCs w:val="21"/>
        </w:rPr>
        <w:t>承诺</w:t>
      </w:r>
      <w:r>
        <w:rPr>
          <w:rFonts w:ascii="宋体" w:hAnsi="宋体"/>
          <w:color w:val="000000"/>
          <w:szCs w:val="21"/>
        </w:rPr>
        <w:t>在</w:t>
      </w:r>
      <w:r>
        <w:rPr>
          <w:rFonts w:hint="eastAsia" w:ascii="宋体" w:hAnsi="宋体"/>
          <w:color w:val="000000"/>
          <w:szCs w:val="21"/>
        </w:rPr>
        <w:t>学校</w:t>
      </w:r>
      <w:r>
        <w:rPr>
          <w:rFonts w:ascii="宋体" w:hAnsi="宋体"/>
          <w:color w:val="000000"/>
          <w:szCs w:val="21"/>
        </w:rPr>
        <w:t>本地</w:t>
      </w:r>
      <w:r>
        <w:rPr>
          <w:rFonts w:hint="eastAsia" w:ascii="宋体" w:hAnsi="宋体"/>
          <w:color w:val="000000"/>
          <w:szCs w:val="21"/>
        </w:rPr>
        <w:t>部署</w:t>
      </w:r>
      <w:r>
        <w:rPr>
          <w:rFonts w:ascii="宋体" w:hAnsi="宋体"/>
          <w:color w:val="000000"/>
          <w:szCs w:val="21"/>
        </w:rPr>
        <w:t>服务器，与企业当前最新版本一致，企业方</w:t>
      </w:r>
      <w:r>
        <w:rPr>
          <w:rFonts w:hint="eastAsia" w:ascii="宋体" w:hAnsi="宋体"/>
          <w:color w:val="000000"/>
          <w:szCs w:val="21"/>
        </w:rPr>
        <w:t>在软件升级时，提供小版本更新或者大版本更新服务（维保期内免费更新）。</w:t>
      </w:r>
    </w:p>
    <w:p>
      <w:pPr>
        <w:pStyle w:val="2"/>
        <w:numPr>
          <w:ilvl w:val="0"/>
          <w:numId w:val="1"/>
        </w:numPr>
        <w:spacing w:before="240" w:beforeLines="0" w:after="240" w:afterLines="0" w:line="578" w:lineRule="auto"/>
        <w:jc w:val="both"/>
        <w:rPr>
          <w:rFonts w:hint="eastAsia"/>
        </w:rPr>
      </w:pPr>
      <w:r>
        <w:rPr>
          <w:rFonts w:hint="eastAsia"/>
        </w:rPr>
        <w:t>付款方式</w:t>
      </w:r>
    </w:p>
    <w:p>
      <w:pPr>
        <w:spacing w:line="360" w:lineRule="auto"/>
        <w:ind w:firstLine="420" w:firstLineChars="200"/>
      </w:pPr>
      <w:r>
        <w:rPr>
          <w:rFonts w:hint="eastAsia"/>
        </w:rPr>
        <w:t>（1）合同签订后一周内，乙方向甲方提交合同金额5%的履约保证金。在质保期内无质量问题和维护问题，质保期满后，由</w:t>
      </w:r>
      <w:r>
        <w:t>乙方</w:t>
      </w:r>
      <w:r>
        <w:rPr>
          <w:rFonts w:hint="eastAsia"/>
        </w:rPr>
        <w:t>向</w:t>
      </w:r>
      <w:r>
        <w:t>甲方提出申请，</w:t>
      </w:r>
      <w:r>
        <w:rPr>
          <w:rFonts w:hint="eastAsia"/>
        </w:rPr>
        <w:t>交齐付款凭证</w:t>
      </w:r>
      <w:r>
        <w:t>等</w:t>
      </w:r>
      <w:r>
        <w:rPr>
          <w:rFonts w:hint="eastAsia"/>
        </w:rPr>
        <w:t>相关</w:t>
      </w:r>
      <w:r>
        <w:t>材料后</w:t>
      </w:r>
      <w:r>
        <w:rPr>
          <w:rFonts w:hint="eastAsia"/>
        </w:rPr>
        <w:t>退还（不计息）；</w:t>
      </w:r>
    </w:p>
    <w:p>
      <w:pPr>
        <w:spacing w:line="360" w:lineRule="auto"/>
        <w:ind w:firstLine="420" w:firstLineChars="200"/>
      </w:pPr>
      <w:r>
        <w:rPr>
          <w:rFonts w:hint="eastAsia"/>
        </w:rPr>
        <w:t>（2）履约保证金提交方式：支票、汇票、本票等非现金形式。</w:t>
      </w:r>
    </w:p>
    <w:p>
      <w:pPr>
        <w:spacing w:line="360" w:lineRule="auto"/>
        <w:ind w:firstLine="420" w:firstLineChars="200"/>
      </w:pPr>
      <w:r>
        <w:rPr>
          <w:rFonts w:hint="eastAsia"/>
        </w:rPr>
        <w:t>（3） 合同签订后且乙方已提交履约保证金的，甲方支付合同总价的</w:t>
      </w:r>
      <w:r>
        <w:t>5</w:t>
      </w:r>
      <w:r>
        <w:rPr>
          <w:rFonts w:hint="eastAsia"/>
        </w:rPr>
        <w:t>0%，甲方验收合格后，甲方向乙方支付合同总价的</w:t>
      </w:r>
      <w:r>
        <w:t>5</w:t>
      </w:r>
      <w:r>
        <w:rPr>
          <w:rFonts w:hint="eastAsia"/>
        </w:rPr>
        <w:t>0%。</w:t>
      </w:r>
    </w:p>
    <w:p>
      <w:pPr>
        <w:pStyle w:val="2"/>
        <w:numPr>
          <w:ilvl w:val="0"/>
          <w:numId w:val="1"/>
        </w:numPr>
        <w:spacing w:before="240" w:beforeLines="0" w:after="240" w:afterLines="0" w:line="578" w:lineRule="auto"/>
        <w:jc w:val="both"/>
        <w:rPr>
          <w:rFonts w:hint="eastAsia"/>
        </w:rPr>
      </w:pPr>
      <w:r>
        <w:rPr>
          <w:rFonts w:hint="eastAsia"/>
        </w:rPr>
        <w:t>违约责任</w:t>
      </w:r>
    </w:p>
    <w:p>
      <w:pPr>
        <w:spacing w:line="360" w:lineRule="auto"/>
        <w:ind w:firstLine="420" w:firstLineChars="200"/>
      </w:pPr>
      <w:r>
        <w:rPr>
          <w:rFonts w:hint="eastAsia"/>
        </w:rPr>
        <w:t>（1） 乙方不能交付全部产品或部分产品无法交付，或交付的产品质量、规格、系统功能不符合合同要求，导致合同目的无法实现的，应按合同总价款的10%向甲方支付违约金。</w:t>
      </w:r>
    </w:p>
    <w:p>
      <w:pPr>
        <w:spacing w:line="360" w:lineRule="auto"/>
        <w:ind w:firstLine="420" w:firstLineChars="200"/>
      </w:pPr>
      <w:r>
        <w:rPr>
          <w:rFonts w:hint="eastAsia"/>
        </w:rPr>
        <w:t>（2） 如乙方延期交货或甲方延期付款，每逾期一天，违约方应按期交货所折合的金额或延期付款金额每天2‰的比例向对方支付违约金，但违约金累计不超过合同总金额的20%。</w:t>
      </w:r>
    </w:p>
    <w:p>
      <w:pPr>
        <w:pStyle w:val="2"/>
        <w:numPr>
          <w:ilvl w:val="0"/>
          <w:numId w:val="1"/>
        </w:numPr>
        <w:spacing w:before="240" w:beforeLines="0" w:after="240" w:afterLines="0" w:line="578" w:lineRule="auto"/>
        <w:jc w:val="both"/>
        <w:rPr>
          <w:rFonts w:hint="eastAsia"/>
        </w:rPr>
      </w:pPr>
      <w:r>
        <w:rPr>
          <w:rFonts w:hint="eastAsia"/>
        </w:rPr>
        <w:t>其他要求</w:t>
      </w:r>
    </w:p>
    <w:p>
      <w:pPr>
        <w:pStyle w:val="43"/>
        <w:keepNext/>
        <w:keepLines/>
        <w:widowControl w:val="0"/>
        <w:numPr>
          <w:ilvl w:val="0"/>
          <w:numId w:val="12"/>
        </w:numPr>
        <w:spacing w:before="260" w:after="260" w:line="416" w:lineRule="auto"/>
        <w:contextualSpacing w:val="0"/>
        <w:jc w:val="both"/>
        <w:outlineLvl w:val="1"/>
        <w:rPr>
          <w:rFonts w:ascii="Arial" w:hAnsi="Arial" w:eastAsia="黑体"/>
          <w:b/>
          <w:bCs/>
          <w:vanish/>
          <w:sz w:val="32"/>
          <w:szCs w:val="32"/>
          <w:lang w:val="zh-CN"/>
        </w:rPr>
      </w:pPr>
      <w:bookmarkStart w:id="22" w:name="_Toc536168787"/>
      <w:bookmarkEnd w:id="22"/>
      <w:bookmarkStart w:id="23" w:name="_Toc5995175"/>
      <w:bookmarkEnd w:id="23"/>
      <w:bookmarkStart w:id="24" w:name="_Toc5995112"/>
      <w:bookmarkEnd w:id="24"/>
      <w:bookmarkStart w:id="25" w:name="_Toc536169030"/>
      <w:bookmarkEnd w:id="25"/>
      <w:bookmarkStart w:id="26" w:name="_Toc536168864"/>
      <w:bookmarkEnd w:id="26"/>
    </w:p>
    <w:p>
      <w:pPr>
        <w:pStyle w:val="3"/>
        <w:numPr>
          <w:ilvl w:val="0"/>
          <w:numId w:val="0"/>
        </w:numPr>
        <w:spacing w:before="260" w:after="260" w:line="416" w:lineRule="auto"/>
        <w:ind w:leftChars="0"/>
        <w:jc w:val="both"/>
      </w:pPr>
      <w:bookmarkStart w:id="27" w:name="_Toc5995176"/>
      <w:r>
        <w:rPr>
          <w:rFonts w:hint="eastAsia"/>
          <w:lang w:val="en-US" w:eastAsia="zh-CN"/>
        </w:rPr>
        <w:t>9.1</w:t>
      </w:r>
      <w:r>
        <w:rPr>
          <w:rFonts w:hint="eastAsia"/>
        </w:rPr>
        <w:t>项目</w:t>
      </w:r>
      <w:r>
        <w:t>管理</w:t>
      </w:r>
      <w:bookmarkEnd w:id="27"/>
    </w:p>
    <w:p>
      <w:pPr>
        <w:spacing w:line="360" w:lineRule="auto"/>
        <w:ind w:firstLine="420" w:firstLineChars="200"/>
      </w:pPr>
      <w:r>
        <w:t>各平台应由承建方与校方共同组成工作组，各工作组与校方项目负责人、承建方项目经理组成项目组。项目组建立固定的工作会制度，各工作组定期召开平台建设工作会，项目组定期召开项目协调会。各平台协调形成统一的调研计划，同步进行，一次完成， 不能多次重复调研。</w:t>
      </w:r>
    </w:p>
    <w:p>
      <w:pPr>
        <w:spacing w:line="360" w:lineRule="auto"/>
        <w:ind w:firstLine="420" w:firstLineChars="200"/>
      </w:pPr>
      <w:r>
        <w:t>承建方须在项目实施过程中制定项目管理制度和工作流程，合理规划项目的组织架构、沟通方式和工作职责，并报建设单位备案，提供项目管理工具平台和项目版本控制管理平台辅助项目管理工作，定期向建设单位提供工程实施进展情况报告。</w:t>
      </w:r>
    </w:p>
    <w:p>
      <w:pPr>
        <w:spacing w:line="360" w:lineRule="auto"/>
        <w:ind w:firstLine="420" w:firstLineChars="200"/>
      </w:pPr>
      <w:r>
        <w:t>承建方须制定严格的项目质量控制规范和流程，并在建设单位认可的情况下按照制定的规范和流程严格执行。承建方须在应答中详细阐明质量管理措施以及方法。</w:t>
      </w:r>
    </w:p>
    <w:p>
      <w:pPr>
        <w:pStyle w:val="3"/>
        <w:numPr>
          <w:ilvl w:val="0"/>
          <w:numId w:val="0"/>
        </w:numPr>
        <w:spacing w:before="260" w:after="260" w:line="416" w:lineRule="auto"/>
        <w:ind w:leftChars="0"/>
        <w:jc w:val="both"/>
      </w:pPr>
      <w:bookmarkStart w:id="28" w:name="_Toc5995177"/>
      <w:r>
        <w:rPr>
          <w:rFonts w:hint="eastAsia"/>
          <w:lang w:val="en-US" w:eastAsia="zh-CN"/>
        </w:rPr>
        <w:t>9.2</w:t>
      </w:r>
      <w:r>
        <w:rPr>
          <w:rFonts w:hint="eastAsia"/>
        </w:rPr>
        <w:t>项目团队</w:t>
      </w:r>
      <w:bookmarkEnd w:id="28"/>
    </w:p>
    <w:p>
      <w:pPr>
        <w:spacing w:line="360" w:lineRule="auto"/>
        <w:ind w:firstLine="420" w:firstLineChars="200"/>
      </w:pPr>
      <w:r>
        <w:t>承建方应为本项目建立专用的技术实施团队，项目团队人员配置科学合理、分工明确，至少应包括项目经理、各平台技术负责人、测试负责人、网络信息安全负责人、系统分析人员、系统设计人员、软件开发人员、测试人员、配置管理员、用户培训人员、部署实施人员、运行维护人员等角色。</w:t>
      </w:r>
    </w:p>
    <w:p>
      <w:pPr>
        <w:spacing w:line="360" w:lineRule="auto"/>
        <w:ind w:firstLine="420" w:firstLineChars="200"/>
      </w:pPr>
      <w:r>
        <w:t>团队成员须保持稳定，并由校方与承建方共同管理，项目经理、各平台技术负责人、</w:t>
      </w:r>
      <w:r>
        <w:rPr>
          <w:rFonts w:hint="eastAsia"/>
        </w:rPr>
        <w:t>测试</w:t>
      </w:r>
      <w:r>
        <w:t>负责人、系统分析师、核心系统设计、软件开发人员和测试人员必须专职承担本项目工作，校方认可人员后原则上不得更换，其他人员的更换也需征得校方同意。在项目实施过程中，承建方须按照校方的要求更换校方认定无法满足项目建设要求的团队成员。承建方应提出具体管理措施，以确保该承诺得到落实。</w:t>
      </w:r>
    </w:p>
    <w:p>
      <w:pPr>
        <w:spacing w:line="360" w:lineRule="auto"/>
        <w:ind w:firstLine="420" w:firstLineChars="200"/>
      </w:pPr>
      <w:r>
        <w:t>承建方应明确项目经理和各平台技术负责人在本项目中的岗位职责、任职资格及管理权限，并明确项目经理和技术负责人调动相关资源的权力，以确保项目顺利实施。</w:t>
      </w:r>
    </w:p>
    <w:p>
      <w:pPr>
        <w:spacing w:line="360" w:lineRule="auto"/>
        <w:ind w:firstLine="420" w:firstLineChars="200"/>
      </w:pPr>
      <w:r>
        <w:rPr>
          <w:rFonts w:hint="eastAsia" w:ascii="宋体" w:hAnsi="宋体"/>
          <w:color w:val="000000"/>
          <w:szCs w:val="21"/>
        </w:rPr>
        <w:t>项目实施过程中，原厂工程师提供驻场服务，人数不少于</w:t>
      </w:r>
      <w:r>
        <w:rPr>
          <w:rFonts w:ascii="宋体" w:hAnsi="宋体"/>
          <w:color w:val="000000"/>
          <w:szCs w:val="21"/>
        </w:rPr>
        <w:t>1</w:t>
      </w:r>
      <w:r>
        <w:rPr>
          <w:rFonts w:hint="eastAsia" w:ascii="宋体" w:hAnsi="宋体"/>
          <w:color w:val="000000"/>
          <w:szCs w:val="21"/>
        </w:rPr>
        <w:t>名。</w:t>
      </w:r>
    </w:p>
    <w:p>
      <w:pPr>
        <w:pStyle w:val="3"/>
        <w:numPr>
          <w:ilvl w:val="0"/>
          <w:numId w:val="0"/>
        </w:numPr>
        <w:spacing w:before="260" w:after="260" w:line="416" w:lineRule="auto"/>
        <w:ind w:leftChars="0"/>
        <w:jc w:val="both"/>
      </w:pPr>
      <w:bookmarkStart w:id="29" w:name="_Toc5995178"/>
      <w:r>
        <w:rPr>
          <w:rFonts w:hint="eastAsia"/>
          <w:lang w:val="en-US" w:eastAsia="zh-CN"/>
        </w:rPr>
        <w:t>9.3</w:t>
      </w:r>
      <w:r>
        <w:rPr>
          <w:rFonts w:hint="eastAsia"/>
        </w:rPr>
        <w:t>项目培训</w:t>
      </w:r>
      <w:bookmarkEnd w:id="29"/>
    </w:p>
    <w:p>
      <w:pPr>
        <w:spacing w:line="360" w:lineRule="auto"/>
        <w:ind w:firstLine="420" w:firstLineChars="200"/>
      </w:pPr>
      <w:r>
        <w:t>承建方应向建设单位提供相关培训，以便对工程实施进行有效管理，同时保证建设单位能够进行系统的运行管理、操作、维护，故障分析处理等工作。具体培训要求包括：</w:t>
      </w:r>
    </w:p>
    <w:p>
      <w:pPr>
        <w:spacing w:line="360" w:lineRule="auto"/>
        <w:ind w:firstLine="420" w:firstLineChars="200"/>
      </w:pPr>
      <w:r>
        <w:t>（1）承建方必须提供具有相应专业知识、实际工作和教学经验的培训教师，承建方所提供的讲师必须是本单位的在职人员。</w:t>
      </w:r>
    </w:p>
    <w:p>
      <w:pPr>
        <w:spacing w:line="360" w:lineRule="auto"/>
        <w:ind w:firstLine="420" w:firstLineChars="200"/>
      </w:pPr>
      <w:r>
        <w:t>（2）承建方负责提供培训所需计划和资料（包括纸质文档和电子文档），培训教材包括但不限于视频教材、WORD 和 HTML 用户手册、培训 PPT，培训所使用的语言和教材必须是中文。建设单位有权在系统内部使用这些培训资料。</w:t>
      </w:r>
    </w:p>
    <w:p>
      <w:pPr>
        <w:spacing w:line="360" w:lineRule="auto"/>
        <w:ind w:firstLine="420" w:firstLineChars="200"/>
      </w:pPr>
      <w:r>
        <w:t>（3）根据项目实施进度安排，完成培训工作。时间、内容、人员、期次等具体内容在具体执行过程中需根据建设单位意见进行调整。</w:t>
      </w:r>
    </w:p>
    <w:p>
      <w:pPr>
        <w:spacing w:line="360" w:lineRule="auto"/>
        <w:ind w:firstLine="420" w:firstLineChars="200"/>
      </w:pPr>
      <w:r>
        <w:t>（4）在投标文件中，承建方应提供详细的培训方案和培训承诺。培训方案主要包括培训组织机构、培训内容、培训大纲、培训计划、培训对象等几个方面，并按照上述要求进行详细说明。</w:t>
      </w:r>
    </w:p>
    <w:p>
      <w:r>
        <w:br w:type="page"/>
      </w:r>
    </w:p>
    <w:p/>
    <w:p>
      <w:pPr>
        <w:pStyle w:val="2"/>
        <w:spacing w:before="240" w:after="240"/>
      </w:pPr>
      <w:r>
        <w:rPr>
          <w:rFonts w:hint="eastAsia"/>
        </w:rPr>
        <w:t>第四章  采购合同的主要条款</w:t>
      </w:r>
      <w:bookmarkEnd w:id="10"/>
    </w:p>
    <w:p>
      <w:pPr>
        <w:jc w:val="center"/>
        <w:rPr>
          <w:lang w:val="zh-CN"/>
        </w:rPr>
      </w:pPr>
      <w:r>
        <w:rPr>
          <w:rFonts w:hint="eastAsia"/>
          <w:lang w:val="zh-CN"/>
        </w:rPr>
        <w:t>（略，由需求部门与成交单位自行商定）</w:t>
      </w:r>
    </w:p>
    <w:p>
      <w:pPr>
        <w:widowControl/>
        <w:jc w:val="left"/>
        <w:rPr>
          <w:rFonts w:ascii="Times New Roman" w:hAnsi="Times New Roman" w:eastAsia="黑体"/>
          <w:sz w:val="28"/>
        </w:rPr>
      </w:pPr>
      <w:r>
        <w:rPr>
          <w:rFonts w:ascii="Times New Roman" w:hAnsi="Times New Roman" w:eastAsia="黑体"/>
          <w:sz w:val="28"/>
        </w:rPr>
        <w:br w:type="page"/>
      </w:r>
      <w:bookmarkStart w:id="30" w:name="_Toc361750527"/>
    </w:p>
    <w:p>
      <w:pPr>
        <w:pStyle w:val="2"/>
        <w:spacing w:before="240" w:after="240"/>
      </w:pPr>
      <w:bookmarkStart w:id="31" w:name="_Toc499729051"/>
      <w:r>
        <w:rPr>
          <w:rFonts w:hint="eastAsia"/>
        </w:rPr>
        <w:t>第五章附件</w:t>
      </w:r>
      <w:bookmarkEnd w:id="30"/>
      <w:bookmarkEnd w:id="31"/>
    </w:p>
    <w:p>
      <w:pPr>
        <w:pStyle w:val="4"/>
        <w:ind w:firstLine="482"/>
      </w:pPr>
      <w:bookmarkStart w:id="32" w:name="_Toc361750528"/>
      <w:bookmarkStart w:id="33" w:name="_Toc355135014"/>
      <w:bookmarkStart w:id="34" w:name="_Toc361750529"/>
      <w:r>
        <w:rPr>
          <w:rFonts w:hint="eastAsia"/>
        </w:rPr>
        <w:t>附件一</w:t>
      </w:r>
      <w:bookmarkEnd w:id="32"/>
      <w:r>
        <w:rPr>
          <w:rFonts w:hint="eastAsia"/>
        </w:rPr>
        <w:t>：</w:t>
      </w:r>
    </w:p>
    <w:p>
      <w:pPr>
        <w:pStyle w:val="39"/>
        <w:snapToGrid w:val="0"/>
        <w:spacing w:before="0" w:line="360" w:lineRule="auto"/>
        <w:ind w:left="0" w:firstLine="0"/>
        <w:jc w:val="center"/>
        <w:rPr>
          <w:rFonts w:ascii="Times New Roman" w:hAnsi="Times New Roman"/>
          <w:b/>
          <w:kern w:val="2"/>
          <w:sz w:val="32"/>
          <w:szCs w:val="32"/>
        </w:rPr>
      </w:pPr>
      <w:r>
        <w:rPr>
          <w:rFonts w:hint="eastAsia" w:ascii="Times New Roman" w:hAnsi="Times New Roman"/>
          <w:b/>
          <w:kern w:val="2"/>
          <w:sz w:val="32"/>
          <w:szCs w:val="32"/>
        </w:rPr>
        <w:t>法定代表人授权书</w:t>
      </w:r>
    </w:p>
    <w:p>
      <w:pPr>
        <w:adjustRightInd w:val="0"/>
        <w:snapToGrid w:val="0"/>
        <w:spacing w:line="360" w:lineRule="auto"/>
        <w:rPr>
          <w:rFonts w:ascii="Times New Roman" w:hAnsi="Times New Roman"/>
          <w:szCs w:val="21"/>
        </w:rPr>
      </w:pPr>
    </w:p>
    <w:p>
      <w:pPr>
        <w:adjustRightInd w:val="0"/>
        <w:snapToGrid w:val="0"/>
        <w:spacing w:line="360" w:lineRule="auto"/>
        <w:rPr>
          <w:rFonts w:ascii="Times New Roman" w:hAnsi="Times New Roman"/>
          <w:bCs/>
          <w:szCs w:val="21"/>
        </w:rPr>
      </w:pPr>
      <w:r>
        <w:rPr>
          <w:rFonts w:hint="eastAsia" w:ascii="Times New Roman" w:hAnsi="Times New Roman"/>
          <w:szCs w:val="21"/>
        </w:rPr>
        <w:t>浙江财经大学：</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我以（供应商全称）法定代表人的身份授权（授权代表人姓名）、身份证号</w:t>
      </w:r>
      <w:r>
        <w:rPr>
          <w:rFonts w:ascii="Times New Roman" w:hAnsi="Times New Roman"/>
          <w:szCs w:val="21"/>
          <w:u w:val="single"/>
        </w:rPr>
        <w:tab/>
      </w:r>
      <w:r>
        <w:rPr>
          <w:rFonts w:ascii="Times New Roman" w:hAnsi="Times New Roman"/>
          <w:szCs w:val="21"/>
          <w:u w:val="single"/>
        </w:rPr>
        <w:tab/>
      </w:r>
      <w:r>
        <w:rPr>
          <w:rFonts w:hint="eastAsia" w:ascii="Times New Roman" w:hAnsi="Times New Roman"/>
          <w:szCs w:val="21"/>
        </w:rPr>
        <w:t>，为我单位的授权代表人，参加贵处组织的</w:t>
      </w:r>
      <w:r>
        <w:rPr>
          <w:rFonts w:hint="eastAsia" w:ascii="Times New Roman" w:hAnsi="Times New Roman"/>
          <w:szCs w:val="21"/>
          <w:u w:val="single"/>
        </w:rPr>
        <w:t>浙江财经大学</w:t>
      </w:r>
      <w:r>
        <w:rPr>
          <w:rFonts w:hint="eastAsia" w:ascii="Times New Roman" w:hAnsi="Times New Roman"/>
          <w:szCs w:val="21"/>
          <w:u w:val="single"/>
          <w:lang w:eastAsia="zh-CN"/>
        </w:rPr>
        <w:t>智慧教务综合服务平台二期项目</w:t>
      </w:r>
      <w:r>
        <w:rPr>
          <w:rFonts w:hint="eastAsia" w:ascii="Times New Roman" w:hAnsi="Times New Roman"/>
          <w:szCs w:val="21"/>
          <w:u w:val="single"/>
        </w:rPr>
        <w:t>（项目</w:t>
      </w:r>
      <w:r>
        <w:rPr>
          <w:rFonts w:ascii="Times New Roman" w:hAnsi="Times New Roman"/>
          <w:szCs w:val="21"/>
          <w:u w:val="single"/>
        </w:rPr>
        <w:t>编号：</w:t>
      </w:r>
      <w:r>
        <w:rPr>
          <w:rFonts w:hint="eastAsia" w:ascii="Times New Roman" w:hAnsi="Times New Roman"/>
          <w:szCs w:val="21"/>
          <w:u w:val="single"/>
          <w:lang w:eastAsia="zh-CN"/>
        </w:rPr>
        <w:t>浙财大2020-09</w:t>
      </w:r>
      <w:r>
        <w:rPr>
          <w:rFonts w:hint="eastAsia" w:ascii="Times New Roman" w:hAnsi="Times New Roman"/>
          <w:szCs w:val="21"/>
          <w:u w:val="single"/>
        </w:rPr>
        <w:t>）</w:t>
      </w:r>
      <w:r>
        <w:rPr>
          <w:rFonts w:hint="eastAsia" w:ascii="Times New Roman" w:hAnsi="Times New Roman"/>
          <w:szCs w:val="21"/>
        </w:rPr>
        <w:t>的采购，全权处理采购活动中的一切事宜，我单位均予承认。</w:t>
      </w:r>
    </w:p>
    <w:p>
      <w:pPr>
        <w:adjustRightInd w:val="0"/>
        <w:snapToGrid w:val="0"/>
        <w:spacing w:line="360" w:lineRule="auto"/>
        <w:rPr>
          <w:rFonts w:ascii="Times New Roman" w:hAnsi="Times New Roman"/>
          <w:szCs w:val="21"/>
        </w:rPr>
      </w:pPr>
    </w:p>
    <w:p>
      <w:pPr>
        <w:adjustRightInd w:val="0"/>
        <w:snapToGrid w:val="0"/>
        <w:spacing w:line="360" w:lineRule="auto"/>
        <w:ind w:firstLine="3465" w:firstLineChars="1650"/>
        <w:rPr>
          <w:rFonts w:ascii="Times New Roman" w:hAnsi="Times New Roman"/>
          <w:kern w:val="0"/>
          <w:szCs w:val="21"/>
        </w:rPr>
      </w:pPr>
      <w:r>
        <w:rPr>
          <w:rFonts w:hint="eastAsia" w:ascii="Times New Roman" w:hAnsi="Times New Roman"/>
          <w:kern w:val="0"/>
          <w:szCs w:val="21"/>
          <w:lang w:val="zh-CN"/>
        </w:rPr>
        <w:t>供应商名称（公章）：</w:t>
      </w:r>
    </w:p>
    <w:p>
      <w:pPr>
        <w:adjustRightInd w:val="0"/>
        <w:snapToGrid w:val="0"/>
        <w:spacing w:line="360" w:lineRule="auto"/>
        <w:ind w:firstLine="3465" w:firstLineChars="1650"/>
        <w:rPr>
          <w:rFonts w:ascii="Times New Roman" w:hAnsi="Times New Roman"/>
          <w:kern w:val="0"/>
          <w:szCs w:val="21"/>
          <w:lang w:val="zh-CN"/>
        </w:rPr>
      </w:pPr>
    </w:p>
    <w:p>
      <w:pPr>
        <w:adjustRightInd w:val="0"/>
        <w:snapToGrid w:val="0"/>
        <w:spacing w:line="360" w:lineRule="auto"/>
        <w:ind w:firstLine="3465" w:firstLineChars="1650"/>
        <w:rPr>
          <w:rFonts w:ascii="Times New Roman" w:hAnsi="Times New Roman"/>
          <w:kern w:val="0"/>
          <w:szCs w:val="21"/>
        </w:rPr>
      </w:pPr>
      <w:r>
        <w:rPr>
          <w:rFonts w:hint="eastAsia" w:ascii="Times New Roman" w:hAnsi="Times New Roman"/>
          <w:kern w:val="0"/>
          <w:szCs w:val="21"/>
          <w:lang w:val="zh-CN"/>
        </w:rPr>
        <w:t>法定代表人（签字或盖章）：</w:t>
      </w:r>
    </w:p>
    <w:p>
      <w:pPr>
        <w:adjustRightInd w:val="0"/>
        <w:snapToGrid w:val="0"/>
        <w:spacing w:line="360" w:lineRule="auto"/>
        <w:ind w:right="930" w:firstLine="3465" w:firstLineChars="1650"/>
        <w:rPr>
          <w:rFonts w:ascii="Times New Roman" w:hAnsi="Times New Roman"/>
          <w:kern w:val="0"/>
          <w:szCs w:val="21"/>
          <w:lang w:val="zh-CN"/>
        </w:rPr>
      </w:pPr>
    </w:p>
    <w:p>
      <w:pPr>
        <w:adjustRightInd w:val="0"/>
        <w:snapToGrid w:val="0"/>
        <w:spacing w:line="360" w:lineRule="auto"/>
        <w:ind w:firstLine="3465" w:firstLineChars="1650"/>
        <w:rPr>
          <w:rFonts w:ascii="Times New Roman" w:hAnsi="Times New Roman"/>
          <w:kern w:val="0"/>
          <w:szCs w:val="21"/>
        </w:rPr>
      </w:pPr>
      <w:r>
        <w:rPr>
          <w:rFonts w:hint="eastAsia" w:ascii="Times New Roman" w:hAnsi="Times New Roman"/>
          <w:kern w:val="0"/>
          <w:szCs w:val="21"/>
          <w:lang w:val="zh-CN"/>
        </w:rPr>
        <w:t>日期</w:t>
      </w:r>
      <w:r>
        <w:rPr>
          <w:rFonts w:hint="eastAsia" w:ascii="Times New Roman" w:hAnsi="Times New Roman"/>
          <w:kern w:val="0"/>
          <w:szCs w:val="21"/>
        </w:rPr>
        <w:t>：</w:t>
      </w:r>
      <w:r>
        <w:rPr>
          <w:rFonts w:hint="eastAsia" w:ascii="Times New Roman" w:hAnsi="Times New Roman"/>
          <w:kern w:val="0"/>
          <w:szCs w:val="21"/>
          <w:lang w:val="zh-CN"/>
        </w:rPr>
        <w:t>　</w:t>
      </w:r>
      <w:r>
        <w:rPr>
          <w:rFonts w:ascii="Times New Roman" w:hAnsi="Times New Roman"/>
          <w:kern w:val="0"/>
          <w:szCs w:val="21"/>
        </w:rPr>
        <w:t>2020</w:t>
      </w:r>
      <w:r>
        <w:rPr>
          <w:rFonts w:hint="eastAsia" w:ascii="Times New Roman" w:hAnsi="Times New Roman"/>
          <w:kern w:val="0"/>
          <w:szCs w:val="21"/>
        </w:rPr>
        <w:t>　</w:t>
      </w:r>
      <w:r>
        <w:rPr>
          <w:rFonts w:hint="eastAsia" w:ascii="Times New Roman" w:hAnsi="Times New Roman"/>
          <w:kern w:val="0"/>
          <w:szCs w:val="21"/>
          <w:lang w:val="zh-CN"/>
        </w:rPr>
        <w:t>年</w:t>
      </w:r>
      <w:r>
        <w:rPr>
          <w:rFonts w:hint="eastAsia" w:ascii="Times New Roman" w:hAnsi="Times New Roman"/>
          <w:kern w:val="0"/>
          <w:szCs w:val="21"/>
        </w:rPr>
        <w:t xml:space="preserve">　月 </w:t>
      </w:r>
      <w:r>
        <w:rPr>
          <w:rFonts w:ascii="Times New Roman" w:hAnsi="Times New Roman"/>
          <w:kern w:val="0"/>
          <w:szCs w:val="21"/>
        </w:rPr>
        <w:t xml:space="preserve"> </w:t>
      </w:r>
      <w:r>
        <w:rPr>
          <w:rFonts w:hint="eastAsia" w:ascii="Times New Roman" w:hAnsi="Times New Roman"/>
          <w:kern w:val="0"/>
          <w:szCs w:val="21"/>
          <w:lang w:val="zh-CN"/>
        </w:rPr>
        <w:t>日</w:t>
      </w:r>
    </w:p>
    <w:p>
      <w:pPr>
        <w:adjustRightInd w:val="0"/>
        <w:snapToGrid w:val="0"/>
        <w:spacing w:line="360" w:lineRule="auto"/>
        <w:rPr>
          <w:rFonts w:ascii="Times New Roman" w:hAnsi="Times New Roman"/>
          <w:szCs w:val="21"/>
        </w:rPr>
      </w:pPr>
    </w:p>
    <w:p>
      <w:pPr>
        <w:adjustRightInd w:val="0"/>
        <w:snapToGrid w:val="0"/>
        <w:spacing w:line="360" w:lineRule="auto"/>
        <w:rPr>
          <w:rFonts w:ascii="Times New Roman" w:hAnsi="Times New Roman"/>
          <w:szCs w:val="21"/>
        </w:rPr>
      </w:pPr>
      <w:r>
        <w:rPr>
          <w:rFonts w:hint="eastAsia" w:ascii="Times New Roman" w:hAnsi="Times New Roman"/>
          <w:szCs w:val="21"/>
        </w:rPr>
        <w:t>附：</w:t>
      </w:r>
    </w:p>
    <w:p>
      <w:pPr>
        <w:adjustRightInd w:val="0"/>
        <w:snapToGrid w:val="0"/>
        <w:spacing w:line="360" w:lineRule="auto"/>
        <w:rPr>
          <w:rFonts w:ascii="Times New Roman" w:hAnsi="Times New Roman"/>
          <w:szCs w:val="21"/>
        </w:rPr>
      </w:pPr>
      <w:r>
        <w:rPr>
          <w:rFonts w:hint="eastAsia" w:ascii="Times New Roman" w:hAnsi="Times New Roman"/>
          <w:szCs w:val="21"/>
        </w:rPr>
        <w:t>授权代表人姓名：</w:t>
      </w:r>
    </w:p>
    <w:p>
      <w:pPr>
        <w:adjustRightInd w:val="0"/>
        <w:snapToGrid w:val="0"/>
        <w:spacing w:line="360" w:lineRule="auto"/>
        <w:rPr>
          <w:rFonts w:ascii="Times New Roman" w:hAnsi="Times New Roman"/>
          <w:szCs w:val="21"/>
        </w:rPr>
      </w:pPr>
      <w:r>
        <w:rPr>
          <w:rFonts w:hint="eastAsia" w:ascii="Times New Roman" w:hAnsi="Times New Roman"/>
          <w:szCs w:val="21"/>
        </w:rPr>
        <w:t>身份证号码：</w:t>
      </w:r>
    </w:p>
    <w:p>
      <w:pPr>
        <w:adjustRightInd w:val="0"/>
        <w:snapToGrid w:val="0"/>
        <w:spacing w:line="360" w:lineRule="auto"/>
        <w:rPr>
          <w:rFonts w:ascii="Times New Roman" w:hAnsi="Times New Roman"/>
          <w:szCs w:val="21"/>
        </w:rPr>
      </w:pPr>
      <w:r>
        <w:rPr>
          <w:rFonts w:hint="eastAsia" w:ascii="Times New Roman" w:hAnsi="Times New Roman"/>
          <w:szCs w:val="21"/>
        </w:rPr>
        <w:t>职务：</w:t>
      </w:r>
    </w:p>
    <w:p>
      <w:pPr>
        <w:adjustRightInd w:val="0"/>
        <w:snapToGrid w:val="0"/>
        <w:spacing w:line="360" w:lineRule="auto"/>
        <w:rPr>
          <w:rFonts w:ascii="Times New Roman" w:hAnsi="Times New Roman"/>
          <w:szCs w:val="21"/>
        </w:rPr>
      </w:pPr>
      <w:r>
        <w:rPr>
          <w:rFonts w:hint="eastAsia" w:ascii="Times New Roman" w:hAnsi="Times New Roman"/>
          <w:szCs w:val="21"/>
        </w:rPr>
        <w:t>详细通讯地址：</w:t>
      </w:r>
    </w:p>
    <w:p>
      <w:pPr>
        <w:adjustRightInd w:val="0"/>
        <w:snapToGrid w:val="0"/>
        <w:spacing w:line="360" w:lineRule="auto"/>
        <w:rPr>
          <w:rFonts w:ascii="Times New Roman" w:hAnsi="Times New Roman"/>
          <w:szCs w:val="21"/>
        </w:rPr>
      </w:pPr>
      <w:r>
        <w:rPr>
          <w:rFonts w:hint="eastAsia" w:ascii="Times New Roman" w:hAnsi="Times New Roman"/>
          <w:szCs w:val="21"/>
        </w:rPr>
        <w:t>传真：</w:t>
      </w:r>
    </w:p>
    <w:p>
      <w:pPr>
        <w:adjustRightInd w:val="0"/>
        <w:snapToGrid w:val="0"/>
        <w:spacing w:line="360" w:lineRule="auto"/>
        <w:rPr>
          <w:rFonts w:ascii="Times New Roman" w:hAnsi="Times New Roman"/>
          <w:szCs w:val="21"/>
        </w:rPr>
      </w:pPr>
      <w:r>
        <w:rPr>
          <w:rFonts w:hint="eastAsia" w:ascii="Times New Roman" w:hAnsi="Times New Roman"/>
          <w:szCs w:val="21"/>
        </w:rPr>
        <w:t>电话：</w:t>
      </w:r>
    </w:p>
    <w:p>
      <w:pPr>
        <w:adjustRightInd w:val="0"/>
        <w:snapToGrid w:val="0"/>
        <w:spacing w:line="360" w:lineRule="auto"/>
        <w:rPr>
          <w:rFonts w:ascii="Times New Roman" w:hAnsi="Times New Roman"/>
          <w:szCs w:val="21"/>
        </w:rPr>
      </w:pPr>
      <w:r>
        <w:rPr>
          <w:rFonts w:hint="eastAsia" w:ascii="Times New Roman" w:hAnsi="Times New Roman"/>
          <w:szCs w:val="21"/>
        </w:rPr>
        <w:t>邮政编码：</w:t>
      </w:r>
    </w:p>
    <w:p>
      <w:pPr>
        <w:adjustRightInd w:val="0"/>
        <w:snapToGrid w:val="0"/>
        <w:spacing w:line="360" w:lineRule="auto"/>
        <w:rPr>
          <w:rFonts w:ascii="Times New Roman" w:hAnsi="Times New Roman"/>
          <w:szCs w:val="21"/>
        </w:rPr>
      </w:pPr>
    </w:p>
    <w:p>
      <w:pPr>
        <w:adjustRightInd w:val="0"/>
        <w:snapToGrid w:val="0"/>
        <w:spacing w:line="360" w:lineRule="auto"/>
        <w:rPr>
          <w:rFonts w:ascii="Times New Roman" w:hAnsi="Times New Roman"/>
          <w:szCs w:val="21"/>
        </w:rPr>
      </w:pPr>
      <w:r>
        <w:rPr>
          <w:rFonts w:hint="eastAsia" w:ascii="Times New Roman" w:hAnsi="Times New Roman"/>
          <w:kern w:val="0"/>
          <w:szCs w:val="21"/>
          <w:lang w:val="zh-CN"/>
        </w:rPr>
        <w:t>法定代表人</w:t>
      </w:r>
      <w:r>
        <w:rPr>
          <w:rFonts w:hint="eastAsia" w:ascii="Times New Roman" w:hAnsi="Times New Roman"/>
          <w:szCs w:val="21"/>
        </w:rPr>
        <w:t>身份证复印件：</w:t>
      </w:r>
    </w:p>
    <w:p>
      <w:pPr>
        <w:adjustRightInd w:val="0"/>
        <w:snapToGrid w:val="0"/>
        <w:spacing w:line="360" w:lineRule="auto"/>
        <w:rPr>
          <w:rFonts w:ascii="Times New Roman" w:hAnsi="Times New Roman"/>
          <w:szCs w:val="21"/>
        </w:rPr>
      </w:pPr>
    </w:p>
    <w:p>
      <w:pPr>
        <w:adjustRightInd w:val="0"/>
        <w:snapToGrid w:val="0"/>
        <w:spacing w:line="360" w:lineRule="auto"/>
        <w:rPr>
          <w:rFonts w:ascii="宋体"/>
          <w:szCs w:val="21"/>
        </w:rPr>
      </w:pPr>
    </w:p>
    <w:p>
      <w:pPr>
        <w:adjustRightInd w:val="0"/>
        <w:snapToGrid w:val="0"/>
        <w:spacing w:line="360" w:lineRule="auto"/>
        <w:rPr>
          <w:rFonts w:ascii="宋体"/>
          <w:szCs w:val="21"/>
        </w:rPr>
      </w:pPr>
      <w:r>
        <w:rPr>
          <w:rFonts w:hint="eastAsia" w:ascii="宋体" w:hAnsi="宋体"/>
          <w:szCs w:val="21"/>
        </w:rPr>
        <w:t>授权代表人身份证复印件：</w:t>
      </w:r>
    </w:p>
    <w:p>
      <w:pPr>
        <w:pStyle w:val="4"/>
        <w:ind w:firstLine="482"/>
        <w:rPr>
          <w:sz w:val="32"/>
        </w:rPr>
      </w:pPr>
      <w:r>
        <w:br w:type="page"/>
      </w:r>
      <w:r>
        <w:rPr>
          <w:rFonts w:hint="eastAsia"/>
        </w:rPr>
        <w:t>附件二：</w:t>
      </w:r>
    </w:p>
    <w:p>
      <w:pPr>
        <w:pStyle w:val="39"/>
        <w:ind w:left="0" w:firstLine="0"/>
        <w:jc w:val="center"/>
        <w:rPr>
          <w:b/>
          <w:kern w:val="2"/>
          <w:sz w:val="32"/>
          <w:szCs w:val="32"/>
        </w:rPr>
      </w:pPr>
      <w:r>
        <w:rPr>
          <w:rFonts w:hint="eastAsia"/>
          <w:b/>
          <w:kern w:val="2"/>
          <w:sz w:val="32"/>
          <w:szCs w:val="32"/>
        </w:rPr>
        <w:t>采购响应函</w:t>
      </w:r>
    </w:p>
    <w:p>
      <w:pPr>
        <w:spacing w:line="360" w:lineRule="auto"/>
        <w:rPr>
          <w:rFonts w:ascii="宋体"/>
          <w:b/>
          <w:szCs w:val="21"/>
        </w:rPr>
      </w:pPr>
    </w:p>
    <w:p>
      <w:pPr>
        <w:spacing w:line="360" w:lineRule="auto"/>
      </w:pPr>
      <w:r>
        <w:rPr>
          <w:rFonts w:hint="eastAsia"/>
        </w:rPr>
        <w:t>浙江财经大学：</w:t>
      </w:r>
      <w:bookmarkEnd w:id="33"/>
      <w:bookmarkEnd w:id="34"/>
    </w:p>
    <w:p>
      <w:pPr>
        <w:adjustRightInd w:val="0"/>
        <w:snapToGrid w:val="0"/>
        <w:spacing w:line="360" w:lineRule="auto"/>
        <w:ind w:left="210" w:leftChars="100" w:firstLine="210" w:firstLineChars="100"/>
        <w:rPr>
          <w:rFonts w:ascii="Times New Roman" w:hAnsi="Times New Roman"/>
          <w:szCs w:val="21"/>
          <w:u w:val="single" w:color="000000"/>
        </w:rPr>
      </w:pPr>
      <w:r>
        <w:rPr>
          <w:rFonts w:hint="eastAsia" w:ascii="Times New Roman" w:hAnsi="Times New Roman"/>
          <w:szCs w:val="21"/>
        </w:rPr>
        <w:t>根据贵方为</w:t>
      </w:r>
      <w:r>
        <w:rPr>
          <w:rFonts w:hint="eastAsia" w:ascii="Times New Roman" w:hAnsi="Times New Roman"/>
          <w:szCs w:val="21"/>
          <w:u w:val="single"/>
        </w:rPr>
        <w:t>浙江财经大学</w:t>
      </w:r>
      <w:r>
        <w:rPr>
          <w:rFonts w:hint="eastAsia" w:ascii="Times New Roman" w:hAnsi="Times New Roman"/>
          <w:szCs w:val="21"/>
          <w:u w:val="single"/>
          <w:lang w:eastAsia="zh-CN"/>
        </w:rPr>
        <w:t>智慧教务综合服务平台二期项目</w:t>
      </w:r>
      <w:r>
        <w:rPr>
          <w:rFonts w:hint="eastAsia" w:ascii="Times New Roman" w:hAnsi="Times New Roman"/>
          <w:szCs w:val="21"/>
          <w:u w:val="single"/>
        </w:rPr>
        <w:t>（项目</w:t>
      </w:r>
      <w:r>
        <w:rPr>
          <w:rFonts w:ascii="Times New Roman" w:hAnsi="Times New Roman"/>
          <w:szCs w:val="21"/>
          <w:u w:val="single"/>
        </w:rPr>
        <w:t>编号：</w:t>
      </w:r>
      <w:r>
        <w:rPr>
          <w:rFonts w:hint="eastAsia" w:ascii="Times New Roman" w:hAnsi="Times New Roman"/>
          <w:szCs w:val="21"/>
          <w:u w:val="single"/>
          <w:lang w:eastAsia="zh-CN"/>
        </w:rPr>
        <w:t>浙财大2020-09</w:t>
      </w:r>
      <w:r>
        <w:rPr>
          <w:rFonts w:hint="eastAsia" w:ascii="Times New Roman" w:hAnsi="Times New Roman"/>
          <w:szCs w:val="21"/>
          <w:u w:val="single"/>
        </w:rPr>
        <w:t>）</w:t>
      </w:r>
      <w:r>
        <w:rPr>
          <w:rFonts w:hint="eastAsia" w:ascii="Times New Roman" w:hAnsi="Times New Roman"/>
          <w:szCs w:val="21"/>
        </w:rPr>
        <w:t>的单一来源采购邀请书，</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Times New Roman" w:hAnsi="Times New Roman"/>
          <w:szCs w:val="21"/>
        </w:rPr>
        <w:t>（供应商全称）授权</w:t>
      </w:r>
      <w:r>
        <w:rPr>
          <w:rFonts w:hint="eastAsia" w:ascii="Times New Roman" w:hAnsi="Times New Roman"/>
          <w:szCs w:val="21"/>
          <w:u w:val="single"/>
        </w:rPr>
        <w:t xml:space="preserve">          </w:t>
      </w:r>
      <w:r>
        <w:rPr>
          <w:rFonts w:hint="eastAsia" w:ascii="Times New Roman" w:hAnsi="Times New Roman"/>
          <w:szCs w:val="21"/>
        </w:rPr>
        <w:t>（姓名）为授权代表人，代表本供应商参加贵方组织的此次谈判的有关活动，并提交按“供应商须知”要求编制的采购响应文件正本</w:t>
      </w:r>
      <w:r>
        <w:rPr>
          <w:rFonts w:hint="eastAsia" w:ascii="Times New Roman" w:hAnsi="Times New Roman"/>
          <w:szCs w:val="21"/>
          <w:u w:val="single"/>
        </w:rPr>
        <w:t>壹</w:t>
      </w:r>
      <w:r>
        <w:rPr>
          <w:rFonts w:hint="eastAsia" w:ascii="Times New Roman" w:hAnsi="Times New Roman"/>
          <w:szCs w:val="21"/>
        </w:rPr>
        <w:t>份，副本</w:t>
      </w:r>
      <w:r>
        <w:rPr>
          <w:rFonts w:hint="eastAsia" w:ascii="Times New Roman" w:hAnsi="Times New Roman"/>
          <w:szCs w:val="21"/>
          <w:u w:val="single" w:color="000000"/>
        </w:rPr>
        <w:t>贰</w:t>
      </w:r>
      <w:r>
        <w:rPr>
          <w:rFonts w:hint="eastAsia" w:ascii="Times New Roman" w:hAnsi="Times New Roman"/>
          <w:szCs w:val="21"/>
        </w:rPr>
        <w:t>份。</w:t>
      </w:r>
    </w:p>
    <w:p>
      <w:pPr>
        <w:adjustRightInd w:val="0"/>
        <w:snapToGrid w:val="0"/>
        <w:spacing w:line="360" w:lineRule="auto"/>
        <w:ind w:firstLine="420" w:firstLineChars="200"/>
        <w:rPr>
          <w:rFonts w:ascii="Times New Roman" w:hAnsi="Times New Roman"/>
          <w:bCs/>
          <w:szCs w:val="21"/>
        </w:rPr>
      </w:pPr>
      <w:r>
        <w:rPr>
          <w:rFonts w:hint="eastAsia" w:ascii="Times New Roman" w:hAnsi="Times New Roman"/>
          <w:bCs/>
          <w:szCs w:val="21"/>
        </w:rPr>
        <w:t>据此函</w:t>
      </w:r>
      <w:r>
        <w:rPr>
          <w:rFonts w:hint="eastAsia" w:ascii="Times New Roman" w:hAnsi="Times New Roman"/>
          <w:szCs w:val="21"/>
        </w:rPr>
        <w:t>授权代表人</w:t>
      </w:r>
      <w:r>
        <w:rPr>
          <w:rFonts w:hint="eastAsia" w:ascii="Times New Roman" w:hAnsi="Times New Roman"/>
          <w:bCs/>
          <w:szCs w:val="21"/>
        </w:rPr>
        <w:t>宣布同意如下：</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、总报价人民币</w:t>
      </w:r>
      <w:r>
        <w:rPr>
          <w:rFonts w:hint="eastAsia" w:ascii="Times New Roman" w:hAnsi="Times New Roman"/>
          <w:szCs w:val="21"/>
          <w:u w:val="single"/>
        </w:rPr>
        <w:t xml:space="preserve">     </w:t>
      </w:r>
      <w:r>
        <w:rPr>
          <w:rFonts w:hint="eastAsia" w:ascii="Times New Roman" w:hAnsi="Times New Roman"/>
          <w:szCs w:val="21"/>
        </w:rPr>
        <w:t>元（大写）。</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、本供应商遵守采购文件的有关规定，忠实地履行按采购文件规定买卖双方签订的合同责任和义务。</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szCs w:val="21"/>
        </w:rPr>
        <w:t>、本供应商已详细审查全部采购文件，包括补充文件（如果有的话），我们完全理解并同意放弃对这方面有不明及误解的权力。</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szCs w:val="21"/>
        </w:rPr>
        <w:t>、本采购响应文件有效期为谈判之日起</w:t>
      </w:r>
      <w:r>
        <w:rPr>
          <w:rFonts w:ascii="Times New Roman" w:hAnsi="Times New Roman"/>
          <w:szCs w:val="21"/>
          <w:u w:val="single"/>
        </w:rPr>
        <w:t xml:space="preserve"> 90 </w:t>
      </w:r>
      <w:r>
        <w:rPr>
          <w:rFonts w:hint="eastAsia" w:ascii="Times New Roman" w:hAnsi="Times New Roman"/>
          <w:szCs w:val="21"/>
        </w:rPr>
        <w:t>日历日。</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5</w:t>
      </w:r>
      <w:r>
        <w:rPr>
          <w:rFonts w:hint="eastAsia" w:ascii="Times New Roman" w:hAnsi="Times New Roman"/>
          <w:szCs w:val="21"/>
        </w:rPr>
        <w:t>、与本次报价有关的一切正式往来信函请寄：</w:t>
      </w:r>
    </w:p>
    <w:p>
      <w:pPr>
        <w:adjustRightInd w:val="0"/>
        <w:snapToGrid w:val="0"/>
        <w:spacing w:line="360" w:lineRule="auto"/>
        <w:rPr>
          <w:rFonts w:ascii="Times New Roman" w:hAnsi="Times New Roman"/>
          <w:kern w:val="0"/>
          <w:szCs w:val="21"/>
          <w:lang w:val="zh-CN"/>
        </w:rPr>
      </w:pPr>
    </w:p>
    <w:p>
      <w:pPr>
        <w:adjustRightInd w:val="0"/>
        <w:snapToGrid w:val="0"/>
        <w:spacing w:line="360" w:lineRule="auto"/>
        <w:ind w:left="420" w:leftChars="200"/>
        <w:rPr>
          <w:rFonts w:ascii="Times New Roman" w:hAnsi="Times New Roman"/>
          <w:kern w:val="0"/>
          <w:szCs w:val="21"/>
          <w:u w:val="single"/>
        </w:rPr>
      </w:pPr>
      <w:r>
        <w:rPr>
          <w:rFonts w:hint="eastAsia" w:ascii="Times New Roman" w:hAnsi="Times New Roman"/>
          <w:kern w:val="0"/>
          <w:szCs w:val="21"/>
          <w:lang w:val="zh-CN"/>
        </w:rPr>
        <w:t>法定（授权）代表人（签字）：</w:t>
      </w:r>
      <w:r>
        <w:rPr>
          <w:rFonts w:hint="eastAsia" w:ascii="Times New Roman" w:hAnsi="Times New Roman"/>
          <w:kern w:val="0"/>
          <w:szCs w:val="21"/>
          <w:u w:val="single"/>
          <w:lang w:val="zh-CN"/>
        </w:rPr>
        <w:t xml:space="preserve">  </w:t>
      </w:r>
      <w:r>
        <w:rPr>
          <w:rFonts w:hint="eastAsia" w:ascii="Times New Roman" w:hAnsi="Times New Roman"/>
          <w:kern w:val="0"/>
          <w:szCs w:val="21"/>
          <w:lang w:val="zh-CN"/>
        </w:rPr>
        <w:t xml:space="preserve">                </w:t>
      </w:r>
    </w:p>
    <w:p>
      <w:pPr>
        <w:adjustRightInd w:val="0"/>
        <w:snapToGrid w:val="0"/>
        <w:spacing w:line="360" w:lineRule="auto"/>
        <w:ind w:left="420" w:leftChars="200"/>
        <w:rPr>
          <w:rFonts w:ascii="Times New Roman" w:hAnsi="Times New Roman"/>
          <w:kern w:val="0"/>
          <w:szCs w:val="21"/>
          <w:u w:val="single"/>
          <w:lang w:val="zh-CN"/>
        </w:rPr>
      </w:pPr>
      <w:r>
        <w:rPr>
          <w:rFonts w:hint="eastAsia" w:ascii="Times New Roman" w:hAnsi="Times New Roman"/>
          <w:kern w:val="0"/>
          <w:szCs w:val="21"/>
          <w:lang w:val="zh-CN"/>
        </w:rPr>
        <w:t>供应商名称（公章）：</w:t>
      </w:r>
    </w:p>
    <w:p>
      <w:pPr>
        <w:adjustRightInd w:val="0"/>
        <w:snapToGrid w:val="0"/>
        <w:spacing w:line="360" w:lineRule="auto"/>
        <w:ind w:left="420" w:leftChars="200"/>
        <w:rPr>
          <w:rFonts w:ascii="Times New Roman" w:hAnsi="Times New Roman"/>
          <w:kern w:val="0"/>
          <w:szCs w:val="21"/>
        </w:rPr>
      </w:pPr>
      <w:r>
        <w:rPr>
          <w:rFonts w:hint="eastAsia" w:ascii="Times New Roman" w:hAnsi="Times New Roman"/>
          <w:kern w:val="0"/>
          <w:szCs w:val="21"/>
          <w:lang w:val="zh-CN"/>
        </w:rPr>
        <w:t>联系电话：</w:t>
      </w:r>
      <w:r>
        <w:rPr>
          <w:rFonts w:hint="eastAsia" w:ascii="Times New Roman" w:hAnsi="Times New Roman"/>
          <w:kern w:val="0"/>
          <w:szCs w:val="21"/>
          <w:u w:val="single"/>
          <w:lang w:val="zh-CN"/>
        </w:rPr>
        <w:t xml:space="preserve">               </w:t>
      </w:r>
      <w:r>
        <w:rPr>
          <w:rFonts w:hint="eastAsia" w:ascii="Times New Roman" w:hAnsi="Times New Roman"/>
          <w:kern w:val="0"/>
          <w:szCs w:val="21"/>
          <w:lang w:val="zh-CN"/>
        </w:rPr>
        <w:t xml:space="preserve"> 传真：</w:t>
      </w:r>
      <w:r>
        <w:rPr>
          <w:rFonts w:hint="eastAsia" w:ascii="Times New Roman" w:hAnsi="Times New Roman"/>
          <w:kern w:val="0"/>
          <w:szCs w:val="21"/>
          <w:u w:val="single"/>
          <w:lang w:val="zh-CN"/>
        </w:rPr>
        <w:t xml:space="preserve">           </w:t>
      </w:r>
      <w:r>
        <w:rPr>
          <w:rFonts w:hint="eastAsia" w:ascii="Times New Roman" w:hAnsi="Times New Roman"/>
          <w:kern w:val="0"/>
          <w:szCs w:val="21"/>
          <w:lang w:val="zh-CN"/>
        </w:rPr>
        <w:t>电子邮件：</w:t>
      </w:r>
      <w:r>
        <w:rPr>
          <w:rFonts w:hint="eastAsia" w:ascii="Times New Roman" w:hAnsi="Times New Roman"/>
          <w:kern w:val="0"/>
          <w:szCs w:val="21"/>
          <w:u w:val="single"/>
          <w:lang w:val="zh-CN"/>
        </w:rPr>
        <w:t xml:space="preserve"> </w:t>
      </w:r>
      <w:r>
        <w:rPr>
          <w:rFonts w:ascii="Times New Roman" w:hAnsi="Times New Roman"/>
          <w:kern w:val="0"/>
          <w:szCs w:val="21"/>
          <w:u w:val="single"/>
          <w:lang w:val="zh-CN"/>
        </w:rPr>
        <w:t xml:space="preserve">              0</w:t>
      </w:r>
    </w:p>
    <w:p>
      <w:pPr>
        <w:adjustRightInd w:val="0"/>
        <w:snapToGrid w:val="0"/>
        <w:spacing w:line="360" w:lineRule="auto"/>
        <w:ind w:left="420" w:leftChars="200"/>
        <w:rPr>
          <w:rFonts w:ascii="Times New Roman" w:hAnsi="Times New Roman"/>
          <w:kern w:val="0"/>
          <w:szCs w:val="21"/>
        </w:rPr>
      </w:pPr>
      <w:r>
        <w:rPr>
          <w:rFonts w:hint="eastAsia" w:ascii="Times New Roman" w:hAnsi="Times New Roman"/>
          <w:kern w:val="0"/>
          <w:szCs w:val="21"/>
          <w:lang w:val="zh-CN"/>
        </w:rPr>
        <w:t>联系地址：</w:t>
      </w:r>
      <w:r>
        <w:rPr>
          <w:rFonts w:ascii="Times New Roman" w:hAnsi="Times New Roman"/>
          <w:kern w:val="0"/>
          <w:szCs w:val="21"/>
          <w:u w:val="single"/>
          <w:lang w:val="zh-CN"/>
        </w:rPr>
        <w:t xml:space="preserve">      </w:t>
      </w:r>
      <w:r>
        <w:rPr>
          <w:rFonts w:ascii="Times New Roman" w:hAnsi="Times New Roman"/>
          <w:kern w:val="0"/>
          <w:szCs w:val="21"/>
          <w:u w:val="single"/>
        </w:rPr>
        <w:t xml:space="preserve">   </w:t>
      </w:r>
    </w:p>
    <w:p>
      <w:pPr>
        <w:adjustRightInd w:val="0"/>
        <w:snapToGrid w:val="0"/>
        <w:spacing w:line="360" w:lineRule="auto"/>
        <w:ind w:left="420" w:leftChars="200"/>
        <w:rPr>
          <w:rFonts w:ascii="Times New Roman" w:hAnsi="Times New Roman"/>
          <w:kern w:val="0"/>
          <w:szCs w:val="21"/>
        </w:rPr>
      </w:pPr>
      <w:r>
        <w:rPr>
          <w:rFonts w:hint="eastAsia" w:ascii="Times New Roman" w:hAnsi="Times New Roman"/>
          <w:kern w:val="0"/>
          <w:szCs w:val="21"/>
          <w:lang w:val="zh-CN"/>
        </w:rPr>
        <w:t>邮政编码：</w:t>
      </w:r>
      <w:r>
        <w:rPr>
          <w:rFonts w:hint="eastAsia" w:ascii="Times New Roman" w:hAnsi="Times New Roman"/>
          <w:kern w:val="0"/>
          <w:szCs w:val="21"/>
          <w:u w:val="single"/>
          <w:lang w:val="zh-CN"/>
        </w:rPr>
        <w:t xml:space="preserve">            </w:t>
      </w:r>
      <w:r>
        <w:rPr>
          <w:rFonts w:hint="eastAsia" w:ascii="Times New Roman" w:hAnsi="Times New Roman"/>
          <w:kern w:val="0"/>
          <w:szCs w:val="21"/>
          <w:lang w:val="zh-CN"/>
        </w:rPr>
        <w:t>传真号码：</w:t>
      </w:r>
      <w:r>
        <w:rPr>
          <w:rFonts w:ascii="Times New Roman" w:hAnsi="Times New Roman"/>
          <w:kern w:val="0"/>
          <w:szCs w:val="21"/>
          <w:u w:val="single" w:color="000000"/>
          <w:lang w:val="zh-CN"/>
        </w:rPr>
        <w:t>0</w:t>
      </w:r>
    </w:p>
    <w:p>
      <w:pPr>
        <w:adjustRightInd w:val="0"/>
        <w:snapToGrid w:val="0"/>
        <w:spacing w:line="360" w:lineRule="auto"/>
        <w:ind w:firstLine="420" w:firstLineChars="200"/>
        <w:rPr>
          <w:rFonts w:ascii="Times New Roman" w:hAnsi="Times New Roman"/>
          <w:kern w:val="0"/>
          <w:szCs w:val="21"/>
          <w:u w:val="single"/>
        </w:rPr>
      </w:pPr>
      <w:r>
        <w:rPr>
          <w:rFonts w:hint="eastAsia" w:ascii="Times New Roman" w:hAnsi="Times New Roman"/>
          <w:kern w:val="0"/>
          <w:szCs w:val="21"/>
          <w:lang w:val="zh-CN"/>
        </w:rPr>
        <w:t>日期</w:t>
      </w:r>
      <w:r>
        <w:rPr>
          <w:rFonts w:hint="eastAsia" w:ascii="Times New Roman" w:hAnsi="Times New Roman"/>
          <w:kern w:val="0"/>
          <w:szCs w:val="21"/>
        </w:rPr>
        <w:t>：</w:t>
      </w:r>
      <w:r>
        <w:rPr>
          <w:rFonts w:hint="eastAsia" w:ascii="Times New Roman" w:hAnsi="Times New Roman"/>
          <w:kern w:val="0"/>
          <w:szCs w:val="21"/>
          <w:u w:val="single"/>
        </w:rPr>
        <w:t xml:space="preserve"> </w:t>
      </w:r>
      <w:r>
        <w:rPr>
          <w:rFonts w:ascii="Times New Roman" w:hAnsi="Times New Roman"/>
          <w:kern w:val="0"/>
          <w:szCs w:val="21"/>
          <w:u w:val="single"/>
        </w:rPr>
        <w:t xml:space="preserve">  </w:t>
      </w:r>
      <w:r>
        <w:rPr>
          <w:rFonts w:hint="eastAsia" w:ascii="Times New Roman" w:hAnsi="Times New Roman"/>
          <w:kern w:val="0"/>
          <w:szCs w:val="21"/>
          <w:u w:val="single"/>
        </w:rPr>
        <w:t xml:space="preserve"> </w:t>
      </w:r>
      <w:r>
        <w:rPr>
          <w:rFonts w:hint="eastAsia" w:ascii="Times New Roman" w:hAnsi="Times New Roman"/>
          <w:kern w:val="0"/>
          <w:szCs w:val="21"/>
          <w:lang w:val="zh-CN"/>
        </w:rPr>
        <w:t>年</w:t>
      </w:r>
      <w:r>
        <w:rPr>
          <w:rFonts w:hint="eastAsia" w:ascii="Times New Roman" w:hAnsi="Times New Roman"/>
          <w:kern w:val="0"/>
          <w:szCs w:val="21"/>
          <w:u w:val="single"/>
          <w:lang w:val="zh-CN"/>
        </w:rPr>
        <w:t xml:space="preserve"> </w:t>
      </w:r>
      <w:r>
        <w:rPr>
          <w:rFonts w:ascii="Times New Roman" w:hAnsi="Times New Roman"/>
          <w:kern w:val="0"/>
          <w:szCs w:val="21"/>
          <w:u w:val="single"/>
          <w:lang w:val="zh-CN"/>
        </w:rPr>
        <w:t xml:space="preserve">   </w:t>
      </w:r>
      <w:r>
        <w:rPr>
          <w:rFonts w:hint="eastAsia" w:ascii="Times New Roman" w:hAnsi="Times New Roman"/>
          <w:kern w:val="0"/>
          <w:szCs w:val="21"/>
          <w:lang w:val="zh-CN"/>
        </w:rPr>
        <w:t>月</w:t>
      </w:r>
      <w:r>
        <w:rPr>
          <w:rFonts w:hint="eastAsia" w:ascii="Times New Roman" w:hAnsi="Times New Roman"/>
          <w:kern w:val="0"/>
          <w:szCs w:val="21"/>
          <w:u w:val="single"/>
          <w:lang w:val="zh-CN"/>
        </w:rPr>
        <w:t xml:space="preserve"> </w:t>
      </w:r>
      <w:r>
        <w:rPr>
          <w:rFonts w:ascii="Times New Roman" w:hAnsi="Times New Roman"/>
          <w:kern w:val="0"/>
          <w:szCs w:val="21"/>
          <w:u w:val="single"/>
          <w:lang w:val="zh-CN"/>
        </w:rPr>
        <w:t xml:space="preserve">   </w:t>
      </w:r>
      <w:r>
        <w:rPr>
          <w:rFonts w:hint="eastAsia" w:ascii="Times New Roman" w:hAnsi="Times New Roman"/>
          <w:kern w:val="0"/>
          <w:szCs w:val="21"/>
          <w:lang w:val="zh-CN"/>
        </w:rPr>
        <w:t>日</w:t>
      </w:r>
    </w:p>
    <w:p>
      <w:pPr>
        <w:adjustRightInd w:val="0"/>
        <w:snapToGrid w:val="0"/>
        <w:spacing w:line="360" w:lineRule="auto"/>
        <w:rPr>
          <w:rFonts w:ascii="Times New Roman" w:hAnsi="Times New Roman"/>
          <w:kern w:val="0"/>
          <w:szCs w:val="21"/>
          <w:u w:val="single"/>
        </w:rPr>
      </w:pPr>
    </w:p>
    <w:p>
      <w:pPr>
        <w:adjustRightInd w:val="0"/>
        <w:snapToGrid w:val="0"/>
        <w:spacing w:line="360" w:lineRule="auto"/>
        <w:rPr>
          <w:rFonts w:ascii="Times New Roman" w:hAnsi="Times New Roman"/>
          <w:b/>
          <w:kern w:val="0"/>
          <w:szCs w:val="21"/>
          <w:lang w:val="zh-CN"/>
        </w:rPr>
        <w:sectPr>
          <w:footerReference r:id="rId7" w:type="first"/>
          <w:headerReference r:id="rId4" w:type="default"/>
          <w:footerReference r:id="rId5" w:type="default"/>
          <w:footerReference r:id="rId6" w:type="even"/>
          <w:pgSz w:w="11906" w:h="16838"/>
          <w:pgMar w:top="1440" w:right="1797" w:bottom="1440" w:left="1797" w:header="851" w:footer="992" w:gutter="0"/>
          <w:cols w:space="720" w:num="1"/>
          <w:docGrid w:linePitch="312" w:charSpace="0"/>
        </w:sectPr>
      </w:pPr>
      <w:r>
        <w:rPr>
          <w:rFonts w:hint="eastAsia" w:ascii="Times New Roman" w:hAnsi="Times New Roman"/>
          <w:b/>
          <w:kern w:val="0"/>
          <w:szCs w:val="21"/>
          <w:lang w:val="zh-CN"/>
        </w:rPr>
        <w:t>注：未按照本采购响应函要求填报的将被视为非实质性响应，从而可能导致该采购响应文件被拒绝。</w:t>
      </w:r>
    </w:p>
    <w:p>
      <w:pPr>
        <w:pStyle w:val="4"/>
        <w:ind w:firstLine="482"/>
      </w:pPr>
      <w:r>
        <w:rPr>
          <w:rFonts w:hint="eastAsia"/>
        </w:rPr>
        <w:t>附件三：</w:t>
      </w:r>
    </w:p>
    <w:p>
      <w:pPr>
        <w:pStyle w:val="5"/>
        <w:spacing w:line="360" w:lineRule="auto"/>
        <w:ind w:right="-21" w:rightChars="-10" w:firstLine="0"/>
        <w:jc w:val="center"/>
        <w:rPr>
          <w:b/>
          <w:color w:val="auto"/>
          <w:sz w:val="32"/>
          <w:szCs w:val="32"/>
        </w:rPr>
      </w:pPr>
      <w:bookmarkStart w:id="35" w:name="_Hlk498077136"/>
      <w:r>
        <w:rPr>
          <w:rFonts w:hint="eastAsia"/>
          <w:b/>
          <w:color w:val="auto"/>
          <w:sz w:val="32"/>
          <w:szCs w:val="32"/>
        </w:rPr>
        <w:t>报价一览表</w:t>
      </w:r>
    </w:p>
    <w:bookmarkEnd w:id="35"/>
    <w:p>
      <w:pPr>
        <w:spacing w:line="360" w:lineRule="auto"/>
        <w:ind w:right="-21" w:rightChars="-10"/>
      </w:pPr>
    </w:p>
    <w:p>
      <w:pPr>
        <w:spacing w:line="360" w:lineRule="auto"/>
        <w:ind w:right="-21" w:rightChars="-10" w:firstLine="315" w:firstLineChars="150"/>
        <w:rPr>
          <w:rFonts w:ascii="Times New Roman" w:hAnsi="Times New Roman"/>
          <w:szCs w:val="21"/>
        </w:rPr>
      </w:pPr>
      <w:r>
        <w:rPr>
          <w:rFonts w:hint="eastAsia" w:ascii="Times New Roman" w:hAnsi="Times New Roman"/>
          <w:szCs w:val="21"/>
        </w:rPr>
        <w:t>项目名称：</w:t>
      </w:r>
      <w:r>
        <w:rPr>
          <w:rFonts w:hint="eastAsia" w:ascii="Times New Roman" w:hAnsi="Times New Roman"/>
          <w:szCs w:val="21"/>
          <w:u w:val="single"/>
        </w:rPr>
        <w:t>浙江财经大学</w:t>
      </w:r>
      <w:r>
        <w:rPr>
          <w:rFonts w:hint="eastAsia" w:ascii="Times New Roman" w:hAnsi="Times New Roman"/>
          <w:szCs w:val="21"/>
          <w:u w:val="single"/>
          <w:lang w:eastAsia="zh-CN"/>
        </w:rPr>
        <w:t>智慧教务综合服务平台二期项目</w:t>
      </w:r>
      <w:r>
        <w:rPr>
          <w:rFonts w:ascii="Times New Roman" w:hAnsi="Times New Roman"/>
          <w:szCs w:val="21"/>
        </w:rPr>
        <w:t xml:space="preserve"> </w:t>
      </w:r>
      <w:r>
        <w:rPr>
          <w:rFonts w:hint="eastAsia" w:ascii="Times New Roman" w:hAnsi="Times New Roman"/>
          <w:szCs w:val="21"/>
        </w:rPr>
        <w:t xml:space="preserve">   标项：   招标编号：</w:t>
      </w:r>
      <w:r>
        <w:rPr>
          <w:rFonts w:hint="eastAsia" w:ascii="Times New Roman" w:hAnsi="Times New Roman"/>
          <w:szCs w:val="21"/>
          <w:u w:val="single"/>
          <w:lang w:eastAsia="zh-CN"/>
        </w:rPr>
        <w:t>浙财大2020-09</w:t>
      </w:r>
      <w:r>
        <w:rPr>
          <w:rFonts w:hint="eastAsia" w:ascii="Times New Roman" w:hAnsi="Times New Roman"/>
          <w:szCs w:val="21"/>
        </w:rPr>
        <w:t xml:space="preserve">                            单位：人民币元</w:t>
      </w:r>
    </w:p>
    <w:tbl>
      <w:tblPr>
        <w:tblStyle w:val="19"/>
        <w:tblW w:w="133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83"/>
        <w:gridCol w:w="3945"/>
        <w:gridCol w:w="5257"/>
        <w:gridCol w:w="29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9" w:hRule="atLeast"/>
          <w:jc w:val="center"/>
        </w:trPr>
        <w:tc>
          <w:tcPr>
            <w:tcW w:w="1183" w:type="dxa"/>
            <w:tcBorders>
              <w:top w:val="single" w:color="auto" w:sz="12" w:space="0"/>
            </w:tcBorders>
            <w:vAlign w:val="center"/>
          </w:tcPr>
          <w:p>
            <w:pPr>
              <w:snapToGrid w:val="0"/>
              <w:ind w:right="-21" w:rightChars="-10"/>
              <w:jc w:val="center"/>
              <w:rPr>
                <w:rFonts w:ascii="Times New Roman" w:hAnsi="Times New Roman"/>
                <w:b/>
                <w:bCs/>
                <w:szCs w:val="21"/>
              </w:rPr>
            </w:pPr>
            <w:r>
              <w:rPr>
                <w:rFonts w:hint="eastAsia" w:ascii="Times New Roman" w:hAnsi="Times New Roman"/>
                <w:b/>
                <w:bCs/>
                <w:szCs w:val="21"/>
              </w:rPr>
              <w:t>标项</w:t>
            </w:r>
          </w:p>
        </w:tc>
        <w:tc>
          <w:tcPr>
            <w:tcW w:w="3945" w:type="dxa"/>
            <w:tcBorders>
              <w:top w:val="single" w:color="auto" w:sz="12" w:space="0"/>
              <w:right w:val="single" w:color="auto" w:sz="4" w:space="0"/>
            </w:tcBorders>
            <w:vAlign w:val="center"/>
          </w:tcPr>
          <w:p>
            <w:pPr>
              <w:snapToGrid w:val="0"/>
              <w:ind w:right="-21" w:rightChars="-10"/>
              <w:jc w:val="center"/>
              <w:rPr>
                <w:rFonts w:ascii="Times New Roman" w:hAnsi="Times New Roman"/>
                <w:b/>
                <w:bCs/>
                <w:szCs w:val="21"/>
              </w:rPr>
            </w:pPr>
            <w:r>
              <w:rPr>
                <w:rFonts w:hint="eastAsia" w:ascii="Times New Roman" w:hAnsi="Times New Roman"/>
                <w:b/>
                <w:bCs/>
                <w:szCs w:val="21"/>
              </w:rPr>
              <w:t>报价响应单位</w:t>
            </w:r>
          </w:p>
        </w:tc>
        <w:tc>
          <w:tcPr>
            <w:tcW w:w="5257" w:type="dxa"/>
            <w:tcBorders>
              <w:top w:val="single" w:color="auto" w:sz="12" w:space="0"/>
            </w:tcBorders>
            <w:vAlign w:val="center"/>
          </w:tcPr>
          <w:p>
            <w:pPr>
              <w:snapToGrid w:val="0"/>
              <w:ind w:right="-21" w:rightChars="-10"/>
              <w:jc w:val="center"/>
              <w:rPr>
                <w:rFonts w:ascii="Times New Roman" w:hAnsi="Times New Roman"/>
                <w:b/>
                <w:bCs/>
                <w:szCs w:val="21"/>
              </w:rPr>
            </w:pPr>
            <w:r>
              <w:rPr>
                <w:rFonts w:hint="eastAsia" w:ascii="Times New Roman" w:hAnsi="Times New Roman"/>
                <w:b/>
                <w:bCs/>
                <w:szCs w:val="21"/>
              </w:rPr>
              <w:t>投标总价</w:t>
            </w:r>
          </w:p>
        </w:tc>
        <w:tc>
          <w:tcPr>
            <w:tcW w:w="2967" w:type="dxa"/>
            <w:tcBorders>
              <w:top w:val="single" w:color="auto" w:sz="12" w:space="0"/>
              <w:left w:val="single" w:color="auto" w:sz="4" w:space="0"/>
            </w:tcBorders>
            <w:vAlign w:val="center"/>
          </w:tcPr>
          <w:p>
            <w:pPr>
              <w:snapToGrid w:val="0"/>
              <w:ind w:right="-21" w:rightChars="-10"/>
              <w:jc w:val="center"/>
              <w:rPr>
                <w:rFonts w:ascii="Times New Roman" w:hAnsi="Times New Roman"/>
                <w:b/>
                <w:bCs/>
                <w:szCs w:val="21"/>
              </w:rPr>
            </w:pPr>
            <w:r>
              <w:rPr>
                <w:rFonts w:hint="eastAsia" w:ascii="Times New Roman" w:hAnsi="Times New Roman"/>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71" w:hRule="atLeast"/>
          <w:jc w:val="center"/>
        </w:trPr>
        <w:tc>
          <w:tcPr>
            <w:tcW w:w="1183" w:type="dxa"/>
            <w:tcBorders>
              <w:bottom w:val="single" w:color="auto" w:sz="12" w:space="0"/>
            </w:tcBorders>
            <w:vAlign w:val="center"/>
          </w:tcPr>
          <w:p>
            <w:pPr>
              <w:snapToGrid w:val="0"/>
              <w:ind w:right="-21" w:rightChars="-10"/>
              <w:jc w:val="center"/>
              <w:rPr>
                <w:rFonts w:ascii="Times New Roman" w:hAnsi="Times New Roman"/>
                <w:szCs w:val="21"/>
              </w:rPr>
            </w:pPr>
          </w:p>
        </w:tc>
        <w:tc>
          <w:tcPr>
            <w:tcW w:w="3945" w:type="dxa"/>
            <w:tcBorders>
              <w:bottom w:val="single" w:color="auto" w:sz="12" w:space="0"/>
              <w:right w:val="single" w:color="auto" w:sz="4" w:space="0"/>
            </w:tcBorders>
            <w:vAlign w:val="center"/>
          </w:tcPr>
          <w:p>
            <w:pPr>
              <w:snapToGrid w:val="0"/>
              <w:ind w:right="-21" w:rightChars="-10"/>
              <w:jc w:val="center"/>
              <w:rPr>
                <w:rFonts w:ascii="Times New Roman" w:hAnsi="Times New Roman"/>
                <w:szCs w:val="21"/>
              </w:rPr>
            </w:pPr>
          </w:p>
        </w:tc>
        <w:tc>
          <w:tcPr>
            <w:tcW w:w="5257" w:type="dxa"/>
            <w:tcBorders>
              <w:bottom w:val="single" w:color="auto" w:sz="12" w:space="0"/>
            </w:tcBorders>
            <w:vAlign w:val="center"/>
          </w:tcPr>
          <w:p>
            <w:pPr>
              <w:snapToGrid w:val="0"/>
              <w:ind w:right="-21" w:rightChars="-10"/>
              <w:rPr>
                <w:rFonts w:ascii="Times New Roman" w:hAnsi="Times New Roman"/>
                <w:szCs w:val="21"/>
              </w:rPr>
            </w:pPr>
          </w:p>
          <w:p>
            <w:pPr>
              <w:snapToGrid w:val="0"/>
              <w:ind w:right="-21" w:rightChars="-10"/>
              <w:rPr>
                <w:rFonts w:ascii="Times New Roman" w:hAnsi="Times New Roman"/>
                <w:szCs w:val="21"/>
              </w:rPr>
            </w:pPr>
            <w:r>
              <w:rPr>
                <w:rFonts w:hint="eastAsia" w:ascii="Times New Roman" w:hAnsi="Times New Roman"/>
                <w:szCs w:val="21"/>
              </w:rPr>
              <w:t>大写：</w:t>
            </w:r>
          </w:p>
          <w:p>
            <w:pPr>
              <w:snapToGrid w:val="0"/>
              <w:ind w:right="-21" w:rightChars="-10"/>
              <w:jc w:val="center"/>
              <w:rPr>
                <w:rFonts w:ascii="Times New Roman" w:hAnsi="Times New Roman"/>
                <w:szCs w:val="21"/>
              </w:rPr>
            </w:pPr>
          </w:p>
          <w:p>
            <w:pPr>
              <w:snapToGrid w:val="0"/>
              <w:ind w:right="-21" w:rightChars="-10"/>
              <w:rPr>
                <w:rFonts w:ascii="Times New Roman" w:hAnsi="Times New Roman"/>
                <w:szCs w:val="21"/>
              </w:rPr>
            </w:pPr>
            <w:r>
              <w:rPr>
                <w:rFonts w:hint="eastAsia" w:ascii="Times New Roman" w:hAnsi="Times New Roman"/>
                <w:szCs w:val="21"/>
              </w:rPr>
              <w:t>小写：</w:t>
            </w:r>
          </w:p>
          <w:p>
            <w:pPr>
              <w:snapToGrid w:val="0"/>
              <w:ind w:right="-21" w:rightChars="-10"/>
              <w:jc w:val="center"/>
              <w:rPr>
                <w:rFonts w:ascii="Times New Roman" w:hAnsi="Times New Roman"/>
                <w:szCs w:val="21"/>
              </w:rPr>
            </w:pPr>
          </w:p>
        </w:tc>
        <w:tc>
          <w:tcPr>
            <w:tcW w:w="2967" w:type="dxa"/>
            <w:tcBorders>
              <w:left w:val="single" w:color="auto" w:sz="4" w:space="0"/>
              <w:bottom w:val="single" w:color="auto" w:sz="12" w:space="0"/>
            </w:tcBorders>
            <w:vAlign w:val="center"/>
          </w:tcPr>
          <w:p>
            <w:pPr>
              <w:snapToGrid w:val="0"/>
              <w:ind w:right="-21" w:rightChars="-10"/>
              <w:jc w:val="center"/>
              <w:rPr>
                <w:rFonts w:ascii="Times New Roman" w:hAnsi="Times New Roman"/>
                <w:szCs w:val="21"/>
              </w:rPr>
            </w:pPr>
          </w:p>
        </w:tc>
      </w:tr>
    </w:tbl>
    <w:p>
      <w:pPr>
        <w:spacing w:line="360" w:lineRule="auto"/>
        <w:ind w:right="-21" w:rightChars="-10"/>
        <w:rPr>
          <w:rFonts w:ascii="Times New Roman" w:hAnsi="Times New Roman"/>
          <w:szCs w:val="21"/>
        </w:rPr>
      </w:pPr>
    </w:p>
    <w:p>
      <w:pPr>
        <w:snapToGrid w:val="0"/>
        <w:ind w:right="-21" w:rightChars="-10"/>
        <w:rPr>
          <w:rFonts w:ascii="Times New Roman" w:hAnsi="Times New Roman"/>
          <w:szCs w:val="21"/>
        </w:rPr>
      </w:pPr>
    </w:p>
    <w:p>
      <w:pPr>
        <w:snapToGrid w:val="0"/>
        <w:ind w:right="-21" w:rightChars="-10"/>
        <w:rPr>
          <w:rFonts w:ascii="Times New Roman" w:hAnsi="Times New Roman"/>
          <w:szCs w:val="21"/>
        </w:rPr>
      </w:pPr>
    </w:p>
    <w:p>
      <w:pPr>
        <w:snapToGrid w:val="0"/>
        <w:ind w:right="-21" w:rightChars="-10"/>
        <w:rPr>
          <w:rFonts w:ascii="Times New Roman" w:hAnsi="Times New Roman"/>
          <w:szCs w:val="21"/>
        </w:rPr>
      </w:pPr>
      <w:r>
        <w:rPr>
          <w:rFonts w:hint="eastAsia" w:ascii="Times New Roman" w:hAnsi="Times New Roman"/>
          <w:szCs w:val="21"/>
        </w:rPr>
        <w:t>报价响应单位：（盖章）</w:t>
      </w:r>
    </w:p>
    <w:p>
      <w:pPr>
        <w:snapToGrid w:val="0"/>
        <w:ind w:right="-21" w:rightChars="-10"/>
        <w:rPr>
          <w:rFonts w:ascii="Times New Roman" w:hAnsi="Times New Roman"/>
          <w:szCs w:val="21"/>
        </w:rPr>
      </w:pPr>
    </w:p>
    <w:p>
      <w:pPr>
        <w:snapToGrid w:val="0"/>
        <w:ind w:right="-21" w:rightChars="-10"/>
        <w:rPr>
          <w:rFonts w:ascii="Times New Roman" w:hAnsi="Times New Roman"/>
          <w:szCs w:val="21"/>
        </w:rPr>
      </w:pPr>
    </w:p>
    <w:p>
      <w:pPr>
        <w:snapToGrid w:val="0"/>
        <w:ind w:right="-21" w:rightChars="-10"/>
        <w:rPr>
          <w:rFonts w:ascii="Times New Roman" w:hAnsi="Times New Roman"/>
          <w:szCs w:val="21"/>
        </w:rPr>
      </w:pPr>
      <w:r>
        <w:rPr>
          <w:rFonts w:hint="eastAsia" w:ascii="Times New Roman" w:hAnsi="Times New Roman"/>
          <w:szCs w:val="21"/>
        </w:rPr>
        <w:t>法定代表人（或委托代理人）：（签字或盖章）</w:t>
      </w:r>
    </w:p>
    <w:p>
      <w:pPr>
        <w:snapToGrid w:val="0"/>
        <w:ind w:right="-21" w:rightChars="-10"/>
        <w:rPr>
          <w:rFonts w:ascii="Times New Roman" w:hAnsi="Times New Roman"/>
          <w:szCs w:val="21"/>
        </w:rPr>
      </w:pPr>
    </w:p>
    <w:p>
      <w:pPr>
        <w:snapToGrid w:val="0"/>
        <w:ind w:right="-21" w:rightChars="-10"/>
        <w:rPr>
          <w:rFonts w:ascii="Times New Roman" w:hAnsi="Times New Roman"/>
          <w:szCs w:val="21"/>
        </w:rPr>
      </w:pPr>
    </w:p>
    <w:p>
      <w:pPr>
        <w:snapToGrid w:val="0"/>
        <w:ind w:right="-21" w:rightChars="-10"/>
        <w:rPr>
          <w:rFonts w:ascii="Times New Roman" w:hAnsi="Times New Roman"/>
          <w:szCs w:val="21"/>
        </w:rPr>
      </w:pPr>
      <w:r>
        <w:rPr>
          <w:rFonts w:hint="eastAsia" w:ascii="Times New Roman" w:hAnsi="Times New Roman"/>
          <w:szCs w:val="21"/>
        </w:rPr>
        <w:t>日期：</w:t>
      </w:r>
      <w:r>
        <w:rPr>
          <w:rFonts w:ascii="Times New Roman" w:hAnsi="Times New Roman"/>
          <w:szCs w:val="21"/>
        </w:rPr>
        <w:t xml:space="preserve"> 2020</w:t>
      </w:r>
      <w:r>
        <w:rPr>
          <w:rFonts w:hint="eastAsia" w:ascii="Times New Roman" w:hAnsi="Times New Roman"/>
          <w:szCs w:val="21"/>
        </w:rPr>
        <w:t>年    月   日</w:t>
      </w:r>
    </w:p>
    <w:p>
      <w:pPr>
        <w:snapToGrid w:val="0"/>
        <w:ind w:right="-21" w:rightChars="-10"/>
        <w:rPr>
          <w:rFonts w:ascii="宋体" w:cs="宋体"/>
          <w:szCs w:val="21"/>
        </w:rPr>
        <w:sectPr>
          <w:pgSz w:w="16838" w:h="11906" w:orient="landscape"/>
          <w:pgMar w:top="1797" w:right="1440" w:bottom="1797" w:left="1440" w:header="851" w:footer="992" w:gutter="0"/>
          <w:cols w:space="720" w:num="1"/>
          <w:docGrid w:linePitch="312" w:charSpace="0"/>
        </w:sectPr>
      </w:pPr>
    </w:p>
    <w:p>
      <w:pPr>
        <w:pStyle w:val="4"/>
        <w:ind w:firstLine="482"/>
        <w:jc w:val="left"/>
      </w:pPr>
      <w:bookmarkStart w:id="36" w:name="_Toc361750531"/>
      <w:r>
        <w:rPr>
          <w:rFonts w:hint="eastAsia"/>
        </w:rPr>
        <w:t>附件四：</w:t>
      </w:r>
      <w:r>
        <w:rPr>
          <w:rFonts w:hint="eastAsia"/>
          <w:sz w:val="32"/>
        </w:rPr>
        <w:t>报价明细表（格式自拟）</w:t>
      </w:r>
    </w:p>
    <w:bookmarkEnd w:id="36"/>
    <w:p>
      <w:pPr>
        <w:pStyle w:val="39"/>
        <w:snapToGrid w:val="0"/>
        <w:spacing w:before="0" w:line="360" w:lineRule="auto"/>
        <w:ind w:left="0" w:firstLine="0"/>
        <w:jc w:val="center"/>
        <w:rPr>
          <w:b/>
          <w:kern w:val="2"/>
          <w:sz w:val="32"/>
          <w:szCs w:val="32"/>
        </w:rPr>
      </w:pPr>
      <w:bookmarkStart w:id="37" w:name="_Toc358377763"/>
      <w:bookmarkStart w:id="38" w:name="_Toc361750532"/>
    </w:p>
    <w:p>
      <w:pPr>
        <w:pStyle w:val="39"/>
        <w:snapToGrid w:val="0"/>
        <w:spacing w:before="0" w:line="360" w:lineRule="auto"/>
        <w:ind w:left="0" w:firstLine="0"/>
        <w:jc w:val="center"/>
        <w:rPr>
          <w:b/>
          <w:kern w:val="2"/>
          <w:sz w:val="32"/>
          <w:szCs w:val="32"/>
        </w:rPr>
      </w:pPr>
    </w:p>
    <w:p>
      <w:pPr>
        <w:pStyle w:val="39"/>
        <w:snapToGrid w:val="0"/>
        <w:spacing w:before="0" w:line="360" w:lineRule="auto"/>
        <w:ind w:left="0" w:firstLine="0"/>
        <w:jc w:val="center"/>
        <w:rPr>
          <w:b/>
          <w:kern w:val="2"/>
          <w:sz w:val="32"/>
          <w:szCs w:val="32"/>
        </w:rPr>
      </w:pPr>
    </w:p>
    <w:p>
      <w:pPr>
        <w:pStyle w:val="39"/>
        <w:snapToGrid w:val="0"/>
        <w:spacing w:before="0" w:line="360" w:lineRule="auto"/>
        <w:ind w:left="0" w:firstLine="0"/>
        <w:jc w:val="center"/>
        <w:rPr>
          <w:b/>
          <w:kern w:val="2"/>
          <w:sz w:val="32"/>
          <w:szCs w:val="32"/>
        </w:rPr>
      </w:pPr>
    </w:p>
    <w:p>
      <w:pPr>
        <w:pStyle w:val="39"/>
        <w:snapToGrid w:val="0"/>
        <w:spacing w:before="0" w:line="360" w:lineRule="auto"/>
        <w:ind w:left="0" w:firstLine="0"/>
        <w:jc w:val="center"/>
        <w:rPr>
          <w:b/>
          <w:kern w:val="2"/>
          <w:sz w:val="32"/>
          <w:szCs w:val="32"/>
        </w:rPr>
      </w:pPr>
    </w:p>
    <w:p>
      <w:pPr>
        <w:pStyle w:val="39"/>
        <w:snapToGrid w:val="0"/>
        <w:spacing w:before="0" w:line="360" w:lineRule="auto"/>
        <w:ind w:left="0" w:firstLine="0"/>
        <w:jc w:val="center"/>
        <w:rPr>
          <w:b/>
          <w:kern w:val="2"/>
          <w:sz w:val="32"/>
          <w:szCs w:val="32"/>
        </w:rPr>
      </w:pPr>
    </w:p>
    <w:p>
      <w:pPr>
        <w:pStyle w:val="39"/>
        <w:snapToGrid w:val="0"/>
        <w:spacing w:before="0" w:line="360" w:lineRule="auto"/>
        <w:ind w:left="0" w:firstLine="0"/>
        <w:jc w:val="center"/>
        <w:rPr>
          <w:b/>
          <w:kern w:val="2"/>
          <w:sz w:val="32"/>
          <w:szCs w:val="32"/>
        </w:rPr>
      </w:pPr>
    </w:p>
    <w:p>
      <w:pPr>
        <w:pStyle w:val="39"/>
        <w:snapToGrid w:val="0"/>
        <w:spacing w:before="0" w:line="360" w:lineRule="auto"/>
        <w:ind w:left="0" w:firstLine="0"/>
        <w:jc w:val="center"/>
        <w:rPr>
          <w:b/>
          <w:kern w:val="2"/>
          <w:sz w:val="32"/>
          <w:szCs w:val="32"/>
        </w:rPr>
      </w:pPr>
    </w:p>
    <w:p>
      <w:pPr>
        <w:pStyle w:val="39"/>
        <w:snapToGrid w:val="0"/>
        <w:spacing w:before="0" w:line="360" w:lineRule="auto"/>
        <w:ind w:left="0" w:firstLine="0"/>
        <w:jc w:val="center"/>
        <w:rPr>
          <w:b/>
          <w:kern w:val="2"/>
          <w:sz w:val="32"/>
          <w:szCs w:val="32"/>
        </w:rPr>
      </w:pPr>
    </w:p>
    <w:p>
      <w:pPr>
        <w:pStyle w:val="39"/>
        <w:snapToGrid w:val="0"/>
        <w:spacing w:before="0" w:line="360" w:lineRule="auto"/>
        <w:ind w:left="0" w:firstLine="0"/>
        <w:jc w:val="center"/>
        <w:rPr>
          <w:b/>
          <w:kern w:val="2"/>
          <w:sz w:val="32"/>
          <w:szCs w:val="32"/>
        </w:rPr>
      </w:pPr>
    </w:p>
    <w:p>
      <w:pPr>
        <w:pStyle w:val="39"/>
        <w:snapToGrid w:val="0"/>
        <w:spacing w:before="0" w:line="360" w:lineRule="auto"/>
        <w:ind w:left="0" w:firstLine="0"/>
        <w:jc w:val="center"/>
        <w:rPr>
          <w:b/>
          <w:kern w:val="2"/>
          <w:sz w:val="32"/>
          <w:szCs w:val="32"/>
        </w:rPr>
      </w:pPr>
    </w:p>
    <w:p>
      <w:pPr>
        <w:pStyle w:val="39"/>
        <w:snapToGrid w:val="0"/>
        <w:spacing w:before="0" w:line="360" w:lineRule="auto"/>
        <w:ind w:left="0" w:firstLine="0"/>
        <w:jc w:val="center"/>
        <w:rPr>
          <w:b/>
          <w:kern w:val="2"/>
          <w:sz w:val="32"/>
          <w:szCs w:val="32"/>
        </w:rPr>
      </w:pPr>
    </w:p>
    <w:p>
      <w:pPr>
        <w:pStyle w:val="39"/>
        <w:snapToGrid w:val="0"/>
        <w:spacing w:before="0" w:line="360" w:lineRule="auto"/>
        <w:ind w:left="0" w:firstLine="0"/>
        <w:jc w:val="center"/>
        <w:rPr>
          <w:b/>
          <w:kern w:val="2"/>
          <w:sz w:val="32"/>
          <w:szCs w:val="32"/>
        </w:rPr>
      </w:pPr>
    </w:p>
    <w:p>
      <w:pPr>
        <w:pStyle w:val="39"/>
        <w:snapToGrid w:val="0"/>
        <w:spacing w:before="0" w:line="360" w:lineRule="auto"/>
        <w:ind w:left="0" w:firstLine="0"/>
        <w:jc w:val="center"/>
        <w:rPr>
          <w:b/>
          <w:kern w:val="2"/>
          <w:sz w:val="32"/>
          <w:szCs w:val="32"/>
        </w:rPr>
      </w:pPr>
    </w:p>
    <w:p>
      <w:pPr>
        <w:pStyle w:val="39"/>
        <w:snapToGrid w:val="0"/>
        <w:spacing w:before="0" w:line="360" w:lineRule="auto"/>
        <w:ind w:left="0" w:firstLine="0"/>
        <w:jc w:val="center"/>
        <w:rPr>
          <w:b/>
          <w:kern w:val="2"/>
          <w:sz w:val="32"/>
          <w:szCs w:val="32"/>
        </w:rPr>
      </w:pPr>
    </w:p>
    <w:p>
      <w:pPr>
        <w:pStyle w:val="39"/>
        <w:snapToGrid w:val="0"/>
        <w:spacing w:before="0" w:line="360" w:lineRule="auto"/>
        <w:ind w:left="0" w:firstLine="0"/>
        <w:jc w:val="center"/>
        <w:rPr>
          <w:b/>
          <w:kern w:val="2"/>
          <w:sz w:val="32"/>
          <w:szCs w:val="32"/>
        </w:rPr>
      </w:pPr>
    </w:p>
    <w:p>
      <w:pPr>
        <w:pStyle w:val="39"/>
        <w:snapToGrid w:val="0"/>
        <w:spacing w:before="0" w:line="360" w:lineRule="auto"/>
        <w:ind w:left="0" w:firstLine="0"/>
        <w:jc w:val="center"/>
        <w:rPr>
          <w:b/>
          <w:kern w:val="2"/>
          <w:sz w:val="32"/>
          <w:szCs w:val="32"/>
        </w:rPr>
      </w:pPr>
    </w:p>
    <w:p>
      <w:pPr>
        <w:pStyle w:val="39"/>
        <w:snapToGrid w:val="0"/>
        <w:spacing w:before="0" w:line="360" w:lineRule="auto"/>
        <w:ind w:left="0" w:firstLine="0"/>
        <w:jc w:val="center"/>
        <w:rPr>
          <w:b/>
          <w:kern w:val="2"/>
          <w:sz w:val="32"/>
          <w:szCs w:val="32"/>
        </w:rPr>
      </w:pPr>
    </w:p>
    <w:p>
      <w:pPr>
        <w:pStyle w:val="39"/>
        <w:snapToGrid w:val="0"/>
        <w:spacing w:before="0" w:line="360" w:lineRule="auto"/>
        <w:ind w:left="0" w:firstLine="0"/>
        <w:jc w:val="center"/>
        <w:rPr>
          <w:b/>
          <w:kern w:val="2"/>
          <w:sz w:val="32"/>
          <w:szCs w:val="32"/>
        </w:rPr>
      </w:pPr>
    </w:p>
    <w:p>
      <w:pPr>
        <w:pStyle w:val="39"/>
        <w:snapToGrid w:val="0"/>
        <w:spacing w:before="0" w:line="360" w:lineRule="auto"/>
        <w:ind w:left="0" w:firstLine="0"/>
        <w:jc w:val="center"/>
        <w:rPr>
          <w:b/>
          <w:kern w:val="2"/>
          <w:sz w:val="32"/>
          <w:szCs w:val="32"/>
        </w:rPr>
      </w:pPr>
    </w:p>
    <w:p>
      <w:pPr>
        <w:pStyle w:val="39"/>
        <w:snapToGrid w:val="0"/>
        <w:spacing w:before="0" w:line="360" w:lineRule="auto"/>
        <w:ind w:left="0" w:firstLine="0"/>
        <w:jc w:val="center"/>
        <w:rPr>
          <w:b/>
          <w:kern w:val="2"/>
          <w:sz w:val="32"/>
          <w:szCs w:val="32"/>
        </w:rPr>
      </w:pPr>
    </w:p>
    <w:p>
      <w:pPr>
        <w:pStyle w:val="39"/>
        <w:snapToGrid w:val="0"/>
        <w:spacing w:before="0" w:line="360" w:lineRule="auto"/>
        <w:ind w:left="0" w:firstLine="0"/>
        <w:jc w:val="center"/>
        <w:rPr>
          <w:b/>
          <w:kern w:val="2"/>
          <w:sz w:val="32"/>
          <w:szCs w:val="32"/>
        </w:rPr>
      </w:pPr>
    </w:p>
    <w:p>
      <w:pPr>
        <w:pStyle w:val="39"/>
        <w:snapToGrid w:val="0"/>
        <w:spacing w:before="0" w:line="360" w:lineRule="auto"/>
        <w:ind w:left="0" w:firstLine="0"/>
        <w:jc w:val="center"/>
        <w:rPr>
          <w:b/>
          <w:kern w:val="2"/>
          <w:sz w:val="32"/>
          <w:szCs w:val="32"/>
        </w:rPr>
      </w:pPr>
    </w:p>
    <w:p>
      <w:pPr>
        <w:pStyle w:val="39"/>
        <w:snapToGrid w:val="0"/>
        <w:spacing w:before="0" w:line="360" w:lineRule="auto"/>
        <w:ind w:left="0" w:firstLine="0"/>
        <w:jc w:val="left"/>
        <w:outlineLvl w:val="2"/>
        <w:rPr>
          <w:b/>
          <w:kern w:val="2"/>
          <w:sz w:val="32"/>
          <w:szCs w:val="32"/>
        </w:rPr>
      </w:pPr>
      <w:r>
        <w:rPr>
          <w:rFonts w:hint="eastAsia" w:ascii="Times New Roman" w:hAnsi="Times New Roman"/>
          <w:b/>
          <w:bCs/>
          <w:kern w:val="2"/>
          <w:sz w:val="24"/>
          <w:szCs w:val="32"/>
        </w:rPr>
        <w:t>附件五：</w:t>
      </w:r>
      <w:r>
        <w:rPr>
          <w:rFonts w:hint="eastAsia"/>
          <w:b/>
          <w:kern w:val="2"/>
          <w:sz w:val="32"/>
          <w:szCs w:val="32"/>
        </w:rPr>
        <w:t>商务偏离表</w:t>
      </w:r>
    </w:p>
    <w:p>
      <w:pPr>
        <w:snapToGrid w:val="0"/>
        <w:spacing w:line="360" w:lineRule="auto"/>
        <w:rPr>
          <w:rFonts w:ascii="宋体"/>
          <w:spacing w:val="20"/>
          <w:szCs w:val="21"/>
        </w:rPr>
      </w:pPr>
    </w:p>
    <w:p>
      <w:pPr>
        <w:snapToGrid w:val="0"/>
        <w:spacing w:line="360" w:lineRule="auto"/>
        <w:rPr>
          <w:rFonts w:ascii="宋体"/>
          <w:szCs w:val="21"/>
        </w:rPr>
      </w:pPr>
      <w:r>
        <w:rPr>
          <w:rFonts w:hint="eastAsia" w:ascii="宋体" w:hAnsi="宋体"/>
          <w:szCs w:val="21"/>
        </w:rPr>
        <w:t>采购项目名称</w:t>
      </w:r>
      <w:r>
        <w:rPr>
          <w:rFonts w:hint="eastAsia" w:ascii="宋体" w:hAnsi="宋体" w:cs="宋体"/>
          <w:szCs w:val="21"/>
        </w:rPr>
        <w:t>：</w:t>
      </w:r>
      <w:r>
        <w:rPr>
          <w:rFonts w:hint="eastAsia" w:ascii="Times New Roman" w:hAnsi="Times New Roman"/>
          <w:szCs w:val="21"/>
          <w:u w:val="single"/>
        </w:rPr>
        <w:t>浙江财经大学</w:t>
      </w:r>
      <w:r>
        <w:rPr>
          <w:rFonts w:hint="eastAsia" w:ascii="Times New Roman" w:hAnsi="Times New Roman"/>
          <w:szCs w:val="21"/>
          <w:u w:val="single"/>
          <w:lang w:eastAsia="zh-CN"/>
        </w:rPr>
        <w:t>智慧教务综合服务平台二期项目</w:t>
      </w:r>
      <w:r>
        <w:rPr>
          <w:rFonts w:ascii="Times New Roman" w:hAnsi="Times New Roman"/>
          <w:color w:val="FFFFFF" w:themeColor="background1"/>
          <w:kern w:val="0"/>
          <w:szCs w:val="21"/>
          <w:u w:val="single" w:color="000000"/>
          <w:lang w:val="zh-CN"/>
          <w14:textFill>
            <w14:solidFill>
              <w14:schemeClr w14:val="bg1"/>
            </w14:solidFill>
          </w14:textFill>
        </w:rPr>
        <w:t>0</w:t>
      </w:r>
    </w:p>
    <w:tbl>
      <w:tblPr>
        <w:tblStyle w:val="19"/>
        <w:tblW w:w="854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78"/>
        <w:gridCol w:w="1552"/>
        <w:gridCol w:w="1552"/>
        <w:gridCol w:w="3235"/>
        <w:gridCol w:w="142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778" w:type="dxa"/>
            <w:tcBorders>
              <w:top w:val="double" w:color="auto" w:sz="4" w:space="0"/>
            </w:tcBorders>
            <w:vAlign w:val="center"/>
          </w:tcPr>
          <w:p>
            <w:pPr>
              <w:snapToGrid w:val="0"/>
              <w:jc w:val="center"/>
              <w:rPr>
                <w:rFonts w:ascii="宋体"/>
                <w:szCs w:val="21"/>
              </w:rPr>
            </w:pPr>
            <w:r>
              <w:rPr>
                <w:rFonts w:hint="eastAsia" w:ascii="宋体" w:hAnsi="宋体"/>
                <w:szCs w:val="21"/>
              </w:rPr>
              <w:t>序号</w:t>
            </w:r>
          </w:p>
        </w:tc>
        <w:tc>
          <w:tcPr>
            <w:tcW w:w="1552" w:type="dxa"/>
            <w:tcBorders>
              <w:top w:val="double" w:color="auto" w:sz="4" w:space="0"/>
            </w:tcBorders>
            <w:vAlign w:val="center"/>
          </w:tcPr>
          <w:p>
            <w:pPr>
              <w:snapToGrid w:val="0"/>
              <w:jc w:val="center"/>
              <w:rPr>
                <w:rFonts w:ascii="宋体"/>
                <w:szCs w:val="21"/>
              </w:rPr>
            </w:pPr>
            <w:r>
              <w:rPr>
                <w:rFonts w:hint="eastAsia" w:ascii="宋体" w:hAnsi="宋体"/>
                <w:szCs w:val="21"/>
              </w:rPr>
              <w:t>内容</w:t>
            </w:r>
          </w:p>
        </w:tc>
        <w:tc>
          <w:tcPr>
            <w:tcW w:w="1552" w:type="dxa"/>
            <w:tcBorders>
              <w:top w:val="double" w:color="auto" w:sz="4" w:space="0"/>
            </w:tcBorders>
            <w:vAlign w:val="center"/>
          </w:tcPr>
          <w:p>
            <w:pPr>
              <w:snapToGrid w:val="0"/>
              <w:jc w:val="center"/>
              <w:rPr>
                <w:rFonts w:ascii="宋体"/>
                <w:szCs w:val="21"/>
              </w:rPr>
            </w:pPr>
            <w:r>
              <w:rPr>
                <w:rFonts w:hint="eastAsia" w:ascii="宋体" w:hAnsi="宋体"/>
                <w:szCs w:val="21"/>
              </w:rPr>
              <w:t>采购要求</w:t>
            </w:r>
          </w:p>
        </w:tc>
        <w:tc>
          <w:tcPr>
            <w:tcW w:w="3235" w:type="dxa"/>
            <w:tcBorders>
              <w:top w:val="double" w:color="auto" w:sz="4" w:space="0"/>
            </w:tcBorders>
            <w:vAlign w:val="center"/>
          </w:tcPr>
          <w:p>
            <w:pPr>
              <w:snapToGrid w:val="0"/>
              <w:jc w:val="center"/>
              <w:rPr>
                <w:rFonts w:ascii="宋体"/>
                <w:szCs w:val="21"/>
              </w:rPr>
            </w:pPr>
            <w:r>
              <w:rPr>
                <w:rFonts w:hint="eastAsia" w:ascii="宋体" w:hAnsi="宋体"/>
                <w:szCs w:val="21"/>
              </w:rPr>
              <w:t>投标响应</w:t>
            </w:r>
          </w:p>
        </w:tc>
        <w:tc>
          <w:tcPr>
            <w:tcW w:w="1423" w:type="dxa"/>
            <w:tcBorders>
              <w:top w:val="double" w:color="auto" w:sz="4" w:space="0"/>
            </w:tcBorders>
            <w:vAlign w:val="center"/>
          </w:tcPr>
          <w:p>
            <w:pPr>
              <w:snapToGrid w:val="0"/>
              <w:jc w:val="center"/>
              <w:rPr>
                <w:rFonts w:ascii="宋体"/>
                <w:szCs w:val="21"/>
              </w:rPr>
            </w:pPr>
            <w:r>
              <w:rPr>
                <w:rFonts w:hint="eastAsia" w:ascii="宋体" w:hAnsi="宋体"/>
                <w:szCs w:val="21"/>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778"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3235" w:type="dxa"/>
            <w:vAlign w:val="center"/>
          </w:tcPr>
          <w:p>
            <w:pPr>
              <w:snapToGrid w:val="0"/>
              <w:jc w:val="center"/>
              <w:rPr>
                <w:rFonts w:ascii="宋体"/>
                <w:szCs w:val="21"/>
              </w:rPr>
            </w:pPr>
          </w:p>
        </w:tc>
        <w:tc>
          <w:tcPr>
            <w:tcW w:w="1423" w:type="dxa"/>
            <w:vAlign w:val="center"/>
          </w:tcPr>
          <w:p>
            <w:pPr>
              <w:snapToGrid w:val="0"/>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778"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3235" w:type="dxa"/>
            <w:vAlign w:val="center"/>
          </w:tcPr>
          <w:p>
            <w:pPr>
              <w:snapToGrid w:val="0"/>
              <w:jc w:val="center"/>
              <w:rPr>
                <w:rFonts w:ascii="宋体"/>
                <w:szCs w:val="21"/>
              </w:rPr>
            </w:pPr>
          </w:p>
        </w:tc>
        <w:tc>
          <w:tcPr>
            <w:tcW w:w="1423" w:type="dxa"/>
            <w:vAlign w:val="center"/>
          </w:tcPr>
          <w:p>
            <w:pPr>
              <w:snapToGrid w:val="0"/>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778"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3235" w:type="dxa"/>
            <w:vAlign w:val="center"/>
          </w:tcPr>
          <w:p>
            <w:pPr>
              <w:snapToGrid w:val="0"/>
              <w:jc w:val="center"/>
              <w:rPr>
                <w:rFonts w:ascii="宋体"/>
                <w:szCs w:val="21"/>
              </w:rPr>
            </w:pPr>
          </w:p>
        </w:tc>
        <w:tc>
          <w:tcPr>
            <w:tcW w:w="1423" w:type="dxa"/>
            <w:vAlign w:val="center"/>
          </w:tcPr>
          <w:p>
            <w:pPr>
              <w:snapToGrid w:val="0"/>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778"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3235" w:type="dxa"/>
            <w:vAlign w:val="center"/>
          </w:tcPr>
          <w:p>
            <w:pPr>
              <w:snapToGrid w:val="0"/>
              <w:jc w:val="center"/>
              <w:rPr>
                <w:rFonts w:ascii="宋体"/>
                <w:szCs w:val="21"/>
              </w:rPr>
            </w:pPr>
          </w:p>
        </w:tc>
        <w:tc>
          <w:tcPr>
            <w:tcW w:w="1423" w:type="dxa"/>
            <w:vAlign w:val="center"/>
          </w:tcPr>
          <w:p>
            <w:pPr>
              <w:snapToGrid w:val="0"/>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778"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3235" w:type="dxa"/>
            <w:vAlign w:val="center"/>
          </w:tcPr>
          <w:p>
            <w:pPr>
              <w:snapToGrid w:val="0"/>
              <w:jc w:val="center"/>
              <w:rPr>
                <w:rFonts w:ascii="宋体"/>
                <w:szCs w:val="21"/>
              </w:rPr>
            </w:pPr>
          </w:p>
        </w:tc>
        <w:tc>
          <w:tcPr>
            <w:tcW w:w="1423" w:type="dxa"/>
            <w:vAlign w:val="center"/>
          </w:tcPr>
          <w:p>
            <w:pPr>
              <w:snapToGrid w:val="0"/>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778"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3235" w:type="dxa"/>
            <w:vAlign w:val="center"/>
          </w:tcPr>
          <w:p>
            <w:pPr>
              <w:snapToGrid w:val="0"/>
              <w:jc w:val="center"/>
              <w:rPr>
                <w:rFonts w:ascii="宋体"/>
                <w:szCs w:val="21"/>
              </w:rPr>
            </w:pPr>
          </w:p>
        </w:tc>
        <w:tc>
          <w:tcPr>
            <w:tcW w:w="1423" w:type="dxa"/>
            <w:vAlign w:val="center"/>
          </w:tcPr>
          <w:p>
            <w:pPr>
              <w:snapToGrid w:val="0"/>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778"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3235" w:type="dxa"/>
            <w:vAlign w:val="center"/>
          </w:tcPr>
          <w:p>
            <w:pPr>
              <w:snapToGrid w:val="0"/>
              <w:jc w:val="center"/>
              <w:rPr>
                <w:rFonts w:ascii="宋体"/>
                <w:szCs w:val="21"/>
              </w:rPr>
            </w:pPr>
          </w:p>
        </w:tc>
        <w:tc>
          <w:tcPr>
            <w:tcW w:w="1423" w:type="dxa"/>
            <w:vAlign w:val="center"/>
          </w:tcPr>
          <w:p>
            <w:pPr>
              <w:snapToGrid w:val="0"/>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778"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3235" w:type="dxa"/>
            <w:vAlign w:val="center"/>
          </w:tcPr>
          <w:p>
            <w:pPr>
              <w:snapToGrid w:val="0"/>
              <w:jc w:val="center"/>
              <w:rPr>
                <w:rFonts w:ascii="宋体"/>
                <w:szCs w:val="21"/>
              </w:rPr>
            </w:pPr>
          </w:p>
        </w:tc>
        <w:tc>
          <w:tcPr>
            <w:tcW w:w="1423" w:type="dxa"/>
            <w:vAlign w:val="center"/>
          </w:tcPr>
          <w:p>
            <w:pPr>
              <w:snapToGrid w:val="0"/>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3" w:hRule="atLeast"/>
          <w:jc w:val="center"/>
        </w:trPr>
        <w:tc>
          <w:tcPr>
            <w:tcW w:w="778"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3235" w:type="dxa"/>
            <w:vAlign w:val="center"/>
          </w:tcPr>
          <w:p>
            <w:pPr>
              <w:snapToGrid w:val="0"/>
              <w:jc w:val="center"/>
              <w:rPr>
                <w:rFonts w:ascii="宋体"/>
                <w:szCs w:val="21"/>
              </w:rPr>
            </w:pPr>
          </w:p>
        </w:tc>
        <w:tc>
          <w:tcPr>
            <w:tcW w:w="1423" w:type="dxa"/>
            <w:vAlign w:val="center"/>
          </w:tcPr>
          <w:p>
            <w:pPr>
              <w:snapToGrid w:val="0"/>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3" w:hRule="atLeast"/>
          <w:jc w:val="center"/>
        </w:trPr>
        <w:tc>
          <w:tcPr>
            <w:tcW w:w="778"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3235" w:type="dxa"/>
            <w:vAlign w:val="center"/>
          </w:tcPr>
          <w:p>
            <w:pPr>
              <w:snapToGrid w:val="0"/>
              <w:jc w:val="center"/>
              <w:rPr>
                <w:rFonts w:ascii="宋体"/>
                <w:szCs w:val="21"/>
              </w:rPr>
            </w:pPr>
          </w:p>
        </w:tc>
        <w:tc>
          <w:tcPr>
            <w:tcW w:w="1423" w:type="dxa"/>
            <w:vAlign w:val="center"/>
          </w:tcPr>
          <w:p>
            <w:pPr>
              <w:snapToGrid w:val="0"/>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3" w:hRule="atLeast"/>
          <w:jc w:val="center"/>
        </w:trPr>
        <w:tc>
          <w:tcPr>
            <w:tcW w:w="778"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1552" w:type="dxa"/>
            <w:vAlign w:val="center"/>
          </w:tcPr>
          <w:p>
            <w:pPr>
              <w:snapToGrid w:val="0"/>
              <w:jc w:val="center"/>
              <w:rPr>
                <w:rFonts w:ascii="宋体"/>
                <w:szCs w:val="21"/>
              </w:rPr>
            </w:pPr>
          </w:p>
        </w:tc>
        <w:tc>
          <w:tcPr>
            <w:tcW w:w="3235" w:type="dxa"/>
            <w:vAlign w:val="center"/>
          </w:tcPr>
          <w:p>
            <w:pPr>
              <w:snapToGrid w:val="0"/>
              <w:jc w:val="center"/>
              <w:rPr>
                <w:rFonts w:ascii="宋体"/>
                <w:szCs w:val="21"/>
              </w:rPr>
            </w:pPr>
          </w:p>
        </w:tc>
        <w:tc>
          <w:tcPr>
            <w:tcW w:w="1423" w:type="dxa"/>
            <w:vAlign w:val="center"/>
          </w:tcPr>
          <w:p>
            <w:pPr>
              <w:snapToGrid w:val="0"/>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3" w:hRule="atLeast"/>
          <w:jc w:val="center"/>
        </w:trPr>
        <w:tc>
          <w:tcPr>
            <w:tcW w:w="778" w:type="dxa"/>
            <w:tcBorders>
              <w:bottom w:val="double" w:color="auto" w:sz="4" w:space="0"/>
            </w:tcBorders>
            <w:vAlign w:val="center"/>
          </w:tcPr>
          <w:p>
            <w:pPr>
              <w:snapToGrid w:val="0"/>
              <w:jc w:val="center"/>
              <w:rPr>
                <w:rFonts w:ascii="宋体"/>
                <w:szCs w:val="21"/>
              </w:rPr>
            </w:pPr>
          </w:p>
        </w:tc>
        <w:tc>
          <w:tcPr>
            <w:tcW w:w="1552" w:type="dxa"/>
            <w:tcBorders>
              <w:bottom w:val="double" w:color="auto" w:sz="4" w:space="0"/>
            </w:tcBorders>
            <w:vAlign w:val="center"/>
          </w:tcPr>
          <w:p>
            <w:pPr>
              <w:snapToGrid w:val="0"/>
              <w:jc w:val="center"/>
              <w:rPr>
                <w:rFonts w:ascii="宋体"/>
                <w:szCs w:val="21"/>
              </w:rPr>
            </w:pPr>
          </w:p>
        </w:tc>
        <w:tc>
          <w:tcPr>
            <w:tcW w:w="1552" w:type="dxa"/>
            <w:tcBorders>
              <w:bottom w:val="double" w:color="auto" w:sz="4" w:space="0"/>
            </w:tcBorders>
            <w:vAlign w:val="center"/>
          </w:tcPr>
          <w:p>
            <w:pPr>
              <w:snapToGrid w:val="0"/>
              <w:jc w:val="center"/>
              <w:rPr>
                <w:rFonts w:ascii="宋体"/>
                <w:szCs w:val="21"/>
              </w:rPr>
            </w:pPr>
          </w:p>
        </w:tc>
        <w:tc>
          <w:tcPr>
            <w:tcW w:w="3235" w:type="dxa"/>
            <w:tcBorders>
              <w:bottom w:val="double" w:color="auto" w:sz="4" w:space="0"/>
            </w:tcBorders>
            <w:vAlign w:val="center"/>
          </w:tcPr>
          <w:p>
            <w:pPr>
              <w:snapToGrid w:val="0"/>
              <w:jc w:val="center"/>
              <w:rPr>
                <w:rFonts w:ascii="宋体"/>
                <w:szCs w:val="21"/>
              </w:rPr>
            </w:pPr>
          </w:p>
        </w:tc>
        <w:tc>
          <w:tcPr>
            <w:tcW w:w="1423" w:type="dxa"/>
            <w:tcBorders>
              <w:bottom w:val="double" w:color="auto" w:sz="4" w:space="0"/>
            </w:tcBorders>
            <w:vAlign w:val="center"/>
          </w:tcPr>
          <w:p>
            <w:pPr>
              <w:snapToGrid w:val="0"/>
              <w:jc w:val="center"/>
              <w:rPr>
                <w:rFonts w:ascii="宋体"/>
                <w:szCs w:val="21"/>
              </w:rPr>
            </w:pPr>
          </w:p>
        </w:tc>
      </w:tr>
    </w:tbl>
    <w:p>
      <w:pPr>
        <w:snapToGrid w:val="0"/>
        <w:spacing w:line="360" w:lineRule="auto"/>
        <w:rPr>
          <w:rFonts w:ascii="宋体"/>
          <w:b/>
          <w:szCs w:val="21"/>
        </w:rPr>
      </w:pPr>
    </w:p>
    <w:p>
      <w:pPr>
        <w:snapToGrid w:val="0"/>
        <w:spacing w:line="360" w:lineRule="auto"/>
        <w:rPr>
          <w:rFonts w:ascii="Times New Roman" w:hAnsi="Times New Roman"/>
          <w:szCs w:val="21"/>
        </w:rPr>
      </w:pPr>
      <w:r>
        <w:rPr>
          <w:rFonts w:hint="eastAsia" w:ascii="Times New Roman" w:hAnsi="Times New Roman"/>
          <w:szCs w:val="21"/>
        </w:rPr>
        <w:t>注：</w:t>
      </w:r>
      <w:r>
        <w:rPr>
          <w:rFonts w:ascii="Times New Roman" w:hAnsi="Times New Roman"/>
          <w:szCs w:val="21"/>
        </w:rPr>
        <w:t>1</w:t>
      </w:r>
      <w:r>
        <w:rPr>
          <w:rFonts w:hint="eastAsia" w:ascii="Times New Roman" w:hAnsi="Times New Roman"/>
          <w:szCs w:val="21"/>
        </w:rPr>
        <w:t>、此表不填，采购人有权视为完全响应招标文件的商务要求。</w:t>
      </w:r>
    </w:p>
    <w:p>
      <w:pPr>
        <w:snapToGrid w:val="0"/>
        <w:spacing w:line="360" w:lineRule="auto"/>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、此表仅提供了格式，表格不够可自行增加。</w:t>
      </w:r>
    </w:p>
    <w:p>
      <w:pPr>
        <w:snapToGrid w:val="0"/>
        <w:spacing w:line="360" w:lineRule="auto"/>
        <w:ind w:firstLine="420" w:firstLineChars="200"/>
        <w:rPr>
          <w:rFonts w:ascii="Times New Roman" w:hAnsi="Times New Roman"/>
          <w:szCs w:val="21"/>
        </w:rPr>
      </w:pPr>
    </w:p>
    <w:p>
      <w:pPr>
        <w:snapToGrid w:val="0"/>
        <w:spacing w:line="360" w:lineRule="auto"/>
        <w:rPr>
          <w:rFonts w:ascii="Times New Roman" w:hAnsi="Times New Roman"/>
          <w:szCs w:val="21"/>
        </w:rPr>
      </w:pPr>
    </w:p>
    <w:p>
      <w:pPr>
        <w:snapToGrid w:val="0"/>
        <w:spacing w:line="360" w:lineRule="auto"/>
        <w:rPr>
          <w:rFonts w:ascii="Times New Roman" w:hAnsi="Times New Roman"/>
          <w:szCs w:val="21"/>
        </w:rPr>
      </w:pPr>
    </w:p>
    <w:p>
      <w:pPr>
        <w:snapToGrid w:val="0"/>
        <w:spacing w:line="360" w:lineRule="auto"/>
        <w:rPr>
          <w:rFonts w:ascii="Times New Roman" w:hAnsi="Times New Roman"/>
          <w:szCs w:val="21"/>
        </w:rPr>
      </w:pPr>
    </w:p>
    <w:p>
      <w:pPr>
        <w:snapToGrid w:val="0"/>
        <w:spacing w:line="360" w:lineRule="auto"/>
        <w:rPr>
          <w:rFonts w:ascii="Times New Roman" w:hAnsi="Times New Roman"/>
          <w:szCs w:val="21"/>
        </w:rPr>
      </w:pPr>
      <w:r>
        <w:rPr>
          <w:rFonts w:hint="eastAsia" w:ascii="Times New Roman" w:hAnsi="Times New Roman"/>
          <w:szCs w:val="21"/>
        </w:rPr>
        <w:t>供应商名称（公章）：</w:t>
      </w:r>
    </w:p>
    <w:p>
      <w:pPr>
        <w:snapToGrid w:val="0"/>
        <w:spacing w:line="360" w:lineRule="auto"/>
        <w:rPr>
          <w:rFonts w:ascii="Times New Roman" w:hAnsi="Times New Roman"/>
          <w:szCs w:val="21"/>
        </w:rPr>
      </w:pPr>
    </w:p>
    <w:p>
      <w:pPr>
        <w:snapToGrid w:val="0"/>
        <w:spacing w:line="360" w:lineRule="auto"/>
        <w:rPr>
          <w:rFonts w:ascii="Times New Roman" w:hAnsi="Times New Roman"/>
          <w:szCs w:val="21"/>
        </w:rPr>
      </w:pPr>
      <w:r>
        <w:rPr>
          <w:rFonts w:hint="eastAsia" w:ascii="Times New Roman" w:hAnsi="Times New Roman"/>
          <w:szCs w:val="21"/>
        </w:rPr>
        <w:t>授权代表人（签字）：</w:t>
      </w:r>
    </w:p>
    <w:p>
      <w:pPr>
        <w:snapToGrid w:val="0"/>
        <w:spacing w:line="360" w:lineRule="auto"/>
        <w:rPr>
          <w:rFonts w:ascii="Times New Roman" w:hAnsi="Times New Roman"/>
          <w:szCs w:val="21"/>
        </w:rPr>
      </w:pPr>
    </w:p>
    <w:bookmarkEnd w:id="37"/>
    <w:bookmarkEnd w:id="38"/>
    <w:p>
      <w:pPr>
        <w:snapToGrid w:val="0"/>
        <w:ind w:right="-21" w:rightChars="-10"/>
        <w:rPr>
          <w:rFonts w:ascii="Times New Roman" w:hAnsi="Times New Roman"/>
          <w:szCs w:val="21"/>
        </w:rPr>
      </w:pPr>
      <w:bookmarkStart w:id="39" w:name="_Toc358377764"/>
      <w:bookmarkStart w:id="40" w:name="_Toc361750533"/>
      <w:r>
        <w:rPr>
          <w:rFonts w:hint="eastAsia" w:ascii="Times New Roman" w:hAnsi="Times New Roman"/>
          <w:szCs w:val="21"/>
        </w:rPr>
        <w:t>日期：</w:t>
      </w:r>
      <w:r>
        <w:rPr>
          <w:rFonts w:ascii="Times New Roman" w:hAnsi="Times New Roman"/>
          <w:szCs w:val="21"/>
        </w:rPr>
        <w:t xml:space="preserve"> 2020</w:t>
      </w:r>
      <w:r>
        <w:rPr>
          <w:rFonts w:hint="eastAsia" w:ascii="Times New Roman" w:hAnsi="Times New Roman"/>
          <w:szCs w:val="21"/>
        </w:rPr>
        <w:t xml:space="preserve">年  月 </w:t>
      </w:r>
      <w:r>
        <w:rPr>
          <w:rFonts w:ascii="Times New Roman" w:hAnsi="Times New Roman"/>
          <w:szCs w:val="21"/>
        </w:rPr>
        <w:t xml:space="preserve">  </w:t>
      </w:r>
      <w:r>
        <w:rPr>
          <w:rFonts w:hint="eastAsia" w:ascii="Times New Roman" w:hAnsi="Times New Roman"/>
          <w:szCs w:val="21"/>
        </w:rPr>
        <w:t>日</w:t>
      </w:r>
    </w:p>
    <w:p>
      <w:pPr>
        <w:pStyle w:val="4"/>
        <w:ind w:firstLine="482"/>
      </w:pPr>
      <w:r>
        <w:br w:type="page"/>
      </w:r>
      <w:r>
        <w:rPr>
          <w:rFonts w:hint="eastAsia"/>
        </w:rPr>
        <w:t>附件六：</w:t>
      </w:r>
    </w:p>
    <w:p>
      <w:pPr>
        <w:pStyle w:val="39"/>
        <w:snapToGrid w:val="0"/>
        <w:spacing w:line="360" w:lineRule="auto"/>
        <w:ind w:left="0" w:firstLine="0"/>
        <w:jc w:val="center"/>
        <w:rPr>
          <w:b/>
          <w:kern w:val="2"/>
          <w:sz w:val="32"/>
          <w:szCs w:val="32"/>
        </w:rPr>
      </w:pPr>
      <w:r>
        <w:rPr>
          <w:rFonts w:hint="eastAsia"/>
          <w:b/>
          <w:kern w:val="2"/>
          <w:sz w:val="32"/>
          <w:szCs w:val="32"/>
        </w:rPr>
        <w:t>供应商基本情况表</w:t>
      </w:r>
    </w:p>
    <w:p>
      <w:pPr>
        <w:jc w:val="center"/>
        <w:rPr>
          <w:b/>
          <w:bCs/>
          <w:sz w:val="32"/>
        </w:rPr>
      </w:pPr>
    </w:p>
    <w:tbl>
      <w:tblPr>
        <w:tblStyle w:val="19"/>
        <w:tblW w:w="9194"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746"/>
        <w:gridCol w:w="2111"/>
        <w:gridCol w:w="1707"/>
        <w:gridCol w:w="1467"/>
        <w:gridCol w:w="1163"/>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2746" w:type="dxa"/>
            <w:tcBorders>
              <w:top w:val="single" w:color="auto" w:sz="4" w:space="0"/>
              <w:left w:val="single" w:color="auto" w:sz="4" w:space="0"/>
              <w:bottom w:val="single" w:color="auto" w:sz="6" w:space="0"/>
              <w:right w:val="single" w:color="auto" w:sz="6" w:space="0"/>
            </w:tcBorders>
            <w:vAlign w:val="center"/>
          </w:tcPr>
          <w:p>
            <w:pPr>
              <w:pStyle w:val="5"/>
              <w:overflowPunct w:val="0"/>
              <w:spacing w:line="240" w:lineRule="auto"/>
              <w:ind w:right="-21" w:rightChars="-10" w:firstLine="0"/>
              <w:jc w:val="center"/>
              <w:rPr>
                <w:rFonts w:ascii="Times New Roman" w:hAnsi="Times New Roman"/>
                <w:color w:val="auto"/>
                <w:sz w:val="21"/>
                <w:szCs w:val="21"/>
              </w:rPr>
            </w:pPr>
            <w:r>
              <w:rPr>
                <w:rFonts w:hint="eastAsia" w:ascii="Times New Roman" w:hAnsi="Times New Roman"/>
                <w:color w:val="auto"/>
                <w:sz w:val="21"/>
                <w:szCs w:val="21"/>
              </w:rPr>
              <w:t>法定代表人</w:t>
            </w:r>
          </w:p>
        </w:tc>
        <w:tc>
          <w:tcPr>
            <w:tcW w:w="2111" w:type="dxa"/>
            <w:tcBorders>
              <w:top w:val="single" w:color="auto" w:sz="4" w:space="0"/>
              <w:left w:val="single" w:color="auto" w:sz="6" w:space="0"/>
              <w:bottom w:val="single" w:color="auto" w:sz="6" w:space="0"/>
              <w:right w:val="single" w:color="auto" w:sz="6" w:space="0"/>
            </w:tcBorders>
            <w:vAlign w:val="center"/>
          </w:tcPr>
          <w:p>
            <w:pPr>
              <w:pStyle w:val="5"/>
              <w:overflowPunct w:val="0"/>
              <w:spacing w:line="240" w:lineRule="auto"/>
              <w:ind w:right="-21" w:rightChars="-10" w:firstLine="0"/>
              <w:rPr>
                <w:rFonts w:ascii="Times New Roman" w:hAnsi="Times New Roman"/>
                <w:color w:val="auto"/>
                <w:sz w:val="21"/>
                <w:szCs w:val="21"/>
              </w:rPr>
            </w:pPr>
          </w:p>
        </w:tc>
        <w:tc>
          <w:tcPr>
            <w:tcW w:w="1707" w:type="dxa"/>
            <w:tcBorders>
              <w:top w:val="single" w:color="auto" w:sz="4" w:space="0"/>
              <w:left w:val="single" w:color="auto" w:sz="6" w:space="0"/>
              <w:bottom w:val="single" w:color="auto" w:sz="6" w:space="0"/>
              <w:right w:val="single" w:color="auto" w:sz="6" w:space="0"/>
            </w:tcBorders>
            <w:vAlign w:val="center"/>
          </w:tcPr>
          <w:p>
            <w:pPr>
              <w:pStyle w:val="5"/>
              <w:overflowPunct w:val="0"/>
              <w:spacing w:line="240" w:lineRule="auto"/>
              <w:ind w:right="-21" w:rightChars="-10" w:firstLine="0"/>
              <w:jc w:val="center"/>
              <w:rPr>
                <w:rFonts w:ascii="Times New Roman" w:hAnsi="Times New Roman"/>
                <w:color w:val="auto"/>
                <w:sz w:val="21"/>
                <w:szCs w:val="21"/>
              </w:rPr>
            </w:pPr>
            <w:r>
              <w:rPr>
                <w:rFonts w:hint="eastAsia" w:ascii="Times New Roman" w:hAnsi="Times New Roman"/>
                <w:color w:val="auto"/>
                <w:sz w:val="21"/>
                <w:szCs w:val="21"/>
              </w:rPr>
              <w:t>成立日期</w:t>
            </w:r>
          </w:p>
        </w:tc>
        <w:tc>
          <w:tcPr>
            <w:tcW w:w="2630" w:type="dxa"/>
            <w:gridSpan w:val="2"/>
            <w:tcBorders>
              <w:top w:val="single" w:color="auto" w:sz="4" w:space="0"/>
              <w:left w:val="single" w:color="auto" w:sz="6" w:space="0"/>
              <w:bottom w:val="single" w:color="auto" w:sz="6" w:space="0"/>
              <w:right w:val="single" w:color="auto" w:sz="4" w:space="0"/>
            </w:tcBorders>
            <w:vAlign w:val="center"/>
          </w:tcPr>
          <w:p>
            <w:pPr>
              <w:pStyle w:val="5"/>
              <w:overflowPunct w:val="0"/>
              <w:spacing w:line="240" w:lineRule="auto"/>
              <w:ind w:right="-21" w:rightChars="-10" w:firstLine="0"/>
              <w:rPr>
                <w:rFonts w:ascii="Times New Roman" w:hAnsi="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2746" w:type="dxa"/>
            <w:tcBorders>
              <w:top w:val="single" w:color="auto" w:sz="6" w:space="0"/>
              <w:left w:val="single" w:color="auto" w:sz="4" w:space="0"/>
              <w:bottom w:val="single" w:color="auto" w:sz="6" w:space="0"/>
              <w:right w:val="single" w:color="auto" w:sz="6" w:space="0"/>
            </w:tcBorders>
            <w:vAlign w:val="center"/>
          </w:tcPr>
          <w:p>
            <w:pPr>
              <w:pStyle w:val="5"/>
              <w:overflowPunct w:val="0"/>
              <w:spacing w:line="240" w:lineRule="auto"/>
              <w:ind w:right="-21" w:rightChars="-10" w:firstLine="0"/>
              <w:jc w:val="center"/>
              <w:rPr>
                <w:rFonts w:ascii="Times New Roman" w:hAnsi="Times New Roman"/>
                <w:color w:val="auto"/>
                <w:sz w:val="21"/>
                <w:szCs w:val="21"/>
              </w:rPr>
            </w:pPr>
            <w:r>
              <w:rPr>
                <w:rFonts w:hint="eastAsia" w:ascii="Times New Roman" w:hAnsi="Times New Roman"/>
                <w:color w:val="auto"/>
                <w:sz w:val="21"/>
                <w:szCs w:val="21"/>
              </w:rPr>
              <w:t>企业地址</w:t>
            </w:r>
          </w:p>
        </w:tc>
        <w:tc>
          <w:tcPr>
            <w:tcW w:w="2111" w:type="dxa"/>
            <w:tcBorders>
              <w:top w:val="single" w:color="auto" w:sz="6" w:space="0"/>
              <w:left w:val="single" w:color="auto" w:sz="6" w:space="0"/>
              <w:bottom w:val="single" w:color="auto" w:sz="6" w:space="0"/>
              <w:right w:val="single" w:color="auto" w:sz="6" w:space="0"/>
            </w:tcBorders>
            <w:vAlign w:val="center"/>
          </w:tcPr>
          <w:p>
            <w:pPr>
              <w:pStyle w:val="5"/>
              <w:overflowPunct w:val="0"/>
              <w:spacing w:line="240" w:lineRule="auto"/>
              <w:ind w:right="-21" w:rightChars="-10" w:firstLine="0"/>
              <w:rPr>
                <w:rFonts w:ascii="Times New Roman" w:hAnsi="Times New Roman"/>
                <w:color w:val="auto"/>
                <w:sz w:val="21"/>
                <w:szCs w:val="21"/>
              </w:rPr>
            </w:pPr>
          </w:p>
        </w:tc>
        <w:tc>
          <w:tcPr>
            <w:tcW w:w="1707" w:type="dxa"/>
            <w:tcBorders>
              <w:top w:val="single" w:color="auto" w:sz="6" w:space="0"/>
              <w:left w:val="single" w:color="auto" w:sz="6" w:space="0"/>
              <w:bottom w:val="single" w:color="auto" w:sz="6" w:space="0"/>
              <w:right w:val="single" w:color="auto" w:sz="6" w:space="0"/>
            </w:tcBorders>
            <w:vAlign w:val="center"/>
          </w:tcPr>
          <w:p>
            <w:pPr>
              <w:pStyle w:val="5"/>
              <w:overflowPunct w:val="0"/>
              <w:spacing w:line="240" w:lineRule="auto"/>
              <w:ind w:right="-21" w:rightChars="-10" w:firstLine="0"/>
              <w:jc w:val="center"/>
              <w:rPr>
                <w:rFonts w:ascii="Times New Roman" w:hAnsi="Times New Roman"/>
                <w:color w:val="auto"/>
                <w:sz w:val="21"/>
                <w:szCs w:val="21"/>
              </w:rPr>
            </w:pPr>
            <w:r>
              <w:rPr>
                <w:rFonts w:hint="eastAsia" w:ascii="Times New Roman" w:hAnsi="Times New Roman"/>
                <w:color w:val="auto"/>
                <w:sz w:val="21"/>
                <w:szCs w:val="21"/>
              </w:rPr>
              <w:t>注册资本</w:t>
            </w:r>
          </w:p>
        </w:tc>
        <w:tc>
          <w:tcPr>
            <w:tcW w:w="2630" w:type="dxa"/>
            <w:gridSpan w:val="2"/>
            <w:tcBorders>
              <w:top w:val="single" w:color="auto" w:sz="6" w:space="0"/>
              <w:left w:val="single" w:color="auto" w:sz="6" w:space="0"/>
              <w:bottom w:val="single" w:color="auto" w:sz="6" w:space="0"/>
              <w:right w:val="single" w:color="auto" w:sz="4" w:space="0"/>
            </w:tcBorders>
            <w:vAlign w:val="center"/>
          </w:tcPr>
          <w:p>
            <w:pPr>
              <w:pStyle w:val="5"/>
              <w:overflowPunct w:val="0"/>
              <w:spacing w:line="240" w:lineRule="auto"/>
              <w:ind w:right="-21" w:rightChars="-10" w:firstLine="1575" w:firstLineChars="750"/>
              <w:rPr>
                <w:rFonts w:ascii="Times New Roman" w:hAnsi="Times New Roman"/>
                <w:color w:val="auto"/>
                <w:sz w:val="21"/>
                <w:szCs w:val="21"/>
              </w:rPr>
            </w:pPr>
            <w:r>
              <w:rPr>
                <w:rFonts w:hint="eastAsia" w:ascii="Times New Roman" w:hAnsi="Times New Roman"/>
                <w:color w:val="auto"/>
                <w:sz w:val="21"/>
                <w:szCs w:val="21"/>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2746" w:type="dxa"/>
            <w:tcBorders>
              <w:top w:val="single" w:color="auto" w:sz="6" w:space="0"/>
              <w:left w:val="single" w:color="auto" w:sz="4" w:space="0"/>
              <w:bottom w:val="single" w:color="auto" w:sz="6" w:space="0"/>
              <w:right w:val="single" w:color="auto" w:sz="6" w:space="0"/>
            </w:tcBorders>
            <w:vAlign w:val="center"/>
          </w:tcPr>
          <w:p>
            <w:pPr>
              <w:pStyle w:val="5"/>
              <w:overflowPunct w:val="0"/>
              <w:spacing w:line="240" w:lineRule="auto"/>
              <w:ind w:right="-21" w:rightChars="-10" w:firstLine="0"/>
              <w:jc w:val="center"/>
              <w:rPr>
                <w:rFonts w:ascii="Times New Roman" w:hAnsi="Times New Roman"/>
                <w:color w:val="auto"/>
                <w:sz w:val="21"/>
                <w:szCs w:val="21"/>
              </w:rPr>
            </w:pPr>
            <w:r>
              <w:rPr>
                <w:rFonts w:hint="eastAsia" w:ascii="Times New Roman" w:hAnsi="Times New Roman"/>
                <w:color w:val="auto"/>
                <w:sz w:val="21"/>
                <w:szCs w:val="21"/>
              </w:rPr>
              <w:t>职工人数</w:t>
            </w:r>
          </w:p>
        </w:tc>
        <w:tc>
          <w:tcPr>
            <w:tcW w:w="2111" w:type="dxa"/>
            <w:tcBorders>
              <w:top w:val="single" w:color="auto" w:sz="6" w:space="0"/>
              <w:left w:val="single" w:color="auto" w:sz="6" w:space="0"/>
              <w:bottom w:val="single" w:color="auto" w:sz="6" w:space="0"/>
              <w:right w:val="single" w:color="auto" w:sz="6" w:space="0"/>
            </w:tcBorders>
            <w:vAlign w:val="center"/>
          </w:tcPr>
          <w:p>
            <w:pPr>
              <w:pStyle w:val="5"/>
              <w:overflowPunct w:val="0"/>
              <w:spacing w:line="240" w:lineRule="auto"/>
              <w:ind w:right="-21" w:rightChars="-10" w:firstLine="0"/>
              <w:rPr>
                <w:rFonts w:ascii="Times New Roman" w:hAnsi="Times New Roman"/>
                <w:color w:val="auto"/>
                <w:sz w:val="21"/>
                <w:szCs w:val="21"/>
              </w:rPr>
            </w:pPr>
          </w:p>
        </w:tc>
        <w:tc>
          <w:tcPr>
            <w:tcW w:w="3174" w:type="dxa"/>
            <w:gridSpan w:val="2"/>
            <w:tcBorders>
              <w:top w:val="single" w:color="auto" w:sz="6" w:space="0"/>
              <w:left w:val="single" w:color="auto" w:sz="6" w:space="0"/>
              <w:bottom w:val="single" w:color="auto" w:sz="6" w:space="0"/>
              <w:right w:val="single" w:color="auto" w:sz="6" w:space="0"/>
            </w:tcBorders>
            <w:vAlign w:val="center"/>
          </w:tcPr>
          <w:p>
            <w:pPr>
              <w:pStyle w:val="5"/>
              <w:overflowPunct w:val="0"/>
              <w:spacing w:line="240" w:lineRule="auto"/>
              <w:ind w:right="-21" w:rightChars="-10" w:firstLine="0"/>
              <w:jc w:val="center"/>
              <w:rPr>
                <w:rFonts w:ascii="Times New Roman" w:hAnsi="Times New Roman"/>
                <w:color w:val="auto"/>
                <w:sz w:val="21"/>
                <w:szCs w:val="21"/>
              </w:rPr>
            </w:pPr>
            <w:r>
              <w:rPr>
                <w:rFonts w:hint="eastAsia" w:ascii="Times New Roman" w:hAnsi="Times New Roman"/>
                <w:color w:val="auto"/>
                <w:sz w:val="21"/>
                <w:szCs w:val="21"/>
              </w:rPr>
              <w:t>拥有中高级以上职称的人数</w:t>
            </w:r>
          </w:p>
        </w:tc>
        <w:tc>
          <w:tcPr>
            <w:tcW w:w="1163" w:type="dxa"/>
            <w:tcBorders>
              <w:top w:val="single" w:color="auto" w:sz="6" w:space="0"/>
              <w:left w:val="single" w:color="auto" w:sz="6" w:space="0"/>
              <w:bottom w:val="single" w:color="auto" w:sz="6" w:space="0"/>
              <w:right w:val="single" w:color="auto" w:sz="4" w:space="0"/>
            </w:tcBorders>
            <w:vAlign w:val="center"/>
          </w:tcPr>
          <w:p>
            <w:pPr>
              <w:pStyle w:val="5"/>
              <w:overflowPunct w:val="0"/>
              <w:spacing w:line="240" w:lineRule="auto"/>
              <w:ind w:right="-21" w:rightChars="-10" w:firstLine="0"/>
              <w:rPr>
                <w:rFonts w:ascii="Times New Roman" w:hAnsi="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867" w:hRule="atLeast"/>
          <w:jc w:val="center"/>
        </w:trPr>
        <w:tc>
          <w:tcPr>
            <w:tcW w:w="2746" w:type="dxa"/>
            <w:tcBorders>
              <w:top w:val="single" w:color="auto" w:sz="6" w:space="0"/>
              <w:left w:val="single" w:color="auto" w:sz="4" w:space="0"/>
              <w:bottom w:val="single" w:color="auto" w:sz="6" w:space="0"/>
              <w:right w:val="single" w:color="auto" w:sz="6" w:space="0"/>
            </w:tcBorders>
            <w:vAlign w:val="center"/>
          </w:tcPr>
          <w:p>
            <w:pPr>
              <w:pStyle w:val="5"/>
              <w:overflowPunct w:val="0"/>
              <w:spacing w:line="240" w:lineRule="auto"/>
              <w:ind w:right="-21" w:rightChars="-10" w:firstLine="0"/>
              <w:jc w:val="center"/>
              <w:rPr>
                <w:rFonts w:ascii="Times New Roman" w:hAnsi="Times New Roman"/>
                <w:color w:val="auto"/>
                <w:sz w:val="21"/>
                <w:szCs w:val="21"/>
              </w:rPr>
            </w:pPr>
            <w:r>
              <w:rPr>
                <w:rFonts w:hint="eastAsia" w:ascii="Times New Roman" w:hAnsi="Times New Roman"/>
                <w:color w:val="auto"/>
                <w:sz w:val="21"/>
                <w:szCs w:val="21"/>
              </w:rPr>
              <w:t>营业面积</w:t>
            </w:r>
          </w:p>
        </w:tc>
        <w:tc>
          <w:tcPr>
            <w:tcW w:w="2111" w:type="dxa"/>
            <w:tcBorders>
              <w:top w:val="single" w:color="auto" w:sz="6" w:space="0"/>
              <w:left w:val="single" w:color="auto" w:sz="6" w:space="0"/>
              <w:bottom w:val="single" w:color="auto" w:sz="6" w:space="0"/>
              <w:right w:val="single" w:color="auto" w:sz="6" w:space="0"/>
            </w:tcBorders>
            <w:vAlign w:val="center"/>
          </w:tcPr>
          <w:p>
            <w:pPr>
              <w:pStyle w:val="5"/>
              <w:overflowPunct w:val="0"/>
              <w:spacing w:line="240" w:lineRule="auto"/>
              <w:ind w:right="-21" w:rightChars="-10" w:firstLine="0"/>
              <w:rPr>
                <w:rFonts w:ascii="Times New Roman" w:hAnsi="Times New Roman"/>
                <w:color w:val="auto"/>
                <w:sz w:val="21"/>
                <w:szCs w:val="21"/>
              </w:rPr>
            </w:pPr>
            <w:r>
              <w:rPr>
                <w:rFonts w:hint="eastAsia" w:ascii="Times New Roman" w:hAnsi="Times New Roman"/>
                <w:color w:val="auto"/>
                <w:sz w:val="21"/>
                <w:szCs w:val="21"/>
              </w:rPr>
              <w:t>平方米</w:t>
            </w:r>
          </w:p>
        </w:tc>
        <w:tc>
          <w:tcPr>
            <w:tcW w:w="1707" w:type="dxa"/>
            <w:tcBorders>
              <w:top w:val="single" w:color="auto" w:sz="6" w:space="0"/>
              <w:left w:val="single" w:color="auto" w:sz="6" w:space="0"/>
              <w:bottom w:val="single" w:color="auto" w:sz="6" w:space="0"/>
              <w:right w:val="single" w:color="auto" w:sz="6" w:space="0"/>
            </w:tcBorders>
            <w:vAlign w:val="center"/>
          </w:tcPr>
          <w:p>
            <w:pPr>
              <w:pStyle w:val="5"/>
              <w:overflowPunct w:val="0"/>
              <w:spacing w:line="240" w:lineRule="auto"/>
              <w:ind w:right="-21" w:rightChars="-10" w:firstLine="0"/>
              <w:jc w:val="center"/>
              <w:rPr>
                <w:rFonts w:ascii="Times New Roman" w:hAnsi="Times New Roman"/>
                <w:color w:val="auto"/>
                <w:sz w:val="21"/>
                <w:szCs w:val="21"/>
              </w:rPr>
            </w:pPr>
            <w:r>
              <w:rPr>
                <w:rFonts w:hint="eastAsia" w:ascii="Times New Roman" w:hAnsi="Times New Roman"/>
                <w:color w:val="auto"/>
                <w:sz w:val="21"/>
                <w:szCs w:val="21"/>
              </w:rPr>
              <w:t>其中：</w:t>
            </w:r>
          </w:p>
        </w:tc>
        <w:tc>
          <w:tcPr>
            <w:tcW w:w="2630" w:type="dxa"/>
            <w:gridSpan w:val="2"/>
            <w:tcBorders>
              <w:top w:val="single" w:color="auto" w:sz="6" w:space="0"/>
              <w:left w:val="single" w:color="auto" w:sz="6" w:space="0"/>
              <w:bottom w:val="single" w:color="auto" w:sz="6" w:space="0"/>
              <w:right w:val="single" w:color="auto" w:sz="4" w:space="0"/>
            </w:tcBorders>
            <w:vAlign w:val="center"/>
          </w:tcPr>
          <w:p>
            <w:pPr>
              <w:pStyle w:val="5"/>
              <w:overflowPunct w:val="0"/>
              <w:spacing w:line="240" w:lineRule="auto"/>
              <w:ind w:right="-21" w:rightChars="-10" w:firstLine="0"/>
              <w:rPr>
                <w:rFonts w:ascii="Times New Roman" w:hAnsi="Times New Roman"/>
                <w:color w:val="auto"/>
                <w:sz w:val="21"/>
                <w:szCs w:val="21"/>
              </w:rPr>
            </w:pPr>
            <w:r>
              <w:rPr>
                <w:rFonts w:hint="eastAsia" w:ascii="Times New Roman" w:hAnsi="Times New Roman"/>
                <w:color w:val="auto"/>
                <w:sz w:val="21"/>
                <w:szCs w:val="21"/>
              </w:rPr>
              <w:t>自有面积平方米</w:t>
            </w:r>
          </w:p>
          <w:p>
            <w:pPr>
              <w:pStyle w:val="5"/>
              <w:overflowPunct w:val="0"/>
              <w:spacing w:line="240" w:lineRule="auto"/>
              <w:ind w:right="-21" w:rightChars="-10" w:firstLine="0"/>
              <w:rPr>
                <w:rFonts w:ascii="Times New Roman" w:hAnsi="Times New Roman"/>
                <w:color w:val="auto"/>
                <w:sz w:val="21"/>
                <w:szCs w:val="21"/>
              </w:rPr>
            </w:pPr>
            <w:r>
              <w:rPr>
                <w:rFonts w:hint="eastAsia" w:ascii="Times New Roman" w:hAnsi="Times New Roman"/>
                <w:color w:val="auto"/>
                <w:sz w:val="21"/>
                <w:szCs w:val="21"/>
              </w:rPr>
              <w:t>承租面积平方米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122" w:hRule="atLeast"/>
          <w:jc w:val="center"/>
        </w:trPr>
        <w:tc>
          <w:tcPr>
            <w:tcW w:w="2746" w:type="dxa"/>
            <w:tcBorders>
              <w:top w:val="single" w:color="auto" w:sz="6" w:space="0"/>
              <w:left w:val="single" w:color="auto" w:sz="4" w:space="0"/>
              <w:bottom w:val="single" w:color="auto" w:sz="6" w:space="0"/>
              <w:right w:val="single" w:color="auto" w:sz="6" w:space="0"/>
            </w:tcBorders>
            <w:vAlign w:val="center"/>
          </w:tcPr>
          <w:p>
            <w:pPr>
              <w:pStyle w:val="5"/>
              <w:overflowPunct w:val="0"/>
              <w:spacing w:line="240" w:lineRule="auto"/>
              <w:ind w:right="-21" w:rightChars="-10" w:firstLine="0"/>
              <w:jc w:val="center"/>
              <w:rPr>
                <w:rFonts w:ascii="Times New Roman" w:hAnsi="Times New Roman"/>
                <w:color w:val="auto"/>
                <w:sz w:val="21"/>
                <w:szCs w:val="21"/>
              </w:rPr>
            </w:pPr>
            <w:r>
              <w:rPr>
                <w:rFonts w:hint="eastAsia" w:ascii="Times New Roman" w:hAnsi="Times New Roman"/>
                <w:color w:val="auto"/>
                <w:sz w:val="21"/>
                <w:szCs w:val="21"/>
              </w:rPr>
              <w:t>近三年来完成或正在履行的重大合同情况</w:t>
            </w:r>
          </w:p>
        </w:tc>
        <w:tc>
          <w:tcPr>
            <w:tcW w:w="6448" w:type="dxa"/>
            <w:gridSpan w:val="4"/>
            <w:tcBorders>
              <w:top w:val="single" w:color="auto" w:sz="6" w:space="0"/>
              <w:left w:val="single" w:color="auto" w:sz="6" w:space="0"/>
              <w:bottom w:val="single" w:color="auto" w:sz="6" w:space="0"/>
              <w:right w:val="single" w:color="auto" w:sz="4" w:space="0"/>
            </w:tcBorders>
            <w:vAlign w:val="center"/>
          </w:tcPr>
          <w:p>
            <w:pPr>
              <w:pStyle w:val="5"/>
              <w:overflowPunct w:val="0"/>
              <w:spacing w:line="240" w:lineRule="auto"/>
              <w:ind w:right="-21" w:rightChars="-10" w:firstLine="0"/>
              <w:rPr>
                <w:rFonts w:ascii="Times New Roman" w:hAnsi="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77" w:hRule="atLeast"/>
          <w:jc w:val="center"/>
        </w:trPr>
        <w:tc>
          <w:tcPr>
            <w:tcW w:w="2746" w:type="dxa"/>
            <w:tcBorders>
              <w:top w:val="single" w:color="auto" w:sz="6" w:space="0"/>
              <w:left w:val="single" w:color="auto" w:sz="4" w:space="0"/>
              <w:bottom w:val="single" w:color="auto" w:sz="6" w:space="0"/>
              <w:right w:val="single" w:color="auto" w:sz="6" w:space="0"/>
            </w:tcBorders>
            <w:vAlign w:val="center"/>
          </w:tcPr>
          <w:p>
            <w:pPr>
              <w:pStyle w:val="5"/>
              <w:overflowPunct w:val="0"/>
              <w:spacing w:line="240" w:lineRule="auto"/>
              <w:ind w:right="-21" w:rightChars="-10" w:firstLine="0"/>
              <w:jc w:val="center"/>
              <w:rPr>
                <w:rFonts w:ascii="Times New Roman" w:hAnsi="Times New Roman"/>
                <w:color w:val="auto"/>
                <w:sz w:val="21"/>
                <w:szCs w:val="21"/>
              </w:rPr>
            </w:pPr>
            <w:r>
              <w:rPr>
                <w:rFonts w:hint="eastAsia" w:ascii="Times New Roman" w:hAnsi="Times New Roman"/>
                <w:color w:val="auto"/>
                <w:sz w:val="21"/>
                <w:szCs w:val="21"/>
              </w:rPr>
              <w:t>最近</w:t>
            </w:r>
            <w:r>
              <w:rPr>
                <w:rFonts w:ascii="Times New Roman" w:hAnsi="Times New Roman"/>
                <w:color w:val="auto"/>
                <w:sz w:val="21"/>
                <w:szCs w:val="21"/>
              </w:rPr>
              <w:t>3</w:t>
            </w:r>
            <w:r>
              <w:rPr>
                <w:rFonts w:hint="eastAsia" w:ascii="Times New Roman" w:hAnsi="Times New Roman"/>
                <w:color w:val="auto"/>
                <w:sz w:val="21"/>
                <w:szCs w:val="21"/>
              </w:rPr>
              <w:t>年内有无因服务或是其他原因被消费者投诉或起诉的情况及说明</w:t>
            </w:r>
          </w:p>
        </w:tc>
        <w:tc>
          <w:tcPr>
            <w:tcW w:w="6448" w:type="dxa"/>
            <w:gridSpan w:val="4"/>
            <w:tcBorders>
              <w:top w:val="single" w:color="auto" w:sz="6" w:space="0"/>
              <w:left w:val="single" w:color="auto" w:sz="6" w:space="0"/>
              <w:bottom w:val="single" w:color="auto" w:sz="6" w:space="0"/>
              <w:right w:val="single" w:color="auto" w:sz="4" w:space="0"/>
            </w:tcBorders>
            <w:vAlign w:val="center"/>
          </w:tcPr>
          <w:p>
            <w:pPr>
              <w:pStyle w:val="5"/>
              <w:overflowPunct w:val="0"/>
              <w:spacing w:line="240" w:lineRule="auto"/>
              <w:ind w:right="-21" w:rightChars="-10" w:firstLine="0"/>
              <w:rPr>
                <w:rFonts w:ascii="Times New Roman" w:hAnsi="Times New Roman"/>
                <w:color w:val="auto"/>
                <w:sz w:val="21"/>
                <w:szCs w:val="21"/>
              </w:rPr>
            </w:pPr>
            <w:r>
              <w:rPr>
                <w:rFonts w:hint="eastAsia" w:ascii="Times New Roman" w:hAnsi="Times New Roman"/>
                <w:color w:val="auto"/>
                <w:sz w:val="21"/>
                <w:szCs w:val="21"/>
              </w:rPr>
              <w:t>（包括解决方式和结果）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563" w:hRule="atLeast"/>
          <w:jc w:val="center"/>
        </w:trPr>
        <w:tc>
          <w:tcPr>
            <w:tcW w:w="2746" w:type="dxa"/>
            <w:tcBorders>
              <w:top w:val="single" w:color="auto" w:sz="6" w:space="0"/>
              <w:left w:val="single" w:color="auto" w:sz="4" w:space="0"/>
              <w:bottom w:val="single" w:color="auto" w:sz="4" w:space="0"/>
              <w:right w:val="single" w:color="auto" w:sz="6" w:space="0"/>
            </w:tcBorders>
            <w:vAlign w:val="center"/>
          </w:tcPr>
          <w:p>
            <w:pPr>
              <w:pStyle w:val="5"/>
              <w:overflowPunct w:val="0"/>
              <w:spacing w:line="240" w:lineRule="auto"/>
              <w:ind w:right="-21" w:rightChars="-10" w:firstLine="0"/>
              <w:jc w:val="center"/>
              <w:rPr>
                <w:rFonts w:ascii="Times New Roman" w:hAnsi="Times New Roman"/>
                <w:color w:val="auto"/>
                <w:sz w:val="21"/>
                <w:szCs w:val="21"/>
              </w:rPr>
            </w:pPr>
            <w:r>
              <w:rPr>
                <w:rFonts w:hint="eastAsia" w:ascii="Times New Roman" w:hAnsi="Times New Roman"/>
                <w:color w:val="auto"/>
                <w:sz w:val="21"/>
                <w:szCs w:val="21"/>
              </w:rPr>
              <w:t>其他需要说明的情况</w:t>
            </w:r>
          </w:p>
        </w:tc>
        <w:tc>
          <w:tcPr>
            <w:tcW w:w="6448" w:type="dxa"/>
            <w:gridSpan w:val="4"/>
            <w:tcBorders>
              <w:top w:val="single" w:color="auto" w:sz="6" w:space="0"/>
              <w:left w:val="single" w:color="auto" w:sz="6" w:space="0"/>
              <w:bottom w:val="single" w:color="auto" w:sz="4" w:space="0"/>
              <w:right w:val="single" w:color="auto" w:sz="4" w:space="0"/>
            </w:tcBorders>
            <w:vAlign w:val="center"/>
          </w:tcPr>
          <w:p>
            <w:pPr>
              <w:pStyle w:val="5"/>
              <w:overflowPunct w:val="0"/>
              <w:spacing w:line="240" w:lineRule="auto"/>
              <w:ind w:right="-21" w:rightChars="-10" w:firstLine="0"/>
              <w:rPr>
                <w:rFonts w:ascii="Times New Roman" w:hAnsi="Times New Roman"/>
                <w:color w:val="auto"/>
                <w:sz w:val="21"/>
                <w:szCs w:val="21"/>
              </w:rPr>
            </w:pPr>
          </w:p>
        </w:tc>
      </w:tr>
    </w:tbl>
    <w:p>
      <w:pPr>
        <w:rPr>
          <w:b/>
          <w:bCs/>
          <w:szCs w:val="21"/>
        </w:rPr>
      </w:pPr>
    </w:p>
    <w:p>
      <w:pPr>
        <w:snapToGrid w:val="0"/>
        <w:spacing w:line="360" w:lineRule="auto"/>
        <w:rPr>
          <w:rFonts w:ascii="宋体"/>
          <w:szCs w:val="21"/>
        </w:rPr>
      </w:pPr>
    </w:p>
    <w:p>
      <w:pPr>
        <w:snapToGrid w:val="0"/>
        <w:spacing w:line="360" w:lineRule="auto"/>
        <w:rPr>
          <w:rFonts w:ascii="宋体"/>
          <w:szCs w:val="21"/>
        </w:rPr>
      </w:pPr>
      <w:r>
        <w:rPr>
          <w:rFonts w:hint="eastAsia" w:ascii="宋体" w:hAnsi="宋体"/>
          <w:szCs w:val="21"/>
        </w:rPr>
        <w:t>供应商名称（公章）</w:t>
      </w:r>
      <w:r>
        <w:rPr>
          <w:rFonts w:ascii="宋体" w:hAnsi="宋体"/>
          <w:szCs w:val="21"/>
        </w:rPr>
        <w:t xml:space="preserve">:                </w:t>
      </w:r>
    </w:p>
    <w:p>
      <w:pPr>
        <w:snapToGrid w:val="0"/>
        <w:spacing w:line="360" w:lineRule="auto"/>
        <w:rPr>
          <w:rFonts w:ascii="宋体"/>
          <w:szCs w:val="21"/>
        </w:rPr>
      </w:pPr>
    </w:p>
    <w:p>
      <w:pPr>
        <w:snapToGrid w:val="0"/>
        <w:spacing w:line="360" w:lineRule="auto"/>
        <w:rPr>
          <w:rFonts w:ascii="宋体"/>
          <w:szCs w:val="21"/>
        </w:rPr>
      </w:pPr>
      <w:r>
        <w:rPr>
          <w:rFonts w:hint="eastAsia" w:ascii="宋体" w:hAnsi="宋体"/>
          <w:szCs w:val="21"/>
        </w:rPr>
        <w:t>授权代表人（签字）：</w:t>
      </w:r>
    </w:p>
    <w:p>
      <w:pPr>
        <w:snapToGrid w:val="0"/>
        <w:spacing w:line="360" w:lineRule="auto"/>
        <w:rPr>
          <w:rFonts w:ascii="宋体"/>
          <w:szCs w:val="21"/>
        </w:rPr>
      </w:pPr>
    </w:p>
    <w:p>
      <w:pPr>
        <w:snapToGrid w:val="0"/>
        <w:ind w:right="-21" w:rightChars="-10"/>
        <w:rPr>
          <w:rFonts w:ascii="Times New Roman" w:hAnsi="Times New Roman"/>
          <w:szCs w:val="21"/>
        </w:rPr>
      </w:pPr>
      <w:r>
        <w:rPr>
          <w:rFonts w:hint="eastAsia" w:ascii="Times New Roman" w:hAnsi="Times New Roman"/>
          <w:szCs w:val="21"/>
        </w:rPr>
        <w:t>日期：</w:t>
      </w:r>
      <w:r>
        <w:rPr>
          <w:rFonts w:ascii="Times New Roman" w:hAnsi="Times New Roman"/>
          <w:szCs w:val="21"/>
        </w:rPr>
        <w:t xml:space="preserve"> 2020</w:t>
      </w:r>
      <w:r>
        <w:rPr>
          <w:rFonts w:hint="eastAsia" w:ascii="Times New Roman" w:hAnsi="Times New Roman"/>
          <w:szCs w:val="21"/>
        </w:rPr>
        <w:t>年  月  日</w:t>
      </w:r>
    </w:p>
    <w:p>
      <w:pPr>
        <w:pStyle w:val="4"/>
        <w:ind w:firstLine="482"/>
        <w:rPr>
          <w:rFonts w:ascii="宋体"/>
          <w:b w:val="0"/>
          <w:bCs w:val="0"/>
          <w:szCs w:val="21"/>
        </w:rPr>
      </w:pPr>
      <w:r>
        <w:rPr>
          <w:rFonts w:ascii="宋体"/>
          <w:szCs w:val="21"/>
        </w:rPr>
        <w:br w:type="page"/>
      </w:r>
      <w:r>
        <w:rPr>
          <w:rFonts w:hint="eastAsia" w:ascii="宋体" w:hAnsi="宋体"/>
          <w:b w:val="0"/>
          <w:bCs w:val="0"/>
          <w:szCs w:val="21"/>
        </w:rPr>
        <w:t>附件七：</w:t>
      </w:r>
    </w:p>
    <w:p>
      <w:pPr>
        <w:rPr>
          <w:rFonts w:ascii="宋体"/>
          <w:b/>
          <w:bCs/>
          <w:szCs w:val="21"/>
        </w:rPr>
      </w:pPr>
    </w:p>
    <w:p>
      <w:pPr>
        <w:pStyle w:val="39"/>
        <w:ind w:left="0" w:firstLine="0"/>
        <w:jc w:val="center"/>
        <w:rPr>
          <w:b/>
          <w:kern w:val="2"/>
          <w:sz w:val="32"/>
          <w:szCs w:val="32"/>
        </w:rPr>
      </w:pPr>
    </w:p>
    <w:p>
      <w:pPr>
        <w:pStyle w:val="39"/>
        <w:ind w:left="0" w:firstLine="0"/>
        <w:jc w:val="center"/>
        <w:rPr>
          <w:b/>
          <w:kern w:val="2"/>
          <w:sz w:val="32"/>
          <w:szCs w:val="32"/>
        </w:rPr>
      </w:pPr>
    </w:p>
    <w:p>
      <w:pPr>
        <w:pStyle w:val="39"/>
        <w:ind w:left="0" w:firstLine="0"/>
        <w:jc w:val="center"/>
        <w:rPr>
          <w:b/>
          <w:kern w:val="2"/>
          <w:sz w:val="32"/>
          <w:szCs w:val="32"/>
        </w:rPr>
      </w:pPr>
      <w:r>
        <w:rPr>
          <w:rFonts w:hint="eastAsia"/>
          <w:b/>
          <w:kern w:val="2"/>
          <w:sz w:val="32"/>
          <w:szCs w:val="32"/>
        </w:rPr>
        <w:t>企业营业执照</w:t>
      </w:r>
    </w:p>
    <w:p>
      <w:pPr>
        <w:pStyle w:val="39"/>
        <w:ind w:left="0" w:firstLine="0"/>
        <w:jc w:val="center"/>
        <w:rPr>
          <w:b/>
          <w:kern w:val="2"/>
          <w:sz w:val="32"/>
          <w:szCs w:val="32"/>
        </w:rPr>
      </w:pPr>
      <w:r>
        <w:rPr>
          <w:rFonts w:hint="eastAsia"/>
          <w:b/>
          <w:kern w:val="2"/>
          <w:sz w:val="32"/>
          <w:szCs w:val="32"/>
        </w:rPr>
        <w:t>税务登记证</w:t>
      </w:r>
      <w:bookmarkEnd w:id="39"/>
      <w:bookmarkEnd w:id="40"/>
    </w:p>
    <w:p>
      <w:pPr>
        <w:pStyle w:val="39"/>
        <w:ind w:left="0" w:firstLine="0"/>
        <w:jc w:val="center"/>
        <w:rPr>
          <w:b/>
          <w:kern w:val="2"/>
          <w:sz w:val="32"/>
          <w:szCs w:val="32"/>
        </w:rPr>
      </w:pPr>
      <w:r>
        <w:rPr>
          <w:rFonts w:hint="eastAsia"/>
          <w:b/>
          <w:kern w:val="2"/>
          <w:sz w:val="32"/>
          <w:szCs w:val="32"/>
        </w:rPr>
        <w:t>相关资质证书</w:t>
      </w:r>
    </w:p>
    <w:p>
      <w:pPr>
        <w:snapToGrid w:val="0"/>
        <w:spacing w:line="360" w:lineRule="auto"/>
        <w:ind w:firstLine="525" w:firstLineChars="250"/>
        <w:rPr>
          <w:rFonts w:ascii="宋体"/>
          <w:szCs w:val="21"/>
        </w:rPr>
      </w:pPr>
    </w:p>
    <w:p>
      <w:pPr>
        <w:snapToGrid w:val="0"/>
        <w:spacing w:line="360" w:lineRule="auto"/>
        <w:ind w:firstLine="525" w:firstLineChars="250"/>
        <w:rPr>
          <w:rFonts w:ascii="宋体"/>
          <w:szCs w:val="21"/>
        </w:rPr>
      </w:pPr>
    </w:p>
    <w:p>
      <w:pPr>
        <w:snapToGrid w:val="0"/>
        <w:spacing w:line="360" w:lineRule="auto"/>
        <w:ind w:firstLine="525" w:firstLineChars="250"/>
        <w:rPr>
          <w:rFonts w:ascii="宋体"/>
          <w:szCs w:val="21"/>
        </w:rPr>
      </w:pPr>
    </w:p>
    <w:p>
      <w:pPr>
        <w:snapToGrid w:val="0"/>
        <w:spacing w:line="360" w:lineRule="auto"/>
        <w:jc w:val="center"/>
        <w:rPr>
          <w:rFonts w:ascii="宋体"/>
          <w:b/>
          <w:szCs w:val="21"/>
        </w:rPr>
      </w:pPr>
      <w:r>
        <w:rPr>
          <w:rFonts w:hint="eastAsia" w:ascii="宋体" w:hAnsi="宋体"/>
          <w:b/>
          <w:szCs w:val="21"/>
        </w:rPr>
        <w:t>（复印件加盖公章）</w:t>
      </w:r>
    </w:p>
    <w:p>
      <w:pPr>
        <w:snapToGrid w:val="0"/>
        <w:spacing w:line="360" w:lineRule="auto"/>
        <w:ind w:firstLine="525" w:firstLineChars="250"/>
        <w:rPr>
          <w:rFonts w:ascii="宋体"/>
          <w:szCs w:val="21"/>
        </w:rPr>
      </w:pPr>
    </w:p>
    <w:p>
      <w:pPr>
        <w:snapToGrid w:val="0"/>
        <w:spacing w:line="360" w:lineRule="auto"/>
        <w:ind w:firstLine="525" w:firstLineChars="250"/>
        <w:rPr>
          <w:rFonts w:ascii="宋体"/>
          <w:szCs w:val="21"/>
        </w:rPr>
      </w:pPr>
    </w:p>
    <w:p>
      <w:pPr>
        <w:snapToGrid w:val="0"/>
        <w:spacing w:line="360" w:lineRule="auto"/>
        <w:ind w:firstLine="420" w:firstLineChars="200"/>
        <w:rPr>
          <w:rFonts w:ascii="宋体"/>
          <w:szCs w:val="21"/>
        </w:rPr>
      </w:pPr>
    </w:p>
    <w:p>
      <w:pPr>
        <w:snapToGrid w:val="0"/>
        <w:spacing w:line="360" w:lineRule="auto"/>
        <w:ind w:firstLine="420" w:firstLineChars="200"/>
        <w:rPr>
          <w:rFonts w:ascii="宋体"/>
          <w:szCs w:val="21"/>
        </w:rPr>
      </w:pPr>
    </w:p>
    <w:p>
      <w:pPr>
        <w:snapToGrid w:val="0"/>
        <w:spacing w:line="360" w:lineRule="auto"/>
        <w:ind w:firstLine="420" w:firstLineChars="200"/>
        <w:rPr>
          <w:rFonts w:ascii="宋体"/>
          <w:szCs w:val="21"/>
        </w:rPr>
      </w:pPr>
    </w:p>
    <w:p>
      <w:pPr>
        <w:snapToGrid w:val="0"/>
        <w:spacing w:line="360" w:lineRule="auto"/>
        <w:ind w:firstLine="420" w:firstLineChars="200"/>
        <w:rPr>
          <w:rFonts w:ascii="宋体"/>
          <w:szCs w:val="21"/>
        </w:rPr>
      </w:pPr>
      <w:r>
        <w:rPr>
          <w:rFonts w:hint="eastAsia" w:ascii="宋体" w:hAnsi="宋体"/>
          <w:szCs w:val="21"/>
        </w:rPr>
        <w:t>供应商名称（公章）</w:t>
      </w:r>
      <w:r>
        <w:rPr>
          <w:rFonts w:ascii="宋体" w:hAnsi="宋体"/>
          <w:szCs w:val="21"/>
        </w:rPr>
        <w:t xml:space="preserve">:                </w:t>
      </w:r>
    </w:p>
    <w:p>
      <w:pPr>
        <w:snapToGrid w:val="0"/>
        <w:spacing w:line="360" w:lineRule="auto"/>
        <w:ind w:firstLine="420" w:firstLineChars="200"/>
        <w:rPr>
          <w:rFonts w:ascii="宋体"/>
          <w:szCs w:val="21"/>
        </w:rPr>
      </w:pPr>
    </w:p>
    <w:p>
      <w:pPr>
        <w:snapToGrid w:val="0"/>
        <w:spacing w:line="360" w:lineRule="auto"/>
        <w:ind w:firstLine="420" w:firstLineChars="200"/>
        <w:rPr>
          <w:rFonts w:ascii="宋体"/>
          <w:szCs w:val="21"/>
        </w:rPr>
      </w:pPr>
      <w:r>
        <w:rPr>
          <w:rFonts w:hint="eastAsia" w:ascii="宋体" w:hAnsi="宋体"/>
          <w:szCs w:val="21"/>
        </w:rPr>
        <w:t>授权代表人（签字）：</w:t>
      </w:r>
    </w:p>
    <w:p>
      <w:pPr>
        <w:snapToGrid w:val="0"/>
        <w:spacing w:line="360" w:lineRule="auto"/>
        <w:ind w:firstLine="525" w:firstLineChars="250"/>
        <w:rPr>
          <w:rFonts w:ascii="宋体"/>
          <w:szCs w:val="21"/>
        </w:rPr>
      </w:pPr>
    </w:p>
    <w:p>
      <w:pPr>
        <w:snapToGrid w:val="0"/>
        <w:ind w:right="-21" w:rightChars="-10" w:firstLine="420" w:firstLineChars="200"/>
        <w:rPr>
          <w:rFonts w:ascii="Times New Roman" w:hAnsi="Times New Roman"/>
          <w:szCs w:val="21"/>
        </w:rPr>
      </w:pPr>
      <w:r>
        <w:rPr>
          <w:rFonts w:hint="eastAsia" w:ascii="Times New Roman" w:hAnsi="Times New Roman"/>
          <w:szCs w:val="21"/>
        </w:rPr>
        <w:t>日期：</w:t>
      </w:r>
      <w:r>
        <w:rPr>
          <w:rFonts w:ascii="Times New Roman" w:hAnsi="Times New Roman"/>
          <w:szCs w:val="21"/>
        </w:rPr>
        <w:t xml:space="preserve"> 2020</w:t>
      </w:r>
      <w:r>
        <w:rPr>
          <w:rFonts w:hint="eastAsia" w:ascii="Times New Roman" w:hAnsi="Times New Roman"/>
          <w:szCs w:val="21"/>
        </w:rPr>
        <w:t>年 月 日</w:t>
      </w:r>
    </w:p>
    <w:p>
      <w:pPr>
        <w:snapToGrid w:val="0"/>
        <w:spacing w:line="360" w:lineRule="auto"/>
        <w:rPr>
          <w:rFonts w:ascii="宋体"/>
          <w:szCs w:val="21"/>
        </w:rPr>
      </w:pPr>
    </w:p>
    <w:p>
      <w:pPr>
        <w:spacing w:line="360" w:lineRule="auto"/>
        <w:rPr>
          <w:rFonts w:ascii="宋体"/>
        </w:rPr>
      </w:pPr>
    </w:p>
    <w:p>
      <w:pPr>
        <w:pStyle w:val="4"/>
        <w:ind w:firstLine="482"/>
        <w:rPr>
          <w:rFonts w:ascii="宋体"/>
          <w:b w:val="0"/>
          <w:bCs w:val="0"/>
          <w:szCs w:val="21"/>
        </w:rPr>
      </w:pPr>
      <w:r>
        <w:rPr>
          <w:rFonts w:ascii="宋体"/>
        </w:rPr>
        <w:br w:type="page"/>
      </w:r>
      <w:bookmarkStart w:id="41" w:name="_Toc358377765"/>
      <w:bookmarkStart w:id="42" w:name="_Toc361750534"/>
      <w:bookmarkStart w:id="43" w:name="_Toc358377766"/>
      <w:bookmarkStart w:id="44" w:name="_Toc361750535"/>
      <w:r>
        <w:rPr>
          <w:rFonts w:hint="eastAsia" w:ascii="宋体" w:hAnsi="宋体"/>
          <w:b w:val="0"/>
          <w:bCs w:val="0"/>
          <w:szCs w:val="21"/>
        </w:rPr>
        <w:t>附件八：</w:t>
      </w:r>
    </w:p>
    <w:p>
      <w:pPr>
        <w:jc w:val="center"/>
        <w:rPr>
          <w:b/>
          <w:bCs/>
          <w:sz w:val="32"/>
        </w:rPr>
      </w:pPr>
      <w:r>
        <w:rPr>
          <w:rFonts w:hint="eastAsia"/>
          <w:b/>
          <w:bCs/>
          <w:sz w:val="32"/>
        </w:rPr>
        <w:t>类似服务业绩</w:t>
      </w:r>
    </w:p>
    <w:p>
      <w:pPr>
        <w:rPr>
          <w:b/>
          <w:bCs/>
          <w:sz w:val="32"/>
        </w:rPr>
      </w:pPr>
    </w:p>
    <w:p>
      <w:pPr>
        <w:snapToGrid w:val="0"/>
        <w:spacing w:line="360" w:lineRule="auto"/>
        <w:ind w:firstLine="315" w:firstLineChars="150"/>
        <w:rPr>
          <w:rFonts w:hint="eastAsia" w:ascii="宋体" w:eastAsia="宋体" w:cs="宋体"/>
          <w:szCs w:val="21"/>
          <w:lang w:eastAsia="zh-CN"/>
        </w:rPr>
      </w:pPr>
      <w:r>
        <w:rPr>
          <w:rFonts w:hint="eastAsia" w:ascii="宋体" w:hAnsi="宋体" w:cs="宋体"/>
          <w:szCs w:val="21"/>
        </w:rPr>
        <w:t>项目名称：</w:t>
      </w:r>
      <w:r>
        <w:rPr>
          <w:rFonts w:hint="eastAsia" w:ascii="Times New Roman" w:hAnsi="Times New Roman"/>
          <w:szCs w:val="21"/>
          <w:u w:val="single"/>
        </w:rPr>
        <w:t>浙江财经大学</w:t>
      </w:r>
      <w:r>
        <w:rPr>
          <w:rFonts w:hint="eastAsia" w:ascii="Times New Roman" w:hAnsi="Times New Roman"/>
          <w:szCs w:val="21"/>
          <w:u w:val="single"/>
          <w:lang w:eastAsia="zh-CN"/>
        </w:rPr>
        <w:t>智慧教务综合服务平台二期项目</w:t>
      </w:r>
    </w:p>
    <w:p>
      <w:pPr>
        <w:snapToGrid w:val="0"/>
        <w:spacing w:line="360" w:lineRule="auto"/>
        <w:ind w:firstLine="315" w:firstLineChars="150"/>
        <w:rPr>
          <w:rFonts w:hint="eastAsia" w:ascii="宋体" w:eastAsia="宋体" w:cs="宋体"/>
          <w:szCs w:val="21"/>
          <w:lang w:eastAsia="zh-CN"/>
        </w:rPr>
      </w:pPr>
      <w:r>
        <w:rPr>
          <w:rFonts w:hint="eastAsia" w:ascii="宋体" w:hAnsi="宋体" w:cs="宋体"/>
          <w:szCs w:val="21"/>
        </w:rPr>
        <w:t>招标编号：</w:t>
      </w:r>
      <w:r>
        <w:rPr>
          <w:rFonts w:hint="eastAsia" w:ascii="Times New Roman" w:hAnsi="Times New Roman"/>
          <w:szCs w:val="21"/>
          <w:u w:val="single"/>
          <w:lang w:eastAsia="zh-CN"/>
        </w:rPr>
        <w:t>浙财大2020-09</w:t>
      </w:r>
    </w:p>
    <w:p>
      <w:pPr>
        <w:rPr>
          <w:rFonts w:ascii="宋体" w:cs="宋体"/>
          <w:szCs w:val="21"/>
        </w:rPr>
      </w:pPr>
    </w:p>
    <w:tbl>
      <w:tblPr>
        <w:tblStyle w:val="19"/>
        <w:tblW w:w="8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2324"/>
        <w:gridCol w:w="1256"/>
        <w:gridCol w:w="1899"/>
        <w:gridCol w:w="1703"/>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36" w:type="dxa"/>
            <w:vAlign w:val="center"/>
          </w:tcPr>
          <w:p>
            <w:pPr>
              <w:jc w:val="center"/>
              <w:rPr>
                <w:rFonts w:ascii="Times New Roman" w:hAnsi="Times New Roman"/>
                <w:b/>
                <w:bCs/>
                <w:szCs w:val="21"/>
              </w:rPr>
            </w:pPr>
            <w:r>
              <w:rPr>
                <w:rFonts w:hint="eastAsia" w:ascii="Times New Roman" w:hAnsi="Times New Roman"/>
                <w:b/>
                <w:bCs/>
                <w:szCs w:val="21"/>
              </w:rPr>
              <w:t>序号</w:t>
            </w:r>
          </w:p>
        </w:tc>
        <w:tc>
          <w:tcPr>
            <w:tcW w:w="2324" w:type="dxa"/>
            <w:vAlign w:val="center"/>
          </w:tcPr>
          <w:p>
            <w:pPr>
              <w:jc w:val="center"/>
              <w:rPr>
                <w:rFonts w:ascii="Times New Roman" w:hAnsi="Times New Roman"/>
                <w:b/>
                <w:bCs/>
                <w:szCs w:val="21"/>
              </w:rPr>
            </w:pPr>
            <w:r>
              <w:rPr>
                <w:rFonts w:hint="eastAsia" w:ascii="Times New Roman" w:hAnsi="Times New Roman"/>
                <w:b/>
                <w:bCs/>
                <w:szCs w:val="21"/>
              </w:rPr>
              <w:t>需方单位</w:t>
            </w:r>
          </w:p>
        </w:tc>
        <w:tc>
          <w:tcPr>
            <w:tcW w:w="1256" w:type="dxa"/>
            <w:vAlign w:val="center"/>
          </w:tcPr>
          <w:p>
            <w:pPr>
              <w:jc w:val="center"/>
              <w:rPr>
                <w:rFonts w:ascii="Times New Roman" w:hAnsi="Times New Roman"/>
                <w:b/>
                <w:bCs/>
                <w:szCs w:val="21"/>
              </w:rPr>
            </w:pPr>
            <w:r>
              <w:rPr>
                <w:rFonts w:hint="eastAsia" w:ascii="Times New Roman" w:hAnsi="Times New Roman"/>
                <w:b/>
                <w:bCs/>
                <w:szCs w:val="21"/>
              </w:rPr>
              <w:t>联系人</w:t>
            </w:r>
          </w:p>
        </w:tc>
        <w:tc>
          <w:tcPr>
            <w:tcW w:w="1899" w:type="dxa"/>
            <w:vAlign w:val="center"/>
          </w:tcPr>
          <w:p>
            <w:pPr>
              <w:jc w:val="center"/>
              <w:rPr>
                <w:rFonts w:ascii="Times New Roman" w:hAnsi="Times New Roman"/>
                <w:b/>
                <w:bCs/>
                <w:szCs w:val="21"/>
              </w:rPr>
            </w:pPr>
            <w:r>
              <w:rPr>
                <w:rFonts w:hint="eastAsia" w:ascii="Times New Roman" w:hAnsi="Times New Roman"/>
                <w:b/>
                <w:bCs/>
                <w:szCs w:val="21"/>
              </w:rPr>
              <w:t>联系电话</w:t>
            </w:r>
          </w:p>
        </w:tc>
        <w:tc>
          <w:tcPr>
            <w:tcW w:w="1703" w:type="dxa"/>
            <w:vAlign w:val="center"/>
          </w:tcPr>
          <w:p>
            <w:pPr>
              <w:jc w:val="center"/>
              <w:rPr>
                <w:rFonts w:ascii="Times New Roman" w:hAnsi="Times New Roman"/>
                <w:b/>
                <w:bCs/>
                <w:szCs w:val="21"/>
              </w:rPr>
            </w:pPr>
            <w:r>
              <w:rPr>
                <w:rFonts w:hint="eastAsia" w:ascii="Times New Roman" w:hAnsi="Times New Roman"/>
                <w:b/>
                <w:bCs/>
                <w:szCs w:val="21"/>
              </w:rPr>
              <w:t>合同签订时间</w:t>
            </w:r>
          </w:p>
        </w:tc>
        <w:tc>
          <w:tcPr>
            <w:tcW w:w="691" w:type="dxa"/>
            <w:vAlign w:val="center"/>
          </w:tcPr>
          <w:p>
            <w:pPr>
              <w:jc w:val="center"/>
              <w:rPr>
                <w:rFonts w:ascii="Times New Roman" w:hAnsi="Times New Roman"/>
                <w:b/>
                <w:bCs/>
                <w:szCs w:val="21"/>
              </w:rPr>
            </w:pPr>
            <w:r>
              <w:rPr>
                <w:rFonts w:hint="eastAsia" w:ascii="Times New Roman" w:hAnsi="Times New Roman"/>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36" w:type="dxa"/>
            <w:vAlign w:val="center"/>
          </w:tcPr>
          <w:p>
            <w:pPr>
              <w:jc w:val="center"/>
              <w:rPr>
                <w:rFonts w:ascii="Times New Roman" w:hAnsi="Times New Roman"/>
                <w:szCs w:val="21"/>
              </w:rPr>
            </w:pPr>
            <w:r>
              <w:rPr>
                <w:rFonts w:ascii="Times New Roman" w:hAnsi="Times New Roman"/>
                <w:szCs w:val="21"/>
              </w:rPr>
              <w:t>1</w:t>
            </w:r>
          </w:p>
        </w:tc>
        <w:tc>
          <w:tcPr>
            <w:tcW w:w="2324" w:type="dxa"/>
            <w:vAlign w:val="center"/>
          </w:tcPr>
          <w:p>
            <w:pPr>
              <w:rPr>
                <w:rFonts w:ascii="Times New Roman" w:hAnsi="Times New Roman"/>
                <w:szCs w:val="21"/>
              </w:rPr>
            </w:pPr>
          </w:p>
        </w:tc>
        <w:tc>
          <w:tcPr>
            <w:tcW w:w="1256" w:type="dxa"/>
            <w:vAlign w:val="center"/>
          </w:tcPr>
          <w:p>
            <w:pPr>
              <w:rPr>
                <w:rFonts w:ascii="Times New Roman" w:hAnsi="Times New Roman"/>
                <w:szCs w:val="21"/>
              </w:rPr>
            </w:pPr>
          </w:p>
        </w:tc>
        <w:tc>
          <w:tcPr>
            <w:tcW w:w="1899" w:type="dxa"/>
            <w:vAlign w:val="center"/>
          </w:tcPr>
          <w:p>
            <w:pPr>
              <w:rPr>
                <w:rFonts w:ascii="Times New Roman" w:hAnsi="Times New Roman"/>
                <w:szCs w:val="21"/>
              </w:rPr>
            </w:pPr>
          </w:p>
        </w:tc>
        <w:tc>
          <w:tcPr>
            <w:tcW w:w="1703" w:type="dxa"/>
            <w:vAlign w:val="center"/>
          </w:tcPr>
          <w:p>
            <w:pPr>
              <w:rPr>
                <w:rFonts w:ascii="Times New Roman" w:hAnsi="Times New Roman"/>
                <w:szCs w:val="21"/>
              </w:rPr>
            </w:pPr>
          </w:p>
        </w:tc>
        <w:tc>
          <w:tcPr>
            <w:tcW w:w="691" w:type="dxa"/>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36" w:type="dxa"/>
            <w:vAlign w:val="center"/>
          </w:tcPr>
          <w:p>
            <w:pPr>
              <w:jc w:val="center"/>
              <w:rPr>
                <w:rFonts w:ascii="Times New Roman" w:hAnsi="Times New Roman"/>
                <w:szCs w:val="21"/>
              </w:rPr>
            </w:pPr>
            <w:r>
              <w:rPr>
                <w:rFonts w:ascii="Times New Roman" w:hAnsi="Times New Roman"/>
                <w:szCs w:val="21"/>
              </w:rPr>
              <w:t>2</w:t>
            </w:r>
          </w:p>
        </w:tc>
        <w:tc>
          <w:tcPr>
            <w:tcW w:w="2324" w:type="dxa"/>
            <w:vAlign w:val="center"/>
          </w:tcPr>
          <w:p>
            <w:pPr>
              <w:rPr>
                <w:rFonts w:ascii="Times New Roman" w:hAnsi="Times New Roman"/>
                <w:szCs w:val="21"/>
              </w:rPr>
            </w:pPr>
          </w:p>
        </w:tc>
        <w:tc>
          <w:tcPr>
            <w:tcW w:w="1256" w:type="dxa"/>
            <w:vAlign w:val="center"/>
          </w:tcPr>
          <w:p>
            <w:pPr>
              <w:rPr>
                <w:rFonts w:ascii="Times New Roman" w:hAnsi="Times New Roman"/>
                <w:szCs w:val="21"/>
              </w:rPr>
            </w:pPr>
          </w:p>
        </w:tc>
        <w:tc>
          <w:tcPr>
            <w:tcW w:w="1899" w:type="dxa"/>
            <w:vAlign w:val="center"/>
          </w:tcPr>
          <w:p>
            <w:pPr>
              <w:rPr>
                <w:rFonts w:ascii="Times New Roman" w:hAnsi="Times New Roman"/>
                <w:szCs w:val="21"/>
              </w:rPr>
            </w:pPr>
          </w:p>
        </w:tc>
        <w:tc>
          <w:tcPr>
            <w:tcW w:w="1703" w:type="dxa"/>
            <w:vAlign w:val="center"/>
          </w:tcPr>
          <w:p>
            <w:pPr>
              <w:rPr>
                <w:rFonts w:ascii="Times New Roman" w:hAnsi="Times New Roman"/>
                <w:szCs w:val="21"/>
              </w:rPr>
            </w:pPr>
          </w:p>
        </w:tc>
        <w:tc>
          <w:tcPr>
            <w:tcW w:w="691" w:type="dxa"/>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36" w:type="dxa"/>
            <w:vAlign w:val="center"/>
          </w:tcPr>
          <w:p>
            <w:pPr>
              <w:jc w:val="center"/>
              <w:rPr>
                <w:rFonts w:ascii="Times New Roman" w:hAnsi="Times New Roman"/>
                <w:szCs w:val="21"/>
              </w:rPr>
            </w:pPr>
            <w:r>
              <w:rPr>
                <w:rFonts w:ascii="Times New Roman" w:hAnsi="Times New Roman"/>
                <w:szCs w:val="21"/>
              </w:rPr>
              <w:t>3</w:t>
            </w:r>
          </w:p>
        </w:tc>
        <w:tc>
          <w:tcPr>
            <w:tcW w:w="2324" w:type="dxa"/>
            <w:vAlign w:val="center"/>
          </w:tcPr>
          <w:p>
            <w:pPr>
              <w:rPr>
                <w:rFonts w:ascii="Times New Roman" w:hAnsi="Times New Roman"/>
                <w:szCs w:val="21"/>
              </w:rPr>
            </w:pPr>
          </w:p>
        </w:tc>
        <w:tc>
          <w:tcPr>
            <w:tcW w:w="1256" w:type="dxa"/>
            <w:vAlign w:val="center"/>
          </w:tcPr>
          <w:p>
            <w:pPr>
              <w:rPr>
                <w:rFonts w:ascii="Times New Roman" w:hAnsi="Times New Roman"/>
                <w:szCs w:val="21"/>
              </w:rPr>
            </w:pPr>
          </w:p>
        </w:tc>
        <w:tc>
          <w:tcPr>
            <w:tcW w:w="1899" w:type="dxa"/>
            <w:vAlign w:val="center"/>
          </w:tcPr>
          <w:p>
            <w:pPr>
              <w:rPr>
                <w:rFonts w:ascii="Times New Roman" w:hAnsi="Times New Roman"/>
                <w:szCs w:val="21"/>
              </w:rPr>
            </w:pPr>
          </w:p>
        </w:tc>
        <w:tc>
          <w:tcPr>
            <w:tcW w:w="1703" w:type="dxa"/>
            <w:vAlign w:val="center"/>
          </w:tcPr>
          <w:p>
            <w:pPr>
              <w:rPr>
                <w:rFonts w:ascii="Times New Roman" w:hAnsi="Times New Roman"/>
                <w:szCs w:val="21"/>
              </w:rPr>
            </w:pPr>
          </w:p>
        </w:tc>
        <w:tc>
          <w:tcPr>
            <w:tcW w:w="691" w:type="dxa"/>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36" w:type="dxa"/>
            <w:vAlign w:val="center"/>
          </w:tcPr>
          <w:p>
            <w:pPr>
              <w:jc w:val="center"/>
              <w:rPr>
                <w:rFonts w:ascii="Times New Roman" w:hAnsi="Times New Roman"/>
                <w:szCs w:val="21"/>
              </w:rPr>
            </w:pPr>
            <w:r>
              <w:rPr>
                <w:rFonts w:ascii="Times New Roman" w:hAnsi="Times New Roman"/>
                <w:szCs w:val="21"/>
              </w:rPr>
              <w:t>4</w:t>
            </w:r>
          </w:p>
        </w:tc>
        <w:tc>
          <w:tcPr>
            <w:tcW w:w="2324" w:type="dxa"/>
            <w:vAlign w:val="center"/>
          </w:tcPr>
          <w:p>
            <w:pPr>
              <w:rPr>
                <w:rFonts w:ascii="Times New Roman" w:hAnsi="Times New Roman"/>
                <w:szCs w:val="21"/>
              </w:rPr>
            </w:pPr>
          </w:p>
        </w:tc>
        <w:tc>
          <w:tcPr>
            <w:tcW w:w="1256" w:type="dxa"/>
            <w:vAlign w:val="center"/>
          </w:tcPr>
          <w:p>
            <w:pPr>
              <w:rPr>
                <w:rFonts w:ascii="Times New Roman" w:hAnsi="Times New Roman"/>
                <w:szCs w:val="21"/>
              </w:rPr>
            </w:pPr>
          </w:p>
        </w:tc>
        <w:tc>
          <w:tcPr>
            <w:tcW w:w="1899" w:type="dxa"/>
            <w:vAlign w:val="center"/>
          </w:tcPr>
          <w:p>
            <w:pPr>
              <w:rPr>
                <w:rFonts w:ascii="Times New Roman" w:hAnsi="Times New Roman"/>
                <w:szCs w:val="21"/>
              </w:rPr>
            </w:pPr>
          </w:p>
        </w:tc>
        <w:tc>
          <w:tcPr>
            <w:tcW w:w="1703" w:type="dxa"/>
            <w:vAlign w:val="center"/>
          </w:tcPr>
          <w:p>
            <w:pPr>
              <w:rPr>
                <w:rFonts w:ascii="Times New Roman" w:hAnsi="Times New Roman"/>
                <w:szCs w:val="21"/>
              </w:rPr>
            </w:pPr>
          </w:p>
        </w:tc>
        <w:tc>
          <w:tcPr>
            <w:tcW w:w="691" w:type="dxa"/>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36" w:type="dxa"/>
            <w:vAlign w:val="center"/>
          </w:tcPr>
          <w:p>
            <w:pPr>
              <w:jc w:val="center"/>
              <w:rPr>
                <w:rFonts w:ascii="Times New Roman" w:hAnsi="Times New Roman"/>
                <w:szCs w:val="21"/>
              </w:rPr>
            </w:pPr>
            <w:r>
              <w:rPr>
                <w:rFonts w:ascii="Times New Roman" w:hAnsi="Times New Roman"/>
                <w:szCs w:val="21"/>
              </w:rPr>
              <w:t>5</w:t>
            </w:r>
          </w:p>
        </w:tc>
        <w:tc>
          <w:tcPr>
            <w:tcW w:w="2324" w:type="dxa"/>
            <w:vAlign w:val="center"/>
          </w:tcPr>
          <w:p>
            <w:pPr>
              <w:rPr>
                <w:rFonts w:ascii="Times New Roman" w:hAnsi="Times New Roman"/>
                <w:szCs w:val="21"/>
              </w:rPr>
            </w:pPr>
          </w:p>
        </w:tc>
        <w:tc>
          <w:tcPr>
            <w:tcW w:w="1256" w:type="dxa"/>
            <w:vAlign w:val="center"/>
          </w:tcPr>
          <w:p>
            <w:pPr>
              <w:rPr>
                <w:rFonts w:ascii="Times New Roman" w:hAnsi="Times New Roman"/>
                <w:szCs w:val="21"/>
              </w:rPr>
            </w:pPr>
          </w:p>
        </w:tc>
        <w:tc>
          <w:tcPr>
            <w:tcW w:w="1899" w:type="dxa"/>
            <w:vAlign w:val="center"/>
          </w:tcPr>
          <w:p>
            <w:pPr>
              <w:rPr>
                <w:rFonts w:ascii="Times New Roman" w:hAnsi="Times New Roman"/>
                <w:szCs w:val="21"/>
              </w:rPr>
            </w:pPr>
          </w:p>
        </w:tc>
        <w:tc>
          <w:tcPr>
            <w:tcW w:w="1703" w:type="dxa"/>
            <w:vAlign w:val="center"/>
          </w:tcPr>
          <w:p>
            <w:pPr>
              <w:rPr>
                <w:rFonts w:ascii="Times New Roman" w:hAnsi="Times New Roman"/>
                <w:szCs w:val="21"/>
              </w:rPr>
            </w:pPr>
          </w:p>
        </w:tc>
        <w:tc>
          <w:tcPr>
            <w:tcW w:w="691" w:type="dxa"/>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36" w:type="dxa"/>
            <w:vAlign w:val="center"/>
          </w:tcPr>
          <w:p>
            <w:pPr>
              <w:jc w:val="center"/>
              <w:rPr>
                <w:rFonts w:ascii="Times New Roman" w:hAnsi="Times New Roman"/>
                <w:szCs w:val="21"/>
              </w:rPr>
            </w:pPr>
            <w:r>
              <w:rPr>
                <w:rFonts w:ascii="Times New Roman" w:hAnsi="Times New Roman"/>
                <w:szCs w:val="21"/>
              </w:rPr>
              <w:t>6</w:t>
            </w:r>
          </w:p>
        </w:tc>
        <w:tc>
          <w:tcPr>
            <w:tcW w:w="2324" w:type="dxa"/>
            <w:vAlign w:val="center"/>
          </w:tcPr>
          <w:p>
            <w:pPr>
              <w:rPr>
                <w:rFonts w:ascii="Times New Roman" w:hAnsi="Times New Roman"/>
                <w:szCs w:val="21"/>
              </w:rPr>
            </w:pPr>
          </w:p>
        </w:tc>
        <w:tc>
          <w:tcPr>
            <w:tcW w:w="1256" w:type="dxa"/>
            <w:vAlign w:val="center"/>
          </w:tcPr>
          <w:p>
            <w:pPr>
              <w:rPr>
                <w:rFonts w:ascii="Times New Roman" w:hAnsi="Times New Roman"/>
                <w:szCs w:val="21"/>
              </w:rPr>
            </w:pPr>
          </w:p>
        </w:tc>
        <w:tc>
          <w:tcPr>
            <w:tcW w:w="1899" w:type="dxa"/>
            <w:vAlign w:val="center"/>
          </w:tcPr>
          <w:p>
            <w:pPr>
              <w:rPr>
                <w:rFonts w:ascii="Times New Roman" w:hAnsi="Times New Roman"/>
                <w:szCs w:val="21"/>
              </w:rPr>
            </w:pPr>
          </w:p>
        </w:tc>
        <w:tc>
          <w:tcPr>
            <w:tcW w:w="1703" w:type="dxa"/>
            <w:vAlign w:val="center"/>
          </w:tcPr>
          <w:p>
            <w:pPr>
              <w:rPr>
                <w:rFonts w:ascii="Times New Roman" w:hAnsi="Times New Roman"/>
                <w:szCs w:val="21"/>
              </w:rPr>
            </w:pPr>
          </w:p>
        </w:tc>
        <w:tc>
          <w:tcPr>
            <w:tcW w:w="691" w:type="dxa"/>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36" w:type="dxa"/>
            <w:vAlign w:val="center"/>
          </w:tcPr>
          <w:p>
            <w:pPr>
              <w:jc w:val="center"/>
              <w:rPr>
                <w:rFonts w:ascii="Times New Roman" w:hAnsi="Times New Roman"/>
                <w:szCs w:val="21"/>
              </w:rPr>
            </w:pPr>
            <w:r>
              <w:rPr>
                <w:rFonts w:ascii="Times New Roman" w:hAnsi="Times New Roman"/>
                <w:szCs w:val="21"/>
              </w:rPr>
              <w:t>7</w:t>
            </w:r>
          </w:p>
        </w:tc>
        <w:tc>
          <w:tcPr>
            <w:tcW w:w="2324" w:type="dxa"/>
            <w:vAlign w:val="center"/>
          </w:tcPr>
          <w:p>
            <w:pPr>
              <w:rPr>
                <w:rFonts w:ascii="Times New Roman" w:hAnsi="Times New Roman"/>
                <w:szCs w:val="21"/>
              </w:rPr>
            </w:pPr>
          </w:p>
        </w:tc>
        <w:tc>
          <w:tcPr>
            <w:tcW w:w="1256" w:type="dxa"/>
            <w:vAlign w:val="center"/>
          </w:tcPr>
          <w:p>
            <w:pPr>
              <w:rPr>
                <w:rFonts w:ascii="Times New Roman" w:hAnsi="Times New Roman"/>
                <w:szCs w:val="21"/>
              </w:rPr>
            </w:pPr>
          </w:p>
        </w:tc>
        <w:tc>
          <w:tcPr>
            <w:tcW w:w="1899" w:type="dxa"/>
            <w:vAlign w:val="center"/>
          </w:tcPr>
          <w:p>
            <w:pPr>
              <w:rPr>
                <w:rFonts w:ascii="Times New Roman" w:hAnsi="Times New Roman"/>
                <w:szCs w:val="21"/>
              </w:rPr>
            </w:pPr>
          </w:p>
        </w:tc>
        <w:tc>
          <w:tcPr>
            <w:tcW w:w="1703" w:type="dxa"/>
            <w:vAlign w:val="center"/>
          </w:tcPr>
          <w:p>
            <w:pPr>
              <w:rPr>
                <w:rFonts w:ascii="Times New Roman" w:hAnsi="Times New Roman"/>
                <w:szCs w:val="21"/>
              </w:rPr>
            </w:pPr>
          </w:p>
        </w:tc>
        <w:tc>
          <w:tcPr>
            <w:tcW w:w="691" w:type="dxa"/>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36" w:type="dxa"/>
            <w:vAlign w:val="center"/>
          </w:tcPr>
          <w:p>
            <w:pPr>
              <w:jc w:val="center"/>
              <w:rPr>
                <w:rFonts w:ascii="Times New Roman" w:hAnsi="Times New Roman"/>
                <w:szCs w:val="21"/>
              </w:rPr>
            </w:pPr>
            <w:r>
              <w:rPr>
                <w:rFonts w:ascii="Times New Roman" w:hAnsi="Times New Roman"/>
                <w:szCs w:val="21"/>
              </w:rPr>
              <w:t>8</w:t>
            </w:r>
          </w:p>
        </w:tc>
        <w:tc>
          <w:tcPr>
            <w:tcW w:w="2324" w:type="dxa"/>
            <w:vAlign w:val="center"/>
          </w:tcPr>
          <w:p>
            <w:pPr>
              <w:rPr>
                <w:rFonts w:ascii="Times New Roman" w:hAnsi="Times New Roman"/>
                <w:szCs w:val="21"/>
              </w:rPr>
            </w:pPr>
          </w:p>
        </w:tc>
        <w:tc>
          <w:tcPr>
            <w:tcW w:w="1256" w:type="dxa"/>
            <w:vAlign w:val="center"/>
          </w:tcPr>
          <w:p>
            <w:pPr>
              <w:rPr>
                <w:rFonts w:ascii="Times New Roman" w:hAnsi="Times New Roman"/>
                <w:szCs w:val="21"/>
              </w:rPr>
            </w:pPr>
          </w:p>
        </w:tc>
        <w:tc>
          <w:tcPr>
            <w:tcW w:w="1899" w:type="dxa"/>
            <w:vAlign w:val="center"/>
          </w:tcPr>
          <w:p>
            <w:pPr>
              <w:rPr>
                <w:rFonts w:ascii="Times New Roman" w:hAnsi="Times New Roman"/>
                <w:szCs w:val="21"/>
              </w:rPr>
            </w:pPr>
          </w:p>
        </w:tc>
        <w:tc>
          <w:tcPr>
            <w:tcW w:w="1703" w:type="dxa"/>
            <w:vAlign w:val="center"/>
          </w:tcPr>
          <w:p>
            <w:pPr>
              <w:rPr>
                <w:rFonts w:ascii="Times New Roman" w:hAnsi="Times New Roman"/>
                <w:szCs w:val="21"/>
              </w:rPr>
            </w:pPr>
          </w:p>
        </w:tc>
        <w:tc>
          <w:tcPr>
            <w:tcW w:w="691" w:type="dxa"/>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36" w:type="dxa"/>
            <w:vAlign w:val="center"/>
          </w:tcPr>
          <w:p>
            <w:pPr>
              <w:jc w:val="center"/>
              <w:rPr>
                <w:rFonts w:ascii="Times New Roman" w:hAnsi="Times New Roman"/>
                <w:szCs w:val="21"/>
              </w:rPr>
            </w:pPr>
            <w:r>
              <w:rPr>
                <w:rFonts w:ascii="Times New Roman" w:hAnsi="Times New Roman"/>
                <w:szCs w:val="21"/>
              </w:rPr>
              <w:t>9</w:t>
            </w:r>
          </w:p>
        </w:tc>
        <w:tc>
          <w:tcPr>
            <w:tcW w:w="2324" w:type="dxa"/>
            <w:vAlign w:val="center"/>
          </w:tcPr>
          <w:p>
            <w:pPr>
              <w:rPr>
                <w:rFonts w:ascii="Times New Roman" w:hAnsi="Times New Roman"/>
                <w:szCs w:val="21"/>
              </w:rPr>
            </w:pPr>
          </w:p>
        </w:tc>
        <w:tc>
          <w:tcPr>
            <w:tcW w:w="1256" w:type="dxa"/>
            <w:vAlign w:val="center"/>
          </w:tcPr>
          <w:p>
            <w:pPr>
              <w:rPr>
                <w:rFonts w:ascii="Times New Roman" w:hAnsi="Times New Roman"/>
                <w:szCs w:val="21"/>
              </w:rPr>
            </w:pPr>
          </w:p>
        </w:tc>
        <w:tc>
          <w:tcPr>
            <w:tcW w:w="1899" w:type="dxa"/>
            <w:vAlign w:val="center"/>
          </w:tcPr>
          <w:p>
            <w:pPr>
              <w:rPr>
                <w:rFonts w:ascii="Times New Roman" w:hAnsi="Times New Roman"/>
                <w:szCs w:val="21"/>
              </w:rPr>
            </w:pPr>
          </w:p>
        </w:tc>
        <w:tc>
          <w:tcPr>
            <w:tcW w:w="1703" w:type="dxa"/>
            <w:vAlign w:val="center"/>
          </w:tcPr>
          <w:p>
            <w:pPr>
              <w:rPr>
                <w:rFonts w:ascii="Times New Roman" w:hAnsi="Times New Roman"/>
                <w:szCs w:val="21"/>
              </w:rPr>
            </w:pPr>
          </w:p>
        </w:tc>
        <w:tc>
          <w:tcPr>
            <w:tcW w:w="691" w:type="dxa"/>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36" w:type="dxa"/>
            <w:vAlign w:val="center"/>
          </w:tcPr>
          <w:p>
            <w:pPr>
              <w:jc w:val="center"/>
              <w:rPr>
                <w:rFonts w:ascii="Times New Roman" w:hAnsi="Times New Roman"/>
                <w:szCs w:val="21"/>
              </w:rPr>
            </w:pPr>
            <w:r>
              <w:rPr>
                <w:rFonts w:ascii="Times New Roman" w:hAnsi="Times New Roman"/>
                <w:szCs w:val="21"/>
              </w:rPr>
              <w:t>10</w:t>
            </w:r>
          </w:p>
        </w:tc>
        <w:tc>
          <w:tcPr>
            <w:tcW w:w="2324" w:type="dxa"/>
            <w:vAlign w:val="center"/>
          </w:tcPr>
          <w:p>
            <w:pPr>
              <w:rPr>
                <w:rFonts w:ascii="Times New Roman" w:hAnsi="Times New Roman"/>
                <w:szCs w:val="21"/>
              </w:rPr>
            </w:pPr>
          </w:p>
        </w:tc>
        <w:tc>
          <w:tcPr>
            <w:tcW w:w="1256" w:type="dxa"/>
            <w:vAlign w:val="center"/>
          </w:tcPr>
          <w:p>
            <w:pPr>
              <w:rPr>
                <w:rFonts w:ascii="Times New Roman" w:hAnsi="Times New Roman"/>
                <w:szCs w:val="21"/>
              </w:rPr>
            </w:pPr>
          </w:p>
        </w:tc>
        <w:tc>
          <w:tcPr>
            <w:tcW w:w="1899" w:type="dxa"/>
            <w:vAlign w:val="center"/>
          </w:tcPr>
          <w:p>
            <w:pPr>
              <w:rPr>
                <w:rFonts w:ascii="Times New Roman" w:hAnsi="Times New Roman"/>
                <w:szCs w:val="21"/>
              </w:rPr>
            </w:pPr>
          </w:p>
        </w:tc>
        <w:tc>
          <w:tcPr>
            <w:tcW w:w="1703" w:type="dxa"/>
            <w:vAlign w:val="center"/>
          </w:tcPr>
          <w:p>
            <w:pPr>
              <w:rPr>
                <w:rFonts w:ascii="Times New Roman" w:hAnsi="Times New Roman"/>
                <w:szCs w:val="21"/>
              </w:rPr>
            </w:pPr>
          </w:p>
        </w:tc>
        <w:tc>
          <w:tcPr>
            <w:tcW w:w="691" w:type="dxa"/>
            <w:vAlign w:val="center"/>
          </w:tcPr>
          <w:p>
            <w:pPr>
              <w:rPr>
                <w:rFonts w:ascii="Times New Roman" w:hAnsi="Times New Roman"/>
                <w:szCs w:val="21"/>
              </w:rPr>
            </w:pPr>
          </w:p>
        </w:tc>
      </w:tr>
    </w:tbl>
    <w:p>
      <w:pPr>
        <w:spacing w:line="360" w:lineRule="auto"/>
        <w:rPr>
          <w:rFonts w:ascii="宋体" w:cs="宋体"/>
          <w:b/>
          <w:bCs/>
          <w:szCs w:val="21"/>
        </w:rPr>
      </w:pPr>
    </w:p>
    <w:p>
      <w:pPr>
        <w:spacing w:line="360" w:lineRule="auto"/>
        <w:rPr>
          <w:rFonts w:ascii="宋体" w:cs="宋体"/>
          <w:b/>
          <w:bCs/>
          <w:szCs w:val="21"/>
        </w:rPr>
      </w:pPr>
    </w:p>
    <w:p>
      <w:pPr>
        <w:spacing w:line="360" w:lineRule="auto"/>
        <w:rPr>
          <w:rFonts w:ascii="宋体" w:cs="宋体"/>
          <w:b/>
          <w:bCs/>
          <w:szCs w:val="21"/>
        </w:rPr>
      </w:pPr>
    </w:p>
    <w:p>
      <w:pPr>
        <w:spacing w:line="360" w:lineRule="auto"/>
        <w:rPr>
          <w:rFonts w:ascii="宋体" w:cs="宋体"/>
          <w:b/>
          <w:bCs/>
          <w:szCs w:val="21"/>
        </w:rPr>
      </w:pPr>
    </w:p>
    <w:p>
      <w:pPr>
        <w:spacing w:line="360" w:lineRule="auto"/>
        <w:rPr>
          <w:rFonts w:ascii="宋体" w:cs="宋体"/>
          <w:b/>
          <w:bCs/>
          <w:szCs w:val="21"/>
        </w:rPr>
      </w:pPr>
    </w:p>
    <w:p>
      <w:pPr>
        <w:spacing w:line="360" w:lineRule="auto"/>
        <w:rPr>
          <w:rFonts w:ascii="宋体" w:cs="宋体"/>
          <w:b/>
          <w:bCs/>
          <w:szCs w:val="21"/>
        </w:rPr>
      </w:pPr>
    </w:p>
    <w:p>
      <w:pPr>
        <w:spacing w:line="360" w:lineRule="auto"/>
        <w:rPr>
          <w:rFonts w:ascii="宋体" w:cs="宋体"/>
          <w:b/>
          <w:bCs/>
          <w:szCs w:val="21"/>
        </w:rPr>
      </w:pPr>
    </w:p>
    <w:bookmarkEnd w:id="41"/>
    <w:bookmarkEnd w:id="42"/>
    <w:p>
      <w:pPr>
        <w:spacing w:line="360" w:lineRule="auto"/>
        <w:ind w:firstLine="420" w:firstLineChars="200"/>
        <w:rPr>
          <w:rFonts w:ascii="宋体" w:cs="宋体"/>
          <w:szCs w:val="21"/>
        </w:rPr>
      </w:pPr>
    </w:p>
    <w:p>
      <w:pPr>
        <w:spacing w:line="360" w:lineRule="auto"/>
        <w:ind w:firstLine="420" w:firstLineChars="200"/>
        <w:rPr>
          <w:rFonts w:ascii="Times New Roman" w:hAnsi="Times New Roman"/>
          <w:szCs w:val="21"/>
        </w:rPr>
      </w:pPr>
      <w:r>
        <w:rPr>
          <w:rFonts w:hint="eastAsia" w:ascii="Times New Roman" w:hAnsi="Times New Roman"/>
          <w:szCs w:val="21"/>
        </w:rPr>
        <w:t>供应商名称（公章）：</w:t>
      </w:r>
    </w:p>
    <w:p>
      <w:pPr>
        <w:spacing w:line="360" w:lineRule="auto"/>
        <w:ind w:firstLine="420" w:firstLineChars="200"/>
        <w:rPr>
          <w:rFonts w:ascii="Times New Roman" w:hAnsi="Times New Roman"/>
          <w:szCs w:val="21"/>
        </w:rPr>
      </w:pPr>
    </w:p>
    <w:p>
      <w:pPr>
        <w:spacing w:line="360" w:lineRule="auto"/>
        <w:ind w:firstLine="420" w:firstLineChars="200"/>
        <w:rPr>
          <w:rFonts w:ascii="Times New Roman" w:hAnsi="Times New Roman"/>
          <w:szCs w:val="21"/>
        </w:rPr>
      </w:pPr>
      <w:r>
        <w:rPr>
          <w:rFonts w:hint="eastAsia" w:ascii="Times New Roman" w:hAnsi="Times New Roman"/>
          <w:szCs w:val="21"/>
        </w:rPr>
        <w:t>授权代表人（签字）：</w:t>
      </w:r>
    </w:p>
    <w:p>
      <w:pPr>
        <w:spacing w:line="360" w:lineRule="auto"/>
        <w:ind w:firstLine="420" w:firstLineChars="200"/>
        <w:rPr>
          <w:rFonts w:ascii="Times New Roman" w:hAnsi="Times New Roman"/>
          <w:szCs w:val="21"/>
        </w:rPr>
      </w:pPr>
    </w:p>
    <w:p>
      <w:pPr>
        <w:spacing w:line="360" w:lineRule="auto"/>
        <w:ind w:firstLine="420" w:firstLineChars="200"/>
        <w:rPr>
          <w:rFonts w:ascii="Times New Roman" w:hAnsi="Times New Roman"/>
          <w:szCs w:val="21"/>
        </w:rPr>
      </w:pPr>
      <w:r>
        <w:rPr>
          <w:rFonts w:hint="eastAsia" w:ascii="Times New Roman" w:hAnsi="Times New Roman"/>
          <w:szCs w:val="21"/>
        </w:rPr>
        <w:t>日期：</w:t>
      </w:r>
      <w:r>
        <w:rPr>
          <w:rFonts w:ascii="Times New Roman" w:hAnsi="Times New Roman"/>
          <w:szCs w:val="21"/>
        </w:rPr>
        <w:t xml:space="preserve"> 2020</w:t>
      </w:r>
      <w:r>
        <w:rPr>
          <w:rFonts w:hint="eastAsia" w:ascii="Times New Roman" w:hAnsi="Times New Roman"/>
          <w:szCs w:val="21"/>
        </w:rPr>
        <w:t>年月日</w:t>
      </w:r>
    </w:p>
    <w:p>
      <w:pPr>
        <w:pStyle w:val="4"/>
        <w:ind w:firstLine="562"/>
      </w:pPr>
      <w:r>
        <w:rPr>
          <w:sz w:val="28"/>
          <w:szCs w:val="28"/>
        </w:rPr>
        <w:br w:type="page"/>
      </w:r>
      <w:r>
        <w:rPr>
          <w:rFonts w:hint="eastAsia"/>
        </w:rPr>
        <w:t>附件九：</w:t>
      </w:r>
    </w:p>
    <w:p>
      <w:pPr>
        <w:jc w:val="center"/>
        <w:rPr>
          <w:b/>
          <w:bCs/>
          <w:sz w:val="32"/>
        </w:rPr>
      </w:pPr>
    </w:p>
    <w:p>
      <w:pPr>
        <w:jc w:val="center"/>
        <w:rPr>
          <w:b/>
          <w:bCs/>
          <w:sz w:val="32"/>
        </w:rPr>
      </w:pPr>
    </w:p>
    <w:p>
      <w:pPr>
        <w:jc w:val="center"/>
        <w:rPr>
          <w:b/>
          <w:bCs/>
          <w:sz w:val="32"/>
        </w:rPr>
      </w:pPr>
    </w:p>
    <w:p>
      <w:pPr>
        <w:snapToGrid w:val="0"/>
        <w:spacing w:line="360" w:lineRule="auto"/>
        <w:jc w:val="center"/>
        <w:rPr>
          <w:b/>
          <w:bCs/>
          <w:sz w:val="32"/>
        </w:rPr>
      </w:pPr>
      <w:r>
        <w:rPr>
          <w:rFonts w:hint="eastAsia"/>
          <w:b/>
          <w:bCs/>
          <w:sz w:val="32"/>
        </w:rPr>
        <w:t>服务承诺（服务方案）及</w:t>
      </w:r>
    </w:p>
    <w:p>
      <w:pPr>
        <w:snapToGrid w:val="0"/>
        <w:spacing w:line="360" w:lineRule="auto"/>
        <w:jc w:val="center"/>
        <w:rPr>
          <w:b/>
          <w:bCs/>
          <w:sz w:val="32"/>
        </w:rPr>
      </w:pPr>
      <w:r>
        <w:rPr>
          <w:rFonts w:hint="eastAsia"/>
          <w:b/>
          <w:bCs/>
          <w:sz w:val="32"/>
        </w:rPr>
        <w:t>公司介绍及获得的荣誉</w:t>
      </w:r>
    </w:p>
    <w:bookmarkEnd w:id="43"/>
    <w:bookmarkEnd w:id="44"/>
    <w:p/>
    <w:p/>
    <w:p/>
    <w:p>
      <w:pPr>
        <w:pStyle w:val="9"/>
        <w:spacing w:before="120" w:after="120"/>
        <w:jc w:val="center"/>
      </w:pPr>
      <w:r>
        <w:rPr>
          <w:rFonts w:hint="eastAsia"/>
        </w:rPr>
        <w:t>（内容由供应商自行编写，格式自拟）</w:t>
      </w:r>
    </w:p>
    <w:p/>
    <w:p/>
    <w:p/>
    <w:p>
      <w:pPr>
        <w:spacing w:line="360" w:lineRule="auto"/>
        <w:ind w:firstLine="420" w:firstLineChars="200"/>
        <w:rPr>
          <w:rFonts w:ascii="宋体"/>
          <w:szCs w:val="21"/>
        </w:rPr>
      </w:pPr>
      <w:bookmarkStart w:id="45" w:name="_Toc358377767"/>
      <w:bookmarkStart w:id="46" w:name="_Toc361750536"/>
    </w:p>
    <w:p>
      <w:pPr>
        <w:spacing w:line="360" w:lineRule="auto"/>
        <w:ind w:firstLine="420" w:firstLineChars="200"/>
        <w:rPr>
          <w:rFonts w:ascii="宋体"/>
          <w:szCs w:val="21"/>
        </w:rPr>
      </w:pPr>
    </w:p>
    <w:p>
      <w:pPr>
        <w:spacing w:line="360" w:lineRule="auto"/>
        <w:ind w:firstLine="420" w:firstLineChars="200"/>
        <w:rPr>
          <w:rFonts w:ascii="宋体"/>
          <w:szCs w:val="21"/>
        </w:rPr>
      </w:pPr>
    </w:p>
    <w:p>
      <w:pPr>
        <w:spacing w:line="360" w:lineRule="auto"/>
        <w:ind w:firstLine="420" w:firstLineChars="200"/>
        <w:rPr>
          <w:rFonts w:ascii="宋体"/>
          <w:szCs w:val="21"/>
        </w:rPr>
      </w:pPr>
    </w:p>
    <w:p>
      <w:pPr>
        <w:spacing w:line="360" w:lineRule="auto"/>
        <w:ind w:firstLine="420" w:firstLineChars="200"/>
        <w:rPr>
          <w:rFonts w:ascii="宋体"/>
          <w:szCs w:val="21"/>
        </w:rPr>
      </w:pPr>
    </w:p>
    <w:p>
      <w:pPr>
        <w:spacing w:line="360" w:lineRule="auto"/>
        <w:ind w:firstLine="420" w:firstLineChars="200"/>
        <w:rPr>
          <w:rFonts w:ascii="Times New Roman" w:hAnsi="Times New Roman"/>
          <w:szCs w:val="21"/>
        </w:rPr>
      </w:pPr>
      <w:r>
        <w:rPr>
          <w:rFonts w:hint="eastAsia" w:ascii="Times New Roman" w:hAnsi="Times New Roman"/>
          <w:szCs w:val="21"/>
        </w:rPr>
        <w:t>供应商名称（公章）：</w:t>
      </w:r>
    </w:p>
    <w:p>
      <w:pPr>
        <w:spacing w:line="360" w:lineRule="auto"/>
        <w:ind w:firstLine="420" w:firstLineChars="200"/>
        <w:rPr>
          <w:rFonts w:ascii="Times New Roman" w:hAnsi="Times New Roman"/>
          <w:szCs w:val="21"/>
        </w:rPr>
      </w:pPr>
    </w:p>
    <w:p>
      <w:pPr>
        <w:spacing w:line="360" w:lineRule="auto"/>
        <w:ind w:firstLine="4620" w:firstLineChars="2200"/>
        <w:rPr>
          <w:rFonts w:ascii="Times New Roman" w:hAnsi="Times New Roman"/>
          <w:szCs w:val="21"/>
        </w:rPr>
      </w:pPr>
      <w:r>
        <w:rPr>
          <w:rFonts w:hint="eastAsia" w:ascii="Times New Roman" w:hAnsi="Times New Roman"/>
          <w:szCs w:val="21"/>
        </w:rPr>
        <w:t>授权代表人（签字）：</w:t>
      </w:r>
    </w:p>
    <w:p>
      <w:pPr>
        <w:spacing w:line="360" w:lineRule="auto"/>
        <w:ind w:firstLine="4620" w:firstLineChars="2200"/>
        <w:rPr>
          <w:rFonts w:ascii="Times New Roman" w:hAnsi="Times New Roman"/>
          <w:szCs w:val="21"/>
        </w:rPr>
      </w:pPr>
    </w:p>
    <w:p>
      <w:pPr>
        <w:spacing w:line="360" w:lineRule="auto"/>
        <w:ind w:firstLine="4620" w:firstLineChars="2200"/>
        <w:rPr>
          <w:rFonts w:ascii="Times New Roman" w:hAnsi="Times New Roman"/>
          <w:szCs w:val="21"/>
        </w:rPr>
      </w:pPr>
      <w:r>
        <w:rPr>
          <w:rFonts w:hint="eastAsia" w:ascii="Times New Roman" w:hAnsi="Times New Roman"/>
          <w:szCs w:val="21"/>
        </w:rPr>
        <w:t>日期：</w:t>
      </w:r>
      <w:r>
        <w:rPr>
          <w:rFonts w:ascii="Times New Roman" w:hAnsi="Times New Roman"/>
          <w:szCs w:val="21"/>
        </w:rPr>
        <w:t xml:space="preserve"> 2020</w:t>
      </w:r>
      <w:r>
        <w:rPr>
          <w:rFonts w:hint="eastAsia" w:ascii="Times New Roman" w:hAnsi="Times New Roman"/>
          <w:szCs w:val="21"/>
        </w:rPr>
        <w:t>年 月 日</w:t>
      </w:r>
    </w:p>
    <w:p>
      <w:pPr>
        <w:rPr>
          <w:szCs w:val="21"/>
        </w:rPr>
      </w:pPr>
    </w:p>
    <w:p>
      <w:pPr>
        <w:rPr>
          <w:szCs w:val="21"/>
        </w:rPr>
      </w:pPr>
    </w:p>
    <w:p>
      <w:pPr>
        <w:rPr>
          <w:szCs w:val="21"/>
        </w:rPr>
      </w:pPr>
    </w:p>
    <w:p>
      <w:pPr>
        <w:pStyle w:val="4"/>
        <w:ind w:firstLine="482"/>
      </w:pPr>
      <w:r>
        <w:br w:type="page"/>
      </w:r>
      <w:bookmarkEnd w:id="45"/>
      <w:bookmarkEnd w:id="46"/>
      <w:bookmarkStart w:id="47" w:name="_Toc361750537"/>
      <w:bookmarkStart w:id="48" w:name="_Toc358377768"/>
      <w:r>
        <w:rPr>
          <w:rFonts w:hint="eastAsia"/>
        </w:rPr>
        <w:t>附件十：</w:t>
      </w:r>
    </w:p>
    <w:p>
      <w:pPr>
        <w:snapToGrid w:val="0"/>
        <w:jc w:val="center"/>
        <w:rPr>
          <w:b/>
          <w:bCs/>
          <w:sz w:val="32"/>
        </w:rPr>
      </w:pPr>
    </w:p>
    <w:p>
      <w:pPr>
        <w:snapToGrid w:val="0"/>
        <w:jc w:val="center"/>
        <w:rPr>
          <w:b/>
          <w:bCs/>
          <w:sz w:val="32"/>
        </w:rPr>
      </w:pPr>
    </w:p>
    <w:p>
      <w:pPr>
        <w:snapToGrid w:val="0"/>
        <w:jc w:val="center"/>
        <w:rPr>
          <w:b/>
          <w:bCs/>
          <w:sz w:val="32"/>
        </w:rPr>
      </w:pPr>
      <w:r>
        <w:rPr>
          <w:rFonts w:hint="eastAsia"/>
          <w:b/>
          <w:bCs/>
          <w:sz w:val="32"/>
        </w:rPr>
        <w:t>供应商认为需要的提供的其他文件或说明</w:t>
      </w:r>
      <w:bookmarkEnd w:id="47"/>
      <w:bookmarkEnd w:id="48"/>
    </w:p>
    <w:p>
      <w:pPr>
        <w:spacing w:line="360" w:lineRule="auto"/>
        <w:rPr>
          <w:rFonts w:ascii="宋体"/>
        </w:rPr>
      </w:pPr>
    </w:p>
    <w:p>
      <w:pPr>
        <w:pStyle w:val="3"/>
        <w:rPr>
          <w:rFonts w:ascii="宋体"/>
          <w:lang w:val="zh-CN"/>
        </w:rPr>
      </w:pPr>
    </w:p>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15</w:t>
    </w:r>
    <w:r>
      <w:rPr>
        <w:rFonts w:ascii="Times New Roman" w:hAnsi="Times New Roman"/>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2</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15</w: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right"/>
      <w:rPr>
        <w:i/>
        <w:w w:val="90"/>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808BDC"/>
    <w:multiLevelType w:val="multilevel"/>
    <w:tmpl w:val="94808BDC"/>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B4D3C9A7"/>
    <w:multiLevelType w:val="singleLevel"/>
    <w:tmpl w:val="B4D3C9A7"/>
    <w:lvl w:ilvl="0" w:tentative="0">
      <w:start w:val="1"/>
      <w:numFmt w:val="decimal"/>
      <w:lvlText w:val="%1."/>
      <w:lvlJc w:val="left"/>
      <w:pPr>
        <w:tabs>
          <w:tab w:val="left" w:pos="312"/>
        </w:tabs>
      </w:pPr>
    </w:lvl>
  </w:abstractNum>
  <w:abstractNum w:abstractNumId="2">
    <w:nsid w:val="C2C90DE4"/>
    <w:multiLevelType w:val="singleLevel"/>
    <w:tmpl w:val="C2C90DE4"/>
    <w:lvl w:ilvl="0" w:tentative="0">
      <w:start w:val="1"/>
      <w:numFmt w:val="decimal"/>
      <w:lvlText w:val="%1."/>
      <w:lvlJc w:val="left"/>
      <w:pPr>
        <w:tabs>
          <w:tab w:val="left" w:pos="312"/>
        </w:tabs>
      </w:pPr>
    </w:lvl>
  </w:abstractNum>
  <w:abstractNum w:abstractNumId="3">
    <w:nsid w:val="1F4E3235"/>
    <w:multiLevelType w:val="multilevel"/>
    <w:tmpl w:val="1F4E323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33FA2A79"/>
    <w:multiLevelType w:val="multilevel"/>
    <w:tmpl w:val="33FA2A7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8E3DA85"/>
    <w:multiLevelType w:val="singleLevel"/>
    <w:tmpl w:val="38E3DA85"/>
    <w:lvl w:ilvl="0" w:tentative="0">
      <w:start w:val="1"/>
      <w:numFmt w:val="decimal"/>
      <w:lvlText w:val="%1."/>
      <w:lvlJc w:val="left"/>
      <w:pPr>
        <w:tabs>
          <w:tab w:val="left" w:pos="312"/>
        </w:tabs>
      </w:pPr>
    </w:lvl>
  </w:abstractNum>
  <w:abstractNum w:abstractNumId="6">
    <w:nsid w:val="42236EF6"/>
    <w:multiLevelType w:val="multilevel"/>
    <w:tmpl w:val="42236EF6"/>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7">
    <w:nsid w:val="4DB60560"/>
    <w:multiLevelType w:val="multilevel"/>
    <w:tmpl w:val="4DB6056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5BEC2B68"/>
    <w:multiLevelType w:val="multilevel"/>
    <w:tmpl w:val="5BEC2B68"/>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651A69B1"/>
    <w:multiLevelType w:val="multilevel"/>
    <w:tmpl w:val="651A69B1"/>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6DFE7AB0"/>
    <w:multiLevelType w:val="multilevel"/>
    <w:tmpl w:val="6DFE7AB0"/>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1">
    <w:nsid w:val="78D73115"/>
    <w:multiLevelType w:val="multilevel"/>
    <w:tmpl w:val="78D73115"/>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8"/>
  </w:num>
  <w:num w:numId="2">
    <w:abstractNumId w:val="3"/>
  </w:num>
  <w:num w:numId="3">
    <w:abstractNumId w:val="7"/>
  </w:num>
  <w:num w:numId="4">
    <w:abstractNumId w:val="4"/>
  </w:num>
  <w:num w:numId="5">
    <w:abstractNumId w:val="10"/>
  </w:num>
  <w:num w:numId="6">
    <w:abstractNumId w:val="6"/>
  </w:num>
  <w:num w:numId="7">
    <w:abstractNumId w:val="9"/>
  </w:num>
  <w:num w:numId="8">
    <w:abstractNumId w:val="1"/>
  </w:num>
  <w:num w:numId="9">
    <w:abstractNumId w:val="2"/>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0F7AA5"/>
    <w:rsid w:val="00022CAE"/>
    <w:rsid w:val="0003230B"/>
    <w:rsid w:val="00032931"/>
    <w:rsid w:val="00032B77"/>
    <w:rsid w:val="000423FD"/>
    <w:rsid w:val="0005769E"/>
    <w:rsid w:val="000615D2"/>
    <w:rsid w:val="00064165"/>
    <w:rsid w:val="00070B9D"/>
    <w:rsid w:val="00070E33"/>
    <w:rsid w:val="000712CA"/>
    <w:rsid w:val="00076F37"/>
    <w:rsid w:val="000810B8"/>
    <w:rsid w:val="00094C86"/>
    <w:rsid w:val="000A349B"/>
    <w:rsid w:val="000C3850"/>
    <w:rsid w:val="000D16D7"/>
    <w:rsid w:val="000D59A2"/>
    <w:rsid w:val="000E29D4"/>
    <w:rsid w:val="000F3D9D"/>
    <w:rsid w:val="00100E21"/>
    <w:rsid w:val="00104496"/>
    <w:rsid w:val="00113107"/>
    <w:rsid w:val="00117F21"/>
    <w:rsid w:val="001312E4"/>
    <w:rsid w:val="00134974"/>
    <w:rsid w:val="00142C6E"/>
    <w:rsid w:val="00142DDA"/>
    <w:rsid w:val="00150FA7"/>
    <w:rsid w:val="00164D7A"/>
    <w:rsid w:val="001719C9"/>
    <w:rsid w:val="00176214"/>
    <w:rsid w:val="00176DBD"/>
    <w:rsid w:val="00183578"/>
    <w:rsid w:val="00194037"/>
    <w:rsid w:val="001C097B"/>
    <w:rsid w:val="001D1232"/>
    <w:rsid w:val="001D27FE"/>
    <w:rsid w:val="001E4C63"/>
    <w:rsid w:val="001E4EBE"/>
    <w:rsid w:val="002050B4"/>
    <w:rsid w:val="00216549"/>
    <w:rsid w:val="0022141B"/>
    <w:rsid w:val="0023129A"/>
    <w:rsid w:val="002361CB"/>
    <w:rsid w:val="002436D6"/>
    <w:rsid w:val="00247573"/>
    <w:rsid w:val="00253DB0"/>
    <w:rsid w:val="00255DA8"/>
    <w:rsid w:val="0029430B"/>
    <w:rsid w:val="002A3DA1"/>
    <w:rsid w:val="002B0562"/>
    <w:rsid w:val="002B77A1"/>
    <w:rsid w:val="002C203C"/>
    <w:rsid w:val="002C5F2A"/>
    <w:rsid w:val="002D2576"/>
    <w:rsid w:val="002E1E59"/>
    <w:rsid w:val="002E7A50"/>
    <w:rsid w:val="002F399B"/>
    <w:rsid w:val="002F7007"/>
    <w:rsid w:val="002F7639"/>
    <w:rsid w:val="00313D10"/>
    <w:rsid w:val="003230BA"/>
    <w:rsid w:val="00332AD5"/>
    <w:rsid w:val="003425A2"/>
    <w:rsid w:val="0035163E"/>
    <w:rsid w:val="00365EFD"/>
    <w:rsid w:val="00383322"/>
    <w:rsid w:val="00384E3C"/>
    <w:rsid w:val="00385603"/>
    <w:rsid w:val="00386A50"/>
    <w:rsid w:val="003A3D6E"/>
    <w:rsid w:val="003C6CD5"/>
    <w:rsid w:val="003E4992"/>
    <w:rsid w:val="003F248E"/>
    <w:rsid w:val="003F37D3"/>
    <w:rsid w:val="003F6E40"/>
    <w:rsid w:val="00413CBF"/>
    <w:rsid w:val="0041409E"/>
    <w:rsid w:val="0041454B"/>
    <w:rsid w:val="00432223"/>
    <w:rsid w:val="004334DB"/>
    <w:rsid w:val="0045669A"/>
    <w:rsid w:val="00463BD4"/>
    <w:rsid w:val="0047591A"/>
    <w:rsid w:val="004767B3"/>
    <w:rsid w:val="00481D4A"/>
    <w:rsid w:val="004831C3"/>
    <w:rsid w:val="004851A2"/>
    <w:rsid w:val="004A173D"/>
    <w:rsid w:val="004A2281"/>
    <w:rsid w:val="004C1050"/>
    <w:rsid w:val="004C2760"/>
    <w:rsid w:val="004D194C"/>
    <w:rsid w:val="004D3DC0"/>
    <w:rsid w:val="004E4D31"/>
    <w:rsid w:val="004E6FC7"/>
    <w:rsid w:val="004E7304"/>
    <w:rsid w:val="004F2CA9"/>
    <w:rsid w:val="00513AC7"/>
    <w:rsid w:val="005178A4"/>
    <w:rsid w:val="0053561B"/>
    <w:rsid w:val="0053645C"/>
    <w:rsid w:val="00540FE7"/>
    <w:rsid w:val="00550657"/>
    <w:rsid w:val="00573A4F"/>
    <w:rsid w:val="005B154B"/>
    <w:rsid w:val="005B2E18"/>
    <w:rsid w:val="005B70F3"/>
    <w:rsid w:val="005C3006"/>
    <w:rsid w:val="005C5263"/>
    <w:rsid w:val="005E1B4A"/>
    <w:rsid w:val="00600B44"/>
    <w:rsid w:val="0062316A"/>
    <w:rsid w:val="006412AC"/>
    <w:rsid w:val="00651188"/>
    <w:rsid w:val="00672FDD"/>
    <w:rsid w:val="00672FFB"/>
    <w:rsid w:val="006829B7"/>
    <w:rsid w:val="00690BF5"/>
    <w:rsid w:val="00697F6C"/>
    <w:rsid w:val="006A4F6A"/>
    <w:rsid w:val="006A5669"/>
    <w:rsid w:val="006A5D7D"/>
    <w:rsid w:val="006C4900"/>
    <w:rsid w:val="006C582C"/>
    <w:rsid w:val="006C6293"/>
    <w:rsid w:val="006D2E0B"/>
    <w:rsid w:val="006E2560"/>
    <w:rsid w:val="006F545A"/>
    <w:rsid w:val="006F5BE2"/>
    <w:rsid w:val="00707A33"/>
    <w:rsid w:val="00712187"/>
    <w:rsid w:val="00722AD8"/>
    <w:rsid w:val="007233E5"/>
    <w:rsid w:val="007247C0"/>
    <w:rsid w:val="00731627"/>
    <w:rsid w:val="00741348"/>
    <w:rsid w:val="00742E4E"/>
    <w:rsid w:val="00747ECC"/>
    <w:rsid w:val="00750681"/>
    <w:rsid w:val="00753B9A"/>
    <w:rsid w:val="00781EB6"/>
    <w:rsid w:val="007973D7"/>
    <w:rsid w:val="007A67D8"/>
    <w:rsid w:val="007B11B7"/>
    <w:rsid w:val="007D4B7B"/>
    <w:rsid w:val="007D6591"/>
    <w:rsid w:val="007E3797"/>
    <w:rsid w:val="007E45A0"/>
    <w:rsid w:val="007E4820"/>
    <w:rsid w:val="007F2403"/>
    <w:rsid w:val="007F52E9"/>
    <w:rsid w:val="00806A26"/>
    <w:rsid w:val="00812AB8"/>
    <w:rsid w:val="008164D1"/>
    <w:rsid w:val="00834497"/>
    <w:rsid w:val="008351EE"/>
    <w:rsid w:val="00853706"/>
    <w:rsid w:val="0086366E"/>
    <w:rsid w:val="00863F90"/>
    <w:rsid w:val="00870E42"/>
    <w:rsid w:val="00871EF7"/>
    <w:rsid w:val="00893011"/>
    <w:rsid w:val="008A0F81"/>
    <w:rsid w:val="008A4DB6"/>
    <w:rsid w:val="008A7F0E"/>
    <w:rsid w:val="008B5411"/>
    <w:rsid w:val="008C0451"/>
    <w:rsid w:val="008D7239"/>
    <w:rsid w:val="008F199B"/>
    <w:rsid w:val="008F1BA6"/>
    <w:rsid w:val="00906C42"/>
    <w:rsid w:val="00915397"/>
    <w:rsid w:val="00923B23"/>
    <w:rsid w:val="00940235"/>
    <w:rsid w:val="00956806"/>
    <w:rsid w:val="00960B30"/>
    <w:rsid w:val="00970F60"/>
    <w:rsid w:val="0099497E"/>
    <w:rsid w:val="009B1522"/>
    <w:rsid w:val="009C6B5C"/>
    <w:rsid w:val="009D34C0"/>
    <w:rsid w:val="009D3CD6"/>
    <w:rsid w:val="009E32BC"/>
    <w:rsid w:val="00A00AB5"/>
    <w:rsid w:val="00A22790"/>
    <w:rsid w:val="00A32A0A"/>
    <w:rsid w:val="00A445B9"/>
    <w:rsid w:val="00A64AB9"/>
    <w:rsid w:val="00A66503"/>
    <w:rsid w:val="00A777D0"/>
    <w:rsid w:val="00A77DB7"/>
    <w:rsid w:val="00A80479"/>
    <w:rsid w:val="00A86D96"/>
    <w:rsid w:val="00A93464"/>
    <w:rsid w:val="00AB1868"/>
    <w:rsid w:val="00AC6D4E"/>
    <w:rsid w:val="00AE2AC3"/>
    <w:rsid w:val="00AF2047"/>
    <w:rsid w:val="00AF3547"/>
    <w:rsid w:val="00B038A1"/>
    <w:rsid w:val="00B14E1F"/>
    <w:rsid w:val="00B20F8C"/>
    <w:rsid w:val="00B24B03"/>
    <w:rsid w:val="00B32450"/>
    <w:rsid w:val="00B360B2"/>
    <w:rsid w:val="00B419BA"/>
    <w:rsid w:val="00B5064D"/>
    <w:rsid w:val="00B7559E"/>
    <w:rsid w:val="00B8206A"/>
    <w:rsid w:val="00B83009"/>
    <w:rsid w:val="00B84A41"/>
    <w:rsid w:val="00B864FA"/>
    <w:rsid w:val="00B94D2E"/>
    <w:rsid w:val="00B94F79"/>
    <w:rsid w:val="00B963C9"/>
    <w:rsid w:val="00B964D4"/>
    <w:rsid w:val="00B97606"/>
    <w:rsid w:val="00BB45C0"/>
    <w:rsid w:val="00BC2592"/>
    <w:rsid w:val="00BC4378"/>
    <w:rsid w:val="00BD482E"/>
    <w:rsid w:val="00BE20DA"/>
    <w:rsid w:val="00BE4E18"/>
    <w:rsid w:val="00BF21DC"/>
    <w:rsid w:val="00C00FA9"/>
    <w:rsid w:val="00C05B06"/>
    <w:rsid w:val="00C16775"/>
    <w:rsid w:val="00C35AA5"/>
    <w:rsid w:val="00C430B8"/>
    <w:rsid w:val="00C63173"/>
    <w:rsid w:val="00C707EE"/>
    <w:rsid w:val="00C7452E"/>
    <w:rsid w:val="00C76519"/>
    <w:rsid w:val="00C77450"/>
    <w:rsid w:val="00C814DC"/>
    <w:rsid w:val="00C81B23"/>
    <w:rsid w:val="00C86C12"/>
    <w:rsid w:val="00C93DE0"/>
    <w:rsid w:val="00CA4CAF"/>
    <w:rsid w:val="00CA7BBD"/>
    <w:rsid w:val="00CB7BA5"/>
    <w:rsid w:val="00CC39B9"/>
    <w:rsid w:val="00CD2A90"/>
    <w:rsid w:val="00CF4CA7"/>
    <w:rsid w:val="00D3497D"/>
    <w:rsid w:val="00D34C83"/>
    <w:rsid w:val="00D43013"/>
    <w:rsid w:val="00D72CEE"/>
    <w:rsid w:val="00D74BAD"/>
    <w:rsid w:val="00D75117"/>
    <w:rsid w:val="00D92BB5"/>
    <w:rsid w:val="00D9462F"/>
    <w:rsid w:val="00DA3131"/>
    <w:rsid w:val="00DB4F0C"/>
    <w:rsid w:val="00DB7398"/>
    <w:rsid w:val="00DC4F60"/>
    <w:rsid w:val="00DD3D47"/>
    <w:rsid w:val="00DE01B4"/>
    <w:rsid w:val="00DE410C"/>
    <w:rsid w:val="00DF7FE7"/>
    <w:rsid w:val="00E017D2"/>
    <w:rsid w:val="00E144EF"/>
    <w:rsid w:val="00E210CE"/>
    <w:rsid w:val="00E23381"/>
    <w:rsid w:val="00E33C83"/>
    <w:rsid w:val="00E36C73"/>
    <w:rsid w:val="00E507CD"/>
    <w:rsid w:val="00E65A99"/>
    <w:rsid w:val="00E65EAE"/>
    <w:rsid w:val="00E91FCE"/>
    <w:rsid w:val="00E96A84"/>
    <w:rsid w:val="00EB1153"/>
    <w:rsid w:val="00EB1E1B"/>
    <w:rsid w:val="00EC095C"/>
    <w:rsid w:val="00ED0F74"/>
    <w:rsid w:val="00EE1614"/>
    <w:rsid w:val="00EE6C0C"/>
    <w:rsid w:val="00EF1128"/>
    <w:rsid w:val="00F04C41"/>
    <w:rsid w:val="00F10F32"/>
    <w:rsid w:val="00F43E3A"/>
    <w:rsid w:val="00F6535C"/>
    <w:rsid w:val="00F7060F"/>
    <w:rsid w:val="00F80764"/>
    <w:rsid w:val="00F91F04"/>
    <w:rsid w:val="00FA3E6E"/>
    <w:rsid w:val="00FA5286"/>
    <w:rsid w:val="00FB0898"/>
    <w:rsid w:val="00FB0FDF"/>
    <w:rsid w:val="00FC46AB"/>
    <w:rsid w:val="00FC647C"/>
    <w:rsid w:val="00FD7337"/>
    <w:rsid w:val="00FE204F"/>
    <w:rsid w:val="00FE436C"/>
    <w:rsid w:val="022F7BDD"/>
    <w:rsid w:val="024E50B1"/>
    <w:rsid w:val="043A7E62"/>
    <w:rsid w:val="08274BDF"/>
    <w:rsid w:val="0D404162"/>
    <w:rsid w:val="105F3C59"/>
    <w:rsid w:val="10951B0B"/>
    <w:rsid w:val="120846F7"/>
    <w:rsid w:val="14632733"/>
    <w:rsid w:val="14BF393E"/>
    <w:rsid w:val="152B3FC1"/>
    <w:rsid w:val="15CF1CBE"/>
    <w:rsid w:val="17B579C4"/>
    <w:rsid w:val="195B0FF0"/>
    <w:rsid w:val="19CB34E3"/>
    <w:rsid w:val="1A496624"/>
    <w:rsid w:val="1BB26449"/>
    <w:rsid w:val="1CA10498"/>
    <w:rsid w:val="1D5E0E41"/>
    <w:rsid w:val="1EB14C1F"/>
    <w:rsid w:val="1EB67781"/>
    <w:rsid w:val="200521CC"/>
    <w:rsid w:val="21231EED"/>
    <w:rsid w:val="222858E0"/>
    <w:rsid w:val="23111A39"/>
    <w:rsid w:val="24E432A2"/>
    <w:rsid w:val="28031A56"/>
    <w:rsid w:val="28727652"/>
    <w:rsid w:val="28B549AB"/>
    <w:rsid w:val="2A2A2BFF"/>
    <w:rsid w:val="2A457EB6"/>
    <w:rsid w:val="2A4C40E6"/>
    <w:rsid w:val="2C0F7AA5"/>
    <w:rsid w:val="2C9D748F"/>
    <w:rsid w:val="2DA204ED"/>
    <w:rsid w:val="2E6D0E13"/>
    <w:rsid w:val="32806ED0"/>
    <w:rsid w:val="347B434E"/>
    <w:rsid w:val="38CD5015"/>
    <w:rsid w:val="3B1906D2"/>
    <w:rsid w:val="3DB255BC"/>
    <w:rsid w:val="3F3723CD"/>
    <w:rsid w:val="413D682D"/>
    <w:rsid w:val="428745C5"/>
    <w:rsid w:val="4D2B180F"/>
    <w:rsid w:val="50D32C80"/>
    <w:rsid w:val="51F05043"/>
    <w:rsid w:val="534C49D1"/>
    <w:rsid w:val="537137A2"/>
    <w:rsid w:val="55022C30"/>
    <w:rsid w:val="56184BE7"/>
    <w:rsid w:val="5872501E"/>
    <w:rsid w:val="589E23DB"/>
    <w:rsid w:val="5EA404CC"/>
    <w:rsid w:val="63661202"/>
    <w:rsid w:val="63B0565D"/>
    <w:rsid w:val="63FB5264"/>
    <w:rsid w:val="650B543B"/>
    <w:rsid w:val="660E4841"/>
    <w:rsid w:val="682B1178"/>
    <w:rsid w:val="692C07CD"/>
    <w:rsid w:val="69426227"/>
    <w:rsid w:val="6B1516E0"/>
    <w:rsid w:val="6D5B0BAC"/>
    <w:rsid w:val="700509FF"/>
    <w:rsid w:val="7078313A"/>
    <w:rsid w:val="726015BF"/>
    <w:rsid w:val="76E129CC"/>
    <w:rsid w:val="7B3A1535"/>
    <w:rsid w:val="7D7004E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iPriority="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uiPriority="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99" w:name="HTML Preformatted" w:locked="1"/>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6"/>
    <w:qFormat/>
    <w:uiPriority w:val="99"/>
    <w:pPr>
      <w:keepNext/>
      <w:keepLines/>
      <w:spacing w:beforeLines="100" w:afterLines="100" w:line="360" w:lineRule="auto"/>
      <w:jc w:val="center"/>
      <w:outlineLvl w:val="0"/>
    </w:pPr>
    <w:rPr>
      <w:rFonts w:ascii="Times New Roman" w:hAnsi="Times New Roman" w:eastAsia="黑体"/>
      <w:b/>
      <w:bCs/>
      <w:kern w:val="44"/>
      <w:sz w:val="28"/>
      <w:szCs w:val="44"/>
    </w:rPr>
  </w:style>
  <w:style w:type="paragraph" w:styleId="3">
    <w:name w:val="heading 2"/>
    <w:basedOn w:val="1"/>
    <w:next w:val="1"/>
    <w:link w:val="27"/>
    <w:qFormat/>
    <w:uiPriority w:val="99"/>
    <w:pPr>
      <w:keepNext/>
      <w:keepLines/>
      <w:spacing w:line="360" w:lineRule="auto"/>
      <w:jc w:val="left"/>
      <w:outlineLvl w:val="1"/>
    </w:pPr>
    <w:rPr>
      <w:rFonts w:ascii="Cambria" w:hAnsi="Cambria"/>
      <w:b/>
      <w:bCs/>
      <w:sz w:val="24"/>
      <w:szCs w:val="32"/>
    </w:rPr>
  </w:style>
  <w:style w:type="paragraph" w:styleId="4">
    <w:name w:val="heading 3"/>
    <w:basedOn w:val="1"/>
    <w:next w:val="1"/>
    <w:link w:val="28"/>
    <w:qFormat/>
    <w:uiPriority w:val="99"/>
    <w:pPr>
      <w:keepNext/>
      <w:keepLines/>
      <w:spacing w:line="360" w:lineRule="auto"/>
      <w:ind w:firstLine="200" w:firstLineChars="200"/>
      <w:outlineLvl w:val="2"/>
    </w:pPr>
    <w:rPr>
      <w:rFonts w:ascii="Times New Roman" w:hAnsi="Times New Roman"/>
      <w:b/>
      <w:bCs/>
      <w:sz w:val="24"/>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2"/>
    <w:qFormat/>
    <w:uiPriority w:val="99"/>
    <w:pPr>
      <w:widowControl/>
      <w:adjustRightInd w:val="0"/>
      <w:snapToGrid w:val="0"/>
      <w:spacing w:line="480" w:lineRule="exact"/>
      <w:ind w:firstLine="567"/>
    </w:pPr>
    <w:rPr>
      <w:rFonts w:ascii="宋体"/>
      <w:color w:val="000000"/>
      <w:kern w:val="28"/>
      <w:sz w:val="28"/>
      <w:szCs w:val="20"/>
    </w:rPr>
  </w:style>
  <w:style w:type="paragraph" w:styleId="6">
    <w:name w:val="Document Map"/>
    <w:basedOn w:val="1"/>
    <w:link w:val="29"/>
    <w:qFormat/>
    <w:uiPriority w:val="99"/>
    <w:pPr>
      <w:shd w:val="clear" w:color="auto" w:fill="000080"/>
    </w:pPr>
  </w:style>
  <w:style w:type="paragraph" w:styleId="7">
    <w:name w:val="annotation text"/>
    <w:basedOn w:val="1"/>
    <w:link w:val="46"/>
    <w:semiHidden/>
    <w:unhideWhenUsed/>
    <w:qFormat/>
    <w:uiPriority w:val="0"/>
    <w:pPr>
      <w:jc w:val="left"/>
    </w:pPr>
  </w:style>
  <w:style w:type="paragraph" w:styleId="8">
    <w:name w:val="Body Text Indent"/>
    <w:basedOn w:val="1"/>
    <w:link w:val="30"/>
    <w:qFormat/>
    <w:uiPriority w:val="99"/>
    <w:pPr>
      <w:spacing w:line="480" w:lineRule="exact"/>
      <w:ind w:firstLine="480" w:firstLineChars="200"/>
    </w:pPr>
    <w:rPr>
      <w:rFonts w:ascii="宋体" w:hAnsi="宋体"/>
      <w:sz w:val="24"/>
      <w:szCs w:val="20"/>
    </w:rPr>
  </w:style>
  <w:style w:type="paragraph" w:styleId="9">
    <w:name w:val="Plain Text"/>
    <w:basedOn w:val="1"/>
    <w:link w:val="31"/>
    <w:qFormat/>
    <w:uiPriority w:val="0"/>
    <w:pPr>
      <w:spacing w:line="360" w:lineRule="auto"/>
    </w:pPr>
    <w:rPr>
      <w:rFonts w:ascii="Times New Roman" w:hAnsi="Times New Roman"/>
      <w:b/>
    </w:rPr>
  </w:style>
  <w:style w:type="paragraph" w:styleId="10">
    <w:name w:val="Body Text Indent 2"/>
    <w:basedOn w:val="1"/>
    <w:link w:val="32"/>
    <w:qFormat/>
    <w:uiPriority w:val="99"/>
    <w:pPr>
      <w:spacing w:after="120" w:line="480" w:lineRule="auto"/>
      <w:ind w:left="420" w:leftChars="200"/>
    </w:pPr>
  </w:style>
  <w:style w:type="paragraph" w:styleId="11">
    <w:name w:val="Balloon Text"/>
    <w:basedOn w:val="1"/>
    <w:link w:val="33"/>
    <w:qFormat/>
    <w:uiPriority w:val="99"/>
    <w:rPr>
      <w:sz w:val="18"/>
      <w:szCs w:val="18"/>
    </w:rPr>
  </w:style>
  <w:style w:type="paragraph" w:styleId="12">
    <w:name w:val="footer"/>
    <w:basedOn w:val="1"/>
    <w:link w:val="34"/>
    <w:qFormat/>
    <w:uiPriority w:val="99"/>
    <w:pPr>
      <w:tabs>
        <w:tab w:val="center" w:pos="4153"/>
        <w:tab w:val="right" w:pos="8306"/>
      </w:tabs>
      <w:snapToGrid w:val="0"/>
      <w:jc w:val="left"/>
    </w:pPr>
    <w:rPr>
      <w:sz w:val="18"/>
      <w:szCs w:val="20"/>
    </w:rPr>
  </w:style>
  <w:style w:type="paragraph" w:styleId="13">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8302"/>
      </w:tabs>
      <w:spacing w:line="360" w:lineRule="auto"/>
    </w:pPr>
  </w:style>
  <w:style w:type="paragraph" w:styleId="15">
    <w:name w:val="Body Text Indent 3"/>
    <w:basedOn w:val="1"/>
    <w:link w:val="36"/>
    <w:qFormat/>
    <w:uiPriority w:val="99"/>
    <w:pPr>
      <w:spacing w:after="120"/>
      <w:ind w:left="420" w:leftChars="200"/>
    </w:pPr>
    <w:rPr>
      <w:rFonts w:ascii="Times New Roman" w:hAnsi="Times New Roman"/>
      <w:sz w:val="16"/>
      <w:szCs w:val="16"/>
    </w:rPr>
  </w:style>
  <w:style w:type="paragraph" w:styleId="16">
    <w:name w:val="toc 2"/>
    <w:basedOn w:val="1"/>
    <w:next w:val="1"/>
    <w:qFormat/>
    <w:uiPriority w:val="39"/>
    <w:pPr>
      <w:tabs>
        <w:tab w:val="right" w:leader="dot" w:pos="8302"/>
      </w:tabs>
      <w:spacing w:line="360" w:lineRule="auto"/>
      <w:ind w:left="420" w:leftChars="200"/>
    </w:pPr>
  </w:style>
  <w:style w:type="paragraph" w:styleId="17">
    <w:name w:val="Title"/>
    <w:basedOn w:val="1"/>
    <w:link w:val="37"/>
    <w:qFormat/>
    <w:uiPriority w:val="99"/>
    <w:pPr>
      <w:widowControl/>
      <w:overflowPunct w:val="0"/>
      <w:autoSpaceDE w:val="0"/>
      <w:autoSpaceDN w:val="0"/>
      <w:adjustRightInd w:val="0"/>
      <w:jc w:val="center"/>
      <w:textAlignment w:val="baseline"/>
    </w:pPr>
    <w:rPr>
      <w:b/>
      <w:kern w:val="0"/>
      <w:sz w:val="24"/>
      <w:szCs w:val="20"/>
      <w:lang w:val="en-GB"/>
    </w:rPr>
  </w:style>
  <w:style w:type="paragraph" w:styleId="18">
    <w:name w:val="annotation subject"/>
    <w:basedOn w:val="7"/>
    <w:next w:val="7"/>
    <w:link w:val="47"/>
    <w:semiHidden/>
    <w:unhideWhenUsed/>
    <w:qFormat/>
    <w:uiPriority w:val="0"/>
    <w:rPr>
      <w:b/>
      <w:bCs/>
    </w:rPr>
  </w:style>
  <w:style w:type="table" w:styleId="20">
    <w:name w:val="Table Grid"/>
    <w:basedOn w:val="1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99"/>
    <w:rPr>
      <w:rFonts w:cs="Times New Roman"/>
      <w:b/>
    </w:rPr>
  </w:style>
  <w:style w:type="character" w:styleId="23">
    <w:name w:val="page number"/>
    <w:qFormat/>
    <w:uiPriority w:val="99"/>
    <w:rPr>
      <w:rFonts w:cs="Times New Roman"/>
    </w:rPr>
  </w:style>
  <w:style w:type="character" w:styleId="24">
    <w:name w:val="Hyperlink"/>
    <w:qFormat/>
    <w:uiPriority w:val="99"/>
    <w:rPr>
      <w:rFonts w:cs="Times New Roman"/>
      <w:color w:val="0000FF"/>
      <w:u w:val="single"/>
    </w:rPr>
  </w:style>
  <w:style w:type="character" w:styleId="25">
    <w:name w:val="annotation reference"/>
    <w:basedOn w:val="21"/>
    <w:semiHidden/>
    <w:unhideWhenUsed/>
    <w:qFormat/>
    <w:uiPriority w:val="0"/>
    <w:rPr>
      <w:sz w:val="21"/>
      <w:szCs w:val="21"/>
    </w:rPr>
  </w:style>
  <w:style w:type="character" w:customStyle="1" w:styleId="26">
    <w:name w:val="标题 1 Char"/>
    <w:link w:val="2"/>
    <w:qFormat/>
    <w:uiPriority w:val="9"/>
    <w:rPr>
      <w:rFonts w:ascii="Calibri" w:hAnsi="Calibri"/>
      <w:b/>
      <w:bCs/>
      <w:kern w:val="44"/>
      <w:sz w:val="44"/>
      <w:szCs w:val="44"/>
    </w:rPr>
  </w:style>
  <w:style w:type="character" w:customStyle="1" w:styleId="27">
    <w:name w:val="标题 2 Char"/>
    <w:link w:val="3"/>
    <w:semiHidden/>
    <w:qFormat/>
    <w:uiPriority w:val="9"/>
    <w:rPr>
      <w:rFonts w:ascii="Cambria" w:hAnsi="Cambria" w:eastAsia="宋体" w:cs="Times New Roman"/>
      <w:b/>
      <w:bCs/>
      <w:sz w:val="32"/>
      <w:szCs w:val="32"/>
    </w:rPr>
  </w:style>
  <w:style w:type="character" w:customStyle="1" w:styleId="28">
    <w:name w:val="标题 3 Char"/>
    <w:link w:val="4"/>
    <w:semiHidden/>
    <w:qFormat/>
    <w:uiPriority w:val="9"/>
    <w:rPr>
      <w:rFonts w:ascii="Calibri" w:hAnsi="Calibri"/>
      <w:b/>
      <w:bCs/>
      <w:sz w:val="32"/>
      <w:szCs w:val="32"/>
    </w:rPr>
  </w:style>
  <w:style w:type="character" w:customStyle="1" w:styleId="29">
    <w:name w:val="文档结构图 Char"/>
    <w:link w:val="6"/>
    <w:semiHidden/>
    <w:qFormat/>
    <w:uiPriority w:val="99"/>
    <w:rPr>
      <w:sz w:val="0"/>
      <w:szCs w:val="0"/>
    </w:rPr>
  </w:style>
  <w:style w:type="character" w:customStyle="1" w:styleId="30">
    <w:name w:val="正文文本缩进 Char"/>
    <w:link w:val="8"/>
    <w:semiHidden/>
    <w:qFormat/>
    <w:uiPriority w:val="99"/>
    <w:rPr>
      <w:rFonts w:ascii="Calibri" w:hAnsi="Calibri"/>
      <w:szCs w:val="24"/>
    </w:rPr>
  </w:style>
  <w:style w:type="character" w:customStyle="1" w:styleId="31">
    <w:name w:val="纯文本 Char"/>
    <w:link w:val="9"/>
    <w:qFormat/>
    <w:locked/>
    <w:uiPriority w:val="0"/>
    <w:rPr>
      <w:b/>
      <w:kern w:val="2"/>
      <w:sz w:val="24"/>
    </w:rPr>
  </w:style>
  <w:style w:type="character" w:customStyle="1" w:styleId="32">
    <w:name w:val="正文文本缩进 2 Char"/>
    <w:link w:val="10"/>
    <w:qFormat/>
    <w:locked/>
    <w:uiPriority w:val="99"/>
    <w:rPr>
      <w:rFonts w:ascii="Calibri" w:hAnsi="Calibri"/>
      <w:kern w:val="2"/>
      <w:sz w:val="24"/>
    </w:rPr>
  </w:style>
  <w:style w:type="character" w:customStyle="1" w:styleId="33">
    <w:name w:val="批注框文本 Char"/>
    <w:link w:val="11"/>
    <w:qFormat/>
    <w:locked/>
    <w:uiPriority w:val="99"/>
    <w:rPr>
      <w:rFonts w:ascii="Calibri" w:hAnsi="Calibri"/>
      <w:kern w:val="2"/>
      <w:sz w:val="18"/>
    </w:rPr>
  </w:style>
  <w:style w:type="character" w:customStyle="1" w:styleId="34">
    <w:name w:val="页脚 Char"/>
    <w:link w:val="12"/>
    <w:qFormat/>
    <w:locked/>
    <w:uiPriority w:val="99"/>
    <w:rPr>
      <w:rFonts w:ascii="Calibri" w:hAnsi="Calibri"/>
      <w:kern w:val="2"/>
      <w:sz w:val="18"/>
    </w:rPr>
  </w:style>
  <w:style w:type="character" w:customStyle="1" w:styleId="35">
    <w:name w:val="页眉 Char"/>
    <w:link w:val="13"/>
    <w:qFormat/>
    <w:locked/>
    <w:uiPriority w:val="99"/>
    <w:rPr>
      <w:rFonts w:ascii="Calibri" w:hAnsi="Calibri"/>
      <w:kern w:val="2"/>
      <w:sz w:val="18"/>
    </w:rPr>
  </w:style>
  <w:style w:type="character" w:customStyle="1" w:styleId="36">
    <w:name w:val="正文文本缩进 3 Char"/>
    <w:link w:val="15"/>
    <w:qFormat/>
    <w:locked/>
    <w:uiPriority w:val="99"/>
    <w:rPr>
      <w:kern w:val="2"/>
      <w:sz w:val="16"/>
    </w:rPr>
  </w:style>
  <w:style w:type="character" w:customStyle="1" w:styleId="37">
    <w:name w:val="标题 Char"/>
    <w:link w:val="17"/>
    <w:qFormat/>
    <w:uiPriority w:val="10"/>
    <w:rPr>
      <w:rFonts w:ascii="Cambria" w:hAnsi="Cambria" w:cs="Times New Roman"/>
      <w:b/>
      <w:bCs/>
      <w:sz w:val="32"/>
      <w:szCs w:val="32"/>
    </w:rPr>
  </w:style>
  <w:style w:type="paragraph" w:customStyle="1" w:styleId="38">
    <w:name w:val="_Style 38"/>
    <w:basedOn w:val="6"/>
    <w:qFormat/>
    <w:uiPriority w:val="99"/>
  </w:style>
  <w:style w:type="paragraph" w:customStyle="1" w:styleId="39">
    <w:name w:val="af17cgridlangnp1033langf"/>
    <w:uiPriority w:val="99"/>
    <w:pPr>
      <w:widowControl w:val="0"/>
      <w:autoSpaceDE w:val="0"/>
      <w:autoSpaceDN w:val="0"/>
      <w:adjustRightInd w:val="0"/>
      <w:spacing w:before="156" w:line="360" w:lineRule="atLeast"/>
      <w:ind w:left="567" w:firstLine="510"/>
      <w:jc w:val="both"/>
    </w:pPr>
    <w:rPr>
      <w:rFonts w:ascii="Calibri" w:hAnsi="Calibri" w:eastAsia="宋体" w:cs="Times New Roman"/>
      <w:sz w:val="21"/>
      <w:szCs w:val="22"/>
      <w:lang w:val="en-US" w:eastAsia="zh-CN" w:bidi="ar-SA"/>
    </w:rPr>
  </w:style>
  <w:style w:type="paragraph" w:customStyle="1" w:styleId="40">
    <w:name w:val="正文2"/>
    <w:basedOn w:val="1"/>
    <w:qFormat/>
    <w:uiPriority w:val="99"/>
    <w:pPr>
      <w:spacing w:before="156" w:line="360" w:lineRule="auto"/>
      <w:ind w:firstLine="510" w:firstLineChars="200"/>
    </w:pPr>
    <w:rPr>
      <w:sz w:val="24"/>
      <w:szCs w:val="20"/>
    </w:rPr>
  </w:style>
  <w:style w:type="paragraph" w:customStyle="1" w:styleId="41">
    <w:name w:val="列出段落1"/>
    <w:basedOn w:val="1"/>
    <w:uiPriority w:val="99"/>
    <w:pPr>
      <w:ind w:firstLine="420" w:firstLineChars="200"/>
    </w:pPr>
  </w:style>
  <w:style w:type="character" w:customStyle="1" w:styleId="42">
    <w:name w:val="正文缩进 Char"/>
    <w:link w:val="5"/>
    <w:qFormat/>
    <w:locked/>
    <w:uiPriority w:val="99"/>
    <w:rPr>
      <w:rFonts w:ascii="宋体" w:hAnsi="Calibri"/>
      <w:snapToGrid w:val="0"/>
      <w:color w:val="000000"/>
      <w:kern w:val="28"/>
      <w:sz w:val="28"/>
    </w:rPr>
  </w:style>
  <w:style w:type="paragraph" w:styleId="43">
    <w:name w:val="List Paragraph"/>
    <w:basedOn w:val="1"/>
    <w:qFormat/>
    <w:uiPriority w:val="99"/>
    <w:pPr>
      <w:widowControl/>
      <w:spacing w:after="200" w:line="252" w:lineRule="auto"/>
      <w:ind w:left="720"/>
      <w:contextualSpacing/>
      <w:jc w:val="left"/>
    </w:pPr>
    <w:rPr>
      <w:rFonts w:ascii="Cambria" w:hAnsi="Cambria"/>
      <w:kern w:val="0"/>
      <w:sz w:val="22"/>
      <w:szCs w:val="22"/>
      <w:lang w:eastAsia="en-US"/>
    </w:rPr>
  </w:style>
  <w:style w:type="paragraph" w:customStyle="1" w:styleId="44">
    <w:name w:val="样式3"/>
    <w:basedOn w:val="9"/>
    <w:qFormat/>
    <w:uiPriority w:val="99"/>
    <w:pPr>
      <w:spacing w:line="240" w:lineRule="atLeast"/>
      <w:outlineLvl w:val="0"/>
    </w:pPr>
    <w:rPr>
      <w:rFonts w:ascii="宋体" w:hAnsi="Courier New"/>
      <w:b w:val="0"/>
      <w:sz w:val="28"/>
      <w:szCs w:val="20"/>
    </w:rPr>
  </w:style>
  <w:style w:type="character" w:customStyle="1" w:styleId="45">
    <w:name w:val="纯文本 字符"/>
    <w:qFormat/>
    <w:uiPriority w:val="0"/>
    <w:rPr>
      <w:rFonts w:ascii="宋体" w:hAnsi="Courier New" w:eastAsia="宋体"/>
      <w:kern w:val="2"/>
      <w:sz w:val="24"/>
      <w:szCs w:val="24"/>
      <w:lang w:val="en-US" w:eastAsia="zh-CN" w:bidi="ar-SA"/>
    </w:rPr>
  </w:style>
  <w:style w:type="character" w:customStyle="1" w:styleId="46">
    <w:name w:val="批注文字 Char"/>
    <w:basedOn w:val="21"/>
    <w:link w:val="7"/>
    <w:semiHidden/>
    <w:qFormat/>
    <w:uiPriority w:val="0"/>
    <w:rPr>
      <w:rFonts w:ascii="Calibri" w:hAnsi="Calibri"/>
      <w:kern w:val="2"/>
      <w:sz w:val="21"/>
      <w:szCs w:val="24"/>
    </w:rPr>
  </w:style>
  <w:style w:type="character" w:customStyle="1" w:styleId="47">
    <w:name w:val="批注主题 Char"/>
    <w:basedOn w:val="46"/>
    <w:link w:val="18"/>
    <w:semiHidden/>
    <w:qFormat/>
    <w:uiPriority w:val="0"/>
    <w:rPr>
      <w:rFonts w:ascii="Calibri" w:hAnsi="Calibri"/>
      <w:b/>
      <w:bCs/>
      <w:kern w:val="2"/>
      <w:sz w:val="21"/>
      <w:szCs w:val="24"/>
    </w:rPr>
  </w:style>
  <w:style w:type="table" w:customStyle="1" w:styleId="48">
    <w:name w:val="网格型1"/>
    <w:basedOn w:val="1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3DAF74-C1A8-4AD3-8F7D-E0A8BDE3196B}">
  <ds:schemaRefs/>
</ds:datastoreItem>
</file>

<file path=docProps/app.xml><?xml version="1.0" encoding="utf-8"?>
<Properties xmlns="http://schemas.openxmlformats.org/officeDocument/2006/extended-properties" xmlns:vt="http://schemas.openxmlformats.org/officeDocument/2006/docPropsVTypes">
  <Template>Normal</Template>
  <Company>ZUFE</Company>
  <Pages>24</Pages>
  <Words>1993</Words>
  <Characters>11361</Characters>
  <Lines>94</Lines>
  <Paragraphs>26</Paragraphs>
  <TotalTime>1</TotalTime>
  <ScaleCrop>false</ScaleCrop>
  <LinksUpToDate>false</LinksUpToDate>
  <CharactersWithSpaces>13328</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2019-05-23T01:35:00Z</dcterms:created>
  <dc:creator>Kingdom Pan</dc:creator>
  <cp:lastModifiedBy>begger</cp:lastModifiedBy>
  <cp:lastPrinted>2018-11-14T02:14:00Z</cp:lastPrinted>
  <dcterms:modified xsi:type="dcterms:W3CDTF">2020-07-08T05:56:50Z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