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720" w:lineRule="exact"/>
        <w:jc w:val="center"/>
        <w:rPr>
          <w:rFonts w:ascii="黑体" w:eastAsia="黑体"/>
          <w:bCs/>
          <w:sz w:val="56"/>
          <w:szCs w:val="56"/>
        </w:rPr>
      </w:pPr>
    </w:p>
    <w:p>
      <w:pPr>
        <w:spacing w:line="1000" w:lineRule="exact"/>
        <w:jc w:val="center"/>
        <w:rPr>
          <w:rFonts w:ascii="楷体_GB2312" w:eastAsia="楷体_GB2312"/>
          <w:b/>
          <w:sz w:val="96"/>
          <w:szCs w:val="96"/>
        </w:rPr>
      </w:pPr>
      <w:r>
        <w:rPr>
          <w:rFonts w:hint="eastAsia" w:ascii="汉仪魏碑简" w:eastAsia="汉仪魏碑简"/>
          <w:b/>
          <w:sz w:val="84"/>
          <w:szCs w:val="84"/>
        </w:rPr>
        <w:t>竞争性谈判采购文件</w:t>
      </w:r>
    </w:p>
    <w:p>
      <w:pPr>
        <w:pStyle w:val="17"/>
        <w:ind w:firstLine="4180" w:firstLineChars="1900"/>
        <w:rPr>
          <w:sz w:val="22"/>
          <w:szCs w:val="21"/>
        </w:rPr>
      </w:pPr>
    </w:p>
    <w:p>
      <w:pPr>
        <w:pStyle w:val="17"/>
        <w:rPr>
          <w:sz w:val="22"/>
          <w:szCs w:val="21"/>
        </w:rPr>
      </w:pPr>
      <w:r>
        <w:rPr>
          <w:rFonts w:hint="eastAsia"/>
          <w:sz w:val="84"/>
          <w:szCs w:val="84"/>
        </w:rPr>
        <w:t xml:space="preserve">         </w:t>
      </w:r>
      <w:r>
        <w:rPr>
          <w:sz w:val="84"/>
          <w:szCs w:val="84"/>
        </w:rPr>
        <w:drawing>
          <wp:inline distT="0" distB="0" distL="0" distR="0">
            <wp:extent cx="695325" cy="1409700"/>
            <wp:effectExtent l="0" t="0" r="9525" b="0"/>
            <wp:docPr id="1026" name="图片 1" descr="华春徽标-原图.png"/>
            <wp:cNvGraphicFramePr/>
            <a:graphic xmlns:a="http://schemas.openxmlformats.org/drawingml/2006/main">
              <a:graphicData uri="http://schemas.openxmlformats.org/drawingml/2006/picture">
                <pic:pic xmlns:pic="http://schemas.openxmlformats.org/drawingml/2006/picture">
                  <pic:nvPicPr>
                    <pic:cNvPr id="1026" name="图片 1" descr="华春徽标-原图.png"/>
                    <pic:cNvPicPr/>
                  </pic:nvPicPr>
                  <pic:blipFill>
                    <a:blip r:embed="rId7" cstate="print"/>
                    <a:srcRect/>
                    <a:stretch>
                      <a:fillRect/>
                    </a:stretch>
                  </pic:blipFill>
                  <pic:spPr>
                    <a:xfrm>
                      <a:off x="0" y="0"/>
                      <a:ext cx="695325" cy="1409700"/>
                    </a:xfrm>
                    <a:prstGeom prst="rect">
                      <a:avLst/>
                    </a:prstGeom>
                    <a:ln>
                      <a:noFill/>
                    </a:ln>
                  </pic:spPr>
                </pic:pic>
              </a:graphicData>
            </a:graphic>
          </wp:inline>
        </w:drawing>
      </w:r>
    </w:p>
    <w:p>
      <w:pPr>
        <w:pStyle w:val="17"/>
        <w:rPr>
          <w:sz w:val="22"/>
          <w:szCs w:val="21"/>
        </w:rPr>
      </w:pPr>
    </w:p>
    <w:p>
      <w:pPr>
        <w:pStyle w:val="17"/>
        <w:rPr>
          <w:sz w:val="22"/>
          <w:szCs w:val="21"/>
        </w:rPr>
      </w:pPr>
    </w:p>
    <w:p>
      <w:pPr>
        <w:jc w:val="left"/>
        <w:rPr>
          <w:sz w:val="22"/>
          <w:szCs w:val="21"/>
        </w:rPr>
      </w:pPr>
    </w:p>
    <w:p>
      <w:pPr>
        <w:ind w:left="2637" w:leftChars="540" w:right="1075" w:rightChars="512" w:hanging="1503" w:hangingChars="499"/>
        <w:jc w:val="left"/>
        <w:rPr>
          <w:rFonts w:cs="宋体"/>
          <w:b/>
          <w:bCs/>
          <w:spacing w:val="-20"/>
          <w:sz w:val="30"/>
          <w:szCs w:val="30"/>
        </w:rPr>
      </w:pPr>
      <w:r>
        <w:rPr>
          <w:rFonts w:hint="eastAsia" w:hAnsi="宋体" w:cs="宋体"/>
          <w:b/>
          <w:bCs/>
          <w:sz w:val="30"/>
          <w:szCs w:val="30"/>
        </w:rPr>
        <w:t>项目名称：老乡家园移民搬迁卫生服务中心电梯安装</w:t>
      </w:r>
    </w:p>
    <w:p>
      <w:pPr>
        <w:ind w:left="1878" w:leftChars="547" w:right="1075" w:rightChars="512" w:hanging="729" w:hangingChars="242"/>
        <w:jc w:val="left"/>
        <w:rPr>
          <w:rFonts w:cs="宋体"/>
          <w:b/>
          <w:bCs/>
          <w:color w:val="FF0000"/>
          <w:spacing w:val="-20"/>
          <w:sz w:val="30"/>
          <w:szCs w:val="30"/>
        </w:rPr>
      </w:pPr>
      <w:r>
        <w:rPr>
          <w:rFonts w:hint="eastAsia" w:hAnsi="宋体" w:cs="宋体"/>
          <w:b/>
          <w:bCs/>
          <w:sz w:val="30"/>
          <w:szCs w:val="30"/>
        </w:rPr>
        <w:t>项目编号：BSZC2020-J1-210239-HCJS</w:t>
      </w:r>
    </w:p>
    <w:p>
      <w:pPr>
        <w:rPr>
          <w:sz w:val="32"/>
          <w:szCs w:val="32"/>
        </w:rPr>
      </w:pPr>
    </w:p>
    <w:p>
      <w:pPr>
        <w:rPr>
          <w:sz w:val="32"/>
          <w:szCs w:val="32"/>
        </w:rPr>
      </w:pPr>
    </w:p>
    <w:p>
      <w:pPr>
        <w:rPr>
          <w:sz w:val="32"/>
          <w:szCs w:val="32"/>
        </w:rPr>
      </w:pPr>
    </w:p>
    <w:p>
      <w:pPr>
        <w:jc w:val="center"/>
        <w:rPr>
          <w:sz w:val="28"/>
        </w:rPr>
      </w:pPr>
    </w:p>
    <w:p>
      <w:pPr>
        <w:jc w:val="center"/>
        <w:rPr>
          <w:sz w:val="28"/>
        </w:rPr>
      </w:pPr>
    </w:p>
    <w:p>
      <w:pPr>
        <w:jc w:val="center"/>
        <w:rPr>
          <w:sz w:val="24"/>
        </w:rPr>
      </w:pPr>
      <w:r>
        <w:rPr>
          <w:sz w:val="20"/>
        </w:rPr>
        <w:pict>
          <v:line id="1027" o:spid="_x0000_s1027" o:spt="20" style="position:absolute;left:0pt;margin-left:77.85pt;margin-top:7.8pt;height:0pt;width:330.9pt;z-index:1024;mso-width-relative:page;mso-height-relative:page;" coordsize="21600,21600">
            <v:path arrowok="t"/>
            <v:fill focussize="0,0"/>
            <v:stroke/>
            <v:imagedata o:title=""/>
            <o:lock v:ext="edit"/>
          </v:line>
        </w:pict>
      </w:r>
    </w:p>
    <w:p>
      <w:pPr>
        <w:widowControl/>
        <w:jc w:val="center"/>
        <w:rPr>
          <w:rFonts w:ascii="黑体" w:hAnsi="黑体"/>
          <w:b/>
          <w:sz w:val="32"/>
          <w:szCs w:val="32"/>
        </w:rPr>
      </w:pPr>
      <w:r>
        <w:rPr>
          <w:rFonts w:hint="eastAsia" w:ascii="黑体" w:hAnsi="黑体"/>
          <w:b/>
          <w:sz w:val="32"/>
          <w:szCs w:val="32"/>
        </w:rPr>
        <w:t>采购单位：百色市田阳区卫生健康局（盖单位公章）</w:t>
      </w:r>
    </w:p>
    <w:p>
      <w:pPr>
        <w:spacing w:line="560" w:lineRule="exact"/>
        <w:jc w:val="center"/>
        <w:rPr>
          <w:rFonts w:ascii="黑体" w:hAnsi="黑体"/>
          <w:b/>
          <w:sz w:val="32"/>
          <w:szCs w:val="32"/>
        </w:rPr>
      </w:pPr>
      <w:r>
        <w:rPr>
          <w:rFonts w:ascii="黑体" w:hAnsi="黑体"/>
          <w:b/>
          <w:sz w:val="32"/>
          <w:szCs w:val="32"/>
        </w:rPr>
        <w:t>采购代理机构：</w:t>
      </w:r>
      <w:r>
        <w:rPr>
          <w:rFonts w:hint="eastAsia" w:ascii="黑体" w:hAnsi="黑体"/>
          <w:b/>
          <w:sz w:val="32"/>
          <w:szCs w:val="32"/>
        </w:rPr>
        <w:t>华春建设工程项目管理有限责任公司（盖单位公章）</w:t>
      </w:r>
    </w:p>
    <w:p>
      <w:pPr>
        <w:spacing w:line="560" w:lineRule="exact"/>
        <w:jc w:val="center"/>
        <w:rPr>
          <w:rFonts w:ascii="黑体" w:hAnsi="黑体"/>
          <w:b/>
          <w:sz w:val="32"/>
          <w:szCs w:val="32"/>
        </w:rPr>
      </w:pPr>
      <w:r>
        <w:rPr>
          <w:rFonts w:ascii="黑体" w:hAnsi="黑体"/>
          <w:b/>
          <w:sz w:val="32"/>
          <w:szCs w:val="32"/>
        </w:rPr>
        <w:cr/>
      </w:r>
      <w:r>
        <w:rPr>
          <w:rFonts w:ascii="黑体" w:hAnsi="黑体"/>
          <w:b/>
          <w:sz w:val="32"/>
          <w:szCs w:val="32"/>
        </w:rPr>
        <w:t>20</w:t>
      </w:r>
      <w:r>
        <w:rPr>
          <w:rFonts w:hint="eastAsia" w:ascii="黑体" w:hAnsi="黑体"/>
          <w:b/>
          <w:sz w:val="32"/>
          <w:szCs w:val="32"/>
        </w:rPr>
        <w:t>20</w:t>
      </w:r>
      <w:r>
        <w:rPr>
          <w:rFonts w:ascii="黑体" w:hAnsi="黑体"/>
          <w:b/>
          <w:sz w:val="32"/>
          <w:szCs w:val="32"/>
        </w:rPr>
        <w:t>年</w:t>
      </w:r>
      <w:r>
        <w:rPr>
          <w:rFonts w:hint="eastAsia" w:ascii="黑体" w:hAnsi="黑体"/>
          <w:b/>
          <w:sz w:val="32"/>
          <w:szCs w:val="32"/>
        </w:rPr>
        <w:t>7</w:t>
      </w:r>
      <w:r>
        <w:rPr>
          <w:rFonts w:ascii="黑体" w:hAnsi="黑体"/>
          <w:b/>
          <w:sz w:val="32"/>
          <w:szCs w:val="32"/>
        </w:rPr>
        <w:t>月</w:t>
      </w:r>
    </w:p>
    <w:p>
      <w:pPr>
        <w:spacing w:line="560" w:lineRule="exact"/>
        <w:jc w:val="center"/>
        <w:rPr>
          <w:rFonts w:ascii="黑体" w:hAnsi="黑体"/>
          <w:b/>
          <w:sz w:val="32"/>
          <w:szCs w:val="32"/>
        </w:rPr>
      </w:pPr>
    </w:p>
    <w:p>
      <w:pPr>
        <w:ind w:left="-2" w:leftChars="-1"/>
        <w:jc w:val="center"/>
        <w:rPr>
          <w:rFonts w:ascii="隶书" w:eastAsia="隶书"/>
          <w:sz w:val="44"/>
        </w:rPr>
      </w:pPr>
      <w:r>
        <w:br w:type="page"/>
      </w:r>
    </w:p>
    <w:p>
      <w:pPr>
        <w:pStyle w:val="17"/>
        <w:ind w:left="718" w:leftChars="342" w:right="392"/>
        <w:jc w:val="center"/>
        <w:rPr>
          <w:rFonts w:ascii="隶书" w:eastAsia="隶书"/>
        </w:rPr>
      </w:pPr>
      <w:r>
        <w:rPr>
          <w:rFonts w:hint="eastAsia" w:ascii="隶书" w:eastAsia="隶书"/>
          <w:sz w:val="44"/>
        </w:rPr>
        <w:t>目   录</w:t>
      </w:r>
      <w:r>
        <w:rPr>
          <w:rFonts w:hint="eastAsia" w:ascii="隶书" w:eastAsia="隶书"/>
          <w:sz w:val="44"/>
        </w:rPr>
        <w:cr/>
      </w:r>
    </w:p>
    <w:p>
      <w:pPr>
        <w:pStyle w:val="23"/>
        <w:tabs>
          <w:tab w:val="right" w:leader="dot" w:pos="9628"/>
        </w:tabs>
        <w:rPr>
          <w:rFonts w:ascii="宋体"/>
          <w:sz w:val="28"/>
          <w:szCs w:val="28"/>
        </w:rPr>
      </w:pPr>
      <w:r>
        <w:rPr>
          <w:rFonts w:ascii="宋体"/>
          <w:sz w:val="28"/>
          <w:szCs w:val="28"/>
        </w:rPr>
        <w:fldChar w:fldCharType="begin"/>
      </w:r>
      <w:r>
        <w:rPr>
          <w:rFonts w:hint="eastAsia" w:ascii="宋体"/>
          <w:sz w:val="28"/>
          <w:szCs w:val="28"/>
        </w:rPr>
        <w:instrText xml:space="preserve"> TOC \o "1-3" \h \z \u </w:instrText>
      </w:r>
      <w:r>
        <w:rPr>
          <w:rFonts w:ascii="宋体"/>
          <w:sz w:val="28"/>
          <w:szCs w:val="28"/>
        </w:rPr>
        <w:fldChar w:fldCharType="separate"/>
      </w:r>
    </w:p>
    <w:p>
      <w:pPr>
        <w:pStyle w:val="23"/>
        <w:tabs>
          <w:tab w:val="right" w:leader="dot" w:pos="9628"/>
        </w:tabs>
        <w:rPr>
          <w:rFonts w:ascii="宋体"/>
          <w:sz w:val="28"/>
          <w:szCs w:val="28"/>
        </w:rPr>
      </w:pPr>
      <w:r>
        <w:fldChar w:fldCharType="begin"/>
      </w:r>
      <w:r>
        <w:instrText xml:space="preserve"> HYPERLINK \l "_Toc290375218" </w:instrText>
      </w:r>
      <w:r>
        <w:fldChar w:fldCharType="separate"/>
      </w:r>
      <w:r>
        <w:rPr>
          <w:rFonts w:hint="eastAsia" w:ascii="宋体"/>
          <w:sz w:val="28"/>
          <w:szCs w:val="28"/>
        </w:rPr>
        <w:t>竞争性谈判采购公告</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_Toc290375218 \h </w:instrText>
      </w:r>
      <w:r>
        <w:rPr>
          <w:rFonts w:hint="eastAsia" w:ascii="宋体"/>
          <w:sz w:val="28"/>
          <w:szCs w:val="28"/>
        </w:rPr>
        <w:fldChar w:fldCharType="separate"/>
      </w:r>
      <w:r>
        <w:rPr>
          <w:rFonts w:hint="eastAsia" w:ascii="宋体"/>
          <w:sz w:val="28"/>
          <w:szCs w:val="28"/>
        </w:rPr>
        <w:t>2</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"_Toc290375219" </w:instrText>
      </w:r>
      <w:r>
        <w:fldChar w:fldCharType="separate"/>
      </w:r>
      <w:r>
        <w:rPr>
          <w:rFonts w:hint="eastAsia" w:ascii="宋体"/>
          <w:sz w:val="28"/>
          <w:szCs w:val="28"/>
        </w:rPr>
        <w:t>第一章  竞标人须知及前</w:t>
      </w:r>
      <w:bookmarkStart w:id="0" w:name="_Hlt80548721"/>
      <w:bookmarkEnd w:id="0"/>
      <w:r>
        <w:rPr>
          <w:rFonts w:hint="eastAsia" w:ascii="宋体"/>
          <w:sz w:val="28"/>
          <w:szCs w:val="28"/>
        </w:rPr>
        <w:t>附表</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_Toc290375219 \h </w:instrText>
      </w:r>
      <w:r>
        <w:rPr>
          <w:rFonts w:hint="eastAsia" w:ascii="宋体"/>
          <w:sz w:val="28"/>
          <w:szCs w:val="28"/>
        </w:rPr>
        <w:fldChar w:fldCharType="separate"/>
      </w:r>
      <w:r>
        <w:rPr>
          <w:rFonts w:hint="eastAsia" w:ascii="宋体"/>
          <w:sz w:val="28"/>
          <w:szCs w:val="28"/>
        </w:rPr>
        <w:t>4</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"_Toc290375229" </w:instrText>
      </w:r>
      <w:r>
        <w:fldChar w:fldCharType="separate"/>
      </w:r>
      <w:r>
        <w:rPr>
          <w:rFonts w:hint="eastAsia" w:ascii="宋体"/>
          <w:sz w:val="28"/>
          <w:szCs w:val="28"/>
        </w:rPr>
        <w:t>第二章  货物需求一览表</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_Toc290375229 \h </w:instrText>
      </w:r>
      <w:r>
        <w:rPr>
          <w:rFonts w:hint="eastAsia" w:ascii="宋体"/>
          <w:sz w:val="28"/>
          <w:szCs w:val="28"/>
        </w:rPr>
        <w:fldChar w:fldCharType="separate"/>
      </w:r>
      <w:r>
        <w:rPr>
          <w:rFonts w:hint="eastAsia" w:ascii="宋体"/>
          <w:sz w:val="28"/>
          <w:szCs w:val="28"/>
        </w:rPr>
        <w:t>16</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"_Toc290375231" </w:instrText>
      </w:r>
      <w:r>
        <w:fldChar w:fldCharType="separate"/>
      </w:r>
      <w:r>
        <w:rPr>
          <w:rFonts w:hint="eastAsia" w:ascii="宋体"/>
          <w:sz w:val="28"/>
          <w:szCs w:val="28"/>
        </w:rPr>
        <w:t>第三章  合同书格式</w:t>
      </w:r>
      <w:bookmarkStart w:id="1" w:name="_Hlt80548450"/>
      <w:bookmarkEnd w:id="1"/>
      <w:bookmarkStart w:id="2" w:name="_Hlt80548451"/>
      <w:bookmarkEnd w:id="2"/>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_Toc290375231 \h </w:instrText>
      </w:r>
      <w:r>
        <w:rPr>
          <w:rFonts w:hint="eastAsia" w:ascii="宋体"/>
          <w:sz w:val="28"/>
          <w:szCs w:val="28"/>
        </w:rPr>
        <w:fldChar w:fldCharType="separate"/>
      </w:r>
      <w:r>
        <w:rPr>
          <w:rFonts w:hint="eastAsia" w:ascii="宋体"/>
          <w:sz w:val="28"/>
          <w:szCs w:val="28"/>
        </w:rPr>
        <w:t>17</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"_Toc290375232" </w:instrText>
      </w:r>
      <w:r>
        <w:fldChar w:fldCharType="separate"/>
      </w:r>
      <w:r>
        <w:rPr>
          <w:rFonts w:hint="eastAsia" w:ascii="宋体"/>
          <w:sz w:val="28"/>
          <w:szCs w:val="28"/>
        </w:rPr>
        <w:t>第四章  竞标文件格式</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_Toc290375232 \h </w:instrText>
      </w:r>
      <w:r>
        <w:rPr>
          <w:rFonts w:hint="eastAsia" w:ascii="宋体"/>
          <w:sz w:val="28"/>
          <w:szCs w:val="28"/>
        </w:rPr>
        <w:fldChar w:fldCharType="separate"/>
      </w:r>
      <w:r>
        <w:rPr>
          <w:rFonts w:hint="eastAsia" w:ascii="宋体"/>
          <w:sz w:val="28"/>
          <w:szCs w:val="28"/>
        </w:rPr>
        <w:t>32</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"_Toc290375233" </w:instrText>
      </w:r>
      <w:r>
        <w:fldChar w:fldCharType="separate"/>
      </w:r>
      <w:r>
        <w:rPr>
          <w:rFonts w:hint="eastAsia" w:ascii="宋体"/>
          <w:sz w:val="28"/>
          <w:szCs w:val="28"/>
        </w:rPr>
        <w:t>第五章  评标办法</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_Toc290375233 \h </w:instrText>
      </w:r>
      <w:r>
        <w:rPr>
          <w:rFonts w:hint="eastAsia" w:ascii="宋体"/>
          <w:sz w:val="28"/>
          <w:szCs w:val="28"/>
        </w:rPr>
        <w:fldChar w:fldCharType="separate"/>
      </w:r>
      <w:r>
        <w:rPr>
          <w:rFonts w:hint="eastAsia" w:ascii="宋体"/>
          <w:sz w:val="28"/>
          <w:szCs w:val="28"/>
        </w:rPr>
        <w:t>47</w:t>
      </w:r>
      <w:r>
        <w:rPr>
          <w:rFonts w:hint="eastAsia" w:ascii="宋体"/>
          <w:sz w:val="28"/>
          <w:szCs w:val="28"/>
        </w:rPr>
        <w:fldChar w:fldCharType="end"/>
      </w:r>
      <w:r>
        <w:rPr>
          <w:rFonts w:hint="eastAsia" w:ascii="宋体"/>
          <w:sz w:val="28"/>
          <w:szCs w:val="28"/>
        </w:rPr>
        <w:fldChar w:fldCharType="end"/>
      </w:r>
    </w:p>
    <w:p>
      <w:pPr>
        <w:pStyle w:val="17"/>
        <w:spacing w:line="480" w:lineRule="auto"/>
        <w:ind w:left="718" w:leftChars="342" w:right="392"/>
        <w:rPr>
          <w:sz w:val="28"/>
          <w:szCs w:val="28"/>
        </w:rPr>
      </w:pPr>
      <w:r>
        <w:rPr>
          <w:sz w:val="28"/>
          <w:szCs w:val="28"/>
        </w:rPr>
        <w:fldChar w:fldCharType="end"/>
      </w:r>
    </w:p>
    <w:p>
      <w:pPr>
        <w:tabs>
          <w:tab w:val="left" w:pos="9214"/>
        </w:tabs>
        <w:ind w:right="680"/>
        <w:rPr>
          <w:rFonts w:ascii="宋体" w:hAnsi="宋体" w:cs="宋体"/>
          <w:b/>
          <w:bCs/>
          <w:sz w:val="30"/>
          <w:szCs w:val="30"/>
        </w:rPr>
      </w:pPr>
      <w:r>
        <w:rPr>
          <w:rFonts w:hint="eastAsia" w:ascii="隶书" w:eastAsia="隶书"/>
          <w:sz w:val="32"/>
        </w:rPr>
        <w:br w:type="page"/>
      </w:r>
      <w:bookmarkStart w:id="3" w:name="_Toc290375218"/>
      <w:r>
        <w:rPr>
          <w:rFonts w:hint="eastAsia" w:ascii="隶书" w:eastAsia="隶书"/>
          <w:sz w:val="32"/>
        </w:rPr>
        <w:t xml:space="preserve">                   </w:t>
      </w:r>
      <w:r>
        <w:rPr>
          <w:rFonts w:hint="eastAsia" w:ascii="隶书" w:eastAsia="隶书"/>
          <w:b/>
          <w:bCs/>
          <w:sz w:val="32"/>
        </w:rPr>
        <w:t xml:space="preserve">  </w:t>
      </w:r>
      <w:bookmarkEnd w:id="3"/>
      <w:r>
        <w:rPr>
          <w:rFonts w:hint="eastAsia" w:ascii="宋体" w:hAnsi="宋体" w:cs="宋体"/>
          <w:b/>
          <w:bCs/>
          <w:sz w:val="32"/>
          <w:szCs w:val="32"/>
        </w:rPr>
        <w:t>竞争性谈判采购公告</w:t>
      </w:r>
    </w:p>
    <w:p>
      <w:pPr>
        <w:jc w:val="center"/>
        <w:rPr>
          <w:rFonts w:ascii="宋体" w:hAnsi="宋体" w:cs="Courier New"/>
          <w:b/>
          <w:bCs/>
          <w:color w:val="000000"/>
          <w:spacing w:val="2"/>
          <w:kern w:val="10"/>
          <w:sz w:val="24"/>
          <w:szCs w:val="32"/>
        </w:rPr>
      </w:pPr>
      <w:r>
        <w:rPr>
          <w:rFonts w:hint="eastAsia" w:ascii="宋体" w:hAnsi="宋体" w:cs="Courier New"/>
          <w:b/>
          <w:bCs/>
          <w:color w:val="000000"/>
          <w:spacing w:val="2"/>
          <w:kern w:val="10"/>
          <w:sz w:val="24"/>
          <w:szCs w:val="32"/>
        </w:rPr>
        <w:t>华春建设工程项目管理有限责任公司老乡家园移民搬迁卫生服务中心电梯安装竞争性谈判公告</w:t>
      </w:r>
    </w:p>
    <w:p>
      <w:pPr>
        <w:pBdr>
          <w:top w:val="single" w:color="auto" w:sz="4" w:space="1"/>
          <w:left w:val="single" w:color="auto" w:sz="4" w:space="4"/>
          <w:bottom w:val="single" w:color="auto" w:sz="4" w:space="1"/>
          <w:right w:val="single" w:color="auto" w:sz="4" w:space="4"/>
        </w:pBdr>
        <w:spacing w:line="300" w:lineRule="auto"/>
        <w:ind w:firstLine="428" w:firstLineChars="200"/>
        <w:rPr>
          <w:rFonts w:ascii="宋体" w:hAnsi="宋体" w:cs="宋体"/>
          <w:spacing w:val="2"/>
          <w:szCs w:val="21"/>
        </w:rPr>
      </w:pPr>
      <w:r>
        <w:rPr>
          <w:rFonts w:hint="eastAsia" w:ascii="宋体" w:hAnsi="宋体" w:cs="宋体"/>
          <w:spacing w:val="2"/>
          <w:szCs w:val="21"/>
        </w:rPr>
        <w:t>项目概况：</w:t>
      </w:r>
    </w:p>
    <w:p>
      <w:pPr>
        <w:pBdr>
          <w:top w:val="single" w:color="auto" w:sz="4" w:space="1"/>
          <w:left w:val="single" w:color="auto" w:sz="4" w:space="4"/>
          <w:bottom w:val="single" w:color="auto" w:sz="4" w:space="1"/>
          <w:right w:val="single" w:color="auto" w:sz="4" w:space="4"/>
        </w:pBdr>
        <w:spacing w:line="300" w:lineRule="auto"/>
        <w:ind w:firstLine="428" w:firstLineChars="200"/>
        <w:rPr>
          <w:rFonts w:ascii="仿宋" w:hAnsi="仿宋" w:eastAsia="仿宋"/>
          <w:szCs w:val="21"/>
        </w:rPr>
      </w:pPr>
      <w:r>
        <w:rPr>
          <w:rFonts w:hint="eastAsia" w:ascii="宋体" w:hAnsi="宋体" w:cs="宋体"/>
          <w:spacing w:val="2"/>
          <w:szCs w:val="21"/>
          <w:u w:val="single"/>
        </w:rPr>
        <w:t>老乡家园移民搬迁卫生服务中心电梯安装（采购及安装三台电梯，具体内容详见“货物需求一览表”）。</w:t>
      </w:r>
      <w:r>
        <w:rPr>
          <w:rFonts w:hint="eastAsia" w:ascii="宋体" w:hAnsi="宋体" w:cs="宋体"/>
          <w:spacing w:val="2"/>
          <w:szCs w:val="21"/>
        </w:rPr>
        <w:t xml:space="preserve"> 采购项目的潜在供应商应在（华春建设工程项目管理有限责任公司百色市右江区前程路4号长乐星城1号写字楼10楼 ）获取采购文件，并于</w:t>
      </w:r>
      <w:r>
        <w:rPr>
          <w:rFonts w:hint="eastAsia" w:ascii="宋体" w:hAnsi="宋体" w:cs="宋体"/>
          <w:spacing w:val="2"/>
          <w:szCs w:val="21"/>
          <w:u w:val="single"/>
        </w:rPr>
        <w:t>2020年  月   日   点   分</w:t>
      </w:r>
      <w:r>
        <w:rPr>
          <w:rFonts w:hint="eastAsia" w:asciiTheme="minorEastAsia" w:hAnsiTheme="minorEastAsia" w:eastAsiaTheme="minorEastAsia" w:cstheme="minorEastAsia"/>
          <w:spacing w:val="2"/>
          <w:szCs w:val="21"/>
        </w:rPr>
        <w:t>（</w:t>
      </w:r>
      <w:r>
        <w:rPr>
          <w:rFonts w:hint="eastAsia" w:ascii="宋体" w:hAnsi="宋体" w:cs="宋体"/>
          <w:spacing w:val="2"/>
          <w:szCs w:val="21"/>
        </w:rPr>
        <w:t>北京时间）前提交响应文件。</w:t>
      </w:r>
    </w:p>
    <w:p>
      <w:pPr>
        <w:spacing w:line="300" w:lineRule="auto"/>
        <w:jc w:val="left"/>
        <w:rPr>
          <w:rFonts w:ascii="宋体" w:hAnsi="宋体"/>
          <w:b/>
          <w:kern w:val="10"/>
          <w:szCs w:val="21"/>
        </w:rPr>
      </w:pPr>
      <w:r>
        <w:rPr>
          <w:rFonts w:hint="eastAsia" w:ascii="宋体" w:hAnsi="宋体"/>
          <w:b/>
          <w:kern w:val="10"/>
          <w:szCs w:val="21"/>
        </w:rPr>
        <w:t>一、项目基本情况</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项目编号：BSZC2020-J1-210239-HCJS</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项目名称：老乡家园移民搬迁卫生服务中心电梯安装项目</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采购方式：☑竞争性谈判 □竞争性磋商 □询价</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预算金额：113.6万</w:t>
      </w:r>
    </w:p>
    <w:p>
      <w:pPr>
        <w:spacing w:line="300" w:lineRule="auto"/>
        <w:ind w:firstLine="428" w:firstLineChars="200"/>
        <w:rPr>
          <w:rFonts w:ascii="宋体" w:hAnsi="宋体" w:cs="Courier New"/>
          <w:color w:val="000000"/>
          <w:spacing w:val="2"/>
          <w:kern w:val="10"/>
          <w:szCs w:val="21"/>
        </w:rPr>
      </w:pPr>
      <w:r>
        <w:rPr>
          <w:rFonts w:ascii="宋体" w:hAnsi="宋体" w:cs="Courier New"/>
          <w:color w:val="000000"/>
          <w:spacing w:val="2"/>
          <w:kern w:val="10"/>
          <w:szCs w:val="21"/>
        </w:rPr>
        <w:t>最高限价（如有）：</w:t>
      </w:r>
      <w:r>
        <w:rPr>
          <w:rFonts w:hint="eastAsia" w:ascii="宋体" w:hAnsi="宋体" w:cs="Courier New"/>
          <w:color w:val="000000"/>
          <w:spacing w:val="2"/>
          <w:kern w:val="10"/>
          <w:szCs w:val="21"/>
        </w:rPr>
        <w:t>113.6万</w:t>
      </w:r>
    </w:p>
    <w:p>
      <w:pPr>
        <w:spacing w:line="300" w:lineRule="auto"/>
        <w:ind w:firstLine="420" w:firstLineChars="200"/>
        <w:rPr>
          <w:rFonts w:ascii="宋体" w:hAnsi="宋体" w:cs="宋体"/>
          <w:szCs w:val="21"/>
        </w:rPr>
      </w:pPr>
      <w:r>
        <w:rPr>
          <w:rFonts w:ascii="宋体" w:hAnsi="宋体"/>
          <w:bCs/>
          <w:kern w:val="10"/>
          <w:szCs w:val="21"/>
        </w:rPr>
        <w:t>采购需求：老乡家园移民搬迁卫生服务中心电梯安装（采购及安装三台电梯，具体内容详见“货物需求一览表”）</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合同履行期限：自签订合同之日起45日历天内（含安装、调试时间）。</w:t>
      </w:r>
    </w:p>
    <w:p>
      <w:pPr>
        <w:spacing w:line="300" w:lineRule="auto"/>
        <w:ind w:firstLine="420" w:firstLineChars="200"/>
        <w:rPr>
          <w:rFonts w:ascii="宋体" w:hAnsi="宋体" w:cs="宋体"/>
          <w:szCs w:val="21"/>
        </w:rPr>
      </w:pPr>
      <w:r>
        <w:rPr>
          <w:rFonts w:hint="eastAsia" w:ascii="宋体" w:hAnsi="宋体" w:cs="宋体"/>
          <w:szCs w:val="21"/>
        </w:rPr>
        <w:t>本项目（□是/☑否）接受联合体。</w:t>
      </w:r>
    </w:p>
    <w:p>
      <w:pPr>
        <w:spacing w:line="300" w:lineRule="auto"/>
        <w:rPr>
          <w:rFonts w:ascii="宋体" w:hAnsi="宋体" w:cs="宋体"/>
          <w:b/>
          <w:bCs/>
          <w:szCs w:val="21"/>
        </w:rPr>
      </w:pPr>
      <w:bookmarkStart w:id="4" w:name="_Toc28359090"/>
      <w:bookmarkStart w:id="5" w:name="_Toc28359013"/>
      <w:bookmarkStart w:id="6" w:name="_Toc35393630"/>
      <w:bookmarkStart w:id="7" w:name="_Toc35393799"/>
      <w:r>
        <w:rPr>
          <w:rFonts w:hint="eastAsia" w:ascii="宋体" w:hAnsi="宋体" w:cs="宋体"/>
          <w:b/>
          <w:bCs/>
          <w:szCs w:val="21"/>
        </w:rPr>
        <w:t>二、申请人的资格要求：</w:t>
      </w:r>
      <w:bookmarkEnd w:id="4"/>
      <w:bookmarkEnd w:id="5"/>
      <w:bookmarkEnd w:id="6"/>
      <w:bookmarkEnd w:id="7"/>
    </w:p>
    <w:p>
      <w:pPr>
        <w:spacing w:line="30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00" w:lineRule="auto"/>
        <w:ind w:firstLine="420" w:firstLineChars="200"/>
        <w:rPr>
          <w:rFonts w:ascii="宋体" w:hAnsi="宋体" w:cs="宋体"/>
          <w:szCs w:val="21"/>
        </w:rPr>
      </w:pPr>
      <w:r>
        <w:rPr>
          <w:rFonts w:hint="eastAsia" w:ascii="宋体" w:hAnsi="宋体" w:cs="宋体"/>
          <w:szCs w:val="21"/>
        </w:rPr>
        <w:t>2.落实政府采购政策需满足的资格要求：（如属于专门面向中小企业采购的项目,供应商应为中小微企业、监狱企业、残疾人福利性单位)</w:t>
      </w:r>
    </w:p>
    <w:p>
      <w:pPr>
        <w:spacing w:line="300" w:lineRule="auto"/>
        <w:ind w:firstLine="420" w:firstLineChars="200"/>
        <w:rPr>
          <w:rFonts w:ascii="宋体" w:hAnsi="宋体" w:cs="宋体"/>
          <w:szCs w:val="21"/>
        </w:rPr>
      </w:pPr>
      <w:r>
        <w:rPr>
          <w:rFonts w:hint="eastAsia" w:ascii="宋体" w:hAnsi="宋体" w:cs="宋体"/>
          <w:szCs w:val="21"/>
        </w:rPr>
        <w:t>3.本项目的特定资格要求：（如项目接受联合体投标，对联合体应提出相关资格要求；如属于特定行业项目,供应商应当具备特定行业法定准入要求。)</w:t>
      </w:r>
    </w:p>
    <w:p>
      <w:pPr>
        <w:spacing w:line="300" w:lineRule="auto"/>
        <w:ind w:firstLine="420" w:firstLineChars="200"/>
        <w:rPr>
          <w:rFonts w:ascii="宋体" w:hAnsi="宋体" w:cs="宋体"/>
          <w:szCs w:val="21"/>
        </w:rPr>
      </w:pPr>
      <w:r>
        <w:rPr>
          <w:rFonts w:hint="eastAsia" w:ascii="宋体" w:hAnsi="宋体" w:cs="宋体"/>
          <w:szCs w:val="21"/>
        </w:rPr>
        <w:t>4.1.国内注册（指按国家有关规定要求注册的）具备独立法人资格，具有《中华人民共和国特种设备安装改造维修许可证》（电梯类）B级（含 B级）或以上资质生产或经营本次采购内容的供应商。</w:t>
      </w:r>
    </w:p>
    <w:p>
      <w:pPr>
        <w:spacing w:line="300" w:lineRule="auto"/>
        <w:ind w:firstLine="420" w:firstLineChars="200"/>
        <w:rPr>
          <w:rFonts w:ascii="宋体" w:hAnsi="宋体" w:cs="宋体"/>
          <w:szCs w:val="21"/>
        </w:rPr>
      </w:pPr>
      <w:r>
        <w:rPr>
          <w:rFonts w:hint="eastAsia" w:ascii="宋体" w:hAnsi="宋体" w:cs="宋体"/>
          <w:szCs w:val="21"/>
        </w:rPr>
        <w:t>4.2.对在“信用中国”网站(www.creditchina.gov.cn)、中国政府采购网(www.ccgp.gov.cn)等渠道列入失信被执行人、重大税收违法案件当事人名单、政府采购严重违法失信行为记录名单的供应商，不得参与本次竞标活动。</w:t>
      </w:r>
    </w:p>
    <w:p>
      <w:pPr>
        <w:spacing w:line="300" w:lineRule="auto"/>
        <w:ind w:firstLine="420" w:firstLineChars="200"/>
        <w:rPr>
          <w:rFonts w:ascii="宋体" w:hAnsi="宋体" w:cs="宋体"/>
          <w:szCs w:val="21"/>
        </w:rPr>
      </w:pPr>
      <w:r>
        <w:rPr>
          <w:rFonts w:hint="eastAsia" w:ascii="宋体" w:hAnsi="宋体" w:cs="宋体"/>
          <w:szCs w:val="21"/>
        </w:rPr>
        <w:t xml:space="preserve">4.3.本项目不接受联合体参与竞标。 </w:t>
      </w:r>
    </w:p>
    <w:p>
      <w:pPr>
        <w:spacing w:line="300" w:lineRule="auto"/>
        <w:ind w:firstLine="420" w:firstLineChars="200"/>
        <w:rPr>
          <w:rFonts w:ascii="宋体" w:hAnsi="宋体" w:cs="宋体"/>
          <w:szCs w:val="21"/>
        </w:rPr>
      </w:pPr>
      <w:r>
        <w:rPr>
          <w:rFonts w:hint="eastAsia" w:ascii="宋体" w:hAnsi="宋体" w:cs="宋体"/>
          <w:szCs w:val="21"/>
        </w:rPr>
        <w:t>5.符合《中华人民共和国政府采购法》第二十二条和《政府采购非招标采购方式管理办法》的有关规定。</w:t>
      </w:r>
    </w:p>
    <w:p>
      <w:pPr>
        <w:spacing w:line="300" w:lineRule="auto"/>
        <w:ind w:firstLine="420" w:firstLineChars="200"/>
        <w:rPr>
          <w:rFonts w:ascii="宋体" w:hAnsi="宋体" w:cs="宋体"/>
          <w:szCs w:val="21"/>
        </w:rPr>
      </w:pPr>
      <w:r>
        <w:rPr>
          <w:rFonts w:hint="eastAsia" w:ascii="宋体" w:hAnsi="宋体" w:cs="宋体"/>
          <w:szCs w:val="21"/>
        </w:rPr>
        <w:t>6.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auto"/>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00" w:lineRule="auto"/>
        <w:rPr>
          <w:rFonts w:ascii="宋体" w:hAnsi="宋体" w:cs="宋体"/>
          <w:b/>
          <w:bCs/>
          <w:szCs w:val="21"/>
        </w:rPr>
      </w:pPr>
      <w:bookmarkStart w:id="8" w:name="_Toc35393800"/>
      <w:bookmarkStart w:id="9" w:name="_Toc35393631"/>
      <w:r>
        <w:rPr>
          <w:rFonts w:hint="eastAsia" w:ascii="宋体" w:hAnsi="宋体" w:cs="宋体"/>
          <w:b/>
          <w:bCs/>
          <w:szCs w:val="21"/>
        </w:rPr>
        <w:t>三、获取采购文件</w:t>
      </w:r>
      <w:bookmarkEnd w:id="8"/>
      <w:bookmarkEnd w:id="9"/>
    </w:p>
    <w:p>
      <w:pPr>
        <w:widowControl/>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时间：</w:t>
      </w:r>
      <w:r>
        <w:rPr>
          <w:rFonts w:hint="eastAsia" w:ascii="宋体" w:hAnsi="宋体" w:cs="Courier New"/>
          <w:color w:val="000000"/>
          <w:spacing w:val="2"/>
          <w:kern w:val="10"/>
          <w:szCs w:val="21"/>
          <w:u w:val="single"/>
        </w:rPr>
        <w:t>2020</w:t>
      </w:r>
      <w:r>
        <w:rPr>
          <w:rFonts w:hint="eastAsia" w:ascii="宋体" w:hAnsi="宋体" w:cs="Courier New"/>
          <w:color w:val="000000"/>
          <w:spacing w:val="2"/>
          <w:kern w:val="10"/>
          <w:szCs w:val="21"/>
        </w:rPr>
        <w:t>年</w:t>
      </w:r>
      <w:r>
        <w:rPr>
          <w:rFonts w:hint="eastAsia" w:ascii="宋体" w:hAnsi="宋体" w:cs="Courier New"/>
          <w:color w:val="000000"/>
          <w:spacing w:val="2"/>
          <w:kern w:val="10"/>
          <w:szCs w:val="21"/>
          <w:u w:val="single"/>
        </w:rPr>
        <w:t xml:space="preserve">  7 </w:t>
      </w:r>
      <w:r>
        <w:rPr>
          <w:rFonts w:hint="eastAsia" w:ascii="宋体" w:hAnsi="宋体" w:cs="Courier New"/>
          <w:color w:val="000000"/>
          <w:spacing w:val="2"/>
          <w:kern w:val="10"/>
          <w:szCs w:val="21"/>
        </w:rPr>
        <w:t>月  日至</w:t>
      </w:r>
      <w:r>
        <w:rPr>
          <w:rFonts w:hint="eastAsia" w:ascii="宋体" w:hAnsi="宋体" w:cs="Courier New"/>
          <w:color w:val="000000"/>
          <w:spacing w:val="2"/>
          <w:kern w:val="10"/>
          <w:szCs w:val="21"/>
          <w:u w:val="single"/>
        </w:rPr>
        <w:t>2020</w:t>
      </w:r>
      <w:r>
        <w:rPr>
          <w:rFonts w:hint="eastAsia" w:ascii="宋体" w:hAnsi="宋体" w:cs="Courier New"/>
          <w:color w:val="000000"/>
          <w:spacing w:val="2"/>
          <w:kern w:val="10"/>
          <w:szCs w:val="21"/>
        </w:rPr>
        <w:t>年</w:t>
      </w:r>
      <w:r>
        <w:rPr>
          <w:rFonts w:hint="eastAsia" w:ascii="宋体" w:hAnsi="宋体" w:cs="Courier New"/>
          <w:color w:val="000000"/>
          <w:spacing w:val="2"/>
          <w:kern w:val="10"/>
          <w:szCs w:val="21"/>
          <w:u w:val="single"/>
        </w:rPr>
        <w:t xml:space="preserve"> 7 </w:t>
      </w:r>
      <w:r>
        <w:rPr>
          <w:rFonts w:hint="eastAsia" w:ascii="宋体" w:hAnsi="宋体" w:cs="Courier New"/>
          <w:color w:val="000000"/>
          <w:spacing w:val="2"/>
          <w:kern w:val="10"/>
          <w:szCs w:val="21"/>
        </w:rPr>
        <w:t>月 日，（从谈判文件的发售期限自开始之日起不得少于3个工作日）每天上午08：00至12:00，下午15:00至18:00（北京时间，法定节假日除外）；</w:t>
      </w:r>
    </w:p>
    <w:p>
      <w:pPr>
        <w:widowControl/>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地点：华春建设工程项目管理有限责任公司（百色市右江区前程路4号长乐星城1号写字楼10楼 ）</w:t>
      </w:r>
    </w:p>
    <w:p>
      <w:pPr>
        <w:widowControl/>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方式：现场报名</w:t>
      </w:r>
    </w:p>
    <w:p>
      <w:pPr>
        <w:widowControl/>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售价：竞争性谈判采购文件工本费每本250元，售后不退，本项目不提供电子标书，不代办标书邮寄。</w:t>
      </w:r>
    </w:p>
    <w:p>
      <w:pPr>
        <w:spacing w:line="300" w:lineRule="auto"/>
        <w:jc w:val="left"/>
        <w:rPr>
          <w:rFonts w:ascii="宋体" w:hAnsi="宋体" w:cs="宋体"/>
          <w:b/>
          <w:bCs/>
          <w:szCs w:val="21"/>
        </w:rPr>
      </w:pPr>
      <w:r>
        <w:rPr>
          <w:rFonts w:hint="eastAsia" w:ascii="宋体" w:hAnsi="宋体" w:cs="宋体"/>
          <w:b/>
          <w:bCs/>
          <w:szCs w:val="21"/>
        </w:rPr>
        <w:t>四、响应文件提交</w:t>
      </w:r>
    </w:p>
    <w:p>
      <w:pPr>
        <w:spacing w:line="300" w:lineRule="auto"/>
        <w:ind w:firstLine="422" w:firstLineChars="200"/>
        <w:jc w:val="left"/>
        <w:rPr>
          <w:rFonts w:ascii="宋体" w:hAnsi="宋体" w:cs="宋体"/>
          <w:szCs w:val="21"/>
        </w:rPr>
      </w:pPr>
      <w:r>
        <w:rPr>
          <w:rFonts w:hint="eastAsia" w:ascii="宋体" w:hAnsi="宋体" w:cs="宋体"/>
          <w:b/>
          <w:bCs/>
          <w:szCs w:val="21"/>
        </w:rPr>
        <w:t>截止时间：</w:t>
      </w:r>
      <w:r>
        <w:rPr>
          <w:rFonts w:hint="eastAsia" w:ascii="宋体" w:hAnsi="宋体" w:cs="宋体"/>
          <w:spacing w:val="2"/>
          <w:szCs w:val="21"/>
          <w:u w:val="single"/>
        </w:rPr>
        <w:t>2020年7月   日  点  分</w:t>
      </w:r>
      <w:r>
        <w:rPr>
          <w:rFonts w:hint="eastAsia" w:ascii="宋体" w:hAnsi="宋体" w:cs="宋体"/>
          <w:szCs w:val="21"/>
        </w:rPr>
        <w:t>（北京时间）</w:t>
      </w:r>
    </w:p>
    <w:p>
      <w:pPr>
        <w:spacing w:line="300" w:lineRule="auto"/>
        <w:ind w:firstLine="422" w:firstLineChars="200"/>
        <w:jc w:val="left"/>
        <w:rPr>
          <w:rFonts w:ascii="宋体" w:hAnsi="宋体" w:cs="Courier New"/>
          <w:color w:val="000000"/>
          <w:spacing w:val="2"/>
          <w:kern w:val="10"/>
          <w:szCs w:val="21"/>
        </w:rPr>
      </w:pPr>
      <w:r>
        <w:rPr>
          <w:rFonts w:hint="eastAsia" w:ascii="宋体" w:hAnsi="宋体" w:cs="宋体"/>
          <w:b/>
          <w:bCs/>
          <w:szCs w:val="21"/>
        </w:rPr>
        <w:t>地点：</w:t>
      </w:r>
      <w:r>
        <w:rPr>
          <w:rFonts w:hint="eastAsia" w:ascii="宋体" w:hAnsi="宋体" w:cs="Courier New"/>
          <w:color w:val="000000"/>
          <w:spacing w:val="2"/>
          <w:kern w:val="10"/>
          <w:szCs w:val="21"/>
        </w:rPr>
        <w:t>华春建设工程项目管理有限责任公司广西百色分公司开标厅（广西百色市长乐星城1号写字楼705室）</w:t>
      </w:r>
    </w:p>
    <w:p>
      <w:pPr>
        <w:spacing w:line="300" w:lineRule="auto"/>
        <w:jc w:val="left"/>
        <w:rPr>
          <w:rFonts w:ascii="宋体" w:hAnsi="宋体" w:cs="Courier New"/>
          <w:b/>
          <w:bCs/>
          <w:color w:val="000000"/>
          <w:spacing w:val="2"/>
          <w:kern w:val="10"/>
          <w:szCs w:val="21"/>
        </w:rPr>
      </w:pPr>
      <w:r>
        <w:rPr>
          <w:rFonts w:hint="eastAsia" w:ascii="宋体" w:hAnsi="宋体" w:cs="Courier New"/>
          <w:b/>
          <w:bCs/>
          <w:color w:val="000000"/>
          <w:spacing w:val="2"/>
          <w:kern w:val="10"/>
          <w:szCs w:val="21"/>
        </w:rPr>
        <w:t>五、开启</w:t>
      </w:r>
    </w:p>
    <w:p>
      <w:pPr>
        <w:spacing w:line="300" w:lineRule="auto"/>
        <w:ind w:firstLine="430" w:firstLineChars="200"/>
        <w:jc w:val="left"/>
        <w:rPr>
          <w:rFonts w:ascii="宋体" w:hAnsi="宋体" w:cs="Courier New"/>
          <w:b/>
          <w:bCs/>
          <w:color w:val="000000"/>
          <w:spacing w:val="2"/>
          <w:kern w:val="10"/>
          <w:szCs w:val="21"/>
        </w:rPr>
      </w:pPr>
      <w:r>
        <w:rPr>
          <w:rFonts w:hint="eastAsia" w:ascii="宋体" w:hAnsi="宋体" w:cs="Courier New"/>
          <w:b/>
          <w:bCs/>
          <w:color w:val="000000"/>
          <w:spacing w:val="2"/>
          <w:kern w:val="10"/>
          <w:szCs w:val="21"/>
        </w:rPr>
        <w:t>时间：</w:t>
      </w:r>
      <w:r>
        <w:rPr>
          <w:rFonts w:hint="eastAsia" w:ascii="宋体" w:hAnsi="宋体" w:cs="宋体"/>
          <w:spacing w:val="2"/>
          <w:szCs w:val="21"/>
          <w:u w:val="single"/>
        </w:rPr>
        <w:t>2020年7月   日   点  分</w:t>
      </w:r>
      <w:r>
        <w:rPr>
          <w:rFonts w:hint="eastAsia" w:ascii="宋体" w:hAnsi="宋体" w:cs="Courier New"/>
          <w:color w:val="000000"/>
          <w:spacing w:val="2"/>
          <w:kern w:val="10"/>
          <w:szCs w:val="21"/>
        </w:rPr>
        <w:t>（北京时间）</w:t>
      </w:r>
    </w:p>
    <w:p>
      <w:pPr>
        <w:spacing w:line="300" w:lineRule="auto"/>
        <w:ind w:firstLine="430" w:firstLineChars="200"/>
        <w:jc w:val="left"/>
        <w:rPr>
          <w:rFonts w:ascii="宋体" w:hAnsi="宋体" w:cs="Courier New"/>
          <w:color w:val="000000"/>
          <w:spacing w:val="2"/>
          <w:kern w:val="10"/>
          <w:szCs w:val="21"/>
        </w:rPr>
      </w:pPr>
      <w:r>
        <w:rPr>
          <w:rFonts w:hint="eastAsia" w:ascii="宋体" w:hAnsi="宋体" w:cs="Courier New"/>
          <w:b/>
          <w:bCs/>
          <w:color w:val="000000"/>
          <w:spacing w:val="2"/>
          <w:kern w:val="10"/>
          <w:szCs w:val="21"/>
        </w:rPr>
        <w:t>地点：</w:t>
      </w:r>
      <w:r>
        <w:rPr>
          <w:rFonts w:hint="eastAsia" w:ascii="宋体" w:hAnsi="宋体" w:cs="Courier New"/>
          <w:color w:val="000000"/>
          <w:spacing w:val="2"/>
          <w:kern w:val="10"/>
          <w:szCs w:val="21"/>
        </w:rPr>
        <w:t>华春建设工程项目管理有限责任公司广西百色分公司开标厅（广西百色市长乐星城1号写字楼705室）</w:t>
      </w:r>
    </w:p>
    <w:p>
      <w:pPr>
        <w:spacing w:line="300" w:lineRule="auto"/>
        <w:jc w:val="left"/>
        <w:rPr>
          <w:rFonts w:ascii="宋体" w:hAnsi="宋体" w:cs="宋体"/>
          <w:b/>
          <w:bCs/>
          <w:szCs w:val="21"/>
        </w:rPr>
      </w:pPr>
      <w:r>
        <w:rPr>
          <w:rFonts w:hint="eastAsia" w:ascii="宋体" w:hAnsi="宋体" w:cs="宋体"/>
          <w:b/>
          <w:bCs/>
          <w:szCs w:val="21"/>
        </w:rPr>
        <w:t>六、公告期限</w:t>
      </w:r>
    </w:p>
    <w:p>
      <w:pPr>
        <w:spacing w:line="300" w:lineRule="auto"/>
        <w:ind w:left="1050" w:leftChars="500"/>
        <w:jc w:val="left"/>
        <w:rPr>
          <w:rFonts w:ascii="宋体" w:hAnsi="宋体" w:cs="Courier New"/>
          <w:color w:val="000000"/>
          <w:spacing w:val="2"/>
          <w:kern w:val="10"/>
          <w:szCs w:val="21"/>
        </w:rPr>
      </w:pPr>
      <w:r>
        <w:rPr>
          <w:rFonts w:hint="eastAsia" w:ascii="宋体" w:hAnsi="宋体" w:cs="Courier New"/>
          <w:color w:val="000000"/>
          <w:spacing w:val="2"/>
          <w:kern w:val="10"/>
          <w:szCs w:val="21"/>
        </w:rPr>
        <w:t>自本公告发布之日起3个工作日。</w:t>
      </w:r>
    </w:p>
    <w:p>
      <w:pPr>
        <w:spacing w:line="300" w:lineRule="auto"/>
        <w:jc w:val="left"/>
        <w:rPr>
          <w:rFonts w:ascii="宋体" w:hAnsi="宋体" w:cs="宋体"/>
          <w:b/>
          <w:bCs/>
          <w:szCs w:val="21"/>
        </w:rPr>
      </w:pPr>
      <w:r>
        <w:rPr>
          <w:rFonts w:hint="eastAsia" w:ascii="宋体" w:hAnsi="宋体" w:cs="宋体"/>
          <w:b/>
          <w:bCs/>
          <w:szCs w:val="21"/>
        </w:rPr>
        <w:t>七、其他补充事宜</w:t>
      </w:r>
    </w:p>
    <w:p>
      <w:pPr>
        <w:spacing w:line="300" w:lineRule="auto"/>
        <w:ind w:firstLine="428" w:firstLineChars="200"/>
        <w:rPr>
          <w:rFonts w:ascii="宋体" w:hAnsi="宋体"/>
          <w:szCs w:val="21"/>
        </w:rPr>
      </w:pPr>
      <w:r>
        <w:rPr>
          <w:rFonts w:hint="eastAsia" w:ascii="宋体" w:hAnsi="宋体" w:cs="宋体"/>
          <w:spacing w:val="2"/>
          <w:szCs w:val="21"/>
        </w:rPr>
        <w:t>1.根据《中华人民共和国政府采购法》、《中华人民共和国政府采购法实施条例》、《政府采购非招标采购方式管理办法》等有关规定，经财政部门批准的政府采购计划{</w:t>
      </w:r>
      <w:r>
        <w:rPr>
          <w:rFonts w:hint="eastAsia" w:ascii="宋体" w:hAnsi="宋体" w:cs="宋体"/>
          <w:b/>
          <w:bCs/>
          <w:spacing w:val="2"/>
          <w:szCs w:val="21"/>
        </w:rPr>
        <w:t>阳财采备TYZC2020-J2-00677-001（002）</w:t>
      </w:r>
      <w:r>
        <w:rPr>
          <w:rFonts w:hint="eastAsia" w:ascii="宋体" w:hAnsi="宋体" w:cs="宋体"/>
          <w:spacing w:val="2"/>
          <w:szCs w:val="21"/>
        </w:rPr>
        <w:t>}批准，现对老乡家园移民搬迁卫生服务中心电梯安装项目进行竞争性谈判采购</w:t>
      </w:r>
      <w:r>
        <w:rPr>
          <w:rFonts w:hint="eastAsia" w:ascii="宋体" w:hAnsi="宋体"/>
          <w:szCs w:val="21"/>
        </w:rPr>
        <w:t>，经采购人和评审专家分别书面推荐的方式推荐符合条件的投标人前来参加谈判活动。</w:t>
      </w:r>
    </w:p>
    <w:p>
      <w:pPr>
        <w:spacing w:line="300" w:lineRule="auto"/>
        <w:ind w:firstLine="420" w:firstLineChars="200"/>
        <w:rPr>
          <w:rFonts w:ascii="宋体" w:hAnsi="宋体"/>
          <w:szCs w:val="21"/>
        </w:rPr>
      </w:pPr>
      <w:r>
        <w:rPr>
          <w:rFonts w:hint="eastAsia" w:ascii="宋体" w:hAnsi="宋体"/>
          <w:szCs w:val="21"/>
        </w:rPr>
        <w:t>2.购买竞争性谈判文件，售价 250元/份（不办理邮寄，不提供竞争性谈判文件电子版），竞争性谈判文件售后不退。竞标人法定代表人或授权委托代理人前来报名并购买竞争性谈判文件时须携带如下复印件壹份（均须加盖单位公章）：(1)有效的企业法人营业执照副本、有效的组织机构代码证副本、有效的税务（国税、地税）登记证副本（或有统一社会信用代码的“三证合一”营业执照）；</w:t>
      </w:r>
      <w:r>
        <w:rPr>
          <w:rFonts w:hint="eastAsia" w:ascii="宋体" w:hAnsi="宋体" w:cs="Times New Roman"/>
          <w:szCs w:val="21"/>
        </w:rPr>
        <w:t>(2)特种设备安装改造维修许可证复印件</w:t>
      </w:r>
      <w:r>
        <w:rPr>
          <w:rFonts w:hint="eastAsia" w:ascii="宋体" w:hAnsi="宋体"/>
          <w:szCs w:val="21"/>
        </w:rPr>
        <w:t>；（3）法定代表人身份证明书原件（如为法定代表人报名时提供）；（4）法定代表人身份证复印件；（5）委托代理人前来时必须提供法定代表人授权委托书原件（明确委托权限及时间）、委托人身份证复印件；6）提供本单位在参加政府采购活动前三年内在经营活动中没有重大违法记录的书面声明原件。</w:t>
      </w:r>
    </w:p>
    <w:p>
      <w:pPr>
        <w:spacing w:line="300" w:lineRule="auto"/>
        <w:ind w:firstLine="428" w:firstLineChars="200"/>
        <w:rPr>
          <w:rFonts w:ascii="宋体" w:hAnsi="宋体" w:cs="Arial"/>
          <w:b/>
          <w:kern w:val="10"/>
          <w:szCs w:val="21"/>
        </w:rPr>
      </w:pPr>
      <w:r>
        <w:rPr>
          <w:rFonts w:hint="eastAsia" w:ascii="宋体" w:hAnsi="宋体" w:cs="Courier New"/>
          <w:color w:val="000000"/>
          <w:spacing w:val="2"/>
          <w:kern w:val="10"/>
          <w:szCs w:val="21"/>
        </w:rPr>
        <w:t>3.谈判保证金金额：</w:t>
      </w:r>
      <w:r>
        <w:rPr>
          <w:rFonts w:hint="eastAsia" w:ascii="宋体" w:hAnsi="宋体"/>
          <w:b/>
          <w:kern w:val="10"/>
          <w:szCs w:val="21"/>
        </w:rPr>
        <w:t>人民币壹万伍仟元整（￥15000.</w:t>
      </w:r>
      <w:r>
        <w:rPr>
          <w:rFonts w:ascii="宋体" w:hAnsi="宋体"/>
          <w:b/>
          <w:kern w:val="10"/>
          <w:szCs w:val="21"/>
        </w:rPr>
        <w:t>00）</w:t>
      </w:r>
      <w:r>
        <w:rPr>
          <w:rFonts w:hint="eastAsia" w:ascii="宋体" w:hAnsi="宋体"/>
          <w:b/>
          <w:kern w:val="10"/>
          <w:szCs w:val="21"/>
        </w:rPr>
        <w:t>（须足额交纳）。</w:t>
      </w:r>
    </w:p>
    <w:p>
      <w:pPr>
        <w:adjustRightInd w:val="0"/>
        <w:snapToGrid w:val="0"/>
        <w:spacing w:line="300" w:lineRule="auto"/>
        <w:ind w:firstLine="428" w:firstLineChars="200"/>
        <w:rPr>
          <w:rFonts w:ascii="宋体" w:hAnsi="宋体"/>
          <w:kern w:val="10"/>
          <w:szCs w:val="21"/>
        </w:rPr>
      </w:pPr>
      <w:r>
        <w:rPr>
          <w:rFonts w:hint="eastAsia" w:ascii="宋体" w:hAnsi="宋体" w:cs="Courier New"/>
          <w:color w:val="000000"/>
          <w:spacing w:val="2"/>
          <w:kern w:val="10"/>
          <w:szCs w:val="21"/>
        </w:rPr>
        <w:t>谈判保证金交纳方式：必须以转账或电汇形式，竞标人必须将谈判保证金从投标单位基本账户以转账或电汇形式转出，并于递交竞标文件截止时间前到达以下账户：</w:t>
      </w:r>
    </w:p>
    <w:p>
      <w:pPr>
        <w:adjustRightInd w:val="0"/>
        <w:snapToGrid w:val="0"/>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账号名称：华春建设工程项目管理有限责任公司广西百色分公司</w:t>
      </w:r>
    </w:p>
    <w:p>
      <w:pPr>
        <w:adjustRightInd w:val="0"/>
        <w:snapToGrid w:val="0"/>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开户行：交通银行股份有限公司百色分行</w:t>
      </w:r>
    </w:p>
    <w:p>
      <w:pPr>
        <w:adjustRightInd w:val="0"/>
        <w:snapToGrid w:val="0"/>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账号：457626101018010074293</w:t>
      </w:r>
    </w:p>
    <w:p>
      <w:pPr>
        <w:adjustRightInd w:val="0"/>
        <w:snapToGrid w:val="0"/>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4.信息公告发布媒体：中国政府采购网（http://</w:t>
      </w:r>
      <w:r>
        <w:fldChar w:fldCharType="begin"/>
      </w:r>
      <w:r>
        <w:instrText xml:space="preserve"> HYPERLINK "http://www.ccgp.gov.cn/" </w:instrText>
      </w:r>
      <w:r>
        <w:fldChar w:fldCharType="separate"/>
      </w:r>
      <w:r>
        <w:rPr>
          <w:rFonts w:hint="eastAsia" w:ascii="宋体" w:hAnsi="宋体" w:cs="Courier New"/>
          <w:color w:val="000000"/>
          <w:spacing w:val="2"/>
          <w:kern w:val="10"/>
          <w:szCs w:val="21"/>
        </w:rPr>
        <w:t>www.ccgp.gov.cn</w:t>
      </w:r>
      <w:r>
        <w:rPr>
          <w:rFonts w:hint="eastAsia" w:ascii="宋体" w:hAnsi="宋体" w:cs="Courier New"/>
          <w:color w:val="000000"/>
          <w:spacing w:val="2"/>
          <w:kern w:val="10"/>
          <w:szCs w:val="21"/>
        </w:rPr>
        <w:fldChar w:fldCharType="end"/>
      </w:r>
      <w:r>
        <w:rPr>
          <w:rFonts w:hint="eastAsia" w:ascii="宋体" w:hAnsi="宋体" w:cs="Courier New"/>
          <w:color w:val="000000"/>
          <w:spacing w:val="2"/>
          <w:kern w:val="10"/>
          <w:szCs w:val="21"/>
        </w:rPr>
        <w:t>）、广西壮族自治区政府采购网（http://zfcg.gxzf.gov.cn/）。</w:t>
      </w:r>
    </w:p>
    <w:p>
      <w:pPr>
        <w:adjustRightInd w:val="0"/>
        <w:snapToGrid w:val="0"/>
        <w:spacing w:line="300" w:lineRule="auto"/>
        <w:rPr>
          <w:rFonts w:ascii="宋体" w:hAnsi="宋体"/>
          <w:b/>
          <w:kern w:val="10"/>
          <w:szCs w:val="21"/>
        </w:rPr>
      </w:pPr>
      <w:r>
        <w:rPr>
          <w:rFonts w:hint="eastAsia" w:ascii="宋体" w:hAnsi="宋体"/>
          <w:b/>
          <w:kern w:val="10"/>
          <w:szCs w:val="21"/>
        </w:rPr>
        <w:t>八、凡对本次采购提出询问，请按以下方式联系。</w:t>
      </w:r>
    </w:p>
    <w:p>
      <w:pPr>
        <w:pStyle w:val="28"/>
        <w:spacing w:before="0" w:beforeAutospacing="0" w:after="0" w:afterAutospacing="0" w:line="300" w:lineRule="auto"/>
        <w:ind w:firstLine="420" w:firstLineChars="200"/>
        <w:rPr>
          <w:sz w:val="21"/>
          <w:szCs w:val="21"/>
        </w:rPr>
      </w:pPr>
      <w:r>
        <w:rPr>
          <w:rFonts w:hint="eastAsia"/>
          <w:sz w:val="21"/>
          <w:szCs w:val="21"/>
        </w:rPr>
        <w:t>1.采购人名称：百色市田阳区卫生健康局</w:t>
      </w:r>
    </w:p>
    <w:p>
      <w:pPr>
        <w:pStyle w:val="28"/>
        <w:spacing w:before="0" w:beforeAutospacing="0" w:after="0" w:afterAutospacing="0" w:line="300" w:lineRule="auto"/>
        <w:ind w:firstLine="630" w:firstLineChars="300"/>
        <w:rPr>
          <w:sz w:val="21"/>
          <w:szCs w:val="21"/>
        </w:rPr>
      </w:pPr>
      <w:r>
        <w:rPr>
          <w:rFonts w:hint="eastAsia"/>
          <w:sz w:val="21"/>
          <w:szCs w:val="21"/>
        </w:rPr>
        <w:t>地址：百色市田阳区</w:t>
      </w:r>
    </w:p>
    <w:p>
      <w:pPr>
        <w:pStyle w:val="28"/>
        <w:spacing w:before="0" w:beforeAutospacing="0" w:after="0" w:afterAutospacing="0" w:line="300" w:lineRule="auto"/>
        <w:ind w:firstLine="630" w:firstLineChars="300"/>
        <w:rPr>
          <w:sz w:val="21"/>
          <w:szCs w:val="21"/>
        </w:rPr>
      </w:pPr>
      <w:r>
        <w:rPr>
          <w:rFonts w:hint="eastAsia"/>
          <w:sz w:val="21"/>
          <w:szCs w:val="21"/>
        </w:rPr>
        <w:t>联系人及电话：罗章利，0776-3221881</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2.采购代理机构信息：华春建设工程项目管理有限责任公司</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 xml:space="preserve">地址：百色市右江区前程路4号长乐星城第一幢10层      </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 xml:space="preserve">项目联系人：0776-2969400 </w:t>
      </w:r>
    </w:p>
    <w:p>
      <w:pPr>
        <w:spacing w:line="300" w:lineRule="auto"/>
        <w:ind w:firstLine="428" w:firstLineChars="200"/>
        <w:jc w:val="left"/>
        <w:rPr>
          <w:rFonts w:hint="default" w:ascii="宋体" w:hAnsi="宋体" w:eastAsia="宋体" w:cs="Courier New"/>
          <w:color w:val="000000"/>
          <w:spacing w:val="2"/>
          <w:kern w:val="10"/>
          <w:szCs w:val="21"/>
          <w:lang w:val="en-US" w:eastAsia="zh-CN"/>
        </w:rPr>
      </w:pPr>
      <w:r>
        <w:rPr>
          <w:rFonts w:hint="eastAsia" w:ascii="宋体" w:hAnsi="宋体" w:cs="Courier New"/>
          <w:color w:val="000000"/>
          <w:spacing w:val="2"/>
          <w:kern w:val="10"/>
          <w:szCs w:val="21"/>
        </w:rPr>
        <w:t>3.项目联系方式: 黄立丹，</w:t>
      </w:r>
      <w:r>
        <w:rPr>
          <w:rFonts w:hint="eastAsia" w:ascii="宋体" w:hAnsi="宋体" w:cs="Courier New"/>
          <w:color w:val="000000"/>
          <w:spacing w:val="2"/>
          <w:kern w:val="10"/>
          <w:szCs w:val="21"/>
          <w:lang w:val="en-US" w:eastAsia="zh-CN"/>
        </w:rPr>
        <w:t>0776-2969400</w:t>
      </w:r>
    </w:p>
    <w:p>
      <w:pPr>
        <w:spacing w:line="300" w:lineRule="auto"/>
        <w:ind w:firstLine="428" w:firstLineChars="200"/>
        <w:jc w:val="left"/>
        <w:rPr>
          <w:rFonts w:hint="eastAsia" w:ascii="宋体" w:hAnsi="宋体" w:cs="Courier New"/>
          <w:color w:val="000000"/>
          <w:spacing w:val="2"/>
          <w:kern w:val="10"/>
          <w:szCs w:val="21"/>
        </w:rPr>
      </w:pPr>
    </w:p>
    <w:p>
      <w:pPr>
        <w:spacing w:line="300" w:lineRule="auto"/>
        <w:ind w:firstLine="428" w:firstLineChars="200"/>
        <w:jc w:val="left"/>
        <w:rPr>
          <w:rFonts w:ascii="宋体" w:hAnsi="宋体" w:cs="Courier New"/>
          <w:spacing w:val="2"/>
          <w:kern w:val="10"/>
          <w:szCs w:val="21"/>
        </w:rPr>
      </w:pPr>
    </w:p>
    <w:p>
      <w:pPr>
        <w:pStyle w:val="17"/>
        <w:spacing w:line="300" w:lineRule="auto"/>
        <w:ind w:left="412" w:leftChars="196" w:right="585"/>
        <w:rPr>
          <w:rFonts w:hAnsi="宋体" w:cs="宋体"/>
          <w:szCs w:val="21"/>
        </w:rPr>
      </w:pPr>
      <w:r>
        <w:rPr>
          <w:rFonts w:hint="eastAsia" w:hAnsi="宋体" w:cs="宋体"/>
          <w:szCs w:val="21"/>
        </w:rPr>
        <w:t xml:space="preserve">         华春建设工程项目管理有限责任公司</w:t>
      </w:r>
    </w:p>
    <w:p>
      <w:pPr>
        <w:pStyle w:val="17"/>
        <w:spacing w:line="300" w:lineRule="auto"/>
        <w:ind w:left="412" w:leftChars="196" w:right="105"/>
        <w:rPr>
          <w:rFonts w:hAnsi="宋体" w:cs="宋体"/>
          <w:szCs w:val="21"/>
        </w:rPr>
      </w:pPr>
      <w:r>
        <w:rPr>
          <w:rFonts w:hint="eastAsia" w:hAnsi="宋体" w:cs="宋体"/>
          <w:szCs w:val="21"/>
        </w:rPr>
        <w:t xml:space="preserve">              2020年   月  日</w:t>
      </w:r>
    </w:p>
    <w:p>
      <w:pPr>
        <w:spacing w:line="300" w:lineRule="auto"/>
        <w:rPr>
          <w:szCs w:val="21"/>
        </w:rPr>
      </w:pPr>
    </w:p>
    <w:p>
      <w:pPr>
        <w:rPr>
          <w:rFonts w:ascii="隶书" w:eastAsia="隶书"/>
          <w:b/>
          <w:sz w:val="44"/>
        </w:rPr>
      </w:pPr>
      <w:r>
        <w:rPr>
          <w:rFonts w:ascii="隶书" w:eastAsia="隶书"/>
          <w:b/>
          <w:sz w:val="44"/>
        </w:rPr>
        <w:br w:type="page"/>
      </w:r>
      <w:bookmarkStart w:id="84" w:name="_GoBack"/>
      <w:bookmarkEnd w:id="84"/>
    </w:p>
    <w:p>
      <w:pPr>
        <w:pStyle w:val="17"/>
        <w:ind w:left="412" w:leftChars="196"/>
        <w:jc w:val="center"/>
        <w:rPr>
          <w:rFonts w:ascii="隶书" w:eastAsia="隶书"/>
          <w:b/>
          <w:sz w:val="44"/>
        </w:rPr>
      </w:pPr>
    </w:p>
    <w:p>
      <w:pPr>
        <w:pStyle w:val="3"/>
        <w:spacing w:line="240" w:lineRule="auto"/>
        <w:jc w:val="center"/>
        <w:rPr>
          <w:rFonts w:ascii="宋体"/>
          <w:sz w:val="32"/>
          <w:szCs w:val="32"/>
        </w:rPr>
      </w:pPr>
      <w:bookmarkStart w:id="10" w:name="_Toc259698654"/>
      <w:bookmarkStart w:id="11" w:name="_Toc290375219"/>
      <w:r>
        <w:rPr>
          <w:rFonts w:hint="eastAsia" w:ascii="宋体"/>
          <w:sz w:val="32"/>
          <w:szCs w:val="32"/>
        </w:rPr>
        <w:t>第一章  竞标人须知及前附表</w:t>
      </w:r>
      <w:bookmarkEnd w:id="10"/>
      <w:bookmarkEnd w:id="11"/>
    </w:p>
    <w:p>
      <w:pPr>
        <w:pStyle w:val="17"/>
        <w:jc w:val="center"/>
        <w:rPr>
          <w:rFonts w:ascii="隶书" w:eastAsia="隶书"/>
          <w:b/>
          <w:sz w:val="44"/>
        </w:rPr>
      </w:pPr>
    </w:p>
    <w:p>
      <w:pPr>
        <w:pStyle w:val="17"/>
        <w:jc w:val="center"/>
        <w:rPr>
          <w:b/>
          <w:sz w:val="32"/>
          <w:szCs w:val="32"/>
        </w:rPr>
      </w:pPr>
      <w:r>
        <w:rPr>
          <w:rFonts w:hint="eastAsia" w:ascii="隶书" w:eastAsia="隶书"/>
          <w:b/>
          <w:sz w:val="44"/>
        </w:rPr>
        <w:br w:type="page"/>
      </w:r>
      <w:r>
        <w:rPr>
          <w:rFonts w:hint="eastAsia"/>
          <w:b/>
          <w:sz w:val="32"/>
          <w:szCs w:val="32"/>
        </w:rPr>
        <w:t>竞</w:t>
      </w:r>
      <w:r>
        <w:rPr>
          <w:b/>
          <w:sz w:val="32"/>
          <w:szCs w:val="32"/>
        </w:rPr>
        <w:t xml:space="preserve"> </w:t>
      </w:r>
      <w:r>
        <w:rPr>
          <w:rFonts w:hint="eastAsia"/>
          <w:b/>
          <w:sz w:val="32"/>
          <w:szCs w:val="32"/>
        </w:rPr>
        <w:t>标</w:t>
      </w:r>
      <w:r>
        <w:rPr>
          <w:b/>
          <w:sz w:val="32"/>
          <w:szCs w:val="32"/>
        </w:rPr>
        <w:t xml:space="preserve"> </w:t>
      </w:r>
      <w:r>
        <w:rPr>
          <w:rFonts w:hint="eastAsia"/>
          <w:b/>
          <w:sz w:val="32"/>
          <w:szCs w:val="32"/>
        </w:rPr>
        <w:t>人 须</w:t>
      </w:r>
      <w:r>
        <w:rPr>
          <w:b/>
          <w:sz w:val="32"/>
          <w:szCs w:val="32"/>
        </w:rPr>
        <w:t xml:space="preserve"> </w:t>
      </w:r>
      <w:r>
        <w:rPr>
          <w:rFonts w:hint="eastAsia"/>
          <w:b/>
          <w:sz w:val="32"/>
          <w:szCs w:val="32"/>
        </w:rPr>
        <w:t>知 目</w:t>
      </w:r>
      <w:r>
        <w:rPr>
          <w:b/>
          <w:sz w:val="32"/>
          <w:szCs w:val="32"/>
        </w:rPr>
        <w:t xml:space="preserve"> </w:t>
      </w:r>
      <w:r>
        <w:rPr>
          <w:rFonts w:hint="eastAsia"/>
          <w:b/>
          <w:sz w:val="32"/>
          <w:szCs w:val="32"/>
        </w:rPr>
        <w:t>录</w:t>
      </w:r>
      <w:r>
        <w:rPr>
          <w:rFonts w:hint="eastAsia"/>
          <w:b/>
          <w:sz w:val="32"/>
          <w:szCs w:val="32"/>
        </w:rPr>
        <w:cr/>
      </w:r>
    </w:p>
    <w:p>
      <w:pPr>
        <w:pStyle w:val="23"/>
        <w:tabs>
          <w:tab w:val="right" w:leader="dot" w:pos="9742"/>
        </w:tabs>
        <w:spacing w:line="360" w:lineRule="exact"/>
        <w:rPr>
          <w:sz w:val="24"/>
        </w:rPr>
      </w:pPr>
      <w:r>
        <w:rPr>
          <w:sz w:val="24"/>
        </w:rPr>
        <w:fldChar w:fldCharType="begin"/>
      </w:r>
      <w:r>
        <w:rPr>
          <w:sz w:val="24"/>
        </w:rPr>
        <w:instrText xml:space="preserve"> </w:instrText>
      </w:r>
      <w:r>
        <w:rPr>
          <w:rFonts w:hint="eastAsia"/>
          <w:sz w:val="24"/>
        </w:rPr>
        <w:instrText xml:space="preserve">TOC \o "1-4" \h \z \u</w:instrText>
      </w:r>
      <w:r>
        <w:rPr>
          <w:sz w:val="24"/>
        </w:rPr>
        <w:instrText xml:space="preserve"> </w:instrText>
      </w:r>
      <w:r>
        <w:rPr>
          <w:sz w:val="24"/>
        </w:rPr>
        <w:fldChar w:fldCharType="separate"/>
      </w:r>
      <w:r>
        <w:fldChar w:fldCharType="begin"/>
      </w:r>
      <w:r>
        <w:instrText xml:space="preserve"> HYPERLINK \l "_Toc259698655" </w:instrText>
      </w:r>
      <w:r>
        <w:fldChar w:fldCharType="separate"/>
      </w:r>
      <w:r>
        <w:rPr>
          <w:rFonts w:hint="eastAsia"/>
          <w:sz w:val="24"/>
        </w:rPr>
        <w:t>竞标人须知前附表</w:t>
      </w:r>
      <w:r>
        <w:rPr>
          <w:sz w:val="24"/>
        </w:rPr>
        <w:tab/>
      </w:r>
      <w:r>
        <w:rPr>
          <w:sz w:val="24"/>
        </w:rPr>
        <w:fldChar w:fldCharType="begin"/>
      </w:r>
      <w:r>
        <w:rPr>
          <w:sz w:val="24"/>
        </w:rPr>
        <w:instrText xml:space="preserve"> PAGEREF _Toc259698655 \h </w:instrText>
      </w:r>
      <w:r>
        <w:rPr>
          <w:sz w:val="24"/>
        </w:rPr>
        <w:fldChar w:fldCharType="separate"/>
      </w:r>
      <w:r>
        <w:rPr>
          <w:sz w:val="24"/>
        </w:rPr>
        <w:t>6</w:t>
      </w:r>
      <w:r>
        <w:rPr>
          <w:sz w:val="24"/>
        </w:rPr>
        <w:fldChar w:fldCharType="end"/>
      </w:r>
      <w:r>
        <w:rPr>
          <w:sz w:val="24"/>
        </w:rPr>
        <w:fldChar w:fldCharType="end"/>
      </w:r>
    </w:p>
    <w:p>
      <w:pPr>
        <w:pStyle w:val="26"/>
        <w:tabs>
          <w:tab w:val="right" w:leader="dot" w:pos="9742"/>
        </w:tabs>
        <w:spacing w:line="360" w:lineRule="exact"/>
        <w:ind w:left="420"/>
        <w:rPr>
          <w:sz w:val="24"/>
        </w:rPr>
      </w:pPr>
      <w:r>
        <w:fldChar w:fldCharType="begin"/>
      </w:r>
      <w:r>
        <w:instrText xml:space="preserve"> HYPERLINK \l "_Toc259698656" </w:instrText>
      </w:r>
      <w:r>
        <w:fldChar w:fldCharType="separate"/>
      </w:r>
      <w:r>
        <w:rPr>
          <w:rFonts w:hint="eastAsia"/>
          <w:sz w:val="24"/>
        </w:rPr>
        <w:t>竞</w:t>
      </w:r>
      <w:r>
        <w:rPr>
          <w:sz w:val="24"/>
        </w:rPr>
        <w:t xml:space="preserve"> </w:t>
      </w:r>
      <w:r>
        <w:rPr>
          <w:rFonts w:hint="eastAsia"/>
          <w:sz w:val="24"/>
        </w:rPr>
        <w:t>标</w:t>
      </w:r>
      <w:r>
        <w:rPr>
          <w:sz w:val="24"/>
        </w:rPr>
        <w:t xml:space="preserve"> </w:t>
      </w:r>
      <w:r>
        <w:rPr>
          <w:rFonts w:hint="eastAsia"/>
          <w:sz w:val="24"/>
        </w:rPr>
        <w:t>人</w:t>
      </w:r>
      <w:r>
        <w:rPr>
          <w:sz w:val="24"/>
        </w:rPr>
        <w:t xml:space="preserve"> </w:t>
      </w:r>
      <w:r>
        <w:rPr>
          <w:rFonts w:hint="eastAsia"/>
          <w:sz w:val="24"/>
        </w:rPr>
        <w:t>须</w:t>
      </w:r>
      <w:r>
        <w:rPr>
          <w:sz w:val="24"/>
        </w:rPr>
        <w:t xml:space="preserve"> </w:t>
      </w:r>
      <w:r>
        <w:rPr>
          <w:rFonts w:hint="eastAsia"/>
          <w:sz w:val="24"/>
        </w:rPr>
        <w:t>知</w:t>
      </w:r>
      <w:r>
        <w:rPr>
          <w:sz w:val="24"/>
        </w:rPr>
        <w:tab/>
      </w:r>
      <w:r>
        <w:rPr>
          <w:sz w:val="24"/>
        </w:rPr>
        <w:fldChar w:fldCharType="begin"/>
      </w:r>
      <w:r>
        <w:rPr>
          <w:sz w:val="24"/>
        </w:rPr>
        <w:instrText xml:space="preserve"> PAGEREF _Toc259698656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"_Toc259698657" </w:instrText>
      </w:r>
      <w:r>
        <w:fldChar w:fldCharType="separate"/>
      </w:r>
      <w:r>
        <w:rPr>
          <w:rFonts w:hint="eastAsia"/>
        </w:rPr>
        <w:t>一</w:t>
      </w:r>
      <w:r>
        <w:t xml:space="preserve">    </w:t>
      </w:r>
      <w:r>
        <w:rPr>
          <w:rFonts w:hint="eastAsia"/>
        </w:rPr>
        <w:t>总</w:t>
      </w:r>
      <w:r>
        <w:t xml:space="preserve">  </w:t>
      </w:r>
      <w:r>
        <w:rPr>
          <w:rFonts w:hint="eastAsia"/>
        </w:rPr>
        <w:t>则</w:t>
      </w:r>
      <w:r>
        <w:tab/>
      </w:r>
      <w:r>
        <w:fldChar w:fldCharType="begin"/>
      </w:r>
      <w:r>
        <w:instrText xml:space="preserve"> PAGEREF _Toc259698657 \h </w:instrText>
      </w:r>
      <w:r>
        <w:fldChar w:fldCharType="separate"/>
      </w:r>
      <w:r>
        <w:t>7</w:t>
      </w:r>
      <w:r>
        <w:fldChar w:fldCharType="end"/>
      </w:r>
      <w:r>
        <w:fldChar w:fldCharType="end"/>
      </w:r>
    </w:p>
    <w:p>
      <w:pPr>
        <w:pStyle w:val="24"/>
        <w:tabs>
          <w:tab w:val="right" w:leader="dot" w:pos="9742"/>
        </w:tabs>
        <w:ind w:left="1260"/>
        <w:rPr>
          <w:sz w:val="24"/>
        </w:rPr>
      </w:pPr>
      <w:r>
        <w:fldChar w:fldCharType="begin"/>
      </w:r>
      <w:r>
        <w:instrText xml:space="preserve"> HYPERLINK \l "_Toc259698658" </w:instrText>
      </w:r>
      <w:r>
        <w:fldChar w:fldCharType="separate"/>
      </w:r>
      <w:r>
        <w:rPr>
          <w:rFonts w:hint="eastAsia" w:ascii="宋体"/>
          <w:sz w:val="24"/>
        </w:rPr>
        <w:t>1.项目名称及编号</w:t>
      </w:r>
      <w:r>
        <w:rPr>
          <w:sz w:val="24"/>
        </w:rPr>
        <w:tab/>
      </w:r>
      <w:r>
        <w:rPr>
          <w:sz w:val="24"/>
        </w:rPr>
        <w:fldChar w:fldCharType="begin"/>
      </w:r>
      <w:r>
        <w:rPr>
          <w:sz w:val="24"/>
        </w:rPr>
        <w:instrText xml:space="preserve"> PAGEREF _Toc259698658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"_Toc259698659" </w:instrText>
      </w:r>
      <w:r>
        <w:fldChar w:fldCharType="separate"/>
      </w:r>
      <w:r>
        <w:rPr>
          <w:rFonts w:hint="eastAsia" w:ascii="宋体"/>
          <w:sz w:val="24"/>
        </w:rPr>
        <w:t>2.竞标人资格</w:t>
      </w:r>
      <w:bookmarkStart w:id="12" w:name="_Hlt80548728"/>
      <w:bookmarkEnd w:id="12"/>
      <w:r>
        <w:rPr>
          <w:sz w:val="24"/>
        </w:rPr>
        <w:tab/>
      </w:r>
      <w:r>
        <w:rPr>
          <w:sz w:val="24"/>
        </w:rPr>
        <w:fldChar w:fldCharType="begin"/>
      </w:r>
      <w:r>
        <w:rPr>
          <w:sz w:val="24"/>
        </w:rPr>
        <w:instrText xml:space="preserve"> PAGEREF _Toc259698659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"_Toc259698660" </w:instrText>
      </w:r>
      <w:r>
        <w:fldChar w:fldCharType="separate"/>
      </w:r>
      <w:r>
        <w:rPr>
          <w:rFonts w:hint="eastAsia" w:ascii="宋体"/>
          <w:sz w:val="24"/>
        </w:rPr>
        <w:t>3.竞标费用</w:t>
      </w:r>
      <w:r>
        <w:rPr>
          <w:sz w:val="24"/>
        </w:rPr>
        <w:tab/>
      </w:r>
      <w:r>
        <w:rPr>
          <w:sz w:val="24"/>
        </w:rPr>
        <w:fldChar w:fldCharType="begin"/>
      </w:r>
      <w:r>
        <w:rPr>
          <w:sz w:val="24"/>
        </w:rPr>
        <w:instrText xml:space="preserve"> PAGEREF _Toc259698660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"_Toc259698661" </w:instrText>
      </w:r>
      <w:r>
        <w:fldChar w:fldCharType="separate"/>
      </w:r>
      <w:r>
        <w:rPr>
          <w:rFonts w:hint="eastAsia"/>
        </w:rPr>
        <w:t>二</w:t>
      </w:r>
      <w:r>
        <w:t xml:space="preserve">    </w:t>
      </w:r>
      <w:r>
        <w:rPr>
          <w:rFonts w:hint="eastAsia"/>
        </w:rPr>
        <w:t>竞争性谈判采购文件（简称谈判采购文件）</w:t>
      </w:r>
      <w:r>
        <w:tab/>
      </w:r>
      <w:r>
        <w:fldChar w:fldCharType="begin"/>
      </w:r>
      <w:r>
        <w:instrText xml:space="preserve"> PAGEREF _Toc259698661 \h </w:instrText>
      </w:r>
      <w:r>
        <w:fldChar w:fldCharType="separate"/>
      </w:r>
      <w:r>
        <w:t>7</w:t>
      </w:r>
      <w:r>
        <w:fldChar w:fldCharType="end"/>
      </w:r>
      <w:r>
        <w:fldChar w:fldCharType="end"/>
      </w:r>
    </w:p>
    <w:p>
      <w:pPr>
        <w:pStyle w:val="24"/>
        <w:tabs>
          <w:tab w:val="right" w:leader="dot" w:pos="9742"/>
        </w:tabs>
        <w:ind w:left="1260"/>
        <w:rPr>
          <w:sz w:val="24"/>
        </w:rPr>
      </w:pPr>
      <w:r>
        <w:fldChar w:fldCharType="begin"/>
      </w:r>
      <w:r>
        <w:instrText xml:space="preserve"> HYPERLINK \l "_Toc259698662" </w:instrText>
      </w:r>
      <w:r>
        <w:fldChar w:fldCharType="separate"/>
      </w:r>
      <w:r>
        <w:rPr>
          <w:rFonts w:hint="eastAsia" w:ascii="宋体"/>
          <w:sz w:val="24"/>
        </w:rPr>
        <w:t>4.谈判采购文件的构成</w:t>
      </w:r>
      <w:r>
        <w:rPr>
          <w:sz w:val="24"/>
        </w:rPr>
        <w:tab/>
      </w:r>
      <w:r>
        <w:rPr>
          <w:sz w:val="24"/>
        </w:rPr>
        <w:fldChar w:fldCharType="begin"/>
      </w:r>
      <w:r>
        <w:rPr>
          <w:sz w:val="24"/>
        </w:rPr>
        <w:instrText xml:space="preserve"> PAGEREF _Toc259698662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"_Toc259698663" </w:instrText>
      </w:r>
      <w:r>
        <w:fldChar w:fldCharType="separate"/>
      </w:r>
      <w:r>
        <w:rPr>
          <w:rFonts w:hint="eastAsia" w:ascii="宋体"/>
          <w:sz w:val="24"/>
        </w:rPr>
        <w:t>5.谈判采购文件的澄清和修改</w:t>
      </w:r>
      <w:r>
        <w:rPr>
          <w:sz w:val="24"/>
        </w:rPr>
        <w:tab/>
      </w:r>
      <w:r>
        <w:rPr>
          <w:sz w:val="24"/>
        </w:rPr>
        <w:fldChar w:fldCharType="begin"/>
      </w:r>
      <w:r>
        <w:rPr>
          <w:sz w:val="24"/>
        </w:rPr>
        <w:instrText xml:space="preserve"> PAGEREF _Toc259698663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"_Toc259698664" </w:instrText>
      </w:r>
      <w:r>
        <w:fldChar w:fldCharType="separate"/>
      </w:r>
      <w:r>
        <w:rPr>
          <w:rFonts w:hint="eastAsia"/>
        </w:rPr>
        <w:t>三</w:t>
      </w:r>
      <w:r>
        <w:t xml:space="preserve">    </w:t>
      </w:r>
      <w:r>
        <w:rPr>
          <w:rFonts w:hint="eastAsia"/>
        </w:rPr>
        <w:t>竞标文件的编制格式</w:t>
      </w:r>
      <w:r>
        <w:tab/>
      </w:r>
      <w:r>
        <w:fldChar w:fldCharType="begin"/>
      </w:r>
      <w:r>
        <w:instrText xml:space="preserve"> PAGEREF _Toc259698664 \h </w:instrText>
      </w:r>
      <w:r>
        <w:fldChar w:fldCharType="separate"/>
      </w:r>
      <w:r>
        <w:t>8</w:t>
      </w:r>
      <w:r>
        <w:fldChar w:fldCharType="end"/>
      </w:r>
      <w:r>
        <w:fldChar w:fldCharType="end"/>
      </w:r>
    </w:p>
    <w:p>
      <w:pPr>
        <w:pStyle w:val="24"/>
        <w:tabs>
          <w:tab w:val="right" w:leader="dot" w:pos="9742"/>
        </w:tabs>
        <w:ind w:left="1260"/>
        <w:rPr>
          <w:sz w:val="24"/>
        </w:rPr>
      </w:pPr>
      <w:r>
        <w:fldChar w:fldCharType="begin"/>
      </w:r>
      <w:r>
        <w:instrText xml:space="preserve"> HYPERLINK \l "_Toc259698665" </w:instrText>
      </w:r>
      <w:r>
        <w:fldChar w:fldCharType="separate"/>
      </w:r>
      <w:r>
        <w:rPr>
          <w:rFonts w:hint="eastAsia" w:ascii="宋体"/>
          <w:sz w:val="24"/>
        </w:rPr>
        <w:t>6.竞标文件编写的注意事项</w:t>
      </w:r>
      <w:r>
        <w:rPr>
          <w:sz w:val="24"/>
        </w:rPr>
        <w:tab/>
      </w:r>
      <w:r>
        <w:rPr>
          <w:sz w:val="24"/>
        </w:rPr>
        <w:fldChar w:fldCharType="begin"/>
      </w:r>
      <w:r>
        <w:rPr>
          <w:sz w:val="24"/>
        </w:rPr>
        <w:instrText xml:space="preserve"> PAGEREF _Toc259698665 \h </w:instrText>
      </w:r>
      <w:r>
        <w:rPr>
          <w:sz w:val="24"/>
        </w:rPr>
        <w:fldChar w:fldCharType="separate"/>
      </w:r>
      <w:r>
        <w:rPr>
          <w:sz w:val="24"/>
        </w:rPr>
        <w:t>8</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"_Toc259698666" </w:instrText>
      </w:r>
      <w:r>
        <w:fldChar w:fldCharType="separate"/>
      </w:r>
      <w:r>
        <w:rPr>
          <w:rFonts w:hint="eastAsia" w:ascii="宋体"/>
          <w:sz w:val="24"/>
        </w:rPr>
        <w:t>7.竞标文件的构成</w:t>
      </w:r>
      <w:r>
        <w:rPr>
          <w:sz w:val="24"/>
        </w:rPr>
        <w:tab/>
      </w:r>
      <w:r>
        <w:rPr>
          <w:sz w:val="24"/>
        </w:rPr>
        <w:fldChar w:fldCharType="begin"/>
      </w:r>
      <w:r>
        <w:rPr>
          <w:sz w:val="24"/>
        </w:rPr>
        <w:instrText xml:space="preserve"> PAGEREF _Toc259698666 \h </w:instrText>
      </w:r>
      <w:r>
        <w:rPr>
          <w:sz w:val="24"/>
        </w:rPr>
        <w:fldChar w:fldCharType="separate"/>
      </w:r>
      <w:r>
        <w:rPr>
          <w:sz w:val="24"/>
        </w:rPr>
        <w:t>8</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"_Toc259698667" </w:instrText>
      </w:r>
      <w:r>
        <w:fldChar w:fldCharType="separate"/>
      </w:r>
      <w:r>
        <w:rPr>
          <w:rFonts w:hint="eastAsia" w:ascii="宋体"/>
          <w:sz w:val="24"/>
        </w:rPr>
        <w:t>8.竞标文件的语言及计量单位</w:t>
      </w:r>
      <w:r>
        <w:rPr>
          <w:sz w:val="24"/>
        </w:rPr>
        <w:tab/>
      </w:r>
      <w:r>
        <w:rPr>
          <w:sz w:val="24"/>
        </w:rPr>
        <w:fldChar w:fldCharType="begin"/>
      </w:r>
      <w:r>
        <w:rPr>
          <w:sz w:val="24"/>
        </w:rPr>
        <w:instrText xml:space="preserve"> PAGEREF _Toc259698667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"_Toc259698668" </w:instrText>
      </w:r>
      <w:r>
        <w:fldChar w:fldCharType="separate"/>
      </w:r>
      <w:r>
        <w:rPr>
          <w:rFonts w:hint="eastAsia" w:ascii="宋体"/>
          <w:sz w:val="24"/>
        </w:rPr>
        <w:t>9. 竞标函格式</w:t>
      </w:r>
      <w:r>
        <w:rPr>
          <w:sz w:val="24"/>
        </w:rPr>
        <w:tab/>
      </w:r>
      <w:r>
        <w:rPr>
          <w:sz w:val="24"/>
        </w:rPr>
        <w:fldChar w:fldCharType="begin"/>
      </w:r>
      <w:r>
        <w:rPr>
          <w:sz w:val="24"/>
        </w:rPr>
        <w:instrText xml:space="preserve"> PAGEREF _Toc259698668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"_Toc259698669" </w:instrText>
      </w:r>
      <w:r>
        <w:fldChar w:fldCharType="separate"/>
      </w:r>
      <w:r>
        <w:rPr>
          <w:rFonts w:hint="eastAsia" w:ascii="宋体"/>
          <w:sz w:val="24"/>
        </w:rPr>
        <w:t>10.竞标报价</w:t>
      </w:r>
      <w:r>
        <w:rPr>
          <w:sz w:val="24"/>
        </w:rPr>
        <w:tab/>
      </w:r>
      <w:r>
        <w:rPr>
          <w:sz w:val="24"/>
        </w:rPr>
        <w:fldChar w:fldCharType="begin"/>
      </w:r>
      <w:r>
        <w:rPr>
          <w:sz w:val="24"/>
        </w:rPr>
        <w:instrText xml:space="preserve"> PAGEREF _Toc259698669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"_Toc259698670" </w:instrText>
      </w:r>
      <w:r>
        <w:fldChar w:fldCharType="separate"/>
      </w:r>
      <w:r>
        <w:rPr>
          <w:rFonts w:hint="eastAsia" w:ascii="宋体"/>
          <w:sz w:val="24"/>
        </w:rPr>
        <w:t>11.竞标货币</w:t>
      </w:r>
      <w:r>
        <w:rPr>
          <w:sz w:val="24"/>
        </w:rPr>
        <w:tab/>
      </w:r>
      <w:r>
        <w:rPr>
          <w:sz w:val="24"/>
        </w:rPr>
        <w:fldChar w:fldCharType="begin"/>
      </w:r>
      <w:r>
        <w:rPr>
          <w:sz w:val="24"/>
        </w:rPr>
        <w:instrText xml:space="preserve"> PAGEREF _Toc259698670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"_Toc259698671" </w:instrText>
      </w:r>
      <w:r>
        <w:fldChar w:fldCharType="separate"/>
      </w:r>
      <w:r>
        <w:rPr>
          <w:rFonts w:hint="eastAsia" w:ascii="宋体"/>
          <w:sz w:val="24"/>
        </w:rPr>
        <w:t>12.证明竞标人合格和资格的文件</w:t>
      </w:r>
      <w:r>
        <w:rPr>
          <w:sz w:val="24"/>
        </w:rPr>
        <w:tab/>
      </w:r>
      <w:r>
        <w:rPr>
          <w:sz w:val="24"/>
        </w:rPr>
        <w:fldChar w:fldCharType="begin"/>
      </w:r>
      <w:r>
        <w:rPr>
          <w:sz w:val="24"/>
        </w:rPr>
        <w:instrText xml:space="preserve"> PAGEREF _Toc259698671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"_Toc259698672" </w:instrText>
      </w:r>
      <w:r>
        <w:fldChar w:fldCharType="separate"/>
      </w:r>
      <w:r>
        <w:rPr>
          <w:rFonts w:hint="eastAsia" w:ascii="宋体"/>
          <w:sz w:val="24"/>
        </w:rPr>
        <w:t>13.证明货物的合格性和符合谈判采购文件规定的相关文件</w:t>
      </w:r>
      <w:r>
        <w:rPr>
          <w:sz w:val="24"/>
        </w:rPr>
        <w:tab/>
      </w:r>
      <w:r>
        <w:rPr>
          <w:sz w:val="24"/>
        </w:rPr>
        <w:fldChar w:fldCharType="begin"/>
      </w:r>
      <w:r>
        <w:rPr>
          <w:sz w:val="24"/>
        </w:rPr>
        <w:instrText xml:space="preserve"> PAGEREF _Toc259698672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"_Toc259698673" </w:instrText>
      </w:r>
      <w:r>
        <w:fldChar w:fldCharType="separate"/>
      </w:r>
      <w:r>
        <w:rPr>
          <w:rFonts w:hint="eastAsia" w:ascii="宋体"/>
          <w:sz w:val="24"/>
        </w:rPr>
        <w:t>14.竞标的有效期</w:t>
      </w:r>
      <w:r>
        <w:rPr>
          <w:sz w:val="24"/>
        </w:rPr>
        <w:tab/>
      </w:r>
      <w:r>
        <w:rPr>
          <w:sz w:val="24"/>
        </w:rPr>
        <w:fldChar w:fldCharType="begin"/>
      </w:r>
      <w:r>
        <w:rPr>
          <w:sz w:val="24"/>
        </w:rPr>
        <w:instrText xml:space="preserve"> PAGEREF _Toc259698673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"_Toc259698674" </w:instrText>
      </w:r>
      <w:r>
        <w:fldChar w:fldCharType="separate"/>
      </w:r>
      <w:r>
        <w:rPr>
          <w:rFonts w:hint="eastAsia" w:ascii="宋体"/>
          <w:sz w:val="24"/>
        </w:rPr>
        <w:t>15.竞标文件书写及签字、盖章要求</w:t>
      </w:r>
      <w:r>
        <w:rPr>
          <w:sz w:val="24"/>
        </w:rPr>
        <w:tab/>
      </w:r>
      <w:r>
        <w:rPr>
          <w:sz w:val="24"/>
        </w:rPr>
        <w:fldChar w:fldCharType="begin"/>
      </w:r>
      <w:r>
        <w:rPr>
          <w:sz w:val="24"/>
        </w:rPr>
        <w:instrText xml:space="preserve"> PAGEREF _Toc259698674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"_Toc259698675" </w:instrText>
      </w:r>
      <w:r>
        <w:fldChar w:fldCharType="separate"/>
      </w:r>
      <w:r>
        <w:rPr>
          <w:rFonts w:hint="eastAsia" w:ascii="宋体"/>
          <w:sz w:val="24"/>
        </w:rPr>
        <w:t>16.竞标保证金</w:t>
      </w:r>
      <w:r>
        <w:rPr>
          <w:sz w:val="24"/>
        </w:rPr>
        <w:tab/>
      </w:r>
      <w:r>
        <w:rPr>
          <w:sz w:val="24"/>
        </w:rPr>
        <w:fldChar w:fldCharType="begin"/>
      </w:r>
      <w:r>
        <w:rPr>
          <w:sz w:val="24"/>
        </w:rPr>
        <w:instrText xml:space="preserve"> PAGEREF _Toc259698675 \h </w:instrText>
      </w:r>
      <w:r>
        <w:rPr>
          <w:sz w:val="24"/>
        </w:rPr>
        <w:fldChar w:fldCharType="separate"/>
      </w:r>
      <w:r>
        <w:rPr>
          <w:sz w:val="24"/>
        </w:rPr>
        <w:t>11</w:t>
      </w:r>
      <w:r>
        <w:rPr>
          <w:sz w:val="24"/>
        </w:rPr>
        <w:fldChar w:fldCharType="end"/>
      </w:r>
      <w:r>
        <w:rPr>
          <w:sz w:val="24"/>
        </w:rPr>
        <w:fldChar w:fldCharType="end"/>
      </w:r>
    </w:p>
    <w:p>
      <w:pPr>
        <w:pStyle w:val="16"/>
        <w:ind w:left="840"/>
      </w:pPr>
      <w:r>
        <w:fldChar w:fldCharType="begin"/>
      </w:r>
      <w:r>
        <w:instrText xml:space="preserve"> HYPERLINK \l "_Toc259698676" </w:instrText>
      </w:r>
      <w:r>
        <w:fldChar w:fldCharType="separate"/>
      </w:r>
      <w:r>
        <w:rPr>
          <w:rFonts w:hint="eastAsia"/>
        </w:rPr>
        <w:t>四</w:t>
      </w:r>
      <w:r>
        <w:t xml:space="preserve">    </w:t>
      </w:r>
      <w:r>
        <w:rPr>
          <w:rFonts w:hint="eastAsia"/>
        </w:rPr>
        <w:t>竞标文件的递交</w:t>
      </w:r>
      <w:r>
        <w:tab/>
      </w:r>
      <w:r>
        <w:fldChar w:fldCharType="begin"/>
      </w:r>
      <w:r>
        <w:instrText xml:space="preserve"> PAGEREF _Toc259698676 \h </w:instrText>
      </w:r>
      <w:r>
        <w:fldChar w:fldCharType="separate"/>
      </w:r>
      <w:r>
        <w:t>11</w:t>
      </w:r>
      <w:r>
        <w:fldChar w:fldCharType="end"/>
      </w:r>
      <w:r>
        <w:fldChar w:fldCharType="end"/>
      </w:r>
    </w:p>
    <w:p>
      <w:pPr>
        <w:pStyle w:val="24"/>
        <w:tabs>
          <w:tab w:val="right" w:leader="dot" w:pos="9742"/>
        </w:tabs>
        <w:ind w:left="1260"/>
        <w:rPr>
          <w:sz w:val="24"/>
        </w:rPr>
      </w:pPr>
      <w:r>
        <w:fldChar w:fldCharType="begin"/>
      </w:r>
      <w:r>
        <w:instrText xml:space="preserve"> HYPERLINK \l "_Toc259698677" </w:instrText>
      </w:r>
      <w:r>
        <w:fldChar w:fldCharType="separate"/>
      </w:r>
      <w:r>
        <w:rPr>
          <w:rFonts w:hint="eastAsia" w:ascii="宋体"/>
          <w:sz w:val="24"/>
        </w:rPr>
        <w:t>17.竞标文件的密封与标记</w:t>
      </w:r>
      <w:r>
        <w:rPr>
          <w:sz w:val="24"/>
        </w:rPr>
        <w:tab/>
      </w:r>
      <w:r>
        <w:rPr>
          <w:sz w:val="24"/>
        </w:rPr>
        <w:fldChar w:fldCharType="begin"/>
      </w:r>
      <w:r>
        <w:rPr>
          <w:sz w:val="24"/>
        </w:rPr>
        <w:instrText xml:space="preserve"> PAGEREF _Toc259698677 \h </w:instrText>
      </w:r>
      <w:r>
        <w:rPr>
          <w:sz w:val="24"/>
        </w:rPr>
        <w:fldChar w:fldCharType="separate"/>
      </w:r>
      <w:r>
        <w:rPr>
          <w:sz w:val="24"/>
        </w:rPr>
        <w:t>11</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"_Toc259698678" </w:instrText>
      </w:r>
      <w:r>
        <w:fldChar w:fldCharType="separate"/>
      </w:r>
      <w:r>
        <w:rPr>
          <w:rFonts w:hint="eastAsia" w:ascii="宋体"/>
          <w:sz w:val="24"/>
        </w:rPr>
        <w:t>18.竞标截止时间</w:t>
      </w:r>
      <w:r>
        <w:rPr>
          <w:sz w:val="24"/>
        </w:rPr>
        <w:tab/>
      </w:r>
      <w:r>
        <w:rPr>
          <w:sz w:val="24"/>
        </w:rPr>
        <w:fldChar w:fldCharType="begin"/>
      </w:r>
      <w:r>
        <w:rPr>
          <w:sz w:val="24"/>
        </w:rPr>
        <w:instrText xml:space="preserve"> PAGEREF _Toc259698678 \h </w:instrText>
      </w:r>
      <w:r>
        <w:rPr>
          <w:sz w:val="24"/>
        </w:rPr>
        <w:fldChar w:fldCharType="separate"/>
      </w:r>
      <w:r>
        <w:rPr>
          <w:sz w:val="24"/>
        </w:rPr>
        <w:t>12</w:t>
      </w:r>
      <w:r>
        <w:rPr>
          <w:sz w:val="24"/>
        </w:rPr>
        <w:fldChar w:fldCharType="end"/>
      </w:r>
      <w:r>
        <w:rPr>
          <w:sz w:val="24"/>
        </w:rPr>
        <w:fldChar w:fldCharType="end"/>
      </w:r>
    </w:p>
    <w:p>
      <w:pPr>
        <w:pStyle w:val="16"/>
        <w:ind w:left="840"/>
      </w:pPr>
      <w:r>
        <w:fldChar w:fldCharType="begin"/>
      </w:r>
      <w:r>
        <w:instrText xml:space="preserve"> HYPERLINK \l "_Toc259698679" </w:instrText>
      </w:r>
      <w:r>
        <w:fldChar w:fldCharType="separate"/>
      </w:r>
      <w:r>
        <w:rPr>
          <w:rFonts w:hint="eastAsia"/>
        </w:rPr>
        <w:t>五</w:t>
      </w:r>
      <w:r>
        <w:t xml:space="preserve">    </w:t>
      </w:r>
      <w:r>
        <w:rPr>
          <w:rFonts w:hint="eastAsia"/>
        </w:rPr>
        <w:t>谈判与评标</w:t>
      </w:r>
      <w:r>
        <w:tab/>
      </w:r>
      <w:r>
        <w:fldChar w:fldCharType="begin"/>
      </w:r>
      <w:r>
        <w:instrText xml:space="preserve"> PAGEREF _Toc259698679 \h </w:instrText>
      </w:r>
      <w:r>
        <w:fldChar w:fldCharType="separate"/>
      </w:r>
      <w:r>
        <w:t>12</w:t>
      </w:r>
      <w:r>
        <w:fldChar w:fldCharType="end"/>
      </w:r>
      <w:r>
        <w:fldChar w:fldCharType="end"/>
      </w:r>
    </w:p>
    <w:p>
      <w:pPr>
        <w:pStyle w:val="24"/>
        <w:tabs>
          <w:tab w:val="right" w:leader="dot" w:pos="9742"/>
        </w:tabs>
        <w:ind w:left="1260"/>
        <w:rPr>
          <w:sz w:val="24"/>
        </w:rPr>
      </w:pPr>
      <w:r>
        <w:fldChar w:fldCharType="begin"/>
      </w:r>
      <w:r>
        <w:instrText xml:space="preserve"> HYPERLINK \l "_Toc259698680" </w:instrText>
      </w:r>
      <w:r>
        <w:fldChar w:fldCharType="separate"/>
      </w:r>
      <w:r>
        <w:rPr>
          <w:rFonts w:hint="eastAsia" w:ascii="宋体"/>
          <w:sz w:val="24"/>
        </w:rPr>
        <w:t>19.谈判</w:t>
      </w:r>
      <w:r>
        <w:rPr>
          <w:sz w:val="24"/>
        </w:rPr>
        <w:tab/>
      </w:r>
      <w:r>
        <w:rPr>
          <w:sz w:val="24"/>
        </w:rPr>
        <w:fldChar w:fldCharType="begin"/>
      </w:r>
      <w:r>
        <w:rPr>
          <w:sz w:val="24"/>
        </w:rPr>
        <w:instrText xml:space="preserve"> PAGEREF _Toc259698680 \h </w:instrText>
      </w:r>
      <w:r>
        <w:rPr>
          <w:sz w:val="24"/>
        </w:rPr>
        <w:fldChar w:fldCharType="separate"/>
      </w:r>
      <w:r>
        <w:rPr>
          <w:sz w:val="24"/>
        </w:rPr>
        <w:t>12</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"_Toc259698681" </w:instrText>
      </w:r>
      <w:r>
        <w:fldChar w:fldCharType="separate"/>
      </w:r>
      <w:r>
        <w:rPr>
          <w:rFonts w:hint="eastAsia" w:ascii="宋体"/>
          <w:sz w:val="24"/>
        </w:rPr>
        <w:t>20.评标</w:t>
      </w:r>
      <w:r>
        <w:rPr>
          <w:sz w:val="24"/>
        </w:rPr>
        <w:tab/>
      </w:r>
      <w:r>
        <w:rPr>
          <w:sz w:val="24"/>
        </w:rPr>
        <w:fldChar w:fldCharType="begin"/>
      </w:r>
      <w:r>
        <w:rPr>
          <w:sz w:val="24"/>
        </w:rPr>
        <w:instrText xml:space="preserve"> PAGEREF _Toc259698681 \h </w:instrText>
      </w:r>
      <w:r>
        <w:rPr>
          <w:sz w:val="24"/>
        </w:rPr>
        <w:fldChar w:fldCharType="separate"/>
      </w:r>
      <w:r>
        <w:rPr>
          <w:sz w:val="24"/>
        </w:rPr>
        <w:t>13</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"_Toc259698682" </w:instrText>
      </w:r>
      <w:r>
        <w:fldChar w:fldCharType="separate"/>
      </w:r>
      <w:r>
        <w:rPr>
          <w:rFonts w:hint="eastAsia" w:ascii="宋体"/>
          <w:sz w:val="24"/>
        </w:rPr>
        <w:t>21.无效竞标</w:t>
      </w:r>
      <w:r>
        <w:rPr>
          <w:sz w:val="24"/>
        </w:rPr>
        <w:tab/>
      </w:r>
      <w:r>
        <w:rPr>
          <w:sz w:val="24"/>
        </w:rPr>
        <w:fldChar w:fldCharType="begin"/>
      </w:r>
      <w:r>
        <w:rPr>
          <w:sz w:val="24"/>
        </w:rPr>
        <w:instrText xml:space="preserve"> PAGEREF _Toc259698682 \h </w:instrText>
      </w:r>
      <w:r>
        <w:rPr>
          <w:sz w:val="24"/>
        </w:rPr>
        <w:fldChar w:fldCharType="separate"/>
      </w:r>
      <w:r>
        <w:rPr>
          <w:sz w:val="24"/>
        </w:rPr>
        <w:t>13</w:t>
      </w:r>
      <w:r>
        <w:rPr>
          <w:sz w:val="24"/>
        </w:rPr>
        <w:fldChar w:fldCharType="end"/>
      </w:r>
      <w:r>
        <w:rPr>
          <w:sz w:val="24"/>
        </w:rPr>
        <w:fldChar w:fldCharType="end"/>
      </w:r>
    </w:p>
    <w:p>
      <w:pPr>
        <w:pStyle w:val="16"/>
        <w:ind w:left="840"/>
      </w:pPr>
      <w:r>
        <w:fldChar w:fldCharType="begin"/>
      </w:r>
      <w:r>
        <w:instrText xml:space="preserve"> HYPERLINK \l "_Toc259698683" </w:instrText>
      </w:r>
      <w:r>
        <w:fldChar w:fldCharType="separate"/>
      </w:r>
      <w:r>
        <w:rPr>
          <w:rFonts w:hint="eastAsia"/>
        </w:rPr>
        <w:t>六</w:t>
      </w:r>
      <w:r>
        <w:t xml:space="preserve">    </w:t>
      </w:r>
      <w:r>
        <w:rPr>
          <w:rFonts w:hint="eastAsia"/>
        </w:rPr>
        <w:t>签订合同</w:t>
      </w:r>
      <w:r>
        <w:tab/>
      </w:r>
      <w:r>
        <w:fldChar w:fldCharType="begin"/>
      </w:r>
      <w:r>
        <w:instrText xml:space="preserve"> PAGEREF _Toc259698683 \h </w:instrText>
      </w:r>
      <w:r>
        <w:fldChar w:fldCharType="separate"/>
      </w:r>
      <w:r>
        <w:t>13</w:t>
      </w:r>
      <w:r>
        <w:fldChar w:fldCharType="end"/>
      </w:r>
      <w:r>
        <w:fldChar w:fldCharType="end"/>
      </w:r>
    </w:p>
    <w:p>
      <w:pPr>
        <w:pStyle w:val="24"/>
        <w:tabs>
          <w:tab w:val="right" w:leader="dot" w:pos="9742"/>
        </w:tabs>
        <w:ind w:left="1260"/>
        <w:rPr>
          <w:sz w:val="24"/>
        </w:rPr>
      </w:pPr>
      <w:r>
        <w:fldChar w:fldCharType="begin"/>
      </w:r>
      <w:r>
        <w:instrText xml:space="preserve"> HYPERLINK \l "_Toc259698684" </w:instrText>
      </w:r>
      <w:r>
        <w:fldChar w:fldCharType="separate"/>
      </w:r>
      <w:r>
        <w:rPr>
          <w:rFonts w:hint="eastAsia" w:ascii="宋体"/>
          <w:sz w:val="24"/>
        </w:rPr>
        <w:t>22.评标原则</w:t>
      </w:r>
      <w:r>
        <w:rPr>
          <w:sz w:val="24"/>
        </w:rPr>
        <w:tab/>
      </w:r>
      <w:r>
        <w:rPr>
          <w:sz w:val="24"/>
        </w:rPr>
        <w:fldChar w:fldCharType="begin"/>
      </w:r>
      <w:r>
        <w:rPr>
          <w:sz w:val="24"/>
        </w:rPr>
        <w:instrText xml:space="preserve"> PAGEREF _Toc259698684 \h </w:instrText>
      </w:r>
      <w:r>
        <w:rPr>
          <w:sz w:val="24"/>
        </w:rPr>
        <w:fldChar w:fldCharType="separate"/>
      </w:r>
      <w:r>
        <w:rPr>
          <w:sz w:val="24"/>
        </w:rPr>
        <w:t>13</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"_Toc259698685" </w:instrText>
      </w:r>
      <w:r>
        <w:fldChar w:fldCharType="separate"/>
      </w:r>
      <w:r>
        <w:rPr>
          <w:rFonts w:hint="eastAsia" w:ascii="宋体"/>
          <w:sz w:val="24"/>
        </w:rPr>
        <w:t>23.成交通知</w:t>
      </w:r>
      <w:r>
        <w:rPr>
          <w:sz w:val="24"/>
        </w:rPr>
        <w:tab/>
      </w:r>
      <w:r>
        <w:rPr>
          <w:sz w:val="24"/>
        </w:rPr>
        <w:fldChar w:fldCharType="begin"/>
      </w:r>
      <w:r>
        <w:rPr>
          <w:sz w:val="24"/>
        </w:rPr>
        <w:instrText xml:space="preserve"> PAGEREF _Toc259698685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"_Toc259698686" </w:instrText>
      </w:r>
      <w:r>
        <w:fldChar w:fldCharType="separate"/>
      </w:r>
      <w:r>
        <w:rPr>
          <w:rFonts w:hint="eastAsia" w:ascii="宋体"/>
          <w:sz w:val="24"/>
        </w:rPr>
        <w:t>24.合同</w:t>
      </w:r>
      <w:bookmarkStart w:id="13" w:name="_Hlt80548519"/>
      <w:bookmarkEnd w:id="13"/>
      <w:r>
        <w:rPr>
          <w:rFonts w:hint="eastAsia" w:ascii="宋体"/>
          <w:sz w:val="24"/>
        </w:rPr>
        <w:t>授予标准</w:t>
      </w:r>
      <w:r>
        <w:rPr>
          <w:sz w:val="24"/>
        </w:rPr>
        <w:tab/>
      </w:r>
      <w:r>
        <w:rPr>
          <w:sz w:val="24"/>
        </w:rPr>
        <w:fldChar w:fldCharType="begin"/>
      </w:r>
      <w:r>
        <w:rPr>
          <w:sz w:val="24"/>
        </w:rPr>
        <w:instrText xml:space="preserve"> PAGEREF _Toc259698686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"_Toc259698687" </w:instrText>
      </w:r>
      <w:r>
        <w:fldChar w:fldCharType="separate"/>
      </w:r>
      <w:r>
        <w:rPr>
          <w:rFonts w:hint="eastAsia" w:ascii="宋体"/>
          <w:sz w:val="24"/>
        </w:rPr>
        <w:t>25.签订合同</w:t>
      </w:r>
      <w:bookmarkStart w:id="14" w:name="_Hlt80548493"/>
      <w:bookmarkEnd w:id="14"/>
      <w:r>
        <w:rPr>
          <w:sz w:val="24"/>
        </w:rPr>
        <w:tab/>
      </w:r>
      <w:r>
        <w:rPr>
          <w:sz w:val="24"/>
        </w:rPr>
        <w:fldChar w:fldCharType="begin"/>
      </w:r>
      <w:r>
        <w:rPr>
          <w:sz w:val="24"/>
        </w:rPr>
        <w:instrText xml:space="preserve"> PAGEREF _Toc259698687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"_Toc259698688" </w:instrText>
      </w:r>
      <w:r>
        <w:fldChar w:fldCharType="separate"/>
      </w:r>
      <w:r>
        <w:rPr>
          <w:rFonts w:hint="eastAsia" w:ascii="宋体"/>
          <w:sz w:val="24"/>
        </w:rPr>
        <w:t>26.履约保证金</w:t>
      </w:r>
      <w:r>
        <w:rPr>
          <w:sz w:val="24"/>
        </w:rPr>
        <w:tab/>
      </w:r>
      <w:r>
        <w:rPr>
          <w:sz w:val="24"/>
        </w:rPr>
        <w:fldChar w:fldCharType="begin"/>
      </w:r>
      <w:r>
        <w:rPr>
          <w:sz w:val="24"/>
        </w:rPr>
        <w:instrText xml:space="preserve"> PAGEREF _Toc259698688 \h </w:instrText>
      </w:r>
      <w:r>
        <w:rPr>
          <w:sz w:val="24"/>
        </w:rPr>
        <w:fldChar w:fldCharType="separate"/>
      </w:r>
      <w:r>
        <w:rPr>
          <w:sz w:val="24"/>
        </w:rPr>
        <w:t>14</w:t>
      </w:r>
      <w:r>
        <w:rPr>
          <w:sz w:val="24"/>
        </w:rPr>
        <w:fldChar w:fldCharType="end"/>
      </w:r>
      <w:r>
        <w:rPr>
          <w:sz w:val="24"/>
        </w:rPr>
        <w:fldChar w:fldCharType="end"/>
      </w:r>
    </w:p>
    <w:p>
      <w:pPr>
        <w:pStyle w:val="16"/>
        <w:ind w:left="840"/>
      </w:pPr>
      <w:r>
        <w:fldChar w:fldCharType="begin"/>
      </w:r>
      <w:r>
        <w:instrText xml:space="preserve"> HYPERLINK \l "_Toc259698689" </w:instrText>
      </w:r>
      <w:r>
        <w:fldChar w:fldCharType="separate"/>
      </w:r>
      <w:r>
        <w:rPr>
          <w:rFonts w:hint="eastAsia"/>
        </w:rPr>
        <w:t>七</w:t>
      </w:r>
      <w:r>
        <w:t xml:space="preserve">    </w:t>
      </w:r>
      <w:r>
        <w:rPr>
          <w:rFonts w:hint="eastAsia"/>
        </w:rPr>
        <w:t>其它事项</w:t>
      </w:r>
      <w:r>
        <w:tab/>
      </w:r>
      <w:r>
        <w:fldChar w:fldCharType="begin"/>
      </w:r>
      <w:r>
        <w:instrText xml:space="preserve"> PAGEREF _Toc259698689 \h </w:instrText>
      </w:r>
      <w:r>
        <w:fldChar w:fldCharType="separate"/>
      </w:r>
      <w:r>
        <w:t>15</w:t>
      </w:r>
      <w:r>
        <w:fldChar w:fldCharType="end"/>
      </w:r>
      <w:r>
        <w:fldChar w:fldCharType="end"/>
      </w:r>
    </w:p>
    <w:p>
      <w:pPr>
        <w:pStyle w:val="24"/>
        <w:tabs>
          <w:tab w:val="right" w:leader="dot" w:pos="9742"/>
        </w:tabs>
        <w:ind w:left="1260"/>
        <w:rPr>
          <w:sz w:val="24"/>
        </w:rPr>
      </w:pPr>
      <w:r>
        <w:fldChar w:fldCharType="begin"/>
      </w:r>
      <w:r>
        <w:instrText xml:space="preserve"> HYPERLINK \l "_Toc259698690" </w:instrText>
      </w:r>
      <w:r>
        <w:fldChar w:fldCharType="separate"/>
      </w:r>
      <w:r>
        <w:rPr>
          <w:rFonts w:hint="eastAsia" w:ascii="宋体"/>
          <w:sz w:val="24"/>
        </w:rPr>
        <w:t>27.成交服务费</w:t>
      </w:r>
      <w:r>
        <w:rPr>
          <w:sz w:val="24"/>
        </w:rPr>
        <w:tab/>
      </w:r>
      <w:r>
        <w:rPr>
          <w:sz w:val="24"/>
        </w:rPr>
        <w:fldChar w:fldCharType="begin"/>
      </w:r>
      <w:r>
        <w:rPr>
          <w:sz w:val="24"/>
        </w:rPr>
        <w:instrText xml:space="preserve"> PAGEREF _Toc259698690 \h </w:instrText>
      </w:r>
      <w:r>
        <w:rPr>
          <w:sz w:val="24"/>
        </w:rPr>
        <w:fldChar w:fldCharType="separate"/>
      </w:r>
      <w:r>
        <w:rPr>
          <w:sz w:val="24"/>
        </w:rPr>
        <w:t>15</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"_Toc259698691" </w:instrText>
      </w:r>
      <w:r>
        <w:fldChar w:fldCharType="separate"/>
      </w:r>
      <w:r>
        <w:rPr>
          <w:rFonts w:hint="eastAsia" w:ascii="宋体"/>
          <w:sz w:val="24"/>
        </w:rPr>
        <w:t>28.解释权</w:t>
      </w:r>
      <w:r>
        <w:rPr>
          <w:sz w:val="24"/>
        </w:rPr>
        <w:tab/>
      </w:r>
      <w:r>
        <w:rPr>
          <w:sz w:val="24"/>
        </w:rPr>
        <w:fldChar w:fldCharType="begin"/>
      </w:r>
      <w:r>
        <w:rPr>
          <w:sz w:val="24"/>
        </w:rPr>
        <w:instrText xml:space="preserve"> PAGEREF _Toc259698691 \h </w:instrText>
      </w:r>
      <w:r>
        <w:rPr>
          <w:sz w:val="24"/>
        </w:rPr>
        <w:fldChar w:fldCharType="separate"/>
      </w:r>
      <w:r>
        <w:rPr>
          <w:sz w:val="24"/>
        </w:rPr>
        <w:t>15</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"_Toc259698692" </w:instrText>
      </w:r>
      <w:r>
        <w:fldChar w:fldCharType="separate"/>
      </w:r>
      <w:r>
        <w:rPr>
          <w:rFonts w:hint="eastAsia" w:ascii="宋体"/>
          <w:sz w:val="24"/>
        </w:rPr>
        <w:t>29.有关事宜</w:t>
      </w:r>
      <w:r>
        <w:rPr>
          <w:sz w:val="24"/>
        </w:rPr>
        <w:tab/>
      </w:r>
      <w:r>
        <w:rPr>
          <w:sz w:val="24"/>
        </w:rPr>
        <w:fldChar w:fldCharType="begin"/>
      </w:r>
      <w:r>
        <w:rPr>
          <w:sz w:val="24"/>
        </w:rPr>
        <w:instrText xml:space="preserve"> PAGEREF _Toc259698692 \h </w:instrText>
      </w:r>
      <w:r>
        <w:rPr>
          <w:sz w:val="24"/>
        </w:rPr>
        <w:fldChar w:fldCharType="separate"/>
      </w:r>
      <w:r>
        <w:rPr>
          <w:sz w:val="24"/>
        </w:rPr>
        <w:t>15</w:t>
      </w:r>
      <w:r>
        <w:rPr>
          <w:sz w:val="24"/>
        </w:rPr>
        <w:fldChar w:fldCharType="end"/>
      </w:r>
      <w:r>
        <w:rPr>
          <w:sz w:val="24"/>
        </w:rPr>
        <w:fldChar w:fldCharType="end"/>
      </w:r>
    </w:p>
    <w:p>
      <w:pPr>
        <w:pStyle w:val="17"/>
        <w:tabs>
          <w:tab w:val="right" w:pos="7931"/>
        </w:tabs>
        <w:spacing w:line="360" w:lineRule="exact"/>
        <w:ind w:firstLine="525"/>
      </w:pPr>
      <w:r>
        <w:rPr>
          <w:sz w:val="24"/>
          <w:szCs w:val="24"/>
        </w:rPr>
        <w:fldChar w:fldCharType="end"/>
      </w:r>
    </w:p>
    <w:p>
      <w:pPr>
        <w:pStyle w:val="4"/>
        <w:numPr>
          <w:ilvl w:val="0"/>
          <w:numId w:val="0"/>
        </w:numPr>
        <w:ind w:left="315" w:hanging="315"/>
        <w:jc w:val="center"/>
      </w:pPr>
      <w:r>
        <w:br w:type="page"/>
      </w:r>
      <w:bookmarkStart w:id="15" w:name="_Toc290374175"/>
      <w:bookmarkStart w:id="16" w:name="_Toc290375220"/>
      <w:bookmarkStart w:id="17" w:name="_Toc259698655"/>
      <w:r>
        <w:rPr>
          <w:rFonts w:hint="eastAsia"/>
          <w:sz w:val="32"/>
          <w:szCs w:val="32"/>
        </w:rPr>
        <w:t>竞标人须知前附表</w:t>
      </w:r>
      <w:bookmarkEnd w:id="15"/>
      <w:bookmarkEnd w:id="16"/>
      <w:bookmarkEnd w:id="17"/>
    </w:p>
    <w:tbl>
      <w:tblPr>
        <w:tblStyle w:val="32"/>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jc w:val="center"/>
              <w:rPr>
                <w:rFonts w:ascii="宋体"/>
                <w:sz w:val="24"/>
              </w:rPr>
            </w:pPr>
            <w:r>
              <w:rPr>
                <w:rFonts w:hint="eastAsia" w:ascii="宋体"/>
                <w:sz w:val="24"/>
              </w:rPr>
              <w:t>项号</w:t>
            </w:r>
          </w:p>
        </w:tc>
        <w:tc>
          <w:tcPr>
            <w:tcW w:w="945" w:type="dxa"/>
            <w:vAlign w:val="center"/>
          </w:tcPr>
          <w:p>
            <w:pPr>
              <w:jc w:val="center"/>
              <w:rPr>
                <w:rFonts w:ascii="宋体"/>
                <w:sz w:val="24"/>
              </w:rPr>
            </w:pPr>
            <w:r>
              <w:rPr>
                <w:rFonts w:hint="eastAsia" w:ascii="宋体"/>
                <w:sz w:val="24"/>
              </w:rPr>
              <w:t>条款号</w:t>
            </w:r>
          </w:p>
        </w:tc>
        <w:tc>
          <w:tcPr>
            <w:tcW w:w="8468" w:type="dxa"/>
            <w:vAlign w:val="center"/>
          </w:tcPr>
          <w:p>
            <w:pPr>
              <w:jc w:val="center"/>
              <w:rPr>
                <w:rFonts w:ascii="宋体"/>
                <w:sz w:val="24"/>
              </w:rPr>
            </w:pPr>
            <w:r>
              <w:rPr>
                <w:rFonts w:hint="eastAsia" w:asci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spacing w:line="400" w:lineRule="exact"/>
              <w:jc w:val="center"/>
              <w:rPr>
                <w:rFonts w:ascii="宋体"/>
                <w:sz w:val="24"/>
              </w:rPr>
            </w:pPr>
            <w:r>
              <w:rPr>
                <w:rFonts w:hint="eastAsia" w:ascii="宋体"/>
                <w:sz w:val="24"/>
              </w:rPr>
              <w:t>1</w:t>
            </w:r>
          </w:p>
        </w:tc>
        <w:tc>
          <w:tcPr>
            <w:tcW w:w="945" w:type="dxa"/>
            <w:vAlign w:val="center"/>
          </w:tcPr>
          <w:p>
            <w:pPr>
              <w:spacing w:line="400" w:lineRule="exact"/>
              <w:jc w:val="center"/>
              <w:rPr>
                <w:rFonts w:ascii="宋体"/>
                <w:sz w:val="24"/>
              </w:rPr>
            </w:pPr>
            <w:r>
              <w:rPr>
                <w:rFonts w:hint="eastAsia" w:ascii="宋体"/>
                <w:sz w:val="24"/>
              </w:rPr>
              <w:t>1.1</w:t>
            </w:r>
          </w:p>
          <w:p>
            <w:pPr>
              <w:spacing w:line="400" w:lineRule="exact"/>
              <w:jc w:val="center"/>
              <w:rPr>
                <w:rFonts w:ascii="宋体"/>
                <w:sz w:val="24"/>
              </w:rPr>
            </w:pPr>
            <w:r>
              <w:rPr>
                <w:rFonts w:hint="eastAsia" w:ascii="宋体"/>
                <w:sz w:val="24"/>
              </w:rPr>
              <w:t>1.2</w:t>
            </w:r>
          </w:p>
        </w:tc>
        <w:tc>
          <w:tcPr>
            <w:tcW w:w="8468" w:type="dxa"/>
            <w:vAlign w:val="center"/>
          </w:tcPr>
          <w:p>
            <w:pPr>
              <w:spacing w:line="360" w:lineRule="exact"/>
              <w:rPr>
                <w:sz w:val="24"/>
                <w:u w:val="single"/>
              </w:rPr>
            </w:pPr>
            <w:r>
              <w:rPr>
                <w:rFonts w:hint="eastAsia" w:ascii="宋体"/>
                <w:sz w:val="24"/>
              </w:rPr>
              <w:t>项目名称：</w:t>
            </w:r>
            <w:r>
              <w:rPr>
                <w:rFonts w:hint="eastAsia"/>
                <w:sz w:val="24"/>
              </w:rPr>
              <w:t xml:space="preserve">老乡家园移民搬迁卫生服务中心电梯安装 </w:t>
            </w:r>
            <w:r>
              <w:rPr>
                <w:sz w:val="24"/>
                <w:u w:val="single"/>
              </w:rPr>
              <w:t xml:space="preserve"> </w:t>
            </w:r>
          </w:p>
          <w:p>
            <w:pPr>
              <w:spacing w:line="360" w:lineRule="exact"/>
              <w:rPr>
                <w:rFonts w:ascii="宋体"/>
                <w:sz w:val="24"/>
                <w:u w:val="single"/>
              </w:rPr>
            </w:pPr>
            <w:r>
              <w:rPr>
                <w:rFonts w:hint="eastAsia" w:ascii="宋体"/>
                <w:sz w:val="24"/>
              </w:rPr>
              <w:t>项目编号：</w:t>
            </w:r>
            <w:r>
              <w:rPr>
                <w:rFonts w:hint="eastAsia"/>
                <w:sz w:val="24"/>
              </w:rPr>
              <w:t xml:space="preserve">BSZC2020-J1-210239-HCJS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726" w:type="dxa"/>
            <w:vAlign w:val="center"/>
          </w:tcPr>
          <w:p>
            <w:pPr>
              <w:spacing w:line="400" w:lineRule="exact"/>
              <w:jc w:val="center"/>
              <w:rPr>
                <w:rFonts w:ascii="宋体"/>
                <w:sz w:val="24"/>
              </w:rPr>
            </w:pPr>
            <w:r>
              <w:rPr>
                <w:rFonts w:hint="eastAsia" w:ascii="宋体"/>
                <w:sz w:val="24"/>
              </w:rPr>
              <w:t>2</w:t>
            </w:r>
          </w:p>
        </w:tc>
        <w:tc>
          <w:tcPr>
            <w:tcW w:w="945" w:type="dxa"/>
            <w:vAlign w:val="center"/>
          </w:tcPr>
          <w:p>
            <w:pPr>
              <w:spacing w:line="400" w:lineRule="exact"/>
              <w:jc w:val="center"/>
              <w:rPr>
                <w:rFonts w:ascii="宋体"/>
                <w:sz w:val="24"/>
              </w:rPr>
            </w:pPr>
            <w:r>
              <w:rPr>
                <w:rFonts w:hint="eastAsia" w:ascii="宋体"/>
                <w:sz w:val="24"/>
              </w:rPr>
              <w:t>2.1</w:t>
            </w:r>
          </w:p>
        </w:tc>
        <w:tc>
          <w:tcPr>
            <w:tcW w:w="8468" w:type="dxa"/>
            <w:vAlign w:val="center"/>
          </w:tcPr>
          <w:p>
            <w:pPr>
              <w:spacing w:line="360" w:lineRule="exact"/>
              <w:rPr>
                <w:rFonts w:ascii="宋体" w:hAnsi="宋体" w:cs="宋体"/>
                <w:sz w:val="24"/>
              </w:rPr>
            </w:pPr>
            <w:r>
              <w:rPr>
                <w:rFonts w:hint="eastAsia" w:ascii="宋体" w:hAnsi="宋体" w:cs="宋体"/>
                <w:sz w:val="24"/>
              </w:rPr>
              <w:t>竞标人资格要求：</w:t>
            </w:r>
          </w:p>
          <w:p>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Arial"/>
                <w:sz w:val="24"/>
              </w:rPr>
              <w:t>国内注册（指按国家有关规定要求注册的）具备独立法人资格，具有《中华人民共和国特种设备安装改造维修许可证》（电梯类）B级（含B级）或以上资质生产或经营本次采购内容的</w:t>
            </w:r>
            <w:r>
              <w:rPr>
                <w:rFonts w:hint="eastAsia"/>
                <w:sz w:val="24"/>
              </w:rPr>
              <w:t>供应商。</w:t>
            </w:r>
          </w:p>
          <w:p>
            <w:pPr>
              <w:spacing w:line="360" w:lineRule="exact"/>
              <w:ind w:firstLine="480" w:firstLineChars="200"/>
              <w:rPr>
                <w:rFonts w:ascii="宋体" w:hAnsi="宋体" w:cs="宋体"/>
                <w:sz w:val="24"/>
              </w:rPr>
            </w:pPr>
            <w:r>
              <w:rPr>
                <w:rFonts w:hint="eastAsia" w:ascii="宋体" w:hAnsi="宋体" w:cs="宋体"/>
                <w:sz w:val="24"/>
              </w:rPr>
              <w:t>2.对在“信用中国”网站(www.creditchina.gov.cn)、中国政府采购网(www.ccgp.gov.cn)等渠道列入失信被执行人、重大税收违法案件当事人名单、政府采购严重违法失信行为记录名单的供应商，不得参与本次竞标活动。</w:t>
            </w:r>
          </w:p>
          <w:p>
            <w:pPr>
              <w:spacing w:line="360" w:lineRule="exact"/>
              <w:ind w:firstLine="480" w:firstLineChars="200"/>
              <w:rPr>
                <w:rFonts w:ascii="宋体"/>
                <w:sz w:val="24"/>
              </w:rPr>
            </w:pPr>
            <w:r>
              <w:rPr>
                <w:rFonts w:hint="eastAsia" w:ascii="宋体" w:hAnsi="宋体" w:cs="宋体"/>
                <w:sz w:val="24"/>
              </w:rPr>
              <w:t>3.本项目不接受联合体参与竞标。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6" w:type="dxa"/>
            <w:vAlign w:val="center"/>
          </w:tcPr>
          <w:p>
            <w:pPr>
              <w:spacing w:line="400" w:lineRule="exact"/>
              <w:jc w:val="center"/>
              <w:rPr>
                <w:rFonts w:ascii="宋体"/>
                <w:sz w:val="24"/>
              </w:rPr>
            </w:pPr>
            <w:r>
              <w:rPr>
                <w:rFonts w:hint="eastAsia" w:ascii="宋体"/>
                <w:sz w:val="24"/>
              </w:rPr>
              <w:t>3</w:t>
            </w:r>
          </w:p>
        </w:tc>
        <w:tc>
          <w:tcPr>
            <w:tcW w:w="945" w:type="dxa"/>
            <w:vAlign w:val="center"/>
          </w:tcPr>
          <w:p>
            <w:pPr>
              <w:spacing w:line="400" w:lineRule="exact"/>
              <w:jc w:val="center"/>
              <w:rPr>
                <w:rFonts w:ascii="宋体"/>
                <w:sz w:val="24"/>
              </w:rPr>
            </w:pPr>
            <w:r>
              <w:rPr>
                <w:rFonts w:hint="eastAsia" w:ascii="宋体"/>
                <w:sz w:val="24"/>
              </w:rPr>
              <w:t>10.1</w:t>
            </w:r>
          </w:p>
        </w:tc>
        <w:tc>
          <w:tcPr>
            <w:tcW w:w="8468" w:type="dxa"/>
            <w:vAlign w:val="center"/>
          </w:tcPr>
          <w:p>
            <w:pPr>
              <w:pStyle w:val="17"/>
              <w:spacing w:line="360" w:lineRule="exact"/>
              <w:rPr>
                <w:sz w:val="24"/>
                <w:szCs w:val="24"/>
              </w:rPr>
            </w:pPr>
            <w:r>
              <w:rPr>
                <w:rFonts w:hint="eastAsia"/>
                <w:sz w:val="24"/>
                <w:szCs w:val="24"/>
              </w:rPr>
              <w:t>首次竞标报价：</w:t>
            </w:r>
            <w:r>
              <w:rPr>
                <w:rFonts w:hint="eastAsia"/>
                <w:b/>
                <w:sz w:val="24"/>
                <w:szCs w:val="24"/>
              </w:rPr>
              <w:t>竞标人须就《货物需求一览表》中的所有货物和服务内容作完整唯一报价。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Align w:val="center"/>
          </w:tcPr>
          <w:p>
            <w:pPr>
              <w:spacing w:line="400" w:lineRule="exact"/>
              <w:jc w:val="center"/>
              <w:rPr>
                <w:rFonts w:ascii="宋体"/>
                <w:sz w:val="24"/>
              </w:rPr>
            </w:pPr>
            <w:r>
              <w:rPr>
                <w:rFonts w:hint="eastAsia" w:ascii="宋体"/>
                <w:sz w:val="24"/>
              </w:rPr>
              <w:t>4</w:t>
            </w:r>
          </w:p>
        </w:tc>
        <w:tc>
          <w:tcPr>
            <w:tcW w:w="945" w:type="dxa"/>
            <w:vAlign w:val="center"/>
          </w:tcPr>
          <w:p>
            <w:pPr>
              <w:spacing w:line="400" w:lineRule="exact"/>
              <w:jc w:val="center"/>
              <w:rPr>
                <w:rFonts w:ascii="宋体"/>
                <w:sz w:val="24"/>
              </w:rPr>
            </w:pPr>
            <w:r>
              <w:rPr>
                <w:rFonts w:hint="eastAsia" w:ascii="宋体"/>
                <w:sz w:val="24"/>
              </w:rPr>
              <w:t>14.1</w:t>
            </w:r>
          </w:p>
        </w:tc>
        <w:tc>
          <w:tcPr>
            <w:tcW w:w="8468" w:type="dxa"/>
            <w:vAlign w:val="center"/>
          </w:tcPr>
          <w:p>
            <w:pPr>
              <w:spacing w:line="360" w:lineRule="exact"/>
              <w:rPr>
                <w:rFonts w:ascii="宋体"/>
                <w:sz w:val="24"/>
              </w:rPr>
            </w:pPr>
            <w:r>
              <w:rPr>
                <w:rFonts w:hint="eastAsia" w:ascii="宋体"/>
                <w:sz w:val="24"/>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vAlign w:val="center"/>
          </w:tcPr>
          <w:p>
            <w:pPr>
              <w:spacing w:line="400" w:lineRule="exact"/>
              <w:jc w:val="center"/>
              <w:rPr>
                <w:rFonts w:ascii="宋体"/>
                <w:sz w:val="24"/>
              </w:rPr>
            </w:pPr>
            <w:r>
              <w:rPr>
                <w:rFonts w:hint="eastAsia" w:ascii="宋体"/>
                <w:sz w:val="24"/>
              </w:rPr>
              <w:t>5</w:t>
            </w:r>
          </w:p>
        </w:tc>
        <w:tc>
          <w:tcPr>
            <w:tcW w:w="945" w:type="dxa"/>
            <w:vAlign w:val="center"/>
          </w:tcPr>
          <w:p>
            <w:pPr>
              <w:spacing w:line="400" w:lineRule="exact"/>
              <w:jc w:val="center"/>
              <w:rPr>
                <w:rFonts w:ascii="宋体"/>
                <w:sz w:val="24"/>
              </w:rPr>
            </w:pPr>
            <w:r>
              <w:rPr>
                <w:rFonts w:hint="eastAsia" w:ascii="宋体"/>
                <w:sz w:val="24"/>
              </w:rPr>
              <w:t>15.4</w:t>
            </w:r>
          </w:p>
        </w:tc>
        <w:tc>
          <w:tcPr>
            <w:tcW w:w="8468" w:type="dxa"/>
            <w:vAlign w:val="center"/>
          </w:tcPr>
          <w:p>
            <w:pPr>
              <w:spacing w:line="360" w:lineRule="exact"/>
              <w:rPr>
                <w:rFonts w:ascii="宋体"/>
                <w:sz w:val="24"/>
              </w:rPr>
            </w:pPr>
            <w:r>
              <w:rPr>
                <w:rFonts w:hint="eastAsia" w:ascii="宋体"/>
                <w:sz w:val="24"/>
              </w:rPr>
              <w:t>竞标文件份数：正本一份，副本肆份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26" w:type="dxa"/>
            <w:vAlign w:val="center"/>
          </w:tcPr>
          <w:p>
            <w:pPr>
              <w:spacing w:line="400" w:lineRule="exact"/>
              <w:jc w:val="center"/>
              <w:rPr>
                <w:rFonts w:ascii="宋体"/>
                <w:sz w:val="24"/>
              </w:rPr>
            </w:pPr>
            <w:r>
              <w:rPr>
                <w:rFonts w:hint="eastAsia" w:ascii="宋体"/>
                <w:sz w:val="24"/>
              </w:rPr>
              <w:t>6</w:t>
            </w:r>
          </w:p>
        </w:tc>
        <w:tc>
          <w:tcPr>
            <w:tcW w:w="945" w:type="dxa"/>
            <w:vAlign w:val="center"/>
          </w:tcPr>
          <w:p>
            <w:pPr>
              <w:spacing w:line="400" w:lineRule="exact"/>
              <w:jc w:val="center"/>
              <w:rPr>
                <w:rFonts w:ascii="宋体"/>
                <w:sz w:val="24"/>
              </w:rPr>
            </w:pPr>
            <w:r>
              <w:rPr>
                <w:rFonts w:hint="eastAsia" w:ascii="宋体"/>
                <w:sz w:val="24"/>
              </w:rPr>
              <w:t>16.1</w:t>
            </w:r>
          </w:p>
        </w:tc>
        <w:tc>
          <w:tcPr>
            <w:tcW w:w="8468" w:type="dxa"/>
            <w:vAlign w:val="center"/>
          </w:tcPr>
          <w:p>
            <w:pPr>
              <w:pStyle w:val="17"/>
              <w:ind w:right="107" w:rightChars="51"/>
              <w:jc w:val="left"/>
              <w:rPr>
                <w:rFonts w:hAnsi="宋体" w:cs="宋体"/>
                <w:sz w:val="24"/>
              </w:rPr>
            </w:pPr>
            <w:r>
              <w:rPr>
                <w:rFonts w:hint="eastAsia"/>
                <w:sz w:val="24"/>
              </w:rPr>
              <w:t>竞标保证金为人民币壹万伍仟元整</w:t>
            </w:r>
            <w:r>
              <w:rPr>
                <w:rFonts w:hint="eastAsia" w:hAnsi="宋体" w:cs="宋体"/>
                <w:sz w:val="24"/>
                <w:u w:val="single"/>
              </w:rPr>
              <w:t>（¥15000.00元）</w:t>
            </w:r>
            <w:r>
              <w:rPr>
                <w:rFonts w:hint="eastAsia"/>
                <w:sz w:val="24"/>
              </w:rPr>
              <w:t>。</w:t>
            </w:r>
            <w:r>
              <w:rPr>
                <w:rFonts w:hint="eastAsia" w:hAnsi="宋体" w:cs="宋体"/>
                <w:sz w:val="24"/>
              </w:rPr>
              <w:t>竞标人必须于</w:t>
            </w:r>
            <w:r>
              <w:rPr>
                <w:rFonts w:hint="eastAsia" w:hAnsi="宋体" w:cs="宋体"/>
                <w:sz w:val="24"/>
                <w:u w:val="single"/>
              </w:rPr>
              <w:t>竞标截止日前</w:t>
            </w:r>
            <w:r>
              <w:rPr>
                <w:rFonts w:hint="eastAsia" w:hAnsi="宋体" w:cs="宋体"/>
                <w:sz w:val="24"/>
              </w:rPr>
              <w:t>将竞标保证金从</w:t>
            </w:r>
            <w:r>
              <w:rPr>
                <w:rFonts w:hint="eastAsia" w:hAnsi="宋体" w:cs="宋体"/>
                <w:sz w:val="24"/>
                <w:u w:val="single"/>
              </w:rPr>
              <w:t>本单位基本账户以电汇、转账、汇票等非现金形式</w:t>
            </w:r>
            <w:r>
              <w:rPr>
                <w:rFonts w:hint="eastAsia" w:hAnsi="宋体" w:cs="宋体"/>
                <w:sz w:val="24"/>
              </w:rPr>
              <w:t>交至华春建设工程项目管理有限责任公司。</w:t>
            </w:r>
          </w:p>
          <w:p>
            <w:pPr>
              <w:pStyle w:val="17"/>
              <w:ind w:right="107" w:rightChars="51"/>
              <w:jc w:val="left"/>
              <w:rPr>
                <w:rFonts w:hAnsi="宋体" w:cs="宋体"/>
                <w:sz w:val="24"/>
              </w:rPr>
            </w:pPr>
            <w:r>
              <w:rPr>
                <w:rFonts w:hint="eastAsia" w:hAnsi="宋体" w:cs="宋体"/>
                <w:sz w:val="24"/>
              </w:rPr>
              <w:t>户名：华春建设工程项目管理有限责任公司广西百色分公司，</w:t>
            </w:r>
          </w:p>
          <w:p>
            <w:pPr>
              <w:pStyle w:val="17"/>
              <w:ind w:right="107" w:rightChars="51"/>
              <w:jc w:val="left"/>
              <w:rPr>
                <w:rFonts w:hAnsi="宋体" w:cs="宋体"/>
                <w:sz w:val="24"/>
              </w:rPr>
            </w:pPr>
            <w:r>
              <w:rPr>
                <w:rFonts w:hint="eastAsia" w:hAnsi="宋体" w:cs="宋体"/>
                <w:sz w:val="24"/>
              </w:rPr>
              <w:t>开户行：交通银行股份有限公司百色分行，</w:t>
            </w:r>
          </w:p>
          <w:p>
            <w:pPr>
              <w:pStyle w:val="17"/>
              <w:ind w:right="107" w:rightChars="51"/>
              <w:jc w:val="left"/>
              <w:rPr>
                <w:rFonts w:hAnsi="宋体" w:cs="宋体"/>
                <w:sz w:val="24"/>
              </w:rPr>
            </w:pPr>
            <w:r>
              <w:rPr>
                <w:rFonts w:hint="eastAsia" w:hAnsi="宋体" w:cs="宋体"/>
                <w:sz w:val="24"/>
              </w:rPr>
              <w:t xml:space="preserve">账号：457626101018010074293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6" w:type="dxa"/>
            <w:vAlign w:val="center"/>
          </w:tcPr>
          <w:p>
            <w:pPr>
              <w:spacing w:line="400" w:lineRule="exact"/>
              <w:jc w:val="center"/>
              <w:rPr>
                <w:rFonts w:ascii="宋体"/>
                <w:sz w:val="24"/>
              </w:rPr>
            </w:pPr>
            <w:r>
              <w:rPr>
                <w:rFonts w:hint="eastAsia" w:ascii="宋体"/>
                <w:sz w:val="24"/>
              </w:rPr>
              <w:t>7</w:t>
            </w:r>
          </w:p>
        </w:tc>
        <w:tc>
          <w:tcPr>
            <w:tcW w:w="945" w:type="dxa"/>
            <w:vAlign w:val="center"/>
          </w:tcPr>
          <w:p>
            <w:pPr>
              <w:spacing w:line="400" w:lineRule="exact"/>
              <w:jc w:val="center"/>
              <w:rPr>
                <w:rFonts w:ascii="宋体"/>
                <w:sz w:val="24"/>
              </w:rPr>
            </w:pPr>
            <w:r>
              <w:rPr>
                <w:rFonts w:hint="eastAsia" w:ascii="宋体"/>
                <w:sz w:val="24"/>
              </w:rPr>
              <w:t>18</w:t>
            </w:r>
          </w:p>
        </w:tc>
        <w:tc>
          <w:tcPr>
            <w:tcW w:w="8468" w:type="dxa"/>
            <w:vAlign w:val="center"/>
          </w:tcPr>
          <w:p>
            <w:pPr>
              <w:pStyle w:val="17"/>
              <w:spacing w:line="360" w:lineRule="exact"/>
              <w:rPr>
                <w:sz w:val="24"/>
                <w:szCs w:val="24"/>
              </w:rPr>
            </w:pPr>
            <w:r>
              <w:rPr>
                <w:rFonts w:hint="eastAsia"/>
                <w:sz w:val="24"/>
                <w:szCs w:val="24"/>
              </w:rPr>
              <w:t>竞标文件递交截止时间：</w:t>
            </w:r>
            <w:r>
              <w:rPr>
                <w:rFonts w:hint="eastAsia" w:hAnsi="宋体" w:cs="宋体"/>
                <w:sz w:val="24"/>
                <w:u w:val="single"/>
              </w:rPr>
              <w:t>2020年 月  日  时  分</w:t>
            </w:r>
            <w:r>
              <w:rPr>
                <w:rFonts w:hint="eastAsia"/>
                <w:sz w:val="24"/>
                <w:szCs w:val="24"/>
              </w:rPr>
              <w:t>（此为竞标截止时间）</w:t>
            </w:r>
          </w:p>
          <w:p>
            <w:pPr>
              <w:pStyle w:val="17"/>
              <w:spacing w:line="360" w:lineRule="exact"/>
              <w:rPr>
                <w:bCs/>
                <w:sz w:val="24"/>
                <w:szCs w:val="24"/>
              </w:rPr>
            </w:pPr>
            <w:r>
              <w:rPr>
                <w:rFonts w:hint="eastAsia"/>
                <w:sz w:val="24"/>
                <w:szCs w:val="24"/>
              </w:rPr>
              <w:t>竞标文件递交地址：华春建设工程项目管理有限责任公司广西百色分公司开标室（百色市长乐星城1号写字楼7楼705室）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400" w:lineRule="exact"/>
              <w:jc w:val="center"/>
              <w:rPr>
                <w:rFonts w:ascii="宋体"/>
                <w:sz w:val="24"/>
              </w:rPr>
            </w:pPr>
            <w:r>
              <w:rPr>
                <w:rFonts w:hint="eastAsia" w:ascii="宋体"/>
                <w:sz w:val="24"/>
              </w:rPr>
              <w:t>8</w:t>
            </w:r>
          </w:p>
        </w:tc>
        <w:tc>
          <w:tcPr>
            <w:tcW w:w="945" w:type="dxa"/>
            <w:vAlign w:val="center"/>
          </w:tcPr>
          <w:p>
            <w:pPr>
              <w:spacing w:line="400" w:lineRule="exact"/>
              <w:jc w:val="center"/>
              <w:rPr>
                <w:rFonts w:ascii="宋体"/>
                <w:sz w:val="24"/>
              </w:rPr>
            </w:pPr>
            <w:r>
              <w:rPr>
                <w:rFonts w:hint="eastAsia" w:ascii="宋体"/>
                <w:sz w:val="24"/>
              </w:rPr>
              <w:t>19.1</w:t>
            </w:r>
          </w:p>
        </w:tc>
        <w:tc>
          <w:tcPr>
            <w:tcW w:w="8468" w:type="dxa"/>
            <w:vAlign w:val="center"/>
          </w:tcPr>
          <w:p>
            <w:pPr>
              <w:spacing w:line="360" w:lineRule="exact"/>
              <w:rPr>
                <w:rFonts w:ascii="宋体"/>
                <w:sz w:val="24"/>
              </w:rPr>
            </w:pPr>
            <w:r>
              <w:rPr>
                <w:rFonts w:hint="eastAsia" w:ascii="宋体"/>
                <w:sz w:val="24"/>
              </w:rPr>
              <w:t>谈判时间：</w:t>
            </w:r>
            <w:r>
              <w:rPr>
                <w:rFonts w:hint="eastAsia" w:hAnsi="宋体" w:cs="宋体"/>
                <w:sz w:val="24"/>
                <w:u w:val="single"/>
              </w:rPr>
              <w:t>2020年  月  日   时   分</w:t>
            </w:r>
            <w:r>
              <w:rPr>
                <w:rFonts w:hint="eastAsia"/>
                <w:sz w:val="24"/>
              </w:rPr>
              <w:t>截标后</w:t>
            </w:r>
          </w:p>
          <w:p>
            <w:pPr>
              <w:pStyle w:val="17"/>
              <w:spacing w:line="360" w:lineRule="exact"/>
              <w:rPr>
                <w:sz w:val="24"/>
                <w:szCs w:val="24"/>
              </w:rPr>
            </w:pPr>
            <w:r>
              <w:rPr>
                <w:rFonts w:hint="eastAsia"/>
                <w:sz w:val="24"/>
                <w:szCs w:val="24"/>
              </w:rPr>
              <w:t>谈判地点：华春建设工程项目管理有限责任公司广西百色分公司开标室（百色市长乐星城1号写字楼7楼705室）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6" w:type="dxa"/>
            <w:vAlign w:val="center"/>
          </w:tcPr>
          <w:p>
            <w:pPr>
              <w:spacing w:line="400" w:lineRule="exact"/>
              <w:jc w:val="center"/>
              <w:rPr>
                <w:rFonts w:ascii="宋体"/>
                <w:sz w:val="24"/>
              </w:rPr>
            </w:pPr>
            <w:r>
              <w:rPr>
                <w:rFonts w:hint="eastAsia" w:ascii="宋体"/>
                <w:sz w:val="24"/>
              </w:rPr>
              <w:t>9</w:t>
            </w:r>
          </w:p>
        </w:tc>
        <w:tc>
          <w:tcPr>
            <w:tcW w:w="945" w:type="dxa"/>
            <w:vAlign w:val="center"/>
          </w:tcPr>
          <w:p>
            <w:pPr>
              <w:spacing w:line="400" w:lineRule="exact"/>
              <w:jc w:val="center"/>
              <w:rPr>
                <w:rFonts w:ascii="宋体"/>
                <w:sz w:val="24"/>
              </w:rPr>
            </w:pPr>
          </w:p>
        </w:tc>
        <w:tc>
          <w:tcPr>
            <w:tcW w:w="8468" w:type="dxa"/>
            <w:vAlign w:val="center"/>
          </w:tcPr>
          <w:p>
            <w:pPr>
              <w:spacing w:line="360" w:lineRule="exact"/>
              <w:rPr>
                <w:sz w:val="24"/>
              </w:rPr>
            </w:pPr>
            <w:r>
              <w:rPr>
                <w:rFonts w:hint="eastAsia"/>
                <w:sz w:val="24"/>
              </w:rPr>
              <w:t>1、</w:t>
            </w:r>
            <w:r>
              <w:rPr>
                <w:sz w:val="24"/>
              </w:rPr>
              <w:t>本</w:t>
            </w:r>
            <w:r>
              <w:rPr>
                <w:rFonts w:hint="eastAsia"/>
                <w:sz w:val="24"/>
              </w:rPr>
              <w:t>竞争性谈判采购文件</w:t>
            </w:r>
            <w:r>
              <w:rPr>
                <w:sz w:val="24"/>
              </w:rPr>
              <w:t>中描述</w:t>
            </w:r>
            <w:r>
              <w:rPr>
                <w:rFonts w:hint="eastAsia"/>
                <w:sz w:val="24"/>
              </w:rPr>
              <w:t>竞标人</w:t>
            </w:r>
            <w:r>
              <w:rPr>
                <w:sz w:val="24"/>
              </w:rPr>
              <w:t>的“公章”是指根据我国对公章的管理规定，用</w:t>
            </w:r>
            <w:r>
              <w:rPr>
                <w:rFonts w:hint="eastAsia"/>
                <w:sz w:val="24"/>
              </w:rPr>
              <w:t>竞标人</w:t>
            </w:r>
            <w:r>
              <w:rPr>
                <w:sz w:val="24"/>
              </w:rPr>
              <w:t>法定主体行为名称制作的印章，</w:t>
            </w:r>
            <w:r>
              <w:rPr>
                <w:rFonts w:hint="eastAsia"/>
                <w:sz w:val="24"/>
              </w:rPr>
              <w:t>竞标人</w:t>
            </w:r>
            <w:r>
              <w:rPr>
                <w:sz w:val="24"/>
              </w:rPr>
              <w:t>的财务章、部门章、分公司章、工会章、合同章、竞标专用章、业务专用章等其它形式印章均不能代替公章。</w:t>
            </w:r>
          </w:p>
          <w:p>
            <w:pPr>
              <w:spacing w:line="360" w:lineRule="exact"/>
              <w:rPr>
                <w:rFonts w:ascii="宋体"/>
                <w:sz w:val="24"/>
              </w:rPr>
            </w:pPr>
            <w:r>
              <w:rPr>
                <w:rFonts w:hint="eastAsia"/>
                <w:sz w:val="24"/>
              </w:rPr>
              <w:t>2、</w:t>
            </w:r>
            <w:r>
              <w:rPr>
                <w:sz w:val="24"/>
              </w:rPr>
              <w:t>本</w:t>
            </w:r>
            <w:r>
              <w:rPr>
                <w:rFonts w:hint="eastAsia"/>
                <w:sz w:val="24"/>
              </w:rPr>
              <w:t>竞争性谈判采购文件</w:t>
            </w:r>
            <w:r>
              <w:rPr>
                <w:sz w:val="24"/>
              </w:rPr>
              <w:t>中描述</w:t>
            </w:r>
            <w:r>
              <w:rPr>
                <w:rFonts w:hint="eastAsia"/>
                <w:sz w:val="24"/>
              </w:rPr>
              <w:t>竞标人</w:t>
            </w:r>
            <w:r>
              <w:rPr>
                <w:sz w:val="24"/>
              </w:rPr>
              <w:t>的“</w:t>
            </w:r>
            <w:r>
              <w:rPr>
                <w:rFonts w:hint="eastAsia"/>
                <w:sz w:val="24"/>
              </w:rPr>
              <w:t>签字</w:t>
            </w:r>
            <w:r>
              <w:rPr>
                <w:sz w:val="24"/>
              </w:rPr>
              <w:t>”是指</w:t>
            </w:r>
            <w:r>
              <w:rPr>
                <w:rFonts w:hint="eastAsia"/>
                <w:sz w:val="24"/>
              </w:rPr>
              <w:t>竞标人的法定代表人或被授权人亲自在竞争性谈判采购文件规定签署处亲笔写上个人的名字的行为，私章、签名章、印鉴、影印等其它形式</w:t>
            </w:r>
            <w:r>
              <w:rPr>
                <w:sz w:val="24"/>
              </w:rPr>
              <w:t>均不能代替</w:t>
            </w:r>
            <w:r>
              <w:rPr>
                <w:rFonts w:hint="eastAsia"/>
                <w:sz w:val="24"/>
              </w:rPr>
              <w:t>亲笔签字</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vAlign w:val="center"/>
          </w:tcPr>
          <w:p>
            <w:pPr>
              <w:spacing w:line="400" w:lineRule="exact"/>
              <w:jc w:val="center"/>
              <w:rPr>
                <w:rFonts w:ascii="宋体"/>
                <w:sz w:val="24"/>
              </w:rPr>
            </w:pPr>
            <w:r>
              <w:rPr>
                <w:rFonts w:hint="eastAsia" w:ascii="宋体"/>
                <w:sz w:val="24"/>
              </w:rPr>
              <w:t>10</w:t>
            </w:r>
          </w:p>
        </w:tc>
        <w:tc>
          <w:tcPr>
            <w:tcW w:w="945" w:type="dxa"/>
            <w:vAlign w:val="center"/>
          </w:tcPr>
          <w:p>
            <w:pPr>
              <w:spacing w:line="400" w:lineRule="exact"/>
              <w:jc w:val="center"/>
              <w:rPr>
                <w:rFonts w:ascii="宋体"/>
                <w:sz w:val="24"/>
              </w:rPr>
            </w:pPr>
          </w:p>
        </w:tc>
        <w:tc>
          <w:tcPr>
            <w:tcW w:w="8468" w:type="dxa"/>
            <w:vAlign w:val="center"/>
          </w:tcPr>
          <w:p>
            <w:pPr>
              <w:spacing w:line="420" w:lineRule="exact"/>
              <w:rPr>
                <w:sz w:val="24"/>
              </w:rPr>
            </w:pPr>
            <w:r>
              <w:rPr>
                <w:rFonts w:hint="eastAsia" w:ascii="宋体"/>
                <w:sz w:val="24"/>
              </w:rPr>
              <w:t>解释：本竞争性谈判采购文件的解释权属于招标采购单位。</w:t>
            </w:r>
          </w:p>
        </w:tc>
      </w:tr>
    </w:tbl>
    <w:p>
      <w:pPr>
        <w:pStyle w:val="17"/>
        <w:spacing w:line="300" w:lineRule="auto"/>
        <w:jc w:val="center"/>
        <w:rPr>
          <w:sz w:val="24"/>
          <w:szCs w:val="24"/>
        </w:rPr>
      </w:pPr>
      <w:r>
        <w:rPr>
          <w:sz w:val="24"/>
          <w:szCs w:val="24"/>
        </w:rPr>
        <w:br w:type="page"/>
      </w:r>
    </w:p>
    <w:p>
      <w:pPr>
        <w:pStyle w:val="4"/>
        <w:numPr>
          <w:ilvl w:val="0"/>
          <w:numId w:val="0"/>
        </w:numPr>
        <w:ind w:left="315" w:hanging="315"/>
        <w:jc w:val="center"/>
        <w:rPr>
          <w:sz w:val="32"/>
          <w:szCs w:val="32"/>
        </w:rPr>
      </w:pPr>
      <w:bookmarkStart w:id="18" w:name="_Toc290375221"/>
      <w:bookmarkStart w:id="19" w:name="_Toc259698656"/>
      <w:bookmarkStart w:id="20" w:name="_Toc290374176"/>
      <w:r>
        <w:rPr>
          <w:rFonts w:hint="eastAsia"/>
          <w:sz w:val="32"/>
          <w:szCs w:val="32"/>
        </w:rPr>
        <w:t>竞</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rPr>
        <w:t xml:space="preserve"> </w:t>
      </w:r>
      <w:r>
        <w:rPr>
          <w:rFonts w:hint="eastAsia"/>
          <w:sz w:val="32"/>
          <w:szCs w:val="32"/>
        </w:rPr>
        <w:t>须</w:t>
      </w:r>
      <w:r>
        <w:rPr>
          <w:sz w:val="32"/>
          <w:szCs w:val="32"/>
        </w:rPr>
        <w:t xml:space="preserve"> </w:t>
      </w:r>
      <w:r>
        <w:rPr>
          <w:rFonts w:hint="eastAsia"/>
          <w:sz w:val="32"/>
          <w:szCs w:val="32"/>
        </w:rPr>
        <w:t>知</w:t>
      </w:r>
      <w:bookmarkEnd w:id="18"/>
      <w:bookmarkEnd w:id="19"/>
      <w:bookmarkEnd w:id="20"/>
    </w:p>
    <w:p>
      <w:pPr>
        <w:pStyle w:val="17"/>
        <w:spacing w:line="300" w:lineRule="auto"/>
        <w:rPr>
          <w:sz w:val="24"/>
          <w:szCs w:val="24"/>
        </w:rPr>
      </w:pPr>
    </w:p>
    <w:p>
      <w:pPr>
        <w:pStyle w:val="6"/>
        <w:spacing w:line="276" w:lineRule="auto"/>
        <w:jc w:val="center"/>
        <w:rPr>
          <w:rFonts w:ascii="宋体"/>
          <w:sz w:val="24"/>
          <w:szCs w:val="24"/>
        </w:rPr>
      </w:pPr>
      <w:bookmarkStart w:id="21" w:name="_Toc290374177"/>
      <w:bookmarkStart w:id="22" w:name="_Toc259698657"/>
      <w:bookmarkStart w:id="23" w:name="_Toc290375222"/>
      <w:r>
        <w:rPr>
          <w:rFonts w:hint="eastAsia" w:ascii="宋体"/>
          <w:sz w:val="24"/>
          <w:szCs w:val="24"/>
        </w:rPr>
        <w:t>一    总  则</w:t>
      </w:r>
      <w:bookmarkEnd w:id="21"/>
      <w:bookmarkEnd w:id="22"/>
      <w:bookmarkEnd w:id="23"/>
    </w:p>
    <w:p>
      <w:pPr>
        <w:pStyle w:val="7"/>
        <w:rPr>
          <w:rFonts w:eastAsia="宋体"/>
          <w:szCs w:val="24"/>
        </w:rPr>
      </w:pPr>
      <w:bookmarkStart w:id="24" w:name="_Toc259698658"/>
      <w:r>
        <w:rPr>
          <w:rFonts w:eastAsia="宋体"/>
          <w:szCs w:val="24"/>
        </w:rPr>
        <w:t>1.</w:t>
      </w:r>
      <w:r>
        <w:rPr>
          <w:rFonts w:hint="eastAsia" w:eastAsia="宋体"/>
          <w:szCs w:val="24"/>
        </w:rPr>
        <w:t>项目名称及编号</w:t>
      </w:r>
      <w:bookmarkEnd w:id="24"/>
    </w:p>
    <w:p>
      <w:pPr>
        <w:pStyle w:val="17"/>
        <w:spacing w:line="300" w:lineRule="auto"/>
        <w:ind w:firstLine="470" w:firstLineChars="196"/>
        <w:rPr>
          <w:sz w:val="24"/>
        </w:rPr>
      </w:pPr>
      <w:r>
        <w:rPr>
          <w:rFonts w:hint="eastAsia"/>
          <w:sz w:val="24"/>
          <w:szCs w:val="24"/>
        </w:rPr>
        <w:t>1.1项目名称：</w:t>
      </w:r>
      <w:r>
        <w:rPr>
          <w:rFonts w:hint="eastAsia"/>
          <w:sz w:val="24"/>
        </w:rPr>
        <w:t xml:space="preserve">老乡家园移民搬迁卫生服务中心电梯安装 </w:t>
      </w:r>
      <w:r>
        <w:rPr>
          <w:sz w:val="24"/>
        </w:rPr>
        <w:t xml:space="preserve"> </w:t>
      </w:r>
    </w:p>
    <w:p>
      <w:pPr>
        <w:pStyle w:val="17"/>
        <w:spacing w:line="300" w:lineRule="auto"/>
        <w:ind w:firstLine="470" w:firstLineChars="196"/>
        <w:rPr>
          <w:color w:val="FF0000"/>
          <w:sz w:val="24"/>
          <w:szCs w:val="24"/>
        </w:rPr>
      </w:pPr>
      <w:r>
        <w:rPr>
          <w:sz w:val="24"/>
          <w:szCs w:val="24"/>
        </w:rPr>
        <w:t>1.</w:t>
      </w:r>
      <w:r>
        <w:rPr>
          <w:rFonts w:hint="eastAsia"/>
          <w:sz w:val="24"/>
          <w:szCs w:val="24"/>
        </w:rPr>
        <w:t>2项目编号：</w:t>
      </w:r>
      <w:bookmarkStart w:id="25" w:name="_Toc259698659"/>
      <w:r>
        <w:rPr>
          <w:rFonts w:hint="eastAsia"/>
          <w:sz w:val="24"/>
          <w:szCs w:val="24"/>
        </w:rPr>
        <w:t>BSZC2020-J1-210239-HCJS</w:t>
      </w:r>
    </w:p>
    <w:p>
      <w:pPr>
        <w:pStyle w:val="17"/>
        <w:spacing w:line="300" w:lineRule="auto"/>
        <w:ind w:firstLine="411" w:firstLineChars="196"/>
        <w:rPr>
          <w:sz w:val="24"/>
          <w:szCs w:val="24"/>
        </w:rPr>
      </w:pPr>
      <w:r>
        <w:rPr>
          <w:szCs w:val="24"/>
        </w:rPr>
        <w:t xml:space="preserve"> </w:t>
      </w:r>
      <w:r>
        <w:rPr>
          <w:sz w:val="24"/>
          <w:szCs w:val="24"/>
        </w:rPr>
        <w:t>2.</w:t>
      </w:r>
      <w:r>
        <w:rPr>
          <w:rFonts w:hint="eastAsia"/>
          <w:sz w:val="24"/>
          <w:szCs w:val="24"/>
        </w:rPr>
        <w:t>竞标人资格</w:t>
      </w:r>
      <w:bookmarkEnd w:id="25"/>
    </w:p>
    <w:p>
      <w:pPr>
        <w:spacing w:line="400" w:lineRule="exact"/>
        <w:ind w:firstLine="480" w:firstLineChars="200"/>
        <w:rPr>
          <w:rFonts w:ascii="宋体"/>
          <w:sz w:val="24"/>
        </w:rPr>
      </w:pPr>
      <w:r>
        <w:rPr>
          <w:rFonts w:hint="eastAsia" w:ascii="宋体"/>
          <w:sz w:val="24"/>
        </w:rPr>
        <w:t>2.1 竞标人资格要求：详见竞标人须知前附表第2项。</w:t>
      </w:r>
    </w:p>
    <w:p>
      <w:pPr>
        <w:pStyle w:val="7"/>
        <w:rPr>
          <w:rFonts w:eastAsia="宋体"/>
          <w:szCs w:val="24"/>
        </w:rPr>
      </w:pPr>
      <w:bookmarkStart w:id="26" w:name="_Toc259698660"/>
      <w:r>
        <w:rPr>
          <w:rFonts w:eastAsia="宋体"/>
          <w:szCs w:val="24"/>
        </w:rPr>
        <w:t>3.</w:t>
      </w:r>
      <w:r>
        <w:rPr>
          <w:rFonts w:hint="eastAsia" w:eastAsia="宋体"/>
          <w:szCs w:val="24"/>
        </w:rPr>
        <w:t>竞标费用</w:t>
      </w:r>
      <w:bookmarkEnd w:id="26"/>
    </w:p>
    <w:p>
      <w:pPr>
        <w:pStyle w:val="17"/>
        <w:spacing w:line="300" w:lineRule="auto"/>
        <w:ind w:firstLine="420"/>
        <w:rPr>
          <w:sz w:val="24"/>
          <w:szCs w:val="24"/>
        </w:rPr>
      </w:pPr>
      <w:r>
        <w:rPr>
          <w:sz w:val="24"/>
          <w:szCs w:val="24"/>
        </w:rPr>
        <w:t>3.1</w:t>
      </w:r>
      <w:r>
        <w:rPr>
          <w:rFonts w:hint="eastAsia"/>
          <w:sz w:val="24"/>
          <w:szCs w:val="24"/>
        </w:rPr>
        <w:t>竞标人应自行承担所有与本次竞标有关的全部费用。</w:t>
      </w:r>
    </w:p>
    <w:p>
      <w:pPr>
        <w:pStyle w:val="17"/>
        <w:spacing w:line="300" w:lineRule="auto"/>
        <w:jc w:val="center"/>
        <w:rPr>
          <w:b/>
          <w:sz w:val="24"/>
          <w:szCs w:val="24"/>
        </w:rPr>
      </w:pPr>
    </w:p>
    <w:p>
      <w:pPr>
        <w:pStyle w:val="6"/>
        <w:spacing w:line="276" w:lineRule="auto"/>
        <w:jc w:val="center"/>
        <w:rPr>
          <w:rFonts w:ascii="宋体"/>
          <w:sz w:val="24"/>
          <w:szCs w:val="24"/>
        </w:rPr>
      </w:pPr>
      <w:bookmarkStart w:id="27" w:name="_Toc290375223"/>
      <w:bookmarkStart w:id="28" w:name="_Toc259698661"/>
      <w:bookmarkStart w:id="29" w:name="_Toc290374178"/>
      <w:r>
        <w:rPr>
          <w:rFonts w:hint="eastAsia" w:ascii="宋体"/>
          <w:sz w:val="24"/>
          <w:szCs w:val="24"/>
        </w:rPr>
        <w:t>二    竞争性谈判采购文件（简称谈判采购文件）</w:t>
      </w:r>
      <w:bookmarkEnd w:id="27"/>
      <w:bookmarkEnd w:id="28"/>
      <w:bookmarkEnd w:id="29"/>
    </w:p>
    <w:p>
      <w:pPr>
        <w:pStyle w:val="7"/>
        <w:rPr>
          <w:rFonts w:eastAsia="宋体"/>
          <w:szCs w:val="24"/>
        </w:rPr>
      </w:pPr>
      <w:bookmarkStart w:id="30" w:name="_Toc259698662"/>
      <w:r>
        <w:rPr>
          <w:rFonts w:eastAsia="宋体"/>
          <w:szCs w:val="24"/>
        </w:rPr>
        <w:t>4.</w:t>
      </w:r>
      <w:r>
        <w:rPr>
          <w:rFonts w:hint="eastAsia" w:eastAsia="宋体"/>
          <w:szCs w:val="24"/>
        </w:rPr>
        <w:t>谈判采购文件的构成</w:t>
      </w:r>
      <w:bookmarkEnd w:id="30"/>
    </w:p>
    <w:p>
      <w:pPr>
        <w:pStyle w:val="17"/>
        <w:spacing w:line="300" w:lineRule="auto"/>
        <w:ind w:firstLine="420"/>
        <w:rPr>
          <w:sz w:val="24"/>
          <w:szCs w:val="24"/>
        </w:rPr>
      </w:pPr>
      <w:r>
        <w:rPr>
          <w:sz w:val="24"/>
          <w:szCs w:val="24"/>
        </w:rPr>
        <w:t>4.1</w:t>
      </w:r>
      <w:r>
        <w:rPr>
          <w:rFonts w:hint="eastAsia"/>
          <w:sz w:val="24"/>
          <w:szCs w:val="24"/>
        </w:rPr>
        <w:t>采购文件包括：</w:t>
      </w:r>
    </w:p>
    <w:p>
      <w:pPr>
        <w:pStyle w:val="17"/>
        <w:spacing w:line="300" w:lineRule="auto"/>
        <w:ind w:firstLine="426"/>
        <w:rPr>
          <w:sz w:val="24"/>
          <w:szCs w:val="24"/>
        </w:rPr>
      </w:pPr>
      <w:r>
        <w:rPr>
          <w:rFonts w:hint="eastAsia"/>
          <w:sz w:val="24"/>
          <w:szCs w:val="24"/>
        </w:rPr>
        <w:t>⑴竞标公告：竞标公告在中国政府采购网</w:t>
      </w:r>
      <w:r>
        <w:rPr>
          <w:sz w:val="24"/>
          <w:szCs w:val="24"/>
        </w:rPr>
        <w:t>(http://</w:t>
      </w:r>
      <w:r>
        <w:fldChar w:fldCharType="begin"/>
      </w:r>
      <w:r>
        <w:instrText xml:space="preserve"> HYPERLINK "http://www.ccgp.gov.cn/" </w:instrText>
      </w:r>
      <w:r>
        <w:fldChar w:fldCharType="separate"/>
      </w:r>
      <w:r>
        <w:rPr>
          <w:sz w:val="24"/>
          <w:szCs w:val="24"/>
        </w:rPr>
        <w:t>www.ccgp.gov.cn</w:t>
      </w:r>
      <w:r>
        <w:rPr>
          <w:sz w:val="24"/>
          <w:szCs w:val="24"/>
        </w:rPr>
        <w:fldChar w:fldCharType="end"/>
      </w:r>
      <w:r>
        <w:rPr>
          <w:sz w:val="24"/>
          <w:szCs w:val="24"/>
        </w:rPr>
        <w:t>)</w:t>
      </w:r>
      <w:r>
        <w:rPr>
          <w:rFonts w:hint="eastAsia"/>
          <w:sz w:val="24"/>
          <w:szCs w:val="24"/>
        </w:rPr>
        <w:t>、广西壮族自治区政府采购网（http://zfcg.gxzf.gov.cn/）等网站上发布。</w:t>
      </w:r>
    </w:p>
    <w:p>
      <w:pPr>
        <w:pStyle w:val="17"/>
        <w:spacing w:line="300" w:lineRule="auto"/>
        <w:ind w:firstLine="420"/>
        <w:rPr>
          <w:sz w:val="24"/>
          <w:szCs w:val="24"/>
        </w:rPr>
      </w:pPr>
      <w:r>
        <w:rPr>
          <w:rFonts w:hint="eastAsia"/>
          <w:sz w:val="24"/>
          <w:szCs w:val="24"/>
        </w:rPr>
        <w:t>⑵竞标须知及前附表；</w:t>
      </w:r>
    </w:p>
    <w:p>
      <w:pPr>
        <w:pStyle w:val="17"/>
        <w:spacing w:line="300" w:lineRule="auto"/>
        <w:ind w:firstLine="420"/>
        <w:rPr>
          <w:sz w:val="24"/>
          <w:szCs w:val="24"/>
        </w:rPr>
      </w:pPr>
      <w:r>
        <w:rPr>
          <w:rFonts w:hint="eastAsia"/>
          <w:sz w:val="24"/>
          <w:szCs w:val="24"/>
        </w:rPr>
        <w:t>⑶货物需求一览表；</w:t>
      </w:r>
    </w:p>
    <w:p>
      <w:pPr>
        <w:pStyle w:val="17"/>
        <w:spacing w:line="300" w:lineRule="auto"/>
        <w:ind w:firstLine="420"/>
        <w:rPr>
          <w:sz w:val="24"/>
          <w:szCs w:val="24"/>
        </w:rPr>
      </w:pPr>
      <w:r>
        <w:rPr>
          <w:rFonts w:hint="eastAsia"/>
          <w:sz w:val="24"/>
          <w:szCs w:val="24"/>
        </w:rPr>
        <w:t>⑷合同条款；</w:t>
      </w:r>
    </w:p>
    <w:p>
      <w:pPr>
        <w:pStyle w:val="17"/>
        <w:spacing w:line="300" w:lineRule="auto"/>
        <w:ind w:firstLine="420"/>
        <w:rPr>
          <w:sz w:val="24"/>
          <w:szCs w:val="24"/>
        </w:rPr>
      </w:pPr>
      <w:r>
        <w:rPr>
          <w:rFonts w:hint="eastAsia"/>
          <w:sz w:val="24"/>
          <w:szCs w:val="24"/>
        </w:rPr>
        <w:t>⑸合同书格式；</w:t>
      </w:r>
    </w:p>
    <w:p>
      <w:pPr>
        <w:pStyle w:val="17"/>
        <w:spacing w:line="300" w:lineRule="auto"/>
        <w:ind w:firstLine="420"/>
        <w:rPr>
          <w:sz w:val="24"/>
          <w:szCs w:val="24"/>
        </w:rPr>
      </w:pPr>
      <w:r>
        <w:rPr>
          <w:rFonts w:hint="eastAsia"/>
          <w:sz w:val="24"/>
          <w:szCs w:val="24"/>
        </w:rPr>
        <w:t>⑹竞标文件格式；</w:t>
      </w:r>
    </w:p>
    <w:p>
      <w:pPr>
        <w:pStyle w:val="17"/>
        <w:spacing w:line="300" w:lineRule="auto"/>
        <w:ind w:firstLine="420"/>
        <w:rPr>
          <w:sz w:val="24"/>
          <w:szCs w:val="24"/>
        </w:rPr>
      </w:pPr>
      <w:r>
        <w:rPr>
          <w:rFonts w:hint="eastAsia"/>
          <w:sz w:val="24"/>
          <w:szCs w:val="24"/>
        </w:rPr>
        <w:t>⑺评标办法。</w:t>
      </w:r>
    </w:p>
    <w:p>
      <w:pPr>
        <w:pStyle w:val="7"/>
        <w:rPr>
          <w:rFonts w:eastAsia="宋体"/>
          <w:szCs w:val="24"/>
        </w:rPr>
      </w:pPr>
      <w:bookmarkStart w:id="31" w:name="_Toc259698663"/>
      <w:r>
        <w:rPr>
          <w:rFonts w:eastAsia="宋体"/>
          <w:szCs w:val="24"/>
        </w:rPr>
        <w:t>5.</w:t>
      </w:r>
      <w:r>
        <w:rPr>
          <w:rFonts w:hint="eastAsia" w:eastAsia="宋体"/>
          <w:szCs w:val="24"/>
        </w:rPr>
        <w:t>谈判采购文件的澄清和修改</w:t>
      </w:r>
      <w:bookmarkEnd w:id="31"/>
    </w:p>
    <w:p>
      <w:pPr>
        <w:pStyle w:val="17"/>
        <w:spacing w:line="300" w:lineRule="auto"/>
        <w:ind w:firstLine="420"/>
        <w:rPr>
          <w:sz w:val="24"/>
          <w:szCs w:val="24"/>
        </w:rPr>
      </w:pPr>
      <w:r>
        <w:rPr>
          <w:sz w:val="24"/>
          <w:szCs w:val="24"/>
        </w:rPr>
        <w:t>5.1</w:t>
      </w:r>
      <w:r>
        <w:rPr>
          <w:rFonts w:hint="eastAsia"/>
          <w:sz w:val="24"/>
          <w:szCs w:val="24"/>
        </w:rPr>
        <w:t>任何要求澄清谈判采购文件的竞标人，均应在竞标截止日期的</w:t>
      </w:r>
      <w:r>
        <w:rPr>
          <w:sz w:val="24"/>
          <w:szCs w:val="24"/>
        </w:rPr>
        <w:t>3</w:t>
      </w:r>
      <w:r>
        <w:rPr>
          <w:rFonts w:hint="eastAsia"/>
          <w:sz w:val="24"/>
          <w:szCs w:val="24"/>
        </w:rPr>
        <w:t>个工作日前以书面形式通知采购代理机构并签收，同时认定其它澄清方式为无效，采购代理机构将以书面形式予以答复。逾期不予受理，视为接受谈判采购文件所有条款。</w:t>
      </w:r>
    </w:p>
    <w:p>
      <w:pPr>
        <w:pStyle w:val="17"/>
        <w:spacing w:line="300" w:lineRule="auto"/>
        <w:ind w:firstLine="420"/>
        <w:jc w:val="left"/>
        <w:rPr>
          <w:sz w:val="24"/>
          <w:szCs w:val="24"/>
        </w:rPr>
      </w:pPr>
      <w:r>
        <w:rPr>
          <w:sz w:val="24"/>
          <w:szCs w:val="24"/>
        </w:rPr>
        <w:t xml:space="preserve">5.2 </w:t>
      </w:r>
      <w:r>
        <w:rPr>
          <w:rFonts w:hint="eastAsia"/>
          <w:sz w:val="24"/>
          <w:szCs w:val="24"/>
        </w:rPr>
        <w:t>在竞标截止日期前3个工作日，采购代理机构可主动地或在解答竞标人提出的澄清问题时对谈判采购文件进行澄清或修改。该澄清或修改的内容为竞标文件的组成部分。</w:t>
      </w:r>
    </w:p>
    <w:p>
      <w:pPr>
        <w:pStyle w:val="17"/>
        <w:spacing w:line="300" w:lineRule="auto"/>
        <w:ind w:firstLine="420"/>
        <w:rPr>
          <w:sz w:val="24"/>
          <w:szCs w:val="24"/>
        </w:rPr>
      </w:pPr>
      <w:r>
        <w:rPr>
          <w:sz w:val="24"/>
          <w:szCs w:val="24"/>
        </w:rPr>
        <w:t xml:space="preserve">5.3 </w:t>
      </w:r>
      <w:r>
        <w:rPr>
          <w:rFonts w:hint="eastAsia"/>
          <w:sz w:val="24"/>
          <w:szCs w:val="24"/>
        </w:rPr>
        <w:t>谈判采购文件的澄清或修改将以书面形式通知所有购买谈判采购文件的竞标人，并对其具有约束力。</w:t>
      </w:r>
    </w:p>
    <w:p>
      <w:pPr>
        <w:pStyle w:val="17"/>
        <w:spacing w:line="300" w:lineRule="auto"/>
        <w:ind w:firstLine="420"/>
        <w:rPr>
          <w:sz w:val="24"/>
          <w:szCs w:val="24"/>
        </w:rPr>
      </w:pPr>
      <w:r>
        <w:rPr>
          <w:sz w:val="24"/>
          <w:szCs w:val="24"/>
        </w:rPr>
        <w:t xml:space="preserve">5.4 </w:t>
      </w:r>
      <w:r>
        <w:rPr>
          <w:rFonts w:hint="eastAsia"/>
          <w:sz w:val="24"/>
          <w:szCs w:val="24"/>
        </w:rPr>
        <w:t>采购代理机构可视具体情况，延长竞标截止时间，并将此澄清或修改通知所有购买谈判采购文件的竞标人。</w:t>
      </w:r>
    </w:p>
    <w:p>
      <w:pPr>
        <w:pStyle w:val="17"/>
        <w:spacing w:line="300" w:lineRule="auto"/>
        <w:ind w:firstLine="420"/>
        <w:rPr>
          <w:sz w:val="24"/>
          <w:szCs w:val="24"/>
        </w:rPr>
      </w:pPr>
    </w:p>
    <w:p>
      <w:pPr>
        <w:pStyle w:val="6"/>
        <w:spacing w:line="276" w:lineRule="auto"/>
        <w:jc w:val="center"/>
        <w:rPr>
          <w:rFonts w:ascii="宋体"/>
          <w:sz w:val="24"/>
          <w:szCs w:val="24"/>
        </w:rPr>
      </w:pPr>
      <w:bookmarkStart w:id="32" w:name="_Toc259698664"/>
      <w:bookmarkStart w:id="33" w:name="_Toc290375224"/>
      <w:bookmarkStart w:id="34" w:name="_Toc290374179"/>
      <w:r>
        <w:rPr>
          <w:rFonts w:hint="eastAsia" w:ascii="宋体"/>
          <w:sz w:val="24"/>
          <w:szCs w:val="24"/>
        </w:rPr>
        <w:t>三    竞标文件的编制格式</w:t>
      </w:r>
      <w:bookmarkEnd w:id="32"/>
      <w:bookmarkEnd w:id="33"/>
      <w:bookmarkEnd w:id="34"/>
    </w:p>
    <w:p>
      <w:pPr>
        <w:pStyle w:val="7"/>
        <w:rPr>
          <w:rFonts w:eastAsia="宋体"/>
          <w:szCs w:val="24"/>
        </w:rPr>
      </w:pPr>
      <w:bookmarkStart w:id="35" w:name="_Toc259698665"/>
      <w:r>
        <w:rPr>
          <w:rFonts w:eastAsia="宋体"/>
          <w:szCs w:val="24"/>
        </w:rPr>
        <w:t>6.</w:t>
      </w:r>
      <w:r>
        <w:rPr>
          <w:rFonts w:hint="eastAsia" w:eastAsia="宋体"/>
          <w:szCs w:val="24"/>
        </w:rPr>
        <w:t>竞标文件编写的注意事项</w:t>
      </w:r>
      <w:bookmarkEnd w:id="35"/>
    </w:p>
    <w:p>
      <w:pPr>
        <w:pStyle w:val="17"/>
        <w:spacing w:line="300" w:lineRule="auto"/>
        <w:ind w:firstLine="420"/>
        <w:rPr>
          <w:sz w:val="24"/>
          <w:szCs w:val="24"/>
        </w:rPr>
      </w:pPr>
      <w:r>
        <w:rPr>
          <w:sz w:val="24"/>
          <w:szCs w:val="24"/>
        </w:rPr>
        <w:t>6.1</w:t>
      </w:r>
      <w:r>
        <w:rPr>
          <w:rFonts w:hint="eastAsia"/>
          <w:sz w:val="24"/>
          <w:szCs w:val="24"/>
        </w:rPr>
        <w:t>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pPr>
        <w:pStyle w:val="17"/>
        <w:spacing w:line="300" w:lineRule="auto"/>
        <w:ind w:firstLine="420"/>
        <w:rPr>
          <w:sz w:val="24"/>
          <w:szCs w:val="24"/>
        </w:rPr>
      </w:pPr>
      <w:r>
        <w:rPr>
          <w:sz w:val="24"/>
          <w:szCs w:val="24"/>
        </w:rPr>
        <w:t>6.2</w:t>
      </w:r>
      <w:r>
        <w:rPr>
          <w:rFonts w:hint="eastAsia"/>
          <w:sz w:val="24"/>
          <w:szCs w:val="24"/>
        </w:rPr>
        <w:t>对竞争性谈判采购文件提出的实质性要求和条件作出响应是指竞标人必须对竞争性谈判采购文件中竞标项目的价格、技术参数及性能配置、数量、售后服务及其它要求、合同主要条款等内容作出响应。</w:t>
      </w:r>
    </w:p>
    <w:p>
      <w:pPr>
        <w:pStyle w:val="7"/>
        <w:rPr>
          <w:rFonts w:eastAsia="宋体"/>
          <w:szCs w:val="24"/>
        </w:rPr>
      </w:pPr>
      <w:bookmarkStart w:id="36" w:name="_Toc259698666"/>
      <w:r>
        <w:rPr>
          <w:rFonts w:eastAsia="宋体"/>
          <w:szCs w:val="24"/>
        </w:rPr>
        <w:t>7.</w:t>
      </w:r>
      <w:r>
        <w:rPr>
          <w:rFonts w:hint="eastAsia" w:eastAsia="宋体"/>
          <w:szCs w:val="24"/>
        </w:rPr>
        <w:t>竞标文件的构成</w:t>
      </w:r>
      <w:bookmarkEnd w:id="36"/>
    </w:p>
    <w:p>
      <w:pPr>
        <w:pStyle w:val="17"/>
        <w:spacing w:line="300" w:lineRule="auto"/>
        <w:ind w:firstLine="420"/>
        <w:rPr>
          <w:sz w:val="24"/>
          <w:szCs w:val="24"/>
        </w:rPr>
      </w:pPr>
      <w:r>
        <w:rPr>
          <w:sz w:val="24"/>
          <w:szCs w:val="24"/>
        </w:rPr>
        <w:t>7.1</w:t>
      </w:r>
      <w:r>
        <w:rPr>
          <w:rFonts w:hint="eastAsia"/>
          <w:sz w:val="24"/>
          <w:szCs w:val="24"/>
        </w:rPr>
        <w:t>竞标人编写的竞标文件应包括下列内容：</w:t>
      </w:r>
    </w:p>
    <w:p>
      <w:pPr>
        <w:pStyle w:val="17"/>
        <w:spacing w:line="300" w:lineRule="auto"/>
        <w:ind w:firstLine="420"/>
        <w:rPr>
          <w:sz w:val="24"/>
          <w:szCs w:val="24"/>
        </w:rPr>
      </w:pPr>
      <w:r>
        <w:rPr>
          <w:rFonts w:hint="eastAsia"/>
          <w:sz w:val="24"/>
          <w:szCs w:val="24"/>
        </w:rPr>
        <w:t>一、商务部分</w:t>
      </w:r>
    </w:p>
    <w:p>
      <w:pPr>
        <w:pStyle w:val="17"/>
        <w:spacing w:line="300" w:lineRule="auto"/>
        <w:ind w:left="420"/>
        <w:rPr>
          <w:sz w:val="24"/>
          <w:szCs w:val="24"/>
        </w:rPr>
      </w:pPr>
      <w:r>
        <w:rPr>
          <w:rFonts w:hint="eastAsia"/>
          <w:sz w:val="24"/>
          <w:szCs w:val="24"/>
        </w:rPr>
        <w:t>（</w:t>
      </w:r>
      <w:r>
        <w:rPr>
          <w:sz w:val="24"/>
          <w:szCs w:val="24"/>
        </w:rPr>
        <w:t>1</w:t>
      </w:r>
      <w:r>
        <w:rPr>
          <w:rFonts w:hint="eastAsia"/>
          <w:sz w:val="24"/>
          <w:szCs w:val="24"/>
        </w:rPr>
        <w:t>）竞标函；</w:t>
      </w:r>
    </w:p>
    <w:p>
      <w:pPr>
        <w:pStyle w:val="17"/>
        <w:spacing w:line="300" w:lineRule="auto"/>
        <w:ind w:left="420"/>
        <w:rPr>
          <w:sz w:val="24"/>
          <w:szCs w:val="24"/>
        </w:rPr>
      </w:pPr>
      <w:r>
        <w:rPr>
          <w:rFonts w:hint="eastAsia"/>
          <w:sz w:val="24"/>
          <w:szCs w:val="24"/>
        </w:rPr>
        <w:t>（</w:t>
      </w:r>
      <w:r>
        <w:rPr>
          <w:sz w:val="24"/>
          <w:szCs w:val="24"/>
        </w:rPr>
        <w:t>2</w:t>
      </w:r>
      <w:r>
        <w:rPr>
          <w:rFonts w:hint="eastAsia"/>
          <w:sz w:val="24"/>
          <w:szCs w:val="24"/>
        </w:rPr>
        <w:t>）首次竞标报价表；</w:t>
      </w:r>
    </w:p>
    <w:p>
      <w:pPr>
        <w:pStyle w:val="17"/>
        <w:spacing w:line="300" w:lineRule="auto"/>
        <w:ind w:firstLine="412"/>
        <w:rPr>
          <w:sz w:val="24"/>
          <w:szCs w:val="24"/>
        </w:rPr>
      </w:pPr>
      <w:r>
        <w:rPr>
          <w:rFonts w:hint="eastAsia"/>
          <w:sz w:val="24"/>
          <w:szCs w:val="24"/>
        </w:rPr>
        <w:t>（</w:t>
      </w:r>
      <w:r>
        <w:rPr>
          <w:sz w:val="24"/>
          <w:szCs w:val="24"/>
        </w:rPr>
        <w:t>3</w:t>
      </w:r>
      <w:r>
        <w:rPr>
          <w:rFonts w:hint="eastAsia"/>
          <w:sz w:val="24"/>
          <w:szCs w:val="24"/>
        </w:rPr>
        <w:t>）证明竞标货物合格的证明文件（具体包含本章第13条所列的资料）；</w:t>
      </w:r>
    </w:p>
    <w:p>
      <w:pPr>
        <w:pStyle w:val="17"/>
        <w:spacing w:line="300" w:lineRule="auto"/>
        <w:ind w:firstLine="412"/>
        <w:rPr>
          <w:sz w:val="24"/>
          <w:szCs w:val="24"/>
        </w:rPr>
      </w:pPr>
      <w:r>
        <w:rPr>
          <w:rFonts w:hint="eastAsia"/>
          <w:sz w:val="24"/>
          <w:szCs w:val="24"/>
        </w:rPr>
        <w:t>（4）商务及其他要求响应表。</w:t>
      </w:r>
    </w:p>
    <w:p>
      <w:pPr>
        <w:pStyle w:val="17"/>
        <w:spacing w:line="300" w:lineRule="auto"/>
        <w:ind w:firstLine="420"/>
        <w:rPr>
          <w:sz w:val="24"/>
          <w:szCs w:val="24"/>
        </w:rPr>
      </w:pPr>
      <w:r>
        <w:rPr>
          <w:rFonts w:hint="eastAsia"/>
          <w:sz w:val="24"/>
          <w:szCs w:val="24"/>
        </w:rPr>
        <w:t>二、技术部分</w:t>
      </w:r>
    </w:p>
    <w:p>
      <w:pPr>
        <w:pStyle w:val="17"/>
        <w:spacing w:line="300" w:lineRule="auto"/>
        <w:ind w:firstLine="352" w:firstLineChars="147"/>
        <w:rPr>
          <w:sz w:val="24"/>
          <w:szCs w:val="24"/>
        </w:rPr>
      </w:pPr>
      <w:r>
        <w:rPr>
          <w:sz w:val="24"/>
          <w:szCs w:val="24"/>
        </w:rPr>
        <w:t xml:space="preserve"> </w:t>
      </w:r>
      <w:r>
        <w:rPr>
          <w:rFonts w:hint="eastAsia"/>
          <w:sz w:val="24"/>
          <w:szCs w:val="24"/>
        </w:rPr>
        <w:t>（</w:t>
      </w:r>
      <w:r>
        <w:rPr>
          <w:sz w:val="24"/>
          <w:szCs w:val="24"/>
        </w:rPr>
        <w:t>1</w:t>
      </w:r>
      <w:r>
        <w:rPr>
          <w:rFonts w:hint="eastAsia"/>
          <w:sz w:val="24"/>
          <w:szCs w:val="24"/>
        </w:rPr>
        <w:t xml:space="preserve">）技术规格响应表； </w:t>
      </w:r>
    </w:p>
    <w:p>
      <w:pPr>
        <w:pStyle w:val="17"/>
        <w:spacing w:line="300" w:lineRule="auto"/>
        <w:ind w:firstLine="420"/>
        <w:rPr>
          <w:sz w:val="24"/>
          <w:szCs w:val="24"/>
        </w:rPr>
      </w:pPr>
      <w:r>
        <w:rPr>
          <w:rFonts w:hint="eastAsia"/>
          <w:sz w:val="24"/>
          <w:szCs w:val="24"/>
        </w:rPr>
        <w:t>（</w:t>
      </w:r>
      <w:r>
        <w:rPr>
          <w:sz w:val="24"/>
          <w:szCs w:val="24"/>
        </w:rPr>
        <w:t>2</w:t>
      </w:r>
      <w:r>
        <w:rPr>
          <w:rFonts w:hint="eastAsia"/>
          <w:sz w:val="24"/>
          <w:szCs w:val="24"/>
        </w:rPr>
        <w:t>）技术实施方案（</w:t>
      </w:r>
      <w:r>
        <w:rPr>
          <w:rFonts w:hint="eastAsia"/>
          <w:b/>
          <w:sz w:val="24"/>
          <w:szCs w:val="24"/>
        </w:rPr>
        <w:t>按货物需求一览表要求提供</w:t>
      </w:r>
      <w:r>
        <w:rPr>
          <w:rFonts w:hint="eastAsia"/>
          <w:sz w:val="24"/>
          <w:szCs w:val="24"/>
        </w:rPr>
        <w:t>）。</w:t>
      </w:r>
    </w:p>
    <w:p>
      <w:pPr>
        <w:pStyle w:val="17"/>
        <w:spacing w:line="300" w:lineRule="auto"/>
        <w:ind w:firstLine="410" w:firstLineChars="171"/>
        <w:rPr>
          <w:sz w:val="24"/>
          <w:szCs w:val="24"/>
        </w:rPr>
      </w:pPr>
      <w:r>
        <w:rPr>
          <w:rFonts w:hint="eastAsia"/>
          <w:sz w:val="24"/>
          <w:szCs w:val="24"/>
        </w:rPr>
        <w:t>三、证明竞标人合格和资格的文件</w:t>
      </w:r>
    </w:p>
    <w:p>
      <w:pPr>
        <w:pStyle w:val="17"/>
        <w:spacing w:line="300" w:lineRule="auto"/>
        <w:ind w:firstLine="420"/>
        <w:rPr>
          <w:sz w:val="24"/>
          <w:szCs w:val="24"/>
        </w:rPr>
      </w:pPr>
      <w:r>
        <w:rPr>
          <w:rFonts w:hint="eastAsia"/>
          <w:sz w:val="24"/>
          <w:szCs w:val="24"/>
        </w:rPr>
        <w:t>（</w:t>
      </w:r>
      <w:r>
        <w:rPr>
          <w:sz w:val="24"/>
          <w:szCs w:val="24"/>
        </w:rPr>
        <w:t>1</w:t>
      </w:r>
      <w:r>
        <w:rPr>
          <w:rFonts w:hint="eastAsia"/>
          <w:sz w:val="24"/>
          <w:szCs w:val="24"/>
        </w:rPr>
        <w:t>）竞标保证金缴纳凭证复印件（即收款单位开具的竞标保证金缴纳收款收据或银行转账底单复印件）；</w:t>
      </w:r>
    </w:p>
    <w:p>
      <w:pPr>
        <w:pStyle w:val="17"/>
        <w:spacing w:line="300" w:lineRule="auto"/>
        <w:ind w:firstLine="480" w:firstLineChars="200"/>
        <w:rPr>
          <w:sz w:val="24"/>
          <w:szCs w:val="24"/>
        </w:rPr>
      </w:pPr>
      <w:r>
        <w:rPr>
          <w:rFonts w:hint="eastAsia"/>
          <w:sz w:val="24"/>
          <w:szCs w:val="24"/>
        </w:rPr>
        <w:t>（</w:t>
      </w:r>
      <w:r>
        <w:rPr>
          <w:sz w:val="24"/>
          <w:szCs w:val="24"/>
        </w:rPr>
        <w:t>2</w:t>
      </w:r>
      <w:r>
        <w:rPr>
          <w:rFonts w:hint="eastAsia"/>
          <w:sz w:val="24"/>
          <w:szCs w:val="24"/>
        </w:rPr>
        <w:t>）证明竞标人合格和资格的文件（具体包含本章第12.1条所列的资料）；</w:t>
      </w:r>
    </w:p>
    <w:p>
      <w:pPr>
        <w:pStyle w:val="17"/>
        <w:spacing w:line="300" w:lineRule="auto"/>
        <w:ind w:firstLine="480" w:firstLineChars="200"/>
        <w:rPr>
          <w:sz w:val="24"/>
          <w:szCs w:val="24"/>
        </w:rPr>
      </w:pPr>
      <w:r>
        <w:rPr>
          <w:rFonts w:hint="eastAsia"/>
          <w:sz w:val="24"/>
          <w:szCs w:val="24"/>
        </w:rPr>
        <w:t>（3）法人授权委托书；</w:t>
      </w:r>
    </w:p>
    <w:p>
      <w:pPr>
        <w:pStyle w:val="17"/>
        <w:spacing w:line="300" w:lineRule="auto"/>
        <w:ind w:firstLine="480" w:firstLineChars="200"/>
        <w:rPr>
          <w:sz w:val="24"/>
          <w:szCs w:val="24"/>
        </w:rPr>
      </w:pPr>
      <w:r>
        <w:rPr>
          <w:rFonts w:hint="eastAsia"/>
          <w:sz w:val="24"/>
          <w:szCs w:val="24"/>
        </w:rPr>
        <w:t>（4）其他。</w:t>
      </w:r>
    </w:p>
    <w:p>
      <w:pPr>
        <w:pStyle w:val="17"/>
        <w:spacing w:line="300" w:lineRule="auto"/>
        <w:ind w:firstLine="480" w:firstLineChars="200"/>
        <w:rPr>
          <w:b/>
          <w:sz w:val="24"/>
          <w:szCs w:val="24"/>
        </w:rPr>
      </w:pPr>
      <w:r>
        <w:rPr>
          <w:rFonts w:hint="eastAsia"/>
          <w:sz w:val="24"/>
          <w:szCs w:val="24"/>
        </w:rPr>
        <w:t>四、竞标文件编制要求：要求竞标文件有目录、页码并按顺序装订、整洁美观、齐全。</w:t>
      </w:r>
    </w:p>
    <w:p>
      <w:pPr>
        <w:pStyle w:val="7"/>
        <w:rPr>
          <w:rFonts w:eastAsia="宋体"/>
          <w:szCs w:val="24"/>
        </w:rPr>
      </w:pPr>
      <w:bookmarkStart w:id="37" w:name="_Toc259698667"/>
      <w:r>
        <w:rPr>
          <w:rFonts w:eastAsia="宋体"/>
          <w:szCs w:val="24"/>
        </w:rPr>
        <w:t>8.</w:t>
      </w:r>
      <w:r>
        <w:rPr>
          <w:rFonts w:hint="eastAsia" w:eastAsia="宋体"/>
          <w:szCs w:val="24"/>
        </w:rPr>
        <w:t>竞标文件的语言及计量单位</w:t>
      </w:r>
      <w:bookmarkEnd w:id="37"/>
    </w:p>
    <w:p>
      <w:pPr>
        <w:pStyle w:val="17"/>
        <w:spacing w:line="300" w:lineRule="auto"/>
        <w:ind w:firstLine="420"/>
        <w:rPr>
          <w:sz w:val="24"/>
          <w:szCs w:val="24"/>
        </w:rPr>
      </w:pPr>
      <w:r>
        <w:rPr>
          <w:sz w:val="24"/>
          <w:szCs w:val="24"/>
        </w:rPr>
        <w:t>8.1</w:t>
      </w:r>
      <w:r>
        <w:rPr>
          <w:rFonts w:hint="eastAsia"/>
          <w:sz w:val="24"/>
          <w:szCs w:val="24"/>
        </w:rPr>
        <w:t>竞标人的竞标文件以及竞标人与采购代理机构的所有来往的函电统一使用中文（另有规定的除外）。</w:t>
      </w:r>
    </w:p>
    <w:p>
      <w:pPr>
        <w:pStyle w:val="17"/>
        <w:spacing w:line="300" w:lineRule="auto"/>
        <w:ind w:firstLine="420"/>
        <w:rPr>
          <w:sz w:val="24"/>
          <w:szCs w:val="24"/>
        </w:rPr>
      </w:pPr>
      <w:r>
        <w:rPr>
          <w:sz w:val="24"/>
          <w:szCs w:val="24"/>
        </w:rPr>
        <w:t>8.2</w:t>
      </w:r>
      <w:r>
        <w:rPr>
          <w:rFonts w:hint="eastAsia"/>
          <w:sz w:val="24"/>
          <w:szCs w:val="24"/>
        </w:rPr>
        <w:t>竞标文件中使用的计量单位除谈判采购文件中有特殊规定外，一律使用法定计量单位。</w:t>
      </w:r>
    </w:p>
    <w:p>
      <w:pPr>
        <w:pStyle w:val="7"/>
        <w:rPr>
          <w:rFonts w:eastAsia="宋体"/>
          <w:szCs w:val="24"/>
        </w:rPr>
      </w:pPr>
      <w:bookmarkStart w:id="38" w:name="_Toc259698668"/>
      <w:r>
        <w:rPr>
          <w:rFonts w:eastAsia="宋体"/>
          <w:szCs w:val="24"/>
        </w:rPr>
        <w:t xml:space="preserve">9. </w:t>
      </w:r>
      <w:r>
        <w:rPr>
          <w:rFonts w:hint="eastAsia" w:eastAsia="宋体"/>
          <w:szCs w:val="24"/>
        </w:rPr>
        <w:t>竞标函格式</w:t>
      </w:r>
      <w:bookmarkEnd w:id="38"/>
    </w:p>
    <w:p>
      <w:pPr>
        <w:pStyle w:val="17"/>
        <w:spacing w:line="300" w:lineRule="auto"/>
        <w:ind w:firstLine="480" w:firstLineChars="200"/>
        <w:rPr>
          <w:sz w:val="24"/>
          <w:szCs w:val="24"/>
        </w:rPr>
      </w:pPr>
      <w:r>
        <w:rPr>
          <w:sz w:val="24"/>
          <w:szCs w:val="24"/>
        </w:rPr>
        <w:t>9.1</w:t>
      </w:r>
      <w:r>
        <w:rPr>
          <w:rFonts w:hint="eastAsia"/>
          <w:bCs/>
          <w:sz w:val="24"/>
          <w:szCs w:val="24"/>
        </w:rPr>
        <w:t>竞</w:t>
      </w:r>
      <w:r>
        <w:rPr>
          <w:rFonts w:hint="eastAsia"/>
          <w:sz w:val="24"/>
          <w:szCs w:val="24"/>
        </w:rPr>
        <w:t>标人应完整地填写谈判采购文件中的竞标函格式和首次竞标报价表，详细标明所提供的货物及部件名称、型号规格、技术参数、配置、产地、生产厂家、数量及产品所执行的标准及价格。</w:t>
      </w:r>
    </w:p>
    <w:p>
      <w:pPr>
        <w:pStyle w:val="7"/>
        <w:rPr>
          <w:rFonts w:eastAsia="宋体"/>
          <w:szCs w:val="24"/>
        </w:rPr>
      </w:pPr>
      <w:bookmarkStart w:id="39" w:name="_Toc259698669"/>
      <w:r>
        <w:rPr>
          <w:rFonts w:eastAsia="宋体"/>
          <w:szCs w:val="24"/>
        </w:rPr>
        <w:t>10.</w:t>
      </w:r>
      <w:r>
        <w:rPr>
          <w:rFonts w:hint="eastAsia" w:eastAsia="宋体"/>
          <w:szCs w:val="24"/>
        </w:rPr>
        <w:t>首次竞标报价</w:t>
      </w:r>
      <w:bookmarkEnd w:id="39"/>
    </w:p>
    <w:p>
      <w:pPr>
        <w:pStyle w:val="17"/>
        <w:spacing w:line="300" w:lineRule="auto"/>
        <w:ind w:firstLine="420"/>
        <w:rPr>
          <w:sz w:val="24"/>
          <w:szCs w:val="24"/>
        </w:rPr>
      </w:pPr>
      <w:r>
        <w:rPr>
          <w:sz w:val="24"/>
          <w:szCs w:val="24"/>
        </w:rPr>
        <w:t>10.1</w:t>
      </w:r>
      <w:r>
        <w:rPr>
          <w:rFonts w:hint="eastAsia"/>
          <w:b/>
          <w:sz w:val="24"/>
          <w:szCs w:val="24"/>
        </w:rPr>
        <w:t>竞标人须就《货物需求一览表》中的所有货物和服务内容作完整唯一报价。</w:t>
      </w:r>
    </w:p>
    <w:p>
      <w:pPr>
        <w:pStyle w:val="17"/>
        <w:spacing w:line="300" w:lineRule="auto"/>
        <w:ind w:firstLine="420"/>
        <w:rPr>
          <w:sz w:val="24"/>
          <w:szCs w:val="24"/>
          <w:u w:val="single"/>
        </w:rPr>
      </w:pPr>
      <w:r>
        <w:rPr>
          <w:sz w:val="24"/>
          <w:szCs w:val="24"/>
        </w:rPr>
        <w:t>10.2</w:t>
      </w:r>
      <w:r>
        <w:rPr>
          <w:rFonts w:hint="eastAsia"/>
          <w:sz w:val="24"/>
          <w:szCs w:val="24"/>
        </w:rPr>
        <w:t>竞标人应在竞标报价表上标明单价和总价。如单价和总价不符，以单价累计为准。小写与大写不符的，以大写为准。如果因竞标人原因引起的报价失误，同时又被谈判时所接受，其后果由竞标人自负。</w:t>
      </w:r>
    </w:p>
    <w:p>
      <w:pPr>
        <w:pStyle w:val="17"/>
        <w:spacing w:line="300" w:lineRule="auto"/>
        <w:ind w:firstLine="420"/>
        <w:rPr>
          <w:sz w:val="24"/>
          <w:szCs w:val="24"/>
        </w:rPr>
      </w:pPr>
      <w:r>
        <w:rPr>
          <w:sz w:val="24"/>
          <w:szCs w:val="24"/>
        </w:rPr>
        <w:t>10.3</w:t>
      </w:r>
      <w:r>
        <w:rPr>
          <w:rFonts w:hint="eastAsia"/>
          <w:sz w:val="24"/>
          <w:szCs w:val="24"/>
        </w:rPr>
        <w:t>首次竞标报价指货物、随配附件、备品备件、工具、货物运抵指定交货地点、检测的各种费用和售后服务、税金及其它所有成本费用的总和。</w:t>
      </w:r>
    </w:p>
    <w:p>
      <w:pPr>
        <w:pStyle w:val="7"/>
        <w:rPr>
          <w:rFonts w:eastAsia="宋体"/>
          <w:szCs w:val="24"/>
        </w:rPr>
      </w:pPr>
      <w:bookmarkStart w:id="40" w:name="_Toc259698670"/>
      <w:r>
        <w:rPr>
          <w:rFonts w:eastAsia="宋体"/>
          <w:szCs w:val="24"/>
        </w:rPr>
        <w:t>11.</w:t>
      </w:r>
      <w:r>
        <w:rPr>
          <w:rFonts w:hint="eastAsia" w:eastAsia="宋体"/>
          <w:szCs w:val="24"/>
        </w:rPr>
        <w:t>竞标货币</w:t>
      </w:r>
      <w:bookmarkEnd w:id="40"/>
    </w:p>
    <w:p>
      <w:pPr>
        <w:pStyle w:val="17"/>
        <w:spacing w:line="300" w:lineRule="auto"/>
        <w:ind w:firstLine="420"/>
        <w:rPr>
          <w:sz w:val="24"/>
          <w:szCs w:val="24"/>
        </w:rPr>
      </w:pPr>
      <w:r>
        <w:rPr>
          <w:sz w:val="24"/>
          <w:szCs w:val="24"/>
        </w:rPr>
        <w:t>11.1</w:t>
      </w:r>
      <w:r>
        <w:rPr>
          <w:rFonts w:hint="eastAsia"/>
          <w:sz w:val="24"/>
          <w:szCs w:val="24"/>
        </w:rPr>
        <w:t>竞标应以人民币报价。</w:t>
      </w:r>
    </w:p>
    <w:p>
      <w:pPr>
        <w:pStyle w:val="7"/>
        <w:rPr>
          <w:rFonts w:eastAsia="宋体"/>
          <w:szCs w:val="24"/>
        </w:rPr>
      </w:pPr>
      <w:bookmarkStart w:id="41" w:name="_Toc259698671"/>
      <w:r>
        <w:rPr>
          <w:rFonts w:hint="eastAsia" w:eastAsia="宋体"/>
          <w:szCs w:val="24"/>
        </w:rPr>
        <w:t>12.证明竞标人合格和资格的文件</w:t>
      </w:r>
      <w:bookmarkEnd w:id="41"/>
    </w:p>
    <w:p>
      <w:pPr>
        <w:pStyle w:val="17"/>
        <w:spacing w:line="300" w:lineRule="auto"/>
        <w:ind w:firstLine="480" w:firstLineChars="200"/>
        <w:rPr>
          <w:b/>
          <w:sz w:val="24"/>
          <w:szCs w:val="24"/>
        </w:rPr>
      </w:pPr>
      <w:r>
        <w:rPr>
          <w:sz w:val="24"/>
          <w:szCs w:val="24"/>
        </w:rPr>
        <w:t>12.1</w:t>
      </w:r>
      <w:r>
        <w:rPr>
          <w:rFonts w:hint="eastAsia" w:hAnsi="宋体"/>
          <w:sz w:val="24"/>
          <w:szCs w:val="24"/>
        </w:rPr>
        <w:t>证明竞标人合格和资格的文件包括</w:t>
      </w:r>
      <w:r>
        <w:rPr>
          <w:rFonts w:hint="eastAsia"/>
          <w:b/>
          <w:sz w:val="24"/>
          <w:szCs w:val="24"/>
        </w:rPr>
        <w:t>：</w:t>
      </w:r>
    </w:p>
    <w:p>
      <w:pPr>
        <w:pStyle w:val="17"/>
        <w:numPr>
          <w:ilvl w:val="0"/>
          <w:numId w:val="3"/>
        </w:numPr>
        <w:spacing w:line="300" w:lineRule="auto"/>
        <w:ind w:firstLine="480" w:firstLineChars="200"/>
        <w:rPr>
          <w:sz w:val="24"/>
          <w:szCs w:val="24"/>
        </w:rPr>
      </w:pPr>
      <w:r>
        <w:rPr>
          <w:rFonts w:hint="eastAsia"/>
          <w:sz w:val="24"/>
          <w:szCs w:val="24"/>
        </w:rPr>
        <w:t>有效的营业执照副本、有效的组织机构代码证副本、有效的税务登记证副本复印件或有统一社会信用代码的营业执照复印件（必须提供，并加盖竞标单位公章）</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hAnsi="宋体" w:cs="Arial"/>
          <w:sz w:val="24"/>
        </w:rPr>
        <w:t>《中华人民共和国特种设备安装改造维修许可证》（电梯类）B级（含B级）或以上资质证书复印件</w:t>
      </w:r>
      <w:r>
        <w:rPr>
          <w:rFonts w:hint="eastAsia"/>
          <w:sz w:val="24"/>
          <w:szCs w:val="24"/>
        </w:rPr>
        <w:t>（必须提供，并加盖竞标单位公章）</w:t>
      </w:r>
      <w:r>
        <w:rPr>
          <w:rFonts w:hint="eastAsia" w:hAnsi="宋体" w:cs="Arial"/>
          <w:sz w:val="24"/>
        </w:rPr>
        <w:t>；</w:t>
      </w:r>
    </w:p>
    <w:p>
      <w:pPr>
        <w:pStyle w:val="17"/>
        <w:numPr>
          <w:ilvl w:val="0"/>
          <w:numId w:val="3"/>
        </w:numPr>
        <w:spacing w:line="300" w:lineRule="auto"/>
        <w:ind w:firstLine="480" w:firstLineChars="200"/>
        <w:rPr>
          <w:sz w:val="24"/>
          <w:szCs w:val="24"/>
        </w:rPr>
      </w:pPr>
      <w:r>
        <w:rPr>
          <w:rFonts w:hint="eastAsia" w:hAnsi="宋体"/>
          <w:sz w:val="24"/>
          <w:szCs w:val="24"/>
        </w:rPr>
        <w:t>法定代表人身份证复印件</w:t>
      </w:r>
      <w:r>
        <w:rPr>
          <w:rFonts w:hint="eastAsia"/>
          <w:sz w:val="24"/>
          <w:szCs w:val="24"/>
        </w:rPr>
        <w:t>（必须提供，并加盖竞标单位公章）</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sz w:val="24"/>
          <w:szCs w:val="24"/>
        </w:rPr>
        <w:t>法定代表人身份证明书原件（如为法定代表人报名时提供）；</w:t>
      </w:r>
    </w:p>
    <w:p>
      <w:pPr>
        <w:pStyle w:val="17"/>
        <w:numPr>
          <w:ilvl w:val="0"/>
          <w:numId w:val="3"/>
        </w:numPr>
        <w:spacing w:line="300" w:lineRule="auto"/>
        <w:ind w:firstLine="480" w:firstLineChars="200"/>
        <w:rPr>
          <w:sz w:val="24"/>
          <w:szCs w:val="24"/>
        </w:rPr>
      </w:pPr>
      <w:r>
        <w:rPr>
          <w:rFonts w:hint="eastAsia"/>
          <w:sz w:val="24"/>
          <w:szCs w:val="24"/>
        </w:rPr>
        <w:t>竞标单位于本项目竞标公告发布后在中国裁判文书网（https://wenshu.court.gov.cn/)查询本单位无行贿犯罪记录的截图（必须提供，同时加盖竞标单位公章）；</w:t>
      </w:r>
    </w:p>
    <w:p>
      <w:pPr>
        <w:pStyle w:val="17"/>
        <w:numPr>
          <w:ilvl w:val="0"/>
          <w:numId w:val="3"/>
        </w:numPr>
        <w:spacing w:line="300" w:lineRule="auto"/>
        <w:ind w:firstLine="480" w:firstLineChars="200"/>
        <w:rPr>
          <w:sz w:val="24"/>
          <w:szCs w:val="24"/>
        </w:rPr>
      </w:pPr>
      <w:r>
        <w:rPr>
          <w:rFonts w:hint="eastAsia" w:hAnsi="宋体"/>
          <w:sz w:val="24"/>
          <w:szCs w:val="24"/>
        </w:rPr>
        <w:t>竞标单位参加政府采购活动前3年内在经营活动中没有重大违法记录的书面声明原件</w:t>
      </w:r>
      <w:r>
        <w:rPr>
          <w:rFonts w:hint="eastAsia"/>
          <w:sz w:val="24"/>
          <w:szCs w:val="24"/>
        </w:rPr>
        <w:t>（必须提供）</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sz w:val="24"/>
          <w:szCs w:val="24"/>
        </w:rPr>
        <w:t>近半年内连续三个月的纳税证明复印件（必须提供，并加盖竞标单位公章）；</w:t>
      </w:r>
    </w:p>
    <w:p>
      <w:pPr>
        <w:pStyle w:val="17"/>
        <w:numPr>
          <w:ilvl w:val="0"/>
          <w:numId w:val="3"/>
        </w:numPr>
        <w:spacing w:line="300" w:lineRule="auto"/>
        <w:ind w:firstLine="480" w:firstLineChars="200"/>
        <w:rPr>
          <w:sz w:val="24"/>
          <w:szCs w:val="24"/>
        </w:rPr>
      </w:pPr>
      <w:r>
        <w:rPr>
          <w:rFonts w:hint="eastAsia"/>
          <w:bCs/>
          <w:sz w:val="24"/>
          <w:szCs w:val="24"/>
        </w:rPr>
        <w:t>提供本单位2019年度审计报告或财务报表</w:t>
      </w:r>
      <w:r>
        <w:rPr>
          <w:rFonts w:hint="eastAsia"/>
          <w:sz w:val="24"/>
          <w:szCs w:val="24"/>
        </w:rPr>
        <w:t>复印件</w:t>
      </w:r>
      <w:r>
        <w:rPr>
          <w:rFonts w:hint="eastAsia"/>
          <w:bCs/>
          <w:sz w:val="24"/>
          <w:szCs w:val="24"/>
        </w:rPr>
        <w:t>，新成立的单位请按实际提供</w:t>
      </w:r>
      <w:r>
        <w:rPr>
          <w:rFonts w:hint="eastAsia"/>
          <w:sz w:val="24"/>
          <w:szCs w:val="24"/>
        </w:rPr>
        <w:t>（必须提供，并加盖竞标单位公章）；</w:t>
      </w:r>
    </w:p>
    <w:p>
      <w:pPr>
        <w:pStyle w:val="17"/>
        <w:numPr>
          <w:ilvl w:val="0"/>
          <w:numId w:val="3"/>
        </w:numPr>
        <w:spacing w:line="300" w:lineRule="auto"/>
        <w:ind w:firstLine="480" w:firstLineChars="200"/>
        <w:rPr>
          <w:rFonts w:hAnsi="宋体"/>
          <w:sz w:val="24"/>
          <w:szCs w:val="24"/>
        </w:rPr>
      </w:pPr>
      <w:r>
        <w:rPr>
          <w:rFonts w:hint="eastAsia" w:hAnsi="宋体"/>
          <w:sz w:val="24"/>
          <w:szCs w:val="24"/>
        </w:rPr>
        <w:t>竞标单位在“信用中国”网站(www.creditchina.gov.cn)及中国政府采购网(www.ccgp.gov.cn)查询本单位信用记录截图；（必须提供，同时加盖</w:t>
      </w:r>
      <w:r>
        <w:rPr>
          <w:rFonts w:hint="eastAsia"/>
          <w:sz w:val="24"/>
          <w:szCs w:val="24"/>
        </w:rPr>
        <w:t>竞标</w:t>
      </w:r>
      <w:r>
        <w:rPr>
          <w:rFonts w:hint="eastAsia" w:hAnsi="宋体"/>
          <w:sz w:val="24"/>
          <w:szCs w:val="24"/>
        </w:rPr>
        <w:t>单位公章）；</w:t>
      </w:r>
    </w:p>
    <w:p>
      <w:pPr>
        <w:pStyle w:val="17"/>
        <w:numPr>
          <w:ilvl w:val="0"/>
          <w:numId w:val="3"/>
        </w:numPr>
        <w:spacing w:line="300" w:lineRule="auto"/>
        <w:ind w:firstLine="480" w:firstLineChars="200"/>
        <w:rPr>
          <w:rFonts w:hAnsi="宋体"/>
          <w:sz w:val="24"/>
          <w:szCs w:val="24"/>
        </w:rPr>
      </w:pPr>
      <w:r>
        <w:rPr>
          <w:rFonts w:hint="eastAsia" w:hAnsi="宋体"/>
          <w:sz w:val="24"/>
          <w:szCs w:val="24"/>
        </w:rPr>
        <w:t>竞标人认为必要提供的声明及文件资料。</w:t>
      </w:r>
    </w:p>
    <w:p>
      <w:pPr>
        <w:pStyle w:val="17"/>
        <w:spacing w:line="300" w:lineRule="auto"/>
        <w:ind w:firstLine="482" w:firstLineChars="200"/>
        <w:rPr>
          <w:rFonts w:hAnsi="宋体"/>
          <w:b/>
          <w:bCs/>
          <w:sz w:val="24"/>
          <w:szCs w:val="24"/>
        </w:rPr>
      </w:pPr>
      <w:r>
        <w:rPr>
          <w:rFonts w:hint="eastAsia" w:hAnsi="宋体"/>
          <w:b/>
          <w:bCs/>
          <w:sz w:val="24"/>
          <w:szCs w:val="24"/>
        </w:rPr>
        <w:t>特别说明：以上商务部分文件中所有证件、证明材料、财务报告报表等如为复印件，必须加盖竞标单位公章，否则竞标无效。</w:t>
      </w:r>
    </w:p>
    <w:p>
      <w:pPr>
        <w:pStyle w:val="17"/>
        <w:spacing w:line="300" w:lineRule="auto"/>
        <w:ind w:firstLine="420"/>
        <w:rPr>
          <w:sz w:val="24"/>
          <w:szCs w:val="24"/>
        </w:rPr>
      </w:pPr>
      <w:r>
        <w:rPr>
          <w:sz w:val="24"/>
          <w:szCs w:val="24"/>
        </w:rPr>
        <w:t>12.2</w:t>
      </w:r>
      <w:r>
        <w:rPr>
          <w:rFonts w:hint="eastAsia"/>
          <w:sz w:val="24"/>
          <w:szCs w:val="24"/>
        </w:rPr>
        <w:t>本项目不接受联合体竞标。</w:t>
      </w:r>
    </w:p>
    <w:p>
      <w:pPr>
        <w:pStyle w:val="7"/>
        <w:rPr>
          <w:rFonts w:eastAsia="宋体"/>
          <w:szCs w:val="24"/>
        </w:rPr>
      </w:pPr>
      <w:bookmarkStart w:id="42" w:name="_Toc259698672"/>
      <w:r>
        <w:rPr>
          <w:rFonts w:eastAsia="宋体"/>
          <w:szCs w:val="24"/>
        </w:rPr>
        <w:t>13.</w:t>
      </w:r>
      <w:r>
        <w:rPr>
          <w:rFonts w:hint="eastAsia" w:eastAsia="宋体"/>
          <w:szCs w:val="24"/>
        </w:rPr>
        <w:t>证明货物的合格性和符合谈判采购文件规定的相关文件</w:t>
      </w:r>
      <w:bookmarkEnd w:id="42"/>
    </w:p>
    <w:p>
      <w:pPr>
        <w:pStyle w:val="17"/>
        <w:spacing w:line="300" w:lineRule="auto"/>
        <w:ind w:firstLine="420"/>
        <w:rPr>
          <w:sz w:val="24"/>
          <w:szCs w:val="24"/>
        </w:rPr>
      </w:pPr>
      <w:r>
        <w:rPr>
          <w:sz w:val="24"/>
          <w:szCs w:val="24"/>
        </w:rPr>
        <w:t>13.1</w:t>
      </w:r>
      <w:r>
        <w:rPr>
          <w:rFonts w:hint="eastAsia"/>
          <w:sz w:val="24"/>
          <w:szCs w:val="24"/>
        </w:rPr>
        <w:t>按照本须知第</w:t>
      </w:r>
      <w:r>
        <w:rPr>
          <w:sz w:val="24"/>
          <w:szCs w:val="24"/>
        </w:rPr>
        <w:t>7</w:t>
      </w:r>
      <w:r>
        <w:rPr>
          <w:rFonts w:hint="eastAsia"/>
          <w:sz w:val="24"/>
          <w:szCs w:val="24"/>
        </w:rPr>
        <w:t>条规定，竞标人还应提交根据本项目要求提供证明货物和手续合格性的文件及资料。它们是：</w:t>
      </w:r>
    </w:p>
    <w:p>
      <w:pPr>
        <w:pStyle w:val="17"/>
        <w:spacing w:line="300" w:lineRule="auto"/>
        <w:ind w:firstLine="420"/>
        <w:rPr>
          <w:sz w:val="24"/>
          <w:szCs w:val="24"/>
        </w:rPr>
      </w:pPr>
      <w:r>
        <w:rPr>
          <w:rFonts w:hint="eastAsia"/>
          <w:sz w:val="24"/>
          <w:szCs w:val="24"/>
        </w:rPr>
        <w:t>⑴</w:t>
      </w:r>
      <w:r>
        <w:rPr>
          <w:sz w:val="24"/>
          <w:szCs w:val="24"/>
        </w:rPr>
        <w:t xml:space="preserve"> </w:t>
      </w:r>
      <w:r>
        <w:rPr>
          <w:rFonts w:hint="eastAsia"/>
          <w:sz w:val="24"/>
          <w:szCs w:val="24"/>
        </w:rPr>
        <w:t>生产厂家的制造许可证、形式试验合格证、质量管理体系认证证书（由生产厂家提供均为复印件，必须提供）及生产厂家的其它有关资格证书。</w:t>
      </w:r>
    </w:p>
    <w:p>
      <w:pPr>
        <w:pStyle w:val="17"/>
        <w:spacing w:line="300" w:lineRule="auto"/>
        <w:ind w:firstLine="420"/>
        <w:rPr>
          <w:color w:val="FF0000"/>
          <w:sz w:val="24"/>
          <w:szCs w:val="24"/>
        </w:rPr>
      </w:pPr>
      <w:r>
        <w:rPr>
          <w:rFonts w:hint="eastAsia"/>
          <w:sz w:val="24"/>
          <w:szCs w:val="24"/>
        </w:rPr>
        <w:t xml:space="preserve">⑵ </w:t>
      </w:r>
      <w:r>
        <w:rPr>
          <w:sz w:val="24"/>
          <w:szCs w:val="24"/>
        </w:rPr>
        <w:t xml:space="preserve"> </w:t>
      </w:r>
      <w:r>
        <w:rPr>
          <w:rFonts w:hint="eastAsia"/>
          <w:sz w:val="24"/>
          <w:szCs w:val="24"/>
        </w:rPr>
        <w:t>产品销售授权书或代理证书</w:t>
      </w:r>
      <w:r>
        <w:rPr>
          <w:rFonts w:hint="eastAsia"/>
          <w:color w:val="FF0000"/>
          <w:sz w:val="24"/>
          <w:szCs w:val="24"/>
        </w:rPr>
        <w:t>（</w:t>
      </w:r>
      <w:r>
        <w:rPr>
          <w:rFonts w:hint="eastAsia"/>
          <w:b/>
          <w:color w:val="FF0000"/>
          <w:sz w:val="24"/>
          <w:szCs w:val="24"/>
        </w:rPr>
        <w:t>提供复印件</w:t>
      </w:r>
      <w:r>
        <w:rPr>
          <w:rFonts w:hint="eastAsia"/>
          <w:color w:val="FF0000"/>
          <w:sz w:val="24"/>
          <w:szCs w:val="24"/>
        </w:rPr>
        <w:t>）；</w:t>
      </w:r>
    </w:p>
    <w:p>
      <w:pPr>
        <w:pStyle w:val="7"/>
        <w:rPr>
          <w:rFonts w:eastAsia="宋体"/>
          <w:szCs w:val="24"/>
        </w:rPr>
      </w:pPr>
      <w:bookmarkStart w:id="43" w:name="_Toc259698673"/>
      <w:r>
        <w:rPr>
          <w:rFonts w:eastAsia="宋体"/>
          <w:szCs w:val="24"/>
        </w:rPr>
        <w:t>14.</w:t>
      </w:r>
      <w:r>
        <w:rPr>
          <w:rFonts w:hint="eastAsia" w:eastAsia="宋体"/>
          <w:szCs w:val="24"/>
        </w:rPr>
        <w:t>竞标的有效期</w:t>
      </w:r>
      <w:bookmarkEnd w:id="43"/>
    </w:p>
    <w:p>
      <w:pPr>
        <w:pStyle w:val="17"/>
        <w:spacing w:line="300" w:lineRule="auto"/>
        <w:ind w:firstLine="420"/>
        <w:rPr>
          <w:sz w:val="24"/>
          <w:szCs w:val="24"/>
        </w:rPr>
      </w:pPr>
      <w:r>
        <w:rPr>
          <w:sz w:val="24"/>
          <w:szCs w:val="24"/>
        </w:rPr>
        <w:t>14.1</w:t>
      </w:r>
      <w:r>
        <w:rPr>
          <w:rFonts w:hint="eastAsia"/>
          <w:sz w:val="24"/>
          <w:szCs w:val="24"/>
        </w:rPr>
        <w:t>竞标文件从竞标截止日期后</w:t>
      </w:r>
      <w:r>
        <w:rPr>
          <w:sz w:val="24"/>
          <w:szCs w:val="24"/>
        </w:rPr>
        <w:t>60</w:t>
      </w:r>
      <w:r>
        <w:rPr>
          <w:rFonts w:hint="eastAsia"/>
          <w:sz w:val="24"/>
          <w:szCs w:val="24"/>
        </w:rPr>
        <w:t>天内有效。</w:t>
      </w:r>
    </w:p>
    <w:p>
      <w:pPr>
        <w:pStyle w:val="17"/>
        <w:spacing w:line="300" w:lineRule="auto"/>
        <w:ind w:firstLine="420"/>
        <w:rPr>
          <w:sz w:val="24"/>
          <w:szCs w:val="24"/>
        </w:rPr>
      </w:pPr>
      <w:r>
        <w:rPr>
          <w:sz w:val="24"/>
          <w:szCs w:val="24"/>
        </w:rPr>
        <w:t>14.2</w:t>
      </w:r>
      <w:r>
        <w:rPr>
          <w:rFonts w:hint="eastAsia"/>
          <w:sz w:val="24"/>
          <w:szCs w:val="24"/>
        </w:rPr>
        <w:t>在特殊情况下，采购代理机构可酌情延长竞标有效期。竞标人可同意或不同意延长竞标文件的有效期，不同意延长竞标文件的有效期的竞标人，其竞标保证金将在原竞标文件的有效期满后</w:t>
      </w:r>
      <w:r>
        <w:rPr>
          <w:sz w:val="24"/>
          <w:szCs w:val="24"/>
        </w:rPr>
        <w:t>5个工作日内</w:t>
      </w:r>
      <w:r>
        <w:rPr>
          <w:rFonts w:hint="eastAsia"/>
          <w:sz w:val="24"/>
          <w:szCs w:val="24"/>
        </w:rPr>
        <w:t>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pPr>
        <w:pStyle w:val="7"/>
        <w:rPr>
          <w:rFonts w:eastAsia="宋体"/>
          <w:szCs w:val="24"/>
        </w:rPr>
      </w:pPr>
      <w:bookmarkStart w:id="44" w:name="_Toc259698674"/>
      <w:r>
        <w:rPr>
          <w:rFonts w:eastAsia="宋体"/>
          <w:szCs w:val="24"/>
        </w:rPr>
        <w:t>15.</w:t>
      </w:r>
      <w:r>
        <w:rPr>
          <w:rFonts w:hint="eastAsia" w:eastAsia="宋体"/>
          <w:szCs w:val="24"/>
        </w:rPr>
        <w:t>竞标文件书写及签字、盖章要求</w:t>
      </w:r>
      <w:bookmarkEnd w:id="44"/>
    </w:p>
    <w:p>
      <w:pPr>
        <w:pStyle w:val="17"/>
        <w:spacing w:line="300" w:lineRule="auto"/>
        <w:ind w:firstLine="420"/>
        <w:rPr>
          <w:sz w:val="24"/>
          <w:szCs w:val="24"/>
        </w:rPr>
      </w:pPr>
      <w:r>
        <w:rPr>
          <w:sz w:val="24"/>
          <w:szCs w:val="24"/>
        </w:rPr>
        <w:t>15.1</w:t>
      </w:r>
      <w:r>
        <w:rPr>
          <w:rFonts w:hint="eastAsia"/>
          <w:sz w:val="24"/>
          <w:szCs w:val="24"/>
        </w:rPr>
        <w:t>竞标文件正本须用不褪色的墨水工整书写或打印，加盖骑缝章，修改处应由法定代表人或委托代理人签字和盖公章，否则其竞标无效。</w:t>
      </w:r>
    </w:p>
    <w:p>
      <w:pPr>
        <w:pStyle w:val="17"/>
        <w:spacing w:line="300" w:lineRule="auto"/>
        <w:ind w:firstLine="420"/>
        <w:rPr>
          <w:sz w:val="24"/>
          <w:szCs w:val="24"/>
        </w:rPr>
      </w:pPr>
      <w:r>
        <w:rPr>
          <w:sz w:val="24"/>
          <w:szCs w:val="24"/>
        </w:rPr>
        <w:t>15.2</w:t>
      </w:r>
      <w:r>
        <w:rPr>
          <w:rFonts w:hint="eastAsia"/>
          <w:sz w:val="24"/>
          <w:szCs w:val="24"/>
        </w:rPr>
        <w:t>字迹潦草、表达不清或未按要求填写的竞标文件可能将被认定为无效的竞标。</w:t>
      </w:r>
    </w:p>
    <w:p>
      <w:pPr>
        <w:pStyle w:val="17"/>
        <w:spacing w:line="300" w:lineRule="auto"/>
        <w:ind w:firstLine="420"/>
        <w:rPr>
          <w:sz w:val="24"/>
          <w:szCs w:val="24"/>
        </w:rPr>
      </w:pPr>
      <w:r>
        <w:rPr>
          <w:sz w:val="24"/>
          <w:szCs w:val="24"/>
        </w:rPr>
        <w:t>15.3</w:t>
      </w:r>
      <w:r>
        <w:rPr>
          <w:rFonts w:hint="eastAsia"/>
          <w:sz w:val="24"/>
          <w:szCs w:val="24"/>
        </w:rPr>
        <w:t>竞标文件应由法定代表人或委托代理人在凡竞标文件格式中规定签字签章处，逐一签字和盖公章，如有多页，必须逐页逐一签字和盖公章，否则其竞标无效。</w:t>
      </w:r>
    </w:p>
    <w:p>
      <w:pPr>
        <w:pStyle w:val="17"/>
        <w:spacing w:line="300" w:lineRule="auto"/>
        <w:ind w:firstLine="420"/>
        <w:rPr>
          <w:sz w:val="24"/>
          <w:szCs w:val="24"/>
        </w:rPr>
      </w:pPr>
      <w:r>
        <w:rPr>
          <w:sz w:val="24"/>
          <w:szCs w:val="24"/>
        </w:rPr>
        <w:t>15.4</w:t>
      </w:r>
      <w:r>
        <w:rPr>
          <w:rFonts w:hint="eastAsia"/>
          <w:sz w:val="24"/>
          <w:szCs w:val="24"/>
        </w:rPr>
        <w:t>竞标文件的份数：正本一份，副本肆份，共五份。并在每份文件封面上注明“正本”、“副本”字样，一旦正本和副本不符，以正本为准。</w:t>
      </w:r>
    </w:p>
    <w:p>
      <w:pPr>
        <w:pStyle w:val="7"/>
        <w:rPr>
          <w:rFonts w:eastAsia="宋体"/>
          <w:szCs w:val="24"/>
        </w:rPr>
      </w:pPr>
      <w:bookmarkStart w:id="45" w:name="_Toc259698675"/>
      <w:r>
        <w:rPr>
          <w:rFonts w:eastAsia="宋体"/>
          <w:szCs w:val="24"/>
        </w:rPr>
        <w:t>16.</w:t>
      </w:r>
      <w:r>
        <w:rPr>
          <w:rFonts w:hint="eastAsia" w:eastAsia="宋体"/>
          <w:szCs w:val="24"/>
        </w:rPr>
        <w:t>竞标保证金</w:t>
      </w:r>
      <w:bookmarkEnd w:id="45"/>
    </w:p>
    <w:p>
      <w:pPr>
        <w:pStyle w:val="17"/>
        <w:spacing w:line="300" w:lineRule="auto"/>
        <w:ind w:firstLine="420"/>
        <w:rPr>
          <w:sz w:val="24"/>
          <w:szCs w:val="24"/>
        </w:rPr>
      </w:pPr>
      <w:r>
        <w:rPr>
          <w:sz w:val="24"/>
          <w:szCs w:val="24"/>
        </w:rPr>
        <w:t>16.1</w:t>
      </w:r>
      <w:r>
        <w:rPr>
          <w:rFonts w:hint="eastAsia"/>
          <w:sz w:val="24"/>
          <w:szCs w:val="24"/>
        </w:rPr>
        <w:t>竞标人应按本须知前附表第6项规定的金额及方式提交竞标保证金，此保证金是竞标文件的一个组成部分。</w:t>
      </w:r>
    </w:p>
    <w:p>
      <w:pPr>
        <w:pStyle w:val="17"/>
        <w:spacing w:line="300" w:lineRule="auto"/>
        <w:ind w:firstLine="420"/>
        <w:rPr>
          <w:sz w:val="24"/>
          <w:szCs w:val="24"/>
        </w:rPr>
      </w:pPr>
      <w:r>
        <w:rPr>
          <w:sz w:val="24"/>
          <w:szCs w:val="24"/>
        </w:rPr>
        <w:t>16.2</w:t>
      </w:r>
      <w:r>
        <w:rPr>
          <w:rFonts w:hint="eastAsia"/>
          <w:sz w:val="24"/>
          <w:szCs w:val="24"/>
        </w:rPr>
        <w:t>竞标保证金交纳凭证（即收款单位开具的竞标保证金缴纳收款收据或银行转账底单）是竞标文件的一个组成部分。采购代理机构财务部门确认竞标保证金到账后方予以出具竞标保证金收款收据，竞标人递交竞标保证金后，需在竞标截止日前到凭投标保证金银行转账底单到采购代理机构财务部门开具收款收据，逾期不予受理。竞标人必须将竞标保证金收据或银行转账底单复印件装订在竞标文件相应位置并加盖单位公章，否则竞标无效。</w:t>
      </w:r>
    </w:p>
    <w:p>
      <w:pPr>
        <w:pStyle w:val="17"/>
        <w:spacing w:line="300" w:lineRule="auto"/>
        <w:ind w:firstLine="420"/>
        <w:rPr>
          <w:sz w:val="24"/>
          <w:szCs w:val="24"/>
        </w:rPr>
      </w:pPr>
      <w:r>
        <w:rPr>
          <w:sz w:val="24"/>
          <w:szCs w:val="24"/>
        </w:rPr>
        <w:t>16.3</w:t>
      </w:r>
      <w:r>
        <w:rPr>
          <w:rFonts w:hint="eastAsia"/>
          <w:sz w:val="24"/>
          <w:szCs w:val="24"/>
        </w:rPr>
        <w:t>办理竞标保证金手续时，请务必在银行进帐单或电汇单的用途或空白栏上注明竞标项目名称或项目编号，否则竞标无效。</w:t>
      </w:r>
    </w:p>
    <w:p>
      <w:pPr>
        <w:pStyle w:val="17"/>
        <w:spacing w:line="300" w:lineRule="auto"/>
        <w:ind w:firstLine="420"/>
        <w:rPr>
          <w:sz w:val="24"/>
          <w:szCs w:val="24"/>
        </w:rPr>
      </w:pPr>
      <w:r>
        <w:rPr>
          <w:sz w:val="24"/>
          <w:szCs w:val="24"/>
        </w:rPr>
        <w:t>16.4</w:t>
      </w:r>
      <w:r>
        <w:rPr>
          <w:rFonts w:hint="eastAsia"/>
          <w:sz w:val="24"/>
          <w:szCs w:val="24"/>
        </w:rPr>
        <w:t>本竞标不接受银行保函形式的竞标保证金。</w:t>
      </w:r>
    </w:p>
    <w:p>
      <w:pPr>
        <w:pStyle w:val="17"/>
        <w:spacing w:line="300" w:lineRule="auto"/>
        <w:ind w:firstLine="420"/>
        <w:rPr>
          <w:sz w:val="24"/>
          <w:szCs w:val="24"/>
        </w:rPr>
      </w:pPr>
      <w:r>
        <w:rPr>
          <w:sz w:val="24"/>
          <w:szCs w:val="24"/>
        </w:rPr>
        <w:t>16.5</w:t>
      </w:r>
      <w:r>
        <w:rPr>
          <w:rFonts w:hint="eastAsia"/>
          <w:sz w:val="24"/>
          <w:szCs w:val="24"/>
        </w:rPr>
        <w:t>对未按谈判采购文件要求缴纳竞标保证金的竞标文件，采购代理机构将视其为不响应竞标条件而予以拒绝。</w:t>
      </w:r>
    </w:p>
    <w:p>
      <w:pPr>
        <w:pStyle w:val="17"/>
        <w:spacing w:line="300" w:lineRule="auto"/>
        <w:rPr>
          <w:b/>
          <w:sz w:val="24"/>
          <w:szCs w:val="24"/>
        </w:rPr>
      </w:pPr>
      <w:r>
        <w:rPr>
          <w:sz w:val="24"/>
          <w:szCs w:val="24"/>
        </w:rPr>
        <w:t xml:space="preserve">    16.6</w:t>
      </w:r>
      <w:r>
        <w:rPr>
          <w:rFonts w:hint="eastAsia"/>
          <w:sz w:val="24"/>
          <w:szCs w:val="24"/>
        </w:rPr>
        <w:t>未成交人的竞标保证金将在成交通知书发出后5个工作日内予以退还，不计利息。</w:t>
      </w:r>
    </w:p>
    <w:p>
      <w:pPr>
        <w:pStyle w:val="17"/>
        <w:spacing w:line="300" w:lineRule="auto"/>
        <w:jc w:val="center"/>
        <w:rPr>
          <w:b/>
          <w:sz w:val="24"/>
          <w:szCs w:val="24"/>
        </w:rPr>
      </w:pPr>
    </w:p>
    <w:p>
      <w:pPr>
        <w:pStyle w:val="6"/>
        <w:spacing w:line="276" w:lineRule="auto"/>
        <w:jc w:val="center"/>
        <w:rPr>
          <w:rFonts w:ascii="宋体"/>
          <w:sz w:val="24"/>
          <w:szCs w:val="24"/>
        </w:rPr>
      </w:pPr>
      <w:bookmarkStart w:id="46" w:name="_Toc290375225"/>
      <w:bookmarkStart w:id="47" w:name="_Toc290374180"/>
      <w:bookmarkStart w:id="48" w:name="_Toc259698676"/>
      <w:r>
        <w:rPr>
          <w:rFonts w:hint="eastAsia" w:ascii="宋体"/>
          <w:sz w:val="24"/>
          <w:szCs w:val="24"/>
        </w:rPr>
        <w:t>四    竞标文件的递交</w:t>
      </w:r>
      <w:bookmarkEnd w:id="46"/>
      <w:bookmarkEnd w:id="47"/>
      <w:bookmarkEnd w:id="48"/>
    </w:p>
    <w:p>
      <w:pPr>
        <w:pStyle w:val="7"/>
        <w:rPr>
          <w:rFonts w:eastAsia="宋体"/>
          <w:szCs w:val="24"/>
        </w:rPr>
      </w:pPr>
      <w:bookmarkStart w:id="49" w:name="_Toc259698677"/>
      <w:r>
        <w:rPr>
          <w:rFonts w:eastAsia="宋体"/>
          <w:szCs w:val="24"/>
        </w:rPr>
        <w:t>17.</w:t>
      </w:r>
      <w:r>
        <w:rPr>
          <w:rFonts w:hint="eastAsia" w:eastAsia="宋体"/>
          <w:szCs w:val="24"/>
        </w:rPr>
        <w:t>竞标文件的密封与标记</w:t>
      </w:r>
      <w:bookmarkEnd w:id="49"/>
    </w:p>
    <w:p>
      <w:pPr>
        <w:pStyle w:val="17"/>
        <w:spacing w:line="300" w:lineRule="auto"/>
        <w:ind w:firstLine="420"/>
        <w:rPr>
          <w:sz w:val="24"/>
          <w:szCs w:val="24"/>
        </w:rPr>
      </w:pPr>
      <w:r>
        <w:rPr>
          <w:sz w:val="24"/>
          <w:szCs w:val="24"/>
        </w:rPr>
        <w:t>17.1</w:t>
      </w:r>
      <w:r>
        <w:rPr>
          <w:rFonts w:hint="eastAsia"/>
          <w:sz w:val="24"/>
          <w:szCs w:val="24"/>
        </w:rPr>
        <w:t>竞标人应将竞标文件正、副本分别装订成册，在每个文本封面上标明“正本”或“副本”，以及项目名称、项目编号、竞标人名称等内容。</w:t>
      </w:r>
    </w:p>
    <w:p>
      <w:pPr>
        <w:pStyle w:val="17"/>
        <w:spacing w:line="300" w:lineRule="auto"/>
        <w:ind w:firstLine="420"/>
        <w:rPr>
          <w:sz w:val="24"/>
          <w:szCs w:val="24"/>
        </w:rPr>
      </w:pPr>
      <w:r>
        <w:rPr>
          <w:sz w:val="24"/>
          <w:szCs w:val="24"/>
        </w:rPr>
        <w:t>17.2</w:t>
      </w:r>
      <w:r>
        <w:rPr>
          <w:rFonts w:hint="eastAsia"/>
          <w:sz w:val="24"/>
          <w:szCs w:val="24"/>
        </w:rPr>
        <w:t>竞标人应将正、副本竞标文件（正本一份、副本肆份）一并装入一个文件袋中加以密封，并在每一封贴处密封签章（要求为竞标人单位公章）。</w:t>
      </w:r>
    </w:p>
    <w:p>
      <w:pPr>
        <w:pStyle w:val="17"/>
        <w:spacing w:line="300" w:lineRule="auto"/>
        <w:ind w:firstLine="420"/>
        <w:rPr>
          <w:sz w:val="24"/>
          <w:szCs w:val="24"/>
        </w:rPr>
      </w:pPr>
      <w:r>
        <w:rPr>
          <w:sz w:val="24"/>
          <w:szCs w:val="24"/>
        </w:rPr>
        <w:t>17.3</w:t>
      </w:r>
      <w:r>
        <w:rPr>
          <w:rFonts w:hint="eastAsia"/>
          <w:sz w:val="24"/>
          <w:szCs w:val="24"/>
        </w:rPr>
        <w:t>竞标人自行制作文件袋，但所制作的文件袋封面文字内容必须包含17.4的内容。</w:t>
      </w:r>
    </w:p>
    <w:p>
      <w:pPr>
        <w:pStyle w:val="17"/>
        <w:spacing w:line="300" w:lineRule="auto"/>
        <w:ind w:firstLine="420"/>
        <w:rPr>
          <w:sz w:val="24"/>
          <w:szCs w:val="24"/>
        </w:rPr>
      </w:pPr>
      <w:r>
        <w:rPr>
          <w:sz w:val="24"/>
          <w:szCs w:val="24"/>
        </w:rPr>
        <w:t>17.4</w:t>
      </w:r>
      <w:r>
        <w:rPr>
          <w:rFonts w:hint="eastAsia"/>
          <w:sz w:val="24"/>
          <w:szCs w:val="24"/>
        </w:rPr>
        <w:t>各文件袋上都应写明</w:t>
      </w:r>
      <w:r>
        <w:rPr>
          <w:sz w:val="24"/>
          <w:szCs w:val="24"/>
        </w:rPr>
        <w:t>：</w:t>
      </w:r>
    </w:p>
    <w:p>
      <w:pPr>
        <w:pStyle w:val="17"/>
        <w:spacing w:line="300" w:lineRule="auto"/>
        <w:ind w:firstLine="420"/>
        <w:rPr>
          <w:sz w:val="24"/>
          <w:szCs w:val="24"/>
        </w:rPr>
      </w:pPr>
      <w:r>
        <w:rPr>
          <w:rFonts w:hint="eastAsia"/>
          <w:sz w:val="24"/>
          <w:szCs w:val="24"/>
        </w:rPr>
        <w:t>⑴</w:t>
      </w:r>
      <w:r>
        <w:rPr>
          <w:sz w:val="24"/>
          <w:szCs w:val="24"/>
        </w:rPr>
        <w:t xml:space="preserve"> </w:t>
      </w:r>
      <w:r>
        <w:rPr>
          <w:rFonts w:hint="eastAsia"/>
          <w:sz w:val="24"/>
          <w:szCs w:val="24"/>
        </w:rPr>
        <w:t>采购代理机构</w:t>
      </w:r>
      <w:r>
        <w:rPr>
          <w:sz w:val="24"/>
          <w:szCs w:val="24"/>
        </w:rPr>
        <w:t>：</w:t>
      </w:r>
    </w:p>
    <w:p>
      <w:pPr>
        <w:pStyle w:val="17"/>
        <w:spacing w:line="300" w:lineRule="auto"/>
        <w:ind w:firstLine="420"/>
        <w:rPr>
          <w:sz w:val="24"/>
          <w:szCs w:val="24"/>
          <w:u w:val="single"/>
        </w:rPr>
      </w:pPr>
      <w:r>
        <w:rPr>
          <w:rFonts w:hint="eastAsia"/>
          <w:sz w:val="24"/>
          <w:szCs w:val="24"/>
        </w:rPr>
        <w:t>⑵</w:t>
      </w:r>
      <w:r>
        <w:rPr>
          <w:sz w:val="24"/>
          <w:szCs w:val="24"/>
        </w:rPr>
        <w:t xml:space="preserve"> </w:t>
      </w:r>
      <w:r>
        <w:rPr>
          <w:rFonts w:hint="eastAsia"/>
          <w:sz w:val="24"/>
          <w:szCs w:val="24"/>
        </w:rPr>
        <w:t>项目名称</w:t>
      </w:r>
      <w:r>
        <w:rPr>
          <w:sz w:val="24"/>
          <w:szCs w:val="24"/>
        </w:rPr>
        <w:t>：</w:t>
      </w:r>
      <w:r>
        <w:rPr>
          <w:rFonts w:hint="eastAsia"/>
          <w:sz w:val="24"/>
          <w:szCs w:val="24"/>
          <w:u w:val="single"/>
        </w:rPr>
        <w:t xml:space="preserve">                   </w:t>
      </w:r>
    </w:p>
    <w:p>
      <w:pPr>
        <w:pStyle w:val="17"/>
        <w:spacing w:line="300" w:lineRule="auto"/>
        <w:ind w:firstLine="420"/>
        <w:rPr>
          <w:sz w:val="24"/>
          <w:szCs w:val="24"/>
          <w:u w:val="single"/>
        </w:rPr>
      </w:pPr>
      <w:r>
        <w:rPr>
          <w:rFonts w:hint="eastAsia"/>
          <w:sz w:val="24"/>
          <w:szCs w:val="24"/>
        </w:rPr>
        <w:t>⑶</w:t>
      </w:r>
      <w:r>
        <w:rPr>
          <w:sz w:val="24"/>
          <w:szCs w:val="24"/>
        </w:rPr>
        <w:t xml:space="preserve"> </w:t>
      </w:r>
      <w:r>
        <w:rPr>
          <w:rFonts w:hint="eastAsia"/>
          <w:sz w:val="24"/>
          <w:szCs w:val="24"/>
        </w:rPr>
        <w:t>项目编号</w:t>
      </w:r>
      <w:r>
        <w:rPr>
          <w:sz w:val="24"/>
          <w:szCs w:val="24"/>
        </w:rPr>
        <w:t>：</w:t>
      </w:r>
      <w:r>
        <w:rPr>
          <w:rFonts w:hint="eastAsia"/>
          <w:sz w:val="24"/>
          <w:szCs w:val="24"/>
          <w:u w:val="single"/>
        </w:rPr>
        <w:t xml:space="preserve">                   </w:t>
      </w:r>
    </w:p>
    <w:p>
      <w:pPr>
        <w:pStyle w:val="17"/>
        <w:spacing w:line="300" w:lineRule="auto"/>
        <w:ind w:firstLine="420"/>
        <w:rPr>
          <w:sz w:val="24"/>
          <w:szCs w:val="24"/>
        </w:rPr>
      </w:pPr>
      <w:r>
        <w:rPr>
          <w:rFonts w:hint="eastAsia"/>
          <w:sz w:val="24"/>
          <w:szCs w:val="24"/>
        </w:rPr>
        <w:t>⑷ 竞标单位</w:t>
      </w:r>
      <w:r>
        <w:rPr>
          <w:sz w:val="24"/>
          <w:szCs w:val="24"/>
        </w:rPr>
        <w:t>：</w:t>
      </w:r>
      <w:r>
        <w:rPr>
          <w:rFonts w:hint="eastAsia"/>
          <w:sz w:val="24"/>
          <w:szCs w:val="24"/>
          <w:u w:val="single"/>
        </w:rPr>
        <w:t xml:space="preserve">                   </w:t>
      </w:r>
    </w:p>
    <w:p>
      <w:pPr>
        <w:pStyle w:val="17"/>
        <w:spacing w:line="300" w:lineRule="auto"/>
        <w:ind w:firstLine="420"/>
        <w:rPr>
          <w:sz w:val="24"/>
          <w:szCs w:val="24"/>
          <w:u w:val="single"/>
        </w:rPr>
      </w:pPr>
      <w:r>
        <w:rPr>
          <w:rFonts w:hint="eastAsia"/>
          <w:sz w:val="24"/>
          <w:szCs w:val="24"/>
        </w:rPr>
        <w:t>⑸ 注明“截标时才能启封”</w:t>
      </w:r>
    </w:p>
    <w:p>
      <w:pPr>
        <w:pStyle w:val="17"/>
        <w:spacing w:line="300" w:lineRule="auto"/>
        <w:ind w:firstLine="420"/>
        <w:rPr>
          <w:b/>
          <w:sz w:val="24"/>
          <w:szCs w:val="24"/>
        </w:rPr>
      </w:pPr>
      <w:r>
        <w:rPr>
          <w:rFonts w:hint="eastAsia"/>
          <w:b/>
          <w:sz w:val="24"/>
          <w:szCs w:val="24"/>
        </w:rPr>
        <w:t>17.5竞标文件的密封以竞标文件袋无明显缝隙露出袋内文件且封口处有竞标人单位公章为合格。</w:t>
      </w:r>
    </w:p>
    <w:p>
      <w:pPr>
        <w:pStyle w:val="17"/>
        <w:spacing w:line="300" w:lineRule="auto"/>
        <w:ind w:firstLine="420"/>
        <w:rPr>
          <w:sz w:val="24"/>
          <w:szCs w:val="24"/>
        </w:rPr>
      </w:pPr>
      <w:r>
        <w:rPr>
          <w:rFonts w:hint="eastAsia"/>
          <w:sz w:val="24"/>
          <w:szCs w:val="24"/>
        </w:rPr>
        <w:t>17.6竞标人在递交竞标文件时，未按本须知要求密封、标记的，招标代理有权拒收。</w:t>
      </w:r>
    </w:p>
    <w:p>
      <w:pPr>
        <w:pStyle w:val="7"/>
        <w:rPr>
          <w:rFonts w:eastAsia="宋体"/>
          <w:szCs w:val="24"/>
        </w:rPr>
      </w:pPr>
      <w:bookmarkStart w:id="50" w:name="_Toc259698678"/>
      <w:r>
        <w:rPr>
          <w:rFonts w:eastAsia="宋体"/>
          <w:szCs w:val="24"/>
        </w:rPr>
        <w:t>18.</w:t>
      </w:r>
      <w:r>
        <w:rPr>
          <w:rFonts w:hint="eastAsia" w:eastAsia="宋体"/>
          <w:szCs w:val="24"/>
        </w:rPr>
        <w:t>竞标截止时间</w:t>
      </w:r>
      <w:bookmarkEnd w:id="50"/>
    </w:p>
    <w:p>
      <w:pPr>
        <w:pStyle w:val="17"/>
        <w:tabs>
          <w:tab w:val="left" w:pos="1957"/>
        </w:tabs>
        <w:spacing w:line="300" w:lineRule="auto"/>
        <w:ind w:firstLine="420"/>
        <w:rPr>
          <w:spacing w:val="-4"/>
          <w:sz w:val="24"/>
          <w:szCs w:val="24"/>
        </w:rPr>
      </w:pPr>
      <w:r>
        <w:rPr>
          <w:sz w:val="24"/>
          <w:szCs w:val="24"/>
        </w:rPr>
        <w:t>18.1</w:t>
      </w:r>
      <w:r>
        <w:rPr>
          <w:rFonts w:hint="eastAsia"/>
          <w:spacing w:val="-4"/>
          <w:sz w:val="24"/>
          <w:szCs w:val="24"/>
        </w:rPr>
        <w:t>竞标文件的递交不得迟于本须知</w:t>
      </w:r>
      <w:r>
        <w:rPr>
          <w:rFonts w:hint="eastAsia"/>
          <w:spacing w:val="-4"/>
          <w:sz w:val="24"/>
          <w:szCs w:val="24"/>
          <w:u w:val="single"/>
        </w:rPr>
        <w:t>前附表第</w:t>
      </w:r>
      <w:r>
        <w:rPr>
          <w:spacing w:val="-4"/>
          <w:sz w:val="24"/>
          <w:szCs w:val="24"/>
          <w:u w:val="single"/>
        </w:rPr>
        <w:t>7</w:t>
      </w:r>
      <w:r>
        <w:rPr>
          <w:rFonts w:hint="eastAsia"/>
          <w:spacing w:val="-4"/>
          <w:sz w:val="24"/>
          <w:szCs w:val="24"/>
          <w:u w:val="single"/>
        </w:rPr>
        <w:t>项</w:t>
      </w:r>
      <w:r>
        <w:rPr>
          <w:rFonts w:hint="eastAsia"/>
          <w:spacing w:val="-4"/>
          <w:sz w:val="24"/>
          <w:szCs w:val="24"/>
        </w:rPr>
        <w:t>规定的截止时间。</w:t>
      </w:r>
    </w:p>
    <w:p>
      <w:pPr>
        <w:pStyle w:val="17"/>
        <w:spacing w:line="300" w:lineRule="auto"/>
        <w:ind w:firstLine="420"/>
        <w:rPr>
          <w:sz w:val="24"/>
          <w:szCs w:val="24"/>
        </w:rPr>
      </w:pPr>
      <w:r>
        <w:rPr>
          <w:sz w:val="24"/>
          <w:szCs w:val="24"/>
        </w:rPr>
        <w:t>18.2</w:t>
      </w:r>
      <w:r>
        <w:rPr>
          <w:rFonts w:hint="eastAsia"/>
          <w:sz w:val="24"/>
          <w:szCs w:val="24"/>
        </w:rPr>
        <w:t>竞标人必须在规定时间内将竞标文件送到本须知</w:t>
      </w:r>
      <w:r>
        <w:rPr>
          <w:rFonts w:hint="eastAsia"/>
          <w:sz w:val="24"/>
          <w:szCs w:val="24"/>
          <w:u w:val="single"/>
        </w:rPr>
        <w:t>前附表第</w:t>
      </w:r>
      <w:r>
        <w:rPr>
          <w:sz w:val="24"/>
          <w:szCs w:val="24"/>
          <w:u w:val="single"/>
        </w:rPr>
        <w:t>7</w:t>
      </w:r>
      <w:r>
        <w:rPr>
          <w:rFonts w:hint="eastAsia"/>
          <w:sz w:val="24"/>
          <w:szCs w:val="24"/>
          <w:u w:val="single"/>
        </w:rPr>
        <w:t>项</w:t>
      </w:r>
      <w:r>
        <w:rPr>
          <w:rFonts w:hint="eastAsia"/>
          <w:sz w:val="24"/>
          <w:szCs w:val="24"/>
        </w:rPr>
        <w:t>规定地点，超过竞标截止时间送达的竞标文件为无效竞标文件，</w:t>
      </w:r>
      <w:r>
        <w:rPr>
          <w:rFonts w:hint="eastAsia"/>
          <w:spacing w:val="-4"/>
          <w:sz w:val="24"/>
          <w:szCs w:val="24"/>
        </w:rPr>
        <w:t>采购代理机构</w:t>
      </w:r>
      <w:r>
        <w:rPr>
          <w:rFonts w:hint="eastAsia"/>
          <w:sz w:val="24"/>
          <w:szCs w:val="24"/>
        </w:rPr>
        <w:t>将拒收。</w:t>
      </w:r>
    </w:p>
    <w:p>
      <w:pPr>
        <w:pStyle w:val="17"/>
        <w:spacing w:line="300" w:lineRule="auto"/>
        <w:jc w:val="center"/>
        <w:rPr>
          <w:b/>
          <w:sz w:val="24"/>
          <w:szCs w:val="24"/>
        </w:rPr>
      </w:pPr>
    </w:p>
    <w:p>
      <w:pPr>
        <w:pStyle w:val="6"/>
        <w:spacing w:line="276" w:lineRule="auto"/>
        <w:jc w:val="center"/>
        <w:rPr>
          <w:rFonts w:ascii="宋体"/>
          <w:sz w:val="24"/>
          <w:szCs w:val="24"/>
        </w:rPr>
      </w:pPr>
      <w:bookmarkStart w:id="51" w:name="_Toc290374181"/>
      <w:bookmarkStart w:id="52" w:name="_Toc290375226"/>
      <w:bookmarkStart w:id="53" w:name="_Toc259698679"/>
      <w:r>
        <w:rPr>
          <w:rFonts w:hint="eastAsia" w:ascii="宋体"/>
          <w:sz w:val="24"/>
          <w:szCs w:val="24"/>
        </w:rPr>
        <w:t>五    谈判与评标</w:t>
      </w:r>
      <w:bookmarkEnd w:id="51"/>
      <w:bookmarkEnd w:id="52"/>
      <w:bookmarkEnd w:id="53"/>
    </w:p>
    <w:p>
      <w:pPr>
        <w:pStyle w:val="7"/>
        <w:rPr>
          <w:rFonts w:eastAsia="宋体"/>
          <w:szCs w:val="24"/>
        </w:rPr>
      </w:pPr>
      <w:bookmarkStart w:id="54" w:name="_Toc259698680"/>
      <w:r>
        <w:rPr>
          <w:rFonts w:eastAsia="宋体"/>
          <w:szCs w:val="24"/>
        </w:rPr>
        <w:t>19.</w:t>
      </w:r>
      <w:r>
        <w:rPr>
          <w:rFonts w:hint="eastAsia" w:eastAsia="宋体"/>
          <w:szCs w:val="24"/>
        </w:rPr>
        <w:t>谈判</w:t>
      </w:r>
      <w:bookmarkEnd w:id="54"/>
    </w:p>
    <w:p>
      <w:pPr>
        <w:pStyle w:val="17"/>
        <w:spacing w:line="300" w:lineRule="auto"/>
        <w:ind w:firstLine="435"/>
        <w:rPr>
          <w:sz w:val="24"/>
          <w:szCs w:val="24"/>
          <w:u w:val="single"/>
        </w:rPr>
      </w:pPr>
      <w:r>
        <w:rPr>
          <w:sz w:val="24"/>
          <w:szCs w:val="24"/>
        </w:rPr>
        <w:t>19.1</w:t>
      </w:r>
      <w:r>
        <w:rPr>
          <w:rFonts w:hint="eastAsia"/>
          <w:sz w:val="24"/>
          <w:szCs w:val="24"/>
        </w:rPr>
        <w:t>谈判时间及地点</w:t>
      </w:r>
      <w:r>
        <w:rPr>
          <w:sz w:val="24"/>
          <w:szCs w:val="24"/>
        </w:rPr>
        <w:t>：</w:t>
      </w:r>
      <w:r>
        <w:rPr>
          <w:rFonts w:hint="eastAsia" w:hAnsi="宋体" w:cs="宋体"/>
          <w:sz w:val="24"/>
          <w:u w:val="single"/>
        </w:rPr>
        <w:t>2020年   月   日  时   分</w:t>
      </w:r>
      <w:r>
        <w:rPr>
          <w:rFonts w:hint="eastAsia"/>
          <w:sz w:val="24"/>
          <w:szCs w:val="24"/>
        </w:rPr>
        <w:t>截标后为与竞标人谈判时间。地点：华春建设工程项目管理有限责任公司广西百色分公司开标室（百色市长乐星城1号写字楼7楼705室）。</w:t>
      </w:r>
    </w:p>
    <w:p>
      <w:pPr>
        <w:pStyle w:val="17"/>
        <w:spacing w:line="300" w:lineRule="auto"/>
        <w:ind w:firstLine="435"/>
        <w:rPr>
          <w:sz w:val="24"/>
          <w:szCs w:val="24"/>
        </w:rPr>
      </w:pPr>
      <w:r>
        <w:rPr>
          <w:sz w:val="24"/>
          <w:szCs w:val="24"/>
        </w:rPr>
        <w:t>19.2</w:t>
      </w:r>
      <w:r>
        <w:rPr>
          <w:rFonts w:hint="eastAsia"/>
          <w:sz w:val="24"/>
          <w:szCs w:val="24"/>
        </w:rPr>
        <w:t>谈判小组由采购人的代表和有关专家共三人（含三人）以上的单数组成。在整个谈判过程中，谈判小组将负责对全部竞标文件进行审查、谈判及评标工作。</w:t>
      </w:r>
    </w:p>
    <w:p>
      <w:pPr>
        <w:spacing w:line="360" w:lineRule="exact"/>
        <w:ind w:firstLine="435"/>
        <w:rPr>
          <w:b/>
          <w:bCs/>
          <w:spacing w:val="-4"/>
          <w:sz w:val="24"/>
        </w:rPr>
      </w:pPr>
      <w:r>
        <w:rPr>
          <w:sz w:val="24"/>
        </w:rPr>
        <w:t>19.3</w:t>
      </w:r>
      <w:r>
        <w:rPr>
          <w:rFonts w:hint="eastAsia"/>
          <w:spacing w:val="-4"/>
          <w:sz w:val="24"/>
        </w:rPr>
        <w:t>采购代理机构将在竞标人须知</w:t>
      </w:r>
      <w:r>
        <w:rPr>
          <w:rFonts w:hint="eastAsia"/>
          <w:spacing w:val="-4"/>
          <w:sz w:val="24"/>
          <w:u w:val="single"/>
        </w:rPr>
        <w:t>前附表第</w:t>
      </w:r>
      <w:r>
        <w:rPr>
          <w:spacing w:val="-4"/>
          <w:sz w:val="24"/>
          <w:u w:val="single"/>
        </w:rPr>
        <w:t>8</w:t>
      </w:r>
      <w:r>
        <w:rPr>
          <w:rFonts w:hint="eastAsia"/>
          <w:spacing w:val="-4"/>
          <w:sz w:val="24"/>
          <w:u w:val="single"/>
        </w:rPr>
        <w:t>项</w:t>
      </w:r>
      <w:r>
        <w:rPr>
          <w:rFonts w:hint="eastAsia"/>
          <w:spacing w:val="-4"/>
          <w:sz w:val="24"/>
        </w:rPr>
        <w:t>规定的时间和地点组织谈判小组与各竞标人分别进行谈判。</w:t>
      </w:r>
      <w:r>
        <w:rPr>
          <w:rFonts w:hint="eastAsia"/>
          <w:b/>
          <w:bCs/>
          <w:spacing w:val="-4"/>
          <w:sz w:val="24"/>
        </w:rPr>
        <w:t>竞标人的法定代表人或其授权委托人必须持证件:</w:t>
      </w:r>
    </w:p>
    <w:p>
      <w:pPr>
        <w:spacing w:line="360" w:lineRule="exact"/>
        <w:ind w:firstLine="435"/>
        <w:rPr>
          <w:rFonts w:ascii="宋体" w:hAnsi="宋体"/>
          <w:b/>
        </w:rPr>
      </w:pPr>
      <w:r>
        <w:rPr>
          <w:rFonts w:hint="eastAsia" w:ascii="宋体" w:hAnsi="宋体"/>
          <w:b/>
        </w:rPr>
        <w:t>⑴</w:t>
      </w:r>
      <w:r>
        <w:rPr>
          <w:rFonts w:hint="eastAsia" w:ascii="宋体"/>
          <w:b/>
        </w:rPr>
        <w:t>法定代表人持法人资格证明及本人第二代居民身份证或授权委托人持授权委托书原件及本人第二代居民身份证；</w:t>
      </w:r>
    </w:p>
    <w:p>
      <w:pPr>
        <w:spacing w:line="360" w:lineRule="exact"/>
        <w:ind w:firstLine="435"/>
        <w:rPr>
          <w:rFonts w:ascii="宋体" w:hAnsi="宋体"/>
          <w:b/>
        </w:rPr>
      </w:pPr>
      <w:r>
        <w:rPr>
          <w:rFonts w:hint="eastAsia" w:ascii="宋体" w:hAnsi="宋体"/>
          <w:b/>
        </w:rPr>
        <w:t>⑵</w:t>
      </w:r>
      <w:r>
        <w:rPr>
          <w:rFonts w:hint="eastAsia" w:ascii="宋体"/>
          <w:b/>
        </w:rPr>
        <w:t>竞标保证金缴纳凭证</w:t>
      </w:r>
      <w:r>
        <w:rPr>
          <w:rFonts w:hint="eastAsia" w:ascii="宋体" w:hAnsi="宋体"/>
          <w:b/>
        </w:rPr>
        <w:t xml:space="preserve">（复印件)； </w:t>
      </w:r>
    </w:p>
    <w:p>
      <w:pPr>
        <w:spacing w:line="360" w:lineRule="exact"/>
        <w:ind w:firstLine="435"/>
        <w:rPr>
          <w:rFonts w:ascii="宋体" w:hAnsi="宋体"/>
          <w:b/>
        </w:rPr>
      </w:pPr>
      <w:r>
        <w:rPr>
          <w:rFonts w:hint="eastAsia" w:ascii="宋体" w:hAnsi="宋体"/>
          <w:b/>
        </w:rPr>
        <w:t>⑶营业执照（复印件）；</w:t>
      </w:r>
    </w:p>
    <w:p>
      <w:pPr>
        <w:spacing w:line="360" w:lineRule="exact"/>
        <w:ind w:firstLine="435"/>
        <w:rPr>
          <w:rFonts w:ascii="宋体" w:hAnsi="宋体"/>
          <w:b/>
        </w:rPr>
      </w:pPr>
      <w:r>
        <w:rPr>
          <w:rFonts w:hint="eastAsia" w:ascii="宋体" w:hAnsi="宋体"/>
          <w:b/>
        </w:rPr>
        <w:t>⑷</w:t>
      </w:r>
      <w:r>
        <w:rPr>
          <w:b/>
        </w:rPr>
        <w:t>提供供应商在“中国裁判文书网”（ http://wenshu.court.gov.cn/）上的无行贿犯罪及其他纠纷案件的查询记录和供应商无行贿犯罪的书面承诺书</w:t>
      </w:r>
      <w:r>
        <w:rPr>
          <w:rFonts w:hint="eastAsia"/>
          <w:b/>
        </w:rPr>
        <w:t>；</w:t>
      </w:r>
      <w:r>
        <w:t xml:space="preserve"> </w:t>
      </w:r>
    </w:p>
    <w:p>
      <w:pPr>
        <w:pStyle w:val="17"/>
        <w:spacing w:line="300" w:lineRule="auto"/>
        <w:ind w:firstLine="420"/>
        <w:rPr>
          <w:spacing w:val="-4"/>
          <w:sz w:val="24"/>
          <w:szCs w:val="24"/>
        </w:rPr>
      </w:pPr>
      <w:r>
        <w:rPr>
          <w:rFonts w:hint="eastAsia"/>
          <w:spacing w:val="-4"/>
          <w:sz w:val="24"/>
          <w:szCs w:val="24"/>
        </w:rPr>
        <w:t>依时到达现场等候参加谈判，并自觉接受核验上述证件。</w:t>
      </w:r>
    </w:p>
    <w:p>
      <w:pPr>
        <w:pStyle w:val="17"/>
        <w:spacing w:line="300" w:lineRule="auto"/>
        <w:ind w:firstLine="420"/>
        <w:rPr>
          <w:sz w:val="24"/>
          <w:szCs w:val="24"/>
        </w:rPr>
      </w:pPr>
      <w:r>
        <w:rPr>
          <w:sz w:val="24"/>
          <w:szCs w:val="24"/>
        </w:rPr>
        <w:t>19.4</w:t>
      </w:r>
      <w:r>
        <w:rPr>
          <w:rFonts w:hint="eastAsia"/>
          <w:sz w:val="24"/>
          <w:szCs w:val="24"/>
        </w:rPr>
        <w:t>竞标人可由</w:t>
      </w:r>
      <w:r>
        <w:rPr>
          <w:sz w:val="24"/>
          <w:szCs w:val="24"/>
        </w:rPr>
        <w:t>1</w:t>
      </w:r>
      <w:r>
        <w:rPr>
          <w:rFonts w:hint="eastAsia"/>
          <w:sz w:val="24"/>
          <w:szCs w:val="24"/>
        </w:rPr>
        <w:t>～</w:t>
      </w:r>
      <w:r>
        <w:rPr>
          <w:sz w:val="24"/>
          <w:szCs w:val="24"/>
        </w:rPr>
        <w:t>3</w:t>
      </w:r>
      <w:r>
        <w:rPr>
          <w:rFonts w:hint="eastAsia"/>
          <w:sz w:val="24"/>
          <w:szCs w:val="24"/>
        </w:rPr>
        <w:t>人组成参谈组，谈判中竞标人成员之间意见不一致时，以竞标人的法定代表人（或其委托代理人）的意见为准。</w:t>
      </w:r>
    </w:p>
    <w:p>
      <w:pPr>
        <w:pStyle w:val="17"/>
        <w:spacing w:line="300" w:lineRule="auto"/>
        <w:ind w:firstLine="420"/>
        <w:rPr>
          <w:sz w:val="24"/>
          <w:szCs w:val="24"/>
        </w:rPr>
      </w:pPr>
      <w:r>
        <w:rPr>
          <w:sz w:val="24"/>
          <w:szCs w:val="24"/>
        </w:rPr>
        <w:t>19.5</w:t>
      </w:r>
      <w:r>
        <w:rPr>
          <w:rFonts w:hint="eastAsia"/>
          <w:sz w:val="24"/>
          <w:szCs w:val="24"/>
        </w:rPr>
        <w:t>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pPr>
        <w:pStyle w:val="17"/>
        <w:spacing w:line="300" w:lineRule="auto"/>
        <w:ind w:firstLine="420"/>
        <w:rPr>
          <w:spacing w:val="-4"/>
          <w:sz w:val="24"/>
          <w:szCs w:val="24"/>
        </w:rPr>
      </w:pPr>
      <w:r>
        <w:rPr>
          <w:sz w:val="24"/>
          <w:szCs w:val="24"/>
        </w:rPr>
        <w:t>19.6</w:t>
      </w:r>
      <w:r>
        <w:rPr>
          <w:rFonts w:hint="eastAsia"/>
          <w:spacing w:val="-4"/>
          <w:sz w:val="24"/>
          <w:szCs w:val="24"/>
        </w:rPr>
        <w:t>谈判内容应作记录，并由竞标人及谈判小组</w:t>
      </w:r>
      <w:r>
        <w:rPr>
          <w:rFonts w:hint="eastAsia"/>
          <w:sz w:val="24"/>
          <w:szCs w:val="24"/>
        </w:rPr>
        <w:t>成员</w:t>
      </w:r>
      <w:r>
        <w:rPr>
          <w:rFonts w:hint="eastAsia"/>
          <w:spacing w:val="-4"/>
          <w:sz w:val="24"/>
          <w:szCs w:val="24"/>
        </w:rPr>
        <w:t>签字确认。</w:t>
      </w:r>
    </w:p>
    <w:p>
      <w:pPr>
        <w:pStyle w:val="17"/>
        <w:spacing w:line="300" w:lineRule="auto"/>
        <w:ind w:firstLine="420"/>
        <w:rPr>
          <w:spacing w:val="-4"/>
          <w:sz w:val="24"/>
          <w:szCs w:val="24"/>
        </w:rPr>
      </w:pPr>
      <w:r>
        <w:rPr>
          <w:spacing w:val="-4"/>
          <w:sz w:val="24"/>
          <w:szCs w:val="24"/>
        </w:rPr>
        <w:t>19.7</w:t>
      </w:r>
      <w:r>
        <w:rPr>
          <w:rFonts w:hint="eastAsia"/>
          <w:spacing w:val="-4"/>
          <w:sz w:val="24"/>
          <w:szCs w:val="24"/>
        </w:rPr>
        <w:t>谈判结束后，谈判小组应要求竞标人在约定的时间、地点以书面密封形式递交谈判时要求其就商务和技术条件作出的包含补充、修改、承诺、重新报价等内容的应答文件，应答文件必须由竞标人的法定代表人或委托代理人签字或盖公章，应答文件构成竞标文件的一部分。</w:t>
      </w:r>
    </w:p>
    <w:p>
      <w:pPr>
        <w:pStyle w:val="17"/>
        <w:spacing w:line="300" w:lineRule="auto"/>
        <w:ind w:firstLine="420"/>
        <w:rPr>
          <w:spacing w:val="-4"/>
          <w:sz w:val="24"/>
          <w:szCs w:val="24"/>
        </w:rPr>
      </w:pPr>
      <w:r>
        <w:rPr>
          <w:spacing w:val="-4"/>
          <w:sz w:val="24"/>
          <w:szCs w:val="24"/>
        </w:rPr>
        <w:t>19.8</w:t>
      </w:r>
      <w:r>
        <w:rPr>
          <w:rFonts w:hint="eastAsia"/>
          <w:spacing w:val="-4"/>
          <w:sz w:val="24"/>
          <w:szCs w:val="24"/>
        </w:rPr>
        <w:t>谈判小组</w:t>
      </w:r>
      <w:r>
        <w:rPr>
          <w:rFonts w:hint="eastAsia"/>
          <w:sz w:val="24"/>
          <w:szCs w:val="24"/>
        </w:rPr>
        <w:t>对各竞标人递交的应答文件统一开启，并进行评审后，认为有必要再次进行谈判的，可再次与竞标人进行谈判，谈判程序和要求按本须知第</w:t>
      </w:r>
      <w:r>
        <w:rPr>
          <w:sz w:val="24"/>
          <w:szCs w:val="24"/>
        </w:rPr>
        <w:t>19</w:t>
      </w:r>
      <w:r>
        <w:rPr>
          <w:rFonts w:hint="eastAsia"/>
          <w:sz w:val="24"/>
          <w:szCs w:val="24"/>
        </w:rPr>
        <w:t>条规定执行，直至谈判小组认为没有必要再进行谈判，谈判方可结束。对最后一轮谈判，谈判小组应明确告知竞标人，并要求所有竞标人</w:t>
      </w:r>
      <w:r>
        <w:rPr>
          <w:rFonts w:hint="eastAsia"/>
          <w:spacing w:val="-4"/>
          <w:sz w:val="24"/>
          <w:szCs w:val="24"/>
        </w:rPr>
        <w:t>在规定的时间、地点以书面密封形式递交最终的应答文件。</w:t>
      </w:r>
    </w:p>
    <w:p>
      <w:pPr>
        <w:pStyle w:val="17"/>
        <w:spacing w:line="300" w:lineRule="auto"/>
        <w:ind w:firstLine="420"/>
        <w:rPr>
          <w:sz w:val="24"/>
          <w:szCs w:val="24"/>
        </w:rPr>
      </w:pPr>
      <w:r>
        <w:rPr>
          <w:spacing w:val="-4"/>
          <w:sz w:val="24"/>
          <w:szCs w:val="24"/>
        </w:rPr>
        <w:t>19.9</w:t>
      </w:r>
      <w:r>
        <w:rPr>
          <w:rFonts w:hint="eastAsia"/>
          <w:spacing w:val="-4"/>
          <w:sz w:val="24"/>
          <w:szCs w:val="24"/>
        </w:rPr>
        <w:t>最终谈判结束后，谈判小组</w:t>
      </w:r>
      <w:r>
        <w:rPr>
          <w:rFonts w:hint="eastAsia"/>
          <w:sz w:val="24"/>
          <w:szCs w:val="24"/>
        </w:rPr>
        <w:t>不得再与竞标人进行任何形式的商谈。</w:t>
      </w:r>
    </w:p>
    <w:p>
      <w:pPr>
        <w:pStyle w:val="17"/>
        <w:spacing w:line="300" w:lineRule="auto"/>
        <w:ind w:firstLine="420"/>
        <w:rPr>
          <w:sz w:val="24"/>
          <w:szCs w:val="24"/>
        </w:rPr>
      </w:pPr>
      <w:r>
        <w:rPr>
          <w:sz w:val="24"/>
          <w:szCs w:val="24"/>
        </w:rPr>
        <w:t>19.10</w:t>
      </w:r>
      <w:r>
        <w:rPr>
          <w:rFonts w:hint="eastAsia"/>
          <w:sz w:val="24"/>
          <w:szCs w:val="24"/>
        </w:rPr>
        <w:t>谈判的任何一方不得透露与谈判有关的其它竞标人的技术资料、价格和其它信息。</w:t>
      </w:r>
    </w:p>
    <w:p>
      <w:pPr>
        <w:pStyle w:val="7"/>
        <w:rPr>
          <w:rFonts w:eastAsia="宋体"/>
          <w:szCs w:val="24"/>
        </w:rPr>
      </w:pPr>
      <w:bookmarkStart w:id="55" w:name="_Toc259698681"/>
      <w:r>
        <w:rPr>
          <w:rFonts w:eastAsia="宋体"/>
          <w:szCs w:val="24"/>
        </w:rPr>
        <w:t>20.</w:t>
      </w:r>
      <w:r>
        <w:rPr>
          <w:rFonts w:hint="eastAsia" w:eastAsia="宋体"/>
          <w:szCs w:val="24"/>
        </w:rPr>
        <w:t>评标</w:t>
      </w:r>
      <w:bookmarkEnd w:id="55"/>
      <w:r>
        <w:rPr>
          <w:rFonts w:hint="eastAsia" w:eastAsia="宋体"/>
          <w:szCs w:val="24"/>
        </w:rPr>
        <w:t xml:space="preserve"> </w:t>
      </w:r>
    </w:p>
    <w:p>
      <w:pPr>
        <w:pStyle w:val="17"/>
        <w:spacing w:line="300" w:lineRule="auto"/>
        <w:ind w:firstLine="420"/>
        <w:rPr>
          <w:sz w:val="24"/>
          <w:szCs w:val="24"/>
        </w:rPr>
      </w:pPr>
      <w:r>
        <w:rPr>
          <w:sz w:val="24"/>
          <w:szCs w:val="24"/>
        </w:rPr>
        <w:t>20.1</w:t>
      </w:r>
      <w:r>
        <w:rPr>
          <w:rFonts w:hint="eastAsia"/>
          <w:sz w:val="24"/>
          <w:szCs w:val="24"/>
        </w:rPr>
        <w:t>本采购项目采用的评标办法</w:t>
      </w:r>
      <w:r>
        <w:rPr>
          <w:rFonts w:hint="eastAsia"/>
          <w:b/>
          <w:bCs/>
          <w:sz w:val="24"/>
          <w:szCs w:val="24"/>
          <w:u w:val="single"/>
        </w:rPr>
        <w:t>最低评标价法</w:t>
      </w:r>
      <w:r>
        <w:rPr>
          <w:rFonts w:hint="eastAsia"/>
          <w:sz w:val="24"/>
          <w:szCs w:val="24"/>
        </w:rPr>
        <w:t>，评标依据为竞争性谈判采购文件和竞标文件及谈判应答文件。</w:t>
      </w:r>
    </w:p>
    <w:p>
      <w:pPr>
        <w:pStyle w:val="17"/>
        <w:spacing w:line="300" w:lineRule="auto"/>
        <w:ind w:firstLine="420"/>
        <w:rPr>
          <w:sz w:val="24"/>
          <w:szCs w:val="24"/>
        </w:rPr>
      </w:pPr>
      <w:r>
        <w:rPr>
          <w:sz w:val="24"/>
          <w:szCs w:val="24"/>
        </w:rPr>
        <w:t>20.2</w:t>
      </w:r>
      <w:r>
        <w:rPr>
          <w:rFonts w:hint="eastAsia"/>
          <w:sz w:val="24"/>
          <w:szCs w:val="24"/>
        </w:rPr>
        <w:t>评标工作将采取封闭方式进行，谈判小组成员和有关工作人员不得透露对竞标文件的评审、比较和成交候选供应商的推荐情况以及与评标有关的其它情况。</w:t>
      </w:r>
    </w:p>
    <w:p>
      <w:pPr>
        <w:pStyle w:val="17"/>
        <w:spacing w:line="300" w:lineRule="auto"/>
        <w:ind w:firstLine="420"/>
        <w:rPr>
          <w:sz w:val="24"/>
          <w:szCs w:val="24"/>
        </w:rPr>
      </w:pPr>
      <w:r>
        <w:rPr>
          <w:sz w:val="24"/>
          <w:szCs w:val="24"/>
        </w:rPr>
        <w:t>20.3</w:t>
      </w:r>
      <w:r>
        <w:rPr>
          <w:rFonts w:hint="eastAsia"/>
          <w:sz w:val="24"/>
          <w:szCs w:val="24"/>
        </w:rPr>
        <w:t>竞标人在评标过程中，所进行的力图影响评标结果公正性的活动，将可能导致其成交资格被取消。</w:t>
      </w:r>
    </w:p>
    <w:p>
      <w:pPr>
        <w:pStyle w:val="17"/>
        <w:spacing w:line="300" w:lineRule="auto"/>
        <w:ind w:firstLine="420"/>
        <w:rPr>
          <w:sz w:val="24"/>
          <w:szCs w:val="24"/>
        </w:rPr>
      </w:pPr>
      <w:r>
        <w:rPr>
          <w:sz w:val="24"/>
          <w:szCs w:val="24"/>
        </w:rPr>
        <w:t>20.4</w:t>
      </w:r>
      <w:r>
        <w:rPr>
          <w:rFonts w:hint="eastAsia"/>
          <w:sz w:val="24"/>
          <w:szCs w:val="24"/>
        </w:rPr>
        <w:t>经谈判后竞标人竞标报价仍超出采购预算控制价则竞标无效。如果经谈判后全部竞标人的竞标报价均超出采购预算控制价，采购人不能支付的，由采购单位重新组织采购。</w:t>
      </w:r>
    </w:p>
    <w:p>
      <w:pPr>
        <w:pStyle w:val="7"/>
        <w:rPr>
          <w:rFonts w:eastAsia="宋体"/>
          <w:szCs w:val="24"/>
        </w:rPr>
      </w:pPr>
      <w:bookmarkStart w:id="56" w:name="_Toc259698682"/>
      <w:r>
        <w:rPr>
          <w:rFonts w:eastAsia="宋体"/>
          <w:szCs w:val="24"/>
        </w:rPr>
        <w:t>21.</w:t>
      </w:r>
      <w:r>
        <w:rPr>
          <w:rFonts w:hint="eastAsia" w:eastAsia="宋体"/>
          <w:szCs w:val="24"/>
        </w:rPr>
        <w:t>无效竞标</w:t>
      </w:r>
      <w:bookmarkEnd w:id="56"/>
    </w:p>
    <w:p>
      <w:pPr>
        <w:pStyle w:val="17"/>
        <w:spacing w:line="300" w:lineRule="auto"/>
        <w:ind w:firstLine="420"/>
        <w:rPr>
          <w:sz w:val="24"/>
          <w:szCs w:val="24"/>
        </w:rPr>
      </w:pPr>
      <w:r>
        <w:rPr>
          <w:sz w:val="24"/>
          <w:szCs w:val="24"/>
        </w:rPr>
        <w:t>21.1</w:t>
      </w:r>
      <w:r>
        <w:rPr>
          <w:rFonts w:hint="eastAsia"/>
          <w:sz w:val="24"/>
          <w:szCs w:val="24"/>
        </w:rPr>
        <w:t>竞标文件如有下列情况之一，将会在评标中按照无效竞标处理：</w:t>
      </w:r>
    </w:p>
    <w:p>
      <w:pPr>
        <w:pStyle w:val="17"/>
        <w:spacing w:line="300" w:lineRule="auto"/>
        <w:ind w:firstLine="420"/>
        <w:rPr>
          <w:sz w:val="24"/>
          <w:szCs w:val="24"/>
        </w:rPr>
      </w:pPr>
      <w:r>
        <w:rPr>
          <w:rFonts w:hint="eastAsia"/>
          <w:sz w:val="24"/>
          <w:szCs w:val="24"/>
        </w:rPr>
        <w:t>（</w:t>
      </w:r>
      <w:r>
        <w:rPr>
          <w:sz w:val="24"/>
          <w:szCs w:val="24"/>
        </w:rPr>
        <w:t>1</w:t>
      </w:r>
      <w:r>
        <w:rPr>
          <w:rFonts w:hint="eastAsia"/>
          <w:sz w:val="24"/>
          <w:szCs w:val="24"/>
        </w:rPr>
        <w:t>）应交未交或不足额交或不按规定交纳竞标保证金的；</w:t>
      </w:r>
    </w:p>
    <w:p>
      <w:pPr>
        <w:pStyle w:val="17"/>
        <w:spacing w:line="300" w:lineRule="auto"/>
        <w:ind w:firstLine="420"/>
        <w:rPr>
          <w:sz w:val="24"/>
          <w:szCs w:val="24"/>
        </w:rPr>
      </w:pPr>
      <w:r>
        <w:rPr>
          <w:rFonts w:hint="eastAsia"/>
          <w:sz w:val="24"/>
          <w:szCs w:val="24"/>
        </w:rPr>
        <w:t>（</w:t>
      </w:r>
      <w:r>
        <w:rPr>
          <w:sz w:val="24"/>
          <w:szCs w:val="24"/>
        </w:rPr>
        <w:t>2</w:t>
      </w:r>
      <w:r>
        <w:rPr>
          <w:rFonts w:hint="eastAsia"/>
          <w:sz w:val="24"/>
          <w:szCs w:val="24"/>
        </w:rPr>
        <w:t>）未按谈判采购文件规定要求密封、签署、盖章的；</w:t>
      </w:r>
    </w:p>
    <w:p>
      <w:pPr>
        <w:pStyle w:val="17"/>
        <w:spacing w:line="300" w:lineRule="auto"/>
        <w:ind w:firstLine="420"/>
        <w:rPr>
          <w:sz w:val="24"/>
          <w:szCs w:val="24"/>
        </w:rPr>
      </w:pPr>
      <w:r>
        <w:rPr>
          <w:rFonts w:hint="eastAsia"/>
          <w:sz w:val="24"/>
          <w:szCs w:val="24"/>
        </w:rPr>
        <w:t>（</w:t>
      </w:r>
      <w:r>
        <w:rPr>
          <w:sz w:val="24"/>
          <w:szCs w:val="24"/>
        </w:rPr>
        <w:t>3</w:t>
      </w:r>
      <w:r>
        <w:rPr>
          <w:rFonts w:hint="eastAsia"/>
          <w:sz w:val="24"/>
          <w:szCs w:val="24"/>
        </w:rPr>
        <w:t>）不具备谈判采购文件中规定资格要求的；</w:t>
      </w:r>
    </w:p>
    <w:p>
      <w:pPr>
        <w:pStyle w:val="17"/>
        <w:spacing w:line="300" w:lineRule="auto"/>
        <w:ind w:firstLine="480" w:firstLineChars="200"/>
        <w:rPr>
          <w:sz w:val="24"/>
          <w:szCs w:val="24"/>
        </w:rPr>
      </w:pPr>
      <w:r>
        <w:rPr>
          <w:rFonts w:hint="eastAsia"/>
          <w:sz w:val="24"/>
          <w:szCs w:val="24"/>
        </w:rPr>
        <w:t>（</w:t>
      </w:r>
      <w:r>
        <w:rPr>
          <w:sz w:val="24"/>
          <w:szCs w:val="24"/>
        </w:rPr>
        <w:t>4</w:t>
      </w:r>
      <w:r>
        <w:rPr>
          <w:rFonts w:hint="eastAsia"/>
          <w:sz w:val="24"/>
          <w:szCs w:val="24"/>
        </w:rPr>
        <w:t>）技术响应或技术实施方案明显不符合技术规格、技术标准要求的；</w:t>
      </w:r>
    </w:p>
    <w:p>
      <w:pPr>
        <w:pStyle w:val="17"/>
        <w:spacing w:line="300" w:lineRule="auto"/>
        <w:ind w:firstLine="480" w:firstLineChars="200"/>
        <w:rPr>
          <w:sz w:val="24"/>
          <w:szCs w:val="24"/>
        </w:rPr>
      </w:pPr>
      <w:r>
        <w:rPr>
          <w:rFonts w:hint="eastAsia"/>
          <w:bCs/>
          <w:sz w:val="24"/>
          <w:szCs w:val="24"/>
        </w:rPr>
        <w:t>（</w:t>
      </w:r>
      <w:r>
        <w:rPr>
          <w:bCs/>
          <w:sz w:val="24"/>
          <w:szCs w:val="24"/>
        </w:rPr>
        <w:t>5</w:t>
      </w:r>
      <w:r>
        <w:rPr>
          <w:rFonts w:hint="eastAsia"/>
          <w:bCs/>
          <w:sz w:val="24"/>
          <w:szCs w:val="24"/>
        </w:rPr>
        <w:t>）</w:t>
      </w:r>
      <w:r>
        <w:rPr>
          <w:rFonts w:hint="eastAsia"/>
          <w:sz w:val="24"/>
          <w:szCs w:val="24"/>
        </w:rPr>
        <w:t>谈判后采购项目完成期限仍不能满足采购人规定期限的；</w:t>
      </w:r>
    </w:p>
    <w:p>
      <w:pPr>
        <w:pStyle w:val="17"/>
        <w:spacing w:line="300" w:lineRule="auto"/>
        <w:ind w:firstLine="480" w:firstLineChars="200"/>
        <w:rPr>
          <w:sz w:val="24"/>
          <w:szCs w:val="24"/>
        </w:rPr>
      </w:pPr>
      <w:r>
        <w:rPr>
          <w:rFonts w:hint="eastAsia"/>
          <w:sz w:val="24"/>
          <w:szCs w:val="24"/>
        </w:rPr>
        <w:t>（</w:t>
      </w:r>
      <w:r>
        <w:rPr>
          <w:sz w:val="24"/>
          <w:szCs w:val="24"/>
        </w:rPr>
        <w:t>6</w:t>
      </w:r>
      <w:r>
        <w:rPr>
          <w:rFonts w:hint="eastAsia"/>
          <w:sz w:val="24"/>
          <w:szCs w:val="24"/>
        </w:rPr>
        <w:t>）谈判后采购项目货物包装方式、检验标准和方法等不符合采购人要求的；</w:t>
      </w:r>
    </w:p>
    <w:p>
      <w:pPr>
        <w:pStyle w:val="17"/>
        <w:spacing w:line="300" w:lineRule="auto"/>
        <w:ind w:firstLine="480" w:firstLineChars="200"/>
        <w:rPr>
          <w:sz w:val="24"/>
          <w:szCs w:val="24"/>
        </w:rPr>
      </w:pPr>
      <w:r>
        <w:rPr>
          <w:rFonts w:hint="eastAsia"/>
          <w:sz w:val="24"/>
          <w:szCs w:val="24"/>
        </w:rPr>
        <w:t>（</w:t>
      </w:r>
      <w:r>
        <w:rPr>
          <w:sz w:val="24"/>
          <w:szCs w:val="24"/>
        </w:rPr>
        <w:t>7</w:t>
      </w:r>
      <w:r>
        <w:rPr>
          <w:rFonts w:hint="eastAsia"/>
          <w:sz w:val="24"/>
          <w:szCs w:val="24"/>
        </w:rPr>
        <w:t>）竞标文件和谈判应答文件附有采购人不能接受的条件；</w:t>
      </w:r>
    </w:p>
    <w:p>
      <w:pPr>
        <w:pStyle w:val="17"/>
        <w:spacing w:line="300" w:lineRule="auto"/>
        <w:ind w:firstLine="480" w:firstLineChars="200"/>
        <w:rPr>
          <w:sz w:val="24"/>
          <w:szCs w:val="24"/>
        </w:rPr>
      </w:pPr>
      <w:r>
        <w:rPr>
          <w:rFonts w:hint="eastAsia"/>
          <w:sz w:val="24"/>
          <w:szCs w:val="24"/>
        </w:rPr>
        <w:t>（</w:t>
      </w:r>
      <w:r>
        <w:rPr>
          <w:sz w:val="24"/>
          <w:szCs w:val="24"/>
        </w:rPr>
        <w:t>8</w:t>
      </w:r>
      <w:r>
        <w:rPr>
          <w:rFonts w:hint="eastAsia"/>
          <w:sz w:val="24"/>
          <w:szCs w:val="24"/>
        </w:rPr>
        <w:t>）经谈判后竞标人竞标报价仍超出采购预算控制价的；</w:t>
      </w:r>
    </w:p>
    <w:p>
      <w:pPr>
        <w:pStyle w:val="17"/>
        <w:spacing w:line="300" w:lineRule="auto"/>
        <w:ind w:firstLine="480" w:firstLineChars="200"/>
        <w:rPr>
          <w:sz w:val="24"/>
          <w:szCs w:val="24"/>
        </w:rPr>
      </w:pPr>
      <w:r>
        <w:rPr>
          <w:rFonts w:hint="eastAsia"/>
          <w:sz w:val="24"/>
          <w:szCs w:val="24"/>
        </w:rPr>
        <w:t>（9）不符合法律、法规和谈判采购文件中规定的其它实质性要求的。</w:t>
      </w:r>
    </w:p>
    <w:p>
      <w:pPr>
        <w:pStyle w:val="17"/>
        <w:spacing w:line="300" w:lineRule="auto"/>
        <w:ind w:firstLine="480" w:firstLineChars="200"/>
        <w:rPr>
          <w:sz w:val="24"/>
          <w:szCs w:val="24"/>
        </w:rPr>
      </w:pPr>
    </w:p>
    <w:p>
      <w:pPr>
        <w:pStyle w:val="17"/>
        <w:spacing w:line="300" w:lineRule="auto"/>
        <w:rPr>
          <w:b/>
          <w:sz w:val="24"/>
          <w:szCs w:val="24"/>
        </w:rPr>
      </w:pPr>
    </w:p>
    <w:p>
      <w:pPr>
        <w:pStyle w:val="6"/>
        <w:spacing w:line="276" w:lineRule="auto"/>
        <w:jc w:val="center"/>
        <w:rPr>
          <w:rFonts w:ascii="宋体"/>
          <w:sz w:val="24"/>
          <w:szCs w:val="24"/>
        </w:rPr>
      </w:pPr>
      <w:bookmarkStart w:id="57" w:name="_Toc290374182"/>
      <w:bookmarkStart w:id="58" w:name="_Toc290375227"/>
      <w:bookmarkStart w:id="59" w:name="_Toc259698683"/>
      <w:r>
        <w:rPr>
          <w:rFonts w:hint="eastAsia" w:ascii="宋体"/>
          <w:sz w:val="24"/>
          <w:szCs w:val="24"/>
        </w:rPr>
        <w:t>六    签订合同</w:t>
      </w:r>
      <w:bookmarkEnd w:id="57"/>
      <w:bookmarkEnd w:id="58"/>
      <w:bookmarkEnd w:id="59"/>
    </w:p>
    <w:p>
      <w:pPr>
        <w:pStyle w:val="7"/>
        <w:rPr>
          <w:rFonts w:eastAsia="宋体"/>
          <w:szCs w:val="24"/>
        </w:rPr>
      </w:pPr>
      <w:bookmarkStart w:id="60" w:name="_Toc259698684"/>
      <w:r>
        <w:rPr>
          <w:rFonts w:eastAsia="宋体"/>
          <w:szCs w:val="24"/>
        </w:rPr>
        <w:t>22.</w:t>
      </w:r>
      <w:r>
        <w:rPr>
          <w:rFonts w:hint="eastAsia" w:eastAsia="宋体"/>
          <w:szCs w:val="24"/>
        </w:rPr>
        <w:t>评标原则</w:t>
      </w:r>
      <w:bookmarkEnd w:id="60"/>
    </w:p>
    <w:p>
      <w:pPr>
        <w:pStyle w:val="17"/>
        <w:spacing w:line="300" w:lineRule="auto"/>
        <w:ind w:firstLine="420"/>
        <w:rPr>
          <w:sz w:val="24"/>
        </w:rPr>
      </w:pPr>
      <w:r>
        <w:rPr>
          <w:rFonts w:hint="eastAsia"/>
          <w:sz w:val="24"/>
          <w:szCs w:val="24"/>
        </w:rPr>
        <w:t>本次竞标报价非一次性报价，具体报价次数由谈判小组根据实际评标情况定，但最终报价在与竞标人谈判中谈判小组会以书面形式明确告知竞标人。最终供应商的确定将以竞标人提交的竞标文件为依据，在符合采购需求、质量和及服务相等的前提下</w:t>
      </w:r>
      <w:r>
        <w:rPr>
          <w:rFonts w:hint="eastAsia"/>
          <w:sz w:val="24"/>
        </w:rPr>
        <w:t>，按最低评标价法确定成交供应商。</w:t>
      </w:r>
    </w:p>
    <w:p>
      <w:pPr>
        <w:pStyle w:val="7"/>
        <w:rPr>
          <w:rFonts w:eastAsia="宋体"/>
          <w:szCs w:val="24"/>
        </w:rPr>
      </w:pPr>
      <w:bookmarkStart w:id="61" w:name="_Toc259698685"/>
      <w:r>
        <w:rPr>
          <w:rFonts w:eastAsia="宋体"/>
          <w:szCs w:val="24"/>
        </w:rPr>
        <w:t>23.</w:t>
      </w:r>
      <w:r>
        <w:rPr>
          <w:rFonts w:hint="eastAsia" w:eastAsia="宋体"/>
          <w:szCs w:val="24"/>
        </w:rPr>
        <w:t>成交通知</w:t>
      </w:r>
      <w:bookmarkEnd w:id="61"/>
    </w:p>
    <w:p>
      <w:pPr>
        <w:pStyle w:val="17"/>
        <w:spacing w:line="300" w:lineRule="auto"/>
        <w:ind w:firstLine="420"/>
        <w:rPr>
          <w:sz w:val="24"/>
          <w:szCs w:val="24"/>
        </w:rPr>
      </w:pPr>
      <w:r>
        <w:rPr>
          <w:sz w:val="24"/>
          <w:szCs w:val="24"/>
        </w:rPr>
        <w:t>23.1</w:t>
      </w:r>
      <w:r>
        <w:rPr>
          <w:rFonts w:hint="eastAsia"/>
          <w:sz w:val="24"/>
          <w:szCs w:val="24"/>
        </w:rPr>
        <w:t>采购代理机构将在评标结束五个工作日内将评标结果送采购人，采购人在五个工作日内按照采购结果报告中推荐的排名第一的成交候选供应商确定为成交供应商。</w:t>
      </w:r>
    </w:p>
    <w:p>
      <w:pPr>
        <w:pStyle w:val="17"/>
        <w:spacing w:line="300" w:lineRule="auto"/>
        <w:ind w:firstLine="420"/>
        <w:rPr>
          <w:sz w:val="24"/>
          <w:szCs w:val="24"/>
        </w:rPr>
      </w:pPr>
      <w:r>
        <w:rPr>
          <w:sz w:val="24"/>
          <w:szCs w:val="24"/>
        </w:rPr>
        <w:t>23.2</w:t>
      </w:r>
      <w:r>
        <w:rPr>
          <w:rFonts w:hint="eastAsia"/>
          <w:sz w:val="24"/>
          <w:szCs w:val="24"/>
        </w:rPr>
        <w:t>采购代理机构向成交供应商发成交通知书并向未成交的供应商发采购结果通知。</w:t>
      </w:r>
    </w:p>
    <w:p>
      <w:pPr>
        <w:pStyle w:val="17"/>
        <w:tabs>
          <w:tab w:val="left" w:pos="6840"/>
        </w:tabs>
        <w:spacing w:line="300" w:lineRule="auto"/>
        <w:ind w:firstLine="420"/>
        <w:rPr>
          <w:sz w:val="24"/>
          <w:szCs w:val="24"/>
        </w:rPr>
      </w:pPr>
      <w:r>
        <w:rPr>
          <w:sz w:val="24"/>
          <w:szCs w:val="24"/>
        </w:rPr>
        <w:t>23.3</w:t>
      </w:r>
      <w:r>
        <w:rPr>
          <w:rFonts w:hint="eastAsia"/>
          <w:sz w:val="24"/>
          <w:szCs w:val="24"/>
        </w:rPr>
        <w:t>采购代理机构在向成交供应商发出成交通知书的同时在中国采购与招标网发布采购结果公告。</w:t>
      </w:r>
    </w:p>
    <w:p>
      <w:pPr>
        <w:pStyle w:val="17"/>
        <w:spacing w:line="300" w:lineRule="auto"/>
        <w:ind w:firstLine="420"/>
        <w:rPr>
          <w:sz w:val="24"/>
          <w:szCs w:val="24"/>
        </w:rPr>
      </w:pPr>
      <w:r>
        <w:rPr>
          <w:sz w:val="24"/>
          <w:szCs w:val="24"/>
        </w:rPr>
        <w:t>23.4</w:t>
      </w:r>
      <w:r>
        <w:rPr>
          <w:rFonts w:hint="eastAsia"/>
          <w:sz w:val="24"/>
          <w:szCs w:val="24"/>
        </w:rPr>
        <w:t>竞标人如对成交结果有异议的，可以在成交结果公告发布之日起七个工作日内以书面形式向本采购代理机构提出质疑</w:t>
      </w:r>
      <w:r>
        <w:rPr>
          <w:sz w:val="24"/>
          <w:szCs w:val="24"/>
        </w:rPr>
        <w:t>，</w:t>
      </w:r>
      <w:r>
        <w:rPr>
          <w:rFonts w:hint="eastAsia"/>
          <w:sz w:val="24"/>
          <w:szCs w:val="24"/>
        </w:rPr>
        <w:t>本采购代理机构将在收到竞标人的书面质疑后七个工作日内做出答复</w:t>
      </w:r>
      <w:r>
        <w:rPr>
          <w:sz w:val="24"/>
          <w:szCs w:val="24"/>
        </w:rPr>
        <w:t>，</w:t>
      </w:r>
      <w:r>
        <w:rPr>
          <w:rFonts w:hint="eastAsia"/>
          <w:sz w:val="24"/>
          <w:szCs w:val="24"/>
        </w:rPr>
        <w:t>但答复的内容不得涉及商业秘密。</w:t>
      </w:r>
    </w:p>
    <w:p>
      <w:pPr>
        <w:pStyle w:val="17"/>
        <w:spacing w:line="300" w:lineRule="auto"/>
        <w:ind w:firstLine="420"/>
        <w:rPr>
          <w:sz w:val="24"/>
          <w:szCs w:val="24"/>
        </w:rPr>
      </w:pPr>
      <w:r>
        <w:rPr>
          <w:sz w:val="24"/>
          <w:szCs w:val="24"/>
        </w:rPr>
        <w:t>23.5</w:t>
      </w:r>
      <w:r>
        <w:rPr>
          <w:rFonts w:hint="eastAsia"/>
          <w:sz w:val="24"/>
          <w:szCs w:val="24"/>
        </w:rPr>
        <w:t>采购代理机构无义务向未成交的供应商解释未成交原因和退还竞标文件。</w:t>
      </w:r>
    </w:p>
    <w:p>
      <w:pPr>
        <w:pStyle w:val="7"/>
        <w:rPr>
          <w:rFonts w:eastAsia="宋体"/>
          <w:szCs w:val="24"/>
        </w:rPr>
      </w:pPr>
      <w:bookmarkStart w:id="62" w:name="_Toc259698686"/>
      <w:r>
        <w:rPr>
          <w:rFonts w:eastAsia="宋体"/>
          <w:szCs w:val="24"/>
        </w:rPr>
        <w:t>24.</w:t>
      </w:r>
      <w:r>
        <w:rPr>
          <w:rFonts w:hint="eastAsia" w:eastAsia="宋体"/>
          <w:szCs w:val="24"/>
        </w:rPr>
        <w:t>合同授予标准</w:t>
      </w:r>
      <w:bookmarkEnd w:id="62"/>
    </w:p>
    <w:p>
      <w:pPr>
        <w:pStyle w:val="17"/>
        <w:spacing w:line="300" w:lineRule="auto"/>
        <w:ind w:firstLine="480" w:firstLineChars="200"/>
        <w:rPr>
          <w:sz w:val="24"/>
          <w:szCs w:val="24"/>
        </w:rPr>
      </w:pPr>
      <w:r>
        <w:rPr>
          <w:sz w:val="24"/>
          <w:szCs w:val="24"/>
        </w:rPr>
        <w:t>24.1</w:t>
      </w:r>
      <w:r>
        <w:rPr>
          <w:rFonts w:hint="eastAsia"/>
          <w:sz w:val="24"/>
          <w:szCs w:val="24"/>
        </w:rPr>
        <w:t>合同将授予被确定为实质上响应采购人需求，具备履行合同能力，采购结果报告中推荐的排名第一的成交候选供应商为成交供应商。</w:t>
      </w:r>
    </w:p>
    <w:p>
      <w:pPr>
        <w:pStyle w:val="7"/>
        <w:rPr>
          <w:rFonts w:eastAsia="宋体"/>
          <w:szCs w:val="24"/>
        </w:rPr>
      </w:pPr>
      <w:bookmarkStart w:id="63" w:name="_Toc259698687"/>
      <w:r>
        <w:rPr>
          <w:rFonts w:eastAsia="宋体"/>
          <w:szCs w:val="24"/>
        </w:rPr>
        <w:t>25.</w:t>
      </w:r>
      <w:r>
        <w:rPr>
          <w:rFonts w:hint="eastAsia" w:eastAsia="宋体"/>
          <w:szCs w:val="24"/>
        </w:rPr>
        <w:t>签订合同</w:t>
      </w:r>
      <w:bookmarkEnd w:id="63"/>
    </w:p>
    <w:p>
      <w:pPr>
        <w:pStyle w:val="17"/>
        <w:spacing w:line="300" w:lineRule="auto"/>
        <w:ind w:firstLine="420"/>
        <w:rPr>
          <w:sz w:val="24"/>
          <w:szCs w:val="24"/>
        </w:rPr>
      </w:pPr>
      <w:r>
        <w:rPr>
          <w:sz w:val="24"/>
          <w:szCs w:val="24"/>
        </w:rPr>
        <w:t>25.1</w:t>
      </w:r>
      <w:r>
        <w:rPr>
          <w:rFonts w:hint="eastAsia"/>
          <w:sz w:val="24"/>
          <w:szCs w:val="24"/>
        </w:rPr>
        <w:t>成交供应商应按成交通知书规定的时间、地点与采购人签订合同。</w:t>
      </w:r>
    </w:p>
    <w:p>
      <w:pPr>
        <w:pStyle w:val="17"/>
        <w:spacing w:line="300" w:lineRule="auto"/>
        <w:ind w:firstLine="420"/>
        <w:rPr>
          <w:sz w:val="24"/>
          <w:szCs w:val="24"/>
        </w:rPr>
      </w:pPr>
      <w:r>
        <w:rPr>
          <w:sz w:val="24"/>
          <w:szCs w:val="24"/>
        </w:rPr>
        <w:t>25.2</w:t>
      </w:r>
      <w:r>
        <w:rPr>
          <w:rFonts w:hint="eastAsia"/>
          <w:sz w:val="24"/>
          <w:szCs w:val="24"/>
        </w:rPr>
        <w:t>如成交供应商不按成交通知书的规定签订合同，则按成交供应商违约处理，采购代理机构将没收成交供应商投竞标的全部竞标保证金。</w:t>
      </w:r>
      <w:bookmarkStart w:id="64" w:name="_Toc205632338"/>
    </w:p>
    <w:p>
      <w:pPr>
        <w:pStyle w:val="17"/>
        <w:spacing w:line="300" w:lineRule="auto"/>
        <w:ind w:firstLine="420"/>
        <w:rPr>
          <w:sz w:val="24"/>
          <w:szCs w:val="24"/>
        </w:rPr>
      </w:pPr>
      <w:r>
        <w:rPr>
          <w:sz w:val="24"/>
          <w:szCs w:val="24"/>
        </w:rPr>
        <w:t>25.3</w:t>
      </w:r>
      <w:r>
        <w:rPr>
          <w:rFonts w:hint="eastAsia"/>
          <w:sz w:val="24"/>
          <w:szCs w:val="24"/>
        </w:rPr>
        <w:t>成交供应商因不可抗力或者自身原因不能履行采购合同的，采购人可以与排名第二的成交候选供应商签订采购合同，以此类推</w:t>
      </w:r>
      <w:r>
        <w:rPr>
          <w:rFonts w:hint="eastAsia"/>
          <w:sz w:val="24"/>
        </w:rPr>
        <w:t>或重新组织采购</w:t>
      </w:r>
      <w:r>
        <w:rPr>
          <w:rFonts w:hint="eastAsia"/>
          <w:sz w:val="24"/>
          <w:szCs w:val="24"/>
        </w:rPr>
        <w:t>。</w:t>
      </w:r>
      <w:bookmarkEnd w:id="64"/>
      <w:r>
        <w:rPr>
          <w:rFonts w:hint="eastAsia"/>
          <w:b/>
          <w:sz w:val="24"/>
          <w:szCs w:val="24"/>
        </w:rPr>
        <w:t>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7"/>
        <w:rPr>
          <w:rFonts w:eastAsia="宋体"/>
          <w:szCs w:val="24"/>
        </w:rPr>
      </w:pPr>
      <w:bookmarkStart w:id="65" w:name="_Toc259698688"/>
      <w:r>
        <w:rPr>
          <w:rFonts w:eastAsia="宋体"/>
          <w:szCs w:val="24"/>
        </w:rPr>
        <w:t>26.</w:t>
      </w:r>
      <w:r>
        <w:rPr>
          <w:rFonts w:hint="eastAsia" w:eastAsia="宋体"/>
          <w:szCs w:val="24"/>
        </w:rPr>
        <w:t>履约保证金</w:t>
      </w:r>
      <w:bookmarkEnd w:id="65"/>
    </w:p>
    <w:p>
      <w:pPr>
        <w:spacing w:line="360" w:lineRule="exact"/>
        <w:ind w:firstLine="480" w:firstLineChars="200"/>
        <w:rPr>
          <w:rFonts w:ascii="宋体" w:hAnsi="宋体"/>
          <w:sz w:val="24"/>
        </w:rPr>
      </w:pPr>
      <w:r>
        <w:rPr>
          <w:rFonts w:hint="eastAsia" w:ascii="宋体"/>
          <w:sz w:val="24"/>
        </w:rPr>
        <w:t>26.1</w:t>
      </w:r>
      <w:r>
        <w:rPr>
          <w:rFonts w:hint="eastAsia" w:ascii="宋体" w:hAnsi="宋体"/>
          <w:sz w:val="24"/>
        </w:rPr>
        <w:t>在发放成交通知书前，成交人应由向</w:t>
      </w:r>
      <w:r>
        <w:rPr>
          <w:rFonts w:hint="eastAsia" w:ascii="宋体" w:hAnsi="宋体"/>
          <w:sz w:val="24"/>
          <w:u w:val="single"/>
        </w:rPr>
        <w:t>百色市田阳区卫生健康局</w:t>
      </w:r>
      <w:r>
        <w:rPr>
          <w:rFonts w:hint="eastAsia" w:ascii="宋体" w:hAnsi="宋体"/>
          <w:sz w:val="24"/>
        </w:rPr>
        <w:t>提交履约保证金到指定的账户，履约保证金为成交价的</w:t>
      </w:r>
      <w:r>
        <w:rPr>
          <w:rFonts w:hint="eastAsia" w:ascii="宋体" w:hAnsi="宋体"/>
          <w:b/>
          <w:sz w:val="24"/>
        </w:rPr>
        <w:t>百分之贰（2%）</w:t>
      </w:r>
      <w:r>
        <w:rPr>
          <w:rFonts w:hint="eastAsia" w:ascii="宋体" w:hAnsi="宋体"/>
          <w:sz w:val="24"/>
        </w:rPr>
        <w:t>。交纳时请写明竞标项目名称及项目编号。</w:t>
      </w:r>
    </w:p>
    <w:p>
      <w:pPr>
        <w:pStyle w:val="17"/>
        <w:spacing w:line="300" w:lineRule="auto"/>
        <w:ind w:firstLine="480" w:firstLineChars="200"/>
        <w:rPr>
          <w:sz w:val="24"/>
          <w:szCs w:val="24"/>
        </w:rPr>
      </w:pPr>
      <w:r>
        <w:rPr>
          <w:rFonts w:hint="eastAsia"/>
          <w:sz w:val="24"/>
          <w:szCs w:val="24"/>
        </w:rPr>
        <w:t>26.2履约保证金作为违约金的一部分及用于补偿采购人因成交供应商不能完成其合同义务而蒙受的损失。如成交供应商不按双方签订的合同规定履约，则没收其全部履约保证金，履约保证金不足以赔偿损失的，按实际损失赔偿。</w:t>
      </w:r>
    </w:p>
    <w:p>
      <w:pPr>
        <w:pStyle w:val="17"/>
        <w:spacing w:line="300" w:lineRule="auto"/>
        <w:ind w:firstLine="480" w:firstLineChars="200"/>
        <w:rPr>
          <w:sz w:val="24"/>
          <w:szCs w:val="24"/>
        </w:rPr>
      </w:pPr>
      <w:r>
        <w:rPr>
          <w:rFonts w:hint="eastAsia"/>
          <w:sz w:val="24"/>
          <w:szCs w:val="24"/>
        </w:rPr>
        <w:t>26.3交货安装完毕验收合格满三个月后由</w:t>
      </w:r>
      <w:r>
        <w:rPr>
          <w:rFonts w:hint="eastAsia" w:hAnsi="宋体"/>
          <w:sz w:val="24"/>
          <w:u w:val="single"/>
        </w:rPr>
        <w:t>百色市田阳区卫生健康局</w:t>
      </w:r>
      <w:r>
        <w:rPr>
          <w:rFonts w:hint="eastAsia"/>
          <w:sz w:val="24"/>
          <w:szCs w:val="24"/>
        </w:rPr>
        <w:t>退还（无息）。</w:t>
      </w:r>
    </w:p>
    <w:p>
      <w:pPr>
        <w:pStyle w:val="6"/>
        <w:spacing w:line="276" w:lineRule="auto"/>
        <w:jc w:val="center"/>
        <w:rPr>
          <w:rFonts w:ascii="宋体"/>
          <w:sz w:val="24"/>
          <w:szCs w:val="24"/>
        </w:rPr>
      </w:pPr>
      <w:bookmarkStart w:id="66" w:name="_Toc290374183"/>
      <w:bookmarkStart w:id="67" w:name="_Toc290375228"/>
      <w:bookmarkStart w:id="68" w:name="_Toc259698689"/>
      <w:r>
        <w:rPr>
          <w:rFonts w:hint="eastAsia" w:ascii="宋体"/>
          <w:sz w:val="24"/>
          <w:szCs w:val="24"/>
        </w:rPr>
        <w:t>七    其它事项</w:t>
      </w:r>
      <w:bookmarkEnd w:id="66"/>
      <w:bookmarkEnd w:id="67"/>
      <w:bookmarkEnd w:id="68"/>
    </w:p>
    <w:p>
      <w:pPr>
        <w:pStyle w:val="7"/>
        <w:rPr>
          <w:rFonts w:eastAsia="宋体"/>
          <w:szCs w:val="24"/>
        </w:rPr>
      </w:pPr>
      <w:bookmarkStart w:id="69" w:name="_Toc259698690"/>
      <w:r>
        <w:rPr>
          <w:rFonts w:eastAsia="宋体"/>
          <w:szCs w:val="24"/>
        </w:rPr>
        <w:t>27.</w:t>
      </w:r>
      <w:r>
        <w:rPr>
          <w:rFonts w:hint="eastAsia" w:eastAsia="宋体"/>
          <w:szCs w:val="24"/>
        </w:rPr>
        <w:t>成交服务费</w:t>
      </w:r>
      <w:bookmarkEnd w:id="69"/>
    </w:p>
    <w:p>
      <w:pPr>
        <w:pStyle w:val="17"/>
        <w:spacing w:line="300" w:lineRule="auto"/>
        <w:ind w:firstLine="480" w:firstLineChars="200"/>
        <w:rPr>
          <w:sz w:val="24"/>
          <w:szCs w:val="24"/>
        </w:rPr>
      </w:pPr>
      <w:r>
        <w:rPr>
          <w:sz w:val="24"/>
          <w:szCs w:val="24"/>
        </w:rPr>
        <w:t>27.1</w:t>
      </w:r>
      <w:r>
        <w:rPr>
          <w:rFonts w:hint="eastAsia"/>
          <w:sz w:val="24"/>
          <w:szCs w:val="24"/>
        </w:rPr>
        <w:t>代理服务费（中标服务费）根据《国家发展改革委关于进一步放开建设项目专业服务价格的通知》（发改价格〔2015〕299号）要求，按市场价计算执行：（100万以内（包括100万）部分，按成交金额的1.5%计取，100万到500万（包括500万）部分按成交金额的1.1%计取）标准收取，由成交人在领取成交通知前向采购代理机构一次性支付。 签订合同前，成交人应向招标代理机构一次付清代理服务费（中标服务费），否则，采购代理机构将视之为违约，取消该成交决定并没收成交人这次参加竞标的全部竞标保证金。</w:t>
      </w:r>
    </w:p>
    <w:p>
      <w:pPr>
        <w:pStyle w:val="7"/>
        <w:rPr>
          <w:rFonts w:eastAsia="宋体"/>
          <w:szCs w:val="24"/>
        </w:rPr>
      </w:pPr>
      <w:bookmarkStart w:id="70" w:name="_Toc259698691"/>
      <w:r>
        <w:rPr>
          <w:rFonts w:eastAsia="宋体"/>
          <w:szCs w:val="24"/>
        </w:rPr>
        <w:t>28.</w:t>
      </w:r>
      <w:r>
        <w:rPr>
          <w:rFonts w:hint="eastAsia" w:eastAsia="宋体"/>
          <w:szCs w:val="24"/>
        </w:rPr>
        <w:t>解释权</w:t>
      </w:r>
      <w:bookmarkEnd w:id="70"/>
    </w:p>
    <w:p>
      <w:pPr>
        <w:pStyle w:val="17"/>
        <w:spacing w:line="300" w:lineRule="auto"/>
        <w:ind w:firstLine="420"/>
        <w:rPr>
          <w:sz w:val="24"/>
          <w:szCs w:val="24"/>
        </w:rPr>
      </w:pPr>
      <w:r>
        <w:rPr>
          <w:sz w:val="24"/>
          <w:szCs w:val="24"/>
        </w:rPr>
        <w:t>28.1</w:t>
      </w:r>
      <w:r>
        <w:rPr>
          <w:rFonts w:hint="eastAsia"/>
          <w:sz w:val="24"/>
          <w:szCs w:val="24"/>
        </w:rPr>
        <w:t>本谈判采购文件是依据国家法律、法规以及政府采购管理有关规定和参照国际惯例编制，解释权属本采购代理机构。</w:t>
      </w:r>
    </w:p>
    <w:p>
      <w:pPr>
        <w:pStyle w:val="7"/>
        <w:rPr>
          <w:rFonts w:eastAsia="宋体"/>
          <w:szCs w:val="24"/>
        </w:rPr>
      </w:pPr>
      <w:bookmarkStart w:id="71" w:name="_Toc259698692"/>
      <w:r>
        <w:rPr>
          <w:rFonts w:eastAsia="宋体"/>
          <w:szCs w:val="24"/>
        </w:rPr>
        <w:t>29.</w:t>
      </w:r>
      <w:r>
        <w:rPr>
          <w:rFonts w:hint="eastAsia" w:eastAsia="宋体"/>
          <w:szCs w:val="24"/>
        </w:rPr>
        <w:t>有关事宜</w:t>
      </w:r>
      <w:bookmarkEnd w:id="71"/>
    </w:p>
    <w:p>
      <w:pPr>
        <w:pStyle w:val="17"/>
        <w:spacing w:line="300" w:lineRule="auto"/>
        <w:ind w:firstLine="420"/>
        <w:rPr>
          <w:sz w:val="24"/>
          <w:szCs w:val="24"/>
        </w:rPr>
      </w:pPr>
      <w:r>
        <w:rPr>
          <w:rFonts w:hint="eastAsia"/>
          <w:sz w:val="24"/>
          <w:szCs w:val="24"/>
        </w:rPr>
        <w:t>29.1所有与本谈判采购文件有关的函电请按下列通讯地址联系：</w:t>
      </w:r>
    </w:p>
    <w:p>
      <w:pPr>
        <w:pStyle w:val="17"/>
        <w:spacing w:line="300" w:lineRule="auto"/>
        <w:ind w:left="420"/>
        <w:rPr>
          <w:sz w:val="24"/>
          <w:szCs w:val="24"/>
        </w:rPr>
      </w:pPr>
      <w:r>
        <w:rPr>
          <w:rFonts w:hint="eastAsia"/>
          <w:sz w:val="24"/>
          <w:szCs w:val="24"/>
        </w:rPr>
        <w:t>邮</w:t>
      </w:r>
      <w:r>
        <w:rPr>
          <w:sz w:val="24"/>
          <w:szCs w:val="24"/>
        </w:rPr>
        <w:t xml:space="preserve">    </w:t>
      </w:r>
      <w:r>
        <w:rPr>
          <w:rFonts w:hint="eastAsia"/>
          <w:sz w:val="24"/>
          <w:szCs w:val="24"/>
        </w:rPr>
        <w:t>编：</w:t>
      </w:r>
      <w:r>
        <w:rPr>
          <w:sz w:val="24"/>
          <w:szCs w:val="24"/>
        </w:rPr>
        <w:t>53</w:t>
      </w:r>
      <w:r>
        <w:rPr>
          <w:rFonts w:hint="eastAsia"/>
          <w:sz w:val="24"/>
          <w:szCs w:val="24"/>
        </w:rPr>
        <w:t>3</w:t>
      </w:r>
      <w:r>
        <w:rPr>
          <w:sz w:val="24"/>
          <w:szCs w:val="24"/>
        </w:rPr>
        <w:t>0</w:t>
      </w:r>
      <w:r>
        <w:rPr>
          <w:rFonts w:hint="eastAsia"/>
          <w:sz w:val="24"/>
          <w:szCs w:val="24"/>
        </w:rPr>
        <w:t>00</w:t>
      </w:r>
    </w:p>
    <w:p>
      <w:pPr>
        <w:pStyle w:val="17"/>
        <w:spacing w:line="300" w:lineRule="auto"/>
        <w:ind w:left="420"/>
        <w:rPr>
          <w:rFonts w:hAnsi="宋体"/>
          <w:color w:val="000000"/>
          <w:szCs w:val="21"/>
        </w:rPr>
      </w:pPr>
      <w:r>
        <w:rPr>
          <w:rFonts w:hint="eastAsia"/>
          <w:sz w:val="24"/>
          <w:szCs w:val="24"/>
        </w:rPr>
        <w:t>地</w:t>
      </w:r>
      <w:r>
        <w:rPr>
          <w:sz w:val="24"/>
          <w:szCs w:val="24"/>
        </w:rPr>
        <w:t xml:space="preserve">    </w:t>
      </w:r>
      <w:r>
        <w:rPr>
          <w:rFonts w:hint="eastAsia"/>
          <w:sz w:val="24"/>
          <w:szCs w:val="24"/>
        </w:rPr>
        <w:t>址：百色市右江区前程路4号长乐星城1号写字楼10楼</w:t>
      </w:r>
    </w:p>
    <w:p>
      <w:pPr>
        <w:pStyle w:val="17"/>
        <w:spacing w:line="300" w:lineRule="auto"/>
        <w:ind w:left="420"/>
        <w:rPr>
          <w:sz w:val="24"/>
          <w:szCs w:val="24"/>
        </w:rPr>
      </w:pPr>
      <w:r>
        <w:rPr>
          <w:rFonts w:hint="eastAsia"/>
          <w:sz w:val="24"/>
          <w:szCs w:val="24"/>
        </w:rPr>
        <w:t>联 系 人：黄立丹</w:t>
      </w:r>
    </w:p>
    <w:p>
      <w:pPr>
        <w:pStyle w:val="17"/>
        <w:spacing w:line="300" w:lineRule="auto"/>
        <w:ind w:left="420"/>
        <w:rPr>
          <w:sz w:val="24"/>
          <w:szCs w:val="24"/>
        </w:rPr>
      </w:pPr>
      <w:r>
        <w:rPr>
          <w:rFonts w:hint="eastAsia"/>
          <w:sz w:val="24"/>
          <w:szCs w:val="24"/>
        </w:rPr>
        <w:t>联系电话：0776-2969400</w:t>
      </w:r>
    </w:p>
    <w:p>
      <w:pPr>
        <w:pStyle w:val="17"/>
        <w:jc w:val="center"/>
        <w:rPr>
          <w:sz w:val="32"/>
          <w:szCs w:val="32"/>
        </w:rPr>
      </w:pPr>
      <w:r>
        <w:br w:type="page"/>
      </w:r>
    </w:p>
    <w:p>
      <w:pPr>
        <w:pStyle w:val="3"/>
        <w:spacing w:line="240" w:lineRule="auto"/>
        <w:jc w:val="center"/>
        <w:rPr>
          <w:rFonts w:ascii="宋体"/>
          <w:sz w:val="32"/>
          <w:szCs w:val="32"/>
        </w:rPr>
      </w:pPr>
      <w:bookmarkStart w:id="72" w:name="_Toc259698693"/>
      <w:bookmarkStart w:id="73" w:name="_Toc290375229"/>
    </w:p>
    <w:p>
      <w:pPr>
        <w:pStyle w:val="3"/>
        <w:spacing w:line="240" w:lineRule="auto"/>
        <w:jc w:val="center"/>
        <w:rPr>
          <w:rFonts w:ascii="隶书" w:eastAsia="隶书"/>
          <w:sz w:val="44"/>
        </w:rPr>
      </w:pPr>
      <w:r>
        <w:rPr>
          <w:rFonts w:hint="eastAsia" w:ascii="宋体"/>
          <w:sz w:val="32"/>
          <w:szCs w:val="32"/>
        </w:rPr>
        <w:t>第二章  货物需求一览表</w:t>
      </w:r>
      <w:bookmarkEnd w:id="72"/>
      <w:bookmarkEnd w:id="73"/>
    </w:p>
    <w:p>
      <w:pPr>
        <w:pStyle w:val="17"/>
        <w:jc w:val="center"/>
        <w:rPr>
          <w:b/>
          <w:sz w:val="32"/>
        </w:rPr>
      </w:pPr>
    </w:p>
    <w:p>
      <w:pPr>
        <w:adjustRightInd w:val="0"/>
        <w:snapToGrid w:val="0"/>
        <w:spacing w:line="400" w:lineRule="exact"/>
        <w:ind w:firstLine="480" w:firstLineChars="200"/>
        <w:rPr>
          <w:rFonts w:ascii="宋体" w:hAnsi="宋体"/>
          <w:sz w:val="24"/>
        </w:rPr>
      </w:pPr>
      <w:r>
        <w:rPr>
          <w:rFonts w:hint="eastAsia" w:ascii="宋体" w:hAnsi="宋体"/>
          <w:sz w:val="24"/>
        </w:rPr>
        <w:t>（1）本一览表中的厂家或品牌型号、技术参数及其性能（配置）仅起参考作用，竞标人可选用其他厂家或品牌型号替代，但替代的厂家或品牌型号要实质上相当于或优于参考厂家或品牌型号及其技术参数性能（配置）要求。</w:t>
      </w:r>
    </w:p>
    <w:p>
      <w:pPr>
        <w:spacing w:line="460" w:lineRule="exact"/>
        <w:ind w:firstLine="480" w:firstLineChars="200"/>
        <w:rPr>
          <w:rFonts w:ascii="宋体" w:hAnsi="宋体"/>
          <w:sz w:val="24"/>
        </w:rPr>
      </w:pPr>
      <w:r>
        <w:rPr>
          <w:rFonts w:hint="eastAsia" w:ascii="宋体" w:hAnsi="宋体"/>
          <w:sz w:val="24"/>
        </w:rPr>
        <w:t>（2）本一览表中参考品牌型号规格及技术参数性能（配置）不明确或有误的，或竞标人选用优于招标文件提供的品牌、技术参数的其他品牌型号替代的，请以详细、正确的品牌型号、技术参数（配置）代替，同时填写报价表和技术规格偏离表。</w:t>
      </w:r>
    </w:p>
    <w:p>
      <w:pPr>
        <w:spacing w:line="460" w:lineRule="exact"/>
        <w:ind w:firstLine="480" w:firstLineChars="200"/>
        <w:rPr>
          <w:rFonts w:ascii="宋体" w:hAnsi="宋体"/>
          <w:sz w:val="24"/>
        </w:rPr>
      </w:pPr>
      <w:r>
        <w:rPr>
          <w:rFonts w:hint="eastAsia" w:ascii="宋体" w:hAnsi="宋体"/>
          <w:sz w:val="24"/>
        </w:rPr>
        <w:t>（3）凡在技术参数及其性能（配置）要求中表述为“标配”或“标准标配”的设备，竞标人应在报价中将其标配参数详细列明，否则评标小组有权认定为无效报价。</w:t>
      </w:r>
    </w:p>
    <w:p>
      <w:pPr>
        <w:spacing w:line="460" w:lineRule="exact"/>
        <w:ind w:firstLine="480" w:firstLineChars="200"/>
        <w:rPr>
          <w:rFonts w:ascii="宋体" w:hAnsi="宋体"/>
          <w:sz w:val="24"/>
        </w:rPr>
      </w:pPr>
      <w:r>
        <w:rPr>
          <w:rFonts w:hint="eastAsia" w:ascii="宋体" w:hAnsi="宋体"/>
          <w:sz w:val="24"/>
        </w:rPr>
        <w:t>（4）竞标人所投设备的配置不能低于该设备的出厂标准配置，如果招标文件中的配置要求有高于出厂标准配置的，竞标人必须按要求增加配置。</w:t>
      </w:r>
    </w:p>
    <w:p>
      <w:pPr>
        <w:spacing w:line="460" w:lineRule="exact"/>
        <w:ind w:firstLine="480" w:firstLineChars="200"/>
        <w:rPr>
          <w:rFonts w:ascii="宋体" w:hAnsi="宋体"/>
          <w:sz w:val="24"/>
        </w:rPr>
      </w:pPr>
      <w:r>
        <w:rPr>
          <w:rFonts w:hint="eastAsia" w:ascii="宋体" w:hAnsi="宋体"/>
          <w:sz w:val="24"/>
        </w:rPr>
        <w:t>（5）打</w:t>
      </w:r>
      <w:r>
        <w:rPr>
          <w:rFonts w:hint="eastAsia" w:ascii="新宋体" w:hAnsi="新宋体" w:eastAsia="新宋体"/>
          <w:kern w:val="0"/>
          <w:szCs w:val="21"/>
        </w:rPr>
        <w:t>★</w:t>
      </w:r>
      <w:r>
        <w:rPr>
          <w:rFonts w:hint="eastAsia" w:ascii="宋体" w:hAnsi="宋体"/>
          <w:sz w:val="24"/>
        </w:rPr>
        <w:t>项为实质性的要求，必须满足，否则视为未实质性响应采购文件的要求，其竞标无效。</w:t>
      </w:r>
    </w:p>
    <w:p>
      <w:pPr>
        <w:adjustRightInd w:val="0"/>
        <w:snapToGrid w:val="0"/>
        <w:spacing w:line="400" w:lineRule="exact"/>
        <w:ind w:firstLine="480" w:firstLineChars="200"/>
        <w:rPr>
          <w:rFonts w:ascii="宋体" w:hAnsi="宋体"/>
          <w:sz w:val="24"/>
        </w:rPr>
      </w:pPr>
      <w:r>
        <w:rPr>
          <w:rFonts w:hint="eastAsia" w:ascii="宋体" w:hAnsi="宋体"/>
          <w:sz w:val="24"/>
        </w:rPr>
        <w:t>（6）提供相同品牌产品的不同竞标人参加同一合同项下投标的，以其中通过资格审查、符合性审查且报价最低的参加评标，报价相同的，由采购人自主选择确定一个参加评标的竞标人，其他竞标无效；</w:t>
      </w:r>
    </w:p>
    <w:p>
      <w:pPr>
        <w:adjustRightInd w:val="0"/>
        <w:snapToGrid w:val="0"/>
        <w:spacing w:line="400" w:lineRule="exact"/>
        <w:ind w:firstLine="480" w:firstLineChars="200"/>
        <w:rPr>
          <w:rFonts w:ascii="宋体" w:hAnsi="宋体"/>
          <w:sz w:val="24"/>
        </w:rPr>
      </w:pPr>
      <w:r>
        <w:rPr>
          <w:rFonts w:hint="eastAsia" w:ascii="宋体" w:hAnsi="宋体"/>
          <w:sz w:val="24"/>
        </w:rPr>
        <w:t>（7）非单一产品采购项目中，多家竞标人提供的核心产品品牌相同的，视为提供相同品牌产品。</w:t>
      </w:r>
    </w:p>
    <w:p>
      <w:pPr>
        <w:pStyle w:val="22"/>
        <w:rPr>
          <w:sz w:val="52"/>
          <w:szCs w:val="52"/>
        </w:rPr>
      </w:pPr>
      <w:r>
        <w:rPr>
          <w:rFonts w:hint="eastAsia"/>
          <w:b/>
          <w:sz w:val="32"/>
        </w:rPr>
        <w:br w:type="page"/>
      </w:r>
      <w:r>
        <w:rPr>
          <w:rFonts w:hint="eastAsia"/>
          <w:b/>
          <w:sz w:val="32"/>
          <w:szCs w:val="32"/>
        </w:rPr>
        <w:t>货物需求一览表</w:t>
      </w:r>
    </w:p>
    <w:tbl>
      <w:tblPr>
        <w:tblStyle w:val="3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1656"/>
        <w:gridCol w:w="614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序号</w:t>
            </w:r>
          </w:p>
        </w:tc>
        <w:tc>
          <w:tcPr>
            <w:tcW w:w="1656" w:type="dxa"/>
            <w:vAlign w:val="center"/>
          </w:tcPr>
          <w:p>
            <w:pPr>
              <w:spacing w:line="320" w:lineRule="exact"/>
              <w:jc w:val="center"/>
              <w:rPr>
                <w:rFonts w:ascii="宋体" w:hAnsi="宋体"/>
                <w:szCs w:val="21"/>
              </w:rPr>
            </w:pPr>
            <w:r>
              <w:rPr>
                <w:rFonts w:hint="eastAsia" w:ascii="宋体" w:hAnsi="宋体"/>
                <w:szCs w:val="21"/>
              </w:rPr>
              <w:t>主机/设备/部件/</w:t>
            </w:r>
          </w:p>
          <w:p>
            <w:pPr>
              <w:spacing w:line="320" w:lineRule="exact"/>
              <w:jc w:val="center"/>
              <w:rPr>
                <w:rFonts w:ascii="宋体" w:hAnsi="宋体"/>
                <w:szCs w:val="21"/>
              </w:rPr>
            </w:pPr>
            <w:r>
              <w:rPr>
                <w:rFonts w:hint="eastAsia" w:ascii="宋体" w:hAnsi="宋体"/>
                <w:szCs w:val="21"/>
              </w:rPr>
              <w:t>系统名称</w:t>
            </w:r>
          </w:p>
        </w:tc>
        <w:tc>
          <w:tcPr>
            <w:tcW w:w="6148" w:type="dxa"/>
            <w:vAlign w:val="center"/>
          </w:tcPr>
          <w:p>
            <w:pPr>
              <w:spacing w:line="320" w:lineRule="exact"/>
              <w:jc w:val="center"/>
              <w:rPr>
                <w:rFonts w:ascii="宋体" w:hAnsi="宋体"/>
                <w:szCs w:val="21"/>
              </w:rPr>
            </w:pPr>
            <w:r>
              <w:rPr>
                <w:rFonts w:hint="eastAsia" w:ascii="宋体" w:hAnsi="宋体"/>
                <w:szCs w:val="21"/>
              </w:rPr>
              <w:t>招标人技术要求</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9379" w:type="dxa"/>
            <w:gridSpan w:val="4"/>
            <w:vAlign w:val="center"/>
          </w:tcPr>
          <w:p>
            <w:pPr>
              <w:spacing w:line="320" w:lineRule="exact"/>
              <w:jc w:val="left"/>
              <w:rPr>
                <w:rFonts w:ascii="宋体" w:hAnsi="宋体"/>
                <w:szCs w:val="21"/>
              </w:rPr>
            </w:pPr>
            <w:r>
              <w:rPr>
                <w:rFonts w:hint="eastAsia" w:ascii="宋体" w:hAnsi="宋体"/>
                <w:szCs w:val="21"/>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1.1</w:t>
            </w:r>
          </w:p>
        </w:tc>
        <w:tc>
          <w:tcPr>
            <w:tcW w:w="1656" w:type="dxa"/>
            <w:vAlign w:val="center"/>
          </w:tcPr>
          <w:p>
            <w:pPr>
              <w:spacing w:line="320" w:lineRule="exact"/>
              <w:jc w:val="center"/>
              <w:rPr>
                <w:rFonts w:ascii="宋体" w:hAnsi="宋体"/>
                <w:szCs w:val="21"/>
              </w:rPr>
            </w:pPr>
            <w:r>
              <w:rPr>
                <w:rFonts w:hint="eastAsia" w:ascii="宋体" w:hAnsi="宋体"/>
                <w:szCs w:val="21"/>
              </w:rPr>
              <w:t>数量（台）</w:t>
            </w:r>
          </w:p>
        </w:tc>
        <w:tc>
          <w:tcPr>
            <w:tcW w:w="6148" w:type="dxa"/>
            <w:vAlign w:val="center"/>
          </w:tcPr>
          <w:p>
            <w:pPr>
              <w:spacing w:line="320" w:lineRule="exact"/>
              <w:jc w:val="center"/>
              <w:rPr>
                <w:rFonts w:ascii="宋体" w:hAnsi="宋体"/>
                <w:szCs w:val="21"/>
              </w:rPr>
            </w:pPr>
            <w:r>
              <w:rPr>
                <w:rFonts w:hint="eastAsia" w:ascii="宋体" w:hAnsi="宋体"/>
                <w:szCs w:val="21"/>
              </w:rPr>
              <w:t>3部（有机房医用电梯）</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1.2</w:t>
            </w:r>
          </w:p>
        </w:tc>
        <w:tc>
          <w:tcPr>
            <w:tcW w:w="1656" w:type="dxa"/>
            <w:vAlign w:val="center"/>
          </w:tcPr>
          <w:p>
            <w:pPr>
              <w:spacing w:line="320" w:lineRule="exact"/>
              <w:jc w:val="center"/>
              <w:rPr>
                <w:rFonts w:ascii="宋体" w:hAnsi="宋体"/>
                <w:szCs w:val="21"/>
              </w:rPr>
            </w:pPr>
            <w:r>
              <w:rPr>
                <w:rFonts w:hint="eastAsia" w:ascii="宋体" w:hAnsi="宋体"/>
                <w:szCs w:val="21"/>
              </w:rPr>
              <w:t>额定载重量</w:t>
            </w:r>
          </w:p>
        </w:tc>
        <w:tc>
          <w:tcPr>
            <w:tcW w:w="6148" w:type="dxa"/>
            <w:vAlign w:val="center"/>
          </w:tcPr>
          <w:p>
            <w:pPr>
              <w:spacing w:line="320" w:lineRule="exact"/>
              <w:jc w:val="center"/>
              <w:rPr>
                <w:rFonts w:ascii="宋体" w:hAnsi="宋体"/>
                <w:szCs w:val="21"/>
              </w:rPr>
            </w:pPr>
            <w:r>
              <w:rPr>
                <w:rFonts w:hint="eastAsia" w:ascii="宋体" w:hAnsi="宋体"/>
                <w:szCs w:val="21"/>
              </w:rPr>
              <w:t>1600kG</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1.3</w:t>
            </w:r>
          </w:p>
        </w:tc>
        <w:tc>
          <w:tcPr>
            <w:tcW w:w="1656" w:type="dxa"/>
            <w:vAlign w:val="center"/>
          </w:tcPr>
          <w:p>
            <w:pPr>
              <w:spacing w:line="320" w:lineRule="exact"/>
              <w:jc w:val="center"/>
              <w:rPr>
                <w:rFonts w:ascii="宋体" w:hAnsi="宋体"/>
                <w:szCs w:val="21"/>
              </w:rPr>
            </w:pPr>
            <w:r>
              <w:rPr>
                <w:rFonts w:hint="eastAsia" w:ascii="宋体" w:hAnsi="宋体"/>
                <w:szCs w:val="21"/>
              </w:rPr>
              <w:t>额定速度</w:t>
            </w:r>
          </w:p>
        </w:tc>
        <w:tc>
          <w:tcPr>
            <w:tcW w:w="6148" w:type="dxa"/>
            <w:vAlign w:val="center"/>
          </w:tcPr>
          <w:p>
            <w:pPr>
              <w:spacing w:line="320" w:lineRule="exact"/>
              <w:jc w:val="center"/>
              <w:rPr>
                <w:rFonts w:ascii="宋体" w:hAnsi="宋体"/>
                <w:szCs w:val="21"/>
              </w:rPr>
            </w:pPr>
            <w:r>
              <w:rPr>
                <w:rFonts w:hint="eastAsia" w:ascii="宋体" w:hAnsi="宋体"/>
                <w:szCs w:val="21"/>
              </w:rPr>
              <w:t>1.6m/s</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1.4</w:t>
            </w:r>
          </w:p>
        </w:tc>
        <w:tc>
          <w:tcPr>
            <w:tcW w:w="1656" w:type="dxa"/>
            <w:vAlign w:val="center"/>
          </w:tcPr>
          <w:p>
            <w:pPr>
              <w:spacing w:line="320" w:lineRule="exact"/>
              <w:jc w:val="center"/>
              <w:rPr>
                <w:rFonts w:ascii="宋体" w:hAnsi="宋体"/>
                <w:szCs w:val="21"/>
              </w:rPr>
            </w:pPr>
            <w:r>
              <w:rPr>
                <w:rFonts w:hint="eastAsia" w:ascii="宋体" w:hAnsi="宋体"/>
                <w:szCs w:val="21"/>
              </w:rPr>
              <w:t>电源</w:t>
            </w:r>
          </w:p>
        </w:tc>
        <w:tc>
          <w:tcPr>
            <w:tcW w:w="6148" w:type="dxa"/>
            <w:vAlign w:val="center"/>
          </w:tcPr>
          <w:p>
            <w:pPr>
              <w:spacing w:line="320" w:lineRule="exact"/>
              <w:jc w:val="center"/>
              <w:rPr>
                <w:rFonts w:ascii="宋体" w:hAnsi="宋体"/>
                <w:szCs w:val="21"/>
              </w:rPr>
            </w:pPr>
            <w:r>
              <w:rPr>
                <w:rFonts w:hint="eastAsia" w:ascii="宋体" w:hAnsi="宋体"/>
                <w:szCs w:val="21"/>
              </w:rPr>
              <w:t>动力电源: 三相五线制，交流380伏50赫兹； 照明电源：单相交流220伏50赫兹</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1.4</w:t>
            </w:r>
          </w:p>
        </w:tc>
        <w:tc>
          <w:tcPr>
            <w:tcW w:w="1656" w:type="dxa"/>
            <w:vAlign w:val="center"/>
          </w:tcPr>
          <w:p>
            <w:pPr>
              <w:spacing w:line="320" w:lineRule="exact"/>
              <w:jc w:val="center"/>
              <w:rPr>
                <w:rFonts w:ascii="宋体" w:hAnsi="宋体"/>
                <w:szCs w:val="21"/>
              </w:rPr>
            </w:pPr>
            <w:r>
              <w:rPr>
                <w:rFonts w:hint="eastAsia" w:ascii="宋体" w:hAnsi="宋体"/>
                <w:szCs w:val="21"/>
              </w:rPr>
              <w:t>开门尺寸</w:t>
            </w:r>
          </w:p>
        </w:tc>
        <w:tc>
          <w:tcPr>
            <w:tcW w:w="6148" w:type="dxa"/>
            <w:vAlign w:val="center"/>
          </w:tcPr>
          <w:p>
            <w:pPr>
              <w:spacing w:line="320" w:lineRule="exact"/>
              <w:rPr>
                <w:rFonts w:ascii="宋体" w:hAnsi="宋体"/>
                <w:szCs w:val="21"/>
              </w:rPr>
            </w:pPr>
            <w:r>
              <w:rPr>
                <w:rFonts w:hint="eastAsia" w:ascii="宋体" w:hAnsi="宋体"/>
                <w:szCs w:val="21"/>
              </w:rPr>
              <w:t>根据招标人洞口尺寸（门洞宽1.3m；门洞高度2.2m），各投标人自报。复核土建预留尺寸，对预埋预留现场校验并签字确认</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1.5</w:t>
            </w:r>
          </w:p>
        </w:tc>
        <w:tc>
          <w:tcPr>
            <w:tcW w:w="1656" w:type="dxa"/>
            <w:vAlign w:val="center"/>
          </w:tcPr>
          <w:p>
            <w:pPr>
              <w:spacing w:line="320" w:lineRule="exact"/>
              <w:jc w:val="center"/>
              <w:rPr>
                <w:rFonts w:ascii="宋体" w:hAnsi="宋体"/>
                <w:szCs w:val="21"/>
              </w:rPr>
            </w:pPr>
            <w:r>
              <w:rPr>
                <w:rFonts w:hint="eastAsia" w:ascii="宋体" w:hAnsi="宋体"/>
                <w:szCs w:val="21"/>
              </w:rPr>
              <w:t>轿厢内部尺寸</w:t>
            </w:r>
          </w:p>
          <w:p>
            <w:pPr>
              <w:spacing w:line="320" w:lineRule="exact"/>
              <w:jc w:val="center"/>
              <w:rPr>
                <w:rFonts w:ascii="宋体" w:hAnsi="宋体"/>
                <w:szCs w:val="21"/>
              </w:rPr>
            </w:pPr>
            <w:r>
              <w:rPr>
                <w:rFonts w:hint="eastAsia" w:ascii="宋体" w:hAnsi="宋体"/>
                <w:szCs w:val="21"/>
              </w:rPr>
              <w:t>（宽*深*高mm）</w:t>
            </w:r>
          </w:p>
        </w:tc>
        <w:tc>
          <w:tcPr>
            <w:tcW w:w="6148" w:type="dxa"/>
            <w:vAlign w:val="center"/>
          </w:tcPr>
          <w:p>
            <w:pPr>
              <w:spacing w:line="320" w:lineRule="exact"/>
              <w:jc w:val="center"/>
              <w:rPr>
                <w:rFonts w:ascii="宋体" w:hAnsi="宋体"/>
                <w:szCs w:val="21"/>
              </w:rPr>
            </w:pPr>
            <w:r>
              <w:rPr>
                <w:rFonts w:hint="eastAsia" w:ascii="宋体" w:hAnsi="宋体"/>
                <w:szCs w:val="21"/>
              </w:rPr>
              <w:t>根据招标人洞口尺寸，各投标人自报。复核土建预留尺寸，对预埋预留现场校验并签字确认</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1.6</w:t>
            </w:r>
          </w:p>
        </w:tc>
        <w:tc>
          <w:tcPr>
            <w:tcW w:w="1656" w:type="dxa"/>
            <w:vAlign w:val="center"/>
          </w:tcPr>
          <w:p>
            <w:pPr>
              <w:spacing w:line="320" w:lineRule="exact"/>
              <w:jc w:val="center"/>
              <w:rPr>
                <w:rFonts w:ascii="宋体" w:hAnsi="宋体"/>
                <w:szCs w:val="21"/>
              </w:rPr>
            </w:pPr>
            <w:r>
              <w:rPr>
                <w:rFonts w:hint="eastAsia" w:ascii="宋体" w:hAnsi="宋体"/>
                <w:szCs w:val="21"/>
              </w:rPr>
              <w:t>停层</w:t>
            </w:r>
          </w:p>
        </w:tc>
        <w:tc>
          <w:tcPr>
            <w:tcW w:w="6148" w:type="dxa"/>
            <w:vAlign w:val="center"/>
          </w:tcPr>
          <w:p>
            <w:pPr>
              <w:spacing w:line="320" w:lineRule="exact"/>
              <w:ind w:firstLine="210" w:firstLineChars="100"/>
              <w:jc w:val="left"/>
            </w:pPr>
            <w:r>
              <w:rPr>
                <w:rFonts w:hint="eastAsia" w:ascii="宋体" w:hAnsi="宋体" w:cs="宋体"/>
              </w:rPr>
              <w:t>5/5/5层/站/门(2台)     4/4/4层/站/门(1台)</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1.7</w:t>
            </w:r>
          </w:p>
        </w:tc>
        <w:tc>
          <w:tcPr>
            <w:tcW w:w="1656" w:type="dxa"/>
            <w:vAlign w:val="center"/>
          </w:tcPr>
          <w:p>
            <w:pPr>
              <w:spacing w:line="320" w:lineRule="exact"/>
              <w:jc w:val="center"/>
              <w:rPr>
                <w:rFonts w:ascii="宋体" w:hAnsi="宋体"/>
                <w:szCs w:val="21"/>
              </w:rPr>
            </w:pPr>
            <w:r>
              <w:rPr>
                <w:rFonts w:hint="eastAsia" w:ascii="宋体" w:hAnsi="宋体"/>
                <w:szCs w:val="21"/>
              </w:rPr>
              <w:t>开门方式</w:t>
            </w:r>
          </w:p>
        </w:tc>
        <w:tc>
          <w:tcPr>
            <w:tcW w:w="6148" w:type="dxa"/>
            <w:vAlign w:val="center"/>
          </w:tcPr>
          <w:p>
            <w:pPr>
              <w:spacing w:line="320" w:lineRule="exact"/>
              <w:jc w:val="center"/>
              <w:rPr>
                <w:rFonts w:ascii="宋体" w:hAnsi="宋体"/>
                <w:szCs w:val="21"/>
              </w:rPr>
            </w:pPr>
            <w:r>
              <w:rPr>
                <w:rFonts w:hint="eastAsia" w:ascii="宋体" w:hAnsi="宋体"/>
                <w:szCs w:val="21"/>
              </w:rPr>
              <w:t>双扇</w:t>
            </w:r>
            <w:r>
              <w:rPr>
                <w:rFonts w:hint="eastAsia" w:ascii="宋体" w:hAnsi="宋体"/>
                <w:color w:val="FF0000"/>
                <w:szCs w:val="21"/>
                <w:highlight w:val="yellow"/>
              </w:rPr>
              <w:t>侧开门</w:t>
            </w:r>
            <w:r>
              <w:rPr>
                <w:rFonts w:hint="eastAsia" w:ascii="宋体" w:hAnsi="宋体"/>
                <w:szCs w:val="21"/>
              </w:rPr>
              <w:t>，带光幕式门保护系统</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1.8</w:t>
            </w:r>
          </w:p>
        </w:tc>
        <w:tc>
          <w:tcPr>
            <w:tcW w:w="1656" w:type="dxa"/>
            <w:vAlign w:val="center"/>
          </w:tcPr>
          <w:p>
            <w:pPr>
              <w:spacing w:line="320" w:lineRule="exact"/>
              <w:jc w:val="center"/>
              <w:rPr>
                <w:rFonts w:ascii="宋体" w:hAnsi="宋体"/>
                <w:szCs w:val="21"/>
              </w:rPr>
            </w:pPr>
            <w:r>
              <w:rPr>
                <w:rFonts w:hint="eastAsia" w:ascii="宋体" w:hAnsi="宋体"/>
                <w:szCs w:val="21"/>
              </w:rPr>
              <w:t>轿厢</w:t>
            </w:r>
          </w:p>
        </w:tc>
        <w:tc>
          <w:tcPr>
            <w:tcW w:w="6148" w:type="dxa"/>
            <w:vAlign w:val="center"/>
          </w:tcPr>
          <w:p>
            <w:pPr>
              <w:spacing w:line="320" w:lineRule="exact"/>
              <w:jc w:val="left"/>
              <w:rPr>
                <w:rFonts w:ascii="宋体" w:hAnsi="宋体"/>
                <w:szCs w:val="21"/>
              </w:rPr>
            </w:pPr>
            <w:r>
              <w:rPr>
                <w:rFonts w:hint="eastAsia" w:ascii="宋体" w:hAnsi="宋体"/>
                <w:szCs w:val="21"/>
              </w:rPr>
              <w:t>轿厢壁：采用发纹不锈钢和镜面+扶手</w:t>
            </w:r>
          </w:p>
          <w:p>
            <w:pPr>
              <w:spacing w:line="320" w:lineRule="exact"/>
              <w:jc w:val="left"/>
              <w:rPr>
                <w:rFonts w:ascii="宋体" w:hAnsi="宋体"/>
                <w:szCs w:val="21"/>
              </w:rPr>
            </w:pPr>
            <w:r>
              <w:rPr>
                <w:rFonts w:hint="eastAsia" w:ascii="宋体" w:hAnsi="宋体"/>
                <w:szCs w:val="21"/>
              </w:rPr>
              <w:t>地面：PVC</w:t>
            </w:r>
          </w:p>
          <w:p>
            <w:pPr>
              <w:spacing w:line="320" w:lineRule="exact"/>
              <w:jc w:val="left"/>
              <w:rPr>
                <w:rFonts w:ascii="宋体" w:hAnsi="宋体"/>
                <w:szCs w:val="21"/>
              </w:rPr>
            </w:pPr>
            <w:r>
              <w:rPr>
                <w:rFonts w:hint="eastAsia" w:ascii="宋体" w:hAnsi="宋体"/>
                <w:szCs w:val="21"/>
              </w:rPr>
              <w:t>轿厢顶：银色发纹不锈钢，含灯光照亮标准（</w:t>
            </w:r>
            <w:r>
              <w:rPr>
                <w:rFonts w:hint="eastAsia" w:ascii="宋体" w:hAnsi="宋体"/>
                <w:color w:val="FF0000"/>
                <w:szCs w:val="21"/>
                <w:highlight w:val="yellow"/>
              </w:rPr>
              <w:t>L</w:t>
            </w:r>
            <w:r>
              <w:rPr>
                <w:rFonts w:ascii="宋体" w:hAnsi="宋体"/>
                <w:color w:val="FF0000"/>
                <w:szCs w:val="21"/>
                <w:highlight w:val="yellow"/>
              </w:rPr>
              <w:t>EC</w:t>
            </w:r>
            <w:r>
              <w:rPr>
                <w:rFonts w:hint="eastAsia" w:ascii="宋体" w:hAnsi="宋体"/>
                <w:color w:val="FF0000"/>
                <w:szCs w:val="21"/>
                <w:highlight w:val="yellow"/>
              </w:rPr>
              <w:t>灯</w:t>
            </w:r>
            <w:r>
              <w:rPr>
                <w:rFonts w:hint="eastAsia" w:ascii="宋体" w:hAnsi="宋体"/>
                <w:szCs w:val="21"/>
              </w:rPr>
              <w:t>，照度必须明示、地板照度不低于501x），电梯灯光朝上，不能向下直射。</w:t>
            </w:r>
          </w:p>
          <w:p>
            <w:pPr>
              <w:spacing w:line="320" w:lineRule="exact"/>
              <w:jc w:val="left"/>
              <w:rPr>
                <w:rFonts w:ascii="宋体" w:hAnsi="宋体"/>
                <w:szCs w:val="21"/>
              </w:rPr>
            </w:pPr>
            <w:r>
              <w:rPr>
                <w:rFonts w:hint="eastAsia" w:ascii="宋体" w:hAnsi="宋体"/>
                <w:szCs w:val="21"/>
              </w:rPr>
              <w:t>操纵盘：电梯轿厢内设单边操纵盘和残疾人操纵盘，材质为发纹不锈钢面板，</w:t>
            </w:r>
          </w:p>
          <w:p>
            <w:pPr>
              <w:spacing w:line="320" w:lineRule="exact"/>
              <w:jc w:val="left"/>
              <w:rPr>
                <w:rFonts w:ascii="宋体" w:hAnsi="宋体"/>
                <w:szCs w:val="21"/>
              </w:rPr>
            </w:pPr>
            <w:r>
              <w:rPr>
                <w:rFonts w:hint="eastAsia" w:ascii="宋体" w:hAnsi="宋体"/>
                <w:szCs w:val="21"/>
              </w:rPr>
              <w:t>轿厢显示：</w:t>
            </w:r>
            <w:r>
              <w:rPr>
                <w:rFonts w:hint="eastAsia" w:ascii="宋体" w:hAnsi="宋体"/>
                <w:color w:val="FF0000"/>
                <w:szCs w:val="21"/>
                <w:highlight w:val="yellow"/>
              </w:rPr>
              <w:t>7寸液晶显示</w:t>
            </w:r>
          </w:p>
          <w:p>
            <w:pPr>
              <w:spacing w:line="320" w:lineRule="exact"/>
              <w:jc w:val="left"/>
              <w:rPr>
                <w:rFonts w:ascii="宋体" w:hAnsi="宋体"/>
                <w:szCs w:val="21"/>
              </w:rPr>
            </w:pPr>
            <w:r>
              <w:rPr>
                <w:rFonts w:hint="eastAsia" w:ascii="宋体" w:hAnsi="宋体"/>
                <w:szCs w:val="21"/>
              </w:rPr>
              <w:t>楼层及方向显示装有发光二极管照明的楼层按钮，操纵盘按钮为不锈钢轻触式按钮（楼层及方向显示应在操纵盘上方）；</w:t>
            </w:r>
          </w:p>
          <w:p>
            <w:pPr>
              <w:spacing w:line="320" w:lineRule="exact"/>
              <w:jc w:val="left"/>
              <w:rPr>
                <w:rFonts w:hint="eastAsia" w:ascii="宋体" w:hAnsi="宋体"/>
                <w:szCs w:val="21"/>
              </w:rPr>
            </w:pPr>
            <w:r>
              <w:rPr>
                <w:rFonts w:hint="eastAsia" w:ascii="宋体" w:hAnsi="宋体"/>
                <w:szCs w:val="21"/>
              </w:rPr>
              <w:t>轿厢门坎：硬质铝制，厚度≥1.5mm;</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1.9</w:t>
            </w:r>
          </w:p>
        </w:tc>
        <w:tc>
          <w:tcPr>
            <w:tcW w:w="1656" w:type="dxa"/>
            <w:vAlign w:val="center"/>
          </w:tcPr>
          <w:p>
            <w:pPr>
              <w:spacing w:line="320" w:lineRule="exact"/>
              <w:jc w:val="center"/>
              <w:rPr>
                <w:rFonts w:ascii="宋体" w:hAnsi="宋体"/>
                <w:szCs w:val="21"/>
              </w:rPr>
            </w:pPr>
            <w:r>
              <w:rPr>
                <w:rFonts w:hint="eastAsia" w:ascii="宋体" w:hAnsi="宋体"/>
                <w:szCs w:val="21"/>
              </w:rPr>
              <w:t>门套要求</w:t>
            </w:r>
          </w:p>
        </w:tc>
        <w:tc>
          <w:tcPr>
            <w:tcW w:w="6148" w:type="dxa"/>
            <w:vAlign w:val="center"/>
          </w:tcPr>
          <w:p>
            <w:pPr>
              <w:spacing w:line="320" w:lineRule="exact"/>
              <w:jc w:val="center"/>
              <w:rPr>
                <w:rFonts w:ascii="宋体" w:hAnsi="宋体"/>
                <w:szCs w:val="21"/>
              </w:rPr>
            </w:pPr>
            <w:r>
              <w:rPr>
                <w:rFonts w:hint="eastAsia" w:ascii="宋体" w:hAnsi="宋体"/>
                <w:szCs w:val="21"/>
              </w:rPr>
              <w:t>发纹不锈钢</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1.10</w:t>
            </w:r>
          </w:p>
        </w:tc>
        <w:tc>
          <w:tcPr>
            <w:tcW w:w="1656" w:type="dxa"/>
            <w:vAlign w:val="center"/>
          </w:tcPr>
          <w:p>
            <w:pPr>
              <w:spacing w:line="320" w:lineRule="exact"/>
              <w:jc w:val="center"/>
              <w:rPr>
                <w:rFonts w:ascii="宋体" w:hAnsi="宋体"/>
                <w:szCs w:val="21"/>
              </w:rPr>
            </w:pPr>
            <w:r>
              <w:rPr>
                <w:rFonts w:hint="eastAsia" w:ascii="宋体" w:hAnsi="宋体"/>
                <w:szCs w:val="21"/>
              </w:rPr>
              <w:t>厅门</w:t>
            </w:r>
          </w:p>
        </w:tc>
        <w:tc>
          <w:tcPr>
            <w:tcW w:w="6148" w:type="dxa"/>
          </w:tcPr>
          <w:p>
            <w:pPr>
              <w:spacing w:line="320" w:lineRule="exact"/>
              <w:jc w:val="left"/>
              <w:rPr>
                <w:rFonts w:ascii="宋体" w:hAnsi="宋体"/>
                <w:szCs w:val="21"/>
              </w:rPr>
            </w:pPr>
            <w:r>
              <w:rPr>
                <w:rFonts w:hint="eastAsia" w:ascii="宋体" w:hAnsi="宋体"/>
                <w:szCs w:val="21"/>
              </w:rPr>
              <w:t>厅门：发纹不锈钢门套</w:t>
            </w:r>
          </w:p>
          <w:p>
            <w:pPr>
              <w:spacing w:line="320" w:lineRule="exact"/>
              <w:jc w:val="left"/>
              <w:rPr>
                <w:rFonts w:ascii="宋体" w:hAnsi="宋体"/>
                <w:szCs w:val="21"/>
              </w:rPr>
            </w:pPr>
            <w:r>
              <w:rPr>
                <w:rFonts w:hint="eastAsia" w:ascii="宋体" w:hAnsi="宋体"/>
                <w:szCs w:val="21"/>
              </w:rPr>
              <w:t>厅门坎：铝合金</w:t>
            </w:r>
          </w:p>
          <w:p>
            <w:pPr>
              <w:spacing w:line="320" w:lineRule="exact"/>
              <w:jc w:val="left"/>
              <w:rPr>
                <w:rFonts w:ascii="宋体" w:hAnsi="宋体"/>
                <w:szCs w:val="21"/>
              </w:rPr>
            </w:pPr>
            <w:r>
              <w:rPr>
                <w:rFonts w:hint="eastAsia" w:ascii="宋体" w:hAnsi="宋体"/>
                <w:szCs w:val="21"/>
              </w:rPr>
              <w:t>厅外显示：</w:t>
            </w:r>
            <w:r>
              <w:rPr>
                <w:rFonts w:hint="eastAsia" w:ascii="宋体" w:hAnsi="宋体"/>
                <w:color w:val="FF0000"/>
                <w:szCs w:val="21"/>
                <w:highlight w:val="yellow"/>
              </w:rPr>
              <w:t>段码液晶显示</w:t>
            </w:r>
          </w:p>
          <w:p>
            <w:pPr>
              <w:spacing w:line="320" w:lineRule="exact"/>
              <w:jc w:val="left"/>
              <w:rPr>
                <w:rFonts w:ascii="宋体" w:hAnsi="宋体"/>
                <w:szCs w:val="21"/>
              </w:rPr>
            </w:pPr>
            <w:r>
              <w:rPr>
                <w:rFonts w:hint="eastAsia" w:ascii="宋体" w:hAnsi="宋体"/>
                <w:szCs w:val="21"/>
              </w:rPr>
              <w:t>门厅按钮及显示：按钮盘应显示楼层、运行方向、满载或故障</w:t>
            </w:r>
          </w:p>
        </w:tc>
        <w:tc>
          <w:tcPr>
            <w:tcW w:w="960"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379" w:type="dxa"/>
            <w:gridSpan w:val="4"/>
            <w:vAlign w:val="center"/>
          </w:tcPr>
          <w:p>
            <w:pPr>
              <w:spacing w:line="320" w:lineRule="exact"/>
              <w:jc w:val="left"/>
              <w:rPr>
                <w:rFonts w:ascii="宋体" w:hAnsi="宋体"/>
                <w:szCs w:val="21"/>
              </w:rPr>
            </w:pPr>
            <w:r>
              <w:rPr>
                <w:rFonts w:hint="eastAsia" w:ascii="宋体" w:hAnsi="宋体"/>
                <w:szCs w:val="21"/>
              </w:rPr>
              <w:t>二、系统要求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2.1</w:t>
            </w:r>
          </w:p>
        </w:tc>
        <w:tc>
          <w:tcPr>
            <w:tcW w:w="1656" w:type="dxa"/>
            <w:vAlign w:val="center"/>
          </w:tcPr>
          <w:p>
            <w:pPr>
              <w:spacing w:line="320" w:lineRule="exact"/>
              <w:jc w:val="center"/>
              <w:rPr>
                <w:rFonts w:ascii="宋体" w:hAnsi="宋体"/>
                <w:szCs w:val="21"/>
              </w:rPr>
            </w:pPr>
            <w:r>
              <w:rPr>
                <w:rFonts w:hint="eastAsia" w:ascii="宋体" w:hAnsi="宋体"/>
                <w:szCs w:val="21"/>
              </w:rPr>
              <w:t>控制方式</w:t>
            </w:r>
          </w:p>
        </w:tc>
        <w:tc>
          <w:tcPr>
            <w:tcW w:w="6148" w:type="dxa"/>
            <w:vAlign w:val="center"/>
          </w:tcPr>
          <w:p>
            <w:pPr>
              <w:spacing w:line="320" w:lineRule="exact"/>
              <w:rPr>
                <w:rFonts w:ascii="宋体" w:hAnsi="宋体"/>
                <w:color w:val="FF0000"/>
                <w:szCs w:val="21"/>
              </w:rPr>
            </w:pPr>
            <w:r>
              <w:rPr>
                <w:rFonts w:hint="eastAsia" w:ascii="宋体" w:hAnsi="宋体"/>
                <w:color w:val="FF0000"/>
                <w:szCs w:val="21"/>
                <w:highlight w:val="yellow"/>
              </w:rPr>
              <w:t>32位CPU全数字化全智能化网络控制</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2.2</w:t>
            </w:r>
          </w:p>
        </w:tc>
        <w:tc>
          <w:tcPr>
            <w:tcW w:w="1656" w:type="dxa"/>
            <w:vAlign w:val="center"/>
          </w:tcPr>
          <w:p>
            <w:pPr>
              <w:spacing w:line="320" w:lineRule="exact"/>
              <w:jc w:val="center"/>
              <w:rPr>
                <w:rFonts w:ascii="宋体" w:hAnsi="宋体"/>
                <w:szCs w:val="21"/>
              </w:rPr>
            </w:pPr>
            <w:r>
              <w:rPr>
                <w:rFonts w:hint="eastAsia" w:ascii="宋体" w:hAnsi="宋体"/>
                <w:szCs w:val="21"/>
              </w:rPr>
              <w:t>操作方式</w:t>
            </w:r>
          </w:p>
        </w:tc>
        <w:tc>
          <w:tcPr>
            <w:tcW w:w="6148" w:type="dxa"/>
            <w:vAlign w:val="center"/>
          </w:tcPr>
          <w:p>
            <w:pPr>
              <w:spacing w:line="320" w:lineRule="exact"/>
              <w:jc w:val="center"/>
              <w:rPr>
                <w:rFonts w:ascii="宋体" w:hAnsi="宋体"/>
                <w:color w:val="FF0000"/>
                <w:szCs w:val="21"/>
              </w:rPr>
            </w:pPr>
            <w:r>
              <w:rPr>
                <w:rFonts w:hint="eastAsia" w:ascii="宋体" w:hAnsi="宋体"/>
                <w:color w:val="FF0000"/>
                <w:szCs w:val="21"/>
                <w:highlight w:val="yellow"/>
              </w:rPr>
              <w:t>全集选控制</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2.3</w:t>
            </w:r>
          </w:p>
        </w:tc>
        <w:tc>
          <w:tcPr>
            <w:tcW w:w="1656" w:type="dxa"/>
            <w:vAlign w:val="center"/>
          </w:tcPr>
          <w:p>
            <w:pPr>
              <w:spacing w:line="320" w:lineRule="exact"/>
              <w:jc w:val="center"/>
              <w:rPr>
                <w:rFonts w:ascii="宋体" w:hAnsi="宋体"/>
                <w:szCs w:val="21"/>
              </w:rPr>
            </w:pPr>
            <w:r>
              <w:rPr>
                <w:rFonts w:hint="eastAsia" w:ascii="宋体" w:hAnsi="宋体"/>
                <w:szCs w:val="21"/>
              </w:rPr>
              <w:t>开门机系统</w:t>
            </w:r>
          </w:p>
        </w:tc>
        <w:tc>
          <w:tcPr>
            <w:tcW w:w="6148" w:type="dxa"/>
            <w:vAlign w:val="center"/>
          </w:tcPr>
          <w:p>
            <w:pPr>
              <w:spacing w:line="320" w:lineRule="exact"/>
              <w:jc w:val="center"/>
              <w:rPr>
                <w:rFonts w:ascii="宋体" w:hAnsi="宋体"/>
                <w:color w:val="FF0000"/>
                <w:szCs w:val="21"/>
                <w:highlight w:val="yellow"/>
              </w:rPr>
            </w:pPr>
            <w:r>
              <w:rPr>
                <w:rFonts w:hint="eastAsia" w:ascii="宋体" w:hAnsi="宋体"/>
                <w:color w:val="FF0000"/>
                <w:szCs w:val="21"/>
                <w:highlight w:val="yellow"/>
              </w:rPr>
              <w:t>采用V</w:t>
            </w:r>
            <w:r>
              <w:rPr>
                <w:rFonts w:ascii="宋体" w:hAnsi="宋体"/>
                <w:color w:val="FF0000"/>
                <w:szCs w:val="21"/>
                <w:highlight w:val="yellow"/>
              </w:rPr>
              <w:t>VVF</w:t>
            </w:r>
            <w:r>
              <w:rPr>
                <w:rFonts w:hint="eastAsia" w:ascii="宋体" w:hAnsi="宋体"/>
                <w:color w:val="FF0000"/>
                <w:szCs w:val="21"/>
                <w:highlight w:val="yellow"/>
              </w:rPr>
              <w:t>永磁同步门机控制系统</w:t>
            </w:r>
          </w:p>
        </w:tc>
        <w:tc>
          <w:tcPr>
            <w:tcW w:w="96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2.4</w:t>
            </w:r>
          </w:p>
        </w:tc>
        <w:tc>
          <w:tcPr>
            <w:tcW w:w="1656" w:type="dxa"/>
            <w:vAlign w:val="center"/>
          </w:tcPr>
          <w:p>
            <w:pPr>
              <w:spacing w:line="320" w:lineRule="exact"/>
              <w:jc w:val="center"/>
              <w:rPr>
                <w:rFonts w:ascii="宋体" w:hAnsi="宋体"/>
                <w:color w:val="FF0000"/>
                <w:szCs w:val="21"/>
              </w:rPr>
            </w:pPr>
            <w:r>
              <w:rPr>
                <w:rFonts w:hint="eastAsia" w:ascii="宋体" w:hAnsi="宋体"/>
                <w:szCs w:val="21"/>
              </w:rPr>
              <w:t>井道照明</w:t>
            </w:r>
          </w:p>
        </w:tc>
        <w:tc>
          <w:tcPr>
            <w:tcW w:w="6148" w:type="dxa"/>
            <w:vAlign w:val="center"/>
          </w:tcPr>
          <w:p>
            <w:pPr>
              <w:spacing w:line="320" w:lineRule="exact"/>
              <w:jc w:val="center"/>
              <w:rPr>
                <w:rFonts w:ascii="宋体" w:hAnsi="宋体" w:cs="Tahoma"/>
                <w:color w:val="000000"/>
                <w:szCs w:val="21"/>
              </w:rPr>
            </w:pPr>
            <w:r>
              <w:rPr>
                <w:rFonts w:hint="eastAsia" w:ascii="宋体" w:hAnsi="宋体" w:cs="Tahoma"/>
                <w:color w:val="000000"/>
                <w:szCs w:val="21"/>
              </w:rPr>
              <w:t>须安装36V安全照明系统，底坑配置检修爬梯</w:t>
            </w:r>
          </w:p>
        </w:tc>
        <w:tc>
          <w:tcPr>
            <w:tcW w:w="960" w:type="dxa"/>
            <w:vAlign w:val="center"/>
          </w:tcPr>
          <w:p>
            <w:pPr>
              <w:spacing w:line="320" w:lineRule="exact"/>
              <w:jc w:val="center"/>
              <w:rPr>
                <w:rFonts w:ascii="宋体" w:hAnsi="宋体"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9379" w:type="dxa"/>
            <w:gridSpan w:val="4"/>
            <w:vAlign w:val="center"/>
          </w:tcPr>
          <w:p>
            <w:pPr>
              <w:spacing w:line="320" w:lineRule="exact"/>
              <w:jc w:val="left"/>
              <w:rPr>
                <w:rFonts w:ascii="宋体" w:hAnsi="宋体" w:cs="Tahoma"/>
                <w:color w:val="000000"/>
                <w:szCs w:val="21"/>
              </w:rPr>
            </w:pPr>
            <w:r>
              <w:rPr>
                <w:rFonts w:hint="eastAsia" w:ascii="宋体" w:hAnsi="宋体"/>
                <w:szCs w:val="21"/>
              </w:rPr>
              <w:t>二、基本功能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w:t>
            </w:r>
          </w:p>
        </w:tc>
        <w:tc>
          <w:tcPr>
            <w:tcW w:w="1656" w:type="dxa"/>
            <w:vAlign w:val="center"/>
          </w:tcPr>
          <w:p>
            <w:pPr>
              <w:spacing w:line="320" w:lineRule="exact"/>
              <w:jc w:val="left"/>
              <w:rPr>
                <w:rFonts w:ascii="宋体" w:hAnsi="宋体"/>
                <w:szCs w:val="21"/>
              </w:rPr>
            </w:pPr>
            <w:r>
              <w:rPr>
                <w:rFonts w:hint="eastAsia" w:ascii="宋体" w:hAnsi="宋体"/>
                <w:szCs w:val="21"/>
              </w:rPr>
              <w:t>全集选控制运行</w:t>
            </w:r>
          </w:p>
        </w:tc>
        <w:tc>
          <w:tcPr>
            <w:tcW w:w="6148" w:type="dxa"/>
          </w:tcPr>
          <w:p>
            <w:pPr>
              <w:spacing w:line="320" w:lineRule="exact"/>
              <w:jc w:val="left"/>
              <w:rPr>
                <w:rFonts w:ascii="宋体" w:hAnsi="宋体"/>
                <w:szCs w:val="21"/>
              </w:rPr>
            </w:pPr>
            <w:r>
              <w:rPr>
                <w:rFonts w:hint="eastAsia" w:ascii="宋体" w:hAnsi="宋体"/>
                <w:szCs w:val="21"/>
              </w:rPr>
              <w:t>根据轿厢内选层指令和厅外的楼层召唤指令，集中进行综合分析处理，自动选向并顺向一侧应答指令的高度自动控制功能</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w:t>
            </w:r>
          </w:p>
        </w:tc>
        <w:tc>
          <w:tcPr>
            <w:tcW w:w="1656" w:type="dxa"/>
            <w:vAlign w:val="center"/>
          </w:tcPr>
          <w:p>
            <w:pPr>
              <w:spacing w:line="320" w:lineRule="exact"/>
              <w:jc w:val="left"/>
              <w:rPr>
                <w:rFonts w:ascii="宋体" w:hAnsi="宋体"/>
                <w:szCs w:val="21"/>
              </w:rPr>
            </w:pPr>
            <w:r>
              <w:rPr>
                <w:rFonts w:hint="eastAsia" w:ascii="宋体" w:hAnsi="宋体"/>
                <w:szCs w:val="21"/>
              </w:rPr>
              <w:t>超载保护功能</w:t>
            </w:r>
          </w:p>
        </w:tc>
        <w:tc>
          <w:tcPr>
            <w:tcW w:w="6148" w:type="dxa"/>
          </w:tcPr>
          <w:p>
            <w:pPr>
              <w:spacing w:line="320" w:lineRule="exact"/>
              <w:jc w:val="left"/>
              <w:rPr>
                <w:rFonts w:ascii="宋体" w:hAnsi="宋体"/>
                <w:szCs w:val="21"/>
              </w:rPr>
            </w:pPr>
            <w:r>
              <w:rPr>
                <w:rFonts w:hint="eastAsia" w:ascii="宋体" w:hAnsi="宋体"/>
                <w:szCs w:val="21"/>
              </w:rPr>
              <w:t>当电梯轿厢的载重超过额定载重量的110%时，电梯不允许关门启动，在层站平层位置保持开门状态，不能启动运行</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ind w:firstLine="210" w:firstLineChars="100"/>
              <w:rPr>
                <w:rFonts w:ascii="宋体" w:hAnsi="宋体"/>
                <w:szCs w:val="21"/>
              </w:rPr>
            </w:pPr>
            <w:r>
              <w:rPr>
                <w:rFonts w:hint="eastAsia" w:ascii="宋体" w:hAnsi="宋体"/>
                <w:szCs w:val="21"/>
              </w:rPr>
              <w:t>3.3</w:t>
            </w:r>
          </w:p>
        </w:tc>
        <w:tc>
          <w:tcPr>
            <w:tcW w:w="1656" w:type="dxa"/>
            <w:vAlign w:val="center"/>
          </w:tcPr>
          <w:p>
            <w:pPr>
              <w:spacing w:line="320" w:lineRule="exact"/>
              <w:jc w:val="left"/>
              <w:rPr>
                <w:rFonts w:ascii="宋体" w:hAnsi="宋体"/>
                <w:szCs w:val="21"/>
              </w:rPr>
            </w:pPr>
            <w:r>
              <w:rPr>
                <w:rFonts w:hint="eastAsia" w:ascii="宋体" w:hAnsi="宋体"/>
                <w:szCs w:val="21"/>
              </w:rPr>
              <w:t>超载报警功能</w:t>
            </w:r>
          </w:p>
        </w:tc>
        <w:tc>
          <w:tcPr>
            <w:tcW w:w="6148" w:type="dxa"/>
          </w:tcPr>
          <w:p>
            <w:pPr>
              <w:spacing w:line="320" w:lineRule="exact"/>
              <w:jc w:val="left"/>
              <w:rPr>
                <w:rFonts w:ascii="宋体" w:hAnsi="宋体"/>
                <w:szCs w:val="21"/>
              </w:rPr>
            </w:pPr>
            <w:r>
              <w:rPr>
                <w:rFonts w:hint="eastAsia" w:ascii="宋体" w:hAnsi="宋体"/>
                <w:szCs w:val="21"/>
              </w:rPr>
              <w:t>当电梯轿厢的载重量超过额载重量的110%时，电梯不允许关门启动，此时轿顶蜂鸣器发出警报信号，以示电梯已超载、不能启动允许</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3.4</w:t>
            </w:r>
          </w:p>
        </w:tc>
        <w:tc>
          <w:tcPr>
            <w:tcW w:w="1656" w:type="dxa"/>
            <w:vAlign w:val="center"/>
          </w:tcPr>
          <w:p>
            <w:pPr>
              <w:spacing w:line="320" w:lineRule="exact"/>
              <w:jc w:val="left"/>
              <w:rPr>
                <w:rFonts w:ascii="宋体" w:hAnsi="宋体"/>
                <w:szCs w:val="21"/>
              </w:rPr>
            </w:pPr>
            <w:r>
              <w:rPr>
                <w:rFonts w:hint="eastAsia" w:ascii="宋体" w:hAnsi="宋体"/>
                <w:szCs w:val="21"/>
              </w:rPr>
              <w:t>超速电气保护功能</w:t>
            </w:r>
          </w:p>
        </w:tc>
        <w:tc>
          <w:tcPr>
            <w:tcW w:w="6148" w:type="dxa"/>
          </w:tcPr>
          <w:p>
            <w:pPr>
              <w:spacing w:line="320" w:lineRule="exact"/>
              <w:jc w:val="left"/>
              <w:rPr>
                <w:rFonts w:ascii="宋体" w:hAnsi="宋体"/>
                <w:szCs w:val="21"/>
              </w:rPr>
            </w:pPr>
            <w:r>
              <w:rPr>
                <w:rFonts w:hint="eastAsia" w:ascii="宋体" w:hAnsi="宋体"/>
                <w:szCs w:val="21"/>
              </w:rPr>
              <w:t>当电梯的运行速度大于额定速度，且超过设定的限制速度（≥电梯额定载重量的110%）时，电梯系统将强制制停电梯，确保乘客的安全，当电梯的运行速度超过了额定速度，并且已超过设定的限制速度时，限速器的电气开关动作切断电梯的安全回路，使电梯立即急停刹车，确保电梯的安全运行</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3.5</w:t>
            </w:r>
          </w:p>
        </w:tc>
        <w:tc>
          <w:tcPr>
            <w:tcW w:w="1656" w:type="dxa"/>
            <w:vAlign w:val="center"/>
          </w:tcPr>
          <w:p>
            <w:pPr>
              <w:spacing w:line="320" w:lineRule="exact"/>
              <w:jc w:val="left"/>
              <w:rPr>
                <w:rFonts w:ascii="宋体" w:hAnsi="宋体"/>
                <w:szCs w:val="21"/>
              </w:rPr>
            </w:pPr>
            <w:r>
              <w:rPr>
                <w:rFonts w:hint="eastAsia" w:ascii="宋体" w:hAnsi="宋体"/>
                <w:szCs w:val="21"/>
              </w:rPr>
              <w:t>超速机械保护功能</w:t>
            </w:r>
          </w:p>
        </w:tc>
        <w:tc>
          <w:tcPr>
            <w:tcW w:w="6148" w:type="dxa"/>
          </w:tcPr>
          <w:p>
            <w:pPr>
              <w:spacing w:line="320" w:lineRule="exact"/>
              <w:jc w:val="left"/>
              <w:rPr>
                <w:rFonts w:ascii="宋体" w:hAnsi="宋体"/>
                <w:szCs w:val="21"/>
              </w:rPr>
            </w:pPr>
            <w:r>
              <w:rPr>
                <w:rFonts w:hint="eastAsia" w:ascii="宋体" w:hAnsi="宋体"/>
                <w:szCs w:val="21"/>
              </w:rPr>
              <w:t>当电梯的运行速度大于额定速度，且超过设定的限制速度（≥电梯额定载重量的110%）时，电梯系统将强制制停电梯，确保乘客的安全。</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3.6</w:t>
            </w:r>
          </w:p>
        </w:tc>
        <w:tc>
          <w:tcPr>
            <w:tcW w:w="1656" w:type="dxa"/>
            <w:vAlign w:val="center"/>
          </w:tcPr>
          <w:p>
            <w:pPr>
              <w:spacing w:line="320" w:lineRule="exact"/>
              <w:jc w:val="left"/>
              <w:rPr>
                <w:rFonts w:ascii="宋体" w:hAnsi="宋体"/>
                <w:szCs w:val="21"/>
              </w:rPr>
            </w:pPr>
            <w:r>
              <w:rPr>
                <w:rFonts w:hint="eastAsia" w:ascii="宋体" w:hAnsi="宋体"/>
                <w:szCs w:val="21"/>
              </w:rPr>
              <w:t>光幕保护功能</w:t>
            </w:r>
          </w:p>
        </w:tc>
        <w:tc>
          <w:tcPr>
            <w:tcW w:w="6148" w:type="dxa"/>
          </w:tcPr>
          <w:p>
            <w:pPr>
              <w:spacing w:line="320" w:lineRule="exact"/>
              <w:jc w:val="left"/>
              <w:rPr>
                <w:rFonts w:ascii="宋体" w:hAnsi="宋体"/>
                <w:szCs w:val="21"/>
              </w:rPr>
            </w:pPr>
            <w:r>
              <w:rPr>
                <w:rFonts w:hint="eastAsia" w:ascii="宋体" w:hAnsi="宋体"/>
                <w:szCs w:val="21"/>
              </w:rPr>
              <w:t>光幕保护功能对电梯乘客的进出电梯门提供无碰撞式保护，是通过安装在轿厢门的光幕保护装置，在电梯轿厢门口发出多束红外光光束，在电梯关门的过程中。如有乘客或物品挡住了这些红外光光柬中的-束，电梯立即停止关门，并立刻把门打开，防止电梯轿门碰撞到乘客或物品</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3.7</w:t>
            </w:r>
          </w:p>
        </w:tc>
        <w:tc>
          <w:tcPr>
            <w:tcW w:w="1656" w:type="dxa"/>
            <w:vAlign w:val="center"/>
          </w:tcPr>
          <w:p>
            <w:pPr>
              <w:spacing w:line="320" w:lineRule="exact"/>
              <w:jc w:val="left"/>
              <w:rPr>
                <w:rFonts w:ascii="宋体" w:hAnsi="宋体"/>
                <w:szCs w:val="21"/>
              </w:rPr>
            </w:pPr>
            <w:r>
              <w:rPr>
                <w:rFonts w:hint="eastAsia" w:ascii="宋体" w:hAnsi="宋体"/>
                <w:szCs w:val="21"/>
              </w:rPr>
              <w:t>消防迫降功能</w:t>
            </w:r>
          </w:p>
        </w:tc>
        <w:tc>
          <w:tcPr>
            <w:tcW w:w="6148" w:type="dxa"/>
          </w:tcPr>
          <w:p>
            <w:pPr>
              <w:spacing w:line="320" w:lineRule="exact"/>
              <w:jc w:val="left"/>
              <w:rPr>
                <w:rFonts w:ascii="宋体" w:hAnsi="宋体"/>
                <w:szCs w:val="21"/>
              </w:rPr>
            </w:pPr>
            <w:r>
              <w:rPr>
                <w:rFonts w:hint="eastAsia" w:ascii="宋体" w:hAnsi="宋体"/>
                <w:szCs w:val="21"/>
              </w:rPr>
              <w:t>在建筑物发生火灾时对电梯的运行做出管制，通过消防信号使电梯自动返回消防避难层开门放人，确保乘客人身安全</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3.8</w:t>
            </w:r>
          </w:p>
        </w:tc>
        <w:tc>
          <w:tcPr>
            <w:tcW w:w="1656" w:type="dxa"/>
            <w:vAlign w:val="center"/>
          </w:tcPr>
          <w:p>
            <w:pPr>
              <w:spacing w:line="320" w:lineRule="exact"/>
              <w:jc w:val="left"/>
              <w:rPr>
                <w:rFonts w:ascii="宋体" w:hAnsi="宋体"/>
                <w:szCs w:val="21"/>
              </w:rPr>
            </w:pPr>
            <w:r>
              <w:rPr>
                <w:rFonts w:hint="eastAsia" w:ascii="宋体" w:hAnsi="宋体"/>
                <w:szCs w:val="21"/>
              </w:rPr>
              <w:t>开门异常自动选层</w:t>
            </w:r>
          </w:p>
          <w:p>
            <w:pPr>
              <w:spacing w:line="320" w:lineRule="exact"/>
              <w:jc w:val="left"/>
              <w:rPr>
                <w:rFonts w:ascii="宋体" w:hAnsi="宋体"/>
                <w:szCs w:val="21"/>
              </w:rPr>
            </w:pPr>
            <w:r>
              <w:rPr>
                <w:rFonts w:hint="eastAsia" w:ascii="宋体" w:hAnsi="宋体"/>
                <w:szCs w:val="21"/>
              </w:rPr>
              <w:t>功能</w:t>
            </w:r>
          </w:p>
        </w:tc>
        <w:tc>
          <w:tcPr>
            <w:tcW w:w="6148" w:type="dxa"/>
          </w:tcPr>
          <w:p>
            <w:pPr>
              <w:spacing w:line="320" w:lineRule="exact"/>
              <w:jc w:val="left"/>
              <w:rPr>
                <w:rFonts w:ascii="宋体" w:hAnsi="宋体"/>
                <w:szCs w:val="21"/>
              </w:rPr>
            </w:pPr>
            <w:r>
              <w:rPr>
                <w:rFonts w:hint="eastAsia" w:ascii="宋体" w:hAnsi="宋体"/>
                <w:szCs w:val="21"/>
              </w:rPr>
              <w:t>当电梯因开门受阳而无法正常打开时，电梯系统会自动对开门时间进行计算，当时间超过设定值时，电梯会自动关门并运行到邻近的服务层尝试再开门，以使当电梯某层发生开门故障时，到该层的乘客能在邻近的层楼离开轿厢:且电梯系统保持正常运行状态，避免由某层发生开门故障而影响电梯正常运行</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3.9</w:t>
            </w:r>
          </w:p>
        </w:tc>
        <w:tc>
          <w:tcPr>
            <w:tcW w:w="1656" w:type="dxa"/>
            <w:vAlign w:val="center"/>
          </w:tcPr>
          <w:p>
            <w:pPr>
              <w:spacing w:line="320" w:lineRule="exact"/>
              <w:jc w:val="left"/>
              <w:rPr>
                <w:rFonts w:ascii="宋体" w:hAnsi="宋体"/>
                <w:szCs w:val="21"/>
              </w:rPr>
            </w:pPr>
            <w:r>
              <w:rPr>
                <w:rFonts w:hint="eastAsia" w:ascii="宋体" w:hAnsi="宋体"/>
                <w:szCs w:val="21"/>
              </w:rPr>
              <w:t>电动机空转保护功能</w:t>
            </w:r>
          </w:p>
        </w:tc>
        <w:tc>
          <w:tcPr>
            <w:tcW w:w="6148" w:type="dxa"/>
          </w:tcPr>
          <w:p>
            <w:pPr>
              <w:spacing w:line="320" w:lineRule="exact"/>
              <w:jc w:val="left"/>
              <w:rPr>
                <w:rFonts w:ascii="宋体" w:hAnsi="宋体"/>
                <w:szCs w:val="21"/>
              </w:rPr>
            </w:pPr>
            <w:r>
              <w:rPr>
                <w:rFonts w:hint="eastAsia" w:ascii="宋体" w:hAnsi="宋体"/>
                <w:szCs w:val="21"/>
              </w:rPr>
              <w:t>当电梯的轿厢(或对重)受障碍物阻挡而停止下行，会导致电动机空转，曳引绳在曳引轮上打滑。当此故障发生，电梯系统将使电动机立即停止运行并保持停车状态，为电梯乘客的人身安全提供保障</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3.10</w:t>
            </w:r>
          </w:p>
        </w:tc>
        <w:tc>
          <w:tcPr>
            <w:tcW w:w="1656" w:type="dxa"/>
            <w:vAlign w:val="center"/>
          </w:tcPr>
          <w:p>
            <w:pPr>
              <w:spacing w:line="320" w:lineRule="exact"/>
              <w:jc w:val="left"/>
              <w:rPr>
                <w:rFonts w:ascii="宋体" w:hAnsi="宋体"/>
                <w:szCs w:val="21"/>
              </w:rPr>
            </w:pPr>
            <w:r>
              <w:rPr>
                <w:rFonts w:hint="eastAsia" w:ascii="宋体" w:hAnsi="宋体"/>
                <w:szCs w:val="21"/>
              </w:rPr>
              <w:t>对讲机通讯功能</w:t>
            </w:r>
          </w:p>
        </w:tc>
        <w:tc>
          <w:tcPr>
            <w:tcW w:w="6148" w:type="dxa"/>
          </w:tcPr>
          <w:p>
            <w:pPr>
              <w:spacing w:line="320" w:lineRule="exact"/>
              <w:jc w:val="left"/>
              <w:rPr>
                <w:rFonts w:ascii="宋体" w:hAnsi="宋体"/>
                <w:szCs w:val="21"/>
              </w:rPr>
            </w:pPr>
            <w:r>
              <w:rPr>
                <w:rFonts w:hint="eastAsia" w:ascii="宋体" w:hAnsi="宋体"/>
                <w:szCs w:val="21"/>
              </w:rPr>
              <w:t>当电梯发生故障或意外时电梯内乘客可通过轿内对讲机与外界进行联络，文现轿箱对电梯机房或其它控制室的呼叫、电梯机房或其它控制室与轿厢之间的对讲通讯功能。</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3.11</w:t>
            </w:r>
          </w:p>
        </w:tc>
        <w:tc>
          <w:tcPr>
            <w:tcW w:w="1656" w:type="dxa"/>
            <w:vAlign w:val="center"/>
          </w:tcPr>
          <w:p>
            <w:pPr>
              <w:spacing w:line="320" w:lineRule="exact"/>
              <w:jc w:val="left"/>
              <w:rPr>
                <w:rFonts w:ascii="宋体" w:hAnsi="宋体"/>
                <w:szCs w:val="21"/>
              </w:rPr>
            </w:pPr>
            <w:r>
              <w:rPr>
                <w:rFonts w:hint="eastAsia" w:ascii="宋体" w:hAnsi="宋体"/>
                <w:szCs w:val="21"/>
              </w:rPr>
              <w:t>警铃报警功能</w:t>
            </w:r>
          </w:p>
        </w:tc>
        <w:tc>
          <w:tcPr>
            <w:tcW w:w="6148" w:type="dxa"/>
          </w:tcPr>
          <w:p>
            <w:pPr>
              <w:spacing w:line="320" w:lineRule="exact"/>
              <w:jc w:val="left"/>
              <w:rPr>
                <w:rFonts w:ascii="宋体" w:hAnsi="宋体"/>
                <w:szCs w:val="21"/>
              </w:rPr>
            </w:pPr>
            <w:r>
              <w:rPr>
                <w:rFonts w:hint="eastAsia" w:ascii="宋体" w:hAnsi="宋体"/>
                <w:szCs w:val="21"/>
              </w:rPr>
              <w:t>当电梯发生故障或意外时电梯内乘客可通过警鈴来向外界报警求救</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3.12</w:t>
            </w:r>
          </w:p>
        </w:tc>
        <w:tc>
          <w:tcPr>
            <w:tcW w:w="1656" w:type="dxa"/>
            <w:vAlign w:val="center"/>
          </w:tcPr>
          <w:p>
            <w:pPr>
              <w:spacing w:line="320" w:lineRule="exact"/>
              <w:jc w:val="left"/>
              <w:rPr>
                <w:rFonts w:ascii="宋体" w:hAnsi="宋体"/>
                <w:szCs w:val="21"/>
              </w:rPr>
            </w:pPr>
            <w:r>
              <w:rPr>
                <w:rFonts w:hint="eastAsia" w:ascii="宋体" w:hAnsi="宋体"/>
                <w:szCs w:val="21"/>
              </w:rPr>
              <w:t>故障低速自救功能</w:t>
            </w:r>
          </w:p>
        </w:tc>
        <w:tc>
          <w:tcPr>
            <w:tcW w:w="6148" w:type="dxa"/>
          </w:tcPr>
          <w:p>
            <w:pPr>
              <w:spacing w:line="320" w:lineRule="exact"/>
              <w:jc w:val="left"/>
              <w:rPr>
                <w:rFonts w:ascii="宋体" w:hAnsi="宋体"/>
                <w:szCs w:val="21"/>
              </w:rPr>
            </w:pPr>
            <w:r>
              <w:rPr>
                <w:rFonts w:hint="eastAsia" w:ascii="宋体" w:hAnsi="宋体"/>
                <w:szCs w:val="21"/>
              </w:rPr>
              <w:t>电梯发生故障可能会导致电梯在非平层区域停靠，当故障排除后或该故障并不是重大的安全类故障时，电梯可自动以低速(15m/min)进行自动数援运行，并在最近的服务层停车开门，以防止将雅客困在轿箱内。</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3.13</w:t>
            </w:r>
          </w:p>
        </w:tc>
        <w:tc>
          <w:tcPr>
            <w:tcW w:w="1656" w:type="dxa"/>
            <w:vAlign w:val="center"/>
          </w:tcPr>
          <w:p>
            <w:pPr>
              <w:spacing w:line="320" w:lineRule="exact"/>
              <w:jc w:val="left"/>
              <w:rPr>
                <w:rFonts w:ascii="宋体" w:hAnsi="宋体"/>
                <w:szCs w:val="21"/>
              </w:rPr>
            </w:pPr>
            <w:r>
              <w:rPr>
                <w:rFonts w:hint="eastAsia" w:ascii="宋体" w:hAnsi="宋体"/>
                <w:szCs w:val="21"/>
              </w:rPr>
              <w:t>停车非门区提示功能</w:t>
            </w:r>
          </w:p>
        </w:tc>
        <w:tc>
          <w:tcPr>
            <w:tcW w:w="6148" w:type="dxa"/>
          </w:tcPr>
          <w:p>
            <w:pPr>
              <w:spacing w:line="320" w:lineRule="exact"/>
              <w:jc w:val="left"/>
              <w:rPr>
                <w:rFonts w:ascii="宋体" w:hAnsi="宋体"/>
                <w:szCs w:val="21"/>
              </w:rPr>
            </w:pPr>
            <w:r>
              <w:rPr>
                <w:rFonts w:hint="eastAsia" w:ascii="宋体" w:hAnsi="宋体"/>
                <w:szCs w:val="21"/>
              </w:rPr>
              <w:t>当电梯停在非门区位置时，电梯操作人员可对电梯进行盘车操作以便将乘客救出轿厢</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3.14</w:t>
            </w:r>
          </w:p>
        </w:tc>
        <w:tc>
          <w:tcPr>
            <w:tcW w:w="1656" w:type="dxa"/>
            <w:vAlign w:val="center"/>
          </w:tcPr>
          <w:p>
            <w:pPr>
              <w:spacing w:line="320" w:lineRule="exact"/>
              <w:jc w:val="left"/>
              <w:rPr>
                <w:rFonts w:ascii="宋体" w:hAnsi="宋体"/>
                <w:szCs w:val="21"/>
              </w:rPr>
            </w:pPr>
          </w:p>
          <w:p>
            <w:pPr>
              <w:spacing w:line="320" w:lineRule="exact"/>
              <w:jc w:val="left"/>
              <w:rPr>
                <w:rFonts w:ascii="宋体" w:hAnsi="宋体"/>
                <w:szCs w:val="21"/>
              </w:rPr>
            </w:pPr>
            <w:r>
              <w:rPr>
                <w:rFonts w:hint="eastAsia" w:ascii="宋体" w:hAnsi="宋体"/>
                <w:szCs w:val="21"/>
              </w:rPr>
              <w:t>泊梯功能</w:t>
            </w:r>
          </w:p>
        </w:tc>
        <w:tc>
          <w:tcPr>
            <w:tcW w:w="6148" w:type="dxa"/>
          </w:tcPr>
          <w:p>
            <w:pPr>
              <w:spacing w:line="320" w:lineRule="exact"/>
              <w:jc w:val="left"/>
              <w:rPr>
                <w:rFonts w:ascii="宋体" w:hAnsi="宋体"/>
                <w:szCs w:val="21"/>
              </w:rPr>
            </w:pPr>
            <w:r>
              <w:rPr>
                <w:rFonts w:hint="eastAsia" w:ascii="宋体" w:hAnsi="宋体"/>
                <w:szCs w:val="21"/>
              </w:rPr>
              <w:t>本功能适用于电梯需经常长时间停在运行服务的场合。泊梯功能使电梯在不需要进行运行服务时自动停泊在制定的泊梯层站</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p>
          <w:p>
            <w:pPr>
              <w:spacing w:line="320" w:lineRule="exact"/>
              <w:jc w:val="center"/>
              <w:rPr>
                <w:rFonts w:ascii="宋体" w:hAnsi="宋体"/>
                <w:szCs w:val="21"/>
              </w:rPr>
            </w:pPr>
            <w:r>
              <w:rPr>
                <w:rFonts w:hint="eastAsia" w:ascii="宋体" w:hAnsi="宋体"/>
                <w:szCs w:val="21"/>
              </w:rPr>
              <w:t>3.15</w:t>
            </w:r>
          </w:p>
          <w:p>
            <w:pPr>
              <w:spacing w:line="320" w:lineRule="exact"/>
              <w:jc w:val="center"/>
              <w:rPr>
                <w:rFonts w:ascii="宋体" w:hAnsi="宋体"/>
                <w:szCs w:val="21"/>
              </w:rPr>
            </w:pPr>
          </w:p>
        </w:tc>
        <w:tc>
          <w:tcPr>
            <w:tcW w:w="1656" w:type="dxa"/>
            <w:vAlign w:val="center"/>
          </w:tcPr>
          <w:p>
            <w:pPr>
              <w:spacing w:line="320" w:lineRule="exact"/>
              <w:jc w:val="left"/>
              <w:rPr>
                <w:rFonts w:ascii="宋体" w:hAnsi="宋体"/>
                <w:szCs w:val="21"/>
              </w:rPr>
            </w:pPr>
            <w:r>
              <w:rPr>
                <w:rFonts w:hint="eastAsia" w:ascii="宋体" w:hAnsi="宋体"/>
                <w:szCs w:val="21"/>
              </w:rPr>
              <w:t>位置异常自动校正功能</w:t>
            </w:r>
          </w:p>
        </w:tc>
        <w:tc>
          <w:tcPr>
            <w:tcW w:w="6148" w:type="dxa"/>
          </w:tcPr>
          <w:p>
            <w:pPr>
              <w:spacing w:line="320" w:lineRule="exact"/>
              <w:jc w:val="left"/>
              <w:rPr>
                <w:rFonts w:ascii="宋体" w:hAnsi="宋体"/>
                <w:szCs w:val="21"/>
              </w:rPr>
            </w:pPr>
            <w:r>
              <w:rPr>
                <w:rFonts w:hint="eastAsia" w:ascii="宋体" w:hAnsi="宋体"/>
                <w:szCs w:val="21"/>
              </w:rPr>
              <w:t>在电梯的运行过程中，电梯系统会自动对轿厢所在位置进行监剧和分析，当由于故障或人为的操作而使电梯轿厢的实际位置与系统分析结果不相符时，电梯会自动以低( 15n/min)驶返最低层，以重新对轿厢位置做出校正</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3.16</w:t>
            </w:r>
          </w:p>
        </w:tc>
        <w:tc>
          <w:tcPr>
            <w:tcW w:w="1656" w:type="dxa"/>
            <w:vAlign w:val="center"/>
          </w:tcPr>
          <w:p>
            <w:pPr>
              <w:spacing w:line="320" w:lineRule="exact"/>
              <w:jc w:val="left"/>
              <w:rPr>
                <w:rFonts w:ascii="宋体" w:hAnsi="宋体"/>
                <w:szCs w:val="21"/>
              </w:rPr>
            </w:pPr>
            <w:r>
              <w:rPr>
                <w:rFonts w:hint="eastAsia" w:ascii="宋体" w:hAnsi="宋体"/>
                <w:szCs w:val="21"/>
              </w:rPr>
              <w:t>停电应急照明</w:t>
            </w:r>
          </w:p>
        </w:tc>
        <w:tc>
          <w:tcPr>
            <w:tcW w:w="6148" w:type="dxa"/>
          </w:tcPr>
          <w:p>
            <w:pPr>
              <w:spacing w:line="320" w:lineRule="exact"/>
              <w:jc w:val="left"/>
              <w:rPr>
                <w:rFonts w:ascii="宋体" w:hAnsi="宋体"/>
                <w:szCs w:val="21"/>
              </w:rPr>
            </w:pPr>
            <w:r>
              <w:rPr>
                <w:rFonts w:hint="eastAsia" w:ascii="宋体" w:hAnsi="宋体"/>
                <w:szCs w:val="21"/>
              </w:rPr>
              <w:t>电梯正常使用中发生停电时，轿箱内的停电应急照明灯自动点亮，给轿箱内提供应急照明。紧急照明持续时间应大于30分钟，轿厢地面的照度须大于lLux，紧急照明光源在操作面板上</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3.17</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配备轿顶检修、轿内检修、机房检修(主机及控制柜检修)操作功能</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3.18</w:t>
            </w:r>
          </w:p>
        </w:tc>
        <w:tc>
          <w:tcPr>
            <w:tcW w:w="1656" w:type="dxa"/>
            <w:vAlign w:val="center"/>
          </w:tcPr>
          <w:p>
            <w:pPr>
              <w:spacing w:line="320" w:lineRule="exact"/>
              <w:jc w:val="left"/>
              <w:rPr>
                <w:rFonts w:ascii="宋体" w:hAnsi="宋体"/>
                <w:szCs w:val="21"/>
              </w:rPr>
            </w:pPr>
            <w:r>
              <w:rPr>
                <w:rFonts w:hint="eastAsia" w:ascii="宋体" w:hAnsi="宋体"/>
                <w:szCs w:val="21"/>
              </w:rPr>
              <w:t>无呼自返基站功能</w:t>
            </w:r>
          </w:p>
        </w:tc>
        <w:tc>
          <w:tcPr>
            <w:tcW w:w="6148" w:type="dxa"/>
          </w:tcPr>
          <w:p>
            <w:pPr>
              <w:spacing w:line="320" w:lineRule="exact"/>
              <w:jc w:val="left"/>
              <w:rPr>
                <w:rFonts w:ascii="宋体" w:hAnsi="宋体"/>
                <w:szCs w:val="21"/>
              </w:rPr>
            </w:pPr>
            <w:r>
              <w:rPr>
                <w:rFonts w:hint="eastAsia" w:ascii="宋体" w:hAnsi="宋体"/>
                <w:szCs w:val="21"/>
              </w:rPr>
              <w:t>电梯在无召唤指令登记的状态下，自动返回预先设定的基站并关门待机。方便以最快速度为基站乘客服务</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8"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3.19</w:t>
            </w:r>
          </w:p>
        </w:tc>
        <w:tc>
          <w:tcPr>
            <w:tcW w:w="1656" w:type="dxa"/>
            <w:vAlign w:val="center"/>
          </w:tcPr>
          <w:p>
            <w:pPr>
              <w:spacing w:line="320" w:lineRule="exact"/>
              <w:jc w:val="left"/>
              <w:rPr>
                <w:rFonts w:ascii="宋体" w:hAnsi="宋体"/>
                <w:szCs w:val="21"/>
              </w:rPr>
            </w:pPr>
            <w:r>
              <w:rPr>
                <w:rFonts w:hint="eastAsia" w:ascii="宋体" w:hAnsi="宋体"/>
                <w:szCs w:val="21"/>
              </w:rPr>
              <w:t>满载直驶功能</w:t>
            </w:r>
          </w:p>
        </w:tc>
        <w:tc>
          <w:tcPr>
            <w:tcW w:w="6148" w:type="dxa"/>
          </w:tcPr>
          <w:p>
            <w:pPr>
              <w:spacing w:line="320" w:lineRule="exact"/>
              <w:jc w:val="left"/>
              <w:rPr>
                <w:rFonts w:ascii="宋体" w:hAnsi="宋体"/>
                <w:szCs w:val="21"/>
              </w:rPr>
            </w:pPr>
            <w:r>
              <w:rPr>
                <w:rFonts w:hint="eastAsia" w:ascii="宋体" w:hAnsi="宋体"/>
                <w:szCs w:val="21"/>
              </w:rPr>
              <w:t>当电梯轿厢的载重量大于额定载重量的80%时，电梯自动将运行方式切换为满载直驶运行状态。在满载直驶运行状态下，电梯优先响应当前运行方向上的轿内选层指令，暂不应答厅外召唤指令，以保证最佳运行效率，同时厅外召唤指令可保持登记:响应了轿内指令后，若电梯轿箱内栽重量已小于额定救重量的80%，电梯自动将运行方式恢复为全集选控制状态</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3.20</w:t>
            </w:r>
          </w:p>
        </w:tc>
        <w:tc>
          <w:tcPr>
            <w:tcW w:w="1656" w:type="dxa"/>
            <w:vAlign w:val="center"/>
          </w:tcPr>
          <w:p>
            <w:pPr>
              <w:spacing w:line="320" w:lineRule="exact"/>
              <w:jc w:val="left"/>
              <w:rPr>
                <w:rFonts w:ascii="宋体" w:hAnsi="宋体"/>
                <w:szCs w:val="21"/>
              </w:rPr>
            </w:pPr>
          </w:p>
          <w:p>
            <w:pPr>
              <w:spacing w:line="320" w:lineRule="exact"/>
              <w:jc w:val="left"/>
              <w:rPr>
                <w:rFonts w:ascii="宋体" w:hAnsi="宋体"/>
                <w:szCs w:val="21"/>
              </w:rPr>
            </w:pPr>
            <w:r>
              <w:rPr>
                <w:rFonts w:hint="eastAsia" w:ascii="宋体" w:hAnsi="宋体"/>
                <w:szCs w:val="21"/>
              </w:rPr>
              <w:t>无效内指令自动清除功能</w:t>
            </w:r>
          </w:p>
        </w:tc>
        <w:tc>
          <w:tcPr>
            <w:tcW w:w="6148" w:type="dxa"/>
          </w:tcPr>
          <w:p>
            <w:pPr>
              <w:spacing w:line="320" w:lineRule="exact"/>
              <w:jc w:val="left"/>
              <w:rPr>
                <w:rFonts w:ascii="宋体" w:hAnsi="宋体"/>
                <w:szCs w:val="21"/>
              </w:rPr>
            </w:pPr>
            <w:r>
              <w:rPr>
                <w:rFonts w:hint="eastAsia" w:ascii="宋体" w:hAnsi="宋体"/>
                <w:szCs w:val="21"/>
              </w:rPr>
              <w:t>当电梯轿厢的载重量小于额定载重量的20%，而电梯的内指令数大于系统设定值时，电梯系统判定此时有恶作剧发生，电梯的防恶作剧功能自动投入</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3.21</w:t>
            </w:r>
          </w:p>
        </w:tc>
        <w:tc>
          <w:tcPr>
            <w:tcW w:w="1656" w:type="dxa"/>
            <w:vAlign w:val="center"/>
          </w:tcPr>
          <w:p>
            <w:pPr>
              <w:spacing w:line="320" w:lineRule="exact"/>
              <w:jc w:val="left"/>
              <w:rPr>
                <w:rFonts w:ascii="宋体" w:hAnsi="宋体"/>
                <w:szCs w:val="21"/>
              </w:rPr>
            </w:pPr>
            <w:r>
              <w:rPr>
                <w:rFonts w:hint="eastAsia" w:ascii="宋体" w:hAnsi="宋体"/>
                <w:szCs w:val="21"/>
              </w:rPr>
              <w:t>反向内指令清除功能</w:t>
            </w:r>
          </w:p>
        </w:tc>
        <w:tc>
          <w:tcPr>
            <w:tcW w:w="6148" w:type="dxa"/>
          </w:tcPr>
          <w:p>
            <w:pPr>
              <w:spacing w:line="320" w:lineRule="exact"/>
              <w:jc w:val="left"/>
              <w:rPr>
                <w:rFonts w:ascii="宋体" w:hAnsi="宋体"/>
                <w:szCs w:val="21"/>
              </w:rPr>
            </w:pPr>
            <w:r>
              <w:rPr>
                <w:rFonts w:hint="eastAsia" w:ascii="宋体" w:hAnsi="宋体"/>
                <w:szCs w:val="21"/>
              </w:rPr>
              <w:t>电梯响应完同一方向的召唤指令， 正常停车并转方向运行时，电梯系统将自动作出检查，将尚登记留存的轿内召唤指令进行一次消除操作，防止多余运行，以提高电梯的运行效率及降低电能消耗</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3.22</w:t>
            </w:r>
          </w:p>
        </w:tc>
        <w:tc>
          <w:tcPr>
            <w:tcW w:w="1656" w:type="dxa"/>
            <w:vAlign w:val="center"/>
          </w:tcPr>
          <w:p>
            <w:pPr>
              <w:spacing w:line="320" w:lineRule="exact"/>
              <w:jc w:val="left"/>
              <w:rPr>
                <w:rFonts w:ascii="宋体" w:hAnsi="宋体"/>
                <w:szCs w:val="21"/>
              </w:rPr>
            </w:pPr>
            <w:r>
              <w:rPr>
                <w:rFonts w:hint="eastAsia" w:ascii="宋体" w:hAnsi="宋体"/>
                <w:szCs w:val="21"/>
              </w:rPr>
              <w:t>启动补偿功能</w:t>
            </w:r>
          </w:p>
        </w:tc>
        <w:tc>
          <w:tcPr>
            <w:tcW w:w="6148" w:type="dxa"/>
          </w:tcPr>
          <w:p>
            <w:pPr>
              <w:spacing w:line="320" w:lineRule="exact"/>
              <w:jc w:val="left"/>
              <w:rPr>
                <w:rFonts w:ascii="宋体" w:hAnsi="宋体"/>
                <w:szCs w:val="21"/>
              </w:rPr>
            </w:pPr>
            <w:r>
              <w:rPr>
                <w:rFonts w:hint="eastAsia" w:ascii="宋体" w:hAnsi="宋体"/>
                <w:szCs w:val="21"/>
              </w:rPr>
              <w:t>电梯能根据轿厢载重量的不同，自动调整其预置起动力矩，使电梯的起动过程平稳舒适</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8"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3.23</w:t>
            </w:r>
          </w:p>
        </w:tc>
        <w:tc>
          <w:tcPr>
            <w:tcW w:w="1656" w:type="dxa"/>
            <w:vAlign w:val="center"/>
          </w:tcPr>
          <w:p>
            <w:pPr>
              <w:spacing w:line="320" w:lineRule="exact"/>
              <w:jc w:val="left"/>
              <w:rPr>
                <w:rFonts w:ascii="宋体" w:hAnsi="宋体"/>
                <w:szCs w:val="21"/>
              </w:rPr>
            </w:pPr>
            <w:r>
              <w:rPr>
                <w:rFonts w:hint="eastAsia" w:ascii="宋体" w:hAnsi="宋体"/>
                <w:szCs w:val="21"/>
              </w:rPr>
              <w:t>微动平层功能</w:t>
            </w:r>
          </w:p>
        </w:tc>
        <w:tc>
          <w:tcPr>
            <w:tcW w:w="6148" w:type="dxa"/>
          </w:tcPr>
          <w:p>
            <w:pPr>
              <w:spacing w:line="320" w:lineRule="exact"/>
              <w:jc w:val="left"/>
              <w:rPr>
                <w:rFonts w:ascii="宋体" w:hAnsi="宋体"/>
                <w:szCs w:val="21"/>
              </w:rPr>
            </w:pPr>
            <w:r>
              <w:rPr>
                <w:rFonts w:hint="eastAsia" w:ascii="宋体" w:hAnsi="宋体"/>
                <w:szCs w:val="21"/>
              </w:rPr>
              <w:t>在电梯运行到达目的层站平层开门后，由F乘客的进出会使轿厢的载重量发生变化，当轿厢的载重最变化较大时，曳引钢丝绳会产生较大的伸缩形变，导致电梯轿厢产生平层位置偏差的现象。此时电梯须在开门状态下以极低的速度自动进行微动运行，使轿厢重新回到平层位置，补偿因曳引钢丝绳的伸缩形变而引起的平层位置偏差，保障乘客出入轿厢安全</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3.24</w:t>
            </w:r>
          </w:p>
        </w:tc>
        <w:tc>
          <w:tcPr>
            <w:tcW w:w="1656" w:type="dxa"/>
            <w:vAlign w:val="center"/>
          </w:tcPr>
          <w:p>
            <w:pPr>
              <w:spacing w:line="320" w:lineRule="exact"/>
              <w:jc w:val="left"/>
              <w:rPr>
                <w:rFonts w:ascii="宋体" w:hAnsi="宋体"/>
                <w:szCs w:val="21"/>
              </w:rPr>
            </w:pPr>
            <w:r>
              <w:rPr>
                <w:rFonts w:hint="eastAsia" w:ascii="宋体" w:hAnsi="宋体"/>
                <w:szCs w:val="21"/>
              </w:rPr>
              <w:t>运行次数显示功能</w:t>
            </w:r>
          </w:p>
        </w:tc>
        <w:tc>
          <w:tcPr>
            <w:tcW w:w="6148" w:type="dxa"/>
          </w:tcPr>
          <w:p>
            <w:pPr>
              <w:spacing w:line="320" w:lineRule="exact"/>
              <w:jc w:val="left"/>
              <w:rPr>
                <w:rFonts w:ascii="宋体" w:hAnsi="宋体"/>
                <w:szCs w:val="21"/>
              </w:rPr>
            </w:pPr>
            <w:r>
              <w:rPr>
                <w:rFonts w:hint="eastAsia" w:ascii="宋体" w:hAnsi="宋体"/>
                <w:szCs w:val="21"/>
              </w:rPr>
              <w:t>在电梯的控制柜中须裝一个电磁计数器， 能对电梯的话行次数作出累计。用户可通过此计数器上的运行次数值了解对电梯的使用情况</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3.25</w:t>
            </w:r>
          </w:p>
        </w:tc>
        <w:tc>
          <w:tcPr>
            <w:tcW w:w="1656" w:type="dxa"/>
            <w:vAlign w:val="center"/>
          </w:tcPr>
          <w:p>
            <w:pPr>
              <w:spacing w:line="320" w:lineRule="exact"/>
              <w:jc w:val="left"/>
              <w:rPr>
                <w:rFonts w:ascii="宋体" w:hAnsi="宋体"/>
                <w:szCs w:val="21"/>
              </w:rPr>
            </w:pPr>
          </w:p>
          <w:p>
            <w:pPr>
              <w:spacing w:line="320" w:lineRule="exact"/>
              <w:jc w:val="left"/>
              <w:rPr>
                <w:rFonts w:ascii="宋体" w:hAnsi="宋体"/>
                <w:szCs w:val="21"/>
              </w:rPr>
            </w:pPr>
            <w:r>
              <w:rPr>
                <w:rFonts w:hint="eastAsia" w:ascii="宋体" w:hAnsi="宋体"/>
                <w:szCs w:val="21"/>
              </w:rPr>
              <w:t>开门时间自动控制功能</w:t>
            </w:r>
          </w:p>
        </w:tc>
        <w:tc>
          <w:tcPr>
            <w:tcW w:w="6148" w:type="dxa"/>
          </w:tcPr>
          <w:p>
            <w:pPr>
              <w:spacing w:line="320" w:lineRule="exact"/>
              <w:jc w:val="left"/>
              <w:rPr>
                <w:rFonts w:ascii="宋体" w:hAnsi="宋体"/>
                <w:szCs w:val="21"/>
              </w:rPr>
            </w:pPr>
            <w:r>
              <w:rPr>
                <w:rFonts w:hint="eastAsia" w:ascii="宋体" w:hAnsi="宋体"/>
                <w:szCs w:val="21"/>
              </w:rPr>
              <w:t>本功能中的“开门时间“指电梯停车后完全开门到自动关门投入过程中所持续保持开门的时间。电梯在平层停车并白动开门后，能根据应管指令的不同，自动控制开门时间，保持开门状态，规定的时间到达后，电梯自动关门，达到方便乘客使用亦保障电梯运行效率的目的</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3.26</w:t>
            </w:r>
          </w:p>
        </w:tc>
        <w:tc>
          <w:tcPr>
            <w:tcW w:w="1656" w:type="dxa"/>
            <w:vAlign w:val="center"/>
          </w:tcPr>
          <w:p>
            <w:pPr>
              <w:spacing w:line="320" w:lineRule="exact"/>
              <w:jc w:val="left"/>
              <w:rPr>
                <w:rFonts w:ascii="宋体" w:hAnsi="宋体"/>
                <w:szCs w:val="21"/>
              </w:rPr>
            </w:pPr>
            <w:r>
              <w:rPr>
                <w:rFonts w:hint="eastAsia" w:ascii="宋体" w:hAnsi="宋体"/>
                <w:szCs w:val="21"/>
              </w:rPr>
              <w:t>开门时间自动调整功能</w:t>
            </w:r>
          </w:p>
        </w:tc>
        <w:tc>
          <w:tcPr>
            <w:tcW w:w="6148" w:type="dxa"/>
          </w:tcPr>
          <w:p>
            <w:pPr>
              <w:spacing w:line="320" w:lineRule="exact"/>
              <w:jc w:val="left"/>
              <w:rPr>
                <w:rFonts w:ascii="宋体" w:hAnsi="宋体"/>
                <w:szCs w:val="21"/>
              </w:rPr>
            </w:pPr>
            <w:r>
              <w:rPr>
                <w:rFonts w:hint="eastAsia" w:ascii="宋体" w:hAnsi="宋体"/>
                <w:szCs w:val="21"/>
              </w:rPr>
              <w:t>本功能中的“开门时间“指电梯停车后完全开门到自动关门投入过程中所持续保持开I ]的时间。电梯系统能根据层站出入口的利用情况，自动对开门时间作出调整</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3.27</w:t>
            </w:r>
          </w:p>
        </w:tc>
        <w:tc>
          <w:tcPr>
            <w:tcW w:w="1656" w:type="dxa"/>
            <w:vAlign w:val="center"/>
          </w:tcPr>
          <w:p>
            <w:pPr>
              <w:spacing w:line="320" w:lineRule="exact"/>
              <w:jc w:val="left"/>
              <w:rPr>
                <w:rFonts w:ascii="宋体" w:hAnsi="宋体"/>
                <w:szCs w:val="21"/>
              </w:rPr>
            </w:pPr>
            <w:r>
              <w:rPr>
                <w:rFonts w:hint="eastAsia" w:ascii="宋体" w:hAnsi="宋体"/>
                <w:szCs w:val="21"/>
              </w:rPr>
              <w:t>轿厢照明白动控制功能</w:t>
            </w:r>
          </w:p>
        </w:tc>
        <w:tc>
          <w:tcPr>
            <w:tcW w:w="6148" w:type="dxa"/>
          </w:tcPr>
          <w:p>
            <w:pPr>
              <w:spacing w:line="320" w:lineRule="exact"/>
              <w:jc w:val="left"/>
              <w:rPr>
                <w:rFonts w:ascii="宋体" w:hAnsi="宋体"/>
                <w:szCs w:val="21"/>
              </w:rPr>
            </w:pPr>
            <w:r>
              <w:rPr>
                <w:rFonts w:hint="eastAsia" w:ascii="宋体" w:hAnsi="宋体"/>
                <w:szCs w:val="21"/>
              </w:rPr>
              <w:t>电梯进入闲驶状态一定时间 (3min) 内没有召唤指令登记，电梯会自动媳灭轿厢的照明，以便节省电能的消耗</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3.28</w:t>
            </w:r>
          </w:p>
        </w:tc>
        <w:tc>
          <w:tcPr>
            <w:tcW w:w="1656" w:type="dxa"/>
            <w:vAlign w:val="center"/>
          </w:tcPr>
          <w:p>
            <w:pPr>
              <w:spacing w:line="320" w:lineRule="exact"/>
              <w:jc w:val="left"/>
              <w:rPr>
                <w:rFonts w:ascii="宋体" w:hAnsi="宋体"/>
                <w:szCs w:val="21"/>
              </w:rPr>
            </w:pPr>
            <w:r>
              <w:rPr>
                <w:rFonts w:hint="eastAsia" w:ascii="宋体" w:hAnsi="宋体"/>
                <w:szCs w:val="21"/>
              </w:rPr>
              <w:t>轿厢风扇自动控制功能</w:t>
            </w:r>
          </w:p>
        </w:tc>
        <w:tc>
          <w:tcPr>
            <w:tcW w:w="6148" w:type="dxa"/>
          </w:tcPr>
          <w:p>
            <w:pPr>
              <w:spacing w:line="320" w:lineRule="exact"/>
              <w:jc w:val="left"/>
              <w:rPr>
                <w:rFonts w:ascii="宋体" w:hAnsi="宋体"/>
                <w:szCs w:val="21"/>
              </w:rPr>
            </w:pPr>
            <w:r>
              <w:rPr>
                <w:rFonts w:hint="eastAsia" w:ascii="宋体" w:hAnsi="宋体"/>
                <w:szCs w:val="21"/>
              </w:rPr>
              <w:t>电梯进入闲驶状态-一定时间(3min) 内没有召唤指令登记，电梯会自动熄灭轿厢内风扇，以便节省电能消耗</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3.29</w:t>
            </w:r>
          </w:p>
        </w:tc>
        <w:tc>
          <w:tcPr>
            <w:tcW w:w="1656" w:type="dxa"/>
            <w:vAlign w:val="center"/>
          </w:tcPr>
          <w:p>
            <w:pPr>
              <w:spacing w:line="320" w:lineRule="exact"/>
              <w:jc w:val="left"/>
              <w:rPr>
                <w:rFonts w:ascii="宋体" w:hAnsi="宋体"/>
                <w:szCs w:val="21"/>
              </w:rPr>
            </w:pPr>
          </w:p>
          <w:p>
            <w:pPr>
              <w:spacing w:line="320" w:lineRule="exact"/>
              <w:jc w:val="left"/>
              <w:rPr>
                <w:rFonts w:ascii="宋体" w:hAnsi="宋体"/>
                <w:szCs w:val="21"/>
              </w:rPr>
            </w:pPr>
            <w:r>
              <w:rPr>
                <w:rFonts w:hint="eastAsia" w:ascii="宋体" w:hAnsi="宋体"/>
                <w:szCs w:val="21"/>
              </w:rPr>
              <w:t>故障自动检测功能</w:t>
            </w:r>
          </w:p>
        </w:tc>
        <w:tc>
          <w:tcPr>
            <w:tcW w:w="6148" w:type="dxa"/>
          </w:tcPr>
          <w:p>
            <w:pPr>
              <w:spacing w:line="320" w:lineRule="exact"/>
              <w:jc w:val="left"/>
              <w:rPr>
                <w:rFonts w:ascii="宋体" w:hAnsi="宋体"/>
                <w:szCs w:val="21"/>
              </w:rPr>
            </w:pPr>
            <w:r>
              <w:rPr>
                <w:rFonts w:hint="eastAsia" w:ascii="宋体" w:hAnsi="宋体"/>
                <w:szCs w:val="21"/>
              </w:rPr>
              <w:t>电梯系统具有合理的系统故障自动检测功能，当电梯有故障发生时，电梯自动检测出故障发生的原因、状态和位置,并对故障作出及时的分项登录和分级处理</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3.30</w:t>
            </w:r>
          </w:p>
        </w:tc>
        <w:tc>
          <w:tcPr>
            <w:tcW w:w="1656" w:type="dxa"/>
            <w:vAlign w:val="center"/>
          </w:tcPr>
          <w:p>
            <w:pPr>
              <w:spacing w:line="320" w:lineRule="exact"/>
              <w:jc w:val="left"/>
              <w:rPr>
                <w:rFonts w:ascii="宋体" w:hAnsi="宋体"/>
                <w:szCs w:val="21"/>
              </w:rPr>
            </w:pPr>
            <w:r>
              <w:rPr>
                <w:rFonts w:hint="eastAsia" w:ascii="宋体" w:hAnsi="宋体"/>
                <w:szCs w:val="21"/>
              </w:rPr>
              <w:t>故障自动存储功能</w:t>
            </w:r>
          </w:p>
        </w:tc>
        <w:tc>
          <w:tcPr>
            <w:tcW w:w="6148" w:type="dxa"/>
          </w:tcPr>
          <w:p>
            <w:pPr>
              <w:spacing w:line="320" w:lineRule="exact"/>
              <w:jc w:val="left"/>
              <w:rPr>
                <w:rFonts w:ascii="宋体" w:hAnsi="宋体"/>
                <w:szCs w:val="21"/>
              </w:rPr>
            </w:pPr>
            <w:r>
              <w:rPr>
                <w:rFonts w:hint="eastAsia" w:ascii="宋体" w:hAnsi="宋体"/>
                <w:szCs w:val="21"/>
              </w:rPr>
              <w:t>电梯系统具有全面合理的系统故障自动存储功能，</w:t>
            </w:r>
          </w:p>
          <w:p>
            <w:pPr>
              <w:spacing w:line="320" w:lineRule="exact"/>
              <w:jc w:val="left"/>
              <w:rPr>
                <w:rFonts w:ascii="宋体" w:hAnsi="宋体"/>
                <w:szCs w:val="21"/>
              </w:rPr>
            </w:pPr>
            <w:r>
              <w:rPr>
                <w:rFonts w:hint="eastAsia" w:ascii="宋体" w:hAnsi="宋体"/>
                <w:szCs w:val="21"/>
              </w:rPr>
              <w:t>当电梯有故障发生时，电梯将检测出的故障作出及时的分项登录和分级处理，并存储起来</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3.31</w:t>
            </w:r>
          </w:p>
        </w:tc>
        <w:tc>
          <w:tcPr>
            <w:tcW w:w="1656" w:type="dxa"/>
            <w:vAlign w:val="center"/>
          </w:tcPr>
          <w:p>
            <w:pPr>
              <w:spacing w:line="320" w:lineRule="exact"/>
              <w:jc w:val="left"/>
              <w:rPr>
                <w:rFonts w:ascii="宋体" w:hAnsi="宋体"/>
                <w:szCs w:val="21"/>
              </w:rPr>
            </w:pPr>
            <w:r>
              <w:rPr>
                <w:rFonts w:hint="eastAsia" w:ascii="宋体" w:hAnsi="宋体"/>
                <w:szCs w:val="21"/>
              </w:rPr>
              <w:t>门过载保护功能</w:t>
            </w:r>
          </w:p>
        </w:tc>
        <w:tc>
          <w:tcPr>
            <w:tcW w:w="6148" w:type="dxa"/>
          </w:tcPr>
          <w:p>
            <w:pPr>
              <w:spacing w:line="320" w:lineRule="exact"/>
              <w:jc w:val="left"/>
              <w:rPr>
                <w:rFonts w:ascii="宋体" w:hAnsi="宋体"/>
                <w:szCs w:val="21"/>
              </w:rPr>
            </w:pPr>
            <w:r>
              <w:rPr>
                <w:rFonts w:hint="eastAsia" w:ascii="宋体" w:hAnsi="宋体"/>
                <w:szCs w:val="21"/>
              </w:rPr>
              <w:t>电梯的门系统中设置有门过载保护开关，当在电梯</w:t>
            </w:r>
          </w:p>
          <w:p>
            <w:pPr>
              <w:spacing w:line="320" w:lineRule="exact"/>
              <w:jc w:val="left"/>
              <w:rPr>
                <w:rFonts w:ascii="宋体" w:hAnsi="宋体"/>
                <w:szCs w:val="21"/>
              </w:rPr>
            </w:pPr>
            <w:r>
              <w:rPr>
                <w:rFonts w:hint="eastAsia" w:ascii="宋体" w:hAnsi="宋体"/>
                <w:szCs w:val="21"/>
              </w:rPr>
              <w:t>的开、关门过程中因受阻而导致开、关门动作力矩过大时，门过载保护开关动作，电梯广]将与原动作方向相反的方向动作，从而实现对门电机及障碍物的保护</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3.32</w:t>
            </w:r>
          </w:p>
        </w:tc>
        <w:tc>
          <w:tcPr>
            <w:tcW w:w="1656" w:type="dxa"/>
            <w:vAlign w:val="center"/>
          </w:tcPr>
          <w:p>
            <w:pPr>
              <w:spacing w:line="320" w:lineRule="exact"/>
              <w:jc w:val="left"/>
              <w:rPr>
                <w:rFonts w:ascii="宋体" w:hAnsi="宋体"/>
                <w:szCs w:val="21"/>
              </w:rPr>
            </w:pPr>
            <w:r>
              <w:rPr>
                <w:rFonts w:hint="eastAsia" w:ascii="宋体" w:hAnsi="宋体"/>
                <w:szCs w:val="21"/>
              </w:rPr>
              <w:t>开关门时间异常保护功能</w:t>
            </w:r>
          </w:p>
        </w:tc>
        <w:tc>
          <w:tcPr>
            <w:tcW w:w="6148" w:type="dxa"/>
          </w:tcPr>
          <w:p>
            <w:pPr>
              <w:spacing w:line="320" w:lineRule="exact"/>
              <w:jc w:val="left"/>
              <w:rPr>
                <w:rFonts w:ascii="宋体" w:hAnsi="宋体"/>
                <w:szCs w:val="21"/>
              </w:rPr>
            </w:pPr>
            <w:r>
              <w:rPr>
                <w:rFonts w:hint="eastAsia" w:ascii="宋体" w:hAnsi="宋体"/>
                <w:szCs w:val="21"/>
              </w:rPr>
              <w:t>当电梯门在开关过程中受到阻碍而其阻力又不足以过载保护开关动作时，电梯系统会自动对开关门时间进行计算，一且开关门所用时间超出设定时间，电梯门将反向动作以实现对电机及障碍物的保护</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3.33</w:t>
            </w:r>
          </w:p>
        </w:tc>
        <w:tc>
          <w:tcPr>
            <w:tcW w:w="1656" w:type="dxa"/>
            <w:vAlign w:val="center"/>
          </w:tcPr>
          <w:p>
            <w:pPr>
              <w:spacing w:line="320" w:lineRule="exact"/>
              <w:jc w:val="left"/>
              <w:rPr>
                <w:rFonts w:ascii="宋体" w:hAnsi="宋体"/>
                <w:szCs w:val="21"/>
              </w:rPr>
            </w:pPr>
            <w:r>
              <w:rPr>
                <w:rFonts w:hint="eastAsia" w:ascii="宋体" w:hAnsi="宋体"/>
                <w:szCs w:val="21"/>
              </w:rPr>
              <w:t>轿内误指令取消</w:t>
            </w: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当指令登记后，在电梯未到达前可通过连续按此按钮以取消已登记的指令，以提高运行效率</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3.34</w:t>
            </w:r>
          </w:p>
        </w:tc>
        <w:tc>
          <w:tcPr>
            <w:tcW w:w="1656" w:type="dxa"/>
            <w:vAlign w:val="center"/>
          </w:tcPr>
          <w:p>
            <w:pPr>
              <w:spacing w:line="320" w:lineRule="exact"/>
              <w:jc w:val="left"/>
              <w:rPr>
                <w:rFonts w:ascii="宋体" w:hAnsi="宋体"/>
                <w:szCs w:val="21"/>
              </w:rPr>
            </w:pPr>
            <w:r>
              <w:rPr>
                <w:rFonts w:hint="eastAsia" w:ascii="宋体" w:hAnsi="宋体"/>
                <w:szCs w:val="21"/>
              </w:rPr>
              <w:t>消防功能</w:t>
            </w: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当发生火灾时，消防电梯将直驶到指定避难层停梯，并只允许消防人员操作电梯</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3.35</w:t>
            </w:r>
          </w:p>
        </w:tc>
        <w:tc>
          <w:tcPr>
            <w:tcW w:w="1656" w:type="dxa"/>
            <w:vAlign w:val="center"/>
          </w:tcPr>
          <w:p>
            <w:pPr>
              <w:spacing w:line="320" w:lineRule="exact"/>
              <w:jc w:val="left"/>
              <w:rPr>
                <w:rFonts w:ascii="宋体" w:hAnsi="宋体"/>
                <w:szCs w:val="21"/>
              </w:rPr>
            </w:pPr>
            <w:r>
              <w:rPr>
                <w:rFonts w:hint="eastAsia" w:ascii="宋体" w:hAnsi="宋体"/>
                <w:szCs w:val="21"/>
              </w:rPr>
              <w:t>五方通话功能</w:t>
            </w: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特殊情况下通过设置在轿厢面板、轿顶、底坑、机房的对讲装置以实现机房，轿厢。轿顶.底坑、监控中心对讲通话(监控中心对讲主机由中标人提供，机房至监控中心电缆由使用方负贵)</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9379" w:type="dxa"/>
            <w:gridSpan w:val="4"/>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四、技术条件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4.1</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电梯在供电电压波动≤±7%及供电频率波动≤3%时仍能正常工作。</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4.2</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电梯在额定载荷时允许起、制动循环次数≥240次/小时。</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4.3</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噪声：机房≤73db；轿厢内噪声≤55db</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4.4</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平层精度：≤±5mm</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4.5</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运行曲线应平滑，运行效率高，垂直方向和水平方向的振动加速均应≯10cm/s²</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4.6</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请投标人报出电梯设计的使用年限</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4.7</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其余技术要求按国家相关标准执行（要求节能环保）</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9379" w:type="dxa"/>
            <w:gridSpan w:val="4"/>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五、试验、安装与验收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5.1</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生产厂的部件试验：</w:t>
            </w:r>
          </w:p>
          <w:p>
            <w:pPr>
              <w:numPr>
                <w:ilvl w:val="0"/>
                <w:numId w:val="4"/>
              </w:numPr>
              <w:spacing w:line="320" w:lineRule="exact"/>
              <w:jc w:val="left"/>
              <w:rPr>
                <w:rFonts w:ascii="宋体" w:hAnsi="宋体"/>
                <w:color w:val="000000" w:themeColor="text1"/>
                <w:szCs w:val="21"/>
              </w:rPr>
            </w:pPr>
            <w:r>
              <w:rPr>
                <w:rFonts w:hint="eastAsia" w:ascii="宋体" w:hAnsi="宋体"/>
                <w:color w:val="000000" w:themeColor="text1"/>
                <w:szCs w:val="21"/>
              </w:rPr>
              <w:t>试验部件：依据国家标准执行</w:t>
            </w:r>
          </w:p>
          <w:p>
            <w:pPr>
              <w:numPr>
                <w:ilvl w:val="0"/>
                <w:numId w:val="4"/>
              </w:numPr>
              <w:spacing w:line="320" w:lineRule="exact"/>
              <w:jc w:val="left"/>
              <w:rPr>
                <w:rFonts w:ascii="宋体" w:hAnsi="宋体"/>
                <w:color w:val="000000" w:themeColor="text1"/>
                <w:szCs w:val="21"/>
              </w:rPr>
            </w:pPr>
            <w:r>
              <w:rPr>
                <w:rFonts w:hint="eastAsia" w:ascii="宋体" w:hAnsi="宋体"/>
                <w:color w:val="000000" w:themeColor="text1"/>
                <w:szCs w:val="21"/>
              </w:rPr>
              <w:t>试验内容：依据国家标准执行，并向买房提供型式试验报告。</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5.2</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安装现场性能试验：在监理公司监督下，由施工单位进行。试验内容、方法、设备、时间、次数和结果等应符合中国国家标准。</w:t>
            </w:r>
          </w:p>
        </w:tc>
        <w:tc>
          <w:tcPr>
            <w:tcW w:w="960" w:type="dxa"/>
          </w:tcPr>
          <w:p>
            <w:pPr>
              <w:tabs>
                <w:tab w:val="left" w:pos="1150"/>
              </w:tabs>
              <w:spacing w:line="3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5.3</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安装验收：（由国家职能部门验收，甲乙双方进行合同验收）</w:t>
            </w:r>
          </w:p>
          <w:p>
            <w:pPr>
              <w:numPr>
                <w:ilvl w:val="0"/>
                <w:numId w:val="5"/>
              </w:num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中标人应向买方提供如下资料及文件</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机房及井道图纸</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电梯安装图纸</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电气原理图及符号说明（电梯设备到货后才能提供）</w:t>
            </w:r>
          </w:p>
          <w:p>
            <w:pPr>
              <w:numPr>
                <w:ilvl w:val="0"/>
                <w:numId w:val="5"/>
              </w:num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中标人在验收时应向买方提供的资料及文件：</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产品质量证明文件、货物原产地证明文件</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电梯维护使用说明书</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电梯部件安装图纸</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安装调试文件及说明书</w:t>
            </w:r>
          </w:p>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易损件及常用备品清单</w:t>
            </w:r>
          </w:p>
          <w:p>
            <w:pPr>
              <w:numPr>
                <w:ilvl w:val="0"/>
                <w:numId w:val="5"/>
              </w:num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中标人应在验收时向买方提供由广西壮族自治区质量技术监督局签发的电梯制造安装维修资格证书及当地主管部门颁发的安全使用许可证等。</w:t>
            </w:r>
          </w:p>
          <w:p>
            <w:pPr>
              <w:numPr>
                <w:ilvl w:val="0"/>
                <w:numId w:val="5"/>
              </w:num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所有试验内容均满足生产厂家及中国国家标准的要求时，方可正式办理验收和移交手续。</w:t>
            </w:r>
          </w:p>
          <w:p>
            <w:pPr>
              <w:numPr>
                <w:ilvl w:val="0"/>
                <w:numId w:val="5"/>
              </w:num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电梯安装：要求派出经投标人专业培训、具有劳动部门上岗证的专职人员进行安装，遵守施工现场安全规范并负责现场安装安全，保证所安装调试后的电梯各方面性能符合要求、满足并通过国家有关检测部门验收标准。</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9379" w:type="dxa"/>
            <w:gridSpan w:val="4"/>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六、以下主要部件要求注明品牌、型号和产地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6.1</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门机：</w:t>
            </w:r>
          </w:p>
          <w:p>
            <w:pPr>
              <w:spacing w:line="320" w:lineRule="exact"/>
              <w:jc w:val="left"/>
              <w:rPr>
                <w:rFonts w:ascii="宋体" w:hAnsi="宋体"/>
                <w:color w:val="000000" w:themeColor="text1"/>
                <w:szCs w:val="21"/>
              </w:rPr>
            </w:pPr>
            <w:r>
              <w:rPr>
                <w:rFonts w:hint="eastAsia" w:ascii="宋体" w:hAnsi="宋体"/>
                <w:color w:val="000000" w:themeColor="text1"/>
                <w:szCs w:val="21"/>
              </w:rPr>
              <w:t>控制柜：</w:t>
            </w:r>
          </w:p>
          <w:p>
            <w:pPr>
              <w:spacing w:line="320" w:lineRule="exact"/>
              <w:jc w:val="left"/>
              <w:rPr>
                <w:rFonts w:ascii="宋体" w:hAnsi="宋体"/>
                <w:color w:val="000000" w:themeColor="text1"/>
                <w:szCs w:val="21"/>
              </w:rPr>
            </w:pPr>
            <w:r>
              <w:rPr>
                <w:rFonts w:hint="eastAsia" w:ascii="宋体" w:hAnsi="宋体"/>
                <w:color w:val="000000" w:themeColor="text1"/>
                <w:szCs w:val="21"/>
              </w:rPr>
              <w:t>曳引机（国内先进产品）：</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6.2</w:t>
            </w:r>
          </w:p>
        </w:tc>
        <w:tc>
          <w:tcPr>
            <w:tcW w:w="1656" w:type="dxa"/>
            <w:vAlign w:val="center"/>
          </w:tcPr>
          <w:p>
            <w:pPr>
              <w:spacing w:line="320" w:lineRule="exact"/>
            </w:pPr>
          </w:p>
        </w:tc>
        <w:tc>
          <w:tcPr>
            <w:tcW w:w="6148" w:type="dxa"/>
          </w:tcPr>
          <w:p>
            <w:pPr>
              <w:spacing w:line="320" w:lineRule="exact"/>
              <w:jc w:val="left"/>
              <w:rPr>
                <w:color w:val="000000" w:themeColor="text1"/>
              </w:rPr>
            </w:pPr>
            <w:r>
              <w:rPr>
                <w:rFonts w:hint="eastAsia" w:ascii="宋体" w:hAnsi="宋体"/>
                <w:color w:val="000000" w:themeColor="text1"/>
                <w:szCs w:val="21"/>
              </w:rPr>
              <w:t>投标人须在投标文件中详细列出其他主要设备的清单及产地型</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9379" w:type="dxa"/>
            <w:gridSpan w:val="4"/>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七、技术服务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质量保证期：自交付使用之日起12个月，质量保证期内免费维保，每月对电梯例行保养不少于2次。</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7.2</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自交付使用之日起，12个月内实行免费三包，提供免费维修保养服务，并定期巡检。</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7.3</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每月定期进行两次维修保养，提供回访情况报告。设立现场维修站，电梯急修在接到电话通知后30分钟内到达现场处理，出现故障2小时内修复，重大故障24小时急修服务。</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7.4</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提供全年、每天24小时急修服务</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7.5</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负责电梯每年的技术监督部门定期检审办证工作，保证通过年检。办理安全年检资格证书所需要费用按照政府部门收费计算，不得额外收费。</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7.6</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若中标人不能按期进行维护保养，使用方可另行安排人员维修，费用从保修金中扣除，并可进行处罚。</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7.7</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电梯制造商对所售电梯终生优惠提供零配件</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7.8</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rPr>
            </w:pPr>
            <w:r>
              <w:rPr>
                <w:rFonts w:hint="eastAsia" w:ascii="宋体" w:hAnsi="宋体"/>
                <w:color w:val="000000" w:themeColor="text1"/>
                <w:szCs w:val="21"/>
              </w:rPr>
              <w:t>属于电梯设计、制造、性能等质量问题或安装调试质量发生故障，相关责任及费用均由中标人承担。</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7.9</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color w:val="000000" w:themeColor="text1"/>
                <w:szCs w:val="21"/>
                <w:highlight w:val="none"/>
              </w:rPr>
            </w:pPr>
            <w:r>
              <w:rPr>
                <w:rFonts w:hint="eastAsia" w:ascii="宋体" w:hAnsi="宋体"/>
                <w:color w:val="000000" w:themeColor="text1"/>
                <w:szCs w:val="21"/>
                <w:highlight w:val="none"/>
              </w:rPr>
              <w:t>免费质保期结束后，与使用方协商订立维修保养合同，提供维修保养服务，每月定期进行二次巡检，若设备发生重大故障，中标人收到甲方通知后，必须在30分钟内派维修人员上门修理，确保电梯的正常使用。是否签署质保期满后的维保合同，决定权在招标人。</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7.10</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中标人保证所售电梯由制造商/制造商所属分公司或委托具备本项目安装资质的单位，具备5年以上工作经验的专业电梯安装、维保人员进行安装和维修保养、保证安装和维修达到一级标准，一次性验收合格。</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7.11</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中标人电梯零配件储存量必须充裕，以保证及时提供原厂配件，并对所售电梯终生优惠提供零配件及有偿维保服务</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7.12</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中标人需承诺电梯的主要配品、配件在质保期满后2年内价格不变并保证按优惠价格提供用于维修、保养的零配件</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7.13</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中标人生产厂在零部件停产前，应提前3个月通知甲方，以便甲方有足够时间购买所需的零配件</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7.14</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在零配件停产后，如果甲方还需要的话，乙方应无偿向甲方提供零部件的图纸和技术规范。</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7.15</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免费进行安装维保人员培训</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7.16</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保修期满后一年维修服务费：（请投标人根据投标货物填写）</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15" w:type="dxa"/>
            <w:vAlign w:val="center"/>
          </w:tcPr>
          <w:p>
            <w:pPr>
              <w:spacing w:line="320" w:lineRule="exact"/>
              <w:jc w:val="center"/>
              <w:rPr>
                <w:rFonts w:ascii="宋体" w:hAnsi="宋体"/>
                <w:szCs w:val="21"/>
              </w:rPr>
            </w:pPr>
            <w:r>
              <w:rPr>
                <w:rFonts w:hint="eastAsia" w:ascii="宋体" w:hAnsi="宋体"/>
                <w:szCs w:val="21"/>
              </w:rPr>
              <w:t>7.17</w:t>
            </w:r>
          </w:p>
        </w:tc>
        <w:tc>
          <w:tcPr>
            <w:tcW w:w="1656" w:type="dxa"/>
            <w:vAlign w:val="center"/>
          </w:tcPr>
          <w:p>
            <w:pPr>
              <w:spacing w:line="320" w:lineRule="exact"/>
              <w:jc w:val="left"/>
              <w:rPr>
                <w:rFonts w:ascii="宋体" w:hAnsi="宋体"/>
                <w:szCs w:val="21"/>
              </w:rPr>
            </w:pPr>
          </w:p>
        </w:tc>
        <w:tc>
          <w:tcPr>
            <w:tcW w:w="6148" w:type="dxa"/>
          </w:tcPr>
          <w:p>
            <w:pPr>
              <w:spacing w:line="320" w:lineRule="exact"/>
              <w:jc w:val="left"/>
              <w:rPr>
                <w:rFonts w:ascii="宋体" w:hAnsi="宋体"/>
                <w:szCs w:val="21"/>
              </w:rPr>
            </w:pPr>
            <w:r>
              <w:rPr>
                <w:rFonts w:hint="eastAsia" w:ascii="宋体" w:hAnsi="宋体"/>
                <w:szCs w:val="21"/>
              </w:rPr>
              <w:t>中标人应提供以下服务项目（不限于此）；</w:t>
            </w:r>
          </w:p>
          <w:p>
            <w:pPr>
              <w:numPr>
                <w:ilvl w:val="0"/>
                <w:numId w:val="6"/>
              </w:numPr>
              <w:spacing w:line="320" w:lineRule="exact"/>
              <w:jc w:val="left"/>
              <w:rPr>
                <w:rFonts w:ascii="宋体" w:hAnsi="宋体"/>
                <w:szCs w:val="21"/>
              </w:rPr>
            </w:pPr>
            <w:r>
              <w:rPr>
                <w:rFonts w:hint="eastAsia" w:ascii="宋体" w:hAnsi="宋体"/>
                <w:szCs w:val="21"/>
              </w:rPr>
              <w:t>执行和监督所提供设备的现场安装和调试</w:t>
            </w:r>
          </w:p>
          <w:p>
            <w:pPr>
              <w:numPr>
                <w:ilvl w:val="0"/>
                <w:numId w:val="6"/>
              </w:numPr>
              <w:spacing w:line="320" w:lineRule="exact"/>
              <w:jc w:val="left"/>
              <w:rPr>
                <w:rFonts w:ascii="宋体" w:hAnsi="宋体"/>
                <w:szCs w:val="21"/>
              </w:rPr>
            </w:pPr>
            <w:r>
              <w:rPr>
                <w:rFonts w:hint="eastAsia" w:ascii="宋体" w:hAnsi="宋体"/>
                <w:szCs w:val="21"/>
              </w:rPr>
              <w:t>提供安装和维修工具</w:t>
            </w:r>
          </w:p>
          <w:p>
            <w:pPr>
              <w:numPr>
                <w:ilvl w:val="0"/>
                <w:numId w:val="6"/>
              </w:numPr>
              <w:spacing w:line="320" w:lineRule="exact"/>
              <w:jc w:val="left"/>
              <w:rPr>
                <w:rFonts w:ascii="宋体" w:hAnsi="宋体"/>
                <w:szCs w:val="21"/>
              </w:rPr>
            </w:pPr>
            <w:r>
              <w:rPr>
                <w:rFonts w:hint="eastAsia" w:ascii="宋体" w:hAnsi="宋体"/>
                <w:szCs w:val="21"/>
              </w:rPr>
              <w:t>提供设备主要部件的详细操作手册和维修手册</w:t>
            </w:r>
          </w:p>
          <w:p>
            <w:pPr>
              <w:numPr>
                <w:ilvl w:val="0"/>
                <w:numId w:val="6"/>
              </w:numPr>
              <w:spacing w:line="320" w:lineRule="exact"/>
              <w:jc w:val="left"/>
              <w:rPr>
                <w:rFonts w:ascii="宋体" w:hAnsi="宋体"/>
                <w:szCs w:val="21"/>
              </w:rPr>
            </w:pPr>
            <w:r>
              <w:rPr>
                <w:rFonts w:hint="eastAsia" w:ascii="宋体" w:hAnsi="宋体"/>
                <w:szCs w:val="21"/>
              </w:rPr>
              <w:t>投标人应为买方提供设备运行两年的易损件和常用备件</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615" w:type="dxa"/>
            <w:vMerge w:val="restart"/>
            <w:vAlign w:val="center"/>
          </w:tcPr>
          <w:p>
            <w:pPr>
              <w:spacing w:line="32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7.18</w:t>
            </w:r>
          </w:p>
        </w:tc>
        <w:tc>
          <w:tcPr>
            <w:tcW w:w="1656" w:type="dxa"/>
            <w:vMerge w:val="restart"/>
            <w:vAlign w:val="center"/>
          </w:tcPr>
          <w:p>
            <w:pPr>
              <w:spacing w:line="32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其他要求</w:t>
            </w:r>
          </w:p>
        </w:tc>
        <w:tc>
          <w:tcPr>
            <w:tcW w:w="6148" w:type="dxa"/>
          </w:tcPr>
          <w:p>
            <w:pPr>
              <w:spacing w:line="320" w:lineRule="exact"/>
              <w:jc w:val="left"/>
              <w:rPr>
                <w:color w:val="000000" w:themeColor="text1"/>
                <w:highlight w:val="none"/>
              </w:rPr>
            </w:pPr>
            <w:r>
              <w:rPr>
                <w:rFonts w:hint="eastAsia"/>
                <w:color w:val="000000" w:themeColor="text1"/>
                <w:highlight w:val="none"/>
              </w:rPr>
              <w:t>交货期：自签订合同之日起120日历天内（含安装、调试时间）。</w:t>
            </w:r>
          </w:p>
          <w:p>
            <w:pPr>
              <w:pStyle w:val="2"/>
              <w:rPr>
                <w:color w:val="000000" w:themeColor="text1"/>
                <w:highlight w:val="none"/>
              </w:rPr>
            </w:pPr>
            <w:r>
              <w:rPr>
                <w:rFonts w:hint="eastAsia"/>
                <w:b w:val="0"/>
                <w:bCs w:val="0"/>
                <w:color w:val="000000" w:themeColor="text1"/>
                <w:highlight w:val="none"/>
              </w:rPr>
              <w:t>交货地点：采购人指定地点。</w:t>
            </w:r>
          </w:p>
        </w:tc>
        <w:tc>
          <w:tcPr>
            <w:tcW w:w="960" w:type="dxa"/>
          </w:tcPr>
          <w:p>
            <w:pPr>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15" w:type="dxa"/>
            <w:vMerge w:val="continue"/>
            <w:vAlign w:val="center"/>
          </w:tcPr>
          <w:p>
            <w:pPr>
              <w:spacing w:line="320" w:lineRule="exact"/>
              <w:jc w:val="center"/>
              <w:rPr>
                <w:rFonts w:ascii="宋体" w:hAnsi="宋体"/>
                <w:color w:val="000000" w:themeColor="text1"/>
                <w:szCs w:val="21"/>
                <w:highlight w:val="none"/>
              </w:rPr>
            </w:pPr>
          </w:p>
        </w:tc>
        <w:tc>
          <w:tcPr>
            <w:tcW w:w="1656" w:type="dxa"/>
            <w:vMerge w:val="continue"/>
            <w:vAlign w:val="center"/>
          </w:tcPr>
          <w:p>
            <w:pPr>
              <w:spacing w:line="320" w:lineRule="exact"/>
              <w:jc w:val="center"/>
              <w:rPr>
                <w:rFonts w:ascii="宋体" w:hAnsi="宋体"/>
                <w:color w:val="000000" w:themeColor="text1"/>
                <w:szCs w:val="21"/>
                <w:highlight w:val="none"/>
              </w:rPr>
            </w:pPr>
          </w:p>
        </w:tc>
        <w:tc>
          <w:tcPr>
            <w:tcW w:w="6148" w:type="dxa"/>
          </w:tcPr>
          <w:p>
            <w:pPr>
              <w:pStyle w:val="2"/>
              <w:rPr>
                <w:b w:val="0"/>
                <w:bCs w:val="0"/>
                <w:color w:val="000000" w:themeColor="text1"/>
                <w:highlight w:val="none"/>
              </w:rPr>
            </w:pPr>
            <w:r>
              <w:rPr>
                <w:rFonts w:hint="eastAsia"/>
                <w:b w:val="0"/>
                <w:bCs w:val="0"/>
                <w:color w:val="000000" w:themeColor="text1"/>
                <w:highlight w:val="none"/>
              </w:rPr>
              <w:t>1、本报价仅包含电梯设备、随配附件、备品备件、运输、工具、报装、安装、调试、各种附材、附加培训、售后服务、税金；但不包含施工水电费、土建配合费及任何土建费用（包括所有井道及圈梁、井道垂直度、门洞及门头梁、外呼盒打孔及消防盒打孔、机房电梯主机座承重墩、主机机架的孔洞及主机架在墙壁上的孔洞、钢丝绳洞、电缆洞等各种预埋孔洞、吊钩等按电梯生产厂家提供的土建布置图制作，混凝土浇筑、钻孔、整改、打凿、回填、修补等；不负责电梯安装完毕后门洞、机房等电梯相关土建部门的回填、修补、装修等一切工作。</w:t>
            </w:r>
          </w:p>
          <w:p>
            <w:pPr>
              <w:pStyle w:val="2"/>
              <w:rPr>
                <w:b w:val="0"/>
                <w:bCs w:val="0"/>
                <w:color w:val="000000" w:themeColor="text1"/>
                <w:highlight w:val="none"/>
              </w:rPr>
            </w:pPr>
            <w:r>
              <w:rPr>
                <w:rFonts w:hint="eastAsia"/>
                <w:b w:val="0"/>
                <w:bCs w:val="0"/>
                <w:color w:val="000000" w:themeColor="text1"/>
                <w:highlight w:val="none"/>
              </w:rPr>
              <w:t>2、免费送货上门，免费安装调试，提供必要的零配件或备件供应。</w:t>
            </w:r>
          </w:p>
          <w:p>
            <w:pPr>
              <w:pStyle w:val="2"/>
              <w:rPr>
                <w:b w:val="0"/>
                <w:bCs w:val="0"/>
                <w:color w:val="000000" w:themeColor="text1"/>
                <w:highlight w:val="none"/>
              </w:rPr>
            </w:pPr>
            <w:r>
              <w:rPr>
                <w:rFonts w:hint="eastAsia"/>
                <w:b w:val="0"/>
                <w:bCs w:val="0"/>
                <w:color w:val="000000" w:themeColor="text1"/>
                <w:highlight w:val="none"/>
              </w:rPr>
              <w:t>3、投标产品必须是具备厂家合法渠道的全新正品，必须按厂家承诺实行“三包”。</w:t>
            </w:r>
          </w:p>
          <w:p>
            <w:pPr>
              <w:pStyle w:val="2"/>
              <w:rPr>
                <w:b w:val="0"/>
                <w:bCs w:val="0"/>
                <w:color w:val="000000" w:themeColor="text1"/>
                <w:highlight w:val="none"/>
              </w:rPr>
            </w:pPr>
            <w:r>
              <w:rPr>
                <w:rFonts w:hint="eastAsia"/>
                <w:b w:val="0"/>
                <w:bCs w:val="0"/>
                <w:color w:val="000000" w:themeColor="text1"/>
                <w:highlight w:val="none"/>
              </w:rPr>
              <w:t>4、确定中标人后，中标后的各型号单价不随时间、市场价格等因素的变动而改变，直至采购人完成采购任务为止，否则按中标人违约处理并取消中标资格；</w:t>
            </w:r>
          </w:p>
          <w:p>
            <w:pPr>
              <w:pStyle w:val="2"/>
              <w:rPr>
                <w:b w:val="0"/>
                <w:bCs w:val="0"/>
                <w:color w:val="000000" w:themeColor="text1"/>
                <w:highlight w:val="none"/>
              </w:rPr>
            </w:pPr>
            <w:r>
              <w:rPr>
                <w:rFonts w:hint="eastAsia"/>
                <w:b w:val="0"/>
                <w:bCs w:val="0"/>
                <w:color w:val="000000" w:themeColor="text1"/>
                <w:highlight w:val="none"/>
              </w:rPr>
              <w:t>2、投标人非生产厂家的提供生产厂家对本项目的产品授权书、保证供货有效证明及售后服务承诺书。</w:t>
            </w:r>
          </w:p>
        </w:tc>
        <w:tc>
          <w:tcPr>
            <w:tcW w:w="960" w:type="dxa"/>
          </w:tcPr>
          <w:p>
            <w:pPr>
              <w:spacing w:line="320" w:lineRule="exact"/>
              <w:jc w:val="left"/>
              <w:rPr>
                <w:rFonts w:ascii="宋体" w:hAnsi="宋体"/>
                <w:szCs w:val="21"/>
              </w:rPr>
            </w:pPr>
          </w:p>
        </w:tc>
      </w:tr>
    </w:tbl>
    <w:p>
      <w:pPr>
        <w:ind w:firstLine="430"/>
        <w:jc w:val="center"/>
        <w:rPr>
          <w:b/>
          <w:color w:val="000000"/>
          <w:sz w:val="32"/>
          <w:szCs w:val="32"/>
        </w:rPr>
      </w:pPr>
    </w:p>
    <w:p/>
    <w:p>
      <w:pPr>
        <w:spacing w:line="220" w:lineRule="atLeast"/>
      </w:pPr>
    </w:p>
    <w:p>
      <w:pPr>
        <w:ind w:firstLine="430"/>
        <w:jc w:val="center"/>
        <w:rPr>
          <w:b/>
          <w:sz w:val="32"/>
          <w:szCs w:val="32"/>
        </w:rPr>
      </w:pPr>
    </w:p>
    <w:p>
      <w:bookmarkStart w:id="74" w:name="_Toc259698694"/>
      <w:bookmarkStart w:id="75" w:name="_Toc290375231"/>
    </w:p>
    <w:p>
      <w:pPr>
        <w:pStyle w:val="5"/>
      </w:pPr>
    </w:p>
    <w:p>
      <w:pPr>
        <w:pStyle w:val="5"/>
      </w:pPr>
    </w:p>
    <w:p>
      <w:pPr>
        <w:pStyle w:val="5"/>
      </w:pPr>
    </w:p>
    <w:p>
      <w:pPr>
        <w:pStyle w:val="5"/>
      </w:pPr>
    </w:p>
    <w:p>
      <w:pPr>
        <w:pStyle w:val="5"/>
      </w:pPr>
    </w:p>
    <w:p>
      <w:pPr>
        <w:pStyle w:val="5"/>
      </w:pPr>
    </w:p>
    <w:p>
      <w:pPr>
        <w:pStyle w:val="5"/>
      </w:pPr>
    </w:p>
    <w:p>
      <w:pPr>
        <w:pStyle w:val="5"/>
      </w:pPr>
    </w:p>
    <w:p>
      <w:pPr>
        <w:pStyle w:val="17"/>
        <w:ind w:firstLine="215" w:firstLineChars="102"/>
        <w:rPr>
          <w:rFonts w:hAnsi="宋体"/>
          <w:b/>
          <w:bCs/>
          <w:szCs w:val="21"/>
        </w:rPr>
      </w:pPr>
    </w:p>
    <w:p>
      <w:pPr>
        <w:pStyle w:val="17"/>
        <w:ind w:firstLine="215" w:firstLineChars="102"/>
        <w:rPr>
          <w:rFonts w:hAnsi="宋体"/>
          <w:b/>
          <w:bCs/>
          <w:szCs w:val="21"/>
        </w:rPr>
      </w:pPr>
    </w:p>
    <w:p>
      <w:pPr>
        <w:pStyle w:val="17"/>
        <w:ind w:firstLine="215" w:firstLineChars="102"/>
        <w:rPr>
          <w:rFonts w:hAnsi="宋体"/>
          <w:b/>
          <w:bCs/>
          <w:szCs w:val="21"/>
        </w:rPr>
      </w:pPr>
    </w:p>
    <w:p>
      <w:pPr>
        <w:pStyle w:val="17"/>
        <w:ind w:firstLine="215" w:firstLineChars="102"/>
        <w:rPr>
          <w:rFonts w:hAnsi="宋体"/>
          <w:b/>
          <w:bCs/>
          <w:szCs w:val="21"/>
        </w:rPr>
      </w:pPr>
    </w:p>
    <w:p>
      <w:pPr>
        <w:pStyle w:val="5"/>
        <w:rPr>
          <w:rFonts w:ascii="宋体"/>
          <w:sz w:val="32"/>
          <w:szCs w:val="32"/>
        </w:rPr>
      </w:pPr>
    </w:p>
    <w:p>
      <w:pPr>
        <w:pStyle w:val="5"/>
        <w:rPr>
          <w:rFonts w:ascii="宋体"/>
          <w:sz w:val="32"/>
          <w:szCs w:val="32"/>
        </w:rPr>
      </w:pPr>
    </w:p>
    <w:p>
      <w:pPr>
        <w:pStyle w:val="5"/>
        <w:rPr>
          <w:rFonts w:ascii="宋体"/>
          <w:sz w:val="32"/>
          <w:szCs w:val="32"/>
        </w:rPr>
      </w:pPr>
    </w:p>
    <w:p>
      <w:pPr>
        <w:pStyle w:val="3"/>
        <w:spacing w:line="240" w:lineRule="auto"/>
        <w:jc w:val="center"/>
        <w:rPr>
          <w:rFonts w:ascii="宋体"/>
          <w:bCs w:val="0"/>
          <w:sz w:val="32"/>
          <w:szCs w:val="32"/>
        </w:rPr>
      </w:pPr>
    </w:p>
    <w:p>
      <w:pPr>
        <w:rPr>
          <w:rFonts w:ascii="宋体"/>
          <w:sz w:val="32"/>
          <w:szCs w:val="32"/>
        </w:rPr>
      </w:pPr>
      <w:r>
        <w:rPr>
          <w:rFonts w:hint="eastAsia" w:ascii="宋体"/>
          <w:sz w:val="32"/>
          <w:szCs w:val="32"/>
        </w:rPr>
        <w:br w:type="page"/>
      </w:r>
    </w:p>
    <w:p>
      <w:pPr>
        <w:pStyle w:val="3"/>
        <w:spacing w:line="240" w:lineRule="auto"/>
        <w:ind w:firstLine="3213" w:firstLineChars="1000"/>
        <w:rPr>
          <w:rFonts w:ascii="宋体"/>
          <w:sz w:val="32"/>
          <w:szCs w:val="32"/>
        </w:rPr>
      </w:pPr>
      <w:r>
        <w:rPr>
          <w:rFonts w:hint="eastAsia" w:ascii="宋体"/>
          <w:bCs w:val="0"/>
          <w:sz w:val="32"/>
          <w:szCs w:val="32"/>
        </w:rPr>
        <w:t>第三章</w:t>
      </w:r>
      <w:r>
        <w:rPr>
          <w:rFonts w:hint="eastAsia" w:ascii="宋体"/>
          <w:sz w:val="32"/>
          <w:szCs w:val="32"/>
        </w:rPr>
        <w:t xml:space="preserve">  </w:t>
      </w:r>
      <w:r>
        <w:rPr>
          <w:rFonts w:hint="eastAsia" w:ascii="宋体"/>
          <w:bCs w:val="0"/>
          <w:sz w:val="32"/>
          <w:szCs w:val="32"/>
        </w:rPr>
        <w:t>合同书格式</w:t>
      </w:r>
      <w:bookmarkEnd w:id="74"/>
      <w:bookmarkEnd w:id="75"/>
    </w:p>
    <w:p>
      <w:pPr>
        <w:pStyle w:val="17"/>
        <w:jc w:val="center"/>
        <w:rPr>
          <w:rFonts w:ascii="隶书" w:eastAsia="隶书"/>
          <w:sz w:val="44"/>
        </w:rPr>
      </w:pPr>
    </w:p>
    <w:p>
      <w:pPr>
        <w:spacing w:line="360" w:lineRule="auto"/>
        <w:jc w:val="center"/>
        <w:rPr>
          <w:rFonts w:ascii="隶书" w:eastAsia="隶书"/>
          <w:sz w:val="44"/>
        </w:rPr>
      </w:pPr>
      <w:r>
        <w:rPr>
          <w:rFonts w:hint="eastAsia" w:ascii="隶书" w:eastAsia="隶书"/>
          <w:sz w:val="44"/>
        </w:rPr>
        <w:br w:type="page"/>
      </w:r>
    </w:p>
    <w:p>
      <w:pPr>
        <w:pStyle w:val="17"/>
        <w:jc w:val="center"/>
        <w:rPr>
          <w:rFonts w:hAnsi="宋体"/>
          <w:b/>
          <w:bCs/>
          <w:szCs w:val="21"/>
          <w:shd w:val="clear" w:color="auto" w:fill="FFFFFF"/>
        </w:rPr>
      </w:pPr>
      <w:r>
        <w:rPr>
          <w:rFonts w:hint="eastAsia" w:ascii="隶书" w:eastAsia="隶书"/>
          <w:sz w:val="44"/>
          <w:szCs w:val="44"/>
          <w:shd w:val="clear" w:color="auto" w:fill="FFFFFF"/>
        </w:rPr>
        <w:t>政府采购合同书(格式)</w:t>
      </w:r>
    </w:p>
    <w:p>
      <w:pPr>
        <w:snapToGrid w:val="0"/>
        <w:spacing w:line="360" w:lineRule="exact"/>
        <w:ind w:right="480" w:firstLine="5985" w:firstLineChars="285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360" w:lineRule="exact"/>
        <w:rPr>
          <w:rFonts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pacing w:val="-20"/>
          <w:szCs w:val="21"/>
        </w:rPr>
        <w:t>编号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根据《中华人民共和国政府采购法》、《中华人民共和国合同法》等法律、法规规定，按照招标文件规定条款和中标供应商承诺，甲乙双方签订本合同。</w:t>
      </w:r>
    </w:p>
    <w:p>
      <w:pPr>
        <w:snapToGrid w:val="0"/>
        <w:spacing w:line="380" w:lineRule="exact"/>
        <w:ind w:firstLine="422" w:firstLineChars="200"/>
        <w:rPr>
          <w:rFonts w:hAnsi="宋体"/>
          <w:b/>
          <w:bCs/>
          <w:szCs w:val="21"/>
          <w:shd w:val="clear" w:color="auto" w:fill="FFFFFF"/>
        </w:rPr>
      </w:pPr>
      <w:r>
        <w:rPr>
          <w:rFonts w:hint="eastAsia" w:hAnsi="宋体"/>
          <w:b/>
          <w:bCs/>
          <w:szCs w:val="21"/>
          <w:shd w:val="clear" w:color="auto" w:fill="FFFFFF"/>
        </w:rPr>
        <w:t>第一条　合同金额</w:t>
      </w:r>
    </w:p>
    <w:p>
      <w:pPr>
        <w:pStyle w:val="17"/>
        <w:spacing w:line="380" w:lineRule="exact"/>
        <w:ind w:firstLine="420" w:firstLineChars="200"/>
        <w:rPr>
          <w:rFonts w:hAnsi="宋体"/>
          <w:szCs w:val="21"/>
          <w:shd w:val="clear" w:color="auto" w:fill="FFFFFF"/>
        </w:rPr>
      </w:pPr>
      <w:r>
        <w:rPr>
          <w:rFonts w:hint="eastAsia" w:hAnsi="宋体"/>
          <w:szCs w:val="21"/>
          <w:shd w:val="clear" w:color="auto" w:fill="FFFFFF"/>
        </w:rPr>
        <w:t>本合同所涉及的乙方应提供的货物和服务内容详见招标文件“货物需求一览表”中所列内容。</w:t>
      </w:r>
    </w:p>
    <w:p>
      <w:pPr>
        <w:pStyle w:val="17"/>
        <w:spacing w:line="380" w:lineRule="exact"/>
        <w:ind w:firstLine="420" w:firstLineChars="200"/>
        <w:rPr>
          <w:rFonts w:hAnsi="宋体"/>
          <w:szCs w:val="21"/>
          <w:shd w:val="clear" w:color="auto" w:fill="FFFFFF"/>
        </w:rPr>
      </w:pPr>
      <w:r>
        <w:rPr>
          <w:rFonts w:hint="eastAsia" w:hAnsi="宋体"/>
          <w:szCs w:val="21"/>
          <w:shd w:val="clear" w:color="auto" w:fill="FFFFFF"/>
        </w:rPr>
        <w:t>根据中标通知书的中标内容，合同的总金额为（大写）：人民币</w:t>
      </w:r>
      <w:r>
        <w:rPr>
          <w:rFonts w:hint="eastAsia" w:hAnsi="宋体"/>
          <w:szCs w:val="21"/>
          <w:u w:val="single"/>
          <w:shd w:val="clear" w:color="auto" w:fill="FFFFFF"/>
        </w:rPr>
        <w:t xml:space="preserve">                         </w:t>
      </w:r>
      <w:r>
        <w:rPr>
          <w:rFonts w:hint="eastAsia" w:hAnsi="宋体"/>
          <w:szCs w:val="21"/>
          <w:shd w:val="clear" w:color="auto" w:fill="FFFFFF"/>
        </w:rPr>
        <w:t>。</w:t>
      </w:r>
    </w:p>
    <w:p>
      <w:pPr>
        <w:snapToGrid w:val="0"/>
        <w:spacing w:line="360" w:lineRule="exact"/>
        <w:ind w:firstLine="422" w:firstLineChars="200"/>
        <w:outlineLvl w:val="0"/>
        <w:rPr>
          <w:rFonts w:ascii="宋体" w:hAnsi="宋体"/>
          <w:szCs w:val="21"/>
        </w:rPr>
      </w:pPr>
      <w:r>
        <w:rPr>
          <w:rFonts w:hint="eastAsia" w:ascii="宋体" w:hAnsi="宋体"/>
          <w:b/>
          <w:szCs w:val="21"/>
        </w:rPr>
        <w:t>第二条　质量保证</w:t>
      </w:r>
    </w:p>
    <w:p>
      <w:pPr>
        <w:snapToGrid w:val="0"/>
        <w:spacing w:line="360" w:lineRule="exact"/>
        <w:ind w:firstLine="420" w:firstLineChars="200"/>
        <w:rPr>
          <w:rFonts w:ascii="宋体" w:hAnsi="宋体"/>
          <w:szCs w:val="21"/>
        </w:rPr>
      </w:pPr>
      <w:r>
        <w:rPr>
          <w:rFonts w:hint="eastAsia" w:ascii="宋体" w:hAnsi="宋体"/>
          <w:szCs w:val="21"/>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360" w:lineRule="exact"/>
        <w:ind w:firstLine="422" w:firstLineChars="200"/>
        <w:outlineLvl w:val="0"/>
        <w:rPr>
          <w:rFonts w:ascii="宋体" w:hAnsi="宋体"/>
          <w:szCs w:val="21"/>
        </w:rPr>
      </w:pPr>
      <w:r>
        <w:rPr>
          <w:rFonts w:hint="eastAsia" w:ascii="宋体" w:hAnsi="宋体"/>
          <w:b/>
          <w:szCs w:val="21"/>
        </w:rPr>
        <w:t>第三条　权利保证</w:t>
      </w:r>
    </w:p>
    <w:p>
      <w:pPr>
        <w:snapToGrid w:val="0"/>
        <w:spacing w:line="36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360" w:lineRule="exact"/>
        <w:ind w:firstLine="420" w:firstLineChars="200"/>
        <w:rPr>
          <w:rFonts w:ascii="宋体" w:hAnsi="宋体"/>
          <w:szCs w:val="21"/>
        </w:rPr>
      </w:pPr>
      <w:r>
        <w:rPr>
          <w:rFonts w:hint="eastAsia" w:ascii="宋体" w:hAnsi="宋体"/>
          <w:szCs w:val="21"/>
        </w:rPr>
        <w:t>乙方应按招标文件规定的时间向甲方提供使用货物的有关技术资料。</w:t>
      </w:r>
    </w:p>
    <w:p>
      <w:pPr>
        <w:snapToGrid w:val="0"/>
        <w:spacing w:line="36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360" w:lineRule="exact"/>
        <w:ind w:firstLine="422" w:firstLineChars="200"/>
        <w:outlineLvl w:val="0"/>
        <w:rPr>
          <w:rFonts w:ascii="宋体" w:hAnsi="宋体"/>
          <w:b/>
          <w:szCs w:val="21"/>
        </w:rPr>
      </w:pPr>
      <w:r>
        <w:rPr>
          <w:rFonts w:hint="eastAsia" w:ascii="宋体" w:hAnsi="宋体"/>
          <w:b/>
          <w:szCs w:val="21"/>
        </w:rPr>
        <w:t>第四条　包装和运输</w:t>
      </w:r>
    </w:p>
    <w:p>
      <w:pPr>
        <w:snapToGrid w:val="0"/>
        <w:spacing w:line="360" w:lineRule="exact"/>
        <w:ind w:firstLine="420" w:firstLineChars="200"/>
        <w:rPr>
          <w:rFonts w:ascii="宋体" w:hAnsi="宋体"/>
          <w:szCs w:val="21"/>
        </w:rPr>
      </w:pPr>
      <w:r>
        <w:rPr>
          <w:rFonts w:hint="eastAsia" w:ascii="宋体" w:hAnsi="宋体"/>
          <w:szCs w:val="21"/>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乙方自定。</w:t>
      </w:r>
    </w:p>
    <w:p>
      <w:pPr>
        <w:snapToGrid w:val="0"/>
        <w:spacing w:line="360" w:lineRule="exact"/>
        <w:ind w:firstLine="420" w:firstLineChars="200"/>
        <w:rPr>
          <w:rFonts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无 。</w:t>
      </w:r>
    </w:p>
    <w:p>
      <w:pPr>
        <w:snapToGrid w:val="0"/>
        <w:spacing w:line="360" w:lineRule="exact"/>
        <w:ind w:firstLine="422" w:firstLineChars="200"/>
        <w:outlineLvl w:val="0"/>
        <w:rPr>
          <w:rFonts w:ascii="宋体" w:hAnsi="宋体"/>
          <w:szCs w:val="21"/>
        </w:rPr>
      </w:pPr>
      <w:r>
        <w:rPr>
          <w:rFonts w:hint="eastAsia" w:ascii="宋体" w:hAnsi="宋体"/>
          <w:b/>
          <w:szCs w:val="21"/>
        </w:rPr>
        <w:t>第五条　交付和验收</w:t>
      </w:r>
    </w:p>
    <w:p>
      <w:pPr>
        <w:snapToGrid w:val="0"/>
        <w:spacing w:line="360" w:lineRule="exact"/>
        <w:ind w:firstLine="420" w:firstLineChars="200"/>
        <w:rPr>
          <w:rFonts w:ascii="宋体" w:hAnsi="宋体"/>
          <w:szCs w:val="21"/>
        </w:rPr>
      </w:pPr>
      <w:r>
        <w:rPr>
          <w:rFonts w:hint="eastAsia"/>
        </w:rPr>
        <w:t>1、交付使用时间：</w:t>
      </w:r>
      <w:r>
        <w:rPr>
          <w:rFonts w:hint="eastAsia" w:ascii="宋体" w:hAnsi="宋体"/>
          <w:szCs w:val="21"/>
          <w:u w:val="single"/>
        </w:rPr>
        <w:t>按乙方投标文件中所承诺的时间</w:t>
      </w:r>
      <w:r>
        <w:rPr>
          <w:rFonts w:hint="eastAsia" w:ascii="宋体" w:hAnsi="宋体"/>
          <w:szCs w:val="21"/>
        </w:rPr>
        <w:t>、地点：</w:t>
      </w:r>
      <w:r>
        <w:rPr>
          <w:rFonts w:hint="eastAsia" w:ascii="宋体" w:hAnsi="宋体"/>
          <w:szCs w:val="21"/>
          <w:u w:val="single"/>
        </w:rPr>
        <w:t>采购人指定地点。</w:t>
      </w:r>
    </w:p>
    <w:p>
      <w:pPr>
        <w:snapToGrid w:val="0"/>
        <w:spacing w:line="360" w:lineRule="exact"/>
        <w:ind w:firstLine="420" w:firstLineChars="200"/>
        <w:rPr>
          <w:rFonts w:ascii="宋体" w:hAnsi="宋体"/>
          <w:szCs w:val="21"/>
        </w:rPr>
      </w:pPr>
      <w:r>
        <w:rPr>
          <w:rFonts w:hint="eastAsia" w:ascii="宋体" w:hAnsi="宋体"/>
          <w:szCs w:val="21"/>
        </w:rPr>
        <w:t>2、乙方提供不符合招投标文件和本合同规定的货物，甲方有权拒绝接受。</w:t>
      </w:r>
    </w:p>
    <w:p>
      <w:pPr>
        <w:snapToGrid w:val="0"/>
        <w:spacing w:line="36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hAnsi="宋体"/>
          <w:szCs w:val="21"/>
        </w:rPr>
      </w:pPr>
      <w:r>
        <w:rPr>
          <w:rFonts w:hint="eastAsia" w:ascii="宋体" w:hAnsi="宋体"/>
          <w:szCs w:val="21"/>
        </w:rPr>
        <w:t>4、甲方应当在到货（需要安装、调试的，则安装、调试完完）后七个工作日内进行验收，逾期不验收的，乙方可视同验收合格。验收合格后由甲乙双方签署货物验收单并加盖采购单位公章，甲乙双方各执一份。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szCs w:val="21"/>
        </w:rPr>
      </w:pPr>
      <w:r>
        <w:rPr>
          <w:rFonts w:hint="eastAsia" w:ascii="宋体" w:hAnsi="宋体"/>
          <w:szCs w:val="21"/>
        </w:rPr>
        <w:t>5、采购人委托广西区政府采购中心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w:t>
      </w:r>
      <w:r>
        <w:rPr>
          <w:rFonts w:hint="eastAsia" w:ascii="宋体" w:hAnsi="宋体"/>
          <w:szCs w:val="21"/>
        </w:rPr>
        <w:t>日内及时予以解决。</w:t>
      </w:r>
    </w:p>
    <w:p>
      <w:pPr>
        <w:snapToGrid w:val="0"/>
        <w:spacing w:line="360" w:lineRule="exact"/>
        <w:ind w:firstLine="422" w:firstLineChars="200"/>
        <w:outlineLvl w:val="0"/>
        <w:rPr>
          <w:rFonts w:ascii="宋体" w:hAnsi="宋体"/>
          <w:b/>
          <w:szCs w:val="21"/>
        </w:rPr>
      </w:pPr>
      <w:r>
        <w:rPr>
          <w:rFonts w:hint="eastAsia" w:ascii="宋体" w:hAnsi="宋体"/>
          <w:b/>
          <w:szCs w:val="21"/>
        </w:rPr>
        <w:t>第六条　安装和培训</w:t>
      </w:r>
    </w:p>
    <w:p>
      <w:pPr>
        <w:snapToGrid w:val="0"/>
        <w:spacing w:line="360" w:lineRule="exact"/>
        <w:ind w:firstLine="420" w:firstLineChars="200"/>
        <w:rPr>
          <w:rFonts w:ascii="宋体" w:hAnsi="宋体"/>
          <w:szCs w:val="21"/>
        </w:rPr>
      </w:pPr>
      <w:r>
        <w:rPr>
          <w:rFonts w:hint="eastAsia" w:ascii="宋体" w:hAnsi="宋体"/>
          <w:szCs w:val="21"/>
        </w:rPr>
        <w:t>1、甲方应提供必要安装条件（如场地、电源、水源等）。</w:t>
      </w:r>
    </w:p>
    <w:p>
      <w:pPr>
        <w:snapToGrid w:val="0"/>
        <w:spacing w:line="360" w:lineRule="exact"/>
        <w:ind w:firstLine="420" w:firstLineChars="200"/>
        <w:rPr>
          <w:rFonts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按甲方需求要求。</w:t>
      </w:r>
    </w:p>
    <w:p>
      <w:pPr>
        <w:snapToGrid w:val="0"/>
        <w:spacing w:line="360" w:lineRule="exact"/>
        <w:ind w:firstLine="422" w:firstLineChars="200"/>
        <w:outlineLvl w:val="0"/>
        <w:rPr>
          <w:rFonts w:ascii="宋体" w:hAnsi="宋体"/>
          <w:b/>
          <w:szCs w:val="21"/>
        </w:rPr>
      </w:pPr>
      <w:r>
        <w:rPr>
          <w:rFonts w:hint="eastAsia" w:ascii="宋体" w:hAnsi="宋体"/>
          <w:b/>
          <w:szCs w:val="21"/>
        </w:rPr>
        <w:t>第七条  售后服务、保修期</w:t>
      </w:r>
    </w:p>
    <w:p>
      <w:pPr>
        <w:snapToGrid w:val="0"/>
        <w:spacing w:line="360" w:lineRule="exact"/>
        <w:ind w:firstLine="420" w:firstLineChars="200"/>
        <w:rPr>
          <w:rFonts w:ascii="宋体" w:hAnsi="宋体"/>
          <w:szCs w:val="21"/>
        </w:rPr>
      </w:pPr>
      <w:r>
        <w:rPr>
          <w:rFonts w:hint="eastAsia" w:ascii="宋体" w:hAnsi="宋体"/>
          <w:szCs w:val="21"/>
        </w:rPr>
        <w:t>1、乙方应按照国家有关法律法规和“三包”规定以及招投标文件和本合同所附的《服务承诺》，为甲方提供售后服务。</w:t>
      </w:r>
    </w:p>
    <w:p>
      <w:pPr>
        <w:snapToGrid w:val="0"/>
        <w:spacing w:line="360" w:lineRule="exact"/>
        <w:ind w:firstLine="420" w:firstLineChars="200"/>
        <w:rPr>
          <w:rFonts w:ascii="宋体" w:hAnsi="宋体"/>
          <w:szCs w:val="21"/>
          <w:u w:val="single"/>
        </w:rPr>
      </w:pPr>
      <w:r>
        <w:rPr>
          <w:rFonts w:hint="eastAsia" w:ascii="宋体" w:hAnsi="宋体"/>
          <w:szCs w:val="21"/>
        </w:rPr>
        <w:t>2、货物保修期：</w:t>
      </w:r>
      <w:r>
        <w:rPr>
          <w:rFonts w:hint="eastAsia"/>
          <w:b/>
          <w:szCs w:val="21"/>
          <w:u w:val="single"/>
        </w:rPr>
        <w:t>分项有要求的按分项要求，分项无要求的</w:t>
      </w:r>
      <w:r>
        <w:rPr>
          <w:b/>
          <w:szCs w:val="21"/>
          <w:u w:val="single"/>
        </w:rPr>
        <w:t>按国家标准实行“三包”</w:t>
      </w:r>
      <w:r>
        <w:rPr>
          <w:rFonts w:hint="eastAsia" w:ascii="宋体" w:hAnsi="宋体"/>
          <w:szCs w:val="21"/>
        </w:rPr>
        <w:t>。</w:t>
      </w:r>
    </w:p>
    <w:p>
      <w:pPr>
        <w:snapToGrid w:val="0"/>
        <w:spacing w:line="360" w:lineRule="exact"/>
        <w:ind w:firstLine="420" w:firstLineChars="200"/>
        <w:rPr>
          <w:rFonts w:ascii="宋体" w:hAnsi="宋体"/>
          <w:szCs w:val="21"/>
          <w:u w:val="single"/>
        </w:rPr>
      </w:pPr>
      <w:r>
        <w:rPr>
          <w:rFonts w:hint="eastAsia" w:ascii="宋体" w:hAnsi="宋体"/>
          <w:szCs w:val="21"/>
        </w:rPr>
        <w:t>3、乙方提供的服务承诺和售后服务及保修期责任等其它具体约定事项。（见合同附件）</w:t>
      </w:r>
    </w:p>
    <w:p>
      <w:pPr>
        <w:snapToGrid w:val="0"/>
        <w:spacing w:line="360" w:lineRule="exact"/>
        <w:ind w:firstLine="422" w:firstLineChars="200"/>
        <w:outlineLvl w:val="0"/>
        <w:rPr>
          <w:rFonts w:ascii="宋体" w:hAnsi="宋体"/>
          <w:szCs w:val="21"/>
        </w:rPr>
      </w:pPr>
      <w:r>
        <w:rPr>
          <w:rFonts w:hint="eastAsia" w:ascii="宋体" w:hAnsi="宋体"/>
          <w:b/>
          <w:szCs w:val="21"/>
        </w:rPr>
        <w:t>第八条　付款方式和保证金</w:t>
      </w:r>
    </w:p>
    <w:p>
      <w:pPr>
        <w:pStyle w:val="17"/>
        <w:snapToGrid w:val="0"/>
        <w:spacing w:before="120" w:after="120" w:line="360" w:lineRule="exact"/>
        <w:ind w:left="420" w:left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hAnsi="宋体"/>
          <w:szCs w:val="21"/>
          <w:u w:val="single"/>
        </w:rPr>
      </w:pPr>
      <w:r>
        <w:rPr>
          <w:rFonts w:hint="eastAsia" w:ascii="宋体" w:hAnsi="宋体"/>
          <w:szCs w:val="21"/>
        </w:rPr>
        <w:t>2、资金性质：</w:t>
      </w:r>
      <w:r>
        <w:rPr>
          <w:rFonts w:hint="eastAsia" w:ascii="宋体" w:hAnsi="宋体"/>
          <w:b/>
          <w:szCs w:val="21"/>
          <w:u w:val="single"/>
        </w:rPr>
        <w:t>财政性资金</w:t>
      </w:r>
      <w:r>
        <w:rPr>
          <w:rFonts w:hint="eastAsia" w:ascii="宋体" w:hAnsi="宋体"/>
          <w:b/>
          <w:szCs w:val="21"/>
        </w:rPr>
        <w:t>。</w:t>
      </w:r>
    </w:p>
    <w:p>
      <w:pPr>
        <w:snapToGrid w:val="0"/>
        <w:spacing w:line="360" w:lineRule="exact"/>
        <w:ind w:left="-61" w:leftChars="-29" w:firstLine="514" w:firstLineChars="245"/>
        <w:rPr>
          <w:rFonts w:ascii="宋体" w:hAnsi="Courier New" w:cs="Courier New"/>
          <w:b/>
          <w:color w:val="000000" w:themeColor="text1"/>
          <w:szCs w:val="21"/>
        </w:rPr>
      </w:pPr>
      <w:r>
        <w:rPr>
          <w:rFonts w:hint="eastAsia"/>
          <w:color w:val="000000" w:themeColor="text1"/>
        </w:rPr>
        <w:t>3、付款方式：签订合同后，预付合同款80%,安装调试完毕并验收合格后付合同款97%，余下3%作为质保金，待质保期满后，采购人在1个月内退还乙方质保金（不计利息）。</w:t>
      </w:r>
    </w:p>
    <w:p>
      <w:pPr>
        <w:snapToGrid w:val="0"/>
        <w:spacing w:line="360" w:lineRule="exact"/>
        <w:ind w:left="-61" w:leftChars="-29" w:firstLine="517" w:firstLineChars="245"/>
        <w:outlineLvl w:val="0"/>
        <w:rPr>
          <w:rFonts w:ascii="宋体" w:hAnsi="Courier New" w:cs="Courier New"/>
          <w:b/>
          <w:szCs w:val="21"/>
        </w:rPr>
      </w:pPr>
      <w:r>
        <w:rPr>
          <w:rFonts w:hint="eastAsia" w:ascii="宋体" w:hAnsi="Courier New" w:cs="Courier New"/>
          <w:b/>
          <w:szCs w:val="21"/>
        </w:rPr>
        <w:t>第九条　履约保证金</w:t>
      </w:r>
    </w:p>
    <w:p>
      <w:pPr>
        <w:snapToGrid w:val="0"/>
        <w:spacing w:line="360" w:lineRule="exact"/>
        <w:ind w:left="-61" w:leftChars="-29" w:firstLine="514" w:firstLineChars="245"/>
        <w:rPr>
          <w:rFonts w:ascii="宋体" w:hAnsi="Courier New" w:cs="Courier New"/>
          <w:szCs w:val="21"/>
        </w:rPr>
      </w:pPr>
      <w:r>
        <w:rPr>
          <w:rFonts w:hint="eastAsia"/>
        </w:rPr>
        <w:t>合同金额的</w:t>
      </w:r>
      <w:r>
        <w:t>3%</w:t>
      </w:r>
      <w:r>
        <w:rPr>
          <w:rFonts w:hint="eastAsia"/>
        </w:rPr>
        <w:t>作为质保金，</w:t>
      </w:r>
      <w:r>
        <w:t>电梯</w:t>
      </w:r>
      <w:r>
        <w:rPr>
          <w:rFonts w:hint="eastAsia"/>
        </w:rPr>
        <w:t>正常使用</w:t>
      </w:r>
      <w:r>
        <w:t>一个月</w:t>
      </w:r>
      <w:r>
        <w:rPr>
          <w:rFonts w:hint="eastAsia"/>
        </w:rPr>
        <w:t>后付清。</w:t>
      </w:r>
    </w:p>
    <w:p>
      <w:pPr>
        <w:snapToGrid w:val="0"/>
        <w:spacing w:line="360" w:lineRule="exact"/>
        <w:ind w:left="-61" w:leftChars="-29" w:firstLine="517" w:firstLineChars="245"/>
        <w:outlineLvl w:val="0"/>
        <w:rPr>
          <w:rFonts w:ascii="宋体" w:hAnsi="宋体"/>
          <w:b/>
          <w:szCs w:val="21"/>
        </w:rPr>
      </w:pPr>
      <w:r>
        <w:rPr>
          <w:rFonts w:hint="eastAsia" w:ascii="宋体" w:hAnsi="宋体"/>
          <w:b/>
          <w:szCs w:val="21"/>
        </w:rPr>
        <w:t>第十条、税费本合同执行中相关的一切税费均由乙方负担。</w:t>
      </w:r>
    </w:p>
    <w:p>
      <w:pPr>
        <w:snapToGrid w:val="0"/>
        <w:spacing w:line="360" w:lineRule="exact"/>
        <w:ind w:firstLine="422" w:firstLineChars="200"/>
        <w:outlineLvl w:val="0"/>
        <w:rPr>
          <w:rFonts w:ascii="宋体" w:hAnsi="宋体"/>
          <w:b/>
          <w:szCs w:val="21"/>
        </w:rPr>
      </w:pPr>
      <w:r>
        <w:rPr>
          <w:rFonts w:hint="eastAsia" w:ascii="宋体" w:hAnsi="宋体"/>
          <w:b/>
          <w:szCs w:val="21"/>
        </w:rPr>
        <w:t>第十一条、质量保证及售后服务</w:t>
      </w:r>
    </w:p>
    <w:p>
      <w:pPr>
        <w:snapToGrid w:val="0"/>
        <w:spacing w:line="360" w:lineRule="exact"/>
        <w:ind w:firstLine="420" w:firstLineChars="200"/>
        <w:rPr>
          <w:rFonts w:ascii="宋体" w:hAnsi="宋体"/>
          <w:szCs w:val="21"/>
        </w:rPr>
      </w:pPr>
      <w:r>
        <w:rPr>
          <w:rFonts w:hint="eastAsia" w:ascii="宋体" w:hAnsi="宋体"/>
          <w:szCs w:val="21"/>
        </w:rPr>
        <w:t>1. 乙方应按招标文件规定的货物性能、技术要求、质量标准向甲方提供未经使用的全新产品。</w:t>
      </w:r>
      <w:r>
        <w:rPr>
          <w:rFonts w:hint="eastAsia" w:hAnsi="宋体"/>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szCs w:val="21"/>
        </w:rPr>
        <w:t>：</w:t>
      </w:r>
    </w:p>
    <w:p>
      <w:pPr>
        <w:pStyle w:val="17"/>
        <w:snapToGrid w:val="0"/>
        <w:spacing w:before="120" w:after="120" w:line="360" w:lineRule="exact"/>
        <w:ind w:firstLine="315" w:firstLineChars="150"/>
        <w:rPr>
          <w:rFonts w:hAnsi="宋体"/>
        </w:rPr>
      </w:pPr>
      <w:r>
        <w:rPr>
          <w:rFonts w:hint="eastAsia" w:hAnsi="宋体"/>
        </w:rPr>
        <w:t>⑴更换：由乙方承担所发生的全部费用。</w:t>
      </w:r>
    </w:p>
    <w:p>
      <w:pPr>
        <w:pStyle w:val="17"/>
        <w:snapToGrid w:val="0"/>
        <w:spacing w:before="120" w:after="120" w:line="360" w:lineRule="exact"/>
        <w:ind w:firstLine="420"/>
        <w:rPr>
          <w:rFonts w:hAnsi="宋体"/>
        </w:rPr>
      </w:pPr>
      <w:r>
        <w:rPr>
          <w:rFonts w:hint="eastAsia" w:hAnsi="宋体"/>
        </w:rPr>
        <w:t>⑵贬值处理：由甲乙双方合议定价。</w:t>
      </w:r>
    </w:p>
    <w:p>
      <w:pPr>
        <w:pStyle w:val="17"/>
        <w:snapToGrid w:val="0"/>
        <w:spacing w:before="120" w:after="120" w:line="360" w:lineRule="exact"/>
        <w:ind w:left="420" w:leftChars="200"/>
        <w:rPr>
          <w:rFonts w:hAnsi="宋体"/>
        </w:rPr>
      </w:pPr>
      <w:r>
        <w:rPr>
          <w:rFonts w:hint="eastAsia" w:hAnsi="宋体"/>
        </w:rPr>
        <w:t>⑶退货处理：乙方应退还甲方支付的合同款，同时应承担该货物的直接费用（运输、保险、检验、货款利息及银行手续费等）。</w:t>
      </w:r>
    </w:p>
    <w:p>
      <w:pPr>
        <w:pStyle w:val="17"/>
        <w:snapToGrid w:val="0"/>
        <w:spacing w:before="120" w:after="120" w:line="360" w:lineRule="exact"/>
        <w:ind w:firstLine="420" w:firstLineChars="200"/>
        <w:rPr>
          <w:rFonts w:hAnsi="宋体"/>
        </w:rPr>
      </w:pPr>
      <w:r>
        <w:rPr>
          <w:rFonts w:hint="eastAsia" w:hAnsi="宋体"/>
        </w:rPr>
        <w:t>2. 如在使用过程中发生质量问题，乙方在接到甲方通知后在</w:t>
      </w:r>
      <w:r>
        <w:rPr>
          <w:rFonts w:hint="eastAsia" w:hAnsi="宋体"/>
          <w:u w:val="single"/>
        </w:rPr>
        <w:t xml:space="preserve">    </w:t>
      </w:r>
      <w:r>
        <w:rPr>
          <w:rFonts w:hint="eastAsia" w:hAnsi="宋体"/>
        </w:rPr>
        <w:t>小时内到达甲方现场。乙方不能或拒绝到达现场进行维修的，甲方有权请求第三方进行维修，维修所产生的维修费由乙方承担，乙方还应承担维修费的20%的管理费。</w:t>
      </w:r>
    </w:p>
    <w:p>
      <w:pPr>
        <w:pStyle w:val="17"/>
        <w:snapToGrid w:val="0"/>
        <w:spacing w:before="120" w:after="120" w:line="360" w:lineRule="exact"/>
        <w:ind w:firstLine="420" w:firstLineChars="200"/>
        <w:rPr>
          <w:rFonts w:hAnsi="宋体"/>
        </w:rPr>
      </w:pPr>
      <w:r>
        <w:rPr>
          <w:rFonts w:hint="eastAsia" w:hAnsi="宋体"/>
        </w:rPr>
        <w:t>3. 在质保期内，乙方应对货物出现的质量及安全问题负责处理解决并承担一切费用。</w:t>
      </w:r>
    </w:p>
    <w:p>
      <w:pPr>
        <w:pStyle w:val="17"/>
        <w:snapToGrid w:val="0"/>
        <w:spacing w:before="120" w:after="120" w:line="360" w:lineRule="exact"/>
        <w:ind w:firstLine="420" w:firstLineChars="200"/>
        <w:rPr>
          <w:rFonts w:hAnsi="宋体"/>
        </w:rPr>
      </w:pPr>
      <w:r>
        <w:rPr>
          <w:rFonts w:hint="eastAsia" w:hAnsi="宋体"/>
        </w:rPr>
        <w:t>4.上述的货物免费保修期为</w:t>
      </w:r>
      <w:r>
        <w:rPr>
          <w:rFonts w:hint="eastAsia" w:hAnsi="宋体"/>
          <w:u w:val="single"/>
        </w:rPr>
        <w:t xml:space="preserve">     </w:t>
      </w:r>
      <w:r>
        <w:rPr>
          <w:rFonts w:hint="eastAsia" w:hAnsi="宋体"/>
        </w:rPr>
        <w:t>年，因人为因素出现的故障不在免费保修范围内。超过保修期的机器设备，终生维修，维修时只收部件成本费。</w:t>
      </w:r>
    </w:p>
    <w:p>
      <w:pPr>
        <w:pStyle w:val="17"/>
        <w:snapToGrid w:val="0"/>
        <w:spacing w:before="120" w:after="120" w:line="360" w:lineRule="exact"/>
        <w:ind w:firstLine="413" w:firstLineChars="196"/>
        <w:outlineLvl w:val="0"/>
        <w:rPr>
          <w:rFonts w:hAnsi="宋体"/>
          <w:b/>
        </w:rPr>
      </w:pPr>
      <w:r>
        <w:rPr>
          <w:rFonts w:hint="eastAsia" w:hAnsi="宋体"/>
          <w:b/>
        </w:rPr>
        <w:t>第十二条、调试和验收</w:t>
      </w:r>
    </w:p>
    <w:p>
      <w:pPr>
        <w:pStyle w:val="17"/>
        <w:snapToGrid w:val="0"/>
        <w:spacing w:before="120" w:after="120" w:line="360" w:lineRule="exact"/>
        <w:ind w:firstLine="420" w:firstLineChars="200"/>
        <w:jc w:val="left"/>
        <w:rPr>
          <w:rFonts w:hAnsi="宋体"/>
        </w:rPr>
      </w:pPr>
      <w:r>
        <w:rPr>
          <w:rFonts w:hint="eastAsia" w:hAnsi="宋体"/>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rPr>
        <w:t>甲方应当在到货（安装、调试完）后七个工作日内进行验收</w:t>
      </w:r>
      <w:r>
        <w:rPr>
          <w:rFonts w:hint="eastAsia" w:hAnsi="宋体"/>
        </w:rPr>
        <w:t>。</w:t>
      </w:r>
    </w:p>
    <w:p>
      <w:pPr>
        <w:pStyle w:val="17"/>
        <w:snapToGrid w:val="0"/>
        <w:spacing w:before="120" w:after="120" w:line="360" w:lineRule="exact"/>
        <w:ind w:firstLine="420" w:firstLineChars="200"/>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7"/>
        <w:snapToGrid w:val="0"/>
        <w:spacing w:before="120" w:after="120" w:line="360" w:lineRule="exact"/>
        <w:ind w:firstLine="420" w:firstLineChars="200"/>
        <w:rPr>
          <w:rFonts w:hAnsi="宋体"/>
          <w:u w:val="single"/>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7"/>
        <w:snapToGrid w:val="0"/>
        <w:spacing w:before="120" w:after="120" w:line="360" w:lineRule="exact"/>
        <w:ind w:firstLine="420" w:firstLineChars="200"/>
        <w:rPr>
          <w:rFonts w:hAnsi="宋体"/>
        </w:rPr>
      </w:pPr>
      <w:r>
        <w:rPr>
          <w:rFonts w:hint="eastAsia" w:hAnsi="宋体"/>
        </w:rPr>
        <w:t>4. 对技术复杂的货物，甲方应请国家认可的专业检测机构参与初步验收及最终验收，并由其出具质量检测报告。</w:t>
      </w:r>
    </w:p>
    <w:p>
      <w:pPr>
        <w:pStyle w:val="17"/>
        <w:snapToGrid w:val="0"/>
        <w:spacing w:before="120" w:after="120" w:line="360" w:lineRule="exact"/>
        <w:ind w:firstLine="420" w:firstLineChars="200"/>
        <w:rPr>
          <w:rFonts w:hAnsi="宋体"/>
        </w:rPr>
      </w:pPr>
      <w:r>
        <w:rPr>
          <w:rFonts w:hint="eastAsia" w:hAnsi="宋体"/>
        </w:rPr>
        <w:t>5. 验收时乙方必须在现场，验收完毕后作出验收结果报告；验收费用由乙方负责。</w:t>
      </w:r>
    </w:p>
    <w:p>
      <w:pPr>
        <w:pStyle w:val="17"/>
        <w:snapToGrid w:val="0"/>
        <w:spacing w:before="120" w:after="120" w:line="360" w:lineRule="exact"/>
        <w:ind w:firstLine="413" w:firstLineChars="196"/>
        <w:rPr>
          <w:rFonts w:hAnsi="宋体"/>
          <w:b/>
        </w:rPr>
      </w:pPr>
      <w:r>
        <w:rPr>
          <w:rFonts w:hint="eastAsia" w:hAnsi="宋体"/>
          <w:b/>
        </w:rPr>
        <w:t>第十三条、货物包装、发运及运输</w:t>
      </w:r>
    </w:p>
    <w:p>
      <w:pPr>
        <w:pStyle w:val="17"/>
        <w:snapToGrid w:val="0"/>
        <w:spacing w:before="120" w:after="120" w:line="360" w:lineRule="exact"/>
        <w:ind w:left="420" w:leftChars="200"/>
        <w:rPr>
          <w:rFonts w:hAnsi="宋体"/>
        </w:rPr>
      </w:pPr>
      <w:r>
        <w:rPr>
          <w:rFonts w:hint="eastAsia" w:hAnsi="宋体"/>
        </w:rPr>
        <w:t>1. 乙方应在货物发运前对其进行满足运输距离、防潮、防震、防锈和防破损装卸等要求包装，以保证</w:t>
      </w:r>
    </w:p>
    <w:p>
      <w:pPr>
        <w:pStyle w:val="17"/>
        <w:snapToGrid w:val="0"/>
        <w:spacing w:before="120" w:after="120" w:line="360" w:lineRule="exact"/>
        <w:rPr>
          <w:rFonts w:hAnsi="宋体"/>
        </w:rPr>
      </w:pPr>
      <w:r>
        <w:rPr>
          <w:rFonts w:hint="eastAsia" w:hAnsi="宋体"/>
        </w:rPr>
        <w:t>货物安全运达甲方指定地点。</w:t>
      </w:r>
    </w:p>
    <w:p>
      <w:pPr>
        <w:pStyle w:val="17"/>
        <w:snapToGrid w:val="0"/>
        <w:spacing w:before="120" w:after="120" w:line="360" w:lineRule="exact"/>
        <w:ind w:left="420" w:leftChars="200"/>
        <w:rPr>
          <w:rFonts w:hAnsi="宋体"/>
        </w:rPr>
      </w:pPr>
      <w:r>
        <w:rPr>
          <w:rFonts w:hint="eastAsia" w:hAnsi="宋体"/>
        </w:rPr>
        <w:t>2. 使用说明书、质量检验证明书、随配附件和工具以及清单一并附于货物内。</w:t>
      </w:r>
    </w:p>
    <w:p>
      <w:pPr>
        <w:pStyle w:val="17"/>
        <w:snapToGrid w:val="0"/>
        <w:spacing w:before="120" w:after="120" w:line="360" w:lineRule="exact"/>
        <w:ind w:left="420" w:leftChars="200"/>
        <w:rPr>
          <w:rFonts w:hAnsi="宋体"/>
        </w:rPr>
      </w:pPr>
      <w:r>
        <w:rPr>
          <w:rFonts w:hint="eastAsia" w:hAnsi="宋体"/>
        </w:rPr>
        <w:t>3. 乙方在货物发运手续办理完毕后二十四小时内或货到甲方四十八小时前通知甲方，以准备接货。</w:t>
      </w:r>
    </w:p>
    <w:p>
      <w:pPr>
        <w:pStyle w:val="17"/>
        <w:snapToGrid w:val="0"/>
        <w:spacing w:before="120" w:after="120" w:line="360" w:lineRule="exact"/>
        <w:ind w:left="420" w:leftChars="200"/>
        <w:rPr>
          <w:rFonts w:hAnsi="宋体"/>
        </w:rPr>
      </w:pPr>
      <w:r>
        <w:rPr>
          <w:rFonts w:hint="eastAsia" w:hAnsi="宋体"/>
        </w:rPr>
        <w:t>4. 货物在交付甲方前发生的风险均由乙方负责。</w:t>
      </w:r>
    </w:p>
    <w:p>
      <w:pPr>
        <w:pStyle w:val="17"/>
        <w:snapToGrid w:val="0"/>
        <w:spacing w:line="360" w:lineRule="exact"/>
        <w:ind w:left="420" w:leftChars="200" w:right="26"/>
        <w:rPr>
          <w:rFonts w:hAnsi="宋体"/>
          <w:spacing w:val="-8"/>
        </w:rPr>
      </w:pPr>
      <w:r>
        <w:rPr>
          <w:rFonts w:hint="eastAsia" w:hAnsi="宋体"/>
        </w:rPr>
        <w:t>5. 货</w:t>
      </w:r>
      <w:r>
        <w:rPr>
          <w:rFonts w:hint="eastAsia" w:hAnsi="宋体"/>
          <w:spacing w:val="-8"/>
        </w:rPr>
        <w:t>物在规定的交付期限内由乙方送达甲方指定的地点视为交付，乙方同时需通知甲方货物已送达。</w:t>
      </w:r>
    </w:p>
    <w:p>
      <w:pPr>
        <w:snapToGrid w:val="0"/>
        <w:spacing w:line="360" w:lineRule="exact"/>
        <w:ind w:firstLine="422" w:firstLineChars="200"/>
        <w:outlineLvl w:val="0"/>
        <w:rPr>
          <w:rFonts w:ascii="宋体" w:hAnsi="宋体"/>
          <w:b/>
          <w:szCs w:val="21"/>
        </w:rPr>
      </w:pPr>
      <w:r>
        <w:rPr>
          <w:rFonts w:hint="eastAsia" w:ascii="宋体" w:hAnsi="宋体"/>
          <w:b/>
          <w:szCs w:val="21"/>
        </w:rPr>
        <w:t>第十四条　违约责任</w:t>
      </w:r>
    </w:p>
    <w:p>
      <w:pPr>
        <w:snapToGrid w:val="0"/>
        <w:spacing w:line="360" w:lineRule="exact"/>
        <w:ind w:firstLine="525" w:firstLineChars="250"/>
        <w:rPr>
          <w:rFonts w:ascii="宋体" w:hAnsi="宋体"/>
          <w:szCs w:val="21"/>
        </w:rPr>
      </w:pPr>
      <w:r>
        <w:rPr>
          <w:rFonts w:hint="eastAsia"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hAnsi="宋体"/>
          <w:szCs w:val="21"/>
        </w:rPr>
      </w:pPr>
      <w:r>
        <w:rPr>
          <w:rFonts w:hint="eastAsia" w:ascii="宋体" w:hAnsi="宋体"/>
          <w:szCs w:val="21"/>
        </w:rPr>
        <w:t>2、乙方提供的货物如侵犯了第三方合法权益而引发的任何纠纷或诉讼，均由乙方负责交涉并承担全部责任。</w:t>
      </w:r>
    </w:p>
    <w:p>
      <w:pPr>
        <w:snapToGrid w:val="0"/>
        <w:spacing w:line="360" w:lineRule="exact"/>
        <w:ind w:firstLine="420" w:firstLineChars="200"/>
        <w:rPr>
          <w:rFonts w:ascii="宋体" w:hAnsi="宋体"/>
          <w:szCs w:val="21"/>
        </w:rPr>
      </w:pPr>
      <w:r>
        <w:rPr>
          <w:rFonts w:hint="eastAsia" w:ascii="宋体" w:hAnsi="宋体"/>
          <w:szCs w:val="21"/>
        </w:rPr>
        <w:t>3、因包装、运输引起的货物损坏，按质量不合格处罚。</w:t>
      </w:r>
    </w:p>
    <w:p>
      <w:pPr>
        <w:snapToGrid w:val="0"/>
        <w:spacing w:line="360" w:lineRule="exact"/>
        <w:ind w:firstLine="420" w:firstLineChars="200"/>
        <w:rPr>
          <w:rFonts w:ascii="宋体" w:hAnsi="宋体"/>
          <w:szCs w:val="21"/>
        </w:rPr>
      </w:pPr>
      <w:r>
        <w:rPr>
          <w:rFonts w:hint="eastAsia" w:ascii="宋体" w:hAnsi="宋体"/>
          <w:szCs w:val="21"/>
        </w:rPr>
        <w:t>4、甲方无故延期接收货物、乙方逾期交货的，每天向对方偿付违约货款额3‰违约金，超过</w:t>
      </w:r>
      <w:r>
        <w:rPr>
          <w:rFonts w:hint="eastAsia" w:ascii="宋体" w:hAnsi="宋体"/>
          <w:szCs w:val="21"/>
          <w:u w:val="single"/>
        </w:rPr>
        <w:t xml:space="preserve">   </w:t>
      </w:r>
      <w:r>
        <w:rPr>
          <w:rFonts w:hint="eastAsia" w:ascii="宋体" w:hAnsi="宋体"/>
          <w:szCs w:val="21"/>
        </w:rPr>
        <w:t>天对方有权解除合同，违约方承担因此给对方造成经济损失；甲方逾期付货款的，每天向乙方偿付逾期货款额</w:t>
      </w:r>
      <w:r>
        <w:rPr>
          <w:rFonts w:hint="eastAsia" w:ascii="宋体" w:hAnsi="宋体"/>
          <w:szCs w:val="21"/>
          <w:u w:val="single"/>
        </w:rPr>
        <w:t xml:space="preserve">3‰ </w:t>
      </w:r>
      <w:r>
        <w:rPr>
          <w:rFonts w:hint="eastAsia" w:ascii="宋体" w:hAnsi="宋体"/>
          <w:szCs w:val="21"/>
        </w:rPr>
        <w:t>滞纳金。</w:t>
      </w:r>
    </w:p>
    <w:p>
      <w:pPr>
        <w:snapToGrid w:val="0"/>
        <w:spacing w:line="360" w:lineRule="exact"/>
        <w:ind w:firstLine="420" w:firstLineChars="200"/>
        <w:rPr>
          <w:rFonts w:ascii="宋体" w:hAnsi="宋体"/>
          <w:szCs w:val="21"/>
        </w:rPr>
      </w:pPr>
      <w:r>
        <w:rPr>
          <w:rFonts w:hint="eastAsia" w:ascii="宋体" w:hAnsi="宋体"/>
          <w:szCs w:val="21"/>
        </w:rPr>
        <w:t>5、乙方未按本合同和投标文件中规定的服务承诺提供售后服务的，乙方应按本合同合计金额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pPr>
        <w:snapToGrid w:val="0"/>
        <w:spacing w:line="360" w:lineRule="exact"/>
        <w:ind w:firstLine="420" w:firstLineChars="200"/>
        <w:rPr>
          <w:rFonts w:ascii="宋体" w:hAnsi="宋体"/>
          <w:szCs w:val="21"/>
        </w:rPr>
      </w:pPr>
      <w:r>
        <w:rPr>
          <w:rFonts w:hint="eastAsia" w:ascii="宋体" w:hAnsi="宋体"/>
          <w:szCs w:val="21"/>
        </w:rPr>
        <w:t>6、乙方提供的货物在质量保证期内，因设计、工艺或材料的缺陷和其它质量原因造成的问题，由乙方负责，费用从履约保证金中扣除，不足另补。</w:t>
      </w:r>
    </w:p>
    <w:p>
      <w:pPr>
        <w:snapToGrid w:val="0"/>
        <w:spacing w:line="360" w:lineRule="exact"/>
        <w:ind w:firstLine="420" w:firstLineChars="200"/>
        <w:rPr>
          <w:rFonts w:ascii="宋体" w:hAnsi="宋体"/>
          <w:szCs w:val="21"/>
        </w:rPr>
      </w:pPr>
      <w:r>
        <w:rPr>
          <w:rFonts w:hint="eastAsia" w:ascii="宋体" w:hAnsi="宋体"/>
          <w:szCs w:val="21"/>
        </w:rPr>
        <w:t>7、其它违约行为按违约货款额5%收取违约金。</w:t>
      </w:r>
    </w:p>
    <w:p>
      <w:pPr>
        <w:snapToGrid w:val="0"/>
        <w:spacing w:line="360" w:lineRule="exact"/>
        <w:ind w:firstLine="420" w:firstLineChars="200"/>
        <w:rPr>
          <w:rFonts w:ascii="宋体" w:hAnsi="宋体"/>
          <w:szCs w:val="21"/>
        </w:rPr>
      </w:pPr>
      <w:r>
        <w:rPr>
          <w:rFonts w:hint="eastAsia" w:ascii="宋体" w:hAnsi="宋体"/>
          <w:szCs w:val="21"/>
        </w:rPr>
        <w:t>8、乙方支付的违约金不足以弥补甲方损失的，还应承担赔偿责任。</w:t>
      </w:r>
    </w:p>
    <w:p>
      <w:pPr>
        <w:pStyle w:val="17"/>
        <w:snapToGrid w:val="0"/>
        <w:spacing w:before="120" w:after="120" w:line="360" w:lineRule="exact"/>
        <w:ind w:firstLine="413" w:firstLineChars="196"/>
        <w:outlineLvl w:val="0"/>
        <w:rPr>
          <w:rFonts w:hAnsi="宋体"/>
          <w:b/>
        </w:rPr>
      </w:pPr>
      <w:r>
        <w:rPr>
          <w:rFonts w:hint="eastAsia" w:hAnsi="宋体"/>
          <w:b/>
        </w:rPr>
        <w:t>第十五条、不可抗力事件处理</w:t>
      </w:r>
    </w:p>
    <w:p>
      <w:pPr>
        <w:pStyle w:val="17"/>
        <w:snapToGrid w:val="0"/>
        <w:spacing w:before="120" w:after="120" w:line="36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17"/>
        <w:snapToGrid w:val="0"/>
        <w:spacing w:before="120" w:after="120" w:line="360" w:lineRule="exact"/>
        <w:ind w:firstLine="420" w:firstLineChars="200"/>
        <w:rPr>
          <w:rFonts w:hAnsi="宋体"/>
        </w:rPr>
      </w:pPr>
      <w:r>
        <w:rPr>
          <w:rFonts w:hint="eastAsia" w:hAnsi="宋体"/>
        </w:rPr>
        <w:t>2. 不可抗力事件发生后，应立即通知对方，并寄送有关权威机构出具的证明。</w:t>
      </w:r>
    </w:p>
    <w:p>
      <w:pPr>
        <w:pStyle w:val="17"/>
        <w:snapToGrid w:val="0"/>
        <w:spacing w:before="120" w:after="120" w:line="360" w:lineRule="exact"/>
        <w:ind w:firstLine="420" w:firstLineChars="200"/>
        <w:rPr>
          <w:rFonts w:hAnsi="宋体"/>
        </w:rPr>
      </w:pPr>
      <w:r>
        <w:rPr>
          <w:rFonts w:hint="eastAsia" w:hAnsi="宋体"/>
        </w:rPr>
        <w:t>3. 不可抗力事件延续一百二十天以上，双方应通过友好协商，确定是否继续履行合同。</w:t>
      </w:r>
    </w:p>
    <w:p>
      <w:pPr>
        <w:snapToGrid w:val="0"/>
        <w:spacing w:line="360" w:lineRule="exact"/>
        <w:ind w:firstLine="422" w:firstLineChars="200"/>
        <w:outlineLvl w:val="0"/>
        <w:rPr>
          <w:rFonts w:ascii="宋体" w:hAnsi="宋体"/>
          <w:szCs w:val="21"/>
        </w:rPr>
      </w:pPr>
      <w:r>
        <w:rPr>
          <w:rFonts w:hint="eastAsia" w:ascii="宋体" w:hAnsi="宋体"/>
          <w:b/>
          <w:szCs w:val="21"/>
        </w:rPr>
        <w:t>第十六条  合同争议解决</w:t>
      </w:r>
    </w:p>
    <w:p>
      <w:pPr>
        <w:snapToGrid w:val="0"/>
        <w:spacing w:line="360" w:lineRule="exact"/>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2、因履行本合同引起的或与本合同有关的争议，甲乙双方应首先通过友好协商解决，如果协商不能解决，向甲方所在地人民法院提起诉讼。</w:t>
      </w:r>
    </w:p>
    <w:p>
      <w:pPr>
        <w:snapToGrid w:val="0"/>
        <w:spacing w:line="360" w:lineRule="exact"/>
        <w:ind w:firstLine="420" w:firstLineChars="200"/>
        <w:rPr>
          <w:rFonts w:ascii="宋体" w:hAnsi="宋体"/>
          <w:szCs w:val="21"/>
        </w:rPr>
      </w:pPr>
      <w:r>
        <w:rPr>
          <w:rFonts w:hint="eastAsia" w:ascii="宋体" w:hAnsi="宋体"/>
          <w:szCs w:val="21"/>
        </w:rPr>
        <w:t>3、诉讼期间，本合同继续履行。</w:t>
      </w:r>
    </w:p>
    <w:p>
      <w:pPr>
        <w:pStyle w:val="17"/>
        <w:snapToGrid w:val="0"/>
        <w:spacing w:before="120" w:after="120" w:line="360" w:lineRule="exact"/>
        <w:ind w:firstLine="413" w:firstLineChars="196"/>
        <w:outlineLvl w:val="0"/>
        <w:rPr>
          <w:rFonts w:hAnsi="宋体"/>
          <w:b/>
        </w:rPr>
      </w:pPr>
      <w:r>
        <w:rPr>
          <w:rFonts w:hint="eastAsia" w:hAnsi="宋体"/>
          <w:b/>
        </w:rPr>
        <w:t>第十七条、诉讼</w:t>
      </w:r>
    </w:p>
    <w:p>
      <w:pPr>
        <w:pStyle w:val="17"/>
        <w:snapToGrid w:val="0"/>
        <w:spacing w:before="120" w:after="120" w:line="360" w:lineRule="exact"/>
        <w:rPr>
          <w:rFonts w:hAnsi="宋体"/>
        </w:rPr>
      </w:pPr>
      <w:r>
        <w:rPr>
          <w:rFonts w:hint="eastAsia" w:hAnsi="宋体"/>
        </w:rPr>
        <w:t xml:space="preserve">    双方在执行合同中所发生的一切争议，应通过协商解决。如果协商不能解决，可向甲方所在地人民法院提起诉讼。</w:t>
      </w:r>
    </w:p>
    <w:p>
      <w:pPr>
        <w:pStyle w:val="17"/>
        <w:snapToGrid w:val="0"/>
        <w:spacing w:before="120" w:after="120" w:line="360" w:lineRule="exact"/>
        <w:ind w:left="561" w:leftChars="267"/>
        <w:outlineLvl w:val="0"/>
        <w:rPr>
          <w:rFonts w:hAnsi="宋体"/>
          <w:b/>
        </w:rPr>
      </w:pPr>
      <w:r>
        <w:rPr>
          <w:rFonts w:hint="eastAsia" w:hAnsi="宋体"/>
          <w:b/>
        </w:rPr>
        <w:t>第十八条、合同生效及其它</w:t>
      </w:r>
    </w:p>
    <w:p>
      <w:pPr>
        <w:pStyle w:val="17"/>
        <w:snapToGrid w:val="0"/>
        <w:spacing w:before="120" w:after="120" w:line="360" w:lineRule="exact"/>
        <w:ind w:left="561" w:leftChars="267"/>
        <w:rPr>
          <w:rFonts w:hAnsi="宋体"/>
          <w:b/>
        </w:rPr>
      </w:pPr>
      <w:r>
        <w:rPr>
          <w:rFonts w:hint="eastAsia" w:hAnsi="宋体"/>
          <w:b/>
        </w:rPr>
        <w:t>1．合同经双方法定代表人或授权代表签字并加盖单位公章后生效。</w:t>
      </w:r>
    </w:p>
    <w:p>
      <w:pPr>
        <w:pStyle w:val="17"/>
        <w:snapToGrid w:val="0"/>
        <w:spacing w:before="120" w:after="120" w:line="360" w:lineRule="exact"/>
        <w:ind w:left="561" w:leftChars="267"/>
        <w:rPr>
          <w:rFonts w:hAnsi="宋体"/>
          <w:b/>
        </w:rPr>
      </w:pPr>
      <w:r>
        <w:rPr>
          <w:rFonts w:hint="eastAsia" w:hAnsi="宋体"/>
          <w:b/>
        </w:rPr>
        <w:t>2．合同执行中涉及采购资金和采购内容修改或补充的，须经财政部门审批，并签书面补充协议报财政部门备案，方可作为主合同不可分割的一部分。</w:t>
      </w:r>
    </w:p>
    <w:p>
      <w:pPr>
        <w:pStyle w:val="17"/>
        <w:snapToGrid w:val="0"/>
        <w:spacing w:before="120" w:after="120" w:line="360" w:lineRule="exact"/>
        <w:ind w:left="561" w:leftChars="267"/>
        <w:rPr>
          <w:rFonts w:hAnsi="宋体"/>
          <w:b/>
        </w:rPr>
      </w:pPr>
      <w:r>
        <w:rPr>
          <w:rFonts w:hint="eastAsia" w:hAnsi="宋体"/>
          <w:b/>
        </w:rPr>
        <w:t>3．本合同未尽事宜，遵照《合同法》有关条文执行。</w:t>
      </w:r>
    </w:p>
    <w:p>
      <w:pPr>
        <w:snapToGrid w:val="0"/>
        <w:spacing w:line="360" w:lineRule="exact"/>
        <w:ind w:firstLine="422" w:firstLineChars="200"/>
        <w:outlineLvl w:val="0"/>
        <w:rPr>
          <w:rFonts w:ascii="宋体" w:hAnsi="宋体"/>
          <w:b/>
          <w:szCs w:val="21"/>
        </w:rPr>
      </w:pPr>
      <w:r>
        <w:rPr>
          <w:rFonts w:hint="eastAsia" w:ascii="宋体" w:hAnsi="宋体"/>
          <w:b/>
          <w:szCs w:val="21"/>
        </w:rPr>
        <w:t>第十九条　合同的变更、终止与转让</w:t>
      </w:r>
    </w:p>
    <w:p>
      <w:pPr>
        <w:snapToGrid w:val="0"/>
        <w:spacing w:line="36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17"/>
        <w:snapToGrid w:val="0"/>
        <w:spacing w:before="120" w:after="120" w:line="360" w:lineRule="exact"/>
        <w:ind w:firstLine="411" w:firstLineChars="196"/>
        <w:rPr>
          <w:rFonts w:hAnsi="宋体"/>
          <w:b/>
        </w:rPr>
      </w:pPr>
      <w:r>
        <w:rPr>
          <w:rFonts w:hint="eastAsia" w:hAnsi="宋体"/>
        </w:rPr>
        <w:t>2、乙方不得擅自转让（无进口资格的供应商委托进口货物除外）其应履行的合同义务。</w:t>
      </w:r>
    </w:p>
    <w:p>
      <w:pPr>
        <w:snapToGrid w:val="0"/>
        <w:spacing w:line="360" w:lineRule="exact"/>
        <w:ind w:firstLine="422" w:firstLineChars="200"/>
        <w:outlineLvl w:val="0"/>
        <w:rPr>
          <w:rFonts w:ascii="宋体" w:hAnsi="宋体"/>
          <w:b/>
          <w:szCs w:val="21"/>
        </w:rPr>
      </w:pPr>
      <w:r>
        <w:rPr>
          <w:rFonts w:hint="eastAsia" w:ascii="宋体" w:hAnsi="宋体"/>
          <w:b/>
          <w:szCs w:val="21"/>
        </w:rPr>
        <w:t>第二十条　签订本合同依据</w:t>
      </w:r>
    </w:p>
    <w:p>
      <w:pPr>
        <w:snapToGrid w:val="0"/>
        <w:spacing w:line="360" w:lineRule="exact"/>
        <w:ind w:firstLine="420" w:firstLineChars="200"/>
        <w:rPr>
          <w:rFonts w:ascii="宋体" w:hAnsi="宋体"/>
          <w:szCs w:val="21"/>
        </w:rPr>
      </w:pPr>
      <w:r>
        <w:rPr>
          <w:rFonts w:hint="eastAsia" w:ascii="宋体" w:hAnsi="宋体"/>
          <w:szCs w:val="21"/>
        </w:rPr>
        <w:t>1、政府采购招标文件；</w:t>
      </w:r>
    </w:p>
    <w:p>
      <w:pPr>
        <w:snapToGrid w:val="0"/>
        <w:spacing w:line="360" w:lineRule="exact"/>
        <w:ind w:firstLine="420" w:firstLineChars="200"/>
        <w:rPr>
          <w:rFonts w:ascii="宋体" w:hAnsi="宋体"/>
          <w:szCs w:val="21"/>
        </w:rPr>
      </w:pPr>
      <w:r>
        <w:rPr>
          <w:rFonts w:hint="eastAsia" w:ascii="宋体" w:hAnsi="宋体"/>
          <w:szCs w:val="21"/>
        </w:rPr>
        <w:t>2、乙方提供的投标文件；</w:t>
      </w:r>
    </w:p>
    <w:p>
      <w:pPr>
        <w:snapToGrid w:val="0"/>
        <w:spacing w:line="360" w:lineRule="exact"/>
        <w:ind w:firstLine="420" w:firstLineChars="200"/>
        <w:rPr>
          <w:rFonts w:ascii="宋体" w:hAnsi="宋体"/>
          <w:szCs w:val="21"/>
        </w:rPr>
      </w:pPr>
      <w:r>
        <w:rPr>
          <w:rFonts w:hint="eastAsia" w:ascii="宋体" w:hAnsi="宋体"/>
          <w:szCs w:val="21"/>
        </w:rPr>
        <w:t>3、投标声明书；</w:t>
      </w:r>
    </w:p>
    <w:p>
      <w:pPr>
        <w:snapToGrid w:val="0"/>
        <w:spacing w:line="360" w:lineRule="exact"/>
        <w:ind w:firstLine="420" w:firstLineChars="200"/>
        <w:rPr>
          <w:rFonts w:ascii="宋体" w:hAnsi="宋体"/>
          <w:szCs w:val="21"/>
          <w:u w:val="single"/>
        </w:rPr>
      </w:pPr>
      <w:r>
        <w:rPr>
          <w:rFonts w:hint="eastAsia" w:ascii="宋体" w:hAnsi="宋体"/>
          <w:szCs w:val="21"/>
        </w:rPr>
        <w:t>4、中标通知书。</w:t>
      </w:r>
    </w:p>
    <w:p>
      <w:pPr>
        <w:snapToGrid w:val="0"/>
        <w:spacing w:line="360" w:lineRule="exact"/>
        <w:ind w:firstLine="422" w:firstLineChars="200"/>
        <w:outlineLvl w:val="0"/>
        <w:rPr>
          <w:rFonts w:ascii="宋体" w:hAnsi="宋体"/>
          <w:szCs w:val="21"/>
        </w:rPr>
      </w:pPr>
      <w:r>
        <w:rPr>
          <w:rFonts w:hint="eastAsia" w:ascii="宋体" w:hAnsi="宋体"/>
          <w:b/>
          <w:szCs w:val="21"/>
        </w:rPr>
        <w:t>第二十一条　</w:t>
      </w:r>
      <w:r>
        <w:rPr>
          <w:rFonts w:hint="eastAsia" w:hAnsi="宋体"/>
          <w:b/>
          <w:bCs/>
          <w:szCs w:val="21"/>
          <w:shd w:val="clear" w:color="auto" w:fill="FFFFFF"/>
        </w:rPr>
        <w:t>本合同一式四份</w:t>
      </w:r>
      <w:r>
        <w:rPr>
          <w:rFonts w:hint="eastAsia" w:hAnsi="宋体"/>
          <w:szCs w:val="21"/>
          <w:shd w:val="clear" w:color="auto" w:fill="FFFFFF"/>
        </w:rPr>
        <w:t>，双方法定代表人或委托代理人签字并加盖单位公章之日起生效。甲乙双方各执一份(可根据需要另增加），政府采购监督管理部门一份，华春建设工程项目管理有限责任公司执一份，具有同等法律效力</w:t>
      </w:r>
      <w:r>
        <w:rPr>
          <w:rFonts w:hint="eastAsia" w:ascii="宋体" w:hAnsi="宋体"/>
          <w:szCs w:val="21"/>
        </w:rPr>
        <w:t>。</w:t>
      </w:r>
    </w:p>
    <w:p>
      <w:pPr>
        <w:snapToGrid w:val="0"/>
        <w:spacing w:line="380" w:lineRule="exact"/>
        <w:rPr>
          <w:rFonts w:hAnsi="宋体"/>
          <w:szCs w:val="21"/>
          <w:shd w:val="clear" w:color="auto" w:fill="FFFFFF"/>
        </w:rPr>
      </w:pPr>
    </w:p>
    <w:tbl>
      <w:tblPr>
        <w:tblStyle w:val="3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666"/>
        <w:gridCol w:w="499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37"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 xml:space="preserve">甲方（章）： </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单位地址：</w:t>
            </w:r>
          </w:p>
        </w:tc>
        <w:tc>
          <w:tcPr>
            <w:tcW w:w="4997" w:type="dxa"/>
            <w:vAlign w:val="center"/>
          </w:tcPr>
          <w:p>
            <w:pPr>
              <w:snapToGrid w:val="0"/>
              <w:spacing w:line="380" w:lineRule="exact"/>
              <w:ind w:right="-65" w:rightChars="-31" w:firstLine="525" w:firstLineChars="250"/>
              <w:rPr>
                <w:rFonts w:hAnsi="宋体"/>
                <w:szCs w:val="21"/>
                <w:shd w:val="clear" w:color="auto" w:fill="FFFFFF"/>
              </w:rPr>
            </w:pPr>
            <w:r>
              <w:rPr>
                <w:rFonts w:hint="eastAsia" w:hAnsi="宋体"/>
                <w:szCs w:val="21"/>
                <w:shd w:val="clear" w:color="auto" w:fill="FFFFFF"/>
              </w:rPr>
              <w:t xml:space="preserve">乙方（章）： </w:t>
            </w:r>
          </w:p>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单位地址：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80"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法定代表人：</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法定代表人：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71"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或委托代理人：</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或委托代理人：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49"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电话：</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493"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电子邮箱：</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电子邮箱：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763"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开户银行：</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开户银行：</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462"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账号：</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账号：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27"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邮政编码：</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签订日期：2020年   月   日</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邮政编码：</w:t>
            </w:r>
          </w:p>
          <w:p>
            <w:pPr>
              <w:snapToGrid w:val="0"/>
              <w:spacing w:line="380" w:lineRule="exact"/>
              <w:rPr>
                <w:rFonts w:hAnsi="宋体"/>
                <w:szCs w:val="21"/>
                <w:shd w:val="clear" w:color="auto" w:fill="FFFFFF"/>
              </w:rPr>
            </w:pPr>
            <w:r>
              <w:rPr>
                <w:rFonts w:hint="eastAsia" w:hAnsi="宋体"/>
                <w:szCs w:val="21"/>
                <w:shd w:val="clear" w:color="auto" w:fill="FFFFFF"/>
              </w:rPr>
              <w:t xml:space="preserve">      </w:t>
            </w:r>
          </w:p>
        </w:tc>
      </w:tr>
    </w:tbl>
    <w:p>
      <w:pPr>
        <w:ind w:firstLine="420" w:firstLineChars="200"/>
        <w:rPr>
          <w:shd w:val="clear" w:color="auto" w:fill="FFFFFF"/>
        </w:rPr>
      </w:pPr>
    </w:p>
    <w:p>
      <w:pPr>
        <w:snapToGrid w:val="0"/>
        <w:spacing w:line="380" w:lineRule="exact"/>
        <w:rPr>
          <w:rFonts w:hAnsi="宋体"/>
          <w:b/>
          <w:sz w:val="28"/>
          <w:szCs w:val="28"/>
          <w:shd w:val="clear" w:color="auto" w:fill="FFFFFF"/>
        </w:rPr>
      </w:pPr>
      <w:r>
        <w:rPr>
          <w:b/>
          <w:sz w:val="30"/>
          <w:szCs w:val="30"/>
          <w:shd w:val="clear" w:color="auto" w:fill="FFFFFF"/>
        </w:rPr>
        <w:br w:type="page"/>
      </w:r>
      <w:r>
        <w:rPr>
          <w:rFonts w:hint="eastAsia" w:hAnsi="宋体"/>
          <w:b/>
          <w:sz w:val="28"/>
          <w:szCs w:val="28"/>
          <w:shd w:val="clear" w:color="auto" w:fill="FFFFFF"/>
        </w:rPr>
        <w:t>合 同 附 件：</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一、招标文件《货物需求一览表》</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二、投标文件包含内容：</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1、投标函</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2、投标报价表</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3、技术规格偏离表</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4、售后服务承诺书</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三、中标通知书</w:t>
      </w:r>
    </w:p>
    <w:p>
      <w:pPr>
        <w:pStyle w:val="17"/>
        <w:spacing w:before="240" w:line="360" w:lineRule="auto"/>
        <w:jc w:val="center"/>
        <w:rPr>
          <w:color w:val="000000"/>
          <w:sz w:val="44"/>
          <w:szCs w:val="44"/>
        </w:rPr>
      </w:pPr>
      <w:r>
        <w:rPr>
          <w:rFonts w:hint="eastAsia"/>
          <w:color w:val="000000"/>
          <w:sz w:val="44"/>
          <w:szCs w:val="44"/>
        </w:rPr>
        <w:t xml:space="preserve"> </w:t>
      </w:r>
    </w:p>
    <w:p/>
    <w:p>
      <w:pPr>
        <w:spacing w:line="560" w:lineRule="exact"/>
        <w:jc w:val="center"/>
        <w:rPr>
          <w:szCs w:val="21"/>
        </w:rPr>
      </w:pPr>
    </w:p>
    <w:p>
      <w:pPr>
        <w:spacing w:line="360" w:lineRule="auto"/>
        <w:ind w:firstLine="560"/>
        <w:rPr>
          <w:rFonts w:ascii="宋体"/>
          <w:szCs w:val="21"/>
        </w:rPr>
      </w:pPr>
    </w:p>
    <w:p>
      <w:pPr>
        <w:pStyle w:val="17"/>
        <w:spacing w:before="240"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rPr>
          <w:rFonts w:ascii="宋体"/>
          <w:sz w:val="32"/>
          <w:szCs w:val="32"/>
        </w:rPr>
      </w:pPr>
      <w:bookmarkStart w:id="76" w:name="_Toc290375232"/>
      <w:bookmarkStart w:id="77" w:name="_Toc259698696"/>
      <w:r>
        <w:rPr>
          <w:rFonts w:hint="eastAsia" w:ascii="宋体"/>
          <w:sz w:val="32"/>
          <w:szCs w:val="32"/>
        </w:rPr>
        <w:br w:type="page"/>
      </w:r>
    </w:p>
    <w:p>
      <w:pPr>
        <w:pStyle w:val="3"/>
        <w:spacing w:line="240" w:lineRule="auto"/>
        <w:jc w:val="center"/>
        <w:rPr>
          <w:rFonts w:ascii="宋体"/>
          <w:sz w:val="32"/>
          <w:szCs w:val="32"/>
        </w:rPr>
      </w:pPr>
      <w:r>
        <w:rPr>
          <w:rFonts w:hint="eastAsia" w:ascii="宋体"/>
          <w:sz w:val="32"/>
          <w:szCs w:val="32"/>
        </w:rPr>
        <w:t>第四章  竞标文件格式</w:t>
      </w:r>
      <w:bookmarkEnd w:id="76"/>
      <w:bookmarkEnd w:id="77"/>
    </w:p>
    <w:p>
      <w:pPr>
        <w:pStyle w:val="17"/>
        <w:jc w:val="center"/>
      </w:pPr>
    </w:p>
    <w:p>
      <w:pPr>
        <w:pStyle w:val="17"/>
        <w:jc w:val="center"/>
        <w:rPr>
          <w:sz w:val="44"/>
          <w:szCs w:val="44"/>
        </w:rPr>
      </w:pPr>
      <w:r>
        <w:br w:type="page"/>
      </w:r>
    </w:p>
    <w:p>
      <w:pPr>
        <w:pStyle w:val="17"/>
        <w:jc w:val="center"/>
        <w:rPr>
          <w:b/>
          <w:bCs/>
          <w:sz w:val="32"/>
        </w:rPr>
      </w:pPr>
      <w:r>
        <w:rPr>
          <w:rFonts w:hint="eastAsia"/>
          <w:sz w:val="32"/>
        </w:rPr>
        <w:t>一、</w:t>
      </w:r>
      <w:r>
        <w:rPr>
          <w:rFonts w:hint="eastAsia"/>
          <w:b/>
          <w:bCs/>
          <w:sz w:val="32"/>
        </w:rPr>
        <w:t>商务部分</w:t>
      </w:r>
    </w:p>
    <w:p>
      <w:pPr>
        <w:pStyle w:val="17"/>
        <w:jc w:val="center"/>
        <w:rPr>
          <w:sz w:val="32"/>
        </w:rPr>
      </w:pPr>
    </w:p>
    <w:p>
      <w:pPr>
        <w:pStyle w:val="17"/>
        <w:jc w:val="center"/>
        <w:rPr>
          <w:b/>
          <w:sz w:val="32"/>
        </w:rPr>
      </w:pPr>
      <w:r>
        <w:rPr>
          <w:b/>
          <w:sz w:val="32"/>
        </w:rPr>
        <w:t>1</w:t>
      </w:r>
      <w:r>
        <w:rPr>
          <w:rFonts w:hint="eastAsia"/>
          <w:b/>
          <w:sz w:val="32"/>
        </w:rPr>
        <w:t>、竞标函格式</w:t>
      </w:r>
    </w:p>
    <w:p>
      <w:pPr>
        <w:pStyle w:val="17"/>
        <w:spacing w:line="264" w:lineRule="auto"/>
        <w:rPr>
          <w:sz w:val="24"/>
          <w:szCs w:val="24"/>
        </w:rPr>
      </w:pPr>
    </w:p>
    <w:p>
      <w:pPr>
        <w:pStyle w:val="17"/>
        <w:spacing w:line="264" w:lineRule="auto"/>
        <w:ind w:firstLine="420"/>
        <w:rPr>
          <w:sz w:val="24"/>
          <w:szCs w:val="24"/>
          <w:u w:val="single"/>
        </w:rPr>
      </w:pPr>
      <w:r>
        <w:rPr>
          <w:rFonts w:hint="eastAsia"/>
          <w:sz w:val="24"/>
          <w:szCs w:val="24"/>
        </w:rPr>
        <w:t>致：</w:t>
      </w:r>
      <w:r>
        <w:rPr>
          <w:rFonts w:hint="eastAsia"/>
          <w:sz w:val="24"/>
          <w:szCs w:val="24"/>
          <w:u w:val="single"/>
        </w:rPr>
        <w:t xml:space="preserve">百色市田阳区卫生健康局 </w:t>
      </w:r>
    </w:p>
    <w:p>
      <w:pPr>
        <w:pStyle w:val="17"/>
        <w:spacing w:line="264" w:lineRule="auto"/>
        <w:ind w:firstLine="420"/>
        <w:rPr>
          <w:sz w:val="24"/>
          <w:szCs w:val="24"/>
        </w:rPr>
      </w:pPr>
    </w:p>
    <w:p>
      <w:pPr>
        <w:pStyle w:val="17"/>
        <w:spacing w:line="264" w:lineRule="auto"/>
        <w:ind w:left="210" w:leftChars="100" w:firstLine="480" w:firstLineChars="200"/>
        <w:rPr>
          <w:sz w:val="24"/>
          <w:szCs w:val="24"/>
        </w:rPr>
      </w:pPr>
      <w:r>
        <w:rPr>
          <w:rFonts w:hint="eastAsia"/>
          <w:sz w:val="24"/>
          <w:szCs w:val="24"/>
        </w:rPr>
        <w:t>根据贵方</w:t>
      </w:r>
      <w:r>
        <w:rPr>
          <w:rFonts w:hint="eastAsia"/>
          <w:sz w:val="24"/>
          <w:szCs w:val="24"/>
          <w:u w:val="single"/>
        </w:rPr>
        <w:t>老乡家园移民搬迁卫生服务中心电梯安装</w:t>
      </w:r>
      <w:r>
        <w:rPr>
          <w:rFonts w:hint="eastAsia"/>
          <w:sz w:val="24"/>
          <w:szCs w:val="24"/>
        </w:rPr>
        <w:t xml:space="preserve">谈判采购文件，项目编号： </w:t>
      </w:r>
      <w:r>
        <w:rPr>
          <w:rFonts w:hint="eastAsia"/>
          <w:sz w:val="24"/>
          <w:szCs w:val="24"/>
          <w:u w:val="single"/>
        </w:rPr>
        <w:t xml:space="preserve">               </w:t>
      </w:r>
      <w:r>
        <w:rPr>
          <w:rFonts w:hint="eastAsia"/>
          <w:sz w:val="24"/>
          <w:szCs w:val="24"/>
        </w:rPr>
        <w:t>，正式授权下述签字人</w:t>
      </w:r>
      <w:r>
        <w:rPr>
          <w:sz w:val="24"/>
          <w:szCs w:val="24"/>
          <w:u w:val="single"/>
        </w:rPr>
        <w:t xml:space="preserve">        </w:t>
      </w:r>
      <w:r>
        <w:rPr>
          <w:rFonts w:hint="eastAsia"/>
          <w:sz w:val="24"/>
          <w:szCs w:val="24"/>
        </w:rPr>
        <w:t>（姓名和职务）</w:t>
      </w:r>
      <w:r>
        <w:rPr>
          <w:rFonts w:hint="eastAsia"/>
          <w:sz w:val="24"/>
          <w:szCs w:val="24"/>
          <w:u w:val="single"/>
        </w:rPr>
        <w:t xml:space="preserve">    </w:t>
      </w:r>
      <w:r>
        <w:rPr>
          <w:rFonts w:hint="eastAsia"/>
          <w:sz w:val="24"/>
          <w:szCs w:val="24"/>
        </w:rPr>
        <w:t>代表竞标人</w:t>
      </w:r>
      <w:r>
        <w:rPr>
          <w:rFonts w:hint="eastAsia"/>
          <w:sz w:val="24"/>
          <w:szCs w:val="24"/>
          <w:u w:val="single"/>
        </w:rPr>
        <w:t>（竞标单位名称）</w:t>
      </w:r>
      <w:r>
        <w:rPr>
          <w:sz w:val="24"/>
          <w:szCs w:val="24"/>
          <w:u w:val="single"/>
        </w:rPr>
        <w:t xml:space="preserve">       </w:t>
      </w:r>
      <w:r>
        <w:rPr>
          <w:rFonts w:hint="eastAsia"/>
          <w:sz w:val="24"/>
          <w:szCs w:val="24"/>
        </w:rPr>
        <w:t>，提交下述竞标文件正本一份，副本四份。</w:t>
      </w:r>
    </w:p>
    <w:p>
      <w:pPr>
        <w:pStyle w:val="17"/>
        <w:spacing w:line="264" w:lineRule="auto"/>
        <w:ind w:firstLine="420"/>
        <w:rPr>
          <w:sz w:val="24"/>
          <w:szCs w:val="24"/>
        </w:rPr>
      </w:pPr>
      <w:r>
        <w:rPr>
          <w:rFonts w:hint="eastAsia"/>
          <w:sz w:val="24"/>
          <w:szCs w:val="24"/>
        </w:rPr>
        <w:t>一、首次竞标报价表；</w:t>
      </w:r>
    </w:p>
    <w:p>
      <w:pPr>
        <w:pStyle w:val="17"/>
        <w:spacing w:line="264" w:lineRule="auto"/>
        <w:ind w:firstLine="420"/>
        <w:rPr>
          <w:sz w:val="24"/>
          <w:szCs w:val="24"/>
        </w:rPr>
      </w:pPr>
      <w:r>
        <w:rPr>
          <w:rFonts w:hint="eastAsia"/>
          <w:sz w:val="24"/>
          <w:szCs w:val="24"/>
        </w:rPr>
        <w:t>二、技术实施方案；</w:t>
      </w:r>
    </w:p>
    <w:p>
      <w:pPr>
        <w:pStyle w:val="17"/>
        <w:spacing w:line="264" w:lineRule="auto"/>
        <w:ind w:firstLine="420"/>
        <w:rPr>
          <w:sz w:val="24"/>
          <w:szCs w:val="24"/>
        </w:rPr>
      </w:pPr>
      <w:r>
        <w:rPr>
          <w:rFonts w:hint="eastAsia"/>
          <w:sz w:val="24"/>
          <w:szCs w:val="24"/>
        </w:rPr>
        <w:t>三、技术规格响应表；</w:t>
      </w:r>
    </w:p>
    <w:p>
      <w:pPr>
        <w:pStyle w:val="17"/>
        <w:spacing w:line="264" w:lineRule="auto"/>
        <w:ind w:firstLine="420"/>
        <w:rPr>
          <w:sz w:val="24"/>
          <w:szCs w:val="24"/>
        </w:rPr>
      </w:pPr>
      <w:r>
        <w:rPr>
          <w:rFonts w:hint="eastAsia"/>
          <w:sz w:val="24"/>
          <w:szCs w:val="24"/>
        </w:rPr>
        <w:t>四、竞标人资格证明文件；</w:t>
      </w:r>
    </w:p>
    <w:p>
      <w:pPr>
        <w:pStyle w:val="17"/>
        <w:spacing w:line="264" w:lineRule="auto"/>
        <w:ind w:firstLine="420"/>
        <w:rPr>
          <w:sz w:val="24"/>
          <w:szCs w:val="24"/>
        </w:rPr>
      </w:pPr>
      <w:r>
        <w:rPr>
          <w:rFonts w:hint="eastAsia"/>
          <w:sz w:val="24"/>
          <w:szCs w:val="24"/>
        </w:rPr>
        <w:t>五、货物合格性文件；</w:t>
      </w:r>
    </w:p>
    <w:p>
      <w:pPr>
        <w:pStyle w:val="17"/>
        <w:spacing w:line="264" w:lineRule="auto"/>
        <w:ind w:firstLine="420"/>
        <w:rPr>
          <w:sz w:val="24"/>
          <w:szCs w:val="24"/>
        </w:rPr>
      </w:pPr>
      <w:r>
        <w:rPr>
          <w:rFonts w:hint="eastAsia"/>
          <w:sz w:val="24"/>
          <w:szCs w:val="24"/>
        </w:rPr>
        <w:t>六、竞标保证金。</w:t>
      </w:r>
    </w:p>
    <w:p>
      <w:pPr>
        <w:pStyle w:val="17"/>
        <w:spacing w:line="264" w:lineRule="auto"/>
        <w:ind w:firstLine="480" w:firstLineChars="200"/>
        <w:rPr>
          <w:sz w:val="24"/>
          <w:szCs w:val="24"/>
        </w:rPr>
      </w:pPr>
      <w:r>
        <w:rPr>
          <w:rFonts w:hint="eastAsia"/>
          <w:sz w:val="24"/>
          <w:szCs w:val="24"/>
        </w:rPr>
        <w:t>据此函，签字人兹宣布同意如下：</w:t>
      </w:r>
    </w:p>
    <w:p>
      <w:pPr>
        <w:pStyle w:val="17"/>
        <w:numPr>
          <w:ilvl w:val="0"/>
          <w:numId w:val="7"/>
        </w:numPr>
        <w:spacing w:line="264" w:lineRule="auto"/>
        <w:rPr>
          <w:sz w:val="24"/>
          <w:szCs w:val="24"/>
        </w:rPr>
      </w:pPr>
      <w:r>
        <w:rPr>
          <w:rFonts w:hint="eastAsia"/>
          <w:sz w:val="24"/>
          <w:szCs w:val="24"/>
        </w:rPr>
        <w:t>谈判采购文件货物需求一览表和首次竞标报价表，首次竞标总报价（大写）</w:t>
      </w:r>
      <w:r>
        <w:rPr>
          <w:rFonts w:hint="eastAsia"/>
          <w:sz w:val="24"/>
          <w:szCs w:val="24"/>
          <w:u w:val="single"/>
        </w:rPr>
        <w:t xml:space="preserve">                </w:t>
      </w:r>
      <w:r>
        <w:rPr>
          <w:rFonts w:hint="eastAsia"/>
          <w:sz w:val="24"/>
          <w:szCs w:val="24"/>
        </w:rPr>
        <w:t>元人民币（￥</w:t>
      </w:r>
      <w:r>
        <w:rPr>
          <w:rFonts w:hint="eastAsia"/>
          <w:sz w:val="24"/>
          <w:szCs w:val="24"/>
          <w:u w:val="single"/>
        </w:rPr>
        <w:t xml:space="preserve">             </w:t>
      </w:r>
      <w:r>
        <w:rPr>
          <w:rFonts w:hint="eastAsia"/>
          <w:sz w:val="24"/>
          <w:szCs w:val="24"/>
        </w:rPr>
        <w:t>），交货期：</w:t>
      </w:r>
      <w:r>
        <w:rPr>
          <w:rFonts w:hint="eastAsia"/>
          <w:sz w:val="24"/>
          <w:szCs w:val="24"/>
          <w:u w:val="single"/>
        </w:rPr>
        <w:t xml:space="preserve">          </w:t>
      </w:r>
      <w:r>
        <w:rPr>
          <w:rFonts w:hint="eastAsia"/>
          <w:sz w:val="24"/>
          <w:szCs w:val="24"/>
        </w:rPr>
        <w:t>，质量：</w:t>
      </w:r>
      <w:r>
        <w:rPr>
          <w:rFonts w:hint="eastAsia"/>
          <w:sz w:val="24"/>
          <w:szCs w:val="24"/>
          <w:u w:val="single"/>
        </w:rPr>
        <w:t xml:space="preserve">           </w:t>
      </w:r>
      <w:r>
        <w:rPr>
          <w:rFonts w:hint="eastAsia"/>
          <w:sz w:val="24"/>
          <w:szCs w:val="24"/>
        </w:rPr>
        <w:t>。</w:t>
      </w:r>
    </w:p>
    <w:p>
      <w:pPr>
        <w:pStyle w:val="17"/>
        <w:spacing w:line="264" w:lineRule="auto"/>
        <w:ind w:firstLine="420"/>
        <w:rPr>
          <w:sz w:val="24"/>
          <w:szCs w:val="24"/>
        </w:rPr>
      </w:pPr>
      <w:r>
        <w:rPr>
          <w:rFonts w:hint="eastAsia"/>
          <w:sz w:val="24"/>
          <w:szCs w:val="24"/>
        </w:rPr>
        <w:t>⑵我们根据谈判采购文件的规定，承担完成合同的责任和义务。</w:t>
      </w:r>
    </w:p>
    <w:p>
      <w:pPr>
        <w:pStyle w:val="17"/>
        <w:spacing w:line="264" w:lineRule="auto"/>
        <w:ind w:firstLine="420"/>
        <w:rPr>
          <w:sz w:val="24"/>
          <w:szCs w:val="24"/>
        </w:rPr>
      </w:pPr>
      <w:r>
        <w:rPr>
          <w:rFonts w:hint="eastAsia"/>
          <w:sz w:val="24"/>
          <w:szCs w:val="24"/>
        </w:rPr>
        <w:t>⑶我们已详细审查全部采购文件，包括修改文件（如有的话）和有关附件，将自行承担因对全部采购文件理解不正确或误解而产生的相应后果。</w:t>
      </w:r>
    </w:p>
    <w:p>
      <w:pPr>
        <w:pStyle w:val="17"/>
        <w:spacing w:line="264" w:lineRule="auto"/>
        <w:ind w:firstLine="420"/>
        <w:rPr>
          <w:sz w:val="24"/>
          <w:szCs w:val="24"/>
        </w:rPr>
      </w:pPr>
      <w:r>
        <w:rPr>
          <w:rFonts w:hint="eastAsia"/>
          <w:sz w:val="24"/>
          <w:szCs w:val="24"/>
        </w:rPr>
        <w:t>⑷我们同意在竞标人须知规定的截标日期起遵循本竞标文件，并在竞标人须知第</w:t>
      </w:r>
      <w:r>
        <w:rPr>
          <w:sz w:val="24"/>
          <w:szCs w:val="24"/>
        </w:rPr>
        <w:t>14</w:t>
      </w:r>
      <w:r>
        <w:rPr>
          <w:rFonts w:hint="eastAsia"/>
          <w:sz w:val="24"/>
          <w:szCs w:val="24"/>
        </w:rPr>
        <w:t>条规定的竞标有效期满之前均具有约束力，并有可能成交。</w:t>
      </w:r>
    </w:p>
    <w:p>
      <w:pPr>
        <w:pStyle w:val="17"/>
        <w:spacing w:line="264" w:lineRule="auto"/>
        <w:ind w:firstLine="420"/>
        <w:rPr>
          <w:sz w:val="24"/>
          <w:szCs w:val="24"/>
        </w:rPr>
      </w:pPr>
      <w:r>
        <w:rPr>
          <w:rFonts w:hint="eastAsia"/>
          <w:sz w:val="24"/>
          <w:szCs w:val="24"/>
        </w:rPr>
        <w:t>⑸如果在竞标截止时间后的竞标有效期内撤回竞标或者有其它违约行为，我们的竞标保证金可被贵方全部没收。</w:t>
      </w:r>
    </w:p>
    <w:p>
      <w:pPr>
        <w:pStyle w:val="17"/>
        <w:spacing w:line="264" w:lineRule="auto"/>
        <w:ind w:firstLine="420"/>
        <w:rPr>
          <w:sz w:val="24"/>
          <w:szCs w:val="24"/>
        </w:rPr>
      </w:pPr>
      <w:r>
        <w:rPr>
          <w:rFonts w:hint="eastAsia"/>
          <w:sz w:val="24"/>
          <w:szCs w:val="24"/>
        </w:rPr>
        <w:t>⑹我们同意提供按照贵方可能要求的与本竞标有关的一切数据或资料，完全理解贵方不一定要接受最低的报价或收到的任何竞标。</w:t>
      </w:r>
    </w:p>
    <w:p>
      <w:pPr>
        <w:pStyle w:val="17"/>
        <w:spacing w:line="276" w:lineRule="auto"/>
        <w:ind w:firstLine="420"/>
        <w:rPr>
          <w:sz w:val="24"/>
          <w:szCs w:val="24"/>
        </w:rPr>
      </w:pPr>
    </w:p>
    <w:p>
      <w:pPr>
        <w:pStyle w:val="17"/>
        <w:spacing w:line="276" w:lineRule="auto"/>
        <w:ind w:firstLine="420"/>
        <w:rPr>
          <w:sz w:val="24"/>
          <w:szCs w:val="24"/>
        </w:rPr>
      </w:pPr>
      <w:r>
        <w:rPr>
          <w:rFonts w:hint="eastAsia"/>
          <w:sz w:val="24"/>
          <w:szCs w:val="24"/>
        </w:rPr>
        <w:t>与本竞标有关的正式通讯地址为：</w:t>
      </w:r>
    </w:p>
    <w:p>
      <w:pPr>
        <w:pStyle w:val="17"/>
        <w:spacing w:line="276" w:lineRule="auto"/>
        <w:ind w:firstLine="420"/>
        <w:rPr>
          <w:sz w:val="24"/>
          <w:szCs w:val="24"/>
        </w:rPr>
      </w:pPr>
      <w:r>
        <w:rPr>
          <w:rFonts w:hint="eastAsia"/>
          <w:sz w:val="24"/>
          <w:szCs w:val="24"/>
        </w:rPr>
        <w:t>地址：</w:t>
      </w:r>
      <w:r>
        <w:rPr>
          <w:sz w:val="24"/>
          <w:szCs w:val="24"/>
          <w:u w:val="single"/>
        </w:rPr>
        <w:t xml:space="preserve">                                </w:t>
      </w:r>
      <w:r>
        <w:rPr>
          <w:sz w:val="24"/>
          <w:szCs w:val="24"/>
        </w:rPr>
        <w:t xml:space="preserve"> </w:t>
      </w:r>
    </w:p>
    <w:p>
      <w:pPr>
        <w:pStyle w:val="17"/>
        <w:spacing w:line="276" w:lineRule="auto"/>
        <w:ind w:firstLine="420"/>
        <w:rPr>
          <w:sz w:val="24"/>
          <w:szCs w:val="24"/>
        </w:rPr>
      </w:pPr>
      <w:r>
        <w:rPr>
          <w:rFonts w:hint="eastAsia"/>
          <w:sz w:val="24"/>
          <w:szCs w:val="24"/>
        </w:rPr>
        <w:t>邮政编码：</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电话、电报、传真或电传：</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开户名称：</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开户银行：</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帐号：</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法定代表人或委托代理人签字：</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竞标人盖公章：</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日期：</w:t>
      </w:r>
      <w:r>
        <w:rPr>
          <w:rFonts w:hint="eastAsia"/>
          <w:sz w:val="24"/>
          <w:szCs w:val="24"/>
          <w:u w:val="single"/>
        </w:rPr>
        <w:t xml:space="preserve">                                                    </w:t>
      </w:r>
    </w:p>
    <w:p>
      <w:pPr>
        <w:pStyle w:val="17"/>
        <w:jc w:val="center"/>
      </w:pPr>
      <w:r>
        <w:rPr>
          <w:rFonts w:hint="eastAsia"/>
          <w:b/>
          <w:sz w:val="24"/>
          <w:szCs w:val="24"/>
        </w:rPr>
        <w:t>注：未按照本竞标函要求填报的竞标函将被视为非实质性响应竞标，从而导致该竞标被拒绝。</w:t>
      </w:r>
      <w:r>
        <w:br w:type="page"/>
      </w:r>
      <w:r>
        <w:rPr>
          <w:rFonts w:hAnsi="宋体"/>
          <w:b/>
          <w:bCs/>
          <w:sz w:val="30"/>
        </w:rPr>
        <w:t>2</w:t>
      </w:r>
      <w:r>
        <w:rPr>
          <w:rFonts w:hint="eastAsia" w:hAnsi="宋体"/>
          <w:b/>
          <w:bCs/>
          <w:sz w:val="30"/>
        </w:rPr>
        <w:t>、竞标报价表格式</w:t>
      </w:r>
    </w:p>
    <w:p>
      <w:pPr>
        <w:rPr>
          <w:b/>
          <w:bCs/>
          <w:szCs w:val="21"/>
        </w:rPr>
      </w:pPr>
    </w:p>
    <w:tbl>
      <w:tblPr>
        <w:tblStyle w:val="32"/>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61"/>
        <w:gridCol w:w="992"/>
        <w:gridCol w:w="1483"/>
        <w:gridCol w:w="1372"/>
        <w:gridCol w:w="930"/>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445" w:type="dxa"/>
            <w:vMerge w:val="restart"/>
            <w:vAlign w:val="center"/>
          </w:tcPr>
          <w:p>
            <w:pPr>
              <w:pStyle w:val="17"/>
              <w:jc w:val="center"/>
              <w:rPr>
                <w:rFonts w:hAnsi="宋体"/>
                <w:spacing w:val="-20"/>
              </w:rPr>
            </w:pPr>
            <w:r>
              <w:rPr>
                <w:rFonts w:hint="eastAsia" w:hAnsi="宋体"/>
                <w:spacing w:val="-20"/>
              </w:rPr>
              <w:t>序号</w:t>
            </w:r>
          </w:p>
        </w:tc>
        <w:tc>
          <w:tcPr>
            <w:tcW w:w="1661" w:type="dxa"/>
            <w:vMerge w:val="restart"/>
            <w:vAlign w:val="center"/>
          </w:tcPr>
          <w:p>
            <w:pPr>
              <w:pStyle w:val="17"/>
              <w:jc w:val="center"/>
              <w:rPr>
                <w:rFonts w:hAnsi="宋体"/>
                <w:spacing w:val="-20"/>
              </w:rPr>
            </w:pPr>
            <w:r>
              <w:rPr>
                <w:rFonts w:hint="eastAsia" w:hAnsi="宋体"/>
                <w:spacing w:val="-20"/>
              </w:rPr>
              <w:t>货物名称</w:t>
            </w:r>
          </w:p>
        </w:tc>
        <w:tc>
          <w:tcPr>
            <w:tcW w:w="992" w:type="dxa"/>
            <w:vMerge w:val="restart"/>
            <w:vAlign w:val="center"/>
          </w:tcPr>
          <w:p>
            <w:pPr>
              <w:pStyle w:val="17"/>
              <w:jc w:val="center"/>
              <w:rPr>
                <w:rFonts w:hAnsi="宋体"/>
                <w:spacing w:val="-20"/>
              </w:rPr>
            </w:pPr>
            <w:r>
              <w:rPr>
                <w:rFonts w:hint="eastAsia" w:hAnsi="宋体"/>
                <w:spacing w:val="-20"/>
              </w:rPr>
              <w:t>数量</w:t>
            </w:r>
          </w:p>
          <w:p>
            <w:pPr>
              <w:pStyle w:val="17"/>
              <w:jc w:val="center"/>
              <w:rPr>
                <w:rFonts w:hAnsi="宋体"/>
                <w:spacing w:val="-20"/>
              </w:rPr>
            </w:pPr>
          </w:p>
          <w:p>
            <w:pPr>
              <w:pStyle w:val="17"/>
              <w:jc w:val="center"/>
              <w:rPr>
                <w:rFonts w:hAnsi="宋体"/>
                <w:spacing w:val="-20"/>
              </w:rPr>
            </w:pPr>
            <w:r>
              <w:rPr>
                <w:rFonts w:hint="eastAsia" w:hAnsi="宋体"/>
                <w:spacing w:val="-20"/>
              </w:rPr>
              <w:t>①</w:t>
            </w:r>
          </w:p>
        </w:tc>
        <w:tc>
          <w:tcPr>
            <w:tcW w:w="1483" w:type="dxa"/>
            <w:vMerge w:val="restart"/>
            <w:vAlign w:val="center"/>
          </w:tcPr>
          <w:p>
            <w:pPr>
              <w:pStyle w:val="17"/>
              <w:jc w:val="center"/>
              <w:rPr>
                <w:rFonts w:hAnsi="宋体"/>
              </w:rPr>
            </w:pPr>
            <w:r>
              <w:rPr>
                <w:rFonts w:hint="eastAsia" w:hAnsi="宋体"/>
              </w:rPr>
              <w:t>货物全称、品牌</w:t>
            </w:r>
          </w:p>
          <w:p>
            <w:pPr>
              <w:pStyle w:val="17"/>
              <w:jc w:val="center"/>
              <w:rPr>
                <w:rFonts w:hAnsi="宋体"/>
              </w:rPr>
            </w:pPr>
            <w:r>
              <w:rPr>
                <w:rFonts w:hint="eastAsia" w:hAnsi="宋体"/>
              </w:rPr>
              <w:t>生产厂家及国别</w:t>
            </w:r>
          </w:p>
        </w:tc>
        <w:tc>
          <w:tcPr>
            <w:tcW w:w="2302" w:type="dxa"/>
            <w:gridSpan w:val="2"/>
            <w:vAlign w:val="center"/>
          </w:tcPr>
          <w:p>
            <w:pPr>
              <w:pStyle w:val="17"/>
              <w:jc w:val="center"/>
              <w:rPr>
                <w:rFonts w:hAnsi="宋体"/>
              </w:rPr>
            </w:pPr>
            <w:r>
              <w:rPr>
                <w:rFonts w:hint="eastAsia" w:hAnsi="宋体"/>
              </w:rPr>
              <w:t>型号规格、技术参数、</w:t>
            </w:r>
          </w:p>
          <w:p>
            <w:pPr>
              <w:pStyle w:val="17"/>
              <w:jc w:val="center"/>
              <w:rPr>
                <w:rFonts w:hAnsi="宋体"/>
              </w:rPr>
            </w:pPr>
            <w:r>
              <w:rPr>
                <w:rFonts w:hint="eastAsia" w:hAnsi="宋体"/>
              </w:rPr>
              <w:t>性能配置</w:t>
            </w:r>
          </w:p>
        </w:tc>
        <w:tc>
          <w:tcPr>
            <w:tcW w:w="866" w:type="dxa"/>
            <w:vMerge w:val="restart"/>
            <w:vAlign w:val="center"/>
          </w:tcPr>
          <w:p>
            <w:pPr>
              <w:pStyle w:val="17"/>
              <w:jc w:val="center"/>
              <w:rPr>
                <w:rFonts w:hAnsi="宋体"/>
              </w:rPr>
            </w:pPr>
            <w:r>
              <w:rPr>
                <w:rFonts w:hint="eastAsia" w:hAnsi="宋体"/>
              </w:rPr>
              <w:t>单价</w:t>
            </w:r>
          </w:p>
          <w:p>
            <w:pPr>
              <w:pStyle w:val="17"/>
              <w:jc w:val="center"/>
              <w:rPr>
                <w:rFonts w:hAnsi="宋体"/>
              </w:rPr>
            </w:pPr>
            <w:r>
              <w:rPr>
                <w:rFonts w:hint="eastAsia" w:hAnsi="宋体"/>
              </w:rPr>
              <w:t>（元</w:t>
            </w:r>
            <w:r>
              <w:rPr>
                <w:rFonts w:hAnsi="宋体"/>
              </w:rPr>
              <w:t>)</w:t>
            </w:r>
          </w:p>
          <w:p>
            <w:pPr>
              <w:pStyle w:val="17"/>
              <w:jc w:val="center"/>
              <w:rPr>
                <w:rFonts w:hAnsi="宋体"/>
              </w:rPr>
            </w:pPr>
            <w:r>
              <w:rPr>
                <w:rFonts w:hint="eastAsia" w:hAnsi="宋体"/>
              </w:rPr>
              <w:t>②</w:t>
            </w:r>
          </w:p>
        </w:tc>
        <w:tc>
          <w:tcPr>
            <w:tcW w:w="1419" w:type="dxa"/>
            <w:vMerge w:val="restart"/>
            <w:vAlign w:val="center"/>
          </w:tcPr>
          <w:p>
            <w:pPr>
              <w:pStyle w:val="17"/>
              <w:jc w:val="center"/>
              <w:rPr>
                <w:rFonts w:hAnsi="宋体"/>
              </w:rPr>
            </w:pPr>
            <w:r>
              <w:rPr>
                <w:rFonts w:hint="eastAsia" w:hAnsi="宋体"/>
              </w:rPr>
              <w:t>单项合价</w:t>
            </w:r>
          </w:p>
          <w:p>
            <w:pPr>
              <w:pStyle w:val="17"/>
              <w:jc w:val="center"/>
              <w:rPr>
                <w:rFonts w:hAnsi="宋体"/>
              </w:rPr>
            </w:pPr>
            <w:r>
              <w:rPr>
                <w:rFonts w:hint="eastAsia" w:hAnsi="宋体"/>
              </w:rPr>
              <w:t>（元）</w:t>
            </w:r>
          </w:p>
          <w:p>
            <w:pPr>
              <w:pStyle w:val="17"/>
              <w:jc w:val="center"/>
              <w:rPr>
                <w:rFonts w:hAnsi="宋体"/>
              </w:rPr>
            </w:pPr>
            <w:r>
              <w:rPr>
                <w:rFonts w:hint="eastAsia" w:hAnsi="宋体"/>
              </w:rPr>
              <w:t>③</w:t>
            </w:r>
            <w:r>
              <w:rPr>
                <w:rFonts w:hAnsi="宋体"/>
              </w:rPr>
              <w:t>=</w:t>
            </w:r>
            <w:r>
              <w:rPr>
                <w:rFonts w:hint="eastAsia" w:hAnsi="宋体"/>
              </w:rPr>
              <w:t>①×②</w:t>
            </w:r>
          </w:p>
        </w:tc>
        <w:tc>
          <w:tcPr>
            <w:tcW w:w="996" w:type="dxa"/>
            <w:vMerge w:val="restart"/>
            <w:vAlign w:val="center"/>
          </w:tcPr>
          <w:p>
            <w:pPr>
              <w:pStyle w:val="17"/>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5" w:type="dxa"/>
            <w:vMerge w:val="continue"/>
            <w:vAlign w:val="center"/>
          </w:tcPr>
          <w:p>
            <w:pPr>
              <w:pStyle w:val="17"/>
              <w:jc w:val="center"/>
              <w:rPr>
                <w:rFonts w:hAnsi="宋体"/>
                <w:spacing w:val="-20"/>
              </w:rPr>
            </w:pPr>
          </w:p>
        </w:tc>
        <w:tc>
          <w:tcPr>
            <w:tcW w:w="1661" w:type="dxa"/>
            <w:vMerge w:val="continue"/>
            <w:vAlign w:val="center"/>
          </w:tcPr>
          <w:p>
            <w:pPr>
              <w:pStyle w:val="17"/>
              <w:jc w:val="center"/>
              <w:rPr>
                <w:rFonts w:hAnsi="宋体"/>
                <w:spacing w:val="-20"/>
              </w:rPr>
            </w:pPr>
          </w:p>
        </w:tc>
        <w:tc>
          <w:tcPr>
            <w:tcW w:w="992" w:type="dxa"/>
            <w:vMerge w:val="continue"/>
            <w:vAlign w:val="center"/>
          </w:tcPr>
          <w:p>
            <w:pPr>
              <w:pStyle w:val="17"/>
              <w:jc w:val="center"/>
              <w:rPr>
                <w:rFonts w:hAnsi="宋体"/>
                <w:spacing w:val="-20"/>
              </w:rPr>
            </w:pPr>
          </w:p>
        </w:tc>
        <w:tc>
          <w:tcPr>
            <w:tcW w:w="1483" w:type="dxa"/>
            <w:vMerge w:val="continue"/>
            <w:vAlign w:val="center"/>
          </w:tcPr>
          <w:p>
            <w:pPr>
              <w:pStyle w:val="17"/>
              <w:jc w:val="center"/>
              <w:rPr>
                <w:rFonts w:hAnsi="宋体"/>
              </w:rPr>
            </w:pPr>
          </w:p>
        </w:tc>
        <w:tc>
          <w:tcPr>
            <w:tcW w:w="1372" w:type="dxa"/>
            <w:vAlign w:val="center"/>
          </w:tcPr>
          <w:p>
            <w:pPr>
              <w:pStyle w:val="17"/>
              <w:jc w:val="center"/>
              <w:rPr>
                <w:rFonts w:hAnsi="宋体"/>
              </w:rPr>
            </w:pPr>
            <w:r>
              <w:rPr>
                <w:rFonts w:hint="eastAsia" w:hAnsi="宋体"/>
              </w:rPr>
              <w:t>标准配置</w:t>
            </w:r>
          </w:p>
          <w:p>
            <w:pPr>
              <w:pStyle w:val="17"/>
              <w:jc w:val="center"/>
              <w:rPr>
                <w:rFonts w:hAnsi="宋体"/>
              </w:rPr>
            </w:pPr>
            <w:r>
              <w:rPr>
                <w:rFonts w:hint="eastAsia" w:hAnsi="宋体"/>
              </w:rPr>
              <w:t>部件</w:t>
            </w:r>
          </w:p>
        </w:tc>
        <w:tc>
          <w:tcPr>
            <w:tcW w:w="930" w:type="dxa"/>
            <w:vAlign w:val="center"/>
          </w:tcPr>
          <w:p>
            <w:pPr>
              <w:pStyle w:val="17"/>
              <w:jc w:val="center"/>
              <w:rPr>
                <w:rFonts w:hAnsi="宋体"/>
              </w:rPr>
            </w:pPr>
            <w:r>
              <w:rPr>
                <w:rFonts w:hint="eastAsia" w:hAnsi="宋体"/>
              </w:rPr>
              <w:t>附加</w:t>
            </w:r>
          </w:p>
          <w:p>
            <w:pPr>
              <w:pStyle w:val="17"/>
              <w:jc w:val="center"/>
              <w:rPr>
                <w:rFonts w:hAnsi="宋体"/>
              </w:rPr>
            </w:pPr>
            <w:r>
              <w:rPr>
                <w:rFonts w:hint="eastAsia" w:hAnsi="宋体"/>
              </w:rPr>
              <w:t>部件</w:t>
            </w:r>
          </w:p>
        </w:tc>
        <w:tc>
          <w:tcPr>
            <w:tcW w:w="866" w:type="dxa"/>
            <w:vMerge w:val="continue"/>
            <w:vAlign w:val="center"/>
          </w:tcPr>
          <w:p>
            <w:pPr>
              <w:pStyle w:val="17"/>
              <w:jc w:val="center"/>
              <w:rPr>
                <w:rFonts w:hAnsi="宋体"/>
              </w:rPr>
            </w:pPr>
          </w:p>
        </w:tc>
        <w:tc>
          <w:tcPr>
            <w:tcW w:w="1419" w:type="dxa"/>
            <w:vMerge w:val="continue"/>
            <w:vAlign w:val="center"/>
          </w:tcPr>
          <w:p>
            <w:pPr>
              <w:pStyle w:val="17"/>
              <w:jc w:val="center"/>
              <w:rPr>
                <w:rFonts w:hAnsi="宋体"/>
              </w:rPr>
            </w:pPr>
          </w:p>
        </w:tc>
        <w:tc>
          <w:tcPr>
            <w:tcW w:w="996" w:type="dxa"/>
            <w:vMerge w:val="continue"/>
            <w:vAlign w:val="center"/>
          </w:tcPr>
          <w:p>
            <w:pPr>
              <w:pStyle w:val="17"/>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1</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2</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3</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hint="eastAsia" w:ascii="宋体" w:hAnsi="宋体"/>
                <w:sz w:val="24"/>
              </w:rPr>
              <w:t>…</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p>
        </w:tc>
        <w:tc>
          <w:tcPr>
            <w:tcW w:w="9719" w:type="dxa"/>
            <w:gridSpan w:val="8"/>
            <w:vAlign w:val="center"/>
          </w:tcPr>
          <w:p>
            <w:pPr>
              <w:pStyle w:val="17"/>
              <w:rPr>
                <w:rFonts w:hAnsi="宋体"/>
                <w:spacing w:val="-6"/>
              </w:rPr>
            </w:pPr>
            <w:r>
              <w:rPr>
                <w:rFonts w:hint="eastAsia" w:hAnsi="宋体"/>
                <w:spacing w:val="-6"/>
              </w:rPr>
              <w:t>合计：1+2+3+</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p>
        </w:tc>
        <w:tc>
          <w:tcPr>
            <w:tcW w:w="9719" w:type="dxa"/>
            <w:gridSpan w:val="8"/>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vAlign w:val="center"/>
          </w:tcPr>
          <w:p>
            <w:pPr>
              <w:pStyle w:val="17"/>
              <w:rPr>
                <w:rFonts w:hAnsi="宋体"/>
                <w:spacing w:val="-6"/>
              </w:rPr>
            </w:pPr>
            <w:r>
              <w:rPr>
                <w:rFonts w:hint="eastAsia"/>
                <w:sz w:val="24"/>
                <w:szCs w:val="24"/>
              </w:rPr>
              <w:t>总报价（含电梯款及安装费）：（人民币大写）</w:t>
            </w:r>
            <w:r>
              <w:rPr>
                <w:rFonts w:hAnsi="宋体"/>
                <w:spacing w:val="-6"/>
              </w:rPr>
              <w:t xml:space="preserve">  </w:t>
            </w:r>
            <w:r>
              <w:rPr>
                <w:rFonts w:hAnsi="宋体"/>
                <w:spacing w:val="-6"/>
                <w:u w:val="single"/>
              </w:rPr>
              <w:t xml:space="preserve">                     </w:t>
            </w:r>
            <w:r>
              <w:rPr>
                <w:rFonts w:hAnsi="宋体"/>
                <w:spacing w:val="-6"/>
              </w:rPr>
              <w:t xml:space="preserve">     </w:t>
            </w:r>
            <w:r>
              <w:rPr>
                <w:rFonts w:hint="eastAsia" w:hAnsi="宋体"/>
                <w:spacing w:val="-6"/>
              </w:rPr>
              <w:t>（￥</w:t>
            </w:r>
            <w:r>
              <w:rPr>
                <w:rFonts w:hAnsi="宋体"/>
                <w:spacing w:val="-6"/>
                <w:u w:val="single"/>
              </w:rPr>
              <w:t xml:space="preserve">           </w:t>
            </w:r>
            <w:r>
              <w:rPr>
                <w:rFonts w:hAnsi="宋体"/>
                <w:spacing w:val="-6"/>
              </w:rPr>
              <w:t xml:space="preserve"> </w:t>
            </w:r>
            <w:r>
              <w:rPr>
                <w:rFonts w:hint="eastAsia" w:hAnsi="宋体"/>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164" w:type="dxa"/>
            <w:gridSpan w:val="9"/>
            <w:vAlign w:val="center"/>
          </w:tcPr>
          <w:p>
            <w:pPr>
              <w:pStyle w:val="17"/>
              <w:rPr>
                <w:rFonts w:hAnsi="宋体"/>
                <w:spacing w:val="-6"/>
              </w:rPr>
            </w:pPr>
            <w:r>
              <w:rPr>
                <w:rFonts w:hint="eastAsia"/>
                <w:sz w:val="24"/>
                <w:szCs w:val="24"/>
              </w:rPr>
              <w:t>交货期</w:t>
            </w:r>
            <w:r>
              <w:rPr>
                <w:rFonts w:hint="eastAsia" w:hAnsi="宋体"/>
                <w:spacing w:val="-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164" w:type="dxa"/>
            <w:gridSpan w:val="9"/>
            <w:vAlign w:val="center"/>
          </w:tcPr>
          <w:p>
            <w:pPr>
              <w:pStyle w:val="17"/>
              <w:rPr>
                <w:rFonts w:hAnsi="宋体"/>
              </w:rPr>
            </w:pPr>
          </w:p>
        </w:tc>
      </w:tr>
    </w:tbl>
    <w:p>
      <w:pPr>
        <w:pStyle w:val="17"/>
      </w:pPr>
    </w:p>
    <w:p>
      <w:pPr>
        <w:pStyle w:val="17"/>
        <w:jc w:val="center"/>
        <w:rPr>
          <w:sz w:val="24"/>
          <w:szCs w:val="24"/>
        </w:rPr>
      </w:pPr>
    </w:p>
    <w:p>
      <w:pPr>
        <w:pStyle w:val="17"/>
        <w:jc w:val="center"/>
        <w:rPr>
          <w:sz w:val="24"/>
          <w:szCs w:val="24"/>
        </w:rPr>
      </w:pPr>
    </w:p>
    <w:p>
      <w:pPr>
        <w:pStyle w:val="17"/>
        <w:rPr>
          <w:sz w:val="24"/>
          <w:szCs w:val="24"/>
          <w:u w:val="single"/>
        </w:rPr>
      </w:pPr>
      <w:r>
        <w:rPr>
          <w:rFonts w:hint="eastAsia"/>
          <w:sz w:val="24"/>
          <w:szCs w:val="24"/>
        </w:rPr>
        <w:t>竞标人盖公章：</w:t>
      </w:r>
      <w:r>
        <w:rPr>
          <w:rFonts w:hint="eastAsia"/>
          <w:sz w:val="24"/>
          <w:szCs w:val="24"/>
          <w:u w:val="single"/>
        </w:rPr>
        <w:t xml:space="preserve">                    </w:t>
      </w:r>
    </w:p>
    <w:p>
      <w:pPr>
        <w:pStyle w:val="17"/>
        <w:jc w:val="center"/>
        <w:rPr>
          <w:sz w:val="24"/>
          <w:szCs w:val="24"/>
        </w:rPr>
      </w:pPr>
    </w:p>
    <w:p>
      <w:pPr>
        <w:pStyle w:val="17"/>
        <w:rPr>
          <w:sz w:val="24"/>
          <w:szCs w:val="24"/>
          <w:u w:val="single"/>
        </w:rPr>
      </w:pPr>
      <w:r>
        <w:rPr>
          <w:rFonts w:hint="eastAsia"/>
          <w:sz w:val="24"/>
          <w:szCs w:val="24"/>
        </w:rPr>
        <w:t>法定代表人或委托代理人签字：</w:t>
      </w:r>
      <w:r>
        <w:rPr>
          <w:rFonts w:hint="eastAsia"/>
          <w:sz w:val="24"/>
          <w:szCs w:val="24"/>
          <w:u w:val="single"/>
        </w:rPr>
        <w:t xml:space="preserve">                     </w:t>
      </w:r>
      <w:r>
        <w:rPr>
          <w:rFonts w:hint="eastAsia"/>
          <w:sz w:val="24"/>
          <w:szCs w:val="24"/>
        </w:rPr>
        <w:t xml:space="preserve"> </w:t>
      </w:r>
    </w:p>
    <w:p>
      <w:pPr>
        <w:pStyle w:val="17"/>
        <w:jc w:val="center"/>
        <w:rPr>
          <w:sz w:val="24"/>
          <w:szCs w:val="24"/>
          <w:u w:val="single"/>
        </w:rPr>
      </w:pPr>
    </w:p>
    <w:p>
      <w:pPr>
        <w:pStyle w:val="17"/>
        <w:rPr>
          <w:b/>
          <w:sz w:val="32"/>
        </w:rPr>
      </w:pPr>
      <w:r>
        <w:rPr>
          <w:rFonts w:hint="eastAsia"/>
          <w:sz w:val="24"/>
          <w:szCs w:val="24"/>
        </w:rPr>
        <w:t>日期：</w:t>
      </w:r>
      <w:r>
        <w:rPr>
          <w:rFonts w:hint="eastAsia"/>
          <w:sz w:val="24"/>
          <w:szCs w:val="24"/>
          <w:u w:val="single"/>
        </w:rPr>
        <w:t xml:space="preserve">                                     </w:t>
      </w:r>
    </w:p>
    <w:p>
      <w:pPr>
        <w:pStyle w:val="17"/>
        <w:spacing w:line="560" w:lineRule="exact"/>
        <w:jc w:val="center"/>
        <w:rPr>
          <w:b/>
          <w:bCs/>
          <w:sz w:val="32"/>
          <w:szCs w:val="32"/>
        </w:rPr>
      </w:pPr>
      <w:r>
        <w:br w:type="page"/>
      </w:r>
      <w:r>
        <w:rPr>
          <w:b/>
          <w:sz w:val="32"/>
          <w:szCs w:val="32"/>
        </w:rPr>
        <w:t>3</w:t>
      </w:r>
      <w:r>
        <w:rPr>
          <w:rFonts w:hint="eastAsia"/>
          <w:b/>
          <w:sz w:val="32"/>
          <w:szCs w:val="32"/>
        </w:rPr>
        <w:t>、竞标货物合格的证明文件</w:t>
      </w:r>
      <w:r>
        <w:rPr>
          <w:rFonts w:hint="eastAsia"/>
          <w:b/>
          <w:bCs/>
          <w:sz w:val="32"/>
          <w:szCs w:val="32"/>
        </w:rPr>
        <w:t>格式</w:t>
      </w:r>
    </w:p>
    <w:p>
      <w:pPr>
        <w:pStyle w:val="17"/>
        <w:spacing w:line="560" w:lineRule="exact"/>
        <w:jc w:val="center"/>
        <w:rPr>
          <w:bCs/>
          <w:sz w:val="24"/>
        </w:rPr>
      </w:pPr>
      <w:r>
        <w:rPr>
          <w:rFonts w:hint="eastAsia"/>
          <w:bCs/>
          <w:sz w:val="24"/>
        </w:rPr>
        <w:t>（竞标人按竞标须知第</w:t>
      </w:r>
      <w:r>
        <w:rPr>
          <w:bCs/>
          <w:sz w:val="24"/>
        </w:rPr>
        <w:t>13</w:t>
      </w:r>
      <w:r>
        <w:rPr>
          <w:rFonts w:hint="eastAsia"/>
          <w:bCs/>
          <w:sz w:val="24"/>
        </w:rPr>
        <w:t>条要求提供）</w:t>
      </w:r>
    </w:p>
    <w:p>
      <w:pPr>
        <w:pStyle w:val="17"/>
        <w:spacing w:line="560" w:lineRule="exact"/>
        <w:ind w:firstLine="420"/>
        <w:rPr>
          <w:sz w:val="24"/>
        </w:rPr>
      </w:pPr>
    </w:p>
    <w:p>
      <w:pPr>
        <w:pStyle w:val="17"/>
        <w:spacing w:line="560" w:lineRule="exact"/>
        <w:ind w:firstLine="420"/>
        <w:rPr>
          <w:sz w:val="24"/>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560" w:lineRule="exact"/>
        <w:jc w:val="center"/>
        <w:rPr>
          <w:b/>
          <w:sz w:val="32"/>
          <w:szCs w:val="32"/>
        </w:rPr>
      </w:pPr>
      <w:r>
        <w:rPr>
          <w:b/>
          <w:sz w:val="32"/>
        </w:rPr>
        <w:br w:type="page"/>
      </w:r>
    </w:p>
    <w:p>
      <w:pPr>
        <w:snapToGrid w:val="0"/>
        <w:jc w:val="center"/>
        <w:rPr>
          <w:rFonts w:ascii="宋体"/>
          <w:sz w:val="32"/>
          <w:szCs w:val="32"/>
        </w:rPr>
      </w:pPr>
      <w:r>
        <w:rPr>
          <w:rFonts w:hint="eastAsia"/>
          <w:b/>
          <w:sz w:val="32"/>
          <w:szCs w:val="32"/>
        </w:rPr>
        <w:t>4、</w:t>
      </w:r>
      <w:r>
        <w:rPr>
          <w:rFonts w:hint="eastAsia" w:ascii="宋体"/>
          <w:b/>
          <w:sz w:val="32"/>
          <w:szCs w:val="32"/>
        </w:rPr>
        <w:t>商务及其他要求响应表</w:t>
      </w:r>
    </w:p>
    <w:p>
      <w:pPr>
        <w:snapToGrid w:val="0"/>
        <w:ind w:firstLine="480" w:firstLineChars="200"/>
        <w:rPr>
          <w:rFonts w:ascii="宋体"/>
          <w:sz w:val="24"/>
        </w:rPr>
      </w:pPr>
    </w:p>
    <w:p>
      <w:pPr>
        <w:pStyle w:val="17"/>
        <w:spacing w:line="400" w:lineRule="exact"/>
        <w:ind w:firstLine="480" w:firstLineChars="200"/>
        <w:rPr>
          <w:sz w:val="24"/>
          <w:szCs w:val="24"/>
        </w:rPr>
      </w:pPr>
      <w:r>
        <w:rPr>
          <w:rFonts w:hint="eastAsia"/>
          <w:sz w:val="24"/>
          <w:szCs w:val="24"/>
        </w:rPr>
        <w:t>请逐条对应采购文件的第二章“货物需求一览表”中要求的项目最低商务及有关要求，认真填写该表。</w:t>
      </w:r>
    </w:p>
    <w:p>
      <w:pPr>
        <w:pStyle w:val="17"/>
        <w:spacing w:line="400" w:lineRule="exact"/>
        <w:ind w:firstLine="480" w:firstLineChars="200"/>
        <w:rPr>
          <w:sz w:val="24"/>
          <w:szCs w:val="24"/>
        </w:rPr>
      </w:pPr>
    </w:p>
    <w:tbl>
      <w:tblPr>
        <w:tblStyle w:val="3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2"/>
        <w:gridCol w:w="2303"/>
        <w:gridCol w:w="262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vAlign w:val="center"/>
          </w:tcPr>
          <w:p>
            <w:pPr>
              <w:pStyle w:val="17"/>
              <w:jc w:val="center"/>
              <w:rPr>
                <w:b/>
                <w:sz w:val="24"/>
                <w:szCs w:val="24"/>
              </w:rPr>
            </w:pPr>
            <w:r>
              <w:rPr>
                <w:rFonts w:hint="eastAsia"/>
                <w:b/>
                <w:sz w:val="24"/>
                <w:szCs w:val="24"/>
              </w:rPr>
              <w:t>序号</w:t>
            </w:r>
          </w:p>
        </w:tc>
        <w:tc>
          <w:tcPr>
            <w:tcW w:w="1802" w:type="dxa"/>
            <w:vAlign w:val="center"/>
          </w:tcPr>
          <w:p>
            <w:pPr>
              <w:pStyle w:val="17"/>
              <w:jc w:val="center"/>
              <w:rPr>
                <w:b/>
                <w:sz w:val="24"/>
                <w:szCs w:val="24"/>
              </w:rPr>
            </w:pPr>
            <w:r>
              <w:rPr>
                <w:rFonts w:hint="eastAsia"/>
                <w:b/>
                <w:sz w:val="24"/>
                <w:szCs w:val="24"/>
              </w:rPr>
              <w:t>采购文件条目号</w:t>
            </w:r>
          </w:p>
        </w:tc>
        <w:tc>
          <w:tcPr>
            <w:tcW w:w="2303" w:type="dxa"/>
            <w:vAlign w:val="center"/>
          </w:tcPr>
          <w:p>
            <w:pPr>
              <w:pStyle w:val="17"/>
              <w:jc w:val="center"/>
              <w:rPr>
                <w:b/>
                <w:sz w:val="24"/>
                <w:szCs w:val="24"/>
              </w:rPr>
            </w:pPr>
            <w:r>
              <w:rPr>
                <w:rFonts w:hint="eastAsia"/>
                <w:b/>
                <w:sz w:val="24"/>
                <w:szCs w:val="24"/>
              </w:rPr>
              <w:t>采购文件的商务条款</w:t>
            </w:r>
          </w:p>
        </w:tc>
        <w:tc>
          <w:tcPr>
            <w:tcW w:w="2627" w:type="dxa"/>
            <w:vAlign w:val="center"/>
          </w:tcPr>
          <w:p>
            <w:pPr>
              <w:pStyle w:val="17"/>
              <w:jc w:val="center"/>
              <w:rPr>
                <w:b/>
                <w:sz w:val="24"/>
                <w:szCs w:val="24"/>
              </w:rPr>
            </w:pPr>
            <w:r>
              <w:rPr>
                <w:rFonts w:hint="eastAsia"/>
                <w:b/>
                <w:sz w:val="24"/>
                <w:szCs w:val="24"/>
              </w:rPr>
              <w:t>竞标文件的商务条款</w:t>
            </w:r>
          </w:p>
        </w:tc>
        <w:tc>
          <w:tcPr>
            <w:tcW w:w="1785" w:type="dxa"/>
            <w:vAlign w:val="center"/>
          </w:tcPr>
          <w:p>
            <w:pPr>
              <w:pStyle w:val="17"/>
              <w:jc w:val="center"/>
              <w:rPr>
                <w:b/>
                <w:sz w:val="24"/>
                <w:szCs w:val="24"/>
              </w:rPr>
            </w:pPr>
            <w:r>
              <w:rPr>
                <w:rFonts w:hint="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bl>
    <w:p>
      <w:pPr>
        <w:pStyle w:val="17"/>
        <w:spacing w:line="600" w:lineRule="exact"/>
        <w:ind w:firstLine="360" w:firstLineChars="150"/>
        <w:rPr>
          <w:sz w:val="24"/>
          <w:szCs w:val="24"/>
        </w:rPr>
      </w:pPr>
      <w:r>
        <w:rPr>
          <w:rFonts w:hint="eastAsia"/>
          <w:sz w:val="24"/>
          <w:szCs w:val="24"/>
        </w:rPr>
        <w:t>注：“偏离”系指“正偏离”、“负偏离”或“无偏离”。</w:t>
      </w:r>
    </w:p>
    <w:p>
      <w:pPr>
        <w:pStyle w:val="17"/>
        <w:spacing w:line="420" w:lineRule="exact"/>
        <w:ind w:firstLine="420"/>
        <w:rPr>
          <w:b/>
          <w:sz w:val="24"/>
          <w:szCs w:val="24"/>
        </w:rPr>
      </w:pPr>
    </w:p>
    <w:p>
      <w:pPr>
        <w:pStyle w:val="17"/>
        <w:spacing w:before="240" w:line="360" w:lineRule="auto"/>
        <w:jc w:val="center"/>
        <w:rPr>
          <w:sz w:val="24"/>
          <w:szCs w:val="24"/>
          <w:u w:val="single"/>
        </w:rPr>
      </w:pPr>
      <w:r>
        <w:rPr>
          <w:rFonts w:hint="eastAsia"/>
          <w:sz w:val="24"/>
          <w:szCs w:val="24"/>
        </w:rPr>
        <w:t>竞标人（公章）</w:t>
      </w:r>
      <w:r>
        <w:rPr>
          <w:rFonts w:hint="eastAsia"/>
          <w:sz w:val="24"/>
          <w:szCs w:val="24"/>
          <w:u w:val="single"/>
        </w:rPr>
        <w:t xml:space="preserve">                                   </w:t>
      </w:r>
    </w:p>
    <w:p>
      <w:pPr>
        <w:pStyle w:val="17"/>
        <w:spacing w:before="240" w:line="360" w:lineRule="auto"/>
        <w:jc w:val="center"/>
        <w:rPr>
          <w:bCs/>
          <w:sz w:val="24"/>
          <w:szCs w:val="24"/>
          <w:u w:val="single"/>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法定代表人或委托代理人签字</w:t>
      </w:r>
      <w:r>
        <w:rPr>
          <w:rFonts w:hint="eastAsia"/>
          <w:sz w:val="24"/>
          <w:szCs w:val="24"/>
          <w:u w:val="single"/>
        </w:rPr>
        <w:t xml:space="preserve">              </w:t>
      </w:r>
    </w:p>
    <w:p>
      <w:pPr>
        <w:pStyle w:val="17"/>
        <w:spacing w:before="240" w:line="360" w:lineRule="auto"/>
        <w:ind w:firstLine="4800" w:firstLineChars="2000"/>
        <w:rPr>
          <w:bCs/>
          <w:sz w:val="24"/>
          <w:szCs w:val="24"/>
          <w:u w:val="single"/>
        </w:rPr>
      </w:pPr>
      <w:r>
        <w:rPr>
          <w:rFonts w:hint="eastAsia"/>
          <w:bCs/>
          <w:sz w:val="24"/>
          <w:szCs w:val="24"/>
        </w:rPr>
        <w:t>日 期：</w:t>
      </w:r>
      <w:r>
        <w:rPr>
          <w:rFonts w:hint="eastAsia"/>
          <w:bCs/>
          <w:sz w:val="24"/>
          <w:szCs w:val="24"/>
          <w:u w:val="single"/>
        </w:rPr>
        <w:t xml:space="preserve">                                   </w:t>
      </w:r>
    </w:p>
    <w:p>
      <w:pPr>
        <w:pStyle w:val="17"/>
        <w:spacing w:line="360" w:lineRule="auto"/>
        <w:ind w:firstLine="420"/>
        <w:jc w:val="center"/>
        <w:rPr>
          <w:b/>
          <w:sz w:val="44"/>
          <w:szCs w:val="44"/>
        </w:rPr>
      </w:pPr>
      <w:r>
        <w:rPr>
          <w:b/>
          <w:sz w:val="32"/>
        </w:rPr>
        <w:br w:type="page"/>
      </w: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420" w:lineRule="exact"/>
        <w:ind w:firstLine="420"/>
        <w:jc w:val="center"/>
        <w:rPr>
          <w:b/>
          <w:sz w:val="32"/>
          <w:szCs w:val="32"/>
        </w:rPr>
      </w:pPr>
      <w:r>
        <w:rPr>
          <w:rFonts w:hint="eastAsia"/>
          <w:b/>
          <w:sz w:val="32"/>
          <w:szCs w:val="32"/>
        </w:rPr>
        <w:t>二、技术部分</w:t>
      </w:r>
    </w:p>
    <w:p>
      <w:pPr>
        <w:pStyle w:val="17"/>
        <w:spacing w:line="420" w:lineRule="exact"/>
        <w:ind w:firstLine="420"/>
        <w:rPr>
          <w:b/>
          <w:sz w:val="32"/>
        </w:rPr>
      </w:pPr>
    </w:p>
    <w:p>
      <w:pPr>
        <w:pStyle w:val="17"/>
        <w:spacing w:before="240"/>
        <w:jc w:val="center"/>
        <w:rPr>
          <w:b/>
          <w:sz w:val="32"/>
          <w:szCs w:val="32"/>
          <w:u w:val="single"/>
        </w:rPr>
      </w:pPr>
      <w:r>
        <w:rPr>
          <w:b/>
          <w:sz w:val="32"/>
        </w:rPr>
        <w:br w:type="page"/>
      </w:r>
      <w:r>
        <w:rPr>
          <w:b/>
          <w:sz w:val="32"/>
          <w:szCs w:val="32"/>
        </w:rPr>
        <w:t>1</w:t>
      </w:r>
      <w:r>
        <w:rPr>
          <w:rFonts w:hint="eastAsia"/>
          <w:b/>
          <w:sz w:val="32"/>
          <w:szCs w:val="32"/>
        </w:rPr>
        <w:t>、技术规格响应表</w:t>
      </w:r>
    </w:p>
    <w:p>
      <w:pPr>
        <w:spacing w:line="280" w:lineRule="exact"/>
        <w:rPr>
          <w:b/>
          <w:bCs/>
          <w:sz w:val="24"/>
        </w:rPr>
      </w:pPr>
      <w:r>
        <w:rPr>
          <w:rFonts w:hint="eastAsia"/>
          <w:sz w:val="24"/>
        </w:rPr>
        <w:t>请逐条对应采购文件的第二章“货物需求一览表”中要求的技术要求，认真填写该表。</w:t>
      </w:r>
    </w:p>
    <w:p>
      <w:pPr>
        <w:spacing w:line="280" w:lineRule="exact"/>
        <w:rPr>
          <w:b/>
          <w:bCs/>
          <w:sz w:val="24"/>
        </w:rPr>
      </w:pPr>
    </w:p>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65"/>
        <w:gridCol w:w="3531"/>
        <w:gridCol w:w="300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 w:type="dxa"/>
            <w:vAlign w:val="center"/>
          </w:tcPr>
          <w:p>
            <w:pPr>
              <w:pStyle w:val="17"/>
              <w:jc w:val="center"/>
              <w:rPr>
                <w:spacing w:val="-20"/>
                <w:sz w:val="24"/>
                <w:szCs w:val="24"/>
              </w:rPr>
            </w:pPr>
            <w:r>
              <w:rPr>
                <w:rFonts w:hint="eastAsia"/>
                <w:spacing w:val="-20"/>
                <w:sz w:val="24"/>
                <w:szCs w:val="24"/>
              </w:rPr>
              <w:t>项号</w:t>
            </w:r>
          </w:p>
        </w:tc>
        <w:tc>
          <w:tcPr>
            <w:tcW w:w="1065" w:type="dxa"/>
            <w:vAlign w:val="center"/>
          </w:tcPr>
          <w:p>
            <w:pPr>
              <w:pStyle w:val="17"/>
              <w:jc w:val="center"/>
              <w:rPr>
                <w:spacing w:val="-20"/>
                <w:sz w:val="24"/>
                <w:szCs w:val="24"/>
              </w:rPr>
            </w:pPr>
            <w:r>
              <w:rPr>
                <w:rFonts w:hint="eastAsia"/>
                <w:spacing w:val="-20"/>
                <w:sz w:val="24"/>
                <w:szCs w:val="24"/>
              </w:rPr>
              <w:t>货物名称</w:t>
            </w:r>
          </w:p>
        </w:tc>
        <w:tc>
          <w:tcPr>
            <w:tcW w:w="3531" w:type="dxa"/>
            <w:vAlign w:val="center"/>
          </w:tcPr>
          <w:p>
            <w:pPr>
              <w:pStyle w:val="17"/>
              <w:jc w:val="center"/>
              <w:rPr>
                <w:spacing w:val="-20"/>
                <w:sz w:val="24"/>
                <w:szCs w:val="24"/>
              </w:rPr>
            </w:pPr>
            <w:r>
              <w:rPr>
                <w:rFonts w:hint="eastAsia"/>
                <w:spacing w:val="-20"/>
                <w:sz w:val="24"/>
                <w:szCs w:val="24"/>
              </w:rPr>
              <w:t>采购技术要求</w:t>
            </w:r>
          </w:p>
        </w:tc>
        <w:tc>
          <w:tcPr>
            <w:tcW w:w="3003" w:type="dxa"/>
            <w:vAlign w:val="center"/>
          </w:tcPr>
          <w:p>
            <w:pPr>
              <w:pStyle w:val="17"/>
              <w:jc w:val="center"/>
              <w:rPr>
                <w:spacing w:val="-20"/>
                <w:sz w:val="24"/>
                <w:szCs w:val="24"/>
              </w:rPr>
            </w:pPr>
            <w:r>
              <w:rPr>
                <w:rFonts w:hint="eastAsia"/>
                <w:spacing w:val="-20"/>
                <w:sz w:val="24"/>
                <w:szCs w:val="24"/>
              </w:rPr>
              <w:t>竞标技术规格</w:t>
            </w:r>
          </w:p>
        </w:tc>
        <w:tc>
          <w:tcPr>
            <w:tcW w:w="1434" w:type="dxa"/>
            <w:vAlign w:val="center"/>
          </w:tcPr>
          <w:p>
            <w:pPr>
              <w:pStyle w:val="17"/>
              <w:jc w:val="center"/>
              <w:rPr>
                <w:spacing w:val="-20"/>
                <w:sz w:val="24"/>
                <w:szCs w:val="24"/>
              </w:rPr>
            </w:pPr>
            <w:r>
              <w:rPr>
                <w:rFonts w:hint="eastAsia"/>
                <w:spacing w:val="-2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5" w:hRule="atLeast"/>
        </w:trPr>
        <w:tc>
          <w:tcPr>
            <w:tcW w:w="821" w:type="dxa"/>
          </w:tcPr>
          <w:p>
            <w:pPr>
              <w:pStyle w:val="17"/>
              <w:spacing w:before="240"/>
              <w:jc w:val="center"/>
              <w:rPr>
                <w:b/>
                <w:sz w:val="24"/>
                <w:szCs w:val="24"/>
              </w:rPr>
            </w:pPr>
          </w:p>
        </w:tc>
        <w:tc>
          <w:tcPr>
            <w:tcW w:w="1065" w:type="dxa"/>
          </w:tcPr>
          <w:p>
            <w:pPr>
              <w:pStyle w:val="17"/>
              <w:spacing w:before="240"/>
              <w:jc w:val="center"/>
              <w:rPr>
                <w:b/>
                <w:sz w:val="24"/>
                <w:szCs w:val="24"/>
              </w:rPr>
            </w:pPr>
          </w:p>
        </w:tc>
        <w:tc>
          <w:tcPr>
            <w:tcW w:w="3531" w:type="dxa"/>
          </w:tcPr>
          <w:p>
            <w:pPr>
              <w:pStyle w:val="17"/>
              <w:spacing w:before="240"/>
              <w:jc w:val="center"/>
              <w:rPr>
                <w:b/>
                <w:sz w:val="24"/>
                <w:szCs w:val="24"/>
              </w:rPr>
            </w:pPr>
          </w:p>
        </w:tc>
        <w:tc>
          <w:tcPr>
            <w:tcW w:w="3003" w:type="dxa"/>
          </w:tcPr>
          <w:p>
            <w:pPr>
              <w:pStyle w:val="17"/>
              <w:spacing w:before="240"/>
              <w:jc w:val="center"/>
              <w:rPr>
                <w:b/>
                <w:sz w:val="24"/>
                <w:szCs w:val="24"/>
              </w:rPr>
            </w:pPr>
          </w:p>
        </w:tc>
        <w:tc>
          <w:tcPr>
            <w:tcW w:w="1434" w:type="dxa"/>
          </w:tcPr>
          <w:p>
            <w:pPr>
              <w:pStyle w:val="17"/>
              <w:spacing w:before="240"/>
              <w:jc w:val="center"/>
              <w:rPr>
                <w:b/>
                <w:sz w:val="24"/>
                <w:szCs w:val="24"/>
              </w:rPr>
            </w:pPr>
          </w:p>
        </w:tc>
      </w:tr>
    </w:tbl>
    <w:p>
      <w:pPr>
        <w:pStyle w:val="17"/>
        <w:spacing w:before="240"/>
        <w:rPr>
          <w:b/>
          <w:sz w:val="24"/>
          <w:szCs w:val="24"/>
        </w:rPr>
      </w:pPr>
      <w:r>
        <w:rPr>
          <w:rFonts w:hint="eastAsia"/>
          <w:b/>
          <w:sz w:val="24"/>
          <w:szCs w:val="24"/>
        </w:rPr>
        <w:t>注：</w:t>
      </w:r>
    </w:p>
    <w:p>
      <w:pPr>
        <w:pStyle w:val="17"/>
        <w:numPr>
          <w:ilvl w:val="0"/>
          <w:numId w:val="8"/>
        </w:numPr>
        <w:spacing w:before="240"/>
        <w:rPr>
          <w:bCs/>
          <w:sz w:val="24"/>
          <w:szCs w:val="24"/>
        </w:rPr>
      </w:pPr>
      <w:r>
        <w:rPr>
          <w:rFonts w:hint="eastAsia"/>
          <w:bCs/>
          <w:sz w:val="24"/>
          <w:szCs w:val="24"/>
        </w:rPr>
        <w:t>竞标技术规格由竞标人按照竞标文件货物需求一览表对应的技术参数及性能进行填写。</w:t>
      </w:r>
    </w:p>
    <w:p>
      <w:pPr>
        <w:pStyle w:val="17"/>
        <w:numPr>
          <w:ilvl w:val="0"/>
          <w:numId w:val="8"/>
        </w:numPr>
        <w:spacing w:before="240"/>
        <w:rPr>
          <w:bCs/>
          <w:sz w:val="24"/>
          <w:szCs w:val="24"/>
        </w:rPr>
      </w:pPr>
      <w:r>
        <w:rPr>
          <w:rFonts w:hint="eastAsia"/>
          <w:bCs/>
          <w:sz w:val="24"/>
          <w:szCs w:val="24"/>
        </w:rPr>
        <w:t>此表竞标技术规格与竞标报价表和产品检验报告证书的技术指标不符的，以产品检验报告证书的技术指标为准。</w:t>
      </w:r>
    </w:p>
    <w:p>
      <w:pPr>
        <w:pStyle w:val="17"/>
        <w:numPr>
          <w:ilvl w:val="0"/>
          <w:numId w:val="8"/>
        </w:numPr>
        <w:spacing w:before="240"/>
        <w:rPr>
          <w:bCs/>
          <w:sz w:val="24"/>
          <w:szCs w:val="24"/>
        </w:rPr>
      </w:pPr>
      <w:r>
        <w:rPr>
          <w:rFonts w:hint="eastAsia"/>
          <w:bCs/>
          <w:sz w:val="24"/>
          <w:szCs w:val="24"/>
        </w:rPr>
        <w:t xml:space="preserve">竞标技术规格与采购技术要求相同的为无偏离，竞标技术规格高于采购技术要求的为正偏离，低于采购技术要求的为负偏离。 </w:t>
      </w:r>
    </w:p>
    <w:p>
      <w:pPr>
        <w:pStyle w:val="17"/>
        <w:spacing w:before="240"/>
        <w:jc w:val="center"/>
        <w:rPr>
          <w:sz w:val="24"/>
          <w:szCs w:val="24"/>
          <w:u w:val="single"/>
        </w:rPr>
      </w:pPr>
      <w:r>
        <w:rPr>
          <w:bCs/>
          <w:sz w:val="24"/>
          <w:szCs w:val="24"/>
        </w:rPr>
        <w:t xml:space="preserve">       </w:t>
      </w:r>
      <w:r>
        <w:rPr>
          <w:rFonts w:hint="eastAsia"/>
          <w:sz w:val="24"/>
          <w:szCs w:val="24"/>
        </w:rPr>
        <w:t>竞标人（公章）</w:t>
      </w:r>
      <w:r>
        <w:rPr>
          <w:rFonts w:hint="eastAsia"/>
          <w:sz w:val="24"/>
          <w:szCs w:val="24"/>
          <w:u w:val="single"/>
        </w:rPr>
        <w:t xml:space="preserve">                                   </w:t>
      </w:r>
    </w:p>
    <w:p>
      <w:pPr>
        <w:pStyle w:val="17"/>
        <w:spacing w:before="240"/>
        <w:jc w:val="center"/>
        <w:rPr>
          <w:bCs/>
          <w:sz w:val="24"/>
          <w:szCs w:val="24"/>
          <w:u w:val="single"/>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法定代表人或委托代理人签字</w:t>
      </w:r>
      <w:r>
        <w:rPr>
          <w:rFonts w:hint="eastAsia"/>
          <w:sz w:val="24"/>
          <w:szCs w:val="24"/>
          <w:u w:val="single"/>
        </w:rPr>
        <w:t xml:space="preserve">               </w:t>
      </w:r>
    </w:p>
    <w:p>
      <w:pPr>
        <w:pStyle w:val="17"/>
        <w:spacing w:before="240"/>
        <w:ind w:firstLine="5040" w:firstLineChars="2100"/>
        <w:rPr>
          <w:b/>
          <w:sz w:val="24"/>
          <w:szCs w:val="24"/>
        </w:rPr>
      </w:pPr>
      <w:r>
        <w:rPr>
          <w:bCs/>
          <w:sz w:val="24"/>
          <w:szCs w:val="24"/>
        </w:rPr>
        <w:t xml:space="preserve"> </w:t>
      </w:r>
      <w:r>
        <w:rPr>
          <w:rFonts w:hint="eastAsia"/>
          <w:bCs/>
          <w:sz w:val="24"/>
          <w:szCs w:val="24"/>
        </w:rPr>
        <w:t>日期：</w:t>
      </w:r>
      <w:r>
        <w:rPr>
          <w:rFonts w:hint="eastAsia"/>
          <w:bCs/>
          <w:sz w:val="24"/>
          <w:szCs w:val="24"/>
          <w:u w:val="single"/>
        </w:rPr>
        <w:t xml:space="preserve">                         </w:t>
      </w:r>
    </w:p>
    <w:p>
      <w:pPr>
        <w:pStyle w:val="17"/>
        <w:spacing w:before="240"/>
        <w:jc w:val="center"/>
        <w:rPr>
          <w:b/>
          <w:sz w:val="32"/>
          <w:szCs w:val="32"/>
        </w:rPr>
      </w:pPr>
      <w:r>
        <w:rPr>
          <w:b/>
          <w:sz w:val="32"/>
        </w:rPr>
        <w:br w:type="page"/>
      </w:r>
      <w:r>
        <w:rPr>
          <w:b/>
          <w:sz w:val="32"/>
          <w:szCs w:val="32"/>
        </w:rPr>
        <w:t>2</w:t>
      </w:r>
      <w:r>
        <w:rPr>
          <w:rFonts w:hint="eastAsia"/>
          <w:b/>
          <w:sz w:val="32"/>
          <w:szCs w:val="32"/>
        </w:rPr>
        <w:t>、技术实施方案</w:t>
      </w:r>
    </w:p>
    <w:p>
      <w:pPr>
        <w:pStyle w:val="17"/>
        <w:spacing w:line="360" w:lineRule="auto"/>
        <w:jc w:val="center"/>
        <w:rPr>
          <w:bCs/>
          <w:sz w:val="24"/>
          <w:szCs w:val="24"/>
        </w:rPr>
      </w:pPr>
      <w:r>
        <w:rPr>
          <w:bCs/>
          <w:sz w:val="24"/>
          <w:szCs w:val="24"/>
        </w:rPr>
        <w:br w:type="page"/>
      </w:r>
    </w:p>
    <w:p>
      <w:pPr>
        <w:pStyle w:val="17"/>
        <w:spacing w:line="360" w:lineRule="auto"/>
        <w:jc w:val="center"/>
        <w:rPr>
          <w:bCs/>
          <w:sz w:val="24"/>
          <w:szCs w:val="2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jc w:val="center"/>
        <w:rPr>
          <w:bCs/>
          <w:sz w:val="32"/>
          <w:szCs w:val="32"/>
        </w:rPr>
      </w:pPr>
      <w:r>
        <w:rPr>
          <w:rFonts w:hint="eastAsia"/>
          <w:b/>
          <w:sz w:val="32"/>
          <w:szCs w:val="32"/>
        </w:rPr>
        <w:t>三、证明竞标人合格和资格的文件</w:t>
      </w:r>
    </w:p>
    <w:p>
      <w:pPr>
        <w:pStyle w:val="17"/>
        <w:spacing w:before="240"/>
        <w:jc w:val="center"/>
        <w:rPr>
          <w:b/>
          <w:sz w:val="32"/>
        </w:rPr>
      </w:pPr>
    </w:p>
    <w:p>
      <w:pPr>
        <w:spacing w:line="540" w:lineRule="exact"/>
        <w:jc w:val="center"/>
        <w:rPr>
          <w:b/>
          <w:sz w:val="30"/>
        </w:rPr>
      </w:pPr>
      <w:r>
        <w:rPr>
          <w:rFonts w:hint="eastAsia" w:ascii="宋体"/>
          <w:b/>
          <w:sz w:val="32"/>
          <w:szCs w:val="20"/>
        </w:rPr>
        <w:br w:type="page"/>
      </w:r>
    </w:p>
    <w:p>
      <w:pPr>
        <w:spacing w:line="540" w:lineRule="exact"/>
        <w:jc w:val="center"/>
        <w:rPr>
          <w:rFonts w:ascii="宋体"/>
          <w:b/>
          <w:bCs/>
          <w:sz w:val="32"/>
          <w:szCs w:val="32"/>
        </w:rPr>
      </w:pPr>
      <w:r>
        <w:rPr>
          <w:rFonts w:hint="eastAsia" w:ascii="宋体"/>
          <w:b/>
          <w:sz w:val="32"/>
          <w:szCs w:val="32"/>
        </w:rPr>
        <w:t>1、竞标保证金缴纳凭证</w:t>
      </w:r>
      <w:r>
        <w:rPr>
          <w:rFonts w:hint="eastAsia" w:ascii="宋体"/>
          <w:b/>
          <w:bCs/>
          <w:sz w:val="32"/>
          <w:szCs w:val="32"/>
        </w:rPr>
        <w:t>格式</w:t>
      </w:r>
    </w:p>
    <w:p>
      <w:pPr>
        <w:spacing w:line="540" w:lineRule="exact"/>
        <w:jc w:val="center"/>
        <w:rPr>
          <w:rFonts w:ascii="隶书" w:eastAsia="隶书"/>
          <w:sz w:val="24"/>
        </w:rPr>
      </w:pPr>
      <w:r>
        <w:rPr>
          <w:rFonts w:hint="eastAsia"/>
          <w:sz w:val="24"/>
        </w:rPr>
        <w:t>（竞标保证金银行缴款凭证复印件并盖公章）</w:t>
      </w:r>
    </w:p>
    <w:p>
      <w:pPr>
        <w:pStyle w:val="17"/>
        <w:spacing w:line="420" w:lineRule="exact"/>
        <w:ind w:firstLine="420"/>
        <w:rPr>
          <w:b/>
          <w:sz w:val="32"/>
        </w:rPr>
      </w:pPr>
      <w:r>
        <w:br w:type="page"/>
      </w:r>
    </w:p>
    <w:p>
      <w:pPr>
        <w:spacing w:line="540" w:lineRule="exact"/>
        <w:jc w:val="center"/>
        <w:rPr>
          <w:rFonts w:ascii="宋体"/>
          <w:b/>
          <w:bCs/>
          <w:sz w:val="32"/>
          <w:szCs w:val="32"/>
        </w:rPr>
      </w:pPr>
      <w:r>
        <w:rPr>
          <w:rFonts w:hint="eastAsia" w:ascii="宋体"/>
          <w:b/>
          <w:sz w:val="32"/>
          <w:szCs w:val="32"/>
        </w:rPr>
        <w:t>2、竞标人资格证明文件</w:t>
      </w:r>
      <w:r>
        <w:rPr>
          <w:rFonts w:hint="eastAsia" w:ascii="宋体"/>
          <w:b/>
          <w:bCs/>
          <w:sz w:val="32"/>
          <w:szCs w:val="32"/>
        </w:rPr>
        <w:t>格式</w:t>
      </w:r>
    </w:p>
    <w:p>
      <w:pPr>
        <w:pStyle w:val="17"/>
        <w:spacing w:before="240" w:line="560" w:lineRule="exact"/>
        <w:ind w:firstLine="2400" w:firstLineChars="1000"/>
        <w:rPr>
          <w:bCs/>
          <w:sz w:val="24"/>
          <w:szCs w:val="24"/>
        </w:rPr>
      </w:pPr>
      <w:r>
        <w:rPr>
          <w:rFonts w:hint="eastAsia"/>
          <w:bCs/>
          <w:sz w:val="24"/>
          <w:szCs w:val="24"/>
        </w:rPr>
        <w:t>（竞标人按竞标须知第</w:t>
      </w:r>
      <w:r>
        <w:rPr>
          <w:bCs/>
          <w:sz w:val="24"/>
          <w:szCs w:val="24"/>
        </w:rPr>
        <w:t>12</w:t>
      </w:r>
      <w:r>
        <w:rPr>
          <w:rFonts w:hint="eastAsia"/>
          <w:bCs/>
          <w:sz w:val="24"/>
          <w:szCs w:val="24"/>
        </w:rPr>
        <w:t>条要求提供并盖公章）</w:t>
      </w:r>
    </w:p>
    <w:p>
      <w:pPr>
        <w:pStyle w:val="17"/>
        <w:spacing w:before="240" w:line="560" w:lineRule="exact"/>
        <w:ind w:firstLine="480" w:firstLineChars="200"/>
        <w:rPr>
          <w:bCs/>
          <w:sz w:val="24"/>
          <w:szCs w:val="24"/>
        </w:rPr>
      </w:pPr>
    </w:p>
    <w:p>
      <w:pPr>
        <w:pStyle w:val="17"/>
        <w:spacing w:line="560" w:lineRule="exact"/>
        <w:ind w:firstLine="2650" w:firstLineChars="1100"/>
        <w:rPr>
          <w:b/>
          <w:sz w:val="32"/>
          <w:szCs w:val="32"/>
        </w:rPr>
      </w:pPr>
      <w:r>
        <w:rPr>
          <w:b/>
          <w:sz w:val="24"/>
          <w:szCs w:val="24"/>
        </w:rPr>
        <w:br w:type="page"/>
      </w:r>
      <w:r>
        <w:rPr>
          <w:b/>
          <w:sz w:val="32"/>
          <w:szCs w:val="32"/>
        </w:rPr>
        <w:t>3</w:t>
      </w:r>
      <w:r>
        <w:rPr>
          <w:rFonts w:hint="eastAsia"/>
          <w:b/>
          <w:sz w:val="32"/>
          <w:szCs w:val="32"/>
        </w:rPr>
        <w:t>、法定代表人授权委托书格式</w:t>
      </w:r>
    </w:p>
    <w:p>
      <w:pPr>
        <w:pStyle w:val="17"/>
        <w:rPr>
          <w:sz w:val="24"/>
          <w:szCs w:val="24"/>
        </w:rPr>
      </w:pPr>
    </w:p>
    <w:p>
      <w:pPr>
        <w:pStyle w:val="17"/>
        <w:spacing w:line="480" w:lineRule="exact"/>
        <w:ind w:firstLine="420"/>
        <w:rPr>
          <w:sz w:val="24"/>
          <w:szCs w:val="24"/>
        </w:rPr>
      </w:pPr>
      <w:r>
        <w:rPr>
          <w:rFonts w:hint="eastAsia"/>
          <w:sz w:val="24"/>
          <w:szCs w:val="24"/>
        </w:rPr>
        <w:t>兹授权</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同志为我方参加</w:t>
      </w:r>
      <w:r>
        <w:rPr>
          <w:rFonts w:hint="eastAsia"/>
          <w:sz w:val="24"/>
          <w:szCs w:val="24"/>
          <w:u w:val="single"/>
        </w:rPr>
        <w:t xml:space="preserve">        （项目名称）  </w:t>
      </w:r>
      <w:r>
        <w:rPr>
          <w:rFonts w:hint="eastAsia"/>
          <w:sz w:val="24"/>
          <w:szCs w:val="24"/>
        </w:rPr>
        <w:t>项目（项目编号：</w:t>
      </w:r>
      <w:r>
        <w:rPr>
          <w:rFonts w:hint="eastAsia"/>
          <w:color w:val="FF0000"/>
          <w:sz w:val="24"/>
          <w:szCs w:val="24"/>
          <w:u w:val="single"/>
        </w:rPr>
        <w:t xml:space="preserve">      </w:t>
      </w:r>
      <w:r>
        <w:rPr>
          <w:rFonts w:hint="eastAsia"/>
          <w:sz w:val="24"/>
          <w:szCs w:val="24"/>
        </w:rPr>
        <w:t>）竞标代理人，其代理权限为：</w:t>
      </w: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ind w:firstLine="420"/>
        <w:rPr>
          <w:sz w:val="24"/>
          <w:szCs w:val="24"/>
        </w:rPr>
      </w:pPr>
      <w:r>
        <w:rPr>
          <w:rFonts w:hint="eastAsia"/>
          <w:sz w:val="24"/>
          <w:szCs w:val="24"/>
        </w:rPr>
        <w:t>代理期限从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日止</w:t>
      </w:r>
    </w:p>
    <w:p>
      <w:pPr>
        <w:pStyle w:val="17"/>
        <w:spacing w:line="480" w:lineRule="exact"/>
        <w:rPr>
          <w:sz w:val="24"/>
          <w:szCs w:val="24"/>
        </w:rPr>
      </w:pPr>
    </w:p>
    <w:p>
      <w:pPr>
        <w:pStyle w:val="17"/>
        <w:spacing w:line="480" w:lineRule="exact"/>
        <w:ind w:firstLine="420"/>
        <w:rPr>
          <w:sz w:val="24"/>
          <w:szCs w:val="24"/>
        </w:rPr>
      </w:pPr>
      <w:r>
        <w:rPr>
          <w:rFonts w:hint="eastAsia"/>
          <w:sz w:val="24"/>
          <w:szCs w:val="24"/>
        </w:rPr>
        <w:t>委托单位：</w:t>
      </w:r>
      <w:r>
        <w:rPr>
          <w:sz w:val="24"/>
          <w:szCs w:val="24"/>
        </w:rPr>
        <w:t xml:space="preserve">              </w:t>
      </w:r>
      <w:r>
        <w:rPr>
          <w:rFonts w:hint="eastAsia"/>
          <w:sz w:val="24"/>
          <w:szCs w:val="24"/>
        </w:rPr>
        <w:t>（章）</w:t>
      </w:r>
      <w:r>
        <w:rPr>
          <w:sz w:val="24"/>
          <w:szCs w:val="24"/>
        </w:rPr>
        <w:t xml:space="preserve">        </w:t>
      </w:r>
      <w:r>
        <w:rPr>
          <w:rFonts w:hint="eastAsia"/>
          <w:sz w:val="24"/>
          <w:szCs w:val="24"/>
        </w:rPr>
        <w:t>法定代表人：</w:t>
      </w:r>
      <w:r>
        <w:rPr>
          <w:sz w:val="24"/>
          <w:szCs w:val="24"/>
        </w:rPr>
        <w:t xml:space="preserve">         </w:t>
      </w:r>
      <w:r>
        <w:rPr>
          <w:rFonts w:hint="eastAsia"/>
          <w:sz w:val="24"/>
          <w:szCs w:val="24"/>
        </w:rPr>
        <w:t>（签字）</w:t>
      </w:r>
    </w:p>
    <w:p>
      <w:pPr>
        <w:pStyle w:val="17"/>
        <w:spacing w:line="480" w:lineRule="exact"/>
        <w:ind w:firstLine="420"/>
        <w:rPr>
          <w:sz w:val="24"/>
          <w:szCs w:val="24"/>
        </w:rPr>
      </w:pPr>
    </w:p>
    <w:p>
      <w:pPr>
        <w:pStyle w:val="17"/>
        <w:spacing w:line="480" w:lineRule="exact"/>
        <w:ind w:firstLine="420"/>
        <w:rPr>
          <w:sz w:val="24"/>
          <w:szCs w:val="24"/>
        </w:rPr>
      </w:pPr>
      <w:r>
        <w:rPr>
          <w:rFonts w:hint="eastAsia"/>
          <w:sz w:val="24"/>
          <w:szCs w:val="24"/>
        </w:rPr>
        <w:t>签发日期：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pStyle w:val="17"/>
        <w:spacing w:line="480" w:lineRule="exact"/>
        <w:rPr>
          <w:sz w:val="24"/>
          <w:szCs w:val="24"/>
        </w:rPr>
      </w:pPr>
      <w:r>
        <w:rPr>
          <w:rFonts w:hint="eastAsia"/>
          <w:sz w:val="24"/>
          <w:szCs w:val="24"/>
        </w:rPr>
        <w:t xml:space="preserve">                                                                                                                                                                                        </w:t>
      </w:r>
    </w:p>
    <w:p>
      <w:pPr>
        <w:pStyle w:val="17"/>
        <w:spacing w:line="480" w:lineRule="exact"/>
        <w:rPr>
          <w:sz w:val="24"/>
          <w:szCs w:val="24"/>
        </w:rPr>
      </w:pPr>
      <w:r>
        <w:rPr>
          <w:sz w:val="24"/>
          <w:szCs w:val="24"/>
        </w:rPr>
        <w:pict>
          <v:line id="1028" o:spid="_x0000_s1026" o:spt="20" style="position:absolute;left:0pt;margin-left:0pt;margin-top:0pt;height:0pt;width:483pt;mso-wrap-distance-bottom:0pt;mso-wrap-distance-top:14.2pt;z-index:1024;mso-width-relative:page;mso-height-relative:page;" coordsize="21600,21600" o:allowincell="f">
            <v:path arrowok="t"/>
            <v:fill focussize="0,0"/>
            <v:stroke/>
            <v:imagedata o:title=""/>
            <o:lock v:ext="edit"/>
            <w10:wrap type="topAndBottom"/>
          </v:line>
        </w:pict>
      </w:r>
      <w:r>
        <w:rPr>
          <w:sz w:val="24"/>
          <w:szCs w:val="24"/>
        </w:rPr>
        <w:t xml:space="preserve">    </w:t>
      </w:r>
      <w:r>
        <w:rPr>
          <w:rFonts w:hint="eastAsia"/>
          <w:sz w:val="24"/>
          <w:szCs w:val="24"/>
        </w:rPr>
        <w:t>附：</w:t>
      </w:r>
      <w:r>
        <w:rPr>
          <w:sz w:val="24"/>
          <w:szCs w:val="24"/>
        </w:rPr>
        <w:t>1</w:t>
      </w:r>
      <w:r>
        <w:rPr>
          <w:rFonts w:hint="eastAsia"/>
          <w:sz w:val="24"/>
          <w:szCs w:val="24"/>
        </w:rPr>
        <w:t>、代理人工作单位：</w:t>
      </w:r>
      <w:r>
        <w:rPr>
          <w:sz w:val="24"/>
          <w:szCs w:val="24"/>
        </w:rPr>
        <w:t xml:space="preserve">                       </w:t>
      </w:r>
      <w:r>
        <w:rPr>
          <w:rFonts w:hint="eastAsia"/>
          <w:sz w:val="24"/>
          <w:szCs w:val="24"/>
        </w:rPr>
        <w:t>职务：</w:t>
      </w:r>
    </w:p>
    <w:p>
      <w:pPr>
        <w:pStyle w:val="17"/>
        <w:spacing w:line="480" w:lineRule="exact"/>
        <w:ind w:firstLine="420"/>
        <w:rPr>
          <w:sz w:val="24"/>
          <w:szCs w:val="24"/>
        </w:rPr>
      </w:pPr>
      <w:r>
        <w:rPr>
          <w:sz w:val="24"/>
          <w:szCs w:val="24"/>
        </w:rPr>
        <w:t xml:space="preserve">       </w:t>
      </w:r>
      <w:r>
        <w:rPr>
          <w:rFonts w:hint="eastAsia"/>
          <w:sz w:val="24"/>
          <w:szCs w:val="24"/>
        </w:rPr>
        <w:t>身份证号码：</w:t>
      </w:r>
      <w:r>
        <w:rPr>
          <w:sz w:val="24"/>
          <w:szCs w:val="24"/>
        </w:rPr>
        <w:t xml:space="preserve">                           </w:t>
      </w:r>
      <w:r>
        <w:rPr>
          <w:rFonts w:hint="eastAsia"/>
          <w:sz w:val="24"/>
          <w:szCs w:val="24"/>
        </w:rPr>
        <w:t>性别：</w:t>
      </w:r>
      <w:r>
        <w:rPr>
          <w:sz w:val="24"/>
          <w:szCs w:val="24"/>
        </w:rPr>
        <w:t xml:space="preserve">           </w:t>
      </w:r>
      <w:r>
        <w:rPr>
          <w:rFonts w:hint="eastAsia"/>
          <w:sz w:val="24"/>
          <w:szCs w:val="24"/>
        </w:rPr>
        <w:t>年龄：</w:t>
      </w:r>
    </w:p>
    <w:p>
      <w:pPr>
        <w:pStyle w:val="17"/>
        <w:spacing w:line="480" w:lineRule="exact"/>
        <w:ind w:firstLine="840"/>
        <w:rPr>
          <w:sz w:val="24"/>
          <w:szCs w:val="24"/>
        </w:rPr>
      </w:pPr>
      <w:r>
        <w:rPr>
          <w:sz w:val="24"/>
          <w:szCs w:val="24"/>
        </w:rPr>
        <w:t>2</w:t>
      </w:r>
      <w:r>
        <w:rPr>
          <w:rFonts w:hint="eastAsia"/>
          <w:sz w:val="24"/>
          <w:szCs w:val="24"/>
        </w:rPr>
        <w:t>、委托人企业法定代表人营业执照号码：</w:t>
      </w:r>
    </w:p>
    <w:p>
      <w:pPr>
        <w:pStyle w:val="17"/>
        <w:spacing w:line="480" w:lineRule="exact"/>
        <w:ind w:firstLine="420"/>
        <w:rPr>
          <w:sz w:val="24"/>
          <w:szCs w:val="24"/>
        </w:rPr>
      </w:pPr>
      <w:r>
        <w:rPr>
          <w:sz w:val="24"/>
          <w:szCs w:val="24"/>
        </w:rPr>
        <w:t xml:space="preserve">       </w:t>
      </w:r>
      <w:r>
        <w:rPr>
          <w:rFonts w:hint="eastAsia"/>
          <w:sz w:val="24"/>
          <w:szCs w:val="24"/>
        </w:rPr>
        <w:t>地址：</w:t>
      </w:r>
      <w:r>
        <w:rPr>
          <w:sz w:val="24"/>
          <w:szCs w:val="24"/>
        </w:rPr>
        <w:t xml:space="preserve">                                 </w:t>
      </w:r>
      <w:r>
        <w:rPr>
          <w:rFonts w:hint="eastAsia"/>
          <w:sz w:val="24"/>
          <w:szCs w:val="24"/>
        </w:rPr>
        <w:t>经济性质：</w:t>
      </w:r>
    </w:p>
    <w:p>
      <w:pPr>
        <w:pStyle w:val="17"/>
        <w:spacing w:line="480" w:lineRule="exact"/>
        <w:ind w:firstLine="420"/>
        <w:rPr>
          <w:sz w:val="24"/>
          <w:szCs w:val="24"/>
        </w:rPr>
      </w:pPr>
      <w:r>
        <w:rPr>
          <w:sz w:val="24"/>
          <w:szCs w:val="24"/>
        </w:rPr>
        <w:t xml:space="preserve">       </w:t>
      </w:r>
      <w:r>
        <w:rPr>
          <w:rFonts w:hint="eastAsia"/>
          <w:sz w:val="24"/>
          <w:szCs w:val="24"/>
        </w:rPr>
        <w:t>注册资金：</w:t>
      </w:r>
      <w:r>
        <w:rPr>
          <w:sz w:val="24"/>
          <w:szCs w:val="24"/>
        </w:rPr>
        <w:t xml:space="preserve">                             </w:t>
      </w:r>
      <w:r>
        <w:rPr>
          <w:rFonts w:hint="eastAsia"/>
          <w:sz w:val="24"/>
          <w:szCs w:val="24"/>
        </w:rPr>
        <w:t>经营方式：</w:t>
      </w:r>
    </w:p>
    <w:p>
      <w:pPr>
        <w:pStyle w:val="17"/>
        <w:spacing w:line="480" w:lineRule="exact"/>
        <w:ind w:firstLine="420"/>
        <w:rPr>
          <w:sz w:val="24"/>
          <w:szCs w:val="24"/>
        </w:rPr>
      </w:pPr>
      <w:r>
        <w:rPr>
          <w:sz w:val="24"/>
          <w:szCs w:val="24"/>
        </w:rPr>
        <w:t xml:space="preserve">       </w:t>
      </w:r>
      <w:r>
        <w:rPr>
          <w:rFonts w:hint="eastAsia"/>
          <w:sz w:val="24"/>
          <w:szCs w:val="24"/>
        </w:rPr>
        <w:t>经营范围：</w:t>
      </w:r>
    </w:p>
    <w:p>
      <w:pPr>
        <w:pStyle w:val="17"/>
        <w:spacing w:line="480" w:lineRule="exact"/>
        <w:rPr>
          <w:sz w:val="24"/>
          <w:szCs w:val="24"/>
        </w:rPr>
      </w:pPr>
    </w:p>
    <w:p>
      <w:pPr>
        <w:pStyle w:val="17"/>
        <w:spacing w:line="480" w:lineRule="exact"/>
        <w:ind w:firstLine="420"/>
        <w:rPr>
          <w:sz w:val="24"/>
          <w:szCs w:val="24"/>
        </w:rPr>
      </w:pPr>
      <w:r>
        <w:rPr>
          <w:rFonts w:hint="eastAsia"/>
          <w:sz w:val="24"/>
          <w:szCs w:val="24"/>
        </w:rPr>
        <w:t>说明：</w:t>
      </w:r>
    </w:p>
    <w:p>
      <w:pPr>
        <w:pStyle w:val="17"/>
        <w:spacing w:line="480" w:lineRule="exact"/>
        <w:ind w:firstLine="735"/>
        <w:rPr>
          <w:sz w:val="24"/>
          <w:szCs w:val="24"/>
        </w:rPr>
      </w:pPr>
      <w:r>
        <w:rPr>
          <w:sz w:val="24"/>
          <w:szCs w:val="24"/>
        </w:rPr>
        <w:t>1</w:t>
      </w:r>
      <w:r>
        <w:rPr>
          <w:rFonts w:hint="eastAsia"/>
          <w:sz w:val="24"/>
          <w:szCs w:val="24"/>
        </w:rPr>
        <w:t>、法定代表人授权委托书所签发的代理期限必须涵盖代理人所有签字为有效的时间。</w:t>
      </w:r>
    </w:p>
    <w:p>
      <w:pPr>
        <w:pStyle w:val="17"/>
        <w:spacing w:line="480" w:lineRule="exact"/>
        <w:ind w:firstLine="735"/>
        <w:rPr>
          <w:sz w:val="24"/>
          <w:szCs w:val="24"/>
        </w:rPr>
      </w:pPr>
      <w:r>
        <w:rPr>
          <w:sz w:val="24"/>
          <w:szCs w:val="24"/>
        </w:rPr>
        <w:t>2</w:t>
      </w:r>
      <w:r>
        <w:rPr>
          <w:rFonts w:hint="eastAsia"/>
          <w:sz w:val="24"/>
          <w:szCs w:val="24"/>
        </w:rPr>
        <w:t>、委托书内容填写要明确，文字要工整清楚，涂改无效。</w:t>
      </w:r>
    </w:p>
    <w:p>
      <w:pPr>
        <w:pStyle w:val="17"/>
        <w:spacing w:line="480" w:lineRule="exact"/>
        <w:ind w:firstLine="735"/>
        <w:rPr>
          <w:sz w:val="24"/>
          <w:szCs w:val="24"/>
        </w:rPr>
      </w:pPr>
      <w:r>
        <w:rPr>
          <w:sz w:val="24"/>
          <w:szCs w:val="24"/>
        </w:rPr>
        <w:t>3</w:t>
      </w:r>
      <w:r>
        <w:rPr>
          <w:rFonts w:hint="eastAsia"/>
          <w:sz w:val="24"/>
          <w:szCs w:val="24"/>
        </w:rPr>
        <w:t>、委托书不得转借、转让，不得买卖。</w:t>
      </w:r>
    </w:p>
    <w:p>
      <w:pPr>
        <w:pStyle w:val="17"/>
        <w:spacing w:line="480" w:lineRule="exact"/>
        <w:ind w:firstLine="735"/>
        <w:rPr>
          <w:sz w:val="24"/>
          <w:szCs w:val="24"/>
        </w:rPr>
      </w:pPr>
      <w:r>
        <w:rPr>
          <w:rFonts w:hint="eastAsia"/>
          <w:sz w:val="24"/>
          <w:szCs w:val="24"/>
        </w:rPr>
        <w:t>4、如为联合体竞标，联合体各方应授权同一名竞标人代表参加竞标，</w:t>
      </w:r>
      <w:r>
        <w:rPr>
          <w:sz w:val="24"/>
          <w:szCs w:val="24"/>
        </w:rPr>
        <w:t>法定代表人授权委托书</w:t>
      </w:r>
      <w:r>
        <w:rPr>
          <w:rFonts w:hint="eastAsia"/>
          <w:sz w:val="24"/>
          <w:szCs w:val="24"/>
        </w:rPr>
        <w:t>由联合体各方法定代表人签署并加盖单位公章。</w:t>
      </w:r>
    </w:p>
    <w:p>
      <w:pPr>
        <w:pStyle w:val="17"/>
        <w:spacing w:line="560" w:lineRule="exact"/>
        <w:ind w:firstLine="720" w:firstLineChars="300"/>
        <w:rPr>
          <w:b/>
          <w:sz w:val="24"/>
          <w:szCs w:val="24"/>
        </w:rPr>
      </w:pPr>
      <w:r>
        <w:rPr>
          <w:rFonts w:hint="eastAsia"/>
          <w:sz w:val="24"/>
          <w:szCs w:val="24"/>
        </w:rPr>
        <w:t>代理人根据授权范围，以委托单位的名义签订合同，并将此委托书提交给对方作为合同附件。</w:t>
      </w:r>
    </w:p>
    <w:p>
      <w:r>
        <w:br w:type="page"/>
      </w:r>
    </w:p>
    <w:p>
      <w:pPr>
        <w:pStyle w:val="17"/>
        <w:spacing w:before="240"/>
        <w:jc w:val="center"/>
        <w:rPr>
          <w:b/>
          <w:sz w:val="32"/>
          <w:szCs w:val="32"/>
        </w:rPr>
      </w:pPr>
      <w:r>
        <w:rPr>
          <w:rFonts w:hint="eastAsia"/>
          <w:b/>
          <w:sz w:val="32"/>
          <w:szCs w:val="32"/>
        </w:rPr>
        <w:t>四、其它</w:t>
      </w:r>
    </w:p>
    <w:p>
      <w:pPr>
        <w:pStyle w:val="17"/>
        <w:ind w:left="5250"/>
        <w:jc w:val="center"/>
        <w:rPr>
          <w:b/>
          <w:sz w:val="32"/>
        </w:rPr>
      </w:pPr>
    </w:p>
    <w:p>
      <w:pPr>
        <w:spacing w:line="360" w:lineRule="auto"/>
        <w:jc w:val="center"/>
        <w:rPr>
          <w:rFonts w:ascii="隶书" w:eastAsia="隶书"/>
          <w:sz w:val="44"/>
        </w:rPr>
      </w:pPr>
      <w:r>
        <w:rPr>
          <w:rFonts w:hint="eastAsia" w:ascii="宋体"/>
          <w:b/>
          <w:sz w:val="32"/>
          <w:szCs w:val="20"/>
        </w:rPr>
        <w:br w:type="page"/>
      </w: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pStyle w:val="3"/>
        <w:spacing w:line="240" w:lineRule="auto"/>
        <w:jc w:val="center"/>
        <w:rPr>
          <w:rFonts w:ascii="隶书" w:eastAsia="隶书"/>
          <w:sz w:val="32"/>
          <w:szCs w:val="32"/>
        </w:rPr>
      </w:pPr>
      <w:bookmarkStart w:id="78" w:name="_Toc259698697"/>
      <w:bookmarkStart w:id="79" w:name="_Toc290375233"/>
      <w:r>
        <w:rPr>
          <w:rFonts w:hint="eastAsia" w:ascii="隶书" w:eastAsia="隶书"/>
          <w:sz w:val="32"/>
          <w:szCs w:val="32"/>
        </w:rPr>
        <w:t>第五章  评标办法</w:t>
      </w:r>
      <w:bookmarkEnd w:id="78"/>
      <w:bookmarkEnd w:id="79"/>
    </w:p>
    <w:p/>
    <w:p>
      <w:pPr>
        <w:jc w:val="center"/>
        <w:rPr>
          <w:b/>
          <w:kern w:val="1"/>
          <w:sz w:val="32"/>
          <w:szCs w:val="32"/>
        </w:rPr>
      </w:pPr>
      <w:r>
        <w:br w:type="page"/>
      </w:r>
      <w:r>
        <w:rPr>
          <w:b/>
          <w:kern w:val="1"/>
          <w:sz w:val="32"/>
          <w:szCs w:val="32"/>
        </w:rPr>
        <w:t>评标办法</w:t>
      </w:r>
    </w:p>
    <w:p>
      <w:pPr>
        <w:pStyle w:val="17"/>
        <w:spacing w:line="400" w:lineRule="exact"/>
        <w:ind w:firstLine="480"/>
        <w:rPr>
          <w:rFonts w:cs="宋体"/>
          <w:sz w:val="24"/>
          <w:szCs w:val="24"/>
        </w:rPr>
      </w:pPr>
      <w:r>
        <w:rPr>
          <w:rFonts w:cs="宋体"/>
          <w:sz w:val="24"/>
          <w:szCs w:val="24"/>
        </w:rPr>
        <w:t>一、本项目采用的评标方法为：最低评标价法。</w:t>
      </w:r>
    </w:p>
    <w:p>
      <w:pPr>
        <w:pStyle w:val="17"/>
        <w:spacing w:line="400" w:lineRule="exact"/>
        <w:ind w:firstLine="480"/>
        <w:rPr>
          <w:rFonts w:cs="宋体"/>
          <w:sz w:val="24"/>
          <w:szCs w:val="24"/>
        </w:rPr>
      </w:pPr>
      <w:r>
        <w:rPr>
          <w:rFonts w:cs="宋体"/>
          <w:sz w:val="24"/>
          <w:szCs w:val="24"/>
        </w:rPr>
        <w:t>二、评标原则：</w:t>
      </w:r>
    </w:p>
    <w:p>
      <w:pPr>
        <w:pStyle w:val="17"/>
        <w:spacing w:line="400" w:lineRule="exact"/>
        <w:ind w:firstLine="480"/>
        <w:rPr>
          <w:rFonts w:cs="宋体"/>
          <w:sz w:val="24"/>
          <w:szCs w:val="24"/>
        </w:rPr>
      </w:pPr>
      <w:r>
        <w:rPr>
          <w:rFonts w:cs="宋体"/>
          <w:sz w:val="24"/>
          <w:szCs w:val="24"/>
        </w:rPr>
        <w:t>评标方法：通过资格性审查后，在质量和服务均能满足采购文件实质性响应要求的前提下，按最终评标报价由低到高排列成交候选人顺序，并依照次序确定成交人。</w:t>
      </w:r>
    </w:p>
    <w:p>
      <w:pPr>
        <w:pStyle w:val="17"/>
        <w:numPr>
          <w:ilvl w:val="0"/>
          <w:numId w:val="9"/>
        </w:numPr>
        <w:spacing w:line="400" w:lineRule="exact"/>
        <w:rPr>
          <w:rFonts w:cs="宋体"/>
          <w:sz w:val="24"/>
          <w:szCs w:val="24"/>
        </w:rPr>
      </w:pPr>
      <w:r>
        <w:rPr>
          <w:rFonts w:cs="宋体"/>
          <w:sz w:val="24"/>
          <w:szCs w:val="24"/>
        </w:rPr>
        <w:t>资格性审查</w:t>
      </w:r>
      <w:r>
        <w:rPr>
          <w:rFonts w:hint="eastAsia" w:cs="宋体"/>
          <w:sz w:val="24"/>
          <w:szCs w:val="24"/>
        </w:rPr>
        <w:t>：</w:t>
      </w:r>
    </w:p>
    <w:p>
      <w:pPr>
        <w:pStyle w:val="17"/>
        <w:spacing w:line="300" w:lineRule="auto"/>
        <w:ind w:left="480"/>
        <w:rPr>
          <w:sz w:val="24"/>
          <w:szCs w:val="24"/>
        </w:rPr>
      </w:pPr>
      <w:r>
        <w:rPr>
          <w:rFonts w:hint="eastAsia"/>
          <w:sz w:val="24"/>
          <w:szCs w:val="24"/>
        </w:rPr>
        <w:t>1.有效的营业执照副本、有效的组织机构代码证副本、有效的税务登记证副本复印件或有统一社会信用代码的营业执照（三证合一）复印件</w:t>
      </w:r>
      <w:r>
        <w:rPr>
          <w:rFonts w:hint="eastAsia" w:hAnsi="宋体"/>
          <w:sz w:val="24"/>
          <w:szCs w:val="24"/>
        </w:rPr>
        <w:t>；</w:t>
      </w:r>
    </w:p>
    <w:p>
      <w:pPr>
        <w:pStyle w:val="17"/>
        <w:spacing w:line="300" w:lineRule="auto"/>
        <w:ind w:left="480"/>
        <w:rPr>
          <w:sz w:val="24"/>
          <w:szCs w:val="24"/>
        </w:rPr>
      </w:pPr>
      <w:r>
        <w:rPr>
          <w:rFonts w:hint="eastAsia" w:hAnsi="宋体" w:cs="Arial"/>
          <w:sz w:val="24"/>
        </w:rPr>
        <w:t>2.《中华人民共和国特种设备安装改造维修许可证》（电梯类）B级（含B级）或以上资质证书复印件；</w:t>
      </w:r>
    </w:p>
    <w:p>
      <w:pPr>
        <w:pStyle w:val="17"/>
        <w:spacing w:line="300" w:lineRule="auto"/>
        <w:ind w:left="480"/>
        <w:rPr>
          <w:sz w:val="24"/>
          <w:szCs w:val="24"/>
        </w:rPr>
      </w:pPr>
      <w:r>
        <w:rPr>
          <w:rFonts w:hint="eastAsia" w:hAnsi="宋体"/>
          <w:sz w:val="24"/>
          <w:szCs w:val="24"/>
        </w:rPr>
        <w:t>3.法定代表人身份证复印件；</w:t>
      </w:r>
    </w:p>
    <w:p>
      <w:pPr>
        <w:pStyle w:val="17"/>
        <w:spacing w:line="300" w:lineRule="auto"/>
        <w:ind w:left="480"/>
        <w:rPr>
          <w:sz w:val="24"/>
          <w:szCs w:val="24"/>
        </w:rPr>
      </w:pPr>
      <w:r>
        <w:rPr>
          <w:rFonts w:hint="eastAsia"/>
          <w:sz w:val="24"/>
          <w:szCs w:val="24"/>
        </w:rPr>
        <w:t>4.法定代表人身份证明书原件；</w:t>
      </w:r>
    </w:p>
    <w:p>
      <w:pPr>
        <w:pStyle w:val="17"/>
        <w:spacing w:line="300" w:lineRule="auto"/>
        <w:ind w:left="480"/>
        <w:rPr>
          <w:sz w:val="24"/>
          <w:szCs w:val="24"/>
        </w:rPr>
      </w:pPr>
      <w:r>
        <w:rPr>
          <w:rFonts w:hint="eastAsia"/>
          <w:sz w:val="24"/>
          <w:szCs w:val="24"/>
        </w:rPr>
        <w:t>5.</w:t>
      </w:r>
      <w:r>
        <w:rPr>
          <w:rFonts w:hint="eastAsia" w:cs="宋体"/>
          <w:sz w:val="24"/>
          <w:szCs w:val="24"/>
        </w:rPr>
        <w:t xml:space="preserve"> 足额交纳竞标保证金的凭证；</w:t>
      </w:r>
    </w:p>
    <w:p>
      <w:pPr>
        <w:pStyle w:val="17"/>
        <w:spacing w:line="300" w:lineRule="auto"/>
        <w:ind w:left="480"/>
        <w:rPr>
          <w:sz w:val="24"/>
          <w:szCs w:val="24"/>
        </w:rPr>
      </w:pPr>
      <w:r>
        <w:rPr>
          <w:rFonts w:hint="eastAsia"/>
          <w:sz w:val="24"/>
          <w:szCs w:val="24"/>
        </w:rPr>
        <w:t>6.竞标单位于本项目竞标公告发布后在中国裁判文书网（https://wenshu.court.gov.cn/)查询本单位无行贿犯罪记录的截图（必须提供，同时加盖竞标单位公章）；</w:t>
      </w:r>
    </w:p>
    <w:p>
      <w:pPr>
        <w:pStyle w:val="17"/>
        <w:spacing w:line="300" w:lineRule="auto"/>
        <w:ind w:left="480"/>
        <w:rPr>
          <w:sz w:val="24"/>
          <w:szCs w:val="24"/>
        </w:rPr>
      </w:pPr>
      <w:r>
        <w:rPr>
          <w:rFonts w:hint="eastAsia" w:hAnsi="宋体"/>
          <w:sz w:val="24"/>
          <w:szCs w:val="24"/>
        </w:rPr>
        <w:t>7.竞标单位参加政府采购活动前3年内在经营活动中没有重大违法记录的书面声明原件；</w:t>
      </w:r>
    </w:p>
    <w:p>
      <w:pPr>
        <w:pStyle w:val="17"/>
        <w:spacing w:line="300" w:lineRule="auto"/>
        <w:ind w:left="480"/>
        <w:rPr>
          <w:sz w:val="24"/>
          <w:szCs w:val="24"/>
        </w:rPr>
      </w:pPr>
      <w:r>
        <w:rPr>
          <w:rFonts w:hint="eastAsia"/>
          <w:sz w:val="24"/>
          <w:szCs w:val="24"/>
        </w:rPr>
        <w:t>8.近半年内连续三个月的纳税证明复印件；</w:t>
      </w:r>
    </w:p>
    <w:p>
      <w:pPr>
        <w:pStyle w:val="17"/>
        <w:spacing w:line="300" w:lineRule="auto"/>
        <w:ind w:firstLine="480" w:firstLineChars="200"/>
        <w:rPr>
          <w:sz w:val="24"/>
          <w:szCs w:val="24"/>
        </w:rPr>
      </w:pPr>
      <w:r>
        <w:rPr>
          <w:rFonts w:hint="eastAsia"/>
          <w:bCs/>
          <w:sz w:val="24"/>
          <w:szCs w:val="24"/>
        </w:rPr>
        <w:t>9.提供本单位</w:t>
      </w:r>
      <w:r>
        <w:rPr>
          <w:rFonts w:hint="eastAsia"/>
          <w:bCs/>
          <w:color w:val="FF0000"/>
          <w:sz w:val="24"/>
          <w:szCs w:val="24"/>
        </w:rPr>
        <w:t>2019年度</w:t>
      </w:r>
      <w:r>
        <w:rPr>
          <w:rFonts w:hint="eastAsia"/>
          <w:bCs/>
          <w:sz w:val="24"/>
          <w:szCs w:val="24"/>
        </w:rPr>
        <w:t>审计报告或财务报表</w:t>
      </w:r>
      <w:r>
        <w:rPr>
          <w:rFonts w:hint="eastAsia"/>
          <w:sz w:val="24"/>
          <w:szCs w:val="24"/>
        </w:rPr>
        <w:t>复印件</w:t>
      </w:r>
      <w:r>
        <w:rPr>
          <w:rFonts w:hint="eastAsia"/>
          <w:bCs/>
          <w:sz w:val="24"/>
          <w:szCs w:val="24"/>
        </w:rPr>
        <w:t>，新成立的单位请按实际提供</w:t>
      </w:r>
      <w:r>
        <w:rPr>
          <w:rFonts w:hint="eastAsia"/>
          <w:sz w:val="24"/>
          <w:szCs w:val="24"/>
        </w:rPr>
        <w:t>；</w:t>
      </w:r>
    </w:p>
    <w:p>
      <w:pPr>
        <w:pStyle w:val="17"/>
        <w:spacing w:line="300" w:lineRule="auto"/>
        <w:ind w:firstLine="480" w:firstLineChars="200"/>
        <w:rPr>
          <w:rFonts w:hAnsi="宋体"/>
          <w:sz w:val="24"/>
          <w:szCs w:val="24"/>
        </w:rPr>
      </w:pPr>
      <w:r>
        <w:rPr>
          <w:rFonts w:hint="eastAsia" w:hAnsi="宋体"/>
          <w:sz w:val="24"/>
          <w:szCs w:val="24"/>
        </w:rPr>
        <w:t>10.竞标单位在“信用中国”网站(www.creditchina.gov.cn)及中国政府采购网(www.ccgp.gov.cn)查询本单位信用记录截图；（必须提供，同时加盖</w:t>
      </w:r>
      <w:r>
        <w:rPr>
          <w:rFonts w:hint="eastAsia"/>
          <w:sz w:val="24"/>
          <w:szCs w:val="24"/>
        </w:rPr>
        <w:t>竞标</w:t>
      </w:r>
      <w:r>
        <w:rPr>
          <w:rFonts w:hint="eastAsia" w:hAnsi="宋体"/>
          <w:sz w:val="24"/>
          <w:szCs w:val="24"/>
        </w:rPr>
        <w:t>单位公章）；</w:t>
      </w:r>
    </w:p>
    <w:p>
      <w:pPr>
        <w:pStyle w:val="17"/>
        <w:spacing w:line="300" w:lineRule="auto"/>
        <w:ind w:left="480"/>
        <w:rPr>
          <w:rFonts w:hAnsi="宋体"/>
          <w:sz w:val="24"/>
          <w:szCs w:val="24"/>
        </w:rPr>
      </w:pPr>
      <w:r>
        <w:rPr>
          <w:rFonts w:hint="eastAsia" w:hAnsi="宋体"/>
          <w:sz w:val="24"/>
          <w:szCs w:val="24"/>
        </w:rPr>
        <w:t>（二）</w:t>
      </w:r>
      <w:r>
        <w:rPr>
          <w:rFonts w:hint="eastAsia" w:cs="宋体"/>
          <w:sz w:val="24"/>
          <w:szCs w:val="24"/>
        </w:rPr>
        <w:t>符合性评审</w:t>
      </w:r>
    </w:p>
    <w:p>
      <w:pPr>
        <w:pStyle w:val="17"/>
        <w:spacing w:line="400" w:lineRule="exact"/>
        <w:ind w:firstLine="480"/>
        <w:rPr>
          <w:rFonts w:cs="宋体"/>
          <w:sz w:val="24"/>
          <w:szCs w:val="24"/>
        </w:rPr>
      </w:pPr>
      <w:r>
        <w:rPr>
          <w:rFonts w:hint="eastAsia" w:cs="宋体"/>
          <w:sz w:val="24"/>
          <w:szCs w:val="24"/>
        </w:rPr>
        <w:t>1、竞标文件所附材料是否足以证明竞标人具备本项目要求的资格；</w:t>
      </w:r>
    </w:p>
    <w:p>
      <w:pPr>
        <w:pStyle w:val="17"/>
        <w:spacing w:line="400" w:lineRule="exact"/>
        <w:ind w:firstLine="480"/>
        <w:rPr>
          <w:rFonts w:cs="宋体"/>
          <w:sz w:val="24"/>
          <w:szCs w:val="24"/>
        </w:rPr>
      </w:pPr>
      <w:r>
        <w:rPr>
          <w:rFonts w:hint="eastAsia" w:cs="宋体"/>
          <w:sz w:val="24"/>
          <w:szCs w:val="24"/>
        </w:rPr>
        <w:t>2、竞标人是否就所投标段的所有货物内容作完整唯一报价；</w:t>
      </w:r>
    </w:p>
    <w:p>
      <w:pPr>
        <w:pStyle w:val="17"/>
        <w:spacing w:line="400" w:lineRule="exact"/>
        <w:ind w:firstLine="480"/>
        <w:rPr>
          <w:rFonts w:cs="宋体"/>
          <w:sz w:val="24"/>
          <w:szCs w:val="24"/>
        </w:rPr>
      </w:pPr>
      <w:r>
        <w:rPr>
          <w:rFonts w:hint="eastAsia" w:cs="宋体"/>
          <w:sz w:val="24"/>
          <w:szCs w:val="24"/>
        </w:rPr>
        <w:t>3、竞标人是否按竞争性谈判采购文件的要求密封、签署、盖章和足够的竞标文件数量；</w:t>
      </w:r>
    </w:p>
    <w:p>
      <w:pPr>
        <w:pStyle w:val="17"/>
        <w:spacing w:line="400" w:lineRule="exact"/>
        <w:ind w:firstLine="480"/>
        <w:rPr>
          <w:rFonts w:cs="宋体"/>
          <w:sz w:val="24"/>
          <w:szCs w:val="24"/>
        </w:rPr>
      </w:pPr>
      <w:r>
        <w:rPr>
          <w:rFonts w:hint="eastAsia" w:cs="宋体"/>
          <w:sz w:val="24"/>
          <w:szCs w:val="24"/>
        </w:rPr>
        <w:t>4、竞标人报价是否未超出相应标段招标控制价或采购预算价；</w:t>
      </w:r>
    </w:p>
    <w:p>
      <w:pPr>
        <w:pStyle w:val="17"/>
        <w:spacing w:line="400" w:lineRule="exact"/>
        <w:ind w:firstLine="480"/>
        <w:rPr>
          <w:rFonts w:cs="宋体"/>
          <w:sz w:val="24"/>
          <w:szCs w:val="24"/>
        </w:rPr>
      </w:pPr>
      <w:r>
        <w:rPr>
          <w:rFonts w:hint="eastAsia" w:cs="宋体"/>
          <w:sz w:val="24"/>
          <w:szCs w:val="24"/>
        </w:rPr>
        <w:t>5、技术实施方案是否合同、可行；</w:t>
      </w:r>
    </w:p>
    <w:p>
      <w:pPr>
        <w:pStyle w:val="17"/>
        <w:spacing w:line="400" w:lineRule="exact"/>
        <w:ind w:firstLine="480"/>
        <w:rPr>
          <w:rFonts w:cs="宋体"/>
          <w:sz w:val="24"/>
          <w:szCs w:val="24"/>
        </w:rPr>
      </w:pPr>
      <w:r>
        <w:rPr>
          <w:rFonts w:hint="eastAsia" w:cs="宋体"/>
          <w:sz w:val="24"/>
          <w:szCs w:val="24"/>
        </w:rPr>
        <w:t>6、若两个（及以上）投标人所投产品为同一品牌的，以提供该品牌生产厂家授权书的投标为有效投标；若两个（及以上）竞标人均提供了同一品牌生产厂家授权书，则均作废标处理；</w:t>
      </w:r>
    </w:p>
    <w:p>
      <w:pPr>
        <w:pStyle w:val="17"/>
        <w:spacing w:line="400" w:lineRule="exact"/>
        <w:ind w:firstLine="480"/>
        <w:rPr>
          <w:rFonts w:cs="宋体"/>
          <w:sz w:val="24"/>
          <w:szCs w:val="24"/>
        </w:rPr>
      </w:pPr>
      <w:r>
        <w:rPr>
          <w:rFonts w:hint="eastAsia" w:cs="宋体"/>
          <w:sz w:val="24"/>
          <w:szCs w:val="24"/>
        </w:rPr>
        <w:t>7、是否有不符合法律、法规和竞争性谈判采购文件规定的其他实质性要求和条件的。</w:t>
      </w:r>
      <w:r>
        <w:rPr>
          <w:rFonts w:hint="eastAsia" w:cs="宋体"/>
          <w:sz w:val="24"/>
          <w:szCs w:val="24"/>
        </w:rPr>
        <w:tab/>
      </w:r>
      <w:r>
        <w:rPr>
          <w:rFonts w:hint="eastAsia" w:cs="宋体"/>
          <w:sz w:val="24"/>
          <w:szCs w:val="24"/>
        </w:rPr>
        <w:t>（二）详细评审</w:t>
      </w:r>
    </w:p>
    <w:p>
      <w:pPr>
        <w:pStyle w:val="17"/>
        <w:spacing w:line="400" w:lineRule="exact"/>
        <w:ind w:firstLine="480"/>
        <w:rPr>
          <w:rFonts w:cs="宋体"/>
          <w:sz w:val="24"/>
          <w:szCs w:val="24"/>
        </w:rPr>
      </w:pPr>
      <w:r>
        <w:rPr>
          <w:rFonts w:cs="宋体"/>
          <w:sz w:val="24"/>
          <w:szCs w:val="24"/>
        </w:rPr>
        <w:t>按照《政府采购促进中小企业发展暂行办法》（财库[2011]181号），中小企业划分为中型、小型、微型三种类型，具体标准根据企业从业人员、营业收入、资产总额等指标，结合行业特点制定。</w:t>
      </w:r>
      <w:r>
        <w:rPr>
          <w:rFonts w:hint="eastAsia" w:cs="宋体"/>
          <w:sz w:val="24"/>
          <w:szCs w:val="24"/>
        </w:rPr>
        <w:t>竞标产品及</w:t>
      </w:r>
      <w:r>
        <w:rPr>
          <w:rFonts w:cs="宋体"/>
          <w:sz w:val="24"/>
          <w:szCs w:val="24"/>
        </w:rPr>
        <w:t>竞标单位认定为小型和微型企业的【以工信部门2016年提供的证明文件为准】，对某竞标人最终竞标报价给予6%的扣除，扣除后的价格为某竞标人评标报价，即某竞标人评标报价=某竞标人最终竞标报价×（1-6%）。除上述情况外，某竞标人评标报价=某竞标人最终竞标报价。竞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r>
        <w:rPr>
          <w:rFonts w:hint="eastAsia" w:ascii="Arial"/>
          <w:sz w:val="24"/>
          <w:szCs w:val="22"/>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00" w:lineRule="exact"/>
        <w:ind w:firstLine="480"/>
        <w:rPr>
          <w:rFonts w:cs="宋体"/>
          <w:sz w:val="24"/>
          <w:szCs w:val="24"/>
        </w:rPr>
      </w:pPr>
      <w:r>
        <w:rPr>
          <w:rFonts w:cs="宋体"/>
          <w:sz w:val="24"/>
          <w:szCs w:val="24"/>
        </w:rPr>
        <w:t>三、成交人推荐原则</w:t>
      </w:r>
    </w:p>
    <w:p>
      <w:pPr>
        <w:pStyle w:val="17"/>
        <w:spacing w:line="400" w:lineRule="exact"/>
        <w:ind w:firstLine="480"/>
        <w:rPr>
          <w:rFonts w:cs="宋体"/>
          <w:sz w:val="24"/>
          <w:szCs w:val="24"/>
        </w:rPr>
      </w:pPr>
      <w:r>
        <w:rPr>
          <w:rFonts w:cs="宋体"/>
          <w:sz w:val="24"/>
          <w:szCs w:val="24"/>
        </w:rPr>
        <w:t>(一) 在质量和服务均能满足采购文件实质性响应要求的前提下，按最终评标报价由低到高排列并推荐前三名为成交候选人，并依照次序确定成交人。采购单位应当确定谈判小组推荐排名第一的成交候选人为成交人。排名第一的成交候选人放弃成交、因不可抗力提出不能履行合同，或者竞争性谈判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w:t>
      </w:r>
    </w:p>
    <w:p>
      <w:pPr>
        <w:spacing w:line="360" w:lineRule="auto"/>
        <w:ind w:firstLine="485"/>
        <w:rPr>
          <w:rFonts w:ascii="宋体" w:hAnsi="宋体" w:cs="宋体"/>
          <w:kern w:val="1"/>
          <w:sz w:val="24"/>
        </w:rPr>
      </w:pPr>
      <w:r>
        <w:rPr>
          <w:rFonts w:hint="eastAsia" w:ascii="宋体" w:hAnsi="宋体" w:cs="宋体"/>
          <w:kern w:val="1"/>
          <w:sz w:val="24"/>
        </w:rPr>
        <w:t>（二) 谈判小组认为，某竞标人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jc w:val="center"/>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rPr>
          <w:rFonts w:ascii="宋体"/>
          <w:sz w:val="24"/>
        </w:rPr>
      </w:pPr>
    </w:p>
    <w:p>
      <w:pPr>
        <w:pStyle w:val="2"/>
      </w:pPr>
    </w:p>
    <w:p>
      <w:pPr>
        <w:spacing w:line="420" w:lineRule="exact"/>
        <w:ind w:firstLine="484" w:firstLineChars="202"/>
        <w:rPr>
          <w:rFonts w:ascii="宋体"/>
          <w:sz w:val="24"/>
        </w:rPr>
      </w:pPr>
    </w:p>
    <w:p>
      <w:pPr>
        <w:spacing w:line="420" w:lineRule="exact"/>
        <w:ind w:firstLine="484" w:firstLineChars="202"/>
        <w:rPr>
          <w:rFonts w:ascii="宋体"/>
          <w:sz w:val="24"/>
        </w:rPr>
      </w:pPr>
    </w:p>
    <w:p>
      <w:pPr>
        <w:widowControl/>
        <w:jc w:val="center"/>
        <w:rPr>
          <w:rFonts w:ascii="隶书" w:eastAsia="隶书" w:cs="宋体"/>
          <w:b/>
          <w:bCs/>
          <w:kern w:val="0"/>
          <w:sz w:val="32"/>
          <w:szCs w:val="32"/>
        </w:rPr>
      </w:pPr>
      <w:r>
        <w:rPr>
          <w:rFonts w:hint="eastAsia" w:ascii="隶书" w:eastAsia="隶书" w:cs="宋体"/>
          <w:b/>
          <w:bCs/>
          <w:kern w:val="0"/>
          <w:sz w:val="32"/>
          <w:szCs w:val="32"/>
        </w:rPr>
        <w:t>附件1   中小企业声明函</w:t>
      </w:r>
    </w:p>
    <w:p>
      <w:pPr>
        <w:widowControl/>
        <w:spacing w:line="600" w:lineRule="exact"/>
        <w:jc w:val="left"/>
        <w:rPr>
          <w:rFonts w:ascii="宋体" w:cs="宋体"/>
          <w:kern w:val="0"/>
          <w:sz w:val="24"/>
        </w:rPr>
      </w:pPr>
      <w:r>
        <w:rPr>
          <w:rFonts w:hint="eastAsia" w:ascii="宋体" w:cs="宋体"/>
          <w:kern w:val="0"/>
          <w:sz w:val="24"/>
        </w:rPr>
        <w:t xml:space="preserve">　　本公司郑重声明，根据《政府采购促进中小企业发展暂行办法》（财库〔2011〕181号）的规定，本公司为______（请填写：中型、小型、微型）企业。即，本公司同时满足以下条件： </w:t>
      </w:r>
    </w:p>
    <w:p>
      <w:pPr>
        <w:widowControl/>
        <w:spacing w:line="600" w:lineRule="exact"/>
        <w:jc w:val="left"/>
        <w:rPr>
          <w:rFonts w:ascii="宋体" w:cs="宋体"/>
          <w:kern w:val="0"/>
          <w:sz w:val="24"/>
        </w:rPr>
      </w:pPr>
      <w:r>
        <w:rPr>
          <w:rFonts w:hint="eastAsia" w:asci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 </w:t>
      </w:r>
    </w:p>
    <w:p>
      <w:pPr>
        <w:widowControl/>
        <w:spacing w:line="600" w:lineRule="exact"/>
        <w:jc w:val="left"/>
        <w:rPr>
          <w:rFonts w:ascii="宋体" w:cs="宋体"/>
          <w:kern w:val="0"/>
          <w:sz w:val="24"/>
        </w:rPr>
      </w:pPr>
      <w:r>
        <w:rPr>
          <w:rFonts w:hint="eastAsia" w:asci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pPr>
        <w:widowControl/>
        <w:spacing w:line="600" w:lineRule="exact"/>
        <w:ind w:firstLine="570"/>
        <w:jc w:val="left"/>
        <w:rPr>
          <w:rFonts w:ascii="宋体" w:cs="宋体"/>
          <w:kern w:val="0"/>
          <w:sz w:val="24"/>
        </w:rPr>
      </w:pPr>
      <w:r>
        <w:rPr>
          <w:rFonts w:hint="eastAsia" w:ascii="宋体" w:cs="宋体"/>
          <w:kern w:val="0"/>
          <w:sz w:val="24"/>
        </w:rPr>
        <w:t>本公司对上述声明的真实性负责。如有虚假，将依法承担相应责任。</w:t>
      </w:r>
    </w:p>
    <w:p>
      <w:pPr>
        <w:widowControl/>
        <w:spacing w:line="600" w:lineRule="exact"/>
        <w:ind w:firstLine="570"/>
        <w:jc w:val="left"/>
        <w:rPr>
          <w:rFonts w:ascii="宋体" w:cs="宋体"/>
          <w:kern w:val="0"/>
          <w:sz w:val="24"/>
        </w:rPr>
      </w:pPr>
    </w:p>
    <w:p>
      <w:pPr>
        <w:widowControl/>
        <w:spacing w:line="600" w:lineRule="exact"/>
        <w:ind w:firstLine="570"/>
        <w:jc w:val="left"/>
        <w:rPr>
          <w:rFonts w:ascii="宋体" w:cs="宋体"/>
          <w:kern w:val="0"/>
          <w:sz w:val="24"/>
        </w:rPr>
      </w:pPr>
    </w:p>
    <w:p>
      <w:pPr>
        <w:widowControl/>
        <w:spacing w:line="600" w:lineRule="exact"/>
        <w:jc w:val="left"/>
        <w:rPr>
          <w:rFonts w:ascii="宋体" w:cs="宋体"/>
          <w:kern w:val="0"/>
          <w:sz w:val="24"/>
        </w:rPr>
      </w:pPr>
      <w:r>
        <w:rPr>
          <w:rFonts w:hint="eastAsia" w:ascii="宋体" w:cs="宋体"/>
          <w:kern w:val="0"/>
          <w:sz w:val="24"/>
        </w:rPr>
        <w:t xml:space="preserve">　　企业名称（盖章）： </w:t>
      </w:r>
    </w:p>
    <w:p>
      <w:pPr>
        <w:widowControl/>
        <w:spacing w:line="600" w:lineRule="exact"/>
        <w:ind w:firstLine="570"/>
        <w:jc w:val="left"/>
        <w:rPr>
          <w:rFonts w:ascii="宋体" w:cs="宋体"/>
          <w:kern w:val="0"/>
          <w:sz w:val="24"/>
        </w:rPr>
      </w:pPr>
      <w:r>
        <w:rPr>
          <w:rFonts w:hint="eastAsia" w:ascii="宋体" w:cs="宋体"/>
          <w:kern w:val="0"/>
          <w:sz w:val="24"/>
        </w:rPr>
        <w:t>日 期：</w:t>
      </w: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spacing w:line="588" w:lineRule="exact"/>
        <w:jc w:val="center"/>
        <w:rPr>
          <w:rFonts w:ascii="仿宋_GB2312" w:eastAsia="仿宋_GB2312"/>
          <w:b/>
          <w:spacing w:val="6"/>
          <w:sz w:val="32"/>
          <w:szCs w:val="32"/>
        </w:rPr>
      </w:pPr>
      <w:bookmarkStart w:id="80" w:name="OLE_LINK13"/>
      <w:bookmarkStart w:id="81" w:name="OLE_LINK14"/>
    </w:p>
    <w:p>
      <w:pPr>
        <w:widowControl/>
        <w:jc w:val="center"/>
        <w:rPr>
          <w:rFonts w:ascii="隶书" w:eastAsia="隶书" w:cs="宋体"/>
          <w:b/>
          <w:bCs/>
          <w:kern w:val="0"/>
          <w:sz w:val="32"/>
          <w:szCs w:val="32"/>
        </w:rPr>
      </w:pPr>
      <w:r>
        <w:rPr>
          <w:rFonts w:hint="eastAsia" w:ascii="隶书" w:eastAsia="隶书" w:cs="宋体"/>
          <w:b/>
          <w:bCs/>
          <w:kern w:val="0"/>
          <w:sz w:val="32"/>
          <w:szCs w:val="32"/>
        </w:rPr>
        <w:t>附件2   残疾人福利性单位声明函</w:t>
      </w:r>
    </w:p>
    <w:bookmarkEnd w:id="80"/>
    <w:bookmarkEnd w:id="81"/>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bookmarkStart w:id="82" w:name="_Toc9824_WPSOffice_Level1"/>
      <w:r>
        <w:rPr>
          <w:rFonts w:hint="eastAsia" w:ascii="宋体" w:hAnsi="宋体" w:cs="宋体"/>
          <w:spacing w:val="6"/>
          <w:sz w:val="24"/>
        </w:rPr>
        <w:t>单位名称（盖章）：</w:t>
      </w:r>
      <w:bookmarkEnd w:id="82"/>
    </w:p>
    <w:p>
      <w:pPr>
        <w:tabs>
          <w:tab w:val="left" w:pos="4860"/>
        </w:tabs>
        <w:spacing w:line="588" w:lineRule="exact"/>
        <w:ind w:right="1560" w:firstLine="504" w:firstLineChars="200"/>
        <w:jc w:val="center"/>
        <w:rPr>
          <w:rFonts w:ascii="宋体" w:hAnsi="宋体" w:cs="宋体"/>
          <w:spacing w:val="6"/>
          <w:sz w:val="24"/>
        </w:rPr>
      </w:pPr>
      <w:bookmarkStart w:id="83" w:name="_Toc8807_WPSOffice_Level1"/>
      <w:r>
        <w:rPr>
          <w:rFonts w:hint="eastAsia" w:ascii="宋体" w:hAnsi="宋体" w:cs="宋体"/>
          <w:spacing w:val="6"/>
          <w:sz w:val="24"/>
        </w:rPr>
        <w:t>日  期：</w:t>
      </w:r>
      <w:bookmarkEnd w:id="83"/>
    </w:p>
    <w:p>
      <w:pPr>
        <w:widowControl/>
        <w:spacing w:line="600" w:lineRule="exact"/>
        <w:ind w:firstLine="570"/>
        <w:jc w:val="left"/>
        <w:rPr>
          <w:rFonts w:ascii="宋体" w:cs="宋体"/>
          <w:kern w:val="0"/>
          <w:sz w:val="28"/>
          <w:szCs w:val="28"/>
        </w:rPr>
      </w:pPr>
    </w:p>
    <w:sectPr>
      <w:headerReference r:id="rId3" w:type="first"/>
      <w:footerReference r:id="rId4" w:type="default"/>
      <w:footerReference r:id="rId5" w:type="even"/>
      <w:pgSz w:w="11906" w:h="16838"/>
      <w:pgMar w:top="1134" w:right="1134" w:bottom="992" w:left="1134" w:header="851"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汉仪魏碑简">
    <w:altName w:val="宋体"/>
    <w:panose1 w:val="00000000000000000000"/>
    <w:charset w:val="86"/>
    <w:family w:val="modern"/>
    <w:pitch w:val="default"/>
    <w:sig w:usb0="00000000" w:usb1="00000000" w:usb2="00000012"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27</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upperLetter"/>
      <w:pStyle w:val="4"/>
      <w:lvlText w:val="%1."/>
      <w:lvlJc w:val="left"/>
      <w:pPr>
        <w:tabs>
          <w:tab w:val="left" w:pos="315"/>
        </w:tabs>
        <w:ind w:left="315" w:hanging="315"/>
      </w:pPr>
      <w:rPr>
        <w:rFonts w:hint="eastAsia"/>
      </w:rPr>
    </w:lvl>
  </w:abstractNum>
  <w:abstractNum w:abstractNumId="1">
    <w:nsid w:val="00000002"/>
    <w:multiLevelType w:val="multilevel"/>
    <w:tmpl w:val="00000002"/>
    <w:lvl w:ilvl="0" w:tentative="0">
      <w:start w:val="3"/>
      <w:numFmt w:val="chineseCountingThousand"/>
      <w:suff w:val="nothing"/>
      <w:lvlText w:val="第%1章"/>
      <w:lvlJc w:val="left"/>
      <w:pPr>
        <w:tabs>
          <w:tab w:val="left" w:pos="0"/>
        </w:tabs>
        <w:ind w:left="0" w:firstLine="0"/>
      </w:pPr>
      <w:rPr>
        <w:rFonts w:hint="eastAsia"/>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pStyle w:val="7"/>
      <w:suff w:val="nothing"/>
      <w:lvlText w:val=""/>
      <w:lvlJc w:val="left"/>
      <w:pPr>
        <w:tabs>
          <w:tab w:val="left" w:pos="0"/>
        </w:tabs>
        <w:ind w:left="0" w:firstLine="0"/>
      </w:pPr>
      <w:rPr>
        <w:rFonts w:hint="eastAsia"/>
      </w:rPr>
    </w:lvl>
    <w:lvl w:ilvl="4" w:tentative="0">
      <w:start w:val="1"/>
      <w:numFmt w:val="none"/>
      <w:pStyle w:val="8"/>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multilevel"/>
    <w:tmpl w:val="0000000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6"/>
    <w:multiLevelType w:val="multilevel"/>
    <w:tmpl w:val="00000006"/>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53208E"/>
    <w:multiLevelType w:val="singleLevel"/>
    <w:tmpl w:val="0053208E"/>
    <w:lvl w:ilvl="0" w:tentative="0">
      <w:start w:val="1"/>
      <w:numFmt w:val="decimal"/>
      <w:suff w:val="nothing"/>
      <w:lvlText w:val="（%1）"/>
      <w:lvlJc w:val="left"/>
    </w:lvl>
  </w:abstractNum>
  <w:num w:numId="1">
    <w:abstractNumId w:val="0"/>
  </w:num>
  <w:num w:numId="2">
    <w:abstractNumId w:val="1"/>
  </w:num>
  <w:num w:numId="3">
    <w:abstractNumId w:val="6"/>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DA78F6"/>
    <w:rsid w:val="003F66F8"/>
    <w:rsid w:val="00534416"/>
    <w:rsid w:val="005B4A67"/>
    <w:rsid w:val="00667785"/>
    <w:rsid w:val="00DA78F6"/>
    <w:rsid w:val="00F10A57"/>
    <w:rsid w:val="00FA0473"/>
    <w:rsid w:val="020B71D8"/>
    <w:rsid w:val="07F4742C"/>
    <w:rsid w:val="106B2602"/>
    <w:rsid w:val="12E86FDF"/>
    <w:rsid w:val="17034A75"/>
    <w:rsid w:val="1BED084C"/>
    <w:rsid w:val="208A3823"/>
    <w:rsid w:val="256F7CD9"/>
    <w:rsid w:val="261D7638"/>
    <w:rsid w:val="26845467"/>
    <w:rsid w:val="29111A73"/>
    <w:rsid w:val="3D045EB7"/>
    <w:rsid w:val="42F97C69"/>
    <w:rsid w:val="49E5432F"/>
    <w:rsid w:val="68E76A09"/>
    <w:rsid w:val="6A101D9F"/>
    <w:rsid w:val="6DE36C42"/>
    <w:rsid w:val="6ED70A10"/>
    <w:rsid w:val="71F768DC"/>
    <w:rsid w:val="735B4155"/>
    <w:rsid w:val="738702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spacing w:line="340" w:lineRule="exact"/>
      <w:outlineLvl w:val="0"/>
    </w:pPr>
    <w:rPr>
      <w:b/>
      <w:bCs/>
    </w:rPr>
  </w:style>
  <w:style w:type="paragraph" w:styleId="4">
    <w:name w:val="heading 2"/>
    <w:basedOn w:val="1"/>
    <w:next w:val="5"/>
    <w:unhideWhenUsed/>
    <w:qFormat/>
    <w:uiPriority w:val="9"/>
    <w:pPr>
      <w:keepNext/>
      <w:numPr>
        <w:ilvl w:val="0"/>
        <w:numId w:val="1"/>
      </w:numPr>
      <w:spacing w:line="360" w:lineRule="auto"/>
      <w:outlineLvl w:val="1"/>
    </w:pPr>
    <w:rPr>
      <w:b/>
      <w:sz w:val="24"/>
      <w:szCs w:val="20"/>
    </w:rPr>
  </w:style>
  <w:style w:type="paragraph" w:styleId="6">
    <w:name w:val="heading 3"/>
    <w:basedOn w:val="1"/>
    <w:next w:val="1"/>
    <w:unhideWhenUsed/>
    <w:qFormat/>
    <w:uiPriority w:val="9"/>
    <w:pPr>
      <w:keepNext/>
      <w:keepLines/>
      <w:spacing w:before="260" w:after="260" w:line="415" w:lineRule="auto"/>
      <w:outlineLvl w:val="2"/>
    </w:pPr>
    <w:rPr>
      <w:b/>
      <w:bCs/>
      <w:sz w:val="32"/>
      <w:szCs w:val="32"/>
    </w:rPr>
  </w:style>
  <w:style w:type="paragraph" w:styleId="7">
    <w:name w:val="heading 4"/>
    <w:basedOn w:val="1"/>
    <w:next w:val="5"/>
    <w:unhideWhenUsed/>
    <w:qFormat/>
    <w:uiPriority w:val="9"/>
    <w:pPr>
      <w:keepNext/>
      <w:keepLines/>
      <w:numPr>
        <w:ilvl w:val="3"/>
        <w:numId w:val="2"/>
      </w:numPr>
      <w:spacing w:before="280" w:after="290" w:line="376" w:lineRule="auto"/>
      <w:outlineLvl w:val="3"/>
    </w:pPr>
    <w:rPr>
      <w:rFonts w:ascii="宋体" w:hAnsi="宋体" w:eastAsia="黑体"/>
      <w:b/>
      <w:sz w:val="24"/>
      <w:szCs w:val="20"/>
    </w:rPr>
  </w:style>
  <w:style w:type="paragraph" w:styleId="8">
    <w:name w:val="heading 5"/>
    <w:basedOn w:val="1"/>
    <w:next w:val="5"/>
    <w:semiHidden/>
    <w:unhideWhenUsed/>
    <w:qFormat/>
    <w:uiPriority w:val="9"/>
    <w:pPr>
      <w:keepNext/>
      <w:keepLines/>
      <w:numPr>
        <w:ilvl w:val="4"/>
        <w:numId w:val="2"/>
      </w:numPr>
      <w:spacing w:before="280" w:after="290" w:line="376" w:lineRule="auto"/>
      <w:outlineLvl w:val="4"/>
    </w:pPr>
    <w:rPr>
      <w:b/>
      <w:sz w:val="28"/>
      <w:szCs w:val="20"/>
    </w:rPr>
  </w:style>
  <w:style w:type="paragraph" w:styleId="9">
    <w:name w:val="heading 6"/>
    <w:basedOn w:val="1"/>
    <w:next w:val="5"/>
    <w:semiHidden/>
    <w:unhideWhenUsed/>
    <w:qFormat/>
    <w:uiPriority w:val="9"/>
    <w:pPr>
      <w:keepNext/>
      <w:keepLines/>
      <w:numPr>
        <w:ilvl w:val="5"/>
        <w:numId w:val="2"/>
      </w:numPr>
      <w:spacing w:before="240" w:after="64" w:line="319" w:lineRule="auto"/>
      <w:outlineLvl w:val="5"/>
    </w:pPr>
    <w:rPr>
      <w:rFonts w:ascii="Arial" w:hAnsi="Arial" w:eastAsia="黑体"/>
      <w:b/>
      <w:sz w:val="24"/>
      <w:szCs w:val="20"/>
    </w:rPr>
  </w:style>
  <w:style w:type="paragraph" w:styleId="10">
    <w:name w:val="heading 7"/>
    <w:basedOn w:val="1"/>
    <w:next w:val="5"/>
    <w:qFormat/>
    <w:uiPriority w:val="0"/>
    <w:pPr>
      <w:keepNext/>
      <w:keepLines/>
      <w:numPr>
        <w:ilvl w:val="6"/>
        <w:numId w:val="2"/>
      </w:numPr>
      <w:spacing w:before="240" w:after="64" w:line="319" w:lineRule="auto"/>
      <w:outlineLvl w:val="6"/>
    </w:pPr>
    <w:rPr>
      <w:b/>
      <w:sz w:val="24"/>
      <w:szCs w:val="20"/>
    </w:rPr>
  </w:style>
  <w:style w:type="paragraph" w:styleId="11">
    <w:name w:val="heading 8"/>
    <w:basedOn w:val="1"/>
    <w:next w:val="5"/>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2">
    <w:name w:val="heading 9"/>
    <w:basedOn w:val="1"/>
    <w:next w:val="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spacing w:line="280" w:lineRule="exact"/>
    </w:pPr>
    <w:rPr>
      <w:rFonts w:ascii="宋体"/>
      <w:b/>
      <w:bCs/>
      <w:kern w:val="0"/>
      <w:szCs w:val="20"/>
    </w:rPr>
  </w:style>
  <w:style w:type="paragraph" w:styleId="5">
    <w:name w:val="Normal Indent"/>
    <w:basedOn w:val="1"/>
    <w:link w:val="72"/>
    <w:qFormat/>
    <w:uiPriority w:val="99"/>
    <w:pPr>
      <w:ind w:firstLine="420"/>
    </w:pPr>
    <w:rPr>
      <w:szCs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Body Text Indent"/>
    <w:basedOn w:val="1"/>
    <w:qFormat/>
    <w:uiPriority w:val="0"/>
    <w:pPr>
      <w:spacing w:line="200" w:lineRule="exact"/>
      <w:ind w:firstLine="301"/>
    </w:pPr>
    <w:rPr>
      <w:rFonts w:ascii="宋体"/>
      <w:spacing w:val="-4"/>
      <w:sz w:val="18"/>
      <w:szCs w:val="20"/>
    </w:rPr>
  </w:style>
  <w:style w:type="paragraph" w:styleId="16">
    <w:name w:val="toc 3"/>
    <w:basedOn w:val="1"/>
    <w:next w:val="1"/>
    <w:qFormat/>
    <w:uiPriority w:val="0"/>
    <w:pPr>
      <w:tabs>
        <w:tab w:val="right" w:leader="dot" w:pos="9742"/>
      </w:tabs>
      <w:ind w:left="400" w:leftChars="400"/>
    </w:pPr>
    <w:rPr>
      <w:rFonts w:ascii="宋体"/>
      <w:sz w:val="24"/>
    </w:rPr>
  </w:style>
  <w:style w:type="paragraph" w:styleId="17">
    <w:name w:val="Plain Text"/>
    <w:basedOn w:val="1"/>
    <w:link w:val="64"/>
    <w:qFormat/>
    <w:uiPriority w:val="99"/>
    <w:rPr>
      <w:rFonts w:ascii="宋体"/>
      <w:szCs w:val="20"/>
    </w:rPr>
  </w:style>
  <w:style w:type="paragraph" w:styleId="18">
    <w:name w:val="Date"/>
    <w:basedOn w:val="1"/>
    <w:next w:val="1"/>
    <w:qFormat/>
    <w:uiPriority w:val="0"/>
    <w:pPr>
      <w:ind w:left="2500" w:leftChars="2500"/>
    </w:pPr>
    <w:rPr>
      <w:spacing w:val="30"/>
      <w:sz w:val="28"/>
    </w:rPr>
  </w:style>
  <w:style w:type="paragraph" w:styleId="19">
    <w:name w:val="Body Text Indent 2"/>
    <w:basedOn w:val="1"/>
    <w:link w:val="71"/>
    <w:qFormat/>
    <w:uiPriority w:val="0"/>
    <w:pPr>
      <w:spacing w:line="400" w:lineRule="exact"/>
      <w:ind w:firstLine="480"/>
    </w:p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宋体"/>
      <w:sz w:val="18"/>
      <w:szCs w:val="20"/>
    </w:rPr>
  </w:style>
  <w:style w:type="paragraph" w:styleId="22">
    <w:name w:val="header"/>
    <w:basedOn w:val="1"/>
    <w:link w:val="75"/>
    <w:qFormat/>
    <w:uiPriority w:val="99"/>
    <w:pPr>
      <w:pBdr>
        <w:bottom w:val="single" w:color="auto" w:sz="6" w:space="1"/>
      </w:pBdr>
      <w:tabs>
        <w:tab w:val="center" w:pos="4153"/>
        <w:tab w:val="right" w:pos="8306"/>
      </w:tabs>
      <w:snapToGrid w:val="0"/>
      <w:jc w:val="center"/>
    </w:pPr>
    <w:rPr>
      <w:rFonts w:ascii="宋体"/>
      <w:sz w:val="18"/>
      <w:szCs w:val="20"/>
    </w:rPr>
  </w:style>
  <w:style w:type="paragraph" w:styleId="23">
    <w:name w:val="toc 1"/>
    <w:basedOn w:val="1"/>
    <w:next w:val="1"/>
    <w:qFormat/>
    <w:uiPriority w:val="39"/>
  </w:style>
  <w:style w:type="paragraph" w:styleId="24">
    <w:name w:val="toc 4"/>
    <w:basedOn w:val="1"/>
    <w:next w:val="1"/>
    <w:qFormat/>
    <w:uiPriority w:val="0"/>
    <w:pPr>
      <w:ind w:left="600" w:leftChars="600"/>
    </w:pPr>
  </w:style>
  <w:style w:type="paragraph" w:styleId="25">
    <w:name w:val="Body Text Indent 3"/>
    <w:basedOn w:val="1"/>
    <w:qFormat/>
    <w:uiPriority w:val="0"/>
    <w:pPr>
      <w:ind w:firstLine="200" w:firstLineChars="200"/>
    </w:pPr>
    <w:rPr>
      <w:rFonts w:ascii="宋体"/>
      <w:kern w:val="0"/>
    </w:rPr>
  </w:style>
  <w:style w:type="paragraph" w:styleId="26">
    <w:name w:val="toc 2"/>
    <w:basedOn w:val="1"/>
    <w:next w:val="1"/>
    <w:qFormat/>
    <w:uiPriority w:val="0"/>
    <w:pPr>
      <w:ind w:left="20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28">
    <w:name w:val="Normal (Web)"/>
    <w:basedOn w:val="1"/>
    <w:qFormat/>
    <w:uiPriority w:val="99"/>
    <w:pPr>
      <w:widowControl/>
      <w:spacing w:before="100" w:beforeAutospacing="1" w:after="100" w:afterAutospacing="1"/>
      <w:jc w:val="left"/>
    </w:pPr>
    <w:rPr>
      <w:rFonts w:ascii="宋体"/>
      <w:color w:val="000000"/>
      <w:kern w:val="0"/>
      <w:sz w:val="24"/>
    </w:rPr>
  </w:style>
  <w:style w:type="paragraph" w:styleId="29">
    <w:name w:val="index 1"/>
    <w:basedOn w:val="1"/>
    <w:next w:val="1"/>
    <w:qFormat/>
    <w:uiPriority w:val="0"/>
    <w:rPr>
      <w:rFonts w:ascii="宋体"/>
      <w:kern w:val="0"/>
      <w:szCs w:val="18"/>
    </w:rPr>
  </w:style>
  <w:style w:type="paragraph" w:styleId="30">
    <w:name w:val="Title"/>
    <w:basedOn w:val="1"/>
    <w:qFormat/>
    <w:uiPriority w:val="10"/>
    <w:pPr>
      <w:spacing w:before="240" w:after="60"/>
      <w:jc w:val="center"/>
      <w:outlineLvl w:val="0"/>
    </w:pPr>
    <w:rPr>
      <w:rFonts w:ascii="Arial" w:hAnsi="Arial" w:cs="Arial"/>
      <w:b/>
      <w:bCs/>
      <w:sz w:val="32"/>
      <w:szCs w:val="32"/>
    </w:rPr>
  </w:style>
  <w:style w:type="paragraph" w:styleId="31">
    <w:name w:val="annotation subject"/>
    <w:basedOn w:val="14"/>
    <w:next w:val="14"/>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color w:val="CC0000"/>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_Style 39"/>
    <w:basedOn w:val="1"/>
    <w:qFormat/>
    <w:uiPriority w:val="0"/>
    <w:rPr>
      <w:b/>
      <w:bCs/>
      <w:sz w:val="36"/>
      <w:szCs w:val="32"/>
    </w:rPr>
  </w:style>
  <w:style w:type="paragraph" w:customStyle="1" w:styleId="44">
    <w:name w:val="样式1"/>
    <w:basedOn w:val="1"/>
    <w:qFormat/>
    <w:uiPriority w:val="0"/>
  </w:style>
  <w:style w:type="paragraph" w:customStyle="1" w:styleId="45">
    <w:name w:val="Char Char Char Char Char Char Char"/>
    <w:basedOn w:val="1"/>
    <w:qFormat/>
    <w:uiPriority w:val="0"/>
  </w:style>
  <w:style w:type="paragraph" w:customStyle="1" w:styleId="46">
    <w:name w:val="Char"/>
    <w:basedOn w:val="1"/>
    <w:qFormat/>
    <w:uiPriority w:val="0"/>
    <w:rPr>
      <w:rFonts w:ascii="Tahoma" w:hAnsi="Tahoma"/>
      <w:sz w:val="24"/>
      <w:szCs w:val="20"/>
    </w:rPr>
  </w:style>
  <w:style w:type="paragraph" w:customStyle="1" w:styleId="4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48">
    <w:name w:val="默认段落字体 Para Char Char Char Char Char Char Char Char Char Char"/>
    <w:basedOn w:val="1"/>
    <w:qFormat/>
    <w:uiPriority w:val="0"/>
    <w:rPr>
      <w:rFonts w:ascii="Tahoma" w:hAnsi="Tahoma"/>
      <w:sz w:val="24"/>
      <w:u w:val="single"/>
    </w:rPr>
  </w:style>
  <w:style w:type="paragraph" w:customStyle="1" w:styleId="49">
    <w:name w:val="Char Char18"/>
    <w:basedOn w:val="1"/>
    <w:qFormat/>
    <w:uiPriority w:val="0"/>
    <w:pPr>
      <w:widowControl/>
      <w:spacing w:after="160" w:line="240" w:lineRule="exact"/>
      <w:jc w:val="left"/>
    </w:pPr>
  </w:style>
  <w:style w:type="paragraph" w:customStyle="1" w:styleId="50">
    <w:name w:val="列出段落1"/>
    <w:basedOn w:val="1"/>
    <w:qFormat/>
    <w:uiPriority w:val="0"/>
    <w:pPr>
      <w:ind w:firstLine="200" w:firstLineChars="200"/>
    </w:pPr>
    <w:rPr>
      <w:rFonts w:ascii="Calibri" w:hAnsi="Calibri"/>
      <w:szCs w:val="22"/>
    </w:rPr>
  </w:style>
  <w:style w:type="paragraph" w:customStyle="1" w:styleId="51">
    <w:name w:val="Char Char Char Char Char Char Char1"/>
    <w:basedOn w:val="1"/>
    <w:qFormat/>
    <w:uiPriority w:val="0"/>
    <w:rPr>
      <w:szCs w:val="21"/>
    </w:rPr>
  </w:style>
  <w:style w:type="paragraph" w:customStyle="1" w:styleId="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3">
    <w:name w:val="_Style 3"/>
    <w:basedOn w:val="1"/>
    <w:qFormat/>
    <w:uiPriority w:val="34"/>
    <w:pPr>
      <w:ind w:firstLine="420" w:firstLineChars="200"/>
    </w:pPr>
  </w:style>
  <w:style w:type="paragraph" w:customStyle="1" w:styleId="54">
    <w:name w:val="Char Char Char Char"/>
    <w:basedOn w:val="13"/>
    <w:qFormat/>
    <w:uiPriority w:val="0"/>
    <w:rPr>
      <w:rFonts w:ascii="Tahoma" w:hAnsi="Tahoma"/>
      <w:sz w:val="24"/>
    </w:rPr>
  </w:style>
  <w:style w:type="paragraph" w:customStyle="1" w:styleId="55">
    <w:name w:val="Char1"/>
    <w:basedOn w:val="1"/>
    <w:qFormat/>
    <w:uiPriority w:val="0"/>
    <w:pPr>
      <w:widowControl/>
      <w:spacing w:after="160" w:line="240" w:lineRule="exact"/>
      <w:jc w:val="left"/>
    </w:pPr>
    <w:rPr>
      <w:szCs w:val="20"/>
    </w:rPr>
  </w:style>
  <w:style w:type="paragraph" w:customStyle="1" w:styleId="56">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8">
    <w:name w:val="Char Char Char Char1"/>
    <w:basedOn w:val="13"/>
    <w:qFormat/>
    <w:uiPriority w:val="0"/>
    <w:rPr>
      <w:rFonts w:ascii="Tahoma" w:hAnsi="Tahoma"/>
      <w:sz w:val="24"/>
    </w:rPr>
  </w:style>
  <w:style w:type="paragraph" w:customStyle="1" w:styleId="59">
    <w:name w:val="默认段落字体 Para Char Char Char Char Char Char Char Char Char1 Char Char Char Char Char Char Char"/>
    <w:basedOn w:val="1"/>
    <w:qFormat/>
    <w:uiPriority w:val="0"/>
    <w:rPr>
      <w:b/>
      <w:bCs/>
      <w:sz w:val="36"/>
      <w:szCs w:val="32"/>
    </w:rPr>
  </w:style>
  <w:style w:type="paragraph" w:customStyle="1" w:styleId="60">
    <w:name w:val="样式 小四 段前: 5 磅 段后: 5 磅 首行缩进:  2 字符"/>
    <w:basedOn w:val="1"/>
    <w:qFormat/>
    <w:uiPriority w:val="0"/>
    <w:pPr>
      <w:spacing w:before="100" w:afterLines="50"/>
      <w:ind w:firstLine="200" w:firstLineChars="200"/>
    </w:pPr>
    <w:rPr>
      <w:b/>
      <w:color w:val="000000"/>
      <w:kern w:val="0"/>
      <w:sz w:val="32"/>
      <w:szCs w:val="32"/>
    </w:rPr>
  </w:style>
  <w:style w:type="paragraph" w:customStyle="1" w:styleId="61">
    <w:name w:val="Char Char181"/>
    <w:basedOn w:val="1"/>
    <w:qFormat/>
    <w:uiPriority w:val="0"/>
    <w:pPr>
      <w:widowControl/>
      <w:spacing w:after="160" w:line="240" w:lineRule="exact"/>
      <w:jc w:val="left"/>
    </w:pPr>
  </w:style>
  <w:style w:type="paragraph" w:customStyle="1" w:styleId="6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3">
    <w:name w:val="chanpinfont"/>
    <w:basedOn w:val="34"/>
    <w:qFormat/>
    <w:uiPriority w:val="0"/>
  </w:style>
  <w:style w:type="character" w:customStyle="1" w:styleId="64">
    <w:name w:val="Plain Text Char"/>
    <w:link w:val="17"/>
    <w:qFormat/>
    <w:uiPriority w:val="99"/>
    <w:rPr>
      <w:rFonts w:ascii="宋体"/>
      <w:kern w:val="2"/>
      <w:sz w:val="21"/>
    </w:rPr>
  </w:style>
  <w:style w:type="character" w:customStyle="1" w:styleId="65">
    <w:name w:val="zhaiyao1"/>
    <w:qFormat/>
    <w:uiPriority w:val="0"/>
    <w:rPr>
      <w:color w:val="000000"/>
      <w:sz w:val="18"/>
      <w:szCs w:val="18"/>
    </w:rPr>
  </w:style>
  <w:style w:type="character" w:customStyle="1" w:styleId="66">
    <w:name w:val="style51"/>
    <w:qFormat/>
    <w:uiPriority w:val="0"/>
    <w:rPr>
      <w:sz w:val="18"/>
      <w:szCs w:val="18"/>
    </w:rPr>
  </w:style>
  <w:style w:type="character" w:customStyle="1" w:styleId="67">
    <w:name w:val="pt91"/>
    <w:qFormat/>
    <w:uiPriority w:val="0"/>
    <w:rPr>
      <w:rFonts w:ascii="Arial" w:hAnsi="Arial" w:cs="Arial"/>
      <w:color w:val="333333"/>
      <w:sz w:val="18"/>
      <w:szCs w:val="18"/>
      <w:u w:val="none"/>
      <w:lang w:bidi="ar-SA"/>
    </w:rPr>
  </w:style>
  <w:style w:type="character" w:customStyle="1" w:styleId="68">
    <w:name w:val="普通文字 Char Char2"/>
    <w:qFormat/>
    <w:uiPriority w:val="0"/>
    <w:rPr>
      <w:rFonts w:ascii="宋体"/>
      <w:kern w:val="2"/>
      <w:sz w:val="21"/>
    </w:rPr>
  </w:style>
  <w:style w:type="character" w:customStyle="1" w:styleId="69">
    <w:name w:val="text11"/>
    <w:qFormat/>
    <w:uiPriority w:val="0"/>
    <w:rPr>
      <w:rFonts w:ascii="Verdana" w:hAnsi="Verdana"/>
      <w:color w:val="4E4E4E"/>
      <w:sz w:val="18"/>
      <w:szCs w:val="18"/>
    </w:rPr>
  </w:style>
  <w:style w:type="character" w:customStyle="1" w:styleId="70">
    <w:name w:val="line"/>
    <w:basedOn w:val="34"/>
    <w:qFormat/>
    <w:uiPriority w:val="0"/>
  </w:style>
  <w:style w:type="character" w:customStyle="1" w:styleId="71">
    <w:name w:val="Body Text Indent 2 Char"/>
    <w:link w:val="19"/>
    <w:qFormat/>
    <w:uiPriority w:val="0"/>
    <w:rPr>
      <w:rFonts w:eastAsia="宋体"/>
      <w:kern w:val="2"/>
      <w:sz w:val="21"/>
      <w:szCs w:val="24"/>
    </w:rPr>
  </w:style>
  <w:style w:type="character" w:customStyle="1" w:styleId="72">
    <w:name w:val="Normal Indent Char"/>
    <w:link w:val="5"/>
    <w:qFormat/>
    <w:uiPriority w:val="0"/>
    <w:rPr>
      <w:rFonts w:eastAsia="宋体"/>
      <w:kern w:val="2"/>
      <w:sz w:val="21"/>
      <w:lang w:val="en-US" w:eastAsia="zh-CN" w:bidi="ar-SA"/>
    </w:rPr>
  </w:style>
  <w:style w:type="character" w:customStyle="1" w:styleId="73">
    <w:name w:val="普通文字 Char Char1"/>
    <w:qFormat/>
    <w:uiPriority w:val="0"/>
    <w:rPr>
      <w:rFonts w:ascii="宋体" w:eastAsia="宋体"/>
      <w:kern w:val="2"/>
      <w:sz w:val="24"/>
      <w:lang w:val="en-US" w:eastAsia="zh-CN" w:bidi="ar-SA"/>
    </w:rPr>
  </w:style>
  <w:style w:type="paragraph" w:customStyle="1" w:styleId="74">
    <w:name w:val="p0"/>
    <w:basedOn w:val="1"/>
    <w:qFormat/>
    <w:uiPriority w:val="0"/>
    <w:pPr>
      <w:widowControl/>
    </w:pPr>
    <w:rPr>
      <w:kern w:val="0"/>
      <w:szCs w:val="21"/>
    </w:rPr>
  </w:style>
  <w:style w:type="character" w:customStyle="1" w:styleId="75">
    <w:name w:val="Header Char"/>
    <w:basedOn w:val="34"/>
    <w:link w:val="22"/>
    <w:qFormat/>
    <w:uiPriority w:val="99"/>
    <w:rPr>
      <w:rFonts w:ascii="宋体"/>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1FE2C-4BA1-4F9A-908B-9C7A6C85CE4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4708</Words>
  <Characters>26840</Characters>
  <Lines>223</Lines>
  <Paragraphs>62</Paragraphs>
  <TotalTime>5</TotalTime>
  <ScaleCrop>false</ScaleCrop>
  <LinksUpToDate>false</LinksUpToDate>
  <CharactersWithSpaces>31486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2017-07-05T08:30:00Z</dcterms:created>
  <dc:creator>huang</dc:creator>
  <cp:lastModifiedBy>Administrator</cp:lastModifiedBy>
  <cp:lastPrinted>2018-12-24T02:10:00Z</cp:lastPrinted>
  <dcterms:modified xsi:type="dcterms:W3CDTF">2020-07-14T02:58:42Z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