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720" w:lineRule="exact"/>
        <w:jc w:val="center"/>
        <w:rPr>
          <w:rFonts w:ascii="黑体" w:eastAsia="黑体"/>
          <w:bCs/>
          <w:sz w:val="56"/>
          <w:szCs w:val="56"/>
        </w:rPr>
      </w:pPr>
    </w:p>
    <w:p>
      <w:pPr>
        <w:spacing w:line="1000" w:lineRule="exact"/>
        <w:jc w:val="center"/>
        <w:rPr>
          <w:rFonts w:ascii="楷体_GB2312" w:eastAsia="楷体_GB2312"/>
          <w:b/>
          <w:sz w:val="96"/>
          <w:szCs w:val="96"/>
        </w:rPr>
      </w:pPr>
      <w:r>
        <w:rPr>
          <w:rFonts w:hint="eastAsia" w:ascii="汉仪魏碑简" w:eastAsia="汉仪魏碑简"/>
          <w:b/>
          <w:sz w:val="84"/>
          <w:szCs w:val="84"/>
        </w:rPr>
        <w:t>竞争性谈判采购文件</w:t>
      </w:r>
    </w:p>
    <w:p>
      <w:pPr>
        <w:pStyle w:val="17"/>
        <w:ind w:firstLine="4180" w:firstLineChars="1900"/>
        <w:rPr>
          <w:sz w:val="22"/>
          <w:szCs w:val="21"/>
        </w:rPr>
      </w:pPr>
    </w:p>
    <w:p>
      <w:pPr>
        <w:pStyle w:val="17"/>
        <w:rPr>
          <w:sz w:val="22"/>
          <w:szCs w:val="21"/>
        </w:rPr>
      </w:pPr>
      <w:r>
        <w:rPr>
          <w:rFonts w:hint="eastAsia"/>
          <w:sz w:val="84"/>
          <w:szCs w:val="84"/>
        </w:rPr>
        <w:t xml:space="preserve">         </w:t>
      </w:r>
      <w:r>
        <w:rPr>
          <w:sz w:val="84"/>
          <w:szCs w:val="84"/>
        </w:rPr>
        <w:drawing>
          <wp:inline distT="0" distB="0" distL="0" distR="0">
            <wp:extent cx="695325" cy="1409700"/>
            <wp:effectExtent l="0" t="0" r="9525" b="0"/>
            <wp:docPr id="1026" name="图片 1" descr="华春徽标-原图.png"/>
            <wp:cNvGraphicFramePr/>
            <a:graphic xmlns:a="http://schemas.openxmlformats.org/drawingml/2006/main">
              <a:graphicData uri="http://schemas.openxmlformats.org/drawingml/2006/picture">
                <pic:pic xmlns:pic="http://schemas.openxmlformats.org/drawingml/2006/picture">
                  <pic:nvPicPr>
                    <pic:cNvPr id="1026" name="图片 1" descr="华春徽标-原图.png"/>
                    <pic:cNvPicPr/>
                  </pic:nvPicPr>
                  <pic:blipFill>
                    <a:blip r:embed="rId7" cstate="print"/>
                    <a:srcRect/>
                    <a:stretch>
                      <a:fillRect/>
                    </a:stretch>
                  </pic:blipFill>
                  <pic:spPr>
                    <a:xfrm>
                      <a:off x="0" y="0"/>
                      <a:ext cx="695325" cy="1409700"/>
                    </a:xfrm>
                    <a:prstGeom prst="rect">
                      <a:avLst/>
                    </a:prstGeom>
                    <a:ln>
                      <a:noFill/>
                    </a:ln>
                  </pic:spPr>
                </pic:pic>
              </a:graphicData>
            </a:graphic>
          </wp:inline>
        </w:drawing>
      </w:r>
    </w:p>
    <w:p>
      <w:pPr>
        <w:pStyle w:val="17"/>
        <w:rPr>
          <w:sz w:val="22"/>
          <w:szCs w:val="21"/>
        </w:rPr>
      </w:pPr>
    </w:p>
    <w:p>
      <w:pPr>
        <w:pStyle w:val="17"/>
        <w:rPr>
          <w:sz w:val="22"/>
          <w:szCs w:val="21"/>
        </w:rPr>
      </w:pPr>
    </w:p>
    <w:p>
      <w:pPr>
        <w:jc w:val="left"/>
        <w:rPr>
          <w:sz w:val="22"/>
          <w:szCs w:val="21"/>
        </w:rPr>
      </w:pPr>
    </w:p>
    <w:p>
      <w:pPr>
        <w:ind w:left="2637" w:leftChars="540" w:right="1075" w:rightChars="512" w:hanging="1503" w:hangingChars="499"/>
        <w:jc w:val="left"/>
        <w:rPr>
          <w:rFonts w:hint="eastAsia" w:eastAsia="宋体" w:cs="宋体"/>
          <w:b/>
          <w:bCs/>
          <w:spacing w:val="-20"/>
          <w:sz w:val="30"/>
          <w:szCs w:val="30"/>
          <w:lang w:eastAsia="zh-CN"/>
        </w:rPr>
      </w:pPr>
      <w:r>
        <w:rPr>
          <w:rFonts w:hint="eastAsia" w:hAnsi="宋体" w:cs="宋体"/>
          <w:b/>
          <w:bCs/>
          <w:sz w:val="30"/>
          <w:szCs w:val="30"/>
        </w:rPr>
        <w:t>项目名称：</w:t>
      </w:r>
      <w:r>
        <w:rPr>
          <w:rFonts w:hint="eastAsia" w:hAnsi="宋体" w:cs="宋体"/>
          <w:b/>
          <w:bCs/>
          <w:sz w:val="30"/>
          <w:szCs w:val="30"/>
          <w:lang w:eastAsia="zh-CN"/>
        </w:rPr>
        <w:t>田州镇卫生院综合楼项目安装电梯</w:t>
      </w:r>
    </w:p>
    <w:p>
      <w:pPr>
        <w:ind w:left="1878" w:leftChars="547" w:right="1075" w:rightChars="512" w:hanging="729" w:hangingChars="242"/>
        <w:jc w:val="left"/>
        <w:rPr>
          <w:rFonts w:hint="eastAsia" w:eastAsia="宋体" w:cs="宋体"/>
          <w:b/>
          <w:bCs/>
          <w:color w:val="FF0000"/>
          <w:spacing w:val="-20"/>
          <w:sz w:val="30"/>
          <w:szCs w:val="30"/>
          <w:lang w:eastAsia="zh-CN"/>
        </w:rPr>
      </w:pPr>
      <w:r>
        <w:rPr>
          <w:rFonts w:hint="eastAsia" w:hAnsi="宋体" w:cs="宋体"/>
          <w:b/>
          <w:bCs/>
          <w:sz w:val="30"/>
          <w:szCs w:val="30"/>
        </w:rPr>
        <w:t>项目编号：</w:t>
      </w:r>
      <w:r>
        <w:rPr>
          <w:rFonts w:hint="eastAsia" w:hAnsi="宋体" w:cs="宋体"/>
          <w:b/>
          <w:bCs/>
          <w:sz w:val="30"/>
          <w:szCs w:val="30"/>
          <w:lang w:eastAsia="zh-CN"/>
        </w:rPr>
        <w:t>BSZC2020-J1-210476-HCJS</w:t>
      </w:r>
    </w:p>
    <w:p>
      <w:pPr>
        <w:rPr>
          <w:sz w:val="32"/>
          <w:szCs w:val="32"/>
        </w:rPr>
      </w:pPr>
    </w:p>
    <w:p>
      <w:pPr>
        <w:rPr>
          <w:sz w:val="32"/>
          <w:szCs w:val="32"/>
        </w:rPr>
      </w:pPr>
    </w:p>
    <w:p>
      <w:pPr>
        <w:rPr>
          <w:sz w:val="32"/>
          <w:szCs w:val="32"/>
        </w:rPr>
      </w:pPr>
    </w:p>
    <w:p>
      <w:pPr>
        <w:jc w:val="center"/>
        <w:rPr>
          <w:sz w:val="28"/>
        </w:rPr>
      </w:pPr>
    </w:p>
    <w:p>
      <w:pPr>
        <w:jc w:val="center"/>
        <w:rPr>
          <w:sz w:val="28"/>
        </w:rPr>
      </w:pPr>
    </w:p>
    <w:p>
      <w:pPr>
        <w:jc w:val="center"/>
        <w:rPr>
          <w:sz w:val="24"/>
        </w:rPr>
      </w:pPr>
      <w:r>
        <w:rPr>
          <w:sz w:val="20"/>
        </w:rPr>
        <w:pict>
          <v:line id="1027" o:spid="_x0000_s1027" o:spt="20" style="position:absolute;left:0pt;margin-left:77.85pt;margin-top:7.8pt;height:0pt;width:330.9pt;z-index:1024;mso-width-relative:page;mso-height-relative:page;" coordsize="21600,21600">
            <v:path arrowok="t"/>
            <v:fill focussize="0,0"/>
            <v:stroke/>
            <v:imagedata o:title=""/>
            <o:lock v:ext="edit"/>
          </v:line>
        </w:pict>
      </w:r>
    </w:p>
    <w:p>
      <w:pPr>
        <w:widowControl/>
        <w:jc w:val="center"/>
        <w:rPr>
          <w:rFonts w:ascii="黑体" w:hAnsi="黑体"/>
          <w:b/>
          <w:sz w:val="32"/>
          <w:szCs w:val="32"/>
        </w:rPr>
      </w:pPr>
      <w:r>
        <w:rPr>
          <w:rFonts w:hint="eastAsia" w:ascii="黑体" w:hAnsi="黑体"/>
          <w:b/>
          <w:sz w:val="32"/>
          <w:szCs w:val="32"/>
        </w:rPr>
        <w:t>采购单位：</w:t>
      </w:r>
      <w:r>
        <w:rPr>
          <w:rFonts w:hint="eastAsia" w:ascii="黑体" w:hAnsi="黑体"/>
          <w:b/>
          <w:sz w:val="32"/>
          <w:szCs w:val="32"/>
          <w:lang w:eastAsia="zh-CN"/>
        </w:rPr>
        <w:t>百色市田阳区田州镇卫生院</w:t>
      </w:r>
      <w:r>
        <w:rPr>
          <w:rFonts w:hint="eastAsia" w:ascii="黑体" w:hAnsi="黑体"/>
          <w:b/>
          <w:sz w:val="32"/>
          <w:szCs w:val="32"/>
        </w:rPr>
        <w:t>（盖单位公章）</w:t>
      </w:r>
    </w:p>
    <w:p>
      <w:pPr>
        <w:spacing w:line="560" w:lineRule="exact"/>
        <w:jc w:val="center"/>
        <w:rPr>
          <w:rFonts w:ascii="黑体" w:hAnsi="黑体"/>
          <w:b/>
          <w:sz w:val="32"/>
          <w:szCs w:val="32"/>
        </w:rPr>
      </w:pPr>
      <w:r>
        <w:rPr>
          <w:rFonts w:ascii="黑体" w:hAnsi="黑体"/>
          <w:b/>
          <w:sz w:val="32"/>
          <w:szCs w:val="32"/>
        </w:rPr>
        <w:t>采购代理机构：</w:t>
      </w:r>
      <w:r>
        <w:rPr>
          <w:rFonts w:hint="eastAsia" w:ascii="黑体" w:hAnsi="黑体"/>
          <w:b/>
          <w:sz w:val="32"/>
          <w:szCs w:val="32"/>
        </w:rPr>
        <w:t>华春建设工程项目管理有限责任公司（盖单位公章）</w:t>
      </w:r>
    </w:p>
    <w:p>
      <w:pPr>
        <w:spacing w:line="560" w:lineRule="exact"/>
        <w:jc w:val="center"/>
        <w:rPr>
          <w:rFonts w:ascii="黑体" w:hAnsi="黑体"/>
          <w:b/>
          <w:sz w:val="32"/>
          <w:szCs w:val="32"/>
        </w:rPr>
      </w:pPr>
      <w:r>
        <w:rPr>
          <w:rFonts w:ascii="黑体" w:hAnsi="黑体"/>
          <w:b/>
          <w:sz w:val="32"/>
          <w:szCs w:val="32"/>
        </w:rPr>
        <w:cr/>
      </w:r>
      <w:r>
        <w:rPr>
          <w:rFonts w:ascii="黑体" w:hAnsi="黑体"/>
          <w:b/>
          <w:sz w:val="32"/>
          <w:szCs w:val="32"/>
        </w:rPr>
        <w:t>20</w:t>
      </w:r>
      <w:r>
        <w:rPr>
          <w:rFonts w:hint="eastAsia" w:ascii="黑体" w:hAnsi="黑体"/>
          <w:b/>
          <w:sz w:val="32"/>
          <w:szCs w:val="32"/>
        </w:rPr>
        <w:t>20</w:t>
      </w:r>
      <w:r>
        <w:rPr>
          <w:rFonts w:ascii="黑体" w:hAnsi="黑体"/>
          <w:b/>
          <w:sz w:val="32"/>
          <w:szCs w:val="32"/>
        </w:rPr>
        <w:t>年</w:t>
      </w:r>
      <w:r>
        <w:rPr>
          <w:rFonts w:hint="eastAsia" w:ascii="黑体" w:hAnsi="黑体"/>
          <w:b/>
          <w:sz w:val="32"/>
          <w:szCs w:val="32"/>
          <w:lang w:val="en-US" w:eastAsia="zh-CN"/>
        </w:rPr>
        <w:t>12</w:t>
      </w:r>
      <w:r>
        <w:rPr>
          <w:rFonts w:ascii="黑体" w:hAnsi="黑体"/>
          <w:b/>
          <w:sz w:val="32"/>
          <w:szCs w:val="32"/>
        </w:rPr>
        <w:t>月</w:t>
      </w:r>
    </w:p>
    <w:p>
      <w:pPr>
        <w:spacing w:line="560" w:lineRule="exact"/>
        <w:jc w:val="center"/>
        <w:rPr>
          <w:rFonts w:ascii="黑体" w:hAnsi="黑体"/>
          <w:b/>
          <w:sz w:val="32"/>
          <w:szCs w:val="32"/>
        </w:rPr>
      </w:pPr>
    </w:p>
    <w:p>
      <w:pPr>
        <w:ind w:left="-2" w:leftChars="-1"/>
        <w:jc w:val="center"/>
        <w:rPr>
          <w:rFonts w:ascii="隶书" w:eastAsia="隶书"/>
          <w:sz w:val="44"/>
        </w:rPr>
      </w:pPr>
      <w:r>
        <w:br w:type="page"/>
      </w:r>
    </w:p>
    <w:p>
      <w:pPr>
        <w:pStyle w:val="17"/>
        <w:ind w:left="718" w:leftChars="342" w:right="392"/>
        <w:jc w:val="center"/>
        <w:rPr>
          <w:rFonts w:ascii="隶书" w:eastAsia="隶书"/>
        </w:rPr>
      </w:pPr>
      <w:r>
        <w:rPr>
          <w:rFonts w:hint="eastAsia" w:ascii="隶书" w:eastAsia="隶书"/>
          <w:sz w:val="44"/>
        </w:rPr>
        <w:t>目   录</w:t>
      </w:r>
      <w:r>
        <w:rPr>
          <w:rFonts w:hint="eastAsia" w:ascii="隶书" w:eastAsia="隶书"/>
          <w:sz w:val="44"/>
        </w:rPr>
        <w:cr/>
      </w:r>
    </w:p>
    <w:p>
      <w:pPr>
        <w:pStyle w:val="23"/>
        <w:tabs>
          <w:tab w:val="right" w:leader="dot" w:pos="9628"/>
        </w:tabs>
        <w:rPr>
          <w:rFonts w:ascii="宋体"/>
          <w:sz w:val="28"/>
          <w:szCs w:val="28"/>
        </w:rPr>
      </w:pPr>
      <w:r>
        <w:rPr>
          <w:rFonts w:ascii="宋体"/>
          <w:sz w:val="28"/>
          <w:szCs w:val="28"/>
        </w:rPr>
        <w:fldChar w:fldCharType="begin"/>
      </w:r>
      <w:r>
        <w:rPr>
          <w:rFonts w:hint="eastAsia" w:ascii="宋体"/>
          <w:sz w:val="28"/>
          <w:szCs w:val="28"/>
        </w:rPr>
        <w:instrText xml:space="preserve"> TOC \o "1-3" \h \z \u </w:instrText>
      </w:r>
      <w:r>
        <w:rPr>
          <w:rFonts w:ascii="宋体"/>
          <w:sz w:val="28"/>
          <w:szCs w:val="28"/>
        </w:rPr>
        <w:fldChar w:fldCharType="separate"/>
      </w:r>
    </w:p>
    <w:p>
      <w:pPr>
        <w:pStyle w:val="23"/>
        <w:tabs>
          <w:tab w:val="right" w:leader="dot" w:pos="9628"/>
        </w:tabs>
        <w:rPr>
          <w:rFonts w:ascii="宋体"/>
          <w:sz w:val="28"/>
          <w:szCs w:val="28"/>
        </w:rPr>
      </w:pPr>
      <w:r>
        <w:fldChar w:fldCharType="begin"/>
      </w:r>
      <w:r>
        <w:instrText xml:space="preserve"> HYPERLINK \l "_Toc290375218" </w:instrText>
      </w:r>
      <w:r>
        <w:fldChar w:fldCharType="separate"/>
      </w:r>
      <w:r>
        <w:rPr>
          <w:rFonts w:hint="eastAsia" w:ascii="宋体"/>
          <w:sz w:val="28"/>
          <w:szCs w:val="28"/>
        </w:rPr>
        <w:t>竞争性谈判采购公告</w:t>
      </w:r>
      <w:r>
        <w:rPr>
          <w:rFonts w:hint="eastAsia" w:ascii="宋体"/>
          <w:sz w:val="28"/>
          <w:szCs w:val="28"/>
        </w:rPr>
        <w:tab/>
      </w:r>
      <w:r>
        <w:rPr>
          <w:rFonts w:hint="eastAsia" w:ascii="宋体"/>
          <w:sz w:val="28"/>
          <w:szCs w:val="28"/>
        </w:rPr>
        <w:fldChar w:fldCharType="begin"/>
      </w:r>
      <w:r>
        <w:rPr>
          <w:rFonts w:hint="eastAsia" w:ascii="宋体"/>
          <w:sz w:val="28"/>
          <w:szCs w:val="28"/>
        </w:rPr>
        <w:instrText xml:space="preserve"> PAGEREF _Toc290375218 \h </w:instrText>
      </w:r>
      <w:r>
        <w:rPr>
          <w:rFonts w:hint="eastAsia" w:ascii="宋体"/>
          <w:sz w:val="28"/>
          <w:szCs w:val="28"/>
        </w:rPr>
        <w:fldChar w:fldCharType="separate"/>
      </w:r>
      <w:r>
        <w:rPr>
          <w:rFonts w:hint="eastAsia" w:ascii="宋体"/>
          <w:sz w:val="28"/>
          <w:szCs w:val="28"/>
        </w:rPr>
        <w:t>2</w:t>
      </w:r>
      <w:r>
        <w:rPr>
          <w:rFonts w:hint="eastAsia" w:ascii="宋体"/>
          <w:sz w:val="28"/>
          <w:szCs w:val="28"/>
        </w:rPr>
        <w:fldChar w:fldCharType="end"/>
      </w:r>
      <w:r>
        <w:rPr>
          <w:rFonts w:hint="eastAsia" w:ascii="宋体"/>
          <w:sz w:val="28"/>
          <w:szCs w:val="28"/>
        </w:rPr>
        <w:fldChar w:fldCharType="end"/>
      </w:r>
    </w:p>
    <w:p>
      <w:pPr>
        <w:pStyle w:val="23"/>
        <w:tabs>
          <w:tab w:val="right" w:leader="dot" w:pos="9628"/>
        </w:tabs>
        <w:rPr>
          <w:rFonts w:ascii="宋体"/>
          <w:sz w:val="28"/>
          <w:szCs w:val="28"/>
        </w:rPr>
      </w:pPr>
      <w:r>
        <w:fldChar w:fldCharType="begin"/>
      </w:r>
      <w:r>
        <w:instrText xml:space="preserve"> HYPERLINK \l "_Toc290375219" </w:instrText>
      </w:r>
      <w:r>
        <w:fldChar w:fldCharType="separate"/>
      </w:r>
      <w:r>
        <w:rPr>
          <w:rFonts w:hint="eastAsia" w:ascii="宋体"/>
          <w:sz w:val="28"/>
          <w:szCs w:val="28"/>
        </w:rPr>
        <w:t>第一章  竞标人须知及前</w:t>
      </w:r>
      <w:bookmarkStart w:id="0" w:name="_Hlt80548721"/>
      <w:bookmarkEnd w:id="0"/>
      <w:r>
        <w:rPr>
          <w:rFonts w:hint="eastAsia" w:ascii="宋体"/>
          <w:sz w:val="28"/>
          <w:szCs w:val="28"/>
        </w:rPr>
        <w:t>附表</w:t>
      </w:r>
      <w:r>
        <w:rPr>
          <w:rFonts w:hint="eastAsia" w:ascii="宋体"/>
          <w:sz w:val="28"/>
          <w:szCs w:val="28"/>
        </w:rPr>
        <w:tab/>
      </w:r>
      <w:r>
        <w:rPr>
          <w:rFonts w:hint="eastAsia" w:ascii="宋体"/>
          <w:sz w:val="28"/>
          <w:szCs w:val="28"/>
        </w:rPr>
        <w:fldChar w:fldCharType="begin"/>
      </w:r>
      <w:r>
        <w:rPr>
          <w:rFonts w:hint="eastAsia" w:ascii="宋体"/>
          <w:sz w:val="28"/>
          <w:szCs w:val="28"/>
        </w:rPr>
        <w:instrText xml:space="preserve"> PAGEREF _Toc290375219 \h </w:instrText>
      </w:r>
      <w:r>
        <w:rPr>
          <w:rFonts w:hint="eastAsia" w:ascii="宋体"/>
          <w:sz w:val="28"/>
          <w:szCs w:val="28"/>
        </w:rPr>
        <w:fldChar w:fldCharType="separate"/>
      </w:r>
      <w:r>
        <w:rPr>
          <w:rFonts w:hint="eastAsia" w:ascii="宋体"/>
          <w:sz w:val="28"/>
          <w:szCs w:val="28"/>
        </w:rPr>
        <w:t>4</w:t>
      </w:r>
      <w:r>
        <w:rPr>
          <w:rFonts w:hint="eastAsia" w:ascii="宋体"/>
          <w:sz w:val="28"/>
          <w:szCs w:val="28"/>
        </w:rPr>
        <w:fldChar w:fldCharType="end"/>
      </w:r>
      <w:r>
        <w:rPr>
          <w:rFonts w:hint="eastAsia" w:ascii="宋体"/>
          <w:sz w:val="28"/>
          <w:szCs w:val="28"/>
        </w:rPr>
        <w:fldChar w:fldCharType="end"/>
      </w:r>
    </w:p>
    <w:p>
      <w:pPr>
        <w:pStyle w:val="23"/>
        <w:tabs>
          <w:tab w:val="right" w:leader="dot" w:pos="9628"/>
        </w:tabs>
        <w:rPr>
          <w:rFonts w:ascii="宋体"/>
          <w:sz w:val="28"/>
          <w:szCs w:val="28"/>
        </w:rPr>
      </w:pPr>
      <w:r>
        <w:fldChar w:fldCharType="begin"/>
      </w:r>
      <w:r>
        <w:instrText xml:space="preserve"> HYPERLINK \l "_Toc290375229" </w:instrText>
      </w:r>
      <w:r>
        <w:fldChar w:fldCharType="separate"/>
      </w:r>
      <w:r>
        <w:rPr>
          <w:rFonts w:hint="eastAsia" w:ascii="宋体"/>
          <w:sz w:val="28"/>
          <w:szCs w:val="28"/>
        </w:rPr>
        <w:t>第二章  货物需求一览表</w:t>
      </w:r>
      <w:r>
        <w:rPr>
          <w:rFonts w:hint="eastAsia" w:ascii="宋体"/>
          <w:sz w:val="28"/>
          <w:szCs w:val="28"/>
        </w:rPr>
        <w:tab/>
      </w:r>
      <w:r>
        <w:rPr>
          <w:rFonts w:hint="eastAsia" w:ascii="宋体"/>
          <w:sz w:val="28"/>
          <w:szCs w:val="28"/>
        </w:rPr>
        <w:fldChar w:fldCharType="begin"/>
      </w:r>
      <w:r>
        <w:rPr>
          <w:rFonts w:hint="eastAsia" w:ascii="宋体"/>
          <w:sz w:val="28"/>
          <w:szCs w:val="28"/>
        </w:rPr>
        <w:instrText xml:space="preserve"> PAGEREF _Toc290375229 \h </w:instrText>
      </w:r>
      <w:r>
        <w:rPr>
          <w:rFonts w:hint="eastAsia" w:ascii="宋体"/>
          <w:sz w:val="28"/>
          <w:szCs w:val="28"/>
        </w:rPr>
        <w:fldChar w:fldCharType="separate"/>
      </w:r>
      <w:r>
        <w:rPr>
          <w:rFonts w:hint="eastAsia" w:ascii="宋体"/>
          <w:sz w:val="28"/>
          <w:szCs w:val="28"/>
        </w:rPr>
        <w:t>16</w:t>
      </w:r>
      <w:r>
        <w:rPr>
          <w:rFonts w:hint="eastAsia" w:ascii="宋体"/>
          <w:sz w:val="28"/>
          <w:szCs w:val="28"/>
        </w:rPr>
        <w:fldChar w:fldCharType="end"/>
      </w:r>
      <w:r>
        <w:rPr>
          <w:rFonts w:hint="eastAsia" w:ascii="宋体"/>
          <w:sz w:val="28"/>
          <w:szCs w:val="28"/>
        </w:rPr>
        <w:fldChar w:fldCharType="end"/>
      </w:r>
    </w:p>
    <w:p>
      <w:pPr>
        <w:pStyle w:val="23"/>
        <w:tabs>
          <w:tab w:val="right" w:leader="dot" w:pos="9628"/>
        </w:tabs>
        <w:rPr>
          <w:rFonts w:ascii="宋体"/>
          <w:sz w:val="28"/>
          <w:szCs w:val="28"/>
        </w:rPr>
      </w:pPr>
      <w:r>
        <w:fldChar w:fldCharType="begin"/>
      </w:r>
      <w:r>
        <w:instrText xml:space="preserve"> HYPERLINK \l "_Toc290375231" </w:instrText>
      </w:r>
      <w:r>
        <w:fldChar w:fldCharType="separate"/>
      </w:r>
      <w:r>
        <w:rPr>
          <w:rFonts w:hint="eastAsia" w:ascii="宋体"/>
          <w:sz w:val="28"/>
          <w:szCs w:val="28"/>
        </w:rPr>
        <w:t>第三章  合同书格式</w:t>
      </w:r>
      <w:bookmarkStart w:id="1" w:name="_Hlt80548450"/>
      <w:bookmarkEnd w:id="1"/>
      <w:bookmarkStart w:id="2" w:name="_Hlt80548451"/>
      <w:bookmarkEnd w:id="2"/>
      <w:r>
        <w:rPr>
          <w:rFonts w:hint="eastAsia" w:ascii="宋体"/>
          <w:sz w:val="28"/>
          <w:szCs w:val="28"/>
        </w:rPr>
        <w:tab/>
      </w:r>
      <w:r>
        <w:rPr>
          <w:rFonts w:hint="eastAsia" w:ascii="宋体"/>
          <w:sz w:val="28"/>
          <w:szCs w:val="28"/>
        </w:rPr>
        <w:fldChar w:fldCharType="begin"/>
      </w:r>
      <w:r>
        <w:rPr>
          <w:rFonts w:hint="eastAsia" w:ascii="宋体"/>
          <w:sz w:val="28"/>
          <w:szCs w:val="28"/>
        </w:rPr>
        <w:instrText xml:space="preserve"> PAGEREF _Toc290375231 \h </w:instrText>
      </w:r>
      <w:r>
        <w:rPr>
          <w:rFonts w:hint="eastAsia" w:ascii="宋体"/>
          <w:sz w:val="28"/>
          <w:szCs w:val="28"/>
        </w:rPr>
        <w:fldChar w:fldCharType="separate"/>
      </w:r>
      <w:r>
        <w:rPr>
          <w:rFonts w:hint="eastAsia" w:ascii="宋体"/>
          <w:sz w:val="28"/>
          <w:szCs w:val="28"/>
        </w:rPr>
        <w:t>17</w:t>
      </w:r>
      <w:r>
        <w:rPr>
          <w:rFonts w:hint="eastAsia" w:ascii="宋体"/>
          <w:sz w:val="28"/>
          <w:szCs w:val="28"/>
        </w:rPr>
        <w:fldChar w:fldCharType="end"/>
      </w:r>
      <w:r>
        <w:rPr>
          <w:rFonts w:hint="eastAsia" w:ascii="宋体"/>
          <w:sz w:val="28"/>
          <w:szCs w:val="28"/>
        </w:rPr>
        <w:fldChar w:fldCharType="end"/>
      </w:r>
    </w:p>
    <w:p>
      <w:pPr>
        <w:pStyle w:val="23"/>
        <w:tabs>
          <w:tab w:val="right" w:leader="dot" w:pos="9628"/>
        </w:tabs>
        <w:rPr>
          <w:rFonts w:ascii="宋体"/>
          <w:sz w:val="28"/>
          <w:szCs w:val="28"/>
        </w:rPr>
      </w:pPr>
      <w:r>
        <w:fldChar w:fldCharType="begin"/>
      </w:r>
      <w:r>
        <w:instrText xml:space="preserve"> HYPERLINK \l "_Toc290375232" </w:instrText>
      </w:r>
      <w:r>
        <w:fldChar w:fldCharType="separate"/>
      </w:r>
      <w:r>
        <w:rPr>
          <w:rFonts w:hint="eastAsia" w:ascii="宋体"/>
          <w:sz w:val="28"/>
          <w:szCs w:val="28"/>
        </w:rPr>
        <w:t>第四章  竞标文件格式</w:t>
      </w:r>
      <w:r>
        <w:rPr>
          <w:rFonts w:hint="eastAsia" w:ascii="宋体"/>
          <w:sz w:val="28"/>
          <w:szCs w:val="28"/>
        </w:rPr>
        <w:tab/>
      </w:r>
      <w:r>
        <w:rPr>
          <w:rFonts w:hint="eastAsia" w:ascii="宋体"/>
          <w:sz w:val="28"/>
          <w:szCs w:val="28"/>
        </w:rPr>
        <w:fldChar w:fldCharType="begin"/>
      </w:r>
      <w:r>
        <w:rPr>
          <w:rFonts w:hint="eastAsia" w:ascii="宋体"/>
          <w:sz w:val="28"/>
          <w:szCs w:val="28"/>
        </w:rPr>
        <w:instrText xml:space="preserve"> PAGEREF _Toc290375232 \h </w:instrText>
      </w:r>
      <w:r>
        <w:rPr>
          <w:rFonts w:hint="eastAsia" w:ascii="宋体"/>
          <w:sz w:val="28"/>
          <w:szCs w:val="28"/>
        </w:rPr>
        <w:fldChar w:fldCharType="separate"/>
      </w:r>
      <w:r>
        <w:rPr>
          <w:rFonts w:hint="eastAsia" w:ascii="宋体"/>
          <w:sz w:val="28"/>
          <w:szCs w:val="28"/>
        </w:rPr>
        <w:t>32</w:t>
      </w:r>
      <w:r>
        <w:rPr>
          <w:rFonts w:hint="eastAsia" w:ascii="宋体"/>
          <w:sz w:val="28"/>
          <w:szCs w:val="28"/>
        </w:rPr>
        <w:fldChar w:fldCharType="end"/>
      </w:r>
      <w:r>
        <w:rPr>
          <w:rFonts w:hint="eastAsia" w:ascii="宋体"/>
          <w:sz w:val="28"/>
          <w:szCs w:val="28"/>
        </w:rPr>
        <w:fldChar w:fldCharType="end"/>
      </w:r>
    </w:p>
    <w:p>
      <w:pPr>
        <w:pStyle w:val="23"/>
        <w:tabs>
          <w:tab w:val="right" w:leader="dot" w:pos="9628"/>
        </w:tabs>
        <w:rPr>
          <w:rFonts w:ascii="宋体"/>
          <w:sz w:val="28"/>
          <w:szCs w:val="28"/>
        </w:rPr>
      </w:pPr>
      <w:r>
        <w:fldChar w:fldCharType="begin"/>
      </w:r>
      <w:r>
        <w:instrText xml:space="preserve"> HYPERLINK \l "_Toc290375233" </w:instrText>
      </w:r>
      <w:r>
        <w:fldChar w:fldCharType="separate"/>
      </w:r>
      <w:r>
        <w:rPr>
          <w:rFonts w:hint="eastAsia" w:ascii="宋体"/>
          <w:sz w:val="28"/>
          <w:szCs w:val="28"/>
        </w:rPr>
        <w:t>第五章  评标办法</w:t>
      </w:r>
      <w:r>
        <w:rPr>
          <w:rFonts w:hint="eastAsia" w:ascii="宋体"/>
          <w:sz w:val="28"/>
          <w:szCs w:val="28"/>
        </w:rPr>
        <w:tab/>
      </w:r>
      <w:r>
        <w:rPr>
          <w:rFonts w:hint="eastAsia" w:ascii="宋体"/>
          <w:sz w:val="28"/>
          <w:szCs w:val="28"/>
        </w:rPr>
        <w:fldChar w:fldCharType="begin"/>
      </w:r>
      <w:r>
        <w:rPr>
          <w:rFonts w:hint="eastAsia" w:ascii="宋体"/>
          <w:sz w:val="28"/>
          <w:szCs w:val="28"/>
        </w:rPr>
        <w:instrText xml:space="preserve"> PAGEREF _Toc290375233 \h </w:instrText>
      </w:r>
      <w:r>
        <w:rPr>
          <w:rFonts w:hint="eastAsia" w:ascii="宋体"/>
          <w:sz w:val="28"/>
          <w:szCs w:val="28"/>
        </w:rPr>
        <w:fldChar w:fldCharType="separate"/>
      </w:r>
      <w:r>
        <w:rPr>
          <w:rFonts w:hint="eastAsia" w:ascii="宋体"/>
          <w:sz w:val="28"/>
          <w:szCs w:val="28"/>
        </w:rPr>
        <w:t>47</w:t>
      </w:r>
      <w:r>
        <w:rPr>
          <w:rFonts w:hint="eastAsia" w:ascii="宋体"/>
          <w:sz w:val="28"/>
          <w:szCs w:val="28"/>
        </w:rPr>
        <w:fldChar w:fldCharType="end"/>
      </w:r>
      <w:r>
        <w:rPr>
          <w:rFonts w:hint="eastAsia" w:ascii="宋体"/>
          <w:sz w:val="28"/>
          <w:szCs w:val="28"/>
        </w:rPr>
        <w:fldChar w:fldCharType="end"/>
      </w:r>
    </w:p>
    <w:p>
      <w:pPr>
        <w:pStyle w:val="17"/>
        <w:spacing w:line="480" w:lineRule="auto"/>
        <w:ind w:left="718" w:leftChars="342" w:right="392"/>
        <w:rPr>
          <w:sz w:val="28"/>
          <w:szCs w:val="28"/>
        </w:rPr>
      </w:pPr>
      <w:r>
        <w:rPr>
          <w:sz w:val="28"/>
          <w:szCs w:val="28"/>
        </w:rPr>
        <w:fldChar w:fldCharType="end"/>
      </w:r>
    </w:p>
    <w:p>
      <w:pPr>
        <w:tabs>
          <w:tab w:val="left" w:pos="9214"/>
        </w:tabs>
        <w:ind w:right="680"/>
        <w:rPr>
          <w:rFonts w:ascii="宋体" w:hAnsi="宋体" w:cs="宋体"/>
          <w:b/>
          <w:bCs/>
          <w:sz w:val="30"/>
          <w:szCs w:val="30"/>
        </w:rPr>
      </w:pPr>
      <w:r>
        <w:rPr>
          <w:rFonts w:hint="eastAsia" w:ascii="隶书" w:eastAsia="隶书"/>
          <w:sz w:val="32"/>
        </w:rPr>
        <w:br w:type="page"/>
      </w:r>
      <w:bookmarkStart w:id="3" w:name="_Toc290375218"/>
      <w:r>
        <w:rPr>
          <w:rFonts w:hint="eastAsia" w:ascii="隶书" w:eastAsia="隶书"/>
          <w:sz w:val="32"/>
        </w:rPr>
        <w:t xml:space="preserve">                   </w:t>
      </w:r>
      <w:r>
        <w:rPr>
          <w:rFonts w:hint="eastAsia" w:ascii="隶书" w:eastAsia="隶书"/>
          <w:b/>
          <w:bCs/>
          <w:sz w:val="32"/>
        </w:rPr>
        <w:t xml:space="preserve">  </w:t>
      </w:r>
      <w:bookmarkEnd w:id="3"/>
      <w:r>
        <w:rPr>
          <w:rFonts w:hint="eastAsia" w:ascii="宋体" w:hAnsi="宋体" w:cs="宋体"/>
          <w:b/>
          <w:bCs/>
          <w:sz w:val="32"/>
          <w:szCs w:val="32"/>
        </w:rPr>
        <w:t>竞争性谈判采购公告</w:t>
      </w:r>
    </w:p>
    <w:p>
      <w:pPr>
        <w:pBdr>
          <w:top w:val="single" w:color="auto" w:sz="4" w:space="1"/>
          <w:left w:val="single" w:color="auto" w:sz="4" w:space="4"/>
          <w:bottom w:val="single" w:color="auto" w:sz="4" w:space="1"/>
          <w:right w:val="single" w:color="auto" w:sz="4" w:space="4"/>
        </w:pBdr>
        <w:spacing w:line="300" w:lineRule="auto"/>
        <w:ind w:firstLine="428" w:firstLineChars="200"/>
        <w:rPr>
          <w:rFonts w:ascii="宋体" w:hAnsi="宋体" w:cs="宋体"/>
          <w:spacing w:val="2"/>
          <w:szCs w:val="21"/>
        </w:rPr>
      </w:pPr>
      <w:r>
        <w:rPr>
          <w:rFonts w:hint="eastAsia" w:ascii="宋体" w:hAnsi="宋体" w:cs="宋体"/>
          <w:spacing w:val="2"/>
          <w:szCs w:val="21"/>
        </w:rPr>
        <w:t>项目概况：</w:t>
      </w:r>
    </w:p>
    <w:p>
      <w:pPr>
        <w:pBdr>
          <w:top w:val="single" w:color="auto" w:sz="4" w:space="1"/>
          <w:left w:val="single" w:color="auto" w:sz="4" w:space="4"/>
          <w:bottom w:val="single" w:color="auto" w:sz="4" w:space="1"/>
          <w:right w:val="single" w:color="auto" w:sz="4" w:space="4"/>
        </w:pBdr>
        <w:spacing w:line="300" w:lineRule="auto"/>
        <w:ind w:firstLine="428" w:firstLineChars="200"/>
        <w:rPr>
          <w:rFonts w:ascii="仿宋" w:hAnsi="仿宋" w:eastAsia="仿宋"/>
          <w:szCs w:val="21"/>
          <w:u w:val="none"/>
        </w:rPr>
      </w:pPr>
      <w:r>
        <w:rPr>
          <w:rFonts w:hint="eastAsia" w:ascii="宋体" w:hAnsi="宋体" w:cs="宋体"/>
          <w:spacing w:val="2"/>
          <w:szCs w:val="21"/>
          <w:u w:val="none"/>
          <w:lang w:eastAsia="zh-CN"/>
        </w:rPr>
        <w:t>田州镇卫生院综合楼项目安装电梯</w:t>
      </w:r>
      <w:r>
        <w:rPr>
          <w:rFonts w:hint="eastAsia" w:ascii="宋体" w:hAnsi="宋体" w:cs="宋体"/>
          <w:spacing w:val="2"/>
          <w:szCs w:val="21"/>
          <w:u w:val="none"/>
        </w:rPr>
        <w:t xml:space="preserve"> 采购项目的潜在供应商应在（华春建设工程项目管理有限责任公司百色市右江区前程路4号长乐星城1号写字楼10楼 ）获取采购文件，并于2020年</w:t>
      </w:r>
      <w:r>
        <w:rPr>
          <w:rFonts w:hint="eastAsia" w:ascii="宋体" w:hAnsi="宋体" w:cs="宋体"/>
          <w:spacing w:val="2"/>
          <w:szCs w:val="21"/>
          <w:u w:val="none"/>
          <w:lang w:val="en-US" w:eastAsia="zh-CN"/>
        </w:rPr>
        <w:t>12</w:t>
      </w:r>
      <w:r>
        <w:rPr>
          <w:rFonts w:hint="eastAsia" w:ascii="宋体" w:hAnsi="宋体" w:cs="宋体"/>
          <w:spacing w:val="2"/>
          <w:szCs w:val="21"/>
          <w:u w:val="none"/>
        </w:rPr>
        <w:t>月</w:t>
      </w:r>
      <w:r>
        <w:rPr>
          <w:rFonts w:hint="eastAsia" w:ascii="宋体" w:hAnsi="宋体" w:cs="宋体"/>
          <w:spacing w:val="2"/>
          <w:szCs w:val="21"/>
          <w:u w:val="none"/>
          <w:lang w:val="en-US" w:eastAsia="zh-CN"/>
        </w:rPr>
        <w:t>11</w:t>
      </w:r>
      <w:r>
        <w:rPr>
          <w:rFonts w:hint="eastAsia" w:ascii="宋体" w:hAnsi="宋体" w:cs="宋体"/>
          <w:spacing w:val="2"/>
          <w:szCs w:val="21"/>
          <w:u w:val="none"/>
        </w:rPr>
        <w:t xml:space="preserve">日 </w:t>
      </w:r>
      <w:r>
        <w:rPr>
          <w:rFonts w:hint="eastAsia" w:ascii="宋体" w:hAnsi="宋体" w:cs="宋体"/>
          <w:spacing w:val="2"/>
          <w:szCs w:val="21"/>
          <w:u w:val="none"/>
          <w:lang w:val="en-US" w:eastAsia="zh-CN"/>
        </w:rPr>
        <w:t>10</w:t>
      </w:r>
      <w:r>
        <w:rPr>
          <w:rFonts w:hint="eastAsia" w:ascii="宋体" w:hAnsi="宋体" w:cs="宋体"/>
          <w:spacing w:val="2"/>
          <w:szCs w:val="21"/>
          <w:u w:val="none"/>
        </w:rPr>
        <w:t xml:space="preserve">点   </w:t>
      </w:r>
      <w:r>
        <w:rPr>
          <w:rFonts w:hint="eastAsia" w:ascii="宋体" w:hAnsi="宋体" w:cs="宋体"/>
          <w:spacing w:val="2"/>
          <w:szCs w:val="21"/>
          <w:u w:val="none"/>
          <w:lang w:val="en-US" w:eastAsia="zh-CN"/>
        </w:rPr>
        <w:t>00</w:t>
      </w:r>
      <w:r>
        <w:rPr>
          <w:rFonts w:hint="eastAsia" w:ascii="宋体" w:hAnsi="宋体" w:cs="宋体"/>
          <w:spacing w:val="2"/>
          <w:szCs w:val="21"/>
          <w:u w:val="none"/>
        </w:rPr>
        <w:t>分</w:t>
      </w:r>
      <w:r>
        <w:rPr>
          <w:rFonts w:hint="eastAsia" w:asciiTheme="minorEastAsia" w:hAnsiTheme="minorEastAsia" w:eastAsiaTheme="minorEastAsia" w:cstheme="minorEastAsia"/>
          <w:spacing w:val="2"/>
          <w:szCs w:val="21"/>
          <w:u w:val="none"/>
        </w:rPr>
        <w:t>（</w:t>
      </w:r>
      <w:r>
        <w:rPr>
          <w:rFonts w:hint="eastAsia" w:ascii="宋体" w:hAnsi="宋体" w:cs="宋体"/>
          <w:spacing w:val="2"/>
          <w:szCs w:val="21"/>
          <w:u w:val="none"/>
        </w:rPr>
        <w:t>北京时间）前提交响应文件。</w:t>
      </w:r>
    </w:p>
    <w:p>
      <w:pPr>
        <w:spacing w:line="300" w:lineRule="auto"/>
        <w:jc w:val="left"/>
        <w:rPr>
          <w:rFonts w:ascii="宋体" w:hAnsi="宋体"/>
          <w:b/>
          <w:kern w:val="10"/>
          <w:szCs w:val="21"/>
        </w:rPr>
      </w:pPr>
      <w:r>
        <w:rPr>
          <w:rFonts w:hint="eastAsia" w:ascii="宋体" w:hAnsi="宋体"/>
          <w:b/>
          <w:kern w:val="10"/>
          <w:szCs w:val="21"/>
        </w:rPr>
        <w:t>一、项目基本情况</w:t>
      </w:r>
    </w:p>
    <w:p>
      <w:pPr>
        <w:spacing w:line="300" w:lineRule="auto"/>
        <w:ind w:firstLine="428" w:firstLineChars="200"/>
        <w:rPr>
          <w:rFonts w:hint="eastAsia" w:ascii="宋体" w:hAnsi="宋体" w:eastAsia="宋体" w:cs="Courier New"/>
          <w:color w:val="000000"/>
          <w:spacing w:val="2"/>
          <w:kern w:val="10"/>
          <w:szCs w:val="21"/>
          <w:lang w:eastAsia="zh-CN"/>
        </w:rPr>
      </w:pPr>
      <w:r>
        <w:rPr>
          <w:rFonts w:hint="eastAsia" w:ascii="宋体" w:hAnsi="宋体" w:cs="Courier New"/>
          <w:color w:val="000000"/>
          <w:spacing w:val="2"/>
          <w:kern w:val="10"/>
          <w:szCs w:val="21"/>
        </w:rPr>
        <w:t>项目编号：</w:t>
      </w:r>
      <w:r>
        <w:rPr>
          <w:rFonts w:hint="eastAsia" w:ascii="宋体" w:hAnsi="宋体" w:cs="Courier New"/>
          <w:color w:val="000000"/>
          <w:spacing w:val="2"/>
          <w:kern w:val="10"/>
          <w:szCs w:val="21"/>
          <w:lang w:eastAsia="zh-CN"/>
        </w:rPr>
        <w:t>BSZC2020-J1-210476-HCJS</w:t>
      </w:r>
    </w:p>
    <w:p>
      <w:pPr>
        <w:spacing w:line="300" w:lineRule="auto"/>
        <w:ind w:firstLine="428" w:firstLineChars="200"/>
        <w:rPr>
          <w:rFonts w:ascii="宋体" w:hAnsi="宋体" w:cs="Courier New"/>
          <w:color w:val="000000"/>
          <w:spacing w:val="2"/>
          <w:kern w:val="10"/>
          <w:szCs w:val="21"/>
        </w:rPr>
      </w:pPr>
      <w:r>
        <w:rPr>
          <w:rFonts w:hint="eastAsia" w:ascii="宋体" w:hAnsi="宋体" w:cs="Courier New"/>
          <w:color w:val="000000"/>
          <w:spacing w:val="2"/>
          <w:kern w:val="10"/>
          <w:szCs w:val="21"/>
        </w:rPr>
        <w:t>项目名称：</w:t>
      </w:r>
      <w:r>
        <w:rPr>
          <w:rFonts w:hint="eastAsia" w:ascii="宋体" w:hAnsi="宋体" w:cs="Courier New"/>
          <w:color w:val="000000"/>
          <w:spacing w:val="2"/>
          <w:kern w:val="10"/>
          <w:szCs w:val="21"/>
          <w:lang w:eastAsia="zh-CN"/>
        </w:rPr>
        <w:t>田州镇卫生院综合楼项目安装电梯</w:t>
      </w:r>
      <w:r>
        <w:rPr>
          <w:rFonts w:hint="eastAsia" w:ascii="宋体" w:hAnsi="宋体" w:cs="Courier New"/>
          <w:color w:val="000000"/>
          <w:spacing w:val="2"/>
          <w:kern w:val="10"/>
          <w:szCs w:val="21"/>
        </w:rPr>
        <w:t>项目</w:t>
      </w:r>
    </w:p>
    <w:p>
      <w:pPr>
        <w:spacing w:line="300" w:lineRule="auto"/>
        <w:ind w:firstLine="428" w:firstLineChars="200"/>
        <w:rPr>
          <w:rFonts w:ascii="宋体" w:hAnsi="宋体" w:cs="Courier New"/>
          <w:color w:val="000000"/>
          <w:spacing w:val="2"/>
          <w:kern w:val="10"/>
          <w:szCs w:val="21"/>
        </w:rPr>
      </w:pPr>
      <w:r>
        <w:rPr>
          <w:rFonts w:hint="eastAsia" w:ascii="宋体" w:hAnsi="宋体" w:cs="Courier New"/>
          <w:color w:val="000000"/>
          <w:spacing w:val="2"/>
          <w:kern w:val="10"/>
          <w:szCs w:val="21"/>
        </w:rPr>
        <w:t>采购方式：☑竞争性谈判 □竞争性磋商 □询价</w:t>
      </w:r>
    </w:p>
    <w:p>
      <w:pPr>
        <w:spacing w:line="300" w:lineRule="auto"/>
        <w:ind w:firstLine="428" w:firstLineChars="200"/>
        <w:rPr>
          <w:rFonts w:ascii="宋体" w:hAnsi="宋体" w:cs="Courier New"/>
          <w:color w:val="000000"/>
          <w:spacing w:val="2"/>
          <w:kern w:val="10"/>
          <w:szCs w:val="21"/>
        </w:rPr>
      </w:pPr>
      <w:r>
        <w:rPr>
          <w:rFonts w:hint="eastAsia" w:ascii="宋体" w:hAnsi="宋体" w:cs="Courier New"/>
          <w:color w:val="000000"/>
          <w:spacing w:val="2"/>
          <w:kern w:val="10"/>
          <w:szCs w:val="21"/>
        </w:rPr>
        <w:t>预算金额：81万</w:t>
      </w:r>
    </w:p>
    <w:p>
      <w:pPr>
        <w:spacing w:line="300" w:lineRule="auto"/>
        <w:ind w:firstLine="428" w:firstLineChars="200"/>
        <w:rPr>
          <w:rFonts w:ascii="宋体" w:hAnsi="宋体" w:cs="Courier New"/>
          <w:color w:val="000000"/>
          <w:spacing w:val="2"/>
          <w:kern w:val="10"/>
          <w:szCs w:val="21"/>
        </w:rPr>
      </w:pPr>
      <w:r>
        <w:rPr>
          <w:rFonts w:ascii="宋体" w:hAnsi="宋体" w:cs="Courier New"/>
          <w:color w:val="000000"/>
          <w:spacing w:val="2"/>
          <w:kern w:val="10"/>
          <w:szCs w:val="21"/>
        </w:rPr>
        <w:t>最高限价（如有）：</w:t>
      </w:r>
      <w:r>
        <w:rPr>
          <w:rFonts w:hint="eastAsia" w:ascii="宋体" w:hAnsi="宋体" w:cs="Courier New"/>
          <w:color w:val="000000"/>
          <w:spacing w:val="2"/>
          <w:kern w:val="10"/>
          <w:szCs w:val="21"/>
        </w:rPr>
        <w:t>81万</w:t>
      </w:r>
    </w:p>
    <w:p>
      <w:pPr>
        <w:spacing w:line="300" w:lineRule="auto"/>
        <w:ind w:firstLine="420" w:firstLineChars="200"/>
        <w:rPr>
          <w:rFonts w:ascii="宋体" w:hAnsi="宋体" w:cs="宋体"/>
          <w:szCs w:val="21"/>
        </w:rPr>
      </w:pPr>
      <w:r>
        <w:rPr>
          <w:rFonts w:ascii="宋体" w:hAnsi="宋体"/>
          <w:bCs/>
          <w:kern w:val="10"/>
          <w:szCs w:val="21"/>
        </w:rPr>
        <w:t>采购需求：</w:t>
      </w:r>
      <w:r>
        <w:rPr>
          <w:rFonts w:hint="eastAsia" w:ascii="宋体" w:hAnsi="宋体"/>
          <w:bCs/>
          <w:kern w:val="10"/>
          <w:szCs w:val="21"/>
          <w:lang w:eastAsia="zh-CN"/>
        </w:rPr>
        <w:t>田州镇卫生院综合楼项目安装电梯</w:t>
      </w:r>
      <w:r>
        <w:rPr>
          <w:rFonts w:ascii="宋体" w:hAnsi="宋体"/>
          <w:bCs/>
          <w:kern w:val="10"/>
          <w:szCs w:val="21"/>
        </w:rPr>
        <w:t>（采购及安装</w:t>
      </w:r>
      <w:r>
        <w:rPr>
          <w:rFonts w:hint="eastAsia" w:ascii="宋体" w:hAnsi="宋体"/>
          <w:bCs/>
          <w:kern w:val="10"/>
          <w:szCs w:val="21"/>
          <w:lang w:val="en-US" w:eastAsia="zh-CN"/>
        </w:rPr>
        <w:t>2</w:t>
      </w:r>
      <w:r>
        <w:rPr>
          <w:rFonts w:ascii="宋体" w:hAnsi="宋体"/>
          <w:bCs/>
          <w:kern w:val="10"/>
          <w:szCs w:val="21"/>
        </w:rPr>
        <w:t>台电梯，具体内容详见“货物需求一览表”）</w:t>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合同履行期限：自签订合同之日起</w:t>
      </w:r>
      <w:r>
        <w:rPr>
          <w:rFonts w:hint="eastAsia" w:ascii="宋体" w:hAnsi="宋体" w:cs="宋体"/>
          <w:szCs w:val="21"/>
          <w:lang w:val="en-US" w:eastAsia="zh-CN"/>
        </w:rPr>
        <w:t>30</w:t>
      </w:r>
      <w:r>
        <w:rPr>
          <w:rFonts w:hint="eastAsia" w:ascii="宋体" w:hAnsi="宋体" w:cs="宋体"/>
          <w:szCs w:val="21"/>
        </w:rPr>
        <w:t>日历天内（含安装、调试时间）。</w:t>
      </w:r>
    </w:p>
    <w:p>
      <w:pPr>
        <w:spacing w:line="300" w:lineRule="auto"/>
        <w:ind w:firstLine="420" w:firstLineChars="200"/>
        <w:rPr>
          <w:rFonts w:ascii="宋体" w:hAnsi="宋体" w:cs="宋体"/>
          <w:szCs w:val="21"/>
        </w:rPr>
      </w:pPr>
      <w:r>
        <w:rPr>
          <w:rFonts w:hint="eastAsia" w:ascii="宋体" w:hAnsi="宋体" w:cs="宋体"/>
          <w:szCs w:val="21"/>
        </w:rPr>
        <w:t>本项目（□是/☑否）接受联合体。</w:t>
      </w:r>
    </w:p>
    <w:p>
      <w:pPr>
        <w:spacing w:line="300" w:lineRule="auto"/>
        <w:rPr>
          <w:rFonts w:ascii="宋体" w:hAnsi="宋体" w:cs="宋体"/>
          <w:b/>
          <w:bCs/>
          <w:szCs w:val="21"/>
        </w:rPr>
      </w:pPr>
      <w:bookmarkStart w:id="4" w:name="_Toc28359090"/>
      <w:bookmarkStart w:id="5" w:name="_Toc35393630"/>
      <w:bookmarkStart w:id="6" w:name="_Toc35393799"/>
      <w:bookmarkStart w:id="7" w:name="_Toc28359013"/>
      <w:r>
        <w:rPr>
          <w:rFonts w:hint="eastAsia" w:ascii="宋体" w:hAnsi="宋体" w:cs="宋体"/>
          <w:b/>
          <w:bCs/>
          <w:szCs w:val="21"/>
        </w:rPr>
        <w:t>二、申请人的资格要求：</w:t>
      </w:r>
      <w:bookmarkEnd w:id="4"/>
      <w:bookmarkEnd w:id="5"/>
      <w:bookmarkEnd w:id="6"/>
      <w:bookmarkEnd w:id="7"/>
    </w:p>
    <w:p>
      <w:pPr>
        <w:spacing w:line="30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pPr>
        <w:spacing w:line="300" w:lineRule="auto"/>
        <w:ind w:firstLine="420" w:firstLineChars="200"/>
        <w:rPr>
          <w:rFonts w:hint="eastAsia" w:ascii="宋体" w:hAnsi="宋体" w:cs="宋体"/>
          <w:szCs w:val="21"/>
        </w:rPr>
      </w:pPr>
      <w:r>
        <w:rPr>
          <w:rFonts w:hint="eastAsia" w:ascii="宋体" w:hAnsi="宋体" w:cs="宋体"/>
          <w:szCs w:val="21"/>
        </w:rPr>
        <w:t>2.落实政府采购政策需满足的资格要求：按照《政府采购促进中小企业发展暂行办法》（财库[2011]181号），中小企业划分为中型、小型、微型三种类型，具体标准根据企业从业人员、营业收入、资产总额等指标，结合行业特点制定。竞标产品及竞标单位认定为小型和微型企业的【以工信部门2016年提供的证明文件为准】，对某竞标人最终竞标报价给予</w:t>
      </w:r>
      <w:r>
        <w:rPr>
          <w:rFonts w:hint="eastAsia" w:ascii="宋体" w:hAnsi="宋体" w:cs="宋体"/>
          <w:szCs w:val="21"/>
          <w:lang w:val="en-US" w:eastAsia="zh-CN"/>
        </w:rPr>
        <w:t>10</w:t>
      </w:r>
      <w:r>
        <w:rPr>
          <w:rFonts w:hint="eastAsia" w:ascii="宋体" w:hAnsi="宋体" w:cs="宋体"/>
          <w:szCs w:val="21"/>
        </w:rPr>
        <w:t>%的扣除，扣除后的价格为某竞标人评标报价，即某竞标人评标报价=某竞标人最终竞标报价×（1-</w:t>
      </w:r>
      <w:r>
        <w:rPr>
          <w:rFonts w:hint="eastAsia" w:ascii="宋体" w:hAnsi="宋体" w:cs="宋体"/>
          <w:szCs w:val="21"/>
          <w:lang w:val="en-US" w:eastAsia="zh-CN"/>
        </w:rPr>
        <w:t>10</w:t>
      </w:r>
      <w:r>
        <w:rPr>
          <w:rFonts w:hint="eastAsia" w:ascii="宋体" w:hAnsi="宋体" w:cs="宋体"/>
          <w:szCs w:val="21"/>
        </w:rPr>
        <w:t>%）。除上述情况外，某竞标人评标报价=某竞标人最终竞标报价。竞标产品提供企业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00" w:lineRule="auto"/>
        <w:ind w:firstLine="420" w:firstLineChars="200"/>
        <w:rPr>
          <w:rFonts w:ascii="宋体" w:hAnsi="宋体" w:cs="宋体"/>
          <w:szCs w:val="21"/>
        </w:rPr>
      </w:pPr>
      <w:r>
        <w:rPr>
          <w:rFonts w:hint="eastAsia" w:ascii="宋体" w:hAnsi="宋体" w:cs="宋体"/>
          <w:szCs w:val="21"/>
        </w:rPr>
        <w:t>3.本项目的特定资格要求：（如项目接受联合体投标，对联合体应提出相关资格要求；如属于特定行业项目,供应商应当具备特定行业法定准入要求。)</w:t>
      </w:r>
    </w:p>
    <w:p>
      <w:pPr>
        <w:spacing w:line="300" w:lineRule="auto"/>
        <w:ind w:firstLine="420" w:firstLineChars="200"/>
        <w:rPr>
          <w:rFonts w:ascii="宋体" w:hAnsi="宋体" w:cs="宋体"/>
          <w:szCs w:val="21"/>
        </w:rPr>
      </w:pPr>
      <w:r>
        <w:rPr>
          <w:rFonts w:hint="eastAsia" w:ascii="宋体" w:hAnsi="宋体" w:cs="宋体"/>
          <w:szCs w:val="21"/>
        </w:rPr>
        <w:t>4.1.国内注册（指按国家有关规定要求注册的）具备独立法人资格，具有《中华人民共和国特种设备安装改造维修许可证》（电梯类）B级（含 B级）或以上资质生产或经营本次采购内容的供应商。</w:t>
      </w:r>
    </w:p>
    <w:p>
      <w:pPr>
        <w:spacing w:line="300" w:lineRule="auto"/>
        <w:ind w:firstLine="420" w:firstLineChars="200"/>
        <w:rPr>
          <w:rFonts w:ascii="宋体" w:hAnsi="宋体" w:cs="宋体"/>
          <w:szCs w:val="21"/>
        </w:rPr>
      </w:pPr>
      <w:r>
        <w:rPr>
          <w:rFonts w:hint="eastAsia" w:ascii="宋体" w:hAnsi="宋体" w:cs="宋体"/>
          <w:szCs w:val="21"/>
        </w:rPr>
        <w:t>4.2.对在“信用中国”网站(www.creditchina.gov.cn)、中国政府采购网(www.ccgp.gov.cn)等渠道列入失信被执行人、重大税收违法案件当事人名单、政府采购严重违法失信行为记录名单的供应商，不得参与本次竞标活动。</w:t>
      </w:r>
    </w:p>
    <w:p>
      <w:pPr>
        <w:spacing w:line="300" w:lineRule="auto"/>
        <w:ind w:firstLine="420" w:firstLineChars="200"/>
        <w:rPr>
          <w:rFonts w:ascii="宋体" w:hAnsi="宋体" w:cs="宋体"/>
          <w:szCs w:val="21"/>
        </w:rPr>
      </w:pPr>
      <w:r>
        <w:rPr>
          <w:rFonts w:hint="eastAsia" w:ascii="宋体" w:hAnsi="宋体" w:cs="宋体"/>
          <w:szCs w:val="21"/>
        </w:rPr>
        <w:t xml:space="preserve">4.3.本项目不接受联合体参与竞标。 </w:t>
      </w:r>
    </w:p>
    <w:p>
      <w:pPr>
        <w:spacing w:line="300" w:lineRule="auto"/>
        <w:ind w:firstLine="420" w:firstLineChars="200"/>
        <w:rPr>
          <w:rFonts w:ascii="宋体" w:hAnsi="宋体" w:cs="宋体"/>
          <w:szCs w:val="21"/>
        </w:rPr>
      </w:pPr>
      <w:r>
        <w:rPr>
          <w:rFonts w:hint="eastAsia" w:ascii="宋体" w:hAnsi="宋体" w:cs="宋体"/>
          <w:szCs w:val="21"/>
        </w:rPr>
        <w:t>5.符合《中华人民共和国政府采购法》第二十二条和《政府采购非招标采购方式管理办法》的有关规定。</w:t>
      </w:r>
    </w:p>
    <w:p>
      <w:pPr>
        <w:spacing w:line="300" w:lineRule="auto"/>
        <w:ind w:firstLine="420" w:firstLineChars="200"/>
        <w:rPr>
          <w:rFonts w:ascii="宋体" w:hAnsi="宋体" w:cs="宋体"/>
          <w:szCs w:val="21"/>
        </w:rPr>
      </w:pPr>
      <w:r>
        <w:rPr>
          <w:rFonts w:hint="eastAsia" w:ascii="宋体" w:hAnsi="宋体" w:cs="宋体"/>
          <w:szCs w:val="21"/>
        </w:rPr>
        <w:t>6.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00" w:lineRule="auto"/>
        <w:ind w:firstLine="420" w:firstLineChars="200"/>
        <w:rPr>
          <w:rFonts w:ascii="宋体" w:hAnsi="宋体" w:cs="宋体"/>
          <w:szCs w:val="21"/>
        </w:rPr>
      </w:pPr>
      <w:r>
        <w:rPr>
          <w:rFonts w:hint="eastAsia" w:ascii="宋体" w:hAnsi="宋体" w:cs="宋体"/>
          <w:szCs w:val="21"/>
        </w:rPr>
        <w:t>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rPr>
          <w:rFonts w:hint="eastAsia" w:ascii="宋体" w:hAnsi="宋体"/>
          <w:b/>
          <w:kern w:val="10"/>
          <w:szCs w:val="21"/>
        </w:rPr>
      </w:pPr>
      <w:r>
        <w:rPr>
          <w:rFonts w:hint="eastAsia" w:ascii="宋体" w:hAnsi="宋体"/>
          <w:b/>
          <w:kern w:val="10"/>
          <w:szCs w:val="21"/>
        </w:rPr>
        <w:t>三、获取采购文件</w:t>
      </w:r>
    </w:p>
    <w:p>
      <w:pPr>
        <w:spacing w:line="360" w:lineRule="auto"/>
        <w:ind w:firstLine="525" w:firstLineChars="250"/>
        <w:rPr>
          <w:rFonts w:hint="eastAsia" w:ascii="宋体" w:hAnsi="宋体"/>
          <w:b w:val="0"/>
          <w:bCs/>
          <w:kern w:val="10"/>
          <w:szCs w:val="21"/>
        </w:rPr>
      </w:pPr>
      <w:r>
        <w:rPr>
          <w:rFonts w:hint="eastAsia" w:ascii="宋体" w:hAnsi="宋体"/>
          <w:b w:val="0"/>
          <w:bCs/>
          <w:kern w:val="10"/>
          <w:szCs w:val="21"/>
        </w:rPr>
        <w:t>时间：</w:t>
      </w:r>
      <w:r>
        <w:rPr>
          <w:rFonts w:hint="eastAsia" w:ascii="宋体" w:hAnsi="宋体" w:cs="宋体"/>
          <w:spacing w:val="2"/>
          <w:szCs w:val="21"/>
          <w:u w:val="none"/>
        </w:rPr>
        <w:t>2020年</w:t>
      </w:r>
      <w:r>
        <w:rPr>
          <w:rFonts w:hint="eastAsia" w:ascii="宋体" w:hAnsi="宋体" w:cs="宋体"/>
          <w:spacing w:val="2"/>
          <w:szCs w:val="21"/>
          <w:u w:val="none"/>
          <w:lang w:val="en-US" w:eastAsia="zh-CN"/>
        </w:rPr>
        <w:t>12</w:t>
      </w:r>
      <w:r>
        <w:rPr>
          <w:rFonts w:hint="eastAsia" w:ascii="宋体" w:hAnsi="宋体" w:cs="宋体"/>
          <w:spacing w:val="2"/>
          <w:szCs w:val="21"/>
          <w:u w:val="none"/>
        </w:rPr>
        <w:t>月</w:t>
      </w:r>
      <w:r>
        <w:rPr>
          <w:rFonts w:hint="eastAsia" w:ascii="宋体" w:hAnsi="宋体" w:cs="宋体"/>
          <w:spacing w:val="2"/>
          <w:szCs w:val="21"/>
          <w:u w:val="none"/>
          <w:lang w:val="en-US" w:eastAsia="zh-CN"/>
        </w:rPr>
        <w:t>8</w:t>
      </w:r>
      <w:r>
        <w:rPr>
          <w:rFonts w:hint="eastAsia" w:ascii="宋体" w:hAnsi="宋体" w:cs="宋体"/>
          <w:spacing w:val="2"/>
          <w:szCs w:val="21"/>
          <w:u w:val="none"/>
        </w:rPr>
        <w:t>日</w:t>
      </w:r>
      <w:r>
        <w:rPr>
          <w:rFonts w:hint="eastAsia" w:ascii="宋体" w:hAnsi="宋体"/>
          <w:b w:val="0"/>
          <w:bCs/>
          <w:kern w:val="10"/>
          <w:szCs w:val="21"/>
          <w:lang w:val="en-US" w:eastAsia="zh-CN"/>
        </w:rPr>
        <w:t xml:space="preserve"> </w:t>
      </w:r>
      <w:r>
        <w:rPr>
          <w:rFonts w:hint="eastAsia" w:ascii="宋体" w:hAnsi="宋体"/>
          <w:b w:val="0"/>
          <w:bCs/>
          <w:kern w:val="10"/>
          <w:szCs w:val="21"/>
        </w:rPr>
        <w:t>至</w:t>
      </w:r>
      <w:r>
        <w:rPr>
          <w:rFonts w:hint="eastAsia" w:ascii="宋体" w:hAnsi="宋体" w:cs="宋体"/>
          <w:spacing w:val="2"/>
          <w:szCs w:val="21"/>
          <w:u w:val="none"/>
        </w:rPr>
        <w:t>2020年</w:t>
      </w:r>
      <w:r>
        <w:rPr>
          <w:rFonts w:hint="eastAsia" w:ascii="宋体" w:hAnsi="宋体" w:cs="宋体"/>
          <w:spacing w:val="2"/>
          <w:szCs w:val="21"/>
          <w:u w:val="none"/>
          <w:lang w:val="en-US" w:eastAsia="zh-CN"/>
        </w:rPr>
        <w:t>12</w:t>
      </w:r>
      <w:r>
        <w:rPr>
          <w:rFonts w:hint="eastAsia" w:ascii="宋体" w:hAnsi="宋体" w:cs="宋体"/>
          <w:spacing w:val="2"/>
          <w:szCs w:val="21"/>
          <w:u w:val="none"/>
        </w:rPr>
        <w:t>月</w:t>
      </w:r>
      <w:r>
        <w:rPr>
          <w:rFonts w:hint="eastAsia" w:ascii="宋体" w:hAnsi="宋体" w:cs="宋体"/>
          <w:spacing w:val="2"/>
          <w:szCs w:val="21"/>
          <w:u w:val="none"/>
          <w:lang w:val="en-US" w:eastAsia="zh-CN"/>
        </w:rPr>
        <w:t>10</w:t>
      </w:r>
      <w:r>
        <w:rPr>
          <w:rFonts w:hint="eastAsia" w:ascii="宋体" w:hAnsi="宋体" w:cs="宋体"/>
          <w:spacing w:val="2"/>
          <w:szCs w:val="21"/>
          <w:u w:val="none"/>
        </w:rPr>
        <w:t xml:space="preserve"> 日</w:t>
      </w:r>
      <w:r>
        <w:rPr>
          <w:rFonts w:hint="eastAsia" w:ascii="宋体" w:hAnsi="宋体"/>
          <w:b w:val="0"/>
          <w:bCs/>
          <w:kern w:val="10"/>
          <w:szCs w:val="21"/>
        </w:rPr>
        <w:t>，每天上午</w:t>
      </w:r>
      <w:r>
        <w:rPr>
          <w:rFonts w:hint="eastAsia" w:ascii="宋体" w:hAnsi="宋体"/>
          <w:b w:val="0"/>
          <w:bCs/>
          <w:kern w:val="10"/>
          <w:szCs w:val="21"/>
          <w:lang w:val="en-US" w:eastAsia="zh-CN"/>
        </w:rPr>
        <w:t>08:00</w:t>
      </w:r>
      <w:r>
        <w:rPr>
          <w:rFonts w:hint="eastAsia" w:ascii="宋体" w:hAnsi="宋体"/>
          <w:b w:val="0"/>
          <w:bCs/>
          <w:kern w:val="10"/>
          <w:szCs w:val="21"/>
        </w:rPr>
        <w:t>至</w:t>
      </w:r>
      <w:r>
        <w:rPr>
          <w:rFonts w:hint="eastAsia" w:ascii="宋体" w:hAnsi="宋体"/>
          <w:b w:val="0"/>
          <w:bCs/>
          <w:kern w:val="10"/>
          <w:szCs w:val="21"/>
          <w:lang w:val="en-US" w:eastAsia="zh-CN"/>
        </w:rPr>
        <w:t>12:00</w:t>
      </w:r>
      <w:r>
        <w:rPr>
          <w:rFonts w:hint="eastAsia" w:ascii="宋体" w:hAnsi="宋体"/>
          <w:b w:val="0"/>
          <w:bCs/>
          <w:kern w:val="10"/>
          <w:szCs w:val="21"/>
        </w:rPr>
        <w:t>，下午</w:t>
      </w:r>
      <w:r>
        <w:rPr>
          <w:rFonts w:hint="eastAsia" w:ascii="宋体" w:hAnsi="宋体"/>
          <w:b w:val="0"/>
          <w:bCs/>
          <w:kern w:val="10"/>
          <w:szCs w:val="21"/>
          <w:lang w:val="en-US" w:eastAsia="zh-CN"/>
        </w:rPr>
        <w:t>15:00</w:t>
      </w:r>
      <w:r>
        <w:rPr>
          <w:rFonts w:hint="eastAsia" w:ascii="宋体" w:hAnsi="宋体"/>
          <w:b w:val="0"/>
          <w:bCs/>
          <w:kern w:val="10"/>
          <w:szCs w:val="21"/>
        </w:rPr>
        <w:t>至</w:t>
      </w:r>
      <w:r>
        <w:rPr>
          <w:rFonts w:hint="eastAsia" w:ascii="宋体" w:hAnsi="宋体"/>
          <w:b w:val="0"/>
          <w:bCs/>
          <w:kern w:val="10"/>
          <w:szCs w:val="21"/>
          <w:lang w:val="en-US" w:eastAsia="zh-CN"/>
        </w:rPr>
        <w:t>18:00</w:t>
      </w:r>
      <w:r>
        <w:rPr>
          <w:rFonts w:hint="eastAsia" w:ascii="宋体" w:hAnsi="宋体"/>
          <w:b w:val="0"/>
          <w:bCs/>
          <w:kern w:val="10"/>
          <w:szCs w:val="21"/>
        </w:rPr>
        <w:t>（北京时间，法定节假日除外）</w:t>
      </w:r>
    </w:p>
    <w:p>
      <w:pPr>
        <w:spacing w:line="360" w:lineRule="auto"/>
        <w:ind w:firstLine="525" w:firstLineChars="250"/>
        <w:rPr>
          <w:rFonts w:hint="eastAsia" w:ascii="宋体" w:hAnsi="宋体" w:eastAsia="宋体"/>
          <w:b w:val="0"/>
          <w:bCs/>
          <w:kern w:val="10"/>
          <w:szCs w:val="21"/>
          <w:lang w:eastAsia="zh-CN"/>
        </w:rPr>
      </w:pPr>
      <w:r>
        <w:rPr>
          <w:rFonts w:hint="eastAsia" w:ascii="宋体" w:hAnsi="宋体"/>
          <w:b w:val="0"/>
          <w:bCs/>
          <w:kern w:val="10"/>
          <w:szCs w:val="21"/>
        </w:rPr>
        <w:t>地点：华春建设工程项目管理有限责任公司（百色市右江区前程路4号长乐星城1号写字楼10楼）</w:t>
      </w:r>
    </w:p>
    <w:p>
      <w:pPr>
        <w:widowControl/>
        <w:spacing w:line="360" w:lineRule="auto"/>
        <w:ind w:firstLine="420" w:firstLineChars="200"/>
        <w:jc w:val="left"/>
        <w:rPr>
          <w:rFonts w:hint="eastAsia" w:ascii="宋体" w:hAnsi="宋体"/>
          <w:b w:val="0"/>
          <w:bCs/>
          <w:kern w:val="10"/>
          <w:szCs w:val="21"/>
          <w:lang w:eastAsia="zh-CN"/>
        </w:rPr>
      </w:pPr>
      <w:r>
        <w:rPr>
          <w:rFonts w:hint="eastAsia" w:ascii="宋体" w:hAnsi="宋体"/>
          <w:b w:val="0"/>
          <w:bCs/>
          <w:kern w:val="10"/>
          <w:szCs w:val="21"/>
        </w:rPr>
        <w:t>方式：由依法获得采购人和评审专家分别书面推荐的谈判供应商的法定代表人或委托代理人携带以下资料各一份前来购买竞争性谈判文件：(1)竞争性谈判邀请书原件。(2)有效的营业执照复印件；(3)法定代表人身份证复印件；(4)法定代表人授权委托书原件(委托时必须提供，明确委托权限；(5)委托代理人身份证复印件(委托时必须提供)；（</w:t>
      </w:r>
      <w:r>
        <w:rPr>
          <w:rFonts w:hint="eastAsia" w:ascii="宋体" w:hAnsi="宋体"/>
          <w:b w:val="0"/>
          <w:bCs/>
          <w:kern w:val="10"/>
          <w:szCs w:val="21"/>
          <w:lang w:val="en-US" w:eastAsia="zh-CN"/>
        </w:rPr>
        <w:t>6</w:t>
      </w:r>
      <w:r>
        <w:rPr>
          <w:rFonts w:hint="eastAsia" w:ascii="宋体" w:hAnsi="宋体"/>
          <w:b w:val="0"/>
          <w:bCs/>
          <w:kern w:val="10"/>
          <w:szCs w:val="21"/>
        </w:rPr>
        <w:t>）提供本单位参加政府采购活动前 3 年内在经营活动中没有重大违法记录的书面声明。备齐上述材料方可获取竞争性谈判文件。</w:t>
      </w:r>
    </w:p>
    <w:p>
      <w:pPr>
        <w:spacing w:line="360" w:lineRule="auto"/>
        <w:rPr>
          <w:rFonts w:hint="eastAsia" w:ascii="宋体" w:hAnsi="宋体"/>
          <w:b/>
          <w:kern w:val="10"/>
          <w:szCs w:val="21"/>
        </w:rPr>
      </w:pPr>
      <w:bookmarkStart w:id="8" w:name="_Toc28359015"/>
      <w:bookmarkStart w:id="9" w:name="_Toc35393632"/>
      <w:bookmarkStart w:id="10" w:name="_Toc28359092"/>
      <w:bookmarkStart w:id="11" w:name="_Toc35393801"/>
      <w:r>
        <w:rPr>
          <w:rFonts w:hint="eastAsia" w:ascii="宋体" w:hAnsi="宋体"/>
          <w:b/>
          <w:kern w:val="10"/>
          <w:szCs w:val="21"/>
        </w:rPr>
        <w:t>四、响应文件提交</w:t>
      </w:r>
      <w:bookmarkEnd w:id="8"/>
      <w:bookmarkEnd w:id="9"/>
      <w:bookmarkEnd w:id="10"/>
      <w:bookmarkEnd w:id="11"/>
    </w:p>
    <w:p>
      <w:pPr>
        <w:spacing w:line="360" w:lineRule="auto"/>
        <w:ind w:firstLine="525" w:firstLineChars="250"/>
        <w:rPr>
          <w:rFonts w:hint="eastAsia" w:ascii="宋体" w:hAnsi="宋体"/>
          <w:b w:val="0"/>
          <w:bCs/>
          <w:kern w:val="10"/>
          <w:szCs w:val="21"/>
        </w:rPr>
      </w:pPr>
      <w:r>
        <w:rPr>
          <w:rFonts w:hint="eastAsia" w:ascii="宋体" w:hAnsi="宋体"/>
          <w:b w:val="0"/>
          <w:bCs/>
          <w:kern w:val="10"/>
          <w:szCs w:val="21"/>
        </w:rPr>
        <w:t>截止时间：</w:t>
      </w:r>
      <w:r>
        <w:rPr>
          <w:rFonts w:hint="eastAsia" w:ascii="宋体" w:hAnsi="宋体" w:cs="宋体"/>
          <w:spacing w:val="2"/>
          <w:szCs w:val="21"/>
          <w:u w:val="none"/>
        </w:rPr>
        <w:t>2020年</w:t>
      </w:r>
      <w:r>
        <w:rPr>
          <w:rFonts w:hint="eastAsia" w:ascii="宋体" w:hAnsi="宋体" w:cs="宋体"/>
          <w:spacing w:val="2"/>
          <w:szCs w:val="21"/>
          <w:u w:val="none"/>
          <w:lang w:val="en-US" w:eastAsia="zh-CN"/>
        </w:rPr>
        <w:t>12</w:t>
      </w:r>
      <w:r>
        <w:rPr>
          <w:rFonts w:hint="eastAsia" w:ascii="宋体" w:hAnsi="宋体" w:cs="宋体"/>
          <w:spacing w:val="2"/>
          <w:szCs w:val="21"/>
          <w:u w:val="none"/>
        </w:rPr>
        <w:t>月</w:t>
      </w:r>
      <w:r>
        <w:rPr>
          <w:rFonts w:hint="eastAsia" w:ascii="宋体" w:hAnsi="宋体" w:cs="宋体"/>
          <w:spacing w:val="2"/>
          <w:szCs w:val="21"/>
          <w:u w:val="none"/>
          <w:lang w:val="en-US" w:eastAsia="zh-CN"/>
        </w:rPr>
        <w:t>11</w:t>
      </w:r>
      <w:r>
        <w:rPr>
          <w:rFonts w:hint="eastAsia" w:ascii="宋体" w:hAnsi="宋体" w:cs="宋体"/>
          <w:spacing w:val="2"/>
          <w:szCs w:val="21"/>
          <w:u w:val="none"/>
        </w:rPr>
        <w:t>日</w:t>
      </w:r>
      <w:r>
        <w:rPr>
          <w:rFonts w:hint="eastAsia" w:ascii="宋体" w:hAnsi="宋体" w:cs="宋体"/>
          <w:spacing w:val="2"/>
          <w:szCs w:val="21"/>
          <w:u w:val="none"/>
          <w:lang w:val="en-US" w:eastAsia="zh-CN"/>
        </w:rPr>
        <w:t>10</w:t>
      </w:r>
      <w:r>
        <w:rPr>
          <w:rFonts w:hint="eastAsia" w:ascii="宋体" w:hAnsi="宋体" w:cs="宋体"/>
          <w:spacing w:val="2"/>
          <w:szCs w:val="21"/>
          <w:u w:val="none"/>
        </w:rPr>
        <w:t>点</w:t>
      </w:r>
      <w:r>
        <w:rPr>
          <w:rFonts w:hint="eastAsia" w:ascii="宋体" w:hAnsi="宋体" w:cs="宋体"/>
          <w:spacing w:val="2"/>
          <w:szCs w:val="21"/>
          <w:u w:val="none"/>
          <w:lang w:val="en-US" w:eastAsia="zh-CN"/>
        </w:rPr>
        <w:t>00</w:t>
      </w:r>
      <w:r>
        <w:rPr>
          <w:rFonts w:hint="eastAsia" w:ascii="宋体" w:hAnsi="宋体" w:cs="宋体"/>
          <w:spacing w:val="2"/>
          <w:szCs w:val="21"/>
          <w:u w:val="none"/>
        </w:rPr>
        <w:t xml:space="preserve"> 分</w:t>
      </w:r>
      <w:r>
        <w:rPr>
          <w:rFonts w:hint="eastAsia" w:ascii="宋体" w:hAnsi="宋体"/>
          <w:b w:val="0"/>
          <w:bCs/>
          <w:kern w:val="10"/>
          <w:szCs w:val="21"/>
        </w:rPr>
        <w:t>（北京时间）</w:t>
      </w:r>
    </w:p>
    <w:p>
      <w:pPr>
        <w:spacing w:line="360" w:lineRule="auto"/>
        <w:ind w:firstLine="525" w:firstLineChars="250"/>
        <w:rPr>
          <w:rFonts w:hint="eastAsia" w:ascii="宋体" w:hAnsi="宋体" w:cs="Courier New"/>
          <w:color w:val="000000"/>
          <w:spacing w:val="2"/>
          <w:kern w:val="10"/>
          <w:lang w:eastAsia="zh-CN"/>
        </w:rPr>
      </w:pPr>
      <w:r>
        <w:rPr>
          <w:rFonts w:hint="eastAsia" w:ascii="宋体" w:hAnsi="宋体"/>
          <w:b w:val="0"/>
          <w:bCs/>
          <w:kern w:val="10"/>
          <w:szCs w:val="21"/>
        </w:rPr>
        <w:t>地点：</w:t>
      </w:r>
      <w:r>
        <w:rPr>
          <w:rFonts w:hint="eastAsia" w:ascii="宋体" w:hAnsi="宋体" w:cs="Courier New"/>
          <w:color w:val="000000"/>
          <w:spacing w:val="2"/>
          <w:kern w:val="10"/>
          <w:lang w:eastAsia="zh-CN"/>
        </w:rPr>
        <w:t>华春建设工程项目管理有限责任公司（百色市右江区前程路4号长乐星城1号写字楼</w:t>
      </w:r>
      <w:r>
        <w:rPr>
          <w:rFonts w:hint="eastAsia" w:ascii="宋体" w:hAnsi="宋体" w:cs="Courier New"/>
          <w:color w:val="000000"/>
          <w:spacing w:val="2"/>
          <w:kern w:val="10"/>
          <w:lang w:val="en-US" w:eastAsia="zh-CN"/>
        </w:rPr>
        <w:t>7</w:t>
      </w:r>
      <w:r>
        <w:rPr>
          <w:rFonts w:hint="eastAsia" w:ascii="宋体" w:hAnsi="宋体" w:cs="Courier New"/>
          <w:color w:val="000000"/>
          <w:spacing w:val="2"/>
          <w:kern w:val="10"/>
          <w:lang w:eastAsia="zh-CN"/>
        </w:rPr>
        <w:t>楼</w:t>
      </w:r>
      <w:r>
        <w:rPr>
          <w:rFonts w:hint="eastAsia" w:ascii="宋体" w:hAnsi="宋体" w:cs="Courier New"/>
          <w:color w:val="000000"/>
          <w:spacing w:val="2"/>
          <w:kern w:val="10"/>
          <w:lang w:val="en-US" w:eastAsia="zh-CN"/>
        </w:rPr>
        <w:t>705室</w:t>
      </w:r>
      <w:r>
        <w:rPr>
          <w:rFonts w:hint="eastAsia" w:ascii="宋体" w:hAnsi="宋体" w:cs="Courier New"/>
          <w:color w:val="000000"/>
          <w:spacing w:val="2"/>
          <w:kern w:val="10"/>
          <w:lang w:eastAsia="zh-CN"/>
        </w:rPr>
        <w:t>）</w:t>
      </w:r>
    </w:p>
    <w:p>
      <w:pPr>
        <w:spacing w:line="360" w:lineRule="auto"/>
        <w:rPr>
          <w:rFonts w:hint="eastAsia" w:ascii="宋体" w:hAnsi="宋体" w:cs="Courier New"/>
          <w:b/>
          <w:bCs/>
          <w:color w:val="000000"/>
          <w:spacing w:val="2"/>
          <w:kern w:val="10"/>
          <w:lang w:eastAsia="zh-CN"/>
        </w:rPr>
      </w:pPr>
      <w:bookmarkStart w:id="12" w:name="_Toc28359016"/>
      <w:bookmarkStart w:id="13" w:name="_Toc35393633"/>
      <w:bookmarkStart w:id="14" w:name="_Toc35393802"/>
      <w:bookmarkStart w:id="15" w:name="_Toc28359093"/>
      <w:r>
        <w:rPr>
          <w:rFonts w:hint="eastAsia" w:ascii="宋体" w:hAnsi="宋体" w:cs="Courier New"/>
          <w:b/>
          <w:bCs/>
          <w:color w:val="000000"/>
          <w:spacing w:val="2"/>
          <w:kern w:val="10"/>
          <w:lang w:eastAsia="zh-CN"/>
        </w:rPr>
        <w:t>五、开启</w:t>
      </w:r>
      <w:bookmarkEnd w:id="12"/>
      <w:bookmarkEnd w:id="13"/>
      <w:bookmarkEnd w:id="14"/>
      <w:bookmarkEnd w:id="15"/>
    </w:p>
    <w:p>
      <w:pPr>
        <w:spacing w:line="360" w:lineRule="auto"/>
        <w:ind w:firstLine="525" w:firstLineChars="250"/>
        <w:rPr>
          <w:rFonts w:hint="eastAsia" w:ascii="宋体" w:hAnsi="宋体"/>
          <w:b w:val="0"/>
          <w:bCs/>
          <w:kern w:val="10"/>
          <w:szCs w:val="21"/>
        </w:rPr>
      </w:pPr>
      <w:r>
        <w:rPr>
          <w:rFonts w:hint="eastAsia" w:ascii="宋体" w:hAnsi="宋体"/>
          <w:b w:val="0"/>
          <w:bCs/>
          <w:kern w:val="10"/>
          <w:szCs w:val="21"/>
        </w:rPr>
        <w:t>时间：</w:t>
      </w:r>
      <w:r>
        <w:rPr>
          <w:rFonts w:hint="eastAsia" w:ascii="宋体" w:hAnsi="宋体" w:cs="宋体"/>
          <w:spacing w:val="2"/>
          <w:szCs w:val="21"/>
          <w:u w:val="none"/>
        </w:rPr>
        <w:t>2020年</w:t>
      </w:r>
      <w:r>
        <w:rPr>
          <w:rFonts w:hint="eastAsia" w:ascii="宋体" w:hAnsi="宋体" w:cs="宋体"/>
          <w:spacing w:val="2"/>
          <w:szCs w:val="21"/>
          <w:u w:val="none"/>
          <w:lang w:val="en-US" w:eastAsia="zh-CN"/>
        </w:rPr>
        <w:t>12</w:t>
      </w:r>
      <w:r>
        <w:rPr>
          <w:rFonts w:hint="eastAsia" w:ascii="宋体" w:hAnsi="宋体" w:cs="宋体"/>
          <w:spacing w:val="2"/>
          <w:szCs w:val="21"/>
          <w:u w:val="none"/>
        </w:rPr>
        <w:t>月</w:t>
      </w:r>
      <w:r>
        <w:rPr>
          <w:rFonts w:hint="eastAsia" w:ascii="宋体" w:hAnsi="宋体" w:cs="宋体"/>
          <w:spacing w:val="2"/>
          <w:szCs w:val="21"/>
          <w:u w:val="none"/>
          <w:lang w:val="en-US" w:eastAsia="zh-CN"/>
        </w:rPr>
        <w:t>11</w:t>
      </w:r>
      <w:r>
        <w:rPr>
          <w:rFonts w:hint="eastAsia" w:ascii="宋体" w:hAnsi="宋体" w:cs="宋体"/>
          <w:spacing w:val="2"/>
          <w:szCs w:val="21"/>
          <w:u w:val="none"/>
        </w:rPr>
        <w:t xml:space="preserve">日 </w:t>
      </w:r>
      <w:r>
        <w:rPr>
          <w:rFonts w:hint="eastAsia" w:ascii="宋体" w:hAnsi="宋体" w:cs="宋体"/>
          <w:spacing w:val="2"/>
          <w:szCs w:val="21"/>
          <w:u w:val="none"/>
          <w:lang w:val="en-US" w:eastAsia="zh-CN"/>
        </w:rPr>
        <w:t>10</w:t>
      </w:r>
      <w:r>
        <w:rPr>
          <w:rFonts w:hint="eastAsia" w:ascii="宋体" w:hAnsi="宋体" w:cs="宋体"/>
          <w:spacing w:val="2"/>
          <w:szCs w:val="21"/>
          <w:u w:val="none"/>
        </w:rPr>
        <w:t>点</w:t>
      </w:r>
      <w:r>
        <w:rPr>
          <w:rFonts w:hint="eastAsia" w:ascii="宋体" w:hAnsi="宋体" w:cs="宋体"/>
          <w:spacing w:val="2"/>
          <w:szCs w:val="21"/>
          <w:u w:val="none"/>
          <w:lang w:val="en-US" w:eastAsia="zh-CN"/>
        </w:rPr>
        <w:t>00</w:t>
      </w:r>
      <w:r>
        <w:rPr>
          <w:rFonts w:hint="eastAsia" w:ascii="宋体" w:hAnsi="宋体" w:cs="宋体"/>
          <w:spacing w:val="2"/>
          <w:szCs w:val="21"/>
          <w:u w:val="none"/>
        </w:rPr>
        <w:t>分</w:t>
      </w:r>
      <w:r>
        <w:rPr>
          <w:rFonts w:hint="eastAsia" w:ascii="宋体" w:hAnsi="宋体"/>
          <w:b w:val="0"/>
          <w:bCs/>
          <w:kern w:val="10"/>
          <w:szCs w:val="21"/>
        </w:rPr>
        <w:t>（北京时间）</w:t>
      </w:r>
    </w:p>
    <w:p>
      <w:pPr>
        <w:spacing w:line="360" w:lineRule="auto"/>
        <w:ind w:firstLine="525" w:firstLineChars="250"/>
        <w:rPr>
          <w:rFonts w:hint="eastAsia" w:ascii="宋体" w:hAnsi="宋体" w:cs="Courier New"/>
          <w:color w:val="000000"/>
          <w:spacing w:val="2"/>
          <w:kern w:val="10"/>
          <w:lang w:eastAsia="zh-CN"/>
        </w:rPr>
      </w:pPr>
      <w:r>
        <w:rPr>
          <w:rFonts w:hint="eastAsia" w:ascii="宋体" w:hAnsi="宋体"/>
          <w:b w:val="0"/>
          <w:bCs/>
          <w:kern w:val="10"/>
          <w:szCs w:val="21"/>
        </w:rPr>
        <w:t>地点：</w:t>
      </w:r>
      <w:r>
        <w:rPr>
          <w:rFonts w:hint="eastAsia" w:ascii="宋体" w:hAnsi="宋体" w:cs="Courier New"/>
          <w:color w:val="000000"/>
          <w:spacing w:val="2"/>
          <w:kern w:val="10"/>
          <w:lang w:eastAsia="zh-CN"/>
        </w:rPr>
        <w:t>华春建设工程项目管理有限责任公司</w:t>
      </w:r>
      <w:bookmarkStart w:id="16" w:name="_Toc28359094"/>
      <w:bookmarkStart w:id="17" w:name="_Toc35393634"/>
      <w:bookmarkStart w:id="18" w:name="_Toc35393803"/>
      <w:bookmarkStart w:id="19" w:name="_Toc28359017"/>
      <w:r>
        <w:rPr>
          <w:rFonts w:hint="eastAsia" w:ascii="宋体" w:hAnsi="宋体" w:cs="Courier New"/>
          <w:color w:val="000000"/>
          <w:spacing w:val="2"/>
          <w:kern w:val="10"/>
          <w:lang w:eastAsia="zh-CN"/>
        </w:rPr>
        <w:t>（百色市右江区前程路4号长乐星城1号写字楼</w:t>
      </w:r>
      <w:r>
        <w:rPr>
          <w:rFonts w:hint="eastAsia" w:ascii="宋体" w:hAnsi="宋体" w:cs="Courier New"/>
          <w:color w:val="000000"/>
          <w:spacing w:val="2"/>
          <w:kern w:val="10"/>
          <w:lang w:val="en-US" w:eastAsia="zh-CN"/>
        </w:rPr>
        <w:t>7</w:t>
      </w:r>
      <w:r>
        <w:rPr>
          <w:rFonts w:hint="eastAsia" w:ascii="宋体" w:hAnsi="宋体" w:cs="Courier New"/>
          <w:color w:val="000000"/>
          <w:spacing w:val="2"/>
          <w:kern w:val="10"/>
          <w:lang w:eastAsia="zh-CN"/>
        </w:rPr>
        <w:t>楼</w:t>
      </w:r>
      <w:r>
        <w:rPr>
          <w:rFonts w:hint="eastAsia" w:ascii="宋体" w:hAnsi="宋体" w:cs="Courier New"/>
          <w:color w:val="000000"/>
          <w:spacing w:val="2"/>
          <w:kern w:val="10"/>
          <w:lang w:val="en-US" w:eastAsia="zh-CN"/>
        </w:rPr>
        <w:t>705室</w:t>
      </w:r>
      <w:r>
        <w:rPr>
          <w:rFonts w:hint="eastAsia" w:ascii="宋体" w:hAnsi="宋体" w:cs="Courier New"/>
          <w:color w:val="000000"/>
          <w:spacing w:val="2"/>
          <w:kern w:val="10"/>
          <w:lang w:eastAsia="zh-CN"/>
        </w:rPr>
        <w:t>）</w:t>
      </w:r>
    </w:p>
    <w:p>
      <w:pPr>
        <w:spacing w:line="360" w:lineRule="auto"/>
        <w:rPr>
          <w:rFonts w:hint="eastAsia" w:ascii="宋体" w:hAnsi="宋体"/>
          <w:b/>
          <w:kern w:val="10"/>
          <w:szCs w:val="21"/>
        </w:rPr>
      </w:pPr>
      <w:r>
        <w:rPr>
          <w:rFonts w:hint="eastAsia" w:ascii="宋体" w:hAnsi="宋体"/>
          <w:b/>
          <w:kern w:val="10"/>
          <w:szCs w:val="21"/>
        </w:rPr>
        <w:t>六、公告期限</w:t>
      </w:r>
      <w:bookmarkEnd w:id="16"/>
      <w:bookmarkEnd w:id="17"/>
      <w:bookmarkEnd w:id="18"/>
      <w:bookmarkEnd w:id="19"/>
    </w:p>
    <w:p>
      <w:pPr>
        <w:spacing w:line="360" w:lineRule="auto"/>
        <w:ind w:firstLine="525" w:firstLineChars="250"/>
        <w:rPr>
          <w:rFonts w:hint="eastAsia" w:ascii="宋体" w:hAnsi="宋体"/>
          <w:b w:val="0"/>
          <w:bCs/>
          <w:kern w:val="10"/>
          <w:szCs w:val="21"/>
        </w:rPr>
      </w:pPr>
      <w:r>
        <w:rPr>
          <w:rFonts w:hint="eastAsia" w:ascii="宋体" w:hAnsi="宋体"/>
          <w:b w:val="0"/>
          <w:bCs/>
          <w:kern w:val="10"/>
          <w:szCs w:val="21"/>
        </w:rPr>
        <w:t>自本公告发布之日起3个工作日。</w:t>
      </w:r>
    </w:p>
    <w:p>
      <w:pPr>
        <w:spacing w:line="300" w:lineRule="auto"/>
        <w:jc w:val="left"/>
        <w:rPr>
          <w:rFonts w:ascii="宋体" w:hAnsi="宋体" w:cs="宋体"/>
          <w:b/>
          <w:bCs/>
          <w:szCs w:val="21"/>
        </w:rPr>
      </w:pPr>
      <w:r>
        <w:rPr>
          <w:rFonts w:hint="eastAsia" w:ascii="宋体" w:hAnsi="宋体" w:cs="宋体"/>
          <w:b/>
          <w:bCs/>
          <w:szCs w:val="21"/>
        </w:rPr>
        <w:t>七、其他补充事宜</w:t>
      </w:r>
    </w:p>
    <w:p>
      <w:pPr>
        <w:spacing w:line="360" w:lineRule="auto"/>
        <w:ind w:firstLine="422" w:firstLineChars="200"/>
        <w:rPr>
          <w:rFonts w:hint="default" w:ascii="宋体" w:hAnsi="宋体"/>
          <w:b/>
          <w:kern w:val="10"/>
          <w:szCs w:val="21"/>
          <w:lang w:val="en-US" w:eastAsia="zh-CN"/>
        </w:rPr>
      </w:pPr>
      <w:r>
        <w:rPr>
          <w:rFonts w:hint="eastAsia" w:ascii="宋体" w:hAnsi="宋体"/>
          <w:b/>
          <w:kern w:val="10"/>
          <w:szCs w:val="21"/>
          <w:lang w:val="en-US" w:eastAsia="zh-CN"/>
        </w:rPr>
        <w:t>1.根据《政府采购非招标采购方式管理办法》第十二条相关规定，本项目由采购人和评审专家分别书面推荐的方式推荐及邀请不少于3家符合相应资格条件的供应商参与竞争性谈判采购活动。</w:t>
      </w:r>
    </w:p>
    <w:p>
      <w:pPr>
        <w:spacing w:line="360" w:lineRule="auto"/>
        <w:ind w:firstLine="422" w:firstLineChars="200"/>
        <w:rPr>
          <w:rFonts w:hint="eastAsia" w:ascii="宋体" w:hAnsi="宋体" w:cs="Arial"/>
          <w:b/>
          <w:kern w:val="10"/>
          <w:sz w:val="24"/>
        </w:rPr>
      </w:pPr>
      <w:r>
        <w:rPr>
          <w:rFonts w:hint="eastAsia" w:ascii="宋体" w:hAnsi="宋体"/>
          <w:b/>
          <w:kern w:val="10"/>
          <w:szCs w:val="21"/>
          <w:lang w:val="en-US" w:eastAsia="zh-CN"/>
        </w:rPr>
        <w:t>2.</w:t>
      </w:r>
      <w:r>
        <w:rPr>
          <w:rFonts w:hint="eastAsia" w:ascii="宋体" w:hAnsi="宋体"/>
          <w:b/>
          <w:kern w:val="10"/>
          <w:szCs w:val="21"/>
        </w:rPr>
        <w:t>谈判保证金</w:t>
      </w:r>
      <w:r>
        <w:rPr>
          <w:rFonts w:hint="eastAsia" w:ascii="宋体" w:hAnsi="宋体"/>
          <w:b/>
          <w:kern w:val="10"/>
          <w:szCs w:val="21"/>
          <w:lang w:eastAsia="zh-CN"/>
        </w:rPr>
        <w:t>（</w:t>
      </w:r>
      <w:r>
        <w:rPr>
          <w:rFonts w:hint="eastAsia" w:ascii="宋体" w:hAnsi="宋体"/>
          <w:b/>
          <w:kern w:val="10"/>
          <w:szCs w:val="21"/>
        </w:rPr>
        <w:t>人民币</w:t>
      </w:r>
      <w:r>
        <w:rPr>
          <w:rFonts w:hint="eastAsia" w:ascii="宋体" w:hAnsi="宋体"/>
          <w:b/>
          <w:kern w:val="10"/>
          <w:szCs w:val="21"/>
          <w:lang w:eastAsia="zh-CN"/>
        </w:rPr>
        <w:t>）捌仟贰佰元整</w:t>
      </w:r>
      <w:r>
        <w:rPr>
          <w:rFonts w:hint="eastAsia" w:ascii="宋体" w:hAnsi="宋体"/>
          <w:b/>
          <w:kern w:val="10"/>
          <w:szCs w:val="21"/>
        </w:rPr>
        <w:t>（￥</w:t>
      </w:r>
      <w:r>
        <w:rPr>
          <w:rFonts w:hint="eastAsia" w:ascii="宋体" w:hAnsi="宋体"/>
          <w:b/>
          <w:kern w:val="10"/>
          <w:szCs w:val="21"/>
          <w:lang w:val="en-US" w:eastAsia="zh-CN"/>
        </w:rPr>
        <w:t>82</w:t>
      </w:r>
      <w:r>
        <w:rPr>
          <w:rFonts w:hint="eastAsia" w:ascii="宋体" w:hAnsi="宋体"/>
          <w:b/>
          <w:kern w:val="10"/>
          <w:szCs w:val="21"/>
        </w:rPr>
        <w:t>00.</w:t>
      </w:r>
      <w:r>
        <w:rPr>
          <w:rFonts w:ascii="宋体" w:hAnsi="宋体"/>
          <w:b/>
          <w:kern w:val="10"/>
          <w:szCs w:val="21"/>
        </w:rPr>
        <w:t>00）</w:t>
      </w:r>
      <w:r>
        <w:rPr>
          <w:rFonts w:hint="eastAsia" w:ascii="宋体" w:hAnsi="宋体"/>
          <w:b/>
          <w:kern w:val="10"/>
          <w:szCs w:val="21"/>
        </w:rPr>
        <w:t>（须足额交纳）。</w:t>
      </w:r>
    </w:p>
    <w:p>
      <w:pPr>
        <w:adjustRightInd w:val="0"/>
        <w:snapToGrid w:val="0"/>
        <w:spacing w:line="360" w:lineRule="auto"/>
        <w:ind w:firstLine="428" w:firstLineChars="200"/>
        <w:rPr>
          <w:rFonts w:hint="eastAsia" w:ascii="宋体" w:hAnsi="宋体" w:cs="Courier New"/>
          <w:color w:val="000000"/>
          <w:spacing w:val="2"/>
          <w:kern w:val="10"/>
        </w:rPr>
      </w:pPr>
      <w:r>
        <w:rPr>
          <w:rFonts w:hint="eastAsia" w:ascii="宋体" w:hAnsi="宋体" w:cs="Courier New"/>
          <w:color w:val="000000"/>
          <w:spacing w:val="2"/>
          <w:kern w:val="10"/>
        </w:rPr>
        <w:t>谈判保证金交纳方式：必须以转账</w:t>
      </w:r>
      <w:r>
        <w:rPr>
          <w:rFonts w:hint="eastAsia" w:ascii="宋体" w:hAnsi="宋体" w:cs="Courier New"/>
          <w:color w:val="000000"/>
          <w:spacing w:val="2"/>
          <w:kern w:val="10"/>
          <w:lang w:eastAsia="zh-CN"/>
        </w:rPr>
        <w:t>、</w:t>
      </w:r>
      <w:r>
        <w:rPr>
          <w:rFonts w:hint="eastAsia" w:ascii="宋体" w:hAnsi="宋体" w:cs="Courier New"/>
          <w:color w:val="000000"/>
          <w:spacing w:val="2"/>
          <w:kern w:val="10"/>
        </w:rPr>
        <w:t>电汇</w:t>
      </w:r>
      <w:r>
        <w:rPr>
          <w:rFonts w:hint="eastAsia" w:ascii="宋体" w:hAnsi="宋体" w:cs="Courier New"/>
          <w:color w:val="000000"/>
          <w:spacing w:val="2"/>
          <w:kern w:val="10"/>
          <w:lang w:eastAsia="zh-CN"/>
        </w:rPr>
        <w:t>或保函</w:t>
      </w:r>
      <w:r>
        <w:rPr>
          <w:rFonts w:hint="eastAsia" w:ascii="宋体" w:hAnsi="宋体" w:cs="Courier New"/>
          <w:color w:val="000000"/>
          <w:spacing w:val="2"/>
          <w:kern w:val="10"/>
        </w:rPr>
        <w:t>形式，竞标人必须将谈判保证金从投标单位基本账户以转账或电汇形式转出，并于递交竞标文件截止时间前到达以下账户：</w:t>
      </w:r>
    </w:p>
    <w:p>
      <w:pPr>
        <w:adjustRightInd w:val="0"/>
        <w:snapToGrid w:val="0"/>
        <w:spacing w:line="360" w:lineRule="auto"/>
        <w:ind w:firstLine="428" w:firstLineChars="200"/>
        <w:rPr>
          <w:rFonts w:hint="eastAsia" w:ascii="宋体" w:hAnsi="宋体" w:cs="Courier New"/>
          <w:color w:val="000000"/>
          <w:spacing w:val="2"/>
          <w:kern w:val="10"/>
        </w:rPr>
      </w:pPr>
      <w:r>
        <w:rPr>
          <w:rFonts w:hint="eastAsia" w:ascii="宋体" w:hAnsi="宋体" w:cs="Courier New"/>
          <w:color w:val="000000"/>
          <w:spacing w:val="2"/>
          <w:kern w:val="10"/>
        </w:rPr>
        <w:t>账号名称：华春建设工程项目管理有限责任公司广西百色分公司</w:t>
      </w:r>
    </w:p>
    <w:p>
      <w:pPr>
        <w:adjustRightInd w:val="0"/>
        <w:snapToGrid w:val="0"/>
        <w:spacing w:line="360" w:lineRule="auto"/>
        <w:ind w:firstLine="428" w:firstLineChars="200"/>
        <w:rPr>
          <w:rFonts w:hint="eastAsia" w:ascii="宋体" w:hAnsi="宋体" w:cs="Courier New"/>
          <w:color w:val="000000"/>
          <w:spacing w:val="2"/>
          <w:kern w:val="10"/>
        </w:rPr>
      </w:pPr>
      <w:r>
        <w:rPr>
          <w:rFonts w:hint="eastAsia" w:ascii="宋体" w:hAnsi="宋体" w:cs="Courier New"/>
          <w:color w:val="000000"/>
          <w:spacing w:val="2"/>
          <w:kern w:val="10"/>
        </w:rPr>
        <w:t>开户行：交通银行股份有限公司百色分行</w:t>
      </w:r>
    </w:p>
    <w:p>
      <w:pPr>
        <w:adjustRightInd w:val="0"/>
        <w:snapToGrid w:val="0"/>
        <w:spacing w:line="360" w:lineRule="auto"/>
        <w:ind w:firstLine="428" w:firstLineChars="200"/>
        <w:rPr>
          <w:rFonts w:hint="eastAsia" w:ascii="宋体" w:hAnsi="宋体" w:cs="Courier New"/>
          <w:color w:val="000000"/>
          <w:spacing w:val="2"/>
          <w:kern w:val="10"/>
        </w:rPr>
      </w:pPr>
      <w:r>
        <w:rPr>
          <w:rFonts w:hint="eastAsia" w:ascii="宋体" w:hAnsi="宋体" w:cs="Courier New"/>
          <w:color w:val="000000"/>
          <w:spacing w:val="2"/>
          <w:kern w:val="10"/>
        </w:rPr>
        <w:t>账号：457626101018010074293</w:t>
      </w:r>
    </w:p>
    <w:p>
      <w:pPr>
        <w:adjustRightInd w:val="0"/>
        <w:snapToGrid w:val="0"/>
        <w:spacing w:line="360" w:lineRule="auto"/>
        <w:ind w:firstLine="430" w:firstLineChars="200"/>
        <w:rPr>
          <w:rFonts w:hint="default" w:ascii="宋体" w:hAnsi="宋体" w:cs="Courier New"/>
          <w:color w:val="000000"/>
          <w:spacing w:val="2"/>
          <w:kern w:val="10"/>
          <w:lang w:val="en-US" w:eastAsia="zh-CN"/>
        </w:rPr>
      </w:pPr>
      <w:r>
        <w:rPr>
          <w:rFonts w:hint="eastAsia" w:ascii="宋体" w:hAnsi="宋体" w:cs="Courier New"/>
          <w:b/>
          <w:bCs/>
          <w:color w:val="000000"/>
          <w:spacing w:val="2"/>
          <w:kern w:val="10"/>
          <w:lang w:val="en-US" w:eastAsia="zh-CN"/>
        </w:rPr>
        <w:t>3.信息公告发布媒体</w:t>
      </w:r>
      <w:r>
        <w:rPr>
          <w:rFonts w:hint="eastAsia" w:ascii="宋体" w:hAnsi="宋体" w:cs="Courier New"/>
          <w:color w:val="000000"/>
          <w:spacing w:val="2"/>
          <w:kern w:val="10"/>
          <w:lang w:val="en-US" w:eastAsia="zh-CN"/>
        </w:rPr>
        <w:t>：中国政府采购网（http://</w:t>
      </w:r>
      <w:r>
        <w:rPr>
          <w:rFonts w:hint="eastAsia" w:ascii="宋体" w:hAnsi="宋体" w:cs="Courier New"/>
          <w:color w:val="000000"/>
          <w:spacing w:val="2"/>
          <w:kern w:val="10"/>
          <w:lang w:val="en-US" w:eastAsia="zh-CN"/>
        </w:rPr>
        <w:fldChar w:fldCharType="begin"/>
      </w:r>
      <w:r>
        <w:rPr>
          <w:rFonts w:hint="eastAsia" w:ascii="宋体" w:hAnsi="宋体" w:cs="Courier New"/>
          <w:color w:val="000000"/>
          <w:spacing w:val="2"/>
          <w:kern w:val="10"/>
          <w:lang w:val="en-US" w:eastAsia="zh-CN"/>
        </w:rPr>
        <w:instrText xml:space="preserve"> HYPERLINK "http://www.ccgp.gov.cn/" </w:instrText>
      </w:r>
      <w:r>
        <w:rPr>
          <w:rFonts w:hint="eastAsia" w:ascii="宋体" w:hAnsi="宋体" w:cs="Courier New"/>
          <w:color w:val="000000"/>
          <w:spacing w:val="2"/>
          <w:kern w:val="10"/>
          <w:lang w:val="en-US" w:eastAsia="zh-CN"/>
        </w:rPr>
        <w:fldChar w:fldCharType="separate"/>
      </w:r>
      <w:r>
        <w:rPr>
          <w:rFonts w:hint="eastAsia" w:ascii="宋体" w:hAnsi="宋体" w:cs="Courier New"/>
          <w:color w:val="000000"/>
          <w:spacing w:val="2"/>
          <w:kern w:val="10"/>
          <w:lang w:val="en-US" w:eastAsia="zh-CN"/>
        </w:rPr>
        <w:t>www.ccgp.gov.cn</w:t>
      </w:r>
      <w:r>
        <w:rPr>
          <w:rFonts w:hint="eastAsia" w:ascii="宋体" w:hAnsi="宋体" w:cs="Courier New"/>
          <w:color w:val="000000"/>
          <w:spacing w:val="2"/>
          <w:kern w:val="10"/>
          <w:lang w:val="en-US" w:eastAsia="zh-CN"/>
        </w:rPr>
        <w:fldChar w:fldCharType="end"/>
      </w:r>
      <w:r>
        <w:rPr>
          <w:rFonts w:hint="eastAsia" w:ascii="宋体" w:hAnsi="宋体" w:cs="Courier New"/>
          <w:color w:val="000000"/>
          <w:spacing w:val="2"/>
          <w:kern w:val="10"/>
          <w:lang w:val="en-US" w:eastAsia="zh-CN"/>
        </w:rPr>
        <w:t>）、广西壮族自治区政府采购网（http://zfcg.gxzf.gov.cn/）。</w:t>
      </w:r>
    </w:p>
    <w:p>
      <w:pPr>
        <w:adjustRightInd w:val="0"/>
        <w:snapToGrid w:val="0"/>
        <w:spacing w:line="300" w:lineRule="auto"/>
        <w:rPr>
          <w:rFonts w:ascii="宋体" w:hAnsi="宋体"/>
          <w:b/>
          <w:kern w:val="10"/>
          <w:szCs w:val="21"/>
        </w:rPr>
      </w:pPr>
      <w:r>
        <w:rPr>
          <w:rFonts w:hint="eastAsia" w:ascii="宋体" w:hAnsi="宋体"/>
          <w:b/>
          <w:kern w:val="10"/>
          <w:szCs w:val="21"/>
        </w:rPr>
        <w:t>八、凡对本次采购提出询问，请按以下方式联系。</w:t>
      </w:r>
    </w:p>
    <w:p>
      <w:pPr>
        <w:pStyle w:val="28"/>
        <w:spacing w:before="0" w:beforeAutospacing="0" w:after="0" w:afterAutospacing="0" w:line="300" w:lineRule="auto"/>
        <w:ind w:firstLine="420" w:firstLineChars="200"/>
        <w:rPr>
          <w:rFonts w:hint="eastAsia" w:eastAsia="宋体"/>
          <w:sz w:val="21"/>
          <w:szCs w:val="21"/>
          <w:lang w:eastAsia="zh-CN"/>
        </w:rPr>
      </w:pPr>
      <w:r>
        <w:rPr>
          <w:rFonts w:hint="eastAsia"/>
          <w:sz w:val="21"/>
          <w:szCs w:val="21"/>
        </w:rPr>
        <w:t>1.采购人名称：</w:t>
      </w:r>
      <w:r>
        <w:rPr>
          <w:rFonts w:hint="eastAsia"/>
          <w:sz w:val="21"/>
          <w:szCs w:val="21"/>
          <w:lang w:eastAsia="zh-CN"/>
        </w:rPr>
        <w:t>百色市田阳区田州镇卫生院</w:t>
      </w:r>
    </w:p>
    <w:p>
      <w:pPr>
        <w:pStyle w:val="28"/>
        <w:spacing w:before="0" w:beforeAutospacing="0" w:after="0" w:afterAutospacing="0" w:line="300" w:lineRule="auto"/>
        <w:ind w:firstLine="630" w:firstLineChars="300"/>
        <w:rPr>
          <w:sz w:val="21"/>
          <w:szCs w:val="21"/>
        </w:rPr>
      </w:pPr>
      <w:r>
        <w:rPr>
          <w:rFonts w:hint="eastAsia"/>
          <w:sz w:val="21"/>
          <w:szCs w:val="21"/>
        </w:rPr>
        <w:t>地址：百色市田阳区</w:t>
      </w:r>
    </w:p>
    <w:p>
      <w:pPr>
        <w:pStyle w:val="28"/>
        <w:spacing w:before="0" w:beforeAutospacing="0" w:after="0" w:afterAutospacing="0" w:line="300" w:lineRule="auto"/>
        <w:ind w:firstLine="630" w:firstLineChars="300"/>
        <w:rPr>
          <w:sz w:val="21"/>
          <w:szCs w:val="21"/>
        </w:rPr>
      </w:pPr>
      <w:r>
        <w:rPr>
          <w:rFonts w:hint="eastAsia"/>
          <w:sz w:val="21"/>
          <w:szCs w:val="21"/>
        </w:rPr>
        <w:t>联系人及电话：李毕，18077630266</w:t>
      </w:r>
    </w:p>
    <w:p>
      <w:pPr>
        <w:spacing w:line="300" w:lineRule="auto"/>
        <w:ind w:firstLine="428" w:firstLineChars="200"/>
        <w:jc w:val="left"/>
        <w:rPr>
          <w:rFonts w:ascii="宋体" w:hAnsi="宋体" w:cs="Courier New"/>
          <w:color w:val="000000"/>
          <w:spacing w:val="2"/>
          <w:kern w:val="10"/>
          <w:szCs w:val="21"/>
        </w:rPr>
      </w:pPr>
      <w:r>
        <w:rPr>
          <w:rFonts w:hint="eastAsia" w:ascii="宋体" w:hAnsi="宋体" w:cs="Courier New"/>
          <w:color w:val="000000"/>
          <w:spacing w:val="2"/>
          <w:kern w:val="10"/>
          <w:szCs w:val="21"/>
        </w:rPr>
        <w:t>2.采购代理机构信息：华春建设工程项目管理有限责任公司</w:t>
      </w:r>
    </w:p>
    <w:p>
      <w:pPr>
        <w:spacing w:line="300" w:lineRule="auto"/>
        <w:ind w:firstLine="428" w:firstLineChars="200"/>
        <w:jc w:val="left"/>
        <w:rPr>
          <w:rFonts w:ascii="宋体" w:hAnsi="宋体" w:cs="Courier New"/>
          <w:color w:val="000000"/>
          <w:spacing w:val="2"/>
          <w:kern w:val="10"/>
          <w:szCs w:val="21"/>
        </w:rPr>
      </w:pPr>
      <w:r>
        <w:rPr>
          <w:rFonts w:hint="eastAsia" w:ascii="宋体" w:hAnsi="宋体" w:cs="Courier New"/>
          <w:color w:val="000000"/>
          <w:spacing w:val="2"/>
          <w:kern w:val="10"/>
          <w:szCs w:val="21"/>
        </w:rPr>
        <w:t xml:space="preserve">地址：百色市右江区前程路4号长乐星城第一幢10层      </w:t>
      </w:r>
    </w:p>
    <w:p>
      <w:pPr>
        <w:spacing w:line="300" w:lineRule="auto"/>
        <w:ind w:firstLine="428" w:firstLineChars="200"/>
        <w:jc w:val="left"/>
        <w:rPr>
          <w:rFonts w:ascii="宋体" w:hAnsi="宋体" w:cs="Courier New"/>
          <w:color w:val="000000"/>
          <w:spacing w:val="2"/>
          <w:kern w:val="10"/>
          <w:szCs w:val="21"/>
        </w:rPr>
      </w:pPr>
      <w:r>
        <w:rPr>
          <w:rFonts w:hint="eastAsia" w:ascii="宋体" w:hAnsi="宋体" w:cs="Courier New"/>
          <w:color w:val="000000"/>
          <w:spacing w:val="2"/>
          <w:kern w:val="10"/>
          <w:szCs w:val="21"/>
        </w:rPr>
        <w:t xml:space="preserve">项目联系人：0776-2969400 </w:t>
      </w:r>
    </w:p>
    <w:p>
      <w:pPr>
        <w:spacing w:line="300" w:lineRule="auto"/>
        <w:ind w:firstLine="428" w:firstLineChars="200"/>
        <w:jc w:val="left"/>
        <w:rPr>
          <w:rFonts w:hint="default" w:ascii="宋体" w:hAnsi="宋体" w:eastAsia="宋体" w:cs="Courier New"/>
          <w:color w:val="000000"/>
          <w:spacing w:val="2"/>
          <w:kern w:val="10"/>
          <w:szCs w:val="21"/>
          <w:lang w:val="en-US" w:eastAsia="zh-CN"/>
        </w:rPr>
      </w:pPr>
      <w:r>
        <w:rPr>
          <w:rFonts w:hint="eastAsia" w:ascii="宋体" w:hAnsi="宋体" w:cs="Courier New"/>
          <w:color w:val="000000"/>
          <w:spacing w:val="2"/>
          <w:kern w:val="10"/>
          <w:szCs w:val="21"/>
        </w:rPr>
        <w:t>3.项目联系方式: 黄立丹，</w:t>
      </w:r>
      <w:r>
        <w:rPr>
          <w:rFonts w:hint="eastAsia" w:ascii="宋体" w:hAnsi="宋体" w:cs="Courier New"/>
          <w:color w:val="000000"/>
          <w:spacing w:val="2"/>
          <w:kern w:val="10"/>
          <w:szCs w:val="21"/>
          <w:lang w:val="en-US" w:eastAsia="zh-CN"/>
        </w:rPr>
        <w:t>0776-2969400</w:t>
      </w:r>
    </w:p>
    <w:p>
      <w:pPr>
        <w:spacing w:line="300" w:lineRule="auto"/>
        <w:ind w:firstLine="428" w:firstLineChars="200"/>
        <w:jc w:val="left"/>
        <w:rPr>
          <w:rFonts w:hint="eastAsia" w:ascii="宋体" w:hAnsi="宋体" w:cs="Courier New"/>
          <w:color w:val="000000"/>
          <w:spacing w:val="2"/>
          <w:kern w:val="10"/>
          <w:szCs w:val="21"/>
        </w:rPr>
      </w:pPr>
    </w:p>
    <w:p>
      <w:pPr>
        <w:spacing w:line="300" w:lineRule="auto"/>
        <w:ind w:firstLine="428" w:firstLineChars="200"/>
        <w:jc w:val="left"/>
        <w:rPr>
          <w:rFonts w:ascii="宋体" w:hAnsi="宋体" w:cs="Courier New"/>
          <w:spacing w:val="2"/>
          <w:kern w:val="10"/>
          <w:szCs w:val="21"/>
        </w:rPr>
      </w:pPr>
    </w:p>
    <w:p>
      <w:pPr>
        <w:pStyle w:val="2"/>
        <w:rPr>
          <w:rFonts w:ascii="宋体" w:hAnsi="宋体" w:cs="Courier New"/>
          <w:spacing w:val="2"/>
          <w:kern w:val="10"/>
          <w:szCs w:val="21"/>
        </w:rPr>
      </w:pPr>
    </w:p>
    <w:p>
      <w:pPr>
        <w:pStyle w:val="2"/>
        <w:rPr>
          <w:rFonts w:ascii="宋体" w:hAnsi="宋体" w:cs="Courier New"/>
          <w:spacing w:val="2"/>
          <w:kern w:val="10"/>
          <w:szCs w:val="21"/>
        </w:rPr>
      </w:pPr>
    </w:p>
    <w:p>
      <w:pPr>
        <w:pStyle w:val="2"/>
        <w:rPr>
          <w:rFonts w:ascii="宋体" w:hAnsi="宋体" w:cs="Courier New"/>
          <w:spacing w:val="2"/>
          <w:kern w:val="10"/>
          <w:szCs w:val="21"/>
        </w:rPr>
      </w:pPr>
    </w:p>
    <w:p>
      <w:pPr>
        <w:pStyle w:val="2"/>
        <w:rPr>
          <w:rFonts w:ascii="宋体" w:hAnsi="宋体" w:cs="Courier New"/>
          <w:spacing w:val="2"/>
          <w:kern w:val="10"/>
          <w:szCs w:val="21"/>
        </w:rPr>
      </w:pPr>
    </w:p>
    <w:p>
      <w:pPr>
        <w:pStyle w:val="2"/>
        <w:rPr>
          <w:rFonts w:ascii="宋体" w:hAnsi="宋体" w:cs="Courier New"/>
          <w:spacing w:val="2"/>
          <w:kern w:val="10"/>
          <w:szCs w:val="21"/>
        </w:rPr>
      </w:pPr>
    </w:p>
    <w:p>
      <w:pPr>
        <w:pStyle w:val="2"/>
        <w:rPr>
          <w:rFonts w:ascii="宋体" w:hAnsi="宋体" w:cs="Courier New"/>
          <w:spacing w:val="2"/>
          <w:kern w:val="10"/>
          <w:szCs w:val="21"/>
        </w:rPr>
      </w:pPr>
    </w:p>
    <w:p>
      <w:pPr>
        <w:pStyle w:val="2"/>
        <w:rPr>
          <w:rFonts w:hint="default" w:ascii="宋体" w:hAnsi="宋体" w:eastAsia="宋体" w:cs="Courier New"/>
          <w:spacing w:val="2"/>
          <w:kern w:val="10"/>
          <w:szCs w:val="21"/>
          <w:lang w:val="en-US" w:eastAsia="zh-CN"/>
        </w:rPr>
      </w:pPr>
      <w:r>
        <w:rPr>
          <w:rFonts w:hint="eastAsia" w:hAnsi="宋体" w:cs="Courier New"/>
          <w:spacing w:val="2"/>
          <w:kern w:val="10"/>
          <w:szCs w:val="21"/>
          <w:lang w:val="en-US" w:eastAsia="zh-CN"/>
        </w:rPr>
        <w:t xml:space="preserve">  </w:t>
      </w:r>
    </w:p>
    <w:p>
      <w:pPr>
        <w:pStyle w:val="17"/>
        <w:spacing w:line="300" w:lineRule="auto"/>
        <w:ind w:right="585" w:firstLine="1260" w:firstLineChars="600"/>
        <w:rPr>
          <w:rFonts w:hint="default" w:eastAsia="宋体"/>
          <w:sz w:val="21"/>
          <w:szCs w:val="21"/>
          <w:lang w:val="en-US" w:eastAsia="zh-CN"/>
        </w:rPr>
      </w:pPr>
      <w:r>
        <w:rPr>
          <w:rFonts w:hint="eastAsia"/>
          <w:sz w:val="21"/>
          <w:szCs w:val="21"/>
          <w:lang w:val="en-US" w:eastAsia="zh-CN"/>
        </w:rPr>
        <w:t xml:space="preserve">                                </w:t>
      </w:r>
      <w:r>
        <w:rPr>
          <w:rFonts w:hint="eastAsia" w:ascii="宋体" w:hAnsi="宋体" w:cs="Courier New"/>
          <w:color w:val="000000"/>
          <w:spacing w:val="2"/>
          <w:kern w:val="10"/>
          <w:szCs w:val="21"/>
        </w:rPr>
        <w:t>华春建设工程项目管理有限责任公司</w:t>
      </w:r>
    </w:p>
    <w:p>
      <w:pPr>
        <w:pStyle w:val="17"/>
        <w:spacing w:line="300" w:lineRule="auto"/>
        <w:ind w:right="585"/>
        <w:rPr>
          <w:rFonts w:hAnsi="宋体" w:cs="宋体"/>
          <w:szCs w:val="21"/>
        </w:rPr>
      </w:pPr>
      <w:r>
        <w:rPr>
          <w:rFonts w:hint="eastAsia" w:hAnsi="宋体" w:cs="宋体"/>
          <w:szCs w:val="21"/>
          <w:lang w:val="en-US" w:eastAsia="zh-CN"/>
        </w:rPr>
        <w:t xml:space="preserve">                                                     </w:t>
      </w:r>
      <w:r>
        <w:rPr>
          <w:rFonts w:hint="eastAsia" w:hAnsi="宋体" w:cs="宋体"/>
          <w:szCs w:val="21"/>
        </w:rPr>
        <w:t xml:space="preserve">2020年 </w:t>
      </w:r>
      <w:r>
        <w:rPr>
          <w:rFonts w:hint="eastAsia" w:hAnsi="宋体" w:cs="宋体"/>
          <w:szCs w:val="21"/>
          <w:lang w:val="en-US" w:eastAsia="zh-CN"/>
        </w:rPr>
        <w:t>12</w:t>
      </w:r>
      <w:r>
        <w:rPr>
          <w:rFonts w:hint="eastAsia" w:hAnsi="宋体" w:cs="宋体"/>
          <w:szCs w:val="21"/>
        </w:rPr>
        <w:t>月</w:t>
      </w:r>
      <w:r>
        <w:rPr>
          <w:rFonts w:hint="eastAsia" w:hAnsi="宋体" w:cs="宋体"/>
          <w:szCs w:val="21"/>
          <w:lang w:val="en-US" w:eastAsia="zh-CN"/>
        </w:rPr>
        <w:t>7</w:t>
      </w:r>
      <w:r>
        <w:rPr>
          <w:rFonts w:hint="eastAsia" w:hAnsi="宋体" w:cs="宋体"/>
          <w:szCs w:val="21"/>
        </w:rPr>
        <w:t>日</w:t>
      </w:r>
    </w:p>
    <w:p>
      <w:pPr>
        <w:spacing w:line="300" w:lineRule="auto"/>
        <w:rPr>
          <w:szCs w:val="21"/>
        </w:rPr>
      </w:pPr>
    </w:p>
    <w:p>
      <w:pPr>
        <w:jc w:val="center"/>
        <w:rPr>
          <w:b/>
          <w:sz w:val="32"/>
          <w:szCs w:val="32"/>
        </w:rPr>
      </w:pPr>
      <w:r>
        <w:rPr>
          <w:rFonts w:ascii="隶书" w:eastAsia="隶书"/>
          <w:b/>
          <w:sz w:val="44"/>
        </w:rPr>
        <w:br w:type="page"/>
      </w:r>
      <w:r>
        <w:rPr>
          <w:rFonts w:hint="eastAsia"/>
          <w:b/>
          <w:sz w:val="32"/>
          <w:szCs w:val="32"/>
        </w:rPr>
        <w:t>竞</w:t>
      </w:r>
      <w:r>
        <w:rPr>
          <w:b/>
          <w:sz w:val="32"/>
          <w:szCs w:val="32"/>
        </w:rPr>
        <w:t xml:space="preserve"> </w:t>
      </w:r>
      <w:r>
        <w:rPr>
          <w:rFonts w:hint="eastAsia"/>
          <w:b/>
          <w:sz w:val="32"/>
          <w:szCs w:val="32"/>
        </w:rPr>
        <w:t>标</w:t>
      </w:r>
      <w:r>
        <w:rPr>
          <w:b/>
          <w:sz w:val="32"/>
          <w:szCs w:val="32"/>
        </w:rPr>
        <w:t xml:space="preserve"> </w:t>
      </w:r>
      <w:r>
        <w:rPr>
          <w:rFonts w:hint="eastAsia"/>
          <w:b/>
          <w:sz w:val="32"/>
          <w:szCs w:val="32"/>
        </w:rPr>
        <w:t>人 须</w:t>
      </w:r>
      <w:r>
        <w:rPr>
          <w:b/>
          <w:sz w:val="32"/>
          <w:szCs w:val="32"/>
        </w:rPr>
        <w:t xml:space="preserve"> </w:t>
      </w:r>
      <w:r>
        <w:rPr>
          <w:rFonts w:hint="eastAsia"/>
          <w:b/>
          <w:sz w:val="32"/>
          <w:szCs w:val="32"/>
        </w:rPr>
        <w:t>知 目</w:t>
      </w:r>
      <w:r>
        <w:rPr>
          <w:b/>
          <w:sz w:val="32"/>
          <w:szCs w:val="32"/>
        </w:rPr>
        <w:t xml:space="preserve"> </w:t>
      </w:r>
      <w:r>
        <w:rPr>
          <w:rFonts w:hint="eastAsia"/>
          <w:b/>
          <w:sz w:val="32"/>
          <w:szCs w:val="32"/>
        </w:rPr>
        <w:t>录</w:t>
      </w:r>
      <w:r>
        <w:rPr>
          <w:rFonts w:hint="eastAsia"/>
          <w:b/>
          <w:sz w:val="32"/>
          <w:szCs w:val="32"/>
        </w:rPr>
        <w:cr/>
      </w:r>
    </w:p>
    <w:p>
      <w:pPr>
        <w:pStyle w:val="23"/>
        <w:tabs>
          <w:tab w:val="right" w:leader="dot" w:pos="9742"/>
        </w:tabs>
        <w:spacing w:line="360" w:lineRule="exact"/>
        <w:rPr>
          <w:sz w:val="24"/>
        </w:rPr>
      </w:pPr>
      <w:r>
        <w:rPr>
          <w:sz w:val="24"/>
        </w:rPr>
        <w:fldChar w:fldCharType="begin"/>
      </w:r>
      <w:r>
        <w:rPr>
          <w:sz w:val="24"/>
        </w:rPr>
        <w:instrText xml:space="preserve"> </w:instrText>
      </w:r>
      <w:r>
        <w:rPr>
          <w:rFonts w:hint="eastAsia"/>
          <w:sz w:val="24"/>
        </w:rPr>
        <w:instrText xml:space="preserve">TOC \o "1-4" \h \z \u</w:instrText>
      </w:r>
      <w:r>
        <w:rPr>
          <w:sz w:val="24"/>
        </w:rPr>
        <w:instrText xml:space="preserve"> </w:instrText>
      </w:r>
      <w:r>
        <w:rPr>
          <w:sz w:val="24"/>
        </w:rPr>
        <w:fldChar w:fldCharType="separate"/>
      </w:r>
      <w:r>
        <w:fldChar w:fldCharType="begin"/>
      </w:r>
      <w:r>
        <w:instrText xml:space="preserve"> HYPERLINK \l "_Toc259698655" </w:instrText>
      </w:r>
      <w:r>
        <w:fldChar w:fldCharType="separate"/>
      </w:r>
      <w:r>
        <w:rPr>
          <w:rFonts w:hint="eastAsia"/>
          <w:sz w:val="24"/>
        </w:rPr>
        <w:t>竞标人须知前附表</w:t>
      </w:r>
      <w:r>
        <w:rPr>
          <w:sz w:val="24"/>
        </w:rPr>
        <w:tab/>
      </w:r>
      <w:r>
        <w:rPr>
          <w:sz w:val="24"/>
        </w:rPr>
        <w:fldChar w:fldCharType="begin"/>
      </w:r>
      <w:r>
        <w:rPr>
          <w:sz w:val="24"/>
        </w:rPr>
        <w:instrText xml:space="preserve"> PAGEREF _Toc259698655 \h </w:instrText>
      </w:r>
      <w:r>
        <w:rPr>
          <w:sz w:val="24"/>
        </w:rPr>
        <w:fldChar w:fldCharType="separate"/>
      </w:r>
      <w:r>
        <w:rPr>
          <w:sz w:val="24"/>
        </w:rPr>
        <w:t>6</w:t>
      </w:r>
      <w:r>
        <w:rPr>
          <w:sz w:val="24"/>
        </w:rPr>
        <w:fldChar w:fldCharType="end"/>
      </w:r>
      <w:r>
        <w:rPr>
          <w:sz w:val="24"/>
        </w:rPr>
        <w:fldChar w:fldCharType="end"/>
      </w:r>
    </w:p>
    <w:p>
      <w:pPr>
        <w:pStyle w:val="26"/>
        <w:tabs>
          <w:tab w:val="right" w:leader="dot" w:pos="9742"/>
        </w:tabs>
        <w:spacing w:line="360" w:lineRule="exact"/>
        <w:ind w:left="420"/>
        <w:rPr>
          <w:sz w:val="24"/>
        </w:rPr>
      </w:pPr>
      <w:r>
        <w:fldChar w:fldCharType="begin"/>
      </w:r>
      <w:r>
        <w:instrText xml:space="preserve"> HYPERLINK \l "_Toc259698656" </w:instrText>
      </w:r>
      <w:r>
        <w:fldChar w:fldCharType="separate"/>
      </w:r>
      <w:r>
        <w:rPr>
          <w:rFonts w:hint="eastAsia"/>
          <w:sz w:val="24"/>
        </w:rPr>
        <w:t>竞</w:t>
      </w:r>
      <w:r>
        <w:rPr>
          <w:sz w:val="24"/>
        </w:rPr>
        <w:t xml:space="preserve"> </w:t>
      </w:r>
      <w:r>
        <w:rPr>
          <w:rFonts w:hint="eastAsia"/>
          <w:sz w:val="24"/>
        </w:rPr>
        <w:t>标</w:t>
      </w:r>
      <w:r>
        <w:rPr>
          <w:sz w:val="24"/>
        </w:rPr>
        <w:t xml:space="preserve"> </w:t>
      </w:r>
      <w:r>
        <w:rPr>
          <w:rFonts w:hint="eastAsia"/>
          <w:sz w:val="24"/>
        </w:rPr>
        <w:t>人</w:t>
      </w:r>
      <w:r>
        <w:rPr>
          <w:sz w:val="24"/>
        </w:rPr>
        <w:t xml:space="preserve"> </w:t>
      </w:r>
      <w:r>
        <w:rPr>
          <w:rFonts w:hint="eastAsia"/>
          <w:sz w:val="24"/>
        </w:rPr>
        <w:t>须</w:t>
      </w:r>
      <w:r>
        <w:rPr>
          <w:sz w:val="24"/>
        </w:rPr>
        <w:t xml:space="preserve"> </w:t>
      </w:r>
      <w:r>
        <w:rPr>
          <w:rFonts w:hint="eastAsia"/>
          <w:sz w:val="24"/>
        </w:rPr>
        <w:t>知</w:t>
      </w:r>
      <w:r>
        <w:rPr>
          <w:sz w:val="24"/>
        </w:rPr>
        <w:tab/>
      </w:r>
      <w:r>
        <w:rPr>
          <w:sz w:val="24"/>
        </w:rPr>
        <w:fldChar w:fldCharType="begin"/>
      </w:r>
      <w:r>
        <w:rPr>
          <w:sz w:val="24"/>
        </w:rPr>
        <w:instrText xml:space="preserve"> PAGEREF _Toc259698656 \h </w:instrText>
      </w:r>
      <w:r>
        <w:rPr>
          <w:sz w:val="24"/>
        </w:rPr>
        <w:fldChar w:fldCharType="separate"/>
      </w:r>
      <w:r>
        <w:rPr>
          <w:sz w:val="24"/>
        </w:rPr>
        <w:t>7</w:t>
      </w:r>
      <w:r>
        <w:rPr>
          <w:sz w:val="24"/>
        </w:rPr>
        <w:fldChar w:fldCharType="end"/>
      </w:r>
      <w:r>
        <w:rPr>
          <w:sz w:val="24"/>
        </w:rPr>
        <w:fldChar w:fldCharType="end"/>
      </w:r>
    </w:p>
    <w:p>
      <w:pPr>
        <w:pStyle w:val="16"/>
        <w:ind w:left="840"/>
      </w:pPr>
      <w:r>
        <w:fldChar w:fldCharType="begin"/>
      </w:r>
      <w:r>
        <w:instrText xml:space="preserve"> HYPERLINK \l "_Toc259698657" </w:instrText>
      </w:r>
      <w:r>
        <w:fldChar w:fldCharType="separate"/>
      </w:r>
      <w:r>
        <w:rPr>
          <w:rFonts w:hint="eastAsia"/>
        </w:rPr>
        <w:t>一</w:t>
      </w:r>
      <w:r>
        <w:t xml:space="preserve">    </w:t>
      </w:r>
      <w:r>
        <w:rPr>
          <w:rFonts w:hint="eastAsia"/>
        </w:rPr>
        <w:t>总</w:t>
      </w:r>
      <w:r>
        <w:t xml:space="preserve">  </w:t>
      </w:r>
      <w:r>
        <w:rPr>
          <w:rFonts w:hint="eastAsia"/>
        </w:rPr>
        <w:t>则</w:t>
      </w:r>
      <w:r>
        <w:tab/>
      </w:r>
      <w:r>
        <w:fldChar w:fldCharType="begin"/>
      </w:r>
      <w:r>
        <w:instrText xml:space="preserve"> PAGEREF _Toc259698657 \h </w:instrText>
      </w:r>
      <w:r>
        <w:fldChar w:fldCharType="separate"/>
      </w:r>
      <w:r>
        <w:t>7</w:t>
      </w:r>
      <w:r>
        <w:fldChar w:fldCharType="end"/>
      </w:r>
      <w:r>
        <w:fldChar w:fldCharType="end"/>
      </w:r>
    </w:p>
    <w:p>
      <w:pPr>
        <w:pStyle w:val="24"/>
        <w:tabs>
          <w:tab w:val="right" w:leader="dot" w:pos="9742"/>
        </w:tabs>
        <w:ind w:left="1260"/>
        <w:rPr>
          <w:sz w:val="24"/>
        </w:rPr>
      </w:pPr>
      <w:r>
        <w:fldChar w:fldCharType="begin"/>
      </w:r>
      <w:r>
        <w:instrText xml:space="preserve"> HYPERLINK \l "_Toc259698658" </w:instrText>
      </w:r>
      <w:r>
        <w:fldChar w:fldCharType="separate"/>
      </w:r>
      <w:r>
        <w:rPr>
          <w:rFonts w:hint="eastAsia" w:ascii="宋体"/>
          <w:sz w:val="24"/>
        </w:rPr>
        <w:t>1.项目名称及编号</w:t>
      </w:r>
      <w:r>
        <w:rPr>
          <w:sz w:val="24"/>
        </w:rPr>
        <w:tab/>
      </w:r>
      <w:r>
        <w:rPr>
          <w:sz w:val="24"/>
        </w:rPr>
        <w:fldChar w:fldCharType="begin"/>
      </w:r>
      <w:r>
        <w:rPr>
          <w:sz w:val="24"/>
        </w:rPr>
        <w:instrText xml:space="preserve"> PAGEREF _Toc259698658 \h </w:instrText>
      </w:r>
      <w:r>
        <w:rPr>
          <w:sz w:val="24"/>
        </w:rPr>
        <w:fldChar w:fldCharType="separate"/>
      </w:r>
      <w:r>
        <w:rPr>
          <w:sz w:val="24"/>
        </w:rPr>
        <w:t>7</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"_Toc259698659" </w:instrText>
      </w:r>
      <w:r>
        <w:fldChar w:fldCharType="separate"/>
      </w:r>
      <w:r>
        <w:rPr>
          <w:rFonts w:hint="eastAsia" w:ascii="宋体"/>
          <w:sz w:val="24"/>
        </w:rPr>
        <w:t>2.竞标人资格</w:t>
      </w:r>
      <w:bookmarkStart w:id="20" w:name="_Hlt80548728"/>
      <w:bookmarkEnd w:id="20"/>
      <w:r>
        <w:rPr>
          <w:sz w:val="24"/>
        </w:rPr>
        <w:tab/>
      </w:r>
      <w:r>
        <w:rPr>
          <w:sz w:val="24"/>
        </w:rPr>
        <w:fldChar w:fldCharType="begin"/>
      </w:r>
      <w:r>
        <w:rPr>
          <w:sz w:val="24"/>
        </w:rPr>
        <w:instrText xml:space="preserve"> PAGEREF _Toc259698659 \h </w:instrText>
      </w:r>
      <w:r>
        <w:rPr>
          <w:sz w:val="24"/>
        </w:rPr>
        <w:fldChar w:fldCharType="separate"/>
      </w:r>
      <w:r>
        <w:rPr>
          <w:sz w:val="24"/>
        </w:rPr>
        <w:t>7</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"_Toc259698660" </w:instrText>
      </w:r>
      <w:r>
        <w:fldChar w:fldCharType="separate"/>
      </w:r>
      <w:r>
        <w:rPr>
          <w:rFonts w:hint="eastAsia" w:ascii="宋体"/>
          <w:sz w:val="24"/>
        </w:rPr>
        <w:t>3.竞标费用</w:t>
      </w:r>
      <w:r>
        <w:rPr>
          <w:sz w:val="24"/>
        </w:rPr>
        <w:tab/>
      </w:r>
      <w:r>
        <w:rPr>
          <w:sz w:val="24"/>
        </w:rPr>
        <w:fldChar w:fldCharType="begin"/>
      </w:r>
      <w:r>
        <w:rPr>
          <w:sz w:val="24"/>
        </w:rPr>
        <w:instrText xml:space="preserve"> PAGEREF _Toc259698660 \h </w:instrText>
      </w:r>
      <w:r>
        <w:rPr>
          <w:sz w:val="24"/>
        </w:rPr>
        <w:fldChar w:fldCharType="separate"/>
      </w:r>
      <w:r>
        <w:rPr>
          <w:sz w:val="24"/>
        </w:rPr>
        <w:t>7</w:t>
      </w:r>
      <w:r>
        <w:rPr>
          <w:sz w:val="24"/>
        </w:rPr>
        <w:fldChar w:fldCharType="end"/>
      </w:r>
      <w:r>
        <w:rPr>
          <w:sz w:val="24"/>
        </w:rPr>
        <w:fldChar w:fldCharType="end"/>
      </w:r>
    </w:p>
    <w:p>
      <w:pPr>
        <w:pStyle w:val="16"/>
        <w:ind w:left="840"/>
      </w:pPr>
      <w:r>
        <w:fldChar w:fldCharType="begin"/>
      </w:r>
      <w:r>
        <w:instrText xml:space="preserve"> HYPERLINK \l "_Toc259698661" </w:instrText>
      </w:r>
      <w:r>
        <w:fldChar w:fldCharType="separate"/>
      </w:r>
      <w:r>
        <w:rPr>
          <w:rFonts w:hint="eastAsia"/>
        </w:rPr>
        <w:t>二</w:t>
      </w:r>
      <w:r>
        <w:t xml:space="preserve">    </w:t>
      </w:r>
      <w:r>
        <w:rPr>
          <w:rFonts w:hint="eastAsia"/>
        </w:rPr>
        <w:t>竞争性谈判采购文件（简称谈判采购文件）</w:t>
      </w:r>
      <w:r>
        <w:tab/>
      </w:r>
      <w:r>
        <w:fldChar w:fldCharType="begin"/>
      </w:r>
      <w:r>
        <w:instrText xml:space="preserve"> PAGEREF _Toc259698661 \h </w:instrText>
      </w:r>
      <w:r>
        <w:fldChar w:fldCharType="separate"/>
      </w:r>
      <w:r>
        <w:t>7</w:t>
      </w:r>
      <w:r>
        <w:fldChar w:fldCharType="end"/>
      </w:r>
      <w:r>
        <w:fldChar w:fldCharType="end"/>
      </w:r>
    </w:p>
    <w:p>
      <w:pPr>
        <w:pStyle w:val="24"/>
        <w:tabs>
          <w:tab w:val="right" w:leader="dot" w:pos="9742"/>
        </w:tabs>
        <w:ind w:left="1260"/>
        <w:rPr>
          <w:sz w:val="24"/>
        </w:rPr>
      </w:pPr>
      <w:r>
        <w:fldChar w:fldCharType="begin"/>
      </w:r>
      <w:r>
        <w:instrText xml:space="preserve"> HYPERLINK \l "_Toc259698662" </w:instrText>
      </w:r>
      <w:r>
        <w:fldChar w:fldCharType="separate"/>
      </w:r>
      <w:r>
        <w:rPr>
          <w:rFonts w:hint="eastAsia" w:ascii="宋体"/>
          <w:sz w:val="24"/>
        </w:rPr>
        <w:t>4.谈判采购文件的构成</w:t>
      </w:r>
      <w:r>
        <w:rPr>
          <w:sz w:val="24"/>
        </w:rPr>
        <w:tab/>
      </w:r>
      <w:r>
        <w:rPr>
          <w:sz w:val="24"/>
        </w:rPr>
        <w:fldChar w:fldCharType="begin"/>
      </w:r>
      <w:r>
        <w:rPr>
          <w:sz w:val="24"/>
        </w:rPr>
        <w:instrText xml:space="preserve"> PAGEREF _Toc259698662 \h </w:instrText>
      </w:r>
      <w:r>
        <w:rPr>
          <w:sz w:val="24"/>
        </w:rPr>
        <w:fldChar w:fldCharType="separate"/>
      </w:r>
      <w:r>
        <w:rPr>
          <w:sz w:val="24"/>
        </w:rPr>
        <w:t>7</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"_Toc259698663" </w:instrText>
      </w:r>
      <w:r>
        <w:fldChar w:fldCharType="separate"/>
      </w:r>
      <w:r>
        <w:rPr>
          <w:rFonts w:hint="eastAsia" w:ascii="宋体"/>
          <w:sz w:val="24"/>
        </w:rPr>
        <w:t>5.谈判采购文件的澄清和修改</w:t>
      </w:r>
      <w:r>
        <w:rPr>
          <w:sz w:val="24"/>
        </w:rPr>
        <w:tab/>
      </w:r>
      <w:r>
        <w:rPr>
          <w:sz w:val="24"/>
        </w:rPr>
        <w:fldChar w:fldCharType="begin"/>
      </w:r>
      <w:r>
        <w:rPr>
          <w:sz w:val="24"/>
        </w:rPr>
        <w:instrText xml:space="preserve"> PAGEREF _Toc259698663 \h </w:instrText>
      </w:r>
      <w:r>
        <w:rPr>
          <w:sz w:val="24"/>
        </w:rPr>
        <w:fldChar w:fldCharType="separate"/>
      </w:r>
      <w:r>
        <w:rPr>
          <w:sz w:val="24"/>
        </w:rPr>
        <w:t>7</w:t>
      </w:r>
      <w:r>
        <w:rPr>
          <w:sz w:val="24"/>
        </w:rPr>
        <w:fldChar w:fldCharType="end"/>
      </w:r>
      <w:r>
        <w:rPr>
          <w:sz w:val="24"/>
        </w:rPr>
        <w:fldChar w:fldCharType="end"/>
      </w:r>
    </w:p>
    <w:p>
      <w:pPr>
        <w:pStyle w:val="16"/>
        <w:ind w:left="840"/>
      </w:pPr>
      <w:r>
        <w:fldChar w:fldCharType="begin"/>
      </w:r>
      <w:r>
        <w:instrText xml:space="preserve"> HYPERLINK \l "_Toc259698664" </w:instrText>
      </w:r>
      <w:r>
        <w:fldChar w:fldCharType="separate"/>
      </w:r>
      <w:r>
        <w:rPr>
          <w:rFonts w:hint="eastAsia"/>
        </w:rPr>
        <w:t>三</w:t>
      </w:r>
      <w:r>
        <w:t xml:space="preserve">    </w:t>
      </w:r>
      <w:r>
        <w:rPr>
          <w:rFonts w:hint="eastAsia"/>
        </w:rPr>
        <w:t>竞标文件的编制格式</w:t>
      </w:r>
      <w:r>
        <w:tab/>
      </w:r>
      <w:r>
        <w:fldChar w:fldCharType="begin"/>
      </w:r>
      <w:r>
        <w:instrText xml:space="preserve"> PAGEREF _Toc259698664 \h </w:instrText>
      </w:r>
      <w:r>
        <w:fldChar w:fldCharType="separate"/>
      </w:r>
      <w:r>
        <w:t>8</w:t>
      </w:r>
      <w:r>
        <w:fldChar w:fldCharType="end"/>
      </w:r>
      <w:r>
        <w:fldChar w:fldCharType="end"/>
      </w:r>
    </w:p>
    <w:p>
      <w:pPr>
        <w:pStyle w:val="24"/>
        <w:tabs>
          <w:tab w:val="right" w:leader="dot" w:pos="9742"/>
        </w:tabs>
        <w:ind w:left="1260"/>
        <w:rPr>
          <w:sz w:val="24"/>
        </w:rPr>
      </w:pPr>
      <w:r>
        <w:fldChar w:fldCharType="begin"/>
      </w:r>
      <w:r>
        <w:instrText xml:space="preserve"> HYPERLINK \l "_Toc259698665" </w:instrText>
      </w:r>
      <w:r>
        <w:fldChar w:fldCharType="separate"/>
      </w:r>
      <w:r>
        <w:rPr>
          <w:rFonts w:hint="eastAsia" w:ascii="宋体"/>
          <w:sz w:val="24"/>
        </w:rPr>
        <w:t>6.竞标文件编写的注意事项</w:t>
      </w:r>
      <w:r>
        <w:rPr>
          <w:sz w:val="24"/>
        </w:rPr>
        <w:tab/>
      </w:r>
      <w:r>
        <w:rPr>
          <w:sz w:val="24"/>
        </w:rPr>
        <w:fldChar w:fldCharType="begin"/>
      </w:r>
      <w:r>
        <w:rPr>
          <w:sz w:val="24"/>
        </w:rPr>
        <w:instrText xml:space="preserve"> PAGEREF _Toc259698665 \h </w:instrText>
      </w:r>
      <w:r>
        <w:rPr>
          <w:sz w:val="24"/>
        </w:rPr>
        <w:fldChar w:fldCharType="separate"/>
      </w:r>
      <w:r>
        <w:rPr>
          <w:sz w:val="24"/>
        </w:rPr>
        <w:t>8</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"_Toc259698666" </w:instrText>
      </w:r>
      <w:r>
        <w:fldChar w:fldCharType="separate"/>
      </w:r>
      <w:r>
        <w:rPr>
          <w:rFonts w:hint="eastAsia" w:ascii="宋体"/>
          <w:sz w:val="24"/>
        </w:rPr>
        <w:t>7.竞标文件的构成</w:t>
      </w:r>
      <w:r>
        <w:rPr>
          <w:sz w:val="24"/>
        </w:rPr>
        <w:tab/>
      </w:r>
      <w:r>
        <w:rPr>
          <w:sz w:val="24"/>
        </w:rPr>
        <w:fldChar w:fldCharType="begin"/>
      </w:r>
      <w:r>
        <w:rPr>
          <w:sz w:val="24"/>
        </w:rPr>
        <w:instrText xml:space="preserve"> PAGEREF _Toc259698666 \h </w:instrText>
      </w:r>
      <w:r>
        <w:rPr>
          <w:sz w:val="24"/>
        </w:rPr>
        <w:fldChar w:fldCharType="separate"/>
      </w:r>
      <w:r>
        <w:rPr>
          <w:sz w:val="24"/>
        </w:rPr>
        <w:t>8</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"_Toc259698667" </w:instrText>
      </w:r>
      <w:r>
        <w:fldChar w:fldCharType="separate"/>
      </w:r>
      <w:r>
        <w:rPr>
          <w:rFonts w:hint="eastAsia" w:ascii="宋体"/>
          <w:sz w:val="24"/>
        </w:rPr>
        <w:t>8.竞标文件的语言及计量单位</w:t>
      </w:r>
      <w:r>
        <w:rPr>
          <w:sz w:val="24"/>
        </w:rPr>
        <w:tab/>
      </w:r>
      <w:r>
        <w:rPr>
          <w:sz w:val="24"/>
        </w:rPr>
        <w:fldChar w:fldCharType="begin"/>
      </w:r>
      <w:r>
        <w:rPr>
          <w:sz w:val="24"/>
        </w:rPr>
        <w:instrText xml:space="preserve"> PAGEREF _Toc259698667 \h </w:instrText>
      </w:r>
      <w:r>
        <w:rPr>
          <w:sz w:val="24"/>
        </w:rPr>
        <w:fldChar w:fldCharType="separate"/>
      </w:r>
      <w:r>
        <w:rPr>
          <w:sz w:val="24"/>
        </w:rPr>
        <w:t>9</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"_Toc259698668" </w:instrText>
      </w:r>
      <w:r>
        <w:fldChar w:fldCharType="separate"/>
      </w:r>
      <w:r>
        <w:rPr>
          <w:rFonts w:hint="eastAsia" w:ascii="宋体"/>
          <w:sz w:val="24"/>
        </w:rPr>
        <w:t>9. 竞标函格式</w:t>
      </w:r>
      <w:r>
        <w:rPr>
          <w:sz w:val="24"/>
        </w:rPr>
        <w:tab/>
      </w:r>
      <w:r>
        <w:rPr>
          <w:sz w:val="24"/>
        </w:rPr>
        <w:fldChar w:fldCharType="begin"/>
      </w:r>
      <w:r>
        <w:rPr>
          <w:sz w:val="24"/>
        </w:rPr>
        <w:instrText xml:space="preserve"> PAGEREF _Toc259698668 \h </w:instrText>
      </w:r>
      <w:r>
        <w:rPr>
          <w:sz w:val="24"/>
        </w:rPr>
        <w:fldChar w:fldCharType="separate"/>
      </w:r>
      <w:r>
        <w:rPr>
          <w:sz w:val="24"/>
        </w:rPr>
        <w:t>9</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"_Toc259698669" </w:instrText>
      </w:r>
      <w:r>
        <w:fldChar w:fldCharType="separate"/>
      </w:r>
      <w:r>
        <w:rPr>
          <w:rFonts w:hint="eastAsia" w:ascii="宋体"/>
          <w:sz w:val="24"/>
        </w:rPr>
        <w:t>10.竞标报价</w:t>
      </w:r>
      <w:r>
        <w:rPr>
          <w:sz w:val="24"/>
        </w:rPr>
        <w:tab/>
      </w:r>
      <w:r>
        <w:rPr>
          <w:sz w:val="24"/>
        </w:rPr>
        <w:fldChar w:fldCharType="begin"/>
      </w:r>
      <w:r>
        <w:rPr>
          <w:sz w:val="24"/>
        </w:rPr>
        <w:instrText xml:space="preserve"> PAGEREF _Toc259698669 \h </w:instrText>
      </w:r>
      <w:r>
        <w:rPr>
          <w:sz w:val="24"/>
        </w:rPr>
        <w:fldChar w:fldCharType="separate"/>
      </w:r>
      <w:r>
        <w:rPr>
          <w:sz w:val="24"/>
        </w:rPr>
        <w:t>9</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"_Toc259698670" </w:instrText>
      </w:r>
      <w:r>
        <w:fldChar w:fldCharType="separate"/>
      </w:r>
      <w:r>
        <w:rPr>
          <w:rFonts w:hint="eastAsia" w:ascii="宋体"/>
          <w:sz w:val="24"/>
        </w:rPr>
        <w:t>11.竞标货币</w:t>
      </w:r>
      <w:r>
        <w:rPr>
          <w:sz w:val="24"/>
        </w:rPr>
        <w:tab/>
      </w:r>
      <w:r>
        <w:rPr>
          <w:sz w:val="24"/>
        </w:rPr>
        <w:fldChar w:fldCharType="begin"/>
      </w:r>
      <w:r>
        <w:rPr>
          <w:sz w:val="24"/>
        </w:rPr>
        <w:instrText xml:space="preserve"> PAGEREF _Toc259698670 \h </w:instrText>
      </w:r>
      <w:r>
        <w:rPr>
          <w:sz w:val="24"/>
        </w:rPr>
        <w:fldChar w:fldCharType="separate"/>
      </w:r>
      <w:r>
        <w:rPr>
          <w:sz w:val="24"/>
        </w:rPr>
        <w:t>9</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"_Toc259698671" </w:instrText>
      </w:r>
      <w:r>
        <w:fldChar w:fldCharType="separate"/>
      </w:r>
      <w:r>
        <w:rPr>
          <w:rFonts w:hint="eastAsia" w:ascii="宋体"/>
          <w:sz w:val="24"/>
        </w:rPr>
        <w:t>12.证明竞标人合格和资格的文件</w:t>
      </w:r>
      <w:r>
        <w:rPr>
          <w:sz w:val="24"/>
        </w:rPr>
        <w:tab/>
      </w:r>
      <w:r>
        <w:rPr>
          <w:sz w:val="24"/>
        </w:rPr>
        <w:fldChar w:fldCharType="begin"/>
      </w:r>
      <w:r>
        <w:rPr>
          <w:sz w:val="24"/>
        </w:rPr>
        <w:instrText xml:space="preserve"> PAGEREF _Toc259698671 \h </w:instrText>
      </w:r>
      <w:r>
        <w:rPr>
          <w:sz w:val="24"/>
        </w:rPr>
        <w:fldChar w:fldCharType="separate"/>
      </w:r>
      <w:r>
        <w:rPr>
          <w:sz w:val="24"/>
        </w:rPr>
        <w:t>9</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"_Toc259698672" </w:instrText>
      </w:r>
      <w:r>
        <w:fldChar w:fldCharType="separate"/>
      </w:r>
      <w:r>
        <w:rPr>
          <w:rFonts w:hint="eastAsia" w:ascii="宋体"/>
          <w:sz w:val="24"/>
        </w:rPr>
        <w:t>13.证明货物的合格性和符合谈判采购文件规定的相关文件</w:t>
      </w:r>
      <w:r>
        <w:rPr>
          <w:sz w:val="24"/>
        </w:rPr>
        <w:tab/>
      </w:r>
      <w:r>
        <w:rPr>
          <w:sz w:val="24"/>
        </w:rPr>
        <w:fldChar w:fldCharType="begin"/>
      </w:r>
      <w:r>
        <w:rPr>
          <w:sz w:val="24"/>
        </w:rPr>
        <w:instrText xml:space="preserve"> PAGEREF _Toc259698672 \h </w:instrText>
      </w:r>
      <w:r>
        <w:rPr>
          <w:sz w:val="24"/>
        </w:rPr>
        <w:fldChar w:fldCharType="separate"/>
      </w:r>
      <w:r>
        <w:rPr>
          <w:sz w:val="24"/>
        </w:rPr>
        <w:t>10</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"_Toc259698673" </w:instrText>
      </w:r>
      <w:r>
        <w:fldChar w:fldCharType="separate"/>
      </w:r>
      <w:r>
        <w:rPr>
          <w:rFonts w:hint="eastAsia" w:ascii="宋体"/>
          <w:sz w:val="24"/>
        </w:rPr>
        <w:t>14.竞标的有效期</w:t>
      </w:r>
      <w:r>
        <w:rPr>
          <w:sz w:val="24"/>
        </w:rPr>
        <w:tab/>
      </w:r>
      <w:r>
        <w:rPr>
          <w:sz w:val="24"/>
        </w:rPr>
        <w:fldChar w:fldCharType="begin"/>
      </w:r>
      <w:r>
        <w:rPr>
          <w:sz w:val="24"/>
        </w:rPr>
        <w:instrText xml:space="preserve"> PAGEREF _Toc259698673 \h </w:instrText>
      </w:r>
      <w:r>
        <w:rPr>
          <w:sz w:val="24"/>
        </w:rPr>
        <w:fldChar w:fldCharType="separate"/>
      </w:r>
      <w:r>
        <w:rPr>
          <w:sz w:val="24"/>
        </w:rPr>
        <w:t>10</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"_Toc259698674" </w:instrText>
      </w:r>
      <w:r>
        <w:fldChar w:fldCharType="separate"/>
      </w:r>
      <w:r>
        <w:rPr>
          <w:rFonts w:hint="eastAsia" w:ascii="宋体"/>
          <w:sz w:val="24"/>
        </w:rPr>
        <w:t>15.竞标文件书写及签字、盖章要求</w:t>
      </w:r>
      <w:r>
        <w:rPr>
          <w:sz w:val="24"/>
        </w:rPr>
        <w:tab/>
      </w:r>
      <w:r>
        <w:rPr>
          <w:sz w:val="24"/>
        </w:rPr>
        <w:fldChar w:fldCharType="begin"/>
      </w:r>
      <w:r>
        <w:rPr>
          <w:sz w:val="24"/>
        </w:rPr>
        <w:instrText xml:space="preserve"> PAGEREF _Toc259698674 \h </w:instrText>
      </w:r>
      <w:r>
        <w:rPr>
          <w:sz w:val="24"/>
        </w:rPr>
        <w:fldChar w:fldCharType="separate"/>
      </w:r>
      <w:r>
        <w:rPr>
          <w:sz w:val="24"/>
        </w:rPr>
        <w:t>10</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"_Toc259698675" </w:instrText>
      </w:r>
      <w:r>
        <w:fldChar w:fldCharType="separate"/>
      </w:r>
      <w:r>
        <w:rPr>
          <w:rFonts w:hint="eastAsia" w:ascii="宋体"/>
          <w:sz w:val="24"/>
        </w:rPr>
        <w:t>16.竞标保证金</w:t>
      </w:r>
      <w:r>
        <w:rPr>
          <w:sz w:val="24"/>
        </w:rPr>
        <w:tab/>
      </w:r>
      <w:r>
        <w:rPr>
          <w:sz w:val="24"/>
        </w:rPr>
        <w:fldChar w:fldCharType="begin"/>
      </w:r>
      <w:r>
        <w:rPr>
          <w:sz w:val="24"/>
        </w:rPr>
        <w:instrText xml:space="preserve"> PAGEREF _Toc259698675 \h </w:instrText>
      </w:r>
      <w:r>
        <w:rPr>
          <w:sz w:val="24"/>
        </w:rPr>
        <w:fldChar w:fldCharType="separate"/>
      </w:r>
      <w:r>
        <w:rPr>
          <w:sz w:val="24"/>
        </w:rPr>
        <w:t>11</w:t>
      </w:r>
      <w:r>
        <w:rPr>
          <w:sz w:val="24"/>
        </w:rPr>
        <w:fldChar w:fldCharType="end"/>
      </w:r>
      <w:r>
        <w:rPr>
          <w:sz w:val="24"/>
        </w:rPr>
        <w:fldChar w:fldCharType="end"/>
      </w:r>
    </w:p>
    <w:p>
      <w:pPr>
        <w:pStyle w:val="16"/>
        <w:ind w:left="840"/>
      </w:pPr>
      <w:r>
        <w:fldChar w:fldCharType="begin"/>
      </w:r>
      <w:r>
        <w:instrText xml:space="preserve"> HYPERLINK \l "_Toc259698676" </w:instrText>
      </w:r>
      <w:r>
        <w:fldChar w:fldCharType="separate"/>
      </w:r>
      <w:r>
        <w:rPr>
          <w:rFonts w:hint="eastAsia"/>
        </w:rPr>
        <w:t>四</w:t>
      </w:r>
      <w:r>
        <w:t xml:space="preserve">    </w:t>
      </w:r>
      <w:r>
        <w:rPr>
          <w:rFonts w:hint="eastAsia"/>
        </w:rPr>
        <w:t>竞标文件的递交</w:t>
      </w:r>
      <w:r>
        <w:tab/>
      </w:r>
      <w:r>
        <w:fldChar w:fldCharType="begin"/>
      </w:r>
      <w:r>
        <w:instrText xml:space="preserve"> PAGEREF _Toc259698676 \h </w:instrText>
      </w:r>
      <w:r>
        <w:fldChar w:fldCharType="separate"/>
      </w:r>
      <w:r>
        <w:t>11</w:t>
      </w:r>
      <w:r>
        <w:fldChar w:fldCharType="end"/>
      </w:r>
      <w:r>
        <w:fldChar w:fldCharType="end"/>
      </w:r>
    </w:p>
    <w:p>
      <w:pPr>
        <w:pStyle w:val="24"/>
        <w:tabs>
          <w:tab w:val="right" w:leader="dot" w:pos="9742"/>
        </w:tabs>
        <w:ind w:left="1260"/>
        <w:rPr>
          <w:sz w:val="24"/>
        </w:rPr>
      </w:pPr>
      <w:r>
        <w:fldChar w:fldCharType="begin"/>
      </w:r>
      <w:r>
        <w:instrText xml:space="preserve"> HYPERLINK \l "_Toc259698677" </w:instrText>
      </w:r>
      <w:r>
        <w:fldChar w:fldCharType="separate"/>
      </w:r>
      <w:r>
        <w:rPr>
          <w:rFonts w:hint="eastAsia" w:ascii="宋体"/>
          <w:sz w:val="24"/>
        </w:rPr>
        <w:t>17.竞标文件的密封与标记</w:t>
      </w:r>
      <w:r>
        <w:rPr>
          <w:sz w:val="24"/>
        </w:rPr>
        <w:tab/>
      </w:r>
      <w:r>
        <w:rPr>
          <w:sz w:val="24"/>
        </w:rPr>
        <w:fldChar w:fldCharType="begin"/>
      </w:r>
      <w:r>
        <w:rPr>
          <w:sz w:val="24"/>
        </w:rPr>
        <w:instrText xml:space="preserve"> PAGEREF _Toc259698677 \h </w:instrText>
      </w:r>
      <w:r>
        <w:rPr>
          <w:sz w:val="24"/>
        </w:rPr>
        <w:fldChar w:fldCharType="separate"/>
      </w:r>
      <w:r>
        <w:rPr>
          <w:sz w:val="24"/>
        </w:rPr>
        <w:t>11</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"_Toc259698678" </w:instrText>
      </w:r>
      <w:r>
        <w:fldChar w:fldCharType="separate"/>
      </w:r>
      <w:r>
        <w:rPr>
          <w:rFonts w:hint="eastAsia" w:ascii="宋体"/>
          <w:sz w:val="24"/>
        </w:rPr>
        <w:t>18.竞标截止时间</w:t>
      </w:r>
      <w:r>
        <w:rPr>
          <w:sz w:val="24"/>
        </w:rPr>
        <w:tab/>
      </w:r>
      <w:r>
        <w:rPr>
          <w:sz w:val="24"/>
        </w:rPr>
        <w:fldChar w:fldCharType="begin"/>
      </w:r>
      <w:r>
        <w:rPr>
          <w:sz w:val="24"/>
        </w:rPr>
        <w:instrText xml:space="preserve"> PAGEREF _Toc259698678 \h </w:instrText>
      </w:r>
      <w:r>
        <w:rPr>
          <w:sz w:val="24"/>
        </w:rPr>
        <w:fldChar w:fldCharType="separate"/>
      </w:r>
      <w:r>
        <w:rPr>
          <w:sz w:val="24"/>
        </w:rPr>
        <w:t>12</w:t>
      </w:r>
      <w:r>
        <w:rPr>
          <w:sz w:val="24"/>
        </w:rPr>
        <w:fldChar w:fldCharType="end"/>
      </w:r>
      <w:r>
        <w:rPr>
          <w:sz w:val="24"/>
        </w:rPr>
        <w:fldChar w:fldCharType="end"/>
      </w:r>
    </w:p>
    <w:p>
      <w:pPr>
        <w:pStyle w:val="16"/>
        <w:ind w:left="840"/>
      </w:pPr>
      <w:r>
        <w:fldChar w:fldCharType="begin"/>
      </w:r>
      <w:r>
        <w:instrText xml:space="preserve"> HYPERLINK \l "_Toc259698679" </w:instrText>
      </w:r>
      <w:r>
        <w:fldChar w:fldCharType="separate"/>
      </w:r>
      <w:r>
        <w:rPr>
          <w:rFonts w:hint="eastAsia"/>
        </w:rPr>
        <w:t>五</w:t>
      </w:r>
      <w:r>
        <w:t xml:space="preserve">    </w:t>
      </w:r>
      <w:r>
        <w:rPr>
          <w:rFonts w:hint="eastAsia"/>
        </w:rPr>
        <w:t>谈判与评标</w:t>
      </w:r>
      <w:r>
        <w:tab/>
      </w:r>
      <w:r>
        <w:fldChar w:fldCharType="begin"/>
      </w:r>
      <w:r>
        <w:instrText xml:space="preserve"> PAGEREF _Toc259698679 \h </w:instrText>
      </w:r>
      <w:r>
        <w:fldChar w:fldCharType="separate"/>
      </w:r>
      <w:r>
        <w:t>12</w:t>
      </w:r>
      <w:r>
        <w:fldChar w:fldCharType="end"/>
      </w:r>
      <w:r>
        <w:fldChar w:fldCharType="end"/>
      </w:r>
    </w:p>
    <w:p>
      <w:pPr>
        <w:pStyle w:val="24"/>
        <w:tabs>
          <w:tab w:val="right" w:leader="dot" w:pos="9742"/>
        </w:tabs>
        <w:ind w:left="1260"/>
        <w:rPr>
          <w:sz w:val="24"/>
        </w:rPr>
      </w:pPr>
      <w:r>
        <w:fldChar w:fldCharType="begin"/>
      </w:r>
      <w:r>
        <w:instrText xml:space="preserve"> HYPERLINK \l "_Toc259698680" </w:instrText>
      </w:r>
      <w:r>
        <w:fldChar w:fldCharType="separate"/>
      </w:r>
      <w:r>
        <w:rPr>
          <w:rFonts w:hint="eastAsia" w:ascii="宋体"/>
          <w:sz w:val="24"/>
        </w:rPr>
        <w:t>19.谈判</w:t>
      </w:r>
      <w:r>
        <w:rPr>
          <w:sz w:val="24"/>
        </w:rPr>
        <w:tab/>
      </w:r>
      <w:r>
        <w:rPr>
          <w:sz w:val="24"/>
        </w:rPr>
        <w:fldChar w:fldCharType="begin"/>
      </w:r>
      <w:r>
        <w:rPr>
          <w:sz w:val="24"/>
        </w:rPr>
        <w:instrText xml:space="preserve"> PAGEREF _Toc259698680 \h </w:instrText>
      </w:r>
      <w:r>
        <w:rPr>
          <w:sz w:val="24"/>
        </w:rPr>
        <w:fldChar w:fldCharType="separate"/>
      </w:r>
      <w:r>
        <w:rPr>
          <w:sz w:val="24"/>
        </w:rPr>
        <w:t>12</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"_Toc259698681" </w:instrText>
      </w:r>
      <w:r>
        <w:fldChar w:fldCharType="separate"/>
      </w:r>
      <w:r>
        <w:rPr>
          <w:rFonts w:hint="eastAsia" w:ascii="宋体"/>
          <w:sz w:val="24"/>
        </w:rPr>
        <w:t>20.评标</w:t>
      </w:r>
      <w:r>
        <w:rPr>
          <w:sz w:val="24"/>
        </w:rPr>
        <w:tab/>
      </w:r>
      <w:r>
        <w:rPr>
          <w:sz w:val="24"/>
        </w:rPr>
        <w:fldChar w:fldCharType="begin"/>
      </w:r>
      <w:r>
        <w:rPr>
          <w:sz w:val="24"/>
        </w:rPr>
        <w:instrText xml:space="preserve"> PAGEREF _Toc259698681 \h </w:instrText>
      </w:r>
      <w:r>
        <w:rPr>
          <w:sz w:val="24"/>
        </w:rPr>
        <w:fldChar w:fldCharType="separate"/>
      </w:r>
      <w:r>
        <w:rPr>
          <w:sz w:val="24"/>
        </w:rPr>
        <w:t>13</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"_Toc259698682" </w:instrText>
      </w:r>
      <w:r>
        <w:fldChar w:fldCharType="separate"/>
      </w:r>
      <w:r>
        <w:rPr>
          <w:rFonts w:hint="eastAsia" w:ascii="宋体"/>
          <w:sz w:val="24"/>
        </w:rPr>
        <w:t>21.无效竞标</w:t>
      </w:r>
      <w:r>
        <w:rPr>
          <w:sz w:val="24"/>
        </w:rPr>
        <w:tab/>
      </w:r>
      <w:r>
        <w:rPr>
          <w:sz w:val="24"/>
        </w:rPr>
        <w:fldChar w:fldCharType="begin"/>
      </w:r>
      <w:r>
        <w:rPr>
          <w:sz w:val="24"/>
        </w:rPr>
        <w:instrText xml:space="preserve"> PAGEREF _Toc259698682 \h </w:instrText>
      </w:r>
      <w:r>
        <w:rPr>
          <w:sz w:val="24"/>
        </w:rPr>
        <w:fldChar w:fldCharType="separate"/>
      </w:r>
      <w:r>
        <w:rPr>
          <w:sz w:val="24"/>
        </w:rPr>
        <w:t>13</w:t>
      </w:r>
      <w:r>
        <w:rPr>
          <w:sz w:val="24"/>
        </w:rPr>
        <w:fldChar w:fldCharType="end"/>
      </w:r>
      <w:r>
        <w:rPr>
          <w:sz w:val="24"/>
        </w:rPr>
        <w:fldChar w:fldCharType="end"/>
      </w:r>
    </w:p>
    <w:p>
      <w:pPr>
        <w:pStyle w:val="16"/>
        <w:ind w:left="840"/>
      </w:pPr>
      <w:r>
        <w:fldChar w:fldCharType="begin"/>
      </w:r>
      <w:r>
        <w:instrText xml:space="preserve"> HYPERLINK \l "_Toc259698683" </w:instrText>
      </w:r>
      <w:r>
        <w:fldChar w:fldCharType="separate"/>
      </w:r>
      <w:r>
        <w:rPr>
          <w:rFonts w:hint="eastAsia"/>
        </w:rPr>
        <w:t>六</w:t>
      </w:r>
      <w:r>
        <w:t xml:space="preserve">    </w:t>
      </w:r>
      <w:r>
        <w:rPr>
          <w:rFonts w:hint="eastAsia"/>
        </w:rPr>
        <w:t>签订合同</w:t>
      </w:r>
      <w:r>
        <w:tab/>
      </w:r>
      <w:r>
        <w:fldChar w:fldCharType="begin"/>
      </w:r>
      <w:r>
        <w:instrText xml:space="preserve"> PAGEREF _Toc259698683 \h </w:instrText>
      </w:r>
      <w:r>
        <w:fldChar w:fldCharType="separate"/>
      </w:r>
      <w:r>
        <w:t>13</w:t>
      </w:r>
      <w:r>
        <w:fldChar w:fldCharType="end"/>
      </w:r>
      <w:r>
        <w:fldChar w:fldCharType="end"/>
      </w:r>
    </w:p>
    <w:p>
      <w:pPr>
        <w:pStyle w:val="24"/>
        <w:tabs>
          <w:tab w:val="right" w:leader="dot" w:pos="9742"/>
        </w:tabs>
        <w:ind w:left="1260"/>
        <w:rPr>
          <w:sz w:val="24"/>
        </w:rPr>
      </w:pPr>
      <w:r>
        <w:fldChar w:fldCharType="begin"/>
      </w:r>
      <w:r>
        <w:instrText xml:space="preserve"> HYPERLINK \l "_Toc259698684" </w:instrText>
      </w:r>
      <w:r>
        <w:fldChar w:fldCharType="separate"/>
      </w:r>
      <w:r>
        <w:rPr>
          <w:rFonts w:hint="eastAsia" w:ascii="宋体"/>
          <w:sz w:val="24"/>
        </w:rPr>
        <w:t>22.评标原则</w:t>
      </w:r>
      <w:r>
        <w:rPr>
          <w:sz w:val="24"/>
        </w:rPr>
        <w:tab/>
      </w:r>
      <w:r>
        <w:rPr>
          <w:sz w:val="24"/>
        </w:rPr>
        <w:fldChar w:fldCharType="begin"/>
      </w:r>
      <w:r>
        <w:rPr>
          <w:sz w:val="24"/>
        </w:rPr>
        <w:instrText xml:space="preserve"> PAGEREF _Toc259698684 \h </w:instrText>
      </w:r>
      <w:r>
        <w:rPr>
          <w:sz w:val="24"/>
        </w:rPr>
        <w:fldChar w:fldCharType="separate"/>
      </w:r>
      <w:r>
        <w:rPr>
          <w:sz w:val="24"/>
        </w:rPr>
        <w:t>13</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"_Toc259698685" </w:instrText>
      </w:r>
      <w:r>
        <w:fldChar w:fldCharType="separate"/>
      </w:r>
      <w:r>
        <w:rPr>
          <w:rFonts w:hint="eastAsia" w:ascii="宋体"/>
          <w:sz w:val="24"/>
        </w:rPr>
        <w:t>23.成交通知</w:t>
      </w:r>
      <w:r>
        <w:rPr>
          <w:sz w:val="24"/>
        </w:rPr>
        <w:tab/>
      </w:r>
      <w:r>
        <w:rPr>
          <w:sz w:val="24"/>
        </w:rPr>
        <w:fldChar w:fldCharType="begin"/>
      </w:r>
      <w:r>
        <w:rPr>
          <w:sz w:val="24"/>
        </w:rPr>
        <w:instrText xml:space="preserve"> PAGEREF _Toc259698685 \h </w:instrText>
      </w:r>
      <w:r>
        <w:rPr>
          <w:sz w:val="24"/>
        </w:rPr>
        <w:fldChar w:fldCharType="separate"/>
      </w:r>
      <w:r>
        <w:rPr>
          <w:sz w:val="24"/>
        </w:rPr>
        <w:t>14</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"_Toc259698686" </w:instrText>
      </w:r>
      <w:r>
        <w:fldChar w:fldCharType="separate"/>
      </w:r>
      <w:r>
        <w:rPr>
          <w:rFonts w:hint="eastAsia" w:ascii="宋体"/>
          <w:sz w:val="24"/>
        </w:rPr>
        <w:t>24.合同</w:t>
      </w:r>
      <w:bookmarkStart w:id="21" w:name="_Hlt80548519"/>
      <w:bookmarkEnd w:id="21"/>
      <w:r>
        <w:rPr>
          <w:rFonts w:hint="eastAsia" w:ascii="宋体"/>
          <w:sz w:val="24"/>
        </w:rPr>
        <w:t>授予标准</w:t>
      </w:r>
      <w:r>
        <w:rPr>
          <w:sz w:val="24"/>
        </w:rPr>
        <w:tab/>
      </w:r>
      <w:r>
        <w:rPr>
          <w:sz w:val="24"/>
        </w:rPr>
        <w:fldChar w:fldCharType="begin"/>
      </w:r>
      <w:r>
        <w:rPr>
          <w:sz w:val="24"/>
        </w:rPr>
        <w:instrText xml:space="preserve"> PAGEREF _Toc259698686 \h </w:instrText>
      </w:r>
      <w:r>
        <w:rPr>
          <w:sz w:val="24"/>
        </w:rPr>
        <w:fldChar w:fldCharType="separate"/>
      </w:r>
      <w:r>
        <w:rPr>
          <w:sz w:val="24"/>
        </w:rPr>
        <w:t>14</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"_Toc259698687" </w:instrText>
      </w:r>
      <w:r>
        <w:fldChar w:fldCharType="separate"/>
      </w:r>
      <w:r>
        <w:rPr>
          <w:rFonts w:hint="eastAsia" w:ascii="宋体"/>
          <w:sz w:val="24"/>
        </w:rPr>
        <w:t>25.签订合同</w:t>
      </w:r>
      <w:bookmarkStart w:id="22" w:name="_Hlt80548493"/>
      <w:bookmarkEnd w:id="22"/>
      <w:r>
        <w:rPr>
          <w:sz w:val="24"/>
        </w:rPr>
        <w:tab/>
      </w:r>
      <w:r>
        <w:rPr>
          <w:sz w:val="24"/>
        </w:rPr>
        <w:fldChar w:fldCharType="begin"/>
      </w:r>
      <w:r>
        <w:rPr>
          <w:sz w:val="24"/>
        </w:rPr>
        <w:instrText xml:space="preserve"> PAGEREF _Toc259698687 \h </w:instrText>
      </w:r>
      <w:r>
        <w:rPr>
          <w:sz w:val="24"/>
        </w:rPr>
        <w:fldChar w:fldCharType="separate"/>
      </w:r>
      <w:r>
        <w:rPr>
          <w:sz w:val="24"/>
        </w:rPr>
        <w:t>14</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"_Toc259698688" </w:instrText>
      </w:r>
      <w:r>
        <w:fldChar w:fldCharType="separate"/>
      </w:r>
      <w:r>
        <w:rPr>
          <w:rFonts w:hint="eastAsia" w:ascii="宋体"/>
          <w:sz w:val="24"/>
        </w:rPr>
        <w:t>26.履约保证金</w:t>
      </w:r>
      <w:r>
        <w:rPr>
          <w:sz w:val="24"/>
        </w:rPr>
        <w:tab/>
      </w:r>
      <w:r>
        <w:rPr>
          <w:sz w:val="24"/>
        </w:rPr>
        <w:fldChar w:fldCharType="begin"/>
      </w:r>
      <w:r>
        <w:rPr>
          <w:sz w:val="24"/>
        </w:rPr>
        <w:instrText xml:space="preserve"> PAGEREF _Toc259698688 \h </w:instrText>
      </w:r>
      <w:r>
        <w:rPr>
          <w:sz w:val="24"/>
        </w:rPr>
        <w:fldChar w:fldCharType="separate"/>
      </w:r>
      <w:r>
        <w:rPr>
          <w:sz w:val="24"/>
        </w:rPr>
        <w:t>14</w:t>
      </w:r>
      <w:r>
        <w:rPr>
          <w:sz w:val="24"/>
        </w:rPr>
        <w:fldChar w:fldCharType="end"/>
      </w:r>
      <w:r>
        <w:rPr>
          <w:sz w:val="24"/>
        </w:rPr>
        <w:fldChar w:fldCharType="end"/>
      </w:r>
    </w:p>
    <w:p>
      <w:pPr>
        <w:pStyle w:val="16"/>
        <w:ind w:left="840"/>
      </w:pPr>
      <w:r>
        <w:fldChar w:fldCharType="begin"/>
      </w:r>
      <w:r>
        <w:instrText xml:space="preserve"> HYPERLINK \l "_Toc259698689" </w:instrText>
      </w:r>
      <w:r>
        <w:fldChar w:fldCharType="separate"/>
      </w:r>
      <w:r>
        <w:rPr>
          <w:rFonts w:hint="eastAsia"/>
        </w:rPr>
        <w:t>七</w:t>
      </w:r>
      <w:r>
        <w:t xml:space="preserve">    </w:t>
      </w:r>
      <w:r>
        <w:rPr>
          <w:rFonts w:hint="eastAsia"/>
        </w:rPr>
        <w:t>其它事项</w:t>
      </w:r>
      <w:r>
        <w:tab/>
      </w:r>
      <w:r>
        <w:fldChar w:fldCharType="begin"/>
      </w:r>
      <w:r>
        <w:instrText xml:space="preserve"> PAGEREF _Toc259698689 \h </w:instrText>
      </w:r>
      <w:r>
        <w:fldChar w:fldCharType="separate"/>
      </w:r>
      <w:r>
        <w:t>15</w:t>
      </w:r>
      <w:r>
        <w:fldChar w:fldCharType="end"/>
      </w:r>
      <w:r>
        <w:fldChar w:fldCharType="end"/>
      </w:r>
    </w:p>
    <w:p>
      <w:pPr>
        <w:pStyle w:val="24"/>
        <w:tabs>
          <w:tab w:val="right" w:leader="dot" w:pos="9742"/>
        </w:tabs>
        <w:ind w:left="1260"/>
        <w:rPr>
          <w:sz w:val="24"/>
        </w:rPr>
      </w:pPr>
      <w:r>
        <w:fldChar w:fldCharType="begin"/>
      </w:r>
      <w:r>
        <w:instrText xml:space="preserve"> HYPERLINK \l "_Toc259698690" </w:instrText>
      </w:r>
      <w:r>
        <w:fldChar w:fldCharType="separate"/>
      </w:r>
      <w:r>
        <w:rPr>
          <w:rFonts w:hint="eastAsia" w:ascii="宋体"/>
          <w:sz w:val="24"/>
        </w:rPr>
        <w:t>27.成交服务费</w:t>
      </w:r>
      <w:r>
        <w:rPr>
          <w:sz w:val="24"/>
        </w:rPr>
        <w:tab/>
      </w:r>
      <w:r>
        <w:rPr>
          <w:sz w:val="24"/>
        </w:rPr>
        <w:fldChar w:fldCharType="begin"/>
      </w:r>
      <w:r>
        <w:rPr>
          <w:sz w:val="24"/>
        </w:rPr>
        <w:instrText xml:space="preserve"> PAGEREF _Toc259698690 \h </w:instrText>
      </w:r>
      <w:r>
        <w:rPr>
          <w:sz w:val="24"/>
        </w:rPr>
        <w:fldChar w:fldCharType="separate"/>
      </w:r>
      <w:r>
        <w:rPr>
          <w:sz w:val="24"/>
        </w:rPr>
        <w:t>15</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"_Toc259698691" </w:instrText>
      </w:r>
      <w:r>
        <w:fldChar w:fldCharType="separate"/>
      </w:r>
      <w:r>
        <w:rPr>
          <w:rFonts w:hint="eastAsia" w:ascii="宋体"/>
          <w:sz w:val="24"/>
        </w:rPr>
        <w:t>28.解释权</w:t>
      </w:r>
      <w:r>
        <w:rPr>
          <w:sz w:val="24"/>
        </w:rPr>
        <w:tab/>
      </w:r>
      <w:r>
        <w:rPr>
          <w:sz w:val="24"/>
        </w:rPr>
        <w:fldChar w:fldCharType="begin"/>
      </w:r>
      <w:r>
        <w:rPr>
          <w:sz w:val="24"/>
        </w:rPr>
        <w:instrText xml:space="preserve"> PAGEREF _Toc259698691 \h </w:instrText>
      </w:r>
      <w:r>
        <w:rPr>
          <w:sz w:val="24"/>
        </w:rPr>
        <w:fldChar w:fldCharType="separate"/>
      </w:r>
      <w:r>
        <w:rPr>
          <w:sz w:val="24"/>
        </w:rPr>
        <w:t>15</w:t>
      </w:r>
      <w:r>
        <w:rPr>
          <w:sz w:val="24"/>
        </w:rPr>
        <w:fldChar w:fldCharType="end"/>
      </w:r>
      <w:r>
        <w:rPr>
          <w:sz w:val="24"/>
        </w:rPr>
        <w:fldChar w:fldCharType="end"/>
      </w:r>
    </w:p>
    <w:p>
      <w:pPr>
        <w:pStyle w:val="24"/>
        <w:tabs>
          <w:tab w:val="right" w:leader="dot" w:pos="9742"/>
        </w:tabs>
        <w:ind w:left="1260"/>
        <w:rPr>
          <w:sz w:val="24"/>
        </w:rPr>
      </w:pPr>
      <w:r>
        <w:fldChar w:fldCharType="begin"/>
      </w:r>
      <w:r>
        <w:instrText xml:space="preserve"> HYPERLINK \l "_Toc259698692" </w:instrText>
      </w:r>
      <w:r>
        <w:fldChar w:fldCharType="separate"/>
      </w:r>
      <w:r>
        <w:rPr>
          <w:rFonts w:hint="eastAsia" w:ascii="宋体"/>
          <w:sz w:val="24"/>
        </w:rPr>
        <w:t>29.有关事宜</w:t>
      </w:r>
      <w:r>
        <w:rPr>
          <w:sz w:val="24"/>
        </w:rPr>
        <w:tab/>
      </w:r>
      <w:r>
        <w:rPr>
          <w:sz w:val="24"/>
        </w:rPr>
        <w:fldChar w:fldCharType="begin"/>
      </w:r>
      <w:r>
        <w:rPr>
          <w:sz w:val="24"/>
        </w:rPr>
        <w:instrText xml:space="preserve"> PAGEREF _Toc259698692 \h </w:instrText>
      </w:r>
      <w:r>
        <w:rPr>
          <w:sz w:val="24"/>
        </w:rPr>
        <w:fldChar w:fldCharType="separate"/>
      </w:r>
      <w:r>
        <w:rPr>
          <w:sz w:val="24"/>
        </w:rPr>
        <w:t>15</w:t>
      </w:r>
      <w:r>
        <w:rPr>
          <w:sz w:val="24"/>
        </w:rPr>
        <w:fldChar w:fldCharType="end"/>
      </w:r>
      <w:r>
        <w:rPr>
          <w:sz w:val="24"/>
        </w:rPr>
        <w:fldChar w:fldCharType="end"/>
      </w:r>
    </w:p>
    <w:p>
      <w:pPr>
        <w:pStyle w:val="17"/>
        <w:tabs>
          <w:tab w:val="right" w:pos="7931"/>
        </w:tabs>
        <w:spacing w:line="360" w:lineRule="exact"/>
        <w:ind w:firstLine="525"/>
      </w:pPr>
      <w:r>
        <w:rPr>
          <w:sz w:val="24"/>
          <w:szCs w:val="24"/>
        </w:rPr>
        <w:fldChar w:fldCharType="end"/>
      </w:r>
    </w:p>
    <w:p>
      <w:pPr>
        <w:pStyle w:val="4"/>
        <w:numPr>
          <w:ilvl w:val="0"/>
          <w:numId w:val="0"/>
        </w:numPr>
        <w:ind w:left="315" w:hanging="315"/>
        <w:jc w:val="center"/>
      </w:pPr>
      <w:r>
        <w:br w:type="page"/>
      </w:r>
      <w:bookmarkStart w:id="23" w:name="_Toc290374175"/>
      <w:bookmarkStart w:id="24" w:name="_Toc290375220"/>
      <w:bookmarkStart w:id="25" w:name="_Toc259698655"/>
      <w:r>
        <w:rPr>
          <w:rFonts w:hint="eastAsia"/>
          <w:sz w:val="32"/>
          <w:szCs w:val="32"/>
        </w:rPr>
        <w:t>竞标人须知前附表</w:t>
      </w:r>
      <w:bookmarkEnd w:id="23"/>
      <w:bookmarkEnd w:id="24"/>
      <w:bookmarkEnd w:id="25"/>
    </w:p>
    <w:tbl>
      <w:tblPr>
        <w:tblStyle w:val="32"/>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8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6" w:type="dxa"/>
            <w:vAlign w:val="center"/>
          </w:tcPr>
          <w:p>
            <w:pPr>
              <w:jc w:val="center"/>
              <w:rPr>
                <w:rFonts w:ascii="宋体"/>
                <w:sz w:val="24"/>
              </w:rPr>
            </w:pPr>
            <w:r>
              <w:rPr>
                <w:rFonts w:hint="eastAsia" w:ascii="宋体"/>
                <w:sz w:val="24"/>
              </w:rPr>
              <w:t>项号</w:t>
            </w:r>
          </w:p>
        </w:tc>
        <w:tc>
          <w:tcPr>
            <w:tcW w:w="945" w:type="dxa"/>
            <w:vAlign w:val="center"/>
          </w:tcPr>
          <w:p>
            <w:pPr>
              <w:jc w:val="center"/>
              <w:rPr>
                <w:rFonts w:ascii="宋体"/>
                <w:sz w:val="24"/>
              </w:rPr>
            </w:pPr>
            <w:r>
              <w:rPr>
                <w:rFonts w:hint="eastAsia" w:ascii="宋体"/>
                <w:sz w:val="24"/>
              </w:rPr>
              <w:t>条款号</w:t>
            </w:r>
          </w:p>
        </w:tc>
        <w:tc>
          <w:tcPr>
            <w:tcW w:w="8468" w:type="dxa"/>
            <w:vAlign w:val="center"/>
          </w:tcPr>
          <w:p>
            <w:pPr>
              <w:jc w:val="center"/>
              <w:rPr>
                <w:rFonts w:ascii="宋体"/>
                <w:sz w:val="24"/>
              </w:rPr>
            </w:pPr>
            <w:r>
              <w:rPr>
                <w:rFonts w:hint="eastAsia" w:asci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spacing w:line="400" w:lineRule="exact"/>
              <w:jc w:val="center"/>
              <w:rPr>
                <w:rFonts w:ascii="宋体"/>
                <w:sz w:val="24"/>
              </w:rPr>
            </w:pPr>
            <w:r>
              <w:rPr>
                <w:rFonts w:hint="eastAsia" w:ascii="宋体"/>
                <w:sz w:val="24"/>
              </w:rPr>
              <w:t>1</w:t>
            </w:r>
          </w:p>
        </w:tc>
        <w:tc>
          <w:tcPr>
            <w:tcW w:w="945" w:type="dxa"/>
            <w:vAlign w:val="center"/>
          </w:tcPr>
          <w:p>
            <w:pPr>
              <w:spacing w:line="400" w:lineRule="exact"/>
              <w:jc w:val="center"/>
              <w:rPr>
                <w:rFonts w:ascii="宋体"/>
                <w:sz w:val="24"/>
              </w:rPr>
            </w:pPr>
            <w:r>
              <w:rPr>
                <w:rFonts w:hint="eastAsia" w:ascii="宋体"/>
                <w:sz w:val="24"/>
              </w:rPr>
              <w:t>1.1</w:t>
            </w:r>
          </w:p>
          <w:p>
            <w:pPr>
              <w:spacing w:line="400" w:lineRule="exact"/>
              <w:jc w:val="center"/>
              <w:rPr>
                <w:rFonts w:ascii="宋体"/>
                <w:sz w:val="24"/>
              </w:rPr>
            </w:pPr>
            <w:r>
              <w:rPr>
                <w:rFonts w:hint="eastAsia" w:ascii="宋体"/>
                <w:sz w:val="24"/>
              </w:rPr>
              <w:t>1.2</w:t>
            </w:r>
          </w:p>
        </w:tc>
        <w:tc>
          <w:tcPr>
            <w:tcW w:w="8468" w:type="dxa"/>
            <w:vAlign w:val="center"/>
          </w:tcPr>
          <w:p>
            <w:pPr>
              <w:spacing w:line="360" w:lineRule="exact"/>
              <w:rPr>
                <w:sz w:val="24"/>
                <w:u w:val="single"/>
              </w:rPr>
            </w:pPr>
            <w:r>
              <w:rPr>
                <w:rFonts w:hint="eastAsia" w:ascii="宋体"/>
                <w:sz w:val="24"/>
              </w:rPr>
              <w:t>项目名称：</w:t>
            </w:r>
            <w:r>
              <w:rPr>
                <w:rFonts w:hint="eastAsia"/>
                <w:sz w:val="24"/>
                <w:lang w:eastAsia="zh-CN"/>
              </w:rPr>
              <w:t>田州镇卫生院综合楼项目安装电梯</w:t>
            </w:r>
            <w:r>
              <w:rPr>
                <w:rFonts w:hint="eastAsia"/>
                <w:sz w:val="24"/>
              </w:rPr>
              <w:t xml:space="preserve"> </w:t>
            </w:r>
            <w:r>
              <w:rPr>
                <w:sz w:val="24"/>
                <w:u w:val="single"/>
              </w:rPr>
              <w:t xml:space="preserve"> </w:t>
            </w:r>
          </w:p>
          <w:p>
            <w:pPr>
              <w:spacing w:line="360" w:lineRule="exact"/>
              <w:rPr>
                <w:rFonts w:ascii="宋体"/>
                <w:sz w:val="24"/>
                <w:u w:val="single"/>
              </w:rPr>
            </w:pPr>
            <w:r>
              <w:rPr>
                <w:rFonts w:hint="eastAsia" w:ascii="宋体"/>
                <w:sz w:val="24"/>
              </w:rPr>
              <w:t>项目编号：</w:t>
            </w:r>
            <w:r>
              <w:rPr>
                <w:rFonts w:hint="eastAsia"/>
                <w:sz w:val="24"/>
                <w:lang w:eastAsia="zh-CN"/>
              </w:rPr>
              <w:t>BSZC2020-J1-210476-HCJS</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726" w:type="dxa"/>
            <w:vAlign w:val="center"/>
          </w:tcPr>
          <w:p>
            <w:pPr>
              <w:spacing w:line="400" w:lineRule="exact"/>
              <w:jc w:val="center"/>
              <w:rPr>
                <w:rFonts w:ascii="宋体"/>
                <w:sz w:val="24"/>
              </w:rPr>
            </w:pPr>
            <w:r>
              <w:rPr>
                <w:rFonts w:hint="eastAsia" w:ascii="宋体"/>
                <w:sz w:val="24"/>
              </w:rPr>
              <w:t>2</w:t>
            </w:r>
          </w:p>
        </w:tc>
        <w:tc>
          <w:tcPr>
            <w:tcW w:w="945" w:type="dxa"/>
            <w:vAlign w:val="center"/>
          </w:tcPr>
          <w:p>
            <w:pPr>
              <w:spacing w:line="400" w:lineRule="exact"/>
              <w:jc w:val="center"/>
              <w:rPr>
                <w:rFonts w:ascii="宋体"/>
                <w:sz w:val="24"/>
              </w:rPr>
            </w:pPr>
            <w:r>
              <w:rPr>
                <w:rFonts w:hint="eastAsia" w:ascii="宋体"/>
                <w:sz w:val="24"/>
              </w:rPr>
              <w:t>2.1</w:t>
            </w:r>
          </w:p>
        </w:tc>
        <w:tc>
          <w:tcPr>
            <w:tcW w:w="8468" w:type="dxa"/>
            <w:vAlign w:val="center"/>
          </w:tcPr>
          <w:p>
            <w:pPr>
              <w:spacing w:line="360" w:lineRule="exact"/>
              <w:rPr>
                <w:rFonts w:ascii="宋体" w:hAnsi="宋体" w:cs="宋体"/>
                <w:sz w:val="24"/>
              </w:rPr>
            </w:pPr>
            <w:r>
              <w:rPr>
                <w:rFonts w:hint="eastAsia" w:ascii="宋体" w:hAnsi="宋体" w:cs="宋体"/>
                <w:sz w:val="24"/>
              </w:rPr>
              <w:t>竞标人资格要求：</w:t>
            </w:r>
          </w:p>
          <w:p>
            <w:pPr>
              <w:spacing w:line="360" w:lineRule="exact"/>
              <w:ind w:firstLine="480" w:firstLineChars="200"/>
              <w:rPr>
                <w:rFonts w:ascii="宋体" w:hAnsi="宋体" w:cs="宋体"/>
                <w:sz w:val="24"/>
              </w:rPr>
            </w:pPr>
            <w:r>
              <w:rPr>
                <w:rFonts w:hint="eastAsia" w:ascii="宋体" w:hAnsi="宋体" w:cs="宋体"/>
                <w:sz w:val="24"/>
              </w:rPr>
              <w:t>1.</w:t>
            </w:r>
            <w:r>
              <w:rPr>
                <w:rFonts w:hint="eastAsia" w:ascii="宋体" w:hAnsi="宋体" w:cs="Arial"/>
                <w:sz w:val="24"/>
              </w:rPr>
              <w:t>国内注册（指按国家有关规定要求注册的）具备独立法人资格，具有《中华人民共和国特种设备安装改造维修许可证》（电梯类）B级（含B级）或以上资质生产或经营本次采购内容的</w:t>
            </w:r>
            <w:r>
              <w:rPr>
                <w:rFonts w:hint="eastAsia"/>
                <w:sz w:val="24"/>
              </w:rPr>
              <w:t>供应商。</w:t>
            </w:r>
          </w:p>
          <w:p>
            <w:pPr>
              <w:spacing w:line="360" w:lineRule="exact"/>
              <w:ind w:firstLine="480" w:firstLineChars="200"/>
              <w:rPr>
                <w:rFonts w:ascii="宋体" w:hAnsi="宋体" w:cs="宋体"/>
                <w:sz w:val="24"/>
              </w:rPr>
            </w:pPr>
            <w:r>
              <w:rPr>
                <w:rFonts w:hint="eastAsia" w:ascii="宋体" w:hAnsi="宋体" w:cs="宋体"/>
                <w:sz w:val="24"/>
              </w:rPr>
              <w:t>2.对在“信用中国”网站(www.creditchina.gov.cn)、中国政府采购网(www.ccgp.gov.cn)等渠道列入失信被执行人、重大税收违法案件当事人名单、政府采购严重违法失信行为记录名单的供应商，不得参与本次竞标活动。</w:t>
            </w:r>
          </w:p>
          <w:p>
            <w:pPr>
              <w:spacing w:line="360" w:lineRule="exact"/>
              <w:ind w:firstLine="480" w:firstLineChars="200"/>
              <w:rPr>
                <w:rFonts w:ascii="宋体"/>
                <w:sz w:val="24"/>
              </w:rPr>
            </w:pPr>
            <w:r>
              <w:rPr>
                <w:rFonts w:hint="eastAsia" w:ascii="宋体" w:hAnsi="宋体" w:cs="宋体"/>
                <w:sz w:val="24"/>
              </w:rPr>
              <w:t>3.本项目不接受联合体参与竞标。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6" w:type="dxa"/>
            <w:vAlign w:val="center"/>
          </w:tcPr>
          <w:p>
            <w:pPr>
              <w:spacing w:line="400" w:lineRule="exact"/>
              <w:jc w:val="center"/>
              <w:rPr>
                <w:rFonts w:ascii="宋体"/>
                <w:sz w:val="24"/>
              </w:rPr>
            </w:pPr>
            <w:r>
              <w:rPr>
                <w:rFonts w:hint="eastAsia" w:ascii="宋体"/>
                <w:sz w:val="24"/>
              </w:rPr>
              <w:t>3</w:t>
            </w:r>
          </w:p>
        </w:tc>
        <w:tc>
          <w:tcPr>
            <w:tcW w:w="945" w:type="dxa"/>
            <w:vAlign w:val="center"/>
          </w:tcPr>
          <w:p>
            <w:pPr>
              <w:spacing w:line="400" w:lineRule="exact"/>
              <w:jc w:val="center"/>
              <w:rPr>
                <w:rFonts w:ascii="宋体"/>
                <w:sz w:val="24"/>
              </w:rPr>
            </w:pPr>
            <w:r>
              <w:rPr>
                <w:rFonts w:hint="eastAsia" w:ascii="宋体"/>
                <w:sz w:val="24"/>
              </w:rPr>
              <w:t>10.1</w:t>
            </w:r>
          </w:p>
        </w:tc>
        <w:tc>
          <w:tcPr>
            <w:tcW w:w="8468" w:type="dxa"/>
            <w:vAlign w:val="center"/>
          </w:tcPr>
          <w:p>
            <w:pPr>
              <w:pStyle w:val="17"/>
              <w:spacing w:line="360" w:lineRule="exact"/>
              <w:rPr>
                <w:sz w:val="24"/>
                <w:szCs w:val="24"/>
              </w:rPr>
            </w:pPr>
            <w:r>
              <w:rPr>
                <w:rFonts w:hint="eastAsia"/>
                <w:sz w:val="24"/>
                <w:szCs w:val="24"/>
              </w:rPr>
              <w:t>首次竞标报价：</w:t>
            </w:r>
            <w:r>
              <w:rPr>
                <w:rFonts w:hint="eastAsia"/>
                <w:b/>
                <w:sz w:val="24"/>
                <w:szCs w:val="24"/>
              </w:rPr>
              <w:t>竞标人须就《货物需求一览表》中的所有货物和服务内容作完整唯一报价。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6" w:type="dxa"/>
            <w:vAlign w:val="center"/>
          </w:tcPr>
          <w:p>
            <w:pPr>
              <w:spacing w:line="400" w:lineRule="exact"/>
              <w:jc w:val="center"/>
              <w:rPr>
                <w:rFonts w:ascii="宋体"/>
                <w:sz w:val="24"/>
              </w:rPr>
            </w:pPr>
            <w:r>
              <w:rPr>
                <w:rFonts w:hint="eastAsia" w:ascii="宋体"/>
                <w:sz w:val="24"/>
              </w:rPr>
              <w:t>4</w:t>
            </w:r>
          </w:p>
        </w:tc>
        <w:tc>
          <w:tcPr>
            <w:tcW w:w="945" w:type="dxa"/>
            <w:vAlign w:val="center"/>
          </w:tcPr>
          <w:p>
            <w:pPr>
              <w:spacing w:line="400" w:lineRule="exact"/>
              <w:jc w:val="center"/>
              <w:rPr>
                <w:rFonts w:ascii="宋体"/>
                <w:sz w:val="24"/>
              </w:rPr>
            </w:pPr>
            <w:r>
              <w:rPr>
                <w:rFonts w:hint="eastAsia" w:ascii="宋体"/>
                <w:sz w:val="24"/>
              </w:rPr>
              <w:t>14.1</w:t>
            </w:r>
          </w:p>
        </w:tc>
        <w:tc>
          <w:tcPr>
            <w:tcW w:w="8468" w:type="dxa"/>
            <w:vAlign w:val="center"/>
          </w:tcPr>
          <w:p>
            <w:pPr>
              <w:spacing w:line="360" w:lineRule="exact"/>
              <w:rPr>
                <w:rFonts w:ascii="宋体"/>
                <w:sz w:val="24"/>
              </w:rPr>
            </w:pPr>
            <w:r>
              <w:rPr>
                <w:rFonts w:hint="eastAsia" w:ascii="宋体"/>
                <w:sz w:val="24"/>
              </w:rPr>
              <w:t>竞标有效期：竞标截止日期后60天。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6" w:type="dxa"/>
            <w:vAlign w:val="center"/>
          </w:tcPr>
          <w:p>
            <w:pPr>
              <w:spacing w:line="400" w:lineRule="exact"/>
              <w:jc w:val="center"/>
              <w:rPr>
                <w:rFonts w:ascii="宋体"/>
                <w:sz w:val="24"/>
              </w:rPr>
            </w:pPr>
            <w:r>
              <w:rPr>
                <w:rFonts w:hint="eastAsia" w:ascii="宋体"/>
                <w:sz w:val="24"/>
              </w:rPr>
              <w:t>5</w:t>
            </w:r>
          </w:p>
        </w:tc>
        <w:tc>
          <w:tcPr>
            <w:tcW w:w="945" w:type="dxa"/>
            <w:vAlign w:val="center"/>
          </w:tcPr>
          <w:p>
            <w:pPr>
              <w:spacing w:line="400" w:lineRule="exact"/>
              <w:jc w:val="center"/>
              <w:rPr>
                <w:rFonts w:ascii="宋体"/>
                <w:sz w:val="24"/>
              </w:rPr>
            </w:pPr>
            <w:r>
              <w:rPr>
                <w:rFonts w:hint="eastAsia" w:ascii="宋体"/>
                <w:sz w:val="24"/>
              </w:rPr>
              <w:t>15.4</w:t>
            </w:r>
          </w:p>
        </w:tc>
        <w:tc>
          <w:tcPr>
            <w:tcW w:w="8468" w:type="dxa"/>
            <w:vAlign w:val="center"/>
          </w:tcPr>
          <w:p>
            <w:pPr>
              <w:spacing w:line="360" w:lineRule="exact"/>
              <w:rPr>
                <w:rFonts w:ascii="宋体"/>
                <w:sz w:val="24"/>
              </w:rPr>
            </w:pPr>
            <w:r>
              <w:rPr>
                <w:rFonts w:hint="eastAsia" w:ascii="宋体"/>
                <w:sz w:val="24"/>
              </w:rPr>
              <w:t>竞标文件份数：正本一份，副本肆份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26" w:type="dxa"/>
            <w:vAlign w:val="center"/>
          </w:tcPr>
          <w:p>
            <w:pPr>
              <w:spacing w:line="400" w:lineRule="exact"/>
              <w:jc w:val="center"/>
              <w:rPr>
                <w:rFonts w:ascii="宋体"/>
                <w:sz w:val="24"/>
              </w:rPr>
            </w:pPr>
            <w:r>
              <w:rPr>
                <w:rFonts w:hint="eastAsia" w:ascii="宋体"/>
                <w:sz w:val="24"/>
              </w:rPr>
              <w:t>6</w:t>
            </w:r>
          </w:p>
        </w:tc>
        <w:tc>
          <w:tcPr>
            <w:tcW w:w="945" w:type="dxa"/>
            <w:vAlign w:val="center"/>
          </w:tcPr>
          <w:p>
            <w:pPr>
              <w:spacing w:line="400" w:lineRule="exact"/>
              <w:jc w:val="center"/>
              <w:rPr>
                <w:rFonts w:ascii="宋体"/>
                <w:sz w:val="24"/>
              </w:rPr>
            </w:pPr>
            <w:r>
              <w:rPr>
                <w:rFonts w:hint="eastAsia" w:ascii="宋体"/>
                <w:sz w:val="24"/>
              </w:rPr>
              <w:t>16.1</w:t>
            </w:r>
          </w:p>
        </w:tc>
        <w:tc>
          <w:tcPr>
            <w:tcW w:w="8468" w:type="dxa"/>
            <w:vAlign w:val="center"/>
          </w:tcPr>
          <w:p>
            <w:pPr>
              <w:pStyle w:val="17"/>
              <w:ind w:right="107" w:rightChars="51"/>
              <w:jc w:val="left"/>
              <w:rPr>
                <w:rFonts w:hAnsi="宋体" w:cs="宋体"/>
                <w:sz w:val="24"/>
              </w:rPr>
            </w:pPr>
            <w:r>
              <w:rPr>
                <w:rFonts w:hint="eastAsia"/>
                <w:sz w:val="24"/>
              </w:rPr>
              <w:t>竞标保证金为</w:t>
            </w:r>
            <w:r>
              <w:rPr>
                <w:rFonts w:hint="eastAsia"/>
                <w:sz w:val="24"/>
                <w:lang w:eastAsia="zh-CN"/>
              </w:rPr>
              <w:t>：</w:t>
            </w:r>
            <w:r>
              <w:rPr>
                <w:rFonts w:hint="eastAsia"/>
                <w:b/>
                <w:bCs/>
                <w:sz w:val="24"/>
              </w:rPr>
              <w:t>人民币捌仟贰佰元整（￥8200.00）</w:t>
            </w:r>
            <w:r>
              <w:rPr>
                <w:rFonts w:hint="eastAsia"/>
                <w:sz w:val="24"/>
              </w:rPr>
              <w:t>。</w:t>
            </w:r>
            <w:r>
              <w:rPr>
                <w:rFonts w:hint="eastAsia" w:hAnsi="宋体" w:cs="宋体"/>
                <w:sz w:val="24"/>
              </w:rPr>
              <w:t>竞标人必须于</w:t>
            </w:r>
            <w:r>
              <w:rPr>
                <w:rFonts w:hint="eastAsia" w:hAnsi="宋体" w:cs="宋体"/>
                <w:sz w:val="24"/>
                <w:u w:val="single"/>
              </w:rPr>
              <w:t>竞标截止日前</w:t>
            </w:r>
            <w:r>
              <w:rPr>
                <w:rFonts w:hint="eastAsia" w:hAnsi="宋体" w:cs="宋体"/>
                <w:sz w:val="24"/>
              </w:rPr>
              <w:t>将竞标保证金从</w:t>
            </w:r>
            <w:r>
              <w:rPr>
                <w:rFonts w:hint="eastAsia" w:hAnsi="宋体" w:cs="宋体"/>
                <w:sz w:val="24"/>
                <w:u w:val="single"/>
              </w:rPr>
              <w:t>本单位基本账户以电汇、转账、汇票</w:t>
            </w:r>
            <w:r>
              <w:rPr>
                <w:rFonts w:hint="eastAsia" w:hAnsi="宋体" w:cs="宋体"/>
                <w:sz w:val="24"/>
                <w:u w:val="single"/>
                <w:lang w:eastAsia="zh-CN"/>
              </w:rPr>
              <w:t>、保函</w:t>
            </w:r>
            <w:r>
              <w:rPr>
                <w:rFonts w:hint="eastAsia" w:hAnsi="宋体" w:cs="宋体"/>
                <w:sz w:val="24"/>
                <w:u w:val="single"/>
              </w:rPr>
              <w:t>等非现金形式</w:t>
            </w:r>
            <w:r>
              <w:rPr>
                <w:rFonts w:hint="eastAsia" w:hAnsi="宋体" w:cs="宋体"/>
                <w:sz w:val="24"/>
              </w:rPr>
              <w:t>交至华春建设工程项目管理有限责任公司。</w:t>
            </w:r>
          </w:p>
          <w:p>
            <w:pPr>
              <w:pStyle w:val="17"/>
              <w:ind w:right="107" w:rightChars="51"/>
              <w:jc w:val="left"/>
              <w:rPr>
                <w:rFonts w:hAnsi="宋体" w:cs="宋体"/>
                <w:sz w:val="24"/>
              </w:rPr>
            </w:pPr>
            <w:r>
              <w:rPr>
                <w:rFonts w:hint="eastAsia" w:hAnsi="宋体" w:cs="宋体"/>
                <w:sz w:val="24"/>
              </w:rPr>
              <w:t>户名：华春建设工程项目管理有限责任公司广西百色分公司，</w:t>
            </w:r>
          </w:p>
          <w:p>
            <w:pPr>
              <w:pStyle w:val="17"/>
              <w:ind w:right="107" w:rightChars="51"/>
              <w:jc w:val="left"/>
              <w:rPr>
                <w:rFonts w:hAnsi="宋体" w:cs="宋体"/>
                <w:sz w:val="24"/>
              </w:rPr>
            </w:pPr>
            <w:r>
              <w:rPr>
                <w:rFonts w:hint="eastAsia" w:hAnsi="宋体" w:cs="宋体"/>
                <w:sz w:val="24"/>
              </w:rPr>
              <w:t>开户行：交通银行股份有限公司百色分行，</w:t>
            </w:r>
          </w:p>
          <w:p>
            <w:pPr>
              <w:pStyle w:val="17"/>
              <w:ind w:right="107" w:rightChars="51"/>
              <w:jc w:val="left"/>
              <w:rPr>
                <w:rFonts w:hAnsi="宋体" w:cs="宋体"/>
                <w:sz w:val="24"/>
              </w:rPr>
            </w:pPr>
            <w:r>
              <w:rPr>
                <w:rFonts w:hint="eastAsia" w:hAnsi="宋体" w:cs="宋体"/>
                <w:sz w:val="24"/>
              </w:rPr>
              <w:t xml:space="preserve">账号：457626101018010074293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26" w:type="dxa"/>
            <w:vAlign w:val="center"/>
          </w:tcPr>
          <w:p>
            <w:pPr>
              <w:spacing w:line="400" w:lineRule="exact"/>
              <w:jc w:val="center"/>
              <w:rPr>
                <w:rFonts w:ascii="宋体"/>
                <w:sz w:val="24"/>
              </w:rPr>
            </w:pPr>
            <w:r>
              <w:rPr>
                <w:rFonts w:hint="eastAsia" w:ascii="宋体"/>
                <w:sz w:val="24"/>
              </w:rPr>
              <w:t>7</w:t>
            </w:r>
          </w:p>
        </w:tc>
        <w:tc>
          <w:tcPr>
            <w:tcW w:w="945" w:type="dxa"/>
            <w:vAlign w:val="center"/>
          </w:tcPr>
          <w:p>
            <w:pPr>
              <w:spacing w:line="400" w:lineRule="exact"/>
              <w:jc w:val="center"/>
              <w:rPr>
                <w:rFonts w:ascii="宋体"/>
                <w:sz w:val="24"/>
              </w:rPr>
            </w:pPr>
            <w:r>
              <w:rPr>
                <w:rFonts w:hint="eastAsia" w:ascii="宋体"/>
                <w:sz w:val="24"/>
              </w:rPr>
              <w:t>18</w:t>
            </w:r>
          </w:p>
        </w:tc>
        <w:tc>
          <w:tcPr>
            <w:tcW w:w="8468" w:type="dxa"/>
            <w:vAlign w:val="center"/>
          </w:tcPr>
          <w:p>
            <w:pPr>
              <w:pStyle w:val="17"/>
              <w:spacing w:line="360" w:lineRule="exact"/>
              <w:rPr>
                <w:sz w:val="24"/>
                <w:szCs w:val="24"/>
              </w:rPr>
            </w:pPr>
            <w:r>
              <w:rPr>
                <w:rFonts w:hint="eastAsia"/>
                <w:sz w:val="24"/>
                <w:szCs w:val="24"/>
              </w:rPr>
              <w:t>竞标文件递交截止时间：</w:t>
            </w:r>
            <w:r>
              <w:rPr>
                <w:rFonts w:hint="eastAsia" w:hAnsi="宋体" w:cs="宋体"/>
                <w:sz w:val="24"/>
                <w:u w:val="single"/>
              </w:rPr>
              <w:t xml:space="preserve">2020年 </w:t>
            </w:r>
            <w:r>
              <w:rPr>
                <w:rFonts w:hint="eastAsia" w:hAnsi="宋体" w:cs="宋体"/>
                <w:sz w:val="24"/>
                <w:u w:val="single"/>
                <w:lang w:val="en-US" w:eastAsia="zh-CN"/>
              </w:rPr>
              <w:t>12</w:t>
            </w:r>
            <w:r>
              <w:rPr>
                <w:rFonts w:hint="eastAsia" w:hAnsi="宋体" w:cs="宋体"/>
                <w:sz w:val="24"/>
                <w:u w:val="single"/>
              </w:rPr>
              <w:t>月</w:t>
            </w:r>
            <w:r>
              <w:rPr>
                <w:rFonts w:hint="eastAsia" w:hAnsi="宋体" w:cs="宋体"/>
                <w:sz w:val="24"/>
                <w:u w:val="single"/>
                <w:lang w:val="en-US" w:eastAsia="zh-CN"/>
              </w:rPr>
              <w:t>11</w:t>
            </w:r>
            <w:r>
              <w:rPr>
                <w:rFonts w:hint="eastAsia" w:hAnsi="宋体" w:cs="宋体"/>
                <w:sz w:val="24"/>
                <w:u w:val="single"/>
              </w:rPr>
              <w:t>日</w:t>
            </w:r>
            <w:r>
              <w:rPr>
                <w:rFonts w:hint="eastAsia" w:hAnsi="宋体" w:cs="宋体"/>
                <w:sz w:val="24"/>
                <w:u w:val="single"/>
                <w:lang w:val="en-US" w:eastAsia="zh-CN"/>
              </w:rPr>
              <w:t>10</w:t>
            </w:r>
            <w:r>
              <w:rPr>
                <w:rFonts w:hint="eastAsia" w:hAnsi="宋体" w:cs="宋体"/>
                <w:sz w:val="24"/>
                <w:u w:val="single"/>
              </w:rPr>
              <w:t xml:space="preserve">时 </w:t>
            </w:r>
            <w:r>
              <w:rPr>
                <w:rFonts w:hint="eastAsia" w:hAnsi="宋体" w:cs="宋体"/>
                <w:sz w:val="24"/>
                <w:u w:val="single"/>
                <w:lang w:val="en-US" w:eastAsia="zh-CN"/>
              </w:rPr>
              <w:t>00</w:t>
            </w:r>
            <w:r>
              <w:rPr>
                <w:rFonts w:hint="eastAsia" w:hAnsi="宋体" w:cs="宋体"/>
                <w:sz w:val="24"/>
                <w:u w:val="single"/>
              </w:rPr>
              <w:t xml:space="preserve"> 分</w:t>
            </w:r>
            <w:r>
              <w:rPr>
                <w:rFonts w:hint="eastAsia"/>
                <w:sz w:val="24"/>
                <w:szCs w:val="24"/>
              </w:rPr>
              <w:t>（此为竞标截止时间）</w:t>
            </w:r>
          </w:p>
          <w:p>
            <w:pPr>
              <w:pStyle w:val="17"/>
              <w:spacing w:line="360" w:lineRule="exact"/>
              <w:rPr>
                <w:bCs/>
                <w:sz w:val="24"/>
                <w:szCs w:val="24"/>
              </w:rPr>
            </w:pPr>
            <w:r>
              <w:rPr>
                <w:rFonts w:hint="eastAsia"/>
                <w:sz w:val="24"/>
                <w:szCs w:val="24"/>
              </w:rPr>
              <w:t>竞标文件递交地址：华春建设工程项目管理有限责任公司广西百色分公司开标室（百色市长乐星城1号写字楼7楼705室）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26" w:type="dxa"/>
            <w:vAlign w:val="center"/>
          </w:tcPr>
          <w:p>
            <w:pPr>
              <w:spacing w:line="400" w:lineRule="exact"/>
              <w:jc w:val="center"/>
              <w:rPr>
                <w:rFonts w:ascii="宋体"/>
                <w:sz w:val="24"/>
              </w:rPr>
            </w:pPr>
            <w:r>
              <w:rPr>
                <w:rFonts w:hint="eastAsia" w:ascii="宋体"/>
                <w:sz w:val="24"/>
              </w:rPr>
              <w:t>8</w:t>
            </w:r>
          </w:p>
        </w:tc>
        <w:tc>
          <w:tcPr>
            <w:tcW w:w="945" w:type="dxa"/>
            <w:vAlign w:val="center"/>
          </w:tcPr>
          <w:p>
            <w:pPr>
              <w:spacing w:line="400" w:lineRule="exact"/>
              <w:jc w:val="center"/>
              <w:rPr>
                <w:rFonts w:ascii="宋体"/>
                <w:sz w:val="24"/>
              </w:rPr>
            </w:pPr>
            <w:r>
              <w:rPr>
                <w:rFonts w:hint="eastAsia" w:ascii="宋体"/>
                <w:sz w:val="24"/>
              </w:rPr>
              <w:t>19.1</w:t>
            </w:r>
          </w:p>
        </w:tc>
        <w:tc>
          <w:tcPr>
            <w:tcW w:w="8468" w:type="dxa"/>
            <w:vAlign w:val="center"/>
          </w:tcPr>
          <w:p>
            <w:pPr>
              <w:spacing w:line="360" w:lineRule="exact"/>
              <w:rPr>
                <w:rFonts w:ascii="宋体"/>
                <w:sz w:val="24"/>
              </w:rPr>
            </w:pPr>
            <w:r>
              <w:rPr>
                <w:rFonts w:hint="eastAsia" w:ascii="宋体"/>
                <w:sz w:val="24"/>
              </w:rPr>
              <w:t>谈判时间：</w:t>
            </w:r>
            <w:r>
              <w:rPr>
                <w:rFonts w:hint="eastAsia" w:hAnsi="宋体" w:cs="宋体"/>
                <w:sz w:val="24"/>
                <w:u w:val="single"/>
              </w:rPr>
              <w:t>2020年</w:t>
            </w:r>
            <w:r>
              <w:rPr>
                <w:rFonts w:hint="eastAsia" w:hAnsi="宋体" w:cs="宋体"/>
                <w:sz w:val="24"/>
                <w:u w:val="single"/>
                <w:lang w:val="en-US" w:eastAsia="zh-CN"/>
              </w:rPr>
              <w:t>12</w:t>
            </w:r>
            <w:r>
              <w:rPr>
                <w:rFonts w:hint="eastAsia" w:hAnsi="宋体" w:cs="宋体"/>
                <w:sz w:val="24"/>
                <w:u w:val="single"/>
              </w:rPr>
              <w:t>月</w:t>
            </w:r>
            <w:r>
              <w:rPr>
                <w:rFonts w:hint="eastAsia" w:hAnsi="宋体" w:cs="宋体"/>
                <w:sz w:val="24"/>
                <w:u w:val="single"/>
                <w:lang w:val="en-US" w:eastAsia="zh-CN"/>
              </w:rPr>
              <w:t>11</w:t>
            </w:r>
            <w:r>
              <w:rPr>
                <w:rFonts w:hint="eastAsia" w:hAnsi="宋体" w:cs="宋体"/>
                <w:sz w:val="24"/>
                <w:u w:val="single"/>
              </w:rPr>
              <w:t>日</w:t>
            </w:r>
            <w:r>
              <w:rPr>
                <w:rFonts w:hint="eastAsia" w:hAnsi="宋体" w:cs="宋体"/>
                <w:sz w:val="24"/>
                <w:u w:val="single"/>
                <w:lang w:val="en-US" w:eastAsia="zh-CN"/>
              </w:rPr>
              <w:t>10</w:t>
            </w:r>
            <w:r>
              <w:rPr>
                <w:rFonts w:hint="eastAsia" w:hAnsi="宋体" w:cs="宋体"/>
                <w:sz w:val="24"/>
                <w:u w:val="single"/>
              </w:rPr>
              <w:t xml:space="preserve"> 时 </w:t>
            </w:r>
            <w:r>
              <w:rPr>
                <w:rFonts w:hint="eastAsia" w:hAnsi="宋体" w:cs="宋体"/>
                <w:sz w:val="24"/>
                <w:u w:val="single"/>
                <w:lang w:val="en-US" w:eastAsia="zh-CN"/>
              </w:rPr>
              <w:t>00</w:t>
            </w:r>
            <w:r>
              <w:rPr>
                <w:rFonts w:hint="eastAsia" w:hAnsi="宋体" w:cs="宋体"/>
                <w:sz w:val="24"/>
                <w:u w:val="single"/>
              </w:rPr>
              <w:t>分</w:t>
            </w:r>
            <w:r>
              <w:rPr>
                <w:rFonts w:hint="eastAsia"/>
                <w:sz w:val="24"/>
              </w:rPr>
              <w:t>截标后</w:t>
            </w:r>
          </w:p>
          <w:p>
            <w:pPr>
              <w:pStyle w:val="17"/>
              <w:spacing w:line="360" w:lineRule="exact"/>
              <w:rPr>
                <w:sz w:val="24"/>
                <w:szCs w:val="24"/>
              </w:rPr>
            </w:pPr>
            <w:r>
              <w:rPr>
                <w:rFonts w:hint="eastAsia"/>
                <w:sz w:val="24"/>
                <w:szCs w:val="24"/>
              </w:rPr>
              <w:t>谈判地点：华春建设工程项目管理有限责任公司广西百色分公司开标室（百色市长乐星城1号写字楼7楼705室）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6" w:type="dxa"/>
            <w:vAlign w:val="center"/>
          </w:tcPr>
          <w:p>
            <w:pPr>
              <w:spacing w:line="400" w:lineRule="exact"/>
              <w:jc w:val="center"/>
              <w:rPr>
                <w:rFonts w:ascii="宋体"/>
                <w:sz w:val="24"/>
              </w:rPr>
            </w:pPr>
            <w:r>
              <w:rPr>
                <w:rFonts w:hint="eastAsia" w:ascii="宋体"/>
                <w:sz w:val="24"/>
              </w:rPr>
              <w:t>9</w:t>
            </w:r>
          </w:p>
        </w:tc>
        <w:tc>
          <w:tcPr>
            <w:tcW w:w="945" w:type="dxa"/>
            <w:vAlign w:val="center"/>
          </w:tcPr>
          <w:p>
            <w:pPr>
              <w:spacing w:line="400" w:lineRule="exact"/>
              <w:jc w:val="center"/>
              <w:rPr>
                <w:rFonts w:ascii="宋体"/>
                <w:sz w:val="24"/>
              </w:rPr>
            </w:pPr>
          </w:p>
        </w:tc>
        <w:tc>
          <w:tcPr>
            <w:tcW w:w="8468" w:type="dxa"/>
            <w:vAlign w:val="center"/>
          </w:tcPr>
          <w:p>
            <w:pPr>
              <w:spacing w:line="360" w:lineRule="exact"/>
              <w:rPr>
                <w:sz w:val="24"/>
              </w:rPr>
            </w:pPr>
            <w:r>
              <w:rPr>
                <w:rFonts w:hint="eastAsia"/>
                <w:sz w:val="24"/>
              </w:rPr>
              <w:t>1、</w:t>
            </w:r>
            <w:r>
              <w:rPr>
                <w:sz w:val="24"/>
              </w:rPr>
              <w:t>本</w:t>
            </w:r>
            <w:r>
              <w:rPr>
                <w:rFonts w:hint="eastAsia"/>
                <w:sz w:val="24"/>
              </w:rPr>
              <w:t>竞争性谈判采购文件</w:t>
            </w:r>
            <w:r>
              <w:rPr>
                <w:sz w:val="24"/>
              </w:rPr>
              <w:t>中描述</w:t>
            </w:r>
            <w:r>
              <w:rPr>
                <w:rFonts w:hint="eastAsia"/>
                <w:sz w:val="24"/>
              </w:rPr>
              <w:t>竞标人</w:t>
            </w:r>
            <w:r>
              <w:rPr>
                <w:sz w:val="24"/>
              </w:rPr>
              <w:t>的“公章”是指根据我国对公章的管理规定，用</w:t>
            </w:r>
            <w:r>
              <w:rPr>
                <w:rFonts w:hint="eastAsia"/>
                <w:sz w:val="24"/>
              </w:rPr>
              <w:t>竞标人</w:t>
            </w:r>
            <w:r>
              <w:rPr>
                <w:sz w:val="24"/>
              </w:rPr>
              <w:t>法定主体行为名称制作的印章，</w:t>
            </w:r>
            <w:r>
              <w:rPr>
                <w:rFonts w:hint="eastAsia"/>
                <w:sz w:val="24"/>
              </w:rPr>
              <w:t>竞标人</w:t>
            </w:r>
            <w:r>
              <w:rPr>
                <w:sz w:val="24"/>
              </w:rPr>
              <w:t>的财务章、部门章、分公司章、工会章、合同章、竞标专用章、业务专用章等其它形式印章均不能代替公章。</w:t>
            </w:r>
          </w:p>
          <w:p>
            <w:pPr>
              <w:spacing w:line="360" w:lineRule="exact"/>
              <w:rPr>
                <w:rFonts w:ascii="宋体"/>
                <w:sz w:val="24"/>
              </w:rPr>
            </w:pPr>
            <w:r>
              <w:rPr>
                <w:rFonts w:hint="eastAsia"/>
                <w:sz w:val="24"/>
              </w:rPr>
              <w:t>2、</w:t>
            </w:r>
            <w:r>
              <w:rPr>
                <w:sz w:val="24"/>
              </w:rPr>
              <w:t>本</w:t>
            </w:r>
            <w:r>
              <w:rPr>
                <w:rFonts w:hint="eastAsia"/>
                <w:sz w:val="24"/>
              </w:rPr>
              <w:t>竞争性谈判采购文件</w:t>
            </w:r>
            <w:r>
              <w:rPr>
                <w:sz w:val="24"/>
              </w:rPr>
              <w:t>中描述</w:t>
            </w:r>
            <w:r>
              <w:rPr>
                <w:rFonts w:hint="eastAsia"/>
                <w:sz w:val="24"/>
              </w:rPr>
              <w:t>竞标人</w:t>
            </w:r>
            <w:r>
              <w:rPr>
                <w:sz w:val="24"/>
              </w:rPr>
              <w:t>的“</w:t>
            </w:r>
            <w:r>
              <w:rPr>
                <w:rFonts w:hint="eastAsia"/>
                <w:sz w:val="24"/>
              </w:rPr>
              <w:t>签字</w:t>
            </w:r>
            <w:r>
              <w:rPr>
                <w:sz w:val="24"/>
              </w:rPr>
              <w:t>”是指</w:t>
            </w:r>
            <w:r>
              <w:rPr>
                <w:rFonts w:hint="eastAsia"/>
                <w:sz w:val="24"/>
              </w:rPr>
              <w:t>竞标人的法定代表人或被授权人亲自在竞争性谈判采购文件规定签署处亲笔写上个人的名字的行为，私章、签名章、印鉴、影印等其它形式</w:t>
            </w:r>
            <w:r>
              <w:rPr>
                <w:sz w:val="24"/>
              </w:rPr>
              <w:t>均不能代替</w:t>
            </w:r>
            <w:r>
              <w:rPr>
                <w:rFonts w:hint="eastAsia"/>
                <w:sz w:val="24"/>
              </w:rPr>
              <w:t>亲笔签字</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6" w:type="dxa"/>
            <w:vAlign w:val="center"/>
          </w:tcPr>
          <w:p>
            <w:pPr>
              <w:spacing w:line="400" w:lineRule="exact"/>
              <w:jc w:val="center"/>
              <w:rPr>
                <w:rFonts w:ascii="宋体"/>
                <w:sz w:val="24"/>
              </w:rPr>
            </w:pPr>
            <w:r>
              <w:rPr>
                <w:rFonts w:hint="eastAsia" w:ascii="宋体"/>
                <w:sz w:val="24"/>
              </w:rPr>
              <w:t>10</w:t>
            </w:r>
          </w:p>
        </w:tc>
        <w:tc>
          <w:tcPr>
            <w:tcW w:w="945" w:type="dxa"/>
            <w:vAlign w:val="center"/>
          </w:tcPr>
          <w:p>
            <w:pPr>
              <w:spacing w:line="400" w:lineRule="exact"/>
              <w:jc w:val="center"/>
              <w:rPr>
                <w:rFonts w:ascii="宋体"/>
                <w:sz w:val="24"/>
              </w:rPr>
            </w:pPr>
          </w:p>
        </w:tc>
        <w:tc>
          <w:tcPr>
            <w:tcW w:w="8468" w:type="dxa"/>
            <w:vAlign w:val="center"/>
          </w:tcPr>
          <w:p>
            <w:pPr>
              <w:spacing w:line="420" w:lineRule="exact"/>
              <w:rPr>
                <w:sz w:val="24"/>
              </w:rPr>
            </w:pPr>
            <w:r>
              <w:rPr>
                <w:rFonts w:hint="eastAsia" w:ascii="宋体"/>
                <w:sz w:val="24"/>
              </w:rPr>
              <w:t>解释：本竞争性谈判采购文件的解释权属于招标采购单位。</w:t>
            </w:r>
          </w:p>
        </w:tc>
      </w:tr>
    </w:tbl>
    <w:p>
      <w:pPr>
        <w:pStyle w:val="17"/>
        <w:spacing w:line="300" w:lineRule="auto"/>
        <w:jc w:val="center"/>
        <w:rPr>
          <w:sz w:val="24"/>
          <w:szCs w:val="24"/>
        </w:rPr>
      </w:pPr>
      <w:r>
        <w:rPr>
          <w:sz w:val="24"/>
          <w:szCs w:val="24"/>
        </w:rPr>
        <w:br w:type="page"/>
      </w:r>
    </w:p>
    <w:p>
      <w:pPr>
        <w:pStyle w:val="4"/>
        <w:numPr>
          <w:ilvl w:val="0"/>
          <w:numId w:val="0"/>
        </w:numPr>
        <w:ind w:left="315" w:hanging="315"/>
        <w:jc w:val="center"/>
        <w:rPr>
          <w:sz w:val="32"/>
          <w:szCs w:val="32"/>
        </w:rPr>
      </w:pPr>
      <w:bookmarkStart w:id="26" w:name="_Toc290375221"/>
      <w:bookmarkStart w:id="27" w:name="_Toc259698656"/>
      <w:bookmarkStart w:id="28" w:name="_Toc290374176"/>
      <w:r>
        <w:rPr>
          <w:rFonts w:hint="eastAsia"/>
          <w:sz w:val="32"/>
          <w:szCs w:val="32"/>
        </w:rPr>
        <w:t>竞</w:t>
      </w:r>
      <w:r>
        <w:rPr>
          <w:sz w:val="32"/>
          <w:szCs w:val="32"/>
        </w:rPr>
        <w:t xml:space="preserve"> </w:t>
      </w:r>
      <w:r>
        <w:rPr>
          <w:rFonts w:hint="eastAsia"/>
          <w:sz w:val="32"/>
          <w:szCs w:val="32"/>
        </w:rPr>
        <w:t>标</w:t>
      </w:r>
      <w:r>
        <w:rPr>
          <w:sz w:val="32"/>
          <w:szCs w:val="32"/>
        </w:rPr>
        <w:t xml:space="preserve"> </w:t>
      </w:r>
      <w:r>
        <w:rPr>
          <w:rFonts w:hint="eastAsia"/>
          <w:sz w:val="32"/>
          <w:szCs w:val="32"/>
        </w:rPr>
        <w:t>人</w:t>
      </w:r>
      <w:r>
        <w:rPr>
          <w:sz w:val="32"/>
          <w:szCs w:val="32"/>
        </w:rPr>
        <w:t xml:space="preserve"> </w:t>
      </w:r>
      <w:r>
        <w:rPr>
          <w:rFonts w:hint="eastAsia"/>
          <w:sz w:val="32"/>
          <w:szCs w:val="32"/>
        </w:rPr>
        <w:t>须</w:t>
      </w:r>
      <w:r>
        <w:rPr>
          <w:sz w:val="32"/>
          <w:szCs w:val="32"/>
        </w:rPr>
        <w:t xml:space="preserve"> </w:t>
      </w:r>
      <w:r>
        <w:rPr>
          <w:rFonts w:hint="eastAsia"/>
          <w:sz w:val="32"/>
          <w:szCs w:val="32"/>
        </w:rPr>
        <w:t>知</w:t>
      </w:r>
      <w:bookmarkEnd w:id="26"/>
      <w:bookmarkEnd w:id="27"/>
      <w:bookmarkEnd w:id="28"/>
    </w:p>
    <w:p>
      <w:pPr>
        <w:pStyle w:val="17"/>
        <w:spacing w:line="300" w:lineRule="auto"/>
        <w:rPr>
          <w:sz w:val="24"/>
          <w:szCs w:val="24"/>
        </w:rPr>
      </w:pPr>
    </w:p>
    <w:p>
      <w:pPr>
        <w:pStyle w:val="6"/>
        <w:spacing w:line="276" w:lineRule="auto"/>
        <w:jc w:val="center"/>
        <w:rPr>
          <w:rFonts w:ascii="宋体"/>
          <w:sz w:val="24"/>
          <w:szCs w:val="24"/>
        </w:rPr>
      </w:pPr>
      <w:bookmarkStart w:id="29" w:name="_Toc290374177"/>
      <w:bookmarkStart w:id="30" w:name="_Toc259698657"/>
      <w:bookmarkStart w:id="31" w:name="_Toc290375222"/>
      <w:r>
        <w:rPr>
          <w:rFonts w:hint="eastAsia" w:ascii="宋体"/>
          <w:sz w:val="24"/>
          <w:szCs w:val="24"/>
        </w:rPr>
        <w:t>一    总  则</w:t>
      </w:r>
      <w:bookmarkEnd w:id="29"/>
      <w:bookmarkEnd w:id="30"/>
      <w:bookmarkEnd w:id="31"/>
    </w:p>
    <w:p>
      <w:pPr>
        <w:pStyle w:val="7"/>
        <w:rPr>
          <w:rFonts w:eastAsia="宋体"/>
          <w:szCs w:val="24"/>
        </w:rPr>
      </w:pPr>
      <w:bookmarkStart w:id="32" w:name="_Toc259698658"/>
      <w:r>
        <w:rPr>
          <w:rFonts w:eastAsia="宋体"/>
          <w:szCs w:val="24"/>
        </w:rPr>
        <w:t>1.</w:t>
      </w:r>
      <w:r>
        <w:rPr>
          <w:rFonts w:hint="eastAsia" w:eastAsia="宋体"/>
          <w:szCs w:val="24"/>
        </w:rPr>
        <w:t>项目名称及编号</w:t>
      </w:r>
      <w:bookmarkEnd w:id="32"/>
    </w:p>
    <w:p>
      <w:pPr>
        <w:pStyle w:val="17"/>
        <w:spacing w:line="300" w:lineRule="auto"/>
        <w:ind w:firstLine="470" w:firstLineChars="196"/>
        <w:rPr>
          <w:sz w:val="24"/>
        </w:rPr>
      </w:pPr>
      <w:r>
        <w:rPr>
          <w:rFonts w:hint="eastAsia"/>
          <w:sz w:val="24"/>
          <w:szCs w:val="24"/>
        </w:rPr>
        <w:t>1.1项目名称：</w:t>
      </w:r>
      <w:r>
        <w:rPr>
          <w:rFonts w:hint="eastAsia"/>
          <w:sz w:val="24"/>
          <w:lang w:eastAsia="zh-CN"/>
        </w:rPr>
        <w:t>田州镇卫生院综合楼项目安装电梯</w:t>
      </w:r>
      <w:r>
        <w:rPr>
          <w:rFonts w:hint="eastAsia"/>
          <w:sz w:val="24"/>
        </w:rPr>
        <w:t xml:space="preserve"> </w:t>
      </w:r>
      <w:r>
        <w:rPr>
          <w:sz w:val="24"/>
        </w:rPr>
        <w:t xml:space="preserve"> </w:t>
      </w:r>
    </w:p>
    <w:p>
      <w:pPr>
        <w:pStyle w:val="17"/>
        <w:spacing w:line="300" w:lineRule="auto"/>
        <w:ind w:firstLine="470" w:firstLineChars="196"/>
        <w:rPr>
          <w:rFonts w:hint="eastAsia" w:eastAsia="宋体"/>
          <w:color w:val="FF0000"/>
          <w:sz w:val="24"/>
          <w:szCs w:val="24"/>
          <w:lang w:eastAsia="zh-CN"/>
        </w:rPr>
      </w:pPr>
      <w:r>
        <w:rPr>
          <w:sz w:val="24"/>
          <w:szCs w:val="24"/>
        </w:rPr>
        <w:t>1.</w:t>
      </w:r>
      <w:r>
        <w:rPr>
          <w:rFonts w:hint="eastAsia"/>
          <w:sz w:val="24"/>
          <w:szCs w:val="24"/>
        </w:rPr>
        <w:t>2项目编号：</w:t>
      </w:r>
      <w:bookmarkStart w:id="33" w:name="_Toc259698659"/>
      <w:r>
        <w:rPr>
          <w:rFonts w:hint="eastAsia"/>
          <w:sz w:val="24"/>
          <w:szCs w:val="24"/>
          <w:lang w:eastAsia="zh-CN"/>
        </w:rPr>
        <w:t>BSZC2020-J1-210476-HCJS</w:t>
      </w:r>
    </w:p>
    <w:p>
      <w:pPr>
        <w:pStyle w:val="17"/>
        <w:spacing w:line="300" w:lineRule="auto"/>
        <w:ind w:firstLine="411" w:firstLineChars="196"/>
        <w:rPr>
          <w:sz w:val="24"/>
          <w:szCs w:val="24"/>
        </w:rPr>
      </w:pPr>
      <w:r>
        <w:rPr>
          <w:szCs w:val="24"/>
        </w:rPr>
        <w:t xml:space="preserve"> </w:t>
      </w:r>
      <w:r>
        <w:rPr>
          <w:sz w:val="24"/>
          <w:szCs w:val="24"/>
        </w:rPr>
        <w:t>2.</w:t>
      </w:r>
      <w:r>
        <w:rPr>
          <w:rFonts w:hint="eastAsia"/>
          <w:sz w:val="24"/>
          <w:szCs w:val="24"/>
        </w:rPr>
        <w:t>竞标人资格</w:t>
      </w:r>
      <w:bookmarkEnd w:id="33"/>
    </w:p>
    <w:p>
      <w:pPr>
        <w:spacing w:line="400" w:lineRule="exact"/>
        <w:ind w:firstLine="480" w:firstLineChars="200"/>
        <w:rPr>
          <w:rFonts w:ascii="宋体"/>
          <w:sz w:val="24"/>
        </w:rPr>
      </w:pPr>
      <w:r>
        <w:rPr>
          <w:rFonts w:hint="eastAsia" w:ascii="宋体"/>
          <w:sz w:val="24"/>
        </w:rPr>
        <w:t>2.1 竞标人资格要求：详见竞标人须知前附表第2项。</w:t>
      </w:r>
    </w:p>
    <w:p>
      <w:pPr>
        <w:pStyle w:val="7"/>
        <w:rPr>
          <w:rFonts w:eastAsia="宋体"/>
          <w:szCs w:val="24"/>
        </w:rPr>
      </w:pPr>
      <w:bookmarkStart w:id="34" w:name="_Toc259698660"/>
      <w:r>
        <w:rPr>
          <w:rFonts w:eastAsia="宋体"/>
          <w:szCs w:val="24"/>
        </w:rPr>
        <w:t>3.</w:t>
      </w:r>
      <w:r>
        <w:rPr>
          <w:rFonts w:hint="eastAsia" w:eastAsia="宋体"/>
          <w:szCs w:val="24"/>
        </w:rPr>
        <w:t>竞标费用</w:t>
      </w:r>
      <w:bookmarkEnd w:id="34"/>
    </w:p>
    <w:p>
      <w:pPr>
        <w:pStyle w:val="17"/>
        <w:spacing w:line="300" w:lineRule="auto"/>
        <w:ind w:firstLine="420"/>
        <w:rPr>
          <w:sz w:val="24"/>
          <w:szCs w:val="24"/>
        </w:rPr>
      </w:pPr>
      <w:r>
        <w:rPr>
          <w:sz w:val="24"/>
          <w:szCs w:val="24"/>
        </w:rPr>
        <w:t>3.1</w:t>
      </w:r>
      <w:r>
        <w:rPr>
          <w:rFonts w:hint="eastAsia"/>
          <w:sz w:val="24"/>
          <w:szCs w:val="24"/>
        </w:rPr>
        <w:t>竞标人应自行承担所有与本次竞标有关的全部费用。</w:t>
      </w:r>
    </w:p>
    <w:p>
      <w:pPr>
        <w:pStyle w:val="17"/>
        <w:spacing w:line="300" w:lineRule="auto"/>
        <w:jc w:val="center"/>
        <w:rPr>
          <w:b/>
          <w:sz w:val="24"/>
          <w:szCs w:val="24"/>
        </w:rPr>
      </w:pPr>
    </w:p>
    <w:p>
      <w:pPr>
        <w:pStyle w:val="6"/>
        <w:spacing w:line="276" w:lineRule="auto"/>
        <w:jc w:val="center"/>
        <w:rPr>
          <w:rFonts w:ascii="宋体"/>
          <w:sz w:val="24"/>
          <w:szCs w:val="24"/>
        </w:rPr>
      </w:pPr>
      <w:bookmarkStart w:id="35" w:name="_Toc290375223"/>
      <w:bookmarkStart w:id="36" w:name="_Toc259698661"/>
      <w:bookmarkStart w:id="37" w:name="_Toc290374178"/>
      <w:r>
        <w:rPr>
          <w:rFonts w:hint="eastAsia" w:ascii="宋体"/>
          <w:sz w:val="24"/>
          <w:szCs w:val="24"/>
        </w:rPr>
        <w:t>二    竞争性谈判采购文件（简称谈判采购文件）</w:t>
      </w:r>
      <w:bookmarkEnd w:id="35"/>
      <w:bookmarkEnd w:id="36"/>
      <w:bookmarkEnd w:id="37"/>
    </w:p>
    <w:p>
      <w:pPr>
        <w:pStyle w:val="7"/>
        <w:rPr>
          <w:rFonts w:eastAsia="宋体"/>
          <w:szCs w:val="24"/>
        </w:rPr>
      </w:pPr>
      <w:bookmarkStart w:id="38" w:name="_Toc259698662"/>
      <w:r>
        <w:rPr>
          <w:rFonts w:eastAsia="宋体"/>
          <w:szCs w:val="24"/>
        </w:rPr>
        <w:t>4.</w:t>
      </w:r>
      <w:r>
        <w:rPr>
          <w:rFonts w:hint="eastAsia" w:eastAsia="宋体"/>
          <w:szCs w:val="24"/>
        </w:rPr>
        <w:t>谈判采购文件的构成</w:t>
      </w:r>
      <w:bookmarkEnd w:id="38"/>
    </w:p>
    <w:p>
      <w:pPr>
        <w:pStyle w:val="17"/>
        <w:spacing w:line="300" w:lineRule="auto"/>
        <w:ind w:firstLine="420"/>
        <w:rPr>
          <w:sz w:val="24"/>
          <w:szCs w:val="24"/>
        </w:rPr>
      </w:pPr>
      <w:r>
        <w:rPr>
          <w:sz w:val="24"/>
          <w:szCs w:val="24"/>
        </w:rPr>
        <w:t>4.1</w:t>
      </w:r>
      <w:r>
        <w:rPr>
          <w:rFonts w:hint="eastAsia"/>
          <w:sz w:val="24"/>
          <w:szCs w:val="24"/>
        </w:rPr>
        <w:t>采购文件包括：</w:t>
      </w:r>
    </w:p>
    <w:p>
      <w:pPr>
        <w:pStyle w:val="17"/>
        <w:spacing w:line="300" w:lineRule="auto"/>
        <w:ind w:firstLine="426"/>
        <w:rPr>
          <w:sz w:val="24"/>
          <w:szCs w:val="24"/>
        </w:rPr>
      </w:pPr>
      <w:r>
        <w:rPr>
          <w:rFonts w:hint="eastAsia"/>
          <w:sz w:val="24"/>
          <w:szCs w:val="24"/>
        </w:rPr>
        <w:t>⑴竞标公告：竞标公告在中国政府采购网</w:t>
      </w:r>
      <w:r>
        <w:rPr>
          <w:sz w:val="24"/>
          <w:szCs w:val="24"/>
        </w:rPr>
        <w:t>(http://</w:t>
      </w:r>
      <w:r>
        <w:fldChar w:fldCharType="begin"/>
      </w:r>
      <w:r>
        <w:instrText xml:space="preserve"> HYPERLINK "http://www.ccgp.gov.cn/" </w:instrText>
      </w:r>
      <w:r>
        <w:fldChar w:fldCharType="separate"/>
      </w:r>
      <w:r>
        <w:rPr>
          <w:sz w:val="24"/>
          <w:szCs w:val="24"/>
        </w:rPr>
        <w:t>www.ccgp.gov.cn</w:t>
      </w:r>
      <w:r>
        <w:rPr>
          <w:sz w:val="24"/>
          <w:szCs w:val="24"/>
        </w:rPr>
        <w:fldChar w:fldCharType="end"/>
      </w:r>
      <w:r>
        <w:rPr>
          <w:sz w:val="24"/>
          <w:szCs w:val="24"/>
        </w:rPr>
        <w:t>)</w:t>
      </w:r>
      <w:r>
        <w:rPr>
          <w:rFonts w:hint="eastAsia"/>
          <w:sz w:val="24"/>
          <w:szCs w:val="24"/>
        </w:rPr>
        <w:t>、广西壮族自治区政府采购网（http://zfcg.gxzf.gov.cn/）等网站上发布。</w:t>
      </w:r>
    </w:p>
    <w:p>
      <w:pPr>
        <w:pStyle w:val="17"/>
        <w:spacing w:line="300" w:lineRule="auto"/>
        <w:ind w:firstLine="420"/>
        <w:rPr>
          <w:sz w:val="24"/>
          <w:szCs w:val="24"/>
        </w:rPr>
      </w:pPr>
      <w:r>
        <w:rPr>
          <w:rFonts w:hint="eastAsia"/>
          <w:sz w:val="24"/>
          <w:szCs w:val="24"/>
        </w:rPr>
        <w:t>⑵竞标须知及前附表；</w:t>
      </w:r>
    </w:p>
    <w:p>
      <w:pPr>
        <w:pStyle w:val="17"/>
        <w:spacing w:line="300" w:lineRule="auto"/>
        <w:ind w:firstLine="420"/>
        <w:rPr>
          <w:sz w:val="24"/>
          <w:szCs w:val="24"/>
        </w:rPr>
      </w:pPr>
      <w:r>
        <w:rPr>
          <w:rFonts w:hint="eastAsia"/>
          <w:sz w:val="24"/>
          <w:szCs w:val="24"/>
        </w:rPr>
        <w:t>⑶货物需求一览表；</w:t>
      </w:r>
    </w:p>
    <w:p>
      <w:pPr>
        <w:pStyle w:val="17"/>
        <w:spacing w:line="300" w:lineRule="auto"/>
        <w:ind w:firstLine="420"/>
        <w:rPr>
          <w:sz w:val="24"/>
          <w:szCs w:val="24"/>
        </w:rPr>
      </w:pPr>
      <w:r>
        <w:rPr>
          <w:rFonts w:hint="eastAsia"/>
          <w:sz w:val="24"/>
          <w:szCs w:val="24"/>
        </w:rPr>
        <w:t>⑷合同条款；</w:t>
      </w:r>
    </w:p>
    <w:p>
      <w:pPr>
        <w:pStyle w:val="17"/>
        <w:spacing w:line="300" w:lineRule="auto"/>
        <w:ind w:firstLine="420"/>
        <w:rPr>
          <w:sz w:val="24"/>
          <w:szCs w:val="24"/>
        </w:rPr>
      </w:pPr>
      <w:r>
        <w:rPr>
          <w:rFonts w:hint="eastAsia"/>
          <w:sz w:val="24"/>
          <w:szCs w:val="24"/>
        </w:rPr>
        <w:t>⑸合同书格式；</w:t>
      </w:r>
    </w:p>
    <w:p>
      <w:pPr>
        <w:pStyle w:val="17"/>
        <w:spacing w:line="300" w:lineRule="auto"/>
        <w:ind w:firstLine="420"/>
        <w:rPr>
          <w:sz w:val="24"/>
          <w:szCs w:val="24"/>
        </w:rPr>
      </w:pPr>
      <w:r>
        <w:rPr>
          <w:rFonts w:hint="eastAsia"/>
          <w:sz w:val="24"/>
          <w:szCs w:val="24"/>
        </w:rPr>
        <w:t>⑹竞标文件格式；</w:t>
      </w:r>
    </w:p>
    <w:p>
      <w:pPr>
        <w:pStyle w:val="17"/>
        <w:spacing w:line="300" w:lineRule="auto"/>
        <w:ind w:firstLine="420"/>
        <w:rPr>
          <w:sz w:val="24"/>
          <w:szCs w:val="24"/>
        </w:rPr>
      </w:pPr>
      <w:r>
        <w:rPr>
          <w:rFonts w:hint="eastAsia"/>
          <w:sz w:val="24"/>
          <w:szCs w:val="24"/>
        </w:rPr>
        <w:t>⑺评标办法。</w:t>
      </w:r>
    </w:p>
    <w:p>
      <w:pPr>
        <w:pStyle w:val="7"/>
        <w:rPr>
          <w:rFonts w:eastAsia="宋体"/>
          <w:szCs w:val="24"/>
        </w:rPr>
      </w:pPr>
      <w:bookmarkStart w:id="39" w:name="_Toc259698663"/>
      <w:r>
        <w:rPr>
          <w:rFonts w:eastAsia="宋体"/>
          <w:szCs w:val="24"/>
        </w:rPr>
        <w:t>5.</w:t>
      </w:r>
      <w:r>
        <w:rPr>
          <w:rFonts w:hint="eastAsia" w:eastAsia="宋体"/>
          <w:szCs w:val="24"/>
        </w:rPr>
        <w:t>谈判采购文件的澄清和修改</w:t>
      </w:r>
      <w:bookmarkEnd w:id="39"/>
    </w:p>
    <w:p>
      <w:pPr>
        <w:pStyle w:val="17"/>
        <w:spacing w:line="300" w:lineRule="auto"/>
        <w:ind w:firstLine="420"/>
        <w:rPr>
          <w:sz w:val="24"/>
          <w:szCs w:val="24"/>
        </w:rPr>
      </w:pPr>
      <w:r>
        <w:rPr>
          <w:sz w:val="24"/>
          <w:szCs w:val="24"/>
        </w:rPr>
        <w:t>5.1</w:t>
      </w:r>
      <w:r>
        <w:rPr>
          <w:rFonts w:hint="eastAsia"/>
          <w:sz w:val="24"/>
          <w:szCs w:val="24"/>
        </w:rPr>
        <w:t>任何要求澄清谈判采购文件的竞标人，均应在竞标截止日期的</w:t>
      </w:r>
      <w:r>
        <w:rPr>
          <w:sz w:val="24"/>
          <w:szCs w:val="24"/>
        </w:rPr>
        <w:t>3</w:t>
      </w:r>
      <w:r>
        <w:rPr>
          <w:rFonts w:hint="eastAsia"/>
          <w:sz w:val="24"/>
          <w:szCs w:val="24"/>
        </w:rPr>
        <w:t>个工作日前以书面形式通知采购代理机构并签收，同时认定其它澄清方式为无效，采购代理机构将以书面形式予以答复。逾期不予受理，视为接受谈判采购文件所有条款。</w:t>
      </w:r>
    </w:p>
    <w:p>
      <w:pPr>
        <w:pStyle w:val="17"/>
        <w:spacing w:line="300" w:lineRule="auto"/>
        <w:ind w:firstLine="420"/>
        <w:jc w:val="left"/>
        <w:rPr>
          <w:sz w:val="24"/>
          <w:szCs w:val="24"/>
        </w:rPr>
      </w:pPr>
      <w:r>
        <w:rPr>
          <w:sz w:val="24"/>
          <w:szCs w:val="24"/>
        </w:rPr>
        <w:t xml:space="preserve">5.2 </w:t>
      </w:r>
      <w:r>
        <w:rPr>
          <w:rFonts w:hint="eastAsia"/>
          <w:sz w:val="24"/>
          <w:szCs w:val="24"/>
        </w:rPr>
        <w:t>在竞标截止日期前3个工作日，采购代理机构可主动地或在解答竞标人提出的澄清问题时对谈判采购文件进行澄清或修改。该澄清或修改的内容为竞标文件的组成部分。</w:t>
      </w:r>
    </w:p>
    <w:p>
      <w:pPr>
        <w:pStyle w:val="17"/>
        <w:spacing w:line="300" w:lineRule="auto"/>
        <w:ind w:firstLine="420"/>
        <w:rPr>
          <w:sz w:val="24"/>
          <w:szCs w:val="24"/>
        </w:rPr>
      </w:pPr>
      <w:r>
        <w:rPr>
          <w:sz w:val="24"/>
          <w:szCs w:val="24"/>
        </w:rPr>
        <w:t xml:space="preserve">5.3 </w:t>
      </w:r>
      <w:r>
        <w:rPr>
          <w:rFonts w:hint="eastAsia"/>
          <w:sz w:val="24"/>
          <w:szCs w:val="24"/>
        </w:rPr>
        <w:t>谈判采购文件的澄清或修改将以书面形式通知所有购买谈判采购文件的竞标人，并对其具有约束力。</w:t>
      </w:r>
    </w:p>
    <w:p>
      <w:pPr>
        <w:pStyle w:val="17"/>
        <w:spacing w:line="300" w:lineRule="auto"/>
        <w:ind w:firstLine="420"/>
        <w:rPr>
          <w:sz w:val="24"/>
          <w:szCs w:val="24"/>
        </w:rPr>
      </w:pPr>
      <w:r>
        <w:rPr>
          <w:sz w:val="24"/>
          <w:szCs w:val="24"/>
        </w:rPr>
        <w:t xml:space="preserve">5.4 </w:t>
      </w:r>
      <w:r>
        <w:rPr>
          <w:rFonts w:hint="eastAsia"/>
          <w:sz w:val="24"/>
          <w:szCs w:val="24"/>
        </w:rPr>
        <w:t>采购代理机构可视具体情况，延长竞标截止时间，并将此澄清或修改通知所有购买谈判采购文件的竞标人。</w:t>
      </w:r>
    </w:p>
    <w:p>
      <w:pPr>
        <w:pStyle w:val="17"/>
        <w:spacing w:line="300" w:lineRule="auto"/>
        <w:ind w:firstLine="420"/>
        <w:rPr>
          <w:sz w:val="24"/>
          <w:szCs w:val="24"/>
        </w:rPr>
      </w:pPr>
    </w:p>
    <w:p>
      <w:pPr>
        <w:pStyle w:val="6"/>
        <w:spacing w:line="276" w:lineRule="auto"/>
        <w:jc w:val="center"/>
        <w:rPr>
          <w:rFonts w:ascii="宋体"/>
          <w:sz w:val="24"/>
          <w:szCs w:val="24"/>
        </w:rPr>
      </w:pPr>
      <w:bookmarkStart w:id="40" w:name="_Toc259698664"/>
      <w:bookmarkStart w:id="41" w:name="_Toc290375224"/>
      <w:bookmarkStart w:id="42" w:name="_Toc290374179"/>
      <w:r>
        <w:rPr>
          <w:rFonts w:hint="eastAsia" w:ascii="宋体"/>
          <w:sz w:val="24"/>
          <w:szCs w:val="24"/>
        </w:rPr>
        <w:t>三    竞标文件的编制格式</w:t>
      </w:r>
      <w:bookmarkEnd w:id="40"/>
      <w:bookmarkEnd w:id="41"/>
      <w:bookmarkEnd w:id="42"/>
    </w:p>
    <w:p>
      <w:pPr>
        <w:pStyle w:val="7"/>
        <w:rPr>
          <w:rFonts w:eastAsia="宋体"/>
          <w:szCs w:val="24"/>
        </w:rPr>
      </w:pPr>
      <w:bookmarkStart w:id="43" w:name="_Toc259698665"/>
      <w:r>
        <w:rPr>
          <w:rFonts w:eastAsia="宋体"/>
          <w:szCs w:val="24"/>
        </w:rPr>
        <w:t>6.</w:t>
      </w:r>
      <w:r>
        <w:rPr>
          <w:rFonts w:hint="eastAsia" w:eastAsia="宋体"/>
          <w:szCs w:val="24"/>
        </w:rPr>
        <w:t>竞标文件编写的注意事项</w:t>
      </w:r>
      <w:bookmarkEnd w:id="43"/>
    </w:p>
    <w:p>
      <w:pPr>
        <w:pStyle w:val="17"/>
        <w:spacing w:line="300" w:lineRule="auto"/>
        <w:ind w:firstLine="420"/>
        <w:rPr>
          <w:sz w:val="24"/>
          <w:szCs w:val="24"/>
        </w:rPr>
      </w:pPr>
      <w:r>
        <w:rPr>
          <w:sz w:val="24"/>
          <w:szCs w:val="24"/>
        </w:rPr>
        <w:t>6.1</w:t>
      </w:r>
      <w:r>
        <w:rPr>
          <w:rFonts w:hint="eastAsia"/>
          <w:sz w:val="24"/>
          <w:szCs w:val="24"/>
        </w:rPr>
        <w:t>竞标人应认真阅读竞争性谈判采购文件，按照竞争性谈判采购文件的要求编制竞标文件。如果没有按照竞争性谈判采购文件要求提交竞标文件，没有对竞争性谈判采购文件提出的实质性要求和条件作出响应，该竞标将被拒绝。</w:t>
      </w:r>
    </w:p>
    <w:p>
      <w:pPr>
        <w:pStyle w:val="17"/>
        <w:spacing w:line="300" w:lineRule="auto"/>
        <w:ind w:firstLine="420"/>
        <w:rPr>
          <w:sz w:val="24"/>
          <w:szCs w:val="24"/>
        </w:rPr>
      </w:pPr>
      <w:r>
        <w:rPr>
          <w:sz w:val="24"/>
          <w:szCs w:val="24"/>
        </w:rPr>
        <w:t>6.2</w:t>
      </w:r>
      <w:r>
        <w:rPr>
          <w:rFonts w:hint="eastAsia"/>
          <w:sz w:val="24"/>
          <w:szCs w:val="24"/>
        </w:rPr>
        <w:t>对竞争性谈判采购文件提出的实质性要求和条件作出响应是指竞标人必须对竞争性谈判采购文件中竞标项目的价格、技术参数及性能配置、数量、售后服务及其它要求、合同主要条款等内容作出响应。</w:t>
      </w:r>
    </w:p>
    <w:p>
      <w:pPr>
        <w:pStyle w:val="7"/>
        <w:rPr>
          <w:rFonts w:eastAsia="宋体"/>
          <w:szCs w:val="24"/>
        </w:rPr>
      </w:pPr>
      <w:bookmarkStart w:id="44" w:name="_Toc259698666"/>
      <w:r>
        <w:rPr>
          <w:rFonts w:eastAsia="宋体"/>
          <w:szCs w:val="24"/>
        </w:rPr>
        <w:t>7.</w:t>
      </w:r>
      <w:r>
        <w:rPr>
          <w:rFonts w:hint="eastAsia" w:eastAsia="宋体"/>
          <w:szCs w:val="24"/>
        </w:rPr>
        <w:t>竞标文件的构成</w:t>
      </w:r>
      <w:bookmarkEnd w:id="44"/>
    </w:p>
    <w:p>
      <w:pPr>
        <w:pStyle w:val="17"/>
        <w:spacing w:line="300" w:lineRule="auto"/>
        <w:ind w:firstLine="420"/>
        <w:rPr>
          <w:sz w:val="24"/>
          <w:szCs w:val="24"/>
        </w:rPr>
      </w:pPr>
      <w:r>
        <w:rPr>
          <w:sz w:val="24"/>
          <w:szCs w:val="24"/>
        </w:rPr>
        <w:t>7.1</w:t>
      </w:r>
      <w:r>
        <w:rPr>
          <w:rFonts w:hint="eastAsia"/>
          <w:sz w:val="24"/>
          <w:szCs w:val="24"/>
        </w:rPr>
        <w:t>竞标人编写的竞标文件应包括下列内容：</w:t>
      </w:r>
    </w:p>
    <w:p>
      <w:pPr>
        <w:pStyle w:val="17"/>
        <w:spacing w:line="300" w:lineRule="auto"/>
        <w:ind w:firstLine="420"/>
        <w:rPr>
          <w:sz w:val="24"/>
          <w:szCs w:val="24"/>
        </w:rPr>
      </w:pPr>
      <w:r>
        <w:rPr>
          <w:rFonts w:hint="eastAsia"/>
          <w:sz w:val="24"/>
          <w:szCs w:val="24"/>
        </w:rPr>
        <w:t>一、商务部分</w:t>
      </w:r>
    </w:p>
    <w:p>
      <w:pPr>
        <w:pStyle w:val="17"/>
        <w:spacing w:line="300" w:lineRule="auto"/>
        <w:ind w:left="420"/>
        <w:rPr>
          <w:sz w:val="24"/>
          <w:szCs w:val="24"/>
        </w:rPr>
      </w:pPr>
      <w:r>
        <w:rPr>
          <w:rFonts w:hint="eastAsia"/>
          <w:sz w:val="24"/>
          <w:szCs w:val="24"/>
        </w:rPr>
        <w:t>（</w:t>
      </w:r>
      <w:r>
        <w:rPr>
          <w:sz w:val="24"/>
          <w:szCs w:val="24"/>
        </w:rPr>
        <w:t>1</w:t>
      </w:r>
      <w:r>
        <w:rPr>
          <w:rFonts w:hint="eastAsia"/>
          <w:sz w:val="24"/>
          <w:szCs w:val="24"/>
        </w:rPr>
        <w:t>）竞标函；</w:t>
      </w:r>
    </w:p>
    <w:p>
      <w:pPr>
        <w:pStyle w:val="17"/>
        <w:spacing w:line="300" w:lineRule="auto"/>
        <w:ind w:left="420"/>
        <w:rPr>
          <w:sz w:val="24"/>
          <w:szCs w:val="24"/>
        </w:rPr>
      </w:pPr>
      <w:r>
        <w:rPr>
          <w:rFonts w:hint="eastAsia"/>
          <w:sz w:val="24"/>
          <w:szCs w:val="24"/>
        </w:rPr>
        <w:t>（</w:t>
      </w:r>
      <w:r>
        <w:rPr>
          <w:sz w:val="24"/>
          <w:szCs w:val="24"/>
        </w:rPr>
        <w:t>2</w:t>
      </w:r>
      <w:r>
        <w:rPr>
          <w:rFonts w:hint="eastAsia"/>
          <w:sz w:val="24"/>
          <w:szCs w:val="24"/>
        </w:rPr>
        <w:t>）首次竞标报价表；</w:t>
      </w:r>
    </w:p>
    <w:p>
      <w:pPr>
        <w:pStyle w:val="17"/>
        <w:spacing w:line="300" w:lineRule="auto"/>
        <w:ind w:firstLine="412"/>
        <w:rPr>
          <w:sz w:val="24"/>
          <w:szCs w:val="24"/>
        </w:rPr>
      </w:pPr>
      <w:r>
        <w:rPr>
          <w:rFonts w:hint="eastAsia"/>
          <w:sz w:val="24"/>
          <w:szCs w:val="24"/>
        </w:rPr>
        <w:t>（</w:t>
      </w:r>
      <w:r>
        <w:rPr>
          <w:sz w:val="24"/>
          <w:szCs w:val="24"/>
        </w:rPr>
        <w:t>3</w:t>
      </w:r>
      <w:r>
        <w:rPr>
          <w:rFonts w:hint="eastAsia"/>
          <w:sz w:val="24"/>
          <w:szCs w:val="24"/>
        </w:rPr>
        <w:t>）证明竞标货物合格的证明文件（具体包含本章第13条所列的资料）；</w:t>
      </w:r>
    </w:p>
    <w:p>
      <w:pPr>
        <w:pStyle w:val="17"/>
        <w:spacing w:line="300" w:lineRule="auto"/>
        <w:ind w:firstLine="412"/>
        <w:rPr>
          <w:sz w:val="24"/>
          <w:szCs w:val="24"/>
        </w:rPr>
      </w:pPr>
      <w:r>
        <w:rPr>
          <w:rFonts w:hint="eastAsia"/>
          <w:sz w:val="24"/>
          <w:szCs w:val="24"/>
        </w:rPr>
        <w:t>（4）商务及其他要求响应表。</w:t>
      </w:r>
    </w:p>
    <w:p>
      <w:pPr>
        <w:pStyle w:val="17"/>
        <w:spacing w:line="300" w:lineRule="auto"/>
        <w:ind w:firstLine="420"/>
        <w:rPr>
          <w:sz w:val="24"/>
          <w:szCs w:val="24"/>
        </w:rPr>
      </w:pPr>
      <w:r>
        <w:rPr>
          <w:rFonts w:hint="eastAsia"/>
          <w:sz w:val="24"/>
          <w:szCs w:val="24"/>
        </w:rPr>
        <w:t>二、技术部分</w:t>
      </w:r>
    </w:p>
    <w:p>
      <w:pPr>
        <w:pStyle w:val="17"/>
        <w:spacing w:line="300" w:lineRule="auto"/>
        <w:ind w:firstLine="352" w:firstLineChars="147"/>
        <w:rPr>
          <w:sz w:val="24"/>
          <w:szCs w:val="24"/>
        </w:rPr>
      </w:pPr>
      <w:r>
        <w:rPr>
          <w:sz w:val="24"/>
          <w:szCs w:val="24"/>
        </w:rPr>
        <w:t xml:space="preserve"> </w:t>
      </w:r>
      <w:r>
        <w:rPr>
          <w:rFonts w:hint="eastAsia"/>
          <w:sz w:val="24"/>
          <w:szCs w:val="24"/>
        </w:rPr>
        <w:t>（</w:t>
      </w:r>
      <w:r>
        <w:rPr>
          <w:sz w:val="24"/>
          <w:szCs w:val="24"/>
        </w:rPr>
        <w:t>1</w:t>
      </w:r>
      <w:r>
        <w:rPr>
          <w:rFonts w:hint="eastAsia"/>
          <w:sz w:val="24"/>
          <w:szCs w:val="24"/>
        </w:rPr>
        <w:t xml:space="preserve">）技术规格响应表； </w:t>
      </w:r>
    </w:p>
    <w:p>
      <w:pPr>
        <w:pStyle w:val="17"/>
        <w:spacing w:line="300" w:lineRule="auto"/>
        <w:ind w:firstLine="420"/>
        <w:rPr>
          <w:sz w:val="24"/>
          <w:szCs w:val="24"/>
        </w:rPr>
      </w:pPr>
      <w:r>
        <w:rPr>
          <w:rFonts w:hint="eastAsia"/>
          <w:sz w:val="24"/>
          <w:szCs w:val="24"/>
        </w:rPr>
        <w:t>（</w:t>
      </w:r>
      <w:r>
        <w:rPr>
          <w:sz w:val="24"/>
          <w:szCs w:val="24"/>
        </w:rPr>
        <w:t>2</w:t>
      </w:r>
      <w:r>
        <w:rPr>
          <w:rFonts w:hint="eastAsia"/>
          <w:sz w:val="24"/>
          <w:szCs w:val="24"/>
        </w:rPr>
        <w:t>）技术实施方案（</w:t>
      </w:r>
      <w:r>
        <w:rPr>
          <w:rFonts w:hint="eastAsia"/>
          <w:b/>
          <w:sz w:val="24"/>
          <w:szCs w:val="24"/>
        </w:rPr>
        <w:t>按货物需求一览表要求提供</w:t>
      </w:r>
      <w:r>
        <w:rPr>
          <w:rFonts w:hint="eastAsia"/>
          <w:sz w:val="24"/>
          <w:szCs w:val="24"/>
        </w:rPr>
        <w:t>）。</w:t>
      </w:r>
    </w:p>
    <w:p>
      <w:pPr>
        <w:pStyle w:val="17"/>
        <w:spacing w:line="300" w:lineRule="auto"/>
        <w:ind w:firstLine="410" w:firstLineChars="171"/>
        <w:rPr>
          <w:sz w:val="24"/>
          <w:szCs w:val="24"/>
        </w:rPr>
      </w:pPr>
      <w:r>
        <w:rPr>
          <w:rFonts w:hint="eastAsia"/>
          <w:sz w:val="24"/>
          <w:szCs w:val="24"/>
        </w:rPr>
        <w:t>三、证明竞标人合格和资格的文件</w:t>
      </w:r>
    </w:p>
    <w:p>
      <w:pPr>
        <w:pStyle w:val="17"/>
        <w:spacing w:line="300" w:lineRule="auto"/>
        <w:ind w:firstLine="420"/>
        <w:rPr>
          <w:sz w:val="24"/>
          <w:szCs w:val="24"/>
        </w:rPr>
      </w:pPr>
      <w:r>
        <w:rPr>
          <w:rFonts w:hint="eastAsia"/>
          <w:sz w:val="24"/>
          <w:szCs w:val="24"/>
        </w:rPr>
        <w:t>（</w:t>
      </w:r>
      <w:r>
        <w:rPr>
          <w:sz w:val="24"/>
          <w:szCs w:val="24"/>
        </w:rPr>
        <w:t>1</w:t>
      </w:r>
      <w:r>
        <w:rPr>
          <w:rFonts w:hint="eastAsia"/>
          <w:sz w:val="24"/>
          <w:szCs w:val="24"/>
        </w:rPr>
        <w:t>）竞标保证金缴纳凭证复印件（即收款单位开具的竞标保证金缴纳收款收据或银行转账底单复印件）；</w:t>
      </w:r>
    </w:p>
    <w:p>
      <w:pPr>
        <w:pStyle w:val="17"/>
        <w:spacing w:line="300" w:lineRule="auto"/>
        <w:ind w:firstLine="480" w:firstLineChars="200"/>
        <w:rPr>
          <w:sz w:val="24"/>
          <w:szCs w:val="24"/>
        </w:rPr>
      </w:pPr>
      <w:r>
        <w:rPr>
          <w:rFonts w:hint="eastAsia"/>
          <w:sz w:val="24"/>
          <w:szCs w:val="24"/>
        </w:rPr>
        <w:t>（</w:t>
      </w:r>
      <w:r>
        <w:rPr>
          <w:sz w:val="24"/>
          <w:szCs w:val="24"/>
        </w:rPr>
        <w:t>2</w:t>
      </w:r>
      <w:r>
        <w:rPr>
          <w:rFonts w:hint="eastAsia"/>
          <w:sz w:val="24"/>
          <w:szCs w:val="24"/>
        </w:rPr>
        <w:t>）证明竞标人合格和资格的文件（具体包含本章第12.1条所列的资料）；</w:t>
      </w:r>
    </w:p>
    <w:p>
      <w:pPr>
        <w:pStyle w:val="17"/>
        <w:spacing w:line="300" w:lineRule="auto"/>
        <w:ind w:firstLine="480" w:firstLineChars="200"/>
        <w:rPr>
          <w:sz w:val="24"/>
          <w:szCs w:val="24"/>
        </w:rPr>
      </w:pPr>
      <w:r>
        <w:rPr>
          <w:rFonts w:hint="eastAsia"/>
          <w:sz w:val="24"/>
          <w:szCs w:val="24"/>
        </w:rPr>
        <w:t>（3）法人授权委托书；</w:t>
      </w:r>
    </w:p>
    <w:p>
      <w:pPr>
        <w:pStyle w:val="17"/>
        <w:spacing w:line="300" w:lineRule="auto"/>
        <w:ind w:firstLine="480" w:firstLineChars="200"/>
        <w:rPr>
          <w:sz w:val="24"/>
          <w:szCs w:val="24"/>
        </w:rPr>
      </w:pPr>
      <w:r>
        <w:rPr>
          <w:rFonts w:hint="eastAsia"/>
          <w:sz w:val="24"/>
          <w:szCs w:val="24"/>
        </w:rPr>
        <w:t>（4）其他。</w:t>
      </w:r>
    </w:p>
    <w:p>
      <w:pPr>
        <w:pStyle w:val="17"/>
        <w:spacing w:line="300" w:lineRule="auto"/>
        <w:ind w:firstLine="480" w:firstLineChars="200"/>
        <w:rPr>
          <w:b/>
          <w:sz w:val="24"/>
          <w:szCs w:val="24"/>
        </w:rPr>
      </w:pPr>
      <w:r>
        <w:rPr>
          <w:rFonts w:hint="eastAsia"/>
          <w:sz w:val="24"/>
          <w:szCs w:val="24"/>
        </w:rPr>
        <w:t>四、竞标文件编制要求：要求竞标文件有目录、页码并按顺序装订、整洁美观、齐全。</w:t>
      </w:r>
    </w:p>
    <w:p>
      <w:pPr>
        <w:pStyle w:val="7"/>
        <w:rPr>
          <w:rFonts w:eastAsia="宋体"/>
          <w:szCs w:val="24"/>
        </w:rPr>
      </w:pPr>
      <w:bookmarkStart w:id="45" w:name="_Toc259698667"/>
      <w:r>
        <w:rPr>
          <w:rFonts w:eastAsia="宋体"/>
          <w:szCs w:val="24"/>
        </w:rPr>
        <w:t>8.</w:t>
      </w:r>
      <w:r>
        <w:rPr>
          <w:rFonts w:hint="eastAsia" w:eastAsia="宋体"/>
          <w:szCs w:val="24"/>
        </w:rPr>
        <w:t>竞标文件的语言及计量单位</w:t>
      </w:r>
      <w:bookmarkEnd w:id="45"/>
    </w:p>
    <w:p>
      <w:pPr>
        <w:pStyle w:val="17"/>
        <w:spacing w:line="300" w:lineRule="auto"/>
        <w:ind w:firstLine="420"/>
        <w:rPr>
          <w:sz w:val="24"/>
          <w:szCs w:val="24"/>
        </w:rPr>
      </w:pPr>
      <w:r>
        <w:rPr>
          <w:sz w:val="24"/>
          <w:szCs w:val="24"/>
        </w:rPr>
        <w:t>8.1</w:t>
      </w:r>
      <w:r>
        <w:rPr>
          <w:rFonts w:hint="eastAsia"/>
          <w:sz w:val="24"/>
          <w:szCs w:val="24"/>
        </w:rPr>
        <w:t>竞标人的竞标文件以及竞标人与采购代理机构的所有来往的函电统一使用中文（另有规定的除外）。</w:t>
      </w:r>
    </w:p>
    <w:p>
      <w:pPr>
        <w:pStyle w:val="17"/>
        <w:spacing w:line="300" w:lineRule="auto"/>
        <w:ind w:firstLine="420"/>
        <w:rPr>
          <w:sz w:val="24"/>
          <w:szCs w:val="24"/>
        </w:rPr>
      </w:pPr>
      <w:r>
        <w:rPr>
          <w:sz w:val="24"/>
          <w:szCs w:val="24"/>
        </w:rPr>
        <w:t>8.2</w:t>
      </w:r>
      <w:r>
        <w:rPr>
          <w:rFonts w:hint="eastAsia"/>
          <w:sz w:val="24"/>
          <w:szCs w:val="24"/>
        </w:rPr>
        <w:t>竞标文件中使用的计量单位除谈判采购文件中有特殊规定外，一律使用法定计量单位。</w:t>
      </w:r>
    </w:p>
    <w:p>
      <w:pPr>
        <w:pStyle w:val="7"/>
        <w:rPr>
          <w:rFonts w:eastAsia="宋体"/>
          <w:szCs w:val="24"/>
        </w:rPr>
      </w:pPr>
      <w:bookmarkStart w:id="46" w:name="_Toc259698668"/>
      <w:r>
        <w:rPr>
          <w:rFonts w:eastAsia="宋体"/>
          <w:szCs w:val="24"/>
        </w:rPr>
        <w:t xml:space="preserve">9. </w:t>
      </w:r>
      <w:r>
        <w:rPr>
          <w:rFonts w:hint="eastAsia" w:eastAsia="宋体"/>
          <w:szCs w:val="24"/>
        </w:rPr>
        <w:t>竞标函格式</w:t>
      </w:r>
      <w:bookmarkEnd w:id="46"/>
    </w:p>
    <w:p>
      <w:pPr>
        <w:pStyle w:val="17"/>
        <w:spacing w:line="300" w:lineRule="auto"/>
        <w:ind w:firstLine="480" w:firstLineChars="200"/>
        <w:rPr>
          <w:sz w:val="24"/>
          <w:szCs w:val="24"/>
        </w:rPr>
      </w:pPr>
      <w:r>
        <w:rPr>
          <w:sz w:val="24"/>
          <w:szCs w:val="24"/>
        </w:rPr>
        <w:t>9.1</w:t>
      </w:r>
      <w:r>
        <w:rPr>
          <w:rFonts w:hint="eastAsia"/>
          <w:bCs/>
          <w:sz w:val="24"/>
          <w:szCs w:val="24"/>
        </w:rPr>
        <w:t>竞</w:t>
      </w:r>
      <w:r>
        <w:rPr>
          <w:rFonts w:hint="eastAsia"/>
          <w:sz w:val="24"/>
          <w:szCs w:val="24"/>
        </w:rPr>
        <w:t>标人应完整地填写谈判采购文件中的竞标函格式和首次竞标报价表，详细标明所提供的货物及部件名称、型号规格、技术参数、配置、产地、生产厂家、数量及产品所执行的标准及价格。</w:t>
      </w:r>
    </w:p>
    <w:p>
      <w:pPr>
        <w:pStyle w:val="7"/>
        <w:rPr>
          <w:rFonts w:eastAsia="宋体"/>
          <w:szCs w:val="24"/>
        </w:rPr>
      </w:pPr>
      <w:bookmarkStart w:id="47" w:name="_Toc259698669"/>
      <w:r>
        <w:rPr>
          <w:rFonts w:eastAsia="宋体"/>
          <w:szCs w:val="24"/>
        </w:rPr>
        <w:t>10.</w:t>
      </w:r>
      <w:r>
        <w:rPr>
          <w:rFonts w:hint="eastAsia" w:eastAsia="宋体"/>
          <w:szCs w:val="24"/>
        </w:rPr>
        <w:t>首次竞标报价</w:t>
      </w:r>
      <w:bookmarkEnd w:id="47"/>
    </w:p>
    <w:p>
      <w:pPr>
        <w:pStyle w:val="17"/>
        <w:spacing w:line="300" w:lineRule="auto"/>
        <w:ind w:firstLine="420"/>
        <w:rPr>
          <w:sz w:val="24"/>
          <w:szCs w:val="24"/>
        </w:rPr>
      </w:pPr>
      <w:r>
        <w:rPr>
          <w:sz w:val="24"/>
          <w:szCs w:val="24"/>
        </w:rPr>
        <w:t>10.1</w:t>
      </w:r>
      <w:r>
        <w:rPr>
          <w:rFonts w:hint="eastAsia"/>
          <w:b/>
          <w:sz w:val="24"/>
          <w:szCs w:val="24"/>
        </w:rPr>
        <w:t>竞标人须就《货物需求一览表》中的所有货物和服务内容作完整唯一报价。</w:t>
      </w:r>
    </w:p>
    <w:p>
      <w:pPr>
        <w:pStyle w:val="17"/>
        <w:spacing w:line="300" w:lineRule="auto"/>
        <w:ind w:firstLine="420"/>
        <w:rPr>
          <w:sz w:val="24"/>
          <w:szCs w:val="24"/>
          <w:u w:val="single"/>
        </w:rPr>
      </w:pPr>
      <w:r>
        <w:rPr>
          <w:sz w:val="24"/>
          <w:szCs w:val="24"/>
        </w:rPr>
        <w:t>10.2</w:t>
      </w:r>
      <w:r>
        <w:rPr>
          <w:rFonts w:hint="eastAsia"/>
          <w:sz w:val="24"/>
          <w:szCs w:val="24"/>
        </w:rPr>
        <w:t>竞标人应在竞标报价表上标明单价和总价。如单价和总价不符，以单价累计为准。小写与大写不符的，以大写为准。如果因竞标人原因引起的报价失误，同时又被谈判时所接受，其后果由竞标人自负。</w:t>
      </w:r>
    </w:p>
    <w:p>
      <w:pPr>
        <w:pStyle w:val="17"/>
        <w:spacing w:line="300" w:lineRule="auto"/>
        <w:ind w:firstLine="420"/>
        <w:rPr>
          <w:sz w:val="24"/>
          <w:szCs w:val="24"/>
        </w:rPr>
      </w:pPr>
      <w:r>
        <w:rPr>
          <w:sz w:val="24"/>
          <w:szCs w:val="24"/>
        </w:rPr>
        <w:t>10.3</w:t>
      </w:r>
      <w:r>
        <w:rPr>
          <w:rFonts w:hint="eastAsia"/>
          <w:sz w:val="24"/>
          <w:szCs w:val="24"/>
        </w:rPr>
        <w:t>首次竞标报价指货物、随配附件、备品备件、工具、货物运抵指定交货地点、检测的各种费用和售后服务、税金及其它所有成本费用的总和。</w:t>
      </w:r>
    </w:p>
    <w:p>
      <w:pPr>
        <w:pStyle w:val="7"/>
        <w:rPr>
          <w:rFonts w:eastAsia="宋体"/>
          <w:szCs w:val="24"/>
        </w:rPr>
      </w:pPr>
      <w:bookmarkStart w:id="48" w:name="_Toc259698670"/>
      <w:r>
        <w:rPr>
          <w:rFonts w:eastAsia="宋体"/>
          <w:szCs w:val="24"/>
        </w:rPr>
        <w:t>11.</w:t>
      </w:r>
      <w:r>
        <w:rPr>
          <w:rFonts w:hint="eastAsia" w:eastAsia="宋体"/>
          <w:szCs w:val="24"/>
        </w:rPr>
        <w:t>竞标货币</w:t>
      </w:r>
      <w:bookmarkEnd w:id="48"/>
    </w:p>
    <w:p>
      <w:pPr>
        <w:pStyle w:val="17"/>
        <w:spacing w:line="300" w:lineRule="auto"/>
        <w:ind w:firstLine="420"/>
        <w:rPr>
          <w:sz w:val="24"/>
          <w:szCs w:val="24"/>
        </w:rPr>
      </w:pPr>
      <w:r>
        <w:rPr>
          <w:sz w:val="24"/>
          <w:szCs w:val="24"/>
        </w:rPr>
        <w:t>11.1</w:t>
      </w:r>
      <w:r>
        <w:rPr>
          <w:rFonts w:hint="eastAsia"/>
          <w:sz w:val="24"/>
          <w:szCs w:val="24"/>
        </w:rPr>
        <w:t>竞标应以人民币报价。</w:t>
      </w:r>
    </w:p>
    <w:p>
      <w:pPr>
        <w:pStyle w:val="7"/>
        <w:rPr>
          <w:rFonts w:eastAsia="宋体"/>
          <w:szCs w:val="24"/>
        </w:rPr>
      </w:pPr>
      <w:bookmarkStart w:id="49" w:name="_Toc259698671"/>
      <w:r>
        <w:rPr>
          <w:rFonts w:hint="eastAsia" w:eastAsia="宋体"/>
          <w:szCs w:val="24"/>
        </w:rPr>
        <w:t>12.证明竞标人合格和资格的文件</w:t>
      </w:r>
      <w:bookmarkEnd w:id="49"/>
    </w:p>
    <w:p>
      <w:pPr>
        <w:pStyle w:val="17"/>
        <w:spacing w:line="300" w:lineRule="auto"/>
        <w:ind w:firstLine="480" w:firstLineChars="200"/>
        <w:rPr>
          <w:b/>
          <w:sz w:val="24"/>
          <w:szCs w:val="24"/>
        </w:rPr>
      </w:pPr>
      <w:r>
        <w:rPr>
          <w:sz w:val="24"/>
          <w:szCs w:val="24"/>
        </w:rPr>
        <w:t>12.1</w:t>
      </w:r>
      <w:r>
        <w:rPr>
          <w:rFonts w:hint="eastAsia" w:hAnsi="宋体"/>
          <w:sz w:val="24"/>
          <w:szCs w:val="24"/>
        </w:rPr>
        <w:t>证明竞标人合格和资格的文件包括</w:t>
      </w:r>
      <w:r>
        <w:rPr>
          <w:rFonts w:hint="eastAsia"/>
          <w:b/>
          <w:sz w:val="24"/>
          <w:szCs w:val="24"/>
        </w:rPr>
        <w:t>：</w:t>
      </w:r>
    </w:p>
    <w:p>
      <w:pPr>
        <w:pStyle w:val="17"/>
        <w:numPr>
          <w:ilvl w:val="0"/>
          <w:numId w:val="3"/>
        </w:numPr>
        <w:spacing w:line="300" w:lineRule="auto"/>
        <w:ind w:firstLine="480" w:firstLineChars="200"/>
        <w:rPr>
          <w:sz w:val="24"/>
          <w:szCs w:val="24"/>
        </w:rPr>
      </w:pPr>
      <w:r>
        <w:rPr>
          <w:rFonts w:hint="eastAsia"/>
          <w:sz w:val="24"/>
          <w:szCs w:val="24"/>
        </w:rPr>
        <w:t>有效的营业执照副本、有效的组织机构代码证副本、有效的税务登记证副本复印件或有统一社会信用代码的营业执照复印件（必须提供，并加盖竞标单位公章）</w:t>
      </w:r>
      <w:r>
        <w:rPr>
          <w:rFonts w:hint="eastAsia" w:hAnsi="宋体"/>
          <w:sz w:val="24"/>
          <w:szCs w:val="24"/>
        </w:rPr>
        <w:t>；</w:t>
      </w:r>
    </w:p>
    <w:p>
      <w:pPr>
        <w:pStyle w:val="17"/>
        <w:numPr>
          <w:ilvl w:val="0"/>
          <w:numId w:val="3"/>
        </w:numPr>
        <w:spacing w:line="300" w:lineRule="auto"/>
        <w:ind w:firstLine="480" w:firstLineChars="200"/>
        <w:rPr>
          <w:sz w:val="24"/>
          <w:szCs w:val="24"/>
        </w:rPr>
      </w:pPr>
      <w:r>
        <w:rPr>
          <w:rFonts w:hint="eastAsia" w:hAnsi="宋体" w:cs="Arial"/>
          <w:sz w:val="24"/>
        </w:rPr>
        <w:t>《中华人民共和国特种设备安装改造维修许可证》（电梯类）B级（含B级）或以上资质证书复印件</w:t>
      </w:r>
      <w:r>
        <w:rPr>
          <w:rFonts w:hint="eastAsia"/>
          <w:sz w:val="24"/>
          <w:szCs w:val="24"/>
        </w:rPr>
        <w:t>（必须提供，并加盖竞标单位公章）</w:t>
      </w:r>
      <w:r>
        <w:rPr>
          <w:rFonts w:hint="eastAsia" w:hAnsi="宋体" w:cs="Arial"/>
          <w:sz w:val="24"/>
        </w:rPr>
        <w:t>；</w:t>
      </w:r>
    </w:p>
    <w:p>
      <w:pPr>
        <w:pStyle w:val="17"/>
        <w:numPr>
          <w:ilvl w:val="0"/>
          <w:numId w:val="3"/>
        </w:numPr>
        <w:spacing w:line="300" w:lineRule="auto"/>
        <w:ind w:firstLine="480" w:firstLineChars="200"/>
        <w:rPr>
          <w:sz w:val="24"/>
          <w:szCs w:val="24"/>
        </w:rPr>
      </w:pPr>
      <w:r>
        <w:rPr>
          <w:rFonts w:hint="eastAsia" w:hAnsi="宋体"/>
          <w:sz w:val="24"/>
          <w:szCs w:val="24"/>
        </w:rPr>
        <w:t>法定代表人身份证复印件</w:t>
      </w:r>
      <w:r>
        <w:rPr>
          <w:rFonts w:hint="eastAsia"/>
          <w:sz w:val="24"/>
          <w:szCs w:val="24"/>
        </w:rPr>
        <w:t>（必须提供，并加盖竞标单位公章）</w:t>
      </w:r>
      <w:r>
        <w:rPr>
          <w:rFonts w:hint="eastAsia" w:hAnsi="宋体"/>
          <w:sz w:val="24"/>
          <w:szCs w:val="24"/>
        </w:rPr>
        <w:t>；</w:t>
      </w:r>
    </w:p>
    <w:p>
      <w:pPr>
        <w:pStyle w:val="17"/>
        <w:numPr>
          <w:ilvl w:val="0"/>
          <w:numId w:val="3"/>
        </w:numPr>
        <w:spacing w:line="300" w:lineRule="auto"/>
        <w:ind w:firstLine="480" w:firstLineChars="200"/>
        <w:rPr>
          <w:sz w:val="24"/>
          <w:szCs w:val="24"/>
        </w:rPr>
      </w:pPr>
      <w:r>
        <w:rPr>
          <w:rFonts w:hint="eastAsia"/>
          <w:sz w:val="24"/>
          <w:szCs w:val="24"/>
        </w:rPr>
        <w:t>法定代表人身份证明书原件（如为法定代表人报名时提供）；</w:t>
      </w:r>
    </w:p>
    <w:p>
      <w:pPr>
        <w:pStyle w:val="17"/>
        <w:numPr>
          <w:ilvl w:val="0"/>
          <w:numId w:val="3"/>
        </w:numPr>
        <w:spacing w:line="300" w:lineRule="auto"/>
        <w:ind w:firstLine="480" w:firstLineChars="200"/>
        <w:rPr>
          <w:sz w:val="24"/>
          <w:szCs w:val="24"/>
        </w:rPr>
      </w:pPr>
      <w:r>
        <w:rPr>
          <w:rFonts w:hint="eastAsia"/>
          <w:sz w:val="24"/>
          <w:szCs w:val="24"/>
        </w:rPr>
        <w:t>竞标单位于本项目竞标公告发布后在中国裁判文书网（https://wenshu.court.gov.cn/)查询本单位无行贿犯罪记录的截图（必须提供，同时加盖竞标单位公章）；</w:t>
      </w:r>
    </w:p>
    <w:p>
      <w:pPr>
        <w:pStyle w:val="17"/>
        <w:numPr>
          <w:ilvl w:val="0"/>
          <w:numId w:val="3"/>
        </w:numPr>
        <w:spacing w:line="300" w:lineRule="auto"/>
        <w:ind w:firstLine="480" w:firstLineChars="200"/>
        <w:rPr>
          <w:sz w:val="24"/>
          <w:szCs w:val="24"/>
        </w:rPr>
      </w:pPr>
      <w:r>
        <w:rPr>
          <w:rFonts w:hint="eastAsia" w:hAnsi="宋体"/>
          <w:sz w:val="24"/>
          <w:szCs w:val="24"/>
        </w:rPr>
        <w:t>竞标单位参加政府采购活动前3年内在经营活动中没有重大违法记录的书面声明原件</w:t>
      </w:r>
      <w:r>
        <w:rPr>
          <w:rFonts w:hint="eastAsia"/>
          <w:sz w:val="24"/>
          <w:szCs w:val="24"/>
        </w:rPr>
        <w:t>（必须提供）</w:t>
      </w:r>
      <w:r>
        <w:rPr>
          <w:rFonts w:hint="eastAsia" w:hAnsi="宋体"/>
          <w:sz w:val="24"/>
          <w:szCs w:val="24"/>
        </w:rPr>
        <w:t>；</w:t>
      </w:r>
    </w:p>
    <w:p>
      <w:pPr>
        <w:pStyle w:val="17"/>
        <w:numPr>
          <w:ilvl w:val="0"/>
          <w:numId w:val="3"/>
        </w:numPr>
        <w:spacing w:line="300" w:lineRule="auto"/>
        <w:ind w:firstLine="480" w:firstLineChars="200"/>
        <w:rPr>
          <w:sz w:val="24"/>
          <w:szCs w:val="24"/>
        </w:rPr>
      </w:pPr>
      <w:r>
        <w:rPr>
          <w:rFonts w:hint="eastAsia"/>
          <w:sz w:val="24"/>
          <w:szCs w:val="24"/>
        </w:rPr>
        <w:t>近半年内连续三个月的纳税证明复印件（必须提供，并加盖竞标单位公章）；</w:t>
      </w:r>
    </w:p>
    <w:p>
      <w:pPr>
        <w:pStyle w:val="17"/>
        <w:numPr>
          <w:ilvl w:val="0"/>
          <w:numId w:val="3"/>
        </w:numPr>
        <w:spacing w:line="300" w:lineRule="auto"/>
        <w:ind w:firstLine="480" w:firstLineChars="200"/>
        <w:rPr>
          <w:sz w:val="24"/>
          <w:szCs w:val="24"/>
        </w:rPr>
      </w:pPr>
      <w:r>
        <w:rPr>
          <w:rFonts w:hint="eastAsia"/>
          <w:bCs/>
          <w:sz w:val="24"/>
          <w:szCs w:val="24"/>
        </w:rPr>
        <w:t>提供本单位2019年度审计报告或财务报表</w:t>
      </w:r>
      <w:r>
        <w:rPr>
          <w:rFonts w:hint="eastAsia"/>
          <w:sz w:val="24"/>
          <w:szCs w:val="24"/>
        </w:rPr>
        <w:t>复印件</w:t>
      </w:r>
      <w:r>
        <w:rPr>
          <w:rFonts w:hint="eastAsia"/>
          <w:bCs/>
          <w:sz w:val="24"/>
          <w:szCs w:val="24"/>
        </w:rPr>
        <w:t>，新成立的单位请按实际提供</w:t>
      </w:r>
      <w:r>
        <w:rPr>
          <w:rFonts w:hint="eastAsia"/>
          <w:sz w:val="24"/>
          <w:szCs w:val="24"/>
        </w:rPr>
        <w:t>（必须提供，并加盖竞标单位公章）；</w:t>
      </w:r>
    </w:p>
    <w:p>
      <w:pPr>
        <w:pStyle w:val="17"/>
        <w:numPr>
          <w:ilvl w:val="0"/>
          <w:numId w:val="3"/>
        </w:numPr>
        <w:spacing w:line="300" w:lineRule="auto"/>
        <w:ind w:firstLine="480" w:firstLineChars="200"/>
        <w:rPr>
          <w:rFonts w:hAnsi="宋体"/>
          <w:sz w:val="24"/>
          <w:szCs w:val="24"/>
        </w:rPr>
      </w:pPr>
      <w:r>
        <w:rPr>
          <w:rFonts w:hint="eastAsia" w:hAnsi="宋体"/>
          <w:sz w:val="24"/>
          <w:szCs w:val="24"/>
        </w:rPr>
        <w:t>竞标单位在“信用中国”网站(www.creditchina.gov.cn)及中国政府采购网(www.ccgp.gov.cn)查询本单位信用记录截图；（必须提供，同时加盖</w:t>
      </w:r>
      <w:r>
        <w:rPr>
          <w:rFonts w:hint="eastAsia"/>
          <w:sz w:val="24"/>
          <w:szCs w:val="24"/>
        </w:rPr>
        <w:t>竞标</w:t>
      </w:r>
      <w:r>
        <w:rPr>
          <w:rFonts w:hint="eastAsia" w:hAnsi="宋体"/>
          <w:sz w:val="24"/>
          <w:szCs w:val="24"/>
        </w:rPr>
        <w:t>单位公章）；</w:t>
      </w:r>
    </w:p>
    <w:p>
      <w:pPr>
        <w:pStyle w:val="17"/>
        <w:numPr>
          <w:ilvl w:val="0"/>
          <w:numId w:val="3"/>
        </w:numPr>
        <w:spacing w:line="300" w:lineRule="auto"/>
        <w:ind w:firstLine="480" w:firstLineChars="200"/>
        <w:rPr>
          <w:rFonts w:hAnsi="宋体"/>
          <w:sz w:val="24"/>
          <w:szCs w:val="24"/>
        </w:rPr>
      </w:pPr>
      <w:r>
        <w:rPr>
          <w:rFonts w:hint="eastAsia" w:hAnsi="宋体"/>
          <w:sz w:val="24"/>
          <w:szCs w:val="24"/>
        </w:rPr>
        <w:t>竞标人认为必要提供的声明及文件资料。</w:t>
      </w:r>
    </w:p>
    <w:p>
      <w:pPr>
        <w:pStyle w:val="17"/>
        <w:spacing w:line="300" w:lineRule="auto"/>
        <w:ind w:firstLine="482" w:firstLineChars="200"/>
        <w:rPr>
          <w:rFonts w:hAnsi="宋体"/>
          <w:b/>
          <w:bCs/>
          <w:sz w:val="24"/>
          <w:szCs w:val="24"/>
        </w:rPr>
      </w:pPr>
      <w:r>
        <w:rPr>
          <w:rFonts w:hint="eastAsia" w:hAnsi="宋体"/>
          <w:b/>
          <w:bCs/>
          <w:sz w:val="24"/>
          <w:szCs w:val="24"/>
        </w:rPr>
        <w:t>特别说明：以上商务部分文件中所有证件、证明材料、财务报告报表等如为复印件，必须加盖竞标单位公章，否则竞标无效。</w:t>
      </w:r>
    </w:p>
    <w:p>
      <w:pPr>
        <w:pStyle w:val="17"/>
        <w:spacing w:line="300" w:lineRule="auto"/>
        <w:ind w:firstLine="420"/>
        <w:rPr>
          <w:sz w:val="24"/>
          <w:szCs w:val="24"/>
        </w:rPr>
      </w:pPr>
      <w:r>
        <w:rPr>
          <w:sz w:val="24"/>
          <w:szCs w:val="24"/>
        </w:rPr>
        <w:t>12.2</w:t>
      </w:r>
      <w:r>
        <w:rPr>
          <w:rFonts w:hint="eastAsia"/>
          <w:sz w:val="24"/>
          <w:szCs w:val="24"/>
        </w:rPr>
        <w:t>本项目不接受联合体竞标。</w:t>
      </w:r>
    </w:p>
    <w:p>
      <w:pPr>
        <w:pStyle w:val="7"/>
        <w:rPr>
          <w:rFonts w:eastAsia="宋体"/>
          <w:szCs w:val="24"/>
        </w:rPr>
      </w:pPr>
      <w:bookmarkStart w:id="50" w:name="_Toc259698672"/>
      <w:r>
        <w:rPr>
          <w:rFonts w:eastAsia="宋体"/>
          <w:szCs w:val="24"/>
        </w:rPr>
        <w:t>13.</w:t>
      </w:r>
      <w:r>
        <w:rPr>
          <w:rFonts w:hint="eastAsia" w:eastAsia="宋体"/>
          <w:szCs w:val="24"/>
        </w:rPr>
        <w:t>证明货物的合格性和符合谈判采购文件规定的相关文件</w:t>
      </w:r>
      <w:bookmarkEnd w:id="50"/>
    </w:p>
    <w:p>
      <w:pPr>
        <w:pStyle w:val="17"/>
        <w:spacing w:line="300" w:lineRule="auto"/>
        <w:ind w:firstLine="420"/>
        <w:rPr>
          <w:sz w:val="24"/>
          <w:szCs w:val="24"/>
        </w:rPr>
      </w:pPr>
      <w:r>
        <w:rPr>
          <w:sz w:val="24"/>
          <w:szCs w:val="24"/>
        </w:rPr>
        <w:t>13.1</w:t>
      </w:r>
      <w:r>
        <w:rPr>
          <w:rFonts w:hint="eastAsia"/>
          <w:sz w:val="24"/>
          <w:szCs w:val="24"/>
        </w:rPr>
        <w:t>按照本须知第</w:t>
      </w:r>
      <w:r>
        <w:rPr>
          <w:sz w:val="24"/>
          <w:szCs w:val="24"/>
        </w:rPr>
        <w:t>7</w:t>
      </w:r>
      <w:r>
        <w:rPr>
          <w:rFonts w:hint="eastAsia"/>
          <w:sz w:val="24"/>
          <w:szCs w:val="24"/>
        </w:rPr>
        <w:t>条规定，竞标人还应提交根据本项目要求提供证明货物和手续合格性的文件及资料。它们是：</w:t>
      </w:r>
    </w:p>
    <w:p>
      <w:pPr>
        <w:pStyle w:val="17"/>
        <w:spacing w:line="300" w:lineRule="auto"/>
        <w:ind w:firstLine="420"/>
        <w:rPr>
          <w:color w:val="auto"/>
          <w:sz w:val="24"/>
          <w:szCs w:val="24"/>
        </w:rPr>
      </w:pPr>
      <w:r>
        <w:rPr>
          <w:rFonts w:hint="eastAsia"/>
          <w:color w:val="auto"/>
          <w:sz w:val="24"/>
          <w:szCs w:val="24"/>
        </w:rPr>
        <w:t>⑴</w:t>
      </w:r>
      <w:r>
        <w:rPr>
          <w:color w:val="auto"/>
          <w:sz w:val="24"/>
          <w:szCs w:val="24"/>
        </w:rPr>
        <w:t xml:space="preserve"> </w:t>
      </w:r>
      <w:r>
        <w:rPr>
          <w:rFonts w:hint="eastAsia"/>
          <w:color w:val="auto"/>
          <w:sz w:val="24"/>
          <w:szCs w:val="24"/>
        </w:rPr>
        <w:t>生产厂家的制造许可证、形式试验合格证、质量管理体系认证证书（由生产厂家提供均为复印件，</w:t>
      </w:r>
      <w:r>
        <w:rPr>
          <w:rFonts w:hint="eastAsia"/>
          <w:color w:val="auto"/>
          <w:sz w:val="24"/>
          <w:szCs w:val="24"/>
          <w:lang w:eastAsia="zh-CN"/>
        </w:rPr>
        <w:t>如有请</w:t>
      </w:r>
      <w:r>
        <w:rPr>
          <w:rFonts w:hint="eastAsia"/>
          <w:color w:val="auto"/>
          <w:sz w:val="24"/>
          <w:szCs w:val="24"/>
        </w:rPr>
        <w:t>提供）及生产厂家的其它有关资格证书。</w:t>
      </w:r>
    </w:p>
    <w:p>
      <w:pPr>
        <w:pStyle w:val="17"/>
        <w:spacing w:line="300" w:lineRule="auto"/>
        <w:ind w:firstLine="420"/>
        <w:rPr>
          <w:color w:val="auto"/>
          <w:sz w:val="24"/>
          <w:szCs w:val="24"/>
        </w:rPr>
      </w:pPr>
      <w:r>
        <w:rPr>
          <w:rFonts w:hint="eastAsia"/>
          <w:color w:val="auto"/>
          <w:sz w:val="24"/>
          <w:szCs w:val="24"/>
        </w:rPr>
        <w:t xml:space="preserve">⑵ </w:t>
      </w:r>
      <w:r>
        <w:rPr>
          <w:color w:val="auto"/>
          <w:sz w:val="24"/>
          <w:szCs w:val="24"/>
        </w:rPr>
        <w:t xml:space="preserve"> </w:t>
      </w:r>
      <w:r>
        <w:rPr>
          <w:rFonts w:hint="eastAsia"/>
          <w:color w:val="auto"/>
          <w:sz w:val="24"/>
          <w:szCs w:val="24"/>
        </w:rPr>
        <w:t>产品销售授权书或代理证书（</w:t>
      </w:r>
      <w:r>
        <w:rPr>
          <w:rFonts w:hint="eastAsia"/>
          <w:color w:val="auto"/>
          <w:sz w:val="24"/>
          <w:szCs w:val="24"/>
          <w:lang w:eastAsia="zh-CN"/>
        </w:rPr>
        <w:t>如有请</w:t>
      </w:r>
      <w:r>
        <w:rPr>
          <w:rFonts w:hint="eastAsia"/>
          <w:b w:val="0"/>
          <w:bCs/>
          <w:color w:val="auto"/>
          <w:sz w:val="24"/>
          <w:szCs w:val="24"/>
        </w:rPr>
        <w:t>提供复印件</w:t>
      </w:r>
      <w:r>
        <w:rPr>
          <w:rFonts w:hint="eastAsia"/>
          <w:color w:val="auto"/>
          <w:sz w:val="24"/>
          <w:szCs w:val="24"/>
        </w:rPr>
        <w:t>）；</w:t>
      </w:r>
    </w:p>
    <w:p>
      <w:pPr>
        <w:pStyle w:val="7"/>
        <w:rPr>
          <w:rFonts w:eastAsia="宋体"/>
          <w:szCs w:val="24"/>
        </w:rPr>
      </w:pPr>
      <w:bookmarkStart w:id="51" w:name="_Toc259698673"/>
      <w:r>
        <w:rPr>
          <w:rFonts w:eastAsia="宋体"/>
          <w:szCs w:val="24"/>
        </w:rPr>
        <w:t>14.</w:t>
      </w:r>
      <w:r>
        <w:rPr>
          <w:rFonts w:hint="eastAsia" w:eastAsia="宋体"/>
          <w:szCs w:val="24"/>
        </w:rPr>
        <w:t>竞标的有效期</w:t>
      </w:r>
      <w:bookmarkEnd w:id="51"/>
    </w:p>
    <w:p>
      <w:pPr>
        <w:pStyle w:val="17"/>
        <w:spacing w:line="300" w:lineRule="auto"/>
        <w:ind w:firstLine="420"/>
        <w:rPr>
          <w:sz w:val="24"/>
          <w:szCs w:val="24"/>
        </w:rPr>
      </w:pPr>
      <w:r>
        <w:rPr>
          <w:sz w:val="24"/>
          <w:szCs w:val="24"/>
        </w:rPr>
        <w:t>14.1</w:t>
      </w:r>
      <w:r>
        <w:rPr>
          <w:rFonts w:hint="eastAsia"/>
          <w:sz w:val="24"/>
          <w:szCs w:val="24"/>
        </w:rPr>
        <w:t>竞标文件从竞标截止日期后</w:t>
      </w:r>
      <w:r>
        <w:rPr>
          <w:sz w:val="24"/>
          <w:szCs w:val="24"/>
        </w:rPr>
        <w:t>60</w:t>
      </w:r>
      <w:r>
        <w:rPr>
          <w:rFonts w:hint="eastAsia"/>
          <w:sz w:val="24"/>
          <w:szCs w:val="24"/>
        </w:rPr>
        <w:t>天内有效。</w:t>
      </w:r>
    </w:p>
    <w:p>
      <w:pPr>
        <w:pStyle w:val="17"/>
        <w:spacing w:line="300" w:lineRule="auto"/>
        <w:ind w:firstLine="420"/>
        <w:rPr>
          <w:sz w:val="24"/>
          <w:szCs w:val="24"/>
        </w:rPr>
      </w:pPr>
      <w:r>
        <w:rPr>
          <w:sz w:val="24"/>
          <w:szCs w:val="24"/>
        </w:rPr>
        <w:t>14.2</w:t>
      </w:r>
      <w:r>
        <w:rPr>
          <w:rFonts w:hint="eastAsia"/>
          <w:sz w:val="24"/>
          <w:szCs w:val="24"/>
        </w:rPr>
        <w:t>在特殊情况下，采购代理机构可酌情延长竞标有效期。竞标人可同意或不同意延长竞标文件的有效期，不同意延长竞标文件的有效期的竞标人，其竞标保证金将在原竞标文件的有效期满后</w:t>
      </w:r>
      <w:r>
        <w:rPr>
          <w:sz w:val="24"/>
          <w:szCs w:val="24"/>
        </w:rPr>
        <w:t>5个工作日内</w:t>
      </w:r>
      <w:r>
        <w:rPr>
          <w:rFonts w:hint="eastAsia"/>
          <w:sz w:val="24"/>
          <w:szCs w:val="24"/>
        </w:rPr>
        <w:t>予以退还，不计利息；同意延长竞标文件的有效期的竞标人不能要求对原竞标文件（经竞标人与谈判小组谈判后确定的内容作为原竞标文件的组成部分）作任何改变，并同意在延长的竞标有效期内遵循本竞标文件，在延长的竞标有效期满之前继续具有约束力。</w:t>
      </w:r>
    </w:p>
    <w:p>
      <w:pPr>
        <w:pStyle w:val="7"/>
        <w:rPr>
          <w:rFonts w:eastAsia="宋体"/>
          <w:szCs w:val="24"/>
        </w:rPr>
      </w:pPr>
      <w:bookmarkStart w:id="52" w:name="_Toc259698674"/>
      <w:r>
        <w:rPr>
          <w:rFonts w:eastAsia="宋体"/>
          <w:szCs w:val="24"/>
        </w:rPr>
        <w:t>15.</w:t>
      </w:r>
      <w:r>
        <w:rPr>
          <w:rFonts w:hint="eastAsia" w:eastAsia="宋体"/>
          <w:szCs w:val="24"/>
        </w:rPr>
        <w:t>竞标文件书写及签字、盖章要求</w:t>
      </w:r>
      <w:bookmarkEnd w:id="52"/>
    </w:p>
    <w:p>
      <w:pPr>
        <w:pStyle w:val="17"/>
        <w:spacing w:line="300" w:lineRule="auto"/>
        <w:ind w:firstLine="420"/>
        <w:rPr>
          <w:sz w:val="24"/>
          <w:szCs w:val="24"/>
        </w:rPr>
      </w:pPr>
      <w:r>
        <w:rPr>
          <w:sz w:val="24"/>
          <w:szCs w:val="24"/>
        </w:rPr>
        <w:t>15.1</w:t>
      </w:r>
      <w:r>
        <w:rPr>
          <w:rFonts w:hint="eastAsia"/>
          <w:sz w:val="24"/>
          <w:szCs w:val="24"/>
        </w:rPr>
        <w:t>竞标文件正本须用不褪色的墨水工整书写或打印，加盖骑缝章，修改处应由法定代表人或委托代理人签字和盖公章，否则其竞标无效。</w:t>
      </w:r>
    </w:p>
    <w:p>
      <w:pPr>
        <w:pStyle w:val="17"/>
        <w:spacing w:line="300" w:lineRule="auto"/>
        <w:ind w:firstLine="420"/>
        <w:rPr>
          <w:sz w:val="24"/>
          <w:szCs w:val="24"/>
        </w:rPr>
      </w:pPr>
      <w:r>
        <w:rPr>
          <w:sz w:val="24"/>
          <w:szCs w:val="24"/>
        </w:rPr>
        <w:t>15.2</w:t>
      </w:r>
      <w:r>
        <w:rPr>
          <w:rFonts w:hint="eastAsia"/>
          <w:sz w:val="24"/>
          <w:szCs w:val="24"/>
        </w:rPr>
        <w:t>字迹潦草、表达不清或未按要求填写的竞标文件可能将被认定为无效的竞标。</w:t>
      </w:r>
    </w:p>
    <w:p>
      <w:pPr>
        <w:pStyle w:val="17"/>
        <w:spacing w:line="300" w:lineRule="auto"/>
        <w:ind w:firstLine="420"/>
        <w:rPr>
          <w:sz w:val="24"/>
          <w:szCs w:val="24"/>
        </w:rPr>
      </w:pPr>
      <w:r>
        <w:rPr>
          <w:sz w:val="24"/>
          <w:szCs w:val="24"/>
        </w:rPr>
        <w:t>15.3</w:t>
      </w:r>
      <w:r>
        <w:rPr>
          <w:rFonts w:hint="eastAsia"/>
          <w:sz w:val="24"/>
          <w:szCs w:val="24"/>
        </w:rPr>
        <w:t>竞标文件应由法定代表人或委托代理人在凡竞标文件格式中规定签字签章处，逐一签字和盖公章，如有多页，必须逐页逐一签字和盖公章，否则其竞标无效。</w:t>
      </w:r>
    </w:p>
    <w:p>
      <w:pPr>
        <w:pStyle w:val="17"/>
        <w:spacing w:line="300" w:lineRule="auto"/>
        <w:ind w:firstLine="420"/>
        <w:rPr>
          <w:sz w:val="24"/>
          <w:szCs w:val="24"/>
        </w:rPr>
      </w:pPr>
      <w:r>
        <w:rPr>
          <w:sz w:val="24"/>
          <w:szCs w:val="24"/>
        </w:rPr>
        <w:t>15.4</w:t>
      </w:r>
      <w:r>
        <w:rPr>
          <w:rFonts w:hint="eastAsia"/>
          <w:sz w:val="24"/>
          <w:szCs w:val="24"/>
        </w:rPr>
        <w:t>竞标文件的份数：正本一份，副本肆份，共五份。并在每份文件封面上注明“正本”、“副本”字样，一旦正本和副本不符，以正本为准。</w:t>
      </w:r>
    </w:p>
    <w:p>
      <w:pPr>
        <w:pStyle w:val="7"/>
        <w:rPr>
          <w:rFonts w:eastAsia="宋体"/>
          <w:szCs w:val="24"/>
        </w:rPr>
      </w:pPr>
      <w:bookmarkStart w:id="53" w:name="_Toc259698675"/>
      <w:r>
        <w:rPr>
          <w:rFonts w:eastAsia="宋体"/>
          <w:szCs w:val="24"/>
        </w:rPr>
        <w:t>16.</w:t>
      </w:r>
      <w:r>
        <w:rPr>
          <w:rFonts w:hint="eastAsia" w:eastAsia="宋体"/>
          <w:szCs w:val="24"/>
        </w:rPr>
        <w:t>竞标保证金</w:t>
      </w:r>
      <w:bookmarkEnd w:id="53"/>
    </w:p>
    <w:p>
      <w:pPr>
        <w:pStyle w:val="17"/>
        <w:spacing w:line="300" w:lineRule="auto"/>
        <w:ind w:firstLine="420"/>
        <w:rPr>
          <w:sz w:val="24"/>
          <w:szCs w:val="24"/>
        </w:rPr>
      </w:pPr>
      <w:r>
        <w:rPr>
          <w:sz w:val="24"/>
          <w:szCs w:val="24"/>
        </w:rPr>
        <w:t>16.1</w:t>
      </w:r>
      <w:r>
        <w:rPr>
          <w:rFonts w:hint="eastAsia"/>
          <w:sz w:val="24"/>
          <w:szCs w:val="24"/>
        </w:rPr>
        <w:t>竞标人应按本须知前附表第6项规定的金额及方式提交竞标保证金，此保证金是竞标文件的一个组成部分。</w:t>
      </w:r>
    </w:p>
    <w:p>
      <w:pPr>
        <w:pStyle w:val="17"/>
        <w:spacing w:line="300" w:lineRule="auto"/>
        <w:ind w:firstLine="420"/>
        <w:rPr>
          <w:sz w:val="24"/>
          <w:szCs w:val="24"/>
        </w:rPr>
      </w:pPr>
      <w:r>
        <w:rPr>
          <w:sz w:val="24"/>
          <w:szCs w:val="24"/>
        </w:rPr>
        <w:t>16.2</w:t>
      </w:r>
      <w:r>
        <w:rPr>
          <w:rFonts w:hint="eastAsia"/>
          <w:sz w:val="24"/>
          <w:szCs w:val="24"/>
        </w:rPr>
        <w:t>竞标保证金交纳凭证（即收款单位开具的竞标保证金缴纳收款收据或银行转账底单）是竞标文件的一个组成部分。采购代理机构财务部门确认竞标保证金到账后方予以出具竞标保证金收款收据，竞标人递交竞标保证金后，需在竞标截止日前到凭投标保证金银行转账底单到采购代理机构财务部门开具收款收据，逾期不予受理。竞标人必须将竞标保证金收据或银行转账底单复印件装订在竞标文件相应位置并加盖单位公章，否则竞标无效。</w:t>
      </w:r>
    </w:p>
    <w:p>
      <w:pPr>
        <w:pStyle w:val="17"/>
        <w:spacing w:line="300" w:lineRule="auto"/>
        <w:ind w:firstLine="420"/>
        <w:rPr>
          <w:sz w:val="24"/>
          <w:szCs w:val="24"/>
        </w:rPr>
      </w:pPr>
      <w:r>
        <w:rPr>
          <w:sz w:val="24"/>
          <w:szCs w:val="24"/>
        </w:rPr>
        <w:t>16.3</w:t>
      </w:r>
      <w:r>
        <w:rPr>
          <w:rFonts w:hint="eastAsia"/>
          <w:sz w:val="24"/>
          <w:szCs w:val="24"/>
        </w:rPr>
        <w:t>办理竞标保证金手续时，请务必在银行进帐单</w:t>
      </w:r>
      <w:r>
        <w:rPr>
          <w:rFonts w:hint="eastAsia"/>
          <w:sz w:val="24"/>
          <w:szCs w:val="24"/>
          <w:lang w:eastAsia="zh-CN"/>
        </w:rPr>
        <w:t>、</w:t>
      </w:r>
      <w:r>
        <w:rPr>
          <w:rFonts w:hint="eastAsia"/>
          <w:sz w:val="24"/>
          <w:szCs w:val="24"/>
        </w:rPr>
        <w:t>电汇</w:t>
      </w:r>
      <w:r>
        <w:rPr>
          <w:rFonts w:hint="eastAsia"/>
          <w:sz w:val="24"/>
          <w:szCs w:val="24"/>
          <w:lang w:eastAsia="zh-CN"/>
        </w:rPr>
        <w:t>或保函</w:t>
      </w:r>
      <w:r>
        <w:rPr>
          <w:rFonts w:hint="eastAsia"/>
          <w:sz w:val="24"/>
          <w:szCs w:val="24"/>
        </w:rPr>
        <w:t>单的用途或空白栏上注明竞标项目名称或项目编号，否则竞标无效。</w:t>
      </w:r>
    </w:p>
    <w:p>
      <w:pPr>
        <w:pStyle w:val="17"/>
        <w:spacing w:line="300" w:lineRule="auto"/>
        <w:ind w:firstLine="420"/>
        <w:rPr>
          <w:sz w:val="24"/>
          <w:szCs w:val="24"/>
        </w:rPr>
      </w:pPr>
      <w:r>
        <w:rPr>
          <w:sz w:val="24"/>
          <w:szCs w:val="24"/>
        </w:rPr>
        <w:t>16.4</w:t>
      </w:r>
      <w:r>
        <w:rPr>
          <w:rFonts w:hint="eastAsia"/>
          <w:sz w:val="24"/>
          <w:szCs w:val="24"/>
        </w:rPr>
        <w:t>本竞标不接受银行保函形式的竞标保证金。</w:t>
      </w:r>
    </w:p>
    <w:p>
      <w:pPr>
        <w:pStyle w:val="17"/>
        <w:spacing w:line="300" w:lineRule="auto"/>
        <w:ind w:firstLine="420"/>
        <w:rPr>
          <w:sz w:val="24"/>
          <w:szCs w:val="24"/>
        </w:rPr>
      </w:pPr>
      <w:r>
        <w:rPr>
          <w:sz w:val="24"/>
          <w:szCs w:val="24"/>
        </w:rPr>
        <w:t>16.5</w:t>
      </w:r>
      <w:r>
        <w:rPr>
          <w:rFonts w:hint="eastAsia"/>
          <w:sz w:val="24"/>
          <w:szCs w:val="24"/>
        </w:rPr>
        <w:t>对未按谈判采购文件要求缴纳竞标保证金的竞标文件，采购代理机构将视其为不响应竞标条件而予以拒绝。</w:t>
      </w:r>
    </w:p>
    <w:p>
      <w:pPr>
        <w:pStyle w:val="17"/>
        <w:spacing w:line="300" w:lineRule="auto"/>
        <w:rPr>
          <w:b/>
          <w:sz w:val="24"/>
          <w:szCs w:val="24"/>
        </w:rPr>
      </w:pPr>
      <w:r>
        <w:rPr>
          <w:sz w:val="24"/>
          <w:szCs w:val="24"/>
        </w:rPr>
        <w:t xml:space="preserve">    16.6</w:t>
      </w:r>
      <w:r>
        <w:rPr>
          <w:rFonts w:hint="eastAsia"/>
          <w:sz w:val="24"/>
          <w:szCs w:val="24"/>
        </w:rPr>
        <w:t>未成交人的竞标保证金将在成交通知书发出后5个工作日内予以退还，不计利息。</w:t>
      </w:r>
    </w:p>
    <w:p>
      <w:pPr>
        <w:pStyle w:val="17"/>
        <w:spacing w:line="300" w:lineRule="auto"/>
        <w:jc w:val="center"/>
        <w:rPr>
          <w:b/>
          <w:sz w:val="24"/>
          <w:szCs w:val="24"/>
        </w:rPr>
      </w:pPr>
    </w:p>
    <w:p>
      <w:pPr>
        <w:pStyle w:val="6"/>
        <w:spacing w:line="276" w:lineRule="auto"/>
        <w:jc w:val="center"/>
        <w:rPr>
          <w:rFonts w:ascii="宋体"/>
          <w:sz w:val="24"/>
          <w:szCs w:val="24"/>
        </w:rPr>
      </w:pPr>
      <w:bookmarkStart w:id="54" w:name="_Toc290375225"/>
      <w:bookmarkStart w:id="55" w:name="_Toc290374180"/>
      <w:bookmarkStart w:id="56" w:name="_Toc259698676"/>
      <w:r>
        <w:rPr>
          <w:rFonts w:hint="eastAsia" w:ascii="宋体"/>
          <w:sz w:val="24"/>
          <w:szCs w:val="24"/>
        </w:rPr>
        <w:t>四    竞标文件的递交</w:t>
      </w:r>
      <w:bookmarkEnd w:id="54"/>
      <w:bookmarkEnd w:id="55"/>
      <w:bookmarkEnd w:id="56"/>
    </w:p>
    <w:p>
      <w:pPr>
        <w:pStyle w:val="7"/>
        <w:rPr>
          <w:rFonts w:eastAsia="宋体"/>
          <w:szCs w:val="24"/>
        </w:rPr>
      </w:pPr>
      <w:bookmarkStart w:id="57" w:name="_Toc259698677"/>
      <w:r>
        <w:rPr>
          <w:rFonts w:eastAsia="宋体"/>
          <w:szCs w:val="24"/>
        </w:rPr>
        <w:t>17.</w:t>
      </w:r>
      <w:r>
        <w:rPr>
          <w:rFonts w:hint="eastAsia" w:eastAsia="宋体"/>
          <w:szCs w:val="24"/>
        </w:rPr>
        <w:t>竞标文件的密封与标记</w:t>
      </w:r>
      <w:bookmarkEnd w:id="57"/>
    </w:p>
    <w:p>
      <w:pPr>
        <w:pStyle w:val="17"/>
        <w:spacing w:line="300" w:lineRule="auto"/>
        <w:ind w:firstLine="420"/>
        <w:rPr>
          <w:sz w:val="24"/>
          <w:szCs w:val="24"/>
        </w:rPr>
      </w:pPr>
      <w:r>
        <w:rPr>
          <w:sz w:val="24"/>
          <w:szCs w:val="24"/>
        </w:rPr>
        <w:t>17.1</w:t>
      </w:r>
      <w:r>
        <w:rPr>
          <w:rFonts w:hint="eastAsia"/>
          <w:sz w:val="24"/>
          <w:szCs w:val="24"/>
        </w:rPr>
        <w:t>竞标人应将竞标文件正、副本分别装订成册，在每个文本封面上标明“正本”或“副本”，以及项目名称、项目编号、竞标人名称等内容。</w:t>
      </w:r>
    </w:p>
    <w:p>
      <w:pPr>
        <w:pStyle w:val="17"/>
        <w:spacing w:line="300" w:lineRule="auto"/>
        <w:ind w:firstLine="420"/>
        <w:rPr>
          <w:sz w:val="24"/>
          <w:szCs w:val="24"/>
        </w:rPr>
      </w:pPr>
      <w:r>
        <w:rPr>
          <w:sz w:val="24"/>
          <w:szCs w:val="24"/>
        </w:rPr>
        <w:t>17.2</w:t>
      </w:r>
      <w:r>
        <w:rPr>
          <w:rFonts w:hint="eastAsia"/>
          <w:sz w:val="24"/>
          <w:szCs w:val="24"/>
        </w:rPr>
        <w:t>竞标人应将正、副本竞标文件（正本一份、副本肆份）一并装入一个文件袋中加以密封，并在每一封贴处密封签章（要求为竞标人单位公章）。</w:t>
      </w:r>
    </w:p>
    <w:p>
      <w:pPr>
        <w:pStyle w:val="17"/>
        <w:spacing w:line="300" w:lineRule="auto"/>
        <w:ind w:firstLine="420"/>
        <w:rPr>
          <w:sz w:val="24"/>
          <w:szCs w:val="24"/>
        </w:rPr>
      </w:pPr>
      <w:r>
        <w:rPr>
          <w:sz w:val="24"/>
          <w:szCs w:val="24"/>
        </w:rPr>
        <w:t>17.3</w:t>
      </w:r>
      <w:r>
        <w:rPr>
          <w:rFonts w:hint="eastAsia"/>
          <w:sz w:val="24"/>
          <w:szCs w:val="24"/>
        </w:rPr>
        <w:t>竞标人自行制作文件袋，但所制作的文件袋封面文字内容必须包含17.4的内容。</w:t>
      </w:r>
    </w:p>
    <w:p>
      <w:pPr>
        <w:pStyle w:val="17"/>
        <w:spacing w:line="300" w:lineRule="auto"/>
        <w:ind w:firstLine="420"/>
        <w:rPr>
          <w:sz w:val="24"/>
          <w:szCs w:val="24"/>
        </w:rPr>
      </w:pPr>
      <w:r>
        <w:rPr>
          <w:sz w:val="24"/>
          <w:szCs w:val="24"/>
        </w:rPr>
        <w:t>17.4</w:t>
      </w:r>
      <w:r>
        <w:rPr>
          <w:rFonts w:hint="eastAsia"/>
          <w:sz w:val="24"/>
          <w:szCs w:val="24"/>
        </w:rPr>
        <w:t>各文件袋上都应写明</w:t>
      </w:r>
      <w:r>
        <w:rPr>
          <w:sz w:val="24"/>
          <w:szCs w:val="24"/>
        </w:rPr>
        <w:t>：</w:t>
      </w:r>
    </w:p>
    <w:p>
      <w:pPr>
        <w:pStyle w:val="17"/>
        <w:spacing w:line="300" w:lineRule="auto"/>
        <w:ind w:firstLine="420"/>
        <w:rPr>
          <w:sz w:val="24"/>
          <w:szCs w:val="24"/>
        </w:rPr>
      </w:pPr>
      <w:r>
        <w:rPr>
          <w:rFonts w:hint="eastAsia"/>
          <w:sz w:val="24"/>
          <w:szCs w:val="24"/>
        </w:rPr>
        <w:t>⑴</w:t>
      </w:r>
      <w:r>
        <w:rPr>
          <w:sz w:val="24"/>
          <w:szCs w:val="24"/>
        </w:rPr>
        <w:t xml:space="preserve"> </w:t>
      </w:r>
      <w:r>
        <w:rPr>
          <w:rFonts w:hint="eastAsia"/>
          <w:sz w:val="24"/>
          <w:szCs w:val="24"/>
        </w:rPr>
        <w:t>采购代理机构</w:t>
      </w:r>
      <w:r>
        <w:rPr>
          <w:sz w:val="24"/>
          <w:szCs w:val="24"/>
        </w:rPr>
        <w:t>：</w:t>
      </w:r>
    </w:p>
    <w:p>
      <w:pPr>
        <w:pStyle w:val="17"/>
        <w:spacing w:line="300" w:lineRule="auto"/>
        <w:ind w:firstLine="420"/>
        <w:rPr>
          <w:sz w:val="24"/>
          <w:szCs w:val="24"/>
          <w:u w:val="single"/>
        </w:rPr>
      </w:pPr>
      <w:r>
        <w:rPr>
          <w:rFonts w:hint="eastAsia"/>
          <w:sz w:val="24"/>
          <w:szCs w:val="24"/>
        </w:rPr>
        <w:t>⑵</w:t>
      </w:r>
      <w:r>
        <w:rPr>
          <w:sz w:val="24"/>
          <w:szCs w:val="24"/>
        </w:rPr>
        <w:t xml:space="preserve"> </w:t>
      </w:r>
      <w:r>
        <w:rPr>
          <w:rFonts w:hint="eastAsia"/>
          <w:sz w:val="24"/>
          <w:szCs w:val="24"/>
        </w:rPr>
        <w:t>项目名称</w:t>
      </w:r>
      <w:r>
        <w:rPr>
          <w:sz w:val="24"/>
          <w:szCs w:val="24"/>
        </w:rPr>
        <w:t>：</w:t>
      </w:r>
      <w:r>
        <w:rPr>
          <w:rFonts w:hint="eastAsia"/>
          <w:sz w:val="24"/>
          <w:szCs w:val="24"/>
          <w:u w:val="single"/>
        </w:rPr>
        <w:t xml:space="preserve">                   </w:t>
      </w:r>
    </w:p>
    <w:p>
      <w:pPr>
        <w:pStyle w:val="17"/>
        <w:spacing w:line="300" w:lineRule="auto"/>
        <w:ind w:firstLine="420"/>
        <w:rPr>
          <w:sz w:val="24"/>
          <w:szCs w:val="24"/>
          <w:u w:val="single"/>
        </w:rPr>
      </w:pPr>
      <w:r>
        <w:rPr>
          <w:rFonts w:hint="eastAsia"/>
          <w:sz w:val="24"/>
          <w:szCs w:val="24"/>
        </w:rPr>
        <w:t>⑶</w:t>
      </w:r>
      <w:r>
        <w:rPr>
          <w:sz w:val="24"/>
          <w:szCs w:val="24"/>
        </w:rPr>
        <w:t xml:space="preserve"> </w:t>
      </w:r>
      <w:r>
        <w:rPr>
          <w:rFonts w:hint="eastAsia"/>
          <w:sz w:val="24"/>
          <w:szCs w:val="24"/>
        </w:rPr>
        <w:t>项目编号</w:t>
      </w:r>
      <w:r>
        <w:rPr>
          <w:sz w:val="24"/>
          <w:szCs w:val="24"/>
        </w:rPr>
        <w:t>：</w:t>
      </w:r>
      <w:r>
        <w:rPr>
          <w:rFonts w:hint="eastAsia"/>
          <w:sz w:val="24"/>
          <w:szCs w:val="24"/>
          <w:u w:val="single"/>
        </w:rPr>
        <w:t xml:space="preserve">                   </w:t>
      </w:r>
    </w:p>
    <w:p>
      <w:pPr>
        <w:pStyle w:val="17"/>
        <w:spacing w:line="300" w:lineRule="auto"/>
        <w:ind w:firstLine="420"/>
        <w:rPr>
          <w:sz w:val="24"/>
          <w:szCs w:val="24"/>
        </w:rPr>
      </w:pPr>
      <w:r>
        <w:rPr>
          <w:rFonts w:hint="eastAsia"/>
          <w:sz w:val="24"/>
          <w:szCs w:val="24"/>
        </w:rPr>
        <w:t>⑷ 竞标单位</w:t>
      </w:r>
      <w:r>
        <w:rPr>
          <w:sz w:val="24"/>
          <w:szCs w:val="24"/>
        </w:rPr>
        <w:t>：</w:t>
      </w:r>
      <w:r>
        <w:rPr>
          <w:rFonts w:hint="eastAsia"/>
          <w:sz w:val="24"/>
          <w:szCs w:val="24"/>
          <w:u w:val="single"/>
        </w:rPr>
        <w:t xml:space="preserve">                   </w:t>
      </w:r>
    </w:p>
    <w:p>
      <w:pPr>
        <w:pStyle w:val="17"/>
        <w:spacing w:line="300" w:lineRule="auto"/>
        <w:ind w:firstLine="420"/>
        <w:rPr>
          <w:sz w:val="24"/>
          <w:szCs w:val="24"/>
          <w:u w:val="single"/>
        </w:rPr>
      </w:pPr>
      <w:r>
        <w:rPr>
          <w:rFonts w:hint="eastAsia"/>
          <w:sz w:val="24"/>
          <w:szCs w:val="24"/>
        </w:rPr>
        <w:t>⑸ 注明“截标时才能启封”</w:t>
      </w:r>
    </w:p>
    <w:p>
      <w:pPr>
        <w:pStyle w:val="17"/>
        <w:spacing w:line="300" w:lineRule="auto"/>
        <w:ind w:firstLine="420"/>
        <w:rPr>
          <w:b/>
          <w:sz w:val="24"/>
          <w:szCs w:val="24"/>
        </w:rPr>
      </w:pPr>
      <w:r>
        <w:rPr>
          <w:rFonts w:hint="eastAsia"/>
          <w:b/>
          <w:sz w:val="24"/>
          <w:szCs w:val="24"/>
        </w:rPr>
        <w:t>17.5竞标文件的密封以竞标文件袋无明显缝隙露出袋内文件且封口处有竞标人单位公章为合格。</w:t>
      </w:r>
    </w:p>
    <w:p>
      <w:pPr>
        <w:pStyle w:val="17"/>
        <w:spacing w:line="300" w:lineRule="auto"/>
        <w:ind w:firstLine="420"/>
        <w:rPr>
          <w:sz w:val="24"/>
          <w:szCs w:val="24"/>
        </w:rPr>
      </w:pPr>
      <w:r>
        <w:rPr>
          <w:rFonts w:hint="eastAsia"/>
          <w:sz w:val="24"/>
          <w:szCs w:val="24"/>
        </w:rPr>
        <w:t>17.6竞标人在递交竞标文件时，未按本须知要求密封、标记的，招标代理有权拒收。</w:t>
      </w:r>
    </w:p>
    <w:p>
      <w:pPr>
        <w:pStyle w:val="7"/>
        <w:rPr>
          <w:rFonts w:eastAsia="宋体"/>
          <w:szCs w:val="24"/>
        </w:rPr>
      </w:pPr>
      <w:bookmarkStart w:id="58" w:name="_Toc259698678"/>
      <w:r>
        <w:rPr>
          <w:rFonts w:eastAsia="宋体"/>
          <w:szCs w:val="24"/>
        </w:rPr>
        <w:t>18.</w:t>
      </w:r>
      <w:r>
        <w:rPr>
          <w:rFonts w:hint="eastAsia" w:eastAsia="宋体"/>
          <w:szCs w:val="24"/>
        </w:rPr>
        <w:t>竞标截止时间</w:t>
      </w:r>
      <w:bookmarkEnd w:id="58"/>
    </w:p>
    <w:p>
      <w:pPr>
        <w:pStyle w:val="17"/>
        <w:tabs>
          <w:tab w:val="left" w:pos="1957"/>
        </w:tabs>
        <w:spacing w:line="300" w:lineRule="auto"/>
        <w:ind w:firstLine="420"/>
        <w:rPr>
          <w:spacing w:val="-4"/>
          <w:sz w:val="24"/>
          <w:szCs w:val="24"/>
        </w:rPr>
      </w:pPr>
      <w:r>
        <w:rPr>
          <w:sz w:val="24"/>
          <w:szCs w:val="24"/>
        </w:rPr>
        <w:t>18.1</w:t>
      </w:r>
      <w:r>
        <w:rPr>
          <w:rFonts w:hint="eastAsia"/>
          <w:spacing w:val="-4"/>
          <w:sz w:val="24"/>
          <w:szCs w:val="24"/>
        </w:rPr>
        <w:t>竞标文件的递交不得迟于本须知</w:t>
      </w:r>
      <w:r>
        <w:rPr>
          <w:rFonts w:hint="eastAsia"/>
          <w:spacing w:val="-4"/>
          <w:sz w:val="24"/>
          <w:szCs w:val="24"/>
          <w:u w:val="single"/>
        </w:rPr>
        <w:t>前附表第</w:t>
      </w:r>
      <w:r>
        <w:rPr>
          <w:spacing w:val="-4"/>
          <w:sz w:val="24"/>
          <w:szCs w:val="24"/>
          <w:u w:val="single"/>
        </w:rPr>
        <w:t>7</w:t>
      </w:r>
      <w:r>
        <w:rPr>
          <w:rFonts w:hint="eastAsia"/>
          <w:spacing w:val="-4"/>
          <w:sz w:val="24"/>
          <w:szCs w:val="24"/>
          <w:u w:val="single"/>
        </w:rPr>
        <w:t>项</w:t>
      </w:r>
      <w:r>
        <w:rPr>
          <w:rFonts w:hint="eastAsia"/>
          <w:spacing w:val="-4"/>
          <w:sz w:val="24"/>
          <w:szCs w:val="24"/>
        </w:rPr>
        <w:t>规定的截止时间。</w:t>
      </w:r>
    </w:p>
    <w:p>
      <w:pPr>
        <w:pStyle w:val="17"/>
        <w:spacing w:line="300" w:lineRule="auto"/>
        <w:ind w:firstLine="420"/>
        <w:rPr>
          <w:sz w:val="24"/>
          <w:szCs w:val="24"/>
        </w:rPr>
      </w:pPr>
      <w:r>
        <w:rPr>
          <w:sz w:val="24"/>
          <w:szCs w:val="24"/>
        </w:rPr>
        <w:t>18.2</w:t>
      </w:r>
      <w:r>
        <w:rPr>
          <w:rFonts w:hint="eastAsia"/>
          <w:sz w:val="24"/>
          <w:szCs w:val="24"/>
        </w:rPr>
        <w:t>竞标人必须在规定时间内将竞标文件送到本须知</w:t>
      </w:r>
      <w:r>
        <w:rPr>
          <w:rFonts w:hint="eastAsia"/>
          <w:sz w:val="24"/>
          <w:szCs w:val="24"/>
          <w:u w:val="single"/>
        </w:rPr>
        <w:t>前附表第</w:t>
      </w:r>
      <w:r>
        <w:rPr>
          <w:sz w:val="24"/>
          <w:szCs w:val="24"/>
          <w:u w:val="single"/>
        </w:rPr>
        <w:t>7</w:t>
      </w:r>
      <w:r>
        <w:rPr>
          <w:rFonts w:hint="eastAsia"/>
          <w:sz w:val="24"/>
          <w:szCs w:val="24"/>
          <w:u w:val="single"/>
        </w:rPr>
        <w:t>项</w:t>
      </w:r>
      <w:r>
        <w:rPr>
          <w:rFonts w:hint="eastAsia"/>
          <w:sz w:val="24"/>
          <w:szCs w:val="24"/>
        </w:rPr>
        <w:t>规定地点，超过竞标截止时间送达的竞标文件为无效竞标文件，</w:t>
      </w:r>
      <w:r>
        <w:rPr>
          <w:rFonts w:hint="eastAsia"/>
          <w:spacing w:val="-4"/>
          <w:sz w:val="24"/>
          <w:szCs w:val="24"/>
        </w:rPr>
        <w:t>采购代理机构</w:t>
      </w:r>
      <w:r>
        <w:rPr>
          <w:rFonts w:hint="eastAsia"/>
          <w:sz w:val="24"/>
          <w:szCs w:val="24"/>
        </w:rPr>
        <w:t>将拒收。</w:t>
      </w:r>
    </w:p>
    <w:p>
      <w:pPr>
        <w:pStyle w:val="17"/>
        <w:spacing w:line="300" w:lineRule="auto"/>
        <w:jc w:val="center"/>
        <w:rPr>
          <w:b/>
          <w:sz w:val="24"/>
          <w:szCs w:val="24"/>
        </w:rPr>
      </w:pPr>
    </w:p>
    <w:p>
      <w:pPr>
        <w:pStyle w:val="6"/>
        <w:spacing w:line="276" w:lineRule="auto"/>
        <w:jc w:val="center"/>
        <w:rPr>
          <w:rFonts w:ascii="宋体"/>
          <w:sz w:val="24"/>
          <w:szCs w:val="24"/>
        </w:rPr>
      </w:pPr>
      <w:bookmarkStart w:id="59" w:name="_Toc290374181"/>
      <w:bookmarkStart w:id="60" w:name="_Toc290375226"/>
      <w:bookmarkStart w:id="61" w:name="_Toc259698679"/>
      <w:r>
        <w:rPr>
          <w:rFonts w:hint="eastAsia" w:ascii="宋体"/>
          <w:sz w:val="24"/>
          <w:szCs w:val="24"/>
        </w:rPr>
        <w:t>五    谈判与评标</w:t>
      </w:r>
      <w:bookmarkEnd w:id="59"/>
      <w:bookmarkEnd w:id="60"/>
      <w:bookmarkEnd w:id="61"/>
    </w:p>
    <w:p>
      <w:pPr>
        <w:pStyle w:val="7"/>
        <w:rPr>
          <w:rFonts w:eastAsia="宋体"/>
          <w:szCs w:val="24"/>
        </w:rPr>
      </w:pPr>
      <w:bookmarkStart w:id="62" w:name="_Toc259698680"/>
      <w:r>
        <w:rPr>
          <w:rFonts w:eastAsia="宋体"/>
          <w:szCs w:val="24"/>
        </w:rPr>
        <w:t>19.</w:t>
      </w:r>
      <w:r>
        <w:rPr>
          <w:rFonts w:hint="eastAsia" w:eastAsia="宋体"/>
          <w:szCs w:val="24"/>
        </w:rPr>
        <w:t>谈判</w:t>
      </w:r>
      <w:bookmarkEnd w:id="62"/>
    </w:p>
    <w:p>
      <w:pPr>
        <w:pStyle w:val="17"/>
        <w:spacing w:line="300" w:lineRule="auto"/>
        <w:ind w:firstLine="435"/>
        <w:rPr>
          <w:sz w:val="24"/>
          <w:szCs w:val="24"/>
          <w:u w:val="single"/>
        </w:rPr>
      </w:pPr>
      <w:r>
        <w:rPr>
          <w:sz w:val="24"/>
          <w:szCs w:val="24"/>
        </w:rPr>
        <w:t>19.1</w:t>
      </w:r>
      <w:r>
        <w:rPr>
          <w:rFonts w:hint="eastAsia"/>
          <w:sz w:val="24"/>
          <w:szCs w:val="24"/>
        </w:rPr>
        <w:t>谈判时间及地点</w:t>
      </w:r>
      <w:r>
        <w:rPr>
          <w:sz w:val="24"/>
          <w:szCs w:val="24"/>
        </w:rPr>
        <w:t>：</w:t>
      </w:r>
      <w:r>
        <w:rPr>
          <w:rFonts w:hint="eastAsia" w:hAnsi="宋体" w:cs="宋体"/>
          <w:sz w:val="24"/>
          <w:u w:val="single"/>
        </w:rPr>
        <w:t xml:space="preserve">2020年 </w:t>
      </w:r>
      <w:r>
        <w:rPr>
          <w:rFonts w:hint="eastAsia" w:hAnsi="宋体" w:cs="宋体"/>
          <w:sz w:val="24"/>
          <w:u w:val="single"/>
          <w:lang w:val="en-US" w:eastAsia="zh-CN"/>
        </w:rPr>
        <w:t>12</w:t>
      </w:r>
      <w:r>
        <w:rPr>
          <w:rFonts w:hint="eastAsia" w:hAnsi="宋体" w:cs="宋体"/>
          <w:sz w:val="24"/>
          <w:u w:val="single"/>
        </w:rPr>
        <w:t xml:space="preserve"> 月</w:t>
      </w:r>
      <w:r>
        <w:rPr>
          <w:rFonts w:hint="eastAsia" w:hAnsi="宋体" w:cs="宋体"/>
          <w:sz w:val="24"/>
          <w:u w:val="single"/>
          <w:lang w:val="en-US" w:eastAsia="zh-CN"/>
        </w:rPr>
        <w:t>11</w:t>
      </w:r>
      <w:r>
        <w:rPr>
          <w:rFonts w:hint="eastAsia" w:hAnsi="宋体" w:cs="宋体"/>
          <w:sz w:val="24"/>
          <w:u w:val="single"/>
        </w:rPr>
        <w:t xml:space="preserve"> 日</w:t>
      </w:r>
      <w:r>
        <w:rPr>
          <w:rFonts w:hint="eastAsia" w:hAnsi="宋体" w:cs="宋体"/>
          <w:sz w:val="24"/>
          <w:u w:val="single"/>
          <w:lang w:val="en-US" w:eastAsia="zh-CN"/>
        </w:rPr>
        <w:t>10</w:t>
      </w:r>
      <w:r>
        <w:rPr>
          <w:rFonts w:hint="eastAsia" w:hAnsi="宋体" w:cs="宋体"/>
          <w:sz w:val="24"/>
          <w:u w:val="single"/>
        </w:rPr>
        <w:t>时</w:t>
      </w:r>
      <w:r>
        <w:rPr>
          <w:rFonts w:hint="eastAsia" w:hAnsi="宋体" w:cs="宋体"/>
          <w:sz w:val="24"/>
          <w:u w:val="single"/>
          <w:lang w:val="en-US" w:eastAsia="zh-CN"/>
        </w:rPr>
        <w:t>00</w:t>
      </w:r>
      <w:r>
        <w:rPr>
          <w:rFonts w:hint="eastAsia" w:hAnsi="宋体" w:cs="宋体"/>
          <w:sz w:val="24"/>
          <w:u w:val="single"/>
        </w:rPr>
        <w:t>分</w:t>
      </w:r>
      <w:r>
        <w:rPr>
          <w:rFonts w:hint="eastAsia"/>
          <w:sz w:val="24"/>
          <w:szCs w:val="24"/>
        </w:rPr>
        <w:t>截标后为与竞标人谈判时间。地点：华春建设工程项目管理有限责任公司广西百色分公司开标室（百色市长乐星城1号写字楼7楼705室）。</w:t>
      </w:r>
    </w:p>
    <w:p>
      <w:pPr>
        <w:pStyle w:val="17"/>
        <w:spacing w:line="300" w:lineRule="auto"/>
        <w:ind w:firstLine="435"/>
        <w:rPr>
          <w:sz w:val="24"/>
          <w:szCs w:val="24"/>
        </w:rPr>
      </w:pPr>
      <w:r>
        <w:rPr>
          <w:sz w:val="24"/>
          <w:szCs w:val="24"/>
        </w:rPr>
        <w:t>19.2</w:t>
      </w:r>
      <w:r>
        <w:rPr>
          <w:rFonts w:hint="eastAsia"/>
          <w:sz w:val="24"/>
          <w:szCs w:val="24"/>
        </w:rPr>
        <w:t>谈判小组由采购人的代表和有关专家共三人（含三人）以上的单数组成。在整个谈判过程中，谈判小组将负责对全部竞标文件进行审查、谈判及评标工作。</w:t>
      </w:r>
    </w:p>
    <w:p>
      <w:pPr>
        <w:spacing w:line="360" w:lineRule="exact"/>
        <w:ind w:firstLine="435"/>
        <w:rPr>
          <w:b/>
          <w:bCs/>
          <w:spacing w:val="-4"/>
          <w:sz w:val="24"/>
        </w:rPr>
      </w:pPr>
      <w:r>
        <w:rPr>
          <w:sz w:val="24"/>
        </w:rPr>
        <w:t>19.3</w:t>
      </w:r>
      <w:r>
        <w:rPr>
          <w:rFonts w:hint="eastAsia"/>
          <w:spacing w:val="-4"/>
          <w:sz w:val="24"/>
        </w:rPr>
        <w:t>采购代理机构将在竞标人须知</w:t>
      </w:r>
      <w:r>
        <w:rPr>
          <w:rFonts w:hint="eastAsia"/>
          <w:spacing w:val="-4"/>
          <w:sz w:val="24"/>
          <w:u w:val="single"/>
        </w:rPr>
        <w:t>前附表第</w:t>
      </w:r>
      <w:r>
        <w:rPr>
          <w:spacing w:val="-4"/>
          <w:sz w:val="24"/>
          <w:u w:val="single"/>
        </w:rPr>
        <w:t>8</w:t>
      </w:r>
      <w:r>
        <w:rPr>
          <w:rFonts w:hint="eastAsia"/>
          <w:spacing w:val="-4"/>
          <w:sz w:val="24"/>
          <w:u w:val="single"/>
        </w:rPr>
        <w:t>项</w:t>
      </w:r>
      <w:r>
        <w:rPr>
          <w:rFonts w:hint="eastAsia"/>
          <w:spacing w:val="-4"/>
          <w:sz w:val="24"/>
        </w:rPr>
        <w:t>规定的时间和地点组织谈判小组与各竞标人分别进行谈判。</w:t>
      </w:r>
      <w:r>
        <w:rPr>
          <w:rFonts w:hint="eastAsia"/>
          <w:b/>
          <w:bCs/>
          <w:spacing w:val="-4"/>
          <w:sz w:val="24"/>
        </w:rPr>
        <w:t>竞标人的法定代表人或其授权委托人必须持证件:</w:t>
      </w:r>
    </w:p>
    <w:p>
      <w:pPr>
        <w:spacing w:line="360" w:lineRule="exact"/>
        <w:ind w:firstLine="435"/>
        <w:rPr>
          <w:rFonts w:ascii="宋体" w:hAnsi="宋体"/>
          <w:b/>
        </w:rPr>
      </w:pPr>
      <w:r>
        <w:rPr>
          <w:rFonts w:hint="eastAsia" w:ascii="宋体" w:hAnsi="宋体"/>
          <w:b/>
        </w:rPr>
        <w:t>⑴</w:t>
      </w:r>
      <w:r>
        <w:rPr>
          <w:rFonts w:hint="eastAsia" w:ascii="宋体"/>
          <w:b/>
        </w:rPr>
        <w:t>法定代表人持法人资格证明及本人第二代居民身份证或授权委托人持授权委托书原件及本人第二代居民身份证；</w:t>
      </w:r>
    </w:p>
    <w:p>
      <w:pPr>
        <w:spacing w:line="360" w:lineRule="exact"/>
        <w:ind w:firstLine="435"/>
        <w:rPr>
          <w:rFonts w:ascii="宋体" w:hAnsi="宋体"/>
          <w:b/>
        </w:rPr>
      </w:pPr>
      <w:r>
        <w:rPr>
          <w:rFonts w:hint="eastAsia" w:ascii="宋体" w:hAnsi="宋体"/>
          <w:b/>
        </w:rPr>
        <w:t>⑵</w:t>
      </w:r>
      <w:r>
        <w:rPr>
          <w:rFonts w:hint="eastAsia" w:ascii="宋体"/>
          <w:b/>
        </w:rPr>
        <w:t>竞标保证金缴纳凭证</w:t>
      </w:r>
      <w:r>
        <w:rPr>
          <w:rFonts w:hint="eastAsia" w:ascii="宋体" w:hAnsi="宋体"/>
          <w:b/>
        </w:rPr>
        <w:t xml:space="preserve">（复印件)； </w:t>
      </w:r>
    </w:p>
    <w:p>
      <w:pPr>
        <w:spacing w:line="360" w:lineRule="exact"/>
        <w:ind w:firstLine="435"/>
        <w:rPr>
          <w:rFonts w:ascii="宋体" w:hAnsi="宋体"/>
          <w:b/>
        </w:rPr>
      </w:pPr>
      <w:r>
        <w:rPr>
          <w:rFonts w:hint="eastAsia" w:ascii="宋体" w:hAnsi="宋体"/>
          <w:b/>
        </w:rPr>
        <w:t>⑶</w:t>
      </w:r>
      <w:r>
        <w:rPr>
          <w:b/>
        </w:rPr>
        <w:t>提供供应商在“中国裁判文书网”（ http://wenshu.court.gov.cn/）上的无行贿犯罪及其他纠纷案件的查询记录和供应商无行贿犯罪的书面承诺书</w:t>
      </w:r>
      <w:r>
        <w:rPr>
          <w:rFonts w:hint="eastAsia"/>
          <w:b/>
        </w:rPr>
        <w:t>；</w:t>
      </w:r>
      <w:r>
        <w:t xml:space="preserve"> </w:t>
      </w:r>
    </w:p>
    <w:p>
      <w:pPr>
        <w:pStyle w:val="17"/>
        <w:spacing w:line="300" w:lineRule="auto"/>
        <w:ind w:firstLine="420"/>
        <w:rPr>
          <w:spacing w:val="-4"/>
          <w:sz w:val="24"/>
          <w:szCs w:val="24"/>
        </w:rPr>
      </w:pPr>
      <w:r>
        <w:rPr>
          <w:rFonts w:hint="eastAsia"/>
          <w:spacing w:val="-4"/>
          <w:sz w:val="24"/>
          <w:szCs w:val="24"/>
        </w:rPr>
        <w:t>依时到达现场等候参加谈判，并自觉接受核验上述证件。</w:t>
      </w:r>
    </w:p>
    <w:p>
      <w:pPr>
        <w:pStyle w:val="17"/>
        <w:spacing w:line="300" w:lineRule="auto"/>
        <w:ind w:firstLine="420"/>
        <w:rPr>
          <w:sz w:val="24"/>
          <w:szCs w:val="24"/>
        </w:rPr>
      </w:pPr>
      <w:r>
        <w:rPr>
          <w:sz w:val="24"/>
          <w:szCs w:val="24"/>
        </w:rPr>
        <w:t>19.4</w:t>
      </w:r>
      <w:r>
        <w:rPr>
          <w:rFonts w:hint="eastAsia"/>
          <w:sz w:val="24"/>
          <w:szCs w:val="24"/>
        </w:rPr>
        <w:t>竞标人可由</w:t>
      </w:r>
      <w:r>
        <w:rPr>
          <w:sz w:val="24"/>
          <w:szCs w:val="24"/>
        </w:rPr>
        <w:t>1</w:t>
      </w:r>
      <w:r>
        <w:rPr>
          <w:rFonts w:hint="eastAsia"/>
          <w:sz w:val="24"/>
          <w:szCs w:val="24"/>
        </w:rPr>
        <w:t>～</w:t>
      </w:r>
      <w:r>
        <w:rPr>
          <w:sz w:val="24"/>
          <w:szCs w:val="24"/>
        </w:rPr>
        <w:t>3</w:t>
      </w:r>
      <w:r>
        <w:rPr>
          <w:rFonts w:hint="eastAsia"/>
          <w:sz w:val="24"/>
          <w:szCs w:val="24"/>
        </w:rPr>
        <w:t>人组成参谈组，谈判中竞标人成员之间意见不一致时，以竞标人的法定代表人（或其委托代理人）的意见为准。</w:t>
      </w:r>
    </w:p>
    <w:p>
      <w:pPr>
        <w:pStyle w:val="17"/>
        <w:spacing w:line="300" w:lineRule="auto"/>
        <w:ind w:firstLine="420"/>
        <w:rPr>
          <w:sz w:val="24"/>
          <w:szCs w:val="24"/>
        </w:rPr>
      </w:pPr>
      <w:r>
        <w:rPr>
          <w:sz w:val="24"/>
          <w:szCs w:val="24"/>
        </w:rPr>
        <w:t>19.5</w:t>
      </w:r>
      <w:r>
        <w:rPr>
          <w:rFonts w:hint="eastAsia"/>
          <w:sz w:val="24"/>
          <w:szCs w:val="24"/>
        </w:rPr>
        <w:t>谈判的内容包括技术性条件、商务性条件以及谈判小组认为需要谈判的内容。当竞争性谈判采购文件有实质性变动的，谈判小组以书面形式通知所有参加谈判的竞标人。其中涉及价格的内容不得要求竞标人在谈判时作口头报价，而应以书面密封形式报价。</w:t>
      </w:r>
    </w:p>
    <w:p>
      <w:pPr>
        <w:pStyle w:val="17"/>
        <w:spacing w:line="300" w:lineRule="auto"/>
        <w:ind w:firstLine="420"/>
        <w:rPr>
          <w:spacing w:val="-4"/>
          <w:sz w:val="24"/>
          <w:szCs w:val="24"/>
        </w:rPr>
      </w:pPr>
      <w:r>
        <w:rPr>
          <w:sz w:val="24"/>
          <w:szCs w:val="24"/>
        </w:rPr>
        <w:t>19.6</w:t>
      </w:r>
      <w:r>
        <w:rPr>
          <w:rFonts w:hint="eastAsia"/>
          <w:spacing w:val="-4"/>
          <w:sz w:val="24"/>
          <w:szCs w:val="24"/>
        </w:rPr>
        <w:t>谈判内容应作记录，并由竞标人及谈判小组</w:t>
      </w:r>
      <w:r>
        <w:rPr>
          <w:rFonts w:hint="eastAsia"/>
          <w:sz w:val="24"/>
          <w:szCs w:val="24"/>
        </w:rPr>
        <w:t>成员</w:t>
      </w:r>
      <w:r>
        <w:rPr>
          <w:rFonts w:hint="eastAsia"/>
          <w:spacing w:val="-4"/>
          <w:sz w:val="24"/>
          <w:szCs w:val="24"/>
        </w:rPr>
        <w:t>签字确认。</w:t>
      </w:r>
    </w:p>
    <w:p>
      <w:pPr>
        <w:pStyle w:val="17"/>
        <w:spacing w:line="300" w:lineRule="auto"/>
        <w:ind w:firstLine="420"/>
        <w:rPr>
          <w:spacing w:val="-4"/>
          <w:sz w:val="24"/>
          <w:szCs w:val="24"/>
        </w:rPr>
      </w:pPr>
      <w:r>
        <w:rPr>
          <w:spacing w:val="-4"/>
          <w:sz w:val="24"/>
          <w:szCs w:val="24"/>
        </w:rPr>
        <w:t>19.7</w:t>
      </w:r>
      <w:r>
        <w:rPr>
          <w:rFonts w:hint="eastAsia"/>
          <w:spacing w:val="-4"/>
          <w:sz w:val="24"/>
          <w:szCs w:val="24"/>
        </w:rPr>
        <w:t>谈判结束后，谈判小组应要求竞标人在约定的时间、地点以书面密封形式递交谈判时要求其就商务和技术条件作出的包含补充、修改、承诺、重新报价等内容的应答文件，应答文件必须由竞标人的法定代表人或委托代理人签字或盖公章，应答文件构成竞标文件的一部分。</w:t>
      </w:r>
    </w:p>
    <w:p>
      <w:pPr>
        <w:pStyle w:val="17"/>
        <w:spacing w:line="300" w:lineRule="auto"/>
        <w:ind w:firstLine="420"/>
        <w:rPr>
          <w:spacing w:val="-4"/>
          <w:sz w:val="24"/>
          <w:szCs w:val="24"/>
        </w:rPr>
      </w:pPr>
      <w:r>
        <w:rPr>
          <w:spacing w:val="-4"/>
          <w:sz w:val="24"/>
          <w:szCs w:val="24"/>
        </w:rPr>
        <w:t>19.8</w:t>
      </w:r>
      <w:r>
        <w:rPr>
          <w:rFonts w:hint="eastAsia"/>
          <w:spacing w:val="-4"/>
          <w:sz w:val="24"/>
          <w:szCs w:val="24"/>
        </w:rPr>
        <w:t>谈判小组</w:t>
      </w:r>
      <w:r>
        <w:rPr>
          <w:rFonts w:hint="eastAsia"/>
          <w:sz w:val="24"/>
          <w:szCs w:val="24"/>
        </w:rPr>
        <w:t>对各竞标人递交的应答文件统一开启，并进行评审后，认为有必要再次进行谈判的，可再次与竞标人进行谈判，谈判程序和要求按本须知第</w:t>
      </w:r>
      <w:r>
        <w:rPr>
          <w:sz w:val="24"/>
          <w:szCs w:val="24"/>
        </w:rPr>
        <w:t>19</w:t>
      </w:r>
      <w:r>
        <w:rPr>
          <w:rFonts w:hint="eastAsia"/>
          <w:sz w:val="24"/>
          <w:szCs w:val="24"/>
        </w:rPr>
        <w:t>条规定执行，直至谈判小组认为没有必要再进行谈判，谈判方可结束。对最后一轮谈判，谈判小组应明确告知竞标人，并要求所有竞标人</w:t>
      </w:r>
      <w:r>
        <w:rPr>
          <w:rFonts w:hint="eastAsia"/>
          <w:spacing w:val="-4"/>
          <w:sz w:val="24"/>
          <w:szCs w:val="24"/>
        </w:rPr>
        <w:t>在规定的时间、地点以书面密封形式递交最终的应答文件。</w:t>
      </w:r>
    </w:p>
    <w:p>
      <w:pPr>
        <w:pStyle w:val="17"/>
        <w:spacing w:line="300" w:lineRule="auto"/>
        <w:ind w:firstLine="420"/>
        <w:rPr>
          <w:sz w:val="24"/>
          <w:szCs w:val="24"/>
        </w:rPr>
      </w:pPr>
      <w:r>
        <w:rPr>
          <w:spacing w:val="-4"/>
          <w:sz w:val="24"/>
          <w:szCs w:val="24"/>
        </w:rPr>
        <w:t>19.9</w:t>
      </w:r>
      <w:r>
        <w:rPr>
          <w:rFonts w:hint="eastAsia"/>
          <w:spacing w:val="-4"/>
          <w:sz w:val="24"/>
          <w:szCs w:val="24"/>
        </w:rPr>
        <w:t>最终谈判结束后，谈判小组</w:t>
      </w:r>
      <w:r>
        <w:rPr>
          <w:rFonts w:hint="eastAsia"/>
          <w:sz w:val="24"/>
          <w:szCs w:val="24"/>
        </w:rPr>
        <w:t>不得再与竞标人进行任何形式的商谈。</w:t>
      </w:r>
    </w:p>
    <w:p>
      <w:pPr>
        <w:pStyle w:val="17"/>
        <w:spacing w:line="300" w:lineRule="auto"/>
        <w:ind w:firstLine="420"/>
        <w:rPr>
          <w:sz w:val="24"/>
          <w:szCs w:val="24"/>
        </w:rPr>
      </w:pPr>
      <w:r>
        <w:rPr>
          <w:sz w:val="24"/>
          <w:szCs w:val="24"/>
        </w:rPr>
        <w:t>19.10</w:t>
      </w:r>
      <w:r>
        <w:rPr>
          <w:rFonts w:hint="eastAsia"/>
          <w:sz w:val="24"/>
          <w:szCs w:val="24"/>
        </w:rPr>
        <w:t>谈判的任何一方不得透露与谈判有关的其它竞标人的技术资料、价格和其它信息。</w:t>
      </w:r>
    </w:p>
    <w:p>
      <w:pPr>
        <w:pStyle w:val="7"/>
        <w:rPr>
          <w:rFonts w:eastAsia="宋体"/>
          <w:szCs w:val="24"/>
        </w:rPr>
      </w:pPr>
      <w:bookmarkStart w:id="63" w:name="_Toc259698681"/>
      <w:r>
        <w:rPr>
          <w:rFonts w:eastAsia="宋体"/>
          <w:szCs w:val="24"/>
        </w:rPr>
        <w:t>20.</w:t>
      </w:r>
      <w:r>
        <w:rPr>
          <w:rFonts w:hint="eastAsia" w:eastAsia="宋体"/>
          <w:szCs w:val="24"/>
        </w:rPr>
        <w:t>评标</w:t>
      </w:r>
      <w:bookmarkEnd w:id="63"/>
      <w:r>
        <w:rPr>
          <w:rFonts w:hint="eastAsia" w:eastAsia="宋体"/>
          <w:szCs w:val="24"/>
        </w:rPr>
        <w:t xml:space="preserve"> </w:t>
      </w:r>
    </w:p>
    <w:p>
      <w:pPr>
        <w:pStyle w:val="17"/>
        <w:spacing w:line="300" w:lineRule="auto"/>
        <w:ind w:firstLine="420"/>
        <w:rPr>
          <w:sz w:val="24"/>
          <w:szCs w:val="24"/>
        </w:rPr>
      </w:pPr>
      <w:r>
        <w:rPr>
          <w:sz w:val="24"/>
          <w:szCs w:val="24"/>
        </w:rPr>
        <w:t>20.1</w:t>
      </w:r>
      <w:r>
        <w:rPr>
          <w:rFonts w:hint="eastAsia"/>
          <w:sz w:val="24"/>
          <w:szCs w:val="24"/>
        </w:rPr>
        <w:t>本采购项目采用的评标办法</w:t>
      </w:r>
      <w:r>
        <w:rPr>
          <w:rFonts w:hint="eastAsia"/>
          <w:b/>
          <w:bCs/>
          <w:sz w:val="24"/>
          <w:szCs w:val="24"/>
          <w:u w:val="single"/>
        </w:rPr>
        <w:t>最低评标价法</w:t>
      </w:r>
      <w:r>
        <w:rPr>
          <w:rFonts w:hint="eastAsia"/>
          <w:sz w:val="24"/>
          <w:szCs w:val="24"/>
        </w:rPr>
        <w:t>，评标依据为竞争性谈判采购文件和竞标文件及谈判应答文件。</w:t>
      </w:r>
    </w:p>
    <w:p>
      <w:pPr>
        <w:pStyle w:val="17"/>
        <w:spacing w:line="300" w:lineRule="auto"/>
        <w:ind w:firstLine="420"/>
        <w:rPr>
          <w:sz w:val="24"/>
          <w:szCs w:val="24"/>
        </w:rPr>
      </w:pPr>
      <w:r>
        <w:rPr>
          <w:sz w:val="24"/>
          <w:szCs w:val="24"/>
        </w:rPr>
        <w:t>20.2</w:t>
      </w:r>
      <w:r>
        <w:rPr>
          <w:rFonts w:hint="eastAsia"/>
          <w:sz w:val="24"/>
          <w:szCs w:val="24"/>
        </w:rPr>
        <w:t>评标工作将采取封闭方式进行，谈判小组成员和有关工作人员不得透露对竞标文件的评审、比较和成交候选供应商的推荐情况以及与评标有关的其它情况。</w:t>
      </w:r>
    </w:p>
    <w:p>
      <w:pPr>
        <w:pStyle w:val="17"/>
        <w:spacing w:line="300" w:lineRule="auto"/>
        <w:ind w:firstLine="420"/>
        <w:rPr>
          <w:sz w:val="24"/>
          <w:szCs w:val="24"/>
        </w:rPr>
      </w:pPr>
      <w:r>
        <w:rPr>
          <w:sz w:val="24"/>
          <w:szCs w:val="24"/>
        </w:rPr>
        <w:t>20.3</w:t>
      </w:r>
      <w:r>
        <w:rPr>
          <w:rFonts w:hint="eastAsia"/>
          <w:sz w:val="24"/>
          <w:szCs w:val="24"/>
        </w:rPr>
        <w:t>竞标人在评标过程中，所进行的力图影响评标结果公正性的活动，将可能导致其成交资格被取消。</w:t>
      </w:r>
    </w:p>
    <w:p>
      <w:pPr>
        <w:pStyle w:val="17"/>
        <w:spacing w:line="300" w:lineRule="auto"/>
        <w:ind w:firstLine="420"/>
        <w:rPr>
          <w:sz w:val="24"/>
          <w:szCs w:val="24"/>
        </w:rPr>
      </w:pPr>
      <w:r>
        <w:rPr>
          <w:sz w:val="24"/>
          <w:szCs w:val="24"/>
        </w:rPr>
        <w:t>20.4</w:t>
      </w:r>
      <w:r>
        <w:rPr>
          <w:rFonts w:hint="eastAsia"/>
          <w:sz w:val="24"/>
          <w:szCs w:val="24"/>
        </w:rPr>
        <w:t>经谈判后竞标人竞标报价仍超出采购预算控制价则竞标无效。如果经谈判后全部竞标人的竞标报价均超出采购预算控制价，采购人不能支付的，由采购单位重新组织采购。</w:t>
      </w:r>
    </w:p>
    <w:p>
      <w:pPr>
        <w:pStyle w:val="7"/>
        <w:rPr>
          <w:rFonts w:eastAsia="宋体"/>
          <w:szCs w:val="24"/>
        </w:rPr>
      </w:pPr>
      <w:bookmarkStart w:id="64" w:name="_Toc259698682"/>
      <w:r>
        <w:rPr>
          <w:rFonts w:eastAsia="宋体"/>
          <w:szCs w:val="24"/>
        </w:rPr>
        <w:t>21.</w:t>
      </w:r>
      <w:r>
        <w:rPr>
          <w:rFonts w:hint="eastAsia" w:eastAsia="宋体"/>
          <w:szCs w:val="24"/>
        </w:rPr>
        <w:t>无效竞标</w:t>
      </w:r>
      <w:bookmarkEnd w:id="64"/>
    </w:p>
    <w:p>
      <w:pPr>
        <w:pStyle w:val="17"/>
        <w:spacing w:line="300" w:lineRule="auto"/>
        <w:ind w:firstLine="420"/>
        <w:rPr>
          <w:sz w:val="24"/>
          <w:szCs w:val="24"/>
        </w:rPr>
      </w:pPr>
      <w:r>
        <w:rPr>
          <w:sz w:val="24"/>
          <w:szCs w:val="24"/>
        </w:rPr>
        <w:t>21.1</w:t>
      </w:r>
      <w:r>
        <w:rPr>
          <w:rFonts w:hint="eastAsia"/>
          <w:sz w:val="24"/>
          <w:szCs w:val="24"/>
        </w:rPr>
        <w:t>竞标文件如有下列情况之一，将会在评标中按照无效竞标处理：</w:t>
      </w:r>
    </w:p>
    <w:p>
      <w:pPr>
        <w:pStyle w:val="17"/>
        <w:spacing w:line="300" w:lineRule="auto"/>
        <w:ind w:firstLine="420"/>
        <w:rPr>
          <w:sz w:val="24"/>
          <w:szCs w:val="24"/>
        </w:rPr>
      </w:pPr>
      <w:r>
        <w:rPr>
          <w:rFonts w:hint="eastAsia"/>
          <w:sz w:val="24"/>
          <w:szCs w:val="24"/>
        </w:rPr>
        <w:t>（</w:t>
      </w:r>
      <w:r>
        <w:rPr>
          <w:sz w:val="24"/>
          <w:szCs w:val="24"/>
        </w:rPr>
        <w:t>1</w:t>
      </w:r>
      <w:r>
        <w:rPr>
          <w:rFonts w:hint="eastAsia"/>
          <w:sz w:val="24"/>
          <w:szCs w:val="24"/>
        </w:rPr>
        <w:t>）应交未交或不足额交或不按规定交纳竞标保证金的；</w:t>
      </w:r>
    </w:p>
    <w:p>
      <w:pPr>
        <w:pStyle w:val="17"/>
        <w:spacing w:line="300" w:lineRule="auto"/>
        <w:ind w:firstLine="420"/>
        <w:rPr>
          <w:sz w:val="24"/>
          <w:szCs w:val="24"/>
        </w:rPr>
      </w:pPr>
      <w:r>
        <w:rPr>
          <w:rFonts w:hint="eastAsia"/>
          <w:sz w:val="24"/>
          <w:szCs w:val="24"/>
        </w:rPr>
        <w:t>（</w:t>
      </w:r>
      <w:r>
        <w:rPr>
          <w:sz w:val="24"/>
          <w:szCs w:val="24"/>
        </w:rPr>
        <w:t>2</w:t>
      </w:r>
      <w:r>
        <w:rPr>
          <w:rFonts w:hint="eastAsia"/>
          <w:sz w:val="24"/>
          <w:szCs w:val="24"/>
        </w:rPr>
        <w:t>）未按谈判采购文件规定要求密封、签署、盖章的；</w:t>
      </w:r>
    </w:p>
    <w:p>
      <w:pPr>
        <w:pStyle w:val="17"/>
        <w:spacing w:line="300" w:lineRule="auto"/>
        <w:ind w:firstLine="420"/>
        <w:rPr>
          <w:sz w:val="24"/>
          <w:szCs w:val="24"/>
        </w:rPr>
      </w:pPr>
      <w:r>
        <w:rPr>
          <w:rFonts w:hint="eastAsia"/>
          <w:sz w:val="24"/>
          <w:szCs w:val="24"/>
        </w:rPr>
        <w:t>（</w:t>
      </w:r>
      <w:r>
        <w:rPr>
          <w:sz w:val="24"/>
          <w:szCs w:val="24"/>
        </w:rPr>
        <w:t>3</w:t>
      </w:r>
      <w:r>
        <w:rPr>
          <w:rFonts w:hint="eastAsia"/>
          <w:sz w:val="24"/>
          <w:szCs w:val="24"/>
        </w:rPr>
        <w:t>）不具备谈判采购文件中规定资格要求的；</w:t>
      </w:r>
    </w:p>
    <w:p>
      <w:pPr>
        <w:pStyle w:val="17"/>
        <w:spacing w:line="300" w:lineRule="auto"/>
        <w:ind w:firstLine="480" w:firstLineChars="200"/>
        <w:rPr>
          <w:sz w:val="24"/>
          <w:szCs w:val="24"/>
        </w:rPr>
      </w:pPr>
      <w:r>
        <w:rPr>
          <w:rFonts w:hint="eastAsia"/>
          <w:sz w:val="24"/>
          <w:szCs w:val="24"/>
        </w:rPr>
        <w:t>（</w:t>
      </w:r>
      <w:r>
        <w:rPr>
          <w:sz w:val="24"/>
          <w:szCs w:val="24"/>
        </w:rPr>
        <w:t>4</w:t>
      </w:r>
      <w:r>
        <w:rPr>
          <w:rFonts w:hint="eastAsia"/>
          <w:sz w:val="24"/>
          <w:szCs w:val="24"/>
        </w:rPr>
        <w:t>）技术响应或技术实施方案明显不符合技术规格、技术标准要求的；</w:t>
      </w:r>
    </w:p>
    <w:p>
      <w:pPr>
        <w:pStyle w:val="17"/>
        <w:spacing w:line="300" w:lineRule="auto"/>
        <w:ind w:firstLine="480" w:firstLineChars="200"/>
        <w:rPr>
          <w:sz w:val="24"/>
          <w:szCs w:val="24"/>
        </w:rPr>
      </w:pPr>
      <w:r>
        <w:rPr>
          <w:rFonts w:hint="eastAsia"/>
          <w:bCs/>
          <w:sz w:val="24"/>
          <w:szCs w:val="24"/>
        </w:rPr>
        <w:t>（</w:t>
      </w:r>
      <w:r>
        <w:rPr>
          <w:bCs/>
          <w:sz w:val="24"/>
          <w:szCs w:val="24"/>
        </w:rPr>
        <w:t>5</w:t>
      </w:r>
      <w:r>
        <w:rPr>
          <w:rFonts w:hint="eastAsia"/>
          <w:bCs/>
          <w:sz w:val="24"/>
          <w:szCs w:val="24"/>
        </w:rPr>
        <w:t>）</w:t>
      </w:r>
      <w:r>
        <w:rPr>
          <w:rFonts w:hint="eastAsia"/>
          <w:sz w:val="24"/>
          <w:szCs w:val="24"/>
        </w:rPr>
        <w:t>谈判后采购项目完成期限仍不能满足采购人规定期限的；</w:t>
      </w:r>
    </w:p>
    <w:p>
      <w:pPr>
        <w:pStyle w:val="17"/>
        <w:spacing w:line="300" w:lineRule="auto"/>
        <w:ind w:firstLine="480" w:firstLineChars="200"/>
        <w:rPr>
          <w:sz w:val="24"/>
          <w:szCs w:val="24"/>
        </w:rPr>
      </w:pPr>
      <w:r>
        <w:rPr>
          <w:rFonts w:hint="eastAsia"/>
          <w:sz w:val="24"/>
          <w:szCs w:val="24"/>
        </w:rPr>
        <w:t>（</w:t>
      </w:r>
      <w:r>
        <w:rPr>
          <w:sz w:val="24"/>
          <w:szCs w:val="24"/>
        </w:rPr>
        <w:t>6</w:t>
      </w:r>
      <w:r>
        <w:rPr>
          <w:rFonts w:hint="eastAsia"/>
          <w:sz w:val="24"/>
          <w:szCs w:val="24"/>
        </w:rPr>
        <w:t>）谈判后采购项目货物包装方式、检验标准和方法等不符合采购人要求的；</w:t>
      </w:r>
    </w:p>
    <w:p>
      <w:pPr>
        <w:pStyle w:val="17"/>
        <w:spacing w:line="300" w:lineRule="auto"/>
        <w:ind w:firstLine="480" w:firstLineChars="200"/>
        <w:rPr>
          <w:sz w:val="24"/>
          <w:szCs w:val="24"/>
        </w:rPr>
      </w:pPr>
      <w:r>
        <w:rPr>
          <w:rFonts w:hint="eastAsia"/>
          <w:sz w:val="24"/>
          <w:szCs w:val="24"/>
        </w:rPr>
        <w:t>（</w:t>
      </w:r>
      <w:r>
        <w:rPr>
          <w:sz w:val="24"/>
          <w:szCs w:val="24"/>
        </w:rPr>
        <w:t>7</w:t>
      </w:r>
      <w:r>
        <w:rPr>
          <w:rFonts w:hint="eastAsia"/>
          <w:sz w:val="24"/>
          <w:szCs w:val="24"/>
        </w:rPr>
        <w:t>）竞标文件和谈判应答文件附有采购人不能接受的条件；</w:t>
      </w:r>
    </w:p>
    <w:p>
      <w:pPr>
        <w:pStyle w:val="17"/>
        <w:spacing w:line="300" w:lineRule="auto"/>
        <w:ind w:firstLine="480" w:firstLineChars="200"/>
        <w:rPr>
          <w:sz w:val="24"/>
          <w:szCs w:val="24"/>
        </w:rPr>
      </w:pPr>
      <w:r>
        <w:rPr>
          <w:rFonts w:hint="eastAsia"/>
          <w:sz w:val="24"/>
          <w:szCs w:val="24"/>
        </w:rPr>
        <w:t>（</w:t>
      </w:r>
      <w:r>
        <w:rPr>
          <w:sz w:val="24"/>
          <w:szCs w:val="24"/>
        </w:rPr>
        <w:t>8</w:t>
      </w:r>
      <w:r>
        <w:rPr>
          <w:rFonts w:hint="eastAsia"/>
          <w:sz w:val="24"/>
          <w:szCs w:val="24"/>
        </w:rPr>
        <w:t>）经谈判后竞标人竞标报价仍超出采购预算控制价的；</w:t>
      </w:r>
    </w:p>
    <w:p>
      <w:pPr>
        <w:pStyle w:val="17"/>
        <w:spacing w:line="300" w:lineRule="auto"/>
        <w:ind w:firstLine="480" w:firstLineChars="200"/>
        <w:rPr>
          <w:sz w:val="24"/>
          <w:szCs w:val="24"/>
        </w:rPr>
      </w:pPr>
      <w:r>
        <w:rPr>
          <w:rFonts w:hint="eastAsia"/>
          <w:sz w:val="24"/>
          <w:szCs w:val="24"/>
        </w:rPr>
        <w:t>（9）不符合法律、法规和谈判采购文件中规定的其它实质性要求的。</w:t>
      </w:r>
    </w:p>
    <w:p>
      <w:pPr>
        <w:pStyle w:val="17"/>
        <w:spacing w:line="300" w:lineRule="auto"/>
        <w:ind w:firstLine="480" w:firstLineChars="200"/>
        <w:rPr>
          <w:sz w:val="24"/>
          <w:szCs w:val="24"/>
        </w:rPr>
      </w:pPr>
    </w:p>
    <w:p>
      <w:pPr>
        <w:pStyle w:val="17"/>
        <w:spacing w:line="300" w:lineRule="auto"/>
        <w:rPr>
          <w:b/>
          <w:sz w:val="24"/>
          <w:szCs w:val="24"/>
        </w:rPr>
      </w:pPr>
    </w:p>
    <w:p>
      <w:pPr>
        <w:pStyle w:val="6"/>
        <w:spacing w:line="276" w:lineRule="auto"/>
        <w:jc w:val="center"/>
        <w:rPr>
          <w:rFonts w:ascii="宋体"/>
          <w:sz w:val="24"/>
          <w:szCs w:val="24"/>
        </w:rPr>
      </w:pPr>
      <w:bookmarkStart w:id="65" w:name="_Toc290374182"/>
      <w:bookmarkStart w:id="66" w:name="_Toc290375227"/>
      <w:bookmarkStart w:id="67" w:name="_Toc259698683"/>
      <w:r>
        <w:rPr>
          <w:rFonts w:hint="eastAsia" w:ascii="宋体"/>
          <w:sz w:val="24"/>
          <w:szCs w:val="24"/>
        </w:rPr>
        <w:t>六    签订合同</w:t>
      </w:r>
      <w:bookmarkEnd w:id="65"/>
      <w:bookmarkEnd w:id="66"/>
      <w:bookmarkEnd w:id="67"/>
    </w:p>
    <w:p>
      <w:pPr>
        <w:pStyle w:val="7"/>
        <w:rPr>
          <w:rFonts w:eastAsia="宋体"/>
          <w:szCs w:val="24"/>
        </w:rPr>
      </w:pPr>
      <w:bookmarkStart w:id="68" w:name="_Toc259698684"/>
      <w:r>
        <w:rPr>
          <w:rFonts w:eastAsia="宋体"/>
          <w:szCs w:val="24"/>
        </w:rPr>
        <w:t>22.</w:t>
      </w:r>
      <w:r>
        <w:rPr>
          <w:rFonts w:hint="eastAsia" w:eastAsia="宋体"/>
          <w:szCs w:val="24"/>
        </w:rPr>
        <w:t>评标原则</w:t>
      </w:r>
      <w:bookmarkEnd w:id="68"/>
    </w:p>
    <w:p>
      <w:pPr>
        <w:pStyle w:val="17"/>
        <w:spacing w:line="300" w:lineRule="auto"/>
        <w:ind w:firstLine="420"/>
        <w:rPr>
          <w:sz w:val="24"/>
        </w:rPr>
      </w:pPr>
      <w:r>
        <w:rPr>
          <w:rFonts w:hint="eastAsia"/>
          <w:sz w:val="24"/>
          <w:szCs w:val="24"/>
        </w:rPr>
        <w:t>本次竞标报价非一次性报价，具体报价次数由谈判小组根据实际评标情况定，但最终报价在与竞标人谈判中谈判小组会以书面形式明确告知竞标人。最终供应商的确定将以竞标人提交的竞标文件为依据，在符合采购需求、质量和及服务相等的前提下</w:t>
      </w:r>
      <w:r>
        <w:rPr>
          <w:rFonts w:hint="eastAsia"/>
          <w:sz w:val="24"/>
        </w:rPr>
        <w:t>，按最低评标价法确定成交供应商。</w:t>
      </w:r>
    </w:p>
    <w:p>
      <w:pPr>
        <w:pStyle w:val="7"/>
        <w:rPr>
          <w:rFonts w:eastAsia="宋体"/>
          <w:szCs w:val="24"/>
        </w:rPr>
      </w:pPr>
      <w:bookmarkStart w:id="69" w:name="_Toc259698685"/>
      <w:r>
        <w:rPr>
          <w:rFonts w:eastAsia="宋体"/>
          <w:szCs w:val="24"/>
        </w:rPr>
        <w:t>23.</w:t>
      </w:r>
      <w:r>
        <w:rPr>
          <w:rFonts w:hint="eastAsia" w:eastAsia="宋体"/>
          <w:szCs w:val="24"/>
        </w:rPr>
        <w:t>成交通知</w:t>
      </w:r>
      <w:bookmarkEnd w:id="69"/>
    </w:p>
    <w:p>
      <w:pPr>
        <w:pStyle w:val="17"/>
        <w:spacing w:line="300" w:lineRule="auto"/>
        <w:ind w:firstLine="420"/>
        <w:rPr>
          <w:sz w:val="24"/>
          <w:szCs w:val="24"/>
        </w:rPr>
      </w:pPr>
      <w:r>
        <w:rPr>
          <w:sz w:val="24"/>
          <w:szCs w:val="24"/>
        </w:rPr>
        <w:t>23.1</w:t>
      </w:r>
      <w:r>
        <w:rPr>
          <w:rFonts w:hint="eastAsia"/>
          <w:sz w:val="24"/>
          <w:szCs w:val="24"/>
        </w:rPr>
        <w:t>采购代理机构将在评标结束五个工作日内将评标结果送采购人，采购人在五个工作日内按照采购结果报告中推荐的排名第一的成交候选供应商确定为成交供应商。</w:t>
      </w:r>
    </w:p>
    <w:p>
      <w:pPr>
        <w:pStyle w:val="17"/>
        <w:spacing w:line="300" w:lineRule="auto"/>
        <w:ind w:firstLine="420"/>
        <w:rPr>
          <w:sz w:val="24"/>
          <w:szCs w:val="24"/>
        </w:rPr>
      </w:pPr>
      <w:r>
        <w:rPr>
          <w:sz w:val="24"/>
          <w:szCs w:val="24"/>
        </w:rPr>
        <w:t>23.2</w:t>
      </w:r>
      <w:r>
        <w:rPr>
          <w:rFonts w:hint="eastAsia"/>
          <w:sz w:val="24"/>
          <w:szCs w:val="24"/>
        </w:rPr>
        <w:t>采购代理机构向成交供应商发成交通知书并向未成交的供应商发采购结果通知。</w:t>
      </w:r>
    </w:p>
    <w:p>
      <w:pPr>
        <w:pStyle w:val="17"/>
        <w:tabs>
          <w:tab w:val="left" w:pos="6840"/>
        </w:tabs>
        <w:spacing w:line="300" w:lineRule="auto"/>
        <w:ind w:firstLine="420"/>
        <w:rPr>
          <w:sz w:val="24"/>
          <w:szCs w:val="24"/>
        </w:rPr>
      </w:pPr>
      <w:r>
        <w:rPr>
          <w:sz w:val="24"/>
          <w:szCs w:val="24"/>
        </w:rPr>
        <w:t>23.3</w:t>
      </w:r>
      <w:r>
        <w:rPr>
          <w:rFonts w:hint="eastAsia"/>
          <w:sz w:val="24"/>
          <w:szCs w:val="24"/>
        </w:rPr>
        <w:t>采购代理机构在向成交供应商发出成交通知书的同时在中国采购与招标网发布采购结果公告。</w:t>
      </w:r>
    </w:p>
    <w:p>
      <w:pPr>
        <w:pStyle w:val="17"/>
        <w:spacing w:line="300" w:lineRule="auto"/>
        <w:ind w:firstLine="420"/>
        <w:rPr>
          <w:sz w:val="24"/>
          <w:szCs w:val="24"/>
        </w:rPr>
      </w:pPr>
      <w:r>
        <w:rPr>
          <w:sz w:val="24"/>
          <w:szCs w:val="24"/>
        </w:rPr>
        <w:t>23.4</w:t>
      </w:r>
      <w:r>
        <w:rPr>
          <w:rFonts w:hint="eastAsia"/>
          <w:sz w:val="24"/>
          <w:szCs w:val="24"/>
        </w:rPr>
        <w:t>竞标人如对成交结果有异议的，可以在成交结果公告发布之日起七个工作日内以书面形式向本采购代理机构提出质疑</w:t>
      </w:r>
      <w:r>
        <w:rPr>
          <w:sz w:val="24"/>
          <w:szCs w:val="24"/>
        </w:rPr>
        <w:t>，</w:t>
      </w:r>
      <w:r>
        <w:rPr>
          <w:rFonts w:hint="eastAsia"/>
          <w:sz w:val="24"/>
          <w:szCs w:val="24"/>
        </w:rPr>
        <w:t>本采购代理机构将在收到竞标人的书面质疑后七个工作日内做出答复</w:t>
      </w:r>
      <w:r>
        <w:rPr>
          <w:sz w:val="24"/>
          <w:szCs w:val="24"/>
        </w:rPr>
        <w:t>，</w:t>
      </w:r>
      <w:r>
        <w:rPr>
          <w:rFonts w:hint="eastAsia"/>
          <w:sz w:val="24"/>
          <w:szCs w:val="24"/>
        </w:rPr>
        <w:t>但答复的内容不得涉及商业秘密。</w:t>
      </w:r>
    </w:p>
    <w:p>
      <w:pPr>
        <w:pStyle w:val="17"/>
        <w:spacing w:line="300" w:lineRule="auto"/>
        <w:ind w:firstLine="420"/>
        <w:rPr>
          <w:sz w:val="24"/>
          <w:szCs w:val="24"/>
        </w:rPr>
      </w:pPr>
      <w:r>
        <w:rPr>
          <w:sz w:val="24"/>
          <w:szCs w:val="24"/>
        </w:rPr>
        <w:t>23.5</w:t>
      </w:r>
      <w:r>
        <w:rPr>
          <w:rFonts w:hint="eastAsia"/>
          <w:sz w:val="24"/>
          <w:szCs w:val="24"/>
        </w:rPr>
        <w:t>采购代理机构无义务向未成交的供应商解释未成交原因和退还竞标文件。</w:t>
      </w:r>
    </w:p>
    <w:p>
      <w:pPr>
        <w:pStyle w:val="7"/>
        <w:rPr>
          <w:rFonts w:eastAsia="宋体"/>
          <w:szCs w:val="24"/>
        </w:rPr>
      </w:pPr>
      <w:bookmarkStart w:id="70" w:name="_Toc259698686"/>
      <w:r>
        <w:rPr>
          <w:rFonts w:eastAsia="宋体"/>
          <w:szCs w:val="24"/>
        </w:rPr>
        <w:t>24.</w:t>
      </w:r>
      <w:r>
        <w:rPr>
          <w:rFonts w:hint="eastAsia" w:eastAsia="宋体"/>
          <w:szCs w:val="24"/>
        </w:rPr>
        <w:t>合同授予标准</w:t>
      </w:r>
      <w:bookmarkEnd w:id="70"/>
    </w:p>
    <w:p>
      <w:pPr>
        <w:pStyle w:val="17"/>
        <w:spacing w:line="300" w:lineRule="auto"/>
        <w:ind w:firstLine="480" w:firstLineChars="200"/>
        <w:rPr>
          <w:sz w:val="24"/>
          <w:szCs w:val="24"/>
        </w:rPr>
      </w:pPr>
      <w:r>
        <w:rPr>
          <w:sz w:val="24"/>
          <w:szCs w:val="24"/>
        </w:rPr>
        <w:t>24.1</w:t>
      </w:r>
      <w:r>
        <w:rPr>
          <w:rFonts w:hint="eastAsia"/>
          <w:sz w:val="24"/>
          <w:szCs w:val="24"/>
        </w:rPr>
        <w:t>合同将授予被确定为实质上响应采购人需求，具备履行合同能力，采购结果报告中推荐的排名第一的成交候选供应商为成交供应商。</w:t>
      </w:r>
    </w:p>
    <w:p>
      <w:pPr>
        <w:pStyle w:val="7"/>
        <w:rPr>
          <w:rFonts w:eastAsia="宋体"/>
          <w:szCs w:val="24"/>
        </w:rPr>
      </w:pPr>
      <w:bookmarkStart w:id="71" w:name="_Toc259698687"/>
      <w:r>
        <w:rPr>
          <w:rFonts w:eastAsia="宋体"/>
          <w:szCs w:val="24"/>
        </w:rPr>
        <w:t>25.</w:t>
      </w:r>
      <w:r>
        <w:rPr>
          <w:rFonts w:hint="eastAsia" w:eastAsia="宋体"/>
          <w:szCs w:val="24"/>
        </w:rPr>
        <w:t>签订合同</w:t>
      </w:r>
      <w:bookmarkEnd w:id="71"/>
    </w:p>
    <w:p>
      <w:pPr>
        <w:pStyle w:val="17"/>
        <w:spacing w:line="300" w:lineRule="auto"/>
        <w:ind w:firstLine="420"/>
        <w:rPr>
          <w:sz w:val="24"/>
          <w:szCs w:val="24"/>
        </w:rPr>
      </w:pPr>
      <w:r>
        <w:rPr>
          <w:sz w:val="24"/>
          <w:szCs w:val="24"/>
        </w:rPr>
        <w:t>25.1</w:t>
      </w:r>
      <w:r>
        <w:rPr>
          <w:rFonts w:hint="eastAsia"/>
          <w:sz w:val="24"/>
          <w:szCs w:val="24"/>
        </w:rPr>
        <w:t>成交供应商应按成交通知书规定的时间、地点与采购人签订合同。</w:t>
      </w:r>
    </w:p>
    <w:p>
      <w:pPr>
        <w:pStyle w:val="17"/>
        <w:spacing w:line="300" w:lineRule="auto"/>
        <w:ind w:firstLine="420"/>
        <w:rPr>
          <w:sz w:val="24"/>
          <w:szCs w:val="24"/>
        </w:rPr>
      </w:pPr>
      <w:r>
        <w:rPr>
          <w:sz w:val="24"/>
          <w:szCs w:val="24"/>
        </w:rPr>
        <w:t>25.2</w:t>
      </w:r>
      <w:r>
        <w:rPr>
          <w:rFonts w:hint="eastAsia"/>
          <w:sz w:val="24"/>
          <w:szCs w:val="24"/>
        </w:rPr>
        <w:t>如成交供应商不按成交通知书的规定签订合同，则按成交供应商违约处理，采购代理机构将没收成交供应商投竞标的全部竞标保证金。</w:t>
      </w:r>
      <w:bookmarkStart w:id="72" w:name="_Toc205632338"/>
    </w:p>
    <w:p>
      <w:pPr>
        <w:pStyle w:val="17"/>
        <w:spacing w:line="300" w:lineRule="auto"/>
        <w:ind w:firstLine="420"/>
        <w:rPr>
          <w:sz w:val="24"/>
          <w:szCs w:val="24"/>
        </w:rPr>
      </w:pPr>
      <w:r>
        <w:rPr>
          <w:sz w:val="24"/>
          <w:szCs w:val="24"/>
        </w:rPr>
        <w:t>25.3</w:t>
      </w:r>
      <w:r>
        <w:rPr>
          <w:rFonts w:hint="eastAsia"/>
          <w:sz w:val="24"/>
          <w:szCs w:val="24"/>
        </w:rPr>
        <w:t>成交供应商因不可抗力或者自身原因不能履行采购合同的，采购人可以与排名第二的成交候选供应商签订采购合同，以此类推</w:t>
      </w:r>
      <w:r>
        <w:rPr>
          <w:rFonts w:hint="eastAsia"/>
          <w:sz w:val="24"/>
        </w:rPr>
        <w:t>或重新组织采购</w:t>
      </w:r>
      <w:r>
        <w:rPr>
          <w:rFonts w:hint="eastAsia"/>
          <w:sz w:val="24"/>
          <w:szCs w:val="24"/>
        </w:rPr>
        <w:t>。</w:t>
      </w:r>
      <w:bookmarkEnd w:id="72"/>
      <w:r>
        <w:rPr>
          <w:rFonts w:hint="eastAsia"/>
          <w:b/>
          <w:sz w:val="24"/>
          <w:szCs w:val="24"/>
        </w:rPr>
        <w:t>但由于排名第一的成交候选供应商放弃成交资格或未按规定签订合同，造成本项目的合同成交价提高（指采购人选择第二成交候选供应商为成交人后导致成交金额高于违约供应商的成交价），所超出违约供应商的成交价差额部分由违约供应商承担赔偿责任。</w:t>
      </w:r>
    </w:p>
    <w:p>
      <w:pPr>
        <w:pStyle w:val="7"/>
        <w:rPr>
          <w:rFonts w:eastAsia="宋体"/>
          <w:szCs w:val="24"/>
        </w:rPr>
      </w:pPr>
      <w:bookmarkStart w:id="73" w:name="_Toc259698688"/>
      <w:r>
        <w:rPr>
          <w:rFonts w:eastAsia="宋体"/>
          <w:szCs w:val="24"/>
        </w:rPr>
        <w:t>26.</w:t>
      </w:r>
      <w:r>
        <w:rPr>
          <w:rFonts w:hint="eastAsia" w:eastAsia="宋体"/>
          <w:szCs w:val="24"/>
        </w:rPr>
        <w:t>履约保证金</w:t>
      </w:r>
      <w:bookmarkEnd w:id="73"/>
    </w:p>
    <w:p>
      <w:pPr>
        <w:spacing w:line="360" w:lineRule="exact"/>
        <w:ind w:firstLine="480" w:firstLineChars="200"/>
        <w:rPr>
          <w:rFonts w:ascii="宋体" w:hAnsi="宋体"/>
          <w:sz w:val="24"/>
        </w:rPr>
      </w:pPr>
      <w:r>
        <w:rPr>
          <w:rFonts w:hint="eastAsia" w:ascii="宋体"/>
          <w:sz w:val="24"/>
        </w:rPr>
        <w:t>26.1</w:t>
      </w:r>
      <w:r>
        <w:rPr>
          <w:rFonts w:hint="eastAsia" w:ascii="宋体" w:hAnsi="宋体"/>
          <w:sz w:val="24"/>
        </w:rPr>
        <w:t>在发放成交通知书前，成交人应由向</w:t>
      </w:r>
      <w:r>
        <w:rPr>
          <w:rFonts w:hint="eastAsia" w:ascii="宋体" w:hAnsi="宋体"/>
          <w:sz w:val="24"/>
          <w:u w:val="single"/>
          <w:lang w:eastAsia="zh-CN"/>
        </w:rPr>
        <w:t>百色市田阳区田州镇卫生院</w:t>
      </w:r>
      <w:r>
        <w:rPr>
          <w:rFonts w:hint="eastAsia" w:ascii="宋体" w:hAnsi="宋体"/>
          <w:sz w:val="24"/>
        </w:rPr>
        <w:t>提交履约保证金到指定的账户（如投标单位为小微企业，提供相关证明，则免于履约保证金缴纳），履约保证金为成交价的</w:t>
      </w:r>
      <w:r>
        <w:rPr>
          <w:rFonts w:hint="eastAsia" w:ascii="宋体" w:hAnsi="宋体"/>
          <w:b/>
          <w:sz w:val="24"/>
        </w:rPr>
        <w:t>百分之贰（2%）</w:t>
      </w:r>
      <w:r>
        <w:rPr>
          <w:rFonts w:hint="eastAsia" w:ascii="宋体" w:hAnsi="宋体"/>
          <w:sz w:val="24"/>
        </w:rPr>
        <w:t>。交纳时请写明竞标项目名称及项目编号。</w:t>
      </w:r>
    </w:p>
    <w:p>
      <w:pPr>
        <w:pStyle w:val="17"/>
        <w:spacing w:line="300" w:lineRule="auto"/>
        <w:ind w:firstLine="480" w:firstLineChars="200"/>
        <w:rPr>
          <w:sz w:val="24"/>
          <w:szCs w:val="24"/>
        </w:rPr>
      </w:pPr>
      <w:r>
        <w:rPr>
          <w:rFonts w:hint="eastAsia"/>
          <w:sz w:val="24"/>
          <w:szCs w:val="24"/>
        </w:rPr>
        <w:t>26.2履约保证金作为违约金的一部分及用于补偿采购人因成交供应商不能完成其合同义务而蒙受的损失。如成交供应商不按双方签订的合同规定履约，则没收其全部履约保证金，履约保证金不足以赔偿损失的，按实际损失赔偿。</w:t>
      </w:r>
    </w:p>
    <w:p>
      <w:pPr>
        <w:pStyle w:val="17"/>
        <w:spacing w:line="300" w:lineRule="auto"/>
        <w:ind w:firstLine="480" w:firstLineChars="200"/>
        <w:rPr>
          <w:sz w:val="24"/>
          <w:szCs w:val="24"/>
        </w:rPr>
      </w:pPr>
      <w:r>
        <w:rPr>
          <w:rFonts w:hint="eastAsia"/>
          <w:sz w:val="24"/>
          <w:szCs w:val="24"/>
        </w:rPr>
        <w:t>26.3交货安装完毕验收合格满三个月后由</w:t>
      </w:r>
      <w:r>
        <w:rPr>
          <w:rFonts w:hint="eastAsia" w:hAnsi="宋体"/>
          <w:sz w:val="24"/>
          <w:u w:val="single"/>
          <w:lang w:eastAsia="zh-CN"/>
        </w:rPr>
        <w:t>百色市田阳区田州镇卫生院</w:t>
      </w:r>
      <w:r>
        <w:rPr>
          <w:rFonts w:hint="eastAsia"/>
          <w:sz w:val="24"/>
          <w:szCs w:val="24"/>
        </w:rPr>
        <w:t>退还（无息）。</w:t>
      </w:r>
    </w:p>
    <w:p>
      <w:pPr>
        <w:pStyle w:val="6"/>
        <w:spacing w:line="276" w:lineRule="auto"/>
        <w:jc w:val="center"/>
        <w:rPr>
          <w:rFonts w:ascii="宋体"/>
          <w:sz w:val="24"/>
          <w:szCs w:val="24"/>
        </w:rPr>
      </w:pPr>
      <w:bookmarkStart w:id="74" w:name="_Toc290374183"/>
      <w:bookmarkStart w:id="75" w:name="_Toc290375228"/>
      <w:bookmarkStart w:id="76" w:name="_Toc259698689"/>
      <w:r>
        <w:rPr>
          <w:rFonts w:hint="eastAsia" w:ascii="宋体"/>
          <w:sz w:val="24"/>
          <w:szCs w:val="24"/>
        </w:rPr>
        <w:t>七    其它事项</w:t>
      </w:r>
      <w:bookmarkEnd w:id="74"/>
      <w:bookmarkEnd w:id="75"/>
      <w:bookmarkEnd w:id="76"/>
    </w:p>
    <w:p>
      <w:pPr>
        <w:pStyle w:val="7"/>
        <w:rPr>
          <w:rFonts w:eastAsia="宋体"/>
          <w:szCs w:val="24"/>
        </w:rPr>
      </w:pPr>
      <w:bookmarkStart w:id="77" w:name="_Toc259698690"/>
      <w:r>
        <w:rPr>
          <w:rFonts w:eastAsia="宋体"/>
          <w:szCs w:val="24"/>
        </w:rPr>
        <w:t>27.</w:t>
      </w:r>
      <w:r>
        <w:rPr>
          <w:rFonts w:hint="eastAsia" w:eastAsia="宋体"/>
          <w:szCs w:val="24"/>
        </w:rPr>
        <w:t>成交服务费</w:t>
      </w:r>
      <w:bookmarkEnd w:id="77"/>
    </w:p>
    <w:p>
      <w:pPr>
        <w:pStyle w:val="17"/>
        <w:spacing w:line="300" w:lineRule="auto"/>
        <w:ind w:firstLine="480" w:firstLineChars="200"/>
        <w:rPr>
          <w:sz w:val="24"/>
          <w:szCs w:val="24"/>
        </w:rPr>
      </w:pPr>
      <w:r>
        <w:rPr>
          <w:sz w:val="24"/>
          <w:szCs w:val="24"/>
        </w:rPr>
        <w:t>27.1</w:t>
      </w:r>
      <w:r>
        <w:rPr>
          <w:rFonts w:hint="eastAsia"/>
          <w:sz w:val="24"/>
          <w:szCs w:val="24"/>
        </w:rPr>
        <w:t>代理服务费（中标服务费）根据《国家发展改革委关于进一步放开建设项目专业服务价格的通知》（发改价格〔2015〕299号）要求，按市场价计算执行：（100万以内（包括100万）部分，按成交金额的1.5%计取，100万到500万（包括500万）部分按成交金额的1.1%计取）标准收取，由成交人在领取成交通知前向采购代理机构一次性支付。 签订合同前，成交人应向招标代理机构一次付清代理服务费（中标服务费），否则，采购代理机构将视之为违约，取消该成交决定并没收成交人这次参加竞标的全部竞标保证金。</w:t>
      </w:r>
    </w:p>
    <w:p>
      <w:pPr>
        <w:pStyle w:val="7"/>
        <w:rPr>
          <w:rFonts w:eastAsia="宋体"/>
          <w:szCs w:val="24"/>
        </w:rPr>
      </w:pPr>
      <w:bookmarkStart w:id="78" w:name="_Toc259698691"/>
      <w:r>
        <w:rPr>
          <w:rFonts w:eastAsia="宋体"/>
          <w:szCs w:val="24"/>
        </w:rPr>
        <w:t>28.</w:t>
      </w:r>
      <w:r>
        <w:rPr>
          <w:rFonts w:hint="eastAsia" w:eastAsia="宋体"/>
          <w:szCs w:val="24"/>
        </w:rPr>
        <w:t>解释权</w:t>
      </w:r>
      <w:bookmarkEnd w:id="78"/>
    </w:p>
    <w:p>
      <w:pPr>
        <w:pStyle w:val="17"/>
        <w:spacing w:line="300" w:lineRule="auto"/>
        <w:ind w:firstLine="420"/>
        <w:rPr>
          <w:sz w:val="24"/>
          <w:szCs w:val="24"/>
        </w:rPr>
      </w:pPr>
      <w:r>
        <w:rPr>
          <w:sz w:val="24"/>
          <w:szCs w:val="24"/>
        </w:rPr>
        <w:t>28.1</w:t>
      </w:r>
      <w:r>
        <w:rPr>
          <w:rFonts w:hint="eastAsia"/>
          <w:sz w:val="24"/>
          <w:szCs w:val="24"/>
        </w:rPr>
        <w:t>本谈判采购文件是依据国家法律、法规以及政府采购管理有关规定和参照国际惯例编制，解释权属本采购代理机构。</w:t>
      </w:r>
    </w:p>
    <w:p>
      <w:pPr>
        <w:pStyle w:val="7"/>
        <w:rPr>
          <w:rFonts w:eastAsia="宋体"/>
          <w:szCs w:val="24"/>
        </w:rPr>
      </w:pPr>
      <w:bookmarkStart w:id="79" w:name="_Toc259698692"/>
      <w:r>
        <w:rPr>
          <w:rFonts w:eastAsia="宋体"/>
          <w:szCs w:val="24"/>
        </w:rPr>
        <w:t>29.</w:t>
      </w:r>
      <w:r>
        <w:rPr>
          <w:rFonts w:hint="eastAsia" w:eastAsia="宋体"/>
          <w:szCs w:val="24"/>
        </w:rPr>
        <w:t>有关事宜</w:t>
      </w:r>
      <w:bookmarkEnd w:id="79"/>
    </w:p>
    <w:p>
      <w:pPr>
        <w:pStyle w:val="17"/>
        <w:spacing w:line="300" w:lineRule="auto"/>
        <w:ind w:firstLine="420"/>
        <w:rPr>
          <w:sz w:val="24"/>
          <w:szCs w:val="24"/>
        </w:rPr>
      </w:pPr>
      <w:r>
        <w:rPr>
          <w:rFonts w:hint="eastAsia"/>
          <w:sz w:val="24"/>
          <w:szCs w:val="24"/>
        </w:rPr>
        <w:t>29.1所有与本谈判采购文件有关的函电请按下列通讯地址联系：</w:t>
      </w:r>
    </w:p>
    <w:p>
      <w:pPr>
        <w:pStyle w:val="17"/>
        <w:spacing w:line="300" w:lineRule="auto"/>
        <w:ind w:left="420"/>
        <w:rPr>
          <w:sz w:val="24"/>
          <w:szCs w:val="24"/>
        </w:rPr>
      </w:pPr>
      <w:r>
        <w:rPr>
          <w:rFonts w:hint="eastAsia"/>
          <w:sz w:val="24"/>
          <w:szCs w:val="24"/>
        </w:rPr>
        <w:t>邮</w:t>
      </w:r>
      <w:r>
        <w:rPr>
          <w:sz w:val="24"/>
          <w:szCs w:val="24"/>
        </w:rPr>
        <w:t xml:space="preserve">    </w:t>
      </w:r>
      <w:r>
        <w:rPr>
          <w:rFonts w:hint="eastAsia"/>
          <w:sz w:val="24"/>
          <w:szCs w:val="24"/>
        </w:rPr>
        <w:t>编：</w:t>
      </w:r>
      <w:r>
        <w:rPr>
          <w:sz w:val="24"/>
          <w:szCs w:val="24"/>
        </w:rPr>
        <w:t>53</w:t>
      </w:r>
      <w:r>
        <w:rPr>
          <w:rFonts w:hint="eastAsia"/>
          <w:sz w:val="24"/>
          <w:szCs w:val="24"/>
        </w:rPr>
        <w:t>3</w:t>
      </w:r>
      <w:r>
        <w:rPr>
          <w:sz w:val="24"/>
          <w:szCs w:val="24"/>
        </w:rPr>
        <w:t>0</w:t>
      </w:r>
      <w:r>
        <w:rPr>
          <w:rFonts w:hint="eastAsia"/>
          <w:sz w:val="24"/>
          <w:szCs w:val="24"/>
        </w:rPr>
        <w:t>00</w:t>
      </w:r>
    </w:p>
    <w:p>
      <w:pPr>
        <w:pStyle w:val="17"/>
        <w:spacing w:line="300" w:lineRule="auto"/>
        <w:ind w:left="420"/>
        <w:rPr>
          <w:rFonts w:hAnsi="宋体"/>
          <w:color w:val="000000"/>
          <w:szCs w:val="21"/>
        </w:rPr>
      </w:pPr>
      <w:r>
        <w:rPr>
          <w:rFonts w:hint="eastAsia"/>
          <w:sz w:val="24"/>
          <w:szCs w:val="24"/>
        </w:rPr>
        <w:t>地</w:t>
      </w:r>
      <w:r>
        <w:rPr>
          <w:sz w:val="24"/>
          <w:szCs w:val="24"/>
        </w:rPr>
        <w:t xml:space="preserve">    </w:t>
      </w:r>
      <w:r>
        <w:rPr>
          <w:rFonts w:hint="eastAsia"/>
          <w:sz w:val="24"/>
          <w:szCs w:val="24"/>
        </w:rPr>
        <w:t>址：百色市右江区前程路4号长乐星城1号写字楼10楼</w:t>
      </w:r>
    </w:p>
    <w:p>
      <w:pPr>
        <w:pStyle w:val="17"/>
        <w:spacing w:line="300" w:lineRule="auto"/>
        <w:ind w:left="420"/>
        <w:rPr>
          <w:sz w:val="24"/>
          <w:szCs w:val="24"/>
        </w:rPr>
      </w:pPr>
      <w:r>
        <w:rPr>
          <w:rFonts w:hint="eastAsia"/>
          <w:sz w:val="24"/>
          <w:szCs w:val="24"/>
        </w:rPr>
        <w:t>联 系 人：黄立丹</w:t>
      </w:r>
    </w:p>
    <w:p>
      <w:pPr>
        <w:pStyle w:val="17"/>
        <w:spacing w:line="300" w:lineRule="auto"/>
        <w:ind w:left="420"/>
        <w:rPr>
          <w:sz w:val="24"/>
          <w:szCs w:val="24"/>
        </w:rPr>
      </w:pPr>
      <w:r>
        <w:rPr>
          <w:rFonts w:hint="eastAsia"/>
          <w:sz w:val="24"/>
          <w:szCs w:val="24"/>
        </w:rPr>
        <w:t>联系电话：0776-2969400</w:t>
      </w:r>
    </w:p>
    <w:p>
      <w:pPr>
        <w:pStyle w:val="17"/>
        <w:jc w:val="center"/>
        <w:rPr>
          <w:rFonts w:ascii="宋体"/>
          <w:sz w:val="32"/>
          <w:szCs w:val="32"/>
        </w:rPr>
      </w:pPr>
      <w:r>
        <w:br w:type="page"/>
      </w:r>
      <w:bookmarkStart w:id="80" w:name="_Toc290375229"/>
      <w:bookmarkStart w:id="81" w:name="_Toc259698693"/>
    </w:p>
    <w:p>
      <w:pPr>
        <w:pStyle w:val="3"/>
        <w:spacing w:line="240" w:lineRule="auto"/>
        <w:jc w:val="center"/>
        <w:rPr>
          <w:rFonts w:ascii="隶书" w:eastAsia="隶书"/>
          <w:sz w:val="44"/>
        </w:rPr>
      </w:pPr>
      <w:r>
        <w:rPr>
          <w:rFonts w:hint="eastAsia" w:ascii="宋体"/>
          <w:sz w:val="32"/>
          <w:szCs w:val="32"/>
        </w:rPr>
        <w:t>第二章  货物需求一览表</w:t>
      </w:r>
      <w:bookmarkEnd w:id="80"/>
      <w:bookmarkEnd w:id="81"/>
    </w:p>
    <w:p>
      <w:pPr>
        <w:pStyle w:val="17"/>
        <w:jc w:val="center"/>
        <w:rPr>
          <w:b/>
          <w:sz w:val="32"/>
        </w:rPr>
      </w:pPr>
    </w:p>
    <w:p>
      <w:pPr>
        <w:adjustRightInd w:val="0"/>
        <w:snapToGrid w:val="0"/>
        <w:spacing w:line="400" w:lineRule="exact"/>
        <w:ind w:firstLine="480" w:firstLineChars="200"/>
        <w:rPr>
          <w:rFonts w:ascii="宋体" w:hAnsi="宋体"/>
          <w:sz w:val="24"/>
        </w:rPr>
      </w:pPr>
      <w:r>
        <w:rPr>
          <w:rFonts w:hint="eastAsia" w:ascii="宋体" w:hAnsi="宋体"/>
          <w:sz w:val="24"/>
        </w:rPr>
        <w:t>（1）本一览表中的厂家或品牌型号、技术参数及其性能（配置）仅起参考作用，竞标人可选用其他厂家或品牌型号替代，但替代的厂家或品牌型号要实质上相当于或优于参考厂家或品牌型号及其技术参数性能（配置）要求。</w:t>
      </w:r>
    </w:p>
    <w:p>
      <w:pPr>
        <w:spacing w:line="460" w:lineRule="exact"/>
        <w:ind w:firstLine="480" w:firstLineChars="200"/>
        <w:rPr>
          <w:rFonts w:ascii="宋体" w:hAnsi="宋体"/>
          <w:sz w:val="24"/>
        </w:rPr>
      </w:pPr>
      <w:r>
        <w:rPr>
          <w:rFonts w:hint="eastAsia" w:ascii="宋体" w:hAnsi="宋体"/>
          <w:sz w:val="24"/>
        </w:rPr>
        <w:t>（2）本一览表中参考品牌型号规格及技术参数性能（配置）不明确或有误的，或竞标人选用优于招标文件提供的品牌、技术参数的其他品牌型号替代的，请以详细、正确的品牌型号、技术参数（配置）代替，同时填写报价表和技术规格偏离表。</w:t>
      </w:r>
    </w:p>
    <w:p>
      <w:pPr>
        <w:spacing w:line="460" w:lineRule="exact"/>
        <w:ind w:firstLine="480" w:firstLineChars="200"/>
        <w:rPr>
          <w:rFonts w:ascii="宋体" w:hAnsi="宋体"/>
          <w:sz w:val="24"/>
        </w:rPr>
      </w:pPr>
      <w:r>
        <w:rPr>
          <w:rFonts w:hint="eastAsia" w:ascii="宋体" w:hAnsi="宋体"/>
          <w:sz w:val="24"/>
        </w:rPr>
        <w:t>（3）凡在技术参数及其性能（配置）要求中表述为“标配”或“标准标配”的设备，竞标人应在报价中将其标配参数详细列明，否则评标小组有权认定为无效报价。</w:t>
      </w:r>
    </w:p>
    <w:p>
      <w:pPr>
        <w:spacing w:line="460" w:lineRule="exact"/>
        <w:ind w:firstLine="480" w:firstLineChars="200"/>
        <w:rPr>
          <w:rFonts w:ascii="宋体" w:hAnsi="宋体"/>
          <w:sz w:val="24"/>
        </w:rPr>
      </w:pPr>
      <w:r>
        <w:rPr>
          <w:rFonts w:hint="eastAsia" w:ascii="宋体" w:hAnsi="宋体"/>
          <w:sz w:val="24"/>
        </w:rPr>
        <w:t>（4）竞标人所投设备的配置不能低于该设备的出厂标准配置，如果招标文件中的配置要求有高于出厂标准配置的，竞标人必须按要求增加配置。</w:t>
      </w:r>
    </w:p>
    <w:p>
      <w:pPr>
        <w:spacing w:line="460" w:lineRule="exact"/>
        <w:ind w:firstLine="480" w:firstLineChars="200"/>
        <w:rPr>
          <w:rFonts w:ascii="宋体" w:hAnsi="宋体"/>
          <w:sz w:val="24"/>
        </w:rPr>
      </w:pPr>
      <w:r>
        <w:rPr>
          <w:rFonts w:hint="eastAsia" w:ascii="宋体" w:hAnsi="宋体"/>
          <w:sz w:val="24"/>
        </w:rPr>
        <w:t>（5）打</w:t>
      </w:r>
      <w:r>
        <w:rPr>
          <w:rFonts w:hint="eastAsia" w:ascii="新宋体" w:hAnsi="新宋体" w:eastAsia="新宋体"/>
          <w:kern w:val="0"/>
          <w:szCs w:val="21"/>
        </w:rPr>
        <w:t>★</w:t>
      </w:r>
      <w:r>
        <w:rPr>
          <w:rFonts w:hint="eastAsia" w:ascii="宋体" w:hAnsi="宋体"/>
          <w:sz w:val="24"/>
        </w:rPr>
        <w:t>项为实质性的要求，必须满足，否则视为未实质性响应采购文件的要求，其竞标无效。</w:t>
      </w:r>
    </w:p>
    <w:p>
      <w:pPr>
        <w:adjustRightInd w:val="0"/>
        <w:snapToGrid w:val="0"/>
        <w:spacing w:line="400" w:lineRule="exact"/>
        <w:ind w:firstLine="480" w:firstLineChars="200"/>
        <w:rPr>
          <w:rFonts w:ascii="宋体" w:hAnsi="宋体"/>
          <w:sz w:val="24"/>
        </w:rPr>
      </w:pPr>
      <w:r>
        <w:rPr>
          <w:rFonts w:hint="eastAsia" w:ascii="宋体" w:hAnsi="宋体"/>
          <w:sz w:val="24"/>
        </w:rPr>
        <w:t>（6）提供相同品牌产品的不同竞标人参加同一合同项下投标的，以其中通过资格审查、符合性审查且报价最低的参加评标，报价相同的，由采购人自主选择确定一个参加评标的竞标人，其他竞标无效；</w:t>
      </w:r>
    </w:p>
    <w:p>
      <w:pPr>
        <w:adjustRightInd w:val="0"/>
        <w:snapToGrid w:val="0"/>
        <w:spacing w:line="400" w:lineRule="exact"/>
        <w:ind w:firstLine="480" w:firstLineChars="200"/>
        <w:rPr>
          <w:rFonts w:ascii="宋体" w:hAnsi="宋体"/>
          <w:sz w:val="24"/>
        </w:rPr>
      </w:pPr>
      <w:r>
        <w:rPr>
          <w:rFonts w:hint="eastAsia" w:ascii="宋体" w:hAnsi="宋体"/>
          <w:sz w:val="24"/>
        </w:rPr>
        <w:t>（7）非单一产品采购项目中，多家竞标人提供的核心产品品牌相同的，视为提供相同品牌产品。</w:t>
      </w:r>
    </w:p>
    <w:p>
      <w:pPr>
        <w:pStyle w:val="22"/>
        <w:rPr>
          <w:sz w:val="52"/>
          <w:szCs w:val="52"/>
        </w:rPr>
      </w:pPr>
      <w:r>
        <w:rPr>
          <w:rFonts w:hint="eastAsia"/>
          <w:b/>
          <w:sz w:val="32"/>
        </w:rPr>
        <w:br w:type="page"/>
      </w:r>
      <w:r>
        <w:rPr>
          <w:rFonts w:hint="eastAsia"/>
          <w:b/>
          <w:sz w:val="32"/>
          <w:szCs w:val="32"/>
        </w:rPr>
        <w:t>货物需求一览表</w:t>
      </w:r>
    </w:p>
    <w:p>
      <w:pPr>
        <w:spacing w:line="460" w:lineRule="exact"/>
        <w:rPr>
          <w:rFonts w:hint="eastAsia" w:ascii="仿宋_GB2312" w:eastAsia="仿宋_GB2312"/>
          <w:sz w:val="24"/>
        </w:rPr>
      </w:pPr>
      <w:r>
        <w:rPr>
          <w:rFonts w:hint="eastAsia" w:ascii="仿宋_GB2312" w:eastAsia="仿宋_GB2312"/>
          <w:sz w:val="24"/>
        </w:rPr>
        <w:t>电梯标准：</w:t>
      </w:r>
      <w:r>
        <w:rPr>
          <w:rFonts w:ascii="仿宋_GB2312" w:eastAsia="仿宋_GB2312"/>
          <w:sz w:val="24"/>
        </w:rPr>
        <w:t xml:space="preserve">GB7588-2003   </w:t>
      </w:r>
      <w:r>
        <w:rPr>
          <w:rFonts w:hint="eastAsia" w:ascii="仿宋_GB2312" w:eastAsia="仿宋_GB2312"/>
          <w:sz w:val="24"/>
        </w:rPr>
        <w:t xml:space="preserve">                             单位：（</w:t>
      </w:r>
      <w:r>
        <w:rPr>
          <w:rFonts w:ascii="仿宋_GB2312" w:eastAsia="仿宋_GB2312"/>
          <w:sz w:val="24"/>
        </w:rPr>
        <w:t>mm</w:t>
      </w:r>
      <w:r>
        <w:rPr>
          <w:rFonts w:hint="eastAsia" w:ascii="仿宋_GB2312" w:eastAsia="仿宋_GB2312"/>
          <w:sz w:val="24"/>
        </w:rPr>
        <w:t>）</w:t>
      </w:r>
    </w:p>
    <w:tbl>
      <w:tblPr>
        <w:tblStyle w:val="32"/>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859"/>
        <w:gridCol w:w="530"/>
        <w:gridCol w:w="1237"/>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618"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机　　型</w:t>
            </w:r>
          </w:p>
        </w:tc>
        <w:tc>
          <w:tcPr>
            <w:tcW w:w="8101" w:type="dxa"/>
            <w:gridSpan w:val="4"/>
            <w:noWrap w:val="0"/>
            <w:vAlign w:val="center"/>
          </w:tcPr>
          <w:p>
            <w:pPr>
              <w:spacing w:line="340" w:lineRule="exact"/>
              <w:ind w:firstLine="1400"/>
              <w:rPr>
                <w:rFonts w:ascii="仿宋_GB2312" w:eastAsia="仿宋_GB2312"/>
                <w:sz w:val="24"/>
              </w:rPr>
            </w:pPr>
            <w:r>
              <w:rPr>
                <w:rFonts w:hint="eastAsia" w:ascii="仿宋_GB2312" w:eastAsia="仿宋_GB2312"/>
                <w:sz w:val="24"/>
              </w:rPr>
              <w:t>小机房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618"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台    数</w:t>
            </w:r>
          </w:p>
        </w:tc>
        <w:tc>
          <w:tcPr>
            <w:tcW w:w="2859"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2台</w:t>
            </w:r>
          </w:p>
        </w:tc>
        <w:tc>
          <w:tcPr>
            <w:tcW w:w="530" w:type="dxa"/>
            <w:vMerge w:val="restart"/>
            <w:noWrap w:val="0"/>
            <w:vAlign w:val="top"/>
          </w:tcPr>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r>
              <w:rPr>
                <w:rFonts w:hint="eastAsia" w:ascii="仿宋_GB2312" w:eastAsia="仿宋_GB2312"/>
                <w:sz w:val="24"/>
              </w:rPr>
              <w:t>候</w:t>
            </w: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r>
              <w:rPr>
                <w:rFonts w:hint="eastAsia" w:ascii="仿宋_GB2312" w:eastAsia="仿宋_GB2312"/>
                <w:sz w:val="24"/>
              </w:rPr>
              <w:t>梯</w:t>
            </w: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r>
              <w:rPr>
                <w:rFonts w:hint="eastAsia" w:ascii="仿宋_GB2312" w:eastAsia="仿宋_GB2312"/>
                <w:sz w:val="24"/>
              </w:rPr>
              <w:t>厅</w:t>
            </w:r>
          </w:p>
        </w:tc>
        <w:tc>
          <w:tcPr>
            <w:tcW w:w="1237" w:type="dxa"/>
            <w:vMerge w:val="restart"/>
            <w:noWrap w:val="0"/>
            <w:vAlign w:val="center"/>
          </w:tcPr>
          <w:p>
            <w:pPr>
              <w:spacing w:line="340" w:lineRule="exact"/>
              <w:jc w:val="center"/>
              <w:rPr>
                <w:rFonts w:hint="eastAsia" w:ascii="仿宋_GB2312" w:eastAsia="仿宋_GB2312"/>
                <w:sz w:val="24"/>
              </w:rPr>
            </w:pPr>
            <w:r>
              <w:rPr>
                <w:rFonts w:hint="eastAsia" w:ascii="仿宋_GB2312" w:eastAsia="仿宋_GB2312"/>
                <w:sz w:val="24"/>
              </w:rPr>
              <w:t>门框</w:t>
            </w:r>
          </w:p>
        </w:tc>
        <w:tc>
          <w:tcPr>
            <w:tcW w:w="3475" w:type="dxa"/>
            <w:vMerge w:val="restart"/>
            <w:noWrap w:val="0"/>
            <w:vAlign w:val="center"/>
          </w:tcPr>
          <w:p>
            <w:pPr>
              <w:spacing w:line="340" w:lineRule="exact"/>
              <w:rPr>
                <w:rFonts w:ascii="仿宋_GB2312" w:eastAsia="仿宋_GB2312"/>
                <w:sz w:val="24"/>
              </w:rPr>
            </w:pPr>
            <w:r>
              <w:rPr>
                <w:rFonts w:hint="eastAsia" w:ascii="仿宋_GB2312" w:eastAsia="仿宋_GB2312"/>
                <w:sz w:val="24"/>
              </w:rPr>
              <w:t>首  层：发纹不锈钢小门套</w:t>
            </w:r>
          </w:p>
          <w:p>
            <w:pPr>
              <w:spacing w:line="340" w:lineRule="exact"/>
              <w:rPr>
                <w:rFonts w:hint="eastAsia" w:ascii="仿宋_GB2312" w:eastAsia="仿宋_GB2312"/>
                <w:sz w:val="24"/>
              </w:rPr>
            </w:pPr>
          </w:p>
          <w:p>
            <w:pPr>
              <w:spacing w:line="340" w:lineRule="exact"/>
              <w:rPr>
                <w:rFonts w:hint="eastAsia" w:ascii="仿宋_GB2312" w:eastAsia="仿宋_GB2312"/>
                <w:sz w:val="24"/>
              </w:rPr>
            </w:pPr>
            <w:r>
              <w:rPr>
                <w:rFonts w:hint="eastAsia" w:ascii="仿宋_GB2312" w:eastAsia="仿宋_GB2312"/>
                <w:sz w:val="24"/>
              </w:rPr>
              <w:t>其它层：发纹不锈钢小门套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618"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梯    种</w:t>
            </w:r>
          </w:p>
        </w:tc>
        <w:tc>
          <w:tcPr>
            <w:tcW w:w="2859"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医用电梯</w:t>
            </w:r>
          </w:p>
        </w:tc>
        <w:tc>
          <w:tcPr>
            <w:tcW w:w="530" w:type="dxa"/>
            <w:vMerge w:val="continue"/>
            <w:noWrap w:val="0"/>
            <w:vAlign w:val="top"/>
          </w:tcPr>
          <w:p>
            <w:pPr>
              <w:spacing w:line="340" w:lineRule="exact"/>
              <w:jc w:val="center"/>
              <w:rPr>
                <w:rFonts w:ascii="仿宋_GB2312" w:eastAsia="仿宋_GB2312"/>
                <w:sz w:val="24"/>
              </w:rPr>
            </w:pPr>
          </w:p>
        </w:tc>
        <w:tc>
          <w:tcPr>
            <w:tcW w:w="1237" w:type="dxa"/>
            <w:vMerge w:val="continue"/>
            <w:noWrap w:val="0"/>
            <w:vAlign w:val="center"/>
          </w:tcPr>
          <w:p>
            <w:pPr>
              <w:spacing w:line="340" w:lineRule="exact"/>
              <w:jc w:val="center"/>
              <w:rPr>
                <w:rFonts w:hint="eastAsia" w:ascii="仿宋_GB2312" w:eastAsia="仿宋_GB2312"/>
                <w:sz w:val="24"/>
              </w:rPr>
            </w:pPr>
          </w:p>
        </w:tc>
        <w:tc>
          <w:tcPr>
            <w:tcW w:w="3475" w:type="dxa"/>
            <w:vMerge w:val="continue"/>
            <w:noWrap w:val="0"/>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618"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拖动方式</w:t>
            </w:r>
          </w:p>
        </w:tc>
        <w:tc>
          <w:tcPr>
            <w:tcW w:w="2859"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变频变压调速</w:t>
            </w:r>
          </w:p>
        </w:tc>
        <w:tc>
          <w:tcPr>
            <w:tcW w:w="530" w:type="dxa"/>
            <w:vMerge w:val="continue"/>
            <w:noWrap w:val="0"/>
            <w:vAlign w:val="top"/>
          </w:tcPr>
          <w:p>
            <w:pPr>
              <w:spacing w:line="340" w:lineRule="exact"/>
              <w:jc w:val="center"/>
              <w:rPr>
                <w:rFonts w:ascii="仿宋_GB2312" w:eastAsia="仿宋_GB2312"/>
                <w:sz w:val="24"/>
              </w:rPr>
            </w:pPr>
          </w:p>
        </w:tc>
        <w:tc>
          <w:tcPr>
            <w:tcW w:w="1237" w:type="dxa"/>
            <w:vMerge w:val="continue"/>
            <w:noWrap w:val="0"/>
            <w:vAlign w:val="center"/>
          </w:tcPr>
          <w:p>
            <w:pPr>
              <w:spacing w:line="340" w:lineRule="exact"/>
              <w:jc w:val="center"/>
              <w:rPr>
                <w:rFonts w:ascii="仿宋_GB2312" w:eastAsia="仿宋_GB2312"/>
                <w:sz w:val="24"/>
              </w:rPr>
            </w:pPr>
          </w:p>
        </w:tc>
        <w:tc>
          <w:tcPr>
            <w:tcW w:w="3475" w:type="dxa"/>
            <w:vMerge w:val="continue"/>
            <w:noWrap w:val="0"/>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2618"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机    种</w:t>
            </w:r>
          </w:p>
        </w:tc>
        <w:tc>
          <w:tcPr>
            <w:tcW w:w="2859" w:type="dxa"/>
            <w:noWrap w:val="0"/>
            <w:vAlign w:val="center"/>
          </w:tcPr>
          <w:p>
            <w:pPr>
              <w:spacing w:line="280" w:lineRule="exact"/>
              <w:jc w:val="center"/>
              <w:rPr>
                <w:rFonts w:hint="eastAsia" w:ascii="仿宋_GB2312" w:eastAsia="仿宋_GB2312"/>
                <w:sz w:val="24"/>
              </w:rPr>
            </w:pPr>
            <w:r>
              <w:rPr>
                <w:rFonts w:hint="eastAsia" w:ascii="仿宋_GB2312" w:eastAsia="仿宋_GB2312"/>
                <w:sz w:val="24"/>
              </w:rPr>
              <w:t>永磁同步</w:t>
            </w:r>
          </w:p>
        </w:tc>
        <w:tc>
          <w:tcPr>
            <w:tcW w:w="530" w:type="dxa"/>
            <w:vMerge w:val="continue"/>
            <w:noWrap w:val="0"/>
            <w:vAlign w:val="top"/>
          </w:tcPr>
          <w:p>
            <w:pPr>
              <w:spacing w:line="340" w:lineRule="exact"/>
              <w:jc w:val="center"/>
              <w:rPr>
                <w:rFonts w:ascii="仿宋_GB2312" w:eastAsia="仿宋_GB2312"/>
                <w:sz w:val="24"/>
              </w:rPr>
            </w:pPr>
          </w:p>
        </w:tc>
        <w:tc>
          <w:tcPr>
            <w:tcW w:w="1237" w:type="dxa"/>
            <w:vMerge w:val="continue"/>
            <w:noWrap w:val="0"/>
            <w:vAlign w:val="center"/>
          </w:tcPr>
          <w:p>
            <w:pPr>
              <w:spacing w:line="340" w:lineRule="exact"/>
              <w:jc w:val="center"/>
              <w:rPr>
                <w:rFonts w:ascii="仿宋_GB2312" w:eastAsia="仿宋_GB2312"/>
                <w:sz w:val="24"/>
              </w:rPr>
            </w:pPr>
          </w:p>
        </w:tc>
        <w:tc>
          <w:tcPr>
            <w:tcW w:w="3475" w:type="dxa"/>
            <w:vMerge w:val="continue"/>
            <w:noWrap w:val="0"/>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2618"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载 重 量</w:t>
            </w:r>
          </w:p>
        </w:tc>
        <w:tc>
          <w:tcPr>
            <w:tcW w:w="2859" w:type="dxa"/>
            <w:noWrap w:val="0"/>
            <w:vAlign w:val="center"/>
          </w:tcPr>
          <w:p>
            <w:pPr>
              <w:pStyle w:val="7"/>
              <w:jc w:val="center"/>
              <w:rPr>
                <w:rFonts w:hint="eastAsia" w:ascii="仿宋_GB2312" w:hAnsi="Times New Roman" w:eastAsia="仿宋_GB2312"/>
                <w:b w:val="0"/>
                <w:bCs w:val="0"/>
                <w:sz w:val="24"/>
                <w:szCs w:val="20"/>
              </w:rPr>
            </w:pPr>
            <w:r>
              <w:rPr>
                <w:rFonts w:hint="eastAsia" w:ascii="仿宋_GB2312" w:hAnsi="Times New Roman" w:eastAsia="仿宋_GB2312"/>
                <w:b w:val="0"/>
                <w:bCs w:val="0"/>
                <w:sz w:val="24"/>
                <w:szCs w:val="20"/>
              </w:rPr>
              <w:t>1600KG</w:t>
            </w:r>
          </w:p>
        </w:tc>
        <w:tc>
          <w:tcPr>
            <w:tcW w:w="530" w:type="dxa"/>
            <w:vMerge w:val="continue"/>
            <w:noWrap w:val="0"/>
            <w:vAlign w:val="top"/>
          </w:tcPr>
          <w:p>
            <w:pPr>
              <w:spacing w:line="340" w:lineRule="exact"/>
              <w:jc w:val="center"/>
              <w:rPr>
                <w:rFonts w:ascii="仿宋_GB2312" w:eastAsia="仿宋_GB2312"/>
                <w:sz w:val="24"/>
              </w:rPr>
            </w:pPr>
          </w:p>
        </w:tc>
        <w:tc>
          <w:tcPr>
            <w:tcW w:w="1237" w:type="dxa"/>
            <w:vMerge w:val="restart"/>
            <w:noWrap w:val="0"/>
            <w:vAlign w:val="center"/>
          </w:tcPr>
          <w:p>
            <w:pPr>
              <w:spacing w:line="340" w:lineRule="exact"/>
              <w:jc w:val="center"/>
              <w:rPr>
                <w:rFonts w:ascii="仿宋_GB2312" w:eastAsia="仿宋_GB2312"/>
                <w:sz w:val="24"/>
              </w:rPr>
            </w:pPr>
            <w:r>
              <w:rPr>
                <w:rFonts w:hint="eastAsia" w:ascii="仿宋_GB2312" w:eastAsia="仿宋_GB2312"/>
                <w:sz w:val="24"/>
              </w:rPr>
              <w:t>门 扇</w:t>
            </w:r>
          </w:p>
        </w:tc>
        <w:tc>
          <w:tcPr>
            <w:tcW w:w="3475" w:type="dxa"/>
            <w:vMerge w:val="restart"/>
            <w:noWrap w:val="0"/>
            <w:vAlign w:val="center"/>
          </w:tcPr>
          <w:p>
            <w:pPr>
              <w:spacing w:line="340" w:lineRule="exact"/>
              <w:rPr>
                <w:rFonts w:ascii="仿宋_GB2312" w:eastAsia="仿宋_GB2312"/>
                <w:sz w:val="24"/>
              </w:rPr>
            </w:pPr>
            <w:r>
              <w:rPr>
                <w:rFonts w:hint="eastAsia" w:ascii="仿宋_GB2312" w:eastAsia="仿宋_GB2312"/>
                <w:sz w:val="24"/>
              </w:rPr>
              <w:t>首  层：发纹不锈钢</w:t>
            </w:r>
          </w:p>
          <w:p>
            <w:pPr>
              <w:spacing w:line="340" w:lineRule="exact"/>
              <w:rPr>
                <w:rFonts w:hint="eastAsia" w:ascii="仿宋_GB2312" w:eastAsia="仿宋_GB2312"/>
                <w:sz w:val="24"/>
              </w:rPr>
            </w:pPr>
          </w:p>
          <w:p>
            <w:pPr>
              <w:spacing w:line="340" w:lineRule="exact"/>
              <w:rPr>
                <w:rFonts w:ascii="仿宋_GB2312" w:eastAsia="仿宋_GB2312"/>
                <w:sz w:val="24"/>
              </w:rPr>
            </w:pPr>
            <w:r>
              <w:rPr>
                <w:rFonts w:hint="eastAsia" w:ascii="仿宋_GB2312" w:eastAsia="仿宋_GB2312"/>
                <w:sz w:val="24"/>
              </w:rPr>
              <w:t>其它层：发纹不锈钢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2618"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速    度</w:t>
            </w:r>
          </w:p>
        </w:tc>
        <w:tc>
          <w:tcPr>
            <w:tcW w:w="2859"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1.0m/s</w:t>
            </w:r>
          </w:p>
        </w:tc>
        <w:tc>
          <w:tcPr>
            <w:tcW w:w="530" w:type="dxa"/>
            <w:vMerge w:val="continue"/>
            <w:noWrap w:val="0"/>
            <w:vAlign w:val="top"/>
          </w:tcPr>
          <w:p>
            <w:pPr>
              <w:spacing w:line="340" w:lineRule="exact"/>
              <w:jc w:val="center"/>
              <w:rPr>
                <w:rFonts w:ascii="仿宋_GB2312" w:eastAsia="仿宋_GB2312"/>
                <w:sz w:val="24"/>
              </w:rPr>
            </w:pPr>
          </w:p>
        </w:tc>
        <w:tc>
          <w:tcPr>
            <w:tcW w:w="1237" w:type="dxa"/>
            <w:vMerge w:val="continue"/>
            <w:noWrap w:val="0"/>
            <w:vAlign w:val="center"/>
          </w:tcPr>
          <w:p>
            <w:pPr>
              <w:spacing w:line="340" w:lineRule="exact"/>
              <w:jc w:val="center"/>
              <w:rPr>
                <w:rFonts w:hint="eastAsia" w:ascii="仿宋_GB2312" w:eastAsia="仿宋_GB2312"/>
                <w:sz w:val="24"/>
              </w:rPr>
            </w:pPr>
          </w:p>
        </w:tc>
        <w:tc>
          <w:tcPr>
            <w:tcW w:w="3475" w:type="dxa"/>
            <w:vMerge w:val="continue"/>
            <w:noWrap w:val="0"/>
            <w:vAlign w:val="center"/>
          </w:tcPr>
          <w:p>
            <w:pPr>
              <w:spacing w:line="3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18" w:type="dxa"/>
            <w:tcBorders>
              <w:bottom w:val="single" w:color="auto" w:sz="4" w:space="0"/>
            </w:tcBorders>
            <w:noWrap w:val="0"/>
            <w:vAlign w:val="center"/>
          </w:tcPr>
          <w:p>
            <w:pPr>
              <w:spacing w:line="340" w:lineRule="exact"/>
              <w:jc w:val="center"/>
              <w:rPr>
                <w:rFonts w:hint="eastAsia" w:ascii="仿宋_GB2312" w:eastAsia="仿宋_GB2312"/>
                <w:sz w:val="24"/>
              </w:rPr>
            </w:pPr>
            <w:r>
              <w:rPr>
                <w:rFonts w:hint="eastAsia" w:ascii="仿宋_GB2312" w:eastAsia="仿宋_GB2312"/>
                <w:sz w:val="24"/>
              </w:rPr>
              <w:t>层   站</w:t>
            </w:r>
          </w:p>
        </w:tc>
        <w:tc>
          <w:tcPr>
            <w:tcW w:w="2859" w:type="dxa"/>
            <w:tcBorders>
              <w:bottom w:val="single" w:color="auto" w:sz="4" w:space="0"/>
            </w:tcBorders>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4/4/4</w:t>
            </w:r>
          </w:p>
          <w:p>
            <w:pPr>
              <w:spacing w:line="340" w:lineRule="exact"/>
              <w:jc w:val="center"/>
              <w:rPr>
                <w:rFonts w:ascii="仿宋" w:hAnsi="仿宋" w:eastAsia="仿宋" w:cs="仿宋"/>
                <w:color w:val="000000"/>
                <w:sz w:val="24"/>
              </w:rPr>
            </w:pPr>
            <w:r>
              <w:rPr>
                <w:rFonts w:hint="eastAsia" w:ascii="仿宋" w:hAnsi="仿宋" w:eastAsia="仿宋" w:cs="仿宋"/>
                <w:color w:val="000000"/>
                <w:sz w:val="24"/>
              </w:rPr>
              <w:t>3/3/3</w:t>
            </w:r>
          </w:p>
        </w:tc>
        <w:tc>
          <w:tcPr>
            <w:tcW w:w="530" w:type="dxa"/>
            <w:vMerge w:val="continue"/>
            <w:tcBorders>
              <w:bottom w:val="single" w:color="auto" w:sz="4" w:space="0"/>
            </w:tcBorders>
            <w:noWrap w:val="0"/>
            <w:vAlign w:val="top"/>
          </w:tcPr>
          <w:p>
            <w:pPr>
              <w:spacing w:line="340" w:lineRule="exact"/>
              <w:jc w:val="center"/>
              <w:rPr>
                <w:rFonts w:ascii="仿宋_GB2312" w:eastAsia="仿宋_GB2312"/>
                <w:sz w:val="24"/>
              </w:rPr>
            </w:pPr>
          </w:p>
        </w:tc>
        <w:tc>
          <w:tcPr>
            <w:tcW w:w="1237" w:type="dxa"/>
            <w:vMerge w:val="restart"/>
            <w:tcBorders>
              <w:bottom w:val="single" w:color="auto" w:sz="4" w:space="0"/>
            </w:tcBorders>
            <w:noWrap w:val="0"/>
            <w:vAlign w:val="center"/>
          </w:tcPr>
          <w:p>
            <w:pPr>
              <w:spacing w:line="340" w:lineRule="exact"/>
              <w:jc w:val="center"/>
              <w:rPr>
                <w:rFonts w:hint="eastAsia" w:ascii="仿宋_GB2312" w:eastAsia="仿宋_GB2312"/>
                <w:sz w:val="24"/>
              </w:rPr>
            </w:pPr>
            <w:r>
              <w:rPr>
                <w:rFonts w:hint="eastAsia" w:ascii="仿宋_GB2312" w:eastAsia="仿宋_GB2312"/>
                <w:sz w:val="24"/>
              </w:rPr>
              <w:t>外</w:t>
            </w:r>
          </w:p>
          <w:p>
            <w:pPr>
              <w:spacing w:line="340" w:lineRule="exact"/>
              <w:jc w:val="center"/>
              <w:rPr>
                <w:rFonts w:hint="eastAsia" w:ascii="仿宋_GB2312" w:eastAsia="仿宋_GB2312"/>
                <w:sz w:val="24"/>
              </w:rPr>
            </w:pPr>
            <w:r>
              <w:rPr>
                <w:rFonts w:hint="eastAsia" w:ascii="仿宋_GB2312" w:eastAsia="仿宋_GB2312"/>
                <w:sz w:val="24"/>
              </w:rPr>
              <w:t>呼</w:t>
            </w:r>
          </w:p>
          <w:p>
            <w:pPr>
              <w:spacing w:line="340" w:lineRule="exact"/>
              <w:jc w:val="center"/>
              <w:rPr>
                <w:rFonts w:hint="eastAsia" w:ascii="仿宋_GB2312" w:eastAsia="仿宋_GB2312"/>
                <w:sz w:val="24"/>
              </w:rPr>
            </w:pPr>
            <w:r>
              <w:rPr>
                <w:rFonts w:hint="eastAsia" w:ascii="仿宋_GB2312" w:eastAsia="仿宋_GB2312"/>
                <w:sz w:val="24"/>
              </w:rPr>
              <w:t>梯</w:t>
            </w:r>
          </w:p>
          <w:p>
            <w:pPr>
              <w:spacing w:line="340" w:lineRule="exact"/>
              <w:jc w:val="center"/>
              <w:rPr>
                <w:rFonts w:hint="eastAsia" w:ascii="仿宋_GB2312" w:eastAsia="仿宋_GB2312"/>
                <w:sz w:val="24"/>
              </w:rPr>
            </w:pPr>
            <w:r>
              <w:rPr>
                <w:rFonts w:hint="eastAsia" w:ascii="仿宋_GB2312" w:eastAsia="仿宋_GB2312"/>
                <w:sz w:val="24"/>
              </w:rPr>
              <w:t>盒</w:t>
            </w:r>
          </w:p>
        </w:tc>
        <w:tc>
          <w:tcPr>
            <w:tcW w:w="3475" w:type="dxa"/>
            <w:vMerge w:val="restart"/>
            <w:tcBorders>
              <w:bottom w:val="single" w:color="auto" w:sz="4" w:space="0"/>
            </w:tcBorders>
            <w:noWrap w:val="0"/>
            <w:vAlign w:val="center"/>
          </w:tcPr>
          <w:p>
            <w:pPr>
              <w:spacing w:line="340" w:lineRule="exact"/>
              <w:rPr>
                <w:rFonts w:ascii="仿宋_GB2312" w:eastAsia="仿宋_GB2312"/>
                <w:sz w:val="24"/>
              </w:rPr>
            </w:pPr>
            <w:r>
              <w:rPr>
                <w:rFonts w:hint="eastAsia" w:ascii="仿宋_GB2312" w:eastAsia="仿宋_GB2312"/>
                <w:sz w:val="24"/>
              </w:rPr>
              <w:t>楼层显示：单色液晶显示</w:t>
            </w:r>
          </w:p>
          <w:p>
            <w:pPr>
              <w:spacing w:line="340" w:lineRule="exact"/>
              <w:rPr>
                <w:rFonts w:hint="eastAsia" w:ascii="仿宋_GB2312" w:eastAsia="仿宋_GB2312"/>
                <w:sz w:val="24"/>
              </w:rPr>
            </w:pPr>
          </w:p>
          <w:p>
            <w:pPr>
              <w:spacing w:line="340" w:lineRule="exact"/>
              <w:ind w:firstLine="480" w:firstLineChars="200"/>
              <w:rPr>
                <w:rFonts w:ascii="仿宋_GB2312" w:eastAsia="仿宋_GB2312"/>
                <w:sz w:val="24"/>
              </w:rPr>
            </w:pPr>
            <w:r>
              <w:rPr>
                <w:rFonts w:hint="eastAsia" w:ascii="仿宋_GB2312" w:eastAsia="仿宋_GB2312"/>
                <w:sz w:val="24"/>
              </w:rPr>
              <w:t>面板：发纹不锈钢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618"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楼层显示</w:t>
            </w:r>
          </w:p>
        </w:tc>
        <w:tc>
          <w:tcPr>
            <w:tcW w:w="2859"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1、2、3、4</w:t>
            </w:r>
          </w:p>
          <w:p>
            <w:pPr>
              <w:spacing w:line="340" w:lineRule="exact"/>
              <w:jc w:val="center"/>
              <w:rPr>
                <w:rFonts w:ascii="仿宋_GB2312" w:eastAsia="仿宋_GB2312"/>
                <w:sz w:val="24"/>
              </w:rPr>
            </w:pPr>
            <w:r>
              <w:rPr>
                <w:rFonts w:hint="eastAsia" w:ascii="仿宋_GB2312" w:eastAsia="仿宋_GB2312"/>
                <w:sz w:val="24"/>
              </w:rPr>
              <w:t>1、2、3</w:t>
            </w:r>
          </w:p>
        </w:tc>
        <w:tc>
          <w:tcPr>
            <w:tcW w:w="530" w:type="dxa"/>
            <w:vMerge w:val="continue"/>
            <w:noWrap w:val="0"/>
            <w:vAlign w:val="top"/>
          </w:tcPr>
          <w:p>
            <w:pPr>
              <w:spacing w:line="340" w:lineRule="exact"/>
              <w:jc w:val="center"/>
              <w:rPr>
                <w:rFonts w:ascii="仿宋_GB2312" w:eastAsia="仿宋_GB2312"/>
                <w:sz w:val="24"/>
              </w:rPr>
            </w:pPr>
          </w:p>
        </w:tc>
        <w:tc>
          <w:tcPr>
            <w:tcW w:w="1237" w:type="dxa"/>
            <w:vMerge w:val="continue"/>
            <w:noWrap w:val="0"/>
            <w:vAlign w:val="center"/>
          </w:tcPr>
          <w:p>
            <w:pPr>
              <w:spacing w:line="340" w:lineRule="exact"/>
              <w:jc w:val="center"/>
              <w:rPr>
                <w:rFonts w:ascii="仿宋_GB2312" w:eastAsia="仿宋_GB2312"/>
                <w:sz w:val="24"/>
              </w:rPr>
            </w:pPr>
          </w:p>
        </w:tc>
        <w:tc>
          <w:tcPr>
            <w:tcW w:w="3475" w:type="dxa"/>
            <w:vMerge w:val="continue"/>
            <w:noWrap w:val="0"/>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618"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基    站</w:t>
            </w:r>
          </w:p>
        </w:tc>
        <w:tc>
          <w:tcPr>
            <w:tcW w:w="2859"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1</w:t>
            </w:r>
          </w:p>
        </w:tc>
        <w:tc>
          <w:tcPr>
            <w:tcW w:w="530" w:type="dxa"/>
            <w:vMerge w:val="continue"/>
            <w:noWrap w:val="0"/>
            <w:vAlign w:val="top"/>
          </w:tcPr>
          <w:p>
            <w:pPr>
              <w:spacing w:line="340" w:lineRule="exact"/>
              <w:jc w:val="center"/>
              <w:rPr>
                <w:rFonts w:ascii="仿宋_GB2312" w:eastAsia="仿宋_GB2312"/>
                <w:sz w:val="24"/>
              </w:rPr>
            </w:pPr>
          </w:p>
        </w:tc>
        <w:tc>
          <w:tcPr>
            <w:tcW w:w="1237" w:type="dxa"/>
            <w:vMerge w:val="continue"/>
            <w:noWrap w:val="0"/>
            <w:vAlign w:val="center"/>
          </w:tcPr>
          <w:p>
            <w:pPr>
              <w:spacing w:line="340" w:lineRule="exact"/>
              <w:jc w:val="center"/>
              <w:rPr>
                <w:rFonts w:ascii="仿宋_GB2312" w:eastAsia="仿宋_GB2312"/>
                <w:sz w:val="24"/>
              </w:rPr>
            </w:pPr>
          </w:p>
        </w:tc>
        <w:tc>
          <w:tcPr>
            <w:tcW w:w="3475" w:type="dxa"/>
            <w:vMerge w:val="continue"/>
            <w:noWrap w:val="0"/>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618" w:type="dxa"/>
            <w:vMerge w:val="restart"/>
            <w:noWrap w:val="0"/>
            <w:vAlign w:val="center"/>
          </w:tcPr>
          <w:p>
            <w:pPr>
              <w:spacing w:line="340" w:lineRule="exact"/>
              <w:jc w:val="center"/>
              <w:rPr>
                <w:rFonts w:hint="eastAsia" w:ascii="仿宋_GB2312" w:eastAsia="仿宋_GB2312"/>
                <w:sz w:val="24"/>
              </w:rPr>
            </w:pPr>
            <w:r>
              <w:rPr>
                <w:rFonts w:hint="eastAsia" w:ascii="仿宋_GB2312" w:eastAsia="仿宋_GB2312"/>
                <w:sz w:val="24"/>
              </w:rPr>
              <w:t>操作方式</w:t>
            </w:r>
          </w:p>
        </w:tc>
        <w:tc>
          <w:tcPr>
            <w:tcW w:w="2859" w:type="dxa"/>
            <w:vMerge w:val="restart"/>
            <w:noWrap w:val="0"/>
            <w:vAlign w:val="center"/>
          </w:tcPr>
          <w:p>
            <w:pPr>
              <w:spacing w:line="340" w:lineRule="exact"/>
              <w:jc w:val="center"/>
              <w:rPr>
                <w:rFonts w:hint="eastAsia" w:ascii="仿宋_GB2312" w:eastAsia="仿宋_GB2312"/>
                <w:sz w:val="24"/>
              </w:rPr>
            </w:pPr>
            <w:r>
              <w:rPr>
                <w:rFonts w:hint="eastAsia" w:ascii="仿宋_GB2312" w:eastAsia="仿宋_GB2312"/>
                <w:sz w:val="24"/>
              </w:rPr>
              <w:t>单控</w:t>
            </w:r>
          </w:p>
        </w:tc>
        <w:tc>
          <w:tcPr>
            <w:tcW w:w="530" w:type="dxa"/>
            <w:vMerge w:val="continue"/>
            <w:noWrap w:val="0"/>
            <w:vAlign w:val="top"/>
          </w:tcPr>
          <w:p>
            <w:pPr>
              <w:spacing w:line="340" w:lineRule="exact"/>
              <w:jc w:val="center"/>
              <w:rPr>
                <w:rFonts w:ascii="仿宋_GB2312" w:eastAsia="仿宋_GB2312"/>
                <w:sz w:val="24"/>
              </w:rPr>
            </w:pPr>
          </w:p>
        </w:tc>
        <w:tc>
          <w:tcPr>
            <w:tcW w:w="1237" w:type="dxa"/>
            <w:vMerge w:val="continue"/>
            <w:noWrap w:val="0"/>
            <w:vAlign w:val="center"/>
          </w:tcPr>
          <w:p>
            <w:pPr>
              <w:spacing w:line="340" w:lineRule="exact"/>
              <w:jc w:val="center"/>
              <w:rPr>
                <w:rFonts w:ascii="仿宋_GB2312" w:eastAsia="仿宋_GB2312"/>
                <w:sz w:val="24"/>
              </w:rPr>
            </w:pPr>
          </w:p>
        </w:tc>
        <w:tc>
          <w:tcPr>
            <w:tcW w:w="3475" w:type="dxa"/>
            <w:vMerge w:val="continue"/>
            <w:noWrap w:val="0"/>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618" w:type="dxa"/>
            <w:vMerge w:val="continue"/>
            <w:noWrap w:val="0"/>
            <w:vAlign w:val="center"/>
          </w:tcPr>
          <w:p>
            <w:pPr>
              <w:spacing w:line="340" w:lineRule="exact"/>
              <w:jc w:val="center"/>
              <w:rPr>
                <w:rFonts w:hint="eastAsia" w:ascii="仿宋_GB2312" w:eastAsia="仿宋_GB2312"/>
                <w:sz w:val="24"/>
              </w:rPr>
            </w:pPr>
          </w:p>
        </w:tc>
        <w:tc>
          <w:tcPr>
            <w:tcW w:w="2859" w:type="dxa"/>
            <w:vMerge w:val="continue"/>
            <w:noWrap w:val="0"/>
            <w:vAlign w:val="center"/>
          </w:tcPr>
          <w:p>
            <w:pPr>
              <w:spacing w:line="340" w:lineRule="exact"/>
              <w:jc w:val="center"/>
              <w:rPr>
                <w:rFonts w:hint="eastAsia" w:ascii="仿宋_GB2312" w:eastAsia="仿宋_GB2312"/>
                <w:sz w:val="24"/>
              </w:rPr>
            </w:pPr>
          </w:p>
        </w:tc>
        <w:tc>
          <w:tcPr>
            <w:tcW w:w="530" w:type="dxa"/>
            <w:vMerge w:val="restart"/>
            <w:noWrap w:val="0"/>
            <w:vAlign w:val="top"/>
          </w:tcPr>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r>
              <w:rPr>
                <w:rFonts w:hint="eastAsia" w:ascii="仿宋_GB2312" w:eastAsia="仿宋_GB2312"/>
                <w:sz w:val="24"/>
              </w:rPr>
              <w:t>轿</w:t>
            </w: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p>
          <w:p>
            <w:pPr>
              <w:spacing w:line="340" w:lineRule="exact"/>
              <w:jc w:val="center"/>
              <w:rPr>
                <w:rFonts w:hint="eastAsia" w:ascii="仿宋_GB2312" w:eastAsia="仿宋_GB2312"/>
                <w:sz w:val="24"/>
              </w:rPr>
            </w:pPr>
            <w:r>
              <w:rPr>
                <w:rFonts w:hint="eastAsia" w:ascii="仿宋_GB2312" w:eastAsia="仿宋_GB2312"/>
                <w:sz w:val="24"/>
              </w:rPr>
              <w:t>厢</w:t>
            </w:r>
          </w:p>
        </w:tc>
        <w:tc>
          <w:tcPr>
            <w:tcW w:w="1237" w:type="dxa"/>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内招显示</w:t>
            </w:r>
          </w:p>
        </w:tc>
        <w:tc>
          <w:tcPr>
            <w:tcW w:w="3475" w:type="dxa"/>
            <w:noWrap w:val="0"/>
            <w:vAlign w:val="center"/>
          </w:tcPr>
          <w:p>
            <w:pPr>
              <w:spacing w:line="340" w:lineRule="exact"/>
              <w:rPr>
                <w:rFonts w:ascii="仿宋" w:hAnsi="仿宋" w:eastAsia="仿宋" w:cs="仿宋"/>
                <w:color w:val="000000"/>
                <w:spacing w:val="-10"/>
                <w:sz w:val="24"/>
              </w:rPr>
            </w:pPr>
            <w:r>
              <w:rPr>
                <w:rFonts w:hint="eastAsia" w:ascii="仿宋" w:hAnsi="仿宋" w:eastAsia="仿宋" w:cs="仿宋"/>
                <w:color w:val="000000"/>
                <w:spacing w:val="-10"/>
                <w:sz w:val="24"/>
              </w:rPr>
              <w:t>7寸彩色液晶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618" w:type="dxa"/>
            <w:vMerge w:val="continue"/>
            <w:noWrap w:val="0"/>
            <w:vAlign w:val="center"/>
          </w:tcPr>
          <w:p>
            <w:pPr>
              <w:spacing w:line="340" w:lineRule="exact"/>
              <w:jc w:val="center"/>
              <w:rPr>
                <w:rFonts w:hint="eastAsia" w:ascii="仿宋_GB2312" w:eastAsia="仿宋_GB2312"/>
                <w:sz w:val="24"/>
              </w:rPr>
            </w:pPr>
          </w:p>
        </w:tc>
        <w:tc>
          <w:tcPr>
            <w:tcW w:w="2859" w:type="dxa"/>
            <w:vMerge w:val="continue"/>
            <w:noWrap w:val="0"/>
            <w:vAlign w:val="center"/>
          </w:tcPr>
          <w:p>
            <w:pPr>
              <w:spacing w:line="340" w:lineRule="exact"/>
              <w:jc w:val="center"/>
              <w:rPr>
                <w:rFonts w:hint="eastAsia" w:ascii="仿宋_GB2312" w:eastAsia="仿宋_GB2312"/>
                <w:sz w:val="24"/>
              </w:rPr>
            </w:pPr>
          </w:p>
        </w:tc>
        <w:tc>
          <w:tcPr>
            <w:tcW w:w="530" w:type="dxa"/>
            <w:vMerge w:val="continue"/>
            <w:noWrap w:val="0"/>
            <w:vAlign w:val="top"/>
          </w:tcPr>
          <w:p>
            <w:pPr>
              <w:spacing w:line="340" w:lineRule="exact"/>
              <w:jc w:val="center"/>
              <w:rPr>
                <w:rFonts w:hint="eastAsia" w:ascii="仿宋_GB2312" w:eastAsia="仿宋_GB2312"/>
                <w:sz w:val="24"/>
              </w:rPr>
            </w:pPr>
          </w:p>
        </w:tc>
        <w:tc>
          <w:tcPr>
            <w:tcW w:w="1237" w:type="dxa"/>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轿 门</w:t>
            </w:r>
          </w:p>
        </w:tc>
        <w:tc>
          <w:tcPr>
            <w:tcW w:w="3475" w:type="dxa"/>
            <w:noWrap w:val="0"/>
            <w:vAlign w:val="center"/>
          </w:tcPr>
          <w:p>
            <w:pPr>
              <w:spacing w:line="340" w:lineRule="exact"/>
              <w:rPr>
                <w:rFonts w:hint="eastAsia" w:ascii="仿宋" w:hAnsi="仿宋" w:eastAsia="仿宋" w:cs="仿宋"/>
                <w:sz w:val="24"/>
              </w:rPr>
            </w:pPr>
            <w:r>
              <w:rPr>
                <w:rFonts w:hint="eastAsia" w:ascii="仿宋_GB2312" w:eastAsia="仿宋_GB2312"/>
                <w:sz w:val="24"/>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618"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底坑尺寸（</w:t>
            </w:r>
            <w:r>
              <w:rPr>
                <w:rFonts w:ascii="仿宋_GB2312" w:eastAsia="仿宋_GB2312"/>
                <w:sz w:val="24"/>
              </w:rPr>
              <w:t>PIL</w:t>
            </w:r>
            <w:r>
              <w:rPr>
                <w:rFonts w:hint="eastAsia" w:ascii="仿宋_GB2312" w:eastAsia="仿宋_GB2312"/>
                <w:sz w:val="24"/>
              </w:rPr>
              <w:t>）</w:t>
            </w:r>
          </w:p>
        </w:tc>
        <w:tc>
          <w:tcPr>
            <w:tcW w:w="2859" w:type="dxa"/>
            <w:noWrap w:val="0"/>
            <w:vAlign w:val="center"/>
          </w:tcPr>
          <w:p>
            <w:pPr>
              <w:spacing w:line="340" w:lineRule="exact"/>
              <w:jc w:val="center"/>
              <w:rPr>
                <w:rFonts w:ascii="仿宋_GB2312" w:eastAsia="仿宋_GB2312"/>
                <w:sz w:val="24"/>
              </w:rPr>
            </w:pPr>
            <w:r>
              <w:rPr>
                <w:rFonts w:hint="eastAsia" w:ascii="仿宋" w:hAnsi="仿宋" w:eastAsia="仿宋" w:cs="仿宋"/>
                <w:color w:val="000000"/>
                <w:szCs w:val="21"/>
              </w:rPr>
              <w:t>1900</w:t>
            </w:r>
          </w:p>
        </w:tc>
        <w:tc>
          <w:tcPr>
            <w:tcW w:w="530" w:type="dxa"/>
            <w:vMerge w:val="continue"/>
            <w:noWrap w:val="0"/>
            <w:vAlign w:val="top"/>
          </w:tcPr>
          <w:p>
            <w:pPr>
              <w:spacing w:line="340" w:lineRule="exact"/>
              <w:jc w:val="center"/>
              <w:rPr>
                <w:rFonts w:ascii="仿宋_GB2312" w:eastAsia="仿宋_GB2312"/>
                <w:sz w:val="24"/>
              </w:rPr>
            </w:pPr>
          </w:p>
        </w:tc>
        <w:tc>
          <w:tcPr>
            <w:tcW w:w="1237" w:type="dxa"/>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轿 壁</w:t>
            </w:r>
          </w:p>
        </w:tc>
        <w:tc>
          <w:tcPr>
            <w:tcW w:w="3475" w:type="dxa"/>
            <w:noWrap w:val="0"/>
            <w:vAlign w:val="center"/>
          </w:tcPr>
          <w:p>
            <w:pPr>
              <w:spacing w:line="340" w:lineRule="exact"/>
              <w:rPr>
                <w:rFonts w:ascii="仿宋" w:hAnsi="仿宋" w:eastAsia="仿宋" w:cs="仿宋"/>
                <w:sz w:val="24"/>
              </w:rPr>
            </w:pPr>
            <w:r>
              <w:rPr>
                <w:rFonts w:hint="eastAsia" w:ascii="仿宋" w:hAnsi="仿宋" w:eastAsia="仿宋" w:cs="仿宋"/>
                <w:sz w:val="24"/>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618" w:type="dxa"/>
            <w:vMerge w:val="restart"/>
            <w:noWrap w:val="0"/>
            <w:vAlign w:val="center"/>
          </w:tcPr>
          <w:p>
            <w:pPr>
              <w:spacing w:line="340" w:lineRule="exact"/>
              <w:jc w:val="center"/>
              <w:rPr>
                <w:rFonts w:ascii="仿宋_GB2312" w:eastAsia="仿宋_GB2312"/>
                <w:sz w:val="24"/>
              </w:rPr>
            </w:pPr>
            <w:r>
              <w:rPr>
                <w:rFonts w:hint="eastAsia" w:ascii="仿宋_GB2312" w:eastAsia="仿宋_GB2312"/>
                <w:sz w:val="24"/>
              </w:rPr>
              <w:t>顶层尺寸（</w:t>
            </w:r>
            <w:r>
              <w:rPr>
                <w:rFonts w:ascii="仿宋_GB2312" w:eastAsia="仿宋_GB2312"/>
                <w:sz w:val="24"/>
              </w:rPr>
              <w:t>OH</w:t>
            </w:r>
            <w:r>
              <w:rPr>
                <w:rFonts w:hint="eastAsia" w:ascii="仿宋_GB2312" w:eastAsia="仿宋_GB2312"/>
                <w:sz w:val="24"/>
              </w:rPr>
              <w:t>）</w:t>
            </w:r>
          </w:p>
        </w:tc>
        <w:tc>
          <w:tcPr>
            <w:tcW w:w="2859" w:type="dxa"/>
            <w:vMerge w:val="restart"/>
            <w:noWrap w:val="0"/>
            <w:vAlign w:val="center"/>
          </w:tcPr>
          <w:p>
            <w:pPr>
              <w:spacing w:line="340" w:lineRule="exact"/>
              <w:jc w:val="center"/>
              <w:rPr>
                <w:rFonts w:ascii="仿宋" w:hAnsi="仿宋" w:eastAsia="仿宋" w:cs="仿宋"/>
                <w:sz w:val="24"/>
              </w:rPr>
            </w:pPr>
            <w:r>
              <w:rPr>
                <w:rFonts w:hint="eastAsia" w:ascii="仿宋" w:hAnsi="仿宋" w:eastAsia="仿宋" w:cs="仿宋"/>
                <w:color w:val="000000"/>
                <w:szCs w:val="21"/>
              </w:rPr>
              <w:t>4600</w:t>
            </w:r>
          </w:p>
        </w:tc>
        <w:tc>
          <w:tcPr>
            <w:tcW w:w="530" w:type="dxa"/>
            <w:vMerge w:val="continue"/>
            <w:noWrap w:val="0"/>
            <w:vAlign w:val="top"/>
          </w:tcPr>
          <w:p>
            <w:pPr>
              <w:spacing w:line="340" w:lineRule="exact"/>
              <w:jc w:val="center"/>
              <w:rPr>
                <w:rFonts w:ascii="仿宋_GB2312" w:eastAsia="仿宋_GB2312"/>
                <w:sz w:val="24"/>
              </w:rPr>
            </w:pPr>
          </w:p>
        </w:tc>
        <w:tc>
          <w:tcPr>
            <w:tcW w:w="1237"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吊 顶</w:t>
            </w:r>
          </w:p>
        </w:tc>
        <w:tc>
          <w:tcPr>
            <w:tcW w:w="3475" w:type="dxa"/>
            <w:noWrap w:val="0"/>
            <w:vAlign w:val="center"/>
          </w:tcPr>
          <w:p>
            <w:pPr>
              <w:spacing w:line="280" w:lineRule="exact"/>
              <w:rPr>
                <w:rFonts w:ascii="仿宋" w:hAnsi="仿宋" w:eastAsia="仿宋" w:cs="仿宋"/>
                <w:sz w:val="24"/>
              </w:rPr>
            </w:pPr>
            <w:r>
              <w:rPr>
                <w:rFonts w:hint="eastAsia" w:ascii="仿宋" w:hAnsi="仿宋" w:eastAsia="仿宋" w:cs="仿宋"/>
                <w:sz w:val="24"/>
              </w:rPr>
              <w:t>与轿厢配套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618" w:type="dxa"/>
            <w:vMerge w:val="continue"/>
            <w:noWrap w:val="0"/>
            <w:vAlign w:val="center"/>
          </w:tcPr>
          <w:p>
            <w:pPr>
              <w:spacing w:line="340" w:lineRule="exact"/>
              <w:jc w:val="center"/>
              <w:rPr>
                <w:rFonts w:hint="eastAsia" w:ascii="仿宋_GB2312" w:eastAsia="仿宋_GB2312"/>
                <w:sz w:val="24"/>
              </w:rPr>
            </w:pPr>
          </w:p>
        </w:tc>
        <w:tc>
          <w:tcPr>
            <w:tcW w:w="2859" w:type="dxa"/>
            <w:vMerge w:val="continue"/>
            <w:noWrap w:val="0"/>
            <w:vAlign w:val="center"/>
          </w:tcPr>
          <w:p>
            <w:pPr>
              <w:spacing w:line="340" w:lineRule="exact"/>
              <w:jc w:val="center"/>
              <w:rPr>
                <w:rFonts w:hint="eastAsia" w:ascii="仿宋" w:hAnsi="仿宋" w:eastAsia="仿宋" w:cs="仿宋"/>
                <w:sz w:val="24"/>
              </w:rPr>
            </w:pPr>
          </w:p>
        </w:tc>
        <w:tc>
          <w:tcPr>
            <w:tcW w:w="530" w:type="dxa"/>
            <w:vMerge w:val="continue"/>
            <w:noWrap w:val="0"/>
            <w:vAlign w:val="top"/>
          </w:tcPr>
          <w:p>
            <w:pPr>
              <w:spacing w:line="340" w:lineRule="exact"/>
              <w:jc w:val="center"/>
              <w:rPr>
                <w:rFonts w:ascii="仿宋_GB2312" w:eastAsia="仿宋_GB2312"/>
                <w:sz w:val="24"/>
              </w:rPr>
            </w:pPr>
          </w:p>
        </w:tc>
        <w:tc>
          <w:tcPr>
            <w:tcW w:w="1237"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地 板</w:t>
            </w:r>
          </w:p>
        </w:tc>
        <w:tc>
          <w:tcPr>
            <w:tcW w:w="3475" w:type="dxa"/>
            <w:noWrap w:val="0"/>
            <w:vAlign w:val="center"/>
          </w:tcPr>
          <w:p>
            <w:pPr>
              <w:spacing w:line="280" w:lineRule="exact"/>
              <w:rPr>
                <w:rFonts w:ascii="仿宋" w:hAnsi="仿宋" w:eastAsia="仿宋" w:cs="仿宋"/>
                <w:sz w:val="24"/>
              </w:rPr>
            </w:pPr>
            <w:r>
              <w:rPr>
                <w:rFonts w:hint="eastAsia" w:ascii="仿宋" w:hAnsi="仿宋" w:eastAsia="仿宋" w:cs="仿宋"/>
                <w:sz w:val="24"/>
              </w:rPr>
              <w:t>PVC专用地板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2618"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开门方式</w:t>
            </w:r>
          </w:p>
        </w:tc>
        <w:tc>
          <w:tcPr>
            <w:tcW w:w="2859" w:type="dxa"/>
            <w:noWrap w:val="0"/>
            <w:vAlign w:val="center"/>
          </w:tcPr>
          <w:p>
            <w:pPr>
              <w:spacing w:line="340" w:lineRule="exact"/>
              <w:jc w:val="center"/>
              <w:rPr>
                <w:rFonts w:ascii="仿宋" w:hAnsi="仿宋" w:eastAsia="仿宋" w:cs="仿宋"/>
                <w:sz w:val="24"/>
              </w:rPr>
            </w:pPr>
            <w:r>
              <w:rPr>
                <w:rFonts w:hint="eastAsia" w:ascii="仿宋" w:hAnsi="仿宋" w:eastAsia="仿宋" w:cs="仿宋"/>
                <w:sz w:val="24"/>
              </w:rPr>
              <w:t>旁开</w:t>
            </w:r>
          </w:p>
        </w:tc>
        <w:tc>
          <w:tcPr>
            <w:tcW w:w="530" w:type="dxa"/>
            <w:vMerge w:val="continue"/>
            <w:noWrap w:val="0"/>
            <w:vAlign w:val="top"/>
          </w:tcPr>
          <w:p>
            <w:pPr>
              <w:spacing w:line="340" w:lineRule="exact"/>
              <w:jc w:val="center"/>
              <w:rPr>
                <w:rFonts w:ascii="仿宋_GB2312" w:eastAsia="仿宋_GB2312"/>
                <w:sz w:val="24"/>
              </w:rPr>
            </w:pPr>
          </w:p>
        </w:tc>
        <w:tc>
          <w:tcPr>
            <w:tcW w:w="1237" w:type="dxa"/>
            <w:vMerge w:val="restart"/>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开门机</w:t>
            </w:r>
          </w:p>
        </w:tc>
        <w:tc>
          <w:tcPr>
            <w:tcW w:w="3475" w:type="dxa"/>
            <w:vMerge w:val="restart"/>
            <w:noWrap w:val="0"/>
            <w:vAlign w:val="center"/>
          </w:tcPr>
          <w:p>
            <w:pPr>
              <w:spacing w:line="340" w:lineRule="exact"/>
              <w:rPr>
                <w:rFonts w:hint="eastAsia" w:ascii="仿宋" w:hAnsi="仿宋" w:eastAsia="仿宋" w:cs="仿宋"/>
                <w:sz w:val="24"/>
              </w:rPr>
            </w:pPr>
            <w:r>
              <w:rPr>
                <w:rFonts w:hint="eastAsia" w:ascii="仿宋" w:hAnsi="仿宋" w:eastAsia="仿宋" w:cs="仿宋"/>
                <w:sz w:val="24"/>
              </w:rPr>
              <w:t>门机：VVVF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618"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电源电压</w:t>
            </w:r>
          </w:p>
        </w:tc>
        <w:tc>
          <w:tcPr>
            <w:tcW w:w="2859"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AC380/50HZ</w:t>
            </w:r>
          </w:p>
        </w:tc>
        <w:tc>
          <w:tcPr>
            <w:tcW w:w="530" w:type="dxa"/>
            <w:vMerge w:val="continue"/>
            <w:noWrap w:val="0"/>
            <w:vAlign w:val="top"/>
          </w:tcPr>
          <w:p>
            <w:pPr>
              <w:spacing w:line="340" w:lineRule="exact"/>
              <w:jc w:val="center"/>
              <w:rPr>
                <w:rFonts w:ascii="仿宋_GB2312" w:eastAsia="仿宋_GB2312"/>
                <w:sz w:val="24"/>
              </w:rPr>
            </w:pPr>
          </w:p>
        </w:tc>
        <w:tc>
          <w:tcPr>
            <w:tcW w:w="1237" w:type="dxa"/>
            <w:vMerge w:val="continue"/>
            <w:noWrap w:val="0"/>
            <w:vAlign w:val="center"/>
          </w:tcPr>
          <w:p>
            <w:pPr>
              <w:spacing w:line="340" w:lineRule="exact"/>
              <w:rPr>
                <w:rFonts w:hint="eastAsia" w:ascii="仿宋" w:hAnsi="仿宋" w:eastAsia="仿宋" w:cs="仿宋"/>
                <w:sz w:val="24"/>
              </w:rPr>
            </w:pPr>
          </w:p>
        </w:tc>
        <w:tc>
          <w:tcPr>
            <w:tcW w:w="3475" w:type="dxa"/>
            <w:vMerge w:val="continue"/>
            <w:noWrap w:val="0"/>
            <w:vAlign w:val="center"/>
          </w:tcPr>
          <w:p>
            <w:pPr>
              <w:spacing w:line="3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18" w:type="dxa"/>
            <w:noWrap w:val="0"/>
            <w:vAlign w:val="center"/>
          </w:tcPr>
          <w:p>
            <w:pPr>
              <w:spacing w:line="340" w:lineRule="exact"/>
              <w:jc w:val="center"/>
              <w:rPr>
                <w:rFonts w:ascii="仿宋_GB2312" w:eastAsia="仿宋_GB2312"/>
                <w:sz w:val="24"/>
              </w:rPr>
            </w:pPr>
            <w:r>
              <w:rPr>
                <w:rFonts w:hint="eastAsia" w:ascii="仿宋_GB2312" w:eastAsia="仿宋_GB2312"/>
                <w:sz w:val="24"/>
              </w:rPr>
              <w:t>厅门尺寸（宽×高）</w:t>
            </w:r>
          </w:p>
        </w:tc>
        <w:tc>
          <w:tcPr>
            <w:tcW w:w="2859" w:type="dxa"/>
            <w:noWrap w:val="0"/>
            <w:vAlign w:val="center"/>
          </w:tcPr>
          <w:p>
            <w:pPr>
              <w:spacing w:line="340" w:lineRule="exact"/>
              <w:jc w:val="center"/>
              <w:rPr>
                <w:rFonts w:ascii="仿宋" w:hAnsi="仿宋" w:eastAsia="仿宋" w:cs="仿宋"/>
                <w:sz w:val="24"/>
              </w:rPr>
            </w:pPr>
            <w:r>
              <w:rPr>
                <w:rFonts w:hint="eastAsia" w:ascii="仿宋" w:hAnsi="仿宋" w:eastAsia="仿宋" w:cs="仿宋"/>
                <w:sz w:val="24"/>
              </w:rPr>
              <w:t>依井道实际勘测数据为准</w:t>
            </w:r>
          </w:p>
        </w:tc>
        <w:tc>
          <w:tcPr>
            <w:tcW w:w="530" w:type="dxa"/>
            <w:vMerge w:val="continue"/>
            <w:noWrap w:val="0"/>
            <w:vAlign w:val="top"/>
          </w:tcPr>
          <w:p>
            <w:pPr>
              <w:spacing w:line="340" w:lineRule="exact"/>
              <w:jc w:val="center"/>
              <w:rPr>
                <w:rFonts w:ascii="仿宋_GB2312" w:eastAsia="仿宋_GB2312"/>
                <w:sz w:val="24"/>
              </w:rPr>
            </w:pPr>
          </w:p>
        </w:tc>
        <w:tc>
          <w:tcPr>
            <w:tcW w:w="1237" w:type="dxa"/>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层 门</w:t>
            </w:r>
          </w:p>
          <w:p>
            <w:pPr>
              <w:spacing w:line="340" w:lineRule="exact"/>
              <w:jc w:val="center"/>
              <w:rPr>
                <w:rFonts w:hint="eastAsia" w:ascii="仿宋" w:hAnsi="仿宋" w:eastAsia="仿宋" w:cs="仿宋"/>
                <w:sz w:val="24"/>
              </w:rPr>
            </w:pPr>
            <w:r>
              <w:rPr>
                <w:rFonts w:hint="eastAsia" w:ascii="仿宋" w:hAnsi="仿宋" w:eastAsia="仿宋" w:cs="仿宋"/>
                <w:sz w:val="24"/>
              </w:rPr>
              <w:t>装 置</w:t>
            </w:r>
          </w:p>
        </w:tc>
        <w:tc>
          <w:tcPr>
            <w:tcW w:w="3475" w:type="dxa"/>
            <w:noWrap w:val="0"/>
            <w:vAlign w:val="center"/>
          </w:tcPr>
          <w:p>
            <w:pPr>
              <w:spacing w:line="340" w:lineRule="exact"/>
              <w:rPr>
                <w:rFonts w:hint="eastAsia" w:ascii="仿宋" w:hAnsi="仿宋" w:eastAsia="仿宋" w:cs="仿宋"/>
                <w:sz w:val="24"/>
              </w:rPr>
            </w:pPr>
            <w:r>
              <w:rPr>
                <w:rFonts w:hint="eastAsia" w:ascii="仿宋" w:hAnsi="仿宋" w:eastAsia="仿宋" w:cs="仿宋"/>
                <w:sz w:val="24"/>
              </w:rPr>
              <w:t>型号：与门机配套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618" w:type="dxa"/>
            <w:noWrap w:val="0"/>
            <w:vAlign w:val="center"/>
          </w:tcPr>
          <w:p>
            <w:pPr>
              <w:spacing w:line="340" w:lineRule="exact"/>
              <w:jc w:val="center"/>
              <w:rPr>
                <w:rFonts w:hint="eastAsia" w:ascii="仿宋_GB2312" w:eastAsia="仿宋_GB2312"/>
                <w:sz w:val="24"/>
              </w:rPr>
            </w:pPr>
            <w:r>
              <w:rPr>
                <w:rFonts w:hint="eastAsia" w:ascii="仿宋_GB2312" w:eastAsia="仿宋_GB2312"/>
                <w:sz w:val="24"/>
              </w:rPr>
              <w:t>轿厢尺寸（宽×深）</w:t>
            </w:r>
          </w:p>
        </w:tc>
        <w:tc>
          <w:tcPr>
            <w:tcW w:w="2859" w:type="dxa"/>
            <w:noWrap w:val="0"/>
            <w:vAlign w:val="center"/>
          </w:tcPr>
          <w:p>
            <w:pPr>
              <w:spacing w:line="340" w:lineRule="exact"/>
              <w:jc w:val="center"/>
              <w:rPr>
                <w:rFonts w:ascii="仿宋" w:hAnsi="仿宋" w:eastAsia="仿宋" w:cs="仿宋"/>
                <w:sz w:val="24"/>
              </w:rPr>
            </w:pPr>
            <w:r>
              <w:rPr>
                <w:rFonts w:hint="eastAsia" w:ascii="仿宋" w:hAnsi="仿宋" w:eastAsia="仿宋" w:cs="仿宋"/>
                <w:sz w:val="24"/>
              </w:rPr>
              <w:t>依井道实际勘测数据为准</w:t>
            </w:r>
          </w:p>
        </w:tc>
        <w:tc>
          <w:tcPr>
            <w:tcW w:w="530" w:type="dxa"/>
            <w:vMerge w:val="continue"/>
            <w:noWrap w:val="0"/>
            <w:vAlign w:val="top"/>
          </w:tcPr>
          <w:p>
            <w:pPr>
              <w:spacing w:line="340" w:lineRule="exact"/>
              <w:jc w:val="center"/>
              <w:rPr>
                <w:rFonts w:ascii="仿宋_GB2312" w:eastAsia="仿宋_GB2312"/>
                <w:sz w:val="24"/>
              </w:rPr>
            </w:pPr>
          </w:p>
        </w:tc>
        <w:tc>
          <w:tcPr>
            <w:tcW w:w="1237" w:type="dxa"/>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操作盘</w:t>
            </w:r>
          </w:p>
        </w:tc>
        <w:tc>
          <w:tcPr>
            <w:tcW w:w="3475" w:type="dxa"/>
            <w:noWrap w:val="0"/>
            <w:vAlign w:val="center"/>
          </w:tcPr>
          <w:p>
            <w:pPr>
              <w:spacing w:line="340" w:lineRule="exact"/>
              <w:rPr>
                <w:rFonts w:hint="eastAsia" w:ascii="仿宋" w:hAnsi="仿宋" w:eastAsia="仿宋" w:cs="仿宋"/>
                <w:sz w:val="24"/>
              </w:rPr>
            </w:pPr>
            <w:r>
              <w:rPr>
                <w:rFonts w:hint="eastAsia" w:ascii="仿宋" w:hAnsi="仿宋" w:eastAsia="仿宋" w:cs="仿宋"/>
                <w:sz w:val="24"/>
              </w:rPr>
              <w:t>(面板：发纹不锈钢)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719" w:type="dxa"/>
            <w:gridSpan w:val="5"/>
            <w:noWrap w:val="0"/>
            <w:vAlign w:val="center"/>
          </w:tcPr>
          <w:p>
            <w:pPr>
              <w:spacing w:line="340" w:lineRule="exact"/>
              <w:ind w:firstLine="240" w:firstLineChars="100"/>
              <w:rPr>
                <w:rFonts w:ascii="仿宋" w:hAnsi="仿宋" w:eastAsia="仿宋" w:cs="仿宋"/>
                <w:sz w:val="24"/>
              </w:rPr>
            </w:pPr>
            <w:r>
              <w:rPr>
                <w:rFonts w:hint="eastAsia" w:ascii="仿宋_GB2312" w:eastAsia="仿宋_GB2312"/>
                <w:sz w:val="24"/>
              </w:rPr>
              <w:t>备注：1、</w:t>
            </w:r>
            <w:r>
              <w:rPr>
                <w:rFonts w:hint="eastAsia" w:ascii="仿宋" w:hAnsi="仿宋" w:eastAsia="仿宋" w:cs="仿宋"/>
                <w:color w:val="000000"/>
                <w:spacing w:val="-10"/>
                <w:sz w:val="24"/>
              </w:rPr>
              <w:t>7寸彩色液晶器。2、语音报站。3、残疾人操纵盘。4、3根扶手。5、视频电缆。6、冷空调。</w:t>
            </w:r>
          </w:p>
        </w:tc>
      </w:tr>
    </w:tbl>
    <w:p>
      <w:pPr>
        <w:rPr>
          <w:rFonts w:hint="eastAsia" w:ascii="仿宋_GB2312" w:eastAsia="仿宋_GB2312"/>
          <w:sz w:val="24"/>
        </w:rPr>
      </w:pPr>
    </w:p>
    <w:p>
      <w:pPr>
        <w:spacing w:line="360" w:lineRule="auto"/>
        <w:rPr>
          <w:rFonts w:hint="eastAsia" w:ascii="仿宋" w:hAnsi="仿宋" w:eastAsia="仿宋" w:cs="仿宋"/>
          <w:b/>
          <w:sz w:val="24"/>
          <w:szCs w:val="24"/>
        </w:rPr>
      </w:pPr>
    </w:p>
    <w:p>
      <w:pPr>
        <w:spacing w:line="360" w:lineRule="auto"/>
        <w:rPr>
          <w:rFonts w:hint="eastAsia" w:ascii="仿宋" w:hAnsi="仿宋" w:eastAsia="仿宋" w:cs="仿宋"/>
          <w:b/>
          <w:sz w:val="24"/>
          <w:szCs w:val="24"/>
        </w:rPr>
      </w:pPr>
    </w:p>
    <w:p>
      <w:pPr>
        <w:spacing w:line="360" w:lineRule="auto"/>
        <w:ind w:left="1205" w:hanging="1205" w:hangingChars="500"/>
        <w:jc w:val="left"/>
        <w:rPr>
          <w:rFonts w:hint="eastAsia" w:ascii="仿宋" w:hAnsi="仿宋" w:eastAsia="仿宋" w:cs="仿宋"/>
          <w:b/>
          <w:bCs/>
          <w:sz w:val="24"/>
          <w:szCs w:val="24"/>
        </w:rPr>
      </w:pPr>
      <w:r>
        <w:rPr>
          <w:rFonts w:hint="eastAsia" w:ascii="仿宋" w:hAnsi="仿宋" w:eastAsia="仿宋" w:cs="仿宋"/>
          <w:b/>
          <w:bCs/>
          <w:sz w:val="24"/>
          <w:szCs w:val="24"/>
        </w:rPr>
        <w:t>小机房医用电梯配置清单(一体化-M)</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25"/>
        <w:gridCol w:w="1507"/>
        <w:gridCol w:w="2061"/>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95"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序号</w:t>
            </w:r>
          </w:p>
        </w:tc>
        <w:tc>
          <w:tcPr>
            <w:tcW w:w="2632" w:type="dxa"/>
            <w:gridSpan w:val="2"/>
            <w:noWrap w:val="0"/>
            <w:vAlign w:val="center"/>
          </w:tcPr>
          <w:p>
            <w:pPr>
              <w:spacing w:line="300" w:lineRule="exact"/>
              <w:jc w:val="center"/>
              <w:rPr>
                <w:rFonts w:hint="eastAsia" w:ascii="仿宋" w:hAnsi="仿宋" w:eastAsia="仿宋" w:cs="仿宋"/>
              </w:rPr>
            </w:pPr>
            <w:r>
              <w:rPr>
                <w:rFonts w:hint="eastAsia" w:ascii="仿宋" w:hAnsi="仿宋" w:eastAsia="仿宋" w:cs="仿宋"/>
              </w:rPr>
              <w:t>零 部 件 名 称</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型 号 规 格</w:t>
            </w:r>
          </w:p>
        </w:tc>
        <w:tc>
          <w:tcPr>
            <w:tcW w:w="2683" w:type="dxa"/>
            <w:noWrap w:val="0"/>
            <w:vAlign w:val="center"/>
          </w:tcPr>
          <w:p>
            <w:pPr>
              <w:spacing w:line="300" w:lineRule="exact"/>
              <w:jc w:val="center"/>
              <w:rPr>
                <w:rFonts w:hint="eastAsia" w:ascii="仿宋" w:hAnsi="仿宋" w:eastAsia="仿宋" w:cs="仿宋"/>
              </w:rPr>
            </w:pPr>
            <w:bookmarkStart w:id="92" w:name="_GoBack"/>
            <w:bookmarkEnd w:id="92"/>
            <w:r>
              <w:rPr>
                <w:rFonts w:hint="eastAsia" w:ascii="仿宋" w:hAnsi="仿宋" w:eastAsia="仿宋" w:cs="仿宋"/>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9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1</w:t>
            </w:r>
          </w:p>
        </w:tc>
        <w:tc>
          <w:tcPr>
            <w:tcW w:w="112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曳引系统</w:t>
            </w: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曳引机</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CLWY</w:t>
            </w:r>
          </w:p>
        </w:tc>
        <w:tc>
          <w:tcPr>
            <w:tcW w:w="2683"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军工技术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绳头组合</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XLG</w:t>
            </w:r>
          </w:p>
        </w:tc>
        <w:tc>
          <w:tcPr>
            <w:tcW w:w="2683" w:type="dxa"/>
            <w:noWrap w:val="0"/>
            <w:vAlign w:val="center"/>
          </w:tcPr>
          <w:p>
            <w:pPr>
              <w:spacing w:line="3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49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2</w:t>
            </w:r>
          </w:p>
        </w:tc>
        <w:tc>
          <w:tcPr>
            <w:tcW w:w="112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控制</w:t>
            </w:r>
          </w:p>
          <w:p>
            <w:pPr>
              <w:spacing w:line="300" w:lineRule="exact"/>
              <w:jc w:val="center"/>
              <w:rPr>
                <w:rFonts w:hint="eastAsia" w:ascii="仿宋" w:hAnsi="仿宋" w:eastAsia="仿宋" w:cs="仿宋"/>
              </w:rPr>
            </w:pPr>
            <w:r>
              <w:rPr>
                <w:rFonts w:hint="eastAsia" w:ascii="仿宋" w:hAnsi="仿宋" w:eastAsia="仿宋" w:cs="仿宋"/>
              </w:rPr>
              <w:t>系统</w:t>
            </w:r>
          </w:p>
          <w:p>
            <w:pPr>
              <w:spacing w:line="300" w:lineRule="exact"/>
              <w:jc w:val="center"/>
              <w:rPr>
                <w:rFonts w:hint="eastAsia" w:ascii="仿宋" w:hAnsi="仿宋" w:eastAsia="仿宋" w:cs="仿宋"/>
              </w:rPr>
            </w:pPr>
            <w:r>
              <w:rPr>
                <w:rFonts w:hint="eastAsia" w:ascii="仿宋" w:hAnsi="仿宋" w:eastAsia="仿宋" w:cs="仿宋"/>
              </w:rPr>
              <w:t>HT13H</w:t>
            </w: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驱动控制器</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CL-G01/M</w:t>
            </w:r>
          </w:p>
        </w:tc>
        <w:tc>
          <w:tcPr>
            <w:tcW w:w="2683"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军工技术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轿厢控制板</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CL-J01/M</w:t>
            </w:r>
          </w:p>
        </w:tc>
        <w:tc>
          <w:tcPr>
            <w:tcW w:w="2683"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军工技术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轿厢指令板</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CL-J02/M</w:t>
            </w:r>
          </w:p>
        </w:tc>
        <w:tc>
          <w:tcPr>
            <w:tcW w:w="2683"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军工技术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240" w:lineRule="exact"/>
              <w:jc w:val="center"/>
              <w:rPr>
                <w:rFonts w:hint="eastAsia" w:ascii="仿宋" w:hAnsi="仿宋" w:eastAsia="仿宋" w:cs="仿宋"/>
              </w:rPr>
            </w:pPr>
            <w:r>
              <w:rPr>
                <w:rFonts w:hint="eastAsia" w:ascii="仿宋" w:hAnsi="仿宋" w:eastAsia="仿宋" w:cs="仿宋"/>
              </w:rPr>
              <w:t>召唤显示板</w:t>
            </w:r>
          </w:p>
        </w:tc>
        <w:tc>
          <w:tcPr>
            <w:tcW w:w="2061" w:type="dxa"/>
            <w:noWrap w:val="0"/>
            <w:vAlign w:val="center"/>
          </w:tcPr>
          <w:p>
            <w:pPr>
              <w:spacing w:line="240" w:lineRule="exact"/>
              <w:jc w:val="center"/>
              <w:rPr>
                <w:rFonts w:hint="eastAsia" w:ascii="仿宋" w:hAnsi="仿宋" w:eastAsia="仿宋" w:cs="仿宋"/>
              </w:rPr>
            </w:pPr>
            <w:r>
              <w:rPr>
                <w:rFonts w:hint="eastAsia" w:ascii="仿宋" w:hAnsi="仿宋" w:eastAsia="仿宋" w:cs="仿宋"/>
              </w:rPr>
              <w:t>CL-T01/M</w:t>
            </w:r>
          </w:p>
        </w:tc>
        <w:tc>
          <w:tcPr>
            <w:tcW w:w="2683" w:type="dxa"/>
            <w:noWrap w:val="0"/>
            <w:vAlign w:val="top"/>
          </w:tcPr>
          <w:p>
            <w:pPr>
              <w:spacing w:line="240" w:lineRule="exact"/>
              <w:jc w:val="center"/>
              <w:rPr>
                <w:rFonts w:hint="eastAsia" w:ascii="仿宋" w:hAnsi="仿宋" w:eastAsia="仿宋" w:cs="仿宋"/>
              </w:rPr>
            </w:pPr>
            <w:r>
              <w:rPr>
                <w:rFonts w:hint="eastAsia" w:ascii="仿宋" w:hAnsi="仿宋" w:eastAsia="仿宋" w:cs="仿宋"/>
              </w:rPr>
              <w:t>军工技术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电缆</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C00、R01、R02、R03</w:t>
            </w:r>
          </w:p>
        </w:tc>
        <w:tc>
          <w:tcPr>
            <w:tcW w:w="2683" w:type="dxa"/>
            <w:noWrap w:val="0"/>
            <w:vAlign w:val="center"/>
          </w:tcPr>
          <w:p>
            <w:pPr>
              <w:widowControl/>
              <w:spacing w:line="300" w:lineRule="exact"/>
              <w:jc w:val="center"/>
              <w:rPr>
                <w:rFonts w:hint="eastAsia" w:ascii="仿宋" w:hAnsi="仿宋" w:eastAsia="仿宋" w:cs="仿宋"/>
              </w:rPr>
            </w:pPr>
            <w:r>
              <w:rPr>
                <w:rFonts w:hint="eastAsia" w:ascii="仿宋" w:hAnsi="仿宋" w:eastAsia="仿宋" w:cs="仿宋"/>
              </w:rPr>
              <w:t>军工技术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旋转编码器</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1387</w:t>
            </w:r>
          </w:p>
        </w:tc>
        <w:tc>
          <w:tcPr>
            <w:tcW w:w="268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变压器</w:t>
            </w:r>
          </w:p>
        </w:tc>
        <w:tc>
          <w:tcPr>
            <w:tcW w:w="2061" w:type="dxa"/>
            <w:noWrap w:val="0"/>
            <w:vAlign w:val="center"/>
          </w:tcPr>
          <w:p>
            <w:pPr>
              <w:spacing w:line="300" w:lineRule="exact"/>
              <w:jc w:val="center"/>
              <w:rPr>
                <w:rFonts w:hint="eastAsia" w:ascii="仿宋" w:hAnsi="仿宋" w:eastAsia="仿宋" w:cs="仿宋"/>
              </w:rPr>
            </w:pPr>
          </w:p>
        </w:tc>
        <w:tc>
          <w:tcPr>
            <w:tcW w:w="2683" w:type="dxa"/>
            <w:noWrap w:val="0"/>
            <w:vAlign w:val="center"/>
          </w:tcPr>
          <w:p>
            <w:pPr>
              <w:spacing w:line="3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开关电源</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LRS-100-24</w:t>
            </w:r>
          </w:p>
        </w:tc>
        <w:tc>
          <w:tcPr>
            <w:tcW w:w="2683" w:type="dxa"/>
            <w:noWrap w:val="0"/>
            <w:vAlign w:val="center"/>
          </w:tcPr>
          <w:p>
            <w:pPr>
              <w:spacing w:line="3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端子</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WAGO</w:t>
            </w:r>
          </w:p>
        </w:tc>
        <w:tc>
          <w:tcPr>
            <w:tcW w:w="268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德国品牌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9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3</w:t>
            </w:r>
          </w:p>
        </w:tc>
        <w:tc>
          <w:tcPr>
            <w:tcW w:w="112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门系统</w:t>
            </w: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变频开门机</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CL-MJ</w:t>
            </w:r>
          </w:p>
        </w:tc>
        <w:tc>
          <w:tcPr>
            <w:tcW w:w="2683"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军工技术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层门装置</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CL-CM</w:t>
            </w:r>
          </w:p>
        </w:tc>
        <w:tc>
          <w:tcPr>
            <w:tcW w:w="2683"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军工技术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轿门</w:t>
            </w:r>
          </w:p>
        </w:tc>
        <w:tc>
          <w:tcPr>
            <w:tcW w:w="2061" w:type="dxa"/>
            <w:noWrap w:val="0"/>
            <w:vAlign w:val="center"/>
          </w:tcPr>
          <w:p>
            <w:pPr>
              <w:spacing w:line="300" w:lineRule="exact"/>
              <w:jc w:val="center"/>
              <w:rPr>
                <w:rFonts w:hint="eastAsia" w:ascii="仿宋" w:hAnsi="仿宋" w:eastAsia="仿宋" w:cs="仿宋"/>
              </w:rPr>
            </w:pPr>
          </w:p>
        </w:tc>
        <w:tc>
          <w:tcPr>
            <w:tcW w:w="2683"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军工技术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厅门</w:t>
            </w:r>
          </w:p>
        </w:tc>
        <w:tc>
          <w:tcPr>
            <w:tcW w:w="2061" w:type="dxa"/>
            <w:noWrap w:val="0"/>
            <w:vAlign w:val="center"/>
          </w:tcPr>
          <w:p>
            <w:pPr>
              <w:spacing w:line="300" w:lineRule="exact"/>
              <w:jc w:val="center"/>
              <w:rPr>
                <w:rFonts w:hint="eastAsia" w:ascii="仿宋" w:hAnsi="仿宋" w:eastAsia="仿宋" w:cs="仿宋"/>
              </w:rPr>
            </w:pPr>
          </w:p>
        </w:tc>
        <w:tc>
          <w:tcPr>
            <w:tcW w:w="2683"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军工技术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9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4</w:t>
            </w:r>
          </w:p>
        </w:tc>
        <w:tc>
          <w:tcPr>
            <w:tcW w:w="112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安全系统</w:t>
            </w: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安全钳</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LSG</w:t>
            </w:r>
          </w:p>
        </w:tc>
        <w:tc>
          <w:tcPr>
            <w:tcW w:w="2683" w:type="dxa"/>
            <w:noWrap w:val="0"/>
            <w:vAlign w:val="center"/>
          </w:tcPr>
          <w:p>
            <w:pPr>
              <w:spacing w:line="3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限速器</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LOG</w:t>
            </w:r>
          </w:p>
        </w:tc>
        <w:tc>
          <w:tcPr>
            <w:tcW w:w="2683" w:type="dxa"/>
            <w:noWrap w:val="0"/>
            <w:vAlign w:val="center"/>
          </w:tcPr>
          <w:p>
            <w:pPr>
              <w:spacing w:line="3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缓冲器</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YHN</w:t>
            </w:r>
          </w:p>
        </w:tc>
        <w:tc>
          <w:tcPr>
            <w:tcW w:w="2683" w:type="dxa"/>
            <w:noWrap w:val="0"/>
            <w:vAlign w:val="center"/>
          </w:tcPr>
          <w:p>
            <w:pPr>
              <w:widowControl/>
              <w:spacing w:line="300" w:lineRule="exact"/>
              <w:jc w:val="center"/>
              <w:rPr>
                <w:rFonts w:hint="eastAsia" w:ascii="仿宋" w:hAnsi="仿宋" w:eastAsia="仿宋" w:cs="仿宋"/>
              </w:rPr>
            </w:pPr>
            <w:r>
              <w:rPr>
                <w:rFonts w:hint="eastAsia" w:ascii="仿宋" w:hAnsi="仿宋" w:eastAsia="仿宋" w:cs="仿宋"/>
              </w:rPr>
              <w:t xml:space="preserve">梯速V＞1.0m/s用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vMerge w:val="continue"/>
            <w:noWrap w:val="0"/>
            <w:vAlign w:val="center"/>
          </w:tcPr>
          <w:p>
            <w:pPr>
              <w:spacing w:line="300" w:lineRule="exact"/>
              <w:jc w:val="center"/>
              <w:rPr>
                <w:rFonts w:hint="eastAsia" w:ascii="仿宋" w:hAnsi="仿宋" w:eastAsia="仿宋" w:cs="仿宋"/>
              </w:rPr>
            </w:pP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ZDQ</w:t>
            </w:r>
          </w:p>
        </w:tc>
        <w:tc>
          <w:tcPr>
            <w:tcW w:w="2683" w:type="dxa"/>
            <w:noWrap w:val="0"/>
            <w:vAlign w:val="center"/>
          </w:tcPr>
          <w:p>
            <w:pPr>
              <w:widowControl/>
              <w:spacing w:line="300" w:lineRule="exact"/>
              <w:jc w:val="center"/>
              <w:rPr>
                <w:rFonts w:hint="eastAsia" w:ascii="仿宋" w:hAnsi="仿宋" w:eastAsia="仿宋" w:cs="仿宋"/>
              </w:rPr>
            </w:pPr>
            <w:r>
              <w:rPr>
                <w:rFonts w:hint="eastAsia" w:ascii="仿宋" w:hAnsi="仿宋" w:eastAsia="仿宋" w:cs="仿宋"/>
              </w:rPr>
              <w:t>梯速V＝1.0m/s用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9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5</w:t>
            </w:r>
          </w:p>
        </w:tc>
        <w:tc>
          <w:tcPr>
            <w:tcW w:w="112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召唤操纵系统</w:t>
            </w: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操纵盘</w:t>
            </w:r>
          </w:p>
        </w:tc>
        <w:tc>
          <w:tcPr>
            <w:tcW w:w="2061" w:type="dxa"/>
            <w:noWrap w:val="0"/>
            <w:vAlign w:val="center"/>
          </w:tcPr>
          <w:p>
            <w:pPr>
              <w:spacing w:line="300" w:lineRule="exact"/>
              <w:jc w:val="center"/>
              <w:rPr>
                <w:rFonts w:hint="eastAsia" w:ascii="仿宋" w:hAnsi="仿宋" w:eastAsia="仿宋" w:cs="仿宋"/>
              </w:rPr>
            </w:pPr>
          </w:p>
        </w:tc>
        <w:tc>
          <w:tcPr>
            <w:tcW w:w="2683"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军工技术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atLeast"/>
              <w:jc w:val="center"/>
              <w:rPr>
                <w:rFonts w:hint="eastAsia" w:ascii="仿宋" w:hAnsi="仿宋" w:eastAsia="仿宋" w:cs="仿宋"/>
              </w:rPr>
            </w:pPr>
            <w:r>
              <w:rPr>
                <w:rFonts w:hint="eastAsia" w:ascii="仿宋" w:hAnsi="仿宋" w:eastAsia="仿宋" w:cs="仿宋"/>
              </w:rPr>
              <w:t>外召盒</w:t>
            </w:r>
          </w:p>
        </w:tc>
        <w:tc>
          <w:tcPr>
            <w:tcW w:w="2061" w:type="dxa"/>
            <w:noWrap w:val="0"/>
            <w:vAlign w:val="center"/>
          </w:tcPr>
          <w:p>
            <w:pPr>
              <w:spacing w:line="300" w:lineRule="exact"/>
              <w:jc w:val="center"/>
              <w:rPr>
                <w:rFonts w:hint="eastAsia" w:ascii="仿宋" w:hAnsi="仿宋" w:eastAsia="仿宋" w:cs="仿宋"/>
              </w:rPr>
            </w:pPr>
          </w:p>
        </w:tc>
        <w:tc>
          <w:tcPr>
            <w:tcW w:w="2683"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军工技术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9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6</w:t>
            </w:r>
          </w:p>
        </w:tc>
        <w:tc>
          <w:tcPr>
            <w:tcW w:w="112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轿厢系统</w:t>
            </w: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轿厢部件</w:t>
            </w:r>
          </w:p>
        </w:tc>
        <w:tc>
          <w:tcPr>
            <w:tcW w:w="2061" w:type="dxa"/>
            <w:noWrap w:val="0"/>
            <w:vAlign w:val="center"/>
          </w:tcPr>
          <w:p>
            <w:pPr>
              <w:spacing w:line="300" w:lineRule="exact"/>
              <w:jc w:val="center"/>
              <w:rPr>
                <w:rFonts w:hint="eastAsia" w:ascii="仿宋" w:hAnsi="仿宋" w:eastAsia="仿宋" w:cs="仿宋"/>
              </w:rPr>
            </w:pPr>
          </w:p>
        </w:tc>
        <w:tc>
          <w:tcPr>
            <w:tcW w:w="2683"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军工技术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轿架部件</w:t>
            </w:r>
          </w:p>
        </w:tc>
        <w:tc>
          <w:tcPr>
            <w:tcW w:w="2061" w:type="dxa"/>
            <w:noWrap w:val="0"/>
            <w:vAlign w:val="center"/>
          </w:tcPr>
          <w:p>
            <w:pPr>
              <w:spacing w:line="300" w:lineRule="exact"/>
              <w:jc w:val="center"/>
              <w:rPr>
                <w:rFonts w:hint="eastAsia" w:ascii="仿宋" w:hAnsi="仿宋" w:eastAsia="仿宋" w:cs="仿宋"/>
              </w:rPr>
            </w:pPr>
          </w:p>
        </w:tc>
        <w:tc>
          <w:tcPr>
            <w:tcW w:w="2683"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军工技术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9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7</w:t>
            </w:r>
          </w:p>
        </w:tc>
        <w:tc>
          <w:tcPr>
            <w:tcW w:w="112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导向系统</w:t>
            </w: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轿厢导轨</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T90/B；T114/B</w:t>
            </w:r>
          </w:p>
        </w:tc>
        <w:tc>
          <w:tcPr>
            <w:tcW w:w="2683" w:type="dxa"/>
            <w:vMerge w:val="restart"/>
            <w:noWrap w:val="0"/>
            <w:vAlign w:val="center"/>
          </w:tcPr>
          <w:p>
            <w:pPr>
              <w:spacing w:line="300" w:lineRule="exact"/>
              <w:jc w:val="left"/>
              <w:rPr>
                <w:rFonts w:hint="eastAsia" w:ascii="仿宋" w:hAnsi="仿宋" w:eastAsia="仿宋" w:cs="仿宋"/>
              </w:rPr>
            </w:pPr>
            <w:r>
              <w:rPr>
                <w:rFonts w:hint="eastAsia" w:ascii="仿宋" w:hAnsi="仿宋" w:eastAsia="仿宋" w:cs="仿宋"/>
                <w:sz w:val="18"/>
                <w:szCs w:val="18"/>
              </w:rPr>
              <w:t>导轨型号根据载重、速度规格选配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95" w:type="dxa"/>
            <w:vMerge w:val="continue"/>
            <w:noWrap w:val="0"/>
            <w:vAlign w:val="center"/>
          </w:tcPr>
          <w:p>
            <w:pPr>
              <w:spacing w:line="300" w:lineRule="exact"/>
              <w:jc w:val="center"/>
              <w:rPr>
                <w:rFonts w:hint="eastAsia" w:ascii="仿宋" w:hAnsi="仿宋" w:eastAsia="仿宋" w:cs="仿宋"/>
              </w:rPr>
            </w:pPr>
          </w:p>
        </w:tc>
        <w:tc>
          <w:tcPr>
            <w:tcW w:w="1125" w:type="dxa"/>
            <w:vMerge w:val="continue"/>
            <w:noWrap w:val="0"/>
            <w:vAlign w:val="center"/>
          </w:tcPr>
          <w:p>
            <w:pPr>
              <w:spacing w:line="300" w:lineRule="exact"/>
              <w:jc w:val="center"/>
              <w:rPr>
                <w:rFonts w:hint="eastAsia" w:ascii="仿宋" w:hAnsi="仿宋" w:eastAsia="仿宋" w:cs="仿宋"/>
              </w:rPr>
            </w:pPr>
          </w:p>
        </w:tc>
        <w:tc>
          <w:tcPr>
            <w:tcW w:w="150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对重导轨</w:t>
            </w:r>
          </w:p>
        </w:tc>
        <w:tc>
          <w:tcPr>
            <w:tcW w:w="206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TK5A</w:t>
            </w:r>
          </w:p>
        </w:tc>
        <w:tc>
          <w:tcPr>
            <w:tcW w:w="2683" w:type="dxa"/>
            <w:vMerge w:val="continue"/>
            <w:noWrap w:val="0"/>
            <w:vAlign w:val="top"/>
          </w:tcPr>
          <w:p>
            <w:pPr>
              <w:spacing w:line="300" w:lineRule="exact"/>
              <w:jc w:val="center"/>
              <w:rPr>
                <w:rFonts w:hint="eastAsia" w:ascii="仿宋" w:hAnsi="仿宋" w:eastAsia="仿宋" w:cs="仿宋"/>
              </w:rPr>
            </w:pPr>
          </w:p>
        </w:tc>
      </w:tr>
    </w:tbl>
    <w:p>
      <w:pPr>
        <w:spacing w:line="360" w:lineRule="auto"/>
        <w:ind w:firstLine="3958" w:firstLineChars="1408"/>
        <w:rPr>
          <w:rFonts w:hint="eastAsia" w:ascii="宋体" w:hAnsi="宋体"/>
          <w:b/>
          <w:sz w:val="28"/>
          <w:szCs w:val="28"/>
        </w:rPr>
      </w:pPr>
    </w:p>
    <w:p>
      <w:pPr>
        <w:spacing w:line="360" w:lineRule="auto"/>
        <w:rPr>
          <w:rFonts w:hint="eastAsia" w:ascii="仿宋" w:hAnsi="仿宋" w:eastAsia="仿宋" w:cs="仿宋"/>
          <w:b/>
          <w:sz w:val="28"/>
        </w:rPr>
      </w:pPr>
    </w:p>
    <w:p>
      <w:pPr>
        <w:spacing w:line="560" w:lineRule="exact"/>
        <w:jc w:val="center"/>
        <w:rPr>
          <w:rFonts w:hint="eastAsia" w:ascii="仿宋" w:hAnsi="仿宋" w:eastAsia="仿宋" w:cs="仿宋"/>
          <w:b/>
          <w:sz w:val="36"/>
        </w:rPr>
      </w:pPr>
      <w:r>
        <w:rPr>
          <w:rFonts w:hint="eastAsia" w:ascii="仿宋" w:hAnsi="仿宋" w:eastAsia="仿宋" w:cs="仿宋"/>
          <w:b/>
          <w:sz w:val="36"/>
        </w:rPr>
        <w:t>技术条件及基本功能</w:t>
      </w:r>
    </w:p>
    <w:p>
      <w:pPr>
        <w:spacing w:line="560" w:lineRule="exact"/>
        <w:rPr>
          <w:rFonts w:hint="eastAsia" w:ascii="仿宋" w:hAnsi="仿宋" w:eastAsia="仿宋" w:cs="仿宋"/>
          <w:b/>
          <w:sz w:val="28"/>
        </w:rPr>
      </w:pPr>
    </w:p>
    <w:p>
      <w:pPr>
        <w:numPr>
          <w:ilvl w:val="0"/>
          <w:numId w:val="4"/>
        </w:numPr>
        <w:rPr>
          <w:rFonts w:hint="eastAsia" w:ascii="仿宋" w:hAnsi="仿宋" w:eastAsia="仿宋" w:cs="仿宋"/>
          <w:b/>
          <w:sz w:val="24"/>
        </w:rPr>
      </w:pPr>
      <w:r>
        <w:rPr>
          <w:rFonts w:hint="eastAsia" w:ascii="仿宋" w:hAnsi="仿宋" w:eastAsia="仿宋" w:cs="仿宋"/>
          <w:b/>
          <w:sz w:val="24"/>
        </w:rPr>
        <w:t>基本技术参数及主要性能指标</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平层精度       </w:t>
      </w:r>
      <w:r>
        <w:rPr>
          <w:rFonts w:hint="eastAsia" w:ascii="仿宋_GB2312" w:hAnsi="宋体" w:eastAsia="仿宋_GB2312"/>
          <w:sz w:val="24"/>
        </w:rPr>
        <w:t>±</w:t>
      </w:r>
      <w:r>
        <w:rPr>
          <w:rFonts w:hint="eastAsia" w:ascii="仿宋_GB2312" w:eastAsia="仿宋_GB2312"/>
          <w:sz w:val="24"/>
        </w:rPr>
        <w:t xml:space="preserve">5mm ；                 </w:t>
      </w:r>
      <w:r>
        <w:rPr>
          <w:rFonts w:hint="eastAsia" w:ascii="仿宋_GB2312" w:hAnsi="宋体" w:eastAsia="仿宋_GB2312"/>
          <w:sz w:val="24"/>
        </w:rPr>
        <w:t xml:space="preserve">· </w:t>
      </w:r>
      <w:r>
        <w:rPr>
          <w:rFonts w:hint="eastAsia" w:ascii="仿宋_GB2312" w:eastAsia="仿宋_GB2312"/>
          <w:sz w:val="24"/>
        </w:rPr>
        <w:t xml:space="preserve">运行噪音      </w:t>
      </w:r>
      <w:r>
        <w:rPr>
          <w:rFonts w:hint="eastAsia" w:ascii="仿宋_GB2312" w:hAnsi="宋体" w:eastAsia="仿宋_GB2312"/>
          <w:sz w:val="24"/>
        </w:rPr>
        <w:t>≤</w:t>
      </w:r>
      <w:r>
        <w:rPr>
          <w:rFonts w:hint="eastAsia" w:ascii="仿宋_GB2312" w:eastAsia="仿宋_GB2312"/>
          <w:sz w:val="24"/>
        </w:rPr>
        <w:t>55dB；</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机房噪音       </w:t>
      </w:r>
      <w:r>
        <w:rPr>
          <w:rFonts w:hint="eastAsia" w:ascii="仿宋_GB2312" w:hAnsi="宋体" w:eastAsia="仿宋_GB2312"/>
          <w:sz w:val="24"/>
        </w:rPr>
        <w:t>≤</w:t>
      </w:r>
      <w:r>
        <w:rPr>
          <w:rFonts w:hint="eastAsia" w:ascii="仿宋_GB2312" w:eastAsia="仿宋_GB2312"/>
          <w:sz w:val="24"/>
        </w:rPr>
        <w:t xml:space="preserve">80dB ；                </w:t>
      </w:r>
      <w:r>
        <w:rPr>
          <w:rFonts w:hint="eastAsia" w:ascii="仿宋_GB2312" w:hAnsi="宋体" w:eastAsia="仿宋_GB2312"/>
          <w:sz w:val="24"/>
        </w:rPr>
        <w:t xml:space="preserve">· </w:t>
      </w:r>
      <w:r>
        <w:rPr>
          <w:rFonts w:hint="eastAsia" w:ascii="仿宋_GB2312" w:eastAsia="仿宋_GB2312"/>
          <w:sz w:val="24"/>
        </w:rPr>
        <w:t xml:space="preserve">开关门噪音    </w:t>
      </w:r>
      <w:r>
        <w:rPr>
          <w:rFonts w:hint="eastAsia" w:ascii="仿宋_GB2312" w:hAnsi="宋体" w:eastAsia="仿宋_GB2312"/>
          <w:sz w:val="24"/>
        </w:rPr>
        <w:t>≤</w:t>
      </w:r>
      <w:r>
        <w:rPr>
          <w:rFonts w:hint="eastAsia" w:ascii="仿宋_GB2312" w:eastAsia="仿宋_GB2312"/>
          <w:sz w:val="24"/>
        </w:rPr>
        <w:t>65dB；</w:t>
      </w:r>
    </w:p>
    <w:p>
      <w:pPr>
        <w:spacing w:line="400" w:lineRule="exact"/>
        <w:ind w:firstLine="240" w:firstLineChars="100"/>
        <w:rPr>
          <w:rFonts w:hint="eastAsia" w:ascii="仿宋_GB2312" w:eastAsia="仿宋_GB2312"/>
          <w:sz w:val="24"/>
          <w:vertAlign w:val="superscript"/>
        </w:rPr>
      </w:pPr>
      <w:r>
        <w:rPr>
          <w:rFonts w:hint="eastAsia" w:ascii="仿宋_GB2312" w:hAnsi="宋体" w:eastAsia="仿宋_GB2312"/>
          <w:sz w:val="24"/>
        </w:rPr>
        <w:t xml:space="preserve">· </w:t>
      </w:r>
      <w:r>
        <w:rPr>
          <w:rFonts w:hint="eastAsia" w:ascii="仿宋_GB2312" w:eastAsia="仿宋_GB2312"/>
          <w:sz w:val="24"/>
        </w:rPr>
        <w:t xml:space="preserve">水平振动加速度    </w:t>
      </w:r>
      <w:r>
        <w:rPr>
          <w:rFonts w:hint="eastAsia" w:ascii="仿宋_GB2312" w:hAnsi="宋体" w:eastAsia="仿宋_GB2312"/>
          <w:sz w:val="24"/>
        </w:rPr>
        <w:t>≤</w:t>
      </w:r>
      <w:r>
        <w:rPr>
          <w:rFonts w:hint="eastAsia" w:ascii="仿宋_GB2312" w:eastAsia="仿宋_GB2312"/>
          <w:sz w:val="24"/>
        </w:rPr>
        <w:t>15cm/s</w:t>
      </w:r>
      <w:r>
        <w:rPr>
          <w:rFonts w:hint="eastAsia" w:ascii="仿宋_GB2312" w:eastAsia="仿宋_GB2312"/>
          <w:sz w:val="24"/>
          <w:vertAlign w:val="superscript"/>
        </w:rPr>
        <w:t>2</w:t>
      </w:r>
      <w:r>
        <w:rPr>
          <w:rFonts w:hint="eastAsia" w:ascii="仿宋_GB2312" w:eastAsia="仿宋_GB2312"/>
          <w:sz w:val="24"/>
        </w:rPr>
        <w:t xml:space="preserve"> ；          </w:t>
      </w:r>
      <w:r>
        <w:rPr>
          <w:rFonts w:ascii="仿宋_GB2312" w:eastAsia="仿宋_GB2312"/>
          <w:sz w:val="10"/>
        </w:rPr>
        <w:t xml:space="preserve"> </w:t>
      </w:r>
      <w:r>
        <w:rPr>
          <w:rFonts w:hint="eastAsia" w:ascii="仿宋_GB2312" w:hAnsi="宋体" w:eastAsia="仿宋_GB2312"/>
          <w:sz w:val="24"/>
        </w:rPr>
        <w:t xml:space="preserve">· </w:t>
      </w:r>
      <w:r>
        <w:rPr>
          <w:rFonts w:hint="eastAsia" w:ascii="仿宋_GB2312" w:eastAsia="仿宋_GB2312"/>
          <w:sz w:val="24"/>
        </w:rPr>
        <w:t xml:space="preserve">垂直振动加速度 </w:t>
      </w:r>
      <w:r>
        <w:rPr>
          <w:rFonts w:hint="eastAsia" w:ascii="仿宋_GB2312" w:hAnsi="宋体" w:eastAsia="仿宋_GB2312"/>
          <w:sz w:val="24"/>
        </w:rPr>
        <w:t>≤</w:t>
      </w:r>
      <w:r>
        <w:rPr>
          <w:rFonts w:hint="eastAsia" w:ascii="仿宋_GB2312" w:eastAsia="仿宋_GB2312"/>
          <w:sz w:val="24"/>
        </w:rPr>
        <w:t>25cm/s</w:t>
      </w:r>
      <w:r>
        <w:rPr>
          <w:rFonts w:hint="eastAsia" w:ascii="仿宋_GB2312" w:eastAsia="仿宋_GB2312"/>
          <w:sz w:val="24"/>
          <w:vertAlign w:val="superscript"/>
        </w:rPr>
        <w:t>2</w:t>
      </w:r>
      <w:r>
        <w:rPr>
          <w:rFonts w:hint="eastAsia" w:ascii="仿宋_GB2312" w:eastAsia="仿宋_GB2312"/>
          <w:sz w:val="24"/>
        </w:rPr>
        <w:t>；</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起制动加（减）速度  </w:t>
      </w:r>
      <w:r>
        <w:rPr>
          <w:rFonts w:hint="eastAsia" w:ascii="仿宋_GB2312" w:hAnsi="宋体" w:eastAsia="仿宋_GB2312"/>
          <w:sz w:val="24"/>
        </w:rPr>
        <w:t>≤</w:t>
      </w:r>
      <w:r>
        <w:rPr>
          <w:rFonts w:hint="eastAsia" w:ascii="仿宋_GB2312" w:eastAsia="仿宋_GB2312"/>
          <w:sz w:val="24"/>
        </w:rPr>
        <w:t>1.5m/s</w:t>
      </w:r>
      <w:r>
        <w:rPr>
          <w:rFonts w:hint="eastAsia" w:ascii="仿宋_GB2312" w:eastAsia="仿宋_GB2312"/>
          <w:sz w:val="24"/>
          <w:vertAlign w:val="superscript"/>
        </w:rPr>
        <w:t>2</w:t>
      </w:r>
      <w:r>
        <w:rPr>
          <w:rFonts w:hint="eastAsia" w:ascii="仿宋_GB2312" w:eastAsia="仿宋_GB2312"/>
          <w:sz w:val="24"/>
        </w:rPr>
        <w:t xml:space="preserve"> ；        </w:t>
      </w:r>
      <w:r>
        <w:rPr>
          <w:rFonts w:ascii="仿宋_GB2312" w:eastAsia="仿宋_GB2312"/>
          <w:sz w:val="10"/>
        </w:rPr>
        <w:t xml:space="preserve"> </w:t>
      </w:r>
      <w:r>
        <w:rPr>
          <w:rFonts w:hint="eastAsia" w:ascii="仿宋_GB2312" w:hAnsi="宋体" w:eastAsia="仿宋_GB2312"/>
          <w:sz w:val="24"/>
        </w:rPr>
        <w:t xml:space="preserve">· </w:t>
      </w:r>
      <w:r>
        <w:rPr>
          <w:rFonts w:hint="eastAsia" w:ascii="仿宋_GB2312" w:eastAsia="仿宋_GB2312"/>
          <w:sz w:val="24"/>
        </w:rPr>
        <w:t>平均加（减）速度</w:t>
      </w:r>
      <w:r>
        <w:rPr>
          <w:rFonts w:hint="eastAsia" w:ascii="仿宋_GB2312" w:hAnsi="宋体" w:eastAsia="仿宋_GB2312"/>
          <w:sz w:val="24"/>
        </w:rPr>
        <w:t>≤</w:t>
      </w:r>
      <w:r>
        <w:rPr>
          <w:rFonts w:hint="eastAsia" w:ascii="仿宋_GB2312" w:eastAsia="仿宋_GB2312"/>
          <w:sz w:val="24"/>
        </w:rPr>
        <w:t>0.5cm/s</w:t>
      </w:r>
      <w:r>
        <w:rPr>
          <w:rFonts w:hint="eastAsia" w:ascii="仿宋_GB2312" w:eastAsia="仿宋_GB2312"/>
          <w:sz w:val="24"/>
          <w:vertAlign w:val="superscript"/>
        </w:rPr>
        <w:t>2</w:t>
      </w:r>
      <w:r>
        <w:rPr>
          <w:rFonts w:hint="eastAsia" w:ascii="仿宋_GB2312" w:eastAsia="仿宋_GB2312"/>
          <w:sz w:val="24"/>
        </w:rPr>
        <w:t>；</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控制方式：数字化、全集选、全微机控制、串行通讯；</w:t>
      </w:r>
    </w:p>
    <w:p>
      <w:pPr>
        <w:spacing w:line="400" w:lineRule="exact"/>
        <w:ind w:firstLine="216" w:firstLineChars="100"/>
        <w:rPr>
          <w:rFonts w:hint="eastAsia" w:ascii="仿宋_GB2312" w:eastAsia="仿宋_GB2312"/>
          <w:spacing w:val="-12"/>
          <w:sz w:val="24"/>
        </w:rPr>
      </w:pPr>
      <w:r>
        <w:rPr>
          <w:rFonts w:hint="eastAsia" w:ascii="仿宋_GB2312" w:hAnsi="宋体" w:eastAsia="仿宋_GB2312"/>
          <w:spacing w:val="-12"/>
          <w:sz w:val="24"/>
        </w:rPr>
        <w:t xml:space="preserve">· </w:t>
      </w:r>
      <w:r>
        <w:rPr>
          <w:rFonts w:hint="eastAsia" w:ascii="仿宋_GB2312" w:eastAsia="仿宋_GB2312"/>
          <w:spacing w:val="-12"/>
          <w:sz w:val="24"/>
        </w:rPr>
        <w:t>安全保护：电梯专用限速器、渐近式安全钳、缓冲器、机械SL型门锁、终端极限及限位装置。</w:t>
      </w:r>
    </w:p>
    <w:p>
      <w:pPr>
        <w:numPr>
          <w:ilvl w:val="0"/>
          <w:numId w:val="4"/>
        </w:numPr>
        <w:rPr>
          <w:rFonts w:hint="eastAsia" w:ascii="仿宋" w:hAnsi="仿宋" w:eastAsia="仿宋" w:cs="仿宋"/>
          <w:b/>
          <w:sz w:val="24"/>
        </w:rPr>
      </w:pPr>
      <w:r>
        <w:rPr>
          <w:rFonts w:hint="eastAsia" w:ascii="仿宋" w:hAnsi="仿宋" w:eastAsia="仿宋" w:cs="仿宋"/>
          <w:b/>
          <w:sz w:val="24"/>
        </w:rPr>
        <w:t>电梯基本功能</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全集选功能；                           </w:t>
      </w:r>
      <w:r>
        <w:rPr>
          <w:rFonts w:hint="eastAsia" w:ascii="仿宋_GB2312" w:hAnsi="宋体" w:eastAsia="仿宋_GB2312"/>
          <w:sz w:val="24"/>
        </w:rPr>
        <w:t xml:space="preserve">· </w:t>
      </w:r>
      <w:r>
        <w:rPr>
          <w:rFonts w:hint="eastAsia" w:ascii="仿宋_GB2312" w:eastAsia="仿宋_GB2312"/>
          <w:sz w:val="24"/>
        </w:rPr>
        <w:t>司机操作；</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司机优先定向 ；                        </w:t>
      </w:r>
      <w:r>
        <w:rPr>
          <w:rFonts w:hint="eastAsia" w:ascii="仿宋_GB2312" w:hAnsi="宋体" w:eastAsia="仿宋_GB2312"/>
          <w:sz w:val="24"/>
        </w:rPr>
        <w:t xml:space="preserve">· </w:t>
      </w:r>
      <w:r>
        <w:rPr>
          <w:rFonts w:hint="eastAsia" w:ascii="仿宋_GB2312" w:eastAsia="仿宋_GB2312"/>
          <w:sz w:val="24"/>
        </w:rPr>
        <w:t>司机按钮直驶；</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超载保护；                             </w:t>
      </w:r>
      <w:r>
        <w:rPr>
          <w:rFonts w:hint="eastAsia" w:ascii="仿宋_GB2312" w:hAnsi="宋体" w:eastAsia="仿宋_GB2312"/>
          <w:sz w:val="24"/>
        </w:rPr>
        <w:t xml:space="preserve">· </w:t>
      </w:r>
      <w:r>
        <w:rPr>
          <w:rFonts w:hint="eastAsia" w:ascii="仿宋_GB2312" w:eastAsia="仿宋_GB2312"/>
          <w:sz w:val="24"/>
        </w:rPr>
        <w:t>满载直驶；</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w:t>
      </w:r>
      <w:r>
        <w:rPr>
          <w:rFonts w:hint="eastAsia" w:ascii="仿宋_GB2312" w:eastAsia="仿宋_GB2312"/>
          <w:sz w:val="24"/>
        </w:rPr>
        <w:t xml:space="preserve"> 慢速自校正；                           </w:t>
      </w:r>
      <w:r>
        <w:rPr>
          <w:rFonts w:hint="eastAsia" w:ascii="仿宋_GB2312" w:hAnsi="宋体" w:eastAsia="仿宋_GB2312"/>
          <w:sz w:val="24"/>
        </w:rPr>
        <w:t xml:space="preserve">· </w:t>
      </w:r>
      <w:r>
        <w:rPr>
          <w:rFonts w:hint="eastAsia" w:ascii="仿宋_GB2312" w:eastAsia="仿宋_GB2312"/>
          <w:sz w:val="24"/>
        </w:rPr>
        <w:t>自动开关门；</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本层外开门；                           </w:t>
      </w:r>
      <w:r>
        <w:rPr>
          <w:rFonts w:hint="eastAsia" w:ascii="仿宋_GB2312" w:hAnsi="宋体" w:eastAsia="仿宋_GB2312"/>
          <w:sz w:val="24"/>
        </w:rPr>
        <w:t xml:space="preserve">· </w:t>
      </w:r>
      <w:r>
        <w:rPr>
          <w:rFonts w:hint="eastAsia" w:ascii="仿宋_GB2312" w:eastAsia="仿宋_GB2312"/>
          <w:sz w:val="24"/>
        </w:rPr>
        <w:t>保持开门时间的自动控制；</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手动开关门；                           </w:t>
      </w:r>
      <w:r>
        <w:rPr>
          <w:rFonts w:hint="eastAsia" w:ascii="仿宋_GB2312" w:hAnsi="宋体" w:eastAsia="仿宋_GB2312"/>
          <w:sz w:val="24"/>
        </w:rPr>
        <w:t xml:space="preserve">· </w:t>
      </w:r>
      <w:r>
        <w:rPr>
          <w:rFonts w:hint="eastAsia" w:ascii="仿宋_GB2312" w:eastAsia="仿宋_GB2312"/>
          <w:sz w:val="24"/>
        </w:rPr>
        <w:t>关门按钮提前关门；</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门区外不能开门；                       </w:t>
      </w:r>
      <w:r>
        <w:rPr>
          <w:rFonts w:hint="eastAsia" w:ascii="仿宋_GB2312" w:hAnsi="宋体" w:eastAsia="仿宋_GB2312"/>
          <w:sz w:val="24"/>
        </w:rPr>
        <w:t xml:space="preserve">· </w:t>
      </w:r>
      <w:r>
        <w:rPr>
          <w:rFonts w:hint="eastAsia" w:ascii="仿宋_GB2312" w:eastAsia="仿宋_GB2312"/>
          <w:sz w:val="24"/>
        </w:rPr>
        <w:t>重复开门；</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检修低速运行；                         </w:t>
      </w:r>
      <w:r>
        <w:rPr>
          <w:rFonts w:hint="eastAsia" w:ascii="仿宋_GB2312" w:hAnsi="宋体" w:eastAsia="仿宋_GB2312"/>
          <w:sz w:val="24"/>
        </w:rPr>
        <w:t xml:space="preserve">· </w:t>
      </w:r>
      <w:r>
        <w:rPr>
          <w:rFonts w:hint="eastAsia" w:ascii="仿宋_GB2312" w:eastAsia="仿宋_GB2312"/>
          <w:sz w:val="24"/>
        </w:rPr>
        <w:t>自动返基站；</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照明、风扇节能运行；                   </w:t>
      </w:r>
      <w:r>
        <w:rPr>
          <w:rFonts w:hint="eastAsia" w:ascii="仿宋_GB2312" w:hAnsi="宋体" w:eastAsia="仿宋_GB2312"/>
          <w:sz w:val="24"/>
        </w:rPr>
        <w:t xml:space="preserve">· </w:t>
      </w:r>
      <w:r>
        <w:rPr>
          <w:rFonts w:hint="eastAsia" w:ascii="仿宋_GB2312" w:eastAsia="仿宋_GB2312"/>
          <w:sz w:val="24"/>
        </w:rPr>
        <w:t>锁梯服务；</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应急照明；                             </w:t>
      </w:r>
      <w:r>
        <w:rPr>
          <w:rFonts w:hint="eastAsia" w:ascii="仿宋_GB2312" w:hAnsi="宋体" w:eastAsia="仿宋_GB2312"/>
          <w:sz w:val="24"/>
        </w:rPr>
        <w:t xml:space="preserve">· </w:t>
      </w:r>
      <w:r>
        <w:rPr>
          <w:rFonts w:hint="eastAsia" w:ascii="仿宋_GB2312" w:eastAsia="仿宋_GB2312"/>
          <w:sz w:val="24"/>
        </w:rPr>
        <w:t>五方对讲；</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直接停靠；                             </w:t>
      </w:r>
      <w:r>
        <w:rPr>
          <w:rFonts w:hint="eastAsia" w:ascii="仿宋_GB2312" w:hAnsi="宋体" w:eastAsia="仿宋_GB2312"/>
          <w:sz w:val="24"/>
        </w:rPr>
        <w:t xml:space="preserve">· </w:t>
      </w:r>
      <w:r>
        <w:rPr>
          <w:rFonts w:hint="eastAsia" w:ascii="仿宋_GB2312" w:eastAsia="仿宋_GB2312"/>
          <w:sz w:val="24"/>
        </w:rPr>
        <w:t>换站停靠；</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点阵式楼层显示；                       </w:t>
      </w:r>
      <w:r>
        <w:rPr>
          <w:rFonts w:hint="eastAsia" w:ascii="仿宋_GB2312" w:hAnsi="宋体" w:eastAsia="仿宋_GB2312"/>
          <w:sz w:val="24"/>
        </w:rPr>
        <w:t xml:space="preserve">· </w:t>
      </w:r>
      <w:r>
        <w:rPr>
          <w:rFonts w:hint="eastAsia" w:ascii="仿宋_GB2312" w:eastAsia="仿宋_GB2312"/>
          <w:sz w:val="24"/>
        </w:rPr>
        <w:t>滚动式方向显示；</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调速器故障保护；                       </w:t>
      </w:r>
      <w:r>
        <w:rPr>
          <w:rFonts w:hint="eastAsia" w:ascii="仿宋_GB2312" w:hAnsi="宋体" w:eastAsia="仿宋_GB2312"/>
          <w:sz w:val="24"/>
        </w:rPr>
        <w:t xml:space="preserve">· </w:t>
      </w:r>
      <w:r>
        <w:rPr>
          <w:rFonts w:hint="eastAsia" w:ascii="仿宋_GB2312" w:eastAsia="仿宋_GB2312"/>
          <w:sz w:val="24"/>
        </w:rPr>
        <w:t>到站钟；</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服务层的任意设定；                     </w:t>
      </w:r>
      <w:r>
        <w:rPr>
          <w:rFonts w:hint="eastAsia" w:ascii="仿宋_GB2312" w:hAnsi="宋体" w:eastAsia="仿宋_GB2312"/>
          <w:sz w:val="24"/>
        </w:rPr>
        <w:t xml:space="preserve">· </w:t>
      </w:r>
      <w:r>
        <w:rPr>
          <w:rFonts w:hint="eastAsia" w:ascii="仿宋_GB2312" w:eastAsia="仿宋_GB2312"/>
          <w:sz w:val="24"/>
        </w:rPr>
        <w:t>错误指令取消；</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反向时自动取消指令；                   </w:t>
      </w:r>
      <w:r>
        <w:rPr>
          <w:rFonts w:hint="eastAsia" w:ascii="仿宋_GB2312" w:hAnsi="宋体" w:eastAsia="仿宋_GB2312"/>
          <w:sz w:val="24"/>
        </w:rPr>
        <w:t xml:space="preserve">· </w:t>
      </w:r>
      <w:r>
        <w:rPr>
          <w:rFonts w:hint="eastAsia" w:ascii="仿宋_GB2312" w:eastAsia="仿宋_GB2312"/>
          <w:sz w:val="24"/>
        </w:rPr>
        <w:t>消防服务；</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红外光幕安全装置；                     </w:t>
      </w:r>
      <w:r>
        <w:rPr>
          <w:rFonts w:hint="eastAsia" w:ascii="仿宋_GB2312" w:hAnsi="宋体" w:eastAsia="仿宋_GB2312"/>
          <w:sz w:val="24"/>
        </w:rPr>
        <w:t xml:space="preserve">· </w:t>
      </w:r>
      <w:r>
        <w:rPr>
          <w:rFonts w:hint="eastAsia" w:ascii="仿宋_GB2312" w:eastAsia="仿宋_GB2312"/>
          <w:sz w:val="24"/>
        </w:rPr>
        <w:t>层门与轿门电气连锁装置；</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上下极限保护装置；                     </w:t>
      </w:r>
      <w:r>
        <w:rPr>
          <w:rFonts w:hint="eastAsia" w:ascii="仿宋_GB2312" w:hAnsi="宋体" w:eastAsia="仿宋_GB2312"/>
          <w:sz w:val="24"/>
        </w:rPr>
        <w:t xml:space="preserve">· </w:t>
      </w:r>
      <w:r>
        <w:rPr>
          <w:rFonts w:hint="eastAsia" w:ascii="仿宋_GB2312" w:eastAsia="仿宋_GB2312"/>
          <w:sz w:val="24"/>
        </w:rPr>
        <w:t>撞底缓冲装置；</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电梯自学习功能；                       </w:t>
      </w:r>
      <w:r>
        <w:rPr>
          <w:rFonts w:hint="eastAsia" w:ascii="仿宋_GB2312" w:hAnsi="宋体" w:eastAsia="仿宋_GB2312"/>
          <w:sz w:val="24"/>
        </w:rPr>
        <w:t xml:space="preserve">· </w:t>
      </w:r>
      <w:r>
        <w:rPr>
          <w:rFonts w:hint="eastAsia" w:ascii="仿宋_GB2312" w:eastAsia="仿宋_GB2312"/>
          <w:sz w:val="24"/>
        </w:rPr>
        <w:t>继电器、接触器检测保护；</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消防联动；                             </w:t>
      </w:r>
      <w:r>
        <w:rPr>
          <w:rFonts w:hint="eastAsia" w:ascii="仿宋_GB2312" w:hAnsi="宋体" w:eastAsia="仿宋_GB2312"/>
          <w:sz w:val="24"/>
        </w:rPr>
        <w:t xml:space="preserve">· </w:t>
      </w:r>
      <w:r>
        <w:rPr>
          <w:rFonts w:hint="eastAsia" w:ascii="仿宋_GB2312" w:eastAsia="仿宋_GB2312"/>
          <w:sz w:val="24"/>
        </w:rPr>
        <w:t>主控CPU WDT保护；</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运行次数检测；                         </w:t>
      </w:r>
      <w:r>
        <w:rPr>
          <w:rFonts w:hint="eastAsia" w:ascii="仿宋_GB2312" w:hAnsi="宋体" w:eastAsia="仿宋_GB2312"/>
          <w:sz w:val="24"/>
        </w:rPr>
        <w:t xml:space="preserve">· </w:t>
      </w:r>
      <w:r>
        <w:rPr>
          <w:rFonts w:hint="eastAsia" w:ascii="仿宋_GB2312" w:eastAsia="仿宋_GB2312"/>
          <w:sz w:val="24"/>
        </w:rPr>
        <w:t>防抱闸粘连；</w:t>
      </w:r>
    </w:p>
    <w:p>
      <w:pPr>
        <w:spacing w:line="400" w:lineRule="exact"/>
        <w:ind w:firstLine="240" w:firstLineChars="100"/>
        <w:rPr>
          <w:rFonts w:hint="eastAsia" w:ascii="仿宋_GB2312" w:eastAsia="仿宋_GB2312"/>
          <w:sz w:val="24"/>
        </w:rPr>
      </w:pPr>
      <w:r>
        <w:rPr>
          <w:rFonts w:hint="eastAsia" w:ascii="仿宋_GB2312" w:hAnsi="宋体" w:eastAsia="仿宋_GB2312"/>
          <w:sz w:val="24"/>
        </w:rPr>
        <w:t xml:space="preserve">· </w:t>
      </w:r>
      <w:r>
        <w:rPr>
          <w:rFonts w:hint="eastAsia" w:ascii="仿宋_GB2312" w:eastAsia="仿宋_GB2312"/>
          <w:sz w:val="24"/>
        </w:rPr>
        <w:t xml:space="preserve">防门连锁粘连；                      　 </w:t>
      </w:r>
    </w:p>
    <w:p>
      <w:pPr>
        <w:spacing w:line="400" w:lineRule="exact"/>
        <w:ind w:firstLine="240" w:firstLineChars="100"/>
        <w:rPr>
          <w:rFonts w:hint="eastAsia" w:ascii="仿宋_GB2312" w:eastAsia="仿宋_GB2312"/>
          <w:sz w:val="24"/>
        </w:rPr>
      </w:pPr>
    </w:p>
    <w:p>
      <w:pPr>
        <w:ind w:firstLine="430"/>
        <w:jc w:val="center"/>
        <w:rPr>
          <w:b/>
          <w:color w:val="000000"/>
          <w:sz w:val="32"/>
          <w:szCs w:val="32"/>
        </w:rPr>
      </w:pPr>
    </w:p>
    <w:p/>
    <w:p>
      <w:pPr>
        <w:spacing w:line="220" w:lineRule="atLeast"/>
      </w:pPr>
    </w:p>
    <w:p>
      <w:pPr>
        <w:pStyle w:val="5"/>
        <w:ind w:left="0" w:leftChars="0" w:firstLine="0" w:firstLineChars="0"/>
      </w:pPr>
      <w:bookmarkStart w:id="82" w:name="_Toc290375231"/>
      <w:bookmarkStart w:id="83" w:name="_Toc259698694"/>
    </w:p>
    <w:p>
      <w:pPr>
        <w:pStyle w:val="5"/>
      </w:pPr>
    </w:p>
    <w:p>
      <w:pPr>
        <w:pStyle w:val="3"/>
        <w:spacing w:line="240" w:lineRule="auto"/>
        <w:ind w:firstLine="3213" w:firstLineChars="1000"/>
        <w:rPr>
          <w:rFonts w:ascii="宋体"/>
          <w:sz w:val="32"/>
          <w:szCs w:val="32"/>
        </w:rPr>
      </w:pPr>
      <w:r>
        <w:rPr>
          <w:rFonts w:hint="eastAsia" w:ascii="宋体"/>
          <w:bCs w:val="0"/>
          <w:sz w:val="32"/>
          <w:szCs w:val="32"/>
        </w:rPr>
        <w:t>第三章</w:t>
      </w:r>
      <w:r>
        <w:rPr>
          <w:rFonts w:hint="eastAsia" w:ascii="宋体"/>
          <w:sz w:val="32"/>
          <w:szCs w:val="32"/>
        </w:rPr>
        <w:t xml:space="preserve">  </w:t>
      </w:r>
      <w:r>
        <w:rPr>
          <w:rFonts w:hint="eastAsia" w:ascii="宋体"/>
          <w:bCs w:val="0"/>
          <w:sz w:val="32"/>
          <w:szCs w:val="32"/>
        </w:rPr>
        <w:t>合同书格式</w:t>
      </w:r>
      <w:bookmarkEnd w:id="82"/>
      <w:bookmarkEnd w:id="83"/>
    </w:p>
    <w:p>
      <w:pPr>
        <w:pStyle w:val="17"/>
        <w:jc w:val="center"/>
        <w:rPr>
          <w:rFonts w:ascii="隶书" w:eastAsia="隶书"/>
          <w:sz w:val="44"/>
        </w:rPr>
      </w:pPr>
    </w:p>
    <w:p>
      <w:pPr>
        <w:spacing w:line="360" w:lineRule="auto"/>
        <w:jc w:val="center"/>
        <w:rPr>
          <w:rFonts w:ascii="隶书" w:eastAsia="隶书"/>
          <w:sz w:val="44"/>
        </w:rPr>
      </w:pPr>
      <w:r>
        <w:rPr>
          <w:rFonts w:hint="eastAsia" w:ascii="隶书" w:eastAsia="隶书"/>
          <w:sz w:val="44"/>
        </w:rPr>
        <w:br w:type="page"/>
      </w:r>
    </w:p>
    <w:p>
      <w:pPr>
        <w:pStyle w:val="17"/>
        <w:jc w:val="center"/>
        <w:rPr>
          <w:rFonts w:hAnsi="宋体"/>
          <w:b/>
          <w:bCs/>
          <w:szCs w:val="21"/>
          <w:shd w:val="clear" w:color="auto" w:fill="FFFFFF"/>
        </w:rPr>
      </w:pPr>
      <w:r>
        <w:rPr>
          <w:rFonts w:hint="eastAsia" w:ascii="隶书" w:eastAsia="隶书"/>
          <w:sz w:val="44"/>
          <w:szCs w:val="44"/>
          <w:shd w:val="clear" w:color="auto" w:fill="FFFFFF"/>
        </w:rPr>
        <w:t>政府采购合同书(格式)</w:t>
      </w:r>
    </w:p>
    <w:p>
      <w:pPr>
        <w:snapToGrid w:val="0"/>
        <w:spacing w:line="360" w:lineRule="exact"/>
        <w:ind w:right="480" w:firstLine="5985" w:firstLineChars="2850"/>
        <w:rPr>
          <w:rFonts w:ascii="宋体" w:hAnsi="宋体"/>
          <w:bCs/>
          <w:szCs w:val="21"/>
          <w:u w:val="single"/>
        </w:rPr>
      </w:pPr>
      <w:r>
        <w:rPr>
          <w:rFonts w:hint="eastAsia" w:ascii="宋体" w:hAnsi="宋体"/>
          <w:bCs/>
          <w:szCs w:val="21"/>
        </w:rPr>
        <w:t>合同编号：</w:t>
      </w:r>
    </w:p>
    <w:p>
      <w:pPr>
        <w:snapToGrid w:val="0"/>
        <w:spacing w:line="360" w:lineRule="exact"/>
        <w:rPr>
          <w:rFonts w:ascii="宋体" w:hAnsi="宋体"/>
          <w:szCs w:val="21"/>
        </w:rPr>
      </w:pPr>
    </w:p>
    <w:p>
      <w:pPr>
        <w:snapToGrid w:val="0"/>
        <w:spacing w:line="360" w:lineRule="exact"/>
        <w:rPr>
          <w:rFonts w:ascii="宋体" w:hAnsi="宋体"/>
          <w:szCs w:val="21"/>
          <w:u w:val="single"/>
        </w:rPr>
      </w:pPr>
      <w:r>
        <w:rPr>
          <w:rFonts w:hint="eastAsia" w:ascii="宋体" w:hAnsi="宋体"/>
          <w:szCs w:val="21"/>
        </w:rPr>
        <w:t>采购单位（甲方）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pPr>
        <w:snapToGrid w:val="0"/>
        <w:spacing w:line="360" w:lineRule="exact"/>
        <w:rPr>
          <w:rFonts w:ascii="宋体" w:hAnsi="宋体"/>
          <w:szCs w:val="21"/>
          <w:u w:val="single"/>
        </w:rPr>
      </w:pPr>
      <w:r>
        <w:rPr>
          <w:rFonts w:hint="eastAsia" w:ascii="宋体" w:hAnsi="宋体"/>
          <w:szCs w:val="21"/>
        </w:rPr>
        <w:t>供 应 商（乙方）</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pacing w:val="-20"/>
          <w:szCs w:val="21"/>
        </w:rPr>
        <w:t>编号</w:t>
      </w:r>
      <w:r>
        <w:rPr>
          <w:rFonts w:hint="eastAsia" w:ascii="宋体" w:hAnsi="宋体"/>
          <w:szCs w:val="21"/>
          <w:u w:val="single"/>
        </w:rPr>
        <w:t xml:space="preserve">                       </w:t>
      </w:r>
    </w:p>
    <w:p>
      <w:pPr>
        <w:snapToGrid w:val="0"/>
        <w:spacing w:line="360" w:lineRule="exact"/>
        <w:rPr>
          <w:rFonts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根据《中华人民共和国政府采购法》、《中华人民共和国合同法》等法律、法规规定，按照招标文件规定条款和中标供应商承诺，甲乙双方签订本合同。</w:t>
      </w:r>
    </w:p>
    <w:p>
      <w:pPr>
        <w:snapToGrid w:val="0"/>
        <w:spacing w:line="380" w:lineRule="exact"/>
        <w:ind w:firstLine="422" w:firstLineChars="200"/>
        <w:rPr>
          <w:rFonts w:hAnsi="宋体"/>
          <w:b/>
          <w:bCs/>
          <w:szCs w:val="21"/>
          <w:shd w:val="clear" w:color="auto" w:fill="FFFFFF"/>
        </w:rPr>
      </w:pPr>
      <w:r>
        <w:rPr>
          <w:rFonts w:hint="eastAsia" w:hAnsi="宋体"/>
          <w:b/>
          <w:bCs/>
          <w:szCs w:val="21"/>
          <w:shd w:val="clear" w:color="auto" w:fill="FFFFFF"/>
        </w:rPr>
        <w:t>第一条　合同金额</w:t>
      </w:r>
    </w:p>
    <w:p>
      <w:pPr>
        <w:pStyle w:val="17"/>
        <w:spacing w:line="380" w:lineRule="exact"/>
        <w:ind w:firstLine="420" w:firstLineChars="200"/>
        <w:rPr>
          <w:rFonts w:hAnsi="宋体"/>
          <w:szCs w:val="21"/>
          <w:shd w:val="clear" w:color="auto" w:fill="FFFFFF"/>
        </w:rPr>
      </w:pPr>
      <w:r>
        <w:rPr>
          <w:rFonts w:hint="eastAsia" w:hAnsi="宋体"/>
          <w:szCs w:val="21"/>
          <w:shd w:val="clear" w:color="auto" w:fill="FFFFFF"/>
        </w:rPr>
        <w:t>本合同所涉及的乙方应提供的货物和服务内容详见招标文件“货物需求一览表”中所列内容。</w:t>
      </w:r>
    </w:p>
    <w:p>
      <w:pPr>
        <w:pStyle w:val="17"/>
        <w:spacing w:line="380" w:lineRule="exact"/>
        <w:ind w:firstLine="420" w:firstLineChars="200"/>
        <w:rPr>
          <w:rFonts w:hAnsi="宋体"/>
          <w:szCs w:val="21"/>
          <w:shd w:val="clear" w:color="auto" w:fill="FFFFFF"/>
        </w:rPr>
      </w:pPr>
      <w:r>
        <w:rPr>
          <w:rFonts w:hint="eastAsia" w:hAnsi="宋体"/>
          <w:szCs w:val="21"/>
          <w:shd w:val="clear" w:color="auto" w:fill="FFFFFF"/>
        </w:rPr>
        <w:t>根据中标通知书的中标内容，合同的总金额为（大写）：人民币</w:t>
      </w:r>
      <w:r>
        <w:rPr>
          <w:rFonts w:hint="eastAsia" w:hAnsi="宋体"/>
          <w:szCs w:val="21"/>
          <w:u w:val="single"/>
          <w:shd w:val="clear" w:color="auto" w:fill="FFFFFF"/>
        </w:rPr>
        <w:t xml:space="preserve">                         </w:t>
      </w:r>
      <w:r>
        <w:rPr>
          <w:rFonts w:hint="eastAsia" w:hAnsi="宋体"/>
          <w:szCs w:val="21"/>
          <w:shd w:val="clear" w:color="auto" w:fill="FFFFFF"/>
        </w:rPr>
        <w:t>。</w:t>
      </w:r>
    </w:p>
    <w:p>
      <w:pPr>
        <w:snapToGrid w:val="0"/>
        <w:spacing w:line="360" w:lineRule="exact"/>
        <w:ind w:firstLine="422" w:firstLineChars="200"/>
        <w:outlineLvl w:val="0"/>
        <w:rPr>
          <w:rFonts w:ascii="宋体" w:hAnsi="宋体"/>
          <w:szCs w:val="21"/>
        </w:rPr>
      </w:pPr>
      <w:r>
        <w:rPr>
          <w:rFonts w:hint="eastAsia" w:ascii="宋体" w:hAnsi="宋体"/>
          <w:b/>
          <w:szCs w:val="21"/>
        </w:rPr>
        <w:t>第二条　质量保证</w:t>
      </w:r>
    </w:p>
    <w:p>
      <w:pPr>
        <w:snapToGrid w:val="0"/>
        <w:spacing w:line="360" w:lineRule="exact"/>
        <w:ind w:firstLine="420" w:firstLineChars="200"/>
        <w:rPr>
          <w:rFonts w:ascii="宋体" w:hAnsi="宋体"/>
          <w:szCs w:val="21"/>
        </w:rPr>
      </w:pPr>
      <w:r>
        <w:rPr>
          <w:rFonts w:hint="eastAsia" w:ascii="宋体" w:hAnsi="宋体"/>
          <w:szCs w:val="21"/>
        </w:rPr>
        <w:t>1、乙方所提供的货物型号、技术规格、技术参数等质量必须与招投标文件和承诺相一致。乙方提供的节能和环保产品必须是列入政府采购清单的产品。</w:t>
      </w:r>
    </w:p>
    <w:p>
      <w:pPr>
        <w:snapToGrid w:val="0"/>
        <w:spacing w:line="360" w:lineRule="exact"/>
        <w:ind w:firstLine="420" w:firstLineChars="200"/>
        <w:rPr>
          <w:rFonts w:ascii="宋体" w:hAnsi="宋体"/>
          <w:szCs w:val="21"/>
          <w:u w:val="single"/>
        </w:rPr>
      </w:pPr>
      <w:r>
        <w:rPr>
          <w:rFonts w:hint="eastAsia" w:ascii="宋体" w:hAnsi="宋体"/>
          <w:szCs w:val="21"/>
        </w:rPr>
        <w:t>2、乙方所提供的货物必须是全新、未使用的原装产品，且在正常安装、使用和保养条件下，其使用寿命期内各项指标均达到质量要求。</w:t>
      </w:r>
    </w:p>
    <w:p>
      <w:pPr>
        <w:snapToGrid w:val="0"/>
        <w:spacing w:line="360" w:lineRule="exact"/>
        <w:ind w:firstLine="422" w:firstLineChars="200"/>
        <w:outlineLvl w:val="0"/>
        <w:rPr>
          <w:rFonts w:ascii="宋体" w:hAnsi="宋体"/>
          <w:szCs w:val="21"/>
        </w:rPr>
      </w:pPr>
      <w:r>
        <w:rPr>
          <w:rFonts w:hint="eastAsia" w:ascii="宋体" w:hAnsi="宋体"/>
          <w:b/>
          <w:szCs w:val="21"/>
        </w:rPr>
        <w:t>第三条　权利保证</w:t>
      </w:r>
    </w:p>
    <w:p>
      <w:pPr>
        <w:snapToGrid w:val="0"/>
        <w:spacing w:line="360" w:lineRule="exact"/>
        <w:ind w:firstLine="420" w:firstLineChars="200"/>
        <w:rPr>
          <w:rFonts w:ascii="宋体" w:hAnsi="宋体"/>
          <w:szCs w:val="21"/>
        </w:rPr>
      </w:pPr>
      <w:r>
        <w:rPr>
          <w:rFonts w:hint="eastAsia" w:ascii="宋体" w:hAnsi="宋体"/>
          <w:szCs w:val="21"/>
        </w:rPr>
        <w:t>乙方应保证所提供货物在使用时不会侵犯任何第三方的专利权、商标权、工业设计权或其他权利。</w:t>
      </w:r>
    </w:p>
    <w:p>
      <w:pPr>
        <w:snapToGrid w:val="0"/>
        <w:spacing w:line="360" w:lineRule="exact"/>
        <w:ind w:firstLine="420" w:firstLineChars="200"/>
        <w:rPr>
          <w:rFonts w:ascii="宋体" w:hAnsi="宋体"/>
          <w:szCs w:val="21"/>
        </w:rPr>
      </w:pPr>
      <w:r>
        <w:rPr>
          <w:rFonts w:hint="eastAsia" w:ascii="宋体" w:hAnsi="宋体"/>
          <w:szCs w:val="21"/>
        </w:rPr>
        <w:t>乙方应按招标文件规定的时间向甲方提供使用货物的有关技术资料。</w:t>
      </w:r>
    </w:p>
    <w:p>
      <w:pPr>
        <w:snapToGrid w:val="0"/>
        <w:spacing w:line="360" w:lineRule="exact"/>
        <w:ind w:firstLine="420" w:firstLineChars="200"/>
        <w:rPr>
          <w:rFonts w:ascii="宋体" w:hAns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firstLine="420" w:firstLineChars="200"/>
        <w:rPr>
          <w:rFonts w:ascii="宋体" w:hAnsi="宋体"/>
          <w:szCs w:val="21"/>
        </w:rPr>
      </w:pPr>
      <w:r>
        <w:rPr>
          <w:rFonts w:hint="eastAsia" w:ascii="宋体" w:hAnsi="宋体"/>
          <w:szCs w:val="21"/>
        </w:rPr>
        <w:t>乙方保证所交付的货物的所有权完全属于乙方且无任何抵押、质押、查封等产权瑕疵。</w:t>
      </w:r>
    </w:p>
    <w:p>
      <w:pPr>
        <w:snapToGrid w:val="0"/>
        <w:spacing w:line="360" w:lineRule="exact"/>
        <w:ind w:firstLine="422" w:firstLineChars="200"/>
        <w:outlineLvl w:val="0"/>
        <w:rPr>
          <w:rFonts w:ascii="宋体" w:hAnsi="宋体"/>
          <w:b/>
          <w:szCs w:val="21"/>
        </w:rPr>
      </w:pPr>
      <w:r>
        <w:rPr>
          <w:rFonts w:hint="eastAsia" w:ascii="宋体" w:hAnsi="宋体"/>
          <w:b/>
          <w:szCs w:val="21"/>
        </w:rPr>
        <w:t>第四条　包装和运输</w:t>
      </w:r>
    </w:p>
    <w:p>
      <w:pPr>
        <w:snapToGrid w:val="0"/>
        <w:spacing w:line="360" w:lineRule="exact"/>
        <w:ind w:firstLine="420" w:firstLineChars="200"/>
        <w:rPr>
          <w:rFonts w:ascii="宋体" w:hAnsi="宋体"/>
          <w:szCs w:val="21"/>
        </w:rPr>
      </w:pPr>
      <w:r>
        <w:rPr>
          <w:rFonts w:hint="eastAsia" w:ascii="宋体" w:hAnsi="宋体"/>
          <w:szCs w:val="21"/>
        </w:rPr>
        <w:t>1、乙方提供的货物均应按招投标文件要求的包装材料、包装标准、包装方式进行包装，每一包装单元内应附详细的装箱单和质量合格证。</w:t>
      </w:r>
    </w:p>
    <w:p>
      <w:pPr>
        <w:snapToGrid w:val="0"/>
        <w:spacing w:line="360" w:lineRule="exact"/>
        <w:ind w:firstLine="420" w:firstLineChars="200"/>
        <w:rPr>
          <w:rFonts w:ascii="宋体" w:hAnsi="宋体"/>
          <w:szCs w:val="21"/>
        </w:rPr>
      </w:pPr>
      <w:r>
        <w:rPr>
          <w:rFonts w:hint="eastAsia" w:ascii="宋体" w:hAnsi="宋体"/>
          <w:szCs w:val="21"/>
        </w:rPr>
        <w:t>2、货物的运输方式：</w:t>
      </w:r>
      <w:r>
        <w:rPr>
          <w:rFonts w:hint="eastAsia" w:ascii="宋体" w:hAnsi="宋体"/>
          <w:szCs w:val="21"/>
          <w:u w:val="single"/>
        </w:rPr>
        <w:t>乙方自定。</w:t>
      </w:r>
    </w:p>
    <w:p>
      <w:pPr>
        <w:snapToGrid w:val="0"/>
        <w:spacing w:line="360" w:lineRule="exact"/>
        <w:ind w:firstLine="420" w:firstLineChars="200"/>
        <w:rPr>
          <w:rFonts w:ascii="宋体" w:hAnsi="宋体"/>
          <w:szCs w:val="21"/>
          <w:u w:val="single"/>
        </w:rPr>
      </w:pPr>
      <w:r>
        <w:rPr>
          <w:rFonts w:hint="eastAsia" w:ascii="宋体" w:hAnsi="宋体"/>
          <w:szCs w:val="21"/>
        </w:rPr>
        <w:t>3、乙方负责货物运输，货物运输合理损耗及计算方法：</w:t>
      </w:r>
      <w:r>
        <w:rPr>
          <w:rFonts w:hint="eastAsia" w:ascii="宋体" w:hAnsi="宋体"/>
          <w:szCs w:val="21"/>
          <w:u w:val="single"/>
        </w:rPr>
        <w:t xml:space="preserve">   无 。</w:t>
      </w:r>
    </w:p>
    <w:p>
      <w:pPr>
        <w:snapToGrid w:val="0"/>
        <w:spacing w:line="360" w:lineRule="exact"/>
        <w:ind w:firstLine="422" w:firstLineChars="200"/>
        <w:outlineLvl w:val="0"/>
        <w:rPr>
          <w:rFonts w:ascii="宋体" w:hAnsi="宋体"/>
          <w:szCs w:val="21"/>
        </w:rPr>
      </w:pPr>
      <w:r>
        <w:rPr>
          <w:rFonts w:hint="eastAsia" w:ascii="宋体" w:hAnsi="宋体"/>
          <w:b/>
          <w:szCs w:val="21"/>
        </w:rPr>
        <w:t>第五条　交付和验收</w:t>
      </w:r>
    </w:p>
    <w:p>
      <w:pPr>
        <w:snapToGrid w:val="0"/>
        <w:spacing w:line="360" w:lineRule="exact"/>
        <w:ind w:firstLine="420" w:firstLineChars="200"/>
        <w:rPr>
          <w:rFonts w:ascii="宋体" w:hAnsi="宋体"/>
          <w:szCs w:val="21"/>
        </w:rPr>
      </w:pPr>
      <w:r>
        <w:rPr>
          <w:rFonts w:hint="eastAsia"/>
        </w:rPr>
        <w:t>1、交付使用时间：</w:t>
      </w:r>
      <w:r>
        <w:rPr>
          <w:rFonts w:hint="eastAsia" w:ascii="宋体" w:hAnsi="宋体"/>
          <w:szCs w:val="21"/>
          <w:u w:val="single"/>
        </w:rPr>
        <w:t>按乙方投标文件中所承诺的时间</w:t>
      </w:r>
      <w:r>
        <w:rPr>
          <w:rFonts w:hint="eastAsia" w:ascii="宋体" w:hAnsi="宋体"/>
          <w:szCs w:val="21"/>
        </w:rPr>
        <w:t>、地点：</w:t>
      </w:r>
      <w:r>
        <w:rPr>
          <w:rFonts w:hint="eastAsia" w:ascii="宋体" w:hAnsi="宋体"/>
          <w:szCs w:val="21"/>
          <w:u w:val="single"/>
        </w:rPr>
        <w:t>采购人指定地点。</w:t>
      </w:r>
    </w:p>
    <w:p>
      <w:pPr>
        <w:snapToGrid w:val="0"/>
        <w:spacing w:line="360" w:lineRule="exact"/>
        <w:ind w:firstLine="420" w:firstLineChars="200"/>
        <w:rPr>
          <w:rFonts w:ascii="宋体" w:hAnsi="宋体"/>
          <w:szCs w:val="21"/>
        </w:rPr>
      </w:pPr>
      <w:r>
        <w:rPr>
          <w:rFonts w:hint="eastAsia" w:ascii="宋体" w:hAnsi="宋体"/>
          <w:szCs w:val="21"/>
        </w:rPr>
        <w:t>2、乙方提供不符合招投标文件和本合同规定的货物，甲方有权拒绝接受。</w:t>
      </w:r>
    </w:p>
    <w:p>
      <w:pPr>
        <w:snapToGrid w:val="0"/>
        <w:spacing w:line="360" w:lineRule="exact"/>
        <w:ind w:firstLine="420" w:firstLineChars="200"/>
        <w:rPr>
          <w:rFonts w:ascii="宋体" w:hAnsi="宋体"/>
          <w:szCs w:val="21"/>
        </w:rPr>
      </w:pPr>
      <w:r>
        <w:rPr>
          <w:rFonts w:hint="eastAsia" w:ascii="宋体" w:hAnsi="宋体"/>
          <w:szCs w:val="21"/>
        </w:rPr>
        <w:t>3、乙方应将所提供货物的装箱清单、用户手册、原厂保修卡、随机资料、工具和备品、备件等交付给甲方，如有缺失应及时补齐，否则视为逾期交货。</w:t>
      </w:r>
    </w:p>
    <w:p>
      <w:pPr>
        <w:snapToGrid w:val="0"/>
        <w:spacing w:line="360" w:lineRule="exact"/>
        <w:ind w:firstLine="420" w:firstLineChars="200"/>
        <w:rPr>
          <w:rFonts w:ascii="宋体" w:hAnsi="宋体"/>
          <w:szCs w:val="21"/>
        </w:rPr>
      </w:pPr>
      <w:r>
        <w:rPr>
          <w:rFonts w:hint="eastAsia" w:ascii="宋体" w:hAnsi="宋体"/>
          <w:szCs w:val="21"/>
        </w:rPr>
        <w:t>4、甲方应当在到货（需要安装、调试的，则安装、调试完完）后七个工作日内进行验收，逾期不验收的，乙方可视同验收合格。验收合格后由甲乙双方签署货物验收单并加盖采购单位公章，甲乙双方各执一份。</w:t>
      </w:r>
    </w:p>
    <w:p>
      <w:pPr>
        <w:snapToGrid w:val="0"/>
        <w:spacing w:line="360" w:lineRule="exact"/>
        <w:ind w:firstLine="420" w:firstLineChars="200"/>
        <w:rPr>
          <w:rFonts w:ascii="宋体" w:hAnsi="宋体"/>
          <w:szCs w:val="21"/>
        </w:rPr>
      </w:pPr>
      <w:r>
        <w:rPr>
          <w:rFonts w:hint="eastAsia" w:ascii="宋体" w:hAnsi="宋体"/>
          <w:szCs w:val="21"/>
        </w:rPr>
        <w:t>5、采购人委托广西区政府采购中心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rFonts w:ascii="宋体" w:hAnsi="宋体"/>
          <w:szCs w:val="21"/>
        </w:rPr>
      </w:pPr>
      <w:r>
        <w:rPr>
          <w:rFonts w:hint="eastAsia" w:ascii="宋体" w:hAnsi="宋体"/>
          <w:szCs w:val="21"/>
        </w:rPr>
        <w:t>6、甲方对验收有异议的，在验收后五个工作日内以书面形式向乙方提出，乙方应自收到甲方书面异议后</w:t>
      </w:r>
      <w:r>
        <w:rPr>
          <w:rFonts w:hint="eastAsia" w:ascii="宋体" w:hAnsi="宋体"/>
          <w:szCs w:val="21"/>
          <w:u w:val="single"/>
        </w:rPr>
        <w:t xml:space="preserve">    </w:t>
      </w:r>
      <w:r>
        <w:rPr>
          <w:rFonts w:hint="eastAsia" w:ascii="宋体" w:hAnsi="宋体"/>
          <w:szCs w:val="21"/>
        </w:rPr>
        <w:t>日内及时予以解决。</w:t>
      </w:r>
    </w:p>
    <w:p>
      <w:pPr>
        <w:snapToGrid w:val="0"/>
        <w:spacing w:line="360" w:lineRule="exact"/>
        <w:ind w:firstLine="422" w:firstLineChars="200"/>
        <w:outlineLvl w:val="0"/>
        <w:rPr>
          <w:rFonts w:ascii="宋体" w:hAnsi="宋体"/>
          <w:b/>
          <w:szCs w:val="21"/>
        </w:rPr>
      </w:pPr>
      <w:r>
        <w:rPr>
          <w:rFonts w:hint="eastAsia" w:ascii="宋体" w:hAnsi="宋体"/>
          <w:b/>
          <w:szCs w:val="21"/>
        </w:rPr>
        <w:t>第六条　安装和培训</w:t>
      </w:r>
    </w:p>
    <w:p>
      <w:pPr>
        <w:snapToGrid w:val="0"/>
        <w:spacing w:line="360" w:lineRule="exact"/>
        <w:ind w:firstLine="420" w:firstLineChars="200"/>
        <w:rPr>
          <w:rFonts w:ascii="宋体" w:hAnsi="宋体"/>
          <w:szCs w:val="21"/>
        </w:rPr>
      </w:pPr>
      <w:r>
        <w:rPr>
          <w:rFonts w:hint="eastAsia" w:ascii="宋体" w:hAnsi="宋体"/>
          <w:szCs w:val="21"/>
        </w:rPr>
        <w:t>1、甲方应提供必要安装条件（如场地、电源、水源等）。</w:t>
      </w:r>
    </w:p>
    <w:p>
      <w:pPr>
        <w:snapToGrid w:val="0"/>
        <w:spacing w:line="360" w:lineRule="exact"/>
        <w:ind w:firstLine="420" w:firstLineChars="200"/>
        <w:rPr>
          <w:rFonts w:ascii="宋体" w:hAnsi="宋体"/>
          <w:szCs w:val="21"/>
          <w:u w:val="single"/>
        </w:rPr>
      </w:pPr>
      <w:r>
        <w:rPr>
          <w:rFonts w:hint="eastAsia" w:ascii="宋体" w:hAnsi="宋体"/>
          <w:szCs w:val="21"/>
        </w:rPr>
        <w:t>2、乙方负责甲方有关人员的培训。培训时间、地点：</w:t>
      </w:r>
      <w:r>
        <w:rPr>
          <w:rFonts w:hint="eastAsia" w:ascii="宋体" w:hAnsi="宋体"/>
          <w:szCs w:val="21"/>
          <w:u w:val="single"/>
        </w:rPr>
        <w:t>按甲方需求要求。</w:t>
      </w:r>
    </w:p>
    <w:p>
      <w:pPr>
        <w:snapToGrid w:val="0"/>
        <w:spacing w:line="360" w:lineRule="exact"/>
        <w:ind w:firstLine="422" w:firstLineChars="200"/>
        <w:outlineLvl w:val="0"/>
        <w:rPr>
          <w:rFonts w:ascii="宋体" w:hAnsi="宋体"/>
          <w:b/>
          <w:szCs w:val="21"/>
        </w:rPr>
      </w:pPr>
      <w:r>
        <w:rPr>
          <w:rFonts w:hint="eastAsia" w:ascii="宋体" w:hAnsi="宋体"/>
          <w:b/>
          <w:szCs w:val="21"/>
        </w:rPr>
        <w:t>第七条  售后服务、保修期</w:t>
      </w:r>
    </w:p>
    <w:p>
      <w:pPr>
        <w:snapToGrid w:val="0"/>
        <w:spacing w:line="360" w:lineRule="exact"/>
        <w:ind w:firstLine="420" w:firstLineChars="200"/>
        <w:rPr>
          <w:rFonts w:ascii="宋体" w:hAnsi="宋体"/>
          <w:szCs w:val="21"/>
        </w:rPr>
      </w:pPr>
      <w:r>
        <w:rPr>
          <w:rFonts w:hint="eastAsia" w:ascii="宋体" w:hAnsi="宋体"/>
          <w:szCs w:val="21"/>
        </w:rPr>
        <w:t>1、乙方应按照国家有关法律法规和“三包”规定以及招投标文件和本合同所附的《服务承诺》，为甲方提供售后服务。</w:t>
      </w:r>
    </w:p>
    <w:p>
      <w:pPr>
        <w:snapToGrid w:val="0"/>
        <w:spacing w:line="360" w:lineRule="exact"/>
        <w:ind w:firstLine="420" w:firstLineChars="200"/>
        <w:rPr>
          <w:rFonts w:ascii="宋体" w:hAnsi="宋体"/>
          <w:szCs w:val="21"/>
          <w:u w:val="single"/>
        </w:rPr>
      </w:pPr>
      <w:r>
        <w:rPr>
          <w:rFonts w:hint="eastAsia" w:ascii="宋体" w:hAnsi="宋体"/>
          <w:szCs w:val="21"/>
        </w:rPr>
        <w:t>2、货物保修期：</w:t>
      </w:r>
      <w:r>
        <w:rPr>
          <w:rFonts w:hint="eastAsia"/>
          <w:b/>
          <w:szCs w:val="21"/>
          <w:u w:val="single"/>
        </w:rPr>
        <w:t>分项有要求的按分项要求，分项无要求的</w:t>
      </w:r>
      <w:r>
        <w:rPr>
          <w:b/>
          <w:szCs w:val="21"/>
          <w:u w:val="single"/>
        </w:rPr>
        <w:t>按国家标准实行“三包”</w:t>
      </w:r>
      <w:r>
        <w:rPr>
          <w:rFonts w:hint="eastAsia" w:ascii="宋体" w:hAnsi="宋体"/>
          <w:szCs w:val="21"/>
        </w:rPr>
        <w:t>。</w:t>
      </w:r>
    </w:p>
    <w:p>
      <w:pPr>
        <w:snapToGrid w:val="0"/>
        <w:spacing w:line="360" w:lineRule="exact"/>
        <w:ind w:firstLine="420" w:firstLineChars="200"/>
        <w:rPr>
          <w:rFonts w:ascii="宋体" w:hAnsi="宋体"/>
          <w:szCs w:val="21"/>
          <w:u w:val="single"/>
        </w:rPr>
      </w:pPr>
      <w:r>
        <w:rPr>
          <w:rFonts w:hint="eastAsia" w:ascii="宋体" w:hAnsi="宋体"/>
          <w:szCs w:val="21"/>
        </w:rPr>
        <w:t>3、乙方提供的服务承诺和售后服务及保修期责任等其它具体约定事项。（见合同附件）</w:t>
      </w:r>
    </w:p>
    <w:p>
      <w:pPr>
        <w:snapToGrid w:val="0"/>
        <w:spacing w:line="360" w:lineRule="exact"/>
        <w:ind w:firstLine="422" w:firstLineChars="200"/>
        <w:outlineLvl w:val="0"/>
        <w:rPr>
          <w:rFonts w:ascii="宋体" w:hAnsi="宋体"/>
          <w:szCs w:val="21"/>
        </w:rPr>
      </w:pPr>
      <w:r>
        <w:rPr>
          <w:rFonts w:hint="eastAsia" w:ascii="宋体" w:hAnsi="宋体"/>
          <w:b/>
          <w:szCs w:val="21"/>
        </w:rPr>
        <w:t>第八条　付款方式和保证金</w:t>
      </w:r>
    </w:p>
    <w:p>
      <w:pPr>
        <w:pStyle w:val="17"/>
        <w:snapToGrid w:val="0"/>
        <w:spacing w:before="120" w:after="120" w:line="360" w:lineRule="exact"/>
        <w:ind w:left="420" w:leftChars="200"/>
        <w:rPr>
          <w:rFonts w:hAnsi="宋体"/>
        </w:rPr>
      </w:pPr>
      <w:r>
        <w:rPr>
          <w:rFonts w:hint="eastAsia" w:hAnsi="宋体"/>
          <w:bCs/>
        </w:rPr>
        <w:t>1、</w:t>
      </w:r>
      <w:r>
        <w:rPr>
          <w:rFonts w:hint="eastAsia" w:hAnsi="宋体"/>
        </w:rPr>
        <w:t>当采购数量与实际使用数量不一致时，乙方应根据实际使用量供货，合同的最终结算金额按实际使用量乘以成交单价进行计算。</w:t>
      </w:r>
    </w:p>
    <w:p>
      <w:pPr>
        <w:snapToGrid w:val="0"/>
        <w:spacing w:line="360" w:lineRule="exact"/>
        <w:ind w:firstLine="420" w:firstLineChars="200"/>
        <w:rPr>
          <w:rFonts w:ascii="宋体" w:hAnsi="宋体"/>
          <w:szCs w:val="21"/>
          <w:u w:val="single"/>
        </w:rPr>
      </w:pPr>
      <w:r>
        <w:rPr>
          <w:rFonts w:hint="eastAsia" w:ascii="宋体" w:hAnsi="宋体"/>
          <w:szCs w:val="21"/>
        </w:rPr>
        <w:t>2、资金性质：</w:t>
      </w:r>
      <w:r>
        <w:rPr>
          <w:rFonts w:hint="eastAsia" w:ascii="宋体" w:hAnsi="宋体"/>
          <w:b/>
          <w:szCs w:val="21"/>
          <w:u w:val="single"/>
        </w:rPr>
        <w:t>财政性资金</w:t>
      </w:r>
      <w:r>
        <w:rPr>
          <w:rFonts w:hint="eastAsia" w:ascii="宋体" w:hAnsi="宋体"/>
          <w:b/>
          <w:szCs w:val="21"/>
        </w:rPr>
        <w:t>。</w:t>
      </w:r>
    </w:p>
    <w:p>
      <w:pPr>
        <w:snapToGrid w:val="0"/>
        <w:spacing w:line="360" w:lineRule="exact"/>
        <w:ind w:left="-61" w:leftChars="-29" w:firstLine="514" w:firstLineChars="245"/>
        <w:rPr>
          <w:rFonts w:ascii="宋体" w:hAnsi="Courier New" w:cs="Courier New"/>
          <w:b/>
          <w:color w:val="FF0000"/>
          <w:szCs w:val="21"/>
        </w:rPr>
      </w:pPr>
      <w:r>
        <w:rPr>
          <w:rFonts w:hint="eastAsia"/>
          <w:color w:val="FF0000"/>
        </w:rPr>
        <w:t>3、付款方式：签订合同后，</w:t>
      </w:r>
      <w:r>
        <w:rPr>
          <w:rFonts w:hint="eastAsia"/>
          <w:color w:val="FF0000"/>
          <w:lang w:val="en-US" w:eastAsia="zh-CN"/>
        </w:rPr>
        <w:t>5个工作日内付</w:t>
      </w:r>
      <w:r>
        <w:rPr>
          <w:rFonts w:hint="eastAsia"/>
          <w:color w:val="FF0000"/>
        </w:rPr>
        <w:t>合同款</w:t>
      </w:r>
      <w:r>
        <w:rPr>
          <w:rFonts w:hint="eastAsia"/>
          <w:color w:val="FF0000"/>
          <w:lang w:val="en-US" w:eastAsia="zh-CN"/>
        </w:rPr>
        <w:t>3</w:t>
      </w:r>
      <w:r>
        <w:rPr>
          <w:rFonts w:hint="eastAsia"/>
          <w:color w:val="FF0000"/>
        </w:rPr>
        <w:t>0%</w:t>
      </w:r>
      <w:r>
        <w:rPr>
          <w:rFonts w:hint="eastAsia"/>
          <w:color w:val="FF0000"/>
          <w:lang w:eastAsia="zh-CN"/>
        </w:rPr>
        <w:t>作为预付款，</w:t>
      </w:r>
      <w:r>
        <w:rPr>
          <w:rFonts w:hint="eastAsia"/>
          <w:color w:val="FF0000"/>
        </w:rPr>
        <w:t>,安装调试完毕并验收合格后付合同款97%，余下3%作为质保金，待质保期满后，采购人在1个月内退还乙方质保金（不计利息）。</w:t>
      </w:r>
    </w:p>
    <w:p>
      <w:pPr>
        <w:snapToGrid w:val="0"/>
        <w:spacing w:line="360" w:lineRule="exact"/>
        <w:ind w:left="-61" w:leftChars="-29" w:firstLine="517" w:firstLineChars="245"/>
        <w:outlineLvl w:val="0"/>
        <w:rPr>
          <w:rFonts w:ascii="宋体" w:hAnsi="Courier New" w:cs="Courier New"/>
          <w:b/>
          <w:szCs w:val="21"/>
        </w:rPr>
      </w:pPr>
      <w:r>
        <w:rPr>
          <w:rFonts w:hint="eastAsia" w:ascii="宋体" w:hAnsi="Courier New" w:cs="Courier New"/>
          <w:b/>
          <w:szCs w:val="21"/>
        </w:rPr>
        <w:t>第九条　履约保证金</w:t>
      </w:r>
    </w:p>
    <w:p>
      <w:pPr>
        <w:snapToGrid w:val="0"/>
        <w:spacing w:line="360" w:lineRule="exact"/>
        <w:ind w:left="-61" w:leftChars="-29" w:firstLine="514" w:firstLineChars="245"/>
        <w:rPr>
          <w:rFonts w:ascii="宋体" w:hAnsi="Courier New" w:cs="Courier New"/>
          <w:szCs w:val="21"/>
        </w:rPr>
      </w:pPr>
      <w:r>
        <w:rPr>
          <w:rFonts w:hint="eastAsia"/>
        </w:rPr>
        <w:t>合同金额的</w:t>
      </w:r>
      <w:r>
        <w:t>3%</w:t>
      </w:r>
      <w:r>
        <w:rPr>
          <w:rFonts w:hint="eastAsia"/>
        </w:rPr>
        <w:t>作为质保金，</w:t>
      </w:r>
      <w:r>
        <w:t>电梯</w:t>
      </w:r>
      <w:r>
        <w:rPr>
          <w:rFonts w:hint="eastAsia"/>
        </w:rPr>
        <w:t>正常使用</w:t>
      </w:r>
      <w:r>
        <w:t>一个月</w:t>
      </w:r>
      <w:r>
        <w:rPr>
          <w:rFonts w:hint="eastAsia"/>
        </w:rPr>
        <w:t>后付清。</w:t>
      </w:r>
    </w:p>
    <w:p>
      <w:pPr>
        <w:snapToGrid w:val="0"/>
        <w:spacing w:line="360" w:lineRule="exact"/>
        <w:ind w:left="-61" w:leftChars="-29" w:firstLine="517" w:firstLineChars="245"/>
        <w:outlineLvl w:val="0"/>
        <w:rPr>
          <w:rFonts w:ascii="宋体" w:hAnsi="宋体"/>
          <w:b/>
          <w:szCs w:val="21"/>
        </w:rPr>
      </w:pPr>
      <w:r>
        <w:rPr>
          <w:rFonts w:hint="eastAsia" w:ascii="宋体" w:hAnsi="宋体"/>
          <w:b/>
          <w:szCs w:val="21"/>
        </w:rPr>
        <w:t>第十条、税费本合同执行中相关的一切税费均由乙方负担。</w:t>
      </w:r>
    </w:p>
    <w:p>
      <w:pPr>
        <w:snapToGrid w:val="0"/>
        <w:spacing w:line="360" w:lineRule="exact"/>
        <w:ind w:firstLine="422" w:firstLineChars="200"/>
        <w:outlineLvl w:val="0"/>
        <w:rPr>
          <w:rFonts w:ascii="宋体" w:hAnsi="宋体"/>
          <w:b/>
          <w:szCs w:val="21"/>
        </w:rPr>
      </w:pPr>
      <w:r>
        <w:rPr>
          <w:rFonts w:hint="eastAsia" w:ascii="宋体" w:hAnsi="宋体"/>
          <w:b/>
          <w:szCs w:val="21"/>
        </w:rPr>
        <w:t>第十一条、质量保证及售后服务</w:t>
      </w:r>
    </w:p>
    <w:p>
      <w:pPr>
        <w:snapToGrid w:val="0"/>
        <w:spacing w:line="360" w:lineRule="exact"/>
        <w:ind w:firstLine="420" w:firstLineChars="200"/>
        <w:rPr>
          <w:rFonts w:ascii="宋体" w:hAnsi="宋体"/>
          <w:szCs w:val="21"/>
        </w:rPr>
      </w:pPr>
      <w:r>
        <w:rPr>
          <w:rFonts w:hint="eastAsia" w:ascii="宋体" w:hAnsi="宋体"/>
          <w:szCs w:val="21"/>
        </w:rPr>
        <w:t>1. 乙方应按招标文件规定的货物性能、技术要求、质量标准向甲方提供未经使用的全新产品。</w:t>
      </w:r>
      <w:r>
        <w:rPr>
          <w:rFonts w:hint="eastAsia" w:hAnsi="宋体"/>
        </w:rPr>
        <w:t>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r>
        <w:rPr>
          <w:rFonts w:hint="eastAsia" w:ascii="宋体" w:hAnsi="宋体"/>
          <w:szCs w:val="21"/>
        </w:rPr>
        <w:t>：</w:t>
      </w:r>
    </w:p>
    <w:p>
      <w:pPr>
        <w:pStyle w:val="17"/>
        <w:snapToGrid w:val="0"/>
        <w:spacing w:before="120" w:after="120" w:line="360" w:lineRule="exact"/>
        <w:ind w:firstLine="315" w:firstLineChars="150"/>
        <w:rPr>
          <w:rFonts w:hAnsi="宋体"/>
        </w:rPr>
      </w:pPr>
      <w:r>
        <w:rPr>
          <w:rFonts w:hint="eastAsia" w:hAnsi="宋体"/>
        </w:rPr>
        <w:t>⑴更换：由乙方承担所发生的全部费用。</w:t>
      </w:r>
    </w:p>
    <w:p>
      <w:pPr>
        <w:pStyle w:val="17"/>
        <w:snapToGrid w:val="0"/>
        <w:spacing w:before="120" w:after="120" w:line="360" w:lineRule="exact"/>
        <w:ind w:firstLine="420"/>
        <w:rPr>
          <w:rFonts w:hAnsi="宋体"/>
        </w:rPr>
      </w:pPr>
      <w:r>
        <w:rPr>
          <w:rFonts w:hint="eastAsia" w:hAnsi="宋体"/>
        </w:rPr>
        <w:t>⑵贬值处理：由甲乙双方合议定价。</w:t>
      </w:r>
    </w:p>
    <w:p>
      <w:pPr>
        <w:pStyle w:val="17"/>
        <w:snapToGrid w:val="0"/>
        <w:spacing w:before="120" w:after="120" w:line="360" w:lineRule="exact"/>
        <w:ind w:left="420" w:leftChars="200"/>
        <w:rPr>
          <w:rFonts w:hAnsi="宋体"/>
        </w:rPr>
      </w:pPr>
      <w:r>
        <w:rPr>
          <w:rFonts w:hint="eastAsia" w:hAnsi="宋体"/>
        </w:rPr>
        <w:t>⑶退货处理：乙方应退还甲方支付的合同款，同时应承担该货物的直接费用（运输、保险、检验、货款利息及银行手续费等）。</w:t>
      </w:r>
    </w:p>
    <w:p>
      <w:pPr>
        <w:pStyle w:val="17"/>
        <w:snapToGrid w:val="0"/>
        <w:spacing w:before="120" w:after="120" w:line="360" w:lineRule="exact"/>
        <w:ind w:firstLine="420" w:firstLineChars="200"/>
        <w:rPr>
          <w:rFonts w:hAnsi="宋体"/>
        </w:rPr>
      </w:pPr>
      <w:r>
        <w:rPr>
          <w:rFonts w:hint="eastAsia" w:hAnsi="宋体"/>
        </w:rPr>
        <w:t>2. 如在使用过程中发生质量问题，乙方在接到甲方通知后在</w:t>
      </w:r>
      <w:r>
        <w:rPr>
          <w:rFonts w:hint="eastAsia" w:hAnsi="宋体"/>
          <w:u w:val="single"/>
        </w:rPr>
        <w:t xml:space="preserve">    </w:t>
      </w:r>
      <w:r>
        <w:rPr>
          <w:rFonts w:hint="eastAsia" w:hAnsi="宋体"/>
        </w:rPr>
        <w:t>小时内到达甲方现场。乙方不能或拒绝到达现场进行维修的，甲方有权请求第三方进行维修，维修所产生的维修费由乙方承担，乙方还应承担维修费的20%的管理费。</w:t>
      </w:r>
    </w:p>
    <w:p>
      <w:pPr>
        <w:pStyle w:val="17"/>
        <w:snapToGrid w:val="0"/>
        <w:spacing w:before="120" w:after="120" w:line="360" w:lineRule="exact"/>
        <w:ind w:firstLine="420" w:firstLineChars="200"/>
        <w:rPr>
          <w:rFonts w:hAnsi="宋体"/>
        </w:rPr>
      </w:pPr>
      <w:r>
        <w:rPr>
          <w:rFonts w:hint="eastAsia" w:hAnsi="宋体"/>
        </w:rPr>
        <w:t>3. 在质保期内，乙方应对货物出现的质量及安全问题负责处理解决并承担一切费用。</w:t>
      </w:r>
    </w:p>
    <w:p>
      <w:pPr>
        <w:pStyle w:val="17"/>
        <w:snapToGrid w:val="0"/>
        <w:spacing w:before="120" w:after="120" w:line="360" w:lineRule="exact"/>
        <w:ind w:firstLine="420" w:firstLineChars="200"/>
        <w:rPr>
          <w:rFonts w:hAnsi="宋体"/>
        </w:rPr>
      </w:pPr>
      <w:r>
        <w:rPr>
          <w:rFonts w:hint="eastAsia" w:hAnsi="宋体"/>
        </w:rPr>
        <w:t>4.上述的货物免费保修期为</w:t>
      </w:r>
      <w:r>
        <w:rPr>
          <w:rFonts w:hint="eastAsia" w:hAnsi="宋体"/>
          <w:u w:val="single"/>
        </w:rPr>
        <w:t xml:space="preserve">     </w:t>
      </w:r>
      <w:r>
        <w:rPr>
          <w:rFonts w:hint="eastAsia" w:hAnsi="宋体"/>
        </w:rPr>
        <w:t>年，因人为因素出现的故障不在免费保修范围内。超过保修期的机器设备，终生维修，维修时只收部件成本费。</w:t>
      </w:r>
    </w:p>
    <w:p>
      <w:pPr>
        <w:pStyle w:val="17"/>
        <w:snapToGrid w:val="0"/>
        <w:spacing w:before="120" w:after="120" w:line="360" w:lineRule="exact"/>
        <w:ind w:firstLine="413" w:firstLineChars="196"/>
        <w:outlineLvl w:val="0"/>
        <w:rPr>
          <w:rFonts w:hAnsi="宋体"/>
          <w:b/>
        </w:rPr>
      </w:pPr>
      <w:r>
        <w:rPr>
          <w:rFonts w:hint="eastAsia" w:hAnsi="宋体"/>
          <w:b/>
        </w:rPr>
        <w:t>第十二条、调试和验收</w:t>
      </w:r>
    </w:p>
    <w:p>
      <w:pPr>
        <w:pStyle w:val="17"/>
        <w:snapToGrid w:val="0"/>
        <w:spacing w:before="120" w:after="120" w:line="360" w:lineRule="exact"/>
        <w:ind w:firstLine="420" w:firstLineChars="200"/>
        <w:jc w:val="left"/>
        <w:rPr>
          <w:rFonts w:hAnsi="宋体"/>
        </w:rPr>
      </w:pPr>
      <w:r>
        <w:rPr>
          <w:rFonts w:hint="eastAsia" w:hAnsi="宋体"/>
        </w:rPr>
        <w:t>1. 甲方对乙方提交的货物依据招标文件上的技术规格要求和国家有关质量标准进行现场初步验收，外观、说明书符合招标文件技术要求的，给予签收，初步验收不合格的不予签收。货到后，</w:t>
      </w:r>
      <w:r>
        <w:rPr>
          <w:rFonts w:hint="eastAsia" w:hAnsi="宋体"/>
          <w:bCs/>
        </w:rPr>
        <w:t>甲方应当在到货（安装、调试完）后七个工作日内进行验收</w:t>
      </w:r>
      <w:r>
        <w:rPr>
          <w:rFonts w:hint="eastAsia" w:hAnsi="宋体"/>
        </w:rPr>
        <w:t>。</w:t>
      </w:r>
    </w:p>
    <w:p>
      <w:pPr>
        <w:pStyle w:val="17"/>
        <w:snapToGrid w:val="0"/>
        <w:spacing w:before="120" w:after="120" w:line="360" w:lineRule="exact"/>
        <w:ind w:firstLine="420" w:firstLineChars="200"/>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17"/>
        <w:snapToGrid w:val="0"/>
        <w:spacing w:before="120" w:after="120" w:line="360" w:lineRule="exact"/>
        <w:ind w:firstLine="420" w:firstLineChars="200"/>
        <w:rPr>
          <w:rFonts w:hAnsi="宋体"/>
          <w:u w:val="single"/>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17"/>
        <w:snapToGrid w:val="0"/>
        <w:spacing w:before="120" w:after="120" w:line="360" w:lineRule="exact"/>
        <w:ind w:firstLine="420" w:firstLineChars="200"/>
        <w:rPr>
          <w:rFonts w:hAnsi="宋体"/>
        </w:rPr>
      </w:pPr>
      <w:r>
        <w:rPr>
          <w:rFonts w:hint="eastAsia" w:hAnsi="宋体"/>
        </w:rPr>
        <w:t>4. 对技术复杂的货物，甲方应请国家认可的专业检测机构参与初步验收及最终验收，并由其出具质量检测报告。</w:t>
      </w:r>
    </w:p>
    <w:p>
      <w:pPr>
        <w:pStyle w:val="17"/>
        <w:snapToGrid w:val="0"/>
        <w:spacing w:before="120" w:after="120" w:line="360" w:lineRule="exact"/>
        <w:ind w:firstLine="420" w:firstLineChars="200"/>
        <w:rPr>
          <w:rFonts w:hAnsi="宋体"/>
        </w:rPr>
      </w:pPr>
      <w:r>
        <w:rPr>
          <w:rFonts w:hint="eastAsia" w:hAnsi="宋体"/>
        </w:rPr>
        <w:t>5. 验收时乙方必须在现场，验收完毕后作出验收结果报告；验收费用由乙方负责。</w:t>
      </w:r>
    </w:p>
    <w:p>
      <w:pPr>
        <w:pStyle w:val="17"/>
        <w:snapToGrid w:val="0"/>
        <w:spacing w:before="120" w:after="120" w:line="360" w:lineRule="exact"/>
        <w:ind w:firstLine="413" w:firstLineChars="196"/>
        <w:rPr>
          <w:rFonts w:hAnsi="宋体"/>
          <w:b/>
        </w:rPr>
      </w:pPr>
      <w:r>
        <w:rPr>
          <w:rFonts w:hint="eastAsia" w:hAnsi="宋体"/>
          <w:b/>
        </w:rPr>
        <w:t>第十三条、货物包装、发运及运输</w:t>
      </w:r>
    </w:p>
    <w:p>
      <w:pPr>
        <w:pStyle w:val="17"/>
        <w:snapToGrid w:val="0"/>
        <w:spacing w:before="120" w:after="120" w:line="360" w:lineRule="exact"/>
        <w:ind w:left="420" w:leftChars="200"/>
        <w:rPr>
          <w:rFonts w:hAnsi="宋体"/>
        </w:rPr>
      </w:pPr>
      <w:r>
        <w:rPr>
          <w:rFonts w:hint="eastAsia" w:hAnsi="宋体"/>
        </w:rPr>
        <w:t>1. 乙方应在货物发运前对其进行满足运输距离、防潮、防震、防锈和防破损装卸等要求包装，以保证</w:t>
      </w:r>
    </w:p>
    <w:p>
      <w:pPr>
        <w:pStyle w:val="17"/>
        <w:snapToGrid w:val="0"/>
        <w:spacing w:before="120" w:after="120" w:line="360" w:lineRule="exact"/>
        <w:rPr>
          <w:rFonts w:hAnsi="宋体"/>
        </w:rPr>
      </w:pPr>
      <w:r>
        <w:rPr>
          <w:rFonts w:hint="eastAsia" w:hAnsi="宋体"/>
        </w:rPr>
        <w:t>货物安全运达甲方指定地点。</w:t>
      </w:r>
    </w:p>
    <w:p>
      <w:pPr>
        <w:pStyle w:val="17"/>
        <w:snapToGrid w:val="0"/>
        <w:spacing w:before="120" w:after="120" w:line="360" w:lineRule="exact"/>
        <w:ind w:left="420" w:leftChars="200"/>
        <w:rPr>
          <w:rFonts w:hAnsi="宋体"/>
        </w:rPr>
      </w:pPr>
      <w:r>
        <w:rPr>
          <w:rFonts w:hint="eastAsia" w:hAnsi="宋体"/>
        </w:rPr>
        <w:t>2. 使用说明书、质量检验证明书、随配附件和工具以及清单一并附于货物内。</w:t>
      </w:r>
    </w:p>
    <w:p>
      <w:pPr>
        <w:pStyle w:val="17"/>
        <w:snapToGrid w:val="0"/>
        <w:spacing w:before="120" w:after="120" w:line="360" w:lineRule="exact"/>
        <w:ind w:left="420" w:leftChars="200"/>
        <w:rPr>
          <w:rFonts w:hAnsi="宋体"/>
        </w:rPr>
      </w:pPr>
      <w:r>
        <w:rPr>
          <w:rFonts w:hint="eastAsia" w:hAnsi="宋体"/>
        </w:rPr>
        <w:t>3. 乙方在货物发运手续办理完毕后二十四小时内或货到甲方四十八小时前通知甲方，以准备接货。</w:t>
      </w:r>
    </w:p>
    <w:p>
      <w:pPr>
        <w:pStyle w:val="17"/>
        <w:snapToGrid w:val="0"/>
        <w:spacing w:before="120" w:after="120" w:line="360" w:lineRule="exact"/>
        <w:ind w:left="420" w:leftChars="200"/>
        <w:rPr>
          <w:rFonts w:hAnsi="宋体"/>
        </w:rPr>
      </w:pPr>
      <w:r>
        <w:rPr>
          <w:rFonts w:hint="eastAsia" w:hAnsi="宋体"/>
        </w:rPr>
        <w:t>4. 货物在交付甲方前发生的风险均由乙方负责。</w:t>
      </w:r>
    </w:p>
    <w:p>
      <w:pPr>
        <w:pStyle w:val="17"/>
        <w:snapToGrid w:val="0"/>
        <w:spacing w:line="360" w:lineRule="exact"/>
        <w:ind w:left="420" w:leftChars="200" w:right="26"/>
        <w:rPr>
          <w:rFonts w:hAnsi="宋体"/>
          <w:spacing w:val="-8"/>
        </w:rPr>
      </w:pPr>
      <w:r>
        <w:rPr>
          <w:rFonts w:hint="eastAsia" w:hAnsi="宋体"/>
        </w:rPr>
        <w:t>5. 货</w:t>
      </w:r>
      <w:r>
        <w:rPr>
          <w:rFonts w:hint="eastAsia" w:hAnsi="宋体"/>
          <w:spacing w:val="-8"/>
        </w:rPr>
        <w:t>物在规定的交付期限内由乙方送达甲方指定的地点视为交付，乙方同时需通知甲方货物已送达。</w:t>
      </w:r>
    </w:p>
    <w:p>
      <w:pPr>
        <w:snapToGrid w:val="0"/>
        <w:spacing w:line="360" w:lineRule="exact"/>
        <w:ind w:firstLine="422" w:firstLineChars="200"/>
        <w:outlineLvl w:val="0"/>
        <w:rPr>
          <w:rFonts w:ascii="宋体" w:hAnsi="宋体"/>
          <w:b/>
          <w:szCs w:val="21"/>
        </w:rPr>
      </w:pPr>
      <w:r>
        <w:rPr>
          <w:rFonts w:hint="eastAsia" w:ascii="宋体" w:hAnsi="宋体"/>
          <w:b/>
          <w:szCs w:val="21"/>
        </w:rPr>
        <w:t>第十四条　违约责任</w:t>
      </w:r>
    </w:p>
    <w:p>
      <w:pPr>
        <w:snapToGrid w:val="0"/>
        <w:spacing w:line="360" w:lineRule="exact"/>
        <w:ind w:firstLine="525" w:firstLineChars="250"/>
        <w:rPr>
          <w:rFonts w:ascii="宋体" w:hAnsi="宋体"/>
          <w:szCs w:val="21"/>
        </w:rPr>
      </w:pPr>
      <w:r>
        <w:rPr>
          <w:rFonts w:hint="eastAsia" w:ascii="宋体" w:hAnsi="宋体"/>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firstLine="472" w:firstLineChars="225"/>
        <w:rPr>
          <w:rFonts w:ascii="宋体" w:hAnsi="宋体"/>
          <w:szCs w:val="21"/>
        </w:rPr>
      </w:pPr>
      <w:r>
        <w:rPr>
          <w:rFonts w:hint="eastAsia" w:ascii="宋体" w:hAnsi="宋体"/>
          <w:szCs w:val="21"/>
        </w:rPr>
        <w:t>2、乙方提供的货物如侵犯了第三方合法权益而引发的任何纠纷或诉讼，均由乙方负责交涉并承担全部责任。</w:t>
      </w:r>
    </w:p>
    <w:p>
      <w:pPr>
        <w:snapToGrid w:val="0"/>
        <w:spacing w:line="360" w:lineRule="exact"/>
        <w:ind w:firstLine="420" w:firstLineChars="200"/>
        <w:rPr>
          <w:rFonts w:ascii="宋体" w:hAnsi="宋体"/>
          <w:szCs w:val="21"/>
        </w:rPr>
      </w:pPr>
      <w:r>
        <w:rPr>
          <w:rFonts w:hint="eastAsia" w:ascii="宋体" w:hAnsi="宋体"/>
          <w:szCs w:val="21"/>
        </w:rPr>
        <w:t>3、因包装、运输引起的货物损坏，按质量不合格处罚。</w:t>
      </w:r>
    </w:p>
    <w:p>
      <w:pPr>
        <w:snapToGrid w:val="0"/>
        <w:spacing w:line="360" w:lineRule="exact"/>
        <w:ind w:firstLine="420" w:firstLineChars="200"/>
        <w:rPr>
          <w:rFonts w:ascii="宋体" w:hAnsi="宋体"/>
          <w:szCs w:val="21"/>
        </w:rPr>
      </w:pPr>
      <w:r>
        <w:rPr>
          <w:rFonts w:hint="eastAsia" w:ascii="宋体" w:hAnsi="宋体"/>
          <w:szCs w:val="21"/>
        </w:rPr>
        <w:t>4、甲方无故延期接收货物、乙方逾期交货的，每天向对方偿付违约货款额3‰违约金，超过</w:t>
      </w:r>
      <w:r>
        <w:rPr>
          <w:rFonts w:hint="eastAsia" w:ascii="宋体" w:hAnsi="宋体"/>
          <w:szCs w:val="21"/>
          <w:u w:val="single"/>
        </w:rPr>
        <w:t xml:space="preserve">   </w:t>
      </w:r>
      <w:r>
        <w:rPr>
          <w:rFonts w:hint="eastAsia" w:ascii="宋体" w:hAnsi="宋体"/>
          <w:szCs w:val="21"/>
        </w:rPr>
        <w:t>天对方有权解除合同，违约方承担因此给对方造成经济损失；甲方逾期付货款的，每天向乙方偿付逾期货款额</w:t>
      </w:r>
      <w:r>
        <w:rPr>
          <w:rFonts w:hint="eastAsia" w:ascii="宋体" w:hAnsi="宋体"/>
          <w:szCs w:val="21"/>
          <w:u w:val="single"/>
        </w:rPr>
        <w:t xml:space="preserve">3‰ </w:t>
      </w:r>
      <w:r>
        <w:rPr>
          <w:rFonts w:hint="eastAsia" w:ascii="宋体" w:hAnsi="宋体"/>
          <w:szCs w:val="21"/>
        </w:rPr>
        <w:t>滞纳金。</w:t>
      </w:r>
    </w:p>
    <w:p>
      <w:pPr>
        <w:snapToGrid w:val="0"/>
        <w:spacing w:line="360" w:lineRule="exact"/>
        <w:ind w:firstLine="420" w:firstLineChars="200"/>
        <w:rPr>
          <w:rFonts w:ascii="宋体" w:hAnsi="宋体"/>
          <w:szCs w:val="21"/>
        </w:rPr>
      </w:pPr>
      <w:r>
        <w:rPr>
          <w:rFonts w:hint="eastAsia" w:ascii="宋体" w:hAnsi="宋体"/>
          <w:szCs w:val="21"/>
        </w:rPr>
        <w:t>5、乙方未按本合同和投标文件中规定的服务承诺提供售后服务的，乙方应按本合同合计金额</w:t>
      </w:r>
      <w:r>
        <w:rPr>
          <w:rFonts w:hint="eastAsia" w:ascii="宋体" w:hAnsi="宋体"/>
          <w:szCs w:val="21"/>
          <w:u w:val="single"/>
        </w:rPr>
        <w:t xml:space="preserve"> 5%</w:t>
      </w:r>
      <w:r>
        <w:rPr>
          <w:rFonts w:hint="eastAsia" w:ascii="宋体" w:hAnsi="宋体"/>
          <w:szCs w:val="21"/>
        </w:rPr>
        <w:t>向甲方支付违约金。</w:t>
      </w:r>
    </w:p>
    <w:p>
      <w:pPr>
        <w:snapToGrid w:val="0"/>
        <w:spacing w:line="360" w:lineRule="exact"/>
        <w:ind w:firstLine="420" w:firstLineChars="200"/>
        <w:rPr>
          <w:rFonts w:ascii="宋体" w:hAnsi="宋体"/>
          <w:szCs w:val="21"/>
        </w:rPr>
      </w:pPr>
      <w:r>
        <w:rPr>
          <w:rFonts w:hint="eastAsia" w:ascii="宋体" w:hAnsi="宋体"/>
          <w:szCs w:val="21"/>
        </w:rPr>
        <w:t>6、乙方提供的货物在质量保证期内，因设计、工艺或材料的缺陷和其它质量原因造成的问题，由乙方负责，费用从履约保证金中扣除，不足另补。</w:t>
      </w:r>
    </w:p>
    <w:p>
      <w:pPr>
        <w:snapToGrid w:val="0"/>
        <w:spacing w:line="360" w:lineRule="exact"/>
        <w:ind w:firstLine="420" w:firstLineChars="200"/>
        <w:rPr>
          <w:rFonts w:ascii="宋体" w:hAnsi="宋体"/>
          <w:szCs w:val="21"/>
        </w:rPr>
      </w:pPr>
      <w:r>
        <w:rPr>
          <w:rFonts w:hint="eastAsia" w:ascii="宋体" w:hAnsi="宋体"/>
          <w:szCs w:val="21"/>
        </w:rPr>
        <w:t>7、其它违约行为按违约货款额5%收取违约金。</w:t>
      </w:r>
    </w:p>
    <w:p>
      <w:pPr>
        <w:snapToGrid w:val="0"/>
        <w:spacing w:line="360" w:lineRule="exact"/>
        <w:ind w:firstLine="420" w:firstLineChars="200"/>
        <w:rPr>
          <w:rFonts w:ascii="宋体" w:hAnsi="宋体"/>
          <w:szCs w:val="21"/>
        </w:rPr>
      </w:pPr>
      <w:r>
        <w:rPr>
          <w:rFonts w:hint="eastAsia" w:ascii="宋体" w:hAnsi="宋体"/>
          <w:szCs w:val="21"/>
        </w:rPr>
        <w:t>8、乙方支付的违约金不足以弥补甲方损失的，还应承担赔偿责任。</w:t>
      </w:r>
    </w:p>
    <w:p>
      <w:pPr>
        <w:pStyle w:val="17"/>
        <w:snapToGrid w:val="0"/>
        <w:spacing w:before="120" w:after="120" w:line="360" w:lineRule="exact"/>
        <w:ind w:firstLine="413" w:firstLineChars="196"/>
        <w:outlineLvl w:val="0"/>
        <w:rPr>
          <w:rFonts w:hAnsi="宋体"/>
          <w:b/>
        </w:rPr>
      </w:pPr>
      <w:r>
        <w:rPr>
          <w:rFonts w:hint="eastAsia" w:hAnsi="宋体"/>
          <w:b/>
        </w:rPr>
        <w:t>第十五条、不可抗力事件处理</w:t>
      </w:r>
    </w:p>
    <w:p>
      <w:pPr>
        <w:pStyle w:val="17"/>
        <w:snapToGrid w:val="0"/>
        <w:spacing w:before="120" w:after="120" w:line="360" w:lineRule="exact"/>
        <w:ind w:firstLine="420" w:firstLineChars="200"/>
        <w:rPr>
          <w:rFonts w:hAnsi="宋体"/>
        </w:rPr>
      </w:pPr>
      <w:r>
        <w:rPr>
          <w:rFonts w:hint="eastAsia" w:hAnsi="宋体"/>
        </w:rPr>
        <w:t>1. 在合同有效期内，任何一方因不可抗力事件导致不能履行合同，则合同履行期可延长，其延长期与不可抗力影响期相同。</w:t>
      </w:r>
    </w:p>
    <w:p>
      <w:pPr>
        <w:pStyle w:val="17"/>
        <w:snapToGrid w:val="0"/>
        <w:spacing w:before="120" w:after="120" w:line="360" w:lineRule="exact"/>
        <w:ind w:firstLine="420" w:firstLineChars="200"/>
        <w:rPr>
          <w:rFonts w:hAnsi="宋体"/>
        </w:rPr>
      </w:pPr>
      <w:r>
        <w:rPr>
          <w:rFonts w:hint="eastAsia" w:hAnsi="宋体"/>
        </w:rPr>
        <w:t>2. 不可抗力事件发生后，应立即通知对方，并寄送有关权威机构出具的证明。</w:t>
      </w:r>
    </w:p>
    <w:p>
      <w:pPr>
        <w:pStyle w:val="17"/>
        <w:snapToGrid w:val="0"/>
        <w:spacing w:before="120" w:after="120" w:line="360" w:lineRule="exact"/>
        <w:ind w:firstLine="420" w:firstLineChars="200"/>
        <w:rPr>
          <w:rFonts w:hAnsi="宋体"/>
        </w:rPr>
      </w:pPr>
      <w:r>
        <w:rPr>
          <w:rFonts w:hint="eastAsia" w:hAnsi="宋体"/>
        </w:rPr>
        <w:t>3. 不可抗力事件延续一百二十天以上，双方应通过友好协商，确定是否继续履行合同。</w:t>
      </w:r>
    </w:p>
    <w:p>
      <w:pPr>
        <w:snapToGrid w:val="0"/>
        <w:spacing w:line="360" w:lineRule="exact"/>
        <w:ind w:firstLine="422" w:firstLineChars="200"/>
        <w:outlineLvl w:val="0"/>
        <w:rPr>
          <w:rFonts w:ascii="宋体" w:hAnsi="宋体"/>
          <w:szCs w:val="21"/>
        </w:rPr>
      </w:pPr>
      <w:r>
        <w:rPr>
          <w:rFonts w:hint="eastAsia" w:ascii="宋体" w:hAnsi="宋体"/>
          <w:b/>
          <w:szCs w:val="21"/>
        </w:rPr>
        <w:t>第十六条  合同争议解决</w:t>
      </w:r>
    </w:p>
    <w:p>
      <w:pPr>
        <w:snapToGrid w:val="0"/>
        <w:spacing w:line="360" w:lineRule="exact"/>
        <w:ind w:firstLine="420" w:firstLineChars="200"/>
        <w:rPr>
          <w:rFonts w:ascii="宋体" w:hAnsi="宋体"/>
          <w:szCs w:val="21"/>
        </w:rPr>
      </w:pPr>
      <w:r>
        <w:rPr>
          <w:rFonts w:hint="eastAsia" w:ascii="宋体" w:hAnsi="宋体"/>
          <w:szCs w:val="21"/>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firstLine="420" w:firstLineChars="200"/>
        <w:rPr>
          <w:rFonts w:ascii="宋体" w:hAnsi="宋体"/>
          <w:szCs w:val="21"/>
        </w:rPr>
      </w:pPr>
      <w:r>
        <w:rPr>
          <w:rFonts w:hint="eastAsia" w:ascii="宋体" w:hAnsi="宋体"/>
          <w:szCs w:val="21"/>
        </w:rPr>
        <w:t>2、因履行本合同引起的或与本合同有关的争议，甲乙双方应首先通过友好协商解决，如果协商不能解决，向甲方所在地人民法院提起诉讼。</w:t>
      </w:r>
    </w:p>
    <w:p>
      <w:pPr>
        <w:snapToGrid w:val="0"/>
        <w:spacing w:line="360" w:lineRule="exact"/>
        <w:ind w:firstLine="420" w:firstLineChars="200"/>
        <w:rPr>
          <w:rFonts w:ascii="宋体" w:hAnsi="宋体"/>
          <w:szCs w:val="21"/>
        </w:rPr>
      </w:pPr>
      <w:r>
        <w:rPr>
          <w:rFonts w:hint="eastAsia" w:ascii="宋体" w:hAnsi="宋体"/>
          <w:szCs w:val="21"/>
        </w:rPr>
        <w:t>3、诉讼期间，本合同继续履行。</w:t>
      </w:r>
    </w:p>
    <w:p>
      <w:pPr>
        <w:pStyle w:val="17"/>
        <w:snapToGrid w:val="0"/>
        <w:spacing w:before="120" w:after="120" w:line="360" w:lineRule="exact"/>
        <w:ind w:firstLine="413" w:firstLineChars="196"/>
        <w:outlineLvl w:val="0"/>
        <w:rPr>
          <w:rFonts w:hAnsi="宋体"/>
          <w:b/>
        </w:rPr>
      </w:pPr>
      <w:r>
        <w:rPr>
          <w:rFonts w:hint="eastAsia" w:hAnsi="宋体"/>
          <w:b/>
        </w:rPr>
        <w:t>第十七条、诉讼</w:t>
      </w:r>
    </w:p>
    <w:p>
      <w:pPr>
        <w:pStyle w:val="17"/>
        <w:snapToGrid w:val="0"/>
        <w:spacing w:before="120" w:after="120" w:line="360" w:lineRule="exact"/>
        <w:rPr>
          <w:rFonts w:hAnsi="宋体"/>
        </w:rPr>
      </w:pPr>
      <w:r>
        <w:rPr>
          <w:rFonts w:hint="eastAsia" w:hAnsi="宋体"/>
        </w:rPr>
        <w:t xml:space="preserve">    双方在执行合同中所发生的一切争议，应通过协商解决。如果协商不能解决，可向甲方所在地人民法院提起诉讼。</w:t>
      </w:r>
    </w:p>
    <w:p>
      <w:pPr>
        <w:pStyle w:val="17"/>
        <w:snapToGrid w:val="0"/>
        <w:spacing w:before="120" w:after="120" w:line="360" w:lineRule="exact"/>
        <w:ind w:left="561" w:leftChars="267"/>
        <w:outlineLvl w:val="0"/>
        <w:rPr>
          <w:rFonts w:hAnsi="宋体"/>
          <w:b/>
        </w:rPr>
      </w:pPr>
      <w:r>
        <w:rPr>
          <w:rFonts w:hint="eastAsia" w:hAnsi="宋体"/>
          <w:b/>
        </w:rPr>
        <w:t>第十八条、合同生效及其它</w:t>
      </w:r>
    </w:p>
    <w:p>
      <w:pPr>
        <w:pStyle w:val="17"/>
        <w:snapToGrid w:val="0"/>
        <w:spacing w:before="120" w:after="120" w:line="360" w:lineRule="exact"/>
        <w:ind w:left="561" w:leftChars="267"/>
        <w:rPr>
          <w:rFonts w:hAnsi="宋体"/>
          <w:b/>
        </w:rPr>
      </w:pPr>
      <w:r>
        <w:rPr>
          <w:rFonts w:hint="eastAsia" w:hAnsi="宋体"/>
          <w:b/>
        </w:rPr>
        <w:t>1．合同经双方法定代表人或授权代表签字并加盖单位公章后生效。</w:t>
      </w:r>
    </w:p>
    <w:p>
      <w:pPr>
        <w:pStyle w:val="17"/>
        <w:snapToGrid w:val="0"/>
        <w:spacing w:before="120" w:after="120" w:line="360" w:lineRule="exact"/>
        <w:ind w:left="561" w:leftChars="267"/>
        <w:rPr>
          <w:rFonts w:hAnsi="宋体"/>
          <w:b/>
        </w:rPr>
      </w:pPr>
      <w:r>
        <w:rPr>
          <w:rFonts w:hint="eastAsia" w:hAnsi="宋体"/>
          <w:b/>
        </w:rPr>
        <w:t>2．合同执行中涉及采购资金和采购内容修改或补充的，须经财政部门审批，并签书面补充协议报财政部门备案，方可作为主合同不可分割的一部分。</w:t>
      </w:r>
    </w:p>
    <w:p>
      <w:pPr>
        <w:pStyle w:val="17"/>
        <w:snapToGrid w:val="0"/>
        <w:spacing w:before="120" w:after="120" w:line="360" w:lineRule="exact"/>
        <w:ind w:left="561" w:leftChars="267"/>
        <w:rPr>
          <w:rFonts w:hAnsi="宋体"/>
          <w:b/>
        </w:rPr>
      </w:pPr>
      <w:r>
        <w:rPr>
          <w:rFonts w:hint="eastAsia" w:hAnsi="宋体"/>
          <w:b/>
        </w:rPr>
        <w:t>3．本合同未尽事宜，遵照《合同法》有关条文执行。</w:t>
      </w:r>
    </w:p>
    <w:p>
      <w:pPr>
        <w:snapToGrid w:val="0"/>
        <w:spacing w:line="360" w:lineRule="exact"/>
        <w:ind w:firstLine="422" w:firstLineChars="200"/>
        <w:outlineLvl w:val="0"/>
        <w:rPr>
          <w:rFonts w:ascii="宋体" w:hAnsi="宋体"/>
          <w:b/>
          <w:szCs w:val="21"/>
        </w:rPr>
      </w:pPr>
      <w:r>
        <w:rPr>
          <w:rFonts w:hint="eastAsia" w:ascii="宋体" w:hAnsi="宋体"/>
          <w:b/>
          <w:szCs w:val="21"/>
        </w:rPr>
        <w:t>第十九条　合同的变更、终止与转让</w:t>
      </w:r>
    </w:p>
    <w:p>
      <w:pPr>
        <w:snapToGrid w:val="0"/>
        <w:spacing w:line="360" w:lineRule="exact"/>
        <w:ind w:firstLine="420" w:firstLineChars="200"/>
        <w:rPr>
          <w:rFonts w:ascii="宋体" w:hAnsi="宋体"/>
          <w:szCs w:val="21"/>
        </w:rPr>
      </w:pPr>
      <w:r>
        <w:rPr>
          <w:rFonts w:hint="eastAsia" w:ascii="宋体" w:hAnsi="宋体"/>
          <w:szCs w:val="21"/>
        </w:rPr>
        <w:t>1、除《中华人民共和国政府采购法》第五十条规定的情形外，本合同一经签订，甲乙双方不得擅自变更、中止或终止。</w:t>
      </w:r>
    </w:p>
    <w:p>
      <w:pPr>
        <w:pStyle w:val="17"/>
        <w:snapToGrid w:val="0"/>
        <w:spacing w:before="120" w:after="120" w:line="360" w:lineRule="exact"/>
        <w:ind w:firstLine="411" w:firstLineChars="196"/>
        <w:rPr>
          <w:rFonts w:hAnsi="宋体"/>
          <w:b/>
        </w:rPr>
      </w:pPr>
      <w:r>
        <w:rPr>
          <w:rFonts w:hint="eastAsia" w:hAnsi="宋体"/>
        </w:rPr>
        <w:t>2、乙方不得擅自转让（无进口资格的供应商委托进口货物除外）其应履行的合同义务。</w:t>
      </w:r>
    </w:p>
    <w:p>
      <w:pPr>
        <w:snapToGrid w:val="0"/>
        <w:spacing w:line="360" w:lineRule="exact"/>
        <w:ind w:firstLine="422" w:firstLineChars="200"/>
        <w:outlineLvl w:val="0"/>
        <w:rPr>
          <w:rFonts w:ascii="宋体" w:hAnsi="宋体"/>
          <w:b/>
          <w:szCs w:val="21"/>
        </w:rPr>
      </w:pPr>
      <w:r>
        <w:rPr>
          <w:rFonts w:hint="eastAsia" w:ascii="宋体" w:hAnsi="宋体"/>
          <w:b/>
          <w:szCs w:val="21"/>
        </w:rPr>
        <w:t>第二十条　签订本合同依据</w:t>
      </w:r>
    </w:p>
    <w:p>
      <w:pPr>
        <w:snapToGrid w:val="0"/>
        <w:spacing w:line="360" w:lineRule="exact"/>
        <w:ind w:firstLine="420" w:firstLineChars="200"/>
        <w:rPr>
          <w:rFonts w:ascii="宋体" w:hAnsi="宋体"/>
          <w:szCs w:val="21"/>
        </w:rPr>
      </w:pPr>
      <w:r>
        <w:rPr>
          <w:rFonts w:hint="eastAsia" w:ascii="宋体" w:hAnsi="宋体"/>
          <w:szCs w:val="21"/>
        </w:rPr>
        <w:t>1、政府采购招标文件；</w:t>
      </w:r>
    </w:p>
    <w:p>
      <w:pPr>
        <w:snapToGrid w:val="0"/>
        <w:spacing w:line="360" w:lineRule="exact"/>
        <w:ind w:firstLine="420" w:firstLineChars="200"/>
        <w:rPr>
          <w:rFonts w:ascii="宋体" w:hAnsi="宋体"/>
          <w:szCs w:val="21"/>
        </w:rPr>
      </w:pPr>
      <w:r>
        <w:rPr>
          <w:rFonts w:hint="eastAsia" w:ascii="宋体" w:hAnsi="宋体"/>
          <w:szCs w:val="21"/>
        </w:rPr>
        <w:t>2、乙方提供的投标文件；</w:t>
      </w:r>
    </w:p>
    <w:p>
      <w:pPr>
        <w:snapToGrid w:val="0"/>
        <w:spacing w:line="360" w:lineRule="exact"/>
        <w:ind w:firstLine="420" w:firstLineChars="200"/>
        <w:rPr>
          <w:rFonts w:ascii="宋体" w:hAnsi="宋体"/>
          <w:szCs w:val="21"/>
        </w:rPr>
      </w:pPr>
      <w:r>
        <w:rPr>
          <w:rFonts w:hint="eastAsia" w:ascii="宋体" w:hAnsi="宋体"/>
          <w:szCs w:val="21"/>
        </w:rPr>
        <w:t>3、投标声明书；</w:t>
      </w:r>
    </w:p>
    <w:p>
      <w:pPr>
        <w:snapToGrid w:val="0"/>
        <w:spacing w:line="360" w:lineRule="exact"/>
        <w:ind w:firstLine="420" w:firstLineChars="200"/>
        <w:rPr>
          <w:rFonts w:ascii="宋体" w:hAnsi="宋体"/>
          <w:szCs w:val="21"/>
          <w:u w:val="single"/>
        </w:rPr>
      </w:pPr>
      <w:r>
        <w:rPr>
          <w:rFonts w:hint="eastAsia" w:ascii="宋体" w:hAnsi="宋体"/>
          <w:szCs w:val="21"/>
        </w:rPr>
        <w:t>4、中标通知书。</w:t>
      </w:r>
    </w:p>
    <w:p>
      <w:pPr>
        <w:snapToGrid w:val="0"/>
        <w:spacing w:line="360" w:lineRule="exact"/>
        <w:ind w:firstLine="422" w:firstLineChars="200"/>
        <w:outlineLvl w:val="0"/>
        <w:rPr>
          <w:rFonts w:ascii="宋体" w:hAnsi="宋体"/>
          <w:szCs w:val="21"/>
        </w:rPr>
      </w:pPr>
      <w:r>
        <w:rPr>
          <w:rFonts w:hint="eastAsia" w:ascii="宋体" w:hAnsi="宋体"/>
          <w:b/>
          <w:szCs w:val="21"/>
        </w:rPr>
        <w:t>第二十一条　</w:t>
      </w:r>
      <w:r>
        <w:rPr>
          <w:rFonts w:hint="eastAsia" w:hAnsi="宋体"/>
          <w:b/>
          <w:bCs/>
          <w:szCs w:val="21"/>
          <w:shd w:val="clear" w:color="auto" w:fill="FFFFFF"/>
        </w:rPr>
        <w:t>本合同一式四份</w:t>
      </w:r>
      <w:r>
        <w:rPr>
          <w:rFonts w:hint="eastAsia" w:hAnsi="宋体"/>
          <w:szCs w:val="21"/>
          <w:shd w:val="clear" w:color="auto" w:fill="FFFFFF"/>
        </w:rPr>
        <w:t>，双方法定代表人或委托代理人签字并加盖单位公章之日起生效。甲乙双方各执一份(可根据需要另增加），政府采购监督管理部门一份，华春建设工程项目管理有限责任公司执一份，具有同等法律效力</w:t>
      </w:r>
      <w:r>
        <w:rPr>
          <w:rFonts w:hint="eastAsia" w:ascii="宋体" w:hAnsi="宋体"/>
          <w:szCs w:val="21"/>
        </w:rPr>
        <w:t>。</w:t>
      </w:r>
    </w:p>
    <w:p>
      <w:pPr>
        <w:snapToGrid w:val="0"/>
        <w:spacing w:line="380" w:lineRule="exact"/>
        <w:rPr>
          <w:rFonts w:hAnsi="宋体"/>
          <w:szCs w:val="21"/>
          <w:shd w:val="clear" w:color="auto" w:fill="FFFFFF"/>
        </w:rPr>
      </w:pPr>
    </w:p>
    <w:tbl>
      <w:tblPr>
        <w:tblStyle w:val="32"/>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666"/>
        <w:gridCol w:w="4997"/>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537"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 xml:space="preserve">甲方（章）： </w:t>
            </w:r>
          </w:p>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单位地址：</w:t>
            </w:r>
          </w:p>
        </w:tc>
        <w:tc>
          <w:tcPr>
            <w:tcW w:w="4997" w:type="dxa"/>
            <w:vAlign w:val="center"/>
          </w:tcPr>
          <w:p>
            <w:pPr>
              <w:snapToGrid w:val="0"/>
              <w:spacing w:line="380" w:lineRule="exact"/>
              <w:ind w:right="-65" w:rightChars="-31" w:firstLine="525" w:firstLineChars="250"/>
              <w:rPr>
                <w:rFonts w:hAnsi="宋体"/>
                <w:szCs w:val="21"/>
                <w:shd w:val="clear" w:color="auto" w:fill="FFFFFF"/>
              </w:rPr>
            </w:pPr>
            <w:r>
              <w:rPr>
                <w:rFonts w:hint="eastAsia" w:hAnsi="宋体"/>
                <w:szCs w:val="21"/>
                <w:shd w:val="clear" w:color="auto" w:fill="FFFFFF"/>
              </w:rPr>
              <w:t xml:space="preserve">乙方（章）： </w:t>
            </w:r>
          </w:p>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单位地址：</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580"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法定代表人：</w:t>
            </w:r>
          </w:p>
        </w:tc>
        <w:tc>
          <w:tcPr>
            <w:tcW w:w="4997" w:type="dxa"/>
            <w:vAlign w:val="center"/>
          </w:tcPr>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法定代表人：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571"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或委托代理人：</w:t>
            </w:r>
          </w:p>
        </w:tc>
        <w:tc>
          <w:tcPr>
            <w:tcW w:w="4997" w:type="dxa"/>
            <w:vAlign w:val="center"/>
          </w:tcPr>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或委托代理人：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549"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电话：</w:t>
            </w:r>
          </w:p>
        </w:tc>
        <w:tc>
          <w:tcPr>
            <w:tcW w:w="4997" w:type="dxa"/>
            <w:vAlign w:val="center"/>
          </w:tcPr>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电话：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493"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电子邮箱：</w:t>
            </w:r>
          </w:p>
        </w:tc>
        <w:tc>
          <w:tcPr>
            <w:tcW w:w="4997" w:type="dxa"/>
            <w:vAlign w:val="center"/>
          </w:tcPr>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电子邮箱：</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763"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开户银行：</w:t>
            </w:r>
          </w:p>
        </w:tc>
        <w:tc>
          <w:tcPr>
            <w:tcW w:w="4997" w:type="dxa"/>
            <w:vAlign w:val="center"/>
          </w:tcPr>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开户银行：</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462"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账号：</w:t>
            </w:r>
          </w:p>
        </w:tc>
        <w:tc>
          <w:tcPr>
            <w:tcW w:w="4997" w:type="dxa"/>
            <w:vAlign w:val="center"/>
          </w:tcPr>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账号：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27" w:hRule="atLeast"/>
        </w:trPr>
        <w:tc>
          <w:tcPr>
            <w:tcW w:w="4666" w:type="dxa"/>
            <w:vAlign w:val="center"/>
          </w:tcPr>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邮政编码：</w:t>
            </w:r>
          </w:p>
          <w:p>
            <w:pPr>
              <w:snapToGrid w:val="0"/>
              <w:spacing w:line="380" w:lineRule="exact"/>
              <w:ind w:firstLine="420" w:firstLineChars="200"/>
              <w:rPr>
                <w:rFonts w:hAnsi="宋体"/>
                <w:szCs w:val="21"/>
                <w:shd w:val="clear" w:color="auto" w:fill="FFFFFF"/>
              </w:rPr>
            </w:pPr>
            <w:r>
              <w:rPr>
                <w:rFonts w:hint="eastAsia" w:hAnsi="宋体"/>
                <w:szCs w:val="21"/>
                <w:shd w:val="clear" w:color="auto" w:fill="FFFFFF"/>
              </w:rPr>
              <w:t>签订日期：2020年   月   日</w:t>
            </w:r>
          </w:p>
        </w:tc>
        <w:tc>
          <w:tcPr>
            <w:tcW w:w="4997" w:type="dxa"/>
            <w:vAlign w:val="center"/>
          </w:tcPr>
          <w:p>
            <w:pPr>
              <w:snapToGrid w:val="0"/>
              <w:spacing w:line="380" w:lineRule="exact"/>
              <w:ind w:firstLine="525" w:firstLineChars="250"/>
              <w:rPr>
                <w:rFonts w:hAnsi="宋体"/>
                <w:szCs w:val="21"/>
                <w:shd w:val="clear" w:color="auto" w:fill="FFFFFF"/>
              </w:rPr>
            </w:pPr>
            <w:r>
              <w:rPr>
                <w:rFonts w:hint="eastAsia" w:hAnsi="宋体"/>
                <w:szCs w:val="21"/>
                <w:shd w:val="clear" w:color="auto" w:fill="FFFFFF"/>
              </w:rPr>
              <w:t>邮政编码：</w:t>
            </w:r>
          </w:p>
          <w:p>
            <w:pPr>
              <w:snapToGrid w:val="0"/>
              <w:spacing w:line="380" w:lineRule="exact"/>
              <w:rPr>
                <w:rFonts w:hAnsi="宋体"/>
                <w:szCs w:val="21"/>
                <w:shd w:val="clear" w:color="auto" w:fill="FFFFFF"/>
              </w:rPr>
            </w:pPr>
            <w:r>
              <w:rPr>
                <w:rFonts w:hint="eastAsia" w:hAnsi="宋体"/>
                <w:szCs w:val="21"/>
                <w:shd w:val="clear" w:color="auto" w:fill="FFFFFF"/>
              </w:rPr>
              <w:t xml:space="preserve">      </w:t>
            </w:r>
          </w:p>
        </w:tc>
      </w:tr>
    </w:tbl>
    <w:p>
      <w:pPr>
        <w:ind w:firstLine="420" w:firstLineChars="200"/>
        <w:rPr>
          <w:shd w:val="clear" w:color="auto" w:fill="FFFFFF"/>
        </w:rPr>
      </w:pPr>
    </w:p>
    <w:p>
      <w:pPr>
        <w:snapToGrid w:val="0"/>
        <w:spacing w:line="380" w:lineRule="exact"/>
        <w:rPr>
          <w:rFonts w:hAnsi="宋体"/>
          <w:b/>
          <w:sz w:val="28"/>
          <w:szCs w:val="28"/>
          <w:shd w:val="clear" w:color="auto" w:fill="FFFFFF"/>
        </w:rPr>
      </w:pPr>
      <w:r>
        <w:rPr>
          <w:b/>
          <w:sz w:val="30"/>
          <w:szCs w:val="30"/>
          <w:shd w:val="clear" w:color="auto" w:fill="FFFFFF"/>
        </w:rPr>
        <w:br w:type="page"/>
      </w:r>
      <w:r>
        <w:rPr>
          <w:rFonts w:hint="eastAsia" w:hAnsi="宋体"/>
          <w:b/>
          <w:sz w:val="28"/>
          <w:szCs w:val="28"/>
          <w:shd w:val="clear" w:color="auto" w:fill="FFFFFF"/>
        </w:rPr>
        <w:t>合 同 附 件：</w:t>
      </w:r>
    </w:p>
    <w:p>
      <w:pPr>
        <w:spacing w:line="380" w:lineRule="exact"/>
        <w:ind w:firstLine="870" w:firstLineChars="300"/>
        <w:jc w:val="left"/>
        <w:rPr>
          <w:rFonts w:hAnsi="宋体"/>
          <w:spacing w:val="40"/>
          <w:szCs w:val="21"/>
          <w:shd w:val="clear" w:color="auto" w:fill="FFFFFF"/>
        </w:rPr>
      </w:pPr>
      <w:r>
        <w:rPr>
          <w:rFonts w:hint="eastAsia" w:hAnsi="宋体"/>
          <w:spacing w:val="40"/>
          <w:szCs w:val="21"/>
          <w:shd w:val="clear" w:color="auto" w:fill="FFFFFF"/>
        </w:rPr>
        <w:t>一、招标文件《货物需求一览表》</w:t>
      </w:r>
    </w:p>
    <w:p>
      <w:pPr>
        <w:spacing w:line="380" w:lineRule="exact"/>
        <w:ind w:firstLine="870" w:firstLineChars="300"/>
        <w:jc w:val="left"/>
        <w:rPr>
          <w:rFonts w:hAnsi="宋体"/>
          <w:spacing w:val="40"/>
          <w:szCs w:val="21"/>
          <w:shd w:val="clear" w:color="auto" w:fill="FFFFFF"/>
        </w:rPr>
      </w:pPr>
      <w:r>
        <w:rPr>
          <w:rFonts w:hint="eastAsia" w:hAnsi="宋体"/>
          <w:spacing w:val="40"/>
          <w:szCs w:val="21"/>
          <w:shd w:val="clear" w:color="auto" w:fill="FFFFFF"/>
        </w:rPr>
        <w:t>二、投标文件包含内容：</w:t>
      </w:r>
    </w:p>
    <w:p>
      <w:pPr>
        <w:spacing w:line="380" w:lineRule="exact"/>
        <w:ind w:firstLine="1450" w:firstLineChars="500"/>
        <w:jc w:val="left"/>
        <w:rPr>
          <w:rFonts w:hAnsi="宋体"/>
          <w:spacing w:val="40"/>
          <w:szCs w:val="21"/>
          <w:shd w:val="clear" w:color="auto" w:fill="FFFFFF"/>
        </w:rPr>
      </w:pPr>
      <w:r>
        <w:rPr>
          <w:rFonts w:hint="eastAsia" w:hAnsi="宋体"/>
          <w:spacing w:val="40"/>
          <w:szCs w:val="21"/>
          <w:shd w:val="clear" w:color="auto" w:fill="FFFFFF"/>
        </w:rPr>
        <w:t>1、投标函</w:t>
      </w:r>
    </w:p>
    <w:p>
      <w:pPr>
        <w:spacing w:line="380" w:lineRule="exact"/>
        <w:ind w:firstLine="1450" w:firstLineChars="500"/>
        <w:jc w:val="left"/>
        <w:rPr>
          <w:rFonts w:hAnsi="宋体"/>
          <w:spacing w:val="40"/>
          <w:szCs w:val="21"/>
          <w:shd w:val="clear" w:color="auto" w:fill="FFFFFF"/>
        </w:rPr>
      </w:pPr>
      <w:r>
        <w:rPr>
          <w:rFonts w:hint="eastAsia" w:hAnsi="宋体"/>
          <w:spacing w:val="40"/>
          <w:szCs w:val="21"/>
          <w:shd w:val="clear" w:color="auto" w:fill="FFFFFF"/>
        </w:rPr>
        <w:t>2、投标报价表</w:t>
      </w:r>
    </w:p>
    <w:p>
      <w:pPr>
        <w:spacing w:line="380" w:lineRule="exact"/>
        <w:ind w:firstLine="1450" w:firstLineChars="500"/>
        <w:jc w:val="left"/>
        <w:rPr>
          <w:rFonts w:hAnsi="宋体"/>
          <w:spacing w:val="40"/>
          <w:szCs w:val="21"/>
          <w:shd w:val="clear" w:color="auto" w:fill="FFFFFF"/>
        </w:rPr>
      </w:pPr>
      <w:r>
        <w:rPr>
          <w:rFonts w:hint="eastAsia" w:hAnsi="宋体"/>
          <w:spacing w:val="40"/>
          <w:szCs w:val="21"/>
          <w:shd w:val="clear" w:color="auto" w:fill="FFFFFF"/>
        </w:rPr>
        <w:t>3、技术规格偏离表</w:t>
      </w:r>
    </w:p>
    <w:p>
      <w:pPr>
        <w:spacing w:line="380" w:lineRule="exact"/>
        <w:ind w:firstLine="1450" w:firstLineChars="500"/>
        <w:jc w:val="left"/>
        <w:rPr>
          <w:rFonts w:hAnsi="宋体"/>
          <w:spacing w:val="40"/>
          <w:szCs w:val="21"/>
          <w:shd w:val="clear" w:color="auto" w:fill="FFFFFF"/>
        </w:rPr>
      </w:pPr>
      <w:r>
        <w:rPr>
          <w:rFonts w:hint="eastAsia" w:hAnsi="宋体"/>
          <w:spacing w:val="40"/>
          <w:szCs w:val="21"/>
          <w:shd w:val="clear" w:color="auto" w:fill="FFFFFF"/>
        </w:rPr>
        <w:t>4、售后服务承诺书</w:t>
      </w:r>
    </w:p>
    <w:p>
      <w:pPr>
        <w:spacing w:line="380" w:lineRule="exact"/>
        <w:ind w:firstLine="870" w:firstLineChars="300"/>
        <w:jc w:val="left"/>
        <w:rPr>
          <w:rFonts w:hAnsi="宋体"/>
          <w:spacing w:val="40"/>
          <w:szCs w:val="21"/>
          <w:shd w:val="clear" w:color="auto" w:fill="FFFFFF"/>
        </w:rPr>
      </w:pPr>
      <w:r>
        <w:rPr>
          <w:rFonts w:hint="eastAsia" w:hAnsi="宋体"/>
          <w:spacing w:val="40"/>
          <w:szCs w:val="21"/>
          <w:shd w:val="clear" w:color="auto" w:fill="FFFFFF"/>
        </w:rPr>
        <w:t>三、中标通知书</w:t>
      </w:r>
    </w:p>
    <w:p>
      <w:pPr>
        <w:pStyle w:val="17"/>
        <w:spacing w:before="240" w:line="360" w:lineRule="auto"/>
        <w:jc w:val="center"/>
        <w:rPr>
          <w:color w:val="000000"/>
          <w:sz w:val="44"/>
          <w:szCs w:val="44"/>
        </w:rPr>
      </w:pPr>
      <w:r>
        <w:rPr>
          <w:rFonts w:hint="eastAsia"/>
          <w:color w:val="000000"/>
          <w:sz w:val="44"/>
          <w:szCs w:val="44"/>
        </w:rPr>
        <w:t xml:space="preserve"> </w:t>
      </w:r>
    </w:p>
    <w:p/>
    <w:p>
      <w:pPr>
        <w:spacing w:line="560" w:lineRule="exact"/>
        <w:jc w:val="center"/>
        <w:rPr>
          <w:szCs w:val="21"/>
        </w:rPr>
      </w:pPr>
    </w:p>
    <w:p>
      <w:pPr>
        <w:spacing w:line="360" w:lineRule="auto"/>
        <w:ind w:firstLine="560"/>
        <w:rPr>
          <w:rFonts w:ascii="宋体"/>
          <w:szCs w:val="21"/>
        </w:rPr>
      </w:pPr>
    </w:p>
    <w:p>
      <w:pPr>
        <w:pStyle w:val="17"/>
        <w:spacing w:before="240" w:line="360" w:lineRule="auto"/>
        <w:jc w:val="center"/>
        <w:rPr>
          <w:sz w:val="44"/>
          <w:szCs w:val="44"/>
        </w:rPr>
      </w:pPr>
    </w:p>
    <w:p>
      <w:pPr>
        <w:pStyle w:val="17"/>
        <w:spacing w:line="360" w:lineRule="auto"/>
        <w:jc w:val="center"/>
        <w:rPr>
          <w:sz w:val="44"/>
          <w:szCs w:val="44"/>
        </w:rPr>
      </w:pPr>
    </w:p>
    <w:p>
      <w:pPr>
        <w:pStyle w:val="17"/>
        <w:spacing w:line="360" w:lineRule="auto"/>
        <w:jc w:val="center"/>
        <w:rPr>
          <w:sz w:val="44"/>
          <w:szCs w:val="44"/>
        </w:rPr>
      </w:pPr>
    </w:p>
    <w:p>
      <w:pPr>
        <w:pStyle w:val="17"/>
        <w:spacing w:line="360" w:lineRule="auto"/>
        <w:jc w:val="center"/>
        <w:rPr>
          <w:sz w:val="44"/>
          <w:szCs w:val="44"/>
        </w:rPr>
      </w:pPr>
    </w:p>
    <w:p>
      <w:pPr>
        <w:pStyle w:val="17"/>
        <w:spacing w:line="360" w:lineRule="auto"/>
        <w:jc w:val="center"/>
        <w:rPr>
          <w:sz w:val="44"/>
          <w:szCs w:val="44"/>
        </w:rPr>
      </w:pPr>
    </w:p>
    <w:p>
      <w:pPr>
        <w:pStyle w:val="17"/>
        <w:spacing w:line="360" w:lineRule="auto"/>
        <w:jc w:val="center"/>
        <w:rPr>
          <w:sz w:val="44"/>
          <w:szCs w:val="44"/>
        </w:rPr>
      </w:pPr>
    </w:p>
    <w:p>
      <w:pPr>
        <w:pStyle w:val="17"/>
        <w:spacing w:line="360" w:lineRule="auto"/>
        <w:jc w:val="center"/>
        <w:rPr>
          <w:sz w:val="44"/>
          <w:szCs w:val="44"/>
        </w:rPr>
      </w:pPr>
    </w:p>
    <w:p>
      <w:pPr>
        <w:rPr>
          <w:rFonts w:ascii="宋体"/>
          <w:sz w:val="32"/>
          <w:szCs w:val="32"/>
        </w:rPr>
      </w:pPr>
      <w:bookmarkStart w:id="84" w:name="_Toc290375232"/>
      <w:bookmarkStart w:id="85" w:name="_Toc259698696"/>
      <w:r>
        <w:rPr>
          <w:rFonts w:hint="eastAsia" w:ascii="宋体"/>
          <w:sz w:val="32"/>
          <w:szCs w:val="32"/>
        </w:rPr>
        <w:br w:type="page"/>
      </w:r>
    </w:p>
    <w:p>
      <w:pPr>
        <w:pStyle w:val="3"/>
        <w:spacing w:line="240" w:lineRule="auto"/>
        <w:jc w:val="center"/>
        <w:rPr>
          <w:rFonts w:ascii="宋体"/>
          <w:sz w:val="32"/>
          <w:szCs w:val="32"/>
        </w:rPr>
      </w:pPr>
      <w:r>
        <w:rPr>
          <w:rFonts w:hint="eastAsia" w:ascii="宋体"/>
          <w:sz w:val="32"/>
          <w:szCs w:val="32"/>
        </w:rPr>
        <w:t>第四章  竞标文件格式</w:t>
      </w:r>
      <w:bookmarkEnd w:id="84"/>
      <w:bookmarkEnd w:id="85"/>
    </w:p>
    <w:p>
      <w:pPr>
        <w:pStyle w:val="17"/>
        <w:jc w:val="center"/>
      </w:pPr>
    </w:p>
    <w:p>
      <w:pPr>
        <w:pStyle w:val="17"/>
        <w:jc w:val="center"/>
        <w:rPr>
          <w:sz w:val="44"/>
          <w:szCs w:val="44"/>
        </w:rPr>
      </w:pPr>
      <w:r>
        <w:br w:type="page"/>
      </w:r>
    </w:p>
    <w:p>
      <w:pPr>
        <w:pStyle w:val="17"/>
        <w:jc w:val="center"/>
        <w:rPr>
          <w:b/>
          <w:bCs/>
          <w:sz w:val="32"/>
        </w:rPr>
      </w:pPr>
      <w:r>
        <w:rPr>
          <w:rFonts w:hint="eastAsia"/>
          <w:sz w:val="32"/>
        </w:rPr>
        <w:t>一、</w:t>
      </w:r>
      <w:r>
        <w:rPr>
          <w:rFonts w:hint="eastAsia"/>
          <w:b/>
          <w:bCs/>
          <w:sz w:val="32"/>
        </w:rPr>
        <w:t>商务部分</w:t>
      </w:r>
    </w:p>
    <w:p>
      <w:pPr>
        <w:pStyle w:val="17"/>
        <w:jc w:val="center"/>
        <w:rPr>
          <w:sz w:val="32"/>
        </w:rPr>
      </w:pPr>
    </w:p>
    <w:p>
      <w:pPr>
        <w:pStyle w:val="17"/>
        <w:jc w:val="center"/>
        <w:rPr>
          <w:b/>
          <w:sz w:val="32"/>
        </w:rPr>
      </w:pPr>
      <w:r>
        <w:rPr>
          <w:b/>
          <w:sz w:val="32"/>
        </w:rPr>
        <w:t>1</w:t>
      </w:r>
      <w:r>
        <w:rPr>
          <w:rFonts w:hint="eastAsia"/>
          <w:b/>
          <w:sz w:val="32"/>
        </w:rPr>
        <w:t>、竞标函格式</w:t>
      </w:r>
    </w:p>
    <w:p>
      <w:pPr>
        <w:pStyle w:val="17"/>
        <w:spacing w:line="264" w:lineRule="auto"/>
        <w:rPr>
          <w:sz w:val="24"/>
          <w:szCs w:val="24"/>
        </w:rPr>
      </w:pPr>
    </w:p>
    <w:p>
      <w:pPr>
        <w:pStyle w:val="17"/>
        <w:spacing w:line="264" w:lineRule="auto"/>
        <w:ind w:firstLine="420"/>
        <w:rPr>
          <w:sz w:val="24"/>
          <w:szCs w:val="24"/>
          <w:u w:val="single"/>
        </w:rPr>
      </w:pPr>
      <w:r>
        <w:rPr>
          <w:rFonts w:hint="eastAsia"/>
          <w:sz w:val="24"/>
          <w:szCs w:val="24"/>
        </w:rPr>
        <w:t>致：</w:t>
      </w:r>
      <w:r>
        <w:rPr>
          <w:rFonts w:hint="eastAsia"/>
          <w:sz w:val="24"/>
          <w:szCs w:val="24"/>
          <w:u w:val="single"/>
          <w:lang w:eastAsia="zh-CN"/>
        </w:rPr>
        <w:t>百色市田阳区田州镇卫生院</w:t>
      </w:r>
      <w:r>
        <w:rPr>
          <w:rFonts w:hint="eastAsia"/>
          <w:sz w:val="24"/>
          <w:szCs w:val="24"/>
          <w:u w:val="single"/>
        </w:rPr>
        <w:t xml:space="preserve"> </w:t>
      </w:r>
    </w:p>
    <w:p>
      <w:pPr>
        <w:pStyle w:val="17"/>
        <w:spacing w:line="264" w:lineRule="auto"/>
        <w:ind w:firstLine="420"/>
        <w:rPr>
          <w:sz w:val="24"/>
          <w:szCs w:val="24"/>
        </w:rPr>
      </w:pPr>
    </w:p>
    <w:p>
      <w:pPr>
        <w:pStyle w:val="17"/>
        <w:spacing w:line="264" w:lineRule="auto"/>
        <w:ind w:left="210" w:leftChars="100" w:firstLine="480" w:firstLineChars="200"/>
        <w:rPr>
          <w:sz w:val="24"/>
          <w:szCs w:val="24"/>
        </w:rPr>
      </w:pPr>
      <w:r>
        <w:rPr>
          <w:rFonts w:hint="eastAsia"/>
          <w:sz w:val="24"/>
          <w:szCs w:val="24"/>
        </w:rPr>
        <w:t>根据贵方</w:t>
      </w:r>
      <w:r>
        <w:rPr>
          <w:rFonts w:hint="eastAsia"/>
          <w:sz w:val="24"/>
          <w:szCs w:val="24"/>
          <w:u w:val="single"/>
          <w:lang w:eastAsia="zh-CN"/>
        </w:rPr>
        <w:t>田州镇卫生院综合楼项目安装电梯</w:t>
      </w:r>
      <w:r>
        <w:rPr>
          <w:rFonts w:hint="eastAsia"/>
          <w:sz w:val="24"/>
          <w:szCs w:val="24"/>
        </w:rPr>
        <w:t xml:space="preserve">谈判采购文件，项目编号： </w:t>
      </w:r>
      <w:r>
        <w:rPr>
          <w:rFonts w:hint="eastAsia"/>
          <w:sz w:val="24"/>
          <w:szCs w:val="24"/>
          <w:u w:val="single"/>
        </w:rPr>
        <w:t xml:space="preserve">               </w:t>
      </w:r>
      <w:r>
        <w:rPr>
          <w:rFonts w:hint="eastAsia"/>
          <w:sz w:val="24"/>
          <w:szCs w:val="24"/>
        </w:rPr>
        <w:t>，正式授权下述签字人</w:t>
      </w:r>
      <w:r>
        <w:rPr>
          <w:sz w:val="24"/>
          <w:szCs w:val="24"/>
          <w:u w:val="single"/>
        </w:rPr>
        <w:t xml:space="preserve">        </w:t>
      </w:r>
      <w:r>
        <w:rPr>
          <w:rFonts w:hint="eastAsia"/>
          <w:sz w:val="24"/>
          <w:szCs w:val="24"/>
        </w:rPr>
        <w:t>（姓名和职务）</w:t>
      </w:r>
      <w:r>
        <w:rPr>
          <w:rFonts w:hint="eastAsia"/>
          <w:sz w:val="24"/>
          <w:szCs w:val="24"/>
          <w:u w:val="single"/>
        </w:rPr>
        <w:t xml:space="preserve">    </w:t>
      </w:r>
      <w:r>
        <w:rPr>
          <w:rFonts w:hint="eastAsia"/>
          <w:sz w:val="24"/>
          <w:szCs w:val="24"/>
        </w:rPr>
        <w:t>代表竞标人</w:t>
      </w:r>
      <w:r>
        <w:rPr>
          <w:rFonts w:hint="eastAsia"/>
          <w:sz w:val="24"/>
          <w:szCs w:val="24"/>
          <w:u w:val="single"/>
        </w:rPr>
        <w:t>（竞标单位名称）</w:t>
      </w:r>
      <w:r>
        <w:rPr>
          <w:sz w:val="24"/>
          <w:szCs w:val="24"/>
          <w:u w:val="single"/>
        </w:rPr>
        <w:t xml:space="preserve">       </w:t>
      </w:r>
      <w:r>
        <w:rPr>
          <w:rFonts w:hint="eastAsia"/>
          <w:sz w:val="24"/>
          <w:szCs w:val="24"/>
        </w:rPr>
        <w:t>，提交下述竞标文件正本一份，副本四份。</w:t>
      </w:r>
    </w:p>
    <w:p>
      <w:pPr>
        <w:pStyle w:val="17"/>
        <w:spacing w:line="264" w:lineRule="auto"/>
        <w:ind w:firstLine="420"/>
        <w:rPr>
          <w:sz w:val="24"/>
          <w:szCs w:val="24"/>
        </w:rPr>
      </w:pPr>
      <w:r>
        <w:rPr>
          <w:rFonts w:hint="eastAsia"/>
          <w:sz w:val="24"/>
          <w:szCs w:val="24"/>
        </w:rPr>
        <w:t>一、首次竞标报价表；</w:t>
      </w:r>
    </w:p>
    <w:p>
      <w:pPr>
        <w:pStyle w:val="17"/>
        <w:spacing w:line="264" w:lineRule="auto"/>
        <w:ind w:firstLine="420"/>
        <w:rPr>
          <w:sz w:val="24"/>
          <w:szCs w:val="24"/>
        </w:rPr>
      </w:pPr>
      <w:r>
        <w:rPr>
          <w:rFonts w:hint="eastAsia"/>
          <w:sz w:val="24"/>
          <w:szCs w:val="24"/>
        </w:rPr>
        <w:t>二、技术实施方案；</w:t>
      </w:r>
    </w:p>
    <w:p>
      <w:pPr>
        <w:pStyle w:val="17"/>
        <w:spacing w:line="264" w:lineRule="auto"/>
        <w:ind w:firstLine="420"/>
        <w:rPr>
          <w:sz w:val="24"/>
          <w:szCs w:val="24"/>
        </w:rPr>
      </w:pPr>
      <w:r>
        <w:rPr>
          <w:rFonts w:hint="eastAsia"/>
          <w:sz w:val="24"/>
          <w:szCs w:val="24"/>
        </w:rPr>
        <w:t>三、技术规格响应表；</w:t>
      </w:r>
    </w:p>
    <w:p>
      <w:pPr>
        <w:pStyle w:val="17"/>
        <w:spacing w:line="264" w:lineRule="auto"/>
        <w:ind w:firstLine="420"/>
        <w:rPr>
          <w:sz w:val="24"/>
          <w:szCs w:val="24"/>
        </w:rPr>
      </w:pPr>
      <w:r>
        <w:rPr>
          <w:rFonts w:hint="eastAsia"/>
          <w:sz w:val="24"/>
          <w:szCs w:val="24"/>
        </w:rPr>
        <w:t>四、竞标人资格证明文件；</w:t>
      </w:r>
    </w:p>
    <w:p>
      <w:pPr>
        <w:pStyle w:val="17"/>
        <w:spacing w:line="264" w:lineRule="auto"/>
        <w:ind w:firstLine="420"/>
        <w:rPr>
          <w:sz w:val="24"/>
          <w:szCs w:val="24"/>
        </w:rPr>
      </w:pPr>
      <w:r>
        <w:rPr>
          <w:rFonts w:hint="eastAsia"/>
          <w:sz w:val="24"/>
          <w:szCs w:val="24"/>
        </w:rPr>
        <w:t>五、货物合格性文件；</w:t>
      </w:r>
    </w:p>
    <w:p>
      <w:pPr>
        <w:pStyle w:val="17"/>
        <w:spacing w:line="264" w:lineRule="auto"/>
        <w:ind w:firstLine="420"/>
        <w:rPr>
          <w:sz w:val="24"/>
          <w:szCs w:val="24"/>
        </w:rPr>
      </w:pPr>
      <w:r>
        <w:rPr>
          <w:rFonts w:hint="eastAsia"/>
          <w:sz w:val="24"/>
          <w:szCs w:val="24"/>
        </w:rPr>
        <w:t>六、竞标保证金。</w:t>
      </w:r>
    </w:p>
    <w:p>
      <w:pPr>
        <w:pStyle w:val="17"/>
        <w:spacing w:line="264" w:lineRule="auto"/>
        <w:ind w:firstLine="480" w:firstLineChars="200"/>
        <w:rPr>
          <w:sz w:val="24"/>
          <w:szCs w:val="24"/>
        </w:rPr>
      </w:pPr>
      <w:r>
        <w:rPr>
          <w:rFonts w:hint="eastAsia"/>
          <w:sz w:val="24"/>
          <w:szCs w:val="24"/>
        </w:rPr>
        <w:t>据此函，签字人兹宣布同意如下：</w:t>
      </w:r>
    </w:p>
    <w:p>
      <w:pPr>
        <w:pStyle w:val="17"/>
        <w:numPr>
          <w:ilvl w:val="0"/>
          <w:numId w:val="5"/>
        </w:numPr>
        <w:spacing w:line="264" w:lineRule="auto"/>
        <w:rPr>
          <w:sz w:val="24"/>
          <w:szCs w:val="24"/>
        </w:rPr>
      </w:pPr>
      <w:r>
        <w:rPr>
          <w:rFonts w:hint="eastAsia"/>
          <w:sz w:val="24"/>
          <w:szCs w:val="24"/>
        </w:rPr>
        <w:t>谈判采购文件货物需求一览表和首次竞标报价表，首次竞标总报价（大写）</w:t>
      </w:r>
      <w:r>
        <w:rPr>
          <w:rFonts w:hint="eastAsia"/>
          <w:sz w:val="24"/>
          <w:szCs w:val="24"/>
          <w:u w:val="single"/>
        </w:rPr>
        <w:t xml:space="preserve">                </w:t>
      </w:r>
      <w:r>
        <w:rPr>
          <w:rFonts w:hint="eastAsia"/>
          <w:sz w:val="24"/>
          <w:szCs w:val="24"/>
        </w:rPr>
        <w:t>元人民币（￥</w:t>
      </w:r>
      <w:r>
        <w:rPr>
          <w:rFonts w:hint="eastAsia"/>
          <w:sz w:val="24"/>
          <w:szCs w:val="24"/>
          <w:u w:val="single"/>
        </w:rPr>
        <w:t xml:space="preserve">             </w:t>
      </w:r>
      <w:r>
        <w:rPr>
          <w:rFonts w:hint="eastAsia"/>
          <w:sz w:val="24"/>
          <w:szCs w:val="24"/>
        </w:rPr>
        <w:t>），交货期：</w:t>
      </w:r>
      <w:r>
        <w:rPr>
          <w:rFonts w:hint="eastAsia"/>
          <w:sz w:val="24"/>
          <w:szCs w:val="24"/>
          <w:u w:val="single"/>
        </w:rPr>
        <w:t xml:space="preserve">          </w:t>
      </w:r>
      <w:r>
        <w:rPr>
          <w:rFonts w:hint="eastAsia"/>
          <w:sz w:val="24"/>
          <w:szCs w:val="24"/>
        </w:rPr>
        <w:t>，质量：</w:t>
      </w:r>
      <w:r>
        <w:rPr>
          <w:rFonts w:hint="eastAsia"/>
          <w:sz w:val="24"/>
          <w:szCs w:val="24"/>
          <w:u w:val="single"/>
        </w:rPr>
        <w:t xml:space="preserve">           </w:t>
      </w:r>
      <w:r>
        <w:rPr>
          <w:rFonts w:hint="eastAsia"/>
          <w:sz w:val="24"/>
          <w:szCs w:val="24"/>
        </w:rPr>
        <w:t>。</w:t>
      </w:r>
    </w:p>
    <w:p>
      <w:pPr>
        <w:pStyle w:val="17"/>
        <w:spacing w:line="264" w:lineRule="auto"/>
        <w:ind w:firstLine="420"/>
        <w:rPr>
          <w:sz w:val="24"/>
          <w:szCs w:val="24"/>
        </w:rPr>
      </w:pPr>
      <w:r>
        <w:rPr>
          <w:rFonts w:hint="eastAsia"/>
          <w:sz w:val="24"/>
          <w:szCs w:val="24"/>
        </w:rPr>
        <w:t>⑵我们根据谈判采购文件的规定，承担完成合同的责任和义务。</w:t>
      </w:r>
    </w:p>
    <w:p>
      <w:pPr>
        <w:pStyle w:val="17"/>
        <w:spacing w:line="264" w:lineRule="auto"/>
        <w:ind w:firstLine="420"/>
        <w:rPr>
          <w:sz w:val="24"/>
          <w:szCs w:val="24"/>
        </w:rPr>
      </w:pPr>
      <w:r>
        <w:rPr>
          <w:rFonts w:hint="eastAsia"/>
          <w:sz w:val="24"/>
          <w:szCs w:val="24"/>
        </w:rPr>
        <w:t>⑶我们已详细审查全部采购文件，包括修改文件（如有的话）和有关附件，将自行承担因对全部采购文件理解不正确或误解而产生的相应后果。</w:t>
      </w:r>
    </w:p>
    <w:p>
      <w:pPr>
        <w:pStyle w:val="17"/>
        <w:spacing w:line="264" w:lineRule="auto"/>
        <w:ind w:firstLine="420"/>
        <w:rPr>
          <w:sz w:val="24"/>
          <w:szCs w:val="24"/>
        </w:rPr>
      </w:pPr>
      <w:r>
        <w:rPr>
          <w:rFonts w:hint="eastAsia"/>
          <w:sz w:val="24"/>
          <w:szCs w:val="24"/>
        </w:rPr>
        <w:t>⑷我们同意在竞标人须知规定的截标日期起遵循本竞标文件，并在竞标人须知第</w:t>
      </w:r>
      <w:r>
        <w:rPr>
          <w:sz w:val="24"/>
          <w:szCs w:val="24"/>
        </w:rPr>
        <w:t>14</w:t>
      </w:r>
      <w:r>
        <w:rPr>
          <w:rFonts w:hint="eastAsia"/>
          <w:sz w:val="24"/>
          <w:szCs w:val="24"/>
        </w:rPr>
        <w:t>条规定的竞标有效期满之前均具有约束力，并有可能成交。</w:t>
      </w:r>
    </w:p>
    <w:p>
      <w:pPr>
        <w:pStyle w:val="17"/>
        <w:spacing w:line="264" w:lineRule="auto"/>
        <w:ind w:firstLine="420"/>
        <w:rPr>
          <w:sz w:val="24"/>
          <w:szCs w:val="24"/>
        </w:rPr>
      </w:pPr>
      <w:r>
        <w:rPr>
          <w:rFonts w:hint="eastAsia"/>
          <w:sz w:val="24"/>
          <w:szCs w:val="24"/>
        </w:rPr>
        <w:t>⑸如果在竞标截止时间后的竞标有效期内撤回竞标或者有其它违约行为，我们的竞标保证金可被贵方全部没收。</w:t>
      </w:r>
    </w:p>
    <w:p>
      <w:pPr>
        <w:pStyle w:val="17"/>
        <w:spacing w:line="264" w:lineRule="auto"/>
        <w:ind w:firstLine="420"/>
        <w:rPr>
          <w:sz w:val="24"/>
          <w:szCs w:val="24"/>
        </w:rPr>
      </w:pPr>
      <w:r>
        <w:rPr>
          <w:rFonts w:hint="eastAsia"/>
          <w:sz w:val="24"/>
          <w:szCs w:val="24"/>
        </w:rPr>
        <w:t>⑹我们同意提供按照贵方可能要求的与本竞标有关的一切数据或资料，完全理解贵方不一定要接受最低的报价或收到的任何竞标。</w:t>
      </w:r>
    </w:p>
    <w:p>
      <w:pPr>
        <w:pStyle w:val="17"/>
        <w:spacing w:line="276" w:lineRule="auto"/>
        <w:ind w:firstLine="420"/>
        <w:rPr>
          <w:sz w:val="24"/>
          <w:szCs w:val="24"/>
        </w:rPr>
      </w:pPr>
    </w:p>
    <w:p>
      <w:pPr>
        <w:pStyle w:val="17"/>
        <w:spacing w:line="276" w:lineRule="auto"/>
        <w:ind w:firstLine="420"/>
        <w:rPr>
          <w:sz w:val="24"/>
          <w:szCs w:val="24"/>
        </w:rPr>
      </w:pPr>
      <w:r>
        <w:rPr>
          <w:rFonts w:hint="eastAsia"/>
          <w:sz w:val="24"/>
          <w:szCs w:val="24"/>
        </w:rPr>
        <w:t>与本竞标有关的正式通讯地址为：</w:t>
      </w:r>
    </w:p>
    <w:p>
      <w:pPr>
        <w:pStyle w:val="17"/>
        <w:spacing w:line="276" w:lineRule="auto"/>
        <w:ind w:firstLine="420"/>
        <w:rPr>
          <w:sz w:val="24"/>
          <w:szCs w:val="24"/>
        </w:rPr>
      </w:pPr>
      <w:r>
        <w:rPr>
          <w:rFonts w:hint="eastAsia"/>
          <w:sz w:val="24"/>
          <w:szCs w:val="24"/>
        </w:rPr>
        <w:t>地址：</w:t>
      </w:r>
      <w:r>
        <w:rPr>
          <w:sz w:val="24"/>
          <w:szCs w:val="24"/>
          <w:u w:val="single"/>
        </w:rPr>
        <w:t xml:space="preserve">                                </w:t>
      </w:r>
      <w:r>
        <w:rPr>
          <w:sz w:val="24"/>
          <w:szCs w:val="24"/>
        </w:rPr>
        <w:t xml:space="preserve"> </w:t>
      </w:r>
    </w:p>
    <w:p>
      <w:pPr>
        <w:pStyle w:val="17"/>
        <w:spacing w:line="276" w:lineRule="auto"/>
        <w:ind w:firstLine="420"/>
        <w:rPr>
          <w:sz w:val="24"/>
          <w:szCs w:val="24"/>
        </w:rPr>
      </w:pPr>
      <w:r>
        <w:rPr>
          <w:rFonts w:hint="eastAsia"/>
          <w:sz w:val="24"/>
          <w:szCs w:val="24"/>
        </w:rPr>
        <w:t>邮政编码：</w:t>
      </w:r>
      <w:r>
        <w:rPr>
          <w:rFonts w:hint="eastAsia"/>
          <w:sz w:val="24"/>
          <w:szCs w:val="24"/>
          <w:u w:val="single"/>
        </w:rPr>
        <w:t xml:space="preserve">             </w:t>
      </w:r>
    </w:p>
    <w:p>
      <w:pPr>
        <w:pStyle w:val="17"/>
        <w:spacing w:line="276" w:lineRule="auto"/>
        <w:ind w:firstLine="420"/>
        <w:rPr>
          <w:sz w:val="24"/>
          <w:szCs w:val="24"/>
          <w:u w:val="single"/>
        </w:rPr>
      </w:pPr>
      <w:r>
        <w:rPr>
          <w:rFonts w:hint="eastAsia"/>
          <w:sz w:val="24"/>
          <w:szCs w:val="24"/>
        </w:rPr>
        <w:t>电话、电报、传真或电传：</w:t>
      </w:r>
      <w:r>
        <w:rPr>
          <w:rFonts w:hint="eastAsia"/>
          <w:sz w:val="24"/>
          <w:szCs w:val="24"/>
          <w:u w:val="single"/>
        </w:rPr>
        <w:t xml:space="preserve">                                      </w:t>
      </w:r>
    </w:p>
    <w:p>
      <w:pPr>
        <w:pStyle w:val="17"/>
        <w:spacing w:line="276" w:lineRule="auto"/>
        <w:ind w:firstLine="420"/>
        <w:rPr>
          <w:sz w:val="24"/>
          <w:szCs w:val="24"/>
          <w:u w:val="single"/>
        </w:rPr>
      </w:pPr>
      <w:r>
        <w:rPr>
          <w:rFonts w:hint="eastAsia"/>
          <w:sz w:val="24"/>
          <w:szCs w:val="24"/>
        </w:rPr>
        <w:t>开户名称：</w:t>
      </w:r>
      <w:r>
        <w:rPr>
          <w:rFonts w:hint="eastAsia"/>
          <w:sz w:val="24"/>
          <w:szCs w:val="24"/>
          <w:u w:val="single"/>
        </w:rPr>
        <w:t xml:space="preserve">                                                    </w:t>
      </w:r>
    </w:p>
    <w:p>
      <w:pPr>
        <w:pStyle w:val="17"/>
        <w:spacing w:line="276" w:lineRule="auto"/>
        <w:ind w:firstLine="420"/>
        <w:rPr>
          <w:sz w:val="24"/>
          <w:szCs w:val="24"/>
          <w:u w:val="single"/>
        </w:rPr>
      </w:pPr>
      <w:r>
        <w:rPr>
          <w:rFonts w:hint="eastAsia"/>
          <w:sz w:val="24"/>
          <w:szCs w:val="24"/>
        </w:rPr>
        <w:t>开户银行：</w:t>
      </w:r>
      <w:r>
        <w:rPr>
          <w:rFonts w:hint="eastAsia"/>
          <w:sz w:val="24"/>
          <w:szCs w:val="24"/>
          <w:u w:val="single"/>
        </w:rPr>
        <w:t xml:space="preserve">                                                    </w:t>
      </w:r>
    </w:p>
    <w:p>
      <w:pPr>
        <w:pStyle w:val="17"/>
        <w:spacing w:line="276" w:lineRule="auto"/>
        <w:ind w:firstLine="420"/>
        <w:rPr>
          <w:sz w:val="24"/>
          <w:szCs w:val="24"/>
          <w:u w:val="single"/>
        </w:rPr>
      </w:pPr>
      <w:r>
        <w:rPr>
          <w:rFonts w:hint="eastAsia"/>
          <w:sz w:val="24"/>
          <w:szCs w:val="24"/>
        </w:rPr>
        <w:t>帐号：</w:t>
      </w:r>
      <w:r>
        <w:rPr>
          <w:rFonts w:hint="eastAsia"/>
          <w:sz w:val="24"/>
          <w:szCs w:val="24"/>
          <w:u w:val="single"/>
        </w:rPr>
        <w:t xml:space="preserve">                                                        </w:t>
      </w:r>
    </w:p>
    <w:p>
      <w:pPr>
        <w:pStyle w:val="17"/>
        <w:spacing w:line="276" w:lineRule="auto"/>
        <w:ind w:firstLine="420"/>
        <w:rPr>
          <w:sz w:val="24"/>
          <w:szCs w:val="24"/>
        </w:rPr>
      </w:pPr>
      <w:r>
        <w:rPr>
          <w:rFonts w:hint="eastAsia"/>
          <w:sz w:val="24"/>
          <w:szCs w:val="24"/>
        </w:rPr>
        <w:t>法定代表人或委托代理人签字：</w:t>
      </w:r>
      <w:r>
        <w:rPr>
          <w:rFonts w:hint="eastAsia"/>
          <w:sz w:val="24"/>
          <w:szCs w:val="24"/>
          <w:u w:val="single"/>
        </w:rPr>
        <w:t xml:space="preserve">                                  </w:t>
      </w:r>
    </w:p>
    <w:p>
      <w:pPr>
        <w:pStyle w:val="17"/>
        <w:spacing w:line="276" w:lineRule="auto"/>
        <w:ind w:firstLine="420"/>
        <w:rPr>
          <w:sz w:val="24"/>
          <w:szCs w:val="24"/>
        </w:rPr>
      </w:pPr>
      <w:r>
        <w:rPr>
          <w:rFonts w:hint="eastAsia"/>
          <w:sz w:val="24"/>
          <w:szCs w:val="24"/>
        </w:rPr>
        <w:t>竞标人盖公章：</w:t>
      </w:r>
      <w:r>
        <w:rPr>
          <w:rFonts w:hint="eastAsia"/>
          <w:sz w:val="24"/>
          <w:szCs w:val="24"/>
          <w:u w:val="single"/>
        </w:rPr>
        <w:t xml:space="preserve">                                                </w:t>
      </w:r>
    </w:p>
    <w:p>
      <w:pPr>
        <w:pStyle w:val="17"/>
        <w:spacing w:line="276" w:lineRule="auto"/>
        <w:ind w:firstLine="420"/>
        <w:rPr>
          <w:sz w:val="24"/>
          <w:szCs w:val="24"/>
        </w:rPr>
      </w:pPr>
      <w:r>
        <w:rPr>
          <w:rFonts w:hint="eastAsia"/>
          <w:sz w:val="24"/>
          <w:szCs w:val="24"/>
        </w:rPr>
        <w:t>日期：</w:t>
      </w:r>
      <w:r>
        <w:rPr>
          <w:rFonts w:hint="eastAsia"/>
          <w:sz w:val="24"/>
          <w:szCs w:val="24"/>
          <w:u w:val="single"/>
        </w:rPr>
        <w:t xml:space="preserve">                                                    </w:t>
      </w:r>
    </w:p>
    <w:p>
      <w:pPr>
        <w:pStyle w:val="17"/>
        <w:jc w:val="center"/>
      </w:pPr>
      <w:r>
        <w:rPr>
          <w:rFonts w:hint="eastAsia"/>
          <w:b/>
          <w:sz w:val="24"/>
          <w:szCs w:val="24"/>
        </w:rPr>
        <w:t>注：未按照本竞标函要求填报的竞标函将被视为非实质性响应竞标，从而导致该竞标被拒绝。</w:t>
      </w:r>
      <w:r>
        <w:br w:type="page"/>
      </w:r>
      <w:r>
        <w:rPr>
          <w:rFonts w:hAnsi="宋体"/>
          <w:b/>
          <w:bCs/>
          <w:sz w:val="30"/>
        </w:rPr>
        <w:t>2</w:t>
      </w:r>
      <w:r>
        <w:rPr>
          <w:rFonts w:hint="eastAsia" w:hAnsi="宋体"/>
          <w:b/>
          <w:bCs/>
          <w:sz w:val="30"/>
        </w:rPr>
        <w:t>、竞标报价表格式</w:t>
      </w:r>
    </w:p>
    <w:p>
      <w:pPr>
        <w:rPr>
          <w:b/>
          <w:bCs/>
          <w:szCs w:val="21"/>
        </w:rPr>
      </w:pPr>
    </w:p>
    <w:tbl>
      <w:tblPr>
        <w:tblStyle w:val="32"/>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661"/>
        <w:gridCol w:w="992"/>
        <w:gridCol w:w="1483"/>
        <w:gridCol w:w="1372"/>
        <w:gridCol w:w="930"/>
        <w:gridCol w:w="866"/>
        <w:gridCol w:w="141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445" w:type="dxa"/>
            <w:vMerge w:val="restart"/>
            <w:vAlign w:val="center"/>
          </w:tcPr>
          <w:p>
            <w:pPr>
              <w:pStyle w:val="17"/>
              <w:jc w:val="center"/>
              <w:rPr>
                <w:rFonts w:hAnsi="宋体"/>
                <w:spacing w:val="-20"/>
              </w:rPr>
            </w:pPr>
            <w:r>
              <w:rPr>
                <w:rFonts w:hint="eastAsia" w:hAnsi="宋体"/>
                <w:spacing w:val="-20"/>
              </w:rPr>
              <w:t>序号</w:t>
            </w:r>
          </w:p>
        </w:tc>
        <w:tc>
          <w:tcPr>
            <w:tcW w:w="1661" w:type="dxa"/>
            <w:vMerge w:val="restart"/>
            <w:vAlign w:val="center"/>
          </w:tcPr>
          <w:p>
            <w:pPr>
              <w:pStyle w:val="17"/>
              <w:jc w:val="center"/>
              <w:rPr>
                <w:rFonts w:hAnsi="宋体"/>
                <w:spacing w:val="-20"/>
              </w:rPr>
            </w:pPr>
            <w:r>
              <w:rPr>
                <w:rFonts w:hint="eastAsia" w:hAnsi="宋体"/>
                <w:spacing w:val="-20"/>
              </w:rPr>
              <w:t>货物名称</w:t>
            </w:r>
          </w:p>
        </w:tc>
        <w:tc>
          <w:tcPr>
            <w:tcW w:w="992" w:type="dxa"/>
            <w:vMerge w:val="restart"/>
            <w:vAlign w:val="center"/>
          </w:tcPr>
          <w:p>
            <w:pPr>
              <w:pStyle w:val="17"/>
              <w:jc w:val="center"/>
              <w:rPr>
                <w:rFonts w:hAnsi="宋体"/>
                <w:spacing w:val="-20"/>
              </w:rPr>
            </w:pPr>
            <w:r>
              <w:rPr>
                <w:rFonts w:hint="eastAsia" w:hAnsi="宋体"/>
                <w:spacing w:val="-20"/>
              </w:rPr>
              <w:t>数量</w:t>
            </w:r>
          </w:p>
          <w:p>
            <w:pPr>
              <w:pStyle w:val="17"/>
              <w:jc w:val="center"/>
              <w:rPr>
                <w:rFonts w:hAnsi="宋体"/>
                <w:spacing w:val="-20"/>
              </w:rPr>
            </w:pPr>
          </w:p>
          <w:p>
            <w:pPr>
              <w:pStyle w:val="17"/>
              <w:jc w:val="center"/>
              <w:rPr>
                <w:rFonts w:hAnsi="宋体"/>
                <w:spacing w:val="-20"/>
              </w:rPr>
            </w:pPr>
            <w:r>
              <w:rPr>
                <w:rFonts w:hint="eastAsia" w:hAnsi="宋体"/>
                <w:spacing w:val="-20"/>
              </w:rPr>
              <w:t>①</w:t>
            </w:r>
          </w:p>
        </w:tc>
        <w:tc>
          <w:tcPr>
            <w:tcW w:w="1483" w:type="dxa"/>
            <w:vMerge w:val="restart"/>
            <w:vAlign w:val="center"/>
          </w:tcPr>
          <w:p>
            <w:pPr>
              <w:pStyle w:val="17"/>
              <w:jc w:val="center"/>
              <w:rPr>
                <w:rFonts w:hAnsi="宋体"/>
              </w:rPr>
            </w:pPr>
            <w:r>
              <w:rPr>
                <w:rFonts w:hint="eastAsia" w:hAnsi="宋体"/>
              </w:rPr>
              <w:t>货物全称、品牌</w:t>
            </w:r>
          </w:p>
          <w:p>
            <w:pPr>
              <w:pStyle w:val="17"/>
              <w:jc w:val="center"/>
              <w:rPr>
                <w:rFonts w:hAnsi="宋体"/>
              </w:rPr>
            </w:pPr>
            <w:r>
              <w:rPr>
                <w:rFonts w:hint="eastAsia" w:hAnsi="宋体"/>
              </w:rPr>
              <w:t>生产厂家及国别</w:t>
            </w:r>
          </w:p>
        </w:tc>
        <w:tc>
          <w:tcPr>
            <w:tcW w:w="2302" w:type="dxa"/>
            <w:gridSpan w:val="2"/>
            <w:vAlign w:val="center"/>
          </w:tcPr>
          <w:p>
            <w:pPr>
              <w:pStyle w:val="17"/>
              <w:jc w:val="center"/>
              <w:rPr>
                <w:rFonts w:hAnsi="宋体"/>
              </w:rPr>
            </w:pPr>
            <w:r>
              <w:rPr>
                <w:rFonts w:hint="eastAsia" w:hAnsi="宋体"/>
              </w:rPr>
              <w:t>型号规格、技术参数、</w:t>
            </w:r>
          </w:p>
          <w:p>
            <w:pPr>
              <w:pStyle w:val="17"/>
              <w:jc w:val="center"/>
              <w:rPr>
                <w:rFonts w:hAnsi="宋体"/>
              </w:rPr>
            </w:pPr>
            <w:r>
              <w:rPr>
                <w:rFonts w:hint="eastAsia" w:hAnsi="宋体"/>
              </w:rPr>
              <w:t>性能配置</w:t>
            </w:r>
          </w:p>
        </w:tc>
        <w:tc>
          <w:tcPr>
            <w:tcW w:w="866" w:type="dxa"/>
            <w:vMerge w:val="restart"/>
            <w:vAlign w:val="center"/>
          </w:tcPr>
          <w:p>
            <w:pPr>
              <w:pStyle w:val="17"/>
              <w:jc w:val="center"/>
              <w:rPr>
                <w:rFonts w:hAnsi="宋体"/>
              </w:rPr>
            </w:pPr>
            <w:r>
              <w:rPr>
                <w:rFonts w:hint="eastAsia" w:hAnsi="宋体"/>
              </w:rPr>
              <w:t>单价</w:t>
            </w:r>
          </w:p>
          <w:p>
            <w:pPr>
              <w:pStyle w:val="17"/>
              <w:jc w:val="center"/>
              <w:rPr>
                <w:rFonts w:hAnsi="宋体"/>
              </w:rPr>
            </w:pPr>
            <w:r>
              <w:rPr>
                <w:rFonts w:hint="eastAsia" w:hAnsi="宋体"/>
              </w:rPr>
              <w:t>（元</w:t>
            </w:r>
            <w:r>
              <w:rPr>
                <w:rFonts w:hAnsi="宋体"/>
              </w:rPr>
              <w:t>)</w:t>
            </w:r>
          </w:p>
          <w:p>
            <w:pPr>
              <w:pStyle w:val="17"/>
              <w:jc w:val="center"/>
              <w:rPr>
                <w:rFonts w:hAnsi="宋体"/>
              </w:rPr>
            </w:pPr>
            <w:r>
              <w:rPr>
                <w:rFonts w:hint="eastAsia" w:hAnsi="宋体"/>
              </w:rPr>
              <w:t>②</w:t>
            </w:r>
          </w:p>
        </w:tc>
        <w:tc>
          <w:tcPr>
            <w:tcW w:w="1419" w:type="dxa"/>
            <w:vMerge w:val="restart"/>
            <w:vAlign w:val="center"/>
          </w:tcPr>
          <w:p>
            <w:pPr>
              <w:pStyle w:val="17"/>
              <w:jc w:val="center"/>
              <w:rPr>
                <w:rFonts w:hAnsi="宋体"/>
              </w:rPr>
            </w:pPr>
            <w:r>
              <w:rPr>
                <w:rFonts w:hint="eastAsia" w:hAnsi="宋体"/>
              </w:rPr>
              <w:t>单项合价</w:t>
            </w:r>
          </w:p>
          <w:p>
            <w:pPr>
              <w:pStyle w:val="17"/>
              <w:jc w:val="center"/>
              <w:rPr>
                <w:rFonts w:hAnsi="宋体"/>
              </w:rPr>
            </w:pPr>
            <w:r>
              <w:rPr>
                <w:rFonts w:hint="eastAsia" w:hAnsi="宋体"/>
              </w:rPr>
              <w:t>（元）</w:t>
            </w:r>
          </w:p>
          <w:p>
            <w:pPr>
              <w:pStyle w:val="17"/>
              <w:jc w:val="center"/>
              <w:rPr>
                <w:rFonts w:hAnsi="宋体"/>
              </w:rPr>
            </w:pPr>
            <w:r>
              <w:rPr>
                <w:rFonts w:hint="eastAsia" w:hAnsi="宋体"/>
              </w:rPr>
              <w:t>③</w:t>
            </w:r>
            <w:r>
              <w:rPr>
                <w:rFonts w:hAnsi="宋体"/>
              </w:rPr>
              <w:t>=</w:t>
            </w:r>
            <w:r>
              <w:rPr>
                <w:rFonts w:hint="eastAsia" w:hAnsi="宋体"/>
              </w:rPr>
              <w:t>①×②</w:t>
            </w:r>
          </w:p>
        </w:tc>
        <w:tc>
          <w:tcPr>
            <w:tcW w:w="996" w:type="dxa"/>
            <w:vMerge w:val="restart"/>
            <w:vAlign w:val="center"/>
          </w:tcPr>
          <w:p>
            <w:pPr>
              <w:pStyle w:val="17"/>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445" w:type="dxa"/>
            <w:vMerge w:val="continue"/>
            <w:vAlign w:val="center"/>
          </w:tcPr>
          <w:p>
            <w:pPr>
              <w:pStyle w:val="17"/>
              <w:jc w:val="center"/>
              <w:rPr>
                <w:rFonts w:hAnsi="宋体"/>
                <w:spacing w:val="-20"/>
              </w:rPr>
            </w:pPr>
          </w:p>
        </w:tc>
        <w:tc>
          <w:tcPr>
            <w:tcW w:w="1661" w:type="dxa"/>
            <w:vMerge w:val="continue"/>
            <w:vAlign w:val="center"/>
          </w:tcPr>
          <w:p>
            <w:pPr>
              <w:pStyle w:val="17"/>
              <w:jc w:val="center"/>
              <w:rPr>
                <w:rFonts w:hAnsi="宋体"/>
                <w:spacing w:val="-20"/>
              </w:rPr>
            </w:pPr>
          </w:p>
        </w:tc>
        <w:tc>
          <w:tcPr>
            <w:tcW w:w="992" w:type="dxa"/>
            <w:vMerge w:val="continue"/>
            <w:vAlign w:val="center"/>
          </w:tcPr>
          <w:p>
            <w:pPr>
              <w:pStyle w:val="17"/>
              <w:jc w:val="center"/>
              <w:rPr>
                <w:rFonts w:hAnsi="宋体"/>
                <w:spacing w:val="-20"/>
              </w:rPr>
            </w:pPr>
          </w:p>
        </w:tc>
        <w:tc>
          <w:tcPr>
            <w:tcW w:w="1483" w:type="dxa"/>
            <w:vMerge w:val="continue"/>
            <w:vAlign w:val="center"/>
          </w:tcPr>
          <w:p>
            <w:pPr>
              <w:pStyle w:val="17"/>
              <w:jc w:val="center"/>
              <w:rPr>
                <w:rFonts w:hAnsi="宋体"/>
              </w:rPr>
            </w:pPr>
          </w:p>
        </w:tc>
        <w:tc>
          <w:tcPr>
            <w:tcW w:w="1372" w:type="dxa"/>
            <w:vAlign w:val="center"/>
          </w:tcPr>
          <w:p>
            <w:pPr>
              <w:pStyle w:val="17"/>
              <w:jc w:val="center"/>
              <w:rPr>
                <w:rFonts w:hAnsi="宋体"/>
              </w:rPr>
            </w:pPr>
            <w:r>
              <w:rPr>
                <w:rFonts w:hint="eastAsia" w:hAnsi="宋体"/>
              </w:rPr>
              <w:t>标准配置</w:t>
            </w:r>
          </w:p>
          <w:p>
            <w:pPr>
              <w:pStyle w:val="17"/>
              <w:jc w:val="center"/>
              <w:rPr>
                <w:rFonts w:hAnsi="宋体"/>
              </w:rPr>
            </w:pPr>
            <w:r>
              <w:rPr>
                <w:rFonts w:hint="eastAsia" w:hAnsi="宋体"/>
              </w:rPr>
              <w:t>部件</w:t>
            </w:r>
          </w:p>
        </w:tc>
        <w:tc>
          <w:tcPr>
            <w:tcW w:w="930" w:type="dxa"/>
            <w:vAlign w:val="center"/>
          </w:tcPr>
          <w:p>
            <w:pPr>
              <w:pStyle w:val="17"/>
              <w:jc w:val="center"/>
              <w:rPr>
                <w:rFonts w:hAnsi="宋体"/>
              </w:rPr>
            </w:pPr>
            <w:r>
              <w:rPr>
                <w:rFonts w:hint="eastAsia" w:hAnsi="宋体"/>
              </w:rPr>
              <w:t>附加</w:t>
            </w:r>
          </w:p>
          <w:p>
            <w:pPr>
              <w:pStyle w:val="17"/>
              <w:jc w:val="center"/>
              <w:rPr>
                <w:rFonts w:hAnsi="宋体"/>
              </w:rPr>
            </w:pPr>
            <w:r>
              <w:rPr>
                <w:rFonts w:hint="eastAsia" w:hAnsi="宋体"/>
              </w:rPr>
              <w:t>部件</w:t>
            </w:r>
          </w:p>
        </w:tc>
        <w:tc>
          <w:tcPr>
            <w:tcW w:w="866" w:type="dxa"/>
            <w:vMerge w:val="continue"/>
            <w:vAlign w:val="center"/>
          </w:tcPr>
          <w:p>
            <w:pPr>
              <w:pStyle w:val="17"/>
              <w:jc w:val="center"/>
              <w:rPr>
                <w:rFonts w:hAnsi="宋体"/>
              </w:rPr>
            </w:pPr>
          </w:p>
        </w:tc>
        <w:tc>
          <w:tcPr>
            <w:tcW w:w="1419" w:type="dxa"/>
            <w:vMerge w:val="continue"/>
            <w:vAlign w:val="center"/>
          </w:tcPr>
          <w:p>
            <w:pPr>
              <w:pStyle w:val="17"/>
              <w:jc w:val="center"/>
              <w:rPr>
                <w:rFonts w:hAnsi="宋体"/>
              </w:rPr>
            </w:pPr>
          </w:p>
        </w:tc>
        <w:tc>
          <w:tcPr>
            <w:tcW w:w="996" w:type="dxa"/>
            <w:vMerge w:val="continue"/>
            <w:vAlign w:val="center"/>
          </w:tcPr>
          <w:p>
            <w:pPr>
              <w:pStyle w:val="17"/>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sz w:val="24"/>
              </w:rPr>
            </w:pPr>
            <w:r>
              <w:rPr>
                <w:rFonts w:ascii="宋体" w:hAnsi="宋体"/>
                <w:sz w:val="24"/>
              </w:rPr>
              <w:t>1</w:t>
            </w:r>
          </w:p>
        </w:tc>
        <w:tc>
          <w:tcPr>
            <w:tcW w:w="1661" w:type="dxa"/>
            <w:vAlign w:val="center"/>
          </w:tcPr>
          <w:p>
            <w:pPr>
              <w:jc w:val="center"/>
              <w:rPr>
                <w:rFonts w:ascii="宋体" w:hAnsi="宋体"/>
              </w:rPr>
            </w:pPr>
          </w:p>
        </w:tc>
        <w:tc>
          <w:tcPr>
            <w:tcW w:w="992" w:type="dxa"/>
            <w:vAlign w:val="center"/>
          </w:tcPr>
          <w:p>
            <w:pPr>
              <w:jc w:val="center"/>
              <w:rPr>
                <w:rFonts w:ascii="宋体" w:hAnsi="宋体"/>
              </w:rPr>
            </w:pPr>
          </w:p>
        </w:tc>
        <w:tc>
          <w:tcPr>
            <w:tcW w:w="1483" w:type="dxa"/>
            <w:vAlign w:val="center"/>
          </w:tcPr>
          <w:p>
            <w:pPr>
              <w:pStyle w:val="17"/>
              <w:rPr>
                <w:rFonts w:hAnsi="宋体"/>
              </w:rPr>
            </w:pPr>
          </w:p>
        </w:tc>
        <w:tc>
          <w:tcPr>
            <w:tcW w:w="1372" w:type="dxa"/>
            <w:vAlign w:val="center"/>
          </w:tcPr>
          <w:p>
            <w:pPr>
              <w:pStyle w:val="17"/>
              <w:rPr>
                <w:rFonts w:hAnsi="宋体"/>
              </w:rPr>
            </w:pPr>
          </w:p>
        </w:tc>
        <w:tc>
          <w:tcPr>
            <w:tcW w:w="930" w:type="dxa"/>
            <w:vAlign w:val="center"/>
          </w:tcPr>
          <w:p>
            <w:pPr>
              <w:pStyle w:val="17"/>
              <w:rPr>
                <w:rFonts w:hAnsi="宋体"/>
              </w:rPr>
            </w:pPr>
          </w:p>
        </w:tc>
        <w:tc>
          <w:tcPr>
            <w:tcW w:w="866" w:type="dxa"/>
            <w:vAlign w:val="center"/>
          </w:tcPr>
          <w:p>
            <w:pPr>
              <w:pStyle w:val="17"/>
              <w:rPr>
                <w:rFonts w:hAnsi="宋体"/>
              </w:rPr>
            </w:pPr>
          </w:p>
        </w:tc>
        <w:tc>
          <w:tcPr>
            <w:tcW w:w="1419" w:type="dxa"/>
            <w:vAlign w:val="center"/>
          </w:tcPr>
          <w:p>
            <w:pPr>
              <w:pStyle w:val="17"/>
              <w:rPr>
                <w:rFonts w:hAnsi="宋体"/>
              </w:rPr>
            </w:pPr>
          </w:p>
        </w:tc>
        <w:tc>
          <w:tcPr>
            <w:tcW w:w="996" w:type="dxa"/>
            <w:vAlign w:val="center"/>
          </w:tcPr>
          <w:p>
            <w:pPr>
              <w:pStyle w:val="1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sz w:val="24"/>
              </w:rPr>
            </w:pPr>
            <w:r>
              <w:rPr>
                <w:rFonts w:ascii="宋体" w:hAnsi="宋体"/>
                <w:sz w:val="24"/>
              </w:rPr>
              <w:t>2</w:t>
            </w:r>
          </w:p>
        </w:tc>
        <w:tc>
          <w:tcPr>
            <w:tcW w:w="1661" w:type="dxa"/>
            <w:vAlign w:val="center"/>
          </w:tcPr>
          <w:p>
            <w:pPr>
              <w:jc w:val="center"/>
              <w:rPr>
                <w:rFonts w:ascii="宋体" w:hAnsi="宋体"/>
              </w:rPr>
            </w:pPr>
          </w:p>
        </w:tc>
        <w:tc>
          <w:tcPr>
            <w:tcW w:w="992" w:type="dxa"/>
            <w:vAlign w:val="center"/>
          </w:tcPr>
          <w:p>
            <w:pPr>
              <w:jc w:val="center"/>
              <w:rPr>
                <w:rFonts w:ascii="宋体" w:hAnsi="宋体"/>
              </w:rPr>
            </w:pPr>
          </w:p>
        </w:tc>
        <w:tc>
          <w:tcPr>
            <w:tcW w:w="1483" w:type="dxa"/>
            <w:vAlign w:val="center"/>
          </w:tcPr>
          <w:p>
            <w:pPr>
              <w:pStyle w:val="17"/>
              <w:rPr>
                <w:rFonts w:hAnsi="宋体"/>
              </w:rPr>
            </w:pPr>
          </w:p>
        </w:tc>
        <w:tc>
          <w:tcPr>
            <w:tcW w:w="1372" w:type="dxa"/>
            <w:vAlign w:val="center"/>
          </w:tcPr>
          <w:p>
            <w:pPr>
              <w:pStyle w:val="17"/>
              <w:rPr>
                <w:rFonts w:hAnsi="宋体"/>
              </w:rPr>
            </w:pPr>
          </w:p>
        </w:tc>
        <w:tc>
          <w:tcPr>
            <w:tcW w:w="930" w:type="dxa"/>
            <w:vAlign w:val="center"/>
          </w:tcPr>
          <w:p>
            <w:pPr>
              <w:pStyle w:val="17"/>
              <w:rPr>
                <w:rFonts w:hAnsi="宋体"/>
              </w:rPr>
            </w:pPr>
          </w:p>
        </w:tc>
        <w:tc>
          <w:tcPr>
            <w:tcW w:w="866" w:type="dxa"/>
            <w:vAlign w:val="center"/>
          </w:tcPr>
          <w:p>
            <w:pPr>
              <w:pStyle w:val="17"/>
              <w:rPr>
                <w:rFonts w:hAnsi="宋体"/>
              </w:rPr>
            </w:pPr>
          </w:p>
        </w:tc>
        <w:tc>
          <w:tcPr>
            <w:tcW w:w="1419" w:type="dxa"/>
            <w:vAlign w:val="center"/>
          </w:tcPr>
          <w:p>
            <w:pPr>
              <w:pStyle w:val="17"/>
              <w:rPr>
                <w:rFonts w:hAnsi="宋体"/>
              </w:rPr>
            </w:pPr>
          </w:p>
        </w:tc>
        <w:tc>
          <w:tcPr>
            <w:tcW w:w="996" w:type="dxa"/>
            <w:vAlign w:val="center"/>
          </w:tcPr>
          <w:p>
            <w:pPr>
              <w:pStyle w:val="1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sz w:val="24"/>
              </w:rPr>
            </w:pPr>
            <w:r>
              <w:rPr>
                <w:rFonts w:ascii="宋体" w:hAnsi="宋体"/>
                <w:sz w:val="24"/>
              </w:rPr>
              <w:t>3</w:t>
            </w:r>
          </w:p>
        </w:tc>
        <w:tc>
          <w:tcPr>
            <w:tcW w:w="1661" w:type="dxa"/>
            <w:vAlign w:val="center"/>
          </w:tcPr>
          <w:p>
            <w:pPr>
              <w:jc w:val="center"/>
              <w:rPr>
                <w:rFonts w:ascii="宋体" w:hAnsi="宋体"/>
              </w:rPr>
            </w:pPr>
          </w:p>
        </w:tc>
        <w:tc>
          <w:tcPr>
            <w:tcW w:w="992" w:type="dxa"/>
            <w:vAlign w:val="center"/>
          </w:tcPr>
          <w:p>
            <w:pPr>
              <w:jc w:val="center"/>
              <w:rPr>
                <w:rFonts w:ascii="宋体" w:hAnsi="宋体"/>
              </w:rPr>
            </w:pPr>
          </w:p>
        </w:tc>
        <w:tc>
          <w:tcPr>
            <w:tcW w:w="1483" w:type="dxa"/>
            <w:vAlign w:val="center"/>
          </w:tcPr>
          <w:p>
            <w:pPr>
              <w:pStyle w:val="17"/>
              <w:rPr>
                <w:rFonts w:hAnsi="宋体"/>
              </w:rPr>
            </w:pPr>
          </w:p>
        </w:tc>
        <w:tc>
          <w:tcPr>
            <w:tcW w:w="1372" w:type="dxa"/>
            <w:vAlign w:val="center"/>
          </w:tcPr>
          <w:p>
            <w:pPr>
              <w:pStyle w:val="17"/>
              <w:rPr>
                <w:rFonts w:hAnsi="宋体"/>
              </w:rPr>
            </w:pPr>
          </w:p>
        </w:tc>
        <w:tc>
          <w:tcPr>
            <w:tcW w:w="930" w:type="dxa"/>
            <w:vAlign w:val="center"/>
          </w:tcPr>
          <w:p>
            <w:pPr>
              <w:pStyle w:val="17"/>
              <w:rPr>
                <w:rFonts w:hAnsi="宋体"/>
              </w:rPr>
            </w:pPr>
          </w:p>
        </w:tc>
        <w:tc>
          <w:tcPr>
            <w:tcW w:w="866" w:type="dxa"/>
            <w:vAlign w:val="center"/>
          </w:tcPr>
          <w:p>
            <w:pPr>
              <w:pStyle w:val="17"/>
              <w:rPr>
                <w:rFonts w:hAnsi="宋体"/>
              </w:rPr>
            </w:pPr>
          </w:p>
        </w:tc>
        <w:tc>
          <w:tcPr>
            <w:tcW w:w="1419" w:type="dxa"/>
            <w:vAlign w:val="center"/>
          </w:tcPr>
          <w:p>
            <w:pPr>
              <w:pStyle w:val="17"/>
              <w:rPr>
                <w:rFonts w:hAnsi="宋体"/>
              </w:rPr>
            </w:pPr>
          </w:p>
        </w:tc>
        <w:tc>
          <w:tcPr>
            <w:tcW w:w="996" w:type="dxa"/>
            <w:vAlign w:val="center"/>
          </w:tcPr>
          <w:p>
            <w:pPr>
              <w:pStyle w:val="1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sz w:val="24"/>
              </w:rPr>
            </w:pPr>
            <w:r>
              <w:rPr>
                <w:rFonts w:hint="eastAsia" w:ascii="宋体" w:hAnsi="宋体"/>
                <w:sz w:val="24"/>
              </w:rPr>
              <w:t>…</w:t>
            </w:r>
          </w:p>
        </w:tc>
        <w:tc>
          <w:tcPr>
            <w:tcW w:w="1661" w:type="dxa"/>
            <w:vAlign w:val="center"/>
          </w:tcPr>
          <w:p>
            <w:pPr>
              <w:jc w:val="center"/>
              <w:rPr>
                <w:rFonts w:ascii="宋体" w:hAnsi="宋体"/>
              </w:rPr>
            </w:pPr>
          </w:p>
        </w:tc>
        <w:tc>
          <w:tcPr>
            <w:tcW w:w="992" w:type="dxa"/>
            <w:vAlign w:val="center"/>
          </w:tcPr>
          <w:p>
            <w:pPr>
              <w:jc w:val="center"/>
              <w:rPr>
                <w:rFonts w:ascii="宋体" w:hAnsi="宋体"/>
              </w:rPr>
            </w:pPr>
          </w:p>
        </w:tc>
        <w:tc>
          <w:tcPr>
            <w:tcW w:w="1483" w:type="dxa"/>
            <w:vAlign w:val="center"/>
          </w:tcPr>
          <w:p>
            <w:pPr>
              <w:pStyle w:val="17"/>
              <w:rPr>
                <w:rFonts w:hAnsi="宋体"/>
              </w:rPr>
            </w:pPr>
          </w:p>
        </w:tc>
        <w:tc>
          <w:tcPr>
            <w:tcW w:w="1372" w:type="dxa"/>
            <w:vAlign w:val="center"/>
          </w:tcPr>
          <w:p>
            <w:pPr>
              <w:pStyle w:val="17"/>
              <w:rPr>
                <w:rFonts w:hAnsi="宋体"/>
              </w:rPr>
            </w:pPr>
          </w:p>
        </w:tc>
        <w:tc>
          <w:tcPr>
            <w:tcW w:w="930" w:type="dxa"/>
            <w:vAlign w:val="center"/>
          </w:tcPr>
          <w:p>
            <w:pPr>
              <w:pStyle w:val="17"/>
              <w:rPr>
                <w:rFonts w:hAnsi="宋体"/>
              </w:rPr>
            </w:pPr>
          </w:p>
        </w:tc>
        <w:tc>
          <w:tcPr>
            <w:tcW w:w="866" w:type="dxa"/>
            <w:vAlign w:val="center"/>
          </w:tcPr>
          <w:p>
            <w:pPr>
              <w:pStyle w:val="17"/>
              <w:rPr>
                <w:rFonts w:hAnsi="宋体"/>
              </w:rPr>
            </w:pPr>
          </w:p>
        </w:tc>
        <w:tc>
          <w:tcPr>
            <w:tcW w:w="1419" w:type="dxa"/>
            <w:vAlign w:val="center"/>
          </w:tcPr>
          <w:p>
            <w:pPr>
              <w:pStyle w:val="17"/>
              <w:rPr>
                <w:rFonts w:hAnsi="宋体"/>
              </w:rPr>
            </w:pPr>
          </w:p>
        </w:tc>
        <w:tc>
          <w:tcPr>
            <w:tcW w:w="996" w:type="dxa"/>
            <w:vAlign w:val="center"/>
          </w:tcPr>
          <w:p>
            <w:pPr>
              <w:pStyle w:val="1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sz w:val="24"/>
              </w:rPr>
            </w:pPr>
          </w:p>
        </w:tc>
        <w:tc>
          <w:tcPr>
            <w:tcW w:w="9719" w:type="dxa"/>
            <w:gridSpan w:val="8"/>
            <w:vAlign w:val="center"/>
          </w:tcPr>
          <w:p>
            <w:pPr>
              <w:pStyle w:val="17"/>
              <w:rPr>
                <w:rFonts w:hAnsi="宋体"/>
                <w:spacing w:val="-6"/>
              </w:rPr>
            </w:pPr>
            <w:r>
              <w:rPr>
                <w:rFonts w:hint="eastAsia" w:hAnsi="宋体"/>
                <w:spacing w:val="-6"/>
              </w:rPr>
              <w:t>合计：1+2+3+</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宋体" w:hAnsi="宋体"/>
                <w:sz w:val="24"/>
              </w:rPr>
            </w:pPr>
          </w:p>
        </w:tc>
        <w:tc>
          <w:tcPr>
            <w:tcW w:w="9719" w:type="dxa"/>
            <w:gridSpan w:val="8"/>
            <w:vAlign w:val="center"/>
          </w:tcPr>
          <w:p>
            <w:pPr>
              <w:pStyle w:val="1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64" w:type="dxa"/>
            <w:gridSpan w:val="9"/>
            <w:vAlign w:val="center"/>
          </w:tcPr>
          <w:p>
            <w:pPr>
              <w:pStyle w:val="17"/>
              <w:rPr>
                <w:rFonts w:hAnsi="宋体"/>
                <w:spacing w:val="-6"/>
              </w:rPr>
            </w:pPr>
            <w:r>
              <w:rPr>
                <w:rFonts w:hint="eastAsia"/>
                <w:sz w:val="24"/>
                <w:szCs w:val="24"/>
              </w:rPr>
              <w:t>总报价（含电梯款及安装费）：（人民币大写）</w:t>
            </w:r>
            <w:r>
              <w:rPr>
                <w:rFonts w:hAnsi="宋体"/>
                <w:spacing w:val="-6"/>
              </w:rPr>
              <w:t xml:space="preserve">  </w:t>
            </w:r>
            <w:r>
              <w:rPr>
                <w:rFonts w:hAnsi="宋体"/>
                <w:spacing w:val="-6"/>
                <w:u w:val="single"/>
              </w:rPr>
              <w:t xml:space="preserve">                     </w:t>
            </w:r>
            <w:r>
              <w:rPr>
                <w:rFonts w:hAnsi="宋体"/>
                <w:spacing w:val="-6"/>
              </w:rPr>
              <w:t xml:space="preserve">     </w:t>
            </w:r>
            <w:r>
              <w:rPr>
                <w:rFonts w:hint="eastAsia" w:hAnsi="宋体"/>
                <w:spacing w:val="-6"/>
              </w:rPr>
              <w:t>（￥</w:t>
            </w:r>
            <w:r>
              <w:rPr>
                <w:rFonts w:hAnsi="宋体"/>
                <w:spacing w:val="-6"/>
                <w:u w:val="single"/>
              </w:rPr>
              <w:t xml:space="preserve">           </w:t>
            </w:r>
            <w:r>
              <w:rPr>
                <w:rFonts w:hAnsi="宋体"/>
                <w:spacing w:val="-6"/>
              </w:rPr>
              <w:t xml:space="preserve"> </w:t>
            </w:r>
            <w:r>
              <w:rPr>
                <w:rFonts w:hint="eastAsia" w:hAnsi="宋体"/>
                <w:spacing w:val="-6"/>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0164" w:type="dxa"/>
            <w:gridSpan w:val="9"/>
            <w:vAlign w:val="center"/>
          </w:tcPr>
          <w:p>
            <w:pPr>
              <w:pStyle w:val="17"/>
              <w:rPr>
                <w:rFonts w:hAnsi="宋体"/>
                <w:spacing w:val="-6"/>
              </w:rPr>
            </w:pPr>
            <w:r>
              <w:rPr>
                <w:rFonts w:hint="eastAsia"/>
                <w:sz w:val="24"/>
                <w:szCs w:val="24"/>
              </w:rPr>
              <w:t>交货期</w:t>
            </w:r>
            <w:r>
              <w:rPr>
                <w:rFonts w:hint="eastAsia" w:hAnsi="宋体"/>
                <w:spacing w:val="-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0164" w:type="dxa"/>
            <w:gridSpan w:val="9"/>
            <w:vAlign w:val="center"/>
          </w:tcPr>
          <w:p>
            <w:pPr>
              <w:pStyle w:val="17"/>
              <w:rPr>
                <w:rFonts w:hAnsi="宋体"/>
              </w:rPr>
            </w:pPr>
          </w:p>
        </w:tc>
      </w:tr>
    </w:tbl>
    <w:p>
      <w:pPr>
        <w:pStyle w:val="17"/>
      </w:pPr>
    </w:p>
    <w:p>
      <w:pPr>
        <w:pStyle w:val="17"/>
        <w:jc w:val="center"/>
        <w:rPr>
          <w:sz w:val="24"/>
          <w:szCs w:val="24"/>
        </w:rPr>
      </w:pPr>
    </w:p>
    <w:p>
      <w:pPr>
        <w:pStyle w:val="17"/>
        <w:jc w:val="center"/>
        <w:rPr>
          <w:sz w:val="24"/>
          <w:szCs w:val="24"/>
        </w:rPr>
      </w:pPr>
    </w:p>
    <w:p>
      <w:pPr>
        <w:pStyle w:val="17"/>
        <w:rPr>
          <w:sz w:val="24"/>
          <w:szCs w:val="24"/>
          <w:u w:val="single"/>
        </w:rPr>
      </w:pPr>
      <w:r>
        <w:rPr>
          <w:rFonts w:hint="eastAsia"/>
          <w:sz w:val="24"/>
          <w:szCs w:val="24"/>
        </w:rPr>
        <w:t>竞标人盖公章：</w:t>
      </w:r>
      <w:r>
        <w:rPr>
          <w:rFonts w:hint="eastAsia"/>
          <w:sz w:val="24"/>
          <w:szCs w:val="24"/>
          <w:u w:val="single"/>
        </w:rPr>
        <w:t xml:space="preserve">                    </w:t>
      </w:r>
    </w:p>
    <w:p>
      <w:pPr>
        <w:pStyle w:val="17"/>
        <w:jc w:val="center"/>
        <w:rPr>
          <w:sz w:val="24"/>
          <w:szCs w:val="24"/>
        </w:rPr>
      </w:pPr>
    </w:p>
    <w:p>
      <w:pPr>
        <w:pStyle w:val="17"/>
        <w:rPr>
          <w:sz w:val="24"/>
          <w:szCs w:val="24"/>
          <w:u w:val="single"/>
        </w:rPr>
      </w:pPr>
      <w:r>
        <w:rPr>
          <w:rFonts w:hint="eastAsia"/>
          <w:sz w:val="24"/>
          <w:szCs w:val="24"/>
        </w:rPr>
        <w:t>法定代表人或委托代理人签字：</w:t>
      </w:r>
      <w:r>
        <w:rPr>
          <w:rFonts w:hint="eastAsia"/>
          <w:sz w:val="24"/>
          <w:szCs w:val="24"/>
          <w:u w:val="single"/>
        </w:rPr>
        <w:t xml:space="preserve">                     </w:t>
      </w:r>
      <w:r>
        <w:rPr>
          <w:rFonts w:hint="eastAsia"/>
          <w:sz w:val="24"/>
          <w:szCs w:val="24"/>
        </w:rPr>
        <w:t xml:space="preserve"> </w:t>
      </w:r>
    </w:p>
    <w:p>
      <w:pPr>
        <w:pStyle w:val="17"/>
        <w:jc w:val="center"/>
        <w:rPr>
          <w:sz w:val="24"/>
          <w:szCs w:val="24"/>
          <w:u w:val="single"/>
        </w:rPr>
      </w:pPr>
    </w:p>
    <w:p>
      <w:pPr>
        <w:pStyle w:val="17"/>
        <w:rPr>
          <w:b/>
          <w:sz w:val="32"/>
        </w:rPr>
      </w:pPr>
      <w:r>
        <w:rPr>
          <w:rFonts w:hint="eastAsia"/>
          <w:sz w:val="24"/>
          <w:szCs w:val="24"/>
        </w:rPr>
        <w:t>日期：</w:t>
      </w:r>
      <w:r>
        <w:rPr>
          <w:rFonts w:hint="eastAsia"/>
          <w:sz w:val="24"/>
          <w:szCs w:val="24"/>
          <w:u w:val="single"/>
        </w:rPr>
        <w:t xml:space="preserve">                                     </w:t>
      </w:r>
    </w:p>
    <w:p>
      <w:pPr>
        <w:pStyle w:val="17"/>
        <w:spacing w:line="560" w:lineRule="exact"/>
        <w:jc w:val="center"/>
        <w:rPr>
          <w:b/>
          <w:bCs/>
          <w:sz w:val="32"/>
          <w:szCs w:val="32"/>
        </w:rPr>
      </w:pPr>
      <w:r>
        <w:br w:type="page"/>
      </w:r>
      <w:r>
        <w:rPr>
          <w:b/>
          <w:sz w:val="32"/>
          <w:szCs w:val="32"/>
        </w:rPr>
        <w:t>3</w:t>
      </w:r>
      <w:r>
        <w:rPr>
          <w:rFonts w:hint="eastAsia"/>
          <w:b/>
          <w:sz w:val="32"/>
          <w:szCs w:val="32"/>
        </w:rPr>
        <w:t>、竞标货物合格的证明文件</w:t>
      </w:r>
      <w:r>
        <w:rPr>
          <w:rFonts w:hint="eastAsia"/>
          <w:b/>
          <w:bCs/>
          <w:sz w:val="32"/>
          <w:szCs w:val="32"/>
        </w:rPr>
        <w:t>格式</w:t>
      </w:r>
    </w:p>
    <w:p>
      <w:pPr>
        <w:pStyle w:val="17"/>
        <w:spacing w:line="560" w:lineRule="exact"/>
        <w:jc w:val="center"/>
        <w:rPr>
          <w:bCs/>
          <w:sz w:val="24"/>
        </w:rPr>
      </w:pPr>
      <w:r>
        <w:rPr>
          <w:rFonts w:hint="eastAsia"/>
          <w:bCs/>
          <w:sz w:val="24"/>
        </w:rPr>
        <w:t>（竞标人按竞标须知第</w:t>
      </w:r>
      <w:r>
        <w:rPr>
          <w:bCs/>
          <w:sz w:val="24"/>
        </w:rPr>
        <w:t>13</w:t>
      </w:r>
      <w:r>
        <w:rPr>
          <w:rFonts w:hint="eastAsia"/>
          <w:bCs/>
          <w:sz w:val="24"/>
        </w:rPr>
        <w:t>条要求提供）</w:t>
      </w:r>
    </w:p>
    <w:p>
      <w:pPr>
        <w:pStyle w:val="17"/>
        <w:spacing w:line="560" w:lineRule="exact"/>
        <w:ind w:firstLine="420"/>
        <w:rPr>
          <w:sz w:val="24"/>
        </w:rPr>
      </w:pPr>
    </w:p>
    <w:p>
      <w:pPr>
        <w:pStyle w:val="17"/>
        <w:spacing w:line="560" w:lineRule="exact"/>
        <w:ind w:firstLine="420"/>
        <w:rPr>
          <w:sz w:val="24"/>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420" w:lineRule="exact"/>
        <w:ind w:firstLine="420"/>
        <w:rPr>
          <w:b/>
          <w:sz w:val="32"/>
        </w:rPr>
      </w:pPr>
    </w:p>
    <w:p>
      <w:pPr>
        <w:pStyle w:val="17"/>
        <w:spacing w:line="560" w:lineRule="exact"/>
        <w:jc w:val="center"/>
        <w:rPr>
          <w:b/>
          <w:sz w:val="32"/>
          <w:szCs w:val="32"/>
        </w:rPr>
      </w:pPr>
      <w:r>
        <w:rPr>
          <w:b/>
          <w:sz w:val="32"/>
        </w:rPr>
        <w:br w:type="page"/>
      </w:r>
    </w:p>
    <w:p>
      <w:pPr>
        <w:snapToGrid w:val="0"/>
        <w:jc w:val="center"/>
        <w:rPr>
          <w:rFonts w:ascii="宋体"/>
          <w:sz w:val="32"/>
          <w:szCs w:val="32"/>
        </w:rPr>
      </w:pPr>
      <w:r>
        <w:rPr>
          <w:rFonts w:hint="eastAsia"/>
          <w:b/>
          <w:sz w:val="32"/>
          <w:szCs w:val="32"/>
        </w:rPr>
        <w:t>4、</w:t>
      </w:r>
      <w:r>
        <w:rPr>
          <w:rFonts w:hint="eastAsia" w:ascii="宋体"/>
          <w:b/>
          <w:sz w:val="32"/>
          <w:szCs w:val="32"/>
        </w:rPr>
        <w:t>商务及其他要求响应表</w:t>
      </w:r>
    </w:p>
    <w:p>
      <w:pPr>
        <w:snapToGrid w:val="0"/>
        <w:ind w:firstLine="480" w:firstLineChars="200"/>
        <w:rPr>
          <w:rFonts w:ascii="宋体"/>
          <w:sz w:val="24"/>
        </w:rPr>
      </w:pPr>
    </w:p>
    <w:p>
      <w:pPr>
        <w:pStyle w:val="17"/>
        <w:spacing w:line="400" w:lineRule="exact"/>
        <w:ind w:firstLine="480" w:firstLineChars="200"/>
        <w:rPr>
          <w:sz w:val="24"/>
          <w:szCs w:val="24"/>
        </w:rPr>
      </w:pPr>
      <w:r>
        <w:rPr>
          <w:rFonts w:hint="eastAsia"/>
          <w:sz w:val="24"/>
          <w:szCs w:val="24"/>
        </w:rPr>
        <w:t>请逐条对应采购文件的第二章“货物需求一览表”中要求的项目最低商务及有关要求，认真填写该表。</w:t>
      </w:r>
    </w:p>
    <w:p>
      <w:pPr>
        <w:pStyle w:val="17"/>
        <w:spacing w:line="400" w:lineRule="exact"/>
        <w:ind w:firstLine="480" w:firstLineChars="200"/>
        <w:rPr>
          <w:sz w:val="24"/>
          <w:szCs w:val="24"/>
        </w:rPr>
      </w:pPr>
    </w:p>
    <w:tbl>
      <w:tblPr>
        <w:tblStyle w:val="32"/>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02"/>
        <w:gridCol w:w="2303"/>
        <w:gridCol w:w="262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vAlign w:val="center"/>
          </w:tcPr>
          <w:p>
            <w:pPr>
              <w:pStyle w:val="17"/>
              <w:jc w:val="center"/>
              <w:rPr>
                <w:b/>
                <w:sz w:val="24"/>
                <w:szCs w:val="24"/>
              </w:rPr>
            </w:pPr>
            <w:r>
              <w:rPr>
                <w:rFonts w:hint="eastAsia"/>
                <w:b/>
                <w:sz w:val="24"/>
                <w:szCs w:val="24"/>
              </w:rPr>
              <w:t>序号</w:t>
            </w:r>
          </w:p>
        </w:tc>
        <w:tc>
          <w:tcPr>
            <w:tcW w:w="1802" w:type="dxa"/>
            <w:vAlign w:val="center"/>
          </w:tcPr>
          <w:p>
            <w:pPr>
              <w:pStyle w:val="17"/>
              <w:jc w:val="center"/>
              <w:rPr>
                <w:b/>
                <w:sz w:val="24"/>
                <w:szCs w:val="24"/>
              </w:rPr>
            </w:pPr>
            <w:r>
              <w:rPr>
                <w:rFonts w:hint="eastAsia"/>
                <w:b/>
                <w:sz w:val="24"/>
                <w:szCs w:val="24"/>
              </w:rPr>
              <w:t>采购文件条目号</w:t>
            </w:r>
          </w:p>
        </w:tc>
        <w:tc>
          <w:tcPr>
            <w:tcW w:w="2303" w:type="dxa"/>
            <w:vAlign w:val="center"/>
          </w:tcPr>
          <w:p>
            <w:pPr>
              <w:pStyle w:val="17"/>
              <w:jc w:val="center"/>
              <w:rPr>
                <w:b/>
                <w:sz w:val="24"/>
                <w:szCs w:val="24"/>
              </w:rPr>
            </w:pPr>
            <w:r>
              <w:rPr>
                <w:rFonts w:hint="eastAsia"/>
                <w:b/>
                <w:sz w:val="24"/>
                <w:szCs w:val="24"/>
              </w:rPr>
              <w:t>采购文件的商务条款</w:t>
            </w:r>
          </w:p>
        </w:tc>
        <w:tc>
          <w:tcPr>
            <w:tcW w:w="2627" w:type="dxa"/>
            <w:vAlign w:val="center"/>
          </w:tcPr>
          <w:p>
            <w:pPr>
              <w:pStyle w:val="17"/>
              <w:jc w:val="center"/>
              <w:rPr>
                <w:b/>
                <w:sz w:val="24"/>
                <w:szCs w:val="24"/>
              </w:rPr>
            </w:pPr>
            <w:r>
              <w:rPr>
                <w:rFonts w:hint="eastAsia"/>
                <w:b/>
                <w:sz w:val="24"/>
                <w:szCs w:val="24"/>
              </w:rPr>
              <w:t>竞标文件的商务条款</w:t>
            </w:r>
          </w:p>
        </w:tc>
        <w:tc>
          <w:tcPr>
            <w:tcW w:w="1785" w:type="dxa"/>
            <w:vAlign w:val="center"/>
          </w:tcPr>
          <w:p>
            <w:pPr>
              <w:pStyle w:val="17"/>
              <w:jc w:val="center"/>
              <w:rPr>
                <w:b/>
                <w:sz w:val="24"/>
                <w:szCs w:val="24"/>
              </w:rPr>
            </w:pPr>
            <w:r>
              <w:rPr>
                <w:rFonts w:hint="eastAsia"/>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Pr>
          <w:p>
            <w:pPr>
              <w:pStyle w:val="17"/>
              <w:rPr>
                <w:sz w:val="24"/>
                <w:szCs w:val="24"/>
              </w:rPr>
            </w:pPr>
          </w:p>
        </w:tc>
        <w:tc>
          <w:tcPr>
            <w:tcW w:w="1802" w:type="dxa"/>
          </w:tcPr>
          <w:p>
            <w:pPr>
              <w:pStyle w:val="17"/>
              <w:rPr>
                <w:sz w:val="24"/>
                <w:szCs w:val="24"/>
              </w:rPr>
            </w:pPr>
          </w:p>
        </w:tc>
        <w:tc>
          <w:tcPr>
            <w:tcW w:w="2303" w:type="dxa"/>
          </w:tcPr>
          <w:p>
            <w:pPr>
              <w:pStyle w:val="17"/>
              <w:rPr>
                <w:sz w:val="24"/>
                <w:szCs w:val="24"/>
              </w:rPr>
            </w:pPr>
          </w:p>
        </w:tc>
        <w:tc>
          <w:tcPr>
            <w:tcW w:w="2627" w:type="dxa"/>
          </w:tcPr>
          <w:p>
            <w:pPr>
              <w:pStyle w:val="17"/>
              <w:rPr>
                <w:sz w:val="24"/>
                <w:szCs w:val="24"/>
              </w:rPr>
            </w:pPr>
          </w:p>
        </w:tc>
        <w:tc>
          <w:tcPr>
            <w:tcW w:w="1785" w:type="dxa"/>
          </w:tcPr>
          <w:p>
            <w:pPr>
              <w:pStyle w:val="17"/>
              <w:rPr>
                <w:sz w:val="24"/>
                <w:szCs w:val="24"/>
              </w:rPr>
            </w:pPr>
          </w:p>
        </w:tc>
      </w:tr>
    </w:tbl>
    <w:p>
      <w:pPr>
        <w:pStyle w:val="17"/>
        <w:spacing w:line="600" w:lineRule="exact"/>
        <w:ind w:firstLine="360" w:firstLineChars="150"/>
        <w:rPr>
          <w:sz w:val="24"/>
          <w:szCs w:val="24"/>
        </w:rPr>
      </w:pPr>
      <w:r>
        <w:rPr>
          <w:rFonts w:hint="eastAsia"/>
          <w:sz w:val="24"/>
          <w:szCs w:val="24"/>
        </w:rPr>
        <w:t>注：“偏离”系指“正偏离”、“负偏离”或“无偏离”。</w:t>
      </w:r>
    </w:p>
    <w:p>
      <w:pPr>
        <w:pStyle w:val="17"/>
        <w:spacing w:line="420" w:lineRule="exact"/>
        <w:ind w:firstLine="420"/>
        <w:rPr>
          <w:b/>
          <w:sz w:val="24"/>
          <w:szCs w:val="24"/>
        </w:rPr>
      </w:pPr>
    </w:p>
    <w:p>
      <w:pPr>
        <w:pStyle w:val="17"/>
        <w:spacing w:before="240" w:line="360" w:lineRule="auto"/>
        <w:jc w:val="center"/>
        <w:rPr>
          <w:sz w:val="24"/>
          <w:szCs w:val="24"/>
          <w:u w:val="single"/>
        </w:rPr>
      </w:pPr>
      <w:r>
        <w:rPr>
          <w:rFonts w:hint="eastAsia"/>
          <w:sz w:val="24"/>
          <w:szCs w:val="24"/>
        </w:rPr>
        <w:t>竞标人（公章）</w:t>
      </w:r>
      <w:r>
        <w:rPr>
          <w:rFonts w:hint="eastAsia"/>
          <w:sz w:val="24"/>
          <w:szCs w:val="24"/>
          <w:u w:val="single"/>
        </w:rPr>
        <w:t xml:space="preserve">                                   </w:t>
      </w:r>
    </w:p>
    <w:p>
      <w:pPr>
        <w:pStyle w:val="17"/>
        <w:spacing w:before="240" w:line="360" w:lineRule="auto"/>
        <w:jc w:val="center"/>
        <w:rPr>
          <w:bCs/>
          <w:sz w:val="24"/>
          <w:szCs w:val="24"/>
          <w:u w:val="single"/>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法定代表人或委托代理人签字</w:t>
      </w:r>
      <w:r>
        <w:rPr>
          <w:rFonts w:hint="eastAsia"/>
          <w:sz w:val="24"/>
          <w:szCs w:val="24"/>
          <w:u w:val="single"/>
        </w:rPr>
        <w:t xml:space="preserve">              </w:t>
      </w:r>
    </w:p>
    <w:p>
      <w:pPr>
        <w:pStyle w:val="17"/>
        <w:spacing w:before="240" w:line="360" w:lineRule="auto"/>
        <w:ind w:firstLine="4800" w:firstLineChars="2000"/>
        <w:rPr>
          <w:bCs/>
          <w:sz w:val="24"/>
          <w:szCs w:val="24"/>
          <w:u w:val="single"/>
        </w:rPr>
      </w:pPr>
      <w:r>
        <w:rPr>
          <w:rFonts w:hint="eastAsia"/>
          <w:bCs/>
          <w:sz w:val="24"/>
          <w:szCs w:val="24"/>
        </w:rPr>
        <w:t>日 期：</w:t>
      </w:r>
      <w:r>
        <w:rPr>
          <w:rFonts w:hint="eastAsia"/>
          <w:bCs/>
          <w:sz w:val="24"/>
          <w:szCs w:val="24"/>
          <w:u w:val="single"/>
        </w:rPr>
        <w:t xml:space="preserve">                                   </w:t>
      </w:r>
    </w:p>
    <w:p>
      <w:pPr>
        <w:pStyle w:val="17"/>
        <w:spacing w:line="360" w:lineRule="auto"/>
        <w:ind w:firstLine="420"/>
        <w:jc w:val="center"/>
        <w:rPr>
          <w:b/>
          <w:sz w:val="44"/>
          <w:szCs w:val="44"/>
        </w:rPr>
      </w:pPr>
      <w:r>
        <w:rPr>
          <w:b/>
          <w:sz w:val="32"/>
        </w:rPr>
        <w:br w:type="page"/>
      </w:r>
    </w:p>
    <w:p>
      <w:pPr>
        <w:pStyle w:val="17"/>
        <w:spacing w:line="360" w:lineRule="auto"/>
        <w:ind w:firstLine="420"/>
        <w:jc w:val="center"/>
        <w:rPr>
          <w:b/>
          <w:sz w:val="44"/>
          <w:szCs w:val="44"/>
        </w:rPr>
      </w:pPr>
    </w:p>
    <w:p>
      <w:pPr>
        <w:pStyle w:val="17"/>
        <w:spacing w:line="360" w:lineRule="auto"/>
        <w:ind w:firstLine="420"/>
        <w:jc w:val="center"/>
        <w:rPr>
          <w:b/>
          <w:sz w:val="44"/>
          <w:szCs w:val="44"/>
        </w:rPr>
      </w:pPr>
    </w:p>
    <w:p>
      <w:pPr>
        <w:pStyle w:val="17"/>
        <w:spacing w:line="360" w:lineRule="auto"/>
        <w:ind w:firstLine="420"/>
        <w:jc w:val="center"/>
        <w:rPr>
          <w:b/>
          <w:sz w:val="44"/>
          <w:szCs w:val="44"/>
        </w:rPr>
      </w:pPr>
    </w:p>
    <w:p>
      <w:pPr>
        <w:pStyle w:val="17"/>
        <w:spacing w:line="360" w:lineRule="auto"/>
        <w:ind w:firstLine="420"/>
        <w:jc w:val="center"/>
        <w:rPr>
          <w:b/>
          <w:sz w:val="44"/>
          <w:szCs w:val="44"/>
        </w:rPr>
      </w:pPr>
    </w:p>
    <w:p>
      <w:pPr>
        <w:pStyle w:val="17"/>
        <w:spacing w:line="360" w:lineRule="auto"/>
        <w:ind w:firstLine="420"/>
        <w:jc w:val="center"/>
        <w:rPr>
          <w:b/>
          <w:sz w:val="44"/>
          <w:szCs w:val="44"/>
        </w:rPr>
      </w:pPr>
    </w:p>
    <w:p>
      <w:pPr>
        <w:pStyle w:val="17"/>
        <w:spacing w:line="360" w:lineRule="auto"/>
        <w:ind w:firstLine="420"/>
        <w:jc w:val="center"/>
        <w:rPr>
          <w:b/>
          <w:sz w:val="44"/>
          <w:szCs w:val="44"/>
        </w:rPr>
      </w:pPr>
    </w:p>
    <w:p>
      <w:pPr>
        <w:pStyle w:val="17"/>
        <w:spacing w:line="420" w:lineRule="exact"/>
        <w:ind w:firstLine="420"/>
        <w:jc w:val="center"/>
        <w:rPr>
          <w:b/>
          <w:sz w:val="32"/>
          <w:szCs w:val="32"/>
        </w:rPr>
      </w:pPr>
      <w:r>
        <w:rPr>
          <w:rFonts w:hint="eastAsia"/>
          <w:b/>
          <w:sz w:val="32"/>
          <w:szCs w:val="32"/>
        </w:rPr>
        <w:t>二、技术部分</w:t>
      </w:r>
    </w:p>
    <w:p>
      <w:pPr>
        <w:pStyle w:val="17"/>
        <w:spacing w:line="420" w:lineRule="exact"/>
        <w:ind w:firstLine="420"/>
        <w:rPr>
          <w:b/>
          <w:sz w:val="32"/>
        </w:rPr>
      </w:pPr>
    </w:p>
    <w:p>
      <w:pPr>
        <w:pStyle w:val="17"/>
        <w:spacing w:before="240"/>
        <w:jc w:val="center"/>
        <w:rPr>
          <w:b/>
          <w:sz w:val="32"/>
          <w:szCs w:val="32"/>
          <w:u w:val="single"/>
        </w:rPr>
      </w:pPr>
      <w:r>
        <w:rPr>
          <w:b/>
          <w:sz w:val="32"/>
        </w:rPr>
        <w:br w:type="page"/>
      </w:r>
      <w:r>
        <w:rPr>
          <w:b/>
          <w:sz w:val="32"/>
          <w:szCs w:val="32"/>
        </w:rPr>
        <w:t>1</w:t>
      </w:r>
      <w:r>
        <w:rPr>
          <w:rFonts w:hint="eastAsia"/>
          <w:b/>
          <w:sz w:val="32"/>
          <w:szCs w:val="32"/>
        </w:rPr>
        <w:t>、技术规格响应表</w:t>
      </w:r>
    </w:p>
    <w:p>
      <w:pPr>
        <w:spacing w:line="280" w:lineRule="exact"/>
        <w:rPr>
          <w:b/>
          <w:bCs/>
          <w:sz w:val="24"/>
        </w:rPr>
      </w:pPr>
      <w:r>
        <w:rPr>
          <w:rFonts w:hint="eastAsia"/>
          <w:sz w:val="24"/>
        </w:rPr>
        <w:t>请逐条对应采购文件的第二章“货物需求一览表”中要求的技术要求，认真填写该表。</w:t>
      </w:r>
    </w:p>
    <w:p>
      <w:pPr>
        <w:spacing w:line="280" w:lineRule="exact"/>
        <w:rPr>
          <w:b/>
          <w:bCs/>
          <w:sz w:val="24"/>
        </w:rPr>
      </w:pPr>
    </w:p>
    <w:tbl>
      <w:tblPr>
        <w:tblStyle w:val="3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065"/>
        <w:gridCol w:w="3531"/>
        <w:gridCol w:w="3003"/>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1" w:type="dxa"/>
            <w:vAlign w:val="center"/>
          </w:tcPr>
          <w:p>
            <w:pPr>
              <w:pStyle w:val="17"/>
              <w:jc w:val="center"/>
              <w:rPr>
                <w:spacing w:val="-20"/>
                <w:sz w:val="24"/>
                <w:szCs w:val="24"/>
              </w:rPr>
            </w:pPr>
            <w:r>
              <w:rPr>
                <w:rFonts w:hint="eastAsia"/>
                <w:spacing w:val="-20"/>
                <w:sz w:val="24"/>
                <w:szCs w:val="24"/>
              </w:rPr>
              <w:t>项号</w:t>
            </w:r>
          </w:p>
        </w:tc>
        <w:tc>
          <w:tcPr>
            <w:tcW w:w="1065" w:type="dxa"/>
            <w:vAlign w:val="center"/>
          </w:tcPr>
          <w:p>
            <w:pPr>
              <w:pStyle w:val="17"/>
              <w:jc w:val="center"/>
              <w:rPr>
                <w:spacing w:val="-20"/>
                <w:sz w:val="24"/>
                <w:szCs w:val="24"/>
              </w:rPr>
            </w:pPr>
            <w:r>
              <w:rPr>
                <w:rFonts w:hint="eastAsia"/>
                <w:spacing w:val="-20"/>
                <w:sz w:val="24"/>
                <w:szCs w:val="24"/>
              </w:rPr>
              <w:t>货物名称</w:t>
            </w:r>
          </w:p>
        </w:tc>
        <w:tc>
          <w:tcPr>
            <w:tcW w:w="3531" w:type="dxa"/>
            <w:vAlign w:val="center"/>
          </w:tcPr>
          <w:p>
            <w:pPr>
              <w:pStyle w:val="17"/>
              <w:jc w:val="center"/>
              <w:rPr>
                <w:spacing w:val="-20"/>
                <w:sz w:val="24"/>
                <w:szCs w:val="24"/>
              </w:rPr>
            </w:pPr>
            <w:r>
              <w:rPr>
                <w:rFonts w:hint="eastAsia"/>
                <w:spacing w:val="-20"/>
                <w:sz w:val="24"/>
                <w:szCs w:val="24"/>
              </w:rPr>
              <w:t>采购技术要求</w:t>
            </w:r>
          </w:p>
        </w:tc>
        <w:tc>
          <w:tcPr>
            <w:tcW w:w="3003" w:type="dxa"/>
            <w:vAlign w:val="center"/>
          </w:tcPr>
          <w:p>
            <w:pPr>
              <w:pStyle w:val="17"/>
              <w:jc w:val="center"/>
              <w:rPr>
                <w:spacing w:val="-20"/>
                <w:sz w:val="24"/>
                <w:szCs w:val="24"/>
              </w:rPr>
            </w:pPr>
            <w:r>
              <w:rPr>
                <w:rFonts w:hint="eastAsia"/>
                <w:spacing w:val="-20"/>
                <w:sz w:val="24"/>
                <w:szCs w:val="24"/>
              </w:rPr>
              <w:t>竞标技术规格</w:t>
            </w:r>
          </w:p>
        </w:tc>
        <w:tc>
          <w:tcPr>
            <w:tcW w:w="1434" w:type="dxa"/>
            <w:vAlign w:val="center"/>
          </w:tcPr>
          <w:p>
            <w:pPr>
              <w:pStyle w:val="17"/>
              <w:jc w:val="center"/>
              <w:rPr>
                <w:spacing w:val="-20"/>
                <w:sz w:val="24"/>
                <w:szCs w:val="24"/>
              </w:rPr>
            </w:pPr>
            <w:r>
              <w:rPr>
                <w:rFonts w:hint="eastAsia"/>
                <w:spacing w:val="-2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5" w:hRule="atLeast"/>
        </w:trPr>
        <w:tc>
          <w:tcPr>
            <w:tcW w:w="821" w:type="dxa"/>
          </w:tcPr>
          <w:p>
            <w:pPr>
              <w:pStyle w:val="17"/>
              <w:spacing w:before="240"/>
              <w:jc w:val="center"/>
              <w:rPr>
                <w:b/>
                <w:sz w:val="24"/>
                <w:szCs w:val="24"/>
              </w:rPr>
            </w:pPr>
          </w:p>
        </w:tc>
        <w:tc>
          <w:tcPr>
            <w:tcW w:w="1065" w:type="dxa"/>
          </w:tcPr>
          <w:p>
            <w:pPr>
              <w:pStyle w:val="17"/>
              <w:spacing w:before="240"/>
              <w:jc w:val="center"/>
              <w:rPr>
                <w:b/>
                <w:sz w:val="24"/>
                <w:szCs w:val="24"/>
              </w:rPr>
            </w:pPr>
          </w:p>
        </w:tc>
        <w:tc>
          <w:tcPr>
            <w:tcW w:w="3531" w:type="dxa"/>
          </w:tcPr>
          <w:p>
            <w:pPr>
              <w:pStyle w:val="17"/>
              <w:spacing w:before="240"/>
              <w:jc w:val="center"/>
              <w:rPr>
                <w:b/>
                <w:sz w:val="24"/>
                <w:szCs w:val="24"/>
              </w:rPr>
            </w:pPr>
          </w:p>
        </w:tc>
        <w:tc>
          <w:tcPr>
            <w:tcW w:w="3003" w:type="dxa"/>
          </w:tcPr>
          <w:p>
            <w:pPr>
              <w:pStyle w:val="17"/>
              <w:spacing w:before="240"/>
              <w:jc w:val="center"/>
              <w:rPr>
                <w:b/>
                <w:sz w:val="24"/>
                <w:szCs w:val="24"/>
              </w:rPr>
            </w:pPr>
          </w:p>
        </w:tc>
        <w:tc>
          <w:tcPr>
            <w:tcW w:w="1434" w:type="dxa"/>
          </w:tcPr>
          <w:p>
            <w:pPr>
              <w:pStyle w:val="17"/>
              <w:spacing w:before="240"/>
              <w:jc w:val="center"/>
              <w:rPr>
                <w:b/>
                <w:sz w:val="24"/>
                <w:szCs w:val="24"/>
              </w:rPr>
            </w:pPr>
          </w:p>
        </w:tc>
      </w:tr>
    </w:tbl>
    <w:p>
      <w:pPr>
        <w:pStyle w:val="17"/>
        <w:spacing w:before="240"/>
        <w:rPr>
          <w:b/>
          <w:sz w:val="24"/>
          <w:szCs w:val="24"/>
        </w:rPr>
      </w:pPr>
      <w:r>
        <w:rPr>
          <w:rFonts w:hint="eastAsia"/>
          <w:b/>
          <w:sz w:val="24"/>
          <w:szCs w:val="24"/>
        </w:rPr>
        <w:t>注：</w:t>
      </w:r>
    </w:p>
    <w:p>
      <w:pPr>
        <w:pStyle w:val="17"/>
        <w:numPr>
          <w:ilvl w:val="0"/>
          <w:numId w:val="6"/>
        </w:numPr>
        <w:spacing w:before="240"/>
        <w:rPr>
          <w:bCs/>
          <w:sz w:val="24"/>
          <w:szCs w:val="24"/>
        </w:rPr>
      </w:pPr>
      <w:r>
        <w:rPr>
          <w:rFonts w:hint="eastAsia"/>
          <w:bCs/>
          <w:sz w:val="24"/>
          <w:szCs w:val="24"/>
        </w:rPr>
        <w:t>竞标技术规格由竞标人按照竞标文件货物需求一览表对应的技术参数及性能进行填写。</w:t>
      </w:r>
    </w:p>
    <w:p>
      <w:pPr>
        <w:pStyle w:val="17"/>
        <w:numPr>
          <w:ilvl w:val="0"/>
          <w:numId w:val="6"/>
        </w:numPr>
        <w:spacing w:before="240"/>
        <w:rPr>
          <w:bCs/>
          <w:sz w:val="24"/>
          <w:szCs w:val="24"/>
        </w:rPr>
      </w:pPr>
      <w:r>
        <w:rPr>
          <w:rFonts w:hint="eastAsia"/>
          <w:bCs/>
          <w:sz w:val="24"/>
          <w:szCs w:val="24"/>
        </w:rPr>
        <w:t>此表竞标技术规格与竞标报价表和产品检验报告证书的技术指标不符的，以产品检验报告证书的技术指标为准。</w:t>
      </w:r>
    </w:p>
    <w:p>
      <w:pPr>
        <w:pStyle w:val="17"/>
        <w:numPr>
          <w:ilvl w:val="0"/>
          <w:numId w:val="6"/>
        </w:numPr>
        <w:spacing w:before="240"/>
        <w:rPr>
          <w:bCs/>
          <w:sz w:val="24"/>
          <w:szCs w:val="24"/>
        </w:rPr>
      </w:pPr>
      <w:r>
        <w:rPr>
          <w:rFonts w:hint="eastAsia"/>
          <w:bCs/>
          <w:sz w:val="24"/>
          <w:szCs w:val="24"/>
        </w:rPr>
        <w:t xml:space="preserve">竞标技术规格与采购技术要求相同的为无偏离，竞标技术规格高于采购技术要求的为正偏离，低于采购技术要求的为负偏离。 </w:t>
      </w:r>
    </w:p>
    <w:p>
      <w:pPr>
        <w:pStyle w:val="17"/>
        <w:spacing w:before="240"/>
        <w:jc w:val="center"/>
        <w:rPr>
          <w:sz w:val="24"/>
          <w:szCs w:val="24"/>
          <w:u w:val="single"/>
        </w:rPr>
      </w:pPr>
      <w:r>
        <w:rPr>
          <w:bCs/>
          <w:sz w:val="24"/>
          <w:szCs w:val="24"/>
        </w:rPr>
        <w:t xml:space="preserve">       </w:t>
      </w:r>
      <w:r>
        <w:rPr>
          <w:rFonts w:hint="eastAsia"/>
          <w:sz w:val="24"/>
          <w:szCs w:val="24"/>
        </w:rPr>
        <w:t>竞标人（公章）</w:t>
      </w:r>
      <w:r>
        <w:rPr>
          <w:rFonts w:hint="eastAsia"/>
          <w:sz w:val="24"/>
          <w:szCs w:val="24"/>
          <w:u w:val="single"/>
        </w:rPr>
        <w:t xml:space="preserve">                                   </w:t>
      </w:r>
    </w:p>
    <w:p>
      <w:pPr>
        <w:pStyle w:val="17"/>
        <w:spacing w:before="240"/>
        <w:jc w:val="center"/>
        <w:rPr>
          <w:bCs/>
          <w:sz w:val="24"/>
          <w:szCs w:val="24"/>
          <w:u w:val="single"/>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法定代表人或委托代理人签字</w:t>
      </w:r>
      <w:r>
        <w:rPr>
          <w:rFonts w:hint="eastAsia"/>
          <w:sz w:val="24"/>
          <w:szCs w:val="24"/>
          <w:u w:val="single"/>
        </w:rPr>
        <w:t xml:space="preserve">               </w:t>
      </w:r>
    </w:p>
    <w:p>
      <w:pPr>
        <w:pStyle w:val="17"/>
        <w:spacing w:before="240"/>
        <w:ind w:firstLine="5040" w:firstLineChars="2100"/>
        <w:rPr>
          <w:b/>
          <w:sz w:val="24"/>
          <w:szCs w:val="24"/>
        </w:rPr>
      </w:pPr>
      <w:r>
        <w:rPr>
          <w:bCs/>
          <w:sz w:val="24"/>
          <w:szCs w:val="24"/>
        </w:rPr>
        <w:t xml:space="preserve"> </w:t>
      </w:r>
      <w:r>
        <w:rPr>
          <w:rFonts w:hint="eastAsia"/>
          <w:bCs/>
          <w:sz w:val="24"/>
          <w:szCs w:val="24"/>
        </w:rPr>
        <w:t>日期：</w:t>
      </w:r>
      <w:r>
        <w:rPr>
          <w:rFonts w:hint="eastAsia"/>
          <w:bCs/>
          <w:sz w:val="24"/>
          <w:szCs w:val="24"/>
          <w:u w:val="single"/>
        </w:rPr>
        <w:t xml:space="preserve">                         </w:t>
      </w:r>
    </w:p>
    <w:p>
      <w:pPr>
        <w:pStyle w:val="17"/>
        <w:spacing w:before="240"/>
        <w:jc w:val="center"/>
        <w:rPr>
          <w:b/>
          <w:sz w:val="32"/>
          <w:szCs w:val="32"/>
        </w:rPr>
      </w:pPr>
      <w:r>
        <w:rPr>
          <w:b/>
          <w:sz w:val="32"/>
        </w:rPr>
        <w:br w:type="page"/>
      </w:r>
      <w:r>
        <w:rPr>
          <w:b/>
          <w:sz w:val="32"/>
          <w:szCs w:val="32"/>
        </w:rPr>
        <w:t>2</w:t>
      </w:r>
      <w:r>
        <w:rPr>
          <w:rFonts w:hint="eastAsia"/>
          <w:b/>
          <w:sz w:val="32"/>
          <w:szCs w:val="32"/>
        </w:rPr>
        <w:t>、技术实施方案</w:t>
      </w:r>
    </w:p>
    <w:p>
      <w:pPr>
        <w:pStyle w:val="17"/>
        <w:spacing w:line="360" w:lineRule="auto"/>
        <w:jc w:val="center"/>
        <w:rPr>
          <w:bCs/>
          <w:sz w:val="24"/>
          <w:szCs w:val="24"/>
        </w:rPr>
      </w:pPr>
      <w:r>
        <w:rPr>
          <w:bCs/>
          <w:sz w:val="24"/>
          <w:szCs w:val="24"/>
        </w:rPr>
        <w:br w:type="page"/>
      </w:r>
    </w:p>
    <w:p>
      <w:pPr>
        <w:pStyle w:val="17"/>
        <w:spacing w:line="360" w:lineRule="auto"/>
        <w:jc w:val="center"/>
        <w:rPr>
          <w:bCs/>
          <w:sz w:val="24"/>
          <w:szCs w:val="24"/>
        </w:rPr>
      </w:pPr>
    </w:p>
    <w:p>
      <w:pPr>
        <w:pStyle w:val="17"/>
        <w:spacing w:line="360" w:lineRule="auto"/>
        <w:jc w:val="center"/>
        <w:rPr>
          <w:bCs/>
          <w:sz w:val="44"/>
          <w:szCs w:val="44"/>
        </w:rPr>
      </w:pPr>
    </w:p>
    <w:p>
      <w:pPr>
        <w:pStyle w:val="17"/>
        <w:spacing w:line="360" w:lineRule="auto"/>
        <w:jc w:val="center"/>
        <w:rPr>
          <w:bCs/>
          <w:sz w:val="44"/>
          <w:szCs w:val="44"/>
        </w:rPr>
      </w:pPr>
    </w:p>
    <w:p>
      <w:pPr>
        <w:pStyle w:val="17"/>
        <w:spacing w:line="360" w:lineRule="auto"/>
        <w:jc w:val="center"/>
        <w:rPr>
          <w:bCs/>
          <w:sz w:val="44"/>
          <w:szCs w:val="44"/>
        </w:rPr>
      </w:pPr>
    </w:p>
    <w:p>
      <w:pPr>
        <w:pStyle w:val="17"/>
        <w:spacing w:line="360" w:lineRule="auto"/>
        <w:jc w:val="center"/>
        <w:rPr>
          <w:bCs/>
          <w:sz w:val="44"/>
          <w:szCs w:val="44"/>
        </w:rPr>
      </w:pPr>
    </w:p>
    <w:p>
      <w:pPr>
        <w:pStyle w:val="17"/>
        <w:spacing w:line="360" w:lineRule="auto"/>
        <w:jc w:val="center"/>
        <w:rPr>
          <w:bCs/>
          <w:sz w:val="44"/>
          <w:szCs w:val="44"/>
        </w:rPr>
      </w:pPr>
    </w:p>
    <w:p>
      <w:pPr>
        <w:pStyle w:val="17"/>
        <w:jc w:val="center"/>
        <w:rPr>
          <w:bCs/>
          <w:sz w:val="32"/>
          <w:szCs w:val="32"/>
        </w:rPr>
      </w:pPr>
      <w:r>
        <w:rPr>
          <w:rFonts w:hint="eastAsia"/>
          <w:b/>
          <w:sz w:val="32"/>
          <w:szCs w:val="32"/>
        </w:rPr>
        <w:t>三、证明竞标人合格和资格的文件</w:t>
      </w:r>
    </w:p>
    <w:p>
      <w:pPr>
        <w:pStyle w:val="17"/>
        <w:spacing w:before="240"/>
        <w:jc w:val="center"/>
        <w:rPr>
          <w:b/>
          <w:sz w:val="32"/>
        </w:rPr>
      </w:pPr>
    </w:p>
    <w:p>
      <w:pPr>
        <w:spacing w:line="540" w:lineRule="exact"/>
        <w:jc w:val="center"/>
        <w:rPr>
          <w:b/>
          <w:sz w:val="30"/>
        </w:rPr>
      </w:pPr>
      <w:r>
        <w:rPr>
          <w:rFonts w:hint="eastAsia" w:ascii="宋体"/>
          <w:b/>
          <w:sz w:val="32"/>
          <w:szCs w:val="20"/>
        </w:rPr>
        <w:br w:type="page"/>
      </w:r>
    </w:p>
    <w:p>
      <w:pPr>
        <w:spacing w:line="540" w:lineRule="exact"/>
        <w:jc w:val="center"/>
        <w:rPr>
          <w:rFonts w:ascii="宋体"/>
          <w:b/>
          <w:bCs/>
          <w:sz w:val="32"/>
          <w:szCs w:val="32"/>
        </w:rPr>
      </w:pPr>
      <w:r>
        <w:rPr>
          <w:rFonts w:hint="eastAsia" w:ascii="宋体"/>
          <w:b/>
          <w:sz w:val="32"/>
          <w:szCs w:val="32"/>
        </w:rPr>
        <w:t>1、竞标保证金缴纳凭证</w:t>
      </w:r>
      <w:r>
        <w:rPr>
          <w:rFonts w:hint="eastAsia" w:ascii="宋体"/>
          <w:b/>
          <w:bCs/>
          <w:sz w:val="32"/>
          <w:szCs w:val="32"/>
        </w:rPr>
        <w:t>格式</w:t>
      </w:r>
    </w:p>
    <w:p>
      <w:pPr>
        <w:spacing w:line="540" w:lineRule="exact"/>
        <w:jc w:val="center"/>
        <w:rPr>
          <w:rFonts w:ascii="隶书" w:eastAsia="隶书"/>
          <w:sz w:val="24"/>
        </w:rPr>
      </w:pPr>
      <w:r>
        <w:rPr>
          <w:rFonts w:hint="eastAsia"/>
          <w:sz w:val="24"/>
        </w:rPr>
        <w:t>（竞标保证金银行缴款凭证复印件并盖公章）</w:t>
      </w:r>
    </w:p>
    <w:p>
      <w:pPr>
        <w:pStyle w:val="17"/>
        <w:spacing w:line="420" w:lineRule="exact"/>
        <w:ind w:firstLine="420"/>
        <w:rPr>
          <w:b/>
          <w:sz w:val="32"/>
        </w:rPr>
      </w:pPr>
      <w:r>
        <w:br w:type="page"/>
      </w:r>
    </w:p>
    <w:p>
      <w:pPr>
        <w:spacing w:line="540" w:lineRule="exact"/>
        <w:jc w:val="center"/>
        <w:rPr>
          <w:rFonts w:ascii="宋体"/>
          <w:b/>
          <w:bCs/>
          <w:sz w:val="32"/>
          <w:szCs w:val="32"/>
        </w:rPr>
      </w:pPr>
      <w:r>
        <w:rPr>
          <w:rFonts w:hint="eastAsia" w:ascii="宋体"/>
          <w:b/>
          <w:sz w:val="32"/>
          <w:szCs w:val="32"/>
        </w:rPr>
        <w:t>2、竞标人资格证明文件</w:t>
      </w:r>
      <w:r>
        <w:rPr>
          <w:rFonts w:hint="eastAsia" w:ascii="宋体"/>
          <w:b/>
          <w:bCs/>
          <w:sz w:val="32"/>
          <w:szCs w:val="32"/>
        </w:rPr>
        <w:t>格式</w:t>
      </w:r>
    </w:p>
    <w:p>
      <w:pPr>
        <w:pStyle w:val="17"/>
        <w:spacing w:before="240" w:line="560" w:lineRule="exact"/>
        <w:ind w:firstLine="2400" w:firstLineChars="1000"/>
        <w:rPr>
          <w:bCs/>
          <w:sz w:val="24"/>
          <w:szCs w:val="24"/>
        </w:rPr>
      </w:pPr>
      <w:r>
        <w:rPr>
          <w:rFonts w:hint="eastAsia"/>
          <w:bCs/>
          <w:sz w:val="24"/>
          <w:szCs w:val="24"/>
        </w:rPr>
        <w:t>（竞标人按竞标须知第</w:t>
      </w:r>
      <w:r>
        <w:rPr>
          <w:bCs/>
          <w:sz w:val="24"/>
          <w:szCs w:val="24"/>
        </w:rPr>
        <w:t>12</w:t>
      </w:r>
      <w:r>
        <w:rPr>
          <w:rFonts w:hint="eastAsia"/>
          <w:bCs/>
          <w:sz w:val="24"/>
          <w:szCs w:val="24"/>
        </w:rPr>
        <w:t>条要求提供并盖公章）</w:t>
      </w:r>
    </w:p>
    <w:p>
      <w:pPr>
        <w:pStyle w:val="17"/>
        <w:spacing w:before="240" w:line="560" w:lineRule="exact"/>
        <w:ind w:firstLine="480" w:firstLineChars="200"/>
        <w:rPr>
          <w:bCs/>
          <w:sz w:val="24"/>
          <w:szCs w:val="24"/>
        </w:rPr>
      </w:pPr>
    </w:p>
    <w:p>
      <w:pPr>
        <w:pStyle w:val="17"/>
        <w:spacing w:line="560" w:lineRule="exact"/>
        <w:ind w:firstLine="2650" w:firstLineChars="1100"/>
        <w:rPr>
          <w:b/>
          <w:sz w:val="32"/>
          <w:szCs w:val="32"/>
        </w:rPr>
      </w:pPr>
      <w:r>
        <w:rPr>
          <w:b/>
          <w:sz w:val="24"/>
          <w:szCs w:val="24"/>
        </w:rPr>
        <w:br w:type="page"/>
      </w:r>
      <w:r>
        <w:rPr>
          <w:b/>
          <w:sz w:val="32"/>
          <w:szCs w:val="32"/>
        </w:rPr>
        <w:t>3</w:t>
      </w:r>
      <w:r>
        <w:rPr>
          <w:rFonts w:hint="eastAsia"/>
          <w:b/>
          <w:sz w:val="32"/>
          <w:szCs w:val="32"/>
        </w:rPr>
        <w:t>、法定代表人授权委托书格式</w:t>
      </w:r>
    </w:p>
    <w:p>
      <w:pPr>
        <w:pStyle w:val="17"/>
        <w:rPr>
          <w:sz w:val="24"/>
          <w:szCs w:val="24"/>
        </w:rPr>
      </w:pPr>
    </w:p>
    <w:p>
      <w:pPr>
        <w:pStyle w:val="17"/>
        <w:spacing w:line="480" w:lineRule="exact"/>
        <w:ind w:firstLine="420"/>
        <w:rPr>
          <w:sz w:val="24"/>
          <w:szCs w:val="24"/>
        </w:rPr>
      </w:pPr>
      <w:r>
        <w:rPr>
          <w:rFonts w:hint="eastAsia"/>
          <w:sz w:val="24"/>
          <w:szCs w:val="24"/>
        </w:rPr>
        <w:t>兹授权</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同志为我方参加</w:t>
      </w:r>
      <w:r>
        <w:rPr>
          <w:rFonts w:hint="eastAsia"/>
          <w:sz w:val="24"/>
          <w:szCs w:val="24"/>
          <w:u w:val="single"/>
        </w:rPr>
        <w:t xml:space="preserve">        （项目名称）  </w:t>
      </w:r>
      <w:r>
        <w:rPr>
          <w:rFonts w:hint="eastAsia"/>
          <w:sz w:val="24"/>
          <w:szCs w:val="24"/>
        </w:rPr>
        <w:t>项目（项目编号：</w:t>
      </w:r>
      <w:r>
        <w:rPr>
          <w:rFonts w:hint="eastAsia"/>
          <w:color w:val="FF0000"/>
          <w:sz w:val="24"/>
          <w:szCs w:val="24"/>
          <w:u w:val="single"/>
        </w:rPr>
        <w:t xml:space="preserve">      </w:t>
      </w:r>
      <w:r>
        <w:rPr>
          <w:rFonts w:hint="eastAsia"/>
          <w:sz w:val="24"/>
          <w:szCs w:val="24"/>
        </w:rPr>
        <w:t>）竞标代理人，其代理权限为：</w:t>
      </w:r>
      <w:r>
        <w:rPr>
          <w:rFonts w:hint="eastAsia"/>
          <w:sz w:val="24"/>
          <w:szCs w:val="24"/>
          <w:u w:val="single"/>
        </w:rPr>
        <w:t xml:space="preserve">                                                                         </w:t>
      </w:r>
    </w:p>
    <w:p>
      <w:pPr>
        <w:pStyle w:val="17"/>
        <w:spacing w:line="480" w:lineRule="exact"/>
        <w:rPr>
          <w:sz w:val="24"/>
          <w:szCs w:val="24"/>
          <w:u w:val="single"/>
        </w:rPr>
      </w:pPr>
      <w:r>
        <w:rPr>
          <w:rFonts w:hint="eastAsia"/>
          <w:sz w:val="24"/>
          <w:szCs w:val="24"/>
          <w:u w:val="single"/>
        </w:rPr>
        <w:t xml:space="preserve">                                                                                           </w:t>
      </w:r>
    </w:p>
    <w:p>
      <w:pPr>
        <w:pStyle w:val="17"/>
        <w:spacing w:line="480" w:lineRule="exact"/>
        <w:rPr>
          <w:sz w:val="24"/>
          <w:szCs w:val="24"/>
          <w:u w:val="single"/>
        </w:rPr>
      </w:pPr>
      <w:r>
        <w:rPr>
          <w:rFonts w:hint="eastAsia"/>
          <w:sz w:val="24"/>
          <w:szCs w:val="24"/>
          <w:u w:val="single"/>
        </w:rPr>
        <w:t xml:space="preserve">                                                                                           </w:t>
      </w:r>
    </w:p>
    <w:p>
      <w:pPr>
        <w:pStyle w:val="17"/>
        <w:spacing w:line="480" w:lineRule="exact"/>
        <w:rPr>
          <w:sz w:val="24"/>
          <w:szCs w:val="24"/>
          <w:u w:val="single"/>
        </w:rPr>
      </w:pPr>
      <w:r>
        <w:rPr>
          <w:rFonts w:hint="eastAsia"/>
          <w:sz w:val="24"/>
          <w:szCs w:val="24"/>
          <w:u w:val="single"/>
        </w:rPr>
        <w:t xml:space="preserve">                                                                                           </w:t>
      </w:r>
    </w:p>
    <w:p>
      <w:pPr>
        <w:pStyle w:val="17"/>
        <w:spacing w:line="480" w:lineRule="exact"/>
        <w:ind w:firstLine="420"/>
        <w:rPr>
          <w:sz w:val="24"/>
          <w:szCs w:val="24"/>
        </w:rPr>
      </w:pPr>
      <w:r>
        <w:rPr>
          <w:rFonts w:hint="eastAsia"/>
          <w:sz w:val="24"/>
          <w:szCs w:val="24"/>
        </w:rPr>
        <w:t>代理期限从</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日至</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日止</w:t>
      </w:r>
    </w:p>
    <w:p>
      <w:pPr>
        <w:pStyle w:val="17"/>
        <w:spacing w:line="480" w:lineRule="exact"/>
        <w:rPr>
          <w:sz w:val="24"/>
          <w:szCs w:val="24"/>
        </w:rPr>
      </w:pPr>
    </w:p>
    <w:p>
      <w:pPr>
        <w:pStyle w:val="17"/>
        <w:spacing w:line="480" w:lineRule="exact"/>
        <w:ind w:firstLine="420"/>
        <w:rPr>
          <w:sz w:val="24"/>
          <w:szCs w:val="24"/>
        </w:rPr>
      </w:pPr>
      <w:r>
        <w:rPr>
          <w:rFonts w:hint="eastAsia"/>
          <w:sz w:val="24"/>
          <w:szCs w:val="24"/>
        </w:rPr>
        <w:t>委托单位：</w:t>
      </w:r>
      <w:r>
        <w:rPr>
          <w:sz w:val="24"/>
          <w:szCs w:val="24"/>
        </w:rPr>
        <w:t xml:space="preserve">              </w:t>
      </w:r>
      <w:r>
        <w:rPr>
          <w:rFonts w:hint="eastAsia"/>
          <w:sz w:val="24"/>
          <w:szCs w:val="24"/>
        </w:rPr>
        <w:t>（章）</w:t>
      </w:r>
      <w:r>
        <w:rPr>
          <w:sz w:val="24"/>
          <w:szCs w:val="24"/>
        </w:rPr>
        <w:t xml:space="preserve">        </w:t>
      </w:r>
      <w:r>
        <w:rPr>
          <w:rFonts w:hint="eastAsia"/>
          <w:sz w:val="24"/>
          <w:szCs w:val="24"/>
        </w:rPr>
        <w:t>法定代表人：</w:t>
      </w:r>
      <w:r>
        <w:rPr>
          <w:sz w:val="24"/>
          <w:szCs w:val="24"/>
        </w:rPr>
        <w:t xml:space="preserve">         </w:t>
      </w:r>
      <w:r>
        <w:rPr>
          <w:rFonts w:hint="eastAsia"/>
          <w:sz w:val="24"/>
          <w:szCs w:val="24"/>
        </w:rPr>
        <w:t>（签字）</w:t>
      </w:r>
    </w:p>
    <w:p>
      <w:pPr>
        <w:pStyle w:val="17"/>
        <w:spacing w:line="480" w:lineRule="exact"/>
        <w:ind w:firstLine="420"/>
        <w:rPr>
          <w:sz w:val="24"/>
          <w:szCs w:val="24"/>
        </w:rPr>
      </w:pPr>
    </w:p>
    <w:p>
      <w:pPr>
        <w:pStyle w:val="17"/>
        <w:spacing w:line="480" w:lineRule="exact"/>
        <w:ind w:firstLine="420"/>
        <w:rPr>
          <w:sz w:val="24"/>
          <w:szCs w:val="24"/>
        </w:rPr>
      </w:pPr>
      <w:r>
        <w:rPr>
          <w:rFonts w:hint="eastAsia"/>
          <w:sz w:val="24"/>
          <w:szCs w:val="24"/>
        </w:rPr>
        <w:t>签发日期：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pStyle w:val="17"/>
        <w:spacing w:line="480" w:lineRule="exact"/>
        <w:rPr>
          <w:sz w:val="24"/>
          <w:szCs w:val="24"/>
        </w:rPr>
      </w:pPr>
      <w:r>
        <w:rPr>
          <w:rFonts w:hint="eastAsia"/>
          <w:sz w:val="24"/>
          <w:szCs w:val="24"/>
        </w:rPr>
        <w:t xml:space="preserve">                                                                                                                                                                                        </w:t>
      </w:r>
    </w:p>
    <w:p>
      <w:pPr>
        <w:pStyle w:val="17"/>
        <w:spacing w:line="480" w:lineRule="exact"/>
        <w:rPr>
          <w:sz w:val="24"/>
          <w:szCs w:val="24"/>
        </w:rPr>
      </w:pPr>
      <w:r>
        <w:rPr>
          <w:sz w:val="24"/>
          <w:szCs w:val="24"/>
        </w:rPr>
        <w:pict>
          <v:line id="1028" o:spid="_x0000_s1026" o:spt="20" style="position:absolute;left:0pt;margin-left:0pt;margin-top:0pt;height:0pt;width:483pt;mso-wrap-distance-bottom:0pt;mso-wrap-distance-top:14.2pt;z-index:1024;mso-width-relative:page;mso-height-relative:page;" coordsize="21600,21600" o:allowincell="f">
            <v:path arrowok="t"/>
            <v:fill focussize="0,0"/>
            <v:stroke/>
            <v:imagedata o:title=""/>
            <o:lock v:ext="edit"/>
            <w10:wrap type="topAndBottom"/>
          </v:line>
        </w:pict>
      </w:r>
      <w:r>
        <w:rPr>
          <w:sz w:val="24"/>
          <w:szCs w:val="24"/>
        </w:rPr>
        <w:t xml:space="preserve">    </w:t>
      </w:r>
      <w:r>
        <w:rPr>
          <w:rFonts w:hint="eastAsia"/>
          <w:sz w:val="24"/>
          <w:szCs w:val="24"/>
        </w:rPr>
        <w:t>附：</w:t>
      </w:r>
      <w:r>
        <w:rPr>
          <w:sz w:val="24"/>
          <w:szCs w:val="24"/>
        </w:rPr>
        <w:t>1</w:t>
      </w:r>
      <w:r>
        <w:rPr>
          <w:rFonts w:hint="eastAsia"/>
          <w:sz w:val="24"/>
          <w:szCs w:val="24"/>
        </w:rPr>
        <w:t>、代理人工作单位：</w:t>
      </w:r>
      <w:r>
        <w:rPr>
          <w:sz w:val="24"/>
          <w:szCs w:val="24"/>
        </w:rPr>
        <w:t xml:space="preserve">                       </w:t>
      </w:r>
      <w:r>
        <w:rPr>
          <w:rFonts w:hint="eastAsia"/>
          <w:sz w:val="24"/>
          <w:szCs w:val="24"/>
        </w:rPr>
        <w:t>职务：</w:t>
      </w:r>
    </w:p>
    <w:p>
      <w:pPr>
        <w:pStyle w:val="17"/>
        <w:spacing w:line="480" w:lineRule="exact"/>
        <w:ind w:firstLine="420"/>
        <w:rPr>
          <w:sz w:val="24"/>
          <w:szCs w:val="24"/>
        </w:rPr>
      </w:pPr>
      <w:r>
        <w:rPr>
          <w:sz w:val="24"/>
          <w:szCs w:val="24"/>
        </w:rPr>
        <w:t xml:space="preserve">       </w:t>
      </w:r>
      <w:r>
        <w:rPr>
          <w:rFonts w:hint="eastAsia"/>
          <w:sz w:val="24"/>
          <w:szCs w:val="24"/>
        </w:rPr>
        <w:t>身份证号码：</w:t>
      </w:r>
      <w:r>
        <w:rPr>
          <w:sz w:val="24"/>
          <w:szCs w:val="24"/>
        </w:rPr>
        <w:t xml:space="preserve">                           </w:t>
      </w:r>
      <w:r>
        <w:rPr>
          <w:rFonts w:hint="eastAsia"/>
          <w:sz w:val="24"/>
          <w:szCs w:val="24"/>
        </w:rPr>
        <w:t>性别：</w:t>
      </w:r>
      <w:r>
        <w:rPr>
          <w:sz w:val="24"/>
          <w:szCs w:val="24"/>
        </w:rPr>
        <w:t xml:space="preserve">           </w:t>
      </w:r>
      <w:r>
        <w:rPr>
          <w:rFonts w:hint="eastAsia"/>
          <w:sz w:val="24"/>
          <w:szCs w:val="24"/>
        </w:rPr>
        <w:t>年龄：</w:t>
      </w:r>
    </w:p>
    <w:p>
      <w:pPr>
        <w:pStyle w:val="17"/>
        <w:spacing w:line="480" w:lineRule="exact"/>
        <w:ind w:firstLine="840"/>
        <w:rPr>
          <w:sz w:val="24"/>
          <w:szCs w:val="24"/>
        </w:rPr>
      </w:pPr>
      <w:r>
        <w:rPr>
          <w:sz w:val="24"/>
          <w:szCs w:val="24"/>
        </w:rPr>
        <w:t>2</w:t>
      </w:r>
      <w:r>
        <w:rPr>
          <w:rFonts w:hint="eastAsia"/>
          <w:sz w:val="24"/>
          <w:szCs w:val="24"/>
        </w:rPr>
        <w:t>、委托人企业法定代表人营业执照号码：</w:t>
      </w:r>
    </w:p>
    <w:p>
      <w:pPr>
        <w:pStyle w:val="17"/>
        <w:spacing w:line="480" w:lineRule="exact"/>
        <w:ind w:firstLine="420"/>
        <w:rPr>
          <w:sz w:val="24"/>
          <w:szCs w:val="24"/>
        </w:rPr>
      </w:pPr>
      <w:r>
        <w:rPr>
          <w:sz w:val="24"/>
          <w:szCs w:val="24"/>
        </w:rPr>
        <w:t xml:space="preserve">       </w:t>
      </w:r>
      <w:r>
        <w:rPr>
          <w:rFonts w:hint="eastAsia"/>
          <w:sz w:val="24"/>
          <w:szCs w:val="24"/>
        </w:rPr>
        <w:t>地址：</w:t>
      </w:r>
      <w:r>
        <w:rPr>
          <w:sz w:val="24"/>
          <w:szCs w:val="24"/>
        </w:rPr>
        <w:t xml:space="preserve">                                 </w:t>
      </w:r>
      <w:r>
        <w:rPr>
          <w:rFonts w:hint="eastAsia"/>
          <w:sz w:val="24"/>
          <w:szCs w:val="24"/>
        </w:rPr>
        <w:t>经济性质：</w:t>
      </w:r>
    </w:p>
    <w:p>
      <w:pPr>
        <w:pStyle w:val="17"/>
        <w:spacing w:line="480" w:lineRule="exact"/>
        <w:ind w:firstLine="420"/>
        <w:rPr>
          <w:sz w:val="24"/>
          <w:szCs w:val="24"/>
        </w:rPr>
      </w:pPr>
      <w:r>
        <w:rPr>
          <w:sz w:val="24"/>
          <w:szCs w:val="24"/>
        </w:rPr>
        <w:t xml:space="preserve">       </w:t>
      </w:r>
      <w:r>
        <w:rPr>
          <w:rFonts w:hint="eastAsia"/>
          <w:sz w:val="24"/>
          <w:szCs w:val="24"/>
        </w:rPr>
        <w:t>注册资金：</w:t>
      </w:r>
      <w:r>
        <w:rPr>
          <w:sz w:val="24"/>
          <w:szCs w:val="24"/>
        </w:rPr>
        <w:t xml:space="preserve">                             </w:t>
      </w:r>
      <w:r>
        <w:rPr>
          <w:rFonts w:hint="eastAsia"/>
          <w:sz w:val="24"/>
          <w:szCs w:val="24"/>
        </w:rPr>
        <w:t>经营方式：</w:t>
      </w:r>
    </w:p>
    <w:p>
      <w:pPr>
        <w:pStyle w:val="17"/>
        <w:spacing w:line="480" w:lineRule="exact"/>
        <w:ind w:firstLine="420"/>
        <w:rPr>
          <w:sz w:val="24"/>
          <w:szCs w:val="24"/>
        </w:rPr>
      </w:pPr>
      <w:r>
        <w:rPr>
          <w:sz w:val="24"/>
          <w:szCs w:val="24"/>
        </w:rPr>
        <w:t xml:space="preserve">       </w:t>
      </w:r>
      <w:r>
        <w:rPr>
          <w:rFonts w:hint="eastAsia"/>
          <w:sz w:val="24"/>
          <w:szCs w:val="24"/>
        </w:rPr>
        <w:t>经营范围：</w:t>
      </w:r>
    </w:p>
    <w:p>
      <w:pPr>
        <w:pStyle w:val="17"/>
        <w:spacing w:line="480" w:lineRule="exact"/>
        <w:rPr>
          <w:sz w:val="24"/>
          <w:szCs w:val="24"/>
        </w:rPr>
      </w:pPr>
    </w:p>
    <w:p>
      <w:pPr>
        <w:pStyle w:val="17"/>
        <w:spacing w:line="480" w:lineRule="exact"/>
        <w:ind w:firstLine="420"/>
        <w:rPr>
          <w:sz w:val="24"/>
          <w:szCs w:val="24"/>
        </w:rPr>
      </w:pPr>
      <w:r>
        <w:rPr>
          <w:rFonts w:hint="eastAsia"/>
          <w:sz w:val="24"/>
          <w:szCs w:val="24"/>
        </w:rPr>
        <w:t>说明：</w:t>
      </w:r>
    </w:p>
    <w:p>
      <w:pPr>
        <w:pStyle w:val="17"/>
        <w:spacing w:line="480" w:lineRule="exact"/>
        <w:ind w:firstLine="735"/>
        <w:rPr>
          <w:sz w:val="24"/>
          <w:szCs w:val="24"/>
        </w:rPr>
      </w:pPr>
      <w:r>
        <w:rPr>
          <w:sz w:val="24"/>
          <w:szCs w:val="24"/>
        </w:rPr>
        <w:t>1</w:t>
      </w:r>
      <w:r>
        <w:rPr>
          <w:rFonts w:hint="eastAsia"/>
          <w:sz w:val="24"/>
          <w:szCs w:val="24"/>
        </w:rPr>
        <w:t>、法定代表人授权委托书所签发的代理期限必须涵盖代理人所有签字为有效的时间。</w:t>
      </w:r>
    </w:p>
    <w:p>
      <w:pPr>
        <w:pStyle w:val="17"/>
        <w:spacing w:line="480" w:lineRule="exact"/>
        <w:ind w:firstLine="735"/>
        <w:rPr>
          <w:sz w:val="24"/>
          <w:szCs w:val="24"/>
        </w:rPr>
      </w:pPr>
      <w:r>
        <w:rPr>
          <w:sz w:val="24"/>
          <w:szCs w:val="24"/>
        </w:rPr>
        <w:t>2</w:t>
      </w:r>
      <w:r>
        <w:rPr>
          <w:rFonts w:hint="eastAsia"/>
          <w:sz w:val="24"/>
          <w:szCs w:val="24"/>
        </w:rPr>
        <w:t>、委托书内容填写要明确，文字要工整清楚，涂改无效。</w:t>
      </w:r>
    </w:p>
    <w:p>
      <w:pPr>
        <w:pStyle w:val="17"/>
        <w:spacing w:line="480" w:lineRule="exact"/>
        <w:ind w:firstLine="735"/>
        <w:rPr>
          <w:sz w:val="24"/>
          <w:szCs w:val="24"/>
        </w:rPr>
      </w:pPr>
      <w:r>
        <w:rPr>
          <w:sz w:val="24"/>
          <w:szCs w:val="24"/>
        </w:rPr>
        <w:t>3</w:t>
      </w:r>
      <w:r>
        <w:rPr>
          <w:rFonts w:hint="eastAsia"/>
          <w:sz w:val="24"/>
          <w:szCs w:val="24"/>
        </w:rPr>
        <w:t>、委托书不得转借、转让，不得买卖。</w:t>
      </w:r>
    </w:p>
    <w:p>
      <w:pPr>
        <w:pStyle w:val="17"/>
        <w:spacing w:line="480" w:lineRule="exact"/>
        <w:ind w:firstLine="735"/>
        <w:rPr>
          <w:sz w:val="24"/>
          <w:szCs w:val="24"/>
        </w:rPr>
      </w:pPr>
      <w:r>
        <w:rPr>
          <w:rFonts w:hint="eastAsia"/>
          <w:sz w:val="24"/>
          <w:szCs w:val="24"/>
        </w:rPr>
        <w:t>4、如为联合体竞标，联合体各方应授权同一名竞标人代表参加竞标，</w:t>
      </w:r>
      <w:r>
        <w:rPr>
          <w:sz w:val="24"/>
          <w:szCs w:val="24"/>
        </w:rPr>
        <w:t>法定代表人授权委托书</w:t>
      </w:r>
      <w:r>
        <w:rPr>
          <w:rFonts w:hint="eastAsia"/>
          <w:sz w:val="24"/>
          <w:szCs w:val="24"/>
        </w:rPr>
        <w:t>由联合体各方法定代表人签署并加盖单位公章。</w:t>
      </w:r>
    </w:p>
    <w:p>
      <w:pPr>
        <w:pStyle w:val="17"/>
        <w:spacing w:line="560" w:lineRule="exact"/>
        <w:ind w:firstLine="720" w:firstLineChars="300"/>
        <w:rPr>
          <w:b/>
          <w:sz w:val="24"/>
          <w:szCs w:val="24"/>
        </w:rPr>
      </w:pPr>
      <w:r>
        <w:rPr>
          <w:rFonts w:hint="eastAsia"/>
          <w:sz w:val="24"/>
          <w:szCs w:val="24"/>
        </w:rPr>
        <w:t>代理人根据授权范围，以委托单位的名义签订合同，并将此委托书提交给对方作为合同附件。</w:t>
      </w:r>
    </w:p>
    <w:p>
      <w:r>
        <w:br w:type="page"/>
      </w:r>
    </w:p>
    <w:p>
      <w:pPr>
        <w:pStyle w:val="17"/>
        <w:spacing w:before="240"/>
        <w:jc w:val="center"/>
        <w:rPr>
          <w:b/>
          <w:sz w:val="32"/>
          <w:szCs w:val="32"/>
        </w:rPr>
      </w:pPr>
      <w:r>
        <w:rPr>
          <w:rFonts w:hint="eastAsia"/>
          <w:b/>
          <w:sz w:val="32"/>
          <w:szCs w:val="32"/>
        </w:rPr>
        <w:t>四、其它</w:t>
      </w:r>
    </w:p>
    <w:p>
      <w:pPr>
        <w:pStyle w:val="17"/>
        <w:ind w:left="5250"/>
        <w:jc w:val="center"/>
        <w:rPr>
          <w:b/>
          <w:sz w:val="32"/>
        </w:rPr>
      </w:pPr>
    </w:p>
    <w:p>
      <w:pPr>
        <w:spacing w:line="360" w:lineRule="auto"/>
        <w:jc w:val="center"/>
        <w:rPr>
          <w:rFonts w:ascii="隶书" w:eastAsia="隶书"/>
          <w:sz w:val="44"/>
        </w:rPr>
      </w:pPr>
      <w:r>
        <w:rPr>
          <w:rFonts w:hint="eastAsia" w:ascii="宋体"/>
          <w:b/>
          <w:sz w:val="32"/>
          <w:szCs w:val="20"/>
        </w:rPr>
        <w:br w:type="page"/>
      </w:r>
    </w:p>
    <w:p>
      <w:pPr>
        <w:spacing w:line="360" w:lineRule="auto"/>
        <w:jc w:val="center"/>
        <w:rPr>
          <w:rFonts w:ascii="隶书" w:eastAsia="隶书"/>
          <w:sz w:val="44"/>
        </w:rPr>
      </w:pPr>
    </w:p>
    <w:p>
      <w:pPr>
        <w:spacing w:line="360" w:lineRule="auto"/>
        <w:jc w:val="center"/>
        <w:rPr>
          <w:rFonts w:ascii="隶书" w:eastAsia="隶书"/>
          <w:sz w:val="44"/>
        </w:rPr>
      </w:pPr>
    </w:p>
    <w:p>
      <w:pPr>
        <w:spacing w:line="360" w:lineRule="auto"/>
        <w:jc w:val="center"/>
        <w:rPr>
          <w:rFonts w:ascii="隶书" w:eastAsia="隶书"/>
          <w:sz w:val="44"/>
        </w:rPr>
      </w:pPr>
    </w:p>
    <w:p>
      <w:pPr>
        <w:spacing w:line="360" w:lineRule="auto"/>
        <w:jc w:val="center"/>
        <w:rPr>
          <w:rFonts w:ascii="隶书" w:eastAsia="隶书"/>
          <w:sz w:val="44"/>
        </w:rPr>
      </w:pPr>
    </w:p>
    <w:p>
      <w:pPr>
        <w:spacing w:line="360" w:lineRule="auto"/>
        <w:jc w:val="center"/>
        <w:rPr>
          <w:rFonts w:ascii="隶书" w:eastAsia="隶书"/>
          <w:sz w:val="44"/>
        </w:rPr>
      </w:pPr>
    </w:p>
    <w:p>
      <w:pPr>
        <w:spacing w:line="360" w:lineRule="auto"/>
        <w:jc w:val="center"/>
        <w:rPr>
          <w:rFonts w:ascii="隶书" w:eastAsia="隶书"/>
          <w:sz w:val="44"/>
        </w:rPr>
      </w:pPr>
    </w:p>
    <w:p>
      <w:pPr>
        <w:pStyle w:val="3"/>
        <w:spacing w:line="240" w:lineRule="auto"/>
        <w:jc w:val="center"/>
        <w:rPr>
          <w:rFonts w:ascii="隶书" w:eastAsia="隶书"/>
          <w:sz w:val="32"/>
          <w:szCs w:val="32"/>
        </w:rPr>
      </w:pPr>
      <w:bookmarkStart w:id="86" w:name="_Toc290375233"/>
      <w:bookmarkStart w:id="87" w:name="_Toc259698697"/>
      <w:r>
        <w:rPr>
          <w:rFonts w:hint="eastAsia" w:ascii="隶书" w:eastAsia="隶书"/>
          <w:sz w:val="32"/>
          <w:szCs w:val="32"/>
        </w:rPr>
        <w:t>第五章  评标办法</w:t>
      </w:r>
      <w:bookmarkEnd w:id="86"/>
      <w:bookmarkEnd w:id="87"/>
    </w:p>
    <w:p/>
    <w:p>
      <w:pPr>
        <w:jc w:val="center"/>
        <w:rPr>
          <w:b/>
          <w:kern w:val="1"/>
          <w:sz w:val="32"/>
          <w:szCs w:val="32"/>
        </w:rPr>
      </w:pPr>
      <w:r>
        <w:br w:type="page"/>
      </w:r>
      <w:r>
        <w:rPr>
          <w:b/>
          <w:kern w:val="1"/>
          <w:sz w:val="32"/>
          <w:szCs w:val="32"/>
        </w:rPr>
        <w:t>评标办法</w:t>
      </w:r>
    </w:p>
    <w:p>
      <w:pPr>
        <w:pStyle w:val="17"/>
        <w:spacing w:line="400" w:lineRule="exact"/>
        <w:ind w:firstLine="480"/>
        <w:rPr>
          <w:rFonts w:cs="宋体"/>
          <w:sz w:val="24"/>
          <w:szCs w:val="24"/>
        </w:rPr>
      </w:pPr>
      <w:r>
        <w:rPr>
          <w:rFonts w:cs="宋体"/>
          <w:sz w:val="24"/>
          <w:szCs w:val="24"/>
        </w:rPr>
        <w:t>一、本项目采用的评标方法为：最低评标价法。</w:t>
      </w:r>
    </w:p>
    <w:p>
      <w:pPr>
        <w:pStyle w:val="17"/>
        <w:spacing w:line="400" w:lineRule="exact"/>
        <w:ind w:firstLine="480"/>
        <w:rPr>
          <w:rFonts w:cs="宋体"/>
          <w:sz w:val="24"/>
          <w:szCs w:val="24"/>
        </w:rPr>
      </w:pPr>
      <w:r>
        <w:rPr>
          <w:rFonts w:cs="宋体"/>
          <w:sz w:val="24"/>
          <w:szCs w:val="24"/>
        </w:rPr>
        <w:t>二、评标原则：</w:t>
      </w:r>
    </w:p>
    <w:p>
      <w:pPr>
        <w:pStyle w:val="17"/>
        <w:spacing w:line="400" w:lineRule="exact"/>
        <w:ind w:firstLine="480"/>
        <w:rPr>
          <w:rFonts w:cs="宋体"/>
          <w:sz w:val="24"/>
          <w:szCs w:val="24"/>
        </w:rPr>
      </w:pPr>
      <w:r>
        <w:rPr>
          <w:rFonts w:cs="宋体"/>
          <w:sz w:val="24"/>
          <w:szCs w:val="24"/>
        </w:rPr>
        <w:t>评标方法：通过资格性审查后，在质量和服务均能满足采购文件实质性响应要求的前提下，按最终评标报价由低到高排列成交候选人顺序，并依照次序确定成交人。</w:t>
      </w:r>
    </w:p>
    <w:p>
      <w:pPr>
        <w:pStyle w:val="17"/>
        <w:numPr>
          <w:ilvl w:val="0"/>
          <w:numId w:val="7"/>
        </w:numPr>
        <w:spacing w:line="400" w:lineRule="exact"/>
        <w:rPr>
          <w:rFonts w:cs="宋体"/>
          <w:sz w:val="24"/>
          <w:szCs w:val="24"/>
        </w:rPr>
      </w:pPr>
      <w:r>
        <w:rPr>
          <w:rFonts w:cs="宋体"/>
          <w:sz w:val="24"/>
          <w:szCs w:val="24"/>
        </w:rPr>
        <w:t>资格性审查</w:t>
      </w:r>
      <w:r>
        <w:rPr>
          <w:rFonts w:hint="eastAsia" w:cs="宋体"/>
          <w:sz w:val="24"/>
          <w:szCs w:val="24"/>
        </w:rPr>
        <w:t>：</w:t>
      </w:r>
    </w:p>
    <w:p>
      <w:pPr>
        <w:pStyle w:val="17"/>
        <w:spacing w:line="300" w:lineRule="auto"/>
        <w:ind w:left="480"/>
        <w:rPr>
          <w:sz w:val="24"/>
          <w:szCs w:val="24"/>
        </w:rPr>
      </w:pPr>
      <w:r>
        <w:rPr>
          <w:rFonts w:hint="eastAsia"/>
          <w:sz w:val="24"/>
          <w:szCs w:val="24"/>
        </w:rPr>
        <w:t>1.有效的营业执照副本、有效的组织机构代码证副本、有效的税务登记证副本复印件或有统一社会信用代码的营业执照（三证合一）复印件</w:t>
      </w:r>
      <w:r>
        <w:rPr>
          <w:rFonts w:hint="eastAsia" w:hAnsi="宋体"/>
          <w:sz w:val="24"/>
          <w:szCs w:val="24"/>
        </w:rPr>
        <w:t>；</w:t>
      </w:r>
    </w:p>
    <w:p>
      <w:pPr>
        <w:pStyle w:val="17"/>
        <w:spacing w:line="300" w:lineRule="auto"/>
        <w:ind w:left="480"/>
        <w:rPr>
          <w:sz w:val="24"/>
          <w:szCs w:val="24"/>
        </w:rPr>
      </w:pPr>
      <w:r>
        <w:rPr>
          <w:rFonts w:hint="eastAsia" w:hAnsi="宋体" w:cs="Arial"/>
          <w:sz w:val="24"/>
        </w:rPr>
        <w:t>2.《中华人民共和国特种设备安装改造维修许可证》（电梯类）B级（含B级）或以上资质证书复印件；</w:t>
      </w:r>
    </w:p>
    <w:p>
      <w:pPr>
        <w:pStyle w:val="17"/>
        <w:spacing w:line="300" w:lineRule="auto"/>
        <w:ind w:left="480"/>
        <w:rPr>
          <w:sz w:val="24"/>
          <w:szCs w:val="24"/>
        </w:rPr>
      </w:pPr>
      <w:r>
        <w:rPr>
          <w:rFonts w:hint="eastAsia" w:hAnsi="宋体"/>
          <w:sz w:val="24"/>
          <w:szCs w:val="24"/>
        </w:rPr>
        <w:t>3.法定代表人身份证复印件；</w:t>
      </w:r>
    </w:p>
    <w:p>
      <w:pPr>
        <w:pStyle w:val="17"/>
        <w:spacing w:line="300" w:lineRule="auto"/>
        <w:ind w:left="480"/>
        <w:rPr>
          <w:sz w:val="24"/>
          <w:szCs w:val="24"/>
        </w:rPr>
      </w:pPr>
      <w:r>
        <w:rPr>
          <w:rFonts w:hint="eastAsia"/>
          <w:sz w:val="24"/>
          <w:szCs w:val="24"/>
        </w:rPr>
        <w:t>4.法定代表人身份证明书原件；</w:t>
      </w:r>
    </w:p>
    <w:p>
      <w:pPr>
        <w:pStyle w:val="17"/>
        <w:spacing w:line="300" w:lineRule="auto"/>
        <w:ind w:left="480"/>
        <w:rPr>
          <w:sz w:val="24"/>
          <w:szCs w:val="24"/>
        </w:rPr>
      </w:pPr>
      <w:r>
        <w:rPr>
          <w:rFonts w:hint="eastAsia"/>
          <w:sz w:val="24"/>
          <w:szCs w:val="24"/>
        </w:rPr>
        <w:t>5.</w:t>
      </w:r>
      <w:r>
        <w:rPr>
          <w:rFonts w:hint="eastAsia" w:cs="宋体"/>
          <w:sz w:val="24"/>
          <w:szCs w:val="24"/>
        </w:rPr>
        <w:t xml:space="preserve"> 足额交纳竞标保证金的凭证；</w:t>
      </w:r>
    </w:p>
    <w:p>
      <w:pPr>
        <w:pStyle w:val="17"/>
        <w:spacing w:line="300" w:lineRule="auto"/>
        <w:ind w:left="480"/>
        <w:rPr>
          <w:sz w:val="24"/>
          <w:szCs w:val="24"/>
        </w:rPr>
      </w:pPr>
      <w:r>
        <w:rPr>
          <w:rFonts w:hint="eastAsia"/>
          <w:sz w:val="24"/>
          <w:szCs w:val="24"/>
        </w:rPr>
        <w:t>6.竞标单位于本项目竞标公告发布后在中国裁判文书网（https://wenshu.court.gov.cn/)查询本单位无行贿犯罪记录的截图（必须提供，同时加盖竞标单位公章）；</w:t>
      </w:r>
    </w:p>
    <w:p>
      <w:pPr>
        <w:pStyle w:val="17"/>
        <w:spacing w:line="300" w:lineRule="auto"/>
        <w:ind w:left="480"/>
        <w:rPr>
          <w:sz w:val="24"/>
          <w:szCs w:val="24"/>
        </w:rPr>
      </w:pPr>
      <w:r>
        <w:rPr>
          <w:rFonts w:hint="eastAsia" w:hAnsi="宋体"/>
          <w:sz w:val="24"/>
          <w:szCs w:val="24"/>
        </w:rPr>
        <w:t>7.竞标单位参加政府采购活动前3年内在经营活动中没有重大违法记录的书面声明原件；</w:t>
      </w:r>
    </w:p>
    <w:p>
      <w:pPr>
        <w:pStyle w:val="17"/>
        <w:spacing w:line="300" w:lineRule="auto"/>
        <w:ind w:left="480"/>
        <w:rPr>
          <w:sz w:val="24"/>
          <w:szCs w:val="24"/>
        </w:rPr>
      </w:pPr>
      <w:r>
        <w:rPr>
          <w:rFonts w:hint="eastAsia"/>
          <w:sz w:val="24"/>
          <w:szCs w:val="24"/>
        </w:rPr>
        <w:t>8.近半年内连续三个月的纳税证明复印件；</w:t>
      </w:r>
    </w:p>
    <w:p>
      <w:pPr>
        <w:pStyle w:val="17"/>
        <w:spacing w:line="300" w:lineRule="auto"/>
        <w:ind w:firstLine="480" w:firstLineChars="200"/>
        <w:rPr>
          <w:sz w:val="24"/>
          <w:szCs w:val="24"/>
        </w:rPr>
      </w:pPr>
      <w:r>
        <w:rPr>
          <w:rFonts w:hint="eastAsia"/>
          <w:bCs/>
          <w:sz w:val="24"/>
          <w:szCs w:val="24"/>
        </w:rPr>
        <w:t>9.提供本单位</w:t>
      </w:r>
      <w:r>
        <w:rPr>
          <w:rFonts w:hint="eastAsia"/>
          <w:bCs/>
          <w:color w:val="FF0000"/>
          <w:sz w:val="24"/>
          <w:szCs w:val="24"/>
        </w:rPr>
        <w:t>2019年度</w:t>
      </w:r>
      <w:r>
        <w:rPr>
          <w:rFonts w:hint="eastAsia"/>
          <w:bCs/>
          <w:sz w:val="24"/>
          <w:szCs w:val="24"/>
        </w:rPr>
        <w:t>审计报告或财务报表</w:t>
      </w:r>
      <w:r>
        <w:rPr>
          <w:rFonts w:hint="eastAsia"/>
          <w:sz w:val="24"/>
          <w:szCs w:val="24"/>
        </w:rPr>
        <w:t>复印件</w:t>
      </w:r>
      <w:r>
        <w:rPr>
          <w:rFonts w:hint="eastAsia"/>
          <w:bCs/>
          <w:sz w:val="24"/>
          <w:szCs w:val="24"/>
        </w:rPr>
        <w:t>，新成立的单位请按实际提供</w:t>
      </w:r>
      <w:r>
        <w:rPr>
          <w:rFonts w:hint="eastAsia"/>
          <w:sz w:val="24"/>
          <w:szCs w:val="24"/>
        </w:rPr>
        <w:t>；</w:t>
      </w:r>
    </w:p>
    <w:p>
      <w:pPr>
        <w:pStyle w:val="17"/>
        <w:spacing w:line="300" w:lineRule="auto"/>
        <w:ind w:firstLine="480" w:firstLineChars="200"/>
        <w:rPr>
          <w:rFonts w:hAnsi="宋体"/>
          <w:sz w:val="24"/>
          <w:szCs w:val="24"/>
        </w:rPr>
      </w:pPr>
      <w:r>
        <w:rPr>
          <w:rFonts w:hint="eastAsia" w:hAnsi="宋体"/>
          <w:sz w:val="24"/>
          <w:szCs w:val="24"/>
        </w:rPr>
        <w:t>10.竞标单位在“信用中国”网站(www.creditchina.gov.cn)及中国政府采购网(www.ccgp.gov.cn)查询本单位信用记录截图；（必须提供，同时加盖</w:t>
      </w:r>
      <w:r>
        <w:rPr>
          <w:rFonts w:hint="eastAsia"/>
          <w:sz w:val="24"/>
          <w:szCs w:val="24"/>
        </w:rPr>
        <w:t>竞标</w:t>
      </w:r>
      <w:r>
        <w:rPr>
          <w:rFonts w:hint="eastAsia" w:hAnsi="宋体"/>
          <w:sz w:val="24"/>
          <w:szCs w:val="24"/>
        </w:rPr>
        <w:t>单位公章）；</w:t>
      </w:r>
    </w:p>
    <w:p>
      <w:pPr>
        <w:pStyle w:val="17"/>
        <w:spacing w:line="300" w:lineRule="auto"/>
        <w:ind w:left="480"/>
        <w:rPr>
          <w:rFonts w:hAnsi="宋体"/>
          <w:sz w:val="24"/>
          <w:szCs w:val="24"/>
        </w:rPr>
      </w:pPr>
      <w:r>
        <w:rPr>
          <w:rFonts w:hint="eastAsia" w:hAnsi="宋体"/>
          <w:sz w:val="24"/>
          <w:szCs w:val="24"/>
        </w:rPr>
        <w:t>（二）</w:t>
      </w:r>
      <w:r>
        <w:rPr>
          <w:rFonts w:hint="eastAsia" w:cs="宋体"/>
          <w:sz w:val="24"/>
          <w:szCs w:val="24"/>
        </w:rPr>
        <w:t>符合性评审</w:t>
      </w:r>
    </w:p>
    <w:p>
      <w:pPr>
        <w:pStyle w:val="17"/>
        <w:spacing w:line="400" w:lineRule="exact"/>
        <w:ind w:firstLine="480"/>
        <w:rPr>
          <w:rFonts w:cs="宋体"/>
          <w:sz w:val="24"/>
          <w:szCs w:val="24"/>
        </w:rPr>
      </w:pPr>
      <w:r>
        <w:rPr>
          <w:rFonts w:hint="eastAsia" w:cs="宋体"/>
          <w:sz w:val="24"/>
          <w:szCs w:val="24"/>
        </w:rPr>
        <w:t>1、竞标文件所附材料是否足以证明竞标人具备本项目要求的资格；</w:t>
      </w:r>
    </w:p>
    <w:p>
      <w:pPr>
        <w:pStyle w:val="17"/>
        <w:spacing w:line="400" w:lineRule="exact"/>
        <w:ind w:firstLine="480"/>
        <w:rPr>
          <w:rFonts w:cs="宋体"/>
          <w:sz w:val="24"/>
          <w:szCs w:val="24"/>
        </w:rPr>
      </w:pPr>
      <w:r>
        <w:rPr>
          <w:rFonts w:hint="eastAsia" w:cs="宋体"/>
          <w:sz w:val="24"/>
          <w:szCs w:val="24"/>
        </w:rPr>
        <w:t>2、竞标人是否就所投标段的所有货物内容作完整唯一报价；</w:t>
      </w:r>
    </w:p>
    <w:p>
      <w:pPr>
        <w:pStyle w:val="17"/>
        <w:spacing w:line="400" w:lineRule="exact"/>
        <w:ind w:firstLine="480"/>
        <w:rPr>
          <w:rFonts w:cs="宋体"/>
          <w:sz w:val="24"/>
          <w:szCs w:val="24"/>
        </w:rPr>
      </w:pPr>
      <w:r>
        <w:rPr>
          <w:rFonts w:hint="eastAsia" w:cs="宋体"/>
          <w:sz w:val="24"/>
          <w:szCs w:val="24"/>
        </w:rPr>
        <w:t>3、竞标人是否按竞争性谈判采购文件的要求密封、签署、盖章和足够的竞标文件数量；</w:t>
      </w:r>
    </w:p>
    <w:p>
      <w:pPr>
        <w:pStyle w:val="17"/>
        <w:spacing w:line="400" w:lineRule="exact"/>
        <w:ind w:firstLine="480"/>
        <w:rPr>
          <w:rFonts w:cs="宋体"/>
          <w:sz w:val="24"/>
          <w:szCs w:val="24"/>
        </w:rPr>
      </w:pPr>
      <w:r>
        <w:rPr>
          <w:rFonts w:hint="eastAsia" w:cs="宋体"/>
          <w:sz w:val="24"/>
          <w:szCs w:val="24"/>
        </w:rPr>
        <w:t>4、竞标人报价是否未超出相应标段招标控制价或采购预算价；</w:t>
      </w:r>
    </w:p>
    <w:p>
      <w:pPr>
        <w:pStyle w:val="17"/>
        <w:spacing w:line="400" w:lineRule="exact"/>
        <w:ind w:firstLine="480"/>
        <w:rPr>
          <w:rFonts w:cs="宋体"/>
          <w:sz w:val="24"/>
          <w:szCs w:val="24"/>
        </w:rPr>
      </w:pPr>
      <w:r>
        <w:rPr>
          <w:rFonts w:hint="eastAsia" w:cs="宋体"/>
          <w:sz w:val="24"/>
          <w:szCs w:val="24"/>
        </w:rPr>
        <w:t>5、技术实施方案是否合同、可行；</w:t>
      </w:r>
    </w:p>
    <w:p>
      <w:pPr>
        <w:pStyle w:val="17"/>
        <w:spacing w:line="400" w:lineRule="exact"/>
        <w:ind w:firstLine="480"/>
        <w:rPr>
          <w:rFonts w:cs="宋体"/>
          <w:sz w:val="24"/>
          <w:szCs w:val="24"/>
        </w:rPr>
      </w:pPr>
      <w:r>
        <w:rPr>
          <w:rFonts w:hint="eastAsia" w:cs="宋体"/>
          <w:sz w:val="24"/>
          <w:szCs w:val="24"/>
        </w:rPr>
        <w:t>6、若两个（及以上）投标人所投产品为同一品牌的，以提供该品牌生产厂家授权书的投标为有效投标；若两个（及以上）竞标人均提供了同一品牌生产厂家授权书，则均作废标处理；</w:t>
      </w:r>
    </w:p>
    <w:p>
      <w:pPr>
        <w:pStyle w:val="17"/>
        <w:spacing w:line="400" w:lineRule="exact"/>
        <w:ind w:firstLine="480"/>
        <w:rPr>
          <w:rFonts w:cs="宋体"/>
          <w:sz w:val="24"/>
          <w:szCs w:val="24"/>
        </w:rPr>
      </w:pPr>
      <w:r>
        <w:rPr>
          <w:rFonts w:hint="eastAsia" w:cs="宋体"/>
          <w:sz w:val="24"/>
          <w:szCs w:val="24"/>
        </w:rPr>
        <w:t>7、是否有不符合法律、法规和竞争性谈判采购文件规定的其他实质性要求和条件的。</w:t>
      </w:r>
      <w:r>
        <w:rPr>
          <w:rFonts w:hint="eastAsia" w:cs="宋体"/>
          <w:sz w:val="24"/>
          <w:szCs w:val="24"/>
        </w:rPr>
        <w:tab/>
      </w:r>
      <w:r>
        <w:rPr>
          <w:rFonts w:hint="eastAsia" w:cs="宋体"/>
          <w:sz w:val="24"/>
          <w:szCs w:val="24"/>
        </w:rPr>
        <w:t>（二）详细评审</w:t>
      </w:r>
    </w:p>
    <w:p>
      <w:pPr>
        <w:pStyle w:val="17"/>
        <w:spacing w:line="400" w:lineRule="exact"/>
        <w:ind w:firstLine="480"/>
        <w:rPr>
          <w:rFonts w:cs="宋体"/>
          <w:sz w:val="24"/>
          <w:szCs w:val="24"/>
        </w:rPr>
      </w:pPr>
      <w:r>
        <w:rPr>
          <w:rFonts w:cs="宋体"/>
          <w:sz w:val="24"/>
          <w:szCs w:val="24"/>
        </w:rPr>
        <w:t>按照《政府采购促进中小企业发展暂行办法》（财库[2011]181号），中小企业划分为中型、小型、微型三种类型，具体标准根据企业从业人员、营业收入、资产总额等指标，结合行业特点制定。</w:t>
      </w:r>
      <w:r>
        <w:rPr>
          <w:rFonts w:hint="eastAsia" w:cs="宋体"/>
          <w:sz w:val="24"/>
          <w:szCs w:val="24"/>
        </w:rPr>
        <w:t>竞标产品及</w:t>
      </w:r>
      <w:r>
        <w:rPr>
          <w:rFonts w:cs="宋体"/>
          <w:sz w:val="24"/>
          <w:szCs w:val="24"/>
        </w:rPr>
        <w:t>竞标单位认定为小型和微型企业的【以工信部门2016年提供的证明文件为准】，对某竞标人最终竞标报价给予</w:t>
      </w:r>
      <w:r>
        <w:rPr>
          <w:rFonts w:hint="eastAsia" w:cs="宋体"/>
          <w:sz w:val="24"/>
          <w:szCs w:val="24"/>
          <w:lang w:val="en-US" w:eastAsia="zh-CN"/>
        </w:rPr>
        <w:t>10</w:t>
      </w:r>
      <w:r>
        <w:rPr>
          <w:rFonts w:cs="宋体"/>
          <w:sz w:val="24"/>
          <w:szCs w:val="24"/>
        </w:rPr>
        <w:t>%的扣除，扣除后的价格为某竞标人评标报价，即某竞标人评标报价=某竞标人最终竞标报价×（1-</w:t>
      </w:r>
      <w:r>
        <w:rPr>
          <w:rFonts w:hint="eastAsia" w:cs="宋体"/>
          <w:sz w:val="24"/>
          <w:szCs w:val="24"/>
          <w:lang w:val="en-US" w:eastAsia="zh-CN"/>
        </w:rPr>
        <w:t>10</w:t>
      </w:r>
      <w:r>
        <w:rPr>
          <w:rFonts w:cs="宋体"/>
          <w:sz w:val="24"/>
          <w:szCs w:val="24"/>
        </w:rPr>
        <w:t>%）。除上述情况外，某竞标人评标报价=某竞标人最终竞标报价。竞标产品提供企业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w:t>
      </w:r>
      <w:r>
        <w:rPr>
          <w:rFonts w:hint="eastAsia" w:ascii="Arial"/>
          <w:sz w:val="24"/>
          <w:szCs w:val="22"/>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7"/>
        <w:spacing w:line="400" w:lineRule="exact"/>
        <w:ind w:firstLine="480"/>
        <w:rPr>
          <w:rFonts w:cs="宋体"/>
          <w:sz w:val="24"/>
          <w:szCs w:val="24"/>
        </w:rPr>
      </w:pPr>
      <w:r>
        <w:rPr>
          <w:rFonts w:cs="宋体"/>
          <w:sz w:val="24"/>
          <w:szCs w:val="24"/>
        </w:rPr>
        <w:t>三、成交人推荐原则</w:t>
      </w:r>
    </w:p>
    <w:p>
      <w:pPr>
        <w:pStyle w:val="17"/>
        <w:spacing w:line="400" w:lineRule="exact"/>
        <w:ind w:firstLine="480"/>
        <w:rPr>
          <w:rFonts w:cs="宋体"/>
          <w:sz w:val="24"/>
          <w:szCs w:val="24"/>
        </w:rPr>
      </w:pPr>
      <w:r>
        <w:rPr>
          <w:rFonts w:cs="宋体"/>
          <w:sz w:val="24"/>
          <w:szCs w:val="24"/>
        </w:rPr>
        <w:t>(一) 在质量和服务均能满足采购文件实质性响应要求的前提下，按最终评标报价由低到高排列并推荐前三名为成交候选人，并依照次序确定成交人。采购单位应当确定谈判小组推荐排名第一的成交候选人为成交人。排名第一的成交候选人放弃成交、因不可抗力提出不能履行合同，或者竞争性谈判采购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其余以此类推。</w:t>
      </w:r>
    </w:p>
    <w:p>
      <w:pPr>
        <w:spacing w:line="360" w:lineRule="auto"/>
        <w:ind w:firstLine="485"/>
        <w:rPr>
          <w:rFonts w:ascii="宋体" w:hAnsi="宋体" w:cs="宋体"/>
          <w:kern w:val="1"/>
          <w:sz w:val="24"/>
        </w:rPr>
      </w:pPr>
      <w:r>
        <w:rPr>
          <w:rFonts w:hint="eastAsia" w:ascii="宋体" w:hAnsi="宋体" w:cs="宋体"/>
          <w:kern w:val="1"/>
          <w:sz w:val="24"/>
        </w:rPr>
        <w:t>（二) 谈判小组认为，某竞标人的有效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pPr>
        <w:jc w:val="center"/>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ind w:firstLine="484" w:firstLineChars="202"/>
        <w:rPr>
          <w:rFonts w:ascii="宋体"/>
          <w:sz w:val="24"/>
        </w:rPr>
      </w:pPr>
    </w:p>
    <w:p>
      <w:pPr>
        <w:spacing w:line="420" w:lineRule="exact"/>
        <w:rPr>
          <w:rFonts w:ascii="宋体"/>
          <w:sz w:val="24"/>
        </w:rPr>
      </w:pPr>
    </w:p>
    <w:p>
      <w:pPr>
        <w:pStyle w:val="2"/>
      </w:pPr>
    </w:p>
    <w:p>
      <w:pPr>
        <w:spacing w:line="420" w:lineRule="exact"/>
        <w:ind w:firstLine="484" w:firstLineChars="202"/>
        <w:rPr>
          <w:rFonts w:ascii="宋体"/>
          <w:sz w:val="24"/>
        </w:rPr>
      </w:pPr>
    </w:p>
    <w:p>
      <w:pPr>
        <w:spacing w:line="420" w:lineRule="exact"/>
        <w:ind w:firstLine="484" w:firstLineChars="202"/>
        <w:rPr>
          <w:rFonts w:ascii="宋体"/>
          <w:sz w:val="24"/>
        </w:rPr>
      </w:pPr>
    </w:p>
    <w:p>
      <w:pPr>
        <w:widowControl/>
        <w:jc w:val="center"/>
        <w:rPr>
          <w:rFonts w:ascii="隶书" w:eastAsia="隶书" w:cs="宋体"/>
          <w:b/>
          <w:bCs/>
          <w:kern w:val="0"/>
          <w:sz w:val="32"/>
          <w:szCs w:val="32"/>
        </w:rPr>
      </w:pPr>
      <w:r>
        <w:rPr>
          <w:rFonts w:hint="eastAsia" w:ascii="隶书" w:eastAsia="隶书" w:cs="宋体"/>
          <w:b/>
          <w:bCs/>
          <w:kern w:val="0"/>
          <w:sz w:val="32"/>
          <w:szCs w:val="32"/>
        </w:rPr>
        <w:t>附件1   中小企业声明函</w:t>
      </w:r>
    </w:p>
    <w:p>
      <w:pPr>
        <w:widowControl/>
        <w:spacing w:line="600" w:lineRule="exact"/>
        <w:jc w:val="left"/>
        <w:rPr>
          <w:rFonts w:ascii="宋体" w:cs="宋体"/>
          <w:kern w:val="0"/>
          <w:sz w:val="24"/>
        </w:rPr>
      </w:pPr>
      <w:r>
        <w:rPr>
          <w:rFonts w:hint="eastAsia" w:ascii="宋体" w:cs="宋体"/>
          <w:kern w:val="0"/>
          <w:sz w:val="24"/>
        </w:rPr>
        <w:t xml:space="preserve">　　本公司郑重声明，根据《政府采购促进中小企业发展暂行办法》（财库〔2011〕181号）的规定，本公司为______（请填写：中型、小型、微型）企业。即，本公司同时满足以下条件： </w:t>
      </w:r>
    </w:p>
    <w:p>
      <w:pPr>
        <w:widowControl/>
        <w:spacing w:line="600" w:lineRule="exact"/>
        <w:jc w:val="left"/>
        <w:rPr>
          <w:rFonts w:ascii="宋体" w:cs="宋体"/>
          <w:kern w:val="0"/>
          <w:sz w:val="24"/>
        </w:rPr>
      </w:pPr>
      <w:r>
        <w:rPr>
          <w:rFonts w:hint="eastAsia" w:asci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 </w:t>
      </w:r>
    </w:p>
    <w:p>
      <w:pPr>
        <w:widowControl/>
        <w:spacing w:line="600" w:lineRule="exact"/>
        <w:jc w:val="left"/>
        <w:rPr>
          <w:rFonts w:ascii="宋体" w:cs="宋体"/>
          <w:kern w:val="0"/>
          <w:sz w:val="24"/>
        </w:rPr>
      </w:pPr>
      <w:r>
        <w:rPr>
          <w:rFonts w:hint="eastAsia" w:asci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 </w:t>
      </w:r>
    </w:p>
    <w:p>
      <w:pPr>
        <w:widowControl/>
        <w:spacing w:line="600" w:lineRule="exact"/>
        <w:ind w:firstLine="570"/>
        <w:jc w:val="left"/>
        <w:rPr>
          <w:rFonts w:ascii="宋体" w:cs="宋体"/>
          <w:kern w:val="0"/>
          <w:sz w:val="24"/>
        </w:rPr>
      </w:pPr>
      <w:r>
        <w:rPr>
          <w:rFonts w:hint="eastAsia" w:ascii="宋体" w:cs="宋体"/>
          <w:kern w:val="0"/>
          <w:sz w:val="24"/>
        </w:rPr>
        <w:t>本公司对上述声明的真实性负责。如有虚假，将依法承担相应责任。</w:t>
      </w:r>
    </w:p>
    <w:p>
      <w:pPr>
        <w:widowControl/>
        <w:spacing w:line="600" w:lineRule="exact"/>
        <w:ind w:firstLine="570"/>
        <w:jc w:val="left"/>
        <w:rPr>
          <w:rFonts w:ascii="宋体" w:cs="宋体"/>
          <w:kern w:val="0"/>
          <w:sz w:val="24"/>
        </w:rPr>
      </w:pPr>
    </w:p>
    <w:p>
      <w:pPr>
        <w:widowControl/>
        <w:spacing w:line="600" w:lineRule="exact"/>
        <w:ind w:firstLine="570"/>
        <w:jc w:val="left"/>
        <w:rPr>
          <w:rFonts w:ascii="宋体" w:cs="宋体"/>
          <w:kern w:val="0"/>
          <w:sz w:val="24"/>
        </w:rPr>
      </w:pPr>
    </w:p>
    <w:p>
      <w:pPr>
        <w:widowControl/>
        <w:spacing w:line="600" w:lineRule="exact"/>
        <w:jc w:val="left"/>
        <w:rPr>
          <w:rFonts w:ascii="宋体" w:cs="宋体"/>
          <w:kern w:val="0"/>
          <w:sz w:val="24"/>
        </w:rPr>
      </w:pPr>
      <w:r>
        <w:rPr>
          <w:rFonts w:hint="eastAsia" w:ascii="宋体" w:cs="宋体"/>
          <w:kern w:val="0"/>
          <w:sz w:val="24"/>
        </w:rPr>
        <w:t xml:space="preserve">　　企业名称（盖章）： </w:t>
      </w:r>
    </w:p>
    <w:p>
      <w:pPr>
        <w:widowControl/>
        <w:spacing w:line="600" w:lineRule="exact"/>
        <w:ind w:firstLine="570"/>
        <w:jc w:val="left"/>
        <w:rPr>
          <w:rFonts w:ascii="宋体" w:cs="宋体"/>
          <w:kern w:val="0"/>
          <w:sz w:val="24"/>
        </w:rPr>
      </w:pPr>
      <w:r>
        <w:rPr>
          <w:rFonts w:hint="eastAsia" w:ascii="宋体" w:cs="宋体"/>
          <w:kern w:val="0"/>
          <w:sz w:val="24"/>
        </w:rPr>
        <w:t>日 期：</w:t>
      </w: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widowControl/>
        <w:spacing w:line="600" w:lineRule="exact"/>
        <w:ind w:firstLine="570"/>
        <w:jc w:val="left"/>
        <w:rPr>
          <w:rFonts w:ascii="宋体" w:cs="宋体"/>
          <w:kern w:val="0"/>
          <w:sz w:val="28"/>
          <w:szCs w:val="28"/>
        </w:rPr>
      </w:pPr>
    </w:p>
    <w:p>
      <w:pPr>
        <w:spacing w:line="588" w:lineRule="exact"/>
        <w:jc w:val="center"/>
        <w:rPr>
          <w:rFonts w:ascii="仿宋_GB2312" w:eastAsia="仿宋_GB2312"/>
          <w:b/>
          <w:spacing w:val="6"/>
          <w:sz w:val="32"/>
          <w:szCs w:val="32"/>
        </w:rPr>
      </w:pPr>
      <w:bookmarkStart w:id="88" w:name="OLE_LINK14"/>
      <w:bookmarkStart w:id="89" w:name="OLE_LINK13"/>
    </w:p>
    <w:p>
      <w:pPr>
        <w:widowControl/>
        <w:jc w:val="center"/>
        <w:rPr>
          <w:rFonts w:ascii="隶书" w:eastAsia="隶书" w:cs="宋体"/>
          <w:b/>
          <w:bCs/>
          <w:kern w:val="0"/>
          <w:sz w:val="32"/>
          <w:szCs w:val="32"/>
        </w:rPr>
      </w:pPr>
      <w:r>
        <w:rPr>
          <w:rFonts w:hint="eastAsia" w:ascii="隶书" w:eastAsia="隶书" w:cs="宋体"/>
          <w:b/>
          <w:bCs/>
          <w:kern w:val="0"/>
          <w:sz w:val="32"/>
          <w:szCs w:val="32"/>
        </w:rPr>
        <w:t>附件2   残疾人福利性单位声明函</w:t>
      </w:r>
    </w:p>
    <w:bookmarkEnd w:id="88"/>
    <w:bookmarkEnd w:id="89"/>
    <w:p>
      <w:pPr>
        <w:spacing w:line="588" w:lineRule="exact"/>
        <w:rPr>
          <w:rFonts w:ascii="宋体" w:hAnsi="宋体" w:cs="宋体"/>
          <w:b/>
          <w:spacing w:val="6"/>
          <w:sz w:val="24"/>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bookmarkStart w:id="90" w:name="_Toc9824_WPSOffice_Level1"/>
      <w:r>
        <w:rPr>
          <w:rFonts w:hint="eastAsia" w:ascii="宋体" w:hAnsi="宋体" w:cs="宋体"/>
          <w:spacing w:val="6"/>
          <w:sz w:val="24"/>
        </w:rPr>
        <w:t>单位名称（盖章）：</w:t>
      </w:r>
      <w:bookmarkEnd w:id="90"/>
    </w:p>
    <w:p>
      <w:pPr>
        <w:tabs>
          <w:tab w:val="left" w:pos="4860"/>
        </w:tabs>
        <w:spacing w:line="588" w:lineRule="exact"/>
        <w:ind w:right="1560" w:firstLine="504" w:firstLineChars="200"/>
        <w:jc w:val="center"/>
        <w:rPr>
          <w:rFonts w:ascii="宋体" w:hAnsi="宋体" w:cs="宋体"/>
          <w:spacing w:val="6"/>
          <w:sz w:val="24"/>
        </w:rPr>
      </w:pPr>
      <w:bookmarkStart w:id="91" w:name="_Toc8807_WPSOffice_Level1"/>
      <w:r>
        <w:rPr>
          <w:rFonts w:hint="eastAsia" w:ascii="宋体" w:hAnsi="宋体" w:cs="宋体"/>
          <w:spacing w:val="6"/>
          <w:sz w:val="24"/>
        </w:rPr>
        <w:t>日  期：</w:t>
      </w:r>
      <w:bookmarkEnd w:id="91"/>
    </w:p>
    <w:p>
      <w:pPr>
        <w:widowControl/>
        <w:spacing w:line="600" w:lineRule="exact"/>
        <w:ind w:firstLine="570"/>
        <w:jc w:val="left"/>
        <w:rPr>
          <w:rFonts w:ascii="宋体" w:cs="宋体"/>
          <w:kern w:val="0"/>
          <w:sz w:val="28"/>
          <w:szCs w:val="28"/>
        </w:rPr>
      </w:pPr>
    </w:p>
    <w:sectPr>
      <w:headerReference r:id="rId3" w:type="first"/>
      <w:footerReference r:id="rId4" w:type="default"/>
      <w:footerReference r:id="rId5" w:type="even"/>
      <w:pgSz w:w="11906" w:h="16838"/>
      <w:pgMar w:top="1134" w:right="1134" w:bottom="992" w:left="1134" w:header="851" w:footer="68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汉仪魏碑简">
    <w:altName w:val="宋体"/>
    <w:panose1 w:val="00000000000000000000"/>
    <w:charset w:val="86"/>
    <w:family w:val="modern"/>
    <w:pitch w:val="default"/>
    <w:sig w:usb0="00000000" w:usb1="00000000" w:usb2="00000012"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rPr>
      <w:t>27</w:t>
    </w:r>
    <w: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rPr>
      <w:t>1</w:t>
    </w:r>
    <w: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upperLetter"/>
      <w:pStyle w:val="4"/>
      <w:lvlText w:val="%1."/>
      <w:lvlJc w:val="left"/>
      <w:pPr>
        <w:tabs>
          <w:tab w:val="left" w:pos="315"/>
        </w:tabs>
        <w:ind w:left="315" w:hanging="315"/>
      </w:pPr>
      <w:rPr>
        <w:rFonts w:hint="eastAsia"/>
      </w:rPr>
    </w:lvl>
  </w:abstractNum>
  <w:abstractNum w:abstractNumId="1">
    <w:nsid w:val="00000002"/>
    <w:multiLevelType w:val="multilevel"/>
    <w:tmpl w:val="00000002"/>
    <w:lvl w:ilvl="0" w:tentative="0">
      <w:start w:val="3"/>
      <w:numFmt w:val="chineseCountingThousand"/>
      <w:suff w:val="nothing"/>
      <w:lvlText w:val="第%1章"/>
      <w:lvlJc w:val="left"/>
      <w:pPr>
        <w:tabs>
          <w:tab w:val="left" w:pos="0"/>
        </w:tabs>
        <w:ind w:left="0" w:firstLine="0"/>
      </w:pPr>
      <w:rPr>
        <w:rFonts w:hint="eastAsia"/>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pStyle w:val="7"/>
      <w:suff w:val="nothing"/>
      <w:lvlText w:val=""/>
      <w:lvlJc w:val="left"/>
      <w:pPr>
        <w:tabs>
          <w:tab w:val="left" w:pos="0"/>
        </w:tabs>
        <w:ind w:left="0" w:firstLine="0"/>
      </w:pPr>
      <w:rPr>
        <w:rFonts w:hint="eastAsia"/>
      </w:rPr>
    </w:lvl>
    <w:lvl w:ilvl="4" w:tentative="0">
      <w:start w:val="1"/>
      <w:numFmt w:val="none"/>
      <w:pStyle w:val="8"/>
      <w:suff w:val="nothing"/>
      <w:lvlText w:val=""/>
      <w:lvlJc w:val="left"/>
      <w:pPr>
        <w:tabs>
          <w:tab w:val="left" w:pos="0"/>
        </w:tabs>
        <w:ind w:left="0" w:firstLine="0"/>
      </w:pPr>
      <w:rPr>
        <w:rFonts w:hint="eastAsia"/>
      </w:rPr>
    </w:lvl>
    <w:lvl w:ilvl="5" w:tentative="0">
      <w:start w:val="1"/>
      <w:numFmt w:val="none"/>
      <w:pStyle w:val="9"/>
      <w:suff w:val="nothing"/>
      <w:lvlText w:val=""/>
      <w:lvlJc w:val="left"/>
      <w:pPr>
        <w:tabs>
          <w:tab w:val="left" w:pos="0"/>
        </w:tabs>
        <w:ind w:left="0" w:firstLine="0"/>
      </w:pPr>
      <w:rPr>
        <w:rFonts w:hint="eastAsia"/>
      </w:rPr>
    </w:lvl>
    <w:lvl w:ilvl="6" w:tentative="0">
      <w:start w:val="1"/>
      <w:numFmt w:val="none"/>
      <w:pStyle w:val="10"/>
      <w:suff w:val="nothing"/>
      <w:lvlText w:val=""/>
      <w:lvlJc w:val="left"/>
      <w:pPr>
        <w:tabs>
          <w:tab w:val="left" w:pos="0"/>
        </w:tabs>
        <w:ind w:left="0" w:firstLine="0"/>
      </w:pPr>
      <w:rPr>
        <w:rFonts w:hint="eastAsia"/>
      </w:rPr>
    </w:lvl>
    <w:lvl w:ilvl="7" w:tentative="0">
      <w:start w:val="1"/>
      <w:numFmt w:val="none"/>
      <w:pStyle w:val="11"/>
      <w:suff w:val="nothing"/>
      <w:lvlText w:val=""/>
      <w:lvlJc w:val="left"/>
      <w:pPr>
        <w:tabs>
          <w:tab w:val="left" w:pos="0"/>
        </w:tabs>
        <w:ind w:left="0" w:firstLine="0"/>
      </w:pPr>
      <w:rPr>
        <w:rFonts w:hint="eastAsia"/>
      </w:rPr>
    </w:lvl>
    <w:lvl w:ilvl="8" w:tentative="0">
      <w:start w:val="1"/>
      <w:numFmt w:val="none"/>
      <w:pStyle w:val="12"/>
      <w:suff w:val="nothing"/>
      <w:lvlText w:val=""/>
      <w:lvlJc w:val="left"/>
      <w:pPr>
        <w:tabs>
          <w:tab w:val="left" w:pos="0"/>
        </w:tabs>
        <w:ind w:left="0" w:firstLine="0"/>
      </w:pPr>
      <w:rPr>
        <w:rFonts w:hint="eastAsia"/>
      </w:rPr>
    </w:lvl>
  </w:abstractNum>
  <w:abstractNum w:abstractNumId="2">
    <w:nsid w:val="00000005"/>
    <w:multiLevelType w:val="multilevel"/>
    <w:tmpl w:val="0000000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6"/>
    <w:multiLevelType w:val="multilevel"/>
    <w:tmpl w:val="00000006"/>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7"/>
    <w:multiLevelType w:val="singleLevel"/>
    <w:tmpl w:val="00000007"/>
    <w:lvl w:ilvl="0" w:tentative="0">
      <w:start w:val="1"/>
      <w:numFmt w:val="decimal"/>
      <w:suff w:val="nothing"/>
      <w:lvlText w:val="(%1)"/>
      <w:lvlJc w:val="left"/>
    </w:lvl>
  </w:abstractNum>
  <w:abstractNum w:abstractNumId="5">
    <w:nsid w:val="00000008"/>
    <w:multiLevelType w:val="multilevel"/>
    <w:tmpl w:val="00000008"/>
    <w:lvl w:ilvl="0" w:tentative="0">
      <w:start w:val="1"/>
      <w:numFmt w:val="decimalEnclosedParen"/>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6C4379B"/>
    <w:multiLevelType w:val="multilevel"/>
    <w:tmpl w:val="36C4379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A78F6"/>
    <w:rsid w:val="003F66F8"/>
    <w:rsid w:val="00534416"/>
    <w:rsid w:val="005B4A67"/>
    <w:rsid w:val="00667785"/>
    <w:rsid w:val="00DA78F6"/>
    <w:rsid w:val="00F10A57"/>
    <w:rsid w:val="00FA0473"/>
    <w:rsid w:val="020B71D8"/>
    <w:rsid w:val="07F4742C"/>
    <w:rsid w:val="106B2602"/>
    <w:rsid w:val="12E86FDF"/>
    <w:rsid w:val="17034A75"/>
    <w:rsid w:val="1BCC469A"/>
    <w:rsid w:val="1BED084C"/>
    <w:rsid w:val="1C67158F"/>
    <w:rsid w:val="208A3823"/>
    <w:rsid w:val="256F7CD9"/>
    <w:rsid w:val="261D7638"/>
    <w:rsid w:val="26845467"/>
    <w:rsid w:val="29111A73"/>
    <w:rsid w:val="3D045EB7"/>
    <w:rsid w:val="42F97C69"/>
    <w:rsid w:val="49E5432F"/>
    <w:rsid w:val="5ECC5697"/>
    <w:rsid w:val="68E76A09"/>
    <w:rsid w:val="6A101D9F"/>
    <w:rsid w:val="6DE36C42"/>
    <w:rsid w:val="6ED70A10"/>
    <w:rsid w:val="6F6E7309"/>
    <w:rsid w:val="71F768DC"/>
    <w:rsid w:val="735B4155"/>
    <w:rsid w:val="738702B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spacing w:line="340" w:lineRule="exact"/>
      <w:outlineLvl w:val="0"/>
    </w:pPr>
    <w:rPr>
      <w:b/>
      <w:bCs/>
    </w:rPr>
  </w:style>
  <w:style w:type="paragraph" w:styleId="4">
    <w:name w:val="heading 2"/>
    <w:basedOn w:val="1"/>
    <w:next w:val="5"/>
    <w:unhideWhenUsed/>
    <w:qFormat/>
    <w:uiPriority w:val="9"/>
    <w:pPr>
      <w:keepNext/>
      <w:numPr>
        <w:ilvl w:val="0"/>
        <w:numId w:val="1"/>
      </w:numPr>
      <w:spacing w:line="360" w:lineRule="auto"/>
      <w:outlineLvl w:val="1"/>
    </w:pPr>
    <w:rPr>
      <w:b/>
      <w:sz w:val="24"/>
      <w:szCs w:val="20"/>
    </w:rPr>
  </w:style>
  <w:style w:type="paragraph" w:styleId="6">
    <w:name w:val="heading 3"/>
    <w:basedOn w:val="1"/>
    <w:next w:val="1"/>
    <w:unhideWhenUsed/>
    <w:qFormat/>
    <w:uiPriority w:val="9"/>
    <w:pPr>
      <w:keepNext/>
      <w:keepLines/>
      <w:spacing w:before="260" w:after="260" w:line="415" w:lineRule="auto"/>
      <w:outlineLvl w:val="2"/>
    </w:pPr>
    <w:rPr>
      <w:b/>
      <w:bCs/>
      <w:sz w:val="32"/>
      <w:szCs w:val="32"/>
    </w:rPr>
  </w:style>
  <w:style w:type="paragraph" w:styleId="7">
    <w:name w:val="heading 4"/>
    <w:basedOn w:val="1"/>
    <w:next w:val="1"/>
    <w:unhideWhenUsed/>
    <w:qFormat/>
    <w:uiPriority w:val="9"/>
    <w:pPr>
      <w:keepNext/>
      <w:keepLines/>
      <w:numPr>
        <w:ilvl w:val="3"/>
        <w:numId w:val="2"/>
      </w:numPr>
      <w:spacing w:before="280" w:after="290" w:line="376" w:lineRule="auto"/>
      <w:outlineLvl w:val="3"/>
    </w:pPr>
    <w:rPr>
      <w:rFonts w:ascii="宋体" w:hAnsi="宋体" w:eastAsia="黑体"/>
      <w:b/>
      <w:sz w:val="24"/>
      <w:szCs w:val="20"/>
    </w:rPr>
  </w:style>
  <w:style w:type="paragraph" w:styleId="8">
    <w:name w:val="heading 5"/>
    <w:basedOn w:val="1"/>
    <w:next w:val="5"/>
    <w:semiHidden/>
    <w:unhideWhenUsed/>
    <w:qFormat/>
    <w:uiPriority w:val="9"/>
    <w:pPr>
      <w:keepNext/>
      <w:keepLines/>
      <w:numPr>
        <w:ilvl w:val="4"/>
        <w:numId w:val="2"/>
      </w:numPr>
      <w:spacing w:before="280" w:after="290" w:line="376" w:lineRule="auto"/>
      <w:outlineLvl w:val="4"/>
    </w:pPr>
    <w:rPr>
      <w:b/>
      <w:sz w:val="28"/>
      <w:szCs w:val="20"/>
    </w:rPr>
  </w:style>
  <w:style w:type="paragraph" w:styleId="9">
    <w:name w:val="heading 6"/>
    <w:basedOn w:val="1"/>
    <w:next w:val="5"/>
    <w:semiHidden/>
    <w:unhideWhenUsed/>
    <w:qFormat/>
    <w:uiPriority w:val="9"/>
    <w:pPr>
      <w:keepNext/>
      <w:keepLines/>
      <w:numPr>
        <w:ilvl w:val="5"/>
        <w:numId w:val="2"/>
      </w:numPr>
      <w:spacing w:before="240" w:after="64" w:line="319" w:lineRule="auto"/>
      <w:outlineLvl w:val="5"/>
    </w:pPr>
    <w:rPr>
      <w:rFonts w:ascii="Arial" w:hAnsi="Arial" w:eastAsia="黑体"/>
      <w:b/>
      <w:sz w:val="24"/>
      <w:szCs w:val="20"/>
    </w:rPr>
  </w:style>
  <w:style w:type="paragraph" w:styleId="10">
    <w:name w:val="heading 7"/>
    <w:basedOn w:val="1"/>
    <w:next w:val="5"/>
    <w:qFormat/>
    <w:uiPriority w:val="0"/>
    <w:pPr>
      <w:keepNext/>
      <w:keepLines/>
      <w:numPr>
        <w:ilvl w:val="6"/>
        <w:numId w:val="2"/>
      </w:numPr>
      <w:spacing w:before="240" w:after="64" w:line="319" w:lineRule="auto"/>
      <w:outlineLvl w:val="6"/>
    </w:pPr>
    <w:rPr>
      <w:b/>
      <w:sz w:val="24"/>
      <w:szCs w:val="20"/>
    </w:rPr>
  </w:style>
  <w:style w:type="paragraph" w:styleId="11">
    <w:name w:val="heading 8"/>
    <w:basedOn w:val="1"/>
    <w:next w:val="5"/>
    <w:qFormat/>
    <w:uiPriority w:val="0"/>
    <w:pPr>
      <w:keepNext/>
      <w:keepLines/>
      <w:numPr>
        <w:ilvl w:val="7"/>
        <w:numId w:val="2"/>
      </w:numPr>
      <w:spacing w:before="240" w:after="64" w:line="319" w:lineRule="auto"/>
      <w:outlineLvl w:val="7"/>
    </w:pPr>
    <w:rPr>
      <w:rFonts w:ascii="Arial" w:hAnsi="Arial" w:eastAsia="黑体"/>
      <w:sz w:val="24"/>
      <w:szCs w:val="20"/>
    </w:rPr>
  </w:style>
  <w:style w:type="paragraph" w:styleId="12">
    <w:name w:val="heading 9"/>
    <w:basedOn w:val="1"/>
    <w:next w:val="5"/>
    <w:qFormat/>
    <w:uiPriority w:val="0"/>
    <w:pPr>
      <w:keepNext/>
      <w:keepLines/>
      <w:numPr>
        <w:ilvl w:val="8"/>
        <w:numId w:val="2"/>
      </w:numPr>
      <w:spacing w:before="240" w:after="64" w:line="319" w:lineRule="auto"/>
      <w:outlineLvl w:val="8"/>
    </w:pPr>
    <w:rPr>
      <w:rFonts w:ascii="Arial" w:hAnsi="Arial" w:eastAsia="黑体"/>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spacing w:line="280" w:lineRule="exact"/>
    </w:pPr>
    <w:rPr>
      <w:rFonts w:ascii="宋体"/>
      <w:b/>
      <w:bCs/>
      <w:kern w:val="0"/>
      <w:szCs w:val="20"/>
    </w:rPr>
  </w:style>
  <w:style w:type="paragraph" w:styleId="5">
    <w:name w:val="Normal Indent"/>
    <w:basedOn w:val="1"/>
    <w:link w:val="72"/>
    <w:qFormat/>
    <w:uiPriority w:val="99"/>
    <w:pPr>
      <w:ind w:firstLine="420"/>
    </w:pPr>
    <w:rPr>
      <w:szCs w:val="20"/>
    </w:rPr>
  </w:style>
  <w:style w:type="paragraph" w:styleId="13">
    <w:name w:val="Document Map"/>
    <w:basedOn w:val="1"/>
    <w:qFormat/>
    <w:uiPriority w:val="0"/>
    <w:pPr>
      <w:shd w:val="clear" w:color="auto" w:fill="000080"/>
    </w:pPr>
  </w:style>
  <w:style w:type="paragraph" w:styleId="14">
    <w:name w:val="annotation text"/>
    <w:basedOn w:val="1"/>
    <w:qFormat/>
    <w:uiPriority w:val="0"/>
    <w:pPr>
      <w:jc w:val="left"/>
    </w:pPr>
  </w:style>
  <w:style w:type="paragraph" w:styleId="15">
    <w:name w:val="Body Text Indent"/>
    <w:basedOn w:val="1"/>
    <w:qFormat/>
    <w:uiPriority w:val="0"/>
    <w:pPr>
      <w:spacing w:line="200" w:lineRule="exact"/>
      <w:ind w:firstLine="301"/>
    </w:pPr>
    <w:rPr>
      <w:rFonts w:ascii="宋体"/>
      <w:spacing w:val="-4"/>
      <w:sz w:val="18"/>
      <w:szCs w:val="20"/>
    </w:rPr>
  </w:style>
  <w:style w:type="paragraph" w:styleId="16">
    <w:name w:val="toc 3"/>
    <w:basedOn w:val="1"/>
    <w:next w:val="1"/>
    <w:qFormat/>
    <w:uiPriority w:val="0"/>
    <w:pPr>
      <w:tabs>
        <w:tab w:val="right" w:leader="dot" w:pos="9742"/>
      </w:tabs>
      <w:ind w:left="400" w:leftChars="400"/>
    </w:pPr>
    <w:rPr>
      <w:rFonts w:ascii="宋体"/>
      <w:sz w:val="24"/>
    </w:rPr>
  </w:style>
  <w:style w:type="paragraph" w:styleId="17">
    <w:name w:val="Plain Text"/>
    <w:basedOn w:val="1"/>
    <w:link w:val="64"/>
    <w:qFormat/>
    <w:uiPriority w:val="99"/>
    <w:rPr>
      <w:rFonts w:ascii="宋体"/>
      <w:szCs w:val="20"/>
    </w:rPr>
  </w:style>
  <w:style w:type="paragraph" w:styleId="18">
    <w:name w:val="Date"/>
    <w:basedOn w:val="1"/>
    <w:next w:val="1"/>
    <w:qFormat/>
    <w:uiPriority w:val="0"/>
    <w:pPr>
      <w:ind w:left="2500" w:leftChars="2500"/>
    </w:pPr>
    <w:rPr>
      <w:spacing w:val="30"/>
      <w:sz w:val="28"/>
    </w:rPr>
  </w:style>
  <w:style w:type="paragraph" w:styleId="19">
    <w:name w:val="Body Text Indent 2"/>
    <w:basedOn w:val="1"/>
    <w:link w:val="71"/>
    <w:qFormat/>
    <w:uiPriority w:val="0"/>
    <w:pPr>
      <w:spacing w:line="400" w:lineRule="exact"/>
      <w:ind w:firstLine="480"/>
    </w:p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rFonts w:ascii="宋体"/>
      <w:sz w:val="18"/>
      <w:szCs w:val="20"/>
    </w:rPr>
  </w:style>
  <w:style w:type="paragraph" w:styleId="22">
    <w:name w:val="header"/>
    <w:basedOn w:val="1"/>
    <w:link w:val="75"/>
    <w:qFormat/>
    <w:uiPriority w:val="99"/>
    <w:pPr>
      <w:pBdr>
        <w:bottom w:val="single" w:color="auto" w:sz="6" w:space="1"/>
      </w:pBdr>
      <w:tabs>
        <w:tab w:val="center" w:pos="4153"/>
        <w:tab w:val="right" w:pos="8306"/>
      </w:tabs>
      <w:snapToGrid w:val="0"/>
      <w:jc w:val="center"/>
    </w:pPr>
    <w:rPr>
      <w:rFonts w:ascii="宋体"/>
      <w:sz w:val="18"/>
      <w:szCs w:val="20"/>
    </w:rPr>
  </w:style>
  <w:style w:type="paragraph" w:styleId="23">
    <w:name w:val="toc 1"/>
    <w:basedOn w:val="1"/>
    <w:next w:val="1"/>
    <w:qFormat/>
    <w:uiPriority w:val="39"/>
  </w:style>
  <w:style w:type="paragraph" w:styleId="24">
    <w:name w:val="toc 4"/>
    <w:basedOn w:val="1"/>
    <w:next w:val="1"/>
    <w:qFormat/>
    <w:uiPriority w:val="0"/>
    <w:pPr>
      <w:ind w:left="600" w:leftChars="600"/>
    </w:pPr>
  </w:style>
  <w:style w:type="paragraph" w:styleId="25">
    <w:name w:val="Body Text Indent 3"/>
    <w:basedOn w:val="1"/>
    <w:qFormat/>
    <w:uiPriority w:val="0"/>
    <w:pPr>
      <w:ind w:firstLine="200" w:firstLineChars="200"/>
    </w:pPr>
    <w:rPr>
      <w:rFonts w:ascii="宋体"/>
      <w:kern w:val="0"/>
    </w:rPr>
  </w:style>
  <w:style w:type="paragraph" w:styleId="26">
    <w:name w:val="toc 2"/>
    <w:basedOn w:val="1"/>
    <w:next w:val="1"/>
    <w:qFormat/>
    <w:uiPriority w:val="0"/>
    <w:pPr>
      <w:ind w:left="200" w:leftChars="200"/>
    </w:p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rPr>
  </w:style>
  <w:style w:type="paragraph" w:styleId="28">
    <w:name w:val="Normal (Web)"/>
    <w:basedOn w:val="1"/>
    <w:qFormat/>
    <w:uiPriority w:val="99"/>
    <w:pPr>
      <w:widowControl/>
      <w:spacing w:before="100" w:beforeAutospacing="1" w:after="100" w:afterAutospacing="1"/>
      <w:jc w:val="left"/>
    </w:pPr>
    <w:rPr>
      <w:rFonts w:ascii="宋体"/>
      <w:color w:val="000000"/>
      <w:kern w:val="0"/>
      <w:sz w:val="24"/>
    </w:rPr>
  </w:style>
  <w:style w:type="paragraph" w:styleId="29">
    <w:name w:val="index 1"/>
    <w:basedOn w:val="1"/>
    <w:next w:val="1"/>
    <w:qFormat/>
    <w:uiPriority w:val="0"/>
    <w:rPr>
      <w:rFonts w:ascii="宋体"/>
      <w:kern w:val="0"/>
      <w:szCs w:val="18"/>
    </w:rPr>
  </w:style>
  <w:style w:type="paragraph" w:styleId="30">
    <w:name w:val="Title"/>
    <w:basedOn w:val="1"/>
    <w:qFormat/>
    <w:uiPriority w:val="10"/>
    <w:pPr>
      <w:spacing w:before="240" w:after="60"/>
      <w:jc w:val="center"/>
      <w:outlineLvl w:val="0"/>
    </w:pPr>
    <w:rPr>
      <w:rFonts w:ascii="Arial" w:hAnsi="Arial" w:cs="Arial"/>
      <w:b/>
      <w:bCs/>
      <w:sz w:val="32"/>
      <w:szCs w:val="32"/>
    </w:rPr>
  </w:style>
  <w:style w:type="paragraph" w:styleId="31">
    <w:name w:val="annotation subject"/>
    <w:basedOn w:val="14"/>
    <w:next w:val="14"/>
    <w:qFormat/>
    <w:uiPriority w:val="0"/>
    <w:rPr>
      <w:b/>
      <w:bCs/>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qFormat/>
    <w:uiPriority w:val="0"/>
    <w:rPr>
      <w:color w:val="CC0000"/>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4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3">
    <w:name w:val="_Style 39"/>
    <w:basedOn w:val="1"/>
    <w:qFormat/>
    <w:uiPriority w:val="0"/>
    <w:rPr>
      <w:b/>
      <w:bCs/>
      <w:sz w:val="36"/>
      <w:szCs w:val="32"/>
    </w:rPr>
  </w:style>
  <w:style w:type="paragraph" w:customStyle="1" w:styleId="44">
    <w:name w:val="样式1"/>
    <w:basedOn w:val="1"/>
    <w:qFormat/>
    <w:uiPriority w:val="0"/>
  </w:style>
  <w:style w:type="paragraph" w:customStyle="1" w:styleId="45">
    <w:name w:val="Char Char Char Char Char Char Char"/>
    <w:basedOn w:val="1"/>
    <w:qFormat/>
    <w:uiPriority w:val="0"/>
  </w:style>
  <w:style w:type="paragraph" w:customStyle="1" w:styleId="46">
    <w:name w:val="Char"/>
    <w:basedOn w:val="1"/>
    <w:qFormat/>
    <w:uiPriority w:val="0"/>
    <w:rPr>
      <w:rFonts w:ascii="Tahoma" w:hAnsi="Tahoma"/>
      <w:sz w:val="24"/>
      <w:szCs w:val="20"/>
    </w:rPr>
  </w:style>
  <w:style w:type="paragraph" w:customStyle="1" w:styleId="4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48">
    <w:name w:val="默认段落字体 Para Char Char Char Char Char Char Char Char Char Char"/>
    <w:basedOn w:val="1"/>
    <w:qFormat/>
    <w:uiPriority w:val="0"/>
    <w:rPr>
      <w:rFonts w:ascii="Tahoma" w:hAnsi="Tahoma"/>
      <w:sz w:val="24"/>
      <w:u w:val="single"/>
    </w:rPr>
  </w:style>
  <w:style w:type="paragraph" w:customStyle="1" w:styleId="49">
    <w:name w:val="Char Char18"/>
    <w:basedOn w:val="1"/>
    <w:qFormat/>
    <w:uiPriority w:val="0"/>
    <w:pPr>
      <w:widowControl/>
      <w:spacing w:after="160" w:line="240" w:lineRule="exact"/>
      <w:jc w:val="left"/>
    </w:pPr>
  </w:style>
  <w:style w:type="paragraph" w:customStyle="1" w:styleId="50">
    <w:name w:val="列出段落1"/>
    <w:basedOn w:val="1"/>
    <w:qFormat/>
    <w:uiPriority w:val="0"/>
    <w:pPr>
      <w:ind w:firstLine="200" w:firstLineChars="200"/>
    </w:pPr>
    <w:rPr>
      <w:rFonts w:ascii="Calibri" w:hAnsi="Calibri"/>
      <w:szCs w:val="22"/>
    </w:rPr>
  </w:style>
  <w:style w:type="paragraph" w:customStyle="1" w:styleId="51">
    <w:name w:val="Char Char Char Char Char Char Char1"/>
    <w:basedOn w:val="1"/>
    <w:qFormat/>
    <w:uiPriority w:val="0"/>
    <w:rPr>
      <w:szCs w:val="21"/>
    </w:rPr>
  </w:style>
  <w:style w:type="paragraph" w:customStyle="1" w:styleId="5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53">
    <w:name w:val="_Style 3"/>
    <w:basedOn w:val="1"/>
    <w:qFormat/>
    <w:uiPriority w:val="34"/>
    <w:pPr>
      <w:ind w:firstLine="420" w:firstLineChars="200"/>
    </w:pPr>
  </w:style>
  <w:style w:type="paragraph" w:customStyle="1" w:styleId="54">
    <w:name w:val="Char Char Char Char"/>
    <w:basedOn w:val="13"/>
    <w:qFormat/>
    <w:uiPriority w:val="0"/>
    <w:rPr>
      <w:rFonts w:ascii="Tahoma" w:hAnsi="Tahoma"/>
      <w:sz w:val="24"/>
    </w:rPr>
  </w:style>
  <w:style w:type="paragraph" w:customStyle="1" w:styleId="55">
    <w:name w:val="Char1"/>
    <w:basedOn w:val="1"/>
    <w:qFormat/>
    <w:uiPriority w:val="0"/>
    <w:pPr>
      <w:widowControl/>
      <w:spacing w:after="160" w:line="240" w:lineRule="exact"/>
      <w:jc w:val="left"/>
    </w:pPr>
    <w:rPr>
      <w:szCs w:val="20"/>
    </w:rPr>
  </w:style>
  <w:style w:type="paragraph" w:customStyle="1" w:styleId="56">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58">
    <w:name w:val="Char Char Char Char1"/>
    <w:basedOn w:val="13"/>
    <w:qFormat/>
    <w:uiPriority w:val="0"/>
    <w:rPr>
      <w:rFonts w:ascii="Tahoma" w:hAnsi="Tahoma"/>
      <w:sz w:val="24"/>
    </w:rPr>
  </w:style>
  <w:style w:type="paragraph" w:customStyle="1" w:styleId="59">
    <w:name w:val="默认段落字体 Para Char Char Char Char Char Char Char Char Char1 Char Char Char Char Char Char Char"/>
    <w:basedOn w:val="1"/>
    <w:qFormat/>
    <w:uiPriority w:val="0"/>
    <w:rPr>
      <w:b/>
      <w:bCs/>
      <w:sz w:val="36"/>
      <w:szCs w:val="32"/>
    </w:rPr>
  </w:style>
  <w:style w:type="paragraph" w:customStyle="1" w:styleId="60">
    <w:name w:val="样式 小四 段前: 5 磅 段后: 5 磅 首行缩进:  2 字符"/>
    <w:basedOn w:val="1"/>
    <w:qFormat/>
    <w:uiPriority w:val="0"/>
    <w:pPr>
      <w:spacing w:before="100" w:afterLines="50"/>
      <w:ind w:firstLine="200" w:firstLineChars="200"/>
    </w:pPr>
    <w:rPr>
      <w:b/>
      <w:color w:val="000000"/>
      <w:kern w:val="0"/>
      <w:sz w:val="32"/>
      <w:szCs w:val="32"/>
    </w:rPr>
  </w:style>
  <w:style w:type="paragraph" w:customStyle="1" w:styleId="61">
    <w:name w:val="Char Char181"/>
    <w:basedOn w:val="1"/>
    <w:qFormat/>
    <w:uiPriority w:val="0"/>
    <w:pPr>
      <w:widowControl/>
      <w:spacing w:after="160" w:line="240" w:lineRule="exact"/>
      <w:jc w:val="left"/>
    </w:pPr>
  </w:style>
  <w:style w:type="paragraph" w:customStyle="1" w:styleId="62">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63">
    <w:name w:val="chanpinfont"/>
    <w:basedOn w:val="34"/>
    <w:qFormat/>
    <w:uiPriority w:val="0"/>
  </w:style>
  <w:style w:type="character" w:customStyle="1" w:styleId="64">
    <w:name w:val="Plain Text Char"/>
    <w:link w:val="17"/>
    <w:qFormat/>
    <w:uiPriority w:val="99"/>
    <w:rPr>
      <w:rFonts w:ascii="宋体"/>
      <w:kern w:val="2"/>
      <w:sz w:val="21"/>
    </w:rPr>
  </w:style>
  <w:style w:type="character" w:customStyle="1" w:styleId="65">
    <w:name w:val="zhaiyao1"/>
    <w:qFormat/>
    <w:uiPriority w:val="0"/>
    <w:rPr>
      <w:color w:val="000000"/>
      <w:sz w:val="18"/>
      <w:szCs w:val="18"/>
    </w:rPr>
  </w:style>
  <w:style w:type="character" w:customStyle="1" w:styleId="66">
    <w:name w:val="style51"/>
    <w:qFormat/>
    <w:uiPriority w:val="0"/>
    <w:rPr>
      <w:sz w:val="18"/>
      <w:szCs w:val="18"/>
    </w:rPr>
  </w:style>
  <w:style w:type="character" w:customStyle="1" w:styleId="67">
    <w:name w:val="pt91"/>
    <w:qFormat/>
    <w:uiPriority w:val="0"/>
    <w:rPr>
      <w:rFonts w:ascii="Arial" w:hAnsi="Arial" w:cs="Arial"/>
      <w:color w:val="333333"/>
      <w:sz w:val="18"/>
      <w:szCs w:val="18"/>
      <w:u w:val="none"/>
      <w:lang w:bidi="ar-SA"/>
    </w:rPr>
  </w:style>
  <w:style w:type="character" w:customStyle="1" w:styleId="68">
    <w:name w:val="普通文字 Char Char2"/>
    <w:qFormat/>
    <w:uiPriority w:val="0"/>
    <w:rPr>
      <w:rFonts w:ascii="宋体"/>
      <w:kern w:val="2"/>
      <w:sz w:val="21"/>
    </w:rPr>
  </w:style>
  <w:style w:type="character" w:customStyle="1" w:styleId="69">
    <w:name w:val="text11"/>
    <w:qFormat/>
    <w:uiPriority w:val="0"/>
    <w:rPr>
      <w:rFonts w:ascii="Verdana" w:hAnsi="Verdana"/>
      <w:color w:val="4E4E4E"/>
      <w:sz w:val="18"/>
      <w:szCs w:val="18"/>
    </w:rPr>
  </w:style>
  <w:style w:type="character" w:customStyle="1" w:styleId="70">
    <w:name w:val="line"/>
    <w:basedOn w:val="34"/>
    <w:qFormat/>
    <w:uiPriority w:val="0"/>
  </w:style>
  <w:style w:type="character" w:customStyle="1" w:styleId="71">
    <w:name w:val="Body Text Indent 2 Char"/>
    <w:link w:val="19"/>
    <w:qFormat/>
    <w:uiPriority w:val="0"/>
    <w:rPr>
      <w:rFonts w:eastAsia="宋体"/>
      <w:kern w:val="2"/>
      <w:sz w:val="21"/>
      <w:szCs w:val="24"/>
    </w:rPr>
  </w:style>
  <w:style w:type="character" w:customStyle="1" w:styleId="72">
    <w:name w:val="Normal Indent Char"/>
    <w:link w:val="5"/>
    <w:qFormat/>
    <w:uiPriority w:val="0"/>
    <w:rPr>
      <w:rFonts w:eastAsia="宋体"/>
      <w:kern w:val="2"/>
      <w:sz w:val="21"/>
      <w:lang w:val="en-US" w:eastAsia="zh-CN" w:bidi="ar-SA"/>
    </w:rPr>
  </w:style>
  <w:style w:type="character" w:customStyle="1" w:styleId="73">
    <w:name w:val="普通文字 Char Char1"/>
    <w:qFormat/>
    <w:uiPriority w:val="0"/>
    <w:rPr>
      <w:rFonts w:ascii="宋体" w:eastAsia="宋体"/>
      <w:kern w:val="2"/>
      <w:sz w:val="24"/>
      <w:lang w:val="en-US" w:eastAsia="zh-CN" w:bidi="ar-SA"/>
    </w:rPr>
  </w:style>
  <w:style w:type="paragraph" w:customStyle="1" w:styleId="74">
    <w:name w:val="p0"/>
    <w:basedOn w:val="1"/>
    <w:qFormat/>
    <w:uiPriority w:val="0"/>
    <w:pPr>
      <w:widowControl/>
    </w:pPr>
    <w:rPr>
      <w:kern w:val="0"/>
      <w:szCs w:val="21"/>
    </w:rPr>
  </w:style>
  <w:style w:type="character" w:customStyle="1" w:styleId="75">
    <w:name w:val="Header Char"/>
    <w:basedOn w:val="34"/>
    <w:link w:val="22"/>
    <w:qFormat/>
    <w:uiPriority w:val="99"/>
    <w:rPr>
      <w:rFonts w:ascii="宋体"/>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1FE2C-4BA1-4F9A-908B-9C7A6C85CE4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4708</Words>
  <Characters>26840</Characters>
  <Lines>223</Lines>
  <Paragraphs>62</Paragraphs>
  <TotalTime>16</TotalTime>
  <ScaleCrop>false</ScaleCrop>
  <LinksUpToDate>false</LinksUpToDate>
  <CharactersWithSpaces>31486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2017-07-05T08:30:00Z</dcterms:created>
  <dc:creator>huang</dc:creator>
  <cp:lastModifiedBy>Administrator</cp:lastModifiedBy>
  <cp:lastPrinted>2018-12-24T02:10:00Z</cp:lastPrinted>
  <dcterms:modified xsi:type="dcterms:W3CDTF">2020-12-07T10:06:29Z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