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12" w:lineRule="auto"/>
        <w:ind w:left="0"/>
        <w:rPr>
          <w:rFonts w:asciiTheme="minorEastAsia" w:hAnsiTheme="minorEastAsia" w:eastAsiaTheme="minorEastAsia" w:cstheme="minorEastAsia"/>
          <w:sz w:val="20"/>
        </w:rPr>
      </w:pPr>
    </w:p>
    <w:p>
      <w:pPr>
        <w:pStyle w:val="2"/>
        <w:spacing w:line="312" w:lineRule="auto"/>
        <w:ind w:left="0"/>
        <w:rPr>
          <w:rFonts w:asciiTheme="minorEastAsia" w:hAnsiTheme="minorEastAsia" w:eastAsiaTheme="minorEastAsia" w:cstheme="minorEastAsia"/>
          <w:sz w:val="20"/>
        </w:rPr>
      </w:pPr>
    </w:p>
    <w:p>
      <w:pPr>
        <w:pStyle w:val="2"/>
        <w:spacing w:line="312" w:lineRule="auto"/>
        <w:ind w:left="0"/>
        <w:rPr>
          <w:rFonts w:asciiTheme="minorEastAsia" w:hAnsiTheme="minorEastAsia" w:eastAsiaTheme="minorEastAsia" w:cstheme="minorEastAsia"/>
          <w:sz w:val="20"/>
        </w:rPr>
      </w:pPr>
    </w:p>
    <w:p>
      <w:pPr>
        <w:pStyle w:val="2"/>
        <w:spacing w:line="312" w:lineRule="auto"/>
        <w:ind w:left="0"/>
        <w:rPr>
          <w:rFonts w:asciiTheme="minorEastAsia" w:hAnsiTheme="minorEastAsia" w:eastAsiaTheme="minorEastAsia" w:cstheme="minorEastAsia"/>
          <w:sz w:val="20"/>
        </w:rPr>
      </w:pPr>
    </w:p>
    <w:p>
      <w:pPr>
        <w:pStyle w:val="2"/>
        <w:spacing w:before="6" w:line="312" w:lineRule="auto"/>
        <w:ind w:left="0"/>
        <w:rPr>
          <w:rFonts w:asciiTheme="minorEastAsia" w:hAnsiTheme="minorEastAsia" w:eastAsiaTheme="minorEastAsia" w:cstheme="minorEastAsia"/>
          <w:sz w:val="26"/>
        </w:rPr>
      </w:pPr>
    </w:p>
    <w:p>
      <w:pPr>
        <w:pStyle w:val="2"/>
        <w:spacing w:line="312" w:lineRule="auto"/>
        <w:ind w:left="0"/>
        <w:jc w:val="center"/>
        <w:rPr>
          <w:rFonts w:asciiTheme="minorEastAsia" w:hAnsiTheme="minorEastAsia" w:eastAsiaTheme="minorEastAsia" w:cstheme="minorEastAsia"/>
          <w:b/>
          <w:sz w:val="82"/>
        </w:rPr>
      </w:pPr>
      <w:r>
        <w:rPr>
          <w:rFonts w:hint="eastAsia" w:asciiTheme="minorEastAsia" w:hAnsiTheme="minorEastAsia" w:eastAsiaTheme="minorEastAsia" w:cstheme="minorEastAsia"/>
          <w:b/>
          <w:w w:val="90"/>
          <w:sz w:val="52"/>
          <w:szCs w:val="22"/>
        </w:rPr>
        <w:t>柯城区“耕地智保”高位视频监控服务项目</w:t>
      </w:r>
    </w:p>
    <w:p>
      <w:pPr>
        <w:pStyle w:val="2"/>
        <w:spacing w:before="3" w:line="312" w:lineRule="auto"/>
        <w:ind w:left="0"/>
        <w:rPr>
          <w:rFonts w:asciiTheme="minorEastAsia" w:hAnsiTheme="minorEastAsia" w:eastAsiaTheme="minorEastAsia" w:cstheme="minorEastAsia"/>
          <w:b/>
          <w:sz w:val="82"/>
        </w:rPr>
      </w:pPr>
    </w:p>
    <w:p>
      <w:pPr>
        <w:spacing w:line="312" w:lineRule="auto"/>
        <w:ind w:right="541"/>
        <w:jc w:val="center"/>
        <w:rPr>
          <w:rFonts w:asciiTheme="minorEastAsia" w:hAnsiTheme="minorEastAsia" w:eastAsiaTheme="minorEastAsia" w:cstheme="minorEastAsia"/>
          <w:b/>
          <w:sz w:val="56"/>
        </w:rPr>
      </w:pPr>
      <w:r>
        <w:rPr>
          <w:rFonts w:hint="eastAsia" w:asciiTheme="minorEastAsia" w:hAnsiTheme="minorEastAsia" w:eastAsiaTheme="minorEastAsia" w:cstheme="minorEastAsia"/>
          <w:b/>
          <w:sz w:val="56"/>
        </w:rPr>
        <w:t>单一来源采购文件</w:t>
      </w:r>
    </w:p>
    <w:p>
      <w:pPr>
        <w:spacing w:before="371" w:line="312" w:lineRule="auto"/>
        <w:ind w:right="536"/>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（线上电子招投标）</w:t>
      </w:r>
    </w:p>
    <w:p>
      <w:pPr>
        <w:pStyle w:val="2"/>
        <w:spacing w:line="312" w:lineRule="auto"/>
        <w:ind w:left="0"/>
        <w:rPr>
          <w:rFonts w:asciiTheme="minorEastAsia" w:hAnsiTheme="minorEastAsia" w:eastAsiaTheme="minorEastAsia" w:cstheme="minorEastAsia"/>
          <w:b/>
          <w:sz w:val="36"/>
        </w:rPr>
      </w:pPr>
    </w:p>
    <w:p>
      <w:pPr>
        <w:pStyle w:val="2"/>
        <w:spacing w:line="312" w:lineRule="auto"/>
        <w:ind w:left="0"/>
        <w:rPr>
          <w:rFonts w:asciiTheme="minorEastAsia" w:hAnsiTheme="minorEastAsia" w:eastAsiaTheme="minorEastAsia" w:cstheme="minorEastAsia"/>
          <w:b/>
          <w:sz w:val="36"/>
        </w:rPr>
      </w:pPr>
    </w:p>
    <w:p>
      <w:pPr>
        <w:pStyle w:val="4"/>
        <w:tabs>
          <w:tab w:val="left" w:pos="878"/>
        </w:tabs>
        <w:spacing w:line="360" w:lineRule="auto"/>
        <w:ind w:right="839"/>
        <w:jc w:val="left"/>
        <w:rPr>
          <w:rFonts w:asciiTheme="minorEastAsia" w:hAnsiTheme="minorEastAsia" w:eastAsiaTheme="minorEastAsia" w:cstheme="minorEastAsia"/>
        </w:rPr>
      </w:pPr>
      <w:bookmarkStart w:id="0" w:name="_Toc1785"/>
      <w:bookmarkStart w:id="1" w:name="_Toc11773"/>
    </w:p>
    <w:p>
      <w:pPr>
        <w:pStyle w:val="4"/>
        <w:tabs>
          <w:tab w:val="left" w:pos="878"/>
        </w:tabs>
        <w:spacing w:line="360" w:lineRule="auto"/>
        <w:ind w:left="3201" w:leftChars="725" w:right="839" w:hanging="1606" w:hangingChars="500"/>
        <w:jc w:val="left"/>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bookmarkEnd w:id="0"/>
      <w:bookmarkEnd w:id="1"/>
      <w:bookmarkStart w:id="2" w:name="_Toc194"/>
      <w:bookmarkStart w:id="3" w:name="_Toc6235"/>
      <w:r>
        <w:rPr>
          <w:rFonts w:hint="eastAsia" w:asciiTheme="minorEastAsia" w:hAnsiTheme="minorEastAsia" w:eastAsiaTheme="minorEastAsia" w:cstheme="minorEastAsia"/>
        </w:rPr>
        <w:t>柯城区“耕地智保”高位视频监控服务项目</w:t>
      </w:r>
    </w:p>
    <w:p>
      <w:pPr>
        <w:pStyle w:val="4"/>
        <w:tabs>
          <w:tab w:val="left" w:pos="878"/>
        </w:tabs>
        <w:spacing w:line="360" w:lineRule="auto"/>
        <w:ind w:right="839" w:firstLine="1606" w:firstLineChars="500"/>
        <w:jc w:val="left"/>
        <w:rPr>
          <w:rFonts w:asciiTheme="minorEastAsia" w:hAnsiTheme="minorEastAsia" w:eastAsiaTheme="minorEastAsia" w:cstheme="minorEastAsia"/>
          <w:lang w:val="en-US"/>
        </w:rPr>
      </w:pPr>
      <w:r>
        <w:rPr>
          <w:rFonts w:hint="eastAsia" w:asciiTheme="minorEastAsia" w:hAnsiTheme="minorEastAsia" w:eastAsiaTheme="minorEastAsia" w:cstheme="minorEastAsia"/>
        </w:rPr>
        <w:t>项目编号：</w:t>
      </w:r>
      <w:bookmarkEnd w:id="2"/>
      <w:bookmarkEnd w:id="3"/>
      <w:r>
        <w:rPr>
          <w:rFonts w:hint="eastAsia" w:asciiTheme="minorEastAsia" w:hAnsiTheme="minorEastAsia" w:eastAsiaTheme="minorEastAsia" w:cstheme="minorEastAsia"/>
        </w:rPr>
        <w:t>ZJCT-Z20220081</w:t>
      </w:r>
    </w:p>
    <w:p>
      <w:pPr>
        <w:pStyle w:val="4"/>
        <w:tabs>
          <w:tab w:val="left" w:pos="878"/>
        </w:tabs>
        <w:spacing w:line="360" w:lineRule="auto"/>
        <w:ind w:right="839" w:firstLine="1606" w:firstLineChars="500"/>
        <w:jc w:val="left"/>
        <w:rPr>
          <w:rFonts w:asciiTheme="minorEastAsia" w:hAnsiTheme="minorEastAsia" w:eastAsiaTheme="minorEastAsia" w:cstheme="minorEastAsia"/>
        </w:rPr>
      </w:pPr>
      <w:bookmarkStart w:id="4" w:name="_Toc16948"/>
      <w:bookmarkStart w:id="5" w:name="_Toc24724"/>
      <w:r>
        <w:rPr>
          <w:rFonts w:hint="eastAsia" w:asciiTheme="minorEastAsia" w:hAnsiTheme="minorEastAsia" w:eastAsiaTheme="minorEastAsia" w:cstheme="minorEastAsia"/>
        </w:rPr>
        <w:t>采购人：</w:t>
      </w:r>
      <w:bookmarkEnd w:id="4"/>
      <w:bookmarkEnd w:id="5"/>
      <w:r>
        <w:rPr>
          <w:rFonts w:hint="eastAsia" w:asciiTheme="minorEastAsia" w:hAnsiTheme="minorEastAsia" w:eastAsiaTheme="minorEastAsia" w:cstheme="minorEastAsia"/>
        </w:rPr>
        <w:t>衢州市自然资源和规划局柯城分局</w:t>
      </w:r>
    </w:p>
    <w:p>
      <w:pPr>
        <w:pStyle w:val="4"/>
        <w:tabs>
          <w:tab w:val="left" w:pos="878"/>
        </w:tabs>
        <w:spacing w:line="360" w:lineRule="auto"/>
        <w:ind w:right="839" w:firstLine="1606" w:firstLineChars="500"/>
        <w:jc w:val="left"/>
        <w:rPr>
          <w:rFonts w:asciiTheme="minorEastAsia" w:hAnsiTheme="minorEastAsia" w:eastAsiaTheme="minorEastAsia" w:cstheme="minorEastAsia"/>
        </w:rPr>
      </w:pPr>
      <w:bookmarkStart w:id="6" w:name="_Toc9292"/>
      <w:bookmarkStart w:id="7" w:name="_Toc29504"/>
      <w:r>
        <w:rPr>
          <w:rFonts w:hint="eastAsia" w:asciiTheme="minorEastAsia" w:hAnsiTheme="minorEastAsia" w:eastAsiaTheme="minorEastAsia" w:cstheme="minorEastAsia"/>
        </w:rPr>
        <w:t>采购代理机构：浙江省成套工程有限公司</w:t>
      </w:r>
      <w:bookmarkEnd w:id="6"/>
      <w:bookmarkEnd w:id="7"/>
    </w:p>
    <w:p>
      <w:pPr>
        <w:pStyle w:val="4"/>
        <w:spacing w:line="312" w:lineRule="auto"/>
        <w:ind w:left="3516"/>
        <w:jc w:val="left"/>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0"/>
      </w:pPr>
    </w:p>
    <w:p>
      <w:pPr>
        <w:pStyle w:val="4"/>
        <w:spacing w:line="312" w:lineRule="auto"/>
        <w:ind w:left="3516"/>
        <w:jc w:val="left"/>
        <w:rPr>
          <w:rFonts w:asciiTheme="minorEastAsia" w:hAnsiTheme="minorEastAsia" w:eastAsiaTheme="minorEastAsia" w:cstheme="minorEastAsia"/>
        </w:rPr>
        <w:sectPr>
          <w:footerReference r:id="rId3" w:type="default"/>
          <w:type w:val="continuous"/>
          <w:pgSz w:w="11910" w:h="16840"/>
          <w:pgMar w:top="1417" w:right="1247" w:bottom="1417" w:left="1247" w:header="720" w:footer="1146" w:gutter="0"/>
          <w:pgNumType w:start="1"/>
          <w:cols w:space="720" w:num="1"/>
        </w:sectPr>
      </w:pPr>
      <w:bookmarkStart w:id="8" w:name="_Toc6116"/>
      <w:bookmarkStart w:id="9" w:name="_Toc20397"/>
      <w:r>
        <w:rPr>
          <w:rFonts w:hint="eastAsia" w:asciiTheme="minorEastAsia" w:hAnsiTheme="minorEastAsia" w:eastAsiaTheme="minorEastAsia" w:cstheme="minorEastAsia"/>
        </w:rPr>
        <w:t>2022</w:t>
      </w:r>
      <w:r>
        <w:rPr>
          <w:rFonts w:hint="eastAsia" w:asciiTheme="minorEastAsia" w:hAnsiTheme="minorEastAsia" w:eastAsiaTheme="minorEastAsia" w:cstheme="minorEastAsia"/>
          <w:spacing w:val="-54"/>
        </w:rPr>
        <w:t xml:space="preserve">年 </w:t>
      </w:r>
      <w:r>
        <w:rPr>
          <w:rFonts w:hint="eastAsia" w:asciiTheme="minorEastAsia" w:hAnsiTheme="minorEastAsia" w:eastAsiaTheme="minorEastAsia" w:cstheme="minorEastAsia"/>
          <w:spacing w:val="-54"/>
          <w:lang w:val="en-US"/>
        </w:rPr>
        <w:t>7</w:t>
      </w:r>
      <w:r>
        <w:rPr>
          <w:rFonts w:hint="eastAsia" w:asciiTheme="minorEastAsia" w:hAnsiTheme="minorEastAsia" w:eastAsiaTheme="minorEastAsia" w:cstheme="minorEastAsia"/>
          <w:spacing w:val="-41"/>
        </w:rPr>
        <w:t>月</w:t>
      </w:r>
      <w:bookmarkEnd w:id="8"/>
      <w:bookmarkEnd w:id="9"/>
    </w:p>
    <w:sdt>
      <w:sdtPr>
        <w:rPr>
          <w:sz w:val="21"/>
        </w:rPr>
        <w:id w:val="147461018"/>
        <w:docPartObj>
          <w:docPartGallery w:val="Table of Contents"/>
          <w:docPartUnique/>
        </w:docPartObj>
      </w:sdtPr>
      <w:sdtEndPr>
        <w:rPr>
          <w:rFonts w:asciiTheme="minorEastAsia" w:hAnsiTheme="minorEastAsia" w:eastAsiaTheme="minorEastAsia" w:cstheme="minorEastAsia"/>
          <w:sz w:val="22"/>
          <w:szCs w:val="21"/>
        </w:rPr>
      </w:sdtEndPr>
      <w:sdtContent>
        <w:p>
          <w:pPr>
            <w:spacing w:line="480" w:lineRule="auto"/>
            <w:jc w:val="center"/>
            <w:rPr>
              <w:sz w:val="21"/>
            </w:rPr>
          </w:pPr>
        </w:p>
        <w:p>
          <w:pPr>
            <w:spacing w:after="240" w:afterLines="100" w:line="480" w:lineRule="auto"/>
            <w:jc w:val="center"/>
            <w:rPr>
              <w:b/>
              <w:bCs/>
              <w:sz w:val="36"/>
              <w:szCs w:val="36"/>
            </w:rPr>
          </w:pPr>
          <w:r>
            <w:rPr>
              <w:rFonts w:hint="eastAsia"/>
              <w:b/>
              <w:bCs/>
              <w:sz w:val="36"/>
              <w:szCs w:val="36"/>
            </w:rPr>
            <w:t>目录</w:t>
          </w:r>
        </w:p>
        <w:p>
          <w:pPr>
            <w:pStyle w:val="33"/>
            <w:tabs>
              <w:tab w:val="right" w:leader="dot" w:pos="8310"/>
            </w:tabs>
            <w:spacing w:line="48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fldChar w:fldCharType="begin"/>
          </w:r>
          <w:r>
            <w:instrText xml:space="preserve"> HYPERLINK \l "_Toc27125" </w:instrText>
          </w:r>
          <w:r>
            <w:fldChar w:fldCharType="separate"/>
          </w:r>
          <w:r>
            <w:rPr>
              <w:rFonts w:hint="eastAsia" w:ascii="宋体" w:hAnsi="宋体" w:cs="宋体"/>
              <w:sz w:val="24"/>
              <w:szCs w:val="24"/>
            </w:rPr>
            <w:t>第一章 单一来源采购邀请书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_Toc27125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8310"/>
            </w:tabs>
            <w:spacing w:line="480" w:lineRule="auto"/>
            <w:rPr>
              <w:rFonts w:ascii="宋体" w:hAnsi="宋体" w:cs="宋体"/>
              <w:sz w:val="24"/>
              <w:szCs w:val="24"/>
            </w:rPr>
          </w:pPr>
          <w:r>
            <w:fldChar w:fldCharType="begin"/>
          </w:r>
          <w:r>
            <w:instrText xml:space="preserve"> HYPERLINK \l "_Toc30924" </w:instrText>
          </w:r>
          <w:r>
            <w:fldChar w:fldCharType="separate"/>
          </w:r>
          <w:r>
            <w:rPr>
              <w:rFonts w:hint="eastAsia" w:ascii="宋体" w:hAnsi="宋体" w:cs="宋体"/>
              <w:sz w:val="24"/>
              <w:szCs w:val="24"/>
            </w:rPr>
            <w:t>第二章 采购要求及内容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_Toc30924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8310"/>
            </w:tabs>
            <w:spacing w:line="480" w:lineRule="auto"/>
            <w:rPr>
              <w:rFonts w:ascii="宋体" w:hAnsi="宋体" w:cs="宋体"/>
              <w:sz w:val="24"/>
              <w:szCs w:val="24"/>
            </w:rPr>
          </w:pPr>
          <w:r>
            <w:fldChar w:fldCharType="begin"/>
          </w:r>
          <w:r>
            <w:instrText xml:space="preserve"> HYPERLINK \l "_Toc11720" </w:instrText>
          </w:r>
          <w:r>
            <w:fldChar w:fldCharType="separate"/>
          </w:r>
          <w:r>
            <w:rPr>
              <w:rFonts w:hint="eastAsia" w:ascii="宋体" w:hAnsi="宋体" w:cs="宋体"/>
              <w:sz w:val="24"/>
              <w:szCs w:val="24"/>
            </w:rPr>
            <w:t>第三章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_Toc11720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8310"/>
            </w:tabs>
            <w:spacing w:line="480" w:lineRule="auto"/>
            <w:rPr>
              <w:rFonts w:ascii="宋体" w:hAnsi="宋体" w:cs="宋体"/>
              <w:sz w:val="24"/>
              <w:szCs w:val="24"/>
            </w:rPr>
          </w:pPr>
          <w:r>
            <w:fldChar w:fldCharType="begin"/>
          </w:r>
          <w:r>
            <w:instrText xml:space="preserve"> HYPERLINK \l "_Toc24575" </w:instrText>
          </w:r>
          <w:r>
            <w:fldChar w:fldCharType="separate"/>
          </w:r>
          <w:r>
            <w:rPr>
              <w:rFonts w:hint="eastAsia" w:ascii="宋体" w:hAnsi="宋体" w:cs="宋体"/>
              <w:sz w:val="24"/>
              <w:szCs w:val="24"/>
            </w:rPr>
            <w:t>第四章 采购合同的主要条款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_Toc24575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8310"/>
            </w:tabs>
            <w:spacing w:line="480" w:lineRule="auto"/>
            <w:rPr>
              <w:rFonts w:ascii="宋体" w:hAnsi="宋体" w:cs="宋体"/>
              <w:sz w:val="24"/>
              <w:szCs w:val="24"/>
            </w:rPr>
          </w:pPr>
          <w:r>
            <w:fldChar w:fldCharType="begin"/>
          </w:r>
          <w:r>
            <w:instrText xml:space="preserve"> HYPERLINK \l "_Toc13513" </w:instrText>
          </w:r>
          <w:r>
            <w:fldChar w:fldCharType="separate"/>
          </w:r>
          <w:r>
            <w:rPr>
              <w:rFonts w:hint="eastAsia" w:ascii="宋体" w:hAnsi="宋体" w:cs="宋体"/>
              <w:sz w:val="24"/>
              <w:szCs w:val="24"/>
            </w:rPr>
            <w:t>第五章 采购响应文件格式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_Toc13513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pPr>
            <w:pStyle w:val="33"/>
            <w:tabs>
              <w:tab w:val="right" w:leader="dot" w:pos="8310"/>
            </w:tabs>
            <w:spacing w:line="480" w:lineRule="auto"/>
            <w:rPr>
              <w:rFonts w:ascii="宋体" w:hAnsi="宋体" w:cs="宋体"/>
              <w:sz w:val="24"/>
              <w:szCs w:val="24"/>
            </w:rPr>
          </w:pPr>
        </w:p>
        <w:p>
          <w:pPr>
            <w:spacing w:line="480" w:lineRule="auto"/>
            <w:rPr>
              <w:rFonts w:asciiTheme="minorEastAsia" w:hAnsiTheme="minorEastAsia" w:eastAsiaTheme="minorEastAsia" w:cstheme="minorEastAsia"/>
              <w:szCs w:val="21"/>
            </w:rPr>
          </w:pPr>
          <w:r>
            <w:rPr>
              <w:rFonts w:hint="eastAsia"/>
              <w:sz w:val="24"/>
              <w:szCs w:val="24"/>
            </w:rPr>
            <w:fldChar w:fldCharType="end"/>
          </w:r>
        </w:p>
      </w:sdtContent>
    </w:sdt>
    <w:p/>
    <w:p/>
    <w:p/>
    <w:p/>
    <w:p/>
    <w:p/>
    <w:p/>
    <w:p/>
    <w:p/>
    <w:p/>
    <w:p/>
    <w:p/>
    <w:p/>
    <w:p/>
    <w:p/>
    <w:p/>
    <w:p>
      <w:pPr>
        <w:tabs>
          <w:tab w:val="left" w:pos="3203"/>
        </w:tabs>
        <w:sectPr>
          <w:pgSz w:w="11910" w:h="16840"/>
          <w:pgMar w:top="1417" w:right="1247" w:bottom="1417" w:left="1247" w:header="0" w:footer="1146" w:gutter="0"/>
          <w:cols w:space="720" w:num="1"/>
        </w:sectPr>
      </w:pPr>
      <w:r>
        <w:rPr>
          <w:rFonts w:hint="eastAsia"/>
        </w:rPr>
        <w:tab/>
      </w:r>
    </w:p>
    <w:p>
      <w:pPr>
        <w:pStyle w:val="3"/>
        <w:spacing w:line="312" w:lineRule="auto"/>
        <w:rPr>
          <w:rFonts w:asciiTheme="minorEastAsia" w:hAnsiTheme="minorEastAsia" w:eastAsiaTheme="minorEastAsia" w:cstheme="minorEastAsia"/>
          <w:sz w:val="28"/>
          <w:szCs w:val="28"/>
        </w:rPr>
      </w:pPr>
      <w:bookmarkStart w:id="10" w:name="_Toc18874"/>
      <w:bookmarkStart w:id="11" w:name="_Toc27125"/>
      <w:r>
        <w:rPr>
          <w:rFonts w:hint="eastAsia" w:asciiTheme="minorEastAsia" w:hAnsiTheme="minorEastAsia" w:eastAsiaTheme="minorEastAsia" w:cstheme="minorEastAsia"/>
          <w:sz w:val="28"/>
          <w:szCs w:val="28"/>
        </w:rPr>
        <w:t>第一章 单一来源采购邀请书</w:t>
      </w:r>
      <w:bookmarkEnd w:id="10"/>
      <w:bookmarkEnd w:id="11"/>
    </w:p>
    <w:p>
      <w:pPr>
        <w:pStyle w:val="2"/>
        <w:spacing w:before="2" w:line="312" w:lineRule="auto"/>
        <w:ind w:left="0"/>
        <w:rPr>
          <w:rFonts w:asciiTheme="minorEastAsia" w:hAnsiTheme="minorEastAsia" w:eastAsiaTheme="minorEastAsia" w:cstheme="minorEastAsia"/>
          <w:b/>
          <w:sz w:val="21"/>
          <w:szCs w:val="21"/>
        </w:rPr>
      </w:pPr>
    </w:p>
    <w:p>
      <w:pPr>
        <w:pStyle w:val="9"/>
        <w:spacing w:after="240" w:afterLines="100" w:line="360" w:lineRule="auto"/>
        <w:ind w:left="0"/>
      </w:pPr>
      <w:r>
        <w:rPr>
          <w:rFonts w:hint="eastAsia"/>
        </w:rPr>
        <w:t>致：</w:t>
      </w:r>
      <w:r>
        <w:rPr>
          <w:rFonts w:hint="eastAsia"/>
          <w:lang w:val="en-US"/>
        </w:rPr>
        <w:t>中国铁塔股份有限公司衢州市分公司</w:t>
      </w:r>
    </w:p>
    <w:p>
      <w:pPr>
        <w:pStyle w:val="2"/>
        <w:spacing w:line="360" w:lineRule="auto"/>
        <w:ind w:left="0" w:firstLine="476" w:firstLineChars="200"/>
        <w:jc w:val="both"/>
        <w:rPr>
          <w:spacing w:val="-1"/>
        </w:rPr>
      </w:pPr>
      <w:r>
        <w:rPr>
          <w:rFonts w:hint="eastAsia"/>
          <w:spacing w:val="-1"/>
        </w:rPr>
        <w:t>柯城区“耕地智保”高位视频监控服务项目采用单一来源采购方式。浙江省成套工程有限公司受衢州市自然资源和规划局柯城分局委托，就本项目进行采购，欢迎贵单位参加本项目谈判。</w:t>
      </w:r>
    </w:p>
    <w:p>
      <w:pPr>
        <w:pStyle w:val="2"/>
        <w:spacing w:line="360" w:lineRule="auto"/>
        <w:ind w:left="0" w:firstLine="476" w:firstLineChars="200"/>
        <w:jc w:val="both"/>
        <w:rPr>
          <w:spacing w:val="-1"/>
          <w:lang w:val="en-US"/>
        </w:rPr>
      </w:pPr>
      <w:r>
        <w:rPr>
          <w:rFonts w:hint="eastAsia"/>
          <w:spacing w:val="-1"/>
        </w:rPr>
        <w:t>1、采购编号：ZJCT-Z20220081</w:t>
      </w:r>
    </w:p>
    <w:p>
      <w:pPr>
        <w:pStyle w:val="2"/>
        <w:spacing w:line="360" w:lineRule="auto"/>
        <w:ind w:left="0" w:firstLine="476" w:firstLineChars="200"/>
        <w:jc w:val="both"/>
        <w:rPr>
          <w:spacing w:val="-1"/>
        </w:rPr>
      </w:pPr>
      <w:r>
        <w:rPr>
          <w:rFonts w:hint="eastAsia"/>
          <w:spacing w:val="-1"/>
        </w:rPr>
        <w:t>2、项目名称：柯城区“耕地智保”高位视频监控服务项目</w:t>
      </w:r>
    </w:p>
    <w:p>
      <w:pPr>
        <w:pStyle w:val="2"/>
        <w:spacing w:line="360" w:lineRule="auto"/>
        <w:ind w:left="0" w:firstLine="476" w:firstLineChars="200"/>
        <w:jc w:val="both"/>
        <w:rPr>
          <w:spacing w:val="-1"/>
        </w:rPr>
      </w:pPr>
      <w:r>
        <w:rPr>
          <w:rFonts w:hint="eastAsia"/>
          <w:spacing w:val="-1"/>
        </w:rPr>
        <w:t>3、采购内容：</w:t>
      </w:r>
    </w:p>
    <w:p>
      <w:pPr>
        <w:pStyle w:val="2"/>
        <w:spacing w:line="360" w:lineRule="auto"/>
        <w:ind w:left="0" w:firstLine="476" w:firstLineChars="200"/>
        <w:jc w:val="both"/>
        <w:rPr>
          <w:spacing w:val="-1"/>
        </w:rPr>
      </w:pPr>
      <w:r>
        <w:rPr>
          <w:rFonts w:hint="eastAsia"/>
          <w:spacing w:val="-1"/>
        </w:rPr>
        <w:t>详见采购文件第二章 “采购要求及内容”。</w:t>
      </w:r>
    </w:p>
    <w:p>
      <w:pPr>
        <w:pStyle w:val="2"/>
        <w:spacing w:line="360" w:lineRule="auto"/>
        <w:ind w:left="0" w:firstLine="476" w:firstLineChars="200"/>
        <w:jc w:val="both"/>
        <w:rPr>
          <w:spacing w:val="-1"/>
        </w:rPr>
      </w:pPr>
      <w:r>
        <w:rPr>
          <w:rFonts w:hint="eastAsia"/>
          <w:spacing w:val="-1"/>
        </w:rPr>
        <w:t>4、合格的供应商应具备的资格要求：</w:t>
      </w:r>
    </w:p>
    <w:p>
      <w:pPr>
        <w:pStyle w:val="2"/>
        <w:spacing w:line="360" w:lineRule="auto"/>
        <w:ind w:left="0" w:firstLine="476" w:firstLineChars="200"/>
        <w:jc w:val="both"/>
        <w:rPr>
          <w:spacing w:val="-1"/>
        </w:rPr>
      </w:pPr>
      <w:r>
        <w:rPr>
          <w:rFonts w:hint="eastAsia"/>
          <w:spacing w:val="-1"/>
          <w:lang w:val="en-US"/>
        </w:rPr>
        <w:t>4.1</w:t>
      </w:r>
      <w:r>
        <w:rPr>
          <w:rFonts w:hint="eastAsia"/>
          <w:spacing w:val="-1"/>
        </w:rPr>
        <w:t>满足《中华人民共和国政府采购法》第二十二条规定；</w:t>
      </w:r>
    </w:p>
    <w:p>
      <w:pPr>
        <w:pStyle w:val="2"/>
        <w:spacing w:line="360" w:lineRule="auto"/>
        <w:ind w:left="0" w:firstLine="476" w:firstLineChars="200"/>
        <w:jc w:val="both"/>
        <w:rPr>
          <w:spacing w:val="-1"/>
        </w:rPr>
      </w:pPr>
      <w:r>
        <w:rPr>
          <w:rFonts w:hint="eastAsia"/>
          <w:spacing w:val="-1"/>
          <w:lang w:val="en-US"/>
        </w:rPr>
        <w:t>4.2</w:t>
      </w:r>
      <w:r>
        <w:rPr>
          <w:rFonts w:hint="eastAsia"/>
          <w:spacing w:val="-1"/>
        </w:rPr>
        <w:t>其他条件：</w:t>
      </w:r>
    </w:p>
    <w:p>
      <w:pPr>
        <w:pStyle w:val="2"/>
        <w:spacing w:line="360" w:lineRule="auto"/>
        <w:ind w:left="0" w:firstLine="476" w:firstLineChars="200"/>
        <w:jc w:val="both"/>
        <w:rPr>
          <w:spacing w:val="-1"/>
          <w:lang w:val="en-US"/>
        </w:rPr>
      </w:pPr>
      <w:r>
        <w:rPr>
          <w:rFonts w:hint="eastAsia"/>
          <w:spacing w:val="-1"/>
        </w:rPr>
        <w:t>（1）单位负责人为同一人或者存在直接控股、管理关系的不同供应商，不得参加同一合同项下的政府采购活动；（2）供应商未被“信用中国”（www.creditchina.gov.cn)、“中国政府采购网”（www.ccgp.gov.cn）列入失信被执行人、重大税收违法案件当事人、政府采购严重违法失信行为记录名单。</w:t>
      </w:r>
    </w:p>
    <w:p>
      <w:pPr>
        <w:pStyle w:val="2"/>
        <w:spacing w:line="360" w:lineRule="auto"/>
        <w:ind w:left="0" w:firstLine="476" w:firstLineChars="200"/>
        <w:jc w:val="both"/>
        <w:rPr>
          <w:spacing w:val="-1"/>
        </w:rPr>
      </w:pPr>
      <w:r>
        <w:rPr>
          <w:rFonts w:hint="eastAsia"/>
          <w:spacing w:val="-1"/>
          <w:lang w:val="en-US"/>
        </w:rPr>
        <w:t>5、</w:t>
      </w:r>
      <w:r>
        <w:rPr>
          <w:rFonts w:hint="eastAsia"/>
          <w:spacing w:val="-1"/>
        </w:rPr>
        <w:t>采购方式：单一来源采购</w:t>
      </w:r>
    </w:p>
    <w:p>
      <w:pPr>
        <w:pStyle w:val="2"/>
        <w:spacing w:line="360" w:lineRule="auto"/>
        <w:ind w:left="0" w:firstLine="476" w:firstLineChars="200"/>
        <w:jc w:val="both"/>
        <w:rPr>
          <w:spacing w:val="-1"/>
        </w:rPr>
      </w:pPr>
      <w:r>
        <w:rPr>
          <w:rFonts w:hint="eastAsia"/>
          <w:spacing w:val="-1"/>
        </w:rPr>
        <w:t>6、采购文件获取方式：</w:t>
      </w:r>
    </w:p>
    <w:p>
      <w:pPr>
        <w:pStyle w:val="2"/>
        <w:spacing w:line="360" w:lineRule="auto"/>
        <w:ind w:left="0" w:firstLine="476" w:firstLineChars="200"/>
        <w:jc w:val="both"/>
        <w:rPr>
          <w:spacing w:val="-1"/>
        </w:rPr>
      </w:pPr>
      <w:r>
        <w:rPr>
          <w:rFonts w:hint="eastAsia"/>
          <w:spacing w:val="-1"/>
        </w:rPr>
        <w:t>本项目采购文件实行“政府采购云平台”在线免费获取，不提供采购文件纸质版。供应商获取采购文件前应先完成“政府采购云平台”的账号注册。</w:t>
      </w:r>
    </w:p>
    <w:p>
      <w:pPr>
        <w:pStyle w:val="2"/>
        <w:spacing w:line="360" w:lineRule="auto"/>
        <w:ind w:left="0" w:firstLine="476" w:firstLineChars="200"/>
        <w:jc w:val="both"/>
        <w:rPr>
          <w:spacing w:val="-1"/>
        </w:rPr>
      </w:pPr>
      <w:r>
        <w:rPr>
          <w:rFonts w:hint="eastAsia"/>
          <w:spacing w:val="-1"/>
          <w:lang w:val="en-US"/>
        </w:rPr>
        <w:t>7、</w:t>
      </w:r>
      <w:r>
        <w:rPr>
          <w:rFonts w:hint="eastAsia"/>
          <w:spacing w:val="-1"/>
        </w:rPr>
        <w:t>投标说明</w:t>
      </w:r>
    </w:p>
    <w:p>
      <w:pPr>
        <w:pStyle w:val="2"/>
        <w:spacing w:line="360" w:lineRule="auto"/>
        <w:ind w:left="0" w:firstLine="476" w:firstLineChars="200"/>
        <w:jc w:val="both"/>
        <w:rPr>
          <w:spacing w:val="-1"/>
        </w:rPr>
      </w:pPr>
      <w:r>
        <w:rPr>
          <w:rFonts w:hint="eastAsia"/>
          <w:spacing w:val="-1"/>
        </w:rPr>
        <w:t>（</w:t>
      </w:r>
      <w:r>
        <w:rPr>
          <w:rFonts w:hint="eastAsia"/>
          <w:spacing w:val="-1"/>
          <w:lang w:val="en-US"/>
        </w:rPr>
        <w:t>1</w:t>
      </w:r>
      <w:r>
        <w:rPr>
          <w:rFonts w:hint="eastAsia"/>
          <w:spacing w:val="-1"/>
        </w:rPr>
        <w:t>）本项目实行电子投标，应按照本项目采购文件和政采云平台的要求编制、加密并递交</w:t>
      </w:r>
      <w:r>
        <w:rPr>
          <w:rFonts w:hint="eastAsia"/>
          <w:spacing w:val="-1"/>
          <w:lang w:val="en-US"/>
        </w:rPr>
        <w:t>采购</w:t>
      </w:r>
      <w:r>
        <w:rPr>
          <w:rFonts w:hint="eastAsia"/>
          <w:spacing w:val="-1"/>
        </w:rPr>
        <w:t>响应文件。供应商在使用系统进行投标的过程中遇到涉及平台使用的任何问题，可致电政采云平台技术支持热线咨询，联系方式：400-881-7190。</w:t>
      </w:r>
    </w:p>
    <w:p>
      <w:pPr>
        <w:pStyle w:val="2"/>
        <w:spacing w:line="360" w:lineRule="auto"/>
        <w:ind w:left="0" w:firstLine="476" w:firstLineChars="200"/>
        <w:jc w:val="both"/>
        <w:rPr>
          <w:spacing w:val="-20"/>
        </w:rPr>
      </w:pPr>
      <w:r>
        <w:rPr>
          <w:rFonts w:hint="eastAsia"/>
          <w:spacing w:val="-1"/>
        </w:rPr>
        <w:t>（</w:t>
      </w:r>
      <w:r>
        <w:rPr>
          <w:rFonts w:hint="eastAsia"/>
          <w:spacing w:val="-1"/>
          <w:lang w:val="en-US"/>
        </w:rPr>
        <w:t>2</w:t>
      </w:r>
      <w:r>
        <w:rPr>
          <w:rFonts w:hint="eastAsia"/>
          <w:spacing w:val="-1"/>
        </w:rPr>
        <w:t>）</w:t>
      </w:r>
      <w:r>
        <w:rPr>
          <w:rFonts w:hint="eastAsia"/>
          <w:spacing w:val="-20"/>
        </w:rPr>
        <w:t>供应商应在开标前完成 CA 数字证书办理。（办理流程详见</w:t>
      </w:r>
    </w:p>
    <w:p>
      <w:pPr>
        <w:pStyle w:val="2"/>
        <w:spacing w:line="360" w:lineRule="auto"/>
        <w:jc w:val="both"/>
        <w:rPr>
          <w:spacing w:val="-1"/>
        </w:rPr>
      </w:pPr>
      <w:r>
        <w:fldChar w:fldCharType="begin"/>
      </w:r>
      <w:r>
        <w:instrText xml:space="preserve"> HYPERLINK "http://zfcg.czt.zj.gov.cn/bidClientTemplate/2019-05-27/12945.html" \h </w:instrText>
      </w:r>
      <w:r>
        <w:fldChar w:fldCharType="separate"/>
      </w:r>
      <w:r>
        <w:rPr>
          <w:rFonts w:hint="eastAsia"/>
          <w:spacing w:val="-1"/>
        </w:rPr>
        <w:t>http://zfcg.czt.zj.gov.cn/bidClientTemplate/2019-05-27/12945.html</w:t>
      </w:r>
      <w:r>
        <w:rPr>
          <w:rFonts w:hint="eastAsia"/>
          <w:spacing w:val="-1"/>
        </w:rPr>
        <w:fldChar w:fldCharType="end"/>
      </w:r>
      <w:r>
        <w:rPr>
          <w:rFonts w:hint="eastAsia"/>
          <w:spacing w:val="-1"/>
        </w:rPr>
        <w:t>）。完成 CA 数字证书办理预计一周左右，建议各供应商抓紧时间办理。</w:t>
      </w:r>
    </w:p>
    <w:p>
      <w:pPr>
        <w:pStyle w:val="2"/>
        <w:spacing w:line="360" w:lineRule="auto"/>
        <w:ind w:left="0" w:firstLine="476" w:firstLineChars="200"/>
        <w:jc w:val="both"/>
        <w:rPr>
          <w:spacing w:val="-20"/>
        </w:rPr>
      </w:pPr>
      <w:r>
        <w:rPr>
          <w:rFonts w:hint="eastAsia"/>
          <w:spacing w:val="-1"/>
        </w:rPr>
        <w:t>（</w:t>
      </w:r>
      <w:r>
        <w:rPr>
          <w:rFonts w:hint="eastAsia"/>
          <w:spacing w:val="-1"/>
          <w:lang w:val="en-US"/>
        </w:rPr>
        <w:t>3</w:t>
      </w:r>
      <w:r>
        <w:rPr>
          <w:rFonts w:hint="eastAsia"/>
          <w:spacing w:val="-1"/>
        </w:rPr>
        <w:t>）供应商</w:t>
      </w:r>
      <w:r>
        <w:rPr>
          <w:rFonts w:hint="eastAsia"/>
          <w:spacing w:val="-1"/>
          <w:lang w:val="en-US"/>
        </w:rPr>
        <w:t>需</w:t>
      </w:r>
      <w:r>
        <w:rPr>
          <w:rFonts w:hint="eastAsia"/>
          <w:spacing w:val="-1"/>
        </w:rPr>
        <w:t>通过政采云平台电子投标工具制作</w:t>
      </w:r>
      <w:r>
        <w:rPr>
          <w:rFonts w:hint="eastAsia"/>
          <w:spacing w:val="-1"/>
          <w:lang w:val="en-US"/>
        </w:rPr>
        <w:t>采购</w:t>
      </w:r>
      <w:r>
        <w:rPr>
          <w:rFonts w:hint="eastAsia"/>
          <w:spacing w:val="-1"/>
        </w:rPr>
        <w:t xml:space="preserve">响应文件，电子投标工具请供应商自 行 前 往 浙 </w:t>
      </w:r>
      <w:r>
        <w:rPr>
          <w:rFonts w:hint="eastAsia"/>
          <w:spacing w:val="-20"/>
        </w:rPr>
        <w:t>江 省 政 府 采 购 网 下 载 并 安 装 ， （ 下 载 网 址 ：</w:t>
      </w:r>
      <w:r>
        <w:fldChar w:fldCharType="begin"/>
      </w:r>
      <w:r>
        <w:instrText xml:space="preserve"> HYPERLINK "http://zfcg.czt.zj.gov.cn/bidClientTemplate/2019-05-27/12946.html" \h </w:instrText>
      </w:r>
      <w:r>
        <w:fldChar w:fldCharType="separate"/>
      </w:r>
      <w:r>
        <w:rPr>
          <w:rFonts w:hint="eastAsia"/>
          <w:spacing w:val="-20"/>
        </w:rPr>
        <w:t xml:space="preserve"> http://zfcg.czt.zj.gov.cn/bidClientTemplate/2019-05-27/12946.html</w:t>
      </w:r>
      <w:r>
        <w:rPr>
          <w:rFonts w:hint="eastAsia"/>
          <w:spacing w:val="-20"/>
        </w:rPr>
        <w:fldChar w:fldCharType="end"/>
      </w:r>
      <w:r>
        <w:rPr>
          <w:rFonts w:hint="eastAsia"/>
          <w:spacing w:val="-1"/>
        </w:rPr>
        <w:t>），</w:t>
      </w:r>
      <w:r>
        <w:rPr>
          <w:rFonts w:hint="eastAsia"/>
          <w:spacing w:val="-20"/>
        </w:rPr>
        <w:t>电子 投 标 具 体 流 程 文 档 详 见 网 址 ： https://help.zcygov.cn/web/site_2/2018/12-28/2573.html。</w:t>
      </w:r>
    </w:p>
    <w:p>
      <w:pPr>
        <w:pStyle w:val="2"/>
        <w:spacing w:line="360" w:lineRule="auto"/>
        <w:ind w:left="0" w:firstLine="476" w:firstLineChars="200"/>
        <w:jc w:val="both"/>
        <w:rPr>
          <w:spacing w:val="-1"/>
        </w:rPr>
      </w:pPr>
      <w:r>
        <w:rPr>
          <w:rFonts w:hint="eastAsia"/>
          <w:spacing w:val="-1"/>
        </w:rPr>
        <w:t>（</w:t>
      </w:r>
      <w:r>
        <w:rPr>
          <w:rFonts w:hint="eastAsia"/>
          <w:spacing w:val="-1"/>
          <w:lang w:val="en-US"/>
        </w:rPr>
        <w:t>4</w:t>
      </w:r>
      <w:r>
        <w:rPr>
          <w:rFonts w:hint="eastAsia"/>
          <w:spacing w:val="-1"/>
        </w:rPr>
        <w:t>）供应商应当在递交采购响应文件截止时间完成电子投标响应文件的传输递交，递交采购响应文件截止时间前可以补充、修改或者撤回电子投标响应文件。补充或者修改电子投标响应文件的，应当先行撤回原文件，补充、修改后重新传输递交。递交采购响应文件截止时间未完成传输</w:t>
      </w:r>
      <w:r>
        <w:rPr>
          <w:rFonts w:hint="eastAsia"/>
          <w:spacing w:val="-1"/>
          <w:lang w:val="en-US"/>
        </w:rPr>
        <w:t>递交</w:t>
      </w:r>
      <w:r>
        <w:rPr>
          <w:rFonts w:hint="eastAsia"/>
          <w:spacing w:val="-1"/>
        </w:rPr>
        <w:t>的，视为撤回投标文件。</w:t>
      </w:r>
    </w:p>
    <w:p>
      <w:pPr>
        <w:pStyle w:val="2"/>
        <w:spacing w:line="360" w:lineRule="auto"/>
        <w:ind w:left="0" w:firstLine="476" w:firstLineChars="200"/>
        <w:jc w:val="both"/>
        <w:rPr>
          <w:spacing w:val="-1"/>
        </w:rPr>
      </w:pPr>
      <w:r>
        <w:rPr>
          <w:rFonts w:hint="eastAsia"/>
          <w:spacing w:val="-1"/>
        </w:rPr>
        <w:t>供应商在“政府采购云平台”完成“电子加密投标文件”的上传递交后</w:t>
      </w:r>
      <w:r>
        <w:fldChar w:fldCharType="begin"/>
      </w:r>
      <w: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fldChar w:fldCharType="separate"/>
      </w:r>
      <w:r>
        <w:rPr>
          <w:rFonts w:hint="eastAsia"/>
          <w:spacing w:val="-1"/>
        </w:rPr>
        <w:t>，可以（建议）在递交采购响应文件截止时间将系统生成的备份标书（后缀格式为.bfbs）以电子邮件形式传送至采购代理机构邮箱</w:t>
      </w:r>
      <w:r>
        <w:rPr>
          <w:rFonts w:hint="eastAsia"/>
          <w:spacing w:val="-1"/>
          <w:lang w:val="en-US"/>
        </w:rPr>
        <w:t>3477872623</w:t>
      </w:r>
      <w:r>
        <w:rPr>
          <w:rFonts w:hint="eastAsia"/>
          <w:spacing w:val="-1"/>
        </w:rPr>
        <w:t>@qq.com，</w:t>
      </w:r>
      <w:r>
        <w:rPr>
          <w:rFonts w:hint="eastAsia"/>
          <w:spacing w:val="-1"/>
        </w:rPr>
        <w:fldChar w:fldCharType="end"/>
      </w:r>
      <w:r>
        <w:rPr>
          <w:rFonts w:hint="eastAsia"/>
          <w:spacing w:val="-1"/>
        </w:rPr>
        <w:t>备份标书传送</w:t>
      </w:r>
      <w:r>
        <w:rPr>
          <w:rFonts w:hint="eastAsia"/>
          <w:spacing w:val="-1"/>
          <w:lang w:val="en-US"/>
        </w:rPr>
        <w:t>前</w:t>
      </w:r>
      <w:r>
        <w:rPr>
          <w:rFonts w:hint="eastAsia"/>
          <w:spacing w:val="-1"/>
        </w:rPr>
        <w:t>需打包压缩并加密，加密密码由供应商自行保管。</w:t>
      </w:r>
    </w:p>
    <w:p>
      <w:pPr>
        <w:pStyle w:val="2"/>
        <w:spacing w:line="360" w:lineRule="auto"/>
        <w:ind w:left="0" w:firstLine="476" w:firstLineChars="200"/>
        <w:jc w:val="both"/>
        <w:rPr>
          <w:spacing w:val="-1"/>
        </w:rPr>
      </w:pPr>
      <w:r>
        <w:rPr>
          <w:rFonts w:hint="eastAsia"/>
          <w:spacing w:val="-1"/>
        </w:rPr>
        <w:t>（</w:t>
      </w:r>
      <w:r>
        <w:rPr>
          <w:rFonts w:hint="eastAsia"/>
          <w:spacing w:val="-1"/>
          <w:lang w:val="en-US"/>
        </w:rPr>
        <w:t>5</w:t>
      </w:r>
      <w:r>
        <w:rPr>
          <w:rFonts w:hint="eastAsia"/>
          <w:spacing w:val="-1"/>
        </w:rPr>
        <w:t>）</w:t>
      </w:r>
      <w:r>
        <w:rPr>
          <w:rFonts w:hint="eastAsia"/>
          <w:spacing w:val="-1"/>
          <w:lang w:val="en-US"/>
        </w:rPr>
        <w:t>供应商</w:t>
      </w:r>
      <w:r>
        <w:rPr>
          <w:rFonts w:hint="eastAsia"/>
          <w:spacing w:val="-1"/>
        </w:rPr>
        <w:t>通过“政府采购云平台”上传递交的“电子加密投标文件”无法按时解密，</w:t>
      </w:r>
      <w:r>
        <w:rPr>
          <w:rFonts w:hint="eastAsia"/>
          <w:spacing w:val="-1"/>
          <w:lang w:val="en-US"/>
        </w:rPr>
        <w:t>且</w:t>
      </w:r>
      <w:r>
        <w:rPr>
          <w:rFonts w:hint="eastAsia"/>
          <w:spacing w:val="-1"/>
        </w:rPr>
        <w:t>递交了备份投标文件的，以</w:t>
      </w:r>
      <w:r>
        <w:rPr>
          <w:rFonts w:hint="eastAsia"/>
          <w:spacing w:val="-1"/>
          <w:lang w:val="en-US"/>
        </w:rPr>
        <w:t>其递交的</w:t>
      </w:r>
      <w:r>
        <w:rPr>
          <w:rFonts w:hint="eastAsia"/>
          <w:spacing w:val="-1"/>
        </w:rPr>
        <w:t>备份投标文件为依据，</w:t>
      </w:r>
      <w:r>
        <w:rPr>
          <w:rFonts w:hint="eastAsia"/>
          <w:spacing w:val="-1"/>
          <w:lang w:val="en-US"/>
        </w:rPr>
        <w:t>未递交备份投标文件的</w:t>
      </w:r>
      <w:r>
        <w:rPr>
          <w:rFonts w:hint="eastAsia"/>
          <w:spacing w:val="-1"/>
        </w:rPr>
        <w:t>视为投标文件撤回。通过“政府采购云平台”上传递交的“电子加密投标文件”已按时解密的，“备份投标文件”自动失效。供应商仅递交备份投标文件的，投标无效，其电子备份投标文件也将退还。</w:t>
      </w:r>
    </w:p>
    <w:p>
      <w:pPr>
        <w:pStyle w:val="2"/>
        <w:spacing w:line="360" w:lineRule="auto"/>
        <w:ind w:left="0" w:firstLine="476" w:firstLineChars="200"/>
        <w:jc w:val="both"/>
        <w:rPr>
          <w:spacing w:val="-1"/>
        </w:rPr>
      </w:pPr>
      <w:r>
        <w:rPr>
          <w:rFonts w:hint="eastAsia"/>
          <w:spacing w:val="-1"/>
        </w:rPr>
        <w:t>供应商无需在开标当天到达开标现场对电子投标进行解密，可在公司办公场地在规定时间内对电子投标文件进行解密，与评审小组谈判，多轮报价。</w:t>
      </w:r>
    </w:p>
    <w:p>
      <w:pPr>
        <w:pStyle w:val="2"/>
        <w:spacing w:line="360" w:lineRule="auto"/>
        <w:ind w:left="0" w:firstLine="476" w:firstLineChars="200"/>
        <w:jc w:val="both"/>
        <w:rPr>
          <w:spacing w:val="-1"/>
        </w:rPr>
      </w:pPr>
      <w:r>
        <w:rPr>
          <w:rFonts w:hint="eastAsia"/>
          <w:spacing w:val="-1"/>
        </w:rPr>
        <w:t xml:space="preserve">8、递交采购响应文件截止时间与地点：2022年 </w:t>
      </w:r>
      <w:r>
        <w:rPr>
          <w:rFonts w:hint="eastAsia"/>
          <w:spacing w:val="-1"/>
          <w:lang w:val="en-US" w:eastAsia="zh-CN"/>
        </w:rPr>
        <w:t>7</w:t>
      </w:r>
      <w:r>
        <w:rPr>
          <w:rFonts w:hint="eastAsia"/>
          <w:spacing w:val="-1"/>
        </w:rPr>
        <w:t xml:space="preserve"> 月 </w:t>
      </w:r>
      <w:r>
        <w:rPr>
          <w:rFonts w:hint="eastAsia"/>
          <w:spacing w:val="-1"/>
          <w:lang w:val="en-US" w:eastAsia="zh-CN"/>
        </w:rPr>
        <w:t>21</w:t>
      </w:r>
      <w:r>
        <w:rPr>
          <w:rFonts w:hint="eastAsia"/>
          <w:spacing w:val="-1"/>
        </w:rPr>
        <w:t xml:space="preserve"> 日</w:t>
      </w:r>
      <w:r>
        <w:rPr>
          <w:rFonts w:hint="eastAsia"/>
          <w:spacing w:val="-1"/>
          <w:lang w:val="en-US"/>
        </w:rPr>
        <w:t>1</w:t>
      </w:r>
      <w:r>
        <w:rPr>
          <w:rFonts w:hint="eastAsia"/>
          <w:spacing w:val="-1"/>
          <w:lang w:val="en-US" w:eastAsia="zh-CN"/>
        </w:rPr>
        <w:t>5</w:t>
      </w:r>
      <w:r>
        <w:rPr>
          <w:rFonts w:hint="eastAsia"/>
          <w:spacing w:val="-1"/>
        </w:rPr>
        <w:t>时</w:t>
      </w:r>
      <w:r>
        <w:rPr>
          <w:rFonts w:hint="eastAsia"/>
          <w:spacing w:val="-1"/>
          <w:lang w:val="en-US" w:eastAsia="zh-CN"/>
        </w:rPr>
        <w:t>0</w:t>
      </w:r>
      <w:r>
        <w:rPr>
          <w:rFonts w:hint="eastAsia"/>
          <w:spacing w:val="-1"/>
        </w:rPr>
        <w:t>0分，地点：政采云平台（http://zfcg.czt.zj.gov.cn）。</w:t>
      </w:r>
    </w:p>
    <w:p>
      <w:pPr>
        <w:pStyle w:val="2"/>
        <w:spacing w:line="360" w:lineRule="auto"/>
        <w:ind w:left="0" w:firstLine="478" w:firstLineChars="200"/>
        <w:jc w:val="both"/>
        <w:rPr>
          <w:spacing w:val="-1"/>
        </w:rPr>
      </w:pPr>
      <w:r>
        <w:rPr>
          <w:rFonts w:hint="eastAsia"/>
          <w:b/>
          <w:bCs/>
          <w:spacing w:val="-1"/>
        </w:rPr>
        <w:t>9、</w:t>
      </w:r>
      <w:r>
        <w:rPr>
          <w:rFonts w:hint="eastAsia"/>
          <w:b/>
          <w:bCs/>
          <w:spacing w:val="-1"/>
          <w:lang w:val="en-US"/>
        </w:rPr>
        <w:t>开标</w:t>
      </w:r>
      <w:r>
        <w:rPr>
          <w:rFonts w:hint="eastAsia"/>
          <w:b/>
          <w:bCs/>
          <w:spacing w:val="-1"/>
        </w:rPr>
        <w:t>时间与地点：2022年</w:t>
      </w:r>
      <w:r>
        <w:rPr>
          <w:rFonts w:hint="eastAsia"/>
          <w:b/>
          <w:bCs/>
          <w:spacing w:val="-1"/>
          <w:lang w:val="en-US" w:eastAsia="zh-CN"/>
        </w:rPr>
        <w:t xml:space="preserve"> 7 </w:t>
      </w:r>
      <w:r>
        <w:rPr>
          <w:rFonts w:hint="eastAsia"/>
          <w:b/>
          <w:bCs/>
          <w:spacing w:val="-1"/>
        </w:rPr>
        <w:t>月</w:t>
      </w:r>
      <w:r>
        <w:rPr>
          <w:rFonts w:hint="eastAsia"/>
          <w:b/>
          <w:bCs/>
          <w:spacing w:val="-1"/>
          <w:lang w:val="en-US" w:eastAsia="zh-CN"/>
        </w:rPr>
        <w:t xml:space="preserve"> 21 </w:t>
      </w:r>
      <w:r>
        <w:rPr>
          <w:rFonts w:hint="eastAsia"/>
          <w:b/>
          <w:bCs/>
          <w:spacing w:val="-1"/>
        </w:rPr>
        <w:t>日</w:t>
      </w:r>
      <w:r>
        <w:rPr>
          <w:rFonts w:hint="eastAsia"/>
          <w:b/>
          <w:bCs/>
          <w:spacing w:val="-1"/>
          <w:lang w:val="en-US"/>
        </w:rPr>
        <w:t>1</w:t>
      </w:r>
      <w:r>
        <w:rPr>
          <w:rFonts w:hint="eastAsia"/>
          <w:b/>
          <w:bCs/>
          <w:spacing w:val="-1"/>
          <w:lang w:val="en-US" w:eastAsia="zh-CN"/>
        </w:rPr>
        <w:t>5</w:t>
      </w:r>
      <w:r>
        <w:rPr>
          <w:rFonts w:hint="eastAsia"/>
          <w:b/>
          <w:bCs/>
          <w:spacing w:val="-1"/>
        </w:rPr>
        <w:t>时</w:t>
      </w:r>
      <w:r>
        <w:rPr>
          <w:rFonts w:hint="eastAsia"/>
          <w:b/>
          <w:bCs/>
          <w:spacing w:val="-1"/>
          <w:lang w:val="en-US" w:eastAsia="zh-CN"/>
        </w:rPr>
        <w:t>0</w:t>
      </w:r>
      <w:r>
        <w:rPr>
          <w:rFonts w:hint="eastAsia"/>
          <w:b/>
          <w:bCs/>
          <w:spacing w:val="-1"/>
        </w:rPr>
        <w:t>0分，地点：衢州市柯城区公共资源交易中心（荷花三路229号营商大楼7楼）。</w:t>
      </w:r>
      <w:r>
        <w:rPr>
          <w:rFonts w:hint="eastAsia"/>
          <w:b/>
          <w:bCs/>
          <w:spacing w:val="-1"/>
          <w:lang w:val="en-US"/>
        </w:rPr>
        <w:t>开标</w:t>
      </w:r>
      <w:r>
        <w:rPr>
          <w:rFonts w:hint="eastAsia"/>
          <w:b/>
          <w:bCs/>
          <w:spacing w:val="-1"/>
        </w:rPr>
        <w:t>时间截止后 30 分钟内供应商可以登录“政采云”平台，用“项目采购-开标评标”功能进行解密投标文件。</w:t>
      </w:r>
    </w:p>
    <w:p>
      <w:pPr>
        <w:pStyle w:val="2"/>
        <w:spacing w:line="360" w:lineRule="auto"/>
        <w:ind w:left="0" w:firstLine="476" w:firstLineChars="200"/>
        <w:jc w:val="both"/>
        <w:rPr>
          <w:spacing w:val="-1"/>
        </w:rPr>
      </w:pPr>
      <w:r>
        <w:rPr>
          <w:rFonts w:hint="eastAsia"/>
          <w:spacing w:val="-1"/>
        </w:rPr>
        <w:t>10、其他事项：</w:t>
      </w:r>
    </w:p>
    <w:p>
      <w:pPr>
        <w:pStyle w:val="2"/>
        <w:spacing w:line="360" w:lineRule="auto"/>
        <w:ind w:left="0" w:firstLine="476" w:firstLineChars="200"/>
        <w:jc w:val="both"/>
        <w:rPr>
          <w:spacing w:val="-1"/>
        </w:rPr>
      </w:pPr>
      <w:r>
        <w:rPr>
          <w:rFonts w:hint="eastAsia"/>
          <w:spacing w:val="-1"/>
        </w:rPr>
        <w:t>（</w:t>
      </w:r>
      <w:r>
        <w:rPr>
          <w:rFonts w:hint="eastAsia"/>
          <w:spacing w:val="-1"/>
          <w:lang w:val="en-US"/>
        </w:rPr>
        <w:t>1</w:t>
      </w:r>
      <w:r>
        <w:rPr>
          <w:rFonts w:hint="eastAsia"/>
          <w:spacing w:val="-1"/>
        </w:rPr>
        <w:t>）供应商对采购文件有异议的，应当在采购响应截止时间前 3 个工作日内书面（含传真等数据电文，下同）向采购人提出，采购人必须在采购响应截止时间前 1 个工作日内统一进行澄清和修改，并书面通知所有采购文件收受人，同时视情作出是否延长采购响应截止时间的决定。供应商如认为采购过程和成交结果使自身的合法权益受到损害的，供应商应当自知道或者应当知道其合法权益受到损害之日起七个工作日内提出质疑。供应商对采购人的质疑答复不满意或者采购人未在规定时间内作出答复的，可以在答复期满后十五个工作日内向政府采购监督管理部门投诉。</w:t>
      </w:r>
    </w:p>
    <w:p>
      <w:pPr>
        <w:pStyle w:val="2"/>
        <w:spacing w:line="360" w:lineRule="auto"/>
        <w:ind w:left="0" w:firstLine="476" w:firstLineChars="200"/>
        <w:jc w:val="both"/>
        <w:rPr>
          <w:spacing w:val="-1"/>
        </w:rPr>
      </w:pPr>
      <w:r>
        <w:rPr>
          <w:rFonts w:hint="eastAsia"/>
          <w:spacing w:val="-1"/>
        </w:rPr>
        <w:t>（</w:t>
      </w:r>
      <w:r>
        <w:rPr>
          <w:rFonts w:hint="eastAsia"/>
          <w:spacing w:val="-1"/>
          <w:lang w:val="en-US"/>
        </w:rPr>
        <w:t>2</w:t>
      </w:r>
      <w:r>
        <w:rPr>
          <w:rFonts w:hint="eastAsia"/>
          <w:spacing w:val="-1"/>
        </w:rPr>
        <w:t>）政府采购</w:t>
      </w:r>
      <w:r>
        <w:rPr>
          <w:rFonts w:hint="eastAsia"/>
          <w:spacing w:val="-1"/>
          <w:lang w:val="en-US"/>
        </w:rPr>
        <w:t>监督</w:t>
      </w:r>
      <w:r>
        <w:rPr>
          <w:rFonts w:hint="eastAsia"/>
          <w:spacing w:val="-1"/>
        </w:rPr>
        <w:t>管理部门：衢州市柯城区政府采购监督管理办公室，</w:t>
      </w:r>
      <w:r>
        <w:rPr>
          <w:rFonts w:hint="eastAsia"/>
          <w:spacing w:val="-1"/>
          <w:lang w:val="en-US"/>
        </w:rPr>
        <w:t>联系</w:t>
      </w:r>
      <w:r>
        <w:rPr>
          <w:rFonts w:hint="eastAsia"/>
          <w:spacing w:val="-1"/>
        </w:rPr>
        <w:t>电话：0570-3020829。</w:t>
      </w:r>
    </w:p>
    <w:p>
      <w:pPr>
        <w:pStyle w:val="2"/>
        <w:spacing w:line="360" w:lineRule="auto"/>
        <w:ind w:left="0" w:firstLine="476" w:firstLineChars="200"/>
        <w:jc w:val="both"/>
        <w:rPr>
          <w:spacing w:val="-1"/>
        </w:rPr>
      </w:pPr>
      <w:r>
        <w:rPr>
          <w:rFonts w:hint="eastAsia"/>
          <w:spacing w:val="-1"/>
        </w:rPr>
        <w:t>11、联系方式：</w:t>
      </w:r>
    </w:p>
    <w:p>
      <w:pPr>
        <w:pStyle w:val="2"/>
        <w:spacing w:line="360" w:lineRule="auto"/>
        <w:ind w:left="0" w:firstLine="476" w:firstLineChars="200"/>
        <w:jc w:val="both"/>
        <w:rPr>
          <w:spacing w:val="-1"/>
        </w:rPr>
      </w:pPr>
      <w:r>
        <w:rPr>
          <w:rFonts w:hint="eastAsia"/>
          <w:spacing w:val="-1"/>
        </w:rPr>
        <w:t>采购人：衢州市自然资源和规划局柯城分局</w:t>
      </w:r>
    </w:p>
    <w:p>
      <w:pPr>
        <w:pStyle w:val="2"/>
        <w:spacing w:line="360" w:lineRule="auto"/>
        <w:ind w:left="0" w:firstLine="476" w:firstLineChars="200"/>
        <w:rPr>
          <w:spacing w:val="-1"/>
        </w:rPr>
      </w:pPr>
      <w:r>
        <w:rPr>
          <w:rFonts w:hint="eastAsia"/>
          <w:spacing w:val="-1"/>
        </w:rPr>
        <w:t>联系人：</w:t>
      </w:r>
      <w:r>
        <w:rPr>
          <w:rFonts w:hint="eastAsia"/>
          <w:lang w:val="en-US"/>
        </w:rPr>
        <w:t>吴</w:t>
      </w:r>
      <w:r>
        <w:rPr>
          <w:rFonts w:hint="eastAsia"/>
        </w:rPr>
        <w:t>女士</w:t>
      </w:r>
    </w:p>
    <w:p>
      <w:pPr>
        <w:pStyle w:val="2"/>
        <w:spacing w:line="360" w:lineRule="auto"/>
        <w:ind w:left="440" w:leftChars="200"/>
        <w:rPr>
          <w:spacing w:val="-1"/>
        </w:rPr>
      </w:pPr>
      <w:r>
        <w:rPr>
          <w:rFonts w:hint="eastAsia"/>
          <w:spacing w:val="-1"/>
        </w:rPr>
        <w:t>联系</w:t>
      </w:r>
      <w:r>
        <w:rPr>
          <w:rFonts w:hint="eastAsia"/>
          <w:spacing w:val="-1"/>
          <w:lang w:val="en-US"/>
        </w:rPr>
        <w:t>电话</w:t>
      </w:r>
      <w:r>
        <w:rPr>
          <w:rFonts w:hint="eastAsia"/>
          <w:spacing w:val="-1"/>
        </w:rPr>
        <w:t>：</w:t>
      </w:r>
      <w:bookmarkStart w:id="114" w:name="_GoBack"/>
      <w:r>
        <w:rPr>
          <w:rFonts w:hint="eastAsia"/>
          <w:lang w:val="en-US"/>
        </w:rPr>
        <w:t>0570-</w:t>
      </w:r>
      <w:r>
        <w:rPr>
          <w:lang w:val="en-US"/>
        </w:rPr>
        <w:t>3034086</w:t>
      </w:r>
      <w:bookmarkEnd w:id="114"/>
      <w:r>
        <w:rPr>
          <w:rFonts w:hint="eastAsia"/>
          <w:spacing w:val="-1"/>
        </w:rPr>
        <w:br w:type="textWrapping"/>
      </w:r>
      <w:r>
        <w:rPr>
          <w:rFonts w:hint="eastAsia"/>
          <w:spacing w:val="-1"/>
        </w:rPr>
        <w:t>采购代理机构：浙江省成套工程有限公司</w:t>
      </w:r>
    </w:p>
    <w:p>
      <w:pPr>
        <w:pStyle w:val="2"/>
        <w:spacing w:line="360" w:lineRule="auto"/>
        <w:ind w:left="0" w:firstLine="476" w:firstLineChars="200"/>
        <w:jc w:val="both"/>
        <w:rPr>
          <w:spacing w:val="-1"/>
        </w:rPr>
      </w:pPr>
      <w:r>
        <w:rPr>
          <w:rFonts w:hint="eastAsia"/>
          <w:spacing w:val="-1"/>
        </w:rPr>
        <w:t>联系人：吴先生</w:t>
      </w:r>
    </w:p>
    <w:p>
      <w:pPr>
        <w:pStyle w:val="2"/>
        <w:spacing w:line="360" w:lineRule="auto"/>
        <w:ind w:left="0" w:firstLine="476" w:firstLineChars="200"/>
        <w:jc w:val="both"/>
        <w:rPr>
          <w:spacing w:val="-1"/>
          <w:lang w:val="en-US"/>
        </w:rPr>
      </w:pPr>
      <w:r>
        <w:rPr>
          <w:rFonts w:hint="eastAsia"/>
          <w:spacing w:val="-1"/>
        </w:rPr>
        <w:t>联系电话：0570-</w:t>
      </w:r>
      <w:r>
        <w:rPr>
          <w:rFonts w:hint="eastAsia"/>
          <w:spacing w:val="-1"/>
          <w:lang w:val="en-US"/>
        </w:rPr>
        <w:t>8757587</w:t>
      </w:r>
      <w:r>
        <w:rPr>
          <w:rFonts w:hint="eastAsia"/>
          <w:spacing w:val="-1"/>
        </w:rPr>
        <w:t>/</w:t>
      </w:r>
      <w:r>
        <w:rPr>
          <w:rFonts w:hint="eastAsia"/>
          <w:spacing w:val="-1"/>
          <w:lang w:val="en-US"/>
        </w:rPr>
        <w:t>18367054001</w:t>
      </w:r>
    </w:p>
    <w:p>
      <w:pPr>
        <w:pStyle w:val="2"/>
        <w:spacing w:line="360" w:lineRule="auto"/>
        <w:ind w:left="0" w:firstLine="476" w:firstLineChars="200"/>
        <w:jc w:val="both"/>
        <w:rPr>
          <w:spacing w:val="-1"/>
        </w:rPr>
      </w:pPr>
      <w:r>
        <w:rPr>
          <w:rFonts w:hint="eastAsia"/>
          <w:spacing w:val="-1"/>
        </w:rPr>
        <w:t>地点：衢州市西区花园中大道鑫港大厦7楼709室</w:t>
      </w:r>
    </w:p>
    <w:p>
      <w:pPr>
        <w:pStyle w:val="2"/>
        <w:spacing w:before="161" w:line="312" w:lineRule="auto"/>
        <w:ind w:left="0" w:firstLine="238" w:firstLineChars="100"/>
        <w:jc w:val="right"/>
        <w:rPr>
          <w:spacing w:val="-1"/>
        </w:rPr>
      </w:pPr>
    </w:p>
    <w:p>
      <w:pPr>
        <w:pStyle w:val="2"/>
        <w:spacing w:before="161" w:line="312" w:lineRule="auto"/>
        <w:ind w:left="0" w:firstLine="238" w:firstLineChars="100"/>
        <w:jc w:val="right"/>
        <w:rPr>
          <w:spacing w:val="-1"/>
        </w:rPr>
      </w:pPr>
      <w:r>
        <w:rPr>
          <w:rFonts w:hint="eastAsia"/>
          <w:spacing w:val="-1"/>
        </w:rPr>
        <w:t>衢州市自然资源和规划局柯城分局</w:t>
      </w:r>
    </w:p>
    <w:p>
      <w:pPr>
        <w:pStyle w:val="2"/>
        <w:spacing w:before="161" w:line="312" w:lineRule="auto"/>
        <w:ind w:left="0" w:firstLine="238" w:firstLineChars="100"/>
        <w:jc w:val="right"/>
        <w:rPr>
          <w:spacing w:val="-1"/>
        </w:rPr>
      </w:pPr>
      <w:r>
        <w:rPr>
          <w:rFonts w:hint="eastAsia"/>
          <w:spacing w:val="-1"/>
        </w:rPr>
        <w:t>浙江省成套工程有限公司</w:t>
      </w:r>
    </w:p>
    <w:p>
      <w:pPr>
        <w:pStyle w:val="2"/>
        <w:wordWrap w:val="0"/>
        <w:spacing w:before="161" w:line="312" w:lineRule="auto"/>
        <w:ind w:left="0" w:firstLine="238" w:firstLineChars="100"/>
        <w:jc w:val="right"/>
      </w:pPr>
      <w:r>
        <w:rPr>
          <w:rFonts w:hint="eastAsia"/>
          <w:spacing w:val="-1"/>
        </w:rPr>
        <w:t>2022年</w:t>
      </w:r>
      <w:r>
        <w:rPr>
          <w:rFonts w:hint="eastAsia"/>
          <w:spacing w:val="-1"/>
          <w:lang w:val="en-US" w:eastAsia="zh-CN"/>
        </w:rPr>
        <w:t xml:space="preserve"> 7 </w:t>
      </w:r>
      <w:r>
        <w:rPr>
          <w:rFonts w:hint="eastAsia"/>
          <w:spacing w:val="-1"/>
        </w:rPr>
        <w:t xml:space="preserve">月 </w:t>
      </w:r>
      <w:r>
        <w:rPr>
          <w:rFonts w:hint="eastAsia"/>
          <w:spacing w:val="-1"/>
          <w:lang w:val="en-US" w:eastAsia="zh-CN"/>
        </w:rPr>
        <w:t>14</w:t>
      </w:r>
      <w:r>
        <w:rPr>
          <w:rFonts w:hint="eastAsia"/>
          <w:spacing w:val="-1"/>
        </w:rPr>
        <w:t xml:space="preserve"> 日</w:t>
      </w:r>
    </w:p>
    <w:p>
      <w:pPr>
        <w:spacing w:line="312" w:lineRule="auto"/>
        <w:sectPr>
          <w:pgSz w:w="11910" w:h="16840"/>
          <w:pgMar w:top="1417" w:right="1247" w:bottom="1417" w:left="1247" w:header="0" w:footer="1146" w:gutter="0"/>
          <w:cols w:space="720" w:num="1"/>
        </w:sectPr>
      </w:pPr>
    </w:p>
    <w:p>
      <w:pPr>
        <w:pStyle w:val="3"/>
        <w:tabs>
          <w:tab w:val="left" w:pos="1444"/>
        </w:tabs>
        <w:spacing w:line="312" w:lineRule="auto"/>
        <w:ind w:right="536"/>
        <w:rPr>
          <w:rFonts w:asciiTheme="minorEastAsia" w:hAnsiTheme="minorEastAsia" w:eastAsiaTheme="minorEastAsia" w:cstheme="minorEastAsia"/>
          <w:sz w:val="28"/>
          <w:szCs w:val="28"/>
        </w:rPr>
      </w:pPr>
      <w:bookmarkStart w:id="12" w:name="_Toc30924"/>
      <w:bookmarkStart w:id="13" w:name="_Toc21363"/>
      <w:r>
        <w:rPr>
          <w:rFonts w:hint="eastAsia" w:asciiTheme="minorEastAsia" w:hAnsiTheme="minorEastAsia" w:eastAsiaTheme="minorEastAsia" w:cstheme="minorEastAsia"/>
          <w:sz w:val="28"/>
          <w:szCs w:val="28"/>
        </w:rPr>
        <w:t>第二章</w:t>
      </w:r>
      <w:bookmarkEnd w:id="12"/>
      <w:bookmarkEnd w:id="13"/>
      <w:bookmarkStart w:id="14" w:name="第二章_采购技术需求及条款"/>
      <w:bookmarkEnd w:id="14"/>
      <w:r>
        <w:rPr>
          <w:rFonts w:hint="eastAsia" w:asciiTheme="minorEastAsia" w:hAnsiTheme="minorEastAsia" w:eastAsiaTheme="minorEastAsia" w:cstheme="minorEastAsia"/>
          <w:sz w:val="28"/>
          <w:szCs w:val="28"/>
        </w:rPr>
        <w:t>采购要求及内容</w:t>
      </w:r>
    </w:p>
    <w:p/>
    <w:p>
      <w:pPr>
        <w:pStyle w:val="27"/>
        <w:numPr>
          <w:ilvl w:val="0"/>
          <w:numId w:val="0"/>
        </w:numPr>
        <w:ind w:leftChars="0" w:firstLine="241" w:firstLineChars="100"/>
        <w:rPr>
          <w:b/>
          <w:sz w:val="24"/>
          <w:szCs w:val="24"/>
        </w:rPr>
      </w:pPr>
      <w:r>
        <w:rPr>
          <w:rFonts w:hint="eastAsia"/>
          <w:b/>
          <w:sz w:val="24"/>
          <w:szCs w:val="24"/>
          <w:lang w:eastAsia="zh-CN"/>
        </w:rPr>
        <w:t>一、</w:t>
      </w:r>
      <w:r>
        <w:rPr>
          <w:rFonts w:hint="eastAsia"/>
          <w:b/>
          <w:sz w:val="24"/>
          <w:szCs w:val="24"/>
        </w:rPr>
        <w:t>采购</w:t>
      </w:r>
      <w:r>
        <w:rPr>
          <w:rFonts w:hint="eastAsia"/>
          <w:b/>
          <w:sz w:val="24"/>
          <w:szCs w:val="24"/>
          <w:lang w:val="en-US"/>
        </w:rPr>
        <w:t>具体信息</w:t>
      </w:r>
    </w:p>
    <w:tbl>
      <w:tblPr>
        <w:tblStyle w:val="21"/>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969"/>
        <w:gridCol w:w="850"/>
        <w:gridCol w:w="851"/>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55" w:type="dxa"/>
            <w:vAlign w:val="center"/>
          </w:tcPr>
          <w:p>
            <w:pPr>
              <w:spacing w:line="320" w:lineRule="exact"/>
              <w:jc w:val="center"/>
              <w:rPr>
                <w:b/>
                <w:sz w:val="24"/>
                <w:szCs w:val="24"/>
              </w:rPr>
            </w:pPr>
            <w:r>
              <w:rPr>
                <w:rFonts w:hint="eastAsia"/>
                <w:b/>
                <w:sz w:val="24"/>
                <w:szCs w:val="24"/>
              </w:rPr>
              <w:t>序号</w:t>
            </w:r>
          </w:p>
        </w:tc>
        <w:tc>
          <w:tcPr>
            <w:tcW w:w="3969" w:type="dxa"/>
            <w:vAlign w:val="center"/>
          </w:tcPr>
          <w:p>
            <w:pPr>
              <w:spacing w:line="320" w:lineRule="exact"/>
              <w:jc w:val="center"/>
              <w:rPr>
                <w:b/>
                <w:sz w:val="24"/>
                <w:szCs w:val="24"/>
              </w:rPr>
            </w:pPr>
            <w:r>
              <w:rPr>
                <w:rFonts w:hint="eastAsia"/>
                <w:b/>
                <w:sz w:val="24"/>
                <w:szCs w:val="24"/>
              </w:rPr>
              <w:t>名称</w:t>
            </w:r>
          </w:p>
        </w:tc>
        <w:tc>
          <w:tcPr>
            <w:tcW w:w="850" w:type="dxa"/>
            <w:vAlign w:val="center"/>
          </w:tcPr>
          <w:p>
            <w:pPr>
              <w:spacing w:line="320" w:lineRule="exact"/>
              <w:jc w:val="center"/>
              <w:rPr>
                <w:b/>
                <w:sz w:val="24"/>
                <w:szCs w:val="24"/>
              </w:rPr>
            </w:pPr>
            <w:r>
              <w:rPr>
                <w:rFonts w:hint="eastAsia"/>
                <w:b/>
                <w:sz w:val="24"/>
                <w:szCs w:val="24"/>
              </w:rPr>
              <w:t>数量</w:t>
            </w:r>
          </w:p>
        </w:tc>
        <w:tc>
          <w:tcPr>
            <w:tcW w:w="851" w:type="dxa"/>
            <w:vAlign w:val="center"/>
          </w:tcPr>
          <w:p>
            <w:pPr>
              <w:spacing w:line="320" w:lineRule="exact"/>
              <w:jc w:val="center"/>
              <w:rPr>
                <w:b/>
                <w:sz w:val="24"/>
                <w:szCs w:val="24"/>
              </w:rPr>
            </w:pPr>
            <w:r>
              <w:rPr>
                <w:rFonts w:hint="eastAsia"/>
                <w:b/>
                <w:sz w:val="24"/>
                <w:szCs w:val="24"/>
              </w:rPr>
              <w:t>单位</w:t>
            </w:r>
          </w:p>
        </w:tc>
        <w:tc>
          <w:tcPr>
            <w:tcW w:w="1604" w:type="dxa"/>
            <w:vAlign w:val="center"/>
          </w:tcPr>
          <w:p>
            <w:pPr>
              <w:spacing w:line="320" w:lineRule="exact"/>
              <w:jc w:val="center"/>
              <w:rPr>
                <w:b/>
                <w:sz w:val="24"/>
                <w:szCs w:val="24"/>
              </w:rPr>
            </w:pPr>
            <w:r>
              <w:rPr>
                <w:rFonts w:hint="eastAsia"/>
                <w:b/>
                <w:sz w:val="24"/>
                <w:szCs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55" w:type="dxa"/>
            <w:vAlign w:val="center"/>
          </w:tcPr>
          <w:p>
            <w:pPr>
              <w:spacing w:line="320" w:lineRule="exact"/>
              <w:jc w:val="center"/>
              <w:rPr>
                <w:sz w:val="24"/>
                <w:szCs w:val="24"/>
              </w:rPr>
            </w:pPr>
            <w:r>
              <w:rPr>
                <w:rFonts w:hint="eastAsia"/>
                <w:sz w:val="24"/>
                <w:szCs w:val="24"/>
              </w:rPr>
              <w:t>1</w:t>
            </w:r>
          </w:p>
        </w:tc>
        <w:tc>
          <w:tcPr>
            <w:tcW w:w="3969" w:type="dxa"/>
            <w:vAlign w:val="center"/>
          </w:tcPr>
          <w:p>
            <w:pPr>
              <w:spacing w:line="320" w:lineRule="exact"/>
              <w:rPr>
                <w:sz w:val="24"/>
                <w:szCs w:val="24"/>
              </w:rPr>
            </w:pPr>
            <w:r>
              <w:rPr>
                <w:rFonts w:hint="eastAsia"/>
                <w:sz w:val="24"/>
                <w:szCs w:val="24"/>
              </w:rPr>
              <w:t>柯城区“耕地智保”高位视频监控服务项目</w:t>
            </w:r>
          </w:p>
        </w:tc>
        <w:tc>
          <w:tcPr>
            <w:tcW w:w="850" w:type="dxa"/>
            <w:vAlign w:val="center"/>
          </w:tcPr>
          <w:p>
            <w:pPr>
              <w:spacing w:line="320" w:lineRule="exact"/>
              <w:jc w:val="center"/>
              <w:rPr>
                <w:sz w:val="24"/>
                <w:szCs w:val="24"/>
              </w:rPr>
            </w:pPr>
            <w:r>
              <w:rPr>
                <w:rFonts w:hint="eastAsia"/>
                <w:sz w:val="24"/>
                <w:szCs w:val="24"/>
              </w:rPr>
              <w:t>1</w:t>
            </w:r>
          </w:p>
        </w:tc>
        <w:tc>
          <w:tcPr>
            <w:tcW w:w="851" w:type="dxa"/>
            <w:vAlign w:val="center"/>
          </w:tcPr>
          <w:p>
            <w:pPr>
              <w:spacing w:line="320" w:lineRule="exact"/>
              <w:jc w:val="center"/>
              <w:rPr>
                <w:sz w:val="24"/>
                <w:szCs w:val="24"/>
              </w:rPr>
            </w:pPr>
            <w:r>
              <w:rPr>
                <w:rFonts w:hint="eastAsia"/>
                <w:sz w:val="24"/>
                <w:szCs w:val="24"/>
              </w:rPr>
              <w:t>项</w:t>
            </w:r>
          </w:p>
        </w:tc>
        <w:tc>
          <w:tcPr>
            <w:tcW w:w="1604" w:type="dxa"/>
            <w:vAlign w:val="center"/>
          </w:tcPr>
          <w:p>
            <w:pPr>
              <w:spacing w:line="320" w:lineRule="exact"/>
              <w:jc w:val="center"/>
              <w:rPr>
                <w:sz w:val="24"/>
                <w:szCs w:val="24"/>
              </w:rPr>
            </w:pPr>
            <w:r>
              <w:rPr>
                <w:sz w:val="24"/>
                <w:szCs w:val="24"/>
              </w:rPr>
              <w:t>62</w:t>
            </w:r>
            <w:r>
              <w:rPr>
                <w:rFonts w:hint="eastAsia"/>
                <w:sz w:val="24"/>
                <w:szCs w:val="24"/>
              </w:rPr>
              <w:t>0万元</w:t>
            </w:r>
          </w:p>
        </w:tc>
      </w:tr>
    </w:tbl>
    <w:p>
      <w:pPr>
        <w:pStyle w:val="27"/>
        <w:ind w:firstLine="0"/>
        <w:rPr>
          <w:b/>
          <w:sz w:val="24"/>
          <w:szCs w:val="24"/>
        </w:rPr>
      </w:pPr>
      <w:r>
        <w:rPr>
          <w:rFonts w:hint="eastAsia"/>
          <w:b/>
          <w:sz w:val="24"/>
          <w:szCs w:val="24"/>
        </w:rPr>
        <w:t>二、采购具体要求</w:t>
      </w:r>
    </w:p>
    <w:p>
      <w:pPr>
        <w:spacing w:line="360" w:lineRule="auto"/>
        <w:ind w:firstLine="480" w:firstLineChars="200"/>
        <w:rPr>
          <w:sz w:val="24"/>
          <w:szCs w:val="24"/>
        </w:rPr>
      </w:pPr>
      <w:r>
        <w:rPr>
          <w:rFonts w:hint="eastAsia"/>
          <w:sz w:val="24"/>
          <w:szCs w:val="24"/>
        </w:rPr>
        <w:t>1、前端建设</w:t>
      </w:r>
    </w:p>
    <w:p>
      <w:pPr>
        <w:spacing w:line="360" w:lineRule="auto"/>
        <w:ind w:firstLine="480" w:firstLineChars="200"/>
        <w:rPr>
          <w:sz w:val="24"/>
          <w:szCs w:val="24"/>
        </w:rPr>
      </w:pPr>
      <w:r>
        <w:rPr>
          <w:rFonts w:hint="eastAsia"/>
          <w:sz w:val="24"/>
          <w:szCs w:val="24"/>
        </w:rPr>
        <w:t>利用现有铁塔资源建设高位高清监控</w:t>
      </w:r>
      <w:r>
        <w:rPr>
          <w:sz w:val="24"/>
          <w:szCs w:val="24"/>
        </w:rPr>
        <w:t>149</w:t>
      </w:r>
      <w:r>
        <w:rPr>
          <w:rFonts w:hint="eastAsia"/>
          <w:sz w:val="24"/>
          <w:szCs w:val="24"/>
        </w:rPr>
        <w:t>路。前端所需的视频摄像机参数详见下表。</w:t>
      </w:r>
    </w:p>
    <w:p>
      <w:pPr>
        <w:spacing w:line="360" w:lineRule="auto"/>
        <w:ind w:firstLine="480" w:firstLineChars="200"/>
        <w:rPr>
          <w:sz w:val="24"/>
          <w:szCs w:val="24"/>
        </w:rPr>
      </w:pPr>
      <w:r>
        <w:rPr>
          <w:rFonts w:hint="eastAsia"/>
          <w:sz w:val="24"/>
          <w:szCs w:val="24"/>
        </w:rPr>
        <w:t>2、网络建设</w:t>
      </w:r>
    </w:p>
    <w:p>
      <w:pPr>
        <w:spacing w:line="360" w:lineRule="auto"/>
        <w:ind w:firstLine="480" w:firstLineChars="200"/>
        <w:rPr>
          <w:sz w:val="24"/>
          <w:szCs w:val="24"/>
        </w:rPr>
      </w:pPr>
      <w:r>
        <w:rPr>
          <w:rFonts w:hint="eastAsia"/>
          <w:sz w:val="24"/>
          <w:szCs w:val="24"/>
        </w:rPr>
        <w:t>新建铁塔视联网，前端监控摄像机通过10M VPN专线接入至铁塔视联专网。</w:t>
      </w:r>
    </w:p>
    <w:p>
      <w:pPr>
        <w:spacing w:line="360" w:lineRule="auto"/>
        <w:ind w:firstLine="480" w:firstLineChars="200"/>
        <w:rPr>
          <w:sz w:val="24"/>
          <w:szCs w:val="24"/>
        </w:rPr>
      </w:pPr>
      <w:r>
        <w:rPr>
          <w:rFonts w:hint="eastAsia"/>
          <w:sz w:val="24"/>
          <w:szCs w:val="24"/>
        </w:rPr>
        <w:t>3、平台算法部署</w:t>
      </w:r>
    </w:p>
    <w:p>
      <w:pPr>
        <w:spacing w:line="360" w:lineRule="auto"/>
        <w:ind w:firstLine="480" w:firstLineChars="200"/>
        <w:rPr>
          <w:sz w:val="24"/>
          <w:szCs w:val="24"/>
        </w:rPr>
      </w:pPr>
      <w:r>
        <w:rPr>
          <w:rFonts w:hint="eastAsia"/>
          <w:sz w:val="24"/>
          <w:szCs w:val="24"/>
        </w:rPr>
        <w:t>要求所有新建视频资源接入算法平台，专网侧涉及用到的算法和平台服务器，所有的费用已包含在总体服务费中，由中标方负责实施和部署。</w:t>
      </w:r>
    </w:p>
    <w:p>
      <w:pPr>
        <w:spacing w:line="360" w:lineRule="auto"/>
        <w:ind w:firstLine="480" w:firstLineChars="200"/>
        <w:rPr>
          <w:sz w:val="24"/>
          <w:szCs w:val="24"/>
        </w:rPr>
      </w:pPr>
      <w:r>
        <w:rPr>
          <w:rFonts w:hint="eastAsia"/>
          <w:sz w:val="24"/>
          <w:szCs w:val="24"/>
        </w:rPr>
        <w:t>4、耕地智保平台对接</w:t>
      </w:r>
    </w:p>
    <w:p>
      <w:pPr>
        <w:spacing w:line="360" w:lineRule="auto"/>
        <w:ind w:firstLine="480" w:firstLineChars="200"/>
        <w:rPr>
          <w:sz w:val="24"/>
          <w:szCs w:val="24"/>
        </w:rPr>
      </w:pPr>
      <w:r>
        <w:rPr>
          <w:rFonts w:hint="eastAsia"/>
          <w:sz w:val="24"/>
          <w:szCs w:val="24"/>
        </w:rPr>
        <w:t>负责将</w:t>
      </w:r>
      <w:r>
        <w:rPr>
          <w:rFonts w:hint="eastAsia"/>
          <w:sz w:val="24"/>
          <w:szCs w:val="24"/>
          <w:lang w:val="en-US"/>
        </w:rPr>
        <w:t>预警</w:t>
      </w:r>
      <w:r>
        <w:rPr>
          <w:rFonts w:hint="eastAsia"/>
          <w:sz w:val="24"/>
          <w:szCs w:val="24"/>
        </w:rPr>
        <w:t>产生的数据推送至政务外网侧的“耕地智保”平台，负责提供涉及的光纤线路。</w:t>
      </w:r>
    </w:p>
    <w:p>
      <w:pPr>
        <w:spacing w:line="360" w:lineRule="auto"/>
        <w:ind w:firstLine="480" w:firstLineChars="200"/>
        <w:rPr>
          <w:sz w:val="24"/>
          <w:szCs w:val="24"/>
        </w:rPr>
      </w:pPr>
      <w:r>
        <w:rPr>
          <w:rFonts w:hint="eastAsia"/>
          <w:sz w:val="24"/>
          <w:szCs w:val="24"/>
        </w:rPr>
        <w:t>三、采购具体内容</w:t>
      </w:r>
    </w:p>
    <w:p>
      <w:pPr>
        <w:spacing w:line="360" w:lineRule="auto"/>
        <w:ind w:firstLine="480" w:firstLineChars="200"/>
        <w:rPr>
          <w:sz w:val="24"/>
          <w:szCs w:val="24"/>
        </w:rPr>
      </w:pPr>
      <w:r>
        <w:rPr>
          <w:rFonts w:hint="eastAsia"/>
          <w:sz w:val="24"/>
          <w:szCs w:val="24"/>
        </w:rPr>
        <w:t>根据业务需求包括如下服务内容（含项目整体的三年维护）</w:t>
      </w:r>
    </w:p>
    <w:tbl>
      <w:tblPr>
        <w:tblStyle w:val="21"/>
        <w:tblW w:w="9087" w:type="dxa"/>
        <w:tblInd w:w="93" w:type="dxa"/>
        <w:tblLayout w:type="autofit"/>
        <w:tblCellMar>
          <w:top w:w="0" w:type="dxa"/>
          <w:left w:w="108" w:type="dxa"/>
          <w:bottom w:w="0" w:type="dxa"/>
          <w:right w:w="108" w:type="dxa"/>
        </w:tblCellMar>
      </w:tblPr>
      <w:tblGrid>
        <w:gridCol w:w="724"/>
        <w:gridCol w:w="8363"/>
      </w:tblGrid>
      <w:tr>
        <w:tblPrEx>
          <w:tblCellMar>
            <w:top w:w="0" w:type="dxa"/>
            <w:left w:w="108" w:type="dxa"/>
            <w:bottom w:w="0" w:type="dxa"/>
            <w:right w:w="108" w:type="dxa"/>
          </w:tblCellMar>
        </w:tblPrEx>
        <w:trPr>
          <w:trHeight w:val="416"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sz w:val="24"/>
              </w:rPr>
            </w:pPr>
            <w:r>
              <w:rPr>
                <w:rFonts w:hint="eastAsia"/>
                <w:color w:val="000000"/>
                <w:sz w:val="24"/>
              </w:rPr>
              <w:t>平台</w:t>
            </w:r>
          </w:p>
        </w:tc>
        <w:tc>
          <w:tcPr>
            <w:tcW w:w="8363" w:type="dxa"/>
            <w:tcBorders>
              <w:top w:val="single" w:color="auto" w:sz="4" w:space="0"/>
              <w:left w:val="nil"/>
              <w:bottom w:val="single" w:color="auto" w:sz="4" w:space="0"/>
              <w:right w:val="single" w:color="auto" w:sz="4" w:space="0"/>
            </w:tcBorders>
            <w:vAlign w:val="center"/>
          </w:tcPr>
          <w:p>
            <w:pPr>
              <w:widowControl/>
              <w:rPr>
                <w:color w:val="000000"/>
                <w:sz w:val="24"/>
              </w:rPr>
            </w:pPr>
            <w:r>
              <w:rPr>
                <w:rFonts w:hint="eastAsia"/>
                <w:color w:val="000000"/>
                <w:sz w:val="24"/>
              </w:rPr>
              <w:t xml:space="preserve">    </w:t>
            </w:r>
            <w:r>
              <w:rPr>
                <w:rFonts w:hint="eastAsia"/>
                <w:sz w:val="24"/>
              </w:rPr>
              <w:t>1、算法模型</w:t>
            </w:r>
            <w:r>
              <w:rPr>
                <w:rFonts w:hint="eastAsia"/>
                <w:sz w:val="24"/>
              </w:rPr>
              <w:br w:type="textWrapping"/>
            </w:r>
            <w:r>
              <w:rPr>
                <w:rFonts w:hint="eastAsia"/>
                <w:sz w:val="24"/>
              </w:rPr>
              <w:t xml:space="preserve">    （1）算法模型构建。构建包含板房棚房、脚手架、施工车辆、运输车辆等十九种耕地保护场景的算法模型库，实现摄像头全天自动巡查预警。</w:t>
            </w:r>
            <w:r>
              <w:rPr>
                <w:rFonts w:hint="eastAsia"/>
                <w:sz w:val="24"/>
              </w:rPr>
              <w:br w:type="textWrapping"/>
            </w:r>
            <w:r>
              <w:rPr>
                <w:rFonts w:hint="eastAsia"/>
                <w:sz w:val="24"/>
              </w:rPr>
              <w:t xml:space="preserve">    （2）算法模型优化。后端人员定期模拟、测试、总结，包括平原、山区、沿海等不同地域的特征值，综合分析环境、气候、地形等因素对AI识别的计算偏差影响，优化形成属地特征算法模型库，进一步完善AI分析能力。</w:t>
            </w:r>
            <w:r>
              <w:rPr>
                <w:rFonts w:hint="eastAsia"/>
                <w:sz w:val="24"/>
              </w:rPr>
              <w:br w:type="textWrapping"/>
            </w:r>
            <w:r>
              <w:rPr>
                <w:rFonts w:hint="eastAsia"/>
                <w:sz w:val="24"/>
              </w:rPr>
              <w:t xml:space="preserve">    2、预警机制</w:t>
            </w:r>
            <w:r>
              <w:rPr>
                <w:rFonts w:hint="eastAsia"/>
                <w:sz w:val="24"/>
              </w:rPr>
              <w:br w:type="textWrapping"/>
            </w:r>
            <w:r>
              <w:rPr>
                <w:rFonts w:hint="eastAsia"/>
                <w:sz w:val="24"/>
              </w:rPr>
              <w:t xml:space="preserve">    （1）预警识别。通过前端图像抓取比对后端对应模型库，利用深度学习算法识别目标特征生成预警图片。</w:t>
            </w:r>
            <w:r>
              <w:rPr>
                <w:rFonts w:hint="eastAsia"/>
                <w:sz w:val="24"/>
              </w:rPr>
              <w:br w:type="textWrapping"/>
            </w:r>
            <w:r>
              <w:rPr>
                <w:rFonts w:hint="eastAsia"/>
                <w:sz w:val="24"/>
              </w:rPr>
              <w:t xml:space="preserve">    （2）坐标定位。利用实时坐标转换技术，将摄像头经纬度、高度以及PTZ参数的空间坐标值转换到以大地2000坐标系为基准的一张图，生成目标经纬坐标，输出精准预警定位。</w:t>
            </w:r>
            <w:r>
              <w:rPr>
                <w:rFonts w:hint="eastAsia"/>
                <w:sz w:val="24"/>
              </w:rPr>
              <w:br w:type="textWrapping"/>
            </w:r>
            <w:r>
              <w:rPr>
                <w:rFonts w:hint="eastAsia"/>
                <w:sz w:val="24"/>
              </w:rPr>
              <w:t xml:space="preserve">    （3）预警信息。触发预警后第一时间推送预警详情包括预警时间、预警点位、预警坐标、预警类型、预警图片等，并在PC端发出高亮、警报提示。</w:t>
            </w:r>
            <w:r>
              <w:rPr>
                <w:rFonts w:hint="eastAsia"/>
                <w:sz w:val="24"/>
              </w:rPr>
              <w:br w:type="textWrapping"/>
            </w:r>
            <w:r>
              <w:rPr>
                <w:rFonts w:hint="eastAsia"/>
                <w:sz w:val="24"/>
              </w:rPr>
              <w:t xml:space="preserve">    （4）预警推送。匹配“耕地智保”终端执法系统及田长制管理机制；定制数据接口保障数据实时推送；同时实现田长反向通过终端调用摄像监控，完成日常部分巡查工作。</w:t>
            </w:r>
            <w:r>
              <w:rPr>
                <w:rFonts w:hint="eastAsia"/>
                <w:sz w:val="24"/>
              </w:rPr>
              <w:br w:type="textWrapping"/>
            </w:r>
            <w:r>
              <w:rPr>
                <w:rFonts w:hint="eastAsia"/>
                <w:sz w:val="24"/>
              </w:rPr>
              <w:t xml:space="preserve">    （5）重复预警去除。通过人工不断修正预警规则，剔除同一区域内重叠率过高的同类预警，有效提高AI识别效果。</w:t>
            </w:r>
            <w:r>
              <w:rPr>
                <w:rFonts w:hint="eastAsia"/>
                <w:sz w:val="24"/>
              </w:rPr>
              <w:br w:type="textWrapping"/>
            </w:r>
            <w:r>
              <w:rPr>
                <w:rFonts w:hint="eastAsia"/>
                <w:sz w:val="24"/>
              </w:rPr>
              <w:t xml:space="preserve">    （6）误报预警去除。每个摄像头针对十九种算法模型进行抓拍留档，通过人工定制接口定期回传准确信息（预警、误报、漏报、定点抓拍图片）作为算法再学习样本；人工二次判定为误报后，该场景下系统默认不再预警。</w:t>
            </w:r>
            <w:r>
              <w:rPr>
                <w:rFonts w:hint="eastAsia"/>
                <w:sz w:val="24"/>
              </w:rPr>
              <w:br w:type="textWrapping"/>
            </w:r>
            <w:r>
              <w:rPr>
                <w:rFonts w:hint="eastAsia"/>
                <w:sz w:val="24"/>
              </w:rPr>
              <w:t xml:space="preserve">    （7）预警优化。根据属地业务需求，对每个摄像头进行算法场景的优化调整，定期统计预警高发区域，结合算法场景、地块属性对预警频次、算法模型进行差异化修订，例如：默认耕地非农化预警频次为1次/天，可将高频发区域的预警频次提高到次/2小时，将中频发区域的预警频次提高到次/4小时，将低频发区域的频次降低为次/2天。同时可根据统计数据调整目标区域边界及区域内AI识别的不同算法模型，有效提高相关工作人员的处置效率。</w:t>
            </w:r>
            <w:r>
              <w:rPr>
                <w:rFonts w:hint="eastAsia"/>
                <w:sz w:val="24"/>
              </w:rPr>
              <w:br w:type="textWrapping"/>
            </w:r>
            <w:r>
              <w:rPr>
                <w:rFonts w:hint="eastAsia"/>
                <w:sz w:val="24"/>
              </w:rPr>
              <w:t xml:space="preserve">    3、业务融合</w:t>
            </w:r>
            <w:r>
              <w:rPr>
                <w:rFonts w:hint="eastAsia"/>
                <w:sz w:val="24"/>
              </w:rPr>
              <w:br w:type="textWrapping"/>
            </w:r>
            <w:r>
              <w:rPr>
                <w:rFonts w:hint="eastAsia"/>
                <w:sz w:val="24"/>
              </w:rPr>
              <w:t xml:space="preserve">    将AI识别与业务数据叠加分析。基于一张图上的地块属性及业务数据特征，进行图像识别和业务融合的叠加分析，输出综合分析结果，过滤无效预警。</w:t>
            </w:r>
            <w:r>
              <w:rPr>
                <w:rFonts w:hint="eastAsia"/>
                <w:sz w:val="24"/>
              </w:rPr>
              <w:br w:type="textWrapping"/>
            </w:r>
            <w:r>
              <w:rPr>
                <w:rFonts w:hint="eastAsia"/>
                <w:sz w:val="24"/>
              </w:rPr>
              <w:t xml:space="preserve">    4、统计分析</w:t>
            </w:r>
            <w:r>
              <w:rPr>
                <w:rFonts w:hint="eastAsia"/>
                <w:sz w:val="24"/>
              </w:rPr>
              <w:br w:type="textWrapping"/>
            </w:r>
            <w:r>
              <w:rPr>
                <w:rFonts w:hint="eastAsia"/>
                <w:sz w:val="24"/>
              </w:rPr>
              <w:t xml:space="preserve">    预警成果的大数据分析。支持将算法分析结果定期分类统计，作为属地部门及工作人员的阶段性工作考核依据；支持将算法分析结果与属地生态环境、经济发展等相关指标结合作为理论依据，辅助指导土地报批、土地整改、土地招商等决策。</w:t>
            </w:r>
            <w:r>
              <w:rPr>
                <w:rFonts w:hint="eastAsia"/>
                <w:sz w:val="24"/>
              </w:rPr>
              <w:br w:type="textWrapping"/>
            </w:r>
            <w:r>
              <w:rPr>
                <w:rFonts w:hint="eastAsia"/>
                <w:sz w:val="24"/>
              </w:rPr>
              <w:t xml:space="preserve">    5、共享复用</w:t>
            </w:r>
            <w:r>
              <w:rPr>
                <w:rFonts w:hint="eastAsia"/>
                <w:sz w:val="24"/>
              </w:rPr>
              <w:br w:type="textWrapping"/>
            </w:r>
            <w:r>
              <w:rPr>
                <w:rFonts w:hint="eastAsia"/>
                <w:sz w:val="24"/>
              </w:rPr>
              <w:t xml:space="preserve">    实现AI赋能，完成与存量监控搭载的平台进行数据对接，商议共享复用模式，确保通过盘活存量，低成本的补点增效。</w:t>
            </w:r>
          </w:p>
        </w:tc>
      </w:tr>
      <w:tr>
        <w:tblPrEx>
          <w:tblCellMar>
            <w:top w:w="0" w:type="dxa"/>
            <w:left w:w="108" w:type="dxa"/>
            <w:bottom w:w="0" w:type="dxa"/>
            <w:right w:w="108" w:type="dxa"/>
          </w:tblCellMar>
        </w:tblPrEx>
        <w:trPr>
          <w:trHeight w:val="1080"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sz w:val="24"/>
              </w:rPr>
            </w:pPr>
            <w:r>
              <w:rPr>
                <w:rFonts w:hint="eastAsia"/>
                <w:color w:val="000000"/>
                <w:sz w:val="24"/>
              </w:rPr>
              <w:t>铁塔服务</w:t>
            </w:r>
          </w:p>
        </w:tc>
        <w:tc>
          <w:tcPr>
            <w:tcW w:w="8363" w:type="dxa"/>
            <w:tcBorders>
              <w:top w:val="nil"/>
              <w:left w:val="nil"/>
              <w:bottom w:val="single" w:color="auto" w:sz="4" w:space="0"/>
              <w:right w:val="single" w:color="auto" w:sz="4" w:space="0"/>
            </w:tcBorders>
            <w:vAlign w:val="center"/>
          </w:tcPr>
          <w:p>
            <w:pPr>
              <w:widowControl/>
              <w:ind w:firstLine="480" w:firstLineChars="200"/>
              <w:rPr>
                <w:sz w:val="24"/>
              </w:rPr>
            </w:pPr>
            <w:r>
              <w:rPr>
                <w:rFonts w:hint="eastAsia"/>
                <w:sz w:val="24"/>
              </w:rPr>
              <w:t>依托点多面广的站点资源，提供35米-45米的挂高服务，以满足耕地大面积监管需求。同时提供完备的机房，以实现摄像头监控可稳定的提供视频服务。</w:t>
            </w:r>
          </w:p>
        </w:tc>
      </w:tr>
      <w:tr>
        <w:tblPrEx>
          <w:tblCellMar>
            <w:top w:w="0" w:type="dxa"/>
            <w:left w:w="108" w:type="dxa"/>
            <w:bottom w:w="0" w:type="dxa"/>
            <w:right w:w="108" w:type="dxa"/>
          </w:tblCellMar>
        </w:tblPrEx>
        <w:trPr>
          <w:trHeight w:val="1080"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sz w:val="24"/>
              </w:rPr>
            </w:pPr>
            <w:r>
              <w:rPr>
                <w:rFonts w:hint="eastAsia"/>
                <w:color w:val="000000"/>
                <w:sz w:val="24"/>
              </w:rPr>
              <w:t>耕地智保视联专有云</w:t>
            </w:r>
          </w:p>
        </w:tc>
        <w:tc>
          <w:tcPr>
            <w:tcW w:w="8363" w:type="dxa"/>
            <w:tcBorders>
              <w:top w:val="nil"/>
              <w:left w:val="nil"/>
              <w:bottom w:val="single" w:color="auto" w:sz="4" w:space="0"/>
              <w:right w:val="single" w:color="auto" w:sz="4" w:space="0"/>
            </w:tcBorders>
            <w:vAlign w:val="center"/>
          </w:tcPr>
          <w:p>
            <w:pPr>
              <w:widowControl/>
              <w:ind w:firstLine="480" w:firstLineChars="200"/>
              <w:rPr>
                <w:sz w:val="24"/>
              </w:rPr>
            </w:pPr>
            <w:r>
              <w:rPr>
                <w:rFonts w:hint="eastAsia"/>
                <w:color w:val="000000"/>
                <w:sz w:val="24"/>
              </w:rPr>
              <w:t>为保证项目视频数据安全，保证平台稳定运行、及时故障响应，采用铁塔专有云部署方式，综合考虑终端接入数、视联网应用平台、AI算法及三级等保安全等多项要求，需部署IDC机房、11台视频服务器、46台算法服务器、28台业务服务器、防火墙、等保、业务数据存储等。</w:t>
            </w:r>
          </w:p>
        </w:tc>
      </w:tr>
      <w:tr>
        <w:tblPrEx>
          <w:tblCellMar>
            <w:top w:w="0" w:type="dxa"/>
            <w:left w:w="108" w:type="dxa"/>
            <w:bottom w:w="0" w:type="dxa"/>
            <w:right w:w="108" w:type="dxa"/>
          </w:tblCellMar>
        </w:tblPrEx>
        <w:trPr>
          <w:trHeight w:val="390" w:hRule="atLeast"/>
        </w:trPr>
        <w:tc>
          <w:tcPr>
            <w:tcW w:w="724" w:type="dxa"/>
            <w:vMerge w:val="restart"/>
            <w:tcBorders>
              <w:top w:val="nil"/>
              <w:left w:val="single" w:color="auto" w:sz="4" w:space="0"/>
              <w:bottom w:val="single" w:color="auto" w:sz="4" w:space="0"/>
              <w:right w:val="single" w:color="auto" w:sz="4" w:space="0"/>
            </w:tcBorders>
            <w:vAlign w:val="center"/>
          </w:tcPr>
          <w:p>
            <w:pPr>
              <w:widowControl/>
              <w:jc w:val="center"/>
              <w:rPr>
                <w:color w:val="000000"/>
                <w:sz w:val="24"/>
              </w:rPr>
            </w:pPr>
            <w:r>
              <w:rPr>
                <w:rFonts w:hint="eastAsia"/>
                <w:color w:val="000000"/>
                <w:sz w:val="24"/>
              </w:rPr>
              <w:t>耕地智保视联链路</w:t>
            </w:r>
          </w:p>
        </w:tc>
        <w:tc>
          <w:tcPr>
            <w:tcW w:w="8363" w:type="dxa"/>
            <w:tcBorders>
              <w:top w:val="nil"/>
              <w:left w:val="nil"/>
              <w:bottom w:val="single" w:color="auto" w:sz="4" w:space="0"/>
              <w:right w:val="single" w:color="auto" w:sz="4" w:space="0"/>
            </w:tcBorders>
            <w:noWrap/>
            <w:vAlign w:val="center"/>
          </w:tcPr>
          <w:p>
            <w:pPr>
              <w:widowControl/>
              <w:ind w:firstLine="480" w:firstLineChars="200"/>
              <w:rPr>
                <w:sz w:val="24"/>
              </w:rPr>
            </w:pPr>
            <w:r>
              <w:rPr>
                <w:rFonts w:hint="eastAsia"/>
                <w:sz w:val="24"/>
              </w:rPr>
              <w:t>10M VPN专线链路，实现前端视频数据回传。</w:t>
            </w:r>
          </w:p>
        </w:tc>
      </w:tr>
      <w:tr>
        <w:tblPrEx>
          <w:tblCellMar>
            <w:top w:w="0" w:type="dxa"/>
            <w:left w:w="108" w:type="dxa"/>
            <w:bottom w:w="0" w:type="dxa"/>
            <w:right w:w="108" w:type="dxa"/>
          </w:tblCellMar>
        </w:tblPrEx>
        <w:trPr>
          <w:trHeight w:val="39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rPr>
                <w:color w:val="000000"/>
                <w:sz w:val="24"/>
              </w:rPr>
            </w:pPr>
          </w:p>
        </w:tc>
        <w:tc>
          <w:tcPr>
            <w:tcW w:w="8363" w:type="dxa"/>
            <w:vMerge w:val="restart"/>
            <w:tcBorders>
              <w:top w:val="nil"/>
              <w:left w:val="single" w:color="auto" w:sz="4" w:space="0"/>
              <w:bottom w:val="single" w:color="auto" w:sz="4" w:space="0"/>
              <w:right w:val="single" w:color="auto" w:sz="4" w:space="0"/>
            </w:tcBorders>
            <w:vAlign w:val="center"/>
          </w:tcPr>
          <w:p>
            <w:pPr>
              <w:widowControl/>
              <w:ind w:firstLine="480" w:firstLineChars="200"/>
              <w:rPr>
                <w:sz w:val="24"/>
              </w:rPr>
            </w:pPr>
            <w:r>
              <w:rPr>
                <w:rFonts w:hint="eastAsia"/>
                <w:sz w:val="24"/>
              </w:rPr>
              <w:t>耕地智保视联专有云链路，包含视频汇聚链路、政务专线链路，可实现视频数据回传分析，同时将分析结果推送至对应目标对象平台。</w:t>
            </w:r>
          </w:p>
        </w:tc>
      </w:tr>
      <w:tr>
        <w:tblPrEx>
          <w:tblCellMar>
            <w:top w:w="0" w:type="dxa"/>
            <w:left w:w="108" w:type="dxa"/>
            <w:bottom w:w="0" w:type="dxa"/>
            <w:right w:w="108" w:type="dxa"/>
          </w:tblCellMar>
        </w:tblPrEx>
        <w:trPr>
          <w:trHeight w:val="39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rPr>
                <w:color w:val="000000"/>
                <w:sz w:val="24"/>
              </w:rPr>
            </w:pPr>
          </w:p>
        </w:tc>
        <w:tc>
          <w:tcPr>
            <w:tcW w:w="8363" w:type="dxa"/>
            <w:vMerge w:val="continue"/>
            <w:tcBorders>
              <w:top w:val="nil"/>
              <w:left w:val="single" w:color="auto" w:sz="4" w:space="0"/>
              <w:bottom w:val="single" w:color="auto" w:sz="4" w:space="0"/>
              <w:right w:val="single" w:color="auto" w:sz="4" w:space="0"/>
            </w:tcBorders>
            <w:vAlign w:val="center"/>
          </w:tcPr>
          <w:p>
            <w:pPr>
              <w:widowControl/>
              <w:rPr>
                <w:sz w:val="24"/>
              </w:rPr>
            </w:pPr>
          </w:p>
        </w:tc>
      </w:tr>
      <w:tr>
        <w:tblPrEx>
          <w:tblCellMar>
            <w:top w:w="0" w:type="dxa"/>
            <w:left w:w="108" w:type="dxa"/>
            <w:bottom w:w="0" w:type="dxa"/>
            <w:right w:w="108" w:type="dxa"/>
          </w:tblCellMar>
        </w:tblPrEx>
        <w:trPr>
          <w:trHeight w:val="97"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000000"/>
                <w:sz w:val="24"/>
              </w:rPr>
            </w:pPr>
          </w:p>
        </w:tc>
        <w:tc>
          <w:tcPr>
            <w:tcW w:w="8363" w:type="dxa"/>
            <w:tcBorders>
              <w:top w:val="nil"/>
              <w:left w:val="nil"/>
              <w:bottom w:val="single" w:color="auto" w:sz="4" w:space="0"/>
              <w:right w:val="single" w:color="auto" w:sz="4" w:space="0"/>
            </w:tcBorders>
            <w:vAlign w:val="center"/>
          </w:tcPr>
          <w:p>
            <w:pPr>
              <w:widowControl/>
              <w:ind w:firstLine="480" w:firstLineChars="200"/>
              <w:rPr>
                <w:color w:val="000000"/>
                <w:sz w:val="24"/>
              </w:rPr>
            </w:pPr>
          </w:p>
        </w:tc>
      </w:tr>
      <w:tr>
        <w:tblPrEx>
          <w:tblCellMar>
            <w:top w:w="0" w:type="dxa"/>
            <w:left w:w="108" w:type="dxa"/>
            <w:bottom w:w="0" w:type="dxa"/>
            <w:right w:w="108" w:type="dxa"/>
          </w:tblCellMar>
        </w:tblPrEx>
        <w:trPr>
          <w:trHeight w:val="4581"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olor w:val="000000"/>
                <w:sz w:val="24"/>
              </w:rPr>
            </w:pPr>
            <w:r>
              <w:rPr>
                <w:rFonts w:hint="eastAsia"/>
                <w:color w:val="000000"/>
                <w:sz w:val="24"/>
              </w:rPr>
              <w:t>施工建设</w:t>
            </w:r>
          </w:p>
        </w:tc>
        <w:tc>
          <w:tcPr>
            <w:tcW w:w="8363" w:type="dxa"/>
            <w:tcBorders>
              <w:top w:val="single" w:color="auto" w:sz="4" w:space="0"/>
              <w:left w:val="nil"/>
              <w:bottom w:val="single" w:color="auto" w:sz="4" w:space="0"/>
              <w:right w:val="single" w:color="auto" w:sz="4" w:space="0"/>
            </w:tcBorders>
            <w:vAlign w:val="center"/>
          </w:tcPr>
          <w:p>
            <w:pPr>
              <w:widowControl/>
              <w:ind w:firstLine="480" w:firstLineChars="200"/>
              <w:rPr>
                <w:color w:val="000000"/>
                <w:sz w:val="24"/>
              </w:rPr>
            </w:pPr>
            <w:r>
              <w:rPr>
                <w:rFonts w:hint="eastAsia"/>
                <w:color w:val="000000"/>
                <w:sz w:val="24"/>
              </w:rPr>
              <w:t>该阶段工作内容包括了全域点位规划、现场勘察、设计监理、上塔施工等工作，提供相关施工辅材。</w:t>
            </w:r>
            <w:r>
              <w:rPr>
                <w:rFonts w:hint="eastAsia"/>
                <w:color w:val="000000"/>
                <w:sz w:val="24"/>
              </w:rPr>
              <w:br w:type="textWrapping"/>
            </w:r>
            <w:r>
              <w:rPr>
                <w:rFonts w:hint="eastAsia"/>
                <w:color w:val="000000"/>
                <w:sz w:val="24"/>
              </w:rPr>
              <w:t xml:space="preserve">    1、点位规划工作。铁塔联合各市、县资规局，结合基站站点位置信息、国土耕地图层数据，共同开展选点规划工作，确保耕地地块高覆盖。</w:t>
            </w:r>
          </w:p>
          <w:p>
            <w:pPr>
              <w:widowControl/>
              <w:ind w:firstLine="480" w:firstLineChars="200"/>
              <w:rPr>
                <w:color w:val="000000"/>
                <w:sz w:val="24"/>
              </w:rPr>
            </w:pPr>
            <w:r>
              <w:rPr>
                <w:color w:val="000000"/>
                <w:sz w:val="24"/>
              </w:rPr>
              <w:t>2</w:t>
            </w:r>
            <w:r>
              <w:rPr>
                <w:rFonts w:hint="eastAsia"/>
                <w:color w:val="000000"/>
                <w:sz w:val="24"/>
              </w:rPr>
              <w:t>、现场勘察工作。在图上选点完成后，逐点进行实地踏勘，编写点位踏勘日志。点位踏勘日志内容主要包括点位名称、经纬度坐标（现场精准采集）、高度、现场拍照或无人机、预安装位置、是否需加装支臂，机房产权，建议安装摄像机个数、安装摄像机类型、现场运营商线路接入情况等信息。</w:t>
            </w:r>
            <w:r>
              <w:rPr>
                <w:rFonts w:hint="eastAsia"/>
                <w:color w:val="000000"/>
                <w:sz w:val="24"/>
              </w:rPr>
              <w:br w:type="textWrapping"/>
            </w:r>
            <w:r>
              <w:rPr>
                <w:rFonts w:hint="eastAsia"/>
                <w:color w:val="000000"/>
                <w:sz w:val="24"/>
              </w:rPr>
              <w:t xml:space="preserve">    3、设计监理工作。根据现场勘察结果，将针对每个点位设计相关满足安装规范及业务要求的挂载方案。</w:t>
            </w:r>
          </w:p>
          <w:p>
            <w:pPr>
              <w:widowControl/>
              <w:ind w:firstLine="480" w:firstLineChars="200"/>
              <w:rPr>
                <w:color w:val="000000"/>
                <w:sz w:val="24"/>
              </w:rPr>
            </w:pPr>
            <w:r>
              <w:rPr>
                <w:color w:val="000000"/>
                <w:sz w:val="24"/>
              </w:rPr>
              <w:t>4</w:t>
            </w:r>
            <w:r>
              <w:rPr>
                <w:rFonts w:hint="eastAsia"/>
                <w:color w:val="000000"/>
                <w:sz w:val="24"/>
              </w:rPr>
              <w:t>、上塔安装工作。为获取高覆盖率，将尽量选择高点挂载，根据施工要求安装施工人员需具备特种作业资格证，同时以小组为单位（1车3人为一组）开展施工作业工作。一般至少需要3次上塔工作，包括监控初次上塔安装、监控水平方向调整、监控耕地视角方位调整等。</w:t>
            </w:r>
          </w:p>
        </w:tc>
      </w:tr>
      <w:tr>
        <w:tblPrEx>
          <w:tblCellMar>
            <w:top w:w="0" w:type="dxa"/>
            <w:left w:w="108" w:type="dxa"/>
            <w:bottom w:w="0" w:type="dxa"/>
            <w:right w:w="108" w:type="dxa"/>
          </w:tblCellMar>
        </w:tblPrEx>
        <w:trPr>
          <w:trHeight w:val="123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4"/>
                <w:lang w:val="en-US"/>
              </w:rPr>
            </w:pPr>
            <w:r>
              <w:rPr>
                <w:rFonts w:hint="eastAsia"/>
                <w:sz w:val="24"/>
                <w:lang w:val="en-US"/>
              </w:rPr>
              <w:t>项目建设周期</w:t>
            </w:r>
          </w:p>
        </w:tc>
        <w:tc>
          <w:tcPr>
            <w:tcW w:w="8363" w:type="dxa"/>
            <w:tcBorders>
              <w:top w:val="single" w:color="auto" w:sz="4" w:space="0"/>
              <w:left w:val="nil"/>
              <w:bottom w:val="single" w:color="auto" w:sz="4" w:space="0"/>
              <w:right w:val="single" w:color="auto" w:sz="4" w:space="0"/>
            </w:tcBorders>
            <w:vAlign w:val="center"/>
          </w:tcPr>
          <w:p>
            <w:pPr>
              <w:widowControl/>
              <w:rPr>
                <w:sz w:val="24"/>
                <w:lang w:val="en-US"/>
              </w:rPr>
            </w:pPr>
            <w:r>
              <w:rPr>
                <w:rFonts w:hint="eastAsia"/>
                <w:sz w:val="24"/>
                <w:lang w:val="en-US"/>
              </w:rPr>
              <w:t>4个月。</w:t>
            </w:r>
          </w:p>
        </w:tc>
      </w:tr>
      <w:tr>
        <w:tblPrEx>
          <w:tblCellMar>
            <w:top w:w="0" w:type="dxa"/>
            <w:left w:w="108" w:type="dxa"/>
            <w:bottom w:w="0" w:type="dxa"/>
            <w:right w:w="108" w:type="dxa"/>
          </w:tblCellMar>
        </w:tblPrEx>
        <w:trPr>
          <w:trHeight w:val="405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sz w:val="24"/>
              </w:rPr>
            </w:pPr>
            <w:r>
              <w:rPr>
                <w:rFonts w:hint="eastAsia"/>
                <w:sz w:val="24"/>
              </w:rPr>
              <w:t>维护</w:t>
            </w:r>
          </w:p>
        </w:tc>
        <w:tc>
          <w:tcPr>
            <w:tcW w:w="8363" w:type="dxa"/>
            <w:tcBorders>
              <w:top w:val="single" w:color="auto" w:sz="4" w:space="0"/>
              <w:left w:val="nil"/>
              <w:bottom w:val="single" w:color="auto" w:sz="4" w:space="0"/>
              <w:right w:val="single" w:color="auto" w:sz="4" w:space="0"/>
            </w:tcBorders>
            <w:vAlign w:val="center"/>
          </w:tcPr>
          <w:p>
            <w:pPr>
              <w:widowControl/>
              <w:ind w:firstLine="480" w:firstLineChars="200"/>
              <w:rPr>
                <w:color w:val="000000"/>
                <w:sz w:val="24"/>
              </w:rPr>
            </w:pPr>
            <w:r>
              <w:rPr>
                <w:rFonts w:hint="eastAsia"/>
                <w:sz w:val="24"/>
              </w:rPr>
              <w:t>1、视联业务维护内容主要包括：周期性巡检；（塔上塔下故障处理；资产资源管理；重要通信保障；隐患排查整治）；集中监控管理；资料信息安全管理；备品备件；上站配合等内容。</w:t>
            </w:r>
            <w:r>
              <w:rPr>
                <w:rFonts w:hint="eastAsia"/>
                <w:sz w:val="24"/>
              </w:rPr>
              <w:br w:type="textWrapping"/>
            </w:r>
            <w:r>
              <w:rPr>
                <w:rFonts w:hint="eastAsia"/>
                <w:sz w:val="24"/>
              </w:rPr>
              <w:t xml:space="preserve">    2、提供快速响应的运行维护服务。依托“物联网+互联网”集中监控平台，实现全区站址一点监控，通过机房内布署的摄像头、温湿度传感器、烟感、空调、门禁、照明、红外、水浸、电源监测、蓄电池监测传感器，实时掌握机房环境及设备运行状态。当出现异常预警，系统会自动预警并自动派单到站点维护人员，实现快速处置恢复。</w:t>
            </w:r>
            <w:r>
              <w:rPr>
                <w:rFonts w:hint="eastAsia"/>
                <w:sz w:val="24"/>
              </w:rPr>
              <w:br w:type="textWrapping"/>
            </w:r>
            <w:r>
              <w:rPr>
                <w:rFonts w:hint="eastAsia"/>
                <w:sz w:val="24"/>
              </w:rPr>
              <w:t xml:space="preserve">    3、设有省、市、区三级维护团队架构，拥有网格化的处理能力，配备应急车、油机及专业运维人员，可保证及时处理相关问题（2小时内响应，24小时内上站处理；塔上故障处理：2小时内响应，48小时内上站处理）。</w:t>
            </w:r>
            <w:r>
              <w:rPr>
                <w:rFonts w:hint="eastAsia"/>
                <w:sz w:val="24"/>
              </w:rPr>
              <w:br w:type="textWrapping"/>
            </w:r>
            <w:r>
              <w:rPr>
                <w:rFonts w:hint="eastAsia"/>
                <w:sz w:val="24"/>
              </w:rPr>
              <w:t xml:space="preserve">    4、连续稳定的电力供应。每个站点均有完备的电力供应，形式包括市电、UPS蓄电池、油机等等，当站点出现外市电断电时，蓄电池将会自动切换进行供电，而蓄电池供应到一定程度，则会启动人工油机发电的方式保证电力供应。</w:t>
            </w:r>
          </w:p>
        </w:tc>
      </w:tr>
      <w:tr>
        <w:tblPrEx>
          <w:tblCellMar>
            <w:top w:w="0" w:type="dxa"/>
            <w:left w:w="108" w:type="dxa"/>
            <w:bottom w:w="0" w:type="dxa"/>
            <w:right w:w="108" w:type="dxa"/>
          </w:tblCellMar>
        </w:tblPrEx>
        <w:trPr>
          <w:trHeight w:val="1632"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4"/>
              </w:rPr>
            </w:pPr>
            <w:r>
              <w:rPr>
                <w:rFonts w:hint="eastAsia"/>
                <w:color w:val="000000"/>
                <w:sz w:val="24"/>
              </w:rPr>
              <w:t>视频终端服务</w:t>
            </w:r>
          </w:p>
        </w:tc>
        <w:tc>
          <w:tcPr>
            <w:tcW w:w="8363" w:type="dxa"/>
            <w:tcBorders>
              <w:top w:val="single" w:color="auto" w:sz="4" w:space="0"/>
              <w:left w:val="nil"/>
              <w:bottom w:val="single" w:color="auto" w:sz="4" w:space="0"/>
              <w:right w:val="single" w:color="auto" w:sz="4" w:space="0"/>
            </w:tcBorders>
            <w:vAlign w:val="center"/>
          </w:tcPr>
          <w:p>
            <w:pPr>
              <w:widowControl/>
              <w:ind w:firstLine="480" w:firstLineChars="200"/>
              <w:rPr>
                <w:sz w:val="24"/>
              </w:rPr>
            </w:pPr>
            <w:r>
              <w:rPr>
                <w:rFonts w:hint="eastAsia"/>
                <w:sz w:val="24"/>
              </w:rPr>
              <w:t>视频终端使用8寸400万智能红外网络球机，镜头焦距7.4mm~333mm，光学变倍可达到45倍，具备线扫、巡航、巡迹、预置点、光学透雾、陀螺仪辅助电子防抖、超星光功能，同时提供</w:t>
            </w:r>
            <w:r>
              <w:rPr>
                <w:rFonts w:hint="eastAsia"/>
                <w:b/>
                <w:bCs/>
                <w:sz w:val="24"/>
              </w:rPr>
              <w:t>三</w:t>
            </w:r>
            <w:r>
              <w:rPr>
                <w:rFonts w:hint="eastAsia"/>
                <w:sz w:val="24"/>
              </w:rPr>
              <w:t>年的维保服务。</w:t>
            </w:r>
          </w:p>
        </w:tc>
      </w:tr>
    </w:tbl>
    <w:p>
      <w:pPr>
        <w:widowControl/>
        <w:rPr>
          <w:b/>
          <w:sz w:val="24"/>
        </w:rPr>
      </w:pPr>
    </w:p>
    <w:p>
      <w:pPr>
        <w:widowControl/>
        <w:rPr>
          <w:b/>
          <w:sz w:val="24"/>
        </w:rPr>
      </w:pPr>
    </w:p>
    <w:p>
      <w:pPr>
        <w:widowControl/>
        <w:rPr>
          <w:b/>
          <w:sz w:val="24"/>
        </w:rPr>
      </w:pPr>
    </w:p>
    <w:p>
      <w:pPr>
        <w:widowControl/>
        <w:rPr>
          <w:b/>
          <w:sz w:val="24"/>
        </w:rPr>
      </w:pPr>
    </w:p>
    <w:p>
      <w:pPr>
        <w:widowControl/>
        <w:rPr>
          <w:b/>
          <w:sz w:val="24"/>
        </w:rPr>
      </w:pPr>
    </w:p>
    <w:p>
      <w:pPr>
        <w:widowControl/>
        <w:rPr>
          <w:b/>
          <w:sz w:val="24"/>
        </w:rPr>
      </w:pPr>
      <w:r>
        <w:rPr>
          <w:rFonts w:hint="eastAsia"/>
          <w:b/>
          <w:sz w:val="24"/>
        </w:rPr>
        <w:t>附件</w:t>
      </w:r>
      <w:r>
        <w:rPr>
          <w:b/>
          <w:sz w:val="24"/>
        </w:rPr>
        <w:t>1</w:t>
      </w:r>
      <w:r>
        <w:rPr>
          <w:rFonts w:hint="eastAsia"/>
          <w:b/>
          <w:sz w:val="24"/>
        </w:rPr>
        <w:t>站址清单</w:t>
      </w:r>
    </w:p>
    <w:tbl>
      <w:tblPr>
        <w:tblStyle w:val="21"/>
        <w:tblW w:w="8929" w:type="dxa"/>
        <w:tblInd w:w="0" w:type="dxa"/>
        <w:tblLayout w:type="fixed"/>
        <w:tblCellMar>
          <w:top w:w="0" w:type="dxa"/>
          <w:left w:w="108" w:type="dxa"/>
          <w:bottom w:w="0" w:type="dxa"/>
          <w:right w:w="108" w:type="dxa"/>
        </w:tblCellMar>
      </w:tblPr>
      <w:tblGrid>
        <w:gridCol w:w="576"/>
        <w:gridCol w:w="753"/>
        <w:gridCol w:w="835"/>
        <w:gridCol w:w="2475"/>
        <w:gridCol w:w="1440"/>
        <w:gridCol w:w="1620"/>
        <w:gridCol w:w="1230"/>
      </w:tblGrid>
      <w:tr>
        <w:tblPrEx>
          <w:tblCellMar>
            <w:top w:w="0" w:type="dxa"/>
            <w:left w:w="108" w:type="dxa"/>
            <w:bottom w:w="0" w:type="dxa"/>
            <w:right w:w="108" w:type="dxa"/>
          </w:tblCellMar>
        </w:tblPrEx>
        <w:trPr>
          <w:trHeight w:val="480" w:hRule="atLeast"/>
        </w:trPr>
        <w:tc>
          <w:tcPr>
            <w:tcW w:w="8929"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heme="minorEastAsia" w:hAnsiTheme="minorEastAsia" w:eastAsiaTheme="minorEastAsia"/>
                <w:b/>
                <w:bCs/>
                <w:color w:val="000000"/>
                <w:sz w:val="24"/>
              </w:rPr>
            </w:pPr>
            <w:r>
              <w:rPr>
                <w:rFonts w:hint="eastAsia" w:asciiTheme="minorEastAsia" w:hAnsiTheme="minorEastAsia" w:eastAsiaTheme="minorEastAsia"/>
                <w:color w:val="000000"/>
                <w:sz w:val="24"/>
              </w:rPr>
              <w:t>柯城区“耕地智保”服务站址清单</w:t>
            </w: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地市</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区县</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站 址 名 称</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经  度</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纬  度</w:t>
            </w:r>
          </w:p>
        </w:tc>
        <w:tc>
          <w:tcPr>
            <w:tcW w:w="1230" w:type="dxa"/>
            <w:tcBorders>
              <w:top w:val="nil"/>
              <w:left w:val="nil"/>
              <w:bottom w:val="single" w:color="auto" w:sz="4" w:space="0"/>
              <w:righ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柯城万田白塔</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118.861846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29.018276</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被替换</w:t>
            </w:r>
          </w:p>
        </w:tc>
      </w:tr>
      <w:tr>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0"/>
                <w:szCs w:val="20"/>
                <w:highlight w:val="yellow"/>
              </w:rPr>
            </w:pPr>
            <w:r>
              <w:rPr>
                <w:rFonts w:hint="eastAsia" w:asciiTheme="minorEastAsia" w:hAnsiTheme="minorEastAsia" w:eastAsiaTheme="minorEastAsia"/>
                <w:color w:val="000000"/>
                <w:sz w:val="24"/>
              </w:rPr>
              <w:t>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衢州上下蒋安置房</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118.860985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29.012045</w:t>
            </w:r>
          </w:p>
        </w:tc>
        <w:tc>
          <w:tcPr>
            <w:tcW w:w="1230" w:type="dxa"/>
            <w:tcBorders>
              <w:top w:val="nil"/>
              <w:left w:val="nil"/>
              <w:bottom w:val="single" w:color="auto" w:sz="4" w:space="0"/>
              <w:right w:val="single" w:color="auto" w:sz="8" w:space="0"/>
            </w:tcBorders>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替换</w:t>
            </w: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柯城华墅园林东</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118.755203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28.874901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衢州华墅连塘</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118.763525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28.900943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柯城万田曼头山</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118.860785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29.042826</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柯城万田坞石</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118.833298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29.009601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衢州沙埠村</w:t>
            </w:r>
          </w:p>
        </w:tc>
        <w:tc>
          <w:tcPr>
            <w:tcW w:w="1440" w:type="dxa"/>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118.923903</w:t>
            </w:r>
          </w:p>
        </w:tc>
        <w:tc>
          <w:tcPr>
            <w:tcW w:w="1620" w:type="dxa"/>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28.909552</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衢州严村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118.784052</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28.942295</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柯城航埠横源塘</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118.756203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28.968701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柯城航埠万川</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118.795919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28.917183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衢州梅村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118.814636</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28.980481</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衢州王家村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118.848245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29.022461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华墅水阁</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118.742302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28.859901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柯城华墅石溪塘-2</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118.785896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28.896999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柯城万田山坑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118.881798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29.029801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衢州新新白沙</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118.904823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28.929277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柯城航埠北一新村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118.720162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28.939978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衢州九华乡</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118.842493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29.056518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衢州刘坂</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118.760425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28.888152</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衢州陈家碓边</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118.871841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28.995469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柯城沟溪五十都</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118.700104</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28.994801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衢州九华上宅</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118.822381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29.038443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柯城航埠陈村坞</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118.771004</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28.975001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衢州石室汇聚</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118.908611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28.867305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衢州里前坞</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118.780701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28.994901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柯城石梁玫瑰园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118.809878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29.004863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柯城黄家双塘头</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118.851303</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28.919399</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衢州毕家</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118.890301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28.851201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衢州汪村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118.815341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28.942328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衢州普星燃机热电厂</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118.772366</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28.924273</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衢州龙泉头</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118.734517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28.845517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衢州航埠枧陈</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118.745903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28.941299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柯城九华上童</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118.874628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29.058157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衢州华墅工业园区</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118.731093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28.867527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衢州后屋</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118.733465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28.962507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衢州余西</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118.722258</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28.977835</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衢州万川东搬迁</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118.811302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28.912001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衢州石梁二</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118.792723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29.025901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衢州花园普珠院</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118.893735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28.889299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衢州万田慈姑垄</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118.841573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29.000491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衢州三十六亩</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118.787447</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28.967908</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柯城石室崇文</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118.917413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28.892947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衢州高源</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118.856321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29.067511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衢州花园姜村-2</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118.871997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28.920285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衢州万田村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118.847295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29.035277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衢州柯城快速通道</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118.907898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28.982201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衢州东村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118.925167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28.857641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柯城华墅坞口垄水库</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118.750221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28.893938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衢州下卢新村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118.838601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28.914701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衢州两头塘</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118.763441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29.006481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柯城沟溪碗东-2</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118.719201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29.009701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衢州碓塘底</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118.874912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29.034692</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柯城石梁斗目垄</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118.737801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28.994901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柯城石梁小沟村南</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118.740997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29.024201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衢州五十都</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118.719381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28.992205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柯城万田池家</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118.869376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29.009536</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柯城姜家山三山</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118.792789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28.982876</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衢州柴家</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118.778136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28.894743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衢州华墅棠村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118.764626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28.867907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59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衢州姜家山</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118.821664</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28.975431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柯城石室岭底</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118.886201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28.863998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衢州华墅</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118.730081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28.884133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衢州石梁黄茶2</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118.766296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29.030399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衢州柯城白云佳苑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118.782135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29.008801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柯城航埠昆仑包装</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118.759003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28.937599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衢州花园松园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118.899803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28.916501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衢州汪村西</w:t>
            </w:r>
          </w:p>
        </w:tc>
        <w:tc>
          <w:tcPr>
            <w:tcW w:w="1440" w:type="dxa"/>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118.798203</w:t>
            </w:r>
          </w:p>
        </w:tc>
        <w:tc>
          <w:tcPr>
            <w:tcW w:w="1620" w:type="dxa"/>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28.944269</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衢州顺家路边</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118.850467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29.007904</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柯城黄家吕宅</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118.863393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28.900695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衢州上彭川中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118.866027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29.073855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衢州梅家二</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118.834001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28.935801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柯城姚家山村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118.754402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28.956101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衢江万村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118.799895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28.897311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衢州塔石岭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118.877602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29.047501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衢州东滨路沙埠</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118.926405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28.915444</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衢州华墅园林</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118.749001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28.868299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柯城石梁蒋家村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118.829201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28.988899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柯城沟溪后坞</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118.738701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28.966201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衢州石室乡中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118.921242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28.870978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衢州梅坑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118.696443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29.002221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衢州刘畈</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118.765195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28.884134</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衢州航埠大力口村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118.763449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28.914007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衢州石梁大埂</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118.751135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29.003298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柯城姜家山郑云村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118.809975</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28.963558</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衢州九华溪淤</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118.850359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29.074873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柯城万田余家山头</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118.870193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29.023907</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衢州下静岩</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118.810501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29.014901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衢州关溪</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118.821013</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29.069234</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柯城华墅上墅村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118.711403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28.872001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衢州杨家西边</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118.894897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29.026501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衢州小沟</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118.735687</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29.034311</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衢州盈川小区[移]</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118.851258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28.991125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衢州缸窑村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118.884527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28.884612</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衢州杨家源</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118.794863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29.050269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柯城沟溪余东</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118.730499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28.982401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柯城航埠外前坞</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118.780296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28.983701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衢州莲塘</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118.760482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28.903052</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衢州沟溪二</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118.721184</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28.955358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柯城航埠王家坂</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118.733597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28.924401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柯城石室堰头</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118.897003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28.880699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衢州童家</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118.915498</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28.846821</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柯城白沙垃圾站</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118.909599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28.940701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衢州上童</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118.871414</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29.057435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衢州上铺</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118.827604</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29.048705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衢州宋家垄村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118.748199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28.982101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衢州荞麦坞</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118.824655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29.005273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衢州炉头村西</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118.845199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29.016023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柯城航埠坞里</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118.788002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28.914801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衢州柯城九华塔石岭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118.880967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29.057089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衢州早田</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118.752404</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29.159054</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衢州窑坪</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118.855701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29.046101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衢州内近山</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118.830453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29.072478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衢州直力村南</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118.728395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28.995123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衢州航埠西山府</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118.736198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28.931101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柯城刘畈东</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118.768701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28.888101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柯城九华上彭川</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118.863907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29.078401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衢州下村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118.768634</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29.042723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柯城航埠严村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118.770302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28.955799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衢州三官岭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118.712236</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28.895006</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衢州九华下坦村里西垄(远)</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118.828478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29.022605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衢州五十都二</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118.697601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28.988701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衢州万田荷塘村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118.861577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29.031656</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柯城航埠长条坞</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118.721199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28.932501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衢州中央方</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118.800917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28.998694</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柯城石梁何双蓬</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118.756897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28.976999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衢州万川</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118.807201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28.915901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衢州金坂</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118.742382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28.901578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衢州黄家十五里</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118.840137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28.906446</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衢州巨化怡水苑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118.912796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28.889001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衢州治岭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118.809622</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29.178779</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柯城航埠凤凰山</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118.767197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28.929001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衢州园森特大桥0号园林村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118.744786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28.868486</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衢州寺坞</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118.808802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29.110188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衢州上洋机械</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118.884598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28.927099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衢州元立变电所</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118.871027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28.898981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衢州石室沙埠</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118.915601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28.910222</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衢州少伸</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118.788127</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29.157423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衢州白云回龙</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118.825716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28.961653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柯城华墅工业园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118.725311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28.863751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衢州上万金万</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118.801069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28.931075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140</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衢州石梁北</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118.774498</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29.019885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141</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衢州华友钴业南大楼</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118.864145</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28.870105</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142</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衢州石室天苍岭</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118.937501</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28.840501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143</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柯城石室荆溪</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118.923103</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28.876801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144</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衢州吴家山头搬迁</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118.806832</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28.982651</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145</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衢州丰家村</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118.840797</w:t>
            </w:r>
          </w:p>
        </w:tc>
        <w:tc>
          <w:tcPr>
            <w:tcW w:w="162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28.928801</w:t>
            </w:r>
          </w:p>
        </w:tc>
        <w:tc>
          <w:tcPr>
            <w:tcW w:w="1230" w:type="dxa"/>
            <w:tcBorders>
              <w:top w:val="nil"/>
              <w:left w:val="nil"/>
              <w:bottom w:val="single" w:color="auto" w:sz="4" w:space="0"/>
              <w:right w:val="single" w:color="auto" w:sz="4" w:space="0"/>
            </w:tcBorders>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146</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衢州下坦</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118.825759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29.036153</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147</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衢州桃坎头</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118.90499</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28.86039</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148</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柯城黄家新山底</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118.846816</w:t>
            </w:r>
          </w:p>
        </w:tc>
        <w:tc>
          <w:tcPr>
            <w:tcW w:w="1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28.880488</w:t>
            </w:r>
          </w:p>
        </w:tc>
        <w:tc>
          <w:tcPr>
            <w:tcW w:w="1230" w:type="dxa"/>
            <w:tcBorders>
              <w:top w:val="nil"/>
              <w:left w:val="nil"/>
              <w:bottom w:val="single" w:color="auto" w:sz="4" w:space="0"/>
              <w:right w:val="single" w:color="auto" w:sz="8" w:space="0"/>
            </w:tcBorders>
          </w:tcPr>
          <w:p>
            <w:pPr>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280" w:hRule="atLeast"/>
        </w:trPr>
        <w:tc>
          <w:tcPr>
            <w:tcW w:w="576" w:type="dxa"/>
            <w:tcBorders>
              <w:top w:val="nil"/>
              <w:left w:val="single" w:color="auto" w:sz="8" w:space="0"/>
              <w:bottom w:val="single" w:color="auto" w:sz="8"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149</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衢州</w:t>
            </w:r>
          </w:p>
        </w:tc>
        <w:tc>
          <w:tcPr>
            <w:tcW w:w="8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柯城</w:t>
            </w:r>
          </w:p>
        </w:tc>
        <w:tc>
          <w:tcPr>
            <w:tcW w:w="2475" w:type="dxa"/>
            <w:tcBorders>
              <w:top w:val="nil"/>
              <w:left w:val="nil"/>
              <w:bottom w:val="single" w:color="auto" w:sz="8"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衢州寺前村南</w:t>
            </w:r>
          </w:p>
        </w:tc>
        <w:tc>
          <w:tcPr>
            <w:tcW w:w="1440" w:type="dxa"/>
            <w:tcBorders>
              <w:top w:val="nil"/>
              <w:left w:val="nil"/>
              <w:bottom w:val="single" w:color="auto" w:sz="8"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118.877701</w:t>
            </w:r>
          </w:p>
        </w:tc>
        <w:tc>
          <w:tcPr>
            <w:tcW w:w="162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28.857201</w:t>
            </w:r>
          </w:p>
        </w:tc>
        <w:tc>
          <w:tcPr>
            <w:tcW w:w="1230" w:type="dxa"/>
            <w:tcBorders>
              <w:top w:val="nil"/>
              <w:left w:val="nil"/>
              <w:bottom w:val="single" w:color="auto" w:sz="8" w:space="0"/>
              <w:right w:val="single" w:color="auto" w:sz="8" w:space="0"/>
            </w:tcBorders>
          </w:tcPr>
          <w:p>
            <w:pPr>
              <w:jc w:val="center"/>
              <w:rPr>
                <w:rFonts w:asciiTheme="minorEastAsia" w:hAnsiTheme="minorEastAsia" w:eastAsiaTheme="minorEastAsia"/>
                <w:sz w:val="24"/>
              </w:rPr>
            </w:pPr>
          </w:p>
        </w:tc>
      </w:tr>
    </w:tbl>
    <w:p/>
    <w:p>
      <w:pPr>
        <w:spacing w:line="360" w:lineRule="auto"/>
        <w:ind w:firstLine="482" w:firstLineChars="200"/>
        <w:rPr>
          <w:b/>
          <w:bCs/>
          <w:sz w:val="24"/>
          <w:szCs w:val="24"/>
          <w:lang w:val="en-US"/>
        </w:rPr>
      </w:pPr>
    </w:p>
    <w:p>
      <w:pPr>
        <w:spacing w:line="360" w:lineRule="auto"/>
        <w:ind w:firstLine="420" w:firstLineChars="200"/>
        <w:rPr>
          <w:rFonts w:asciiTheme="minorEastAsia" w:hAnsiTheme="minorEastAsia" w:eastAsiaTheme="minorEastAsia" w:cstheme="minorEastAsia"/>
          <w:sz w:val="21"/>
          <w:szCs w:val="21"/>
        </w:rPr>
      </w:pPr>
    </w:p>
    <w:p>
      <w:pPr>
        <w:pStyle w:val="20"/>
        <w:rPr>
          <w:rFonts w:asciiTheme="minorEastAsia" w:hAnsiTheme="minorEastAsia" w:eastAsiaTheme="minorEastAsia" w:cstheme="minorEastAsia"/>
          <w:sz w:val="21"/>
          <w:szCs w:val="21"/>
          <w:lang w:eastAsia="zh-CN"/>
        </w:rPr>
      </w:pPr>
    </w:p>
    <w:p>
      <w:pPr>
        <w:rPr>
          <w:rFonts w:asciiTheme="minorEastAsia" w:hAnsiTheme="minorEastAsia" w:eastAsiaTheme="minorEastAsia" w:cstheme="minorEastAsia"/>
          <w:sz w:val="21"/>
          <w:szCs w:val="21"/>
        </w:rPr>
      </w:pPr>
    </w:p>
    <w:p>
      <w:pPr>
        <w:pStyle w:val="20"/>
        <w:rPr>
          <w:rFonts w:asciiTheme="minorEastAsia" w:hAnsiTheme="minorEastAsia" w:eastAsiaTheme="minorEastAsia" w:cstheme="minorEastAsia"/>
          <w:sz w:val="21"/>
          <w:szCs w:val="21"/>
          <w:lang w:eastAsia="zh-CN"/>
        </w:rPr>
      </w:pPr>
    </w:p>
    <w:p>
      <w:pPr>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pStyle w:val="2"/>
      </w:pPr>
    </w:p>
    <w:p>
      <w:pPr>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pStyle w:val="3"/>
        <w:tabs>
          <w:tab w:val="left" w:pos="1442"/>
        </w:tabs>
        <w:spacing w:before="49" w:line="312" w:lineRule="auto"/>
        <w:ind w:right="541"/>
        <w:rPr>
          <w:rFonts w:asciiTheme="minorEastAsia" w:hAnsiTheme="minorEastAsia" w:eastAsiaTheme="minorEastAsia" w:cstheme="minorEastAsia"/>
          <w:sz w:val="28"/>
          <w:szCs w:val="28"/>
        </w:rPr>
      </w:pPr>
      <w:bookmarkStart w:id="15" w:name="_Toc18780"/>
      <w:bookmarkStart w:id="16" w:name="_Toc11720"/>
      <w:r>
        <w:rPr>
          <w:rFonts w:hint="eastAsia" w:asciiTheme="minorEastAsia" w:hAnsiTheme="minorEastAsia" w:eastAsiaTheme="minorEastAsia" w:cstheme="minorEastAsia"/>
          <w:sz w:val="28"/>
          <w:szCs w:val="28"/>
        </w:rPr>
        <w:t>第三章供应商须知</w:t>
      </w:r>
      <w:bookmarkEnd w:id="15"/>
      <w:bookmarkEnd w:id="16"/>
    </w:p>
    <w:p>
      <w:pPr>
        <w:pStyle w:val="8"/>
        <w:spacing w:before="243" w:line="312" w:lineRule="auto"/>
        <w:ind w:right="541"/>
        <w:jc w:val="left"/>
        <w:rPr>
          <w:sz w:val="24"/>
          <w:szCs w:val="24"/>
        </w:rPr>
      </w:pPr>
      <w:bookmarkStart w:id="17" w:name="一、采购说明"/>
      <w:bookmarkEnd w:id="17"/>
      <w:bookmarkStart w:id="18" w:name="_Toc32344"/>
      <w:r>
        <w:rPr>
          <w:rFonts w:hint="eastAsia"/>
          <w:b/>
          <w:bCs/>
          <w:sz w:val="24"/>
          <w:szCs w:val="24"/>
        </w:rPr>
        <w:t>一、采购说明</w:t>
      </w:r>
      <w:bookmarkEnd w:id="18"/>
    </w:p>
    <w:p>
      <w:pPr>
        <w:pStyle w:val="9"/>
        <w:spacing w:line="360" w:lineRule="auto"/>
        <w:ind w:left="0" w:firstLine="482" w:firstLineChars="200"/>
      </w:pPr>
      <w:bookmarkStart w:id="19" w:name="_Toc27505"/>
      <w:bookmarkStart w:id="20" w:name="_Toc9238"/>
      <w:r>
        <w:rPr>
          <w:rFonts w:hint="eastAsia"/>
        </w:rPr>
        <w:t>1、法规及文件解释</w:t>
      </w:r>
      <w:bookmarkEnd w:id="19"/>
      <w:bookmarkEnd w:id="20"/>
    </w:p>
    <w:p>
      <w:pPr>
        <w:pStyle w:val="2"/>
        <w:spacing w:line="360" w:lineRule="auto"/>
        <w:ind w:left="0" w:firstLine="480" w:firstLineChars="200"/>
        <w:jc w:val="both"/>
      </w:pPr>
      <w:r>
        <w:rPr>
          <w:rFonts w:hint="eastAsia"/>
          <w:lang w:val="en-US"/>
        </w:rPr>
        <w:t>1.1</w:t>
      </w:r>
      <w:r>
        <w:rPr>
          <w:rFonts w:hint="eastAsia"/>
        </w:rPr>
        <w:t>供应商如对采购文件有异议，应当在递交采购响应文件截止时间 3 个工作日</w:t>
      </w:r>
      <w:r>
        <w:rPr>
          <w:rFonts w:hint="eastAsia"/>
          <w:spacing w:val="-2"/>
        </w:rPr>
        <w:t xml:space="preserve">前书面向采购代理机构提出，采购代理机构在递交采购响应文件截止时间前 </w:t>
      </w:r>
      <w:r>
        <w:rPr>
          <w:rFonts w:hint="eastAsia"/>
        </w:rPr>
        <w:t>1</w:t>
      </w:r>
      <w:r>
        <w:rPr>
          <w:rFonts w:hint="eastAsia"/>
          <w:spacing w:val="-35"/>
        </w:rPr>
        <w:t xml:space="preserve"> 个</w:t>
      </w:r>
      <w:r>
        <w:rPr>
          <w:rFonts w:hint="eastAsia"/>
          <w:spacing w:val="-1"/>
        </w:rPr>
        <w:t>工作日内统一进行澄清和修改，并书面通知采购文件收受人。逾期提出的可不予</w:t>
      </w:r>
      <w:r>
        <w:rPr>
          <w:rFonts w:hint="eastAsia"/>
        </w:rPr>
        <w:t>受理、答复。</w:t>
      </w:r>
    </w:p>
    <w:p>
      <w:pPr>
        <w:pStyle w:val="2"/>
        <w:spacing w:line="360" w:lineRule="auto"/>
        <w:ind w:left="0" w:firstLine="472" w:firstLineChars="200"/>
        <w:jc w:val="both"/>
        <w:rPr>
          <w:spacing w:val="-2"/>
        </w:rPr>
      </w:pPr>
      <w:r>
        <w:rPr>
          <w:rFonts w:hint="eastAsia"/>
          <w:spacing w:val="-2"/>
          <w:lang w:val="en-US"/>
        </w:rPr>
        <w:t>1.2</w:t>
      </w:r>
      <w:r>
        <w:rPr>
          <w:rFonts w:hint="eastAsia"/>
          <w:spacing w:val="-2"/>
        </w:rPr>
        <w:t>不论采购代理机构向供应商发送的资料文件，还是供应商提出的问题，均采用书面形式，任何口头提问及答复一律无效。</w:t>
      </w:r>
    </w:p>
    <w:p>
      <w:pPr>
        <w:pStyle w:val="2"/>
        <w:spacing w:line="360" w:lineRule="auto"/>
        <w:ind w:left="0" w:firstLine="472" w:firstLineChars="200"/>
        <w:jc w:val="both"/>
        <w:rPr>
          <w:spacing w:val="-2"/>
        </w:rPr>
      </w:pPr>
      <w:r>
        <w:rPr>
          <w:rFonts w:hint="eastAsia"/>
          <w:spacing w:val="-2"/>
          <w:lang w:val="en-US"/>
        </w:rPr>
        <w:t>1.3</w:t>
      </w:r>
      <w:r>
        <w:rPr>
          <w:rFonts w:hint="eastAsia"/>
          <w:spacing w:val="-2"/>
        </w:rPr>
        <w:t>供应商一旦参与到本次采购中，即被视为接受了本次采购文件的所有内容， 如有异议，均已在答疑截止时间前提出。</w:t>
      </w:r>
    </w:p>
    <w:p>
      <w:pPr>
        <w:pStyle w:val="2"/>
        <w:spacing w:line="360" w:lineRule="auto"/>
        <w:ind w:left="0" w:firstLine="472" w:firstLineChars="200"/>
        <w:jc w:val="both"/>
        <w:rPr>
          <w:spacing w:val="-2"/>
        </w:rPr>
      </w:pPr>
      <w:r>
        <w:rPr>
          <w:rFonts w:hint="eastAsia"/>
          <w:spacing w:val="-2"/>
          <w:lang w:val="en-US"/>
        </w:rPr>
        <w:t>1.4</w:t>
      </w:r>
      <w:r>
        <w:rPr>
          <w:rFonts w:hint="eastAsia"/>
          <w:spacing w:val="-2"/>
        </w:rPr>
        <w:t>本采购文件及相应的补充文件、通知等解释权归浙江省成套工程有限公司与衢州市自然资源和规划局柯城分局所有。</w:t>
      </w:r>
    </w:p>
    <w:p>
      <w:pPr>
        <w:pStyle w:val="9"/>
        <w:spacing w:line="360" w:lineRule="auto"/>
        <w:ind w:left="0" w:firstLine="482" w:firstLineChars="200"/>
      </w:pPr>
      <w:bookmarkStart w:id="21" w:name="_Toc16226"/>
      <w:bookmarkStart w:id="22" w:name="_Toc20334"/>
      <w:r>
        <w:rPr>
          <w:rFonts w:hint="eastAsia"/>
        </w:rPr>
        <w:t>2、合格的供应商</w:t>
      </w:r>
      <w:bookmarkEnd w:id="21"/>
      <w:bookmarkEnd w:id="22"/>
    </w:p>
    <w:p>
      <w:pPr>
        <w:pStyle w:val="2"/>
        <w:spacing w:line="360" w:lineRule="auto"/>
        <w:ind w:left="0" w:firstLine="480" w:firstLineChars="200"/>
        <w:outlineLvl w:val="2"/>
        <w:rPr>
          <w:b/>
        </w:rPr>
      </w:pPr>
      <w:bookmarkStart w:id="23" w:name="_Toc29515"/>
      <w:bookmarkStart w:id="24" w:name="_Toc14677"/>
      <w:r>
        <w:rPr>
          <w:rFonts w:hint="eastAsia"/>
        </w:rPr>
        <w:t>见单一来源采购邀请书。</w:t>
      </w:r>
      <w:bookmarkEnd w:id="23"/>
    </w:p>
    <w:p>
      <w:pPr>
        <w:pStyle w:val="2"/>
        <w:spacing w:line="360" w:lineRule="auto"/>
        <w:ind w:left="0" w:firstLine="482" w:firstLineChars="200"/>
        <w:outlineLvl w:val="2"/>
        <w:rPr>
          <w:b/>
        </w:rPr>
      </w:pPr>
      <w:bookmarkStart w:id="25" w:name="_Toc25378"/>
      <w:r>
        <w:rPr>
          <w:rFonts w:hint="eastAsia"/>
          <w:b/>
        </w:rPr>
        <w:t>3、其他要求</w:t>
      </w:r>
      <w:bookmarkEnd w:id="24"/>
      <w:bookmarkEnd w:id="25"/>
    </w:p>
    <w:p>
      <w:pPr>
        <w:pStyle w:val="27"/>
        <w:tabs>
          <w:tab w:val="left" w:pos="1198"/>
        </w:tabs>
        <w:spacing w:line="360" w:lineRule="auto"/>
        <w:ind w:left="0" w:firstLine="476" w:firstLineChars="200"/>
        <w:rPr>
          <w:sz w:val="24"/>
          <w:szCs w:val="24"/>
        </w:rPr>
      </w:pPr>
      <w:r>
        <w:rPr>
          <w:rFonts w:hint="eastAsia"/>
          <w:spacing w:val="-1"/>
          <w:sz w:val="24"/>
          <w:szCs w:val="24"/>
          <w:lang w:val="en-US"/>
        </w:rPr>
        <w:t>3.1</w:t>
      </w:r>
      <w:r>
        <w:rPr>
          <w:rFonts w:hint="eastAsia"/>
          <w:spacing w:val="-1"/>
          <w:sz w:val="24"/>
          <w:szCs w:val="24"/>
        </w:rPr>
        <w:t>无论采购流程和结果如何，供应商自行承担采购活动中所发生的全部费</w:t>
      </w:r>
      <w:r>
        <w:rPr>
          <w:rFonts w:hint="eastAsia"/>
          <w:sz w:val="24"/>
          <w:szCs w:val="24"/>
        </w:rPr>
        <w:t>用。</w:t>
      </w:r>
    </w:p>
    <w:p>
      <w:pPr>
        <w:pStyle w:val="27"/>
        <w:tabs>
          <w:tab w:val="left" w:pos="1198"/>
        </w:tabs>
        <w:spacing w:line="360" w:lineRule="auto"/>
        <w:ind w:left="0" w:firstLine="476" w:firstLineChars="200"/>
        <w:rPr>
          <w:sz w:val="24"/>
          <w:szCs w:val="24"/>
        </w:rPr>
      </w:pPr>
      <w:r>
        <w:rPr>
          <w:rFonts w:hint="eastAsia"/>
          <w:spacing w:val="-1"/>
          <w:sz w:val="24"/>
          <w:szCs w:val="24"/>
          <w:lang w:val="en-US"/>
        </w:rPr>
        <w:t>3.2</w:t>
      </w:r>
      <w:r>
        <w:rPr>
          <w:rFonts w:hint="eastAsia"/>
          <w:spacing w:val="-1"/>
          <w:sz w:val="24"/>
          <w:szCs w:val="24"/>
        </w:rPr>
        <w:t>合同实施过程中，成交人须与采购人积极配合。成交人自行承担本次采</w:t>
      </w:r>
      <w:r>
        <w:rPr>
          <w:rFonts w:hint="eastAsia"/>
          <w:sz w:val="24"/>
          <w:szCs w:val="24"/>
        </w:rPr>
        <w:t>购活动中所发生的全部费用。</w:t>
      </w:r>
    </w:p>
    <w:p>
      <w:pPr>
        <w:pStyle w:val="2"/>
        <w:spacing w:line="360" w:lineRule="auto"/>
        <w:ind w:left="0" w:firstLine="482" w:firstLineChars="200"/>
        <w:outlineLvl w:val="2"/>
        <w:rPr>
          <w:b/>
        </w:rPr>
      </w:pPr>
      <w:bookmarkStart w:id="26" w:name="_Toc25767"/>
      <w:bookmarkStart w:id="27" w:name="_Toc24707"/>
      <w:r>
        <w:rPr>
          <w:rFonts w:hint="eastAsia"/>
          <w:b/>
          <w:lang w:val="en-US"/>
        </w:rPr>
        <w:t>4、</w:t>
      </w:r>
      <w:r>
        <w:rPr>
          <w:rFonts w:hint="eastAsia"/>
          <w:b/>
        </w:rPr>
        <w:t>招标代理服务费</w:t>
      </w:r>
      <w:bookmarkEnd w:id="26"/>
      <w:bookmarkEnd w:id="27"/>
    </w:p>
    <w:p>
      <w:pPr>
        <w:pStyle w:val="9"/>
        <w:spacing w:line="360" w:lineRule="auto"/>
        <w:ind w:left="0" w:firstLine="480" w:firstLineChars="200"/>
        <w:rPr>
          <w:b w:val="0"/>
          <w:bCs w:val="0"/>
          <w:lang w:val="en-US"/>
        </w:rPr>
      </w:pPr>
      <w:r>
        <w:rPr>
          <w:b w:val="0"/>
          <w:bCs w:val="0"/>
          <w:lang w:val="en-US"/>
        </w:rPr>
        <w:t>4.1</w:t>
      </w:r>
      <w:bookmarkStart w:id="28" w:name="_Toc9246"/>
      <w:bookmarkStart w:id="29" w:name="_Toc24866"/>
      <w:r>
        <w:rPr>
          <w:rFonts w:hint="eastAsia"/>
          <w:b w:val="0"/>
          <w:bCs w:val="0"/>
          <w:lang w:val="en-US"/>
        </w:rPr>
        <w:t>招标代理服务费由中标单位支付，由招标代理人在发中标通知书时按中标金额向中标单位一次性收取。</w:t>
      </w:r>
    </w:p>
    <w:p>
      <w:pPr>
        <w:pStyle w:val="9"/>
        <w:spacing w:line="360" w:lineRule="auto"/>
        <w:ind w:left="0" w:firstLine="480" w:firstLineChars="200"/>
        <w:rPr>
          <w:b w:val="0"/>
          <w:bCs w:val="0"/>
          <w:lang w:val="en-US"/>
        </w:rPr>
      </w:pPr>
      <w:r>
        <w:rPr>
          <w:rFonts w:hint="eastAsia"/>
          <w:b w:val="0"/>
          <w:bCs w:val="0"/>
          <w:lang w:val="en-US"/>
        </w:rPr>
        <w:t>4</w:t>
      </w:r>
      <w:r>
        <w:rPr>
          <w:b w:val="0"/>
          <w:bCs w:val="0"/>
          <w:lang w:val="en-US"/>
        </w:rPr>
        <w:t>.2招标代理服务收费标准按国家发展计划委员会计价格[2002]1980号文件</w:t>
      </w:r>
      <w:r>
        <w:rPr>
          <w:rFonts w:hint="eastAsia"/>
          <w:b w:val="0"/>
          <w:bCs w:val="0"/>
          <w:lang w:val="en-US"/>
        </w:rPr>
        <w:t>收取，按差额定率累进法计算，不足</w:t>
      </w:r>
      <w:r>
        <w:rPr>
          <w:b w:val="0"/>
          <w:bCs w:val="0"/>
          <w:lang w:val="en-US"/>
        </w:rPr>
        <w:t>2000元按2000元计算。</w:t>
      </w:r>
    </w:p>
    <w:p>
      <w:pPr>
        <w:pStyle w:val="9"/>
        <w:spacing w:line="360" w:lineRule="auto"/>
        <w:ind w:left="0" w:firstLine="480" w:firstLineChars="200"/>
        <w:rPr>
          <w:b w:val="0"/>
          <w:bCs w:val="0"/>
          <w:lang w:val="en-US"/>
        </w:rPr>
      </w:pPr>
      <w:r>
        <w:rPr>
          <w:rFonts w:hint="eastAsia"/>
          <w:b w:val="0"/>
          <w:bCs w:val="0"/>
          <w:lang w:val="en-US"/>
        </w:rPr>
        <w:t>招标代理服务收费标准</w:t>
      </w:r>
    </w:p>
    <w:tbl>
      <w:tblPr>
        <w:tblStyle w:val="2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0" w:type="dxa"/>
            <w:tcBorders>
              <w:tl2br w:val="single" w:color="auto" w:sz="4" w:space="0"/>
            </w:tcBorders>
          </w:tcPr>
          <w:p>
            <w:pPr>
              <w:pStyle w:val="9"/>
              <w:spacing w:line="360" w:lineRule="auto"/>
              <w:ind w:left="0" w:firstLine="480" w:firstLineChars="200"/>
              <w:rPr>
                <w:b w:val="0"/>
                <w:bCs w:val="0"/>
                <w:lang w:val="en-US"/>
              </w:rPr>
            </w:pPr>
          </w:p>
          <w:p>
            <w:pPr>
              <w:pStyle w:val="9"/>
              <w:spacing w:line="360" w:lineRule="auto"/>
              <w:ind w:left="198" w:leftChars="90" w:firstLine="240" w:firstLineChars="100"/>
              <w:rPr>
                <w:b w:val="0"/>
                <w:bCs w:val="0"/>
                <w:lang w:val="en-US"/>
              </w:rPr>
            </w:pPr>
            <w:bookmarkStart w:id="30" w:name="OLE_LINK11"/>
            <w:bookmarkEnd w:id="30"/>
            <w:r>
              <w:rPr>
                <w:b w:val="0"/>
                <w:bCs w:val="0"/>
                <w:lang w:val="en-US"/>
              </w:rPr>
              <w:t xml:space="preserve">   </w:t>
            </w:r>
            <w:r>
              <w:rPr>
                <w:rFonts w:hint="eastAsia"/>
                <w:b w:val="0"/>
                <w:bCs w:val="0"/>
                <w:lang w:val="en-US"/>
              </w:rPr>
              <w:t xml:space="preserve">                      </w:t>
            </w:r>
            <w:r>
              <w:rPr>
                <w:b w:val="0"/>
                <w:bCs w:val="0"/>
                <w:lang w:val="en-US"/>
              </w:rPr>
              <w:t xml:space="preserve"> 费率</w:t>
            </w:r>
            <w:r>
              <w:rPr>
                <w:rFonts w:hint="eastAsia"/>
                <w:b w:val="0"/>
                <w:bCs w:val="0"/>
                <w:lang w:val="en-US"/>
              </w:rPr>
              <w:t xml:space="preserve">    </w:t>
            </w:r>
          </w:p>
          <w:p>
            <w:pPr>
              <w:pStyle w:val="9"/>
              <w:spacing w:line="360" w:lineRule="auto"/>
              <w:ind w:left="198" w:leftChars="90" w:firstLine="240" w:firstLineChars="100"/>
              <w:rPr>
                <w:b w:val="0"/>
                <w:bCs w:val="0"/>
                <w:lang w:val="en-US"/>
              </w:rPr>
            </w:pPr>
            <w:r>
              <w:rPr>
                <w:rFonts w:hint="eastAsia"/>
                <w:b w:val="0"/>
                <w:bCs w:val="0"/>
                <w:lang w:val="en-US"/>
              </w:rPr>
              <w:t xml:space="preserve"> 中标金额（万元）</w:t>
            </w:r>
          </w:p>
        </w:tc>
        <w:tc>
          <w:tcPr>
            <w:tcW w:w="3990" w:type="dxa"/>
            <w:vAlign w:val="center"/>
          </w:tcPr>
          <w:p>
            <w:pPr>
              <w:pStyle w:val="9"/>
              <w:spacing w:line="360" w:lineRule="auto"/>
              <w:ind w:left="0" w:firstLine="480" w:firstLineChars="200"/>
              <w:rPr>
                <w:b w:val="0"/>
                <w:bCs w:val="0"/>
                <w:lang w:val="en-US"/>
              </w:rPr>
            </w:pPr>
            <w:r>
              <w:rPr>
                <w:rFonts w:hint="eastAsia"/>
                <w:b w:val="0"/>
                <w:bCs w:val="0"/>
                <w:lang w:val="en-US"/>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Pr>
          <w:p>
            <w:pPr>
              <w:pStyle w:val="9"/>
              <w:spacing w:line="360" w:lineRule="auto"/>
              <w:ind w:left="0" w:firstLine="480" w:firstLineChars="200"/>
              <w:rPr>
                <w:b w:val="0"/>
                <w:bCs w:val="0"/>
                <w:lang w:val="en-US"/>
              </w:rPr>
            </w:pPr>
            <w:r>
              <w:rPr>
                <w:b w:val="0"/>
                <w:bCs w:val="0"/>
                <w:lang w:val="en-US"/>
              </w:rPr>
              <w:t>100以下</w:t>
            </w:r>
          </w:p>
        </w:tc>
        <w:tc>
          <w:tcPr>
            <w:tcW w:w="3990" w:type="dxa"/>
            <w:vAlign w:val="center"/>
          </w:tcPr>
          <w:p>
            <w:pPr>
              <w:pStyle w:val="9"/>
              <w:spacing w:line="360" w:lineRule="auto"/>
              <w:ind w:left="0" w:firstLine="480" w:firstLineChars="200"/>
              <w:rPr>
                <w:b w:val="0"/>
                <w:bCs w:val="0"/>
                <w:lang w:val="en-US"/>
              </w:rPr>
            </w:pPr>
            <w:r>
              <w:rPr>
                <w:b w:val="0"/>
                <w:bCs w:val="0"/>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Pr>
          <w:p>
            <w:pPr>
              <w:pStyle w:val="9"/>
              <w:spacing w:line="360" w:lineRule="auto"/>
              <w:ind w:left="0" w:firstLine="480" w:firstLineChars="200"/>
              <w:rPr>
                <w:b w:val="0"/>
                <w:bCs w:val="0"/>
                <w:lang w:val="en-US"/>
              </w:rPr>
            </w:pPr>
            <w:r>
              <w:rPr>
                <w:b w:val="0"/>
                <w:bCs w:val="0"/>
                <w:lang w:val="en-US"/>
              </w:rPr>
              <w:t>100-500</w:t>
            </w:r>
          </w:p>
        </w:tc>
        <w:tc>
          <w:tcPr>
            <w:tcW w:w="3990" w:type="dxa"/>
            <w:vAlign w:val="center"/>
          </w:tcPr>
          <w:p>
            <w:pPr>
              <w:pStyle w:val="9"/>
              <w:spacing w:line="360" w:lineRule="auto"/>
              <w:ind w:left="0" w:firstLine="480" w:firstLineChars="200"/>
              <w:rPr>
                <w:b w:val="0"/>
                <w:bCs w:val="0"/>
                <w:lang w:val="en-US"/>
              </w:rPr>
            </w:pPr>
            <w:r>
              <w:rPr>
                <w:rFonts w:hint="eastAsia"/>
                <w:b w:val="0"/>
                <w:bCs w:val="0"/>
                <w:lang w:val="en-US"/>
              </w:rPr>
              <w:t>0.8</w:t>
            </w:r>
            <w:r>
              <w:rPr>
                <w:b w:val="0"/>
                <w:bCs w:val="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Pr>
          <w:p>
            <w:pPr>
              <w:pStyle w:val="9"/>
              <w:spacing w:line="360" w:lineRule="auto"/>
              <w:ind w:left="0" w:firstLine="480" w:firstLineChars="200"/>
              <w:rPr>
                <w:b w:val="0"/>
                <w:bCs w:val="0"/>
                <w:lang w:val="en-US"/>
              </w:rPr>
            </w:pPr>
            <w:r>
              <w:rPr>
                <w:rFonts w:hint="eastAsia"/>
                <w:b w:val="0"/>
                <w:bCs w:val="0"/>
                <w:lang w:val="en-US"/>
              </w:rPr>
              <w:t>500-1000</w:t>
            </w:r>
          </w:p>
        </w:tc>
        <w:tc>
          <w:tcPr>
            <w:tcW w:w="3990" w:type="dxa"/>
            <w:vAlign w:val="center"/>
          </w:tcPr>
          <w:p>
            <w:pPr>
              <w:pStyle w:val="9"/>
              <w:spacing w:line="360" w:lineRule="auto"/>
              <w:ind w:left="0" w:firstLine="480" w:firstLineChars="200"/>
              <w:rPr>
                <w:b w:val="0"/>
                <w:bCs w:val="0"/>
                <w:lang w:val="en-US"/>
              </w:rPr>
            </w:pPr>
            <w:r>
              <w:rPr>
                <w:rFonts w:hint="eastAsia"/>
                <w:b w:val="0"/>
                <w:bCs w:val="0"/>
                <w:lang w:val="en-US"/>
              </w:rPr>
              <w:t>0.45%</w:t>
            </w:r>
          </w:p>
        </w:tc>
      </w:tr>
    </w:tbl>
    <w:p>
      <w:pPr>
        <w:pStyle w:val="9"/>
        <w:spacing w:line="360" w:lineRule="auto"/>
        <w:ind w:left="0" w:firstLine="480" w:firstLineChars="200"/>
        <w:rPr>
          <w:b w:val="0"/>
          <w:bCs w:val="0"/>
          <w:lang w:val="en-US"/>
        </w:rPr>
      </w:pPr>
      <w:r>
        <w:rPr>
          <w:rFonts w:hint="eastAsia"/>
          <w:b w:val="0"/>
          <w:bCs w:val="0"/>
          <w:lang w:val="en-US"/>
        </w:rPr>
        <w:t>4</w:t>
      </w:r>
      <w:r>
        <w:rPr>
          <w:b w:val="0"/>
          <w:bCs w:val="0"/>
          <w:lang w:val="en-US"/>
        </w:rPr>
        <w:t>.3评委费、场地费按实收取。</w:t>
      </w:r>
    </w:p>
    <w:p>
      <w:pPr>
        <w:pStyle w:val="9"/>
        <w:spacing w:line="360" w:lineRule="auto"/>
        <w:ind w:left="0" w:firstLine="480" w:firstLineChars="200"/>
        <w:rPr>
          <w:b w:val="0"/>
          <w:bCs w:val="0"/>
          <w:lang w:val="en-US"/>
        </w:rPr>
      </w:pPr>
      <w:r>
        <w:rPr>
          <w:rFonts w:hint="eastAsia"/>
          <w:b w:val="0"/>
          <w:bCs w:val="0"/>
          <w:lang w:val="en-US"/>
        </w:rPr>
        <w:t>4</w:t>
      </w:r>
      <w:r>
        <w:rPr>
          <w:b w:val="0"/>
          <w:bCs w:val="0"/>
          <w:lang w:val="en-US"/>
        </w:rPr>
        <w:t>.4服务费以人民币元收取。</w:t>
      </w:r>
    </w:p>
    <w:p>
      <w:pPr>
        <w:pStyle w:val="9"/>
        <w:spacing w:line="360" w:lineRule="auto"/>
        <w:ind w:left="0" w:firstLine="482" w:firstLineChars="200"/>
      </w:pPr>
      <w:r>
        <w:rPr>
          <w:rFonts w:hint="eastAsia"/>
          <w:lang w:val="en-US"/>
        </w:rPr>
        <w:t>5</w:t>
      </w:r>
      <w:r>
        <w:rPr>
          <w:rFonts w:hint="eastAsia"/>
        </w:rPr>
        <w:t>、定义</w:t>
      </w:r>
      <w:bookmarkEnd w:id="28"/>
      <w:bookmarkEnd w:id="29"/>
    </w:p>
    <w:p>
      <w:pPr>
        <w:pStyle w:val="27"/>
        <w:tabs>
          <w:tab w:val="left" w:pos="1198"/>
        </w:tabs>
        <w:spacing w:line="360" w:lineRule="auto"/>
        <w:ind w:left="0" w:firstLineChars="200"/>
        <w:rPr>
          <w:sz w:val="24"/>
          <w:szCs w:val="24"/>
        </w:rPr>
      </w:pPr>
      <w:r>
        <w:rPr>
          <w:rFonts w:hint="eastAsia"/>
          <w:sz w:val="24"/>
          <w:szCs w:val="24"/>
          <w:lang w:val="en-US"/>
        </w:rPr>
        <w:t>5.1</w:t>
      </w:r>
      <w:r>
        <w:rPr>
          <w:rFonts w:hint="eastAsia"/>
          <w:sz w:val="24"/>
          <w:szCs w:val="24"/>
        </w:rPr>
        <w:t>采购人：系指衢州市自然资源和规划局柯城分局。</w:t>
      </w:r>
    </w:p>
    <w:p>
      <w:pPr>
        <w:pStyle w:val="27"/>
        <w:tabs>
          <w:tab w:val="left" w:pos="1198"/>
        </w:tabs>
        <w:spacing w:line="360" w:lineRule="auto"/>
        <w:ind w:left="0" w:firstLineChars="200"/>
        <w:rPr>
          <w:sz w:val="24"/>
          <w:szCs w:val="24"/>
        </w:rPr>
      </w:pPr>
      <w:r>
        <w:rPr>
          <w:rFonts w:hint="eastAsia"/>
          <w:sz w:val="24"/>
          <w:szCs w:val="24"/>
          <w:lang w:val="en-US"/>
        </w:rPr>
        <w:t>5.2</w:t>
      </w:r>
      <w:r>
        <w:rPr>
          <w:rFonts w:hint="eastAsia"/>
          <w:sz w:val="24"/>
          <w:szCs w:val="24"/>
        </w:rPr>
        <w:t>供应商：系指参与本次报价的合格供应商。</w:t>
      </w:r>
    </w:p>
    <w:p>
      <w:pPr>
        <w:pStyle w:val="27"/>
        <w:tabs>
          <w:tab w:val="left" w:pos="1198"/>
        </w:tabs>
        <w:spacing w:line="360" w:lineRule="auto"/>
        <w:ind w:left="0" w:firstLineChars="200"/>
        <w:rPr>
          <w:sz w:val="24"/>
          <w:szCs w:val="24"/>
        </w:rPr>
      </w:pPr>
      <w:r>
        <w:rPr>
          <w:rFonts w:hint="eastAsia"/>
          <w:sz w:val="24"/>
          <w:szCs w:val="24"/>
          <w:lang w:val="en-US"/>
        </w:rPr>
        <w:t>5.3</w:t>
      </w:r>
      <w:r>
        <w:rPr>
          <w:rFonts w:hint="eastAsia"/>
          <w:sz w:val="24"/>
          <w:szCs w:val="24"/>
        </w:rPr>
        <w:t>采购代理机构：浙江省成套工程有限公司。</w:t>
      </w:r>
    </w:p>
    <w:p>
      <w:pPr>
        <w:pStyle w:val="27"/>
        <w:tabs>
          <w:tab w:val="left" w:pos="1198"/>
        </w:tabs>
        <w:spacing w:line="360" w:lineRule="auto"/>
        <w:ind w:left="0" w:firstLineChars="200"/>
        <w:rPr>
          <w:sz w:val="24"/>
          <w:szCs w:val="24"/>
        </w:rPr>
      </w:pPr>
      <w:r>
        <w:rPr>
          <w:rFonts w:hint="eastAsia"/>
          <w:sz w:val="24"/>
          <w:szCs w:val="24"/>
          <w:lang w:val="en-US"/>
        </w:rPr>
        <w:t>5.4</w:t>
      </w:r>
      <w:r>
        <w:rPr>
          <w:rFonts w:hint="eastAsia"/>
          <w:sz w:val="24"/>
          <w:szCs w:val="24"/>
        </w:rPr>
        <w:t>采购文件：系指本文件。</w:t>
      </w:r>
    </w:p>
    <w:p>
      <w:pPr>
        <w:pStyle w:val="27"/>
        <w:tabs>
          <w:tab w:val="left" w:pos="1198"/>
        </w:tabs>
        <w:spacing w:line="360" w:lineRule="auto"/>
        <w:ind w:left="0" w:firstLineChars="200"/>
        <w:rPr>
          <w:sz w:val="24"/>
          <w:szCs w:val="24"/>
        </w:rPr>
      </w:pPr>
      <w:r>
        <w:rPr>
          <w:rFonts w:hint="eastAsia"/>
          <w:sz w:val="24"/>
          <w:szCs w:val="24"/>
          <w:lang w:val="en-US"/>
        </w:rPr>
        <w:t>5.5</w:t>
      </w:r>
      <w:r>
        <w:rPr>
          <w:rFonts w:hint="eastAsia"/>
          <w:sz w:val="24"/>
          <w:szCs w:val="24"/>
        </w:rPr>
        <w:t>采购响应文件：系指供应商参与本次采购活动所提供的书面资料。</w:t>
      </w:r>
    </w:p>
    <w:p>
      <w:pPr>
        <w:pStyle w:val="8"/>
        <w:spacing w:before="162" w:line="312" w:lineRule="auto"/>
        <w:ind w:right="543"/>
        <w:jc w:val="left"/>
        <w:rPr>
          <w:sz w:val="24"/>
          <w:szCs w:val="24"/>
        </w:rPr>
      </w:pPr>
      <w:bookmarkStart w:id="31" w:name="二、采购文件"/>
      <w:bookmarkEnd w:id="31"/>
      <w:bookmarkStart w:id="32" w:name="_Toc32450"/>
      <w:r>
        <w:rPr>
          <w:rFonts w:hint="eastAsia"/>
          <w:b/>
          <w:bCs/>
          <w:sz w:val="24"/>
          <w:szCs w:val="24"/>
        </w:rPr>
        <w:t>二、采购文件</w:t>
      </w:r>
      <w:bookmarkEnd w:id="32"/>
    </w:p>
    <w:p>
      <w:pPr>
        <w:spacing w:line="360" w:lineRule="auto"/>
        <w:ind w:firstLine="482" w:firstLineChars="200"/>
        <w:outlineLvl w:val="2"/>
        <w:rPr>
          <w:b/>
          <w:sz w:val="24"/>
          <w:szCs w:val="24"/>
        </w:rPr>
      </w:pPr>
      <w:bookmarkStart w:id="33" w:name="_Toc13417"/>
      <w:bookmarkStart w:id="34" w:name="_Toc25408"/>
      <w:r>
        <w:rPr>
          <w:rFonts w:hint="eastAsia"/>
          <w:b/>
          <w:sz w:val="24"/>
          <w:szCs w:val="24"/>
        </w:rPr>
        <w:t>1、采购文件的组成</w:t>
      </w:r>
      <w:bookmarkEnd w:id="33"/>
      <w:bookmarkEnd w:id="34"/>
    </w:p>
    <w:p>
      <w:pPr>
        <w:pStyle w:val="2"/>
        <w:spacing w:line="360" w:lineRule="auto"/>
        <w:ind w:left="0" w:firstLine="480" w:firstLineChars="200"/>
      </w:pPr>
      <w:r>
        <w:rPr>
          <w:rFonts w:hint="eastAsia"/>
        </w:rPr>
        <w:t>采购文件由采购文件总目录所列内容及采购补充文件（如有）组成。</w:t>
      </w:r>
    </w:p>
    <w:p>
      <w:pPr>
        <w:spacing w:line="360" w:lineRule="auto"/>
        <w:ind w:firstLine="482" w:firstLineChars="200"/>
        <w:outlineLvl w:val="2"/>
        <w:rPr>
          <w:b/>
          <w:sz w:val="24"/>
          <w:szCs w:val="24"/>
        </w:rPr>
      </w:pPr>
      <w:bookmarkStart w:id="35" w:name="_Toc30222"/>
      <w:bookmarkStart w:id="36" w:name="_Toc24816"/>
      <w:r>
        <w:rPr>
          <w:rFonts w:hint="eastAsia"/>
          <w:b/>
          <w:sz w:val="24"/>
          <w:szCs w:val="24"/>
        </w:rPr>
        <w:t>2、采购文件的获取</w:t>
      </w:r>
      <w:bookmarkEnd w:id="35"/>
      <w:bookmarkEnd w:id="36"/>
    </w:p>
    <w:p>
      <w:pPr>
        <w:spacing w:line="360" w:lineRule="auto"/>
        <w:ind w:firstLine="468" w:firstLineChars="200"/>
        <w:rPr>
          <w:spacing w:val="-3"/>
          <w:sz w:val="24"/>
          <w:szCs w:val="24"/>
        </w:rPr>
      </w:pPr>
      <w:r>
        <w:rPr>
          <w:rFonts w:hint="eastAsia"/>
          <w:spacing w:val="-3"/>
          <w:sz w:val="24"/>
          <w:szCs w:val="24"/>
        </w:rPr>
        <w:t>参见采购邀请书。</w:t>
      </w:r>
    </w:p>
    <w:p>
      <w:pPr>
        <w:spacing w:line="360" w:lineRule="auto"/>
        <w:ind w:firstLine="482" w:firstLineChars="200"/>
        <w:outlineLvl w:val="2"/>
        <w:rPr>
          <w:b/>
          <w:sz w:val="24"/>
          <w:szCs w:val="24"/>
        </w:rPr>
      </w:pPr>
      <w:bookmarkStart w:id="37" w:name="_Toc22619"/>
      <w:bookmarkStart w:id="38" w:name="_Toc21429"/>
      <w:r>
        <w:rPr>
          <w:rFonts w:hint="eastAsia"/>
          <w:b/>
          <w:sz w:val="24"/>
          <w:szCs w:val="24"/>
        </w:rPr>
        <w:t>3、采购文件的澄清</w:t>
      </w:r>
      <w:bookmarkEnd w:id="37"/>
      <w:bookmarkEnd w:id="38"/>
    </w:p>
    <w:p>
      <w:pPr>
        <w:pStyle w:val="9"/>
        <w:spacing w:line="360" w:lineRule="auto"/>
        <w:ind w:left="0" w:firstLine="476" w:firstLineChars="200"/>
        <w:rPr>
          <w:b w:val="0"/>
          <w:bCs w:val="0"/>
          <w:spacing w:val="-1"/>
        </w:rPr>
      </w:pPr>
      <w:r>
        <w:rPr>
          <w:rFonts w:hint="eastAsia"/>
          <w:b w:val="0"/>
          <w:bCs w:val="0"/>
          <w:spacing w:val="-1"/>
        </w:rPr>
        <w:t>供应商对采购文件如有疑点要求澄清可用书面形式（包括信函，传真）通知采购代理机构，采购代理机构将用书面形式予以答复。</w:t>
      </w:r>
    </w:p>
    <w:p>
      <w:pPr>
        <w:pStyle w:val="9"/>
        <w:spacing w:line="360" w:lineRule="auto"/>
        <w:ind w:left="0" w:firstLine="482" w:firstLineChars="200"/>
      </w:pPr>
      <w:bookmarkStart w:id="39" w:name="_Toc2488"/>
      <w:bookmarkStart w:id="40" w:name="_Toc2761"/>
      <w:r>
        <w:rPr>
          <w:rFonts w:hint="eastAsia"/>
          <w:lang w:val="en-US"/>
        </w:rPr>
        <w:t>4、</w:t>
      </w:r>
      <w:r>
        <w:rPr>
          <w:rFonts w:hint="eastAsia"/>
        </w:rPr>
        <w:t>采购文件的修改</w:t>
      </w:r>
      <w:bookmarkEnd w:id="39"/>
      <w:bookmarkEnd w:id="40"/>
    </w:p>
    <w:p>
      <w:pPr>
        <w:pStyle w:val="9"/>
        <w:spacing w:line="360" w:lineRule="auto"/>
        <w:ind w:left="0" w:firstLine="476" w:firstLineChars="200"/>
        <w:rPr>
          <w:b w:val="0"/>
          <w:bCs w:val="0"/>
        </w:rPr>
      </w:pPr>
      <w:r>
        <w:rPr>
          <w:rFonts w:hint="eastAsia"/>
          <w:b w:val="0"/>
          <w:bCs w:val="0"/>
          <w:spacing w:val="-1"/>
          <w:lang w:val="en-US"/>
        </w:rPr>
        <w:t>4.1</w:t>
      </w:r>
      <w:r>
        <w:rPr>
          <w:rFonts w:hint="eastAsia"/>
          <w:b w:val="0"/>
          <w:bCs w:val="0"/>
          <w:spacing w:val="-1"/>
        </w:rPr>
        <w:t>在采购响应文件递交截止时间前，采购人有权修改采购文件，并以书面形式通知供应商。修改文件作为采购文件的补充和组成部分，对供应商均有约束</w:t>
      </w:r>
      <w:r>
        <w:rPr>
          <w:rFonts w:hint="eastAsia"/>
          <w:b w:val="0"/>
          <w:bCs w:val="0"/>
        </w:rPr>
        <w:t>力。</w:t>
      </w:r>
    </w:p>
    <w:p>
      <w:pPr>
        <w:pStyle w:val="9"/>
        <w:spacing w:line="360" w:lineRule="auto"/>
        <w:ind w:left="0" w:firstLine="476" w:firstLineChars="200"/>
        <w:rPr>
          <w:b w:val="0"/>
          <w:bCs w:val="0"/>
          <w:spacing w:val="-1"/>
        </w:rPr>
      </w:pPr>
      <w:r>
        <w:rPr>
          <w:rFonts w:hint="eastAsia"/>
          <w:b w:val="0"/>
          <w:bCs w:val="0"/>
          <w:spacing w:val="-1"/>
          <w:lang w:val="en-US"/>
        </w:rPr>
        <w:t>4.2</w:t>
      </w:r>
      <w:r>
        <w:rPr>
          <w:rFonts w:hint="eastAsia"/>
          <w:b w:val="0"/>
          <w:bCs w:val="0"/>
          <w:spacing w:val="-1"/>
        </w:rPr>
        <w:t>为使供应商有足够的时间按修改文件要求修正采购响应文件，采购人可酌情推迟采购响应文件提交截止时间和谈判时间，并将此变更通知供应商。</w:t>
      </w:r>
      <w:bookmarkStart w:id="41" w:name="三、采购响应文件的编制"/>
      <w:bookmarkEnd w:id="41"/>
    </w:p>
    <w:p/>
    <w:p>
      <w:pPr>
        <w:pStyle w:val="8"/>
        <w:spacing w:before="0" w:line="360" w:lineRule="auto"/>
        <w:ind w:right="0" w:firstLine="482" w:firstLineChars="200"/>
        <w:jc w:val="left"/>
        <w:rPr>
          <w:sz w:val="24"/>
          <w:szCs w:val="24"/>
        </w:rPr>
      </w:pPr>
      <w:bookmarkStart w:id="42" w:name="_Toc14944"/>
      <w:r>
        <w:rPr>
          <w:rFonts w:hint="eastAsia"/>
          <w:b/>
          <w:bCs/>
          <w:sz w:val="24"/>
          <w:szCs w:val="24"/>
        </w:rPr>
        <w:t>三、采购响应文件的编制</w:t>
      </w:r>
      <w:bookmarkEnd w:id="42"/>
    </w:p>
    <w:p>
      <w:pPr>
        <w:pStyle w:val="9"/>
        <w:spacing w:line="360" w:lineRule="auto"/>
        <w:ind w:left="0" w:firstLine="482" w:firstLineChars="200"/>
      </w:pPr>
      <w:bookmarkStart w:id="43" w:name="_Toc25639"/>
      <w:bookmarkStart w:id="44" w:name="_Toc19156"/>
      <w:r>
        <w:rPr>
          <w:rFonts w:hint="eastAsia"/>
        </w:rPr>
        <w:t>1、采购响应文件</w:t>
      </w:r>
      <w:bookmarkEnd w:id="43"/>
      <w:bookmarkEnd w:id="44"/>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1.1供应商应仔细阅读采购文件中的所有内容，按照采购文件要求，详细编制采购响应文件，提供相关技术参数、资料，对采购文件中给予实质性响应，并保证采购响应文件的正确性和真实性，否则可能导致不利于其采购响应文件的评定。技术和商务如有偏离均应填写偏离表，如不填写，采购人有权视作完全响应采购文件要求。采购响应文件统一采用汉语言文字，计量单位应使用国际单位（文件中另有规定的除外）。</w:t>
      </w:r>
    </w:p>
    <w:p>
      <w:pPr>
        <w:pStyle w:val="9"/>
        <w:tabs>
          <w:tab w:val="left" w:pos="1200"/>
        </w:tabs>
        <w:spacing w:line="360" w:lineRule="auto"/>
        <w:ind w:left="0" w:firstLine="482" w:firstLineChars="200"/>
        <w:jc w:val="both"/>
      </w:pPr>
      <w:r>
        <w:rPr>
          <w:rFonts w:hint="eastAsia"/>
          <w:lang w:val="en-US"/>
        </w:rPr>
        <w:t>1.2</w:t>
      </w:r>
      <w:r>
        <w:rPr>
          <w:rFonts w:hint="eastAsia"/>
        </w:rPr>
        <w:t>不按采购文件的要求提供的采购响应文件可能导致被拒绝。</w:t>
      </w:r>
    </w:p>
    <w:p>
      <w:pPr>
        <w:pStyle w:val="9"/>
        <w:spacing w:line="360" w:lineRule="auto"/>
        <w:ind w:left="0" w:firstLine="482" w:firstLineChars="200"/>
      </w:pPr>
      <w:bookmarkStart w:id="45" w:name="_Toc21918"/>
      <w:bookmarkStart w:id="46" w:name="_Toc15260"/>
      <w:r>
        <w:rPr>
          <w:rFonts w:hint="eastAsia"/>
        </w:rPr>
        <w:t>2、采购响应文件的组成</w:t>
      </w:r>
      <w:bookmarkEnd w:id="45"/>
      <w:bookmarkEnd w:id="46"/>
    </w:p>
    <w:p>
      <w:pPr>
        <w:pStyle w:val="9"/>
        <w:tabs>
          <w:tab w:val="left" w:pos="1309"/>
        </w:tabs>
        <w:spacing w:line="360" w:lineRule="auto"/>
        <w:ind w:left="0" w:firstLine="482" w:firstLineChars="200"/>
        <w:rPr>
          <w:lang w:val="en-US"/>
        </w:rPr>
      </w:pPr>
      <w:r>
        <w:rPr>
          <w:rFonts w:hint="eastAsia"/>
          <w:lang w:val="en-US"/>
        </w:rPr>
        <w:t>采购响应文件（电子投标文件、备份电子投标文件）应分别包括资格文件、商务技术文件和报价文件部分。电子投标文件、备份电子投标文件中须加盖公章部分均采用CA 签章。</w:t>
      </w:r>
    </w:p>
    <w:p>
      <w:pPr>
        <w:pStyle w:val="9"/>
        <w:tabs>
          <w:tab w:val="left" w:pos="1140"/>
        </w:tabs>
        <w:spacing w:line="360" w:lineRule="auto"/>
        <w:ind w:left="0" w:firstLine="482" w:firstLineChars="200"/>
      </w:pPr>
      <w:r>
        <w:rPr>
          <w:rFonts w:hint="eastAsia"/>
          <w:lang w:val="en-US"/>
        </w:rPr>
        <w:t>2.1</w:t>
      </w:r>
      <w:r>
        <w:rPr>
          <w:rFonts w:hint="eastAsia"/>
        </w:rPr>
        <w:t>资格文件</w:t>
      </w:r>
    </w:p>
    <w:p>
      <w:pPr>
        <w:pStyle w:val="2"/>
        <w:spacing w:line="360" w:lineRule="auto"/>
        <w:ind w:left="0" w:firstLine="480" w:firstLineChars="200"/>
      </w:pPr>
      <w:r>
        <w:rPr>
          <w:rFonts w:hint="eastAsia"/>
        </w:rPr>
        <w:t>（</w:t>
      </w:r>
      <w:r>
        <w:rPr>
          <w:rFonts w:hint="eastAsia"/>
          <w:lang w:val="en-US"/>
        </w:rPr>
        <w:t>1</w:t>
      </w:r>
      <w:r>
        <w:rPr>
          <w:rFonts w:hint="eastAsia"/>
        </w:rPr>
        <w:t xml:space="preserve">）有效的供应商《企业法人营业执照》扫描件； </w:t>
      </w:r>
    </w:p>
    <w:p>
      <w:pPr>
        <w:pStyle w:val="2"/>
        <w:spacing w:line="360" w:lineRule="auto"/>
        <w:ind w:left="0" w:firstLine="480" w:firstLineChars="200"/>
      </w:pPr>
      <w:r>
        <w:rPr>
          <w:rFonts w:hint="eastAsia"/>
        </w:rPr>
        <w:t>（</w:t>
      </w:r>
      <w:r>
        <w:rPr>
          <w:rFonts w:hint="eastAsia"/>
          <w:lang w:val="en-US"/>
        </w:rPr>
        <w:t>2</w:t>
      </w:r>
      <w:r>
        <w:rPr>
          <w:rFonts w:hint="eastAsia"/>
        </w:rPr>
        <w:t>）法定代表人授权委托书或法定代表人身份证明（法定代表人参加开标提供法定代表人身份证明，授权代表参加开标提供法定代表人授权委托书及法定代表人身份证明）；</w:t>
      </w:r>
    </w:p>
    <w:p>
      <w:pPr>
        <w:pStyle w:val="2"/>
        <w:spacing w:line="360" w:lineRule="auto"/>
        <w:ind w:left="0" w:firstLine="480" w:firstLineChars="200"/>
      </w:pPr>
      <w:r>
        <w:rPr>
          <w:rFonts w:hint="eastAsia"/>
        </w:rPr>
        <w:t>（</w:t>
      </w:r>
      <w:r>
        <w:rPr>
          <w:rFonts w:hint="eastAsia"/>
          <w:lang w:val="en-US"/>
        </w:rPr>
        <w:t>3</w:t>
      </w:r>
      <w:r>
        <w:rPr>
          <w:rFonts w:hint="eastAsia"/>
        </w:rPr>
        <w:t>）法定代表人或授权代表人身份证扫描件；（法定代表人参加开标提供法定代表人身份证扫描件，授权代表参加开标提供授权代表人身份证扫描件）；</w:t>
      </w:r>
    </w:p>
    <w:p>
      <w:pPr>
        <w:pStyle w:val="2"/>
        <w:spacing w:line="360" w:lineRule="auto"/>
        <w:ind w:left="0" w:firstLine="480" w:firstLineChars="200"/>
      </w:pPr>
      <w:r>
        <w:rPr>
          <w:rFonts w:hint="eastAsia"/>
        </w:rPr>
        <w:t>（</w:t>
      </w:r>
      <w:r>
        <w:rPr>
          <w:rFonts w:hint="eastAsia"/>
          <w:lang w:val="en-US"/>
        </w:rPr>
        <w:t>4</w:t>
      </w:r>
      <w:r>
        <w:rPr>
          <w:rFonts w:hint="eastAsia"/>
        </w:rPr>
        <w:t>）供应商未被列入失信被执行人、重大税收违法案件当事人、政府采购严重违法失信行为记录名单的证明。</w:t>
      </w:r>
      <w:r>
        <w:rPr>
          <w:rFonts w:hint="eastAsia"/>
          <w:lang w:val="en-US"/>
        </w:rPr>
        <w:t>提供</w:t>
      </w:r>
      <w:r>
        <w:rPr>
          <w:rFonts w:hint="eastAsia"/>
        </w:rPr>
        <w:t>信用中国网站（www.creditchina.gov.cn）、中国政府采购网（www.ccgp.gov.cn）截图；</w:t>
      </w:r>
    </w:p>
    <w:p>
      <w:pPr>
        <w:pStyle w:val="2"/>
        <w:spacing w:line="360" w:lineRule="auto"/>
        <w:ind w:left="0" w:firstLine="476" w:firstLineChars="200"/>
        <w:rPr>
          <w:lang w:val="en-US"/>
        </w:rPr>
      </w:pPr>
      <w:r>
        <w:rPr>
          <w:rFonts w:hint="eastAsia"/>
          <w:spacing w:val="-1"/>
          <w:lang w:val="en-US"/>
        </w:rPr>
        <w:t>（5）其他资料。</w:t>
      </w:r>
    </w:p>
    <w:p>
      <w:pPr>
        <w:pStyle w:val="27"/>
        <w:tabs>
          <w:tab w:val="left" w:pos="1140"/>
        </w:tabs>
        <w:spacing w:line="360" w:lineRule="auto"/>
        <w:ind w:left="0" w:firstLine="482" w:firstLineChars="200"/>
      </w:pPr>
      <w:r>
        <w:rPr>
          <w:rFonts w:hint="eastAsia"/>
          <w:b/>
          <w:sz w:val="24"/>
          <w:szCs w:val="24"/>
          <w:lang w:val="en-US"/>
        </w:rPr>
        <w:t xml:space="preserve">2.2 </w:t>
      </w:r>
      <w:r>
        <w:rPr>
          <w:rFonts w:hint="eastAsia"/>
          <w:b/>
          <w:sz w:val="24"/>
          <w:szCs w:val="24"/>
        </w:rPr>
        <w:t>商务技术文件</w:t>
      </w:r>
    </w:p>
    <w:p>
      <w:pPr>
        <w:pStyle w:val="2"/>
        <w:tabs>
          <w:tab w:val="left" w:pos="1200"/>
        </w:tabs>
        <w:spacing w:line="360" w:lineRule="auto"/>
        <w:ind w:left="0" w:firstLine="480" w:firstLineChars="200"/>
        <w:jc w:val="both"/>
      </w:pPr>
      <w:r>
        <w:rPr>
          <w:rFonts w:hint="eastAsia"/>
        </w:rPr>
        <w:t>（</w:t>
      </w:r>
      <w:r>
        <w:rPr>
          <w:rFonts w:hint="eastAsia"/>
          <w:lang w:val="en-US"/>
        </w:rPr>
        <w:t>1</w:t>
      </w:r>
      <w:r>
        <w:rPr>
          <w:rFonts w:hint="eastAsia"/>
        </w:rPr>
        <w:t>）技术偏离表；</w:t>
      </w:r>
    </w:p>
    <w:p>
      <w:pPr>
        <w:pStyle w:val="2"/>
        <w:tabs>
          <w:tab w:val="left" w:pos="1200"/>
        </w:tabs>
        <w:spacing w:line="360" w:lineRule="auto"/>
        <w:ind w:left="0" w:firstLine="480" w:firstLineChars="200"/>
        <w:jc w:val="both"/>
        <w:rPr>
          <w:lang w:val="en-US"/>
        </w:rPr>
      </w:pPr>
      <w:r>
        <w:rPr>
          <w:rFonts w:hint="eastAsia"/>
          <w:lang w:val="en-US"/>
        </w:rPr>
        <w:t>（2）供应商应提供针对项目的完整技术（服务）解决方案（服务方案、范围、标准及期限等</w:t>
      </w:r>
      <w:r>
        <w:rPr>
          <w:lang w:val="en-US"/>
        </w:rPr>
        <w:t>)，并明示服务承诺可能涉及的前提设定和费用，否则将被认为是无；</w:t>
      </w:r>
    </w:p>
    <w:p>
      <w:pPr>
        <w:pStyle w:val="2"/>
        <w:tabs>
          <w:tab w:val="left" w:pos="1200"/>
        </w:tabs>
        <w:spacing w:line="360" w:lineRule="auto"/>
        <w:ind w:left="0" w:firstLine="480" w:firstLineChars="200"/>
        <w:jc w:val="both"/>
        <w:rPr>
          <w:lang w:val="en-US"/>
        </w:rPr>
      </w:pPr>
      <w:r>
        <w:rPr>
          <w:rFonts w:hint="eastAsia"/>
          <w:lang w:val="en-US"/>
        </w:rPr>
        <w:t>（3）其他资料。</w:t>
      </w:r>
    </w:p>
    <w:p>
      <w:pPr>
        <w:pStyle w:val="27"/>
        <w:tabs>
          <w:tab w:val="left" w:pos="1140"/>
        </w:tabs>
        <w:spacing w:line="360" w:lineRule="auto"/>
        <w:ind w:left="0" w:firstLine="482" w:firstLineChars="200"/>
        <w:rPr>
          <w:sz w:val="24"/>
          <w:szCs w:val="24"/>
        </w:rPr>
      </w:pPr>
      <w:r>
        <w:rPr>
          <w:rFonts w:hint="eastAsia"/>
          <w:b/>
          <w:sz w:val="24"/>
          <w:szCs w:val="24"/>
          <w:lang w:val="en-US"/>
        </w:rPr>
        <w:t xml:space="preserve">2.3 </w:t>
      </w:r>
      <w:r>
        <w:rPr>
          <w:rFonts w:hint="eastAsia"/>
          <w:b/>
          <w:sz w:val="24"/>
          <w:szCs w:val="24"/>
        </w:rPr>
        <w:t>报价文件</w:t>
      </w:r>
    </w:p>
    <w:p>
      <w:pPr>
        <w:numPr>
          <w:ilvl w:val="255"/>
          <w:numId w:val="0"/>
        </w:numPr>
        <w:snapToGrid w:val="0"/>
        <w:spacing w:line="360" w:lineRule="auto"/>
        <w:ind w:left="440" w:leftChars="200"/>
        <w:rPr>
          <w:sz w:val="24"/>
          <w:szCs w:val="24"/>
        </w:rPr>
      </w:pPr>
      <w:r>
        <w:rPr>
          <w:rFonts w:hint="eastAsia"/>
          <w:sz w:val="24"/>
          <w:szCs w:val="24"/>
        </w:rPr>
        <w:t>（</w:t>
      </w:r>
      <w:r>
        <w:rPr>
          <w:rFonts w:hint="eastAsia"/>
          <w:sz w:val="24"/>
          <w:szCs w:val="24"/>
          <w:lang w:val="en-US"/>
        </w:rPr>
        <w:t>1</w:t>
      </w:r>
      <w:r>
        <w:rPr>
          <w:rFonts w:hint="eastAsia"/>
          <w:sz w:val="24"/>
          <w:szCs w:val="24"/>
        </w:rPr>
        <w:t xml:space="preserve">）▲开标一览表； </w:t>
      </w:r>
    </w:p>
    <w:p>
      <w:pPr>
        <w:pStyle w:val="27"/>
        <w:tabs>
          <w:tab w:val="left" w:pos="1199"/>
        </w:tabs>
        <w:spacing w:line="360" w:lineRule="auto"/>
        <w:ind w:left="0" w:firstLineChars="200"/>
        <w:outlineLvl w:val="2"/>
        <w:rPr>
          <w:b/>
          <w:sz w:val="24"/>
          <w:szCs w:val="24"/>
        </w:rPr>
      </w:pPr>
      <w:r>
        <w:rPr>
          <w:rFonts w:hint="eastAsia"/>
          <w:sz w:val="24"/>
          <w:szCs w:val="24"/>
        </w:rPr>
        <w:t>（</w:t>
      </w:r>
      <w:r>
        <w:rPr>
          <w:rFonts w:hint="eastAsia"/>
          <w:sz w:val="24"/>
          <w:szCs w:val="24"/>
          <w:lang w:val="en-US"/>
        </w:rPr>
        <w:t>2</w:t>
      </w:r>
      <w:r>
        <w:rPr>
          <w:rFonts w:hint="eastAsia"/>
          <w:sz w:val="24"/>
          <w:szCs w:val="24"/>
        </w:rPr>
        <w:t>）投标报价明细表；</w:t>
      </w:r>
      <w:bookmarkStart w:id="47" w:name="_Toc9882"/>
      <w:bookmarkStart w:id="48" w:name="_Toc11136"/>
    </w:p>
    <w:p>
      <w:pPr>
        <w:pStyle w:val="27"/>
        <w:tabs>
          <w:tab w:val="left" w:pos="1199"/>
        </w:tabs>
        <w:spacing w:line="360" w:lineRule="auto"/>
        <w:ind w:left="0" w:firstLine="482" w:firstLineChars="200"/>
        <w:outlineLvl w:val="2"/>
        <w:rPr>
          <w:b/>
          <w:sz w:val="24"/>
          <w:szCs w:val="24"/>
        </w:rPr>
      </w:pPr>
      <w:r>
        <w:rPr>
          <w:rFonts w:hint="eastAsia"/>
          <w:b/>
          <w:sz w:val="24"/>
          <w:szCs w:val="24"/>
        </w:rPr>
        <w:t>3、采购响应文件的语言</w:t>
      </w:r>
      <w:bookmarkEnd w:id="47"/>
      <w:bookmarkEnd w:id="48"/>
    </w:p>
    <w:p>
      <w:pPr>
        <w:spacing w:line="360" w:lineRule="auto"/>
        <w:ind w:firstLine="480" w:firstLineChars="200"/>
        <w:rPr>
          <w:sz w:val="24"/>
          <w:szCs w:val="24"/>
        </w:rPr>
      </w:pPr>
      <w:r>
        <w:rPr>
          <w:rFonts w:hint="eastAsia"/>
          <w:sz w:val="24"/>
          <w:szCs w:val="24"/>
        </w:rPr>
        <w:t>与采购有关的来往通知、函件和文件均应使用中文。</w:t>
      </w:r>
    </w:p>
    <w:p>
      <w:pPr>
        <w:spacing w:line="360" w:lineRule="auto"/>
        <w:ind w:firstLine="482" w:firstLineChars="200"/>
        <w:outlineLvl w:val="2"/>
        <w:rPr>
          <w:b/>
          <w:sz w:val="24"/>
          <w:szCs w:val="24"/>
        </w:rPr>
      </w:pPr>
      <w:bookmarkStart w:id="49" w:name="_Toc7441"/>
      <w:bookmarkStart w:id="50" w:name="_Toc2404"/>
      <w:r>
        <w:rPr>
          <w:rFonts w:hint="eastAsia"/>
          <w:b/>
          <w:sz w:val="24"/>
          <w:szCs w:val="24"/>
        </w:rPr>
        <w:t>4、报价要求</w:t>
      </w:r>
      <w:bookmarkEnd w:id="49"/>
      <w:bookmarkEnd w:id="50"/>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4.1有关本项目所需的设备价款、税费以及与该设备、系统有关的一切费用均计入报价。采购文件未列明，而供应商认为必需的费用也需列入报价。</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4.2报价价格单位为人民币，报价时精确到元。</w:t>
      </w:r>
    </w:p>
    <w:p>
      <w:pPr>
        <w:pStyle w:val="9"/>
        <w:tabs>
          <w:tab w:val="left" w:pos="1309"/>
        </w:tabs>
        <w:spacing w:line="360" w:lineRule="auto"/>
        <w:ind w:left="0" w:firstLine="482" w:firstLineChars="200"/>
      </w:pPr>
      <w:r>
        <w:rPr>
          <w:rFonts w:hint="eastAsia"/>
          <w:lang w:val="en-US"/>
        </w:rPr>
        <w:t>4.3</w:t>
      </w:r>
      <w:r>
        <w:rPr>
          <w:rFonts w:hint="eastAsia"/>
        </w:rPr>
        <w:t>供应商的报价应按采购文件要求的格式、顺序编制，凡未按采购文件要求编制的采购响应文件将可能被拒绝。</w:t>
      </w:r>
    </w:p>
    <w:p>
      <w:pPr>
        <w:pStyle w:val="9"/>
        <w:spacing w:line="360" w:lineRule="auto"/>
        <w:ind w:left="0" w:firstLine="482" w:firstLineChars="200"/>
      </w:pPr>
      <w:bookmarkStart w:id="51" w:name="_Toc32523"/>
      <w:bookmarkStart w:id="52" w:name="_Toc1290"/>
      <w:r>
        <w:rPr>
          <w:rFonts w:hint="eastAsia"/>
        </w:rPr>
        <w:t>5、采购响应文件的有效期</w:t>
      </w:r>
      <w:bookmarkEnd w:id="51"/>
      <w:bookmarkEnd w:id="52"/>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5.1自采购响应文件提交截止之日起 90 天内，采购响应文件应保持有效。有效期短于这个规定期限的采购响应文件将被拒绝。</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5.2在特殊情况下，采购人可与供应商协商延长采购响应文件的有效期，这种要求和答复均应以书面形式进行。</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5.3供应商可拒绝接受延期要求。同意延长有效期的供应商不能修改采购响应文件。</w:t>
      </w:r>
    </w:p>
    <w:p>
      <w:pPr>
        <w:pStyle w:val="9"/>
        <w:tabs>
          <w:tab w:val="left" w:pos="1309"/>
        </w:tabs>
        <w:spacing w:line="360" w:lineRule="auto"/>
        <w:ind w:left="0" w:firstLine="482" w:firstLineChars="200"/>
      </w:pPr>
      <w:r>
        <w:rPr>
          <w:rFonts w:hint="eastAsia"/>
          <w:lang w:val="en-US"/>
        </w:rPr>
        <w:t>5.4</w:t>
      </w:r>
      <w:r>
        <w:rPr>
          <w:rFonts w:hint="eastAsia"/>
        </w:rPr>
        <w:t>投标截止后，在投标有效期内，供应商不能撤销投标文件。供应商强行撤销投标文件的，应按采购预算金额的2%赔偿对采购组织机构造成的损失。</w:t>
      </w:r>
    </w:p>
    <w:p>
      <w:pPr>
        <w:pStyle w:val="9"/>
        <w:spacing w:line="360" w:lineRule="auto"/>
        <w:ind w:left="0" w:firstLine="482" w:firstLineChars="200"/>
      </w:pPr>
      <w:bookmarkStart w:id="53" w:name="_Toc22004"/>
      <w:bookmarkStart w:id="54" w:name="_Toc13583"/>
      <w:r>
        <w:rPr>
          <w:rFonts w:hint="eastAsia"/>
        </w:rPr>
        <w:t>6、采购响应文件的编制要求及注意事项</w:t>
      </w:r>
      <w:bookmarkEnd w:id="53"/>
      <w:bookmarkEnd w:id="54"/>
    </w:p>
    <w:p>
      <w:pPr>
        <w:pStyle w:val="27"/>
        <w:spacing w:line="360" w:lineRule="auto"/>
        <w:ind w:left="0" w:firstLine="476" w:firstLineChars="200"/>
        <w:rPr>
          <w:sz w:val="24"/>
          <w:szCs w:val="24"/>
          <w:lang w:val="en-US"/>
        </w:rPr>
      </w:pPr>
      <w:r>
        <w:rPr>
          <w:rFonts w:hint="eastAsia"/>
          <w:spacing w:val="-1"/>
          <w:sz w:val="24"/>
          <w:szCs w:val="24"/>
          <w:lang w:val="en-US"/>
        </w:rPr>
        <w:t>6.1</w:t>
      </w:r>
      <w:r>
        <w:rPr>
          <w:rFonts w:hint="eastAsia"/>
          <w:sz w:val="24"/>
          <w:szCs w:val="24"/>
          <w:lang w:val="en-US"/>
        </w:rPr>
        <w:t>投标文件分为电子投标文件以及电子备份投标文件两部分。电子投标文件按 政 采 云 平 台 供 应 商 项 目</w:t>
      </w:r>
      <w:r>
        <w:rPr>
          <w:rFonts w:hint="eastAsia"/>
          <w:spacing w:val="-50"/>
          <w:sz w:val="24"/>
          <w:szCs w:val="24"/>
          <w:lang w:val="en-US"/>
        </w:rPr>
        <w:t xml:space="preserve"> 采 购 - 电 子 招 投 标 操 作 指 南 </w:t>
      </w:r>
      <w:r>
        <w:rPr>
          <w:rFonts w:hint="eastAsia"/>
          <w:spacing w:val="-12"/>
          <w:sz w:val="24"/>
          <w:szCs w:val="24"/>
          <w:lang w:val="en-US"/>
        </w:rPr>
        <w:t>（ 网 址 ： https://help.zcygov.cn/web/site_2/2018/12-28/2573.html）</w:t>
      </w:r>
      <w:r>
        <w:rPr>
          <w:rFonts w:hint="eastAsia"/>
          <w:sz w:val="24"/>
          <w:szCs w:val="24"/>
          <w:lang w:val="en-US"/>
        </w:rPr>
        <w:t>及本招标文件要求制</w:t>
      </w:r>
      <w:r>
        <w:rPr>
          <w:rFonts w:hint="eastAsia"/>
          <w:spacing w:val="-50"/>
          <w:sz w:val="24"/>
          <w:szCs w:val="24"/>
          <w:lang w:val="en-US"/>
        </w:rPr>
        <w:t>作、</w:t>
      </w:r>
      <w:r>
        <w:rPr>
          <w:rFonts w:hint="eastAsia"/>
          <w:sz w:val="24"/>
          <w:szCs w:val="24"/>
          <w:lang w:val="en-US"/>
        </w:rPr>
        <w:t>加密并递交；电子备份投标文件即电子投标文件按政采云平台供应商项目</w:t>
      </w:r>
      <w:r>
        <w:rPr>
          <w:rFonts w:hint="eastAsia"/>
          <w:sz w:val="24"/>
          <w:szCs w:val="24"/>
          <w:lang w:val="en-US"/>
        </w:rPr>
        <w:tab/>
      </w:r>
      <w:r>
        <w:rPr>
          <w:rFonts w:hint="eastAsia"/>
          <w:sz w:val="24"/>
          <w:szCs w:val="24"/>
          <w:lang w:val="en-US"/>
        </w:rPr>
        <w:t>采购-电子招投标操作指南（网址： https://help.zcygov.cn/web/site_2/2018/12-28/2573.html）制作的备份文件。</w:t>
      </w:r>
    </w:p>
    <w:p>
      <w:pPr>
        <w:pStyle w:val="27"/>
        <w:tabs>
          <w:tab w:val="left" w:pos="1200"/>
        </w:tabs>
        <w:spacing w:line="360" w:lineRule="auto"/>
        <w:ind w:left="0" w:firstLine="476" w:firstLineChars="200"/>
        <w:rPr>
          <w:spacing w:val="-1"/>
          <w:sz w:val="24"/>
          <w:szCs w:val="24"/>
          <w:lang w:val="en-US"/>
        </w:rPr>
      </w:pPr>
      <w:r>
        <w:rPr>
          <w:rFonts w:hint="eastAsia"/>
          <w:spacing w:val="-1"/>
          <w:sz w:val="24"/>
          <w:szCs w:val="24"/>
          <w:lang w:val="en-US"/>
        </w:rPr>
        <w:t>6.2投标文件的启用，按先后顺位分别为电子投标文件、电子备份投标文件。因网络或者其他问题造成电子投标文件无法正常解密，才能启用电子备份投标文件。电子备份投标文件一旦启用，则电子投标文件失效，不予启用。</w:t>
      </w:r>
      <w:bookmarkStart w:id="55" w:name="四、采购响应文件的递交"/>
      <w:bookmarkEnd w:id="55"/>
    </w:p>
    <w:p>
      <w:pPr>
        <w:pStyle w:val="8"/>
        <w:spacing w:before="2" w:line="312" w:lineRule="auto"/>
        <w:ind w:right="543"/>
        <w:rPr>
          <w:b/>
          <w:bCs/>
          <w:spacing w:val="-1"/>
          <w:sz w:val="24"/>
          <w:szCs w:val="24"/>
        </w:rPr>
      </w:pPr>
      <w:bookmarkStart w:id="56" w:name="_Toc25865"/>
    </w:p>
    <w:p>
      <w:pPr>
        <w:pStyle w:val="8"/>
        <w:spacing w:before="2" w:line="312" w:lineRule="auto"/>
        <w:ind w:right="543"/>
        <w:jc w:val="left"/>
        <w:rPr>
          <w:b/>
          <w:bCs/>
          <w:sz w:val="24"/>
          <w:szCs w:val="24"/>
        </w:rPr>
      </w:pPr>
      <w:r>
        <w:rPr>
          <w:rFonts w:hint="eastAsia"/>
          <w:b/>
          <w:bCs/>
          <w:spacing w:val="-1"/>
          <w:sz w:val="24"/>
          <w:szCs w:val="24"/>
        </w:rPr>
        <w:t>四、</w:t>
      </w:r>
      <w:r>
        <w:rPr>
          <w:rFonts w:hint="eastAsia"/>
          <w:b/>
          <w:bCs/>
          <w:spacing w:val="-3"/>
          <w:sz w:val="24"/>
          <w:szCs w:val="24"/>
        </w:rPr>
        <w:t>采购响应文件的递交</w:t>
      </w:r>
      <w:bookmarkEnd w:id="56"/>
    </w:p>
    <w:p>
      <w:pPr>
        <w:pStyle w:val="9"/>
        <w:spacing w:line="360" w:lineRule="auto"/>
        <w:ind w:left="0" w:firstLine="482" w:firstLineChars="200"/>
      </w:pPr>
      <w:r>
        <w:rPr>
          <w:rFonts w:hint="eastAsia"/>
        </w:rPr>
        <w:t>1、采购响应文件的密封及标记</w:t>
      </w:r>
    </w:p>
    <w:p>
      <w:pPr>
        <w:pStyle w:val="27"/>
        <w:tabs>
          <w:tab w:val="left" w:pos="1200"/>
        </w:tabs>
        <w:spacing w:line="360" w:lineRule="auto"/>
        <w:ind w:left="0" w:firstLine="476" w:firstLineChars="200"/>
        <w:jc w:val="both"/>
        <w:rPr>
          <w:spacing w:val="-1"/>
          <w:sz w:val="24"/>
          <w:szCs w:val="24"/>
        </w:rPr>
      </w:pPr>
      <w:r>
        <w:rPr>
          <w:rFonts w:hint="eastAsia"/>
          <w:spacing w:val="-1"/>
          <w:sz w:val="24"/>
          <w:szCs w:val="24"/>
          <w:lang w:val="en-US"/>
        </w:rPr>
        <w:t>1.1</w:t>
      </w:r>
      <w:r>
        <w:rPr>
          <w:rFonts w:hint="eastAsia"/>
          <w:spacing w:val="-1"/>
          <w:sz w:val="24"/>
          <w:szCs w:val="24"/>
        </w:rPr>
        <w:t>电子投标文件按政采云平台供应商项目采购-电子招投标操作指南（网址：https://help.zcygov.cn/web/site_2/2018/12-28/2573.html）及本招标文件规定的格式和顺序编制电子投标文件。并且在递交采购响应文件截止时间完成电子投标文件的传输递交，递交采购响应文件截止时间可以补充、修改或者撤回电子投标文件。补充或者修改电子投标文件的，应当先行撤回原文件，补充、修改后重新传输递交。递交采购响应文件截止时间未完成传输的，视为撤回投标文件。投标截止时间后送达的投标文件，将被拒收。</w:t>
      </w:r>
    </w:p>
    <w:p>
      <w:pPr>
        <w:pStyle w:val="9"/>
        <w:spacing w:line="360" w:lineRule="auto"/>
        <w:ind w:left="0" w:firstLine="480" w:firstLineChars="200"/>
        <w:rPr>
          <w:b w:val="0"/>
          <w:bCs w:val="0"/>
          <w:spacing w:val="-1"/>
        </w:rPr>
      </w:pPr>
      <w:r>
        <w:rPr>
          <w:rFonts w:hint="eastAsia"/>
          <w:b w:val="0"/>
          <w:bCs w:val="0"/>
          <w:lang w:val="en-US"/>
        </w:rPr>
        <w:t>1.2</w:t>
      </w:r>
      <w:r>
        <w:rPr>
          <w:rFonts w:hint="eastAsia"/>
          <w:b w:val="0"/>
          <w:bCs w:val="0"/>
        </w:rPr>
        <w:t>电子备份投标文件按政采云平台供应商项目采购-电子招投标操作指南（网址：https://help.zcygov.cn/web/site_2/2018/12-28/2573.html）</w:t>
      </w:r>
      <w:r>
        <w:rPr>
          <w:rFonts w:hint="eastAsia"/>
          <w:b w:val="0"/>
          <w:bCs w:val="0"/>
          <w:spacing w:val="-5"/>
        </w:rPr>
        <w:t>中上传</w:t>
      </w:r>
      <w:r>
        <w:rPr>
          <w:rFonts w:hint="eastAsia"/>
          <w:b w:val="0"/>
          <w:bCs w:val="0"/>
          <w:spacing w:val="-1"/>
        </w:rPr>
        <w:t>的电子投标文件格式的电子投标文件。</w:t>
      </w:r>
      <w:r>
        <w:fldChar w:fldCharType="begin"/>
      </w:r>
      <w:r>
        <w:instrText xml:space="preserve"> HYPERLINK "mailto:供应商在系统里上传好加密标书后，可以（建议）在投标截止时间前将系统生成的备份标书（后缀格式为.bfbs）以电子邮件形式传送至采购代理机构邮箱3477872623@qq.com，" </w:instrText>
      </w:r>
      <w:r>
        <w:fldChar w:fldCharType="separate"/>
      </w:r>
      <w:r>
        <w:rPr>
          <w:rStyle w:val="24"/>
          <w:rFonts w:hint="eastAsia"/>
          <w:b w:val="0"/>
          <w:bCs w:val="0"/>
          <w:color w:val="auto"/>
          <w:spacing w:val="-1"/>
        </w:rPr>
        <w:t>供应商在系统里上传好加密标书后，可以（建议）在递交采购响应文件截止时间将系统生成的备份标书（后缀格式为.bfbs）以电子邮件形式传送至采购代理机构邮箱3477872623@qq.com，</w:t>
      </w:r>
      <w:r>
        <w:rPr>
          <w:rStyle w:val="24"/>
          <w:rFonts w:hint="eastAsia"/>
          <w:b w:val="0"/>
          <w:bCs w:val="0"/>
          <w:color w:val="auto"/>
          <w:spacing w:val="-1"/>
        </w:rPr>
        <w:fldChar w:fldCharType="end"/>
      </w:r>
      <w:r>
        <w:rPr>
          <w:rFonts w:hint="eastAsia"/>
          <w:b w:val="0"/>
          <w:bCs w:val="0"/>
          <w:spacing w:val="-1"/>
        </w:rPr>
        <w:t>传送的备份标书需打包压缩并加密，加密密码由供应商自行保管。</w:t>
      </w:r>
    </w:p>
    <w:p>
      <w:pPr>
        <w:pStyle w:val="9"/>
        <w:spacing w:line="360" w:lineRule="auto"/>
        <w:ind w:left="0" w:firstLine="482" w:firstLineChars="200"/>
      </w:pPr>
      <w:r>
        <w:rPr>
          <w:rFonts w:hint="eastAsia"/>
        </w:rPr>
        <w:t>2、递交采购响应文件截止时间</w:t>
      </w:r>
    </w:p>
    <w:p>
      <w:pPr>
        <w:pStyle w:val="27"/>
        <w:tabs>
          <w:tab w:val="left" w:pos="1200"/>
        </w:tabs>
        <w:spacing w:line="360" w:lineRule="auto"/>
        <w:ind w:left="0" w:firstLine="476" w:firstLineChars="200"/>
        <w:jc w:val="both"/>
        <w:rPr>
          <w:spacing w:val="-1"/>
          <w:sz w:val="24"/>
          <w:szCs w:val="24"/>
        </w:rPr>
      </w:pPr>
      <w:r>
        <w:rPr>
          <w:rFonts w:hint="eastAsia"/>
          <w:spacing w:val="-1"/>
          <w:sz w:val="24"/>
          <w:szCs w:val="24"/>
          <w:lang w:val="en-US"/>
        </w:rPr>
        <w:t>2.1</w:t>
      </w:r>
      <w:r>
        <w:rPr>
          <w:rFonts w:hint="eastAsia"/>
          <w:spacing w:val="-1"/>
          <w:sz w:val="24"/>
          <w:szCs w:val="24"/>
        </w:rPr>
        <w:t>采购响应文件必须在规定的递交截止时间前完成电子投标文件的传输递交。递交采购响应文件截止时间未完成传输的，视为撤回投标文件。</w:t>
      </w:r>
    </w:p>
    <w:p>
      <w:pPr>
        <w:pStyle w:val="27"/>
        <w:tabs>
          <w:tab w:val="left" w:pos="1200"/>
        </w:tabs>
        <w:spacing w:line="360" w:lineRule="auto"/>
        <w:ind w:left="0" w:firstLine="476" w:firstLineChars="200"/>
        <w:jc w:val="both"/>
        <w:rPr>
          <w:spacing w:val="-1"/>
          <w:sz w:val="24"/>
          <w:szCs w:val="24"/>
        </w:rPr>
      </w:pPr>
      <w:r>
        <w:rPr>
          <w:rFonts w:hint="eastAsia"/>
          <w:spacing w:val="-1"/>
          <w:sz w:val="24"/>
          <w:szCs w:val="24"/>
          <w:lang w:val="en-US"/>
        </w:rPr>
        <w:t>2.2</w:t>
      </w:r>
      <w:r>
        <w:rPr>
          <w:rFonts w:hint="eastAsia"/>
          <w:spacing w:val="-1"/>
          <w:sz w:val="24"/>
          <w:szCs w:val="24"/>
        </w:rPr>
        <w:t>采购人如因故推迟采购响应文件提交截止时间，应以书面形式通知所有供应商。在这种情况下，采购人和供应商的权利和义务将受到新的截止时间的约束。</w:t>
      </w:r>
    </w:p>
    <w:p>
      <w:pPr>
        <w:pStyle w:val="27"/>
        <w:tabs>
          <w:tab w:val="left" w:pos="1200"/>
        </w:tabs>
        <w:spacing w:line="360" w:lineRule="auto"/>
        <w:ind w:left="0" w:firstLine="476" w:firstLineChars="200"/>
        <w:jc w:val="both"/>
        <w:rPr>
          <w:spacing w:val="-1"/>
          <w:sz w:val="24"/>
          <w:szCs w:val="24"/>
        </w:rPr>
      </w:pPr>
      <w:r>
        <w:rPr>
          <w:rFonts w:hint="eastAsia"/>
          <w:spacing w:val="-1"/>
          <w:sz w:val="24"/>
          <w:szCs w:val="24"/>
          <w:lang w:val="en-US"/>
        </w:rPr>
        <w:t>2.3</w:t>
      </w:r>
      <w:r>
        <w:rPr>
          <w:rFonts w:hint="eastAsia"/>
          <w:spacing w:val="-1"/>
          <w:sz w:val="24"/>
          <w:szCs w:val="24"/>
        </w:rPr>
        <w:t>递交截止时间后上传的采购响应文件和邮寄的“备份投标文件”将被拒绝。</w:t>
      </w:r>
    </w:p>
    <w:p>
      <w:pPr>
        <w:pStyle w:val="9"/>
        <w:spacing w:line="360" w:lineRule="auto"/>
        <w:ind w:left="0" w:firstLine="482" w:firstLineChars="200"/>
      </w:pPr>
      <w:r>
        <w:rPr>
          <w:rFonts w:hint="eastAsia"/>
        </w:rPr>
        <w:t>3、采购响应文件的修改和撤回</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3.1递交投标文件截止时间之前补充或者修改电子投标文件的，应当先行撤回原文件，补充、修改后重新传输递交。</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3.2供应商以传真或电报形式通知采购人撤标时，必须随后补充有法定代表人或法定代表人授权代表签署的正式文件。但采购响应文件提交截止时间以后不能要求撤标</w:t>
      </w:r>
      <w:bookmarkStart w:id="57" w:name="五、谈判及合同签订"/>
      <w:bookmarkEnd w:id="57"/>
      <w:r>
        <w:rPr>
          <w:rFonts w:hint="eastAsia"/>
          <w:spacing w:val="-1"/>
          <w:sz w:val="24"/>
          <w:szCs w:val="24"/>
          <w:lang w:val="en-US"/>
        </w:rPr>
        <w:t>。</w:t>
      </w:r>
    </w:p>
    <w:p>
      <w:pPr>
        <w:pStyle w:val="27"/>
        <w:tabs>
          <w:tab w:val="left" w:pos="1198"/>
        </w:tabs>
        <w:spacing w:before="3" w:line="312" w:lineRule="auto"/>
        <w:ind w:left="0" w:right="776" w:firstLine="0"/>
        <w:jc w:val="center"/>
        <w:rPr>
          <w:b/>
          <w:bCs/>
          <w:sz w:val="24"/>
          <w:szCs w:val="24"/>
        </w:rPr>
      </w:pPr>
    </w:p>
    <w:p>
      <w:pPr>
        <w:pStyle w:val="27"/>
        <w:tabs>
          <w:tab w:val="left" w:pos="1198"/>
        </w:tabs>
        <w:spacing w:before="3" w:line="312" w:lineRule="auto"/>
        <w:ind w:left="0" w:right="776" w:firstLine="0"/>
        <w:rPr>
          <w:b/>
          <w:bCs/>
          <w:sz w:val="24"/>
          <w:szCs w:val="24"/>
        </w:rPr>
      </w:pPr>
      <w:r>
        <w:rPr>
          <w:rFonts w:hint="eastAsia"/>
          <w:b/>
          <w:bCs/>
          <w:sz w:val="24"/>
          <w:szCs w:val="24"/>
        </w:rPr>
        <w:t>五、谈判及合同签订</w:t>
      </w:r>
    </w:p>
    <w:p>
      <w:pPr>
        <w:pStyle w:val="27"/>
        <w:tabs>
          <w:tab w:val="left" w:pos="1200"/>
        </w:tabs>
        <w:spacing w:line="360" w:lineRule="auto"/>
        <w:ind w:left="0" w:firstLineChars="200"/>
        <w:jc w:val="both"/>
        <w:rPr>
          <w:b/>
          <w:bCs/>
          <w:spacing w:val="-1"/>
          <w:sz w:val="24"/>
          <w:szCs w:val="24"/>
          <w:lang w:val="en-US"/>
        </w:rPr>
      </w:pPr>
      <w:r>
        <w:rPr>
          <w:rFonts w:hint="eastAsia"/>
          <w:b/>
          <w:bCs/>
          <w:spacing w:val="-1"/>
          <w:sz w:val="24"/>
          <w:szCs w:val="24"/>
          <w:lang w:val="en-US"/>
        </w:rPr>
        <w:t>1、递交采购响应文件</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1.1供应商按采购文件规定的时间完成电子投标文件的传输递交，并且在规定的时间内完成电子投标文件的解密，供应商自行决定是否递交电子备份投标文件，并自行承担不递交电子备份投标文件而电子投标文件无法解密的风险。</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1.2开标时采购响应文件中的报价一览表内容与报价明细表内容不一致的， 以报价一览表为准。采购响应文件的大写金额和小写金额不一致的，以大写金额为准；总价金额与按单价汇总金额不一致的，以单价金额计算结果为准；单价金额小数点有明显错位的，应以总价为准，并修改单价；对不同文字文本采购响应文件的解释发生异议的，以中文文本为准。</w:t>
      </w:r>
    </w:p>
    <w:p>
      <w:pPr>
        <w:pStyle w:val="9"/>
        <w:tabs>
          <w:tab w:val="left" w:pos="1140"/>
        </w:tabs>
        <w:spacing w:line="360" w:lineRule="auto"/>
        <w:ind w:left="0" w:firstLine="482" w:firstLineChars="200"/>
        <w:jc w:val="both"/>
      </w:pPr>
      <w:r>
        <w:rPr>
          <w:rFonts w:hint="eastAsia"/>
          <w:lang w:val="en-US"/>
        </w:rPr>
        <w:t>1.3</w:t>
      </w:r>
      <w:r>
        <w:rPr>
          <w:rFonts w:hint="eastAsia"/>
        </w:rPr>
        <w:t>采购响应文件有下列情况之一者将视为无效：</w:t>
      </w:r>
    </w:p>
    <w:p>
      <w:pPr>
        <w:pStyle w:val="9"/>
        <w:tabs>
          <w:tab w:val="left" w:pos="1320"/>
        </w:tabs>
        <w:spacing w:line="360" w:lineRule="auto"/>
        <w:ind w:left="0" w:firstLine="482" w:firstLineChars="200"/>
      </w:pPr>
      <w:r>
        <w:rPr>
          <w:rFonts w:hint="eastAsia"/>
        </w:rPr>
        <w:t>（</w:t>
      </w:r>
      <w:r>
        <w:rPr>
          <w:rFonts w:hint="eastAsia"/>
          <w:lang w:val="en-US"/>
        </w:rPr>
        <w:t>1</w:t>
      </w:r>
      <w:r>
        <w:rPr>
          <w:rFonts w:hint="eastAsia"/>
        </w:rPr>
        <w:t>）未在采购响应文件递交截止时间之前上传电子投标文件；</w:t>
      </w:r>
    </w:p>
    <w:p>
      <w:pPr>
        <w:pStyle w:val="9"/>
        <w:tabs>
          <w:tab w:val="left" w:pos="1309"/>
        </w:tabs>
        <w:spacing w:line="360" w:lineRule="auto"/>
        <w:ind w:left="0" w:firstLine="482" w:firstLineChars="200"/>
      </w:pPr>
      <w:r>
        <w:rPr>
          <w:rFonts w:hint="eastAsia"/>
        </w:rPr>
        <w:t>（</w:t>
      </w:r>
      <w:r>
        <w:rPr>
          <w:rFonts w:hint="eastAsia"/>
          <w:lang w:val="en-US"/>
        </w:rPr>
        <w:t>2</w:t>
      </w:r>
      <w:r>
        <w:rPr>
          <w:rFonts w:hint="eastAsia"/>
        </w:rPr>
        <w:t>）已按规定上传电子投标文件，但解密失败或未在规定时限内解密，且未在采购响应文件递交截止时间之前递交密封包装的电子备份投标文件；</w:t>
      </w:r>
    </w:p>
    <w:p>
      <w:pPr>
        <w:pStyle w:val="9"/>
        <w:tabs>
          <w:tab w:val="left" w:pos="1309"/>
        </w:tabs>
        <w:spacing w:line="360" w:lineRule="auto"/>
        <w:ind w:left="0" w:firstLine="482" w:firstLineChars="200"/>
      </w:pPr>
      <w:r>
        <w:rPr>
          <w:rFonts w:hint="eastAsia"/>
        </w:rPr>
        <w:t>（</w:t>
      </w:r>
      <w:r>
        <w:rPr>
          <w:rFonts w:hint="eastAsia"/>
          <w:lang w:val="en-US"/>
        </w:rPr>
        <w:t>3</w:t>
      </w:r>
      <w:r>
        <w:rPr>
          <w:rFonts w:hint="eastAsia"/>
        </w:rPr>
        <w:t>）电子投标文件未按规定要求提供电子签章的；</w:t>
      </w:r>
    </w:p>
    <w:p>
      <w:pPr>
        <w:pStyle w:val="9"/>
        <w:tabs>
          <w:tab w:val="left" w:pos="1309"/>
        </w:tabs>
        <w:spacing w:line="360" w:lineRule="auto"/>
        <w:ind w:left="0" w:firstLine="482" w:firstLineChars="200"/>
      </w:pPr>
      <w:r>
        <w:rPr>
          <w:rFonts w:hint="eastAsia"/>
        </w:rPr>
        <w:t>（</w:t>
      </w:r>
      <w:r>
        <w:rPr>
          <w:rFonts w:hint="eastAsia"/>
          <w:lang w:val="en-US"/>
        </w:rPr>
        <w:t>4</w:t>
      </w:r>
      <w:r>
        <w:rPr>
          <w:rFonts w:hint="eastAsia"/>
        </w:rPr>
        <w:t>）电子备份投标文件启用后，未按规定要求提供电子签章的；</w:t>
      </w:r>
    </w:p>
    <w:p>
      <w:pPr>
        <w:pStyle w:val="9"/>
        <w:tabs>
          <w:tab w:val="left" w:pos="1319"/>
        </w:tabs>
        <w:spacing w:line="360" w:lineRule="auto"/>
        <w:ind w:left="0" w:firstLine="482" w:firstLineChars="200"/>
      </w:pPr>
      <w:r>
        <w:rPr>
          <w:rFonts w:hint="eastAsia"/>
        </w:rPr>
        <w:t>（</w:t>
      </w:r>
      <w:r>
        <w:rPr>
          <w:rFonts w:hint="eastAsia"/>
          <w:lang w:val="en-US"/>
        </w:rPr>
        <w:t>5</w:t>
      </w:r>
      <w:r>
        <w:rPr>
          <w:rFonts w:hint="eastAsia"/>
        </w:rPr>
        <w:t>）未能提供满足采购文件资格要求的采购响应文件；</w:t>
      </w:r>
    </w:p>
    <w:p>
      <w:pPr>
        <w:pStyle w:val="9"/>
        <w:tabs>
          <w:tab w:val="left" w:pos="1320"/>
        </w:tabs>
        <w:spacing w:line="360" w:lineRule="auto"/>
        <w:ind w:left="0" w:firstLine="482" w:firstLineChars="200"/>
      </w:pPr>
      <w:r>
        <w:rPr>
          <w:rFonts w:hint="eastAsia"/>
        </w:rPr>
        <w:t>（</w:t>
      </w:r>
      <w:r>
        <w:rPr>
          <w:rFonts w:hint="eastAsia"/>
          <w:lang w:val="en-US"/>
        </w:rPr>
        <w:t>6</w:t>
      </w:r>
      <w:r>
        <w:rPr>
          <w:rFonts w:hint="eastAsia"/>
        </w:rPr>
        <w:t>）采购响应文件有采购人不能接受附加条件的, 报价超预算的；</w:t>
      </w:r>
    </w:p>
    <w:p>
      <w:pPr>
        <w:pStyle w:val="9"/>
        <w:tabs>
          <w:tab w:val="left" w:pos="1321"/>
        </w:tabs>
        <w:spacing w:line="360" w:lineRule="auto"/>
        <w:ind w:left="0" w:firstLine="482" w:firstLineChars="200"/>
      </w:pPr>
      <w:r>
        <w:rPr>
          <w:rFonts w:hint="eastAsia"/>
        </w:rPr>
        <w:t>（</w:t>
      </w:r>
      <w:r>
        <w:rPr>
          <w:rFonts w:hint="eastAsia"/>
          <w:lang w:val="en-US"/>
        </w:rPr>
        <w:t>7</w:t>
      </w:r>
      <w:r>
        <w:rPr>
          <w:rFonts w:hint="eastAsia"/>
        </w:rPr>
        <w:t>）与采购文件有重大偏离或缺漏的采购响应文件,加▲条款未响应或偏离的；</w:t>
      </w:r>
    </w:p>
    <w:p>
      <w:pPr>
        <w:pStyle w:val="9"/>
        <w:tabs>
          <w:tab w:val="left" w:pos="1309"/>
        </w:tabs>
        <w:spacing w:line="360" w:lineRule="auto"/>
        <w:ind w:left="0" w:firstLine="482" w:firstLineChars="200"/>
      </w:pPr>
      <w:r>
        <w:rPr>
          <w:rFonts w:hint="eastAsia"/>
        </w:rPr>
        <w:t>（</w:t>
      </w:r>
      <w:r>
        <w:rPr>
          <w:rFonts w:hint="eastAsia"/>
          <w:lang w:val="en-US"/>
        </w:rPr>
        <w:t>8</w:t>
      </w:r>
      <w:r>
        <w:rPr>
          <w:rFonts w:hint="eastAsia"/>
        </w:rPr>
        <w:t>）未提供或未如实提供采购内容的技术参数；采购响应文件标明的商务、技术响应或偏离与事实不符或虚假应标的；</w:t>
      </w:r>
    </w:p>
    <w:p>
      <w:pPr>
        <w:pStyle w:val="9"/>
        <w:tabs>
          <w:tab w:val="left" w:pos="1309"/>
        </w:tabs>
        <w:spacing w:line="360" w:lineRule="auto"/>
        <w:ind w:left="0" w:firstLine="482" w:firstLineChars="200"/>
      </w:pPr>
      <w:r>
        <w:rPr>
          <w:rFonts w:hint="eastAsia"/>
        </w:rPr>
        <w:t>（</w:t>
      </w:r>
      <w:r>
        <w:rPr>
          <w:rFonts w:hint="eastAsia"/>
          <w:lang w:val="en-US"/>
        </w:rPr>
        <w:t>9</w:t>
      </w:r>
      <w:r>
        <w:rPr>
          <w:rFonts w:hint="eastAsia"/>
        </w:rPr>
        <w:t>）技术方案不明确，存在一个或一个以上备选（替代）方案的；</w:t>
      </w:r>
    </w:p>
    <w:p>
      <w:pPr>
        <w:pStyle w:val="9"/>
        <w:tabs>
          <w:tab w:val="left" w:pos="1309"/>
        </w:tabs>
        <w:spacing w:line="360" w:lineRule="auto"/>
        <w:ind w:left="0" w:firstLine="482" w:firstLineChars="200"/>
      </w:pPr>
      <w:r>
        <w:rPr>
          <w:rFonts w:hint="eastAsia"/>
        </w:rPr>
        <w:t>（</w:t>
      </w:r>
      <w:r>
        <w:rPr>
          <w:rFonts w:hint="eastAsia"/>
          <w:lang w:val="en-US"/>
        </w:rPr>
        <w:t>10</w:t>
      </w:r>
      <w:r>
        <w:rPr>
          <w:rFonts w:hint="eastAsia"/>
        </w:rPr>
        <w:t>）报价明显低于不合理，供应商又不能作出合理说明或提供相关证明材料；</w:t>
      </w:r>
    </w:p>
    <w:p>
      <w:pPr>
        <w:pStyle w:val="9"/>
        <w:tabs>
          <w:tab w:val="left" w:pos="1309"/>
        </w:tabs>
        <w:spacing w:line="360" w:lineRule="auto"/>
        <w:ind w:left="0" w:firstLine="482" w:firstLineChars="200"/>
      </w:pPr>
      <w:r>
        <w:rPr>
          <w:rFonts w:hint="eastAsia"/>
        </w:rPr>
        <w:t>（</w:t>
      </w:r>
      <w:r>
        <w:rPr>
          <w:rFonts w:hint="eastAsia"/>
          <w:lang w:val="en-US"/>
        </w:rPr>
        <w:t>11</w:t>
      </w:r>
      <w:r>
        <w:rPr>
          <w:rFonts w:hint="eastAsia"/>
        </w:rPr>
        <w:t>）采购响应文件未有效授权或未提供谈判响应函、报价一览表的采购响应文件；法定代表人授权委托书等填写不完整或有涂改的；</w:t>
      </w:r>
    </w:p>
    <w:p>
      <w:pPr>
        <w:pStyle w:val="9"/>
        <w:tabs>
          <w:tab w:val="left" w:pos="1309"/>
        </w:tabs>
        <w:spacing w:line="360" w:lineRule="auto"/>
        <w:ind w:left="0" w:firstLine="482" w:firstLineChars="200"/>
      </w:pPr>
      <w:r>
        <w:rPr>
          <w:rFonts w:hint="eastAsia"/>
        </w:rPr>
        <w:t>（</w:t>
      </w:r>
      <w:r>
        <w:rPr>
          <w:rFonts w:hint="eastAsia"/>
          <w:lang w:val="en-US"/>
        </w:rPr>
        <w:t>12</w:t>
      </w:r>
      <w:r>
        <w:rPr>
          <w:rFonts w:hint="eastAsia"/>
        </w:rPr>
        <w:t>）采购响应文件组成漏项或未按规定的格式编制或采购响应文件内容 不全或内容字迹严重模糊辨认不清；</w:t>
      </w:r>
    </w:p>
    <w:p>
      <w:pPr>
        <w:pStyle w:val="9"/>
        <w:tabs>
          <w:tab w:val="left" w:pos="1309"/>
        </w:tabs>
        <w:spacing w:line="360" w:lineRule="auto"/>
        <w:ind w:left="0" w:firstLine="482" w:firstLineChars="200"/>
      </w:pPr>
      <w:r>
        <w:rPr>
          <w:rFonts w:hint="eastAsia"/>
        </w:rPr>
        <w:t>（</w:t>
      </w:r>
      <w:r>
        <w:rPr>
          <w:rFonts w:hint="eastAsia"/>
          <w:lang w:val="en-US"/>
        </w:rPr>
        <w:t>13</w:t>
      </w:r>
      <w:r>
        <w:rPr>
          <w:rFonts w:hint="eastAsia"/>
        </w:rPr>
        <w:t>）不符合法律、法规和本采购文件规定的其他实质性要求的。</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1.4采购响应文件鉴定</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（1）开标时，采购响应文件被确认为无效，采购代理机构将及时通知该供应商。</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（2）经开标后递交至谈判小组的采购响应文件，仍需接受相关符合性的检查，并有可能在谈判过程中被判为无效。</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1.5可中止电子交易活动的情形</w:t>
      </w:r>
    </w:p>
    <w:p>
      <w:pPr>
        <w:pStyle w:val="9"/>
        <w:spacing w:line="360" w:lineRule="auto"/>
        <w:ind w:left="0" w:firstLine="482" w:firstLineChars="200"/>
      </w:pPr>
      <w:r>
        <w:rPr>
          <w:rFonts w:hint="eastAsia"/>
        </w:rPr>
        <w:t>采购过程中出现以下情形，导致电子交易平台无法正常运行，或者无法保证电子交易的公平、公正和安全时，采购组织机构可中止电子交易活动：</w:t>
      </w:r>
    </w:p>
    <w:p>
      <w:pPr>
        <w:pStyle w:val="27"/>
        <w:tabs>
          <w:tab w:val="left" w:pos="1319"/>
        </w:tabs>
        <w:spacing w:line="360" w:lineRule="auto"/>
        <w:ind w:left="0" w:firstLineChars="200"/>
        <w:rPr>
          <w:sz w:val="24"/>
          <w:szCs w:val="24"/>
        </w:rPr>
      </w:pPr>
      <w:r>
        <w:rPr>
          <w:rFonts w:hint="eastAsia"/>
          <w:sz w:val="24"/>
          <w:szCs w:val="24"/>
        </w:rPr>
        <w:t>（</w:t>
      </w:r>
      <w:r>
        <w:rPr>
          <w:rFonts w:hint="eastAsia"/>
          <w:sz w:val="24"/>
          <w:szCs w:val="24"/>
          <w:lang w:val="en-US"/>
        </w:rPr>
        <w:t>1</w:t>
      </w:r>
      <w:r>
        <w:rPr>
          <w:rFonts w:hint="eastAsia"/>
          <w:sz w:val="24"/>
          <w:szCs w:val="24"/>
        </w:rPr>
        <w:t>）电子交易平台发生故障而无法登录访问的；</w:t>
      </w:r>
    </w:p>
    <w:p>
      <w:pPr>
        <w:pStyle w:val="27"/>
        <w:tabs>
          <w:tab w:val="left" w:pos="1319"/>
        </w:tabs>
        <w:spacing w:line="360" w:lineRule="auto"/>
        <w:ind w:left="0" w:firstLineChars="200"/>
        <w:rPr>
          <w:sz w:val="24"/>
          <w:szCs w:val="24"/>
        </w:rPr>
      </w:pPr>
      <w:r>
        <w:rPr>
          <w:rFonts w:hint="eastAsia"/>
          <w:sz w:val="24"/>
          <w:szCs w:val="24"/>
        </w:rPr>
        <w:t>（</w:t>
      </w:r>
      <w:r>
        <w:rPr>
          <w:rFonts w:hint="eastAsia"/>
          <w:sz w:val="24"/>
          <w:szCs w:val="24"/>
          <w:lang w:val="en-US"/>
        </w:rPr>
        <w:t>2</w:t>
      </w:r>
      <w:r>
        <w:rPr>
          <w:rFonts w:hint="eastAsia"/>
          <w:sz w:val="24"/>
          <w:szCs w:val="24"/>
        </w:rPr>
        <w:t>）电子交易平台应用或数据库出现错误，不能进行正常操作的；</w:t>
      </w:r>
    </w:p>
    <w:p>
      <w:pPr>
        <w:pStyle w:val="27"/>
        <w:tabs>
          <w:tab w:val="left" w:pos="1319"/>
        </w:tabs>
        <w:spacing w:line="360" w:lineRule="auto"/>
        <w:ind w:left="0" w:firstLineChars="200"/>
        <w:rPr>
          <w:sz w:val="24"/>
          <w:szCs w:val="24"/>
        </w:rPr>
      </w:pPr>
      <w:r>
        <w:rPr>
          <w:rFonts w:hint="eastAsia"/>
          <w:sz w:val="24"/>
          <w:szCs w:val="24"/>
        </w:rPr>
        <w:t>（</w:t>
      </w:r>
      <w:r>
        <w:rPr>
          <w:rFonts w:hint="eastAsia"/>
          <w:sz w:val="24"/>
          <w:szCs w:val="24"/>
          <w:lang w:val="en-US"/>
        </w:rPr>
        <w:t>3</w:t>
      </w:r>
      <w:r>
        <w:rPr>
          <w:rFonts w:hint="eastAsia"/>
          <w:sz w:val="24"/>
          <w:szCs w:val="24"/>
        </w:rPr>
        <w:t>）电子交易平台发现严重安全漏洞，有潜在泄密危险的；</w:t>
      </w:r>
    </w:p>
    <w:p>
      <w:pPr>
        <w:pStyle w:val="27"/>
        <w:tabs>
          <w:tab w:val="left" w:pos="1319"/>
        </w:tabs>
        <w:spacing w:line="360" w:lineRule="auto"/>
        <w:ind w:left="0" w:firstLineChars="200"/>
        <w:rPr>
          <w:sz w:val="24"/>
          <w:szCs w:val="24"/>
        </w:rPr>
      </w:pPr>
      <w:r>
        <w:rPr>
          <w:rFonts w:hint="eastAsia"/>
          <w:sz w:val="24"/>
          <w:szCs w:val="24"/>
        </w:rPr>
        <w:t>（</w:t>
      </w:r>
      <w:r>
        <w:rPr>
          <w:rFonts w:hint="eastAsia"/>
          <w:sz w:val="24"/>
          <w:szCs w:val="24"/>
          <w:lang w:val="en-US"/>
        </w:rPr>
        <w:t>4</w:t>
      </w:r>
      <w:r>
        <w:rPr>
          <w:rFonts w:hint="eastAsia"/>
          <w:sz w:val="24"/>
          <w:szCs w:val="24"/>
        </w:rPr>
        <w:t>）病毒发作导致不能进行正常操作的；</w:t>
      </w:r>
    </w:p>
    <w:p>
      <w:pPr>
        <w:pStyle w:val="27"/>
        <w:tabs>
          <w:tab w:val="left" w:pos="1319"/>
        </w:tabs>
        <w:spacing w:line="360" w:lineRule="auto"/>
        <w:ind w:left="0" w:firstLineChars="200"/>
        <w:rPr>
          <w:sz w:val="24"/>
          <w:szCs w:val="24"/>
        </w:rPr>
      </w:pPr>
      <w:r>
        <w:rPr>
          <w:rFonts w:hint="eastAsia"/>
          <w:sz w:val="24"/>
          <w:szCs w:val="24"/>
        </w:rPr>
        <w:t>（</w:t>
      </w:r>
      <w:r>
        <w:rPr>
          <w:rFonts w:hint="eastAsia"/>
          <w:sz w:val="24"/>
          <w:szCs w:val="24"/>
          <w:lang w:val="en-US"/>
        </w:rPr>
        <w:t>5</w:t>
      </w:r>
      <w:r>
        <w:rPr>
          <w:rFonts w:hint="eastAsia"/>
          <w:sz w:val="24"/>
          <w:szCs w:val="24"/>
        </w:rPr>
        <w:t>）其他无法保证电子交易的公平、公正和安全的情况。</w:t>
      </w:r>
    </w:p>
    <w:p>
      <w:pPr>
        <w:pStyle w:val="9"/>
        <w:spacing w:line="360" w:lineRule="auto"/>
        <w:ind w:left="0" w:firstLine="482" w:firstLineChars="200"/>
        <w:jc w:val="both"/>
      </w:pPr>
      <w:r>
        <w:rPr>
          <w:rFonts w:hint="eastAsia"/>
        </w:rPr>
        <w:t>出现前款规定情形，不影响采购公平、公正性的，采购组织机构可以待上述情形消除后继续组织电子交易活动；影响或可能影响采购公平、公正性的，应当重新采购。</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1.6投标文件的澄清、说明或补正</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（1）对于响应文件中含义不明确、同类问题表述不一致或者有明显文字和计算错误的内容，评标委员会将以书面形式（或通过“政府采购云平台”在线询标） 的形式要求供应商在规定的时间内作出必要的澄清、说明或者补正，供应商澄清、说明或补正时间为 30 分钟。</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（2）供应商的澄清、说明或者补正应当采用书面（或通过“政府采购云平台” 在线答复）形式提交，并加盖公章，或者由法定代表人或其授权的代表签字。供应商的澄清、说明或者补正不得超出投标文件的范围或者改变投标文件的实质性内容。</w:t>
      </w:r>
    </w:p>
    <w:p>
      <w:pPr>
        <w:pStyle w:val="9"/>
        <w:spacing w:line="360" w:lineRule="auto"/>
        <w:ind w:left="0" w:firstLine="482" w:firstLineChars="200"/>
      </w:pPr>
      <w:r>
        <w:rPr>
          <w:rFonts w:hint="eastAsia"/>
        </w:rPr>
        <w:t>2、评审</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2.1谈判小组由 3 人以上单数的人员组成，负责对采购响应文件进行审查、谈判、评审等。谈判小组由采购人代表和采购专家组成，其中采购咨询专家人数不少于成员总数的三分之二。</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2.2遵循公开、公正、公平、科学、择优的原则，谈判小组成员将本着认真、公正、诚实、廉洁的精神，择优推荐成交候选人。在评审期间，谈判小组及相关工作人员必须严格遵守保密规定，不得泄露评审的有关情况。</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2.3若出现下列情况之一的，经谈判小组评审决议后，可认定为无效采购响应文件：</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（1）谈判小组少数服从多数原则认定后属于重大偏离的；</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（2）谈判小组认定采购响应文件格式严重不符合采购文件规定的格式要求或字迹模糊、辨认</w:t>
      </w:r>
      <w:r>
        <w:rPr>
          <w:rFonts w:hint="eastAsia"/>
          <w:sz w:val="24"/>
          <w:szCs w:val="24"/>
        </w:rPr>
        <w:t>不清的</w:t>
      </w:r>
      <w:r>
        <w:rPr>
          <w:rFonts w:hint="eastAsia"/>
          <w:spacing w:val="-1"/>
          <w:sz w:val="24"/>
          <w:szCs w:val="24"/>
          <w:lang w:val="en-US"/>
        </w:rPr>
        <w:t>采购响应文件；</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（3）采购响应文件附有采购人不能接受的条款；</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（4）报价明显不合理且又不能提供合理的理由或存在弄虚作假情况的。</w:t>
      </w:r>
    </w:p>
    <w:p>
      <w:pPr>
        <w:pStyle w:val="27"/>
        <w:tabs>
          <w:tab w:val="left" w:pos="1199"/>
        </w:tabs>
        <w:spacing w:line="360" w:lineRule="auto"/>
        <w:ind w:left="0" w:firstLine="482" w:firstLineChars="200"/>
        <w:rPr>
          <w:b/>
          <w:sz w:val="24"/>
          <w:szCs w:val="24"/>
        </w:rPr>
      </w:pPr>
      <w:r>
        <w:rPr>
          <w:rFonts w:hint="eastAsia"/>
          <w:b/>
          <w:sz w:val="24"/>
          <w:szCs w:val="24"/>
        </w:rPr>
        <w:t>3、谈判内容的保密</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3.1开标后，直到宣布成交单位止，凡属于审查、澄清、评价的所有资料， 都不应向供应商或与评审无关的其他人泄露。</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3.2在采购响应文件的审查、澄清、评价和比较以及确定成交人过程中，供应商对采购人、采购代理机构和谈判小组施加影响的任何行为，都将导致取消资格。</w:t>
      </w:r>
    </w:p>
    <w:p>
      <w:pPr>
        <w:pStyle w:val="9"/>
        <w:spacing w:line="360" w:lineRule="auto"/>
        <w:ind w:left="0" w:firstLine="482" w:firstLineChars="200"/>
      </w:pPr>
      <w:r>
        <w:rPr>
          <w:rFonts w:hint="eastAsia"/>
          <w:lang w:val="en-US"/>
        </w:rPr>
        <w:t>4、</w:t>
      </w:r>
      <w:r>
        <w:rPr>
          <w:rFonts w:hint="eastAsia"/>
        </w:rPr>
        <w:t>成交条件</w:t>
      </w:r>
    </w:p>
    <w:p>
      <w:pPr>
        <w:pStyle w:val="27"/>
        <w:tabs>
          <w:tab w:val="left" w:pos="1319"/>
        </w:tabs>
        <w:spacing w:line="360" w:lineRule="auto"/>
        <w:ind w:left="0" w:firstLineChars="200"/>
        <w:rPr>
          <w:sz w:val="24"/>
          <w:szCs w:val="24"/>
        </w:rPr>
      </w:pPr>
      <w:r>
        <w:rPr>
          <w:rFonts w:hint="eastAsia"/>
          <w:sz w:val="24"/>
          <w:szCs w:val="24"/>
        </w:rPr>
        <w:t>（</w:t>
      </w:r>
      <w:r>
        <w:rPr>
          <w:rFonts w:hint="eastAsia"/>
          <w:sz w:val="24"/>
          <w:szCs w:val="24"/>
          <w:lang w:val="en-US"/>
        </w:rPr>
        <w:t>1</w:t>
      </w:r>
      <w:r>
        <w:rPr>
          <w:rFonts w:hint="eastAsia"/>
          <w:sz w:val="24"/>
          <w:szCs w:val="24"/>
        </w:rPr>
        <w:t>）基本符合采购文件要求；</w:t>
      </w:r>
    </w:p>
    <w:p>
      <w:pPr>
        <w:pStyle w:val="27"/>
        <w:tabs>
          <w:tab w:val="left" w:pos="1319"/>
        </w:tabs>
        <w:spacing w:line="360" w:lineRule="auto"/>
        <w:ind w:left="0" w:firstLineChars="200"/>
        <w:rPr>
          <w:sz w:val="24"/>
          <w:szCs w:val="24"/>
        </w:rPr>
      </w:pPr>
      <w:r>
        <w:rPr>
          <w:rFonts w:hint="eastAsia"/>
          <w:sz w:val="24"/>
          <w:szCs w:val="24"/>
        </w:rPr>
        <w:t>（</w:t>
      </w:r>
      <w:r>
        <w:rPr>
          <w:rFonts w:hint="eastAsia"/>
          <w:sz w:val="24"/>
          <w:szCs w:val="24"/>
          <w:lang w:val="en-US"/>
        </w:rPr>
        <w:t>2</w:t>
      </w:r>
      <w:r>
        <w:rPr>
          <w:rFonts w:hint="eastAsia"/>
          <w:sz w:val="24"/>
          <w:szCs w:val="24"/>
        </w:rPr>
        <w:t>）有良好的执行合同的能力；</w:t>
      </w:r>
    </w:p>
    <w:p>
      <w:pPr>
        <w:pStyle w:val="27"/>
        <w:tabs>
          <w:tab w:val="left" w:pos="1319"/>
        </w:tabs>
        <w:spacing w:line="360" w:lineRule="auto"/>
        <w:ind w:left="0" w:firstLine="464" w:firstLineChars="200"/>
        <w:rPr>
          <w:b/>
          <w:sz w:val="24"/>
          <w:szCs w:val="24"/>
        </w:rPr>
      </w:pPr>
      <w:r>
        <w:rPr>
          <w:rFonts w:hint="eastAsia"/>
          <w:spacing w:val="-4"/>
          <w:sz w:val="24"/>
          <w:szCs w:val="24"/>
        </w:rPr>
        <w:t>（</w:t>
      </w:r>
      <w:r>
        <w:rPr>
          <w:rFonts w:hint="eastAsia"/>
          <w:spacing w:val="-4"/>
          <w:sz w:val="24"/>
          <w:szCs w:val="24"/>
          <w:lang w:val="en-US"/>
        </w:rPr>
        <w:t>3</w:t>
      </w:r>
      <w:r>
        <w:rPr>
          <w:rFonts w:hint="eastAsia"/>
          <w:spacing w:val="-4"/>
          <w:sz w:val="24"/>
          <w:szCs w:val="24"/>
        </w:rPr>
        <w:t>）报价合理。</w:t>
      </w:r>
    </w:p>
    <w:p>
      <w:pPr>
        <w:pStyle w:val="27"/>
        <w:tabs>
          <w:tab w:val="left" w:pos="1319"/>
        </w:tabs>
        <w:spacing w:line="360" w:lineRule="auto"/>
        <w:ind w:left="0" w:firstLine="482" w:firstLineChars="200"/>
        <w:rPr>
          <w:b/>
          <w:sz w:val="24"/>
          <w:szCs w:val="24"/>
        </w:rPr>
      </w:pPr>
      <w:r>
        <w:rPr>
          <w:rFonts w:hint="eastAsia"/>
          <w:b/>
          <w:sz w:val="24"/>
          <w:szCs w:val="24"/>
        </w:rPr>
        <w:t>5、确定成交供应商</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谈判小组将根据采购文件的规定，履行谈判评审工作职责，以谈判评审要点为标准，全面衡量供应商对采购文件的响应情况。</w:t>
      </w:r>
    </w:p>
    <w:p>
      <w:pPr>
        <w:pStyle w:val="9"/>
        <w:spacing w:line="360" w:lineRule="auto"/>
        <w:ind w:left="0" w:firstLine="482" w:firstLineChars="200"/>
      </w:pPr>
      <w:r>
        <w:rPr>
          <w:rFonts w:hint="eastAsia"/>
        </w:rPr>
        <w:t>6、成交通知书</w:t>
      </w:r>
    </w:p>
    <w:p>
      <w:pPr>
        <w:pStyle w:val="2"/>
        <w:spacing w:line="360" w:lineRule="auto"/>
        <w:ind w:left="0" w:firstLine="480" w:firstLineChars="200"/>
      </w:pPr>
      <w:r>
        <w:rPr>
          <w:rFonts w:hint="eastAsia"/>
        </w:rPr>
        <w:t>在确定成交人后，向成交人发出成交通知书。</w:t>
      </w:r>
    </w:p>
    <w:p>
      <w:pPr>
        <w:pStyle w:val="2"/>
        <w:spacing w:line="360" w:lineRule="auto"/>
        <w:ind w:left="0" w:firstLine="482" w:firstLineChars="200"/>
        <w:rPr>
          <w:b/>
        </w:rPr>
      </w:pPr>
      <w:r>
        <w:rPr>
          <w:rFonts w:hint="eastAsia"/>
          <w:b/>
        </w:rPr>
        <w:t>7、签订合同</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7.1成交人应按成交通知书规定的时间、地点与采购人签订合同。</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7.2采购文件、成交人的采购响应文件及报价修改文件、评审过程中有关澄清、谈判纪要和成交通知书均作为合同附件。</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7.3拒签合同的责任</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成交后，供应商拒绝签订合同的，采购人重新开展政府采购活动。供应商成交后拒绝签订合同的，应按采购预算金额的 2%对采购人进行赔偿；赔偿金额不足以弥补采购人损失的，供应商应继续承担超过部分的损失。</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存在下列行为的，采购代理机构将其失信行为上报政府采购主管部门，由主管部门按有关规定对其违法失信行为记录进行公开：</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（1）成交后，拒绝签订政府采购合同的；</w:t>
      </w:r>
    </w:p>
    <w:p>
      <w:pPr>
        <w:pStyle w:val="27"/>
        <w:tabs>
          <w:tab w:val="left" w:pos="1200"/>
        </w:tabs>
        <w:spacing w:line="360" w:lineRule="auto"/>
        <w:ind w:left="0" w:firstLine="476" w:firstLineChars="200"/>
        <w:jc w:val="both"/>
        <w:rPr>
          <w:spacing w:val="-1"/>
          <w:sz w:val="24"/>
          <w:szCs w:val="24"/>
          <w:lang w:val="en-US"/>
        </w:rPr>
      </w:pPr>
      <w:r>
        <w:rPr>
          <w:rFonts w:hint="eastAsia"/>
          <w:spacing w:val="-1"/>
          <w:sz w:val="24"/>
          <w:szCs w:val="24"/>
          <w:lang w:val="en-US"/>
        </w:rPr>
        <w:t>（2）投标有效期内撤销投标文件的。</w:t>
      </w:r>
    </w:p>
    <w:p>
      <w:pPr>
        <w:pStyle w:val="27"/>
        <w:tabs>
          <w:tab w:val="left" w:pos="1319"/>
        </w:tabs>
        <w:spacing w:line="360" w:lineRule="auto"/>
        <w:ind w:left="0" w:firstLine="482" w:firstLineChars="200"/>
        <w:rPr>
          <w:b/>
          <w:sz w:val="24"/>
          <w:szCs w:val="24"/>
        </w:rPr>
      </w:pPr>
      <w:r>
        <w:rPr>
          <w:rFonts w:hint="eastAsia"/>
          <w:b/>
          <w:sz w:val="24"/>
          <w:szCs w:val="24"/>
        </w:rPr>
        <w:t>8、谈判中止</w:t>
      </w:r>
    </w:p>
    <w:p>
      <w:pPr>
        <w:pStyle w:val="9"/>
        <w:spacing w:line="360" w:lineRule="auto"/>
        <w:ind w:left="0" w:firstLine="482" w:firstLineChars="200"/>
      </w:pPr>
      <w:r>
        <w:rPr>
          <w:rFonts w:hint="eastAsia"/>
        </w:rPr>
        <w:t xml:space="preserve">在采购中，出现下列情形之一的，应予中止： </w:t>
      </w:r>
    </w:p>
    <w:p>
      <w:pPr>
        <w:pStyle w:val="9"/>
        <w:spacing w:line="360" w:lineRule="auto"/>
        <w:ind w:left="0" w:firstLine="482" w:firstLineChars="200"/>
      </w:pPr>
      <w:r>
        <w:rPr>
          <w:rFonts w:hint="eastAsia"/>
        </w:rPr>
        <w:t>(1)出现影响采购公正的违法、违规行为的；</w:t>
      </w:r>
    </w:p>
    <w:p>
      <w:pPr>
        <w:pStyle w:val="9"/>
        <w:spacing w:line="360" w:lineRule="auto"/>
        <w:ind w:left="0" w:firstLine="482" w:firstLineChars="200"/>
        <w:rPr>
          <w:spacing w:val="-7"/>
        </w:rPr>
      </w:pPr>
      <w:r>
        <w:rPr>
          <w:rFonts w:hint="eastAsia"/>
        </w:rPr>
        <w:t>(2)报价均超过预算，不能支付的</w:t>
      </w:r>
      <w:r>
        <w:rPr>
          <w:rFonts w:hint="eastAsia"/>
          <w:spacing w:val="-7"/>
        </w:rPr>
        <w:t>；</w:t>
      </w:r>
    </w:p>
    <w:p>
      <w:pPr>
        <w:pStyle w:val="9"/>
        <w:spacing w:line="360" w:lineRule="auto"/>
        <w:ind w:left="0" w:firstLine="482" w:firstLineChars="200"/>
      </w:pPr>
      <w:r>
        <w:rPr>
          <w:rFonts w:hint="eastAsia"/>
        </w:rPr>
        <w:t>(3)因重大变故，采购任务取消的。</w:t>
      </w:r>
    </w:p>
    <w:p>
      <w:pPr>
        <w:pStyle w:val="27"/>
        <w:tabs>
          <w:tab w:val="left" w:pos="1319"/>
        </w:tabs>
        <w:spacing w:line="360" w:lineRule="auto"/>
        <w:ind w:left="0" w:firstLine="482" w:firstLineChars="200"/>
        <w:rPr>
          <w:b/>
          <w:sz w:val="24"/>
          <w:szCs w:val="24"/>
        </w:rPr>
      </w:pPr>
      <w:r>
        <w:rPr>
          <w:rFonts w:hint="eastAsia"/>
          <w:b/>
          <w:sz w:val="24"/>
          <w:szCs w:val="24"/>
        </w:rPr>
        <w:t>9、其他</w:t>
      </w:r>
    </w:p>
    <w:p>
      <w:pPr>
        <w:pStyle w:val="27"/>
        <w:tabs>
          <w:tab w:val="left" w:pos="1319"/>
        </w:tabs>
        <w:spacing w:line="360" w:lineRule="auto"/>
        <w:ind w:left="0" w:firstLineChars="200"/>
        <w:rPr>
          <w:b/>
          <w:sz w:val="24"/>
          <w:szCs w:val="24"/>
        </w:rPr>
        <w:sectPr>
          <w:footerReference r:id="rId4" w:type="default"/>
          <w:pgSz w:w="11910" w:h="16840"/>
          <w:pgMar w:top="1417" w:right="1247" w:bottom="1417" w:left="1247" w:header="0" w:footer="1226" w:gutter="0"/>
          <w:cols w:space="720" w:num="1"/>
        </w:sectPr>
      </w:pPr>
      <w:r>
        <w:rPr>
          <w:rFonts w:hint="eastAsia"/>
          <w:sz w:val="24"/>
          <w:szCs w:val="24"/>
        </w:rPr>
        <w:t>取得衢州市政府采购合同的供应商，均可凭政府采购合同及应收账款收益权，向银行申请质押融资.申请质押融资时，供应商需先注册“衢州金融服务信用信息平台”用户，登录后通过“中征融资”模块进入“中征应收账款融资服务平台”，完善企业信息后，向合作银行推送中标采购信息。采购合同签订前已与银行机构达成融资意向的，供应商应向采购单位或釆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p>
      <w:pPr>
        <w:pStyle w:val="3"/>
        <w:spacing w:line="312" w:lineRule="auto"/>
        <w:rPr>
          <w:rFonts w:asciiTheme="minorEastAsia" w:hAnsiTheme="minorEastAsia" w:eastAsiaTheme="minorEastAsia" w:cstheme="minorEastAsia"/>
          <w:sz w:val="28"/>
          <w:szCs w:val="28"/>
        </w:rPr>
      </w:pPr>
      <w:bookmarkStart w:id="58" w:name="第四章_采购合同的主要条款"/>
      <w:bookmarkEnd w:id="58"/>
      <w:bookmarkStart w:id="59" w:name="_Toc24575"/>
      <w:bookmarkStart w:id="60" w:name="_Toc23100"/>
      <w:r>
        <w:rPr>
          <w:rFonts w:hint="eastAsia" w:asciiTheme="minorEastAsia" w:hAnsiTheme="minorEastAsia" w:eastAsiaTheme="minorEastAsia" w:cstheme="minorEastAsia"/>
          <w:sz w:val="28"/>
          <w:szCs w:val="28"/>
        </w:rPr>
        <w:t xml:space="preserve">第四章 </w:t>
      </w:r>
      <w:bookmarkEnd w:id="59"/>
      <w:bookmarkEnd w:id="60"/>
      <w:r>
        <w:rPr>
          <w:rFonts w:hint="eastAsia" w:asciiTheme="minorEastAsia" w:hAnsiTheme="minorEastAsia" w:eastAsiaTheme="minorEastAsia" w:cstheme="minorEastAsia"/>
          <w:sz w:val="28"/>
          <w:szCs w:val="28"/>
        </w:rPr>
        <w:t>采购合同的主要条款</w:t>
      </w:r>
    </w:p>
    <w:p>
      <w:pPr>
        <w:adjustRightInd w:val="0"/>
        <w:snapToGrid w:val="0"/>
        <w:spacing w:after="240" w:afterLines="100" w:line="500" w:lineRule="exact"/>
        <w:jc w:val="center"/>
        <w:outlineLvl w:val="1"/>
        <w:rPr>
          <w:b/>
          <w:bCs/>
          <w:sz w:val="28"/>
          <w:szCs w:val="28"/>
          <w:highlight w:val="yellow"/>
        </w:rPr>
      </w:pPr>
      <w:bookmarkStart w:id="61" w:name="_Toc10832"/>
      <w:bookmarkStart w:id="62" w:name="_Toc21298"/>
      <w:bookmarkStart w:id="63" w:name="_Toc25094"/>
      <w:bookmarkStart w:id="64" w:name="_Toc16525"/>
      <w:r>
        <w:rPr>
          <w:rFonts w:hint="eastAsia"/>
          <w:szCs w:val="21"/>
        </w:rPr>
        <w:t>（以实际签订的条款为准</w:t>
      </w:r>
      <w:bookmarkEnd w:id="61"/>
      <w:r>
        <w:rPr>
          <w:rFonts w:hint="eastAsia"/>
          <w:szCs w:val="21"/>
        </w:rPr>
        <w:t>）</w:t>
      </w:r>
      <w:bookmarkEnd w:id="62"/>
      <w:bookmarkEnd w:id="63"/>
    </w:p>
    <w:bookmarkEnd w:id="64"/>
    <w:p>
      <w:pPr>
        <w:spacing w:line="360" w:lineRule="auto"/>
        <w:rPr>
          <w:rFonts w:cs="Arial"/>
          <w:bCs/>
          <w:sz w:val="24"/>
        </w:rPr>
      </w:pPr>
    </w:p>
    <w:p>
      <w:pPr>
        <w:spacing w:line="360" w:lineRule="auto"/>
        <w:rPr>
          <w:sz w:val="24"/>
        </w:rPr>
      </w:pPr>
      <w:r>
        <w:rPr>
          <w:rFonts w:hint="eastAsia" w:cs="Arial"/>
          <w:bCs/>
          <w:sz w:val="24"/>
        </w:rPr>
        <w:t>甲方：</w:t>
      </w:r>
      <w:r>
        <w:rPr>
          <w:rFonts w:cs="Arial"/>
          <w:sz w:val="24"/>
          <w:u w:val="single"/>
        </w:rPr>
        <w:t xml:space="preserve">[ </w:t>
      </w:r>
      <w:r>
        <w:rPr>
          <w:rFonts w:hint="eastAsia" w:cs="Arial"/>
          <w:sz w:val="24"/>
          <w:u w:val="single"/>
        </w:rPr>
        <w:t>衢州市自然资源和规划局柯城分局</w:t>
      </w:r>
      <w:r>
        <w:rPr>
          <w:rFonts w:cs="Arial"/>
          <w:sz w:val="24"/>
          <w:u w:val="single"/>
        </w:rPr>
        <w:t xml:space="preserve">    ]</w:t>
      </w:r>
      <w:r>
        <w:rPr>
          <w:sz w:val="24"/>
        </w:rPr>
        <w:t>(以下简称“甲方”)</w:t>
      </w:r>
    </w:p>
    <w:p>
      <w:pPr>
        <w:widowControl/>
        <w:spacing w:line="360" w:lineRule="auto"/>
        <w:textAlignment w:val="bottom"/>
        <w:rPr>
          <w:rFonts w:cs="Arial"/>
          <w:bCs/>
          <w:sz w:val="24"/>
        </w:rPr>
      </w:pPr>
      <w:r>
        <w:rPr>
          <w:rFonts w:hint="eastAsia" w:cs="Arial"/>
          <w:bCs/>
          <w:sz w:val="24"/>
        </w:rPr>
        <w:t>地址：</w:t>
      </w:r>
      <w:r>
        <w:rPr>
          <w:rFonts w:cs="Arial"/>
          <w:sz w:val="24"/>
          <w:u w:val="single"/>
        </w:rPr>
        <w:t xml:space="preserve">[ </w:t>
      </w:r>
      <w:r>
        <w:rPr>
          <w:rFonts w:hint="eastAsia" w:cs="Arial"/>
          <w:sz w:val="24"/>
          <w:u w:val="single"/>
        </w:rPr>
        <w:t>浙江省衢州市柯城区双港路</w:t>
      </w:r>
      <w:r>
        <w:rPr>
          <w:rFonts w:cs="Arial"/>
          <w:sz w:val="24"/>
          <w:u w:val="single"/>
        </w:rPr>
        <w:t>180</w:t>
      </w:r>
      <w:r>
        <w:rPr>
          <w:rFonts w:hint="eastAsia" w:cs="Arial"/>
          <w:sz w:val="24"/>
          <w:u w:val="single"/>
        </w:rPr>
        <w:t>号</w:t>
      </w:r>
      <w:r>
        <w:rPr>
          <w:rFonts w:cs="Arial"/>
          <w:sz w:val="24"/>
          <w:u w:val="single"/>
        </w:rPr>
        <w:t xml:space="preserve">    ]</w:t>
      </w:r>
    </w:p>
    <w:p>
      <w:pPr>
        <w:widowControl/>
        <w:spacing w:line="360" w:lineRule="auto"/>
        <w:textAlignment w:val="bottom"/>
        <w:rPr>
          <w:rFonts w:cs="Arial"/>
          <w:bCs/>
          <w:sz w:val="24"/>
        </w:rPr>
      </w:pPr>
      <w:r>
        <w:rPr>
          <w:rFonts w:hint="eastAsia" w:cs="Arial"/>
          <w:bCs/>
          <w:sz w:val="24"/>
        </w:rPr>
        <w:t>法定代表人</w:t>
      </w:r>
      <w:r>
        <w:rPr>
          <w:rFonts w:cs="Arial"/>
          <w:bCs/>
          <w:sz w:val="24"/>
        </w:rPr>
        <w:t>/负责人：</w:t>
      </w:r>
      <w:r>
        <w:rPr>
          <w:rFonts w:cs="Arial"/>
          <w:sz w:val="24"/>
          <w:u w:val="single"/>
        </w:rPr>
        <w:t>[    ]</w:t>
      </w:r>
    </w:p>
    <w:p>
      <w:pPr>
        <w:widowControl/>
        <w:spacing w:line="360" w:lineRule="auto"/>
        <w:textAlignment w:val="bottom"/>
        <w:rPr>
          <w:rFonts w:cs="Arial"/>
          <w:bCs/>
          <w:sz w:val="24"/>
        </w:rPr>
      </w:pPr>
      <w:r>
        <w:rPr>
          <w:rFonts w:hint="eastAsia" w:cs="Arial"/>
          <w:bCs/>
          <w:sz w:val="24"/>
        </w:rPr>
        <w:t>项目联系人：</w:t>
      </w:r>
      <w:r>
        <w:rPr>
          <w:rFonts w:cs="Arial"/>
          <w:sz w:val="24"/>
          <w:u w:val="single"/>
        </w:rPr>
        <w:t>[    ]</w:t>
      </w:r>
    </w:p>
    <w:p>
      <w:pPr>
        <w:widowControl/>
        <w:spacing w:line="360" w:lineRule="auto"/>
        <w:textAlignment w:val="bottom"/>
        <w:rPr>
          <w:rFonts w:cs="Arial"/>
          <w:bCs/>
          <w:sz w:val="24"/>
          <w:lang w:val="en-US"/>
        </w:rPr>
      </w:pPr>
      <w:r>
        <w:rPr>
          <w:rFonts w:hint="eastAsia" w:cs="Arial"/>
          <w:bCs/>
          <w:sz w:val="24"/>
        </w:rPr>
        <w:t>联系方式：</w:t>
      </w:r>
      <w:r>
        <w:rPr>
          <w:rFonts w:cs="Arial"/>
          <w:sz w:val="24"/>
          <w:u w:val="single"/>
        </w:rPr>
        <w:t>[    ]</w:t>
      </w:r>
    </w:p>
    <w:p>
      <w:pPr>
        <w:widowControl/>
        <w:spacing w:line="360" w:lineRule="auto"/>
        <w:textAlignment w:val="bottom"/>
        <w:rPr>
          <w:rFonts w:cs="Arial"/>
          <w:bCs/>
          <w:sz w:val="24"/>
        </w:rPr>
      </w:pPr>
    </w:p>
    <w:p>
      <w:pPr>
        <w:widowControl/>
        <w:spacing w:line="360" w:lineRule="auto"/>
        <w:textAlignment w:val="bottom"/>
        <w:rPr>
          <w:rFonts w:cs="Arial"/>
          <w:bCs/>
          <w:sz w:val="24"/>
        </w:rPr>
      </w:pPr>
      <w:r>
        <w:rPr>
          <w:rFonts w:hint="eastAsia" w:cs="Arial"/>
          <w:bCs/>
          <w:sz w:val="24"/>
        </w:rPr>
        <w:t>乙方：中国铁塔股份有限公司</w:t>
      </w:r>
      <w:r>
        <w:rPr>
          <w:rFonts w:cs="Arial"/>
          <w:sz w:val="24"/>
          <w:u w:val="single"/>
        </w:rPr>
        <w:t xml:space="preserve">[ </w:t>
      </w:r>
      <w:r>
        <w:rPr>
          <w:rFonts w:hint="eastAsia" w:cs="Arial"/>
          <w:sz w:val="24"/>
          <w:u w:val="single"/>
        </w:rPr>
        <w:t>衢州市</w:t>
      </w:r>
      <w:r>
        <w:rPr>
          <w:rFonts w:cs="Arial"/>
          <w:sz w:val="24"/>
          <w:u w:val="single"/>
        </w:rPr>
        <w:t xml:space="preserve"> ]</w:t>
      </w:r>
      <w:r>
        <w:rPr>
          <w:rFonts w:hint="eastAsia" w:cs="Arial"/>
          <w:bCs/>
          <w:sz w:val="24"/>
        </w:rPr>
        <w:t>分公司</w:t>
      </w:r>
      <w:r>
        <w:rPr>
          <w:sz w:val="24"/>
        </w:rPr>
        <w:t>(以下简称“乙方”)</w:t>
      </w:r>
    </w:p>
    <w:p>
      <w:pPr>
        <w:widowControl/>
        <w:spacing w:line="360" w:lineRule="auto"/>
        <w:textAlignment w:val="bottom"/>
        <w:rPr>
          <w:rFonts w:cs="Arial"/>
          <w:bCs/>
          <w:sz w:val="24"/>
        </w:rPr>
      </w:pPr>
      <w:r>
        <w:rPr>
          <w:rFonts w:hint="eastAsia" w:cs="Arial"/>
          <w:bCs/>
          <w:sz w:val="24"/>
        </w:rPr>
        <w:t>地址：</w:t>
      </w:r>
      <w:r>
        <w:rPr>
          <w:rFonts w:cs="Arial"/>
          <w:sz w:val="24"/>
          <w:u w:val="single"/>
        </w:rPr>
        <w:t>[</w:t>
      </w:r>
      <w:r>
        <w:rPr>
          <w:rFonts w:hint="eastAsia" w:cs="Arial"/>
          <w:sz w:val="24"/>
          <w:u w:val="single"/>
        </w:rPr>
        <w:t>浙江省衢州市柯城区智慧新城芹江东路2</w:t>
      </w:r>
      <w:r>
        <w:rPr>
          <w:rFonts w:cs="Arial"/>
          <w:sz w:val="24"/>
          <w:u w:val="single"/>
        </w:rPr>
        <w:t>88</w:t>
      </w:r>
      <w:r>
        <w:rPr>
          <w:rFonts w:hint="eastAsia" w:cs="Arial"/>
          <w:sz w:val="24"/>
          <w:u w:val="single"/>
        </w:rPr>
        <w:t>号衢时代创新大厦5楼</w:t>
      </w:r>
      <w:r>
        <w:rPr>
          <w:rFonts w:cs="Arial"/>
          <w:sz w:val="24"/>
          <w:u w:val="single"/>
        </w:rPr>
        <w:t>]</w:t>
      </w:r>
    </w:p>
    <w:p>
      <w:pPr>
        <w:widowControl/>
        <w:spacing w:line="360" w:lineRule="auto"/>
        <w:textAlignment w:val="bottom"/>
        <w:rPr>
          <w:rFonts w:cs="Arial"/>
          <w:bCs/>
          <w:sz w:val="24"/>
        </w:rPr>
      </w:pPr>
      <w:r>
        <w:rPr>
          <w:rFonts w:hint="eastAsia" w:cs="Arial"/>
          <w:bCs/>
          <w:sz w:val="24"/>
        </w:rPr>
        <w:t>法定代表人</w:t>
      </w:r>
      <w:r>
        <w:rPr>
          <w:rFonts w:cs="Arial"/>
          <w:bCs/>
          <w:sz w:val="24"/>
        </w:rPr>
        <w:t>/负责人：</w:t>
      </w:r>
      <w:r>
        <w:rPr>
          <w:rFonts w:cs="Arial"/>
          <w:sz w:val="24"/>
          <w:u w:val="single"/>
        </w:rPr>
        <w:t>[    ]</w:t>
      </w:r>
    </w:p>
    <w:p>
      <w:pPr>
        <w:widowControl/>
        <w:spacing w:line="360" w:lineRule="auto"/>
        <w:textAlignment w:val="bottom"/>
        <w:rPr>
          <w:rFonts w:cs="Arial"/>
          <w:bCs/>
          <w:sz w:val="24"/>
        </w:rPr>
      </w:pPr>
      <w:r>
        <w:rPr>
          <w:rFonts w:hint="eastAsia" w:cs="Arial"/>
          <w:bCs/>
          <w:sz w:val="24"/>
        </w:rPr>
        <w:t>项目负责人：</w:t>
      </w:r>
      <w:r>
        <w:rPr>
          <w:rFonts w:cs="Arial"/>
          <w:sz w:val="24"/>
          <w:u w:val="single"/>
        </w:rPr>
        <w:t xml:space="preserve">[  </w:t>
      </w:r>
      <w:r>
        <w:rPr>
          <w:rFonts w:hint="eastAsia" w:cs="Arial"/>
          <w:sz w:val="24"/>
          <w:u w:val="single"/>
          <w:lang w:val="en-US"/>
        </w:rPr>
        <w:t xml:space="preserve"> </w:t>
      </w:r>
      <w:r>
        <w:rPr>
          <w:rFonts w:cs="Arial"/>
          <w:sz w:val="24"/>
          <w:u w:val="single"/>
        </w:rPr>
        <w:t xml:space="preserve"> ]</w:t>
      </w:r>
    </w:p>
    <w:p>
      <w:pPr>
        <w:widowControl/>
        <w:spacing w:line="360" w:lineRule="auto"/>
        <w:textAlignment w:val="bottom"/>
        <w:rPr>
          <w:rFonts w:cs="Arial"/>
          <w:sz w:val="24"/>
        </w:rPr>
      </w:pPr>
      <w:r>
        <w:rPr>
          <w:rFonts w:hint="eastAsia" w:cs="Arial"/>
          <w:bCs/>
          <w:sz w:val="24"/>
        </w:rPr>
        <w:t>联系方式：</w:t>
      </w:r>
      <w:r>
        <w:rPr>
          <w:rFonts w:cs="Arial"/>
          <w:sz w:val="24"/>
          <w:u w:val="single"/>
        </w:rPr>
        <w:t xml:space="preserve">[ </w:t>
      </w:r>
      <w:r>
        <w:rPr>
          <w:rFonts w:hint="eastAsia" w:cs="Arial"/>
          <w:sz w:val="24"/>
          <w:u w:val="single"/>
          <w:lang w:val="en-US"/>
        </w:rPr>
        <w:t xml:space="preserve">   </w:t>
      </w:r>
      <w:r>
        <w:rPr>
          <w:rFonts w:cs="Arial"/>
          <w:sz w:val="24"/>
          <w:u w:val="single"/>
        </w:rPr>
        <w:t>]</w:t>
      </w:r>
    </w:p>
    <w:p>
      <w:pPr>
        <w:spacing w:line="360" w:lineRule="auto"/>
        <w:ind w:firstLine="470" w:firstLineChars="196"/>
        <w:rPr>
          <w:sz w:val="24"/>
        </w:rPr>
      </w:pPr>
    </w:p>
    <w:p>
      <w:pPr>
        <w:spacing w:line="360" w:lineRule="auto"/>
        <w:ind w:firstLine="480" w:firstLineChars="200"/>
        <w:rPr>
          <w:sz w:val="24"/>
        </w:rPr>
      </w:pPr>
      <w:r>
        <w:rPr>
          <w:rFonts w:hint="eastAsia"/>
          <w:sz w:val="24"/>
        </w:rPr>
        <w:t>甲、乙双方根据《中华人民共和国民法典》及相关法律法规，经友好协商签订本协议，双方共同遵守执行。</w:t>
      </w:r>
    </w:p>
    <w:p>
      <w:pPr>
        <w:spacing w:line="360" w:lineRule="auto"/>
        <w:ind w:firstLine="482" w:firstLineChars="200"/>
        <w:rPr>
          <w:b/>
          <w:sz w:val="24"/>
        </w:rPr>
      </w:pPr>
      <w:r>
        <w:rPr>
          <w:rFonts w:hint="eastAsia"/>
          <w:b/>
          <w:sz w:val="24"/>
          <w:lang w:val="en-US"/>
        </w:rPr>
        <w:t>一、</w:t>
      </w:r>
      <w:r>
        <w:rPr>
          <w:rFonts w:hint="eastAsia"/>
          <w:b/>
          <w:sz w:val="24"/>
        </w:rPr>
        <w:t>服务内容</w:t>
      </w:r>
    </w:p>
    <w:p>
      <w:pPr>
        <w:spacing w:line="360" w:lineRule="auto"/>
        <w:ind w:firstLine="495"/>
        <w:rPr>
          <w:sz w:val="24"/>
        </w:rPr>
      </w:pPr>
      <w:r>
        <w:rPr>
          <w:sz w:val="24"/>
        </w:rPr>
        <w:t>为实现对耕地“非农化”相关违法活动进行有效监控，乙方为甲方提供基于AI</w:t>
      </w:r>
      <w:r>
        <w:rPr>
          <w:rFonts w:hint="eastAsia"/>
          <w:sz w:val="24"/>
        </w:rPr>
        <w:t>算法预警的视频监控服务及日常运营维护服务。具体点位见附件</w:t>
      </w:r>
      <w:r>
        <w:rPr>
          <w:sz w:val="24"/>
        </w:rPr>
        <w:t>1</w:t>
      </w:r>
      <w:r>
        <w:rPr>
          <w:rFonts w:hint="eastAsia"/>
          <w:sz w:val="24"/>
        </w:rPr>
        <w:t>点位清单，</w:t>
      </w:r>
      <w:r>
        <w:rPr>
          <w:sz w:val="24"/>
        </w:rPr>
        <w:t>AI</w:t>
      </w:r>
      <w:r>
        <w:rPr>
          <w:rFonts w:hint="eastAsia"/>
          <w:sz w:val="24"/>
        </w:rPr>
        <w:t>算法清单见附件</w:t>
      </w:r>
      <w:r>
        <w:rPr>
          <w:rFonts w:hint="eastAsia"/>
          <w:sz w:val="24"/>
          <w:lang w:val="en-US"/>
        </w:rPr>
        <w:t>2</w:t>
      </w:r>
      <w:r>
        <w:rPr>
          <w:sz w:val="24"/>
        </w:rPr>
        <w:t>。</w:t>
      </w:r>
    </w:p>
    <w:p>
      <w:pPr>
        <w:spacing w:line="360" w:lineRule="auto"/>
        <w:ind w:firstLine="482" w:firstLineChars="200"/>
        <w:rPr>
          <w:b/>
          <w:sz w:val="24"/>
        </w:rPr>
      </w:pPr>
      <w:r>
        <w:rPr>
          <w:rFonts w:hint="eastAsia"/>
          <w:b/>
          <w:bCs/>
          <w:sz w:val="24"/>
        </w:rPr>
        <w:t>二</w:t>
      </w:r>
      <w:r>
        <w:rPr>
          <w:rFonts w:hint="eastAsia"/>
          <w:b/>
          <w:sz w:val="24"/>
        </w:rPr>
        <w:t>、用途及</w:t>
      </w:r>
      <w:r>
        <w:rPr>
          <w:b/>
          <w:sz w:val="24"/>
        </w:rPr>
        <w:t>要求</w:t>
      </w:r>
    </w:p>
    <w:p>
      <w:pPr>
        <w:spacing w:line="360" w:lineRule="auto"/>
        <w:ind w:left="110" w:leftChars="50" w:firstLine="480" w:firstLineChars="200"/>
        <w:rPr>
          <w:sz w:val="24"/>
        </w:rPr>
      </w:pPr>
      <w:r>
        <w:rPr>
          <w:sz w:val="24"/>
        </w:rPr>
        <w:t>乙方</w:t>
      </w:r>
      <w:r>
        <w:rPr>
          <w:rFonts w:hint="eastAsia"/>
          <w:sz w:val="24"/>
        </w:rPr>
        <w:t>在</w:t>
      </w:r>
      <w:r>
        <w:rPr>
          <w:sz w:val="24"/>
        </w:rPr>
        <w:t>塔上</w:t>
      </w:r>
      <w:r>
        <w:rPr>
          <w:rFonts w:hint="eastAsia"/>
          <w:sz w:val="24"/>
        </w:rPr>
        <w:t>安装</w:t>
      </w:r>
      <w:r>
        <w:rPr>
          <w:sz w:val="24"/>
        </w:rPr>
        <w:t>监控设备</w:t>
      </w:r>
      <w:r>
        <w:rPr>
          <w:rFonts w:hint="eastAsia"/>
          <w:sz w:val="24"/>
        </w:rPr>
        <w:t>，协助</w:t>
      </w:r>
      <w:r>
        <w:rPr>
          <w:sz w:val="24"/>
        </w:rPr>
        <w:t>甲方</w:t>
      </w:r>
      <w:r>
        <w:rPr>
          <w:rFonts w:hint="eastAsia"/>
          <w:sz w:val="24"/>
        </w:rPr>
        <w:t>实现对耕地进行实时有效监控，为全区耕地的保护工作提供保障。</w:t>
      </w:r>
    </w:p>
    <w:p>
      <w:pPr>
        <w:spacing w:line="360" w:lineRule="auto"/>
        <w:ind w:firstLine="482" w:firstLineChars="200"/>
        <w:rPr>
          <w:b/>
          <w:sz w:val="24"/>
        </w:rPr>
      </w:pPr>
      <w:r>
        <w:rPr>
          <w:rFonts w:hint="eastAsia"/>
          <w:b/>
          <w:sz w:val="24"/>
        </w:rPr>
        <w:t>三、服务期限</w:t>
      </w:r>
    </w:p>
    <w:p>
      <w:pPr>
        <w:tabs>
          <w:tab w:val="left" w:pos="0"/>
        </w:tabs>
        <w:spacing w:line="360" w:lineRule="auto"/>
        <w:ind w:firstLine="504" w:firstLineChars="200"/>
        <w:rPr>
          <w:sz w:val="24"/>
        </w:rPr>
      </w:pPr>
      <w:r>
        <w:rPr>
          <w:spacing w:val="6"/>
          <w:sz w:val="24"/>
        </w:rPr>
        <w:t>1、</w:t>
      </w:r>
      <w:r>
        <w:rPr>
          <w:rFonts w:hint="eastAsia"/>
          <w:sz w:val="24"/>
        </w:rPr>
        <w:t>服</w:t>
      </w:r>
      <w:r>
        <w:rPr>
          <w:sz w:val="24"/>
        </w:rPr>
        <w:t>务</w:t>
      </w:r>
      <w:r>
        <w:rPr>
          <w:rFonts w:hint="eastAsia"/>
          <w:sz w:val="24"/>
        </w:rPr>
        <w:t>期限：自项目交付验收单签订之日起</w:t>
      </w:r>
      <w:r>
        <w:rPr>
          <w:sz w:val="24"/>
          <w:u w:val="single"/>
        </w:rPr>
        <w:t>3</w:t>
      </w:r>
      <w:r>
        <w:rPr>
          <w:rFonts w:hint="eastAsia"/>
          <w:sz w:val="24"/>
        </w:rPr>
        <w:t>年。</w:t>
      </w:r>
    </w:p>
    <w:p>
      <w:pPr>
        <w:pStyle w:val="10"/>
        <w:spacing w:line="360" w:lineRule="auto"/>
        <w:ind w:firstLine="480" w:firstLineChars="200"/>
        <w:rPr>
          <w:rFonts w:ascii="宋体" w:hAnsi="宋体" w:eastAsia="宋体" w:cs="宋体"/>
          <w:sz w:val="24"/>
        </w:rPr>
      </w:pPr>
      <w:r>
        <w:rPr>
          <w:rFonts w:hint="eastAsia" w:ascii="宋体" w:hAnsi="宋体" w:eastAsia="宋体" w:cs="宋体"/>
          <w:sz w:val="24"/>
        </w:rPr>
        <w:t>2、交付验收单签订之日为本协议生效之日，服务期限及服务费计费期间均以交付验收单签订之日为起始日，即【 2022 】年【  】月【  】日-【 2025 】年【   】月【  】日。</w:t>
      </w:r>
    </w:p>
    <w:p>
      <w:pPr>
        <w:spacing w:line="360" w:lineRule="auto"/>
        <w:ind w:firstLine="482" w:firstLineChars="200"/>
        <w:rPr>
          <w:b/>
          <w:bCs/>
          <w:sz w:val="24"/>
        </w:rPr>
      </w:pPr>
      <w:r>
        <w:rPr>
          <w:rFonts w:hint="eastAsia"/>
          <w:b/>
          <w:sz w:val="24"/>
        </w:rPr>
        <w:t>四、</w:t>
      </w:r>
      <w:r>
        <w:rPr>
          <w:rFonts w:hint="eastAsia"/>
          <w:b/>
          <w:bCs/>
          <w:sz w:val="24"/>
        </w:rPr>
        <w:t>甲乙双方的权利和义务</w:t>
      </w:r>
    </w:p>
    <w:p>
      <w:pPr>
        <w:spacing w:line="360" w:lineRule="auto"/>
        <w:ind w:firstLine="495"/>
        <w:rPr>
          <w:b/>
          <w:bCs/>
          <w:sz w:val="24"/>
        </w:rPr>
      </w:pPr>
      <w:r>
        <w:rPr>
          <w:b/>
          <w:bCs/>
          <w:sz w:val="24"/>
        </w:rPr>
        <w:t>1、甲方的权利和义务</w:t>
      </w:r>
    </w:p>
    <w:p>
      <w:pPr>
        <w:tabs>
          <w:tab w:val="left" w:pos="360"/>
        </w:tabs>
        <w:snapToGrid w:val="0"/>
        <w:spacing w:line="360" w:lineRule="auto"/>
        <w:ind w:firstLine="427"/>
        <w:rPr>
          <w:sz w:val="24"/>
        </w:rPr>
      </w:pPr>
      <w:r>
        <w:rPr>
          <w:rFonts w:hint="eastAsia"/>
          <w:sz w:val="24"/>
        </w:rPr>
        <w:t>（</w:t>
      </w:r>
      <w:r>
        <w:rPr>
          <w:sz w:val="24"/>
        </w:rPr>
        <w:t>1</w:t>
      </w:r>
      <w:r>
        <w:rPr>
          <w:rFonts w:hint="eastAsia"/>
          <w:sz w:val="24"/>
        </w:rPr>
        <w:t>）甲方在使用铁塔提供的相关服务时，应当遵守国家法律、法规及相关规定。</w:t>
      </w:r>
    </w:p>
    <w:p>
      <w:pPr>
        <w:tabs>
          <w:tab w:val="left" w:pos="360"/>
        </w:tabs>
        <w:snapToGrid w:val="0"/>
        <w:spacing w:line="360" w:lineRule="auto"/>
        <w:ind w:firstLine="427"/>
        <w:rPr>
          <w:sz w:val="24"/>
        </w:rPr>
      </w:pPr>
      <w:r>
        <w:rPr>
          <w:rFonts w:hint="eastAsia"/>
          <w:sz w:val="24"/>
        </w:rPr>
        <w:t>（</w:t>
      </w:r>
      <w:r>
        <w:rPr>
          <w:sz w:val="24"/>
        </w:rPr>
        <w:t>2）甲方负责与AI</w:t>
      </w:r>
      <w:r>
        <w:rPr>
          <w:rFonts w:hint="eastAsia"/>
          <w:sz w:val="24"/>
        </w:rPr>
        <w:t>算法部署相关的政务云资源申请，日常使用中甲方负责与政务云管理部门进行沟通协调。</w:t>
      </w:r>
    </w:p>
    <w:p>
      <w:pPr>
        <w:tabs>
          <w:tab w:val="left" w:pos="360"/>
        </w:tabs>
        <w:snapToGrid w:val="0"/>
        <w:spacing w:line="360" w:lineRule="auto"/>
        <w:ind w:firstLine="427"/>
        <w:rPr>
          <w:sz w:val="24"/>
        </w:rPr>
      </w:pPr>
      <w:r>
        <w:rPr>
          <w:rFonts w:hint="eastAsia"/>
          <w:sz w:val="24"/>
        </w:rPr>
        <w:t>（</w:t>
      </w:r>
      <w:r>
        <w:rPr>
          <w:sz w:val="24"/>
        </w:rPr>
        <w:t>3）未经乙方许可，甲方不得在本合同范围外使用乙方提供的相关资料或将相关资料披露给任何第三方，甲乙双方另行签订保密协议。</w:t>
      </w:r>
    </w:p>
    <w:p>
      <w:pPr>
        <w:tabs>
          <w:tab w:val="left" w:pos="360"/>
        </w:tabs>
        <w:snapToGrid w:val="0"/>
        <w:spacing w:line="360" w:lineRule="auto"/>
        <w:ind w:firstLine="427"/>
        <w:rPr>
          <w:sz w:val="24"/>
        </w:rPr>
      </w:pPr>
      <w:r>
        <w:rPr>
          <w:rFonts w:hint="eastAsia"/>
          <w:sz w:val="24"/>
        </w:rPr>
        <w:t>（</w:t>
      </w:r>
      <w:r>
        <w:rPr>
          <w:sz w:val="24"/>
        </w:rPr>
        <w:t>4）甲方应当按照本协议的约定向乙方支付服务费。</w:t>
      </w:r>
    </w:p>
    <w:p>
      <w:pPr>
        <w:tabs>
          <w:tab w:val="left" w:pos="360"/>
        </w:tabs>
        <w:snapToGrid w:val="0"/>
        <w:spacing w:line="360" w:lineRule="auto"/>
        <w:ind w:firstLine="427"/>
        <w:rPr>
          <w:sz w:val="24"/>
        </w:rPr>
      </w:pPr>
      <w:r>
        <w:rPr>
          <w:rFonts w:hint="eastAsia"/>
          <w:sz w:val="24"/>
        </w:rPr>
        <w:t>（</w:t>
      </w:r>
      <w:r>
        <w:rPr>
          <w:sz w:val="24"/>
        </w:rPr>
        <w:t>5）甲方应在收到乙方验收申请后5</w:t>
      </w:r>
      <w:r>
        <w:rPr>
          <w:rFonts w:hint="eastAsia"/>
          <w:sz w:val="24"/>
        </w:rPr>
        <w:t>个工作日内完成验收工作。</w:t>
      </w:r>
    </w:p>
    <w:p>
      <w:pPr>
        <w:spacing w:line="360" w:lineRule="auto"/>
        <w:ind w:firstLine="495"/>
        <w:rPr>
          <w:b/>
          <w:bCs/>
          <w:sz w:val="24"/>
        </w:rPr>
      </w:pPr>
      <w:r>
        <w:rPr>
          <w:b/>
          <w:bCs/>
          <w:sz w:val="24"/>
        </w:rPr>
        <w:t>2、乙方权利和义务</w:t>
      </w:r>
    </w:p>
    <w:p>
      <w:pPr>
        <w:tabs>
          <w:tab w:val="left" w:pos="360"/>
        </w:tabs>
        <w:snapToGrid w:val="0"/>
        <w:spacing w:line="360" w:lineRule="auto"/>
        <w:ind w:firstLine="427"/>
        <w:rPr>
          <w:sz w:val="24"/>
        </w:rPr>
      </w:pPr>
      <w:r>
        <w:rPr>
          <w:rFonts w:hint="eastAsia"/>
          <w:sz w:val="24"/>
        </w:rPr>
        <w:t>（</w:t>
      </w:r>
      <w:r>
        <w:rPr>
          <w:sz w:val="24"/>
        </w:rPr>
        <w:t>1</w:t>
      </w:r>
      <w:r>
        <w:rPr>
          <w:rFonts w:hint="eastAsia"/>
          <w:sz w:val="24"/>
        </w:rPr>
        <w:t>）乙方为甲方提供基于</w:t>
      </w:r>
      <w:r>
        <w:rPr>
          <w:sz w:val="24"/>
        </w:rPr>
        <w:t>AI</w:t>
      </w:r>
      <w:r>
        <w:rPr>
          <w:rFonts w:hint="eastAsia"/>
          <w:sz w:val="24"/>
        </w:rPr>
        <w:t>算法预警的视频监控服务及日常运营维护服务。</w:t>
      </w:r>
    </w:p>
    <w:p>
      <w:pPr>
        <w:tabs>
          <w:tab w:val="left" w:pos="360"/>
        </w:tabs>
        <w:snapToGrid w:val="0"/>
        <w:spacing w:line="360" w:lineRule="auto"/>
        <w:ind w:firstLine="427"/>
        <w:rPr>
          <w:sz w:val="24"/>
        </w:rPr>
      </w:pPr>
      <w:r>
        <w:rPr>
          <w:rFonts w:hint="eastAsia"/>
          <w:bCs/>
          <w:sz w:val="24"/>
        </w:rPr>
        <w:t>（</w:t>
      </w:r>
      <w:r>
        <w:rPr>
          <w:bCs/>
          <w:sz w:val="24"/>
        </w:rPr>
        <w:t>2</w:t>
      </w:r>
      <w:r>
        <w:rPr>
          <w:rFonts w:hint="eastAsia"/>
          <w:bCs/>
          <w:sz w:val="24"/>
        </w:rPr>
        <w:t>）</w:t>
      </w:r>
      <w:r>
        <w:rPr>
          <w:rFonts w:hint="eastAsia"/>
          <w:sz w:val="24"/>
        </w:rPr>
        <w:t>乙方有权按照本协议的约定收取服务费。</w:t>
      </w:r>
    </w:p>
    <w:p>
      <w:pPr>
        <w:tabs>
          <w:tab w:val="left" w:pos="360"/>
        </w:tabs>
        <w:snapToGrid w:val="0"/>
        <w:spacing w:line="360" w:lineRule="auto"/>
        <w:ind w:firstLine="427"/>
        <w:rPr>
          <w:sz w:val="24"/>
        </w:rPr>
      </w:pPr>
      <w:r>
        <w:rPr>
          <w:rFonts w:hint="eastAsia"/>
          <w:sz w:val="24"/>
        </w:rPr>
        <w:t>（</w:t>
      </w:r>
      <w:r>
        <w:rPr>
          <w:sz w:val="24"/>
        </w:rPr>
        <w:t>3）未经甲方许可，乙方不得在本合同范围外使用甲方提供的相关资料或将相关资料披露给任何第三方，甲乙双方另行签订保密协议。</w:t>
      </w:r>
    </w:p>
    <w:p>
      <w:pPr>
        <w:tabs>
          <w:tab w:val="left" w:pos="360"/>
        </w:tabs>
        <w:snapToGrid w:val="0"/>
        <w:spacing w:line="360" w:lineRule="auto"/>
        <w:ind w:firstLine="427"/>
        <w:rPr>
          <w:sz w:val="24"/>
        </w:rPr>
      </w:pPr>
      <w:r>
        <w:rPr>
          <w:rFonts w:hint="eastAsia"/>
          <w:sz w:val="24"/>
        </w:rPr>
        <w:t>（</w:t>
      </w:r>
      <w:r>
        <w:rPr>
          <w:sz w:val="24"/>
        </w:rPr>
        <w:t>4</w:t>
      </w:r>
      <w:r>
        <w:rPr>
          <w:rFonts w:hint="eastAsia"/>
          <w:sz w:val="24"/>
        </w:rPr>
        <w:t>）维护服务：</w:t>
      </w:r>
    </w:p>
    <w:p>
      <w:pPr>
        <w:tabs>
          <w:tab w:val="left" w:pos="360"/>
        </w:tabs>
        <w:snapToGrid w:val="0"/>
        <w:spacing w:line="360" w:lineRule="auto"/>
        <w:ind w:firstLine="480" w:firstLineChars="200"/>
        <w:rPr>
          <w:sz w:val="24"/>
        </w:rPr>
      </w:pPr>
      <w:r>
        <w:rPr>
          <w:sz w:val="24"/>
        </w:rPr>
        <w:t>1）动力监控：提供7*24小时基站动力环境监控</w:t>
      </w:r>
      <w:r>
        <w:rPr>
          <w:rFonts w:hint="eastAsia"/>
          <w:sz w:val="24"/>
        </w:rPr>
        <w:t>。</w:t>
      </w:r>
    </w:p>
    <w:p>
      <w:pPr>
        <w:tabs>
          <w:tab w:val="left" w:pos="360"/>
        </w:tabs>
        <w:snapToGrid w:val="0"/>
        <w:spacing w:line="360" w:lineRule="auto"/>
        <w:ind w:firstLine="480" w:firstLineChars="200"/>
        <w:rPr>
          <w:sz w:val="24"/>
        </w:rPr>
      </w:pPr>
      <w:r>
        <w:rPr>
          <w:sz w:val="24"/>
        </w:rPr>
        <w:t>2）配合作业：乙方为甲方有偿提供配合作业服务，甲方需要在站址内的设备进行调整、优化、更换等工作时，应提前2个工作日将需要配合的作业计划书面通知乙方，乙方有责任积极协调并配合甲方在约定时间上站。</w:t>
      </w:r>
      <w:r>
        <w:rPr>
          <w:rFonts w:hint="eastAsia"/>
          <w:sz w:val="24"/>
        </w:rPr>
        <w:t>配合作业（包括但不限于设备调整、优化、更换</w:t>
      </w:r>
      <w:r>
        <w:rPr>
          <w:sz w:val="24"/>
        </w:rPr>
        <w:t>、增加、</w:t>
      </w:r>
      <w:r>
        <w:rPr>
          <w:rFonts w:hint="eastAsia"/>
          <w:sz w:val="24"/>
        </w:rPr>
        <w:t>搬迁</w:t>
      </w:r>
      <w:r>
        <w:rPr>
          <w:sz w:val="24"/>
        </w:rPr>
        <w:t>、改造</w:t>
      </w:r>
      <w:r>
        <w:rPr>
          <w:rFonts w:hint="eastAsia"/>
          <w:sz w:val="24"/>
        </w:rPr>
        <w:t>等）引起</w:t>
      </w:r>
      <w:r>
        <w:rPr>
          <w:sz w:val="24"/>
        </w:rPr>
        <w:t>的费用由双方协商</w:t>
      </w:r>
      <w:r>
        <w:rPr>
          <w:rFonts w:hint="eastAsia"/>
          <w:sz w:val="24"/>
        </w:rPr>
        <w:t>签订</w:t>
      </w:r>
      <w:r>
        <w:rPr>
          <w:sz w:val="24"/>
        </w:rPr>
        <w:t>补充协议后实施。</w:t>
      </w:r>
    </w:p>
    <w:p>
      <w:pPr>
        <w:tabs>
          <w:tab w:val="left" w:pos="360"/>
        </w:tabs>
        <w:snapToGrid w:val="0"/>
        <w:spacing w:line="360" w:lineRule="auto"/>
        <w:ind w:firstLine="480" w:firstLineChars="200"/>
        <w:rPr>
          <w:sz w:val="24"/>
        </w:rPr>
      </w:pPr>
      <w:r>
        <w:rPr>
          <w:sz w:val="24"/>
        </w:rPr>
        <w:t>3）客户服务：乙方7*24维护服务热线10096以响应甲方需求。</w:t>
      </w:r>
    </w:p>
    <w:p>
      <w:pPr>
        <w:spacing w:line="360" w:lineRule="auto"/>
        <w:ind w:firstLine="482" w:firstLineChars="200"/>
        <w:rPr>
          <w:sz w:val="24"/>
        </w:rPr>
      </w:pPr>
      <w:r>
        <w:rPr>
          <w:rFonts w:hint="eastAsia"/>
          <w:b/>
          <w:sz w:val="24"/>
        </w:rPr>
        <w:t>五、</w:t>
      </w:r>
      <w:r>
        <w:rPr>
          <w:rFonts w:hint="eastAsia"/>
          <w:b/>
          <w:bCs/>
          <w:sz w:val="24"/>
        </w:rPr>
        <w:t>故障中断</w:t>
      </w:r>
      <w:r>
        <w:rPr>
          <w:b/>
          <w:bCs/>
          <w:sz w:val="24"/>
        </w:rPr>
        <w:t>与恢复</w:t>
      </w:r>
    </w:p>
    <w:p>
      <w:pPr>
        <w:tabs>
          <w:tab w:val="left" w:pos="360"/>
        </w:tabs>
        <w:snapToGrid w:val="0"/>
        <w:spacing w:line="360" w:lineRule="auto"/>
        <w:ind w:firstLine="484" w:firstLineChars="202"/>
        <w:rPr>
          <w:sz w:val="24"/>
        </w:rPr>
      </w:pPr>
      <w:r>
        <w:rPr>
          <w:sz w:val="24"/>
        </w:rPr>
        <w:t>1</w:t>
      </w:r>
      <w:r>
        <w:rPr>
          <w:rFonts w:hint="eastAsia"/>
          <w:sz w:val="24"/>
        </w:rPr>
        <w:t>、</w:t>
      </w:r>
      <w:r>
        <w:rPr>
          <w:sz w:val="24"/>
        </w:rPr>
        <w:t>故障</w:t>
      </w:r>
      <w:r>
        <w:rPr>
          <w:rFonts w:hint="eastAsia"/>
          <w:sz w:val="24"/>
        </w:rPr>
        <w:t>中断：一旦发现设备故障，经乙方检查，如确系乙方提供的场地或配套设备导致的故障，乙方应尽快维修恢复甲方的使用，一切维修费用由乙方承担。如确系运营商线路或者运营商设备故障引起，乙方应尽快通知相关方维修，并将处理进展及时告知甲方。如确系甲方平台或软件故障引起，由甲方负责维修，乙方提供必要的配合和协助。</w:t>
      </w:r>
    </w:p>
    <w:p>
      <w:pPr>
        <w:tabs>
          <w:tab w:val="left" w:pos="360"/>
        </w:tabs>
        <w:snapToGrid w:val="0"/>
        <w:spacing w:line="360" w:lineRule="auto"/>
        <w:ind w:firstLine="484" w:firstLineChars="202"/>
        <w:rPr>
          <w:sz w:val="24"/>
        </w:rPr>
      </w:pPr>
      <w:r>
        <w:rPr>
          <w:sz w:val="24"/>
        </w:rPr>
        <w:t>2、维护时间要求：提供7×24服务全天候热线；接到维修要求后6小时内响应，24小时内提供上站服务。</w:t>
      </w:r>
    </w:p>
    <w:p>
      <w:pPr>
        <w:tabs>
          <w:tab w:val="left" w:pos="360"/>
        </w:tabs>
        <w:snapToGrid w:val="0"/>
        <w:spacing w:line="360" w:lineRule="auto"/>
        <w:ind w:firstLine="484" w:firstLineChars="202"/>
        <w:rPr>
          <w:sz w:val="24"/>
        </w:rPr>
      </w:pPr>
      <w:r>
        <w:rPr>
          <w:sz w:val="24"/>
        </w:rPr>
        <w:t>3</w:t>
      </w:r>
      <w:r>
        <w:rPr>
          <w:rFonts w:hint="eastAsia"/>
          <w:sz w:val="24"/>
        </w:rPr>
        <w:t>、乙方铁塔改造</w:t>
      </w:r>
      <w:r>
        <w:rPr>
          <w:sz w:val="24"/>
        </w:rPr>
        <w:t>、维护</w:t>
      </w:r>
      <w:r>
        <w:rPr>
          <w:rFonts w:hint="eastAsia"/>
          <w:sz w:val="24"/>
        </w:rPr>
        <w:t>、</w:t>
      </w:r>
      <w:r>
        <w:rPr>
          <w:sz w:val="24"/>
        </w:rPr>
        <w:t>测试</w:t>
      </w:r>
      <w:r>
        <w:rPr>
          <w:rFonts w:hint="eastAsia"/>
          <w:sz w:val="24"/>
        </w:rPr>
        <w:t>等</w:t>
      </w:r>
      <w:r>
        <w:rPr>
          <w:sz w:val="24"/>
        </w:rPr>
        <w:t>可能导致</w:t>
      </w:r>
      <w:r>
        <w:rPr>
          <w:rFonts w:hint="eastAsia"/>
          <w:sz w:val="24"/>
        </w:rPr>
        <w:t>服务</w:t>
      </w:r>
      <w:r>
        <w:rPr>
          <w:sz w:val="24"/>
        </w:rPr>
        <w:t>中断前应</w:t>
      </w:r>
      <w:r>
        <w:rPr>
          <w:rFonts w:hint="eastAsia"/>
          <w:sz w:val="24"/>
        </w:rPr>
        <w:t>提前</w:t>
      </w:r>
      <w:r>
        <w:rPr>
          <w:sz w:val="24"/>
        </w:rPr>
        <w:t>[3]</w:t>
      </w:r>
      <w:r>
        <w:rPr>
          <w:rFonts w:hint="eastAsia"/>
          <w:sz w:val="24"/>
        </w:rPr>
        <w:t>个</w:t>
      </w:r>
      <w:r>
        <w:rPr>
          <w:sz w:val="24"/>
        </w:rPr>
        <w:t>工作日书面通知甲方。</w:t>
      </w:r>
    </w:p>
    <w:p>
      <w:pPr>
        <w:tabs>
          <w:tab w:val="left" w:pos="360"/>
        </w:tabs>
        <w:snapToGrid w:val="0"/>
        <w:spacing w:line="360" w:lineRule="auto"/>
        <w:ind w:firstLine="506" w:firstLineChars="200"/>
        <w:rPr>
          <w:b/>
          <w:bCs/>
          <w:spacing w:val="6"/>
          <w:sz w:val="24"/>
        </w:rPr>
      </w:pPr>
      <w:r>
        <w:rPr>
          <w:rFonts w:hint="eastAsia"/>
          <w:b/>
          <w:spacing w:val="6"/>
          <w:sz w:val="24"/>
        </w:rPr>
        <w:t>六、协议的生效、变更、解除及违约责任</w:t>
      </w:r>
    </w:p>
    <w:p>
      <w:pPr>
        <w:spacing w:line="360" w:lineRule="auto"/>
        <w:ind w:firstLine="480" w:firstLineChars="200"/>
        <w:rPr>
          <w:sz w:val="24"/>
        </w:rPr>
      </w:pPr>
      <w:r>
        <w:rPr>
          <w:sz w:val="24"/>
        </w:rPr>
        <w:t>1、本协议由双方法定代表人/负责人或授权委托人签署并加盖合同专用章后方可生效。服务</w:t>
      </w:r>
      <w:r>
        <w:rPr>
          <w:rFonts w:hint="eastAsia"/>
          <w:spacing w:val="6"/>
          <w:sz w:val="24"/>
        </w:rPr>
        <w:t>履行完毕后即终止。</w:t>
      </w:r>
    </w:p>
    <w:p>
      <w:pPr>
        <w:adjustRightInd w:val="0"/>
        <w:snapToGrid w:val="0"/>
        <w:spacing w:line="360" w:lineRule="auto"/>
        <w:ind w:firstLine="480" w:firstLineChars="200"/>
        <w:rPr>
          <w:sz w:val="24"/>
        </w:rPr>
      </w:pPr>
      <w:r>
        <w:rPr>
          <w:sz w:val="24"/>
        </w:rPr>
        <w:t>2、任何一方提出变更或解除协议时，须经双方协商一致，并签订书面更改协议，书面协议应视为本协议不可分割的组成部分。</w:t>
      </w:r>
    </w:p>
    <w:p>
      <w:pPr>
        <w:adjustRightInd w:val="0"/>
        <w:snapToGrid w:val="0"/>
        <w:spacing w:line="360" w:lineRule="auto"/>
        <w:ind w:firstLine="480" w:firstLineChars="200"/>
        <w:rPr>
          <w:sz w:val="24"/>
        </w:rPr>
      </w:pPr>
      <w:r>
        <w:rPr>
          <w:sz w:val="24"/>
        </w:rPr>
        <w:t>3、若甲方不能按照本协议规定的时间按时付款，则甲方应按每延迟7天（不足7天以实际天数按比例计算违约金）支付年度产品服务费总价的2%的标准向乙方支付违约金。</w:t>
      </w:r>
    </w:p>
    <w:p>
      <w:pPr>
        <w:tabs>
          <w:tab w:val="left" w:pos="360"/>
        </w:tabs>
        <w:snapToGrid w:val="0"/>
        <w:spacing w:line="360" w:lineRule="auto"/>
        <w:ind w:firstLine="506" w:firstLineChars="200"/>
        <w:rPr>
          <w:b/>
          <w:bCs/>
          <w:spacing w:val="6"/>
          <w:sz w:val="24"/>
        </w:rPr>
      </w:pPr>
      <w:r>
        <w:rPr>
          <w:rFonts w:hint="eastAsia"/>
          <w:b/>
          <w:spacing w:val="6"/>
          <w:sz w:val="24"/>
        </w:rPr>
        <w:t>七、不可抗力</w:t>
      </w:r>
    </w:p>
    <w:p>
      <w:pPr>
        <w:adjustRightInd w:val="0"/>
        <w:snapToGrid w:val="0"/>
        <w:spacing w:line="360" w:lineRule="auto"/>
        <w:ind w:firstLine="480" w:firstLineChars="200"/>
        <w:rPr>
          <w:sz w:val="24"/>
        </w:rPr>
      </w:pPr>
      <w:r>
        <w:rPr>
          <w:sz w:val="24"/>
        </w:rPr>
        <w:t>1、本协议不可抗力是指出现地震、台风以及其他本协议双方不能预见，并且对其发生和后果不能防止或不能避免且不可克服的客观情况。</w:t>
      </w:r>
    </w:p>
    <w:p>
      <w:pPr>
        <w:adjustRightInd w:val="0"/>
        <w:snapToGrid w:val="0"/>
        <w:spacing w:line="360" w:lineRule="auto"/>
        <w:ind w:firstLine="480" w:firstLineChars="200"/>
        <w:rPr>
          <w:sz w:val="24"/>
        </w:rPr>
      </w:pPr>
      <w:r>
        <w:rPr>
          <w:sz w:val="24"/>
        </w:rPr>
        <w:t>2、因不可抗力导致甲乙双方或一方不能履行或不能完全履行本协议项下有关义务时，双方相互不承担违约责任。但遇不可抗力的一方，应于不可抗力影响消除后30个工作日内将情况书面告知对方。</w:t>
      </w:r>
    </w:p>
    <w:p>
      <w:pPr>
        <w:adjustRightInd w:val="0"/>
        <w:snapToGrid w:val="0"/>
        <w:spacing w:line="360" w:lineRule="auto"/>
        <w:ind w:firstLine="480" w:firstLineChars="200"/>
        <w:rPr>
          <w:sz w:val="24"/>
        </w:rPr>
      </w:pPr>
      <w:r>
        <w:rPr>
          <w:sz w:val="24"/>
        </w:rPr>
        <w:t>3、因不可抗力不能履行协议的，根据不可抗力的影响，受影响方部分或全部免除责任，但法律另有规定的除外。迟延履行协议后发生不可抗力的，不能免除责任。</w:t>
      </w:r>
    </w:p>
    <w:p>
      <w:pPr>
        <w:spacing w:line="360" w:lineRule="auto"/>
        <w:ind w:firstLine="506" w:firstLineChars="200"/>
        <w:rPr>
          <w:b/>
          <w:spacing w:val="6"/>
          <w:sz w:val="24"/>
        </w:rPr>
      </w:pPr>
      <w:r>
        <w:rPr>
          <w:rFonts w:hint="eastAsia"/>
          <w:b/>
          <w:spacing w:val="6"/>
          <w:sz w:val="24"/>
        </w:rPr>
        <w:t>八、争议解决方式</w:t>
      </w:r>
    </w:p>
    <w:p>
      <w:pPr>
        <w:adjustRightInd w:val="0"/>
        <w:snapToGrid w:val="0"/>
        <w:spacing w:line="360" w:lineRule="auto"/>
        <w:ind w:firstLine="480" w:firstLineChars="200"/>
        <w:rPr>
          <w:sz w:val="24"/>
        </w:rPr>
      </w:pPr>
      <w:r>
        <w:rPr>
          <w:rFonts w:hint="eastAsia"/>
          <w:sz w:val="24"/>
        </w:rPr>
        <w:t>凡执行本协议发生的一切争议，应由甲、乙双方通过友好协商解决；如协商解决不成，则任何一方均可向原告方住所地人民法院提起诉讼。</w:t>
      </w:r>
    </w:p>
    <w:p>
      <w:pPr>
        <w:tabs>
          <w:tab w:val="left" w:pos="945"/>
        </w:tabs>
        <w:spacing w:line="360" w:lineRule="auto"/>
        <w:ind w:firstLine="506" w:firstLineChars="200"/>
        <w:rPr>
          <w:b/>
          <w:spacing w:val="6"/>
          <w:sz w:val="24"/>
        </w:rPr>
      </w:pPr>
      <w:r>
        <w:rPr>
          <w:rFonts w:hint="eastAsia"/>
          <w:b/>
          <w:spacing w:val="6"/>
          <w:sz w:val="24"/>
        </w:rPr>
        <w:t>九、价格费用</w:t>
      </w:r>
    </w:p>
    <w:p>
      <w:pPr>
        <w:tabs>
          <w:tab w:val="left" w:pos="945"/>
        </w:tabs>
        <w:spacing w:line="360" w:lineRule="auto"/>
        <w:ind w:firstLine="253" w:firstLineChars="100"/>
        <w:rPr>
          <w:b/>
          <w:spacing w:val="6"/>
          <w:sz w:val="24"/>
        </w:rPr>
      </w:pPr>
      <w:r>
        <w:rPr>
          <w:rFonts w:hint="eastAsia"/>
          <w:b/>
          <w:spacing w:val="6"/>
          <w:sz w:val="24"/>
        </w:rPr>
        <w:t>（一）铁塔服务费</w:t>
      </w:r>
    </w:p>
    <w:p>
      <w:pPr>
        <w:tabs>
          <w:tab w:val="left" w:pos="0"/>
        </w:tabs>
        <w:spacing w:line="360" w:lineRule="auto"/>
        <w:ind w:firstLine="504" w:firstLineChars="200"/>
        <w:rPr>
          <w:spacing w:val="6"/>
          <w:sz w:val="24"/>
        </w:rPr>
      </w:pPr>
      <w:r>
        <w:rPr>
          <w:spacing w:val="6"/>
          <w:sz w:val="24"/>
        </w:rPr>
        <w:t>1</w:t>
      </w:r>
      <w:r>
        <w:rPr>
          <w:rFonts w:hint="eastAsia"/>
          <w:spacing w:val="6"/>
          <w:sz w:val="24"/>
        </w:rPr>
        <w:t>、计费方式：</w:t>
      </w:r>
    </w:p>
    <w:p>
      <w:pPr>
        <w:tabs>
          <w:tab w:val="left" w:pos="0"/>
        </w:tabs>
        <w:spacing w:line="360" w:lineRule="auto"/>
        <w:ind w:firstLine="504" w:firstLineChars="200"/>
        <w:rPr>
          <w:spacing w:val="6"/>
          <w:sz w:val="24"/>
        </w:rPr>
      </w:pPr>
      <w:r>
        <w:rPr>
          <w:rFonts w:hint="eastAsia"/>
          <w:spacing w:val="6"/>
          <w:sz w:val="24"/>
        </w:rPr>
        <w:t>铁塔（存量及新增）年度服务费如下表：</w:t>
      </w:r>
    </w:p>
    <w:tbl>
      <w:tblPr>
        <w:tblStyle w:val="21"/>
        <w:tblW w:w="10355" w:type="dxa"/>
        <w:jc w:val="center"/>
        <w:tblLayout w:type="fixed"/>
        <w:tblCellMar>
          <w:top w:w="0" w:type="dxa"/>
          <w:left w:w="108" w:type="dxa"/>
          <w:bottom w:w="0" w:type="dxa"/>
          <w:right w:w="108" w:type="dxa"/>
        </w:tblCellMar>
      </w:tblPr>
      <w:tblGrid>
        <w:gridCol w:w="1097"/>
        <w:gridCol w:w="709"/>
        <w:gridCol w:w="1275"/>
        <w:gridCol w:w="1184"/>
        <w:gridCol w:w="1373"/>
        <w:gridCol w:w="1350"/>
        <w:gridCol w:w="1598"/>
        <w:gridCol w:w="1769"/>
      </w:tblGrid>
      <w:tr>
        <w:tblPrEx>
          <w:tblCellMar>
            <w:top w:w="0" w:type="dxa"/>
            <w:left w:w="108" w:type="dxa"/>
            <w:bottom w:w="0" w:type="dxa"/>
            <w:right w:w="108" w:type="dxa"/>
          </w:tblCellMar>
        </w:tblPrEx>
        <w:trPr>
          <w:trHeight w:val="288" w:hRule="atLeast"/>
          <w:jc w:val="center"/>
        </w:trPr>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年度</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站址数量</w:t>
            </w:r>
          </w:p>
        </w:tc>
        <w:tc>
          <w:tcPr>
            <w:tcW w:w="245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非山区</w:t>
            </w:r>
            <w:r>
              <w:rPr>
                <w:b/>
                <w:bCs/>
                <w:color w:val="000000"/>
                <w:sz w:val="24"/>
              </w:rPr>
              <w:t>26县</w:t>
            </w:r>
          </w:p>
        </w:tc>
        <w:tc>
          <w:tcPr>
            <w:tcW w:w="27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山区</w:t>
            </w:r>
            <w:r>
              <w:rPr>
                <w:b/>
                <w:bCs/>
                <w:color w:val="000000"/>
                <w:sz w:val="24"/>
              </w:rPr>
              <w:t>26县</w:t>
            </w:r>
          </w:p>
        </w:tc>
        <w:tc>
          <w:tcPr>
            <w:tcW w:w="15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不含税总价（元）</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含税总价（元）</w:t>
            </w:r>
          </w:p>
        </w:tc>
      </w:tr>
      <w:tr>
        <w:tblPrEx>
          <w:tblCellMar>
            <w:top w:w="0" w:type="dxa"/>
            <w:left w:w="108" w:type="dxa"/>
            <w:bottom w:w="0" w:type="dxa"/>
            <w:right w:w="108" w:type="dxa"/>
          </w:tblCellMar>
        </w:tblPrEx>
        <w:trPr>
          <w:trHeight w:val="864"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
                <w:bCs/>
                <w:color w:val="00000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
                <w:bCs/>
                <w:color w:val="000000"/>
                <w:sz w:val="24"/>
              </w:rPr>
            </w:pP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不含税单价（元</w:t>
            </w:r>
            <w:r>
              <w:rPr>
                <w:b/>
                <w:bCs/>
                <w:color w:val="000000"/>
                <w:sz w:val="24"/>
              </w:rPr>
              <w:t>/站/年）</w:t>
            </w:r>
          </w:p>
        </w:tc>
        <w:tc>
          <w:tcPr>
            <w:tcW w:w="118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含税单价（元</w:t>
            </w:r>
            <w:r>
              <w:rPr>
                <w:b/>
                <w:bCs/>
                <w:color w:val="000000"/>
                <w:sz w:val="24"/>
              </w:rPr>
              <w:t>/站/年）</w:t>
            </w:r>
          </w:p>
        </w:tc>
        <w:tc>
          <w:tcPr>
            <w:tcW w:w="13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不含税单价（元</w:t>
            </w:r>
            <w:r>
              <w:rPr>
                <w:b/>
                <w:bCs/>
                <w:color w:val="000000"/>
                <w:sz w:val="24"/>
              </w:rPr>
              <w:t>/站/年）</w:t>
            </w:r>
          </w:p>
        </w:tc>
        <w:tc>
          <w:tcPr>
            <w:tcW w:w="13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含税单价（元</w:t>
            </w:r>
            <w:r>
              <w:rPr>
                <w:b/>
                <w:bCs/>
                <w:color w:val="000000"/>
                <w:sz w:val="24"/>
              </w:rPr>
              <w:t>/站/年）</w:t>
            </w:r>
          </w:p>
        </w:tc>
        <w:tc>
          <w:tcPr>
            <w:tcW w:w="1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
                <w:bCs/>
                <w:color w:val="000000"/>
                <w:sz w:val="24"/>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
                <w:bCs/>
                <w:color w:val="000000"/>
                <w:sz w:val="24"/>
              </w:rPr>
            </w:pPr>
          </w:p>
        </w:tc>
      </w:tr>
      <w:tr>
        <w:tblPrEx>
          <w:tblCellMar>
            <w:top w:w="0" w:type="dxa"/>
            <w:left w:w="108" w:type="dxa"/>
            <w:bottom w:w="0" w:type="dxa"/>
            <w:right w:w="108" w:type="dxa"/>
          </w:tblCellMar>
        </w:tblPrEx>
        <w:trPr>
          <w:trHeight w:val="288" w:hRule="atLeast"/>
          <w:jc w:val="center"/>
        </w:trPr>
        <w:tc>
          <w:tcPr>
            <w:tcW w:w="109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sz w:val="24"/>
              </w:rPr>
            </w:pPr>
            <w:r>
              <w:rPr>
                <w:rFonts w:hint="eastAsia"/>
                <w:color w:val="000000"/>
                <w:sz w:val="24"/>
              </w:rPr>
              <w:t>第一年</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r>
              <w:rPr>
                <w:rFonts w:hint="eastAsia"/>
                <w:color w:val="000000"/>
                <w:sz w:val="24"/>
              </w:rPr>
              <w:t>1</w:t>
            </w:r>
            <w:r>
              <w:rPr>
                <w:color w:val="000000"/>
                <w:sz w:val="24"/>
              </w:rPr>
              <w:t>49</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p>
        </w:tc>
        <w:tc>
          <w:tcPr>
            <w:tcW w:w="118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sz w:val="24"/>
              </w:rPr>
            </w:pPr>
          </w:p>
        </w:tc>
        <w:tc>
          <w:tcPr>
            <w:tcW w:w="13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p>
        </w:tc>
        <w:tc>
          <w:tcPr>
            <w:tcW w:w="13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sz w:val="24"/>
                <w:highlight w:val="yellow"/>
              </w:rPr>
            </w:pPr>
          </w:p>
        </w:tc>
        <w:tc>
          <w:tcPr>
            <w:tcW w:w="17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sz w:val="24"/>
                <w:highlight w:val="yellow"/>
              </w:rPr>
            </w:pPr>
          </w:p>
        </w:tc>
      </w:tr>
      <w:tr>
        <w:tblPrEx>
          <w:tblCellMar>
            <w:top w:w="0" w:type="dxa"/>
            <w:left w:w="108" w:type="dxa"/>
            <w:bottom w:w="0" w:type="dxa"/>
            <w:right w:w="108" w:type="dxa"/>
          </w:tblCellMar>
        </w:tblPrEx>
        <w:trPr>
          <w:trHeight w:val="288" w:hRule="atLeast"/>
          <w:jc w:val="center"/>
        </w:trPr>
        <w:tc>
          <w:tcPr>
            <w:tcW w:w="109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sz w:val="24"/>
              </w:rPr>
            </w:pPr>
            <w:r>
              <w:rPr>
                <w:rFonts w:hint="eastAsia"/>
                <w:color w:val="000000"/>
                <w:sz w:val="24"/>
              </w:rPr>
              <w:t>第二年</w:t>
            </w:r>
          </w:p>
        </w:tc>
        <w:tc>
          <w:tcPr>
            <w:tcW w:w="709" w:type="dxa"/>
            <w:tcBorders>
              <w:top w:val="nil"/>
              <w:left w:val="nil"/>
              <w:bottom w:val="single" w:color="auto" w:sz="4" w:space="0"/>
              <w:right w:val="single" w:color="auto" w:sz="4" w:space="0"/>
            </w:tcBorders>
            <w:shd w:val="clear" w:color="auto" w:fill="auto"/>
          </w:tcPr>
          <w:p>
            <w:pPr>
              <w:widowControl/>
              <w:spacing w:line="360" w:lineRule="auto"/>
              <w:jc w:val="center"/>
              <w:rPr>
                <w:color w:val="000000"/>
                <w:sz w:val="24"/>
              </w:rPr>
            </w:pPr>
            <w:r>
              <w:rPr>
                <w:rFonts w:hint="eastAsia"/>
                <w:color w:val="000000"/>
                <w:sz w:val="24"/>
              </w:rPr>
              <w:t>1</w:t>
            </w:r>
            <w:r>
              <w:rPr>
                <w:color w:val="000000"/>
                <w:sz w:val="24"/>
              </w:rPr>
              <w:t>49</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p>
        </w:tc>
        <w:tc>
          <w:tcPr>
            <w:tcW w:w="118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sz w:val="24"/>
              </w:rPr>
            </w:pPr>
          </w:p>
        </w:tc>
        <w:tc>
          <w:tcPr>
            <w:tcW w:w="13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p>
        </w:tc>
        <w:tc>
          <w:tcPr>
            <w:tcW w:w="13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sz w:val="24"/>
                <w:highlight w:val="yellow"/>
              </w:rPr>
            </w:pPr>
          </w:p>
        </w:tc>
        <w:tc>
          <w:tcPr>
            <w:tcW w:w="17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sz w:val="24"/>
                <w:highlight w:val="yellow"/>
              </w:rPr>
            </w:pPr>
          </w:p>
        </w:tc>
      </w:tr>
      <w:tr>
        <w:tblPrEx>
          <w:tblCellMar>
            <w:top w:w="0" w:type="dxa"/>
            <w:left w:w="108" w:type="dxa"/>
            <w:bottom w:w="0" w:type="dxa"/>
            <w:right w:w="108" w:type="dxa"/>
          </w:tblCellMar>
        </w:tblPrEx>
        <w:trPr>
          <w:trHeight w:val="288" w:hRule="atLeast"/>
          <w:jc w:val="center"/>
        </w:trPr>
        <w:tc>
          <w:tcPr>
            <w:tcW w:w="109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sz w:val="24"/>
              </w:rPr>
            </w:pPr>
            <w:r>
              <w:rPr>
                <w:rFonts w:hint="eastAsia"/>
                <w:color w:val="000000"/>
                <w:sz w:val="24"/>
              </w:rPr>
              <w:t>第三年</w:t>
            </w:r>
          </w:p>
        </w:tc>
        <w:tc>
          <w:tcPr>
            <w:tcW w:w="709" w:type="dxa"/>
            <w:tcBorders>
              <w:top w:val="nil"/>
              <w:left w:val="nil"/>
              <w:bottom w:val="single" w:color="auto" w:sz="4" w:space="0"/>
              <w:right w:val="single" w:color="auto" w:sz="4" w:space="0"/>
            </w:tcBorders>
            <w:shd w:val="clear" w:color="auto" w:fill="auto"/>
          </w:tcPr>
          <w:p>
            <w:pPr>
              <w:widowControl/>
              <w:spacing w:line="360" w:lineRule="auto"/>
              <w:jc w:val="center"/>
              <w:rPr>
                <w:color w:val="000000"/>
                <w:sz w:val="24"/>
              </w:rPr>
            </w:pPr>
            <w:r>
              <w:rPr>
                <w:rFonts w:hint="eastAsia"/>
                <w:color w:val="000000"/>
                <w:sz w:val="24"/>
              </w:rPr>
              <w:t>1</w:t>
            </w:r>
            <w:r>
              <w:rPr>
                <w:color w:val="000000"/>
                <w:sz w:val="24"/>
              </w:rPr>
              <w:t>49</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p>
        </w:tc>
        <w:tc>
          <w:tcPr>
            <w:tcW w:w="118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sz w:val="24"/>
              </w:rPr>
            </w:pPr>
          </w:p>
        </w:tc>
        <w:tc>
          <w:tcPr>
            <w:tcW w:w="137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p>
        </w:tc>
        <w:tc>
          <w:tcPr>
            <w:tcW w:w="13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sz w:val="24"/>
              </w:rPr>
            </w:pP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sz w:val="24"/>
                <w:highlight w:val="yellow"/>
              </w:rPr>
            </w:pPr>
          </w:p>
        </w:tc>
        <w:tc>
          <w:tcPr>
            <w:tcW w:w="17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color w:val="000000"/>
                <w:sz w:val="24"/>
                <w:highlight w:val="yellow"/>
              </w:rPr>
            </w:pPr>
          </w:p>
        </w:tc>
      </w:tr>
      <w:tr>
        <w:tblPrEx>
          <w:tblCellMar>
            <w:top w:w="0" w:type="dxa"/>
            <w:left w:w="108" w:type="dxa"/>
            <w:bottom w:w="0" w:type="dxa"/>
            <w:right w:w="108" w:type="dxa"/>
          </w:tblCellMar>
        </w:tblPrEx>
        <w:trPr>
          <w:trHeight w:val="288" w:hRule="atLeast"/>
          <w:jc w:val="center"/>
        </w:trPr>
        <w:tc>
          <w:tcPr>
            <w:tcW w:w="109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b/>
                <w:bCs/>
                <w:color w:val="000000"/>
                <w:sz w:val="24"/>
              </w:rPr>
            </w:pPr>
            <w:r>
              <w:rPr>
                <w:rFonts w:hint="eastAsia"/>
                <w:b/>
                <w:bCs/>
                <w:color w:val="000000"/>
                <w:sz w:val="24"/>
              </w:rPr>
              <w:t>合计</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b/>
                <w:bCs/>
                <w:color w:val="000000"/>
                <w:sz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b/>
                <w:bCs/>
                <w:color w:val="000000"/>
                <w:sz w:val="24"/>
              </w:rPr>
            </w:pPr>
          </w:p>
        </w:tc>
        <w:tc>
          <w:tcPr>
            <w:tcW w:w="118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b/>
                <w:bCs/>
                <w:color w:val="000000"/>
                <w:sz w:val="24"/>
              </w:rPr>
            </w:pPr>
          </w:p>
        </w:tc>
        <w:tc>
          <w:tcPr>
            <w:tcW w:w="137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b/>
                <w:bCs/>
                <w:color w:val="000000"/>
                <w:sz w:val="24"/>
              </w:rPr>
            </w:pPr>
          </w:p>
        </w:tc>
        <w:tc>
          <w:tcPr>
            <w:tcW w:w="135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b/>
                <w:bCs/>
                <w:color w:val="000000"/>
                <w:sz w:val="24"/>
              </w:rPr>
            </w:pP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b/>
                <w:bCs/>
                <w:color w:val="000000"/>
                <w:sz w:val="24"/>
                <w:highlight w:val="yellow"/>
              </w:rPr>
            </w:pPr>
          </w:p>
        </w:tc>
        <w:tc>
          <w:tcPr>
            <w:tcW w:w="17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b/>
                <w:bCs/>
                <w:color w:val="000000"/>
                <w:sz w:val="24"/>
                <w:highlight w:val="yellow"/>
              </w:rPr>
            </w:pPr>
          </w:p>
        </w:tc>
      </w:tr>
    </w:tbl>
    <w:p>
      <w:pPr>
        <w:tabs>
          <w:tab w:val="left" w:pos="0"/>
        </w:tabs>
        <w:spacing w:line="360" w:lineRule="auto"/>
        <w:ind w:firstLine="504" w:firstLineChars="200"/>
        <w:rPr>
          <w:spacing w:val="6"/>
          <w:sz w:val="24"/>
        </w:rPr>
      </w:pPr>
      <w:r>
        <w:rPr>
          <w:rFonts w:hint="eastAsia"/>
          <w:spacing w:val="6"/>
          <w:sz w:val="24"/>
        </w:rPr>
        <w:t>站址清单见附件</w:t>
      </w:r>
      <w:r>
        <w:rPr>
          <w:spacing w:val="6"/>
          <w:sz w:val="24"/>
        </w:rPr>
        <w:t>1。</w:t>
      </w:r>
    </w:p>
    <w:p>
      <w:pPr>
        <w:widowControl/>
        <w:spacing w:line="360" w:lineRule="auto"/>
        <w:rPr>
          <w:color w:val="000000"/>
        </w:rPr>
      </w:pPr>
      <w:r>
        <w:rPr>
          <w:rFonts w:hint="eastAsia"/>
          <w:spacing w:val="6"/>
          <w:sz w:val="24"/>
        </w:rPr>
        <w:t>铁塔服务费合同总金额（三年）：不含税价为</w:t>
      </w:r>
      <w:r>
        <w:rPr>
          <w:spacing w:val="6"/>
          <w:sz w:val="24"/>
        </w:rPr>
        <w:t>[</w:t>
      </w:r>
      <w:r>
        <w:rPr>
          <w:rFonts w:hint="eastAsia"/>
          <w:spacing w:val="6"/>
          <w:sz w:val="24"/>
          <w:lang w:val="en-US"/>
        </w:rPr>
        <w:t xml:space="preserve">  </w:t>
      </w:r>
      <w:r>
        <w:rPr>
          <w:spacing w:val="6"/>
          <w:sz w:val="24"/>
        </w:rPr>
        <w:t>]元（大写：人民币[</w:t>
      </w:r>
      <w:r>
        <w:rPr>
          <w:rFonts w:hint="eastAsia"/>
          <w:spacing w:val="6"/>
          <w:sz w:val="24"/>
          <w:lang w:val="en-US"/>
        </w:rPr>
        <w:t xml:space="preserve">  </w:t>
      </w:r>
      <w:r>
        <w:rPr>
          <w:spacing w:val="6"/>
          <w:sz w:val="24"/>
        </w:rPr>
        <w:t xml:space="preserve">]）、含税价为[ </w:t>
      </w:r>
      <w:r>
        <w:rPr>
          <w:rFonts w:hint="eastAsia"/>
          <w:spacing w:val="6"/>
          <w:sz w:val="24"/>
          <w:lang w:val="en-US"/>
        </w:rPr>
        <w:t xml:space="preserve">  </w:t>
      </w:r>
      <w:r>
        <w:rPr>
          <w:spacing w:val="6"/>
          <w:sz w:val="24"/>
        </w:rPr>
        <w:t>]元（大写：人民币[</w:t>
      </w:r>
      <w:r>
        <w:rPr>
          <w:rFonts w:hint="eastAsia"/>
          <w:spacing w:val="6"/>
          <w:sz w:val="24"/>
          <w:lang w:val="en-US"/>
        </w:rPr>
        <w:t xml:space="preserve">  </w:t>
      </w:r>
      <w:r>
        <w:rPr>
          <w:spacing w:val="6"/>
          <w:sz w:val="24"/>
        </w:rPr>
        <w:t>]）。</w:t>
      </w:r>
    </w:p>
    <w:p>
      <w:pPr>
        <w:tabs>
          <w:tab w:val="left" w:pos="0"/>
        </w:tabs>
        <w:spacing w:line="360" w:lineRule="auto"/>
        <w:ind w:firstLine="504" w:firstLineChars="200"/>
        <w:rPr>
          <w:spacing w:val="6"/>
          <w:sz w:val="24"/>
        </w:rPr>
      </w:pPr>
      <w:r>
        <w:rPr>
          <w:spacing w:val="6"/>
          <w:sz w:val="24"/>
        </w:rPr>
        <w:t>2</w:t>
      </w:r>
      <w:r>
        <w:rPr>
          <w:rFonts w:hint="eastAsia"/>
          <w:spacing w:val="6"/>
          <w:sz w:val="24"/>
        </w:rPr>
        <w:t>、支付时间与方式：</w:t>
      </w:r>
    </w:p>
    <w:p>
      <w:pPr>
        <w:tabs>
          <w:tab w:val="left" w:pos="0"/>
        </w:tabs>
        <w:spacing w:line="360" w:lineRule="auto"/>
        <w:ind w:firstLine="504" w:firstLineChars="200"/>
        <w:rPr>
          <w:spacing w:val="6"/>
          <w:sz w:val="24"/>
        </w:rPr>
      </w:pPr>
      <w:r>
        <w:rPr>
          <w:rFonts w:hint="eastAsia"/>
          <w:spacing w:val="6"/>
          <w:sz w:val="24"/>
        </w:rPr>
        <w:t>本次采购的服务项目，在双方组织的验收</w:t>
      </w:r>
      <w:r>
        <w:rPr>
          <w:spacing w:val="6"/>
          <w:sz w:val="24"/>
        </w:rPr>
        <w:t>通过后且甲方收到乙方开具的增值税普通发票7</w:t>
      </w:r>
      <w:r>
        <w:rPr>
          <w:rFonts w:hint="eastAsia"/>
          <w:spacing w:val="6"/>
          <w:sz w:val="24"/>
        </w:rPr>
        <w:t>个</w:t>
      </w:r>
      <w:r>
        <w:rPr>
          <w:spacing w:val="6"/>
          <w:sz w:val="24"/>
        </w:rPr>
        <w:t>工作日内</w:t>
      </w:r>
      <w:r>
        <w:rPr>
          <w:rFonts w:hint="eastAsia"/>
          <w:spacing w:val="6"/>
          <w:sz w:val="24"/>
        </w:rPr>
        <w:t>，甲方向乙方通过银行转账方式</w:t>
      </w:r>
      <w:r>
        <w:rPr>
          <w:spacing w:val="6"/>
          <w:sz w:val="24"/>
        </w:rPr>
        <w:t>支付</w:t>
      </w:r>
      <w:r>
        <w:rPr>
          <w:rFonts w:hint="eastAsia"/>
          <w:spacing w:val="6"/>
          <w:sz w:val="24"/>
        </w:rPr>
        <w:t>首年度服务</w:t>
      </w:r>
      <w:r>
        <w:rPr>
          <w:spacing w:val="6"/>
          <w:sz w:val="24"/>
        </w:rPr>
        <w:t>费用</w:t>
      </w:r>
      <w:r>
        <w:rPr>
          <w:rFonts w:hint="eastAsia"/>
          <w:spacing w:val="6"/>
          <w:sz w:val="24"/>
        </w:rPr>
        <w:t>。年度铁塔服务到期前</w:t>
      </w:r>
      <w:r>
        <w:rPr>
          <w:spacing w:val="6"/>
          <w:sz w:val="24"/>
        </w:rPr>
        <w:t>15</w:t>
      </w:r>
      <w:r>
        <w:rPr>
          <w:rFonts w:hint="eastAsia"/>
          <w:spacing w:val="6"/>
          <w:sz w:val="24"/>
        </w:rPr>
        <w:t>个工作日甲方向乙方支付后一年度铁塔服务费用，后续年度铁塔服务费用按此方式支付至服务期满。</w:t>
      </w:r>
    </w:p>
    <w:p>
      <w:pPr>
        <w:tabs>
          <w:tab w:val="left" w:pos="0"/>
        </w:tabs>
        <w:spacing w:line="360" w:lineRule="auto"/>
        <w:ind w:left="110" w:leftChars="50" w:firstLine="378" w:firstLineChars="150"/>
        <w:rPr>
          <w:spacing w:val="6"/>
          <w:sz w:val="24"/>
        </w:rPr>
      </w:pPr>
      <w:r>
        <w:rPr>
          <w:rFonts w:hint="eastAsia"/>
          <w:spacing w:val="6"/>
          <w:sz w:val="24"/>
        </w:rPr>
        <w:t>乙方指定银行账户如下：</w:t>
      </w:r>
    </w:p>
    <w:p>
      <w:pPr>
        <w:tabs>
          <w:tab w:val="left" w:pos="0"/>
        </w:tabs>
        <w:spacing w:line="360" w:lineRule="auto"/>
        <w:ind w:firstLine="504" w:firstLineChars="200"/>
        <w:rPr>
          <w:spacing w:val="6"/>
          <w:sz w:val="24"/>
        </w:rPr>
      </w:pPr>
      <w:r>
        <w:rPr>
          <w:rFonts w:hint="eastAsia"/>
          <w:spacing w:val="6"/>
          <w:sz w:val="24"/>
        </w:rPr>
        <w:t>公司名称：</w:t>
      </w:r>
      <w:r>
        <w:rPr>
          <w:spacing w:val="6"/>
          <w:sz w:val="24"/>
        </w:rPr>
        <w:t>[</w:t>
      </w:r>
      <w:r>
        <w:rPr>
          <w:rFonts w:hint="eastAsia"/>
          <w:sz w:val="24"/>
        </w:rPr>
        <w:t>中国铁塔股份有限公司衢州市分公司</w:t>
      </w:r>
      <w:r>
        <w:rPr>
          <w:spacing w:val="6"/>
          <w:sz w:val="24"/>
        </w:rPr>
        <w:t>]</w:t>
      </w:r>
    </w:p>
    <w:p>
      <w:pPr>
        <w:tabs>
          <w:tab w:val="left" w:pos="0"/>
        </w:tabs>
        <w:spacing w:line="360" w:lineRule="auto"/>
        <w:ind w:firstLine="504" w:firstLineChars="200"/>
        <w:rPr>
          <w:spacing w:val="6"/>
          <w:sz w:val="24"/>
        </w:rPr>
      </w:pPr>
      <w:r>
        <w:rPr>
          <w:rFonts w:hint="eastAsia"/>
          <w:spacing w:val="6"/>
          <w:sz w:val="24"/>
        </w:rPr>
        <w:t>地址：</w:t>
      </w:r>
      <w:r>
        <w:rPr>
          <w:spacing w:val="6"/>
          <w:sz w:val="24"/>
        </w:rPr>
        <w:t>[</w:t>
      </w:r>
      <w:r>
        <w:rPr>
          <w:rFonts w:hint="eastAsia"/>
          <w:spacing w:val="6"/>
          <w:sz w:val="24"/>
        </w:rPr>
        <w:t>衢</w:t>
      </w:r>
      <w:r>
        <w:rPr>
          <w:rFonts w:hint="eastAsia"/>
          <w:color w:val="000000"/>
          <w:sz w:val="24"/>
          <w:shd w:val="clear" w:color="auto" w:fill="FFFFFF"/>
        </w:rPr>
        <w:t>州市柯城区智慧新城芹江东路</w:t>
      </w:r>
      <w:r>
        <w:rPr>
          <w:color w:val="000000"/>
          <w:sz w:val="24"/>
          <w:shd w:val="clear" w:color="auto" w:fill="FFFFFF"/>
        </w:rPr>
        <w:t>288</w:t>
      </w:r>
      <w:r>
        <w:rPr>
          <w:rFonts w:hint="eastAsia"/>
          <w:color w:val="000000"/>
          <w:sz w:val="24"/>
          <w:shd w:val="clear" w:color="auto" w:fill="FFFFFF"/>
        </w:rPr>
        <w:t>号衢时代创新大厦</w:t>
      </w:r>
      <w:r>
        <w:rPr>
          <w:color w:val="000000"/>
          <w:sz w:val="24"/>
          <w:shd w:val="clear" w:color="auto" w:fill="FFFFFF"/>
        </w:rPr>
        <w:t>5</w:t>
      </w:r>
      <w:r>
        <w:rPr>
          <w:rFonts w:hint="eastAsia"/>
          <w:color w:val="000000"/>
          <w:sz w:val="24"/>
          <w:shd w:val="clear" w:color="auto" w:fill="FFFFFF"/>
        </w:rPr>
        <w:t>楼</w:t>
      </w:r>
      <w:r>
        <w:rPr>
          <w:spacing w:val="6"/>
          <w:sz w:val="24"/>
        </w:rPr>
        <w:t>]</w:t>
      </w:r>
    </w:p>
    <w:p>
      <w:pPr>
        <w:tabs>
          <w:tab w:val="left" w:pos="0"/>
        </w:tabs>
        <w:spacing w:line="360" w:lineRule="auto"/>
        <w:ind w:firstLine="504" w:firstLineChars="200"/>
        <w:rPr>
          <w:spacing w:val="6"/>
          <w:sz w:val="24"/>
        </w:rPr>
      </w:pPr>
      <w:r>
        <w:rPr>
          <w:rFonts w:hint="eastAsia"/>
          <w:spacing w:val="6"/>
          <w:sz w:val="24"/>
        </w:rPr>
        <w:t>联系电话：</w:t>
      </w:r>
      <w:r>
        <w:rPr>
          <w:spacing w:val="6"/>
          <w:sz w:val="24"/>
        </w:rPr>
        <w:t>[15306706008]</w:t>
      </w:r>
    </w:p>
    <w:p>
      <w:pPr>
        <w:tabs>
          <w:tab w:val="left" w:pos="0"/>
        </w:tabs>
        <w:spacing w:line="360" w:lineRule="auto"/>
        <w:ind w:firstLine="504" w:firstLineChars="200"/>
        <w:rPr>
          <w:spacing w:val="6"/>
          <w:sz w:val="24"/>
        </w:rPr>
      </w:pPr>
      <w:r>
        <w:rPr>
          <w:rFonts w:hint="eastAsia"/>
          <w:spacing w:val="6"/>
          <w:sz w:val="24"/>
        </w:rPr>
        <w:t>纳税人识别号：</w:t>
      </w:r>
      <w:r>
        <w:rPr>
          <w:spacing w:val="6"/>
          <w:sz w:val="24"/>
        </w:rPr>
        <w:t>[</w:t>
      </w:r>
      <w:r>
        <w:rPr>
          <w:color w:val="000000"/>
          <w:sz w:val="24"/>
          <w:shd w:val="clear" w:color="auto" w:fill="FFFFFF"/>
        </w:rPr>
        <w:t>91330800322976778G</w:t>
      </w:r>
      <w:r>
        <w:rPr>
          <w:spacing w:val="6"/>
          <w:sz w:val="24"/>
        </w:rPr>
        <w:t>]</w:t>
      </w:r>
    </w:p>
    <w:p>
      <w:pPr>
        <w:tabs>
          <w:tab w:val="left" w:pos="0"/>
        </w:tabs>
        <w:spacing w:line="360" w:lineRule="auto"/>
        <w:ind w:firstLine="504" w:firstLineChars="200"/>
        <w:rPr>
          <w:spacing w:val="6"/>
          <w:sz w:val="24"/>
        </w:rPr>
      </w:pPr>
      <w:r>
        <w:rPr>
          <w:rFonts w:hint="eastAsia"/>
          <w:spacing w:val="6"/>
          <w:sz w:val="24"/>
        </w:rPr>
        <w:t>开户行：</w:t>
      </w:r>
      <w:r>
        <w:rPr>
          <w:spacing w:val="6"/>
          <w:sz w:val="24"/>
        </w:rPr>
        <w:t>[</w:t>
      </w:r>
      <w:r>
        <w:rPr>
          <w:rFonts w:hint="eastAsia"/>
          <w:color w:val="000000"/>
          <w:sz w:val="24"/>
          <w:shd w:val="clear" w:color="auto" w:fill="FFFFFF"/>
        </w:rPr>
        <w:t>中国建设银行股份有限公司衢州分行营业部</w:t>
      </w:r>
      <w:r>
        <w:rPr>
          <w:spacing w:val="6"/>
          <w:sz w:val="24"/>
        </w:rPr>
        <w:t>]</w:t>
      </w:r>
    </w:p>
    <w:p>
      <w:pPr>
        <w:tabs>
          <w:tab w:val="left" w:pos="0"/>
        </w:tabs>
        <w:spacing w:line="360" w:lineRule="auto"/>
        <w:ind w:firstLine="504" w:firstLineChars="200"/>
        <w:rPr>
          <w:spacing w:val="6"/>
          <w:sz w:val="24"/>
        </w:rPr>
      </w:pPr>
      <w:r>
        <w:rPr>
          <w:rFonts w:hint="eastAsia"/>
          <w:spacing w:val="6"/>
          <w:sz w:val="24"/>
        </w:rPr>
        <w:t>银行账号：</w:t>
      </w:r>
      <w:r>
        <w:rPr>
          <w:spacing w:val="6"/>
          <w:sz w:val="24"/>
        </w:rPr>
        <w:t>[</w:t>
      </w:r>
      <w:r>
        <w:rPr>
          <w:sz w:val="24"/>
        </w:rPr>
        <w:t>33001683500059660570</w:t>
      </w:r>
      <w:r>
        <w:rPr>
          <w:spacing w:val="6"/>
          <w:sz w:val="24"/>
        </w:rPr>
        <w:t>]</w:t>
      </w:r>
    </w:p>
    <w:p>
      <w:pPr>
        <w:spacing w:line="360" w:lineRule="auto"/>
        <w:ind w:firstLine="480" w:firstLineChars="200"/>
        <w:rPr>
          <w:sz w:val="24"/>
        </w:rPr>
      </w:pPr>
      <w:r>
        <w:rPr>
          <w:rFonts w:hint="eastAsia"/>
          <w:sz w:val="24"/>
        </w:rPr>
        <w:t>本协议一式陆份，双方各执叁份，自双方签字盖章之日起生效，本合同另有约定，以相应约定为准。</w:t>
      </w:r>
    </w:p>
    <w:tbl>
      <w:tblPr>
        <w:tblStyle w:val="21"/>
        <w:tblpPr w:leftFromText="180" w:rightFromText="180" w:vertAnchor="text" w:horzAnchor="page" w:tblpX="1475" w:tblpY="689"/>
        <w:tblOverlap w:val="never"/>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4083" w:hRule="atLeast"/>
        </w:trPr>
        <w:tc>
          <w:tcPr>
            <w:tcW w:w="4530" w:type="dxa"/>
          </w:tcPr>
          <w:p>
            <w:pPr>
              <w:tabs>
                <w:tab w:val="left" w:pos="840"/>
                <w:tab w:val="left" w:pos="9388"/>
              </w:tabs>
              <w:adjustRightInd w:val="0"/>
              <w:spacing w:before="156" w:line="360" w:lineRule="auto"/>
              <w:rPr>
                <w:sz w:val="24"/>
              </w:rPr>
            </w:pPr>
            <w:r>
              <w:rPr>
                <w:rFonts w:hint="eastAsia"/>
                <w:bCs/>
                <w:sz w:val="24"/>
              </w:rPr>
              <w:t>甲方（盖章）：</w:t>
            </w:r>
            <w:bookmarkStart w:id="65" w:name="jfname_015"/>
            <w:r>
              <w:rPr>
                <w:sz w:val="24"/>
              </w:rPr>
              <w:fldChar w:fldCharType="begin">
                <w:ffData>
                  <w:name w:val="jfname_015"/>
                  <w:enabled/>
                  <w:calcOnExit w:val="0"/>
                  <w:statusText w:type="text" w:val="合同信息到Word单向同步字段:我方签约主体1"/>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65"/>
          </w:p>
          <w:p>
            <w:pPr>
              <w:tabs>
                <w:tab w:val="left" w:pos="840"/>
                <w:tab w:val="left" w:pos="9388"/>
              </w:tabs>
              <w:adjustRightInd w:val="0"/>
              <w:spacing w:before="156" w:line="360" w:lineRule="auto"/>
              <w:rPr>
                <w:bCs/>
                <w:sz w:val="24"/>
              </w:rPr>
            </w:pPr>
          </w:p>
          <w:p>
            <w:pPr>
              <w:tabs>
                <w:tab w:val="left" w:pos="840"/>
                <w:tab w:val="left" w:pos="9388"/>
              </w:tabs>
              <w:adjustRightInd w:val="0"/>
              <w:spacing w:before="156" w:line="360" w:lineRule="auto"/>
              <w:rPr>
                <w:bCs/>
                <w:sz w:val="24"/>
              </w:rPr>
            </w:pPr>
            <w:r>
              <w:rPr>
                <w:rFonts w:hint="eastAsia"/>
                <w:bCs/>
                <w:sz w:val="24"/>
              </w:rPr>
              <w:t>法定代表人</w:t>
            </w:r>
            <w:r>
              <w:rPr>
                <w:bCs/>
                <w:sz w:val="24"/>
              </w:rPr>
              <w:t>/负责人</w:t>
            </w:r>
          </w:p>
          <w:p>
            <w:pPr>
              <w:tabs>
                <w:tab w:val="left" w:pos="840"/>
                <w:tab w:val="left" w:pos="9388"/>
              </w:tabs>
              <w:adjustRightInd w:val="0"/>
              <w:spacing w:before="156" w:line="360" w:lineRule="auto"/>
              <w:rPr>
                <w:sz w:val="24"/>
              </w:rPr>
            </w:pPr>
            <w:r>
              <w:rPr>
                <w:rFonts w:hint="eastAsia"/>
                <w:bCs/>
                <w:sz w:val="24"/>
              </w:rPr>
              <w:t>或</w:t>
            </w:r>
            <w:r>
              <w:rPr>
                <w:rFonts w:hint="eastAsia" w:cs="Arial"/>
                <w:sz w:val="24"/>
              </w:rPr>
              <w:t>授权代表</w:t>
            </w:r>
            <w:r>
              <w:rPr>
                <w:rFonts w:hint="eastAsia"/>
                <w:bCs/>
                <w:sz w:val="24"/>
              </w:rPr>
              <w:t>：</w:t>
            </w:r>
            <w:bookmarkStart w:id="66" w:name="ManulField101"/>
            <w:r>
              <w:rPr>
                <w:sz w:val="24"/>
              </w:rPr>
              <w:fldChar w:fldCharType="begin">
                <w:ffData>
                  <w:name w:val="ManulField101"/>
                  <w:enabled/>
                  <w:calcOnExit w:val="0"/>
                  <w:statusText w:type="text" w:val="不同步字段"/>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66"/>
          </w:p>
          <w:p>
            <w:pPr>
              <w:tabs>
                <w:tab w:val="left" w:pos="840"/>
                <w:tab w:val="left" w:pos="9388"/>
              </w:tabs>
              <w:adjustRightInd w:val="0"/>
              <w:spacing w:before="156" w:line="360" w:lineRule="auto"/>
              <w:rPr>
                <w:bCs/>
                <w:sz w:val="24"/>
              </w:rPr>
            </w:pPr>
          </w:p>
          <w:p>
            <w:pPr>
              <w:tabs>
                <w:tab w:val="left" w:pos="840"/>
                <w:tab w:val="left" w:pos="9388"/>
              </w:tabs>
              <w:adjustRightInd w:val="0"/>
              <w:spacing w:before="156" w:line="360" w:lineRule="auto"/>
              <w:rPr>
                <w:sz w:val="24"/>
              </w:rPr>
            </w:pPr>
            <w:r>
              <w:rPr>
                <w:rFonts w:hint="eastAsia"/>
                <w:bCs/>
                <w:sz w:val="24"/>
              </w:rPr>
              <w:t>签订日期：</w:t>
            </w:r>
            <w:bookmarkStart w:id="67" w:name="ManulField94"/>
            <w:r>
              <w:rPr>
                <w:sz w:val="24"/>
              </w:rPr>
              <w:fldChar w:fldCharType="begin">
                <w:ffData>
                  <w:name w:val="ManulField94"/>
                  <w:enabled/>
                  <w:calcOnExit w:val="0"/>
                  <w:statusText w:type="text" w:val="不同步字段"/>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67"/>
            <w:r>
              <w:rPr>
                <w:rFonts w:hint="eastAsia"/>
                <w:bCs/>
                <w:sz w:val="24"/>
              </w:rPr>
              <w:t>年</w:t>
            </w:r>
            <w:bookmarkStart w:id="68" w:name="ManulField95"/>
            <w:r>
              <w:rPr>
                <w:sz w:val="24"/>
              </w:rPr>
              <w:fldChar w:fldCharType="begin">
                <w:ffData>
                  <w:name w:val="ManulField95"/>
                  <w:enabled/>
                  <w:calcOnExit w:val="0"/>
                  <w:statusText w:type="text" w:val="不同步字段"/>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68"/>
            <w:r>
              <w:rPr>
                <w:rFonts w:hint="eastAsia"/>
                <w:bCs/>
                <w:sz w:val="24"/>
              </w:rPr>
              <w:t>月</w:t>
            </w:r>
            <w:bookmarkStart w:id="69" w:name="ManulField96"/>
            <w:r>
              <w:rPr>
                <w:sz w:val="24"/>
              </w:rPr>
              <w:fldChar w:fldCharType="begin">
                <w:ffData>
                  <w:name w:val="ManulField96"/>
                  <w:enabled/>
                  <w:calcOnExit w:val="0"/>
                  <w:statusText w:type="text" w:val="不同步字段"/>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69"/>
            <w:r>
              <w:rPr>
                <w:rFonts w:hint="eastAsia"/>
                <w:bCs/>
                <w:sz w:val="24"/>
              </w:rPr>
              <w:t>日</w:t>
            </w:r>
          </w:p>
        </w:tc>
        <w:tc>
          <w:tcPr>
            <w:tcW w:w="4530" w:type="dxa"/>
          </w:tcPr>
          <w:p>
            <w:pPr>
              <w:tabs>
                <w:tab w:val="left" w:pos="840"/>
                <w:tab w:val="left" w:pos="9388"/>
              </w:tabs>
              <w:adjustRightInd w:val="0"/>
              <w:spacing w:before="156" w:line="360" w:lineRule="auto"/>
              <w:rPr>
                <w:sz w:val="24"/>
              </w:rPr>
            </w:pPr>
            <w:r>
              <w:rPr>
                <w:rFonts w:hint="eastAsia"/>
                <w:bCs/>
                <w:sz w:val="24"/>
              </w:rPr>
              <w:t>乙方（盖章）：</w:t>
            </w:r>
            <w:bookmarkStart w:id="70" w:name="yfname_015"/>
            <w:r>
              <w:rPr>
                <w:sz w:val="24"/>
              </w:rPr>
              <w:fldChar w:fldCharType="begin">
                <w:ffData>
                  <w:name w:val="yfname_015"/>
                  <w:enabled/>
                  <w:calcOnExit w:val="0"/>
                  <w:statusText w:type="text" w:val="合同信息到Word单向同步字段:对方签约主体1"/>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70"/>
          </w:p>
          <w:p>
            <w:pPr>
              <w:tabs>
                <w:tab w:val="left" w:pos="840"/>
                <w:tab w:val="left" w:pos="9388"/>
              </w:tabs>
              <w:adjustRightInd w:val="0"/>
              <w:spacing w:before="156" w:line="360" w:lineRule="auto"/>
              <w:rPr>
                <w:bCs/>
                <w:sz w:val="24"/>
              </w:rPr>
            </w:pPr>
          </w:p>
          <w:p>
            <w:pPr>
              <w:tabs>
                <w:tab w:val="left" w:pos="840"/>
                <w:tab w:val="left" w:pos="9388"/>
              </w:tabs>
              <w:adjustRightInd w:val="0"/>
              <w:spacing w:before="156" w:line="360" w:lineRule="auto"/>
              <w:rPr>
                <w:bCs/>
                <w:sz w:val="24"/>
              </w:rPr>
            </w:pPr>
            <w:r>
              <w:rPr>
                <w:rFonts w:hint="eastAsia"/>
                <w:bCs/>
                <w:sz w:val="24"/>
              </w:rPr>
              <w:t>法定代表人</w:t>
            </w:r>
            <w:r>
              <w:rPr>
                <w:bCs/>
                <w:sz w:val="24"/>
              </w:rPr>
              <w:t>/负责人</w:t>
            </w:r>
          </w:p>
          <w:p>
            <w:pPr>
              <w:tabs>
                <w:tab w:val="left" w:pos="840"/>
                <w:tab w:val="left" w:pos="9388"/>
              </w:tabs>
              <w:adjustRightInd w:val="0"/>
              <w:spacing w:before="156" w:line="360" w:lineRule="auto"/>
              <w:rPr>
                <w:bCs/>
                <w:sz w:val="24"/>
              </w:rPr>
            </w:pPr>
            <w:r>
              <w:rPr>
                <w:rFonts w:hint="eastAsia"/>
                <w:bCs/>
                <w:sz w:val="24"/>
              </w:rPr>
              <w:t>或</w:t>
            </w:r>
            <w:r>
              <w:rPr>
                <w:rFonts w:hint="eastAsia" w:cs="Arial"/>
                <w:sz w:val="24"/>
              </w:rPr>
              <w:t>授权代表</w:t>
            </w:r>
            <w:r>
              <w:rPr>
                <w:rFonts w:hint="eastAsia"/>
                <w:bCs/>
                <w:sz w:val="24"/>
              </w:rPr>
              <w:t>：</w:t>
            </w:r>
            <w:bookmarkStart w:id="71" w:name="ManulField100"/>
            <w:r>
              <w:rPr>
                <w:sz w:val="24"/>
              </w:rPr>
              <w:fldChar w:fldCharType="begin">
                <w:ffData>
                  <w:name w:val="ManulField100"/>
                  <w:enabled/>
                  <w:calcOnExit w:val="0"/>
                  <w:statusText w:type="text" w:val="不同步字段"/>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71"/>
          </w:p>
          <w:p>
            <w:pPr>
              <w:tabs>
                <w:tab w:val="left" w:pos="840"/>
                <w:tab w:val="left" w:pos="9388"/>
              </w:tabs>
              <w:adjustRightInd w:val="0"/>
              <w:spacing w:before="156" w:line="360" w:lineRule="auto"/>
              <w:rPr>
                <w:bCs/>
                <w:sz w:val="24"/>
              </w:rPr>
            </w:pPr>
          </w:p>
          <w:p>
            <w:pPr>
              <w:tabs>
                <w:tab w:val="left" w:pos="840"/>
                <w:tab w:val="left" w:pos="9388"/>
              </w:tabs>
              <w:adjustRightInd w:val="0"/>
              <w:spacing w:before="156" w:line="360" w:lineRule="auto"/>
              <w:rPr>
                <w:sz w:val="24"/>
              </w:rPr>
            </w:pPr>
            <w:r>
              <w:rPr>
                <w:rFonts w:hint="eastAsia"/>
                <w:bCs/>
                <w:sz w:val="24"/>
              </w:rPr>
              <w:t>签订日期：</w:t>
            </w:r>
            <w:bookmarkStart w:id="72" w:name="ManulField97"/>
            <w:r>
              <w:rPr>
                <w:sz w:val="24"/>
              </w:rPr>
              <w:fldChar w:fldCharType="begin">
                <w:ffData>
                  <w:name w:val="ManulField97"/>
                  <w:enabled/>
                  <w:calcOnExit w:val="0"/>
                  <w:statusText w:type="text" w:val="不同步字段"/>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72"/>
            <w:r>
              <w:rPr>
                <w:rFonts w:hint="eastAsia"/>
                <w:bCs/>
                <w:sz w:val="24"/>
              </w:rPr>
              <w:t>年</w:t>
            </w:r>
            <w:bookmarkStart w:id="73" w:name="ManulField98"/>
            <w:r>
              <w:rPr>
                <w:sz w:val="24"/>
              </w:rPr>
              <w:fldChar w:fldCharType="begin">
                <w:ffData>
                  <w:name w:val="ManulField98"/>
                  <w:enabled/>
                  <w:calcOnExit w:val="0"/>
                  <w:statusText w:type="text" w:val="不同步字段"/>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73"/>
            <w:r>
              <w:rPr>
                <w:rFonts w:hint="eastAsia"/>
                <w:bCs/>
                <w:sz w:val="24"/>
              </w:rPr>
              <w:t>月</w:t>
            </w:r>
            <w:bookmarkStart w:id="74" w:name="ManulField99"/>
            <w:r>
              <w:rPr>
                <w:sz w:val="24"/>
              </w:rPr>
              <w:fldChar w:fldCharType="begin">
                <w:ffData>
                  <w:name w:val="ManulField99"/>
                  <w:enabled/>
                  <w:calcOnExit w:val="0"/>
                  <w:statusText w:type="text" w:val="不同步字段"/>
                  <w:textInput/>
                </w:ffData>
              </w:fldChar>
            </w:r>
            <w:r>
              <w:rPr>
                <w:sz w:val="24"/>
                <w:u w:val="single"/>
              </w:rPr>
              <w:instrText xml:space="preserve"> FORMTEXT </w:instrText>
            </w:r>
            <w:r>
              <w:rPr>
                <w:sz w:val="24"/>
              </w:rPr>
              <w:fldChar w:fldCharType="separate"/>
            </w:r>
            <w:r>
              <w:rPr>
                <w:sz w:val="24"/>
                <w:u w:val="single"/>
              </w:rPr>
              <w:t>     </w:t>
            </w:r>
            <w:r>
              <w:rPr>
                <w:sz w:val="24"/>
              </w:rPr>
              <w:fldChar w:fldCharType="end"/>
            </w:r>
            <w:bookmarkEnd w:id="74"/>
            <w:r>
              <w:rPr>
                <w:rFonts w:hint="eastAsia"/>
                <w:bCs/>
                <w:sz w:val="24"/>
              </w:rPr>
              <w:t>日</w:t>
            </w:r>
          </w:p>
        </w:tc>
      </w:tr>
    </w:tbl>
    <w:p>
      <w:pPr>
        <w:pStyle w:val="20"/>
        <w:rPr>
          <w:lang w:eastAsia="zh-CN"/>
        </w:rPr>
      </w:pPr>
      <w:r>
        <w:rPr>
          <w:rFonts w:hint="eastAsia"/>
          <w:lang w:val="en-US" w:eastAsia="zh-CN"/>
        </w:rPr>
        <w:t xml:space="preserve">   </w:t>
      </w:r>
    </w:p>
    <w:p>
      <w:pPr>
        <w:widowControl/>
        <w:rPr>
          <w:sz w:val="24"/>
        </w:rPr>
      </w:pPr>
      <w:r>
        <w:rPr>
          <w:sz w:val="24"/>
        </w:rPr>
        <w:br w:type="page"/>
      </w:r>
    </w:p>
    <w:p>
      <w:pPr>
        <w:spacing w:line="360" w:lineRule="auto"/>
        <w:rPr>
          <w:sz w:val="24"/>
        </w:rPr>
      </w:pPr>
      <w:r>
        <w:rPr>
          <w:rFonts w:hint="eastAsia"/>
          <w:sz w:val="24"/>
        </w:rPr>
        <w:t>协议附件：</w:t>
      </w:r>
    </w:p>
    <w:p>
      <w:pPr>
        <w:spacing w:line="360" w:lineRule="auto"/>
        <w:rPr>
          <w:sz w:val="24"/>
        </w:rPr>
      </w:pPr>
      <w:r>
        <w:rPr>
          <w:rFonts w:hint="eastAsia"/>
          <w:sz w:val="24"/>
        </w:rPr>
        <w:t>附件</w:t>
      </w:r>
      <w:r>
        <w:rPr>
          <w:sz w:val="24"/>
        </w:rPr>
        <w:t xml:space="preserve">1 </w:t>
      </w:r>
      <w:r>
        <w:rPr>
          <w:rFonts w:hint="eastAsia"/>
          <w:sz w:val="24"/>
        </w:rPr>
        <w:t>站址清单</w:t>
      </w:r>
    </w:p>
    <w:p>
      <w:pPr>
        <w:spacing w:line="360" w:lineRule="auto"/>
        <w:rPr>
          <w:sz w:val="24"/>
        </w:rPr>
      </w:pPr>
      <w:r>
        <w:rPr>
          <w:rFonts w:hint="eastAsia"/>
          <w:sz w:val="24"/>
        </w:rPr>
        <w:t>附件</w:t>
      </w:r>
      <w:r>
        <w:rPr>
          <w:rFonts w:hint="eastAsia"/>
          <w:sz w:val="24"/>
          <w:lang w:val="en-US"/>
        </w:rPr>
        <w:t>2</w:t>
      </w:r>
      <w:r>
        <w:rPr>
          <w:sz w:val="24"/>
        </w:rPr>
        <w:t xml:space="preserve"> AI</w:t>
      </w:r>
      <w:r>
        <w:rPr>
          <w:rFonts w:hint="eastAsia"/>
          <w:sz w:val="24"/>
        </w:rPr>
        <w:t>算法清单</w:t>
      </w:r>
    </w:p>
    <w:p>
      <w:pPr>
        <w:widowControl/>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Pr>
        <w:rPr>
          <w:b/>
          <w:sz w:val="24"/>
        </w:rPr>
      </w:pPr>
    </w:p>
    <w:p>
      <w:pPr>
        <w:pStyle w:val="2"/>
        <w:rPr>
          <w:b/>
        </w:rPr>
      </w:pPr>
    </w:p>
    <w:p/>
    <w:p>
      <w:pPr>
        <w:pStyle w:val="2"/>
      </w:pPr>
    </w:p>
    <w:p>
      <w:pPr>
        <w:widowControl/>
        <w:rPr>
          <w:b/>
          <w:sz w:val="24"/>
        </w:rPr>
      </w:pPr>
      <w:r>
        <w:rPr>
          <w:rFonts w:hint="eastAsia"/>
          <w:b/>
          <w:sz w:val="24"/>
        </w:rPr>
        <w:t>附件</w:t>
      </w:r>
      <w:r>
        <w:rPr>
          <w:b/>
          <w:sz w:val="24"/>
        </w:rPr>
        <w:t>1</w:t>
      </w:r>
      <w:r>
        <w:rPr>
          <w:rFonts w:hint="eastAsia"/>
          <w:b/>
          <w:sz w:val="24"/>
        </w:rPr>
        <w:t>站址清单</w:t>
      </w:r>
    </w:p>
    <w:tbl>
      <w:tblPr>
        <w:tblStyle w:val="21"/>
        <w:tblW w:w="10014" w:type="dxa"/>
        <w:tblInd w:w="-459" w:type="dxa"/>
        <w:tblLayout w:type="fixed"/>
        <w:tblCellMar>
          <w:top w:w="0" w:type="dxa"/>
          <w:left w:w="108" w:type="dxa"/>
          <w:bottom w:w="0" w:type="dxa"/>
          <w:right w:w="108" w:type="dxa"/>
        </w:tblCellMar>
      </w:tblPr>
      <w:tblGrid>
        <w:gridCol w:w="567"/>
        <w:gridCol w:w="704"/>
        <w:gridCol w:w="1291"/>
        <w:gridCol w:w="2016"/>
        <w:gridCol w:w="2061"/>
        <w:gridCol w:w="1260"/>
        <w:gridCol w:w="1290"/>
        <w:gridCol w:w="825"/>
      </w:tblGrid>
      <w:tr>
        <w:tblPrEx>
          <w:tblCellMar>
            <w:top w:w="0" w:type="dxa"/>
            <w:left w:w="108" w:type="dxa"/>
            <w:bottom w:w="0" w:type="dxa"/>
            <w:right w:w="108" w:type="dxa"/>
          </w:tblCellMar>
        </w:tblPrEx>
        <w:trPr>
          <w:trHeight w:val="480" w:hRule="atLeast"/>
        </w:trPr>
        <w:tc>
          <w:tcPr>
            <w:tcW w:w="10014"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b/>
                <w:bCs/>
                <w:color w:val="000000"/>
                <w:sz w:val="24"/>
              </w:rPr>
            </w:pPr>
            <w:r>
              <w:rPr>
                <w:rFonts w:hint="eastAsia"/>
                <w:color w:val="000000"/>
                <w:sz w:val="24"/>
              </w:rPr>
              <w:t>柯城区“耕地智保”服务站址清单</w:t>
            </w: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序号</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rPr>
              <w:t>区县</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rPr>
              <w:t>乡镇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4"/>
              </w:rPr>
            </w:pPr>
            <w:r>
              <w:rPr>
                <w:rFonts w:hint="eastAsia"/>
                <w:color w:val="000000"/>
              </w:rPr>
              <w:t>站址编码</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4"/>
              </w:rPr>
            </w:pPr>
            <w:r>
              <w:rPr>
                <w:rFonts w:hint="eastAsia"/>
                <w:color w:val="000000"/>
              </w:rPr>
              <w:t>站 址 名 称</w:t>
            </w:r>
          </w:p>
        </w:tc>
        <w:tc>
          <w:tcPr>
            <w:tcW w:w="1260" w:type="dxa"/>
            <w:tcBorders>
              <w:top w:val="nil"/>
              <w:left w:val="nil"/>
              <w:bottom w:val="single" w:color="auto" w:sz="4" w:space="0"/>
              <w:right w:val="single" w:color="auto" w:sz="4" w:space="0"/>
            </w:tcBorders>
            <w:shd w:val="clear" w:color="auto" w:fill="auto"/>
            <w:noWrap/>
            <w:vAlign w:val="center"/>
          </w:tcPr>
          <w:p>
            <w:pPr>
              <w:spacing w:line="480" w:lineRule="auto"/>
              <w:jc w:val="center"/>
              <w:rPr>
                <w:sz w:val="24"/>
              </w:rPr>
            </w:pPr>
            <w:r>
              <w:rPr>
                <w:rFonts w:hint="eastAsia"/>
                <w:color w:val="000000"/>
              </w:rPr>
              <w:t>经  度</w:t>
            </w:r>
          </w:p>
        </w:tc>
        <w:tc>
          <w:tcPr>
            <w:tcW w:w="1290" w:type="dxa"/>
            <w:tcBorders>
              <w:top w:val="nil"/>
              <w:left w:val="single" w:color="auto" w:sz="4" w:space="0"/>
              <w:bottom w:val="single" w:color="auto" w:sz="4" w:space="0"/>
              <w:right w:val="single" w:color="auto" w:sz="8" w:space="0"/>
            </w:tcBorders>
            <w:vAlign w:val="center"/>
          </w:tcPr>
          <w:p>
            <w:pPr>
              <w:spacing w:line="480" w:lineRule="auto"/>
              <w:jc w:val="center"/>
              <w:rPr>
                <w:sz w:val="24"/>
              </w:rPr>
            </w:pPr>
            <w:r>
              <w:rPr>
                <w:rFonts w:hint="eastAsia"/>
                <w:color w:val="000000"/>
              </w:rPr>
              <w:t>纬  度</w:t>
            </w:r>
          </w:p>
        </w:tc>
        <w:tc>
          <w:tcPr>
            <w:tcW w:w="825" w:type="dxa"/>
            <w:tcBorders>
              <w:top w:val="nil"/>
              <w:left w:val="single" w:color="auto" w:sz="4" w:space="0"/>
              <w:bottom w:val="single" w:color="auto" w:sz="4" w:space="0"/>
              <w:right w:val="single" w:color="auto" w:sz="8" w:space="0"/>
            </w:tcBorders>
          </w:tcPr>
          <w:p>
            <w:pPr>
              <w:spacing w:line="480" w:lineRule="auto"/>
              <w:jc w:val="center"/>
              <w:rPr>
                <w:color w:val="000000"/>
              </w:rPr>
            </w:pPr>
            <w:r>
              <w:rPr>
                <w:rFonts w:hint="eastAsia"/>
                <w:color w:val="000000"/>
              </w:rPr>
              <w:t>备注</w:t>
            </w: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330802908000000709</w:t>
            </w:r>
          </w:p>
        </w:tc>
        <w:tc>
          <w:tcPr>
            <w:tcW w:w="206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柯城万田白塔</w:t>
            </w:r>
          </w:p>
        </w:tc>
        <w:tc>
          <w:tcPr>
            <w:tcW w:w="126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118.861846</w:t>
            </w:r>
          </w:p>
        </w:tc>
        <w:tc>
          <w:tcPr>
            <w:tcW w:w="1290" w:type="dxa"/>
            <w:tcBorders>
              <w:top w:val="nil"/>
              <w:left w:val="single" w:color="auto" w:sz="4" w:space="0"/>
              <w:bottom w:val="single" w:color="auto" w:sz="4" w:space="0"/>
              <w:right w:val="single" w:color="auto" w:sz="8" w:space="0"/>
            </w:tcBorders>
            <w:vAlign w:val="center"/>
          </w:tcPr>
          <w:p>
            <w:pPr>
              <w:jc w:val="center"/>
              <w:rPr>
                <w:color w:val="000000"/>
                <w:sz w:val="20"/>
                <w:szCs w:val="20"/>
              </w:rPr>
            </w:pPr>
            <w:r>
              <w:rPr>
                <w:color w:val="000000"/>
                <w:sz w:val="20"/>
                <w:szCs w:val="20"/>
              </w:rPr>
              <w:t>29.018276</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r>
              <w:rPr>
                <w:rFonts w:hint="eastAsia"/>
                <w:color w:val="000000"/>
                <w:sz w:val="20"/>
                <w:szCs w:val="20"/>
              </w:rPr>
              <w:t>被替换</w:t>
            </w: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330802500010001896</w:t>
            </w:r>
          </w:p>
        </w:tc>
        <w:tc>
          <w:tcPr>
            <w:tcW w:w="206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衢州上下蒋安置房</w:t>
            </w:r>
          </w:p>
        </w:tc>
        <w:tc>
          <w:tcPr>
            <w:tcW w:w="126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118.860985</w:t>
            </w:r>
          </w:p>
        </w:tc>
        <w:tc>
          <w:tcPr>
            <w:tcW w:w="1290" w:type="dxa"/>
            <w:tcBorders>
              <w:top w:val="nil"/>
              <w:left w:val="single" w:color="auto" w:sz="4" w:space="0"/>
              <w:bottom w:val="single" w:color="auto" w:sz="4" w:space="0"/>
              <w:right w:val="single" w:color="auto" w:sz="8" w:space="0"/>
            </w:tcBorders>
            <w:vAlign w:val="center"/>
          </w:tcPr>
          <w:p>
            <w:pPr>
              <w:jc w:val="center"/>
              <w:rPr>
                <w:color w:val="000000"/>
                <w:sz w:val="20"/>
                <w:szCs w:val="20"/>
              </w:rPr>
            </w:pPr>
            <w:r>
              <w:rPr>
                <w:rFonts w:hint="eastAsia"/>
                <w:color w:val="000000"/>
                <w:sz w:val="20"/>
                <w:szCs w:val="20"/>
              </w:rPr>
              <w:t>29.012045</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r>
              <w:rPr>
                <w:rFonts w:hint="eastAsia"/>
                <w:color w:val="000000"/>
                <w:sz w:val="20"/>
                <w:szCs w:val="20"/>
              </w:rPr>
              <w:t>替换</w:t>
            </w: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330802700000235602</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柯城华墅园林东</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118.755203</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28.874901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330802908000000939</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衢州华墅连塘</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118.763525</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28.900943</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330802908000000706</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柯城万田曼头山</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118.860785</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29.042826</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330802908000000711</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柯城万田坞石</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118.833298</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29.009601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330802500000000158</w:t>
            </w:r>
          </w:p>
        </w:tc>
        <w:tc>
          <w:tcPr>
            <w:tcW w:w="206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衢州沙埠村</w:t>
            </w:r>
          </w:p>
        </w:tc>
        <w:tc>
          <w:tcPr>
            <w:tcW w:w="126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118.923903</w:t>
            </w:r>
          </w:p>
        </w:tc>
        <w:tc>
          <w:tcPr>
            <w:tcW w:w="1290"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28.909552</w:t>
            </w:r>
          </w:p>
        </w:tc>
        <w:tc>
          <w:tcPr>
            <w:tcW w:w="825" w:type="dxa"/>
            <w:tcBorders>
              <w:top w:val="nil"/>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330802908000000318</w:t>
            </w:r>
          </w:p>
        </w:tc>
        <w:tc>
          <w:tcPr>
            <w:tcW w:w="206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衢州严村</w:t>
            </w:r>
          </w:p>
        </w:tc>
        <w:tc>
          <w:tcPr>
            <w:tcW w:w="126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118.784052</w:t>
            </w:r>
          </w:p>
        </w:tc>
        <w:tc>
          <w:tcPr>
            <w:tcW w:w="1290"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28.942295</w:t>
            </w:r>
          </w:p>
        </w:tc>
        <w:tc>
          <w:tcPr>
            <w:tcW w:w="825" w:type="dxa"/>
            <w:tcBorders>
              <w:top w:val="nil"/>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330802908000000764</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柯城航埠横源塘</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118.756203</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28.968701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330802908000000794</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柯城航埠万川</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118.795919</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28.917183</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330802908000000306</w:t>
            </w:r>
          </w:p>
        </w:tc>
        <w:tc>
          <w:tcPr>
            <w:tcW w:w="206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衢州梅村</w:t>
            </w:r>
          </w:p>
        </w:tc>
        <w:tc>
          <w:tcPr>
            <w:tcW w:w="126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118.814636</w:t>
            </w:r>
          </w:p>
        </w:tc>
        <w:tc>
          <w:tcPr>
            <w:tcW w:w="1290"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28.980481</w:t>
            </w:r>
          </w:p>
        </w:tc>
        <w:tc>
          <w:tcPr>
            <w:tcW w:w="825" w:type="dxa"/>
            <w:tcBorders>
              <w:top w:val="nil"/>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330802908000000428</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衢州王家村</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118.848245</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29.022461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330802908000000930</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华墅水阁</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118.742302</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28.859901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330802908000000810</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柯城华墅石溪塘-2</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118.785896</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28.896999</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330802908000000710</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柯城万田山坑</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118.881798</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29.029801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15</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新新街道</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330802908000000975</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衢州新新白沙</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118.904823</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28.929277</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16</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330802908000000755</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柯城航埠北一新村</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118.720162</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28.939978</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17</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330802908000000889</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衢州九华乡</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118.842493</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29.056518</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18</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330802908000000289</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衢州刘坂</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118.760425</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28.888152</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19</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330802908000000536</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衢州陈家碓边</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118.871841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28.995469</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20</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330802908000000650</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柯城沟溪五十都</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118.700104</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28.994801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21</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330802908000000935</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衢州九华上宅</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118.822381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29.038443</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22</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330802908000000659</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柯城航埠陈村坞</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118.771004</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28.975001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23</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330802908000000463</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衢州石室汇聚</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118.908611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28.867305</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24</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330802908000000373</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衢州里前坞</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118.780701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28.994901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25</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330802908000000553</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柯城石梁玫瑰园</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118.809878</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29.004863</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26</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黄家街道</w:t>
            </w:r>
          </w:p>
        </w:tc>
        <w:tc>
          <w:tcPr>
            <w:tcW w:w="2016"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330802500000000121</w:t>
            </w:r>
          </w:p>
        </w:tc>
        <w:tc>
          <w:tcPr>
            <w:tcW w:w="206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柯城黄家双塘头</w:t>
            </w:r>
          </w:p>
        </w:tc>
        <w:tc>
          <w:tcPr>
            <w:tcW w:w="126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118.851303</w:t>
            </w:r>
          </w:p>
        </w:tc>
        <w:tc>
          <w:tcPr>
            <w:tcW w:w="1290"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28.919399</w:t>
            </w:r>
          </w:p>
        </w:tc>
        <w:tc>
          <w:tcPr>
            <w:tcW w:w="825" w:type="dxa"/>
            <w:tcBorders>
              <w:top w:val="nil"/>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27</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330802908000000582</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衢州毕家</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118.890301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28.851201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28</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 xml:space="preserve">双港街道 </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330802908000000574</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衢州汪村</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118.815341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28.942328</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29</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330802908000000068</w:t>
            </w:r>
          </w:p>
        </w:tc>
        <w:tc>
          <w:tcPr>
            <w:tcW w:w="206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衢州普星燃机热电厂</w:t>
            </w:r>
          </w:p>
        </w:tc>
        <w:tc>
          <w:tcPr>
            <w:tcW w:w="126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118.772366</w:t>
            </w:r>
          </w:p>
        </w:tc>
        <w:tc>
          <w:tcPr>
            <w:tcW w:w="1290"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28.924273</w:t>
            </w:r>
          </w:p>
        </w:tc>
        <w:tc>
          <w:tcPr>
            <w:tcW w:w="825" w:type="dxa"/>
            <w:tcBorders>
              <w:top w:val="nil"/>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30</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330802908000000538</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衢州龙泉头</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118.734517</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28.845517</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31</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330802908000000980</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衢州航埠枧陈</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118.745903</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28.941299</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32</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330802908000000771</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柯城九华上童</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118.874628</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29.058157</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330802908000000490</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衢州华墅工业园区</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118.731093</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28.867527</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34</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330802908000000225</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衢州后屋</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118.733465</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28.962507</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35</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330802908000000515</w:t>
            </w:r>
          </w:p>
        </w:tc>
        <w:tc>
          <w:tcPr>
            <w:tcW w:w="206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衢州余西</w:t>
            </w:r>
          </w:p>
        </w:tc>
        <w:tc>
          <w:tcPr>
            <w:tcW w:w="126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118.722258</w:t>
            </w:r>
          </w:p>
        </w:tc>
        <w:tc>
          <w:tcPr>
            <w:tcW w:w="1290"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28.977835</w:t>
            </w:r>
          </w:p>
        </w:tc>
        <w:tc>
          <w:tcPr>
            <w:tcW w:w="825" w:type="dxa"/>
            <w:tcBorders>
              <w:top w:val="nil"/>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36</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330802500000001571</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衢州万川东搬迁</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118.811302</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28.912001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37</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330802908000000357</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衢州石梁二</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118.792723</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29.025901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38</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花园街道</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330802908000000909</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衢州花园普珠院</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118.893735</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28.889299</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39</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330802500000001697</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衢州万田慈姑垄</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118.841573</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29.000491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40</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330802908000000572</w:t>
            </w:r>
          </w:p>
        </w:tc>
        <w:tc>
          <w:tcPr>
            <w:tcW w:w="206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衢州三十六亩</w:t>
            </w:r>
          </w:p>
        </w:tc>
        <w:tc>
          <w:tcPr>
            <w:tcW w:w="126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118.787447</w:t>
            </w:r>
          </w:p>
        </w:tc>
        <w:tc>
          <w:tcPr>
            <w:tcW w:w="1290"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28.967908</w:t>
            </w:r>
          </w:p>
        </w:tc>
        <w:tc>
          <w:tcPr>
            <w:tcW w:w="825" w:type="dxa"/>
            <w:tcBorders>
              <w:top w:val="nil"/>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41</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330802908000000593</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柯城石室崇文</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118.917413</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28.892947</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42</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330802500010001825</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衢州高源</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118.856321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29.067511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43</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花园街道</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330802908000000918</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衢州花园姜村-2</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118.871997</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28.920285</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44</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330802908000000138</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衢州万田村</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118.847295</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29.035277</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45</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信安街道</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33080201000070</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衢州柯城快速通道</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118.907898</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28.982201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46</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330802908000000469</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衢州东村</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118.925167</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28.857641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47</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330802500000000004</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柯城华墅坞口垄水库</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118.750221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28.893938</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48</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黄家街道</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330802500000001599</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衢州下卢新村</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118.838601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28.914701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49</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330802908000000371</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衢州两头塘</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118.763441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29.006481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50</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330802908000000884</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柯城沟溪碗东-2</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118.719201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29.009701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51</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330802908000000512</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衢州碓塘底</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118.874912</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29.034692</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52</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330802500000000031</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柯城石梁斗目垄</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118.737801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28.994901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53</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330802500000000112</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柯城石梁小沟村南</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118.740997</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29.024201</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54</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330802908000000038</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衢州五十都</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118.719381</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28.992205</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nil"/>
              <w:left w:val="single" w:color="auto" w:sz="8"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55</w:t>
            </w:r>
          </w:p>
        </w:tc>
        <w:tc>
          <w:tcPr>
            <w:tcW w:w="704"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33080200000015</w:t>
            </w:r>
          </w:p>
        </w:tc>
        <w:tc>
          <w:tcPr>
            <w:tcW w:w="2061"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柯城万田池家</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118.869376</w:t>
            </w:r>
          </w:p>
        </w:tc>
        <w:tc>
          <w:tcPr>
            <w:tcW w:w="1290" w:type="dxa"/>
            <w:tcBorders>
              <w:top w:val="nil"/>
              <w:left w:val="single" w:color="auto" w:sz="4" w:space="0"/>
              <w:bottom w:val="single" w:color="auto" w:sz="4" w:space="0"/>
              <w:right w:val="single" w:color="auto" w:sz="8" w:space="0"/>
            </w:tcBorders>
            <w:vAlign w:val="center"/>
          </w:tcPr>
          <w:p>
            <w:pPr>
              <w:jc w:val="center"/>
              <w:rPr>
                <w:sz w:val="20"/>
                <w:szCs w:val="20"/>
              </w:rPr>
            </w:pPr>
            <w:r>
              <w:rPr>
                <w:rFonts w:hint="eastAsia"/>
                <w:color w:val="000000"/>
                <w:sz w:val="20"/>
                <w:szCs w:val="20"/>
              </w:rPr>
              <w:t>29.009536</w:t>
            </w:r>
          </w:p>
        </w:tc>
        <w:tc>
          <w:tcPr>
            <w:tcW w:w="825" w:type="dxa"/>
            <w:tcBorders>
              <w:top w:val="nil"/>
              <w:left w:val="single" w:color="auto" w:sz="4" w:space="0"/>
              <w:bottom w:val="single" w:color="auto" w:sz="4" w:space="0"/>
              <w:right w:val="single" w:color="auto" w:sz="8"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56</w:t>
            </w:r>
          </w:p>
        </w:tc>
        <w:tc>
          <w:tcPr>
            <w:tcW w:w="7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姜家山乡</w:t>
            </w:r>
          </w:p>
        </w:tc>
        <w:tc>
          <w:tcPr>
            <w:tcW w:w="2016"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330802908001900167</w:t>
            </w:r>
          </w:p>
        </w:tc>
        <w:tc>
          <w:tcPr>
            <w:tcW w:w="2061"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柯城姜家山三山</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118.792789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28.982876</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57</w:t>
            </w:r>
          </w:p>
        </w:tc>
        <w:tc>
          <w:tcPr>
            <w:tcW w:w="7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330802908000000353</w:t>
            </w:r>
          </w:p>
        </w:tc>
        <w:tc>
          <w:tcPr>
            <w:tcW w:w="2061"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衢州柴家</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118.778136</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28.894743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58</w:t>
            </w:r>
          </w:p>
        </w:tc>
        <w:tc>
          <w:tcPr>
            <w:tcW w:w="7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330802908000000517</w:t>
            </w:r>
          </w:p>
        </w:tc>
        <w:tc>
          <w:tcPr>
            <w:tcW w:w="2061"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衢州华墅棠村</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118.764626</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28.867907</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59</w:t>
            </w:r>
          </w:p>
        </w:tc>
        <w:tc>
          <w:tcPr>
            <w:tcW w:w="7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姜家山街道</w:t>
            </w:r>
          </w:p>
        </w:tc>
        <w:tc>
          <w:tcPr>
            <w:tcW w:w="2016"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330802908000000320</w:t>
            </w:r>
          </w:p>
        </w:tc>
        <w:tc>
          <w:tcPr>
            <w:tcW w:w="2061"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衢州姜家山</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118.821664</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28.975431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60</w:t>
            </w:r>
          </w:p>
        </w:tc>
        <w:tc>
          <w:tcPr>
            <w:tcW w:w="7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330802500000000044</w:t>
            </w:r>
          </w:p>
        </w:tc>
        <w:tc>
          <w:tcPr>
            <w:tcW w:w="2061"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柯城石室岭底</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118.886201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28.863998</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61</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330802908000000343</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衢州华墅</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118.730081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28.884133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62</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330802700000124815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衢州石梁黄茶2</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118.766296</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29.030399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63</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330802500000000075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衢州柯城白云佳苑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118.782135</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29.008801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64</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330802908000000809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柯城航埠昆仑包装</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118.759003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28.937599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65</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花园街道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330802908000000595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衢州花园松园</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118.899803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28.916501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66</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330802908000000302</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衢州汪村西</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118.798203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28.944269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67</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330802908000000221</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衢州顺家路边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118.850467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29.007904</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68</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黄家街道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330802908000000823</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柯城黄家吕宅</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118.863393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28.900695</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69</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330802500010001826</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衢州上彭川中</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118.866027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29.073855</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 xml:space="preserve">双港街道 </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330802908000000117</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衢州梅家二</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118.834001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28.935801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71</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330802500000000119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柯城姚家山村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118.754402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28.956101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72</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330802908000000081</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衢江万村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118.799895</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28.897311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73</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330802500000001485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衢州塔石岭</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118.877602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29.047501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74</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330802908000000583</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衢州东滨路沙埠</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118.926405</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28.915444</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75</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330802908000000999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衢州华墅园林</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118.749001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28.868299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76</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330802500000000109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柯城石梁蒋家村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118.829201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28.988899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77</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330802700000237917</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柯城沟溪后坞</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118.738701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28.966201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78</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330802908000000136</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衢州石室乡中</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118.921242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28.870978</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79</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330802908000000464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衢州梅坑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118.696443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29.002221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330802908000000085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衢州刘畈</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118.765195</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28.884134</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81</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330802908000000107</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衢州航埠大力口村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118.763449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28.914007</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82</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330802908000000601</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衢州石梁大埂</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118.751135</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29.003298</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83</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姜家山街道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330802500000000019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柯城姜家山郑云村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118.809975</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28.963558</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84</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33080200000011</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衢州九华溪淤</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118.850359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29.074873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85</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330802010000000079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柯城万田余家山头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118.870193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29.023907</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86</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330802908000000360</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衢州下静岩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118.810501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29.014901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87</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330802908000000327</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衢州关溪</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118.821013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29.069234</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88</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330802500000000030</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柯城华墅上墅村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118.711403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28.872001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89</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330802500000000048</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衢州杨家西边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118.894897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29.026501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330802908000000374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衢州小沟</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118.735687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29.034311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91</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白云街道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330802908000000835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衢州盈川小区[移]</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118.851258</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28.991125</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92</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衢化街道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330802908000000462</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衢州缸窑村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118.884527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28.884612</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93</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330802908000000396</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衢州杨家源</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118.794863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29.050269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94</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330802908000000765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柯城沟溪余东</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118.730499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28.982401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95</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330802908000000833</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柯城航埠外前坞</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118.780296</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28.983701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96</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330802908000000581</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衢州莲塘</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118.760482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28.903052</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97</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330802908000000227</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衢州沟溪二</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118.721184</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28.955358</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98</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330802908000000825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柯城航埠王家坂</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118.733597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28.924401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99</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衢化街道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330802500000000106</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柯城石室堰头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118.897003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28.880699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330802908000000184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衢州童家</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118.915498</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28.846821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101</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 xml:space="preserve">双港街道 </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330802500000000124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柯城白沙垃圾站</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118.909599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28.940701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102</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330802908000000324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衢州上童</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118.871414</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29.057435</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103</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330802908000000159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衢州上铺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118.827604</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29.048705</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104</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330802908000000384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衢州宋家垄村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118.748199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28.982101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105</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330802908000000584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衢州荞麦坞</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118.824655</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29.005273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106</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330802500010001830</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衢州炉头村西</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118.845199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29.016023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107</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330802500000000083</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柯城航埠坞里</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118.788002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28.914801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108</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330802908000000912</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衢州柯城九华塔石岭</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118.880967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29.057089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109</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七里乡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330802908000000540</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衢州早田</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118.752404</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29.159054</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330802908000000325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衢州窑坪</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118.855701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29.046101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111</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330802908000000414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衢州内近山</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118.830453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29.072478</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112</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330802500010001827</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衢州直力村南</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118.728395</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28.995123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113</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330802500000000076</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衢州航埠西山府</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118.736198</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28.931101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114</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330802500000000123</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柯城刘畈东</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118.768701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28.888101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115</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330803908000000319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柯城九华上彭川</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118.863907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29.078401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116</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330802908000000372</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衢州下村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118.768634</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29.042723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117</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330802500000000034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柯城航埠严村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118.770302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28.955799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330802908000000492</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衢州三官岭</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118.712236</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28.895006</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119</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330802908000000250</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衢州九华下坦村里西垄(远)</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118.828478</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29.022605</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330802908000000228</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衢州五十都二</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118.697601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28.988701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121</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万田乡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330802500010001808</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衢州万田荷塘村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118.861577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29.031656</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122</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330802500000000091</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柯城航埠长条坞</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118.721199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28.932501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123</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330802908000000104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衢州中央方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118.800917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28.998694</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124</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沟溪乡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330802500000000032</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柯城石梁何双蓬</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118.756897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28.976999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125</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330802908000000259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衢州万川</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118.807201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28.915901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126</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330802908000000580</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衢州金坂</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118.742382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28.901578</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127</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黄家街道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330803908000000178</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衢州黄家十五里</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118.840137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28.906446</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128</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330802500000000007</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衢州巨化怡水苑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118.912796</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28.889001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129</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七里乡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330802908000000162</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衢州治岭</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118.809622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29.178779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330802500000000096</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柯城航埠凤凰山</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118.767197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28.929001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131</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330802908000000080</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衢州园森特大桥0号园林村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118.744786</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28.868486</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132</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330802908000000196</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衢州寺坞</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118.808802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29.110188</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133</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花园街道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330802908000000278</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衢州上洋机械</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118.884598</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28.927099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134</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黄家街道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330802908000000635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衢州元立变电所</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118.871027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28.898981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135</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330802908000000864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衢州石室沙埠</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118.915601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28.910222</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136</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七里乡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330802908000000171</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衢州少伸</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118.788127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29.157423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137</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330802908000000664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衢州白云回龙</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118.825716</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28.961653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138</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华墅乡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330881908000000910</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柯城华墅工业园</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118.725311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28.863751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139</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航埠镇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330802908000000494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衢州上万金万</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118.801069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28.931075</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330802500010001829</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衢州石梁北</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118.774498</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29.019885</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141</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黄家街道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330802500000001684</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衢州华友钴业南大楼</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118.864145</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28.870105</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142</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330802908000000928</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衢州石室天苍岭</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118.937501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28.840501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143</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330802908000000776</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柯城石室荆溪</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118.923103</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28.876801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144</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石梁镇</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330802500010001812</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衢州吴家山头搬迁</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118.806832</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28.982651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145</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 xml:space="preserve">双港街道 </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330802908000000340</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衢州丰家村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118.840797</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28.928801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146</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九华乡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330802908000000535</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衢州下坦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118.825759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29.036153</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147</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石室乡</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330802600000000201</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衢州桃坎头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118.90499</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28.86039</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148</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黄家街道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330802700000237916</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柯城黄家新山底</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118.846816</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28.880488</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r>
        <w:tblPrEx>
          <w:tblCellMar>
            <w:top w:w="0" w:type="dxa"/>
            <w:left w:w="108" w:type="dxa"/>
            <w:bottom w:w="0" w:type="dxa"/>
            <w:right w:w="108" w:type="dxa"/>
          </w:tblCellMar>
        </w:tblPrEx>
        <w:trPr>
          <w:trHeight w:val="2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149</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柯城</w:t>
            </w:r>
          </w:p>
        </w:tc>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黄家街道</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330802500000000148</w:t>
            </w:r>
          </w:p>
        </w:tc>
        <w:tc>
          <w:tcPr>
            <w:tcW w:w="206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衢州寺前村南</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szCs w:val="20"/>
              </w:rPr>
            </w:pPr>
            <w:r>
              <w:rPr>
                <w:rFonts w:hint="eastAsia"/>
                <w:color w:val="000000"/>
                <w:sz w:val="20"/>
                <w:szCs w:val="20"/>
              </w:rPr>
              <w:t>118.877701</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color w:val="000000"/>
                <w:sz w:val="20"/>
                <w:szCs w:val="20"/>
              </w:rPr>
              <w:t>28.857201</w:t>
            </w:r>
          </w:p>
        </w:tc>
        <w:tc>
          <w:tcPr>
            <w:tcW w:w="825" w:type="dxa"/>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r>
    </w:tbl>
    <w:p>
      <w:pPr>
        <w:spacing w:line="360" w:lineRule="auto"/>
        <w:rPr>
          <w:sz w:val="24"/>
        </w:rPr>
      </w:pPr>
    </w:p>
    <w:p>
      <w:pPr>
        <w:spacing w:line="360" w:lineRule="auto"/>
        <w:rPr>
          <w:sz w:val="24"/>
        </w:rPr>
      </w:pPr>
    </w:p>
    <w:p>
      <w:pPr>
        <w:widowControl/>
        <w:rPr>
          <w:sz w:val="24"/>
        </w:rPr>
      </w:pPr>
      <w:r>
        <w:rPr>
          <w:sz w:val="24"/>
        </w:rPr>
        <w:br w:type="page"/>
      </w:r>
    </w:p>
    <w:p>
      <w:pPr>
        <w:widowControl/>
        <w:rPr>
          <w:b/>
          <w:sz w:val="24"/>
        </w:rPr>
      </w:pPr>
    </w:p>
    <w:p>
      <w:pPr>
        <w:widowControl/>
        <w:rPr>
          <w:b/>
          <w:sz w:val="24"/>
        </w:rPr>
      </w:pPr>
      <w:r>
        <w:rPr>
          <w:rFonts w:hint="eastAsia"/>
          <w:b/>
          <w:sz w:val="24"/>
        </w:rPr>
        <w:t>附件</w:t>
      </w:r>
      <w:r>
        <w:rPr>
          <w:rFonts w:hint="eastAsia"/>
          <w:b/>
          <w:sz w:val="24"/>
          <w:lang w:val="en-US"/>
        </w:rPr>
        <w:t xml:space="preserve">2 </w:t>
      </w:r>
      <w:r>
        <w:rPr>
          <w:b/>
          <w:sz w:val="24"/>
        </w:rPr>
        <w:t xml:space="preserve"> AI</w:t>
      </w:r>
      <w:r>
        <w:rPr>
          <w:rFonts w:hint="eastAsia"/>
          <w:b/>
          <w:sz w:val="24"/>
        </w:rPr>
        <w:t>算法清单</w:t>
      </w:r>
    </w:p>
    <w:p>
      <w:pPr>
        <w:widowControl/>
        <w:rPr>
          <w:b/>
          <w:sz w:val="24"/>
        </w:rPr>
      </w:pPr>
    </w:p>
    <w:tbl>
      <w:tblPr>
        <w:tblStyle w:val="21"/>
        <w:tblW w:w="7562" w:type="dxa"/>
        <w:jc w:val="center"/>
        <w:tblLayout w:type="autofit"/>
        <w:tblCellMar>
          <w:top w:w="0" w:type="dxa"/>
          <w:left w:w="108" w:type="dxa"/>
          <w:bottom w:w="0" w:type="dxa"/>
          <w:right w:w="108" w:type="dxa"/>
        </w:tblCellMar>
      </w:tblPr>
      <w:tblGrid>
        <w:gridCol w:w="2388"/>
        <w:gridCol w:w="5174"/>
      </w:tblGrid>
      <w:tr>
        <w:tblPrEx>
          <w:tblCellMar>
            <w:top w:w="0" w:type="dxa"/>
            <w:left w:w="108" w:type="dxa"/>
            <w:bottom w:w="0" w:type="dxa"/>
            <w:right w:w="108" w:type="dxa"/>
          </w:tblCellMar>
        </w:tblPrEx>
        <w:trPr>
          <w:trHeight w:val="384" w:hRule="atLeast"/>
          <w:jc w:val="center"/>
        </w:trPr>
        <w:tc>
          <w:tcPr>
            <w:tcW w:w="23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序号</w:t>
            </w:r>
          </w:p>
        </w:tc>
        <w:tc>
          <w:tcPr>
            <w:tcW w:w="517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4"/>
              </w:rPr>
            </w:pPr>
            <w:r>
              <w:rPr>
                <w:color w:val="000000"/>
                <w:sz w:val="24"/>
              </w:rPr>
              <w:t>AI算法预警模型</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乱石堆放</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2</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土堆堆放</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3</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在修建筑</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4</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地面硬化</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5</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废物堆占</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6</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建筑板材</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7</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新建板房</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8</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红砖堆占</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9</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水泥框架</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10</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板房棚房</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11</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脚手架</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12</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建筑材料</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13</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围挡</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14</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起重机</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15</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运输车辆</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16</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施工车辆</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17</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塔吊</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18</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搅拌机</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19</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搅拌车</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4"/>
              </w:rPr>
            </w:pPr>
            <w:r>
              <w:rPr>
                <w:color w:val="000000"/>
                <w:sz w:val="24"/>
              </w:rPr>
              <w:t>20</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4"/>
              </w:rPr>
            </w:pPr>
            <w:r>
              <w:rPr>
                <w:rFonts w:hint="eastAsia"/>
                <w:color w:val="000000"/>
                <w:sz w:val="24"/>
              </w:rPr>
              <w:t>钻井机械</w:t>
            </w:r>
          </w:p>
        </w:tc>
      </w:tr>
    </w:tbl>
    <w:p>
      <w:pPr>
        <w:snapToGrid w:val="0"/>
        <w:spacing w:line="500" w:lineRule="exact"/>
        <w:jc w:val="center"/>
        <w:rPr>
          <w:b/>
          <w:sz w:val="32"/>
          <w:szCs w:val="32"/>
          <w:highlight w:val="yellow"/>
        </w:rPr>
      </w:pPr>
    </w:p>
    <w:p>
      <w:pPr>
        <w:spacing w:line="312" w:lineRule="auto"/>
        <w:rPr>
          <w:rFonts w:asciiTheme="minorEastAsia" w:hAnsiTheme="minorEastAsia" w:eastAsiaTheme="minorEastAsia" w:cstheme="minorEastAsia"/>
          <w:sz w:val="21"/>
          <w:szCs w:val="21"/>
          <w:highlight w:val="yellow"/>
        </w:rPr>
        <w:sectPr>
          <w:pgSz w:w="11910" w:h="16840"/>
          <w:pgMar w:top="1417" w:right="1247" w:bottom="1417" w:left="1247" w:header="0" w:footer="1226" w:gutter="0"/>
          <w:cols w:space="720" w:num="1"/>
        </w:sectPr>
      </w:pPr>
    </w:p>
    <w:p>
      <w:pPr>
        <w:pStyle w:val="3"/>
        <w:spacing w:line="312" w:lineRule="auto"/>
        <w:rPr>
          <w:rFonts w:asciiTheme="minorEastAsia" w:hAnsiTheme="minorEastAsia" w:eastAsiaTheme="minorEastAsia" w:cstheme="minorEastAsia"/>
          <w:sz w:val="28"/>
          <w:szCs w:val="28"/>
        </w:rPr>
      </w:pPr>
      <w:bookmarkStart w:id="75" w:name="第五章_采购响应文件格式"/>
      <w:bookmarkEnd w:id="75"/>
      <w:bookmarkStart w:id="76" w:name="_Toc7031"/>
      <w:bookmarkStart w:id="77" w:name="_Toc13513"/>
      <w:r>
        <w:rPr>
          <w:rFonts w:hint="eastAsia" w:asciiTheme="minorEastAsia" w:hAnsiTheme="minorEastAsia" w:eastAsiaTheme="minorEastAsia" w:cstheme="minorEastAsia"/>
          <w:sz w:val="28"/>
          <w:szCs w:val="28"/>
        </w:rPr>
        <w:t>第五章 采购响应文件格式</w:t>
      </w:r>
      <w:bookmarkEnd w:id="76"/>
      <w:bookmarkEnd w:id="77"/>
    </w:p>
    <w:p>
      <w:pPr>
        <w:pStyle w:val="2"/>
        <w:spacing w:before="4" w:line="312" w:lineRule="auto"/>
        <w:ind w:left="0"/>
        <w:rPr>
          <w:rFonts w:asciiTheme="minorEastAsia" w:hAnsiTheme="minorEastAsia" w:eastAsiaTheme="minorEastAsia" w:cstheme="minorEastAsia"/>
          <w:b/>
          <w:sz w:val="21"/>
          <w:szCs w:val="21"/>
        </w:rPr>
      </w:pPr>
    </w:p>
    <w:p>
      <w:pPr>
        <w:pStyle w:val="6"/>
        <w:spacing w:before="1" w:line="312"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格式一 资格审查文件格式</w:t>
      </w:r>
    </w:p>
    <w:p>
      <w:pPr>
        <w:pStyle w:val="2"/>
        <w:spacing w:before="5" w:line="312" w:lineRule="auto"/>
        <w:ind w:left="0"/>
        <w:rPr>
          <w:rFonts w:asciiTheme="minorEastAsia" w:hAnsiTheme="minorEastAsia" w:eastAsiaTheme="minorEastAsia" w:cstheme="minorEastAsia"/>
          <w:b/>
        </w:rPr>
      </w:pPr>
    </w:p>
    <w:p>
      <w:pPr>
        <w:pStyle w:val="2"/>
        <w:spacing w:line="360" w:lineRule="auto"/>
        <w:ind w:left="0" w:firstLine="480" w:firstLineChars="200"/>
        <w:outlineLvl w:val="0"/>
      </w:pPr>
      <w:bookmarkStart w:id="78" w:name="_Toc30114"/>
      <w:bookmarkStart w:id="79" w:name="_Toc18950"/>
      <w:bookmarkStart w:id="80" w:name="_Toc5966"/>
      <w:r>
        <w:rPr>
          <w:rFonts w:hint="eastAsia"/>
        </w:rPr>
        <w:t>（一）资格审查须知</w:t>
      </w:r>
      <w:bookmarkEnd w:id="78"/>
      <w:bookmarkEnd w:id="79"/>
      <w:bookmarkEnd w:id="80"/>
    </w:p>
    <w:p>
      <w:pPr>
        <w:pStyle w:val="2"/>
        <w:spacing w:line="360" w:lineRule="auto"/>
        <w:ind w:left="0" w:firstLine="480" w:firstLineChars="200"/>
      </w:pPr>
      <w:r>
        <w:rPr>
          <w:rFonts w:hint="eastAsia"/>
        </w:rPr>
        <w:t>1</w:t>
      </w:r>
      <w:r>
        <w:rPr>
          <w:rFonts w:hint="eastAsia"/>
          <w:spacing w:val="-11"/>
        </w:rPr>
        <w:t>、供应商必须认真填写招标文件规定的所有表格，并对其真实性负责，采购</w:t>
      </w:r>
      <w:r>
        <w:rPr>
          <w:rFonts w:hint="eastAsia"/>
        </w:rPr>
        <w:t>人有权对其进行调查核实和要求澄清。</w:t>
      </w:r>
    </w:p>
    <w:p>
      <w:pPr>
        <w:pStyle w:val="2"/>
        <w:spacing w:line="360" w:lineRule="auto"/>
        <w:ind w:left="0" w:firstLine="480" w:firstLineChars="200"/>
        <w:jc w:val="both"/>
      </w:pPr>
      <w:r>
        <w:rPr>
          <w:rFonts w:hint="eastAsia"/>
        </w:rPr>
        <w:t>2</w:t>
      </w:r>
      <w:r>
        <w:rPr>
          <w:rFonts w:hint="eastAsia"/>
          <w:spacing w:val="-12"/>
        </w:rPr>
        <w:t>、资格审查按通过和不通过两种方式进行评定，供应商的资格等方面的要求</w:t>
      </w:r>
      <w:r>
        <w:rPr>
          <w:rFonts w:hint="eastAsia"/>
          <w:spacing w:val="-1"/>
        </w:rPr>
        <w:t>作为资格审查通过的强制性资格条件，经核实有一项不符合要求，则供应商的资</w:t>
      </w:r>
      <w:r>
        <w:rPr>
          <w:rFonts w:hint="eastAsia"/>
        </w:rPr>
        <w:t>格为不通过，不通过的供应商对其投标文件不进行后续评审。</w:t>
      </w:r>
    </w:p>
    <w:p>
      <w:pPr>
        <w:spacing w:line="360" w:lineRule="auto"/>
        <w:ind w:firstLine="480" w:firstLineChars="200"/>
        <w:outlineLvl w:val="0"/>
        <w:rPr>
          <w:sz w:val="24"/>
          <w:szCs w:val="24"/>
        </w:rPr>
      </w:pPr>
      <w:bookmarkStart w:id="81" w:name="_Toc9093"/>
      <w:bookmarkStart w:id="82" w:name="_Toc24331"/>
      <w:bookmarkStart w:id="83" w:name="_Toc18594"/>
      <w:r>
        <w:rPr>
          <w:rFonts w:hint="eastAsia"/>
          <w:sz w:val="24"/>
          <w:szCs w:val="24"/>
        </w:rPr>
        <w:t>（二）资格审查的资料格式表</w:t>
      </w:r>
      <w:bookmarkEnd w:id="81"/>
    </w:p>
    <w:p>
      <w:pPr>
        <w:spacing w:line="360" w:lineRule="auto"/>
        <w:ind w:firstLine="480" w:firstLineChars="200"/>
        <w:rPr>
          <w:sz w:val="24"/>
          <w:szCs w:val="24"/>
        </w:rPr>
      </w:pPr>
      <w:r>
        <w:rPr>
          <w:rFonts w:hint="eastAsia"/>
          <w:sz w:val="24"/>
          <w:szCs w:val="24"/>
        </w:rPr>
        <w:t>表1 强制性资格条件</w:t>
      </w:r>
      <w:bookmarkEnd w:id="82"/>
      <w:bookmarkEnd w:id="83"/>
    </w:p>
    <w:p>
      <w:pPr>
        <w:spacing w:line="360" w:lineRule="auto"/>
        <w:ind w:firstLine="480" w:firstLineChars="200"/>
        <w:rPr>
          <w:sz w:val="24"/>
          <w:szCs w:val="24"/>
        </w:rPr>
      </w:pPr>
      <w:r>
        <w:rPr>
          <w:rFonts w:hint="eastAsia"/>
          <w:sz w:val="24"/>
          <w:szCs w:val="24"/>
        </w:rPr>
        <w:t>表2 具有履行合同所必需的专业服务（技术）能力的承诺函</w:t>
      </w:r>
    </w:p>
    <w:p>
      <w:pPr>
        <w:spacing w:line="360" w:lineRule="auto"/>
        <w:ind w:firstLine="480" w:firstLineChars="200"/>
        <w:rPr>
          <w:sz w:val="24"/>
          <w:szCs w:val="24"/>
        </w:rPr>
      </w:pPr>
      <w:r>
        <w:rPr>
          <w:rFonts w:hint="eastAsia"/>
          <w:sz w:val="24"/>
          <w:szCs w:val="24"/>
        </w:rPr>
        <w:t>表3没有重大违法记录承诺函</w:t>
      </w:r>
    </w:p>
    <w:p>
      <w:pPr>
        <w:spacing w:line="360" w:lineRule="auto"/>
        <w:ind w:firstLine="480" w:firstLineChars="200"/>
        <w:rPr>
          <w:sz w:val="24"/>
          <w:szCs w:val="24"/>
          <w:lang w:val="en-US"/>
        </w:rPr>
        <w:sectPr>
          <w:pgSz w:w="11910" w:h="16840"/>
          <w:pgMar w:top="1417" w:right="1247" w:bottom="1417" w:left="1247" w:header="0" w:footer="1226" w:gutter="0"/>
          <w:cols w:space="720" w:num="1"/>
        </w:sectPr>
      </w:pPr>
      <w:r>
        <w:rPr>
          <w:rFonts w:hint="eastAsia"/>
          <w:sz w:val="24"/>
          <w:szCs w:val="24"/>
        </w:rPr>
        <w:t>表</w:t>
      </w:r>
      <w:r>
        <w:rPr>
          <w:rFonts w:hint="eastAsia"/>
          <w:sz w:val="24"/>
          <w:szCs w:val="24"/>
          <w:lang w:val="en-US"/>
        </w:rPr>
        <w:t xml:space="preserve">4 </w:t>
      </w:r>
      <w:r>
        <w:rPr>
          <w:rFonts w:hint="eastAsia"/>
          <w:sz w:val="24"/>
          <w:szCs w:val="24"/>
        </w:rPr>
        <w:t>法定代表人授权委托书</w:t>
      </w:r>
    </w:p>
    <w:p>
      <w:pPr>
        <w:pStyle w:val="6"/>
        <w:spacing w:before="34" w:line="312" w:lineRule="auto"/>
        <w:ind w:right="6016"/>
        <w:rPr>
          <w:sz w:val="24"/>
          <w:szCs w:val="24"/>
        </w:rPr>
      </w:pPr>
      <w:bookmarkStart w:id="84" w:name="_Toc8251"/>
      <w:bookmarkStart w:id="85" w:name="_Toc6868"/>
      <w:bookmarkStart w:id="86" w:name="_Toc1272"/>
      <w:r>
        <w:rPr>
          <w:rFonts w:hint="eastAsia"/>
          <w:sz w:val="24"/>
          <w:szCs w:val="24"/>
        </w:rPr>
        <w:t>表 1：强制性资格条件</w:t>
      </w:r>
      <w:bookmarkEnd w:id="84"/>
      <w:bookmarkEnd w:id="85"/>
      <w:bookmarkEnd w:id="86"/>
    </w:p>
    <w:p>
      <w:pPr>
        <w:pStyle w:val="6"/>
        <w:spacing w:line="312" w:lineRule="auto"/>
        <w:rPr>
          <w:sz w:val="24"/>
          <w:szCs w:val="24"/>
        </w:rPr>
      </w:pPr>
      <w:r>
        <w:rPr>
          <w:rFonts w:hint="eastAsia"/>
          <w:sz w:val="24"/>
          <w:szCs w:val="24"/>
        </w:rPr>
        <w:t>强制性资格条件表</w:t>
      </w:r>
    </w:p>
    <w:tbl>
      <w:tblPr>
        <w:tblStyle w:val="21"/>
        <w:tblW w:w="0" w:type="auto"/>
        <w:tblInd w:w="15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05"/>
        <w:gridCol w:w="3477"/>
        <w:gridCol w:w="525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3" w:hRule="atLeast"/>
        </w:trPr>
        <w:tc>
          <w:tcPr>
            <w:tcW w:w="405" w:type="dxa"/>
            <w:tcBorders>
              <w:bottom w:val="single" w:color="000000" w:sz="2" w:space="0"/>
              <w:right w:val="single" w:color="000000" w:sz="2" w:space="0"/>
            </w:tcBorders>
          </w:tcPr>
          <w:p>
            <w:pPr>
              <w:pStyle w:val="28"/>
              <w:spacing w:before="7" w:line="312" w:lineRule="auto"/>
              <w:ind w:left="107" w:right="71"/>
              <w:rPr>
                <w:b/>
                <w:sz w:val="24"/>
                <w:szCs w:val="24"/>
              </w:rPr>
            </w:pPr>
            <w:r>
              <w:rPr>
                <w:rFonts w:hint="eastAsia"/>
                <w:b/>
                <w:sz w:val="24"/>
                <w:szCs w:val="24"/>
              </w:rPr>
              <w:t>序号</w:t>
            </w:r>
          </w:p>
        </w:tc>
        <w:tc>
          <w:tcPr>
            <w:tcW w:w="3477" w:type="dxa"/>
            <w:tcBorders>
              <w:left w:val="single" w:color="000000" w:sz="2" w:space="0"/>
              <w:bottom w:val="single" w:color="000000" w:sz="2" w:space="0"/>
              <w:right w:val="single" w:color="000000" w:sz="2" w:space="0"/>
            </w:tcBorders>
          </w:tcPr>
          <w:p>
            <w:pPr>
              <w:pStyle w:val="28"/>
              <w:spacing w:before="137" w:line="312" w:lineRule="auto"/>
              <w:ind w:left="1030"/>
              <w:rPr>
                <w:b/>
                <w:sz w:val="24"/>
                <w:szCs w:val="24"/>
              </w:rPr>
            </w:pPr>
            <w:r>
              <w:rPr>
                <w:rFonts w:hint="eastAsia"/>
                <w:b/>
                <w:sz w:val="24"/>
                <w:szCs w:val="24"/>
              </w:rPr>
              <w:t>资格条件要求</w:t>
            </w:r>
          </w:p>
        </w:tc>
        <w:tc>
          <w:tcPr>
            <w:tcW w:w="5256" w:type="dxa"/>
            <w:tcBorders>
              <w:left w:val="single" w:color="000000" w:sz="2" w:space="0"/>
              <w:bottom w:val="single" w:color="000000" w:sz="2" w:space="0"/>
            </w:tcBorders>
          </w:tcPr>
          <w:p>
            <w:pPr>
              <w:pStyle w:val="28"/>
              <w:spacing w:before="137" w:line="312" w:lineRule="auto"/>
              <w:ind w:left="1873"/>
              <w:rPr>
                <w:b/>
                <w:sz w:val="24"/>
                <w:szCs w:val="24"/>
              </w:rPr>
            </w:pPr>
            <w:r>
              <w:rPr>
                <w:rFonts w:hint="eastAsia"/>
                <w:b/>
                <w:sz w:val="24"/>
                <w:szCs w:val="24"/>
              </w:rPr>
              <w:t>要求提供的证明材料</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52" w:hRule="atLeast"/>
        </w:trPr>
        <w:tc>
          <w:tcPr>
            <w:tcW w:w="405" w:type="dxa"/>
            <w:tcBorders>
              <w:top w:val="single" w:color="000000" w:sz="2" w:space="0"/>
              <w:bottom w:val="single" w:color="000000" w:sz="2" w:space="0"/>
              <w:right w:val="single" w:color="000000" w:sz="2" w:space="0"/>
            </w:tcBorders>
            <w:vAlign w:val="center"/>
          </w:tcPr>
          <w:p>
            <w:pPr>
              <w:pStyle w:val="28"/>
              <w:spacing w:before="156" w:line="312" w:lineRule="auto"/>
              <w:jc w:val="center"/>
              <w:rPr>
                <w:sz w:val="24"/>
                <w:szCs w:val="24"/>
              </w:rPr>
            </w:pPr>
            <w:r>
              <w:rPr>
                <w:rFonts w:hint="eastAsia"/>
                <w:w w:val="99"/>
                <w:sz w:val="24"/>
                <w:szCs w:val="24"/>
              </w:rPr>
              <w:t>1</w:t>
            </w:r>
          </w:p>
        </w:tc>
        <w:tc>
          <w:tcPr>
            <w:tcW w:w="3477" w:type="dxa"/>
            <w:tcBorders>
              <w:top w:val="single" w:color="000000" w:sz="2" w:space="0"/>
              <w:left w:val="single" w:color="000000" w:sz="2" w:space="0"/>
              <w:bottom w:val="single" w:color="000000" w:sz="2" w:space="0"/>
              <w:right w:val="single" w:color="000000" w:sz="2" w:space="0"/>
            </w:tcBorders>
            <w:vAlign w:val="center"/>
          </w:tcPr>
          <w:p>
            <w:pPr>
              <w:pStyle w:val="28"/>
              <w:spacing w:before="156" w:line="312" w:lineRule="auto"/>
              <w:rPr>
                <w:bCs/>
                <w:sz w:val="24"/>
                <w:szCs w:val="24"/>
              </w:rPr>
            </w:pPr>
            <w:r>
              <w:rPr>
                <w:rFonts w:hint="eastAsia"/>
                <w:bCs/>
                <w:sz w:val="24"/>
                <w:szCs w:val="24"/>
              </w:rPr>
              <w:t>具有独立承担民事责任的能力</w:t>
            </w:r>
          </w:p>
        </w:tc>
        <w:tc>
          <w:tcPr>
            <w:tcW w:w="5256" w:type="dxa"/>
            <w:tcBorders>
              <w:top w:val="single" w:color="000000" w:sz="2" w:space="0"/>
              <w:left w:val="single" w:color="000000" w:sz="2" w:space="0"/>
              <w:bottom w:val="single" w:color="000000" w:sz="2" w:space="0"/>
            </w:tcBorders>
            <w:vAlign w:val="center"/>
          </w:tcPr>
          <w:p>
            <w:pPr>
              <w:pStyle w:val="28"/>
              <w:numPr>
                <w:ilvl w:val="255"/>
                <w:numId w:val="0"/>
              </w:numPr>
              <w:tabs>
                <w:tab w:val="left" w:pos="428"/>
              </w:tabs>
              <w:spacing w:line="312" w:lineRule="auto"/>
              <w:ind w:right="62"/>
              <w:jc w:val="both"/>
              <w:rPr>
                <w:bCs/>
                <w:sz w:val="24"/>
                <w:szCs w:val="24"/>
              </w:rPr>
            </w:pPr>
            <w:r>
              <w:rPr>
                <w:rFonts w:hint="eastAsia"/>
                <w:sz w:val="24"/>
                <w:szCs w:val="24"/>
              </w:rPr>
              <w:t>有效的供应商《企业法人营业执照》</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87" w:hRule="atLeast"/>
        </w:trPr>
        <w:tc>
          <w:tcPr>
            <w:tcW w:w="405" w:type="dxa"/>
            <w:tcBorders>
              <w:top w:val="single" w:color="000000" w:sz="2" w:space="0"/>
              <w:bottom w:val="single" w:color="000000" w:sz="2" w:space="0"/>
              <w:right w:val="single" w:color="000000" w:sz="2" w:space="0"/>
            </w:tcBorders>
            <w:vAlign w:val="center"/>
          </w:tcPr>
          <w:p>
            <w:pPr>
              <w:pStyle w:val="28"/>
              <w:spacing w:line="312" w:lineRule="auto"/>
              <w:jc w:val="center"/>
              <w:rPr>
                <w:sz w:val="24"/>
                <w:szCs w:val="24"/>
              </w:rPr>
            </w:pPr>
            <w:r>
              <w:rPr>
                <w:rFonts w:hint="eastAsia"/>
                <w:w w:val="99"/>
                <w:sz w:val="24"/>
                <w:szCs w:val="24"/>
              </w:rPr>
              <w:t>2</w:t>
            </w:r>
          </w:p>
        </w:tc>
        <w:tc>
          <w:tcPr>
            <w:tcW w:w="3477" w:type="dxa"/>
            <w:tcBorders>
              <w:top w:val="single" w:color="000000" w:sz="2" w:space="0"/>
              <w:left w:val="single" w:color="000000" w:sz="2" w:space="0"/>
              <w:bottom w:val="single" w:color="000000" w:sz="2" w:space="0"/>
              <w:right w:val="single" w:color="000000" w:sz="2" w:space="0"/>
            </w:tcBorders>
          </w:tcPr>
          <w:p>
            <w:pPr>
              <w:pStyle w:val="28"/>
              <w:spacing w:before="129" w:line="312" w:lineRule="auto"/>
              <w:ind w:right="85"/>
              <w:rPr>
                <w:bCs/>
                <w:sz w:val="24"/>
                <w:szCs w:val="24"/>
              </w:rPr>
            </w:pPr>
            <w:r>
              <w:rPr>
                <w:rFonts w:hint="eastAsia"/>
                <w:bCs/>
                <w:sz w:val="24"/>
                <w:szCs w:val="24"/>
              </w:rPr>
              <w:t>具有良好的商业信誉和健全的财务会计制度</w:t>
            </w:r>
          </w:p>
        </w:tc>
        <w:tc>
          <w:tcPr>
            <w:tcW w:w="5256" w:type="dxa"/>
            <w:tcBorders>
              <w:top w:val="single" w:color="000000" w:sz="2" w:space="0"/>
              <w:left w:val="single" w:color="000000" w:sz="2" w:space="0"/>
              <w:bottom w:val="single" w:color="000000" w:sz="2" w:space="0"/>
            </w:tcBorders>
            <w:vAlign w:val="center"/>
          </w:tcPr>
          <w:p>
            <w:pPr>
              <w:pStyle w:val="28"/>
              <w:numPr>
                <w:ilvl w:val="255"/>
                <w:numId w:val="0"/>
              </w:numPr>
              <w:tabs>
                <w:tab w:val="left" w:pos="428"/>
              </w:tabs>
              <w:spacing w:line="312" w:lineRule="auto"/>
              <w:ind w:right="50"/>
              <w:jc w:val="both"/>
              <w:rPr>
                <w:bCs/>
                <w:sz w:val="24"/>
                <w:szCs w:val="24"/>
              </w:rPr>
            </w:pPr>
            <w:r>
              <w:rPr>
                <w:rFonts w:hint="eastAsia"/>
                <w:color w:val="000000"/>
                <w:sz w:val="24"/>
                <w:szCs w:val="24"/>
              </w:rPr>
              <w:t>提供最新近一年的财务状况报告（新成立不足一年的公司须出具情况说明）</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22" w:hRule="atLeast"/>
        </w:trPr>
        <w:tc>
          <w:tcPr>
            <w:tcW w:w="405" w:type="dxa"/>
            <w:tcBorders>
              <w:top w:val="single" w:color="000000" w:sz="2" w:space="0"/>
              <w:bottom w:val="single" w:color="000000" w:sz="2" w:space="0"/>
              <w:right w:val="single" w:color="000000" w:sz="2" w:space="0"/>
            </w:tcBorders>
            <w:vAlign w:val="center"/>
          </w:tcPr>
          <w:p>
            <w:pPr>
              <w:pStyle w:val="28"/>
              <w:spacing w:before="116" w:line="312" w:lineRule="auto"/>
              <w:ind w:left="21"/>
              <w:jc w:val="center"/>
              <w:rPr>
                <w:sz w:val="24"/>
                <w:szCs w:val="24"/>
              </w:rPr>
            </w:pPr>
            <w:r>
              <w:rPr>
                <w:rFonts w:hint="eastAsia"/>
                <w:w w:val="99"/>
                <w:sz w:val="24"/>
                <w:szCs w:val="24"/>
              </w:rPr>
              <w:t>3</w:t>
            </w:r>
          </w:p>
        </w:tc>
        <w:tc>
          <w:tcPr>
            <w:tcW w:w="3477" w:type="dxa"/>
            <w:tcBorders>
              <w:top w:val="single" w:color="000000" w:sz="2" w:space="0"/>
              <w:left w:val="single" w:color="000000" w:sz="2" w:space="0"/>
              <w:bottom w:val="single" w:color="000000" w:sz="2" w:space="0"/>
              <w:right w:val="single" w:color="000000" w:sz="2" w:space="0"/>
            </w:tcBorders>
          </w:tcPr>
          <w:p>
            <w:pPr>
              <w:pStyle w:val="28"/>
              <w:spacing w:line="312" w:lineRule="auto"/>
              <w:rPr>
                <w:sz w:val="24"/>
                <w:szCs w:val="24"/>
              </w:rPr>
            </w:pPr>
            <w:r>
              <w:rPr>
                <w:rFonts w:hint="eastAsia"/>
                <w:sz w:val="24"/>
                <w:szCs w:val="24"/>
              </w:rPr>
              <w:t>具有履行合同所必需的设备和专业技术能力</w:t>
            </w:r>
          </w:p>
        </w:tc>
        <w:tc>
          <w:tcPr>
            <w:tcW w:w="5256" w:type="dxa"/>
            <w:tcBorders>
              <w:top w:val="single" w:color="000000" w:sz="2" w:space="0"/>
              <w:left w:val="single" w:color="000000" w:sz="2" w:space="0"/>
              <w:bottom w:val="single" w:color="000000" w:sz="2" w:space="0"/>
            </w:tcBorders>
            <w:vAlign w:val="center"/>
          </w:tcPr>
          <w:p>
            <w:pPr>
              <w:pStyle w:val="28"/>
              <w:spacing w:line="312" w:lineRule="auto"/>
              <w:jc w:val="both"/>
              <w:rPr>
                <w:sz w:val="24"/>
                <w:szCs w:val="24"/>
              </w:rPr>
            </w:pPr>
            <w:r>
              <w:rPr>
                <w:rFonts w:hint="eastAsia"/>
                <w:sz w:val="24"/>
                <w:szCs w:val="24"/>
              </w:rPr>
              <w:t>具有履行合同所必需的设备和专业技术能力的承诺函，详见表 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7" w:hRule="atLeast"/>
        </w:trPr>
        <w:tc>
          <w:tcPr>
            <w:tcW w:w="405" w:type="dxa"/>
            <w:tcBorders>
              <w:top w:val="single" w:color="000000" w:sz="2" w:space="0"/>
              <w:bottom w:val="single" w:color="000000" w:sz="2" w:space="0"/>
              <w:right w:val="single" w:color="000000" w:sz="2" w:space="0"/>
            </w:tcBorders>
            <w:vAlign w:val="center"/>
          </w:tcPr>
          <w:p>
            <w:pPr>
              <w:pStyle w:val="28"/>
              <w:spacing w:before="133" w:line="312" w:lineRule="auto"/>
              <w:ind w:left="21"/>
              <w:jc w:val="center"/>
              <w:rPr>
                <w:sz w:val="24"/>
                <w:szCs w:val="24"/>
              </w:rPr>
            </w:pPr>
            <w:r>
              <w:rPr>
                <w:rFonts w:hint="eastAsia"/>
                <w:w w:val="99"/>
                <w:sz w:val="24"/>
                <w:szCs w:val="24"/>
              </w:rPr>
              <w:t>4</w:t>
            </w:r>
          </w:p>
        </w:tc>
        <w:tc>
          <w:tcPr>
            <w:tcW w:w="3477" w:type="dxa"/>
            <w:tcBorders>
              <w:top w:val="single" w:color="000000" w:sz="2" w:space="0"/>
              <w:left w:val="single" w:color="000000" w:sz="2" w:space="0"/>
              <w:bottom w:val="single" w:color="000000" w:sz="2" w:space="0"/>
              <w:right w:val="single" w:color="000000" w:sz="2" w:space="0"/>
            </w:tcBorders>
          </w:tcPr>
          <w:p>
            <w:pPr>
              <w:pStyle w:val="28"/>
              <w:spacing w:line="312" w:lineRule="auto"/>
              <w:ind w:right="85"/>
              <w:rPr>
                <w:sz w:val="24"/>
                <w:szCs w:val="24"/>
              </w:rPr>
            </w:pPr>
            <w:r>
              <w:rPr>
                <w:rFonts w:hint="eastAsia"/>
                <w:sz w:val="24"/>
                <w:szCs w:val="24"/>
              </w:rPr>
              <w:t>有依法缴纳税收和社会保障资金的良好记录</w:t>
            </w:r>
          </w:p>
        </w:tc>
        <w:tc>
          <w:tcPr>
            <w:tcW w:w="5256" w:type="dxa"/>
            <w:tcBorders>
              <w:top w:val="single" w:color="000000" w:sz="2" w:space="0"/>
              <w:left w:val="single" w:color="000000" w:sz="2" w:space="0"/>
              <w:bottom w:val="single" w:color="000000" w:sz="2" w:space="0"/>
            </w:tcBorders>
            <w:vAlign w:val="center"/>
          </w:tcPr>
          <w:p>
            <w:pPr>
              <w:pStyle w:val="28"/>
              <w:spacing w:line="312" w:lineRule="auto"/>
              <w:ind w:right="24"/>
              <w:jc w:val="both"/>
              <w:rPr>
                <w:sz w:val="24"/>
                <w:szCs w:val="24"/>
              </w:rPr>
            </w:pPr>
            <w:r>
              <w:rPr>
                <w:rFonts w:hint="eastAsia"/>
                <w:color w:val="000000"/>
                <w:sz w:val="24"/>
                <w:szCs w:val="24"/>
              </w:rPr>
              <w:t>提供近三个月的依法缴纳税收和社会保障资金的相关材料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43" w:hRule="atLeast"/>
        </w:trPr>
        <w:tc>
          <w:tcPr>
            <w:tcW w:w="405" w:type="dxa"/>
            <w:tcBorders>
              <w:top w:val="single" w:color="000000" w:sz="2" w:space="0"/>
              <w:bottom w:val="single" w:color="000000" w:sz="2" w:space="0"/>
              <w:right w:val="single" w:color="000000" w:sz="2" w:space="0"/>
            </w:tcBorders>
            <w:vAlign w:val="center"/>
          </w:tcPr>
          <w:p>
            <w:pPr>
              <w:pStyle w:val="28"/>
              <w:spacing w:line="312" w:lineRule="auto"/>
              <w:ind w:left="21"/>
              <w:jc w:val="center"/>
              <w:rPr>
                <w:sz w:val="24"/>
                <w:szCs w:val="24"/>
              </w:rPr>
            </w:pPr>
            <w:r>
              <w:rPr>
                <w:rFonts w:hint="eastAsia"/>
                <w:w w:val="99"/>
                <w:sz w:val="24"/>
                <w:szCs w:val="24"/>
              </w:rPr>
              <w:t>5</w:t>
            </w:r>
          </w:p>
        </w:tc>
        <w:tc>
          <w:tcPr>
            <w:tcW w:w="3477" w:type="dxa"/>
            <w:tcBorders>
              <w:top w:val="single" w:color="000000" w:sz="2" w:space="0"/>
              <w:left w:val="single" w:color="000000" w:sz="2" w:space="0"/>
              <w:bottom w:val="single" w:color="000000" w:sz="2" w:space="0"/>
              <w:right w:val="single" w:color="000000" w:sz="2" w:space="0"/>
            </w:tcBorders>
          </w:tcPr>
          <w:p>
            <w:pPr>
              <w:pStyle w:val="28"/>
              <w:spacing w:before="3" w:line="312" w:lineRule="auto"/>
              <w:ind w:right="85"/>
              <w:jc w:val="both"/>
              <w:rPr>
                <w:sz w:val="24"/>
                <w:szCs w:val="24"/>
              </w:rPr>
            </w:pPr>
            <w:r>
              <w:rPr>
                <w:rFonts w:hint="eastAsia"/>
                <w:sz w:val="24"/>
                <w:szCs w:val="24"/>
              </w:rPr>
              <w:t>参加政府采购活动前三年内（新成立不满三年的公司自成立之日起算）在经营活动中没有重大违法记录</w:t>
            </w:r>
          </w:p>
        </w:tc>
        <w:tc>
          <w:tcPr>
            <w:tcW w:w="5256" w:type="dxa"/>
            <w:tcBorders>
              <w:top w:val="single" w:color="000000" w:sz="2" w:space="0"/>
              <w:left w:val="single" w:color="000000" w:sz="2" w:space="0"/>
              <w:bottom w:val="single" w:color="000000" w:sz="2" w:space="0"/>
            </w:tcBorders>
            <w:vAlign w:val="center"/>
          </w:tcPr>
          <w:p>
            <w:pPr>
              <w:pStyle w:val="28"/>
              <w:spacing w:line="312" w:lineRule="auto"/>
              <w:jc w:val="both"/>
              <w:rPr>
                <w:sz w:val="24"/>
                <w:szCs w:val="24"/>
              </w:rPr>
            </w:pPr>
            <w:r>
              <w:rPr>
                <w:rFonts w:hint="eastAsia"/>
                <w:sz w:val="24"/>
                <w:szCs w:val="24"/>
              </w:rPr>
              <w:t>没有重大违法记录承诺函，详见表 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12" w:hRule="atLeast"/>
        </w:trPr>
        <w:tc>
          <w:tcPr>
            <w:tcW w:w="405" w:type="dxa"/>
            <w:tcBorders>
              <w:top w:val="single" w:color="000000" w:sz="2" w:space="0"/>
              <w:bottom w:val="single" w:color="000000" w:sz="2" w:space="0"/>
              <w:right w:val="single" w:color="000000" w:sz="2" w:space="0"/>
            </w:tcBorders>
            <w:vAlign w:val="center"/>
          </w:tcPr>
          <w:p>
            <w:pPr>
              <w:pStyle w:val="28"/>
              <w:spacing w:before="146" w:line="312" w:lineRule="auto"/>
              <w:ind w:left="21"/>
              <w:jc w:val="center"/>
              <w:rPr>
                <w:sz w:val="24"/>
                <w:szCs w:val="24"/>
              </w:rPr>
            </w:pPr>
            <w:r>
              <w:rPr>
                <w:rFonts w:hint="eastAsia"/>
                <w:w w:val="99"/>
                <w:sz w:val="24"/>
                <w:szCs w:val="24"/>
              </w:rPr>
              <w:t>6</w:t>
            </w:r>
          </w:p>
        </w:tc>
        <w:tc>
          <w:tcPr>
            <w:tcW w:w="3477" w:type="dxa"/>
            <w:tcBorders>
              <w:top w:val="single" w:color="000000" w:sz="2" w:space="0"/>
              <w:left w:val="single" w:color="000000" w:sz="2" w:space="0"/>
              <w:bottom w:val="single" w:color="000000" w:sz="2" w:space="0"/>
              <w:right w:val="single" w:color="000000" w:sz="2" w:space="0"/>
            </w:tcBorders>
          </w:tcPr>
          <w:p>
            <w:pPr>
              <w:pStyle w:val="28"/>
              <w:spacing w:before="10" w:line="312" w:lineRule="auto"/>
              <w:ind w:right="-29"/>
              <w:rPr>
                <w:sz w:val="24"/>
                <w:szCs w:val="24"/>
              </w:rPr>
            </w:pPr>
            <w:r>
              <w:rPr>
                <w:rFonts w:hint="eastAsia"/>
                <w:sz w:val="24"/>
                <w:szCs w:val="24"/>
              </w:rPr>
              <w:t>投标截止前未被“信用中国”网站(www.creditchina.gov.cn)列入失信被执行人、重大税收违法案件当</w:t>
            </w:r>
            <w:r>
              <w:rPr>
                <w:rFonts w:hint="eastAsia"/>
                <w:spacing w:val="-10"/>
                <w:sz w:val="24"/>
                <w:szCs w:val="24"/>
              </w:rPr>
              <w:t>事人名单；未被“中国政府采购网” (www.ccgp.gov.cn</w:t>
            </w:r>
            <w:r>
              <w:rPr>
                <w:rFonts w:hint="eastAsia"/>
                <w:spacing w:val="-1"/>
                <w:sz w:val="24"/>
                <w:szCs w:val="24"/>
              </w:rPr>
              <w:t>) 列入政府采购严重违法失信行为记录名单。</w:t>
            </w:r>
          </w:p>
        </w:tc>
        <w:tc>
          <w:tcPr>
            <w:tcW w:w="5256" w:type="dxa"/>
            <w:tcBorders>
              <w:top w:val="single" w:color="000000" w:sz="2" w:space="0"/>
              <w:left w:val="single" w:color="000000" w:sz="2" w:space="0"/>
              <w:bottom w:val="single" w:color="000000" w:sz="2" w:space="0"/>
            </w:tcBorders>
            <w:vAlign w:val="center"/>
          </w:tcPr>
          <w:p>
            <w:pPr>
              <w:pStyle w:val="28"/>
              <w:spacing w:before="146" w:line="312" w:lineRule="auto"/>
              <w:jc w:val="both"/>
              <w:rPr>
                <w:sz w:val="24"/>
                <w:szCs w:val="24"/>
              </w:rPr>
            </w:pPr>
            <w:r>
              <w:rPr>
                <w:rFonts w:hint="eastAsia"/>
                <w:sz w:val="24"/>
                <w:szCs w:val="24"/>
              </w:rPr>
              <w:t>提供网页截图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67" w:hRule="atLeast"/>
        </w:trPr>
        <w:tc>
          <w:tcPr>
            <w:tcW w:w="405" w:type="dxa"/>
            <w:tcBorders>
              <w:top w:val="single" w:color="000000" w:sz="2" w:space="0"/>
              <w:right w:val="single" w:color="000000" w:sz="2" w:space="0"/>
            </w:tcBorders>
            <w:vAlign w:val="center"/>
          </w:tcPr>
          <w:p>
            <w:pPr>
              <w:pStyle w:val="28"/>
              <w:spacing w:before="146" w:line="312" w:lineRule="auto"/>
              <w:ind w:left="21"/>
              <w:jc w:val="center"/>
              <w:rPr>
                <w:w w:val="99"/>
                <w:sz w:val="24"/>
                <w:szCs w:val="24"/>
                <w:lang w:val="en-US"/>
              </w:rPr>
            </w:pPr>
            <w:r>
              <w:rPr>
                <w:rFonts w:hint="eastAsia"/>
                <w:w w:val="99"/>
                <w:sz w:val="24"/>
                <w:szCs w:val="24"/>
                <w:lang w:val="en-US"/>
              </w:rPr>
              <w:t>7</w:t>
            </w:r>
          </w:p>
        </w:tc>
        <w:tc>
          <w:tcPr>
            <w:tcW w:w="3477" w:type="dxa"/>
            <w:tcBorders>
              <w:top w:val="single" w:color="000000" w:sz="2" w:space="0"/>
              <w:left w:val="single" w:color="000000" w:sz="2" w:space="0"/>
              <w:right w:val="single" w:color="000000" w:sz="2" w:space="0"/>
            </w:tcBorders>
            <w:vAlign w:val="center"/>
          </w:tcPr>
          <w:p>
            <w:pPr>
              <w:pStyle w:val="28"/>
              <w:spacing w:before="10" w:line="312" w:lineRule="auto"/>
              <w:ind w:right="-29"/>
              <w:jc w:val="both"/>
              <w:rPr>
                <w:sz w:val="24"/>
                <w:szCs w:val="24"/>
              </w:rPr>
            </w:pPr>
            <w:r>
              <w:rPr>
                <w:rFonts w:hint="eastAsia"/>
                <w:sz w:val="24"/>
                <w:szCs w:val="24"/>
              </w:rPr>
              <w:t>法定代表人授权委托书</w:t>
            </w:r>
          </w:p>
        </w:tc>
        <w:tc>
          <w:tcPr>
            <w:tcW w:w="5256" w:type="dxa"/>
            <w:tcBorders>
              <w:top w:val="single" w:color="000000" w:sz="2" w:space="0"/>
              <w:left w:val="single" w:color="000000" w:sz="2" w:space="0"/>
            </w:tcBorders>
            <w:vAlign w:val="center"/>
          </w:tcPr>
          <w:p>
            <w:pPr>
              <w:pStyle w:val="28"/>
              <w:spacing w:before="146" w:line="312" w:lineRule="auto"/>
              <w:jc w:val="both"/>
              <w:rPr>
                <w:sz w:val="24"/>
                <w:szCs w:val="24"/>
              </w:rPr>
            </w:pPr>
            <w:r>
              <w:rPr>
                <w:rFonts w:hint="eastAsia"/>
                <w:sz w:val="24"/>
                <w:szCs w:val="24"/>
              </w:rPr>
              <w:t xml:space="preserve">法定代表人授权委托书详见表 </w:t>
            </w:r>
            <w:r>
              <w:rPr>
                <w:rFonts w:hint="eastAsia"/>
                <w:sz w:val="24"/>
                <w:szCs w:val="24"/>
                <w:lang w:val="en-US"/>
              </w:rPr>
              <w:t>4</w:t>
            </w:r>
          </w:p>
        </w:tc>
      </w:tr>
    </w:tbl>
    <w:p>
      <w:pPr>
        <w:spacing w:line="312" w:lineRule="auto"/>
        <w:rPr>
          <w:rFonts w:asciiTheme="minorEastAsia" w:hAnsiTheme="minorEastAsia" w:eastAsiaTheme="minorEastAsia" w:cstheme="minorEastAsia"/>
          <w:sz w:val="21"/>
          <w:szCs w:val="21"/>
        </w:rPr>
        <w:sectPr>
          <w:footerReference r:id="rId5" w:type="default"/>
          <w:pgSz w:w="11910" w:h="16840"/>
          <w:pgMar w:top="1417" w:right="1247" w:bottom="1417" w:left="1247" w:header="0" w:footer="1226" w:gutter="0"/>
          <w:pgNumType w:start="20"/>
          <w:cols w:space="720" w:num="1"/>
        </w:sectPr>
      </w:pPr>
    </w:p>
    <w:p>
      <w:pPr>
        <w:pStyle w:val="2"/>
        <w:spacing w:before="43" w:line="312"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rPr>
        <w:t>表 2：具有履行合同所必需的专业服务（技术）能力的承诺函</w:t>
      </w:r>
    </w:p>
    <w:p>
      <w:pPr>
        <w:pStyle w:val="4"/>
        <w:spacing w:before="6" w:line="312" w:lineRule="auto"/>
        <w:ind w:right="539"/>
        <w:rPr>
          <w:rFonts w:asciiTheme="minorEastAsia" w:hAnsiTheme="minorEastAsia" w:eastAsiaTheme="minorEastAsia" w:cstheme="minorEastAsia"/>
          <w:sz w:val="24"/>
          <w:szCs w:val="24"/>
        </w:rPr>
      </w:pPr>
      <w:bookmarkStart w:id="87" w:name="_Toc26732"/>
      <w:bookmarkStart w:id="88" w:name="_Toc8221"/>
    </w:p>
    <w:p>
      <w:pPr>
        <w:pStyle w:val="4"/>
        <w:spacing w:before="6" w:line="312" w:lineRule="auto"/>
        <w:ind w:right="539"/>
        <w:rPr>
          <w:rFonts w:asciiTheme="minorEastAsia" w:hAnsiTheme="minorEastAsia" w:eastAsiaTheme="minorEastAsia" w:cstheme="minorEastAsia"/>
          <w:sz w:val="24"/>
          <w:szCs w:val="24"/>
        </w:rPr>
      </w:pPr>
    </w:p>
    <w:p>
      <w:pPr>
        <w:pStyle w:val="4"/>
        <w:spacing w:before="6" w:line="312" w:lineRule="auto"/>
        <w:ind w:right="53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具有履行合同所必需的专业服务（技术）能力的承诺函</w:t>
      </w:r>
      <w:bookmarkEnd w:id="87"/>
      <w:bookmarkEnd w:id="88"/>
    </w:p>
    <w:p>
      <w:pPr>
        <w:pStyle w:val="2"/>
        <w:spacing w:before="1" w:line="312" w:lineRule="auto"/>
        <w:ind w:left="0"/>
        <w:rPr>
          <w:rFonts w:asciiTheme="minorEastAsia" w:hAnsiTheme="minorEastAsia" w:eastAsiaTheme="minorEastAsia" w:cstheme="minorEastAsia"/>
          <w:b/>
        </w:rPr>
      </w:pPr>
    </w:p>
    <w:p>
      <w:pPr>
        <w:pStyle w:val="2"/>
        <w:tabs>
          <w:tab w:val="left" w:pos="3716"/>
        </w:tabs>
        <w:spacing w:line="360"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u w:val="single"/>
        </w:rPr>
        <w:t>（采购人）</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p>
    <w:p>
      <w:pPr>
        <w:pStyle w:val="2"/>
        <w:spacing w:before="159" w:line="360" w:lineRule="auto"/>
        <w:ind w:right="779"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rPr>
        <w:t>我方</w:t>
      </w:r>
      <w:r>
        <w:rPr>
          <w:rFonts w:hint="eastAsia" w:asciiTheme="minorEastAsia" w:hAnsiTheme="minorEastAsia" w:eastAsiaTheme="minorEastAsia" w:cstheme="minorEastAsia"/>
          <w:u w:val="single"/>
        </w:rPr>
        <w:t xml:space="preserve"> （供应商）        </w:t>
      </w:r>
      <w:r>
        <w:rPr>
          <w:rFonts w:hint="eastAsia" w:asciiTheme="minorEastAsia" w:hAnsiTheme="minorEastAsia" w:eastAsiaTheme="minorEastAsia" w:cstheme="minorEastAsia"/>
        </w:rPr>
        <w:t>承诺具有履行合同所必需的专业服务（技术）能力。如有虚假，采购人可取消我方任何资格（投标/中标/签订合同），我方对此无任何异议。</w:t>
      </w:r>
    </w:p>
    <w:p>
      <w:pPr>
        <w:pStyle w:val="2"/>
        <w:spacing w:line="360" w:lineRule="auto"/>
        <w:ind w:left="717"/>
        <w:rPr>
          <w:rFonts w:asciiTheme="minorEastAsia" w:hAnsiTheme="minorEastAsia" w:eastAsiaTheme="minorEastAsia" w:cstheme="minorEastAsia"/>
        </w:rPr>
      </w:pPr>
      <w:r>
        <w:rPr>
          <w:rFonts w:hint="eastAsia" w:asciiTheme="minorEastAsia" w:hAnsiTheme="minorEastAsia" w:eastAsiaTheme="minorEastAsia" w:cstheme="minorEastAsia"/>
        </w:rPr>
        <w:t>特此承诺！</w:t>
      </w:r>
    </w:p>
    <w:p>
      <w:pPr>
        <w:pStyle w:val="2"/>
        <w:spacing w:line="360" w:lineRule="auto"/>
        <w:ind w:left="0"/>
        <w:rPr>
          <w:rFonts w:asciiTheme="minorEastAsia" w:hAnsiTheme="minorEastAsia" w:eastAsiaTheme="minorEastAsia" w:cstheme="minorEastAsia"/>
        </w:rPr>
      </w:pPr>
    </w:p>
    <w:p>
      <w:pPr>
        <w:spacing w:line="360" w:lineRule="auto"/>
        <w:rPr>
          <w:sz w:val="24"/>
          <w:szCs w:val="24"/>
        </w:rPr>
      </w:pPr>
    </w:p>
    <w:p>
      <w:pPr>
        <w:pStyle w:val="13"/>
        <w:spacing w:line="500" w:lineRule="exact"/>
        <w:ind w:left="3710" w:leftChars="268" w:hanging="3120" w:hangingChars="1300"/>
        <w:rPr>
          <w:rFonts w:hAnsi="宋体"/>
          <w:sz w:val="24"/>
          <w:szCs w:val="24"/>
        </w:rPr>
      </w:pPr>
      <w:r>
        <w:rPr>
          <w:rFonts w:hint="eastAsia" w:hAnsi="宋体"/>
          <w:sz w:val="24"/>
          <w:szCs w:val="24"/>
        </w:rPr>
        <w:t>供应商（公章）：</w:t>
      </w:r>
    </w:p>
    <w:p>
      <w:pPr>
        <w:pStyle w:val="13"/>
        <w:spacing w:line="500" w:lineRule="exact"/>
        <w:ind w:left="3710" w:leftChars="268" w:hanging="3120" w:hangingChars="1300"/>
        <w:rPr>
          <w:rFonts w:hAnsi="宋体"/>
          <w:sz w:val="24"/>
          <w:szCs w:val="24"/>
        </w:rPr>
      </w:pPr>
    </w:p>
    <w:p>
      <w:pPr>
        <w:pStyle w:val="13"/>
        <w:spacing w:line="500" w:lineRule="exact"/>
        <w:ind w:left="3710" w:leftChars="268" w:hanging="3120" w:hangingChars="1300"/>
        <w:rPr>
          <w:rFonts w:hAnsi="宋体"/>
          <w:sz w:val="24"/>
          <w:szCs w:val="24"/>
        </w:rPr>
      </w:pPr>
      <w:r>
        <w:rPr>
          <w:rFonts w:hint="eastAsia" w:hAnsi="宋体"/>
          <w:sz w:val="24"/>
          <w:szCs w:val="24"/>
        </w:rPr>
        <w:t xml:space="preserve">法定代表人或其授权代表人：（签字或盖章）     </w:t>
      </w:r>
    </w:p>
    <w:p>
      <w:pPr>
        <w:pStyle w:val="13"/>
        <w:spacing w:line="500" w:lineRule="exact"/>
        <w:ind w:left="3710" w:leftChars="268" w:hanging="3120" w:hangingChars="1300"/>
        <w:rPr>
          <w:rFonts w:hAnsi="宋体"/>
          <w:sz w:val="24"/>
          <w:szCs w:val="24"/>
        </w:rPr>
      </w:pPr>
    </w:p>
    <w:p>
      <w:pPr>
        <w:snapToGrid w:val="0"/>
        <w:spacing w:line="540" w:lineRule="exact"/>
        <w:ind w:firstLine="1920" w:firstLineChars="800"/>
        <w:rPr>
          <w:sz w:val="24"/>
          <w:szCs w:val="24"/>
        </w:rPr>
      </w:pPr>
      <w:r>
        <w:rPr>
          <w:rFonts w:hint="eastAsia"/>
          <w:sz w:val="24"/>
          <w:szCs w:val="24"/>
        </w:rPr>
        <w:t xml:space="preserve">  年   月   日</w:t>
      </w: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pStyle w:val="2"/>
        <w:spacing w:before="1" w:line="312"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rPr>
        <w:t>表 3：没有重大违法记录承诺函</w:t>
      </w:r>
    </w:p>
    <w:p>
      <w:pPr>
        <w:pStyle w:val="2"/>
        <w:spacing w:before="11" w:line="312" w:lineRule="auto"/>
        <w:ind w:left="0"/>
        <w:rPr>
          <w:rFonts w:asciiTheme="minorEastAsia" w:hAnsiTheme="minorEastAsia" w:eastAsiaTheme="minorEastAsia" w:cstheme="minorEastAsia"/>
        </w:rPr>
      </w:pPr>
    </w:p>
    <w:p>
      <w:pPr>
        <w:pStyle w:val="2"/>
        <w:spacing w:before="11" w:line="312" w:lineRule="auto"/>
        <w:ind w:left="0"/>
        <w:rPr>
          <w:rFonts w:asciiTheme="minorEastAsia" w:hAnsiTheme="minorEastAsia" w:eastAsiaTheme="minorEastAsia" w:cstheme="minorEastAsia"/>
        </w:rPr>
      </w:pPr>
    </w:p>
    <w:p>
      <w:pPr>
        <w:pStyle w:val="4"/>
        <w:spacing w:line="312" w:lineRule="auto"/>
        <w:ind w:right="539"/>
        <w:rPr>
          <w:rFonts w:asciiTheme="minorEastAsia" w:hAnsiTheme="minorEastAsia" w:eastAsiaTheme="minorEastAsia" w:cstheme="minorEastAsia"/>
          <w:sz w:val="24"/>
          <w:szCs w:val="24"/>
        </w:rPr>
      </w:pPr>
      <w:bookmarkStart w:id="89" w:name="_Toc10944"/>
      <w:bookmarkStart w:id="90" w:name="_Toc2909"/>
      <w:r>
        <w:rPr>
          <w:rFonts w:hint="eastAsia" w:asciiTheme="minorEastAsia" w:hAnsiTheme="minorEastAsia" w:eastAsiaTheme="minorEastAsia" w:cstheme="minorEastAsia"/>
          <w:sz w:val="24"/>
          <w:szCs w:val="24"/>
        </w:rPr>
        <w:t>没有重大违法记录承诺函</w:t>
      </w:r>
      <w:bookmarkEnd w:id="89"/>
      <w:bookmarkEnd w:id="90"/>
    </w:p>
    <w:p>
      <w:pPr>
        <w:pStyle w:val="2"/>
        <w:spacing w:before="8" w:line="312" w:lineRule="auto"/>
        <w:ind w:left="0"/>
        <w:rPr>
          <w:rFonts w:asciiTheme="minorEastAsia" w:hAnsiTheme="minorEastAsia" w:eastAsiaTheme="minorEastAsia" w:cstheme="minorEastAsia"/>
          <w:b/>
        </w:rPr>
      </w:pPr>
    </w:p>
    <w:p>
      <w:pPr>
        <w:pStyle w:val="2"/>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u w:val="single"/>
        </w:rPr>
        <w:t>（采购人）</w:t>
      </w:r>
      <w:r>
        <w:rPr>
          <w:rFonts w:hint="eastAsia" w:asciiTheme="minorEastAsia" w:hAnsiTheme="minorEastAsia" w:eastAsiaTheme="minorEastAsia" w:cstheme="minorEastAsia"/>
        </w:rPr>
        <w:t>：</w:t>
      </w:r>
    </w:p>
    <w:p>
      <w:pPr>
        <w:pStyle w:val="2"/>
        <w:tabs>
          <w:tab w:val="left" w:pos="3839"/>
        </w:tabs>
        <w:spacing w:before="160" w:line="360" w:lineRule="auto"/>
        <w:ind w:right="776"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rPr>
        <w:t>我方</w:t>
      </w:r>
      <w:r>
        <w:rPr>
          <w:rFonts w:hint="eastAsia" w:asciiTheme="minorEastAsia" w:hAnsiTheme="minorEastAsia" w:eastAsiaTheme="minorEastAsia" w:cstheme="minorEastAsia"/>
          <w:u w:val="single"/>
        </w:rPr>
        <w:t>（供应商）</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具有良好的商业信誉，在参加政府采购活动</w:t>
      </w:r>
      <w:r>
        <w:rPr>
          <w:rFonts w:hint="eastAsia" w:asciiTheme="minorEastAsia" w:hAnsiTheme="minorEastAsia" w:eastAsiaTheme="minorEastAsia" w:cstheme="minorEastAsia"/>
          <w:spacing w:val="-13"/>
        </w:rPr>
        <w:t>前</w:t>
      </w:r>
      <w:r>
        <w:rPr>
          <w:rFonts w:hint="eastAsia" w:asciiTheme="minorEastAsia" w:hAnsiTheme="minorEastAsia" w:eastAsiaTheme="minorEastAsia" w:cstheme="minorEastAsia"/>
        </w:rPr>
        <w:t>三年内，在经营活动中没有重大违法记录（没有因违法经营受到刑事处罚，没</w:t>
      </w:r>
      <w:r>
        <w:rPr>
          <w:rFonts w:hint="eastAsia" w:asciiTheme="minorEastAsia" w:hAnsiTheme="minorEastAsia" w:eastAsiaTheme="minorEastAsia" w:cstheme="minorEastAsia"/>
          <w:spacing w:val="-15"/>
        </w:rPr>
        <w:t>有</w:t>
      </w:r>
      <w:r>
        <w:rPr>
          <w:rFonts w:hint="eastAsia" w:asciiTheme="minorEastAsia" w:hAnsiTheme="minorEastAsia" w:eastAsiaTheme="minorEastAsia" w:cstheme="minorEastAsia"/>
        </w:rPr>
        <w:t>被责令停产停业、被吊销许可证或者执照、被处以较大数额罚款等行政处罚，</w:t>
      </w:r>
      <w:r>
        <w:rPr>
          <w:rFonts w:hint="eastAsia" w:asciiTheme="minorEastAsia" w:hAnsiTheme="minorEastAsia" w:eastAsiaTheme="minorEastAsia" w:cstheme="minorEastAsia"/>
          <w:spacing w:val="-15"/>
        </w:rPr>
        <w:t>没</w:t>
      </w:r>
      <w:r>
        <w:rPr>
          <w:rFonts w:hint="eastAsia" w:asciiTheme="minorEastAsia" w:hAnsiTheme="minorEastAsia" w:eastAsiaTheme="minorEastAsia" w:cstheme="minorEastAsia"/>
        </w:rPr>
        <w:t>有因违法经营被禁止参加政府采购活动的期限未满情形</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。如有虚假，采购人</w:t>
      </w:r>
      <w:r>
        <w:rPr>
          <w:rFonts w:hint="eastAsia" w:asciiTheme="minorEastAsia" w:hAnsiTheme="minorEastAsia" w:eastAsiaTheme="minorEastAsia" w:cstheme="minorEastAsia"/>
          <w:spacing w:val="-12"/>
        </w:rPr>
        <w:t>可</w:t>
      </w:r>
      <w:r>
        <w:rPr>
          <w:rFonts w:hint="eastAsia" w:asciiTheme="minorEastAsia" w:hAnsiTheme="minorEastAsia" w:eastAsiaTheme="minorEastAsia" w:cstheme="minorEastAsia"/>
        </w:rPr>
        <w:t>取消我方任何资格（投标/中标/签订合同），我方对此无任何异议。</w:t>
      </w:r>
    </w:p>
    <w:p>
      <w:pPr>
        <w:pStyle w:val="2"/>
        <w:spacing w:line="360" w:lineRule="auto"/>
        <w:ind w:left="717"/>
        <w:rPr>
          <w:rFonts w:asciiTheme="minorEastAsia" w:hAnsiTheme="minorEastAsia" w:eastAsiaTheme="minorEastAsia" w:cstheme="minorEastAsia"/>
        </w:rPr>
      </w:pPr>
      <w:r>
        <w:rPr>
          <w:rFonts w:hint="eastAsia" w:asciiTheme="minorEastAsia" w:hAnsiTheme="minorEastAsia" w:eastAsiaTheme="minorEastAsia" w:cstheme="minorEastAsia"/>
        </w:rPr>
        <w:t>特此承诺！</w:t>
      </w:r>
    </w:p>
    <w:p>
      <w:pPr>
        <w:pStyle w:val="2"/>
        <w:spacing w:line="360" w:lineRule="auto"/>
        <w:ind w:left="0"/>
        <w:rPr>
          <w:rFonts w:asciiTheme="minorEastAsia" w:hAnsiTheme="minorEastAsia" w:eastAsiaTheme="minorEastAsia" w:cstheme="minorEastAsia"/>
        </w:rPr>
      </w:pPr>
    </w:p>
    <w:p>
      <w:pPr>
        <w:pStyle w:val="2"/>
        <w:spacing w:before="11" w:line="360" w:lineRule="auto"/>
        <w:ind w:left="0"/>
        <w:rPr>
          <w:rFonts w:asciiTheme="minorEastAsia" w:hAnsiTheme="minorEastAsia" w:eastAsiaTheme="minorEastAsia" w:cstheme="minorEastAsia"/>
        </w:rPr>
      </w:pPr>
    </w:p>
    <w:p>
      <w:pPr>
        <w:pStyle w:val="13"/>
        <w:spacing w:line="500" w:lineRule="exact"/>
        <w:ind w:left="3710" w:leftChars="268" w:hanging="3120" w:hangingChars="1300"/>
        <w:rPr>
          <w:rFonts w:hAnsi="宋体"/>
          <w:sz w:val="24"/>
          <w:szCs w:val="24"/>
        </w:rPr>
      </w:pPr>
      <w:r>
        <w:rPr>
          <w:rFonts w:hint="eastAsia" w:hAnsi="宋体"/>
          <w:sz w:val="24"/>
          <w:szCs w:val="24"/>
        </w:rPr>
        <w:t>供应商（公章）：</w:t>
      </w:r>
    </w:p>
    <w:p>
      <w:pPr>
        <w:pStyle w:val="13"/>
        <w:spacing w:line="500" w:lineRule="exact"/>
        <w:ind w:left="3710" w:leftChars="268" w:hanging="3120" w:hangingChars="1300"/>
        <w:rPr>
          <w:rFonts w:hAnsi="宋体"/>
          <w:sz w:val="24"/>
          <w:szCs w:val="24"/>
        </w:rPr>
      </w:pPr>
    </w:p>
    <w:p>
      <w:pPr>
        <w:pStyle w:val="13"/>
        <w:spacing w:line="500" w:lineRule="exact"/>
        <w:ind w:left="3710" w:leftChars="268" w:hanging="3120" w:hangingChars="1300"/>
        <w:rPr>
          <w:rFonts w:hAnsi="宋体"/>
          <w:sz w:val="24"/>
          <w:szCs w:val="24"/>
        </w:rPr>
      </w:pPr>
      <w:r>
        <w:rPr>
          <w:rFonts w:hint="eastAsia" w:hAnsi="宋体"/>
          <w:sz w:val="24"/>
          <w:szCs w:val="24"/>
        </w:rPr>
        <w:t xml:space="preserve">法定代表人或其授权代表人：（签字或盖章）     </w:t>
      </w:r>
    </w:p>
    <w:p>
      <w:pPr>
        <w:pStyle w:val="13"/>
        <w:spacing w:line="500" w:lineRule="exact"/>
        <w:ind w:left="3710" w:leftChars="268" w:hanging="3120" w:hangingChars="1300"/>
        <w:rPr>
          <w:rFonts w:hAnsi="宋体"/>
          <w:sz w:val="24"/>
          <w:szCs w:val="24"/>
        </w:rPr>
      </w:pPr>
    </w:p>
    <w:p>
      <w:pPr>
        <w:snapToGrid w:val="0"/>
        <w:spacing w:line="540" w:lineRule="exact"/>
        <w:ind w:firstLine="1920" w:firstLineChars="800"/>
        <w:rPr>
          <w:sz w:val="24"/>
          <w:szCs w:val="24"/>
        </w:rPr>
      </w:pPr>
      <w:r>
        <w:rPr>
          <w:rFonts w:hint="eastAsia"/>
          <w:sz w:val="24"/>
          <w:szCs w:val="24"/>
        </w:rPr>
        <w:t xml:space="preserve">  年   月   日</w:t>
      </w:r>
    </w:p>
    <w:p>
      <w:pPr>
        <w:sectPr>
          <w:pgSz w:w="11910" w:h="16840"/>
          <w:pgMar w:top="1417" w:right="1247" w:bottom="1417" w:left="1247" w:header="0" w:footer="1226" w:gutter="0"/>
          <w:cols w:space="720" w:num="1"/>
        </w:sectPr>
      </w:pPr>
    </w:p>
    <w:p>
      <w:pPr>
        <w:pStyle w:val="2"/>
        <w:spacing w:before="1" w:line="312" w:lineRule="auto"/>
        <w:jc w:val="both"/>
        <w:rPr>
          <w:rFonts w:asciiTheme="minorEastAsia" w:hAnsiTheme="minorEastAsia" w:eastAsiaTheme="minorEastAsia" w:cstheme="minorEastAsia"/>
        </w:rPr>
      </w:pPr>
      <w:bookmarkStart w:id="91" w:name="格式二__商务技术文件格式"/>
      <w:bookmarkEnd w:id="91"/>
      <w:bookmarkStart w:id="92" w:name="_Toc11793"/>
      <w:bookmarkStart w:id="93" w:name="_Toc13965"/>
      <w:r>
        <w:rPr>
          <w:rFonts w:hint="eastAsia" w:asciiTheme="minorEastAsia" w:hAnsiTheme="minorEastAsia" w:eastAsiaTheme="minorEastAsia" w:cstheme="minorEastAsia"/>
        </w:rPr>
        <w:t xml:space="preserve">表 </w:t>
      </w:r>
      <w:r>
        <w:rPr>
          <w:rFonts w:hint="eastAsia" w:asciiTheme="minorEastAsia" w:hAnsiTheme="minorEastAsia" w:eastAsiaTheme="minorEastAsia" w:cstheme="minorEastAsia"/>
          <w:lang w:val="en-US"/>
        </w:rPr>
        <w:t>4</w:t>
      </w:r>
      <w:r>
        <w:rPr>
          <w:rFonts w:hint="eastAsia" w:asciiTheme="minorEastAsia" w:hAnsiTheme="minorEastAsia" w:eastAsiaTheme="minorEastAsia" w:cstheme="minorEastAsia"/>
        </w:rPr>
        <w:t>：法定代表人授权委托书</w:t>
      </w:r>
    </w:p>
    <w:p>
      <w:pPr>
        <w:pStyle w:val="2"/>
        <w:spacing w:before="6" w:line="312" w:lineRule="auto"/>
        <w:ind w:left="0"/>
        <w:rPr>
          <w:rFonts w:asciiTheme="minorEastAsia" w:hAnsiTheme="minorEastAsia" w:eastAsiaTheme="minorEastAsia" w:cstheme="minorEastAsia"/>
          <w:b/>
        </w:rPr>
      </w:pPr>
    </w:p>
    <w:p>
      <w:pPr>
        <w:pStyle w:val="2"/>
        <w:spacing w:before="6" w:line="312" w:lineRule="auto"/>
        <w:ind w:left="0"/>
        <w:rPr>
          <w:rFonts w:asciiTheme="minorEastAsia" w:hAnsiTheme="minorEastAsia" w:eastAsiaTheme="minorEastAsia" w:cstheme="minorEastAsia"/>
          <w:b/>
        </w:rPr>
      </w:pPr>
    </w:p>
    <w:p>
      <w:pPr>
        <w:pStyle w:val="4"/>
        <w:spacing w:line="480" w:lineRule="auto"/>
        <w:ind w:right="54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法定代表人授权委托书</w:t>
      </w:r>
    </w:p>
    <w:p>
      <w:pPr>
        <w:spacing w:line="480" w:lineRule="auto"/>
        <w:rPr>
          <w:sz w:val="24"/>
          <w:szCs w:val="24"/>
        </w:rPr>
      </w:pPr>
      <w:r>
        <w:rPr>
          <w:rFonts w:hint="eastAsia"/>
          <w:sz w:val="24"/>
          <w:szCs w:val="24"/>
          <w:u w:val="single"/>
        </w:rPr>
        <w:t>衢州市自然资源和规划局柯城分局、浙江省成套工程有限公司</w:t>
      </w:r>
      <w:r>
        <w:rPr>
          <w:rFonts w:hint="eastAsia"/>
          <w:sz w:val="24"/>
          <w:szCs w:val="24"/>
        </w:rPr>
        <w:t>：</w:t>
      </w:r>
    </w:p>
    <w:p>
      <w:pPr>
        <w:pStyle w:val="2"/>
        <w:tabs>
          <w:tab w:val="left" w:pos="4425"/>
        </w:tabs>
        <w:spacing w:before="5" w:line="480" w:lineRule="auto"/>
        <w:ind w:left="837"/>
        <w:rPr>
          <w:rFonts w:asciiTheme="minorEastAsia" w:hAnsiTheme="minorEastAsia" w:eastAsiaTheme="minorEastAsia" w:cstheme="minorEastAsia"/>
        </w:rPr>
      </w:pPr>
      <w:r>
        <w:rPr>
          <w:rFonts w:hint="eastAsia" w:asciiTheme="minorEastAsia" w:hAnsiTheme="minorEastAsia" w:eastAsiaTheme="minorEastAsia" w:cstheme="minorEastAsia"/>
          <w:spacing w:val="9"/>
        </w:rPr>
        <w:t>我</w:t>
      </w:r>
      <w:r>
        <w:rPr>
          <w:rFonts w:hint="eastAsia" w:asciiTheme="minorEastAsia" w:hAnsiTheme="minorEastAsia" w:eastAsiaTheme="minorEastAsia" w:cstheme="minorEastAsia"/>
          <w:spacing w:val="6"/>
        </w:rPr>
        <w:t>以</w:t>
      </w:r>
      <w:r>
        <w:rPr>
          <w:rFonts w:hint="eastAsia" w:asciiTheme="minorEastAsia" w:hAnsiTheme="minorEastAsia" w:eastAsiaTheme="minorEastAsia" w:cstheme="minorEastAsia"/>
          <w:spacing w:val="6"/>
          <w:u w:val="single"/>
        </w:rPr>
        <w:tab/>
      </w:r>
      <w:r>
        <w:rPr>
          <w:rFonts w:hint="eastAsia" w:asciiTheme="minorEastAsia" w:hAnsiTheme="minorEastAsia" w:eastAsiaTheme="minorEastAsia" w:cstheme="minorEastAsia"/>
          <w:spacing w:val="9"/>
          <w:u w:val="single"/>
        </w:rPr>
        <w:t>（</w:t>
      </w:r>
      <w:r>
        <w:rPr>
          <w:rFonts w:hint="eastAsia" w:asciiTheme="minorEastAsia" w:hAnsiTheme="minorEastAsia" w:eastAsiaTheme="minorEastAsia" w:cstheme="minorEastAsia"/>
          <w:spacing w:val="7"/>
          <w:u w:val="single"/>
        </w:rPr>
        <w:t>供</w:t>
      </w:r>
      <w:r>
        <w:rPr>
          <w:rFonts w:hint="eastAsia" w:asciiTheme="minorEastAsia" w:hAnsiTheme="minorEastAsia" w:eastAsiaTheme="minorEastAsia" w:cstheme="minorEastAsia"/>
          <w:spacing w:val="9"/>
          <w:u w:val="single"/>
        </w:rPr>
        <w:t>应商</w:t>
      </w:r>
      <w:r>
        <w:rPr>
          <w:rFonts w:hint="eastAsia" w:asciiTheme="minorEastAsia" w:hAnsiTheme="minorEastAsia" w:eastAsiaTheme="minorEastAsia" w:cstheme="minorEastAsia"/>
          <w:spacing w:val="7"/>
          <w:u w:val="single"/>
        </w:rPr>
        <w:t>全</w:t>
      </w:r>
      <w:r>
        <w:rPr>
          <w:rFonts w:hint="eastAsia" w:asciiTheme="minorEastAsia" w:hAnsiTheme="minorEastAsia" w:eastAsiaTheme="minorEastAsia" w:cstheme="minorEastAsia"/>
          <w:spacing w:val="9"/>
          <w:u w:val="single"/>
        </w:rPr>
        <w:t>称</w:t>
      </w:r>
      <w:r>
        <w:rPr>
          <w:rFonts w:hint="eastAsia" w:asciiTheme="minorEastAsia" w:hAnsiTheme="minorEastAsia" w:eastAsiaTheme="minorEastAsia" w:cstheme="minorEastAsia"/>
          <w:spacing w:val="7"/>
          <w:u w:val="single"/>
        </w:rPr>
        <w:t>）</w:t>
      </w:r>
      <w:r>
        <w:rPr>
          <w:rFonts w:hint="eastAsia" w:asciiTheme="minorEastAsia" w:hAnsiTheme="minorEastAsia" w:eastAsiaTheme="minorEastAsia" w:cstheme="minorEastAsia"/>
          <w:spacing w:val="9"/>
        </w:rPr>
        <w:t>法</w:t>
      </w:r>
      <w:r>
        <w:rPr>
          <w:rFonts w:hint="eastAsia" w:asciiTheme="minorEastAsia" w:hAnsiTheme="minorEastAsia" w:eastAsiaTheme="minorEastAsia" w:cstheme="minorEastAsia"/>
          <w:spacing w:val="7"/>
        </w:rPr>
        <w:t>定</w:t>
      </w:r>
      <w:r>
        <w:rPr>
          <w:rFonts w:hint="eastAsia" w:asciiTheme="minorEastAsia" w:hAnsiTheme="minorEastAsia" w:eastAsiaTheme="minorEastAsia" w:cstheme="minorEastAsia"/>
          <w:spacing w:val="9"/>
        </w:rPr>
        <w:t>代表</w:t>
      </w:r>
      <w:r>
        <w:rPr>
          <w:rFonts w:hint="eastAsia" w:asciiTheme="minorEastAsia" w:hAnsiTheme="minorEastAsia" w:eastAsiaTheme="minorEastAsia" w:cstheme="minorEastAsia"/>
          <w:spacing w:val="7"/>
        </w:rPr>
        <w:t>人</w:t>
      </w:r>
      <w:r>
        <w:rPr>
          <w:rFonts w:hint="eastAsia" w:asciiTheme="minorEastAsia" w:hAnsiTheme="minorEastAsia" w:eastAsiaTheme="minorEastAsia" w:cstheme="minorEastAsia"/>
          <w:spacing w:val="9"/>
        </w:rPr>
        <w:t>的身</w:t>
      </w:r>
      <w:r>
        <w:rPr>
          <w:rFonts w:hint="eastAsia" w:asciiTheme="minorEastAsia" w:hAnsiTheme="minorEastAsia" w:eastAsiaTheme="minorEastAsia" w:cstheme="minorEastAsia"/>
          <w:spacing w:val="7"/>
        </w:rPr>
        <w:t>份</w:t>
      </w:r>
      <w:r>
        <w:rPr>
          <w:rFonts w:hint="eastAsia" w:asciiTheme="minorEastAsia" w:hAnsiTheme="minorEastAsia" w:eastAsiaTheme="minorEastAsia" w:cstheme="minorEastAsia"/>
          <w:spacing w:val="9"/>
        </w:rPr>
        <w:t>授</w:t>
      </w:r>
      <w:r>
        <w:rPr>
          <w:rFonts w:hint="eastAsia" w:asciiTheme="minorEastAsia" w:hAnsiTheme="minorEastAsia" w:eastAsiaTheme="minorEastAsia" w:cstheme="minorEastAsia"/>
        </w:rPr>
        <w:t>权</w:t>
      </w:r>
    </w:p>
    <w:p>
      <w:pPr>
        <w:pStyle w:val="2"/>
        <w:tabs>
          <w:tab w:val="left" w:pos="6536"/>
        </w:tabs>
        <w:spacing w:before="158" w:line="480" w:lineRule="auto"/>
        <w:ind w:right="779"/>
        <w:jc w:val="both"/>
        <w:rPr>
          <w:rFonts w:asciiTheme="minorEastAsia" w:hAnsiTheme="minorEastAsia" w:eastAsiaTheme="minorEastAsia" w:cstheme="minorEastAsia"/>
        </w:rPr>
      </w:pPr>
      <w:r>
        <w:rPr>
          <w:rFonts w:hint="eastAsia" w:asciiTheme="minorEastAsia" w:hAnsiTheme="minorEastAsia" w:eastAsiaTheme="minorEastAsia" w:cstheme="minorEastAsia"/>
          <w:u w:val="single"/>
        </w:rPr>
        <w:t>（授权代表人姓名）、</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113"/>
        </w:rPr>
        <w:t>，</w:t>
      </w:r>
      <w:r>
        <w:rPr>
          <w:rFonts w:hint="eastAsia" w:asciiTheme="minorEastAsia" w:hAnsiTheme="minorEastAsia" w:eastAsiaTheme="minorEastAsia" w:cstheme="minorEastAsia"/>
        </w:rPr>
        <w:t>为我单位的授权</w:t>
      </w:r>
      <w:r>
        <w:rPr>
          <w:rFonts w:hint="eastAsia" w:asciiTheme="minorEastAsia" w:hAnsiTheme="minorEastAsia" w:eastAsiaTheme="minorEastAsia" w:cstheme="minorEastAsia"/>
          <w:spacing w:val="-16"/>
        </w:rPr>
        <w:t>代</w:t>
      </w:r>
      <w:r>
        <w:rPr>
          <w:rFonts w:hint="eastAsia" w:asciiTheme="minorEastAsia" w:hAnsiTheme="minorEastAsia" w:eastAsiaTheme="minorEastAsia" w:cstheme="minorEastAsia"/>
        </w:rPr>
        <w:t>表人，参加贵办组织的</w:t>
      </w:r>
      <w:r>
        <w:rPr>
          <w:rFonts w:hint="eastAsia" w:asciiTheme="minorEastAsia" w:hAnsiTheme="minorEastAsia" w:eastAsiaTheme="minorEastAsia" w:cstheme="minorEastAsia"/>
          <w:u w:val="single"/>
        </w:rPr>
        <w:t>柯城区“耕地智保”高位视频监控服务项目</w:t>
      </w:r>
      <w:r>
        <w:rPr>
          <w:rFonts w:hint="eastAsia" w:asciiTheme="minorEastAsia" w:hAnsiTheme="minorEastAsia" w:eastAsiaTheme="minorEastAsia" w:cstheme="minorEastAsia"/>
        </w:rPr>
        <w:t>的采购，全权处理采</w:t>
      </w:r>
      <w:r>
        <w:rPr>
          <w:rFonts w:hint="eastAsia" w:asciiTheme="minorEastAsia" w:hAnsiTheme="minorEastAsia" w:eastAsiaTheme="minorEastAsia" w:cstheme="minorEastAsia"/>
          <w:spacing w:val="-15"/>
        </w:rPr>
        <w:t>购</w:t>
      </w:r>
      <w:r>
        <w:rPr>
          <w:rFonts w:hint="eastAsia" w:asciiTheme="minorEastAsia" w:hAnsiTheme="minorEastAsia" w:eastAsiaTheme="minorEastAsia" w:cstheme="minorEastAsia"/>
        </w:rPr>
        <w:t>活动中的一切事宜，我单位均予承认。</w:t>
      </w:r>
    </w:p>
    <w:p>
      <w:pPr>
        <w:pStyle w:val="2"/>
        <w:spacing w:line="312" w:lineRule="auto"/>
        <w:ind w:left="0"/>
        <w:rPr>
          <w:rFonts w:asciiTheme="minorEastAsia" w:hAnsiTheme="minorEastAsia" w:eastAsiaTheme="minorEastAsia" w:cstheme="minorEastAsia"/>
          <w:lang w:val="en-US"/>
        </w:rPr>
      </w:pPr>
    </w:p>
    <w:p>
      <w:pPr>
        <w:pStyle w:val="2"/>
        <w:spacing w:before="157" w:line="312" w:lineRule="auto"/>
        <w:ind w:left="4197"/>
        <w:rPr>
          <w:rFonts w:asciiTheme="minorEastAsia" w:hAnsiTheme="minorEastAsia" w:eastAsiaTheme="minorEastAsia" w:cstheme="minorEastAsia"/>
        </w:rPr>
      </w:pPr>
      <w:r>
        <w:rPr>
          <w:rFonts w:hint="eastAsia" w:asciiTheme="minorEastAsia" w:hAnsiTheme="minorEastAsia" w:eastAsiaTheme="minorEastAsia" w:cstheme="minorEastAsia"/>
        </w:rPr>
        <w:t>供应商(公章)：</w:t>
      </w:r>
    </w:p>
    <w:p>
      <w:pPr>
        <w:pStyle w:val="2"/>
        <w:spacing w:before="157" w:line="312" w:lineRule="auto"/>
        <w:ind w:left="4197"/>
        <w:rPr>
          <w:rFonts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法定代表人(签字或盖章)： </w:t>
      </w:r>
    </w:p>
    <w:p>
      <w:pPr>
        <w:pStyle w:val="2"/>
        <w:tabs>
          <w:tab w:val="left" w:pos="5517"/>
          <w:tab w:val="left" w:pos="5997"/>
          <w:tab w:val="left" w:pos="6597"/>
        </w:tabs>
        <w:spacing w:before="161" w:line="312" w:lineRule="auto"/>
        <w:ind w:left="4197" w:right="2346"/>
        <w:rPr>
          <w:rFonts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pPr>
        <w:pStyle w:val="2"/>
        <w:spacing w:line="312" w:lineRule="auto"/>
        <w:ind w:left="0"/>
        <w:rPr>
          <w:rFonts w:asciiTheme="minorEastAsia" w:hAnsiTheme="minorEastAsia" w:eastAsiaTheme="minorEastAsia" w:cstheme="minorEastAsia"/>
        </w:rPr>
      </w:pPr>
    </w:p>
    <w:p>
      <w:pPr>
        <w:pStyle w:val="2"/>
        <w:spacing w:line="312" w:lineRule="auto"/>
        <w:ind w:left="0"/>
        <w:rPr>
          <w:rFonts w:asciiTheme="minorEastAsia" w:hAnsiTheme="minorEastAsia" w:eastAsiaTheme="minorEastAsia" w:cstheme="minorEastAsia"/>
        </w:rPr>
      </w:pPr>
    </w:p>
    <w:p>
      <w:pPr>
        <w:rPr>
          <w:sz w:val="24"/>
          <w:szCs w:val="24"/>
        </w:rPr>
      </w:pPr>
    </w:p>
    <w:p>
      <w:pPr>
        <w:spacing w:line="360" w:lineRule="auto"/>
        <w:rPr>
          <w:sz w:val="24"/>
          <w:szCs w:val="24"/>
        </w:rPr>
      </w:pPr>
      <w:r>
        <w:rPr>
          <w:rFonts w:hint="eastAsia"/>
          <w:sz w:val="24"/>
          <w:szCs w:val="24"/>
        </w:rPr>
        <w:t>附：</w:t>
      </w:r>
    </w:p>
    <w:p>
      <w:pPr>
        <w:spacing w:line="360" w:lineRule="auto"/>
        <w:rPr>
          <w:sz w:val="24"/>
          <w:szCs w:val="24"/>
        </w:rPr>
      </w:pPr>
      <w:r>
        <w:rPr>
          <w:rFonts w:hint="eastAsia"/>
          <w:sz w:val="24"/>
          <w:szCs w:val="24"/>
        </w:rPr>
        <w:t xml:space="preserve">授权代表人姓名： </w:t>
      </w:r>
    </w:p>
    <w:p>
      <w:pPr>
        <w:spacing w:line="360" w:lineRule="auto"/>
        <w:rPr>
          <w:sz w:val="24"/>
          <w:szCs w:val="24"/>
        </w:rPr>
      </w:pPr>
      <w:r>
        <w:rPr>
          <w:rFonts w:hint="eastAsia"/>
          <w:sz w:val="24"/>
          <w:szCs w:val="24"/>
        </w:rPr>
        <w:t>身份证号码：</w:t>
      </w:r>
    </w:p>
    <w:p>
      <w:pPr>
        <w:spacing w:line="360" w:lineRule="auto"/>
        <w:rPr>
          <w:sz w:val="24"/>
          <w:szCs w:val="24"/>
        </w:rPr>
      </w:pPr>
      <w:r>
        <w:rPr>
          <w:rFonts w:hint="eastAsia"/>
          <w:sz w:val="24"/>
          <w:szCs w:val="24"/>
        </w:rPr>
        <w:t>职</w:t>
      </w:r>
      <w:r>
        <w:rPr>
          <w:rFonts w:hint="eastAsia"/>
          <w:sz w:val="24"/>
          <w:szCs w:val="24"/>
        </w:rPr>
        <w:tab/>
      </w:r>
      <w:r>
        <w:rPr>
          <w:rFonts w:hint="eastAsia"/>
          <w:sz w:val="24"/>
          <w:szCs w:val="24"/>
        </w:rPr>
        <w:t>务：</w:t>
      </w:r>
    </w:p>
    <w:p>
      <w:pPr>
        <w:spacing w:line="360" w:lineRule="auto"/>
        <w:rPr>
          <w:sz w:val="24"/>
          <w:szCs w:val="24"/>
        </w:rPr>
      </w:pPr>
      <w:r>
        <w:rPr>
          <w:rFonts w:hint="eastAsia"/>
          <w:sz w:val="24"/>
          <w:szCs w:val="24"/>
        </w:rPr>
        <w:t xml:space="preserve">详细通讯地址： </w:t>
      </w:r>
    </w:p>
    <w:p>
      <w:pPr>
        <w:spacing w:line="360" w:lineRule="auto"/>
        <w:rPr>
          <w:sz w:val="24"/>
          <w:szCs w:val="24"/>
        </w:rPr>
      </w:pPr>
      <w:r>
        <w:rPr>
          <w:rFonts w:hint="eastAsia"/>
          <w:sz w:val="24"/>
          <w:szCs w:val="24"/>
        </w:rPr>
        <w:t>传</w:t>
      </w:r>
      <w:r>
        <w:rPr>
          <w:rFonts w:hint="eastAsia"/>
          <w:sz w:val="24"/>
          <w:szCs w:val="24"/>
        </w:rPr>
        <w:tab/>
      </w:r>
      <w:r>
        <w:rPr>
          <w:rFonts w:hint="eastAsia"/>
          <w:sz w:val="24"/>
          <w:szCs w:val="24"/>
        </w:rPr>
        <w:t>真：</w:t>
      </w:r>
    </w:p>
    <w:p>
      <w:pPr>
        <w:spacing w:line="360" w:lineRule="auto"/>
        <w:rPr>
          <w:sz w:val="24"/>
          <w:szCs w:val="24"/>
        </w:rPr>
      </w:pPr>
      <w:r>
        <w:rPr>
          <w:rFonts w:hint="eastAsia"/>
          <w:sz w:val="24"/>
          <w:szCs w:val="24"/>
        </w:rPr>
        <w:t>电</w:t>
      </w:r>
      <w:r>
        <w:rPr>
          <w:rFonts w:hint="eastAsia"/>
          <w:sz w:val="24"/>
          <w:szCs w:val="24"/>
        </w:rPr>
        <w:tab/>
      </w:r>
      <w:r>
        <w:rPr>
          <w:rFonts w:hint="eastAsia"/>
          <w:sz w:val="24"/>
          <w:szCs w:val="24"/>
        </w:rPr>
        <w:t xml:space="preserve">话 ： </w:t>
      </w:r>
    </w:p>
    <w:p>
      <w:pPr>
        <w:spacing w:line="360" w:lineRule="auto"/>
        <w:rPr>
          <w:sz w:val="24"/>
          <w:szCs w:val="24"/>
        </w:rPr>
      </w:pPr>
      <w:r>
        <w:rPr>
          <w:rFonts w:hint="eastAsia"/>
          <w:sz w:val="24"/>
          <w:szCs w:val="24"/>
        </w:rPr>
        <w:t>邮政编码：</w:t>
      </w:r>
    </w:p>
    <w:p>
      <w:pPr>
        <w:spacing w:line="312" w:lineRule="auto"/>
        <w:rPr>
          <w:rFonts w:asciiTheme="minorEastAsia" w:hAnsiTheme="minorEastAsia" w:eastAsiaTheme="minorEastAsia" w:cstheme="minorEastAsia"/>
          <w:sz w:val="24"/>
          <w:szCs w:val="24"/>
        </w:rPr>
      </w:pPr>
    </w:p>
    <w:p>
      <w:pPr>
        <w:pStyle w:val="20"/>
      </w:pPr>
    </w:p>
    <w:p/>
    <w:p>
      <w:pPr>
        <w:pStyle w:val="20"/>
      </w:pPr>
    </w:p>
    <w:p/>
    <w:p>
      <w:pPr>
        <w:pStyle w:val="4"/>
        <w:spacing w:before="24" w:line="312" w:lineRule="auto"/>
        <w:rPr>
          <w:rFonts w:asciiTheme="minorEastAsia" w:hAnsiTheme="minorEastAsia" w:eastAsiaTheme="minorEastAsia" w:cstheme="minorEastAsia"/>
          <w:sz w:val="24"/>
          <w:szCs w:val="24"/>
        </w:rPr>
      </w:pPr>
      <w:bookmarkStart w:id="94" w:name="_Toc20476"/>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法定代表人及授权代理人身份证（复印件加盖公章）</w:t>
      </w:r>
      <w:bookmarkEnd w:id="94"/>
    </w:p>
    <w:p>
      <w:pPr>
        <w:sectPr>
          <w:pgSz w:w="11910" w:h="16840"/>
          <w:pgMar w:top="1417" w:right="1247" w:bottom="1417" w:left="1247" w:header="0" w:footer="1226" w:gutter="0"/>
          <w:cols w:space="720" w:num="1"/>
        </w:sectPr>
      </w:pPr>
    </w:p>
    <w:p>
      <w:pPr>
        <w:tabs>
          <w:tab w:val="left" w:pos="1202"/>
        </w:tabs>
        <w:spacing w:before="45" w:line="312" w:lineRule="auto"/>
        <w:ind w:right="539"/>
        <w:jc w:val="both"/>
        <w:rPr>
          <w:rFonts w:asciiTheme="minorEastAsia" w:hAnsiTheme="minorEastAsia" w:eastAsiaTheme="minorEastAsia" w:cstheme="minorEastAsia"/>
          <w:b/>
          <w:sz w:val="21"/>
          <w:szCs w:val="21"/>
        </w:rPr>
      </w:pPr>
    </w:p>
    <w:p>
      <w:pPr>
        <w:tabs>
          <w:tab w:val="left" w:pos="1202"/>
        </w:tabs>
        <w:spacing w:before="45" w:line="360" w:lineRule="auto"/>
        <w:ind w:right="539"/>
        <w:jc w:val="center"/>
        <w:outlineLvl w:val="0"/>
        <w:rPr>
          <w:rFonts w:asciiTheme="minorEastAsia" w:hAnsiTheme="minorEastAsia" w:eastAsiaTheme="minorEastAsia" w:cstheme="minorEastAsia"/>
          <w:b/>
        </w:rPr>
      </w:pPr>
      <w:bookmarkStart w:id="95" w:name="_Toc28990"/>
      <w:r>
        <w:rPr>
          <w:rFonts w:hint="eastAsia" w:asciiTheme="minorEastAsia" w:hAnsiTheme="minorEastAsia" w:eastAsiaTheme="minorEastAsia" w:cstheme="minorEastAsia"/>
          <w:b/>
          <w:sz w:val="24"/>
          <w:szCs w:val="24"/>
        </w:rPr>
        <w:t>格式二</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商务技术文件格式</w:t>
      </w:r>
      <w:bookmarkEnd w:id="92"/>
      <w:bookmarkEnd w:id="93"/>
      <w:bookmarkEnd w:id="95"/>
    </w:p>
    <w:p>
      <w:pPr>
        <w:pStyle w:val="30"/>
        <w:spacing w:line="540" w:lineRule="exact"/>
        <w:ind w:firstLine="0" w:firstLineChars="0"/>
        <w:jc w:val="center"/>
        <w:rPr>
          <w:rFonts w:ascii="宋体" w:eastAsia="宋体"/>
          <w:sz w:val="24"/>
          <w:szCs w:val="24"/>
        </w:rPr>
      </w:pPr>
      <w:bookmarkStart w:id="96" w:name="格式三_报价文件"/>
      <w:bookmarkEnd w:id="96"/>
      <w:bookmarkStart w:id="97" w:name="二、法定代表人及授权代理人身份证（复印件加盖公章）"/>
      <w:bookmarkEnd w:id="97"/>
      <w:r>
        <w:rPr>
          <w:rFonts w:hint="eastAsia" w:ascii="宋体" w:eastAsia="宋体"/>
          <w:sz w:val="24"/>
          <w:szCs w:val="24"/>
        </w:rPr>
        <w:t>1 技术偏离表</w:t>
      </w:r>
    </w:p>
    <w:p>
      <w:pPr>
        <w:pStyle w:val="44"/>
        <w:spacing w:line="500" w:lineRule="exact"/>
        <w:jc w:val="both"/>
        <w:outlineLvl w:val="9"/>
        <w:rPr>
          <w:b w:val="0"/>
          <w:bCs w:val="0"/>
          <w:sz w:val="24"/>
          <w:szCs w:val="24"/>
        </w:rPr>
      </w:pPr>
      <w:r>
        <w:rPr>
          <w:rFonts w:hint="eastAsia"/>
          <w:b w:val="0"/>
          <w:bCs w:val="0"/>
          <w:sz w:val="24"/>
          <w:szCs w:val="24"/>
        </w:rPr>
        <w:t xml:space="preserve">项目名称：                            </w:t>
      </w:r>
    </w:p>
    <w:p>
      <w:pPr>
        <w:pStyle w:val="44"/>
        <w:spacing w:line="500" w:lineRule="exact"/>
        <w:jc w:val="both"/>
        <w:outlineLvl w:val="9"/>
        <w:rPr>
          <w:b w:val="0"/>
          <w:bCs w:val="0"/>
          <w:sz w:val="24"/>
          <w:szCs w:val="24"/>
        </w:rPr>
      </w:pPr>
      <w:r>
        <w:rPr>
          <w:rFonts w:hint="eastAsia"/>
          <w:b w:val="0"/>
          <w:bCs w:val="0"/>
          <w:sz w:val="24"/>
          <w:szCs w:val="24"/>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noWrap/>
            <w:vAlign w:val="center"/>
          </w:tcPr>
          <w:p>
            <w:pPr>
              <w:spacing w:line="500" w:lineRule="exact"/>
              <w:jc w:val="center"/>
              <w:rPr>
                <w:sz w:val="24"/>
                <w:szCs w:val="24"/>
              </w:rPr>
            </w:pPr>
            <w:r>
              <w:rPr>
                <w:rFonts w:hint="eastAsia"/>
                <w:sz w:val="24"/>
                <w:szCs w:val="24"/>
              </w:rPr>
              <w:t>序号</w:t>
            </w:r>
          </w:p>
        </w:tc>
        <w:tc>
          <w:tcPr>
            <w:tcW w:w="2096" w:type="dxa"/>
            <w:tcBorders>
              <w:top w:val="thinThickSmallGap" w:color="auto" w:sz="12" w:space="0"/>
            </w:tcBorders>
            <w:noWrap/>
            <w:vAlign w:val="center"/>
          </w:tcPr>
          <w:p>
            <w:pPr>
              <w:spacing w:line="500" w:lineRule="exact"/>
              <w:jc w:val="center"/>
              <w:rPr>
                <w:sz w:val="24"/>
                <w:szCs w:val="24"/>
              </w:rPr>
            </w:pPr>
            <w:r>
              <w:rPr>
                <w:rFonts w:hint="eastAsia"/>
                <w:sz w:val="24"/>
                <w:szCs w:val="24"/>
              </w:rPr>
              <w:t>招标文件技术规范要求</w:t>
            </w:r>
          </w:p>
        </w:tc>
        <w:tc>
          <w:tcPr>
            <w:tcW w:w="1985" w:type="dxa"/>
            <w:tcBorders>
              <w:top w:val="thinThickSmallGap" w:color="auto" w:sz="12" w:space="0"/>
            </w:tcBorders>
            <w:noWrap/>
            <w:vAlign w:val="center"/>
          </w:tcPr>
          <w:p>
            <w:pPr>
              <w:spacing w:line="500" w:lineRule="exact"/>
              <w:jc w:val="center"/>
              <w:rPr>
                <w:sz w:val="24"/>
                <w:szCs w:val="24"/>
              </w:rPr>
            </w:pPr>
            <w:r>
              <w:rPr>
                <w:rFonts w:hint="eastAsia"/>
                <w:sz w:val="24"/>
                <w:szCs w:val="24"/>
              </w:rPr>
              <w:t>供应商响应详细内容</w:t>
            </w:r>
          </w:p>
        </w:tc>
        <w:tc>
          <w:tcPr>
            <w:tcW w:w="1578" w:type="dxa"/>
            <w:tcBorders>
              <w:top w:val="thinThickSmallGap" w:color="auto" w:sz="12" w:space="0"/>
            </w:tcBorders>
            <w:noWrap/>
            <w:vAlign w:val="center"/>
          </w:tcPr>
          <w:p>
            <w:pPr>
              <w:spacing w:line="500" w:lineRule="exact"/>
              <w:jc w:val="center"/>
              <w:rPr>
                <w:sz w:val="24"/>
                <w:szCs w:val="24"/>
              </w:rPr>
            </w:pPr>
            <w:r>
              <w:rPr>
                <w:rFonts w:hint="eastAsia"/>
                <w:sz w:val="24"/>
                <w:szCs w:val="24"/>
              </w:rPr>
              <w:t>正/负偏离</w:t>
            </w:r>
          </w:p>
        </w:tc>
        <w:tc>
          <w:tcPr>
            <w:tcW w:w="1449" w:type="dxa"/>
            <w:tcBorders>
              <w:top w:val="thinThickSmallGap" w:color="auto" w:sz="12" w:space="0"/>
              <w:right w:val="single" w:color="auto" w:sz="4" w:space="0"/>
            </w:tcBorders>
            <w:noWrap/>
            <w:vAlign w:val="center"/>
          </w:tcPr>
          <w:p>
            <w:pPr>
              <w:spacing w:line="500" w:lineRule="exact"/>
              <w:jc w:val="center"/>
              <w:rPr>
                <w:sz w:val="24"/>
                <w:szCs w:val="24"/>
              </w:rPr>
            </w:pPr>
            <w:r>
              <w:rPr>
                <w:rFonts w:hint="eastAsia"/>
                <w:sz w:val="24"/>
                <w:szCs w:val="24"/>
              </w:rPr>
              <w:t>偏离说明</w:t>
            </w:r>
          </w:p>
        </w:tc>
        <w:tc>
          <w:tcPr>
            <w:tcW w:w="1418" w:type="dxa"/>
            <w:tcBorders>
              <w:top w:val="thinThickSmallGap" w:color="auto" w:sz="12" w:space="0"/>
              <w:left w:val="single" w:color="auto" w:sz="4" w:space="0"/>
              <w:right w:val="thickThinSmallGap" w:color="auto" w:sz="12" w:space="0"/>
            </w:tcBorders>
            <w:noWrap/>
          </w:tcPr>
          <w:p>
            <w:pPr>
              <w:spacing w:line="500" w:lineRule="exact"/>
              <w:jc w:val="center"/>
              <w:rPr>
                <w:sz w:val="24"/>
                <w:szCs w:val="24"/>
              </w:rPr>
            </w:pPr>
            <w:r>
              <w:rPr>
                <w:rFonts w:hint="eastAsia"/>
                <w:sz w:val="24"/>
                <w:szCs w:val="24"/>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r>
              <w:rPr>
                <w:rFonts w:hint="eastAsia"/>
                <w:sz w:val="24"/>
                <w:szCs w:val="24"/>
              </w:rPr>
              <w:t>1</w:t>
            </w: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r>
              <w:rPr>
                <w:rFonts w:hint="eastAsia"/>
                <w:sz w:val="24"/>
                <w:szCs w:val="24"/>
              </w:rPr>
              <w:t>2</w:t>
            </w: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r>
              <w:rPr>
                <w:rFonts w:hint="eastAsia"/>
                <w:sz w:val="24"/>
                <w:szCs w:val="24"/>
              </w:rPr>
              <w:t>3</w:t>
            </w: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r>
              <w:rPr>
                <w:rFonts w:hint="eastAsia"/>
                <w:sz w:val="24"/>
                <w:szCs w:val="24"/>
              </w:rPr>
              <w:t>…</w:t>
            </w: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sz w:val="24"/>
                <w:szCs w:val="24"/>
              </w:rPr>
            </w:pPr>
          </w:p>
        </w:tc>
        <w:tc>
          <w:tcPr>
            <w:tcW w:w="2096" w:type="dxa"/>
            <w:noWrap/>
          </w:tcPr>
          <w:p>
            <w:pPr>
              <w:spacing w:line="500" w:lineRule="exact"/>
              <w:rPr>
                <w:sz w:val="24"/>
                <w:szCs w:val="24"/>
              </w:rPr>
            </w:pPr>
          </w:p>
        </w:tc>
        <w:tc>
          <w:tcPr>
            <w:tcW w:w="1985" w:type="dxa"/>
            <w:noWrap/>
          </w:tcPr>
          <w:p>
            <w:pPr>
              <w:spacing w:line="500" w:lineRule="exact"/>
              <w:rPr>
                <w:sz w:val="24"/>
                <w:szCs w:val="24"/>
              </w:rPr>
            </w:pPr>
          </w:p>
        </w:tc>
        <w:tc>
          <w:tcPr>
            <w:tcW w:w="1578" w:type="dxa"/>
            <w:noWrap/>
          </w:tcPr>
          <w:p>
            <w:pPr>
              <w:spacing w:line="500" w:lineRule="exact"/>
              <w:rPr>
                <w:sz w:val="24"/>
                <w:szCs w:val="24"/>
              </w:rPr>
            </w:pPr>
          </w:p>
        </w:tc>
        <w:tc>
          <w:tcPr>
            <w:tcW w:w="1449" w:type="dxa"/>
            <w:tcBorders>
              <w:right w:val="single" w:color="auto" w:sz="4" w:space="0"/>
            </w:tcBorders>
            <w:noWrap/>
          </w:tcPr>
          <w:p>
            <w:pPr>
              <w:spacing w:line="500" w:lineRule="exact"/>
              <w:rPr>
                <w:sz w:val="24"/>
                <w:szCs w:val="24"/>
              </w:rPr>
            </w:pPr>
          </w:p>
        </w:tc>
        <w:tc>
          <w:tcPr>
            <w:tcW w:w="1418" w:type="dxa"/>
            <w:tcBorders>
              <w:left w:val="single" w:color="auto" w:sz="4" w:space="0"/>
              <w:right w:val="thickThinSmallGap" w:color="auto" w:sz="12" w:space="0"/>
            </w:tcBorders>
            <w:noWrap/>
          </w:tcPr>
          <w:p>
            <w:pPr>
              <w:spacing w:line="5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noWrap/>
          </w:tcPr>
          <w:p>
            <w:pPr>
              <w:spacing w:line="500" w:lineRule="exact"/>
              <w:jc w:val="center"/>
              <w:rPr>
                <w:sz w:val="24"/>
                <w:szCs w:val="24"/>
              </w:rPr>
            </w:pPr>
          </w:p>
        </w:tc>
        <w:tc>
          <w:tcPr>
            <w:tcW w:w="2096" w:type="dxa"/>
            <w:tcBorders>
              <w:bottom w:val="thickThinSmallGap" w:color="auto" w:sz="12" w:space="0"/>
            </w:tcBorders>
            <w:noWrap/>
          </w:tcPr>
          <w:p>
            <w:pPr>
              <w:spacing w:line="500" w:lineRule="exact"/>
              <w:rPr>
                <w:sz w:val="24"/>
                <w:szCs w:val="24"/>
              </w:rPr>
            </w:pPr>
          </w:p>
        </w:tc>
        <w:tc>
          <w:tcPr>
            <w:tcW w:w="1985" w:type="dxa"/>
            <w:tcBorders>
              <w:bottom w:val="thickThinSmallGap" w:color="auto" w:sz="12" w:space="0"/>
            </w:tcBorders>
            <w:noWrap/>
          </w:tcPr>
          <w:p>
            <w:pPr>
              <w:spacing w:line="500" w:lineRule="exact"/>
              <w:rPr>
                <w:sz w:val="24"/>
                <w:szCs w:val="24"/>
              </w:rPr>
            </w:pPr>
          </w:p>
        </w:tc>
        <w:tc>
          <w:tcPr>
            <w:tcW w:w="1578" w:type="dxa"/>
            <w:tcBorders>
              <w:bottom w:val="thickThinSmallGap" w:color="auto" w:sz="12" w:space="0"/>
            </w:tcBorders>
            <w:noWrap/>
          </w:tcPr>
          <w:p>
            <w:pPr>
              <w:spacing w:line="500" w:lineRule="exact"/>
              <w:rPr>
                <w:sz w:val="24"/>
                <w:szCs w:val="24"/>
              </w:rPr>
            </w:pPr>
          </w:p>
        </w:tc>
        <w:tc>
          <w:tcPr>
            <w:tcW w:w="1449" w:type="dxa"/>
            <w:tcBorders>
              <w:bottom w:val="thickThinSmallGap" w:color="auto" w:sz="12" w:space="0"/>
              <w:right w:val="single" w:color="auto" w:sz="4" w:space="0"/>
            </w:tcBorders>
            <w:noWrap/>
          </w:tcPr>
          <w:p>
            <w:pPr>
              <w:spacing w:line="500" w:lineRule="exact"/>
              <w:rPr>
                <w:sz w:val="24"/>
                <w:szCs w:val="24"/>
              </w:rPr>
            </w:pPr>
          </w:p>
        </w:tc>
        <w:tc>
          <w:tcPr>
            <w:tcW w:w="1418" w:type="dxa"/>
            <w:tcBorders>
              <w:left w:val="single" w:color="auto" w:sz="4" w:space="0"/>
              <w:bottom w:val="thickThinSmallGap" w:color="auto" w:sz="12" w:space="0"/>
              <w:right w:val="thickThinSmallGap" w:color="auto" w:sz="12" w:space="0"/>
            </w:tcBorders>
            <w:noWrap/>
          </w:tcPr>
          <w:p>
            <w:pPr>
              <w:spacing w:line="500" w:lineRule="exact"/>
              <w:rPr>
                <w:sz w:val="24"/>
                <w:szCs w:val="24"/>
              </w:rPr>
            </w:pPr>
          </w:p>
        </w:tc>
      </w:tr>
    </w:tbl>
    <w:p>
      <w:pPr>
        <w:spacing w:line="500" w:lineRule="exact"/>
        <w:ind w:firstLine="480" w:firstLineChars="200"/>
        <w:rPr>
          <w:sz w:val="24"/>
          <w:szCs w:val="24"/>
        </w:rPr>
      </w:pPr>
      <w:r>
        <w:rPr>
          <w:rFonts w:hint="eastAsia"/>
          <w:sz w:val="24"/>
          <w:szCs w:val="24"/>
        </w:rPr>
        <w:t>注：供应商递交的技术规格书中与招标文件的技术规格书中的要求有不同时，应逐条列在技术偏离表中并作出“正偏离/负偏离”，同时在说明栏目中具体说明及填写页码，否则将认为供应商接受招标文件的要求。</w:t>
      </w:r>
    </w:p>
    <w:p>
      <w:pPr>
        <w:adjustRightInd w:val="0"/>
        <w:snapToGrid w:val="0"/>
        <w:spacing w:line="500" w:lineRule="exact"/>
        <w:rPr>
          <w:sz w:val="24"/>
          <w:szCs w:val="24"/>
        </w:rPr>
      </w:pPr>
    </w:p>
    <w:p>
      <w:pPr>
        <w:pStyle w:val="13"/>
        <w:spacing w:line="500" w:lineRule="exact"/>
        <w:ind w:left="3710" w:leftChars="268" w:hanging="3120" w:hangingChars="1300"/>
        <w:rPr>
          <w:rFonts w:hAnsi="宋体"/>
          <w:sz w:val="24"/>
          <w:szCs w:val="24"/>
        </w:rPr>
      </w:pPr>
      <w:r>
        <w:rPr>
          <w:rFonts w:hint="eastAsia" w:hAnsi="宋体"/>
          <w:sz w:val="24"/>
          <w:szCs w:val="24"/>
        </w:rPr>
        <w:t>供应商（公章）：</w:t>
      </w:r>
    </w:p>
    <w:p>
      <w:pPr>
        <w:pStyle w:val="13"/>
        <w:spacing w:line="500" w:lineRule="exact"/>
        <w:ind w:left="3710" w:leftChars="268" w:hanging="3120" w:hangingChars="1300"/>
        <w:rPr>
          <w:rFonts w:hAnsi="宋体"/>
          <w:sz w:val="24"/>
          <w:szCs w:val="24"/>
        </w:rPr>
      </w:pPr>
    </w:p>
    <w:p>
      <w:pPr>
        <w:pStyle w:val="13"/>
        <w:spacing w:line="500" w:lineRule="exact"/>
        <w:ind w:left="3710" w:leftChars="268" w:hanging="3120" w:hangingChars="1300"/>
        <w:rPr>
          <w:rFonts w:hAnsi="宋体"/>
          <w:sz w:val="24"/>
          <w:szCs w:val="24"/>
        </w:rPr>
      </w:pPr>
      <w:r>
        <w:rPr>
          <w:rFonts w:hint="eastAsia" w:hAnsi="宋体"/>
          <w:sz w:val="24"/>
          <w:szCs w:val="24"/>
        </w:rPr>
        <w:t xml:space="preserve">法定代表人或其授权代表人：（签字或盖章）     </w:t>
      </w:r>
    </w:p>
    <w:p>
      <w:pPr>
        <w:pStyle w:val="13"/>
        <w:spacing w:line="500" w:lineRule="exact"/>
        <w:ind w:left="3710" w:leftChars="268" w:hanging="3120" w:hangingChars="1300"/>
        <w:rPr>
          <w:rFonts w:hAnsi="宋体"/>
          <w:sz w:val="24"/>
          <w:szCs w:val="24"/>
        </w:rPr>
      </w:pPr>
    </w:p>
    <w:p>
      <w:pPr>
        <w:snapToGrid w:val="0"/>
        <w:spacing w:line="540" w:lineRule="exact"/>
        <w:ind w:firstLine="1920" w:firstLineChars="800"/>
        <w:rPr>
          <w:sz w:val="24"/>
          <w:szCs w:val="24"/>
        </w:rPr>
      </w:pPr>
      <w:r>
        <w:rPr>
          <w:rFonts w:hint="eastAsia"/>
          <w:sz w:val="24"/>
          <w:szCs w:val="24"/>
        </w:rPr>
        <w:t xml:space="preserve">  年   月   日</w:t>
      </w:r>
    </w:p>
    <w:p>
      <w:pPr>
        <w:pStyle w:val="4"/>
        <w:spacing w:line="360" w:lineRule="auto"/>
        <w:ind w:left="237" w:firstLine="482" w:firstLineChars="200"/>
        <w:jc w:val="left"/>
        <w:rPr>
          <w:rFonts w:asciiTheme="minorEastAsia" w:hAnsiTheme="minorEastAsia" w:eastAsiaTheme="minorEastAsia" w:cstheme="minorEastAsia"/>
          <w:sz w:val="24"/>
          <w:szCs w:val="24"/>
        </w:rPr>
      </w:pPr>
      <w:bookmarkStart w:id="98" w:name="四、供应商应提供针对项目的完整技术（服务）解决方案（服务方案、范围、标准及期限等"/>
      <w:bookmarkEnd w:id="98"/>
      <w:bookmarkStart w:id="99" w:name="_Toc17102"/>
      <w:bookmarkStart w:id="100" w:name="_Toc6433"/>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、供应商应提供针对项目的完整技术（服务）解决方案（服 务方案、范围、标准及期限等)，并明示服务承诺可能涉及的前提设定和费用，否则将被认为是无条件和免费的</w:t>
      </w:r>
      <w:bookmarkEnd w:id="99"/>
      <w:bookmarkEnd w:id="100"/>
    </w:p>
    <w:p>
      <w:pPr>
        <w:pStyle w:val="2"/>
        <w:spacing w:line="360" w:lineRule="auto"/>
        <w:ind w:left="0"/>
        <w:rPr>
          <w:rFonts w:asciiTheme="minorEastAsia" w:hAnsiTheme="minorEastAsia" w:eastAsiaTheme="minorEastAsia" w:cstheme="minorEastAsia"/>
          <w:b/>
        </w:rPr>
      </w:pPr>
    </w:p>
    <w:p>
      <w:pPr>
        <w:pStyle w:val="2"/>
        <w:spacing w:before="9" w:line="360" w:lineRule="auto"/>
        <w:ind w:left="0"/>
        <w:rPr>
          <w:rFonts w:asciiTheme="minorEastAsia" w:hAnsiTheme="minorEastAsia" w:eastAsiaTheme="minorEastAsia" w:cstheme="minorEastAsia"/>
          <w:b/>
        </w:rPr>
      </w:pPr>
    </w:p>
    <w:p>
      <w:pPr>
        <w:pStyle w:val="13"/>
        <w:spacing w:line="500" w:lineRule="exact"/>
        <w:ind w:left="3710" w:leftChars="268" w:hanging="3120" w:hangingChars="1300"/>
        <w:rPr>
          <w:rFonts w:hAnsi="宋体"/>
          <w:sz w:val="24"/>
          <w:szCs w:val="24"/>
        </w:rPr>
      </w:pPr>
      <w:r>
        <w:rPr>
          <w:rFonts w:hint="eastAsia" w:hAnsi="宋体"/>
          <w:sz w:val="24"/>
          <w:szCs w:val="24"/>
        </w:rPr>
        <w:t>供应商（公章）：</w:t>
      </w:r>
    </w:p>
    <w:p>
      <w:pPr>
        <w:pStyle w:val="13"/>
        <w:spacing w:line="500" w:lineRule="exact"/>
        <w:ind w:left="3710" w:leftChars="268" w:hanging="3120" w:hangingChars="1300"/>
        <w:rPr>
          <w:rFonts w:hAnsi="宋体"/>
          <w:sz w:val="24"/>
          <w:szCs w:val="24"/>
        </w:rPr>
      </w:pPr>
    </w:p>
    <w:p>
      <w:pPr>
        <w:pStyle w:val="13"/>
        <w:spacing w:line="500" w:lineRule="exact"/>
        <w:ind w:left="3710" w:leftChars="268" w:hanging="3120" w:hangingChars="1300"/>
        <w:rPr>
          <w:rFonts w:hAnsi="宋体"/>
          <w:sz w:val="24"/>
          <w:szCs w:val="24"/>
        </w:rPr>
      </w:pPr>
      <w:r>
        <w:rPr>
          <w:rFonts w:hint="eastAsia" w:hAnsi="宋体"/>
          <w:sz w:val="24"/>
          <w:szCs w:val="24"/>
        </w:rPr>
        <w:t xml:space="preserve">法定代表人或其授权代表人：（签字或盖章）     </w:t>
      </w:r>
    </w:p>
    <w:p>
      <w:pPr>
        <w:pStyle w:val="13"/>
        <w:spacing w:line="500" w:lineRule="exact"/>
        <w:ind w:left="3710" w:leftChars="268" w:hanging="3120" w:hangingChars="1300"/>
        <w:rPr>
          <w:rFonts w:hAnsi="宋体"/>
          <w:sz w:val="24"/>
          <w:szCs w:val="24"/>
        </w:rPr>
      </w:pPr>
    </w:p>
    <w:p>
      <w:pPr>
        <w:snapToGrid w:val="0"/>
        <w:spacing w:line="540" w:lineRule="exact"/>
        <w:ind w:firstLine="1920" w:firstLineChars="800"/>
        <w:rPr>
          <w:sz w:val="24"/>
          <w:szCs w:val="24"/>
        </w:rPr>
      </w:pPr>
      <w:r>
        <w:rPr>
          <w:rFonts w:hint="eastAsia"/>
          <w:sz w:val="24"/>
          <w:szCs w:val="24"/>
        </w:rPr>
        <w:t xml:space="preserve">  年   月   日</w:t>
      </w:r>
    </w:p>
    <w:p>
      <w:pPr>
        <w:pStyle w:val="2"/>
        <w:spacing w:line="360" w:lineRule="auto"/>
        <w:ind w:left="0"/>
        <w:rPr>
          <w:rFonts w:asciiTheme="minorEastAsia" w:hAnsiTheme="minorEastAsia" w:eastAsiaTheme="minorEastAsia" w:cstheme="minorEastAsia"/>
        </w:rPr>
      </w:pPr>
    </w:p>
    <w:p>
      <w:pPr>
        <w:pStyle w:val="2"/>
        <w:spacing w:line="360" w:lineRule="auto"/>
        <w:ind w:left="0"/>
        <w:rPr>
          <w:rFonts w:asciiTheme="minorEastAsia" w:hAnsiTheme="minorEastAsia" w:eastAsiaTheme="minorEastAsia" w:cstheme="minorEastAsia"/>
        </w:rPr>
      </w:pPr>
    </w:p>
    <w:p>
      <w:pPr>
        <w:pStyle w:val="2"/>
        <w:spacing w:line="360" w:lineRule="auto"/>
        <w:ind w:left="0"/>
        <w:rPr>
          <w:rFonts w:asciiTheme="minorEastAsia" w:hAnsiTheme="minorEastAsia" w:eastAsiaTheme="minorEastAsia" w:cstheme="minorEastAsia"/>
        </w:rPr>
      </w:pPr>
    </w:p>
    <w:p>
      <w:pPr>
        <w:pStyle w:val="2"/>
        <w:spacing w:line="360" w:lineRule="auto"/>
        <w:ind w:left="0"/>
        <w:rPr>
          <w:rFonts w:asciiTheme="minorEastAsia" w:hAnsiTheme="minorEastAsia" w:eastAsiaTheme="minorEastAsia" w:cstheme="minorEastAsia"/>
        </w:rPr>
      </w:pPr>
    </w:p>
    <w:p>
      <w:pPr>
        <w:pStyle w:val="4"/>
        <w:spacing w:before="175" w:line="360" w:lineRule="auto"/>
        <w:ind w:right="541"/>
        <w:rPr>
          <w:rFonts w:asciiTheme="minorEastAsia" w:hAnsiTheme="minorEastAsia" w:eastAsiaTheme="minorEastAsia" w:cstheme="minorEastAsia"/>
          <w:sz w:val="24"/>
          <w:szCs w:val="24"/>
        </w:rPr>
        <w:sectPr>
          <w:pgSz w:w="11910" w:h="16840"/>
          <w:pgMar w:top="1417" w:right="1247" w:bottom="1417" w:left="1247" w:header="0" w:footer="1226" w:gutter="0"/>
          <w:cols w:space="720" w:num="1"/>
        </w:sectPr>
      </w:pPr>
      <w:bookmarkStart w:id="101" w:name="五、其他资料"/>
      <w:bookmarkEnd w:id="101"/>
      <w:bookmarkStart w:id="102" w:name="_Toc11595"/>
      <w:bookmarkStart w:id="103" w:name="_Toc15374"/>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、其他资料</w:t>
      </w:r>
      <w:bookmarkEnd w:id="102"/>
      <w:bookmarkEnd w:id="103"/>
    </w:p>
    <w:p>
      <w:pPr>
        <w:pStyle w:val="6"/>
        <w:spacing w:before="45" w:line="312"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格式三 报价文件</w:t>
      </w:r>
    </w:p>
    <w:p>
      <w:pPr>
        <w:spacing w:line="500" w:lineRule="exact"/>
        <w:jc w:val="center"/>
        <w:rPr>
          <w:sz w:val="24"/>
          <w:szCs w:val="24"/>
        </w:rPr>
      </w:pPr>
      <w:bookmarkStart w:id="104" w:name="一、采购响应函"/>
      <w:bookmarkEnd w:id="104"/>
      <w:bookmarkStart w:id="105" w:name="_Toc4214"/>
      <w:bookmarkStart w:id="106" w:name="_Toc23149"/>
      <w:r>
        <w:rPr>
          <w:rFonts w:hint="eastAsia"/>
          <w:sz w:val="24"/>
          <w:szCs w:val="24"/>
        </w:rPr>
        <w:t>开标一览表</w:t>
      </w:r>
    </w:p>
    <w:p>
      <w:pPr>
        <w:pStyle w:val="13"/>
        <w:spacing w:line="400" w:lineRule="atLeast"/>
        <w:rPr>
          <w:rFonts w:hAnsi="宋体"/>
          <w:sz w:val="24"/>
          <w:szCs w:val="24"/>
        </w:rPr>
      </w:pPr>
      <w:r>
        <w:rPr>
          <w:rFonts w:hint="eastAsia" w:hAnsi="宋体"/>
          <w:sz w:val="24"/>
          <w:szCs w:val="24"/>
        </w:rPr>
        <w:t>项目名称：</w:t>
      </w:r>
    </w:p>
    <w:p>
      <w:pPr>
        <w:pStyle w:val="13"/>
        <w:spacing w:line="400" w:lineRule="atLeast"/>
        <w:rPr>
          <w:rFonts w:hAnsi="宋体"/>
          <w:sz w:val="24"/>
          <w:szCs w:val="24"/>
        </w:rPr>
      </w:pPr>
      <w:r>
        <w:rPr>
          <w:rFonts w:hint="eastAsia" w:hAnsi="宋体"/>
          <w:sz w:val="24"/>
          <w:szCs w:val="24"/>
        </w:rPr>
        <w:t xml:space="preserve">招标编号：    </w:t>
      </w:r>
    </w:p>
    <w:p>
      <w:pPr>
        <w:pStyle w:val="13"/>
        <w:spacing w:line="400" w:lineRule="atLeast"/>
        <w:rPr>
          <w:rFonts w:hAnsi="宋体"/>
          <w:sz w:val="24"/>
          <w:szCs w:val="24"/>
        </w:rPr>
      </w:pP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单位：人民币</w:t>
      </w:r>
    </w:p>
    <w:tbl>
      <w:tblPr>
        <w:tblStyle w:val="2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520"/>
        <w:gridCol w:w="36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8" w:hRule="atLeast"/>
        </w:trPr>
        <w:tc>
          <w:tcPr>
            <w:tcW w:w="864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ind w:left="-2" w:leftChars="-1"/>
              <w:rPr>
                <w:sz w:val="24"/>
                <w:szCs w:val="24"/>
              </w:rPr>
            </w:pPr>
            <w:r>
              <w:rPr>
                <w:rFonts w:hint="eastAsia"/>
                <w:sz w:val="24"/>
                <w:szCs w:val="24"/>
              </w:rPr>
              <w:t>说明：</w:t>
            </w:r>
          </w:p>
          <w:p>
            <w:pPr>
              <w:spacing w:line="360" w:lineRule="auto"/>
              <w:ind w:left="-2" w:leftChars="-1" w:firstLine="480" w:firstLineChars="200"/>
              <w:rPr>
                <w:sz w:val="24"/>
                <w:szCs w:val="24"/>
              </w:rPr>
            </w:pPr>
            <w:r>
              <w:rPr>
                <w:rFonts w:hint="eastAsia"/>
                <w:sz w:val="24"/>
                <w:szCs w:val="24"/>
              </w:rPr>
              <w:t>有关本项目实施所需的</w:t>
            </w:r>
            <w:r>
              <w:rPr>
                <w:rFonts w:hint="eastAsia"/>
                <w:sz w:val="24"/>
                <w:szCs w:val="24"/>
                <w:lang w:val="en-US"/>
              </w:rPr>
              <w:t>服务、</w:t>
            </w:r>
            <w:r>
              <w:rPr>
                <w:rFonts w:hint="eastAsia"/>
                <w:sz w:val="24"/>
                <w:szCs w:val="24"/>
              </w:rPr>
              <w:t>设备购置费、运输费、安装调试费、售后服务及维护费、税金等所涉及的一切费用均计入报价。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sz w:val="24"/>
                <w:szCs w:val="24"/>
              </w:rPr>
              <w:t>序号</w:t>
            </w:r>
          </w:p>
        </w:tc>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sz w:val="24"/>
                <w:szCs w:val="24"/>
              </w:rPr>
            </w:pPr>
            <w:r>
              <w:rPr>
                <w:rFonts w:hint="eastAsia"/>
                <w:sz w:val="24"/>
                <w:szCs w:val="24"/>
              </w:rPr>
              <w:t>名称</w:t>
            </w:r>
          </w:p>
        </w:tc>
        <w:tc>
          <w:tcPr>
            <w:tcW w:w="3600" w:type="dxa"/>
            <w:tcBorders>
              <w:top w:val="single" w:color="auto" w:sz="4" w:space="0"/>
              <w:left w:val="single" w:color="auto" w:sz="4" w:space="0"/>
              <w:bottom w:val="single" w:color="auto" w:sz="4" w:space="0"/>
              <w:right w:val="single" w:color="auto" w:sz="8" w:space="0"/>
            </w:tcBorders>
            <w:noWrap/>
            <w:vAlign w:val="center"/>
          </w:tcPr>
          <w:p>
            <w:pPr>
              <w:jc w:val="center"/>
              <w:rPr>
                <w:sz w:val="24"/>
                <w:szCs w:val="24"/>
              </w:rPr>
            </w:pPr>
            <w:r>
              <w:rPr>
                <w:rFonts w:hint="eastAsia"/>
                <w:sz w:val="24"/>
                <w:szCs w:val="24"/>
              </w:rPr>
              <w:t>内容</w:t>
            </w:r>
          </w:p>
        </w:tc>
        <w:tc>
          <w:tcPr>
            <w:tcW w:w="1440" w:type="dxa"/>
            <w:tcBorders>
              <w:top w:val="single" w:color="auto" w:sz="4" w:space="0"/>
              <w:left w:val="single" w:color="auto" w:sz="8" w:space="0"/>
              <w:bottom w:val="single" w:color="auto" w:sz="4" w:space="0"/>
              <w:right w:val="single" w:color="auto" w:sz="4" w:space="0"/>
            </w:tcBorders>
            <w:noWrap/>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080" w:type="dxa"/>
            <w:vMerge w:val="restart"/>
            <w:tcBorders>
              <w:top w:val="single" w:color="auto" w:sz="4" w:space="0"/>
              <w:left w:val="single" w:color="auto" w:sz="4" w:space="0"/>
              <w:right w:val="single" w:color="auto" w:sz="4" w:space="0"/>
            </w:tcBorders>
            <w:noWrap/>
            <w:vAlign w:val="center"/>
          </w:tcPr>
          <w:p>
            <w:pPr>
              <w:rPr>
                <w:sz w:val="24"/>
                <w:szCs w:val="24"/>
              </w:rPr>
            </w:pPr>
            <w:r>
              <w:rPr>
                <w:rFonts w:hint="eastAsia"/>
                <w:sz w:val="24"/>
                <w:szCs w:val="24"/>
              </w:rPr>
              <w:t>一</w:t>
            </w:r>
          </w:p>
        </w:tc>
        <w:tc>
          <w:tcPr>
            <w:tcW w:w="2520" w:type="dxa"/>
            <w:vMerge w:val="restart"/>
            <w:tcBorders>
              <w:top w:val="single" w:color="auto" w:sz="4" w:space="0"/>
              <w:left w:val="single" w:color="auto" w:sz="4" w:space="0"/>
              <w:right w:val="single" w:color="auto" w:sz="4" w:space="0"/>
            </w:tcBorders>
            <w:noWrap/>
            <w:vAlign w:val="center"/>
          </w:tcPr>
          <w:p>
            <w:pPr>
              <w:rPr>
                <w:sz w:val="24"/>
                <w:szCs w:val="24"/>
              </w:rPr>
            </w:pPr>
            <w:r>
              <w:rPr>
                <w:rFonts w:hint="eastAsia"/>
                <w:sz w:val="24"/>
                <w:szCs w:val="24"/>
              </w:rPr>
              <w:t>投标总价（元）</w:t>
            </w:r>
          </w:p>
        </w:tc>
        <w:tc>
          <w:tcPr>
            <w:tcW w:w="3600" w:type="dxa"/>
            <w:tcBorders>
              <w:top w:val="single" w:color="auto" w:sz="4" w:space="0"/>
              <w:left w:val="single" w:color="auto" w:sz="4" w:space="0"/>
              <w:bottom w:val="single" w:color="auto" w:sz="4" w:space="0"/>
              <w:right w:val="single" w:color="auto" w:sz="8" w:space="0"/>
            </w:tcBorders>
            <w:noWrap/>
            <w:vAlign w:val="center"/>
          </w:tcPr>
          <w:p>
            <w:pPr>
              <w:rPr>
                <w:sz w:val="24"/>
                <w:szCs w:val="24"/>
              </w:rPr>
            </w:pPr>
            <w:r>
              <w:rPr>
                <w:rFonts w:hint="eastAsia"/>
                <w:sz w:val="24"/>
                <w:szCs w:val="24"/>
              </w:rPr>
              <w:t>大写：</w:t>
            </w:r>
          </w:p>
        </w:tc>
        <w:tc>
          <w:tcPr>
            <w:tcW w:w="1440" w:type="dxa"/>
            <w:vMerge w:val="restart"/>
            <w:tcBorders>
              <w:top w:val="single" w:color="auto" w:sz="4" w:space="0"/>
              <w:left w:val="single" w:color="auto" w:sz="8" w:space="0"/>
              <w:right w:val="single" w:color="auto" w:sz="4" w:space="0"/>
            </w:tcBorders>
            <w:noWrap/>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1080" w:type="dxa"/>
            <w:vMerge w:val="continue"/>
            <w:tcBorders>
              <w:left w:val="single" w:color="auto" w:sz="4" w:space="0"/>
              <w:bottom w:val="single" w:color="auto" w:sz="4" w:space="0"/>
              <w:right w:val="single" w:color="auto" w:sz="4" w:space="0"/>
            </w:tcBorders>
            <w:noWrap/>
            <w:vAlign w:val="center"/>
          </w:tcPr>
          <w:p>
            <w:pPr>
              <w:rPr>
                <w:sz w:val="24"/>
                <w:szCs w:val="24"/>
              </w:rPr>
            </w:pPr>
          </w:p>
        </w:tc>
        <w:tc>
          <w:tcPr>
            <w:tcW w:w="2520" w:type="dxa"/>
            <w:vMerge w:val="continue"/>
            <w:tcBorders>
              <w:left w:val="single" w:color="auto" w:sz="4" w:space="0"/>
              <w:bottom w:val="single" w:color="auto" w:sz="4" w:space="0"/>
              <w:right w:val="single" w:color="auto" w:sz="4" w:space="0"/>
            </w:tcBorders>
            <w:noWrap/>
            <w:vAlign w:val="center"/>
          </w:tcPr>
          <w:p>
            <w:pPr>
              <w:rPr>
                <w:sz w:val="24"/>
                <w:szCs w:val="24"/>
              </w:rPr>
            </w:pPr>
          </w:p>
        </w:tc>
        <w:tc>
          <w:tcPr>
            <w:tcW w:w="3600" w:type="dxa"/>
            <w:tcBorders>
              <w:top w:val="single" w:color="auto" w:sz="4" w:space="0"/>
              <w:left w:val="single" w:color="auto" w:sz="4" w:space="0"/>
              <w:bottom w:val="single" w:color="auto" w:sz="4" w:space="0"/>
              <w:right w:val="single" w:color="auto" w:sz="8" w:space="0"/>
            </w:tcBorders>
            <w:noWrap/>
            <w:vAlign w:val="center"/>
          </w:tcPr>
          <w:p>
            <w:pPr>
              <w:rPr>
                <w:sz w:val="24"/>
                <w:szCs w:val="24"/>
              </w:rPr>
            </w:pPr>
            <w:r>
              <w:rPr>
                <w:rFonts w:hint="eastAsia"/>
                <w:sz w:val="24"/>
                <w:szCs w:val="24"/>
              </w:rPr>
              <w:t>小写：</w:t>
            </w:r>
          </w:p>
        </w:tc>
        <w:tc>
          <w:tcPr>
            <w:tcW w:w="1440" w:type="dxa"/>
            <w:vMerge w:val="continue"/>
            <w:tcBorders>
              <w:left w:val="single" w:color="auto" w:sz="8" w:space="0"/>
              <w:bottom w:val="single" w:color="auto" w:sz="4" w:space="0"/>
              <w:right w:val="single" w:color="auto" w:sz="4" w:space="0"/>
            </w:tcBorders>
            <w:noWrap/>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600" w:type="dxa"/>
            <w:gridSpan w:val="2"/>
            <w:tcBorders>
              <w:top w:val="single" w:color="auto" w:sz="4" w:space="0"/>
              <w:left w:val="single" w:color="auto" w:sz="4" w:space="0"/>
              <w:right w:val="single" w:color="auto" w:sz="4" w:space="0"/>
            </w:tcBorders>
            <w:noWrap/>
            <w:vAlign w:val="center"/>
          </w:tcPr>
          <w:p>
            <w:pPr>
              <w:ind w:firstLine="600" w:firstLineChars="250"/>
              <w:rPr>
                <w:sz w:val="24"/>
                <w:szCs w:val="24"/>
              </w:rPr>
            </w:pPr>
            <w:r>
              <w:rPr>
                <w:rFonts w:hint="eastAsia"/>
                <w:sz w:val="24"/>
                <w:szCs w:val="24"/>
              </w:rPr>
              <w:t>备注</w:t>
            </w:r>
          </w:p>
        </w:tc>
        <w:tc>
          <w:tcPr>
            <w:tcW w:w="3600" w:type="dxa"/>
            <w:tcBorders>
              <w:top w:val="single" w:color="auto" w:sz="4" w:space="0"/>
              <w:left w:val="single" w:color="auto" w:sz="4" w:space="0"/>
              <w:right w:val="single" w:color="auto" w:sz="8" w:space="0"/>
            </w:tcBorders>
            <w:noWrap/>
            <w:vAlign w:val="center"/>
          </w:tcPr>
          <w:p>
            <w:pPr>
              <w:rPr>
                <w:sz w:val="24"/>
                <w:szCs w:val="24"/>
              </w:rPr>
            </w:pPr>
          </w:p>
        </w:tc>
        <w:tc>
          <w:tcPr>
            <w:tcW w:w="1440" w:type="dxa"/>
            <w:tcBorders>
              <w:top w:val="single" w:color="auto" w:sz="4" w:space="0"/>
              <w:left w:val="single" w:color="auto" w:sz="8" w:space="0"/>
              <w:right w:val="single" w:color="auto" w:sz="4" w:space="0"/>
            </w:tcBorders>
            <w:noWrap/>
            <w:vAlign w:val="center"/>
          </w:tcPr>
          <w:p>
            <w:pPr>
              <w:rPr>
                <w:sz w:val="24"/>
                <w:szCs w:val="24"/>
              </w:rPr>
            </w:pPr>
          </w:p>
        </w:tc>
      </w:tr>
    </w:tbl>
    <w:p>
      <w:pPr>
        <w:spacing w:line="360" w:lineRule="auto"/>
        <w:ind w:right="-22" w:rightChars="-10" w:firstLine="240" w:firstLineChars="100"/>
        <w:rPr>
          <w:sz w:val="24"/>
          <w:szCs w:val="24"/>
        </w:rPr>
      </w:pPr>
      <w:r>
        <w:rPr>
          <w:rFonts w:hint="eastAsia"/>
          <w:sz w:val="24"/>
          <w:szCs w:val="24"/>
        </w:rPr>
        <w:t xml:space="preserve"> 注：1、以上投标总价必须含所有费用。此表作为唱标用，供应商不得更改格式。</w:t>
      </w:r>
    </w:p>
    <w:p>
      <w:pPr>
        <w:pStyle w:val="13"/>
        <w:spacing w:line="500" w:lineRule="exact"/>
        <w:rPr>
          <w:rFonts w:hAnsi="宋体"/>
          <w:sz w:val="24"/>
          <w:szCs w:val="24"/>
        </w:rPr>
      </w:pPr>
    </w:p>
    <w:p>
      <w:pPr>
        <w:pStyle w:val="13"/>
        <w:spacing w:line="500" w:lineRule="exact"/>
        <w:ind w:left="3710" w:leftChars="268" w:hanging="3120" w:hangingChars="1300"/>
        <w:rPr>
          <w:rFonts w:hAnsi="宋体"/>
          <w:sz w:val="24"/>
          <w:szCs w:val="24"/>
        </w:rPr>
      </w:pPr>
      <w:r>
        <w:rPr>
          <w:rFonts w:hint="eastAsia" w:hAnsi="宋体"/>
          <w:sz w:val="24"/>
          <w:szCs w:val="24"/>
        </w:rPr>
        <w:t>供应商（公章）：</w:t>
      </w:r>
    </w:p>
    <w:p>
      <w:pPr>
        <w:pStyle w:val="13"/>
        <w:spacing w:line="500" w:lineRule="exact"/>
        <w:ind w:left="3710" w:leftChars="268" w:hanging="3120" w:hangingChars="1300"/>
        <w:rPr>
          <w:rFonts w:hAnsi="宋体"/>
          <w:sz w:val="24"/>
          <w:szCs w:val="24"/>
        </w:rPr>
      </w:pPr>
    </w:p>
    <w:p>
      <w:pPr>
        <w:pStyle w:val="13"/>
        <w:spacing w:line="500" w:lineRule="exact"/>
        <w:ind w:left="3710" w:leftChars="268" w:hanging="3120" w:hangingChars="1300"/>
        <w:rPr>
          <w:rFonts w:hAnsi="宋体"/>
          <w:sz w:val="24"/>
          <w:szCs w:val="24"/>
        </w:rPr>
      </w:pPr>
      <w:r>
        <w:rPr>
          <w:rFonts w:hint="eastAsia" w:hAnsi="宋体"/>
          <w:sz w:val="24"/>
          <w:szCs w:val="24"/>
        </w:rPr>
        <w:t xml:space="preserve">法定代表人或其授权代表人：（签字或盖章）     </w:t>
      </w:r>
    </w:p>
    <w:p>
      <w:pPr>
        <w:pStyle w:val="13"/>
        <w:spacing w:line="500" w:lineRule="exact"/>
        <w:ind w:left="3710" w:leftChars="268" w:hanging="3120" w:hangingChars="1300"/>
        <w:rPr>
          <w:rFonts w:hAnsi="宋体"/>
          <w:sz w:val="24"/>
          <w:szCs w:val="24"/>
        </w:rPr>
      </w:pPr>
    </w:p>
    <w:p>
      <w:pPr>
        <w:snapToGrid w:val="0"/>
        <w:spacing w:line="540" w:lineRule="exact"/>
        <w:ind w:firstLine="1920" w:firstLineChars="800"/>
        <w:rPr>
          <w:sz w:val="24"/>
          <w:szCs w:val="24"/>
        </w:rPr>
      </w:pPr>
      <w:r>
        <w:rPr>
          <w:rFonts w:hint="eastAsia"/>
          <w:sz w:val="24"/>
          <w:szCs w:val="24"/>
        </w:rPr>
        <w:t xml:space="preserve">  年   月   日</w:t>
      </w:r>
    </w:p>
    <w:p>
      <w:pPr>
        <w:pStyle w:val="4"/>
        <w:spacing w:before="24" w:line="312" w:lineRule="auto"/>
        <w:ind w:right="544"/>
        <w:rPr>
          <w:rFonts w:asciiTheme="minorEastAsia" w:hAnsiTheme="minorEastAsia" w:eastAsiaTheme="minorEastAsia" w:cstheme="minorEastAsia"/>
          <w:sz w:val="24"/>
          <w:szCs w:val="24"/>
        </w:rPr>
      </w:pPr>
    </w:p>
    <w:p>
      <w:pPr>
        <w:pStyle w:val="4"/>
        <w:spacing w:before="24" w:line="312" w:lineRule="auto"/>
        <w:ind w:right="544"/>
        <w:rPr>
          <w:rFonts w:asciiTheme="minorEastAsia" w:hAnsiTheme="minorEastAsia" w:eastAsiaTheme="minorEastAsia" w:cstheme="minorEastAsia"/>
          <w:sz w:val="24"/>
          <w:szCs w:val="24"/>
        </w:rPr>
      </w:pPr>
    </w:p>
    <w:p>
      <w:pPr>
        <w:pStyle w:val="4"/>
        <w:spacing w:before="24" w:line="312" w:lineRule="auto"/>
        <w:ind w:right="544"/>
        <w:rPr>
          <w:rFonts w:asciiTheme="minorEastAsia" w:hAnsiTheme="minorEastAsia" w:eastAsiaTheme="minorEastAsia" w:cstheme="minorEastAsia"/>
          <w:sz w:val="24"/>
          <w:szCs w:val="24"/>
        </w:rPr>
      </w:pPr>
    </w:p>
    <w:p>
      <w:pPr>
        <w:pStyle w:val="4"/>
        <w:spacing w:before="24" w:line="312" w:lineRule="auto"/>
        <w:ind w:right="544"/>
        <w:rPr>
          <w:rFonts w:asciiTheme="minorEastAsia" w:hAnsiTheme="minorEastAsia" w:eastAsiaTheme="minorEastAsia" w:cstheme="minorEastAsia"/>
          <w:sz w:val="24"/>
          <w:szCs w:val="24"/>
        </w:rPr>
      </w:pPr>
    </w:p>
    <w:p/>
    <w:p>
      <w:pPr>
        <w:pStyle w:val="4"/>
        <w:spacing w:before="24" w:line="312" w:lineRule="auto"/>
        <w:ind w:right="544"/>
        <w:rPr>
          <w:rFonts w:asciiTheme="minorEastAsia" w:hAnsiTheme="minorEastAsia" w:eastAsiaTheme="minorEastAsia" w:cstheme="minorEastAsia"/>
          <w:sz w:val="24"/>
          <w:szCs w:val="24"/>
        </w:rPr>
      </w:pPr>
    </w:p>
    <w:p>
      <w:pPr>
        <w:pStyle w:val="4"/>
        <w:spacing w:before="24" w:line="312" w:lineRule="auto"/>
        <w:ind w:right="544"/>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pPr>
    </w:p>
    <w:p>
      <w:pPr>
        <w:pStyle w:val="4"/>
        <w:spacing w:before="24" w:line="312" w:lineRule="auto"/>
        <w:ind w:right="544"/>
        <w:rPr>
          <w:rFonts w:asciiTheme="minorEastAsia" w:hAnsiTheme="minorEastAsia" w:eastAsiaTheme="minorEastAsia" w:cstheme="minorEastAsia"/>
          <w:sz w:val="24"/>
          <w:szCs w:val="24"/>
        </w:rPr>
      </w:pPr>
    </w:p>
    <w:p>
      <w:pPr>
        <w:snapToGrid w:val="0"/>
        <w:spacing w:line="312" w:lineRule="auto"/>
        <w:jc w:val="center"/>
        <w:outlineLvl w:val="0"/>
        <w:rPr>
          <w:bCs/>
          <w:szCs w:val="21"/>
        </w:rPr>
      </w:pPr>
      <w:r>
        <w:rPr>
          <w:rFonts w:hint="eastAsia"/>
          <w:bCs/>
          <w:szCs w:val="21"/>
        </w:rPr>
        <w:t>投标报价明细表</w:t>
      </w:r>
    </w:p>
    <w:p>
      <w:pPr>
        <w:snapToGrid w:val="0"/>
        <w:spacing w:line="312" w:lineRule="auto"/>
        <w:rPr>
          <w:szCs w:val="21"/>
        </w:rPr>
      </w:pPr>
    </w:p>
    <w:p>
      <w:pPr>
        <w:autoSpaceDE/>
        <w:autoSpaceDN/>
        <w:spacing w:line="300" w:lineRule="exact"/>
        <w:ind w:firstLine="440" w:firstLineChars="200"/>
        <w:rPr>
          <w:bCs/>
          <w:szCs w:val="21"/>
        </w:rPr>
      </w:pPr>
      <w:r>
        <w:rPr>
          <w:rFonts w:hint="eastAsia"/>
          <w:bCs/>
          <w:szCs w:val="21"/>
        </w:rPr>
        <w:t xml:space="preserve">项目名称：                </w:t>
      </w:r>
    </w:p>
    <w:p>
      <w:pPr>
        <w:autoSpaceDE/>
        <w:autoSpaceDN/>
        <w:spacing w:after="120" w:afterLines="50" w:line="300" w:lineRule="exact"/>
        <w:ind w:firstLine="440" w:firstLineChars="200"/>
        <w:rPr>
          <w:szCs w:val="21"/>
        </w:rPr>
      </w:pPr>
      <w:r>
        <w:rPr>
          <w:rFonts w:hint="eastAsia"/>
          <w:bCs/>
          <w:szCs w:val="21"/>
        </w:rPr>
        <w:t xml:space="preserve">项目编号：  </w:t>
      </w:r>
      <w:r>
        <w:rPr>
          <w:rFonts w:hint="eastAsia"/>
          <w:szCs w:val="21"/>
        </w:rPr>
        <w:t xml:space="preserve">                             单位：元 </w:t>
      </w:r>
    </w:p>
    <w:tbl>
      <w:tblPr>
        <w:tblStyle w:val="21"/>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509"/>
        <w:gridCol w:w="1735"/>
        <w:gridCol w:w="173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b/>
                <w:bCs/>
                <w:sz w:val="21"/>
                <w:szCs w:val="21"/>
              </w:rPr>
            </w:pPr>
            <w:r>
              <w:rPr>
                <w:rFonts w:hint="eastAsia" w:ascii="宋体" w:eastAsia="宋体"/>
                <w:b/>
                <w:bCs/>
                <w:sz w:val="21"/>
                <w:szCs w:val="21"/>
              </w:rPr>
              <w:t>序号</w:t>
            </w:r>
          </w:p>
        </w:tc>
        <w:tc>
          <w:tcPr>
            <w:tcW w:w="3509" w:type="dxa"/>
            <w:noWrap/>
            <w:vAlign w:val="center"/>
          </w:tcPr>
          <w:p>
            <w:pPr>
              <w:pStyle w:val="30"/>
              <w:spacing w:line="280" w:lineRule="exact"/>
              <w:ind w:firstLine="0" w:firstLineChars="0"/>
              <w:jc w:val="center"/>
              <w:rPr>
                <w:rFonts w:ascii="宋体" w:eastAsia="宋体"/>
                <w:b/>
                <w:bCs/>
                <w:sz w:val="21"/>
                <w:szCs w:val="21"/>
              </w:rPr>
            </w:pPr>
            <w:r>
              <w:rPr>
                <w:rFonts w:hint="eastAsia" w:ascii="宋体" w:eastAsia="宋体"/>
                <w:b/>
                <w:bCs/>
                <w:sz w:val="21"/>
                <w:szCs w:val="21"/>
              </w:rPr>
              <w:t>名称</w:t>
            </w:r>
          </w:p>
        </w:tc>
        <w:tc>
          <w:tcPr>
            <w:tcW w:w="1735" w:type="dxa"/>
            <w:noWrap/>
            <w:vAlign w:val="center"/>
          </w:tcPr>
          <w:p>
            <w:pPr>
              <w:pStyle w:val="30"/>
              <w:spacing w:line="280" w:lineRule="exact"/>
              <w:ind w:firstLine="0" w:firstLineChars="0"/>
              <w:jc w:val="center"/>
              <w:rPr>
                <w:rFonts w:ascii="宋体" w:eastAsia="宋体"/>
                <w:b/>
                <w:bCs/>
                <w:sz w:val="21"/>
                <w:szCs w:val="21"/>
              </w:rPr>
            </w:pPr>
            <w:r>
              <w:rPr>
                <w:rFonts w:hint="eastAsia" w:ascii="宋体" w:eastAsia="宋体"/>
                <w:b/>
                <w:bCs/>
                <w:sz w:val="21"/>
                <w:szCs w:val="21"/>
              </w:rPr>
              <w:t>单价（</w:t>
            </w:r>
            <w:r>
              <w:rPr>
                <w:rFonts w:hint="eastAsia" w:ascii="宋体" w:eastAsia="宋体"/>
                <w:b/>
                <w:bCs/>
                <w:sz w:val="21"/>
                <w:szCs w:val="21"/>
                <w:lang w:val="en-US"/>
              </w:rPr>
              <w:t>元</w:t>
            </w:r>
            <w:r>
              <w:rPr>
                <w:rFonts w:hint="eastAsia" w:ascii="宋体" w:eastAsia="宋体"/>
                <w:b/>
                <w:bCs/>
                <w:sz w:val="21"/>
                <w:szCs w:val="21"/>
              </w:rPr>
              <w:t>）</w:t>
            </w:r>
          </w:p>
        </w:tc>
        <w:tc>
          <w:tcPr>
            <w:tcW w:w="1735" w:type="dxa"/>
            <w:noWrap/>
            <w:vAlign w:val="center"/>
          </w:tcPr>
          <w:p>
            <w:pPr>
              <w:pStyle w:val="30"/>
              <w:spacing w:line="280" w:lineRule="exact"/>
              <w:ind w:firstLine="0" w:firstLineChars="0"/>
              <w:jc w:val="center"/>
              <w:rPr>
                <w:rFonts w:ascii="宋体" w:eastAsia="宋体"/>
                <w:b/>
                <w:bCs/>
                <w:sz w:val="21"/>
                <w:szCs w:val="21"/>
                <w:lang w:val="en-US"/>
              </w:rPr>
            </w:pPr>
            <w:r>
              <w:rPr>
                <w:rFonts w:hint="eastAsia" w:ascii="宋体" w:eastAsia="宋体"/>
                <w:b/>
                <w:bCs/>
                <w:sz w:val="21"/>
                <w:szCs w:val="21"/>
                <w:lang w:val="en-US"/>
              </w:rPr>
              <w:t>数量</w:t>
            </w:r>
          </w:p>
        </w:tc>
        <w:tc>
          <w:tcPr>
            <w:tcW w:w="1735" w:type="dxa"/>
            <w:noWrap/>
            <w:vAlign w:val="center"/>
          </w:tcPr>
          <w:p>
            <w:pPr>
              <w:pStyle w:val="30"/>
              <w:spacing w:line="280" w:lineRule="exact"/>
              <w:ind w:firstLine="0" w:firstLineChars="0"/>
              <w:jc w:val="center"/>
              <w:rPr>
                <w:rFonts w:ascii="宋体" w:eastAsia="宋体"/>
                <w:b/>
                <w:bCs/>
                <w:sz w:val="21"/>
                <w:szCs w:val="21"/>
                <w:lang w:val="en-US"/>
              </w:rPr>
            </w:pPr>
            <w:r>
              <w:rPr>
                <w:rFonts w:hint="eastAsia" w:ascii="宋体" w:eastAsia="宋体"/>
                <w:b/>
                <w:bCs/>
                <w:sz w:val="21"/>
                <w:szCs w:val="21"/>
                <w:lang w:val="en-US"/>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0"/>
              <w:spacing w:line="280" w:lineRule="exact"/>
              <w:ind w:firstLine="0" w:firstLineChars="0"/>
              <w:jc w:val="center"/>
              <w:rPr>
                <w:rFonts w:ascii="宋体" w:eastAsia="宋体"/>
                <w:sz w:val="21"/>
                <w:szCs w:val="21"/>
              </w:rPr>
            </w:pPr>
          </w:p>
        </w:tc>
        <w:tc>
          <w:tcPr>
            <w:tcW w:w="3509" w:type="dxa"/>
            <w:noWrap/>
            <w:vAlign w:val="center"/>
          </w:tcPr>
          <w:p>
            <w:pPr>
              <w:pStyle w:val="30"/>
              <w:spacing w:line="280" w:lineRule="exact"/>
              <w:ind w:firstLine="0" w:firstLineChars="0"/>
              <w:jc w:val="center"/>
              <w:rPr>
                <w:rFonts w:ascii="宋体" w:eastAsia="宋体"/>
                <w:sz w:val="21"/>
                <w:szCs w:val="21"/>
              </w:rPr>
            </w:pPr>
            <w:r>
              <w:rPr>
                <w:rFonts w:hint="eastAsia" w:ascii="宋体" w:eastAsia="宋体"/>
                <w:sz w:val="21"/>
                <w:szCs w:val="21"/>
              </w:rPr>
              <w:t>总计</w:t>
            </w: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c>
          <w:tcPr>
            <w:tcW w:w="1735" w:type="dxa"/>
            <w:noWrap/>
            <w:vAlign w:val="center"/>
          </w:tcPr>
          <w:p>
            <w:pPr>
              <w:pStyle w:val="30"/>
              <w:spacing w:line="280" w:lineRule="exact"/>
              <w:ind w:firstLine="0" w:firstLineChars="0"/>
              <w:jc w:val="center"/>
              <w:rPr>
                <w:rFonts w:ascii="宋体" w:eastAsia="宋体"/>
                <w:sz w:val="21"/>
                <w:szCs w:val="21"/>
              </w:rPr>
            </w:pPr>
          </w:p>
        </w:tc>
      </w:tr>
    </w:tbl>
    <w:p>
      <w:pPr>
        <w:snapToGrid w:val="0"/>
        <w:spacing w:line="312" w:lineRule="auto"/>
        <w:ind w:firstLine="220" w:firstLineChars="100"/>
        <w:rPr>
          <w:szCs w:val="21"/>
        </w:rPr>
      </w:pPr>
      <w:r>
        <w:rPr>
          <w:rFonts w:hint="eastAsia"/>
          <w:szCs w:val="21"/>
        </w:rPr>
        <w:t>注：1.逐项列出所需的各种费用，</w:t>
      </w:r>
      <w:r>
        <w:rPr>
          <w:rFonts w:hint="eastAsia"/>
          <w:szCs w:val="21"/>
          <w:lang w:val="en-US"/>
        </w:rPr>
        <w:t>总计</w:t>
      </w:r>
      <w:r>
        <w:rPr>
          <w:rFonts w:hint="eastAsia"/>
          <w:szCs w:val="21"/>
        </w:rPr>
        <w:t>应与投标报价相同。</w:t>
      </w:r>
    </w:p>
    <w:p>
      <w:pPr>
        <w:snapToGrid w:val="0"/>
        <w:spacing w:line="312" w:lineRule="auto"/>
        <w:ind w:firstLine="660" w:firstLineChars="300"/>
        <w:rPr>
          <w:szCs w:val="21"/>
        </w:rPr>
      </w:pPr>
      <w:r>
        <w:rPr>
          <w:rFonts w:hint="eastAsia"/>
          <w:szCs w:val="21"/>
        </w:rPr>
        <w:t>2.以上表格中各项可进一步细分，栏数不够可自加。</w:t>
      </w:r>
    </w:p>
    <w:p>
      <w:pPr>
        <w:snapToGrid w:val="0"/>
        <w:spacing w:line="312" w:lineRule="auto"/>
        <w:rPr>
          <w:szCs w:val="21"/>
        </w:rPr>
      </w:pPr>
    </w:p>
    <w:p>
      <w:pPr>
        <w:pStyle w:val="2"/>
      </w:pPr>
    </w:p>
    <w:p>
      <w:pPr>
        <w:pStyle w:val="13"/>
        <w:spacing w:line="500" w:lineRule="exact"/>
        <w:ind w:left="3710" w:leftChars="268" w:hanging="3120" w:hangingChars="1300"/>
        <w:rPr>
          <w:rFonts w:hAnsi="宋体"/>
          <w:sz w:val="24"/>
          <w:szCs w:val="24"/>
        </w:rPr>
      </w:pPr>
      <w:r>
        <w:rPr>
          <w:rFonts w:hint="eastAsia" w:hAnsi="宋体"/>
          <w:sz w:val="24"/>
          <w:szCs w:val="24"/>
        </w:rPr>
        <w:t>供应商（公章）：</w:t>
      </w:r>
    </w:p>
    <w:p>
      <w:pPr>
        <w:pStyle w:val="13"/>
        <w:spacing w:line="500" w:lineRule="exact"/>
        <w:ind w:left="3710" w:leftChars="268" w:hanging="3120" w:hangingChars="1300"/>
        <w:rPr>
          <w:rFonts w:hAnsi="宋体"/>
          <w:sz w:val="24"/>
          <w:szCs w:val="24"/>
        </w:rPr>
      </w:pPr>
    </w:p>
    <w:p>
      <w:pPr>
        <w:pStyle w:val="13"/>
        <w:spacing w:line="500" w:lineRule="exact"/>
        <w:ind w:left="3710" w:leftChars="268" w:hanging="3120" w:hangingChars="1300"/>
        <w:rPr>
          <w:rFonts w:hAnsi="宋体"/>
          <w:sz w:val="24"/>
          <w:szCs w:val="24"/>
        </w:rPr>
      </w:pPr>
      <w:r>
        <w:rPr>
          <w:rFonts w:hint="eastAsia" w:hAnsi="宋体"/>
          <w:sz w:val="24"/>
          <w:szCs w:val="24"/>
        </w:rPr>
        <w:t xml:space="preserve">法定代表人或其授权代表人：（签字或盖章）     </w:t>
      </w:r>
    </w:p>
    <w:p>
      <w:pPr>
        <w:pStyle w:val="13"/>
        <w:spacing w:line="500" w:lineRule="exact"/>
        <w:ind w:left="3710" w:leftChars="268" w:hanging="3120" w:hangingChars="1300"/>
        <w:rPr>
          <w:rFonts w:hAnsi="宋体"/>
          <w:sz w:val="24"/>
          <w:szCs w:val="24"/>
        </w:rPr>
      </w:pPr>
    </w:p>
    <w:p>
      <w:pPr>
        <w:snapToGrid w:val="0"/>
        <w:spacing w:line="540" w:lineRule="exact"/>
        <w:ind w:firstLine="1920" w:firstLineChars="800"/>
        <w:rPr>
          <w:sz w:val="24"/>
          <w:szCs w:val="24"/>
        </w:rPr>
      </w:pPr>
      <w:r>
        <w:rPr>
          <w:rFonts w:hint="eastAsia"/>
          <w:sz w:val="24"/>
          <w:szCs w:val="24"/>
        </w:rPr>
        <w:t xml:space="preserve">  年   月   日</w:t>
      </w:r>
    </w:p>
    <w:p/>
    <w:p>
      <w:pPr>
        <w:pStyle w:val="2"/>
      </w:pPr>
    </w:p>
    <w:p/>
    <w:p>
      <w:pPr>
        <w:pStyle w:val="4"/>
        <w:spacing w:before="24" w:line="312" w:lineRule="auto"/>
        <w:ind w:right="544"/>
        <w:rPr>
          <w:rFonts w:asciiTheme="minorEastAsia" w:hAnsiTheme="minorEastAsia" w:eastAsiaTheme="minorEastAsia" w:cstheme="minorEastAsia"/>
          <w:sz w:val="24"/>
          <w:szCs w:val="24"/>
        </w:rPr>
      </w:pPr>
    </w:p>
    <w:p/>
    <w:bookmarkEnd w:id="105"/>
    <w:bookmarkEnd w:id="106"/>
    <w:p>
      <w:pPr>
        <w:pStyle w:val="5"/>
        <w:spacing w:before="24" w:line="312" w:lineRule="auto"/>
        <w:ind w:left="0"/>
        <w:jc w:val="center"/>
        <w:rPr>
          <w:rFonts w:asciiTheme="minorEastAsia" w:hAnsiTheme="minorEastAsia" w:eastAsiaTheme="minorEastAsia" w:cstheme="minorEastAsia"/>
          <w:b/>
          <w:bCs/>
          <w:sz w:val="24"/>
          <w:szCs w:val="24"/>
        </w:rPr>
      </w:pPr>
      <w:bookmarkStart w:id="107" w:name="三、报价明细清单"/>
      <w:bookmarkEnd w:id="107"/>
      <w:r>
        <w:rPr>
          <w:rFonts w:hint="eastAsia" w:asciiTheme="minorEastAsia" w:hAnsiTheme="minorEastAsia" w:eastAsiaTheme="minorEastAsia" w:cstheme="minorEastAsia"/>
          <w:b/>
          <w:bCs/>
          <w:spacing w:val="-1"/>
          <w:sz w:val="24"/>
          <w:szCs w:val="24"/>
        </w:rPr>
        <w:t xml:space="preserve">格式四 </w:t>
      </w:r>
      <w:r>
        <w:rPr>
          <w:rFonts w:hint="eastAsia" w:asciiTheme="minorEastAsia" w:hAnsiTheme="minorEastAsia" w:eastAsiaTheme="minorEastAsia" w:cstheme="minorEastAsia"/>
          <w:b/>
          <w:bCs/>
          <w:sz w:val="24"/>
          <w:szCs w:val="24"/>
        </w:rPr>
        <w:t>采购响应文件封面</w:t>
      </w:r>
    </w:p>
    <w:p>
      <w:pPr>
        <w:spacing w:before="221" w:line="312" w:lineRule="auto"/>
        <w:ind w:right="1364"/>
        <w:jc w:val="both"/>
        <w:rPr>
          <w:rFonts w:asciiTheme="minorEastAsia" w:hAnsiTheme="minorEastAsia" w:eastAsiaTheme="minorEastAsia" w:cstheme="minorEastAsia"/>
          <w:b/>
          <w:sz w:val="48"/>
        </w:rPr>
      </w:pPr>
      <w:bookmarkStart w:id="108" w:name="_Toc31709"/>
      <w:bookmarkStart w:id="109" w:name="_Toc30380"/>
    </w:p>
    <w:p>
      <w:pPr>
        <w:spacing w:line="480" w:lineRule="auto"/>
        <w:jc w:val="center"/>
        <w:outlineLvl w:val="0"/>
        <w:rPr>
          <w:b/>
          <w:bCs/>
          <w:sz w:val="36"/>
          <w:szCs w:val="36"/>
        </w:rPr>
      </w:pPr>
      <w:r>
        <w:rPr>
          <w:rFonts w:hint="eastAsia"/>
          <w:b/>
          <w:bCs/>
          <w:sz w:val="36"/>
          <w:szCs w:val="36"/>
        </w:rPr>
        <w:t>柯城区“耕地智保”高位视频监控服务项目</w:t>
      </w:r>
    </w:p>
    <w:p>
      <w:pPr>
        <w:jc w:val="center"/>
        <w:rPr>
          <w:lang w:val="en-US"/>
        </w:rPr>
      </w:pPr>
      <w:bookmarkStart w:id="110" w:name="_Toc1340"/>
      <w:r>
        <w:rPr>
          <w:rFonts w:hint="eastAsia"/>
          <w:b/>
          <w:bCs/>
          <w:sz w:val="36"/>
          <w:szCs w:val="36"/>
        </w:rPr>
        <w:t>项目编号：</w:t>
      </w:r>
      <w:bookmarkEnd w:id="108"/>
      <w:bookmarkEnd w:id="109"/>
      <w:bookmarkEnd w:id="110"/>
      <w:r>
        <w:rPr>
          <w:rFonts w:hint="eastAsia"/>
          <w:b/>
          <w:bCs/>
          <w:sz w:val="36"/>
          <w:szCs w:val="36"/>
        </w:rPr>
        <w:t>ZJCT-Z20220081</w:t>
      </w:r>
    </w:p>
    <w:p>
      <w:pPr>
        <w:jc w:val="center"/>
        <w:rPr>
          <w:sz w:val="28"/>
          <w:szCs w:val="28"/>
          <w:lang w:val="en-US"/>
        </w:rPr>
      </w:pPr>
      <w:bookmarkStart w:id="111" w:name="_Toc12847"/>
    </w:p>
    <w:p>
      <w:pPr>
        <w:jc w:val="center"/>
        <w:rPr>
          <w:sz w:val="24"/>
          <w:szCs w:val="24"/>
          <w:lang w:val="en-US"/>
        </w:rPr>
      </w:pPr>
      <w:r>
        <w:rPr>
          <w:sz w:val="32"/>
          <w:szCs w:val="32"/>
          <w:lang w:val="en-US"/>
        </w:rPr>
        <w:t>(资格文件/商务技术文件/报价文件)</w:t>
      </w:r>
    </w:p>
    <w:p>
      <w:pPr>
        <w:pStyle w:val="20"/>
        <w:rPr>
          <w:lang w:eastAsia="zh-CN"/>
        </w:rPr>
      </w:pPr>
    </w:p>
    <w:p>
      <w:pPr>
        <w:spacing w:line="312" w:lineRule="auto"/>
        <w:ind w:left="4180" w:right="4722"/>
        <w:jc w:val="both"/>
        <w:outlineLvl w:val="0"/>
        <w:rPr>
          <w:rFonts w:asciiTheme="minorEastAsia" w:hAnsiTheme="minorEastAsia" w:eastAsiaTheme="minorEastAsia" w:cstheme="minorEastAsia"/>
          <w:sz w:val="52"/>
        </w:rPr>
      </w:pPr>
      <w:bookmarkStart w:id="112" w:name="_Toc22581"/>
      <w:bookmarkStart w:id="113" w:name="_Toc1536"/>
      <w:r>
        <w:rPr>
          <w:rFonts w:hint="eastAsia" w:asciiTheme="minorEastAsia" w:hAnsiTheme="minorEastAsia" w:eastAsiaTheme="minorEastAsia" w:cstheme="minorEastAsia"/>
          <w:sz w:val="52"/>
        </w:rPr>
        <w:t>采购响应文件</w:t>
      </w:r>
      <w:bookmarkEnd w:id="111"/>
      <w:bookmarkEnd w:id="112"/>
      <w:bookmarkEnd w:id="113"/>
    </w:p>
    <w:p>
      <w:pPr>
        <w:pStyle w:val="5"/>
        <w:tabs>
          <w:tab w:val="left" w:pos="1881"/>
          <w:tab w:val="left" w:pos="2680"/>
          <w:tab w:val="left" w:pos="5241"/>
        </w:tabs>
        <w:spacing w:line="312" w:lineRule="auto"/>
        <w:ind w:right="1624"/>
        <w:jc w:val="center"/>
        <w:rPr>
          <w:rFonts w:asciiTheme="minorEastAsia" w:hAnsiTheme="minorEastAsia" w:eastAsiaTheme="minorEastAsia" w:cstheme="minorEastAsia"/>
        </w:rPr>
      </w:pPr>
    </w:p>
    <w:p>
      <w:pPr>
        <w:pStyle w:val="5"/>
        <w:tabs>
          <w:tab w:val="left" w:pos="1881"/>
          <w:tab w:val="left" w:pos="2680"/>
          <w:tab w:val="left" w:pos="5241"/>
        </w:tabs>
        <w:spacing w:line="360" w:lineRule="auto"/>
        <w:ind w:right="1624"/>
        <w:jc w:val="center"/>
        <w:rPr>
          <w:rFonts w:asciiTheme="minorEastAsia" w:hAnsiTheme="minorEastAsia" w:eastAsiaTheme="minorEastAsia" w:cstheme="minorEastAsia"/>
        </w:rPr>
      </w:pPr>
    </w:p>
    <w:p>
      <w:pPr>
        <w:pStyle w:val="5"/>
        <w:tabs>
          <w:tab w:val="left" w:pos="1881"/>
          <w:tab w:val="left" w:pos="2680"/>
          <w:tab w:val="left" w:pos="5241"/>
        </w:tabs>
        <w:spacing w:line="360" w:lineRule="auto"/>
        <w:ind w:right="1624"/>
        <w:jc w:val="center"/>
        <w:rPr>
          <w:rFonts w:asciiTheme="minorEastAsia" w:hAnsiTheme="minorEastAsia" w:eastAsiaTheme="minorEastAsia" w:cstheme="minorEastAsia"/>
          <w:spacing w:val="-16"/>
        </w:rPr>
      </w:pPr>
      <w:r>
        <w:rPr>
          <w:rFonts w:hint="eastAsia" w:asciiTheme="minorEastAsia" w:hAnsiTheme="minorEastAsia" w:eastAsiaTheme="minorEastAsia" w:cstheme="minorEastAsia"/>
        </w:rPr>
        <w:t>供应商全称：（加盖单位公章</w:t>
      </w:r>
      <w:r>
        <w:rPr>
          <w:rFonts w:hint="eastAsia" w:asciiTheme="minorEastAsia" w:hAnsiTheme="minorEastAsia" w:eastAsiaTheme="minorEastAsia" w:cstheme="minorEastAsia"/>
          <w:spacing w:val="-16"/>
        </w:rPr>
        <w:t xml:space="preserve">） </w:t>
      </w:r>
    </w:p>
    <w:p>
      <w:pPr>
        <w:pStyle w:val="5"/>
        <w:tabs>
          <w:tab w:val="left" w:pos="1881"/>
          <w:tab w:val="left" w:pos="2680"/>
          <w:tab w:val="left" w:pos="5241"/>
        </w:tabs>
        <w:spacing w:line="360" w:lineRule="auto"/>
        <w:ind w:right="1624" w:firstLine="1280" w:firstLineChars="400"/>
        <w:jc w:val="both"/>
        <w:rPr>
          <w:rFonts w:asciiTheme="minorEastAsia" w:hAnsiTheme="minorEastAsia" w:eastAsiaTheme="minorEastAsia" w:cstheme="minorEastAsia"/>
          <w:spacing w:val="-16"/>
          <w:lang w:val="en-US"/>
        </w:rPr>
      </w:pPr>
      <w:r>
        <w:rPr>
          <w:rFonts w:hint="eastAsia" w:asciiTheme="minorEastAsia" w:hAnsiTheme="minorEastAsia" w:eastAsiaTheme="minorEastAsia" w:cstheme="minorEastAsia"/>
          <w:lang w:val="en-US"/>
        </w:rPr>
        <w:t>供应商地址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ab/>
      </w:r>
    </w:p>
    <w:p>
      <w:pPr>
        <w:pStyle w:val="5"/>
        <w:tabs>
          <w:tab w:val="left" w:pos="1881"/>
          <w:tab w:val="left" w:pos="2680"/>
          <w:tab w:val="left" w:pos="5241"/>
        </w:tabs>
        <w:spacing w:line="360" w:lineRule="auto"/>
        <w:ind w:right="1624"/>
        <w:jc w:val="center"/>
        <w:rPr>
          <w:rFonts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sectPr>
      <w:pgSz w:w="11910" w:h="16840"/>
      <w:pgMar w:top="1417" w:right="1247" w:bottom="1417" w:left="1247" w:header="0" w:footer="122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3756660</wp:posOffset>
              </wp:positionH>
              <wp:positionV relativeFrom="page">
                <wp:posOffset>9773285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5.8pt;margin-top:769.55pt;height:12pt;width:8.5pt;mso-position-horizontal-relative:page;mso-position-vertical-relative:page;z-index:-251657216;mso-width-relative:page;mso-height-relative:page;" filled="f" stroked="f" coordsize="21600,21600" o:gfxdata="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PbHNoAAAANAQAADwAAAAAAAAABACAAAAAiAAAAZHJzL2Rvd25yZXYueG1s&#10;UEsBAhQAFAAAAAgAh07iQIxPlaK9AQAAfwMAAA4AAAAAAAAAAQAgAAAAKQEAAGRycy9lMm9Eb2Mu&#10;eG1sUEsFBgAAAAAGAAYAWQEAAFg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3728085</wp:posOffset>
              </wp:positionH>
              <wp:positionV relativeFrom="page">
                <wp:posOffset>9773285</wp:posOffset>
              </wp:positionV>
              <wp:extent cx="16637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55pt;margin-top:769.55pt;height:12pt;width:13.1pt;mso-position-horizontal-relative:page;mso-position-vertical-relative:page;z-index:-251656192;mso-width-relative:page;mso-height-relative:page;" filled="f" stroked="f" coordsize="21600,21600" o:gfxdata="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h6lPvaAAAADQEAAA8AAAAAAAAAAQAgAAAAIgAAAGRycy9kb3ducmV2Lnht&#10;bFBLAQIUABQAAAAIAIdO4kBmn+VfvgEAAH8DAAAOAAAAAAAAAAEAIAAAACkBAABkcnMvZTJvRG9j&#10;LnhtbFBLBQYAAAAABgAGAFkBAABZ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3728085</wp:posOffset>
              </wp:positionH>
              <wp:positionV relativeFrom="page">
                <wp:posOffset>9773285</wp:posOffset>
              </wp:positionV>
              <wp:extent cx="16637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55pt;margin-top:769.55pt;height:12pt;width:13.1pt;mso-position-horizontal-relative:page;mso-position-vertical-relative:page;z-index:-251655168;mso-width-relative:page;mso-height-relative:page;" filled="f" stroked="f" coordsize="21600,21600" o:gfxdata="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h6lPvaAAAADQEAAA8AAAAAAAAAAQAgAAAAIgAAAGRycy9kb3ducmV2Lnht&#10;bFBLAQIUABQAAAAIAIdO4kCaEFWYvgEAAH8DAAAOAAAAAAAAAAEAIAAAACkBAABkcnMvZTJvRG9j&#10;LnhtbFBLBQYAAAAABgAGAFkBAABZ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E6"/>
    <w:rsid w:val="000D1C3D"/>
    <w:rsid w:val="001429F9"/>
    <w:rsid w:val="00146906"/>
    <w:rsid w:val="0017114D"/>
    <w:rsid w:val="00191B80"/>
    <w:rsid w:val="00205911"/>
    <w:rsid w:val="00240482"/>
    <w:rsid w:val="00313913"/>
    <w:rsid w:val="00351891"/>
    <w:rsid w:val="00382EDD"/>
    <w:rsid w:val="003A414E"/>
    <w:rsid w:val="00403B9B"/>
    <w:rsid w:val="0041506F"/>
    <w:rsid w:val="00416CBF"/>
    <w:rsid w:val="00424725"/>
    <w:rsid w:val="00431616"/>
    <w:rsid w:val="00435B6F"/>
    <w:rsid w:val="004A29C2"/>
    <w:rsid w:val="004B0270"/>
    <w:rsid w:val="00532EDE"/>
    <w:rsid w:val="005342A8"/>
    <w:rsid w:val="005458C1"/>
    <w:rsid w:val="0056759C"/>
    <w:rsid w:val="00587FAA"/>
    <w:rsid w:val="0065627A"/>
    <w:rsid w:val="0068690D"/>
    <w:rsid w:val="00692AFC"/>
    <w:rsid w:val="006B0419"/>
    <w:rsid w:val="0071336B"/>
    <w:rsid w:val="00723CF0"/>
    <w:rsid w:val="00726BDE"/>
    <w:rsid w:val="00730CD5"/>
    <w:rsid w:val="00763552"/>
    <w:rsid w:val="007652E4"/>
    <w:rsid w:val="00771A12"/>
    <w:rsid w:val="007A5349"/>
    <w:rsid w:val="007C0DCE"/>
    <w:rsid w:val="007F117C"/>
    <w:rsid w:val="0080296B"/>
    <w:rsid w:val="00810146"/>
    <w:rsid w:val="00814B1F"/>
    <w:rsid w:val="00847E65"/>
    <w:rsid w:val="00854C1B"/>
    <w:rsid w:val="009205E6"/>
    <w:rsid w:val="00940C17"/>
    <w:rsid w:val="00943FDA"/>
    <w:rsid w:val="00960493"/>
    <w:rsid w:val="009827FC"/>
    <w:rsid w:val="009D2525"/>
    <w:rsid w:val="009F17A3"/>
    <w:rsid w:val="00A21C8C"/>
    <w:rsid w:val="00AB5859"/>
    <w:rsid w:val="00AC52E8"/>
    <w:rsid w:val="00AC6032"/>
    <w:rsid w:val="00B16FCF"/>
    <w:rsid w:val="00B974BC"/>
    <w:rsid w:val="00C17627"/>
    <w:rsid w:val="00C83106"/>
    <w:rsid w:val="00CD04FA"/>
    <w:rsid w:val="00CE1AA3"/>
    <w:rsid w:val="00D16F20"/>
    <w:rsid w:val="00DB35A9"/>
    <w:rsid w:val="00E7793B"/>
    <w:rsid w:val="00E917B7"/>
    <w:rsid w:val="00ED0202"/>
    <w:rsid w:val="00EF7828"/>
    <w:rsid w:val="00F14960"/>
    <w:rsid w:val="00F362ED"/>
    <w:rsid w:val="00F7010C"/>
    <w:rsid w:val="00F728DD"/>
    <w:rsid w:val="00FB607B"/>
    <w:rsid w:val="00FD79B5"/>
    <w:rsid w:val="00FF41CF"/>
    <w:rsid w:val="01B652A1"/>
    <w:rsid w:val="041D238B"/>
    <w:rsid w:val="04264301"/>
    <w:rsid w:val="05917CFB"/>
    <w:rsid w:val="05D96D19"/>
    <w:rsid w:val="08FE34D1"/>
    <w:rsid w:val="0DD51EDF"/>
    <w:rsid w:val="0E4A6D0F"/>
    <w:rsid w:val="136510A3"/>
    <w:rsid w:val="14924026"/>
    <w:rsid w:val="160B3EC9"/>
    <w:rsid w:val="169250F8"/>
    <w:rsid w:val="17B67077"/>
    <w:rsid w:val="196721EE"/>
    <w:rsid w:val="1B0B546D"/>
    <w:rsid w:val="1F7770AC"/>
    <w:rsid w:val="239020A6"/>
    <w:rsid w:val="2548615C"/>
    <w:rsid w:val="27B71F60"/>
    <w:rsid w:val="295944C9"/>
    <w:rsid w:val="2CAD6543"/>
    <w:rsid w:val="2CAE0195"/>
    <w:rsid w:val="2D047D4A"/>
    <w:rsid w:val="2D9E6758"/>
    <w:rsid w:val="2DE042F6"/>
    <w:rsid w:val="2E725434"/>
    <w:rsid w:val="3101069C"/>
    <w:rsid w:val="31DC1B82"/>
    <w:rsid w:val="349463A9"/>
    <w:rsid w:val="35C47BE7"/>
    <w:rsid w:val="36176A07"/>
    <w:rsid w:val="36CE71D3"/>
    <w:rsid w:val="3706074D"/>
    <w:rsid w:val="38AE77CD"/>
    <w:rsid w:val="390C782F"/>
    <w:rsid w:val="395047E5"/>
    <w:rsid w:val="3C9413A7"/>
    <w:rsid w:val="3F874DA5"/>
    <w:rsid w:val="3FEA7E0A"/>
    <w:rsid w:val="40271F33"/>
    <w:rsid w:val="40897E9C"/>
    <w:rsid w:val="40D064C8"/>
    <w:rsid w:val="423A402A"/>
    <w:rsid w:val="425A25CF"/>
    <w:rsid w:val="440A04A6"/>
    <w:rsid w:val="44993E7F"/>
    <w:rsid w:val="452E2709"/>
    <w:rsid w:val="4685376E"/>
    <w:rsid w:val="49D62708"/>
    <w:rsid w:val="4B7E3383"/>
    <w:rsid w:val="4DA63E67"/>
    <w:rsid w:val="4E9C26A0"/>
    <w:rsid w:val="4F665B83"/>
    <w:rsid w:val="4F8758DD"/>
    <w:rsid w:val="52611F65"/>
    <w:rsid w:val="5A542E08"/>
    <w:rsid w:val="5A792C15"/>
    <w:rsid w:val="5AC26337"/>
    <w:rsid w:val="5E92727E"/>
    <w:rsid w:val="609E5C8C"/>
    <w:rsid w:val="6301275F"/>
    <w:rsid w:val="6575041C"/>
    <w:rsid w:val="65F74FD5"/>
    <w:rsid w:val="66D4173C"/>
    <w:rsid w:val="683F70D7"/>
    <w:rsid w:val="68CC6550"/>
    <w:rsid w:val="6F5C38F6"/>
    <w:rsid w:val="72C52B36"/>
    <w:rsid w:val="738842FA"/>
    <w:rsid w:val="77D54470"/>
    <w:rsid w:val="783D53D4"/>
    <w:rsid w:val="786911BB"/>
    <w:rsid w:val="7BC74A42"/>
    <w:rsid w:val="7DDD5CAB"/>
    <w:rsid w:val="7F1C0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3"/>
      <w:ind w:right="539"/>
      <w:jc w:val="center"/>
      <w:outlineLvl w:val="0"/>
    </w:pPr>
    <w:rPr>
      <w:b/>
      <w:bCs/>
      <w:sz w:val="36"/>
      <w:szCs w:val="36"/>
    </w:rPr>
  </w:style>
  <w:style w:type="paragraph" w:styleId="4">
    <w:name w:val="heading 2"/>
    <w:basedOn w:val="1"/>
    <w:next w:val="1"/>
    <w:qFormat/>
    <w:uiPriority w:val="1"/>
    <w:pPr>
      <w:jc w:val="center"/>
      <w:outlineLvl w:val="1"/>
    </w:pPr>
    <w:rPr>
      <w:b/>
      <w:bCs/>
      <w:sz w:val="32"/>
      <w:szCs w:val="32"/>
    </w:rPr>
  </w:style>
  <w:style w:type="paragraph" w:styleId="5">
    <w:name w:val="heading 3"/>
    <w:basedOn w:val="1"/>
    <w:next w:val="1"/>
    <w:qFormat/>
    <w:uiPriority w:val="1"/>
    <w:pPr>
      <w:ind w:left="1080"/>
      <w:outlineLvl w:val="2"/>
    </w:pPr>
    <w:rPr>
      <w:sz w:val="32"/>
      <w:szCs w:val="32"/>
    </w:rPr>
  </w:style>
  <w:style w:type="paragraph" w:styleId="6">
    <w:name w:val="heading 4"/>
    <w:basedOn w:val="1"/>
    <w:next w:val="1"/>
    <w:qFormat/>
    <w:uiPriority w:val="1"/>
    <w:pPr>
      <w:ind w:right="541"/>
      <w:jc w:val="center"/>
      <w:outlineLvl w:val="3"/>
    </w:pPr>
    <w:rPr>
      <w:b/>
      <w:bCs/>
      <w:sz w:val="30"/>
      <w:szCs w:val="30"/>
    </w:rPr>
  </w:style>
  <w:style w:type="paragraph" w:styleId="7">
    <w:name w:val="heading 5"/>
    <w:basedOn w:val="1"/>
    <w:next w:val="1"/>
    <w:qFormat/>
    <w:uiPriority w:val="1"/>
    <w:pPr>
      <w:spacing w:before="2"/>
      <w:ind w:left="237"/>
      <w:outlineLvl w:val="4"/>
    </w:pPr>
    <w:rPr>
      <w:b/>
      <w:bCs/>
      <w:sz w:val="28"/>
      <w:szCs w:val="28"/>
    </w:rPr>
  </w:style>
  <w:style w:type="paragraph" w:styleId="8">
    <w:name w:val="heading 6"/>
    <w:basedOn w:val="1"/>
    <w:next w:val="1"/>
    <w:qFormat/>
    <w:uiPriority w:val="1"/>
    <w:pPr>
      <w:spacing w:before="44"/>
      <w:ind w:right="539"/>
      <w:jc w:val="center"/>
      <w:outlineLvl w:val="5"/>
    </w:pPr>
    <w:rPr>
      <w:sz w:val="28"/>
      <w:szCs w:val="28"/>
    </w:rPr>
  </w:style>
  <w:style w:type="paragraph" w:styleId="9">
    <w:name w:val="heading 7"/>
    <w:basedOn w:val="1"/>
    <w:next w:val="1"/>
    <w:qFormat/>
    <w:uiPriority w:val="1"/>
    <w:pPr>
      <w:ind w:left="237"/>
      <w:outlineLvl w:val="6"/>
    </w:pPr>
    <w:rPr>
      <w:b/>
      <w:bCs/>
      <w:sz w:val="24"/>
      <w:szCs w:val="24"/>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pPr>
      <w:ind w:left="237"/>
    </w:pPr>
    <w:rPr>
      <w:sz w:val="24"/>
      <w:szCs w:val="24"/>
    </w:rPr>
  </w:style>
  <w:style w:type="paragraph" w:styleId="10">
    <w:name w:val="annotation text"/>
    <w:basedOn w:val="1"/>
    <w:link w:val="39"/>
    <w:unhideWhenUsed/>
    <w:qFormat/>
    <w:uiPriority w:val="0"/>
    <w:pPr>
      <w:autoSpaceDE/>
      <w:autoSpaceDN/>
    </w:pPr>
    <w:rPr>
      <w:rFonts w:ascii="仿宋_GB2312" w:hAnsi="Times New Roman" w:eastAsia="仿宋_GB2312" w:cs="Times New Roman"/>
      <w:kern w:val="2"/>
      <w:sz w:val="28"/>
      <w:szCs w:val="28"/>
      <w:lang w:val="en-US" w:bidi="ar-SA"/>
    </w:rPr>
  </w:style>
  <w:style w:type="paragraph" w:styleId="11">
    <w:name w:val="Body Text Indent"/>
    <w:basedOn w:val="1"/>
    <w:link w:val="37"/>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next w:val="1"/>
    <w:qFormat/>
    <w:uiPriority w:val="0"/>
    <w:rPr>
      <w:rFonts w:hAnsi="Courier New"/>
    </w:rPr>
  </w:style>
  <w:style w:type="paragraph" w:styleId="14">
    <w:name w:val="Balloon Text"/>
    <w:basedOn w:val="1"/>
    <w:link w:val="36"/>
    <w:qFormat/>
    <w:uiPriority w:val="0"/>
    <w:rPr>
      <w:sz w:val="18"/>
      <w:szCs w:val="18"/>
    </w:rPr>
  </w:style>
  <w:style w:type="paragraph" w:styleId="15">
    <w:name w:val="footer"/>
    <w:basedOn w:val="1"/>
    <w:link w:val="35"/>
    <w:qFormat/>
    <w:uiPriority w:val="0"/>
    <w:pPr>
      <w:tabs>
        <w:tab w:val="center" w:pos="4153"/>
        <w:tab w:val="right" w:pos="8306"/>
      </w:tabs>
      <w:snapToGrid w:val="0"/>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1"/>
    <w:pPr>
      <w:spacing w:before="158"/>
      <w:ind w:right="541"/>
      <w:jc w:val="center"/>
    </w:pPr>
    <w:rPr>
      <w:sz w:val="24"/>
      <w:szCs w:val="24"/>
    </w:rPr>
  </w:style>
  <w:style w:type="paragraph" w:styleId="18">
    <w:name w:val="Body Text Indent 3"/>
    <w:basedOn w:val="1"/>
    <w:unhideWhenUsed/>
    <w:qFormat/>
    <w:uiPriority w:val="99"/>
    <w:pPr>
      <w:spacing w:after="120"/>
      <w:ind w:left="283"/>
    </w:pPr>
    <w:rPr>
      <w:sz w:val="16"/>
      <w:szCs w:val="16"/>
    </w:rPr>
  </w:style>
  <w:style w:type="paragraph" w:styleId="19">
    <w:name w:val="toc 2"/>
    <w:basedOn w:val="1"/>
    <w:next w:val="1"/>
    <w:qFormat/>
    <w:uiPriority w:val="0"/>
    <w:pPr>
      <w:ind w:left="420" w:leftChars="200"/>
    </w:pPr>
  </w:style>
  <w:style w:type="paragraph" w:styleId="20">
    <w:name w:val="Title"/>
    <w:basedOn w:val="1"/>
    <w:next w:val="1"/>
    <w:qFormat/>
    <w:uiPriority w:val="0"/>
    <w:pPr>
      <w:jc w:val="center"/>
    </w:pPr>
    <w:rPr>
      <w:rFonts w:ascii="Arial" w:hAnsi="Arial"/>
      <w:b/>
      <w:sz w:val="36"/>
      <w:lang w:eastAsia="en-US"/>
    </w:rPr>
  </w:style>
  <w:style w:type="table" w:styleId="22">
    <w:name w:val="Table Grid"/>
    <w:basedOn w:val="21"/>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0"/>
    <w:rPr>
      <w:color w:val="0000FF" w:themeColor="hyperlink"/>
      <w:u w:val="single"/>
      <w14:textFill>
        <w14:solidFill>
          <w14:schemeClr w14:val="hlink"/>
        </w14:solidFill>
      </w14:textFill>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237" w:firstLine="480"/>
    </w:pPr>
  </w:style>
  <w:style w:type="paragraph" w:customStyle="1" w:styleId="28">
    <w:name w:val="Table Paragraph"/>
    <w:basedOn w:val="1"/>
    <w:qFormat/>
    <w:uiPriority w:val="1"/>
  </w:style>
  <w:style w:type="paragraph" w:customStyle="1" w:styleId="29">
    <w:name w:val="[Normal]"/>
    <w:qFormat/>
    <w:uiPriority w:val="0"/>
    <w:rPr>
      <w:rFonts w:ascii="宋体" w:hAnsi="宋体" w:eastAsia="宋体" w:cs="Times New Roman"/>
      <w:sz w:val="24"/>
      <w:szCs w:val="22"/>
      <w:lang w:val="zh-CN" w:eastAsia="zh-CN" w:bidi="ar-SA"/>
    </w:rPr>
  </w:style>
  <w:style w:type="paragraph" w:customStyle="1" w:styleId="30">
    <w:name w:val="正文缩进2格"/>
    <w:basedOn w:val="1"/>
    <w:qFormat/>
    <w:uiPriority w:val="0"/>
    <w:pPr>
      <w:spacing w:line="600" w:lineRule="exact"/>
      <w:ind w:firstLine="639" w:firstLineChars="206"/>
    </w:pPr>
    <w:rPr>
      <w:rFonts w:ascii="仿宋_GB2312" w:eastAsia="仿宋_GB2312"/>
      <w:sz w:val="31"/>
      <w:szCs w:val="28"/>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1"/>
    <w:qFormat/>
    <w:uiPriority w:val="0"/>
    <w:rPr>
      <w:rFonts w:ascii="Times New Roman" w:hAnsi="Times New Roman" w:eastAsia="宋体" w:cs="Times New Roman"/>
      <w:lang w:val="en-US" w:eastAsia="zh-CN" w:bidi="ar-SA"/>
    </w:rPr>
  </w:style>
  <w:style w:type="character" w:customStyle="1" w:styleId="34">
    <w:name w:val="页眉 字符"/>
    <w:basedOn w:val="23"/>
    <w:link w:val="16"/>
    <w:qFormat/>
    <w:uiPriority w:val="0"/>
    <w:rPr>
      <w:rFonts w:ascii="宋体" w:hAnsi="宋体" w:cs="宋体"/>
      <w:sz w:val="18"/>
      <w:szCs w:val="18"/>
      <w:lang w:val="zh-CN" w:bidi="zh-CN"/>
    </w:rPr>
  </w:style>
  <w:style w:type="character" w:customStyle="1" w:styleId="35">
    <w:name w:val="页脚 字符"/>
    <w:basedOn w:val="23"/>
    <w:link w:val="15"/>
    <w:qFormat/>
    <w:uiPriority w:val="0"/>
    <w:rPr>
      <w:rFonts w:ascii="宋体" w:hAnsi="宋体" w:cs="宋体"/>
      <w:sz w:val="18"/>
      <w:szCs w:val="18"/>
      <w:lang w:val="zh-CN" w:bidi="zh-CN"/>
    </w:rPr>
  </w:style>
  <w:style w:type="character" w:customStyle="1" w:styleId="36">
    <w:name w:val="批注框文本 字符"/>
    <w:basedOn w:val="23"/>
    <w:link w:val="14"/>
    <w:qFormat/>
    <w:uiPriority w:val="0"/>
    <w:rPr>
      <w:rFonts w:ascii="宋体" w:hAnsi="宋体" w:cs="宋体"/>
      <w:sz w:val="18"/>
      <w:szCs w:val="18"/>
      <w:lang w:val="zh-CN" w:bidi="zh-CN"/>
    </w:rPr>
  </w:style>
  <w:style w:type="character" w:customStyle="1" w:styleId="37">
    <w:name w:val="正文文本缩进 字符"/>
    <w:basedOn w:val="23"/>
    <w:link w:val="11"/>
    <w:qFormat/>
    <w:uiPriority w:val="0"/>
    <w:rPr>
      <w:rFonts w:ascii="宋体" w:hAnsi="宋体" w:cs="宋体"/>
      <w:sz w:val="22"/>
      <w:szCs w:val="22"/>
      <w:lang w:val="zh-CN" w:bidi="zh-CN"/>
    </w:rPr>
  </w:style>
  <w:style w:type="character" w:customStyle="1" w:styleId="38">
    <w:name w:val="批注文字 Char1"/>
    <w:qFormat/>
    <w:uiPriority w:val="0"/>
    <w:rPr>
      <w:rFonts w:ascii="仿宋_GB2312" w:eastAsia="仿宋_GB2312"/>
      <w:kern w:val="2"/>
      <w:sz w:val="28"/>
      <w:szCs w:val="28"/>
    </w:rPr>
  </w:style>
  <w:style w:type="character" w:customStyle="1" w:styleId="39">
    <w:name w:val="批注文字 字符"/>
    <w:basedOn w:val="23"/>
    <w:link w:val="10"/>
    <w:qFormat/>
    <w:uiPriority w:val="0"/>
    <w:rPr>
      <w:rFonts w:ascii="宋体" w:hAnsi="宋体" w:cs="宋体"/>
      <w:sz w:val="22"/>
      <w:szCs w:val="22"/>
      <w:lang w:val="zh-CN" w:bidi="zh-CN"/>
    </w:rPr>
  </w:style>
  <w:style w:type="paragraph" w:customStyle="1" w:styleId="40">
    <w:name w:val="正文文本缩进1"/>
    <w:basedOn w:val="1"/>
    <w:qFormat/>
    <w:uiPriority w:val="0"/>
    <w:pPr>
      <w:autoSpaceDE/>
      <w:autoSpaceDN/>
      <w:spacing w:after="120"/>
      <w:ind w:left="420" w:leftChars="200"/>
      <w:jc w:val="both"/>
    </w:pPr>
    <w:rPr>
      <w:rFonts w:ascii="Times New Roman" w:hAnsi="Times New Roman" w:cs="Times New Roman"/>
      <w:kern w:val="2"/>
      <w:sz w:val="24"/>
      <w:szCs w:val="20"/>
      <w:lang w:val="en-US" w:bidi="ar-SA"/>
    </w:rPr>
  </w:style>
  <w:style w:type="paragraph" w:customStyle="1" w:styleId="41">
    <w:name w:val="内文1"/>
    <w:qFormat/>
    <w:uiPriority w:val="0"/>
    <w:pPr>
      <w:spacing w:line="420" w:lineRule="exact"/>
      <w:ind w:firstLine="200" w:firstLineChars="200"/>
      <w:jc w:val="both"/>
    </w:pPr>
    <w:rPr>
      <w:rFonts w:ascii="仿宋_GB2312" w:hAnsi="宋体" w:eastAsia="仿宋_GB2312" w:cs="Times New Roman"/>
      <w:sz w:val="24"/>
      <w:szCs w:val="21"/>
      <w:lang w:val="en-US" w:eastAsia="zh-CN" w:bidi="ar-SA"/>
    </w:rPr>
  </w:style>
  <w:style w:type="paragraph" w:customStyle="1" w:styleId="42">
    <w:name w:val="正文段"/>
    <w:basedOn w:val="1"/>
    <w:qFormat/>
    <w:uiPriority w:val="0"/>
    <w:pPr>
      <w:widowControl/>
      <w:autoSpaceDE/>
      <w:autoSpaceDN/>
      <w:snapToGrid w:val="0"/>
      <w:spacing w:afterLines="50"/>
      <w:ind w:firstLine="200" w:firstLineChars="200"/>
      <w:jc w:val="both"/>
    </w:pPr>
    <w:rPr>
      <w:rFonts w:ascii="Times New Roman" w:hAnsi="Times New Roman" w:cs="Times New Roman"/>
      <w:sz w:val="24"/>
      <w:szCs w:val="20"/>
      <w:lang w:val="en-US" w:bidi="ar-SA"/>
    </w:rPr>
  </w:style>
  <w:style w:type="paragraph" w:customStyle="1" w:styleId="43">
    <w:name w:val=".o.a"/>
    <w:basedOn w:val="1"/>
    <w:next w:val="1"/>
    <w:qFormat/>
    <w:uiPriority w:val="0"/>
    <w:pPr>
      <w:adjustRightInd w:val="0"/>
    </w:pPr>
    <w:rPr>
      <w:sz w:val="24"/>
      <w:szCs w:val="24"/>
      <w:lang w:eastAsia="en-US"/>
    </w:rPr>
  </w:style>
  <w:style w:type="paragraph" w:customStyle="1" w:styleId="44">
    <w:name w:val="样式1"/>
    <w:basedOn w:val="4"/>
    <w:qFormat/>
    <w:uiPriority w:val="0"/>
    <w:pPr>
      <w:spacing w:line="415" w:lineRule="auto"/>
    </w:pPr>
    <w:rPr>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6CB53-F035-4C38-93C1-145D7D7818B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33</Pages>
  <Words>4890</Words>
  <Characters>27875</Characters>
  <Lines>232</Lines>
  <Paragraphs>65</Paragraphs>
  <TotalTime>52</TotalTime>
  <ScaleCrop>false</ScaleCrop>
  <LinksUpToDate>false</LinksUpToDate>
  <CharactersWithSpaces>32700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2020-11-17T06:35:00Z</dcterms:created>
  <dc:creator>侯凯</dc:creator>
  <cp:lastModifiedBy>撸起袖子就是干！</cp:lastModifiedBy>
  <cp:lastPrinted>2022-07-11T09:02:00Z</cp:lastPrinted>
  <dcterms:modified xsi:type="dcterms:W3CDTF">2022-07-14T07:10:07Z</dcterms:modified>
  <dc:title>CGR</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WPS 文字</vt:lpwstr>
  </property>
  <property fmtid="{D5CDD505-2E9C-101B-9397-08002B2CF9AE}" pid="4" name="LastSaved">
    <vt:filetime>2020-06-08T00:00:00Z</vt:filetime>
  </property>
  <property fmtid="{D5CDD505-2E9C-101B-9397-08002B2CF9AE}" pid="5" name="KSOProductBuildVer">
    <vt:lpwstr>2052-11.1.0.11339</vt:lpwstr>
  </property>
  <property fmtid="{D5CDD505-2E9C-101B-9397-08002B2CF9AE}" pid="6" name="ICV">
    <vt:lpwstr>B92F31E02429443BB191F3C679518871</vt:lpwstr>
  </property>
</Properties>
</file>