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hint="eastAsia" w:ascii="宋体" w:hAnsi="宋体" w:eastAsia="宋体" w:cs="宋体"/>
          <w:b/>
          <w:bCs/>
          <w:color w:val="000000"/>
          <w:spacing w:val="6"/>
          <w:sz w:val="44"/>
          <w:szCs w:val="44"/>
          <w:lang w:eastAsia="zh-CN"/>
        </w:rPr>
      </w:pPr>
      <w:bookmarkStart w:id="134" w:name="_GoBack"/>
      <w:bookmarkEnd w:id="134"/>
      <w:r>
        <w:rPr>
          <w:rFonts w:hint="eastAsia" w:ascii="宋体" w:hAnsi="宋体" w:eastAsia="宋体" w:cs="宋体"/>
          <w:b/>
          <w:bCs/>
          <w:color w:val="000000"/>
          <w:spacing w:val="6"/>
          <w:sz w:val="44"/>
          <w:szCs w:val="44"/>
          <w:lang w:eastAsia="zh-CN"/>
        </w:rPr>
        <w:t>黄湖镇道路保洁等服务采购项目</w:t>
      </w: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jc w:val="center"/>
        <w:rPr>
          <w:rFonts w:hint="eastAsia" w:ascii="宋体" w:hAnsi="宋体" w:cs="宋体"/>
          <w:b/>
          <w:bCs/>
          <w:sz w:val="84"/>
          <w:szCs w:val="84"/>
        </w:rPr>
      </w:pPr>
      <w:r>
        <w:rPr>
          <w:rFonts w:hint="eastAsia" w:ascii="宋体" w:hAnsi="宋体" w:cs="宋体"/>
          <w:b/>
          <w:bCs/>
          <w:sz w:val="84"/>
          <w:szCs w:val="84"/>
        </w:rPr>
        <w:t>公开招标文件</w:t>
      </w:r>
    </w:p>
    <w:p>
      <w:pPr>
        <w:widowControl/>
        <w:spacing w:line="600" w:lineRule="exact"/>
        <w:ind w:right="-2"/>
        <w:jc w:val="center"/>
        <w:rPr>
          <w:rFonts w:hint="eastAsia" w:ascii="宋体" w:hAnsi="宋体" w:cs="宋体"/>
          <w:b/>
          <w:color w:val="000000"/>
          <w:sz w:val="52"/>
          <w:szCs w:val="52"/>
        </w:rPr>
      </w:pPr>
      <w:r>
        <w:rPr>
          <w:rFonts w:hint="eastAsia" w:ascii="宋体" w:hAnsi="宋体" w:cs="宋体"/>
          <w:b/>
          <w:color w:val="000000"/>
          <w:sz w:val="52"/>
          <w:szCs w:val="52"/>
        </w:rPr>
        <w:t>（线上电子招投标）</w:t>
      </w:r>
    </w:p>
    <w:p>
      <w:pPr>
        <w:shd w:val="clear" w:color="auto" w:fill="FFFFFF"/>
        <w:snapToGrid w:val="0"/>
        <w:spacing w:line="600" w:lineRule="exact"/>
        <w:jc w:val="center"/>
        <w:rPr>
          <w:rFonts w:hint="eastAsia" w:ascii="宋体" w:hAnsi="宋体" w:cs="宋体"/>
          <w:b/>
          <w:bCs/>
          <w:color w:val="000000"/>
          <w:sz w:val="32"/>
          <w:szCs w:val="32"/>
        </w:rPr>
      </w:pPr>
      <w:r>
        <w:rPr>
          <w:rFonts w:hint="eastAsia" w:ascii="宋体" w:hAnsi="宋体" w:cs="宋体"/>
          <w:b/>
          <w:bCs/>
          <w:color w:val="000000"/>
          <w:sz w:val="32"/>
          <w:szCs w:val="32"/>
        </w:rPr>
        <w:t>招标编号：</w:t>
      </w:r>
      <w:r>
        <w:rPr>
          <w:rFonts w:hint="eastAsia" w:ascii="宋体" w:hAnsi="宋体" w:cs="宋体"/>
          <w:b/>
          <w:bCs/>
          <w:color w:val="000000"/>
          <w:sz w:val="32"/>
          <w:szCs w:val="32"/>
          <w:lang w:eastAsia="zh-CN"/>
        </w:rPr>
        <w:t>ZCZFCG2020-009</w:t>
      </w: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pStyle w:val="31"/>
        <w:jc w:val="center"/>
        <w:rPr>
          <w:rFonts w:hint="eastAsia" w:ascii="宋体" w:hAnsi="宋体" w:eastAsia="宋体" w:cs="宋体"/>
          <w:b/>
          <w:bCs/>
          <w:color w:val="000000"/>
          <w:spacing w:val="6"/>
          <w:sz w:val="44"/>
          <w:szCs w:val="44"/>
        </w:rPr>
      </w:pPr>
    </w:p>
    <w:p>
      <w:pPr>
        <w:jc w:val="center"/>
        <w:rPr>
          <w:rFonts w:hint="eastAsia" w:ascii="宋体" w:hAnsi="宋体" w:cs="宋体"/>
          <w:b/>
          <w:bCs/>
          <w:sz w:val="28"/>
          <w:szCs w:val="28"/>
        </w:rPr>
      </w:pPr>
      <w:r>
        <w:rPr>
          <w:rFonts w:hint="eastAsia" w:ascii="宋体" w:hAnsi="宋体" w:cs="宋体"/>
          <w:b/>
          <w:bCs/>
          <w:sz w:val="28"/>
          <w:szCs w:val="28"/>
        </w:rPr>
        <w:t>招标人：杭州市余杭区黄湖镇人民政府</w:t>
      </w:r>
    </w:p>
    <w:p>
      <w:pPr>
        <w:pStyle w:val="31"/>
        <w:jc w:val="center"/>
        <w:rPr>
          <w:rFonts w:hint="eastAsia" w:ascii="宋体" w:hAnsi="宋体" w:eastAsia="宋体" w:cs="宋体"/>
          <w:b/>
          <w:bCs/>
        </w:rPr>
      </w:pPr>
    </w:p>
    <w:p>
      <w:pPr>
        <w:pStyle w:val="31"/>
        <w:jc w:val="center"/>
        <w:rPr>
          <w:rFonts w:hint="eastAsia" w:ascii="宋体" w:hAnsi="宋体" w:eastAsia="宋体" w:cs="宋体"/>
          <w:b/>
          <w:bCs/>
        </w:rPr>
      </w:pPr>
    </w:p>
    <w:p>
      <w:pPr>
        <w:jc w:val="center"/>
        <w:rPr>
          <w:rFonts w:hint="eastAsia" w:ascii="宋体" w:hAnsi="宋体" w:cs="宋体"/>
          <w:b/>
          <w:bCs/>
          <w:sz w:val="28"/>
          <w:szCs w:val="28"/>
        </w:rPr>
      </w:pPr>
      <w:r>
        <w:rPr>
          <w:rFonts w:hint="eastAsia" w:ascii="宋体" w:hAnsi="宋体" w:cs="宋体"/>
          <w:b/>
          <w:bCs/>
          <w:sz w:val="28"/>
          <w:szCs w:val="28"/>
        </w:rPr>
        <w:t>招标代理机构：杭州政采工程咨询代理有限公司</w:t>
      </w:r>
    </w:p>
    <w:p>
      <w:pPr>
        <w:pStyle w:val="31"/>
        <w:jc w:val="center"/>
        <w:rPr>
          <w:rFonts w:hint="eastAsia" w:ascii="宋体" w:hAnsi="宋体" w:eastAsia="宋体" w:cs="宋体"/>
        </w:rPr>
      </w:pPr>
    </w:p>
    <w:p>
      <w:pPr>
        <w:pStyle w:val="31"/>
        <w:jc w:val="center"/>
        <w:rPr>
          <w:rFonts w:hint="eastAsia" w:ascii="宋体" w:hAnsi="宋体" w:eastAsia="宋体" w:cs="宋体"/>
        </w:rPr>
      </w:pPr>
    </w:p>
    <w:p>
      <w:pPr>
        <w:jc w:val="center"/>
        <w:rPr>
          <w:rFonts w:hint="eastAsia" w:ascii="宋体" w:hAnsi="宋体" w:cs="宋体"/>
          <w:b/>
          <w:bCs/>
          <w:sz w:val="28"/>
          <w:szCs w:val="28"/>
        </w:rPr>
      </w:pPr>
      <w:r>
        <w:rPr>
          <w:rFonts w:hint="eastAsia" w:ascii="宋体" w:hAnsi="宋体" w:cs="宋体"/>
          <w:b/>
          <w:bCs/>
          <w:sz w:val="28"/>
          <w:szCs w:val="28"/>
        </w:rPr>
        <w:t>二O二O年三月</w:t>
      </w:r>
    </w:p>
    <w:p>
      <w:pPr>
        <w:jc w:val="center"/>
        <w:rPr>
          <w:rFonts w:hint="eastAsia" w:ascii="宋体" w:hAnsi="宋体" w:cs="宋体"/>
          <w:b/>
          <w:bCs/>
          <w:sz w:val="32"/>
          <w:szCs w:val="32"/>
        </w:rPr>
        <w:sectPr>
          <w:footerReference r:id="rId3" w:type="default"/>
          <w:pgSz w:w="11906" w:h="16838"/>
          <w:pgMar w:top="1531" w:right="1304" w:bottom="1531" w:left="1361" w:header="851" w:footer="1304" w:gutter="0"/>
          <w:cols w:space="720" w:num="1"/>
          <w:docGrid w:linePitch="312" w:charSpace="0"/>
        </w:sectPr>
      </w:pPr>
    </w:p>
    <w:p>
      <w:pPr>
        <w:jc w:val="center"/>
        <w:rPr>
          <w:rFonts w:hint="eastAsia" w:ascii="宋体" w:hAnsi="宋体" w:cs="宋体"/>
          <w:b/>
          <w:bCs/>
          <w:sz w:val="32"/>
          <w:szCs w:val="32"/>
        </w:rPr>
      </w:pPr>
      <w:r>
        <w:rPr>
          <w:rFonts w:hint="eastAsia" w:ascii="宋体" w:hAnsi="宋体" w:cs="宋体"/>
          <w:b/>
          <w:bCs/>
          <w:sz w:val="32"/>
          <w:szCs w:val="32"/>
        </w:rPr>
        <w:t>目  录</w:t>
      </w:r>
    </w:p>
    <w:p>
      <w:pPr>
        <w:pStyle w:val="53"/>
        <w:tabs>
          <w:tab w:val="right" w:leader="dot" w:pos="8948"/>
        </w:tabs>
        <w:spacing w:line="600" w:lineRule="exact"/>
        <w:rPr>
          <w:rFonts w:hint="eastAsia" w:ascii="宋体" w:hAnsi="宋体" w:cs="宋体"/>
          <w:b w:val="0"/>
          <w:caps w:val="0"/>
          <w:sz w:val="24"/>
          <w:szCs w:val="24"/>
          <w:lang/>
        </w:rPr>
      </w:pPr>
      <w:r>
        <w:rPr>
          <w:rFonts w:hint="eastAsia" w:ascii="宋体" w:hAnsi="宋体" w:cs="宋体"/>
          <w:b w:val="0"/>
          <w:caps w:val="0"/>
          <w:smallCaps/>
          <w:color w:val="000000"/>
          <w:sz w:val="24"/>
          <w:szCs w:val="24"/>
        </w:rPr>
        <w:fldChar w:fldCharType="begin"/>
      </w:r>
      <w:r>
        <w:rPr>
          <w:rFonts w:hint="eastAsia" w:ascii="宋体" w:hAnsi="宋体" w:cs="宋体"/>
          <w:b w:val="0"/>
          <w:caps w:val="0"/>
          <w:smallCaps/>
          <w:color w:val="000000"/>
          <w:sz w:val="24"/>
          <w:szCs w:val="24"/>
        </w:rPr>
        <w:instrText xml:space="preserve"> TOC \o "1-2" \h \z \u </w:instrText>
      </w:r>
      <w:r>
        <w:rPr>
          <w:rFonts w:hint="eastAsia" w:ascii="宋体" w:hAnsi="宋体" w:cs="宋体"/>
          <w:b w:val="0"/>
          <w:caps w:val="0"/>
          <w:smallCaps/>
          <w:color w:val="000000"/>
          <w:sz w:val="24"/>
          <w:szCs w:val="24"/>
        </w:rPr>
        <w:fldChar w:fldCharType="separate"/>
      </w:r>
      <w:r>
        <w:rPr>
          <w:rFonts w:hint="eastAsia" w:ascii="宋体" w:hAnsi="宋体" w:cs="宋体"/>
          <w:b w:val="0"/>
          <w:sz w:val="24"/>
          <w:szCs w:val="24"/>
          <w:lang/>
        </w:rPr>
        <w:fldChar w:fldCharType="begin"/>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instrText xml:space="preserve">HYPERLINK \l "_Toc33194385"</w:instrText>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fldChar w:fldCharType="separate"/>
      </w:r>
      <w:r>
        <w:rPr>
          <w:rStyle w:val="84"/>
          <w:rFonts w:hint="eastAsia" w:ascii="宋体" w:hAnsi="宋体" w:cs="宋体"/>
          <w:b w:val="0"/>
          <w:sz w:val="24"/>
          <w:szCs w:val="24"/>
          <w:lang/>
        </w:rPr>
        <w:t>第一部分  招标公告</w:t>
      </w:r>
      <w:r>
        <w:rPr>
          <w:rFonts w:hint="eastAsia" w:ascii="宋体" w:hAnsi="宋体" w:cs="宋体"/>
          <w:b w:val="0"/>
          <w:sz w:val="24"/>
          <w:szCs w:val="24"/>
          <w:lang/>
        </w:rPr>
        <w:tab/>
      </w:r>
      <w:r>
        <w:rPr>
          <w:rFonts w:hint="eastAsia" w:ascii="宋体" w:hAnsi="宋体" w:cs="宋体"/>
          <w:b w:val="0"/>
          <w:sz w:val="24"/>
          <w:szCs w:val="24"/>
          <w:lang/>
        </w:rPr>
        <w:fldChar w:fldCharType="begin"/>
      </w:r>
      <w:r>
        <w:rPr>
          <w:rFonts w:hint="eastAsia" w:ascii="宋体" w:hAnsi="宋体" w:cs="宋体"/>
          <w:b w:val="0"/>
          <w:sz w:val="24"/>
          <w:szCs w:val="24"/>
          <w:lang/>
        </w:rPr>
        <w:instrText xml:space="preserve"> PAGEREF _Toc33194385 \h </w:instrText>
      </w:r>
      <w:r>
        <w:rPr>
          <w:rFonts w:hint="eastAsia" w:ascii="宋体" w:hAnsi="宋体" w:cs="宋体"/>
          <w:b w:val="0"/>
          <w:sz w:val="24"/>
          <w:szCs w:val="24"/>
          <w:lang/>
        </w:rPr>
        <w:fldChar w:fldCharType="separate"/>
      </w:r>
      <w:r>
        <w:rPr>
          <w:rFonts w:hint="eastAsia" w:ascii="宋体" w:hAnsi="宋体" w:cs="宋体"/>
          <w:b w:val="0"/>
          <w:sz w:val="24"/>
          <w:szCs w:val="24"/>
          <w:lang/>
        </w:rPr>
        <w:t>3</w:t>
      </w:r>
      <w:r>
        <w:rPr>
          <w:rFonts w:hint="eastAsia" w:ascii="宋体" w:hAnsi="宋体" w:cs="宋体"/>
          <w:b w:val="0"/>
          <w:sz w:val="24"/>
          <w:szCs w:val="24"/>
          <w:lang/>
        </w:rPr>
        <w:fldChar w:fldCharType="end"/>
      </w:r>
      <w:r>
        <w:rPr>
          <w:rFonts w:hint="eastAsia" w:ascii="宋体" w:hAnsi="宋体" w:cs="宋体"/>
          <w:b w:val="0"/>
          <w:sz w:val="24"/>
          <w:szCs w:val="24"/>
          <w:lang/>
        </w:rPr>
        <w:fldChar w:fldCharType="end"/>
      </w:r>
    </w:p>
    <w:p>
      <w:pPr>
        <w:pStyle w:val="53"/>
        <w:tabs>
          <w:tab w:val="right" w:leader="dot" w:pos="8948"/>
        </w:tabs>
        <w:spacing w:line="600" w:lineRule="exact"/>
        <w:rPr>
          <w:rFonts w:hint="eastAsia" w:ascii="宋体" w:hAnsi="宋体" w:cs="宋体"/>
          <w:b w:val="0"/>
          <w:caps w:val="0"/>
          <w:sz w:val="24"/>
          <w:szCs w:val="24"/>
          <w:lang/>
        </w:rPr>
      </w:pPr>
      <w:r>
        <w:rPr>
          <w:rFonts w:hint="eastAsia" w:ascii="宋体" w:hAnsi="宋体" w:cs="宋体"/>
          <w:b w:val="0"/>
          <w:sz w:val="24"/>
          <w:szCs w:val="24"/>
          <w:lang/>
        </w:rPr>
        <w:fldChar w:fldCharType="begin"/>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instrText xml:space="preserve">HYPERLINK \l "_Toc33194386"</w:instrText>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fldChar w:fldCharType="separate"/>
      </w:r>
      <w:r>
        <w:rPr>
          <w:rStyle w:val="84"/>
          <w:rFonts w:hint="eastAsia" w:ascii="宋体" w:hAnsi="宋体" w:cs="宋体"/>
          <w:b w:val="0"/>
          <w:sz w:val="24"/>
          <w:szCs w:val="24"/>
          <w:lang/>
        </w:rPr>
        <w:t>第二部分  编制和提交投标文件须知</w:t>
      </w:r>
      <w:r>
        <w:rPr>
          <w:rFonts w:hint="eastAsia" w:ascii="宋体" w:hAnsi="宋体" w:cs="宋体"/>
          <w:b w:val="0"/>
          <w:sz w:val="24"/>
          <w:szCs w:val="24"/>
          <w:lang/>
        </w:rPr>
        <w:tab/>
      </w:r>
      <w:r>
        <w:rPr>
          <w:rFonts w:hint="eastAsia" w:ascii="宋体" w:hAnsi="宋体" w:cs="宋体"/>
          <w:b w:val="0"/>
          <w:sz w:val="24"/>
          <w:szCs w:val="24"/>
          <w:lang/>
        </w:rPr>
        <w:fldChar w:fldCharType="begin"/>
      </w:r>
      <w:r>
        <w:rPr>
          <w:rFonts w:hint="eastAsia" w:ascii="宋体" w:hAnsi="宋体" w:cs="宋体"/>
          <w:b w:val="0"/>
          <w:sz w:val="24"/>
          <w:szCs w:val="24"/>
          <w:lang/>
        </w:rPr>
        <w:instrText xml:space="preserve"> PAGEREF _Toc33194386 \h </w:instrText>
      </w:r>
      <w:r>
        <w:rPr>
          <w:rFonts w:hint="eastAsia" w:ascii="宋体" w:hAnsi="宋体" w:cs="宋体"/>
          <w:b w:val="0"/>
          <w:sz w:val="24"/>
          <w:szCs w:val="24"/>
          <w:lang/>
        </w:rPr>
        <w:fldChar w:fldCharType="separate"/>
      </w:r>
      <w:r>
        <w:rPr>
          <w:rFonts w:hint="eastAsia" w:ascii="宋体" w:hAnsi="宋体" w:cs="宋体"/>
          <w:b w:val="0"/>
          <w:sz w:val="24"/>
          <w:szCs w:val="24"/>
          <w:lang/>
        </w:rPr>
        <w:t>8</w:t>
      </w:r>
      <w:r>
        <w:rPr>
          <w:rFonts w:hint="eastAsia" w:ascii="宋体" w:hAnsi="宋体" w:cs="宋体"/>
          <w:b w:val="0"/>
          <w:sz w:val="24"/>
          <w:szCs w:val="24"/>
          <w:lang/>
        </w:rPr>
        <w:fldChar w:fldCharType="end"/>
      </w:r>
      <w:r>
        <w:rPr>
          <w:rFonts w:hint="eastAsia" w:ascii="宋体" w:hAnsi="宋体" w:cs="宋体"/>
          <w:b w:val="0"/>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"_Toc33194387"</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前 附 表</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_Toc33194387 \h </w:instrText>
      </w:r>
      <w:r>
        <w:rPr>
          <w:rFonts w:hint="eastAsia" w:ascii="宋体" w:hAnsi="宋体" w:cs="宋体"/>
          <w:bCs/>
          <w:sz w:val="24"/>
          <w:szCs w:val="24"/>
          <w:lang/>
        </w:rPr>
        <w:fldChar w:fldCharType="separate"/>
      </w:r>
      <w:r>
        <w:rPr>
          <w:rFonts w:hint="eastAsia" w:ascii="宋体" w:hAnsi="宋体" w:cs="宋体"/>
          <w:bCs/>
          <w:sz w:val="24"/>
          <w:szCs w:val="24"/>
          <w:lang/>
        </w:rPr>
        <w:t>8</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"_Toc33194388"</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一、总 则</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_Toc33194388 \h </w:instrText>
      </w:r>
      <w:r>
        <w:rPr>
          <w:rFonts w:hint="eastAsia" w:ascii="宋体" w:hAnsi="宋体" w:cs="宋体"/>
          <w:bCs/>
          <w:sz w:val="24"/>
          <w:szCs w:val="24"/>
          <w:lang/>
        </w:rPr>
        <w:fldChar w:fldCharType="separate"/>
      </w:r>
      <w:r>
        <w:rPr>
          <w:rFonts w:hint="eastAsia" w:ascii="宋体" w:hAnsi="宋体" w:cs="宋体"/>
          <w:bCs/>
          <w:sz w:val="24"/>
          <w:szCs w:val="24"/>
          <w:lang/>
        </w:rPr>
        <w:t>1</w:t>
      </w:r>
      <w:r>
        <w:rPr>
          <w:rFonts w:hint="eastAsia" w:ascii="宋体" w:hAnsi="宋体" w:cs="宋体"/>
          <w:bCs/>
          <w:sz w:val="24"/>
          <w:szCs w:val="24"/>
        </w:rPr>
        <w:t>5</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"_Toc33194389"</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二、招标文件</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_Toc33194389 \h </w:instrText>
      </w:r>
      <w:r>
        <w:rPr>
          <w:rFonts w:hint="eastAsia" w:ascii="宋体" w:hAnsi="宋体" w:cs="宋体"/>
          <w:bCs/>
          <w:sz w:val="24"/>
          <w:szCs w:val="24"/>
          <w:lang/>
        </w:rPr>
        <w:fldChar w:fldCharType="separate"/>
      </w:r>
      <w:r>
        <w:rPr>
          <w:rFonts w:hint="eastAsia" w:ascii="宋体" w:hAnsi="宋体" w:cs="宋体"/>
          <w:bCs/>
          <w:sz w:val="24"/>
          <w:szCs w:val="24"/>
          <w:lang/>
        </w:rPr>
        <w:t>1</w:t>
      </w:r>
      <w:r>
        <w:rPr>
          <w:rFonts w:hint="eastAsia" w:ascii="宋体" w:hAnsi="宋体" w:cs="宋体"/>
          <w:bCs/>
          <w:sz w:val="24"/>
          <w:szCs w:val="24"/>
        </w:rPr>
        <w:t>6</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"_Toc33194390"</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三、投标文件</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_Toc33194390 \h </w:instrText>
      </w:r>
      <w:r>
        <w:rPr>
          <w:rFonts w:hint="eastAsia" w:ascii="宋体" w:hAnsi="宋体" w:cs="宋体"/>
          <w:bCs/>
          <w:sz w:val="24"/>
          <w:szCs w:val="24"/>
          <w:lang/>
        </w:rPr>
        <w:fldChar w:fldCharType="separate"/>
      </w:r>
      <w:r>
        <w:rPr>
          <w:rFonts w:hint="eastAsia" w:ascii="宋体" w:hAnsi="宋体" w:cs="宋体"/>
          <w:bCs/>
          <w:sz w:val="24"/>
          <w:szCs w:val="24"/>
          <w:lang/>
        </w:rPr>
        <w:t>1</w:t>
      </w:r>
      <w:r>
        <w:rPr>
          <w:rFonts w:hint="eastAsia" w:ascii="宋体" w:hAnsi="宋体" w:cs="宋体"/>
          <w:bCs/>
          <w:sz w:val="24"/>
          <w:szCs w:val="24"/>
        </w:rPr>
        <w:t>8</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"_Toc33194391"</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四、投标</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_Toc33194391 \h </w:instrText>
      </w:r>
      <w:r>
        <w:rPr>
          <w:rFonts w:hint="eastAsia" w:ascii="宋体" w:hAnsi="宋体" w:cs="宋体"/>
          <w:bCs/>
          <w:sz w:val="24"/>
          <w:szCs w:val="24"/>
          <w:lang/>
        </w:rPr>
        <w:fldChar w:fldCharType="separate"/>
      </w:r>
      <w:r>
        <w:rPr>
          <w:rFonts w:hint="eastAsia" w:ascii="宋体" w:hAnsi="宋体" w:cs="宋体"/>
          <w:bCs/>
          <w:sz w:val="24"/>
          <w:szCs w:val="24"/>
          <w:lang/>
        </w:rPr>
        <w:t>2</w:t>
      </w:r>
      <w:r>
        <w:rPr>
          <w:rFonts w:hint="eastAsia" w:ascii="宋体" w:hAnsi="宋体" w:cs="宋体"/>
          <w:bCs/>
          <w:sz w:val="24"/>
          <w:szCs w:val="24"/>
        </w:rPr>
        <w:t>1</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"_Toc33194392"</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五、开 标</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_Toc33194392 \h </w:instrText>
      </w:r>
      <w:r>
        <w:rPr>
          <w:rFonts w:hint="eastAsia" w:ascii="宋体" w:hAnsi="宋体" w:cs="宋体"/>
          <w:bCs/>
          <w:sz w:val="24"/>
          <w:szCs w:val="24"/>
          <w:lang/>
        </w:rPr>
        <w:fldChar w:fldCharType="separate"/>
      </w:r>
      <w:r>
        <w:rPr>
          <w:rFonts w:hint="eastAsia" w:ascii="宋体" w:hAnsi="宋体" w:cs="宋体"/>
          <w:bCs/>
          <w:sz w:val="24"/>
          <w:szCs w:val="24"/>
          <w:lang/>
        </w:rPr>
        <w:t>2</w:t>
      </w:r>
      <w:r>
        <w:rPr>
          <w:rFonts w:hint="eastAsia" w:ascii="宋体" w:hAnsi="宋体" w:cs="宋体"/>
          <w:bCs/>
          <w:sz w:val="24"/>
          <w:szCs w:val="24"/>
        </w:rPr>
        <w:t>2</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"_Toc33194394"</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六、评 标</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_Toc33194394 \h </w:instrText>
      </w:r>
      <w:r>
        <w:rPr>
          <w:rFonts w:hint="eastAsia" w:ascii="宋体" w:hAnsi="宋体" w:cs="宋体"/>
          <w:bCs/>
          <w:sz w:val="24"/>
          <w:szCs w:val="24"/>
          <w:lang/>
        </w:rPr>
        <w:fldChar w:fldCharType="separate"/>
      </w:r>
      <w:r>
        <w:rPr>
          <w:rFonts w:hint="eastAsia" w:ascii="宋体" w:hAnsi="宋体" w:cs="宋体"/>
          <w:bCs/>
          <w:sz w:val="24"/>
          <w:szCs w:val="24"/>
          <w:lang/>
        </w:rPr>
        <w:t>2</w:t>
      </w:r>
      <w:r>
        <w:rPr>
          <w:rFonts w:hint="eastAsia" w:ascii="宋体" w:hAnsi="宋体" w:cs="宋体"/>
          <w:bCs/>
          <w:sz w:val="24"/>
          <w:szCs w:val="24"/>
        </w:rPr>
        <w:t>4</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65"/>
        <w:tabs>
          <w:tab w:val="right" w:leader="dot" w:pos="8948"/>
        </w:tabs>
        <w:spacing w:line="600" w:lineRule="exact"/>
        <w:ind w:left="0" w:firstLine="480" w:firstLineChars="200"/>
        <w:rPr>
          <w:rFonts w:hint="eastAsia" w:ascii="宋体" w:hAnsi="宋体" w:cs="宋体"/>
          <w:bCs/>
          <w:smallCaps w:val="0"/>
          <w:sz w:val="24"/>
          <w:szCs w:val="24"/>
          <w:lang/>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"_Toc33194399"</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sz w:val="24"/>
          <w:szCs w:val="24"/>
          <w:lang/>
        </w:rPr>
        <w:t>七、合同签订及其他</w:t>
      </w:r>
      <w:r>
        <w:rPr>
          <w:rFonts w:hint="eastAsia" w:ascii="宋体" w:hAnsi="宋体" w:cs="宋体"/>
          <w:bCs/>
          <w:sz w:val="24"/>
          <w:szCs w:val="24"/>
          <w:lang/>
        </w:rPr>
        <w:tab/>
      </w:r>
      <w:r>
        <w:rPr>
          <w:rFonts w:hint="eastAsia" w:ascii="宋体" w:hAnsi="宋体" w:cs="宋体"/>
          <w:bCs/>
          <w:sz w:val="24"/>
          <w:szCs w:val="24"/>
          <w:lang/>
        </w:rPr>
        <w:fldChar w:fldCharType="begin"/>
      </w:r>
      <w:r>
        <w:rPr>
          <w:rFonts w:hint="eastAsia" w:ascii="宋体" w:hAnsi="宋体" w:cs="宋体"/>
          <w:bCs/>
          <w:sz w:val="24"/>
          <w:szCs w:val="24"/>
          <w:lang/>
        </w:rPr>
        <w:instrText xml:space="preserve"> PAGEREF _Toc33194399 \h </w:instrText>
      </w:r>
      <w:r>
        <w:rPr>
          <w:rFonts w:hint="eastAsia" w:ascii="宋体" w:hAnsi="宋体" w:cs="宋体"/>
          <w:bCs/>
          <w:sz w:val="24"/>
          <w:szCs w:val="24"/>
          <w:lang/>
        </w:rPr>
        <w:fldChar w:fldCharType="separate"/>
      </w:r>
      <w:r>
        <w:rPr>
          <w:rFonts w:hint="eastAsia" w:ascii="宋体" w:hAnsi="宋体" w:cs="宋体"/>
          <w:bCs/>
          <w:sz w:val="24"/>
          <w:szCs w:val="24"/>
          <w:lang/>
        </w:rPr>
        <w:t>3</w:t>
      </w:r>
      <w:r>
        <w:rPr>
          <w:rFonts w:hint="eastAsia" w:ascii="宋体" w:hAnsi="宋体" w:cs="宋体"/>
          <w:bCs/>
          <w:sz w:val="24"/>
          <w:szCs w:val="24"/>
        </w:rPr>
        <w:t>7</w:t>
      </w:r>
      <w:r>
        <w:rPr>
          <w:rFonts w:hint="eastAsia" w:ascii="宋体" w:hAnsi="宋体" w:cs="宋体"/>
          <w:bCs/>
          <w:sz w:val="24"/>
          <w:szCs w:val="24"/>
          <w:lang/>
        </w:rPr>
        <w:fldChar w:fldCharType="end"/>
      </w:r>
      <w:r>
        <w:rPr>
          <w:rFonts w:hint="eastAsia" w:ascii="宋体" w:hAnsi="宋体" w:cs="宋体"/>
          <w:bCs/>
          <w:sz w:val="24"/>
          <w:szCs w:val="24"/>
          <w:lang/>
        </w:rPr>
        <w:fldChar w:fldCharType="end"/>
      </w:r>
    </w:p>
    <w:p>
      <w:pPr>
        <w:pStyle w:val="53"/>
        <w:tabs>
          <w:tab w:val="right" w:leader="dot" w:pos="8948"/>
        </w:tabs>
        <w:spacing w:line="600" w:lineRule="exact"/>
        <w:rPr>
          <w:rFonts w:hint="eastAsia" w:ascii="宋体" w:hAnsi="宋体" w:cs="宋体"/>
          <w:b w:val="0"/>
          <w:caps w:val="0"/>
          <w:sz w:val="24"/>
          <w:szCs w:val="24"/>
        </w:rPr>
      </w:pPr>
      <w:r>
        <w:rPr>
          <w:rFonts w:hint="eastAsia" w:ascii="宋体" w:hAnsi="宋体" w:cs="宋体"/>
          <w:b w:val="0"/>
          <w:sz w:val="24"/>
          <w:szCs w:val="24"/>
          <w:lang/>
        </w:rPr>
        <w:fldChar w:fldCharType="begin"/>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instrText xml:space="preserve">HYPERLINK \l "_Toc33194400"</w:instrText>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fldChar w:fldCharType="separate"/>
      </w:r>
      <w:r>
        <w:rPr>
          <w:rStyle w:val="84"/>
          <w:rFonts w:hint="eastAsia" w:ascii="宋体" w:hAnsi="宋体" w:cs="宋体"/>
          <w:b w:val="0"/>
          <w:sz w:val="24"/>
          <w:szCs w:val="24"/>
          <w:lang/>
        </w:rPr>
        <w:t>第三部分  项目技术规范和服务要求</w:t>
      </w:r>
      <w:r>
        <w:rPr>
          <w:rFonts w:hint="eastAsia" w:ascii="宋体" w:hAnsi="宋体" w:cs="宋体"/>
          <w:b w:val="0"/>
          <w:sz w:val="24"/>
          <w:szCs w:val="24"/>
          <w:lang/>
        </w:rPr>
        <w:tab/>
      </w:r>
      <w:r>
        <w:rPr>
          <w:rFonts w:hint="eastAsia" w:ascii="宋体" w:hAnsi="宋体" w:cs="宋体"/>
          <w:b w:val="0"/>
          <w:sz w:val="24"/>
          <w:szCs w:val="24"/>
        </w:rPr>
        <w:t>4</w:t>
      </w:r>
      <w:r>
        <w:rPr>
          <w:rFonts w:hint="eastAsia" w:ascii="宋体" w:hAnsi="宋体" w:cs="宋体"/>
          <w:b w:val="0"/>
          <w:sz w:val="24"/>
          <w:szCs w:val="24"/>
          <w:lang/>
        </w:rPr>
        <w:fldChar w:fldCharType="end"/>
      </w:r>
      <w:r>
        <w:rPr>
          <w:rFonts w:hint="eastAsia" w:ascii="宋体" w:hAnsi="宋体" w:cs="宋体"/>
          <w:b w:val="0"/>
          <w:sz w:val="24"/>
          <w:szCs w:val="24"/>
        </w:rPr>
        <w:t>1</w:t>
      </w:r>
    </w:p>
    <w:p>
      <w:pPr>
        <w:pStyle w:val="53"/>
        <w:tabs>
          <w:tab w:val="right" w:leader="dot" w:pos="8948"/>
        </w:tabs>
        <w:spacing w:line="600" w:lineRule="exact"/>
        <w:rPr>
          <w:rFonts w:hint="eastAsia" w:ascii="宋体" w:hAnsi="宋体" w:cs="宋体"/>
          <w:b w:val="0"/>
          <w:caps w:val="0"/>
          <w:sz w:val="24"/>
          <w:szCs w:val="24"/>
        </w:rPr>
      </w:pPr>
      <w:r>
        <w:rPr>
          <w:rFonts w:hint="eastAsia" w:ascii="宋体" w:hAnsi="宋体" w:cs="宋体"/>
          <w:b w:val="0"/>
          <w:sz w:val="24"/>
          <w:szCs w:val="24"/>
          <w:lang/>
        </w:rPr>
        <w:fldChar w:fldCharType="begin"/>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instrText xml:space="preserve">HYPERLINK \l "_Toc33194401"</w:instrText>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fldChar w:fldCharType="separate"/>
      </w:r>
      <w:r>
        <w:rPr>
          <w:rStyle w:val="84"/>
          <w:rFonts w:hint="eastAsia" w:ascii="宋体" w:hAnsi="宋体" w:cs="宋体"/>
          <w:b w:val="0"/>
          <w:sz w:val="24"/>
          <w:szCs w:val="24"/>
          <w:lang/>
        </w:rPr>
        <w:t>第四部分  合同主要条款</w:t>
      </w:r>
      <w:r>
        <w:rPr>
          <w:rFonts w:hint="eastAsia" w:ascii="宋体" w:hAnsi="宋体" w:cs="宋体"/>
          <w:b w:val="0"/>
          <w:sz w:val="24"/>
          <w:szCs w:val="24"/>
          <w:lang/>
        </w:rPr>
        <w:tab/>
      </w:r>
      <w:r>
        <w:rPr>
          <w:rFonts w:hint="eastAsia" w:ascii="宋体" w:hAnsi="宋体" w:cs="宋体"/>
          <w:b w:val="0"/>
          <w:sz w:val="24"/>
          <w:szCs w:val="24"/>
        </w:rPr>
        <w:t>7</w:t>
      </w:r>
      <w:r>
        <w:rPr>
          <w:rFonts w:hint="eastAsia" w:ascii="宋体" w:hAnsi="宋体" w:cs="宋体"/>
          <w:b w:val="0"/>
          <w:sz w:val="24"/>
          <w:szCs w:val="24"/>
          <w:lang/>
        </w:rPr>
        <w:fldChar w:fldCharType="end"/>
      </w:r>
      <w:r>
        <w:rPr>
          <w:rFonts w:hint="eastAsia" w:ascii="宋体" w:hAnsi="宋体" w:cs="宋体"/>
          <w:b w:val="0"/>
          <w:sz w:val="24"/>
          <w:szCs w:val="24"/>
        </w:rPr>
        <w:t>8</w:t>
      </w:r>
    </w:p>
    <w:p>
      <w:pPr>
        <w:pStyle w:val="53"/>
        <w:tabs>
          <w:tab w:val="right" w:leader="dot" w:pos="8948"/>
        </w:tabs>
        <w:spacing w:line="600" w:lineRule="exact"/>
        <w:rPr>
          <w:rFonts w:hint="eastAsia" w:ascii="宋体" w:hAnsi="宋体" w:cs="宋体"/>
          <w:b w:val="0"/>
          <w:caps w:val="0"/>
          <w:sz w:val="24"/>
          <w:szCs w:val="24"/>
        </w:rPr>
      </w:pPr>
      <w:r>
        <w:rPr>
          <w:rFonts w:hint="eastAsia" w:ascii="宋体" w:hAnsi="宋体" w:cs="宋体"/>
          <w:b w:val="0"/>
          <w:sz w:val="24"/>
          <w:szCs w:val="24"/>
          <w:lang/>
        </w:rPr>
        <w:fldChar w:fldCharType="begin"/>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instrText xml:space="preserve">HYPERLINK \l "_Toc33194402"</w:instrText>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fldChar w:fldCharType="separate"/>
      </w:r>
      <w:r>
        <w:rPr>
          <w:rStyle w:val="84"/>
          <w:rFonts w:hint="eastAsia" w:ascii="宋体" w:hAnsi="宋体" w:cs="宋体"/>
          <w:b w:val="0"/>
          <w:sz w:val="24"/>
          <w:szCs w:val="24"/>
          <w:lang/>
        </w:rPr>
        <w:t>第五部分  应提交的有关格式范例</w:t>
      </w:r>
      <w:r>
        <w:rPr>
          <w:rFonts w:hint="eastAsia" w:ascii="宋体" w:hAnsi="宋体" w:cs="宋体"/>
          <w:b w:val="0"/>
          <w:sz w:val="24"/>
          <w:szCs w:val="24"/>
          <w:lang/>
        </w:rPr>
        <w:tab/>
      </w:r>
      <w:r>
        <w:rPr>
          <w:rFonts w:hint="eastAsia" w:ascii="宋体" w:hAnsi="宋体" w:cs="宋体"/>
          <w:b w:val="0"/>
          <w:sz w:val="24"/>
          <w:szCs w:val="24"/>
        </w:rPr>
        <w:t>8</w:t>
      </w:r>
      <w:r>
        <w:rPr>
          <w:rFonts w:hint="eastAsia" w:ascii="宋体" w:hAnsi="宋体" w:cs="宋体"/>
          <w:b w:val="0"/>
          <w:sz w:val="24"/>
          <w:szCs w:val="24"/>
          <w:lang/>
        </w:rPr>
        <w:fldChar w:fldCharType="end"/>
      </w:r>
      <w:r>
        <w:rPr>
          <w:rFonts w:hint="eastAsia" w:ascii="宋体" w:hAnsi="宋体" w:cs="宋体"/>
          <w:b w:val="0"/>
          <w:sz w:val="24"/>
          <w:szCs w:val="24"/>
        </w:rPr>
        <w:t>6</w:t>
      </w:r>
    </w:p>
    <w:p>
      <w:pPr>
        <w:pStyle w:val="53"/>
        <w:tabs>
          <w:tab w:val="right" w:leader="dot" w:pos="8948"/>
        </w:tabs>
        <w:spacing w:line="600" w:lineRule="exact"/>
        <w:ind w:firstLine="480" w:firstLineChars="200"/>
        <w:rPr>
          <w:rFonts w:hint="eastAsia" w:ascii="宋体" w:hAnsi="宋体" w:cs="宋体"/>
          <w:b w:val="0"/>
          <w:caps w:val="0"/>
          <w:sz w:val="24"/>
          <w:szCs w:val="24"/>
        </w:rPr>
      </w:pPr>
      <w:r>
        <w:rPr>
          <w:rFonts w:hint="eastAsia" w:ascii="宋体" w:hAnsi="宋体" w:cs="宋体"/>
          <w:b w:val="0"/>
          <w:sz w:val="24"/>
          <w:szCs w:val="24"/>
          <w:lang/>
        </w:rPr>
        <w:fldChar w:fldCharType="begin"/>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instrText xml:space="preserve">HYPERLINK \l "_Toc33194403"</w:instrText>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fldChar w:fldCharType="separate"/>
      </w:r>
      <w:r>
        <w:rPr>
          <w:rStyle w:val="84"/>
          <w:rFonts w:hint="eastAsia" w:ascii="宋体" w:hAnsi="宋体" w:cs="宋体"/>
          <w:b w:val="0"/>
          <w:sz w:val="24"/>
          <w:szCs w:val="24"/>
          <w:lang/>
        </w:rPr>
        <w:t>资格文件</w:t>
      </w:r>
      <w:r>
        <w:rPr>
          <w:rFonts w:hint="eastAsia" w:ascii="宋体" w:hAnsi="宋体" w:cs="宋体"/>
          <w:b w:val="0"/>
          <w:sz w:val="24"/>
          <w:szCs w:val="24"/>
          <w:lang/>
        </w:rPr>
        <w:tab/>
      </w:r>
      <w:r>
        <w:rPr>
          <w:rFonts w:hint="eastAsia" w:ascii="宋体" w:hAnsi="宋体" w:cs="宋体"/>
          <w:b w:val="0"/>
          <w:sz w:val="24"/>
          <w:szCs w:val="24"/>
        </w:rPr>
        <w:t>8</w:t>
      </w:r>
      <w:r>
        <w:rPr>
          <w:rFonts w:hint="eastAsia" w:ascii="宋体" w:hAnsi="宋体" w:cs="宋体"/>
          <w:b w:val="0"/>
          <w:sz w:val="24"/>
          <w:szCs w:val="24"/>
          <w:lang/>
        </w:rPr>
        <w:fldChar w:fldCharType="end"/>
      </w:r>
      <w:r>
        <w:rPr>
          <w:rFonts w:hint="eastAsia" w:ascii="宋体" w:hAnsi="宋体" w:cs="宋体"/>
          <w:b w:val="0"/>
          <w:sz w:val="24"/>
          <w:szCs w:val="24"/>
        </w:rPr>
        <w:t>7</w:t>
      </w:r>
    </w:p>
    <w:p>
      <w:pPr>
        <w:pStyle w:val="65"/>
        <w:tabs>
          <w:tab w:val="right" w:leader="dot" w:pos="8948"/>
        </w:tabs>
        <w:spacing w:line="600" w:lineRule="exact"/>
        <w:ind w:left="0" w:firstLine="480" w:firstLineChars="200"/>
        <w:rPr>
          <w:rFonts w:hint="eastAsia" w:ascii="宋体" w:hAnsi="宋体" w:cs="宋体"/>
          <w:bCs/>
          <w:smallCaps w:val="0"/>
          <w:sz w:val="24"/>
          <w:szCs w:val="24"/>
        </w:rPr>
      </w:pPr>
      <w:r>
        <w:rPr>
          <w:rFonts w:hint="eastAsia" w:ascii="宋体" w:hAnsi="宋体" w:cs="宋体"/>
          <w:bCs/>
          <w:sz w:val="24"/>
          <w:szCs w:val="24"/>
          <w:lang/>
        </w:rPr>
        <w:fldChar w:fldCharType="begin"/>
      </w:r>
      <w:r>
        <w:rPr>
          <w:rStyle w:val="84"/>
          <w:rFonts w:hint="eastAsia" w:ascii="宋体" w:hAnsi="宋体" w:cs="宋体"/>
          <w:bCs/>
          <w:sz w:val="24"/>
          <w:szCs w:val="24"/>
          <w:lang/>
        </w:rPr>
        <w:instrText xml:space="preserve"> </w:instrText>
      </w:r>
      <w:r>
        <w:rPr>
          <w:rFonts w:hint="eastAsia" w:ascii="宋体" w:hAnsi="宋体" w:cs="宋体"/>
          <w:bCs/>
          <w:sz w:val="24"/>
          <w:szCs w:val="24"/>
          <w:lang/>
        </w:rPr>
        <w:instrText xml:space="preserve">HYPERLINK \l "_Toc33194407"</w:instrText>
      </w:r>
      <w:r>
        <w:rPr>
          <w:rStyle w:val="84"/>
          <w:rFonts w:hint="eastAsia" w:ascii="宋体" w:hAnsi="宋体" w:cs="宋体"/>
          <w:bCs/>
          <w:sz w:val="24"/>
          <w:szCs w:val="24"/>
          <w:lang/>
        </w:rPr>
        <w:instrText xml:space="preserve"> </w:instrText>
      </w:r>
      <w:r>
        <w:rPr>
          <w:rFonts w:hint="eastAsia" w:ascii="宋体" w:hAnsi="宋体" w:cs="宋体"/>
          <w:bCs/>
          <w:sz w:val="24"/>
          <w:szCs w:val="24"/>
          <w:lang/>
        </w:rPr>
        <w:fldChar w:fldCharType="separate"/>
      </w:r>
      <w:r>
        <w:rPr>
          <w:rStyle w:val="84"/>
          <w:rFonts w:hint="eastAsia" w:ascii="宋体" w:hAnsi="宋体" w:cs="宋体"/>
          <w:bCs/>
          <w:kern w:val="0"/>
          <w:sz w:val="24"/>
          <w:szCs w:val="24"/>
          <w:lang/>
        </w:rPr>
        <w:t>报价文件</w:t>
      </w:r>
      <w:r>
        <w:rPr>
          <w:rFonts w:hint="eastAsia" w:ascii="宋体" w:hAnsi="宋体" w:cs="宋体"/>
          <w:bCs/>
          <w:sz w:val="24"/>
          <w:szCs w:val="24"/>
          <w:lang/>
        </w:rPr>
        <w:tab/>
      </w:r>
      <w:r>
        <w:rPr>
          <w:rFonts w:hint="eastAsia" w:ascii="宋体" w:hAnsi="宋体" w:cs="宋体"/>
          <w:bCs/>
          <w:sz w:val="24"/>
          <w:szCs w:val="24"/>
        </w:rPr>
        <w:t>9</w:t>
      </w:r>
      <w:r>
        <w:rPr>
          <w:rFonts w:hint="eastAsia" w:ascii="宋体" w:hAnsi="宋体" w:cs="宋体"/>
          <w:bCs/>
          <w:sz w:val="24"/>
          <w:szCs w:val="24"/>
          <w:lang/>
        </w:rPr>
        <w:fldChar w:fldCharType="end"/>
      </w:r>
      <w:r>
        <w:rPr>
          <w:rFonts w:hint="eastAsia" w:ascii="宋体" w:hAnsi="宋体" w:cs="宋体"/>
          <w:bCs/>
          <w:sz w:val="24"/>
          <w:szCs w:val="24"/>
        </w:rPr>
        <w:t>3</w:t>
      </w:r>
    </w:p>
    <w:p>
      <w:pPr>
        <w:pStyle w:val="53"/>
        <w:tabs>
          <w:tab w:val="right" w:leader="dot" w:pos="8948"/>
        </w:tabs>
        <w:spacing w:line="600" w:lineRule="exact"/>
        <w:ind w:firstLine="480" w:firstLineChars="200"/>
        <w:rPr>
          <w:rFonts w:hint="eastAsia" w:ascii="宋体" w:hAnsi="宋体" w:cs="宋体"/>
          <w:b w:val="0"/>
          <w:caps w:val="0"/>
          <w:sz w:val="24"/>
          <w:szCs w:val="24"/>
          <w:lang/>
        </w:rPr>
      </w:pPr>
      <w:r>
        <w:rPr>
          <w:rFonts w:hint="eastAsia" w:ascii="宋体" w:hAnsi="宋体" w:cs="宋体"/>
          <w:b w:val="0"/>
          <w:sz w:val="24"/>
          <w:szCs w:val="24"/>
          <w:lang/>
        </w:rPr>
        <w:fldChar w:fldCharType="begin"/>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instrText xml:space="preserve">HYPERLINK \l "_Toc33194408"</w:instrText>
      </w:r>
      <w:r>
        <w:rPr>
          <w:rStyle w:val="84"/>
          <w:rFonts w:hint="eastAsia" w:ascii="宋体" w:hAnsi="宋体" w:cs="宋体"/>
          <w:b w:val="0"/>
          <w:sz w:val="24"/>
          <w:szCs w:val="24"/>
          <w:lang/>
        </w:rPr>
        <w:instrText xml:space="preserve"> </w:instrText>
      </w:r>
      <w:r>
        <w:rPr>
          <w:rFonts w:hint="eastAsia" w:ascii="宋体" w:hAnsi="宋体" w:cs="宋体"/>
          <w:b w:val="0"/>
          <w:sz w:val="24"/>
          <w:szCs w:val="24"/>
          <w:lang/>
        </w:rPr>
        <w:fldChar w:fldCharType="separate"/>
      </w:r>
      <w:r>
        <w:rPr>
          <w:rStyle w:val="84"/>
          <w:rFonts w:hint="eastAsia" w:ascii="宋体" w:hAnsi="宋体" w:cs="宋体"/>
          <w:b w:val="0"/>
          <w:sz w:val="24"/>
          <w:szCs w:val="24"/>
          <w:lang/>
        </w:rPr>
        <w:t>商务技术文件</w:t>
      </w:r>
      <w:r>
        <w:rPr>
          <w:rFonts w:hint="eastAsia" w:ascii="宋体" w:hAnsi="宋体" w:cs="宋体"/>
          <w:b w:val="0"/>
          <w:sz w:val="24"/>
          <w:szCs w:val="24"/>
          <w:lang/>
        </w:rPr>
        <w:tab/>
      </w:r>
      <w:r>
        <w:rPr>
          <w:rFonts w:hint="eastAsia" w:ascii="宋体" w:hAnsi="宋体" w:cs="宋体"/>
          <w:b w:val="0"/>
          <w:sz w:val="24"/>
          <w:szCs w:val="24"/>
          <w:lang/>
        </w:rPr>
        <w:fldChar w:fldCharType="begin"/>
      </w:r>
      <w:r>
        <w:rPr>
          <w:rFonts w:hint="eastAsia" w:ascii="宋体" w:hAnsi="宋体" w:cs="宋体"/>
          <w:b w:val="0"/>
          <w:sz w:val="24"/>
          <w:szCs w:val="24"/>
          <w:lang/>
        </w:rPr>
        <w:instrText xml:space="preserve"> PAGEREF _Toc33194408 \h </w:instrText>
      </w:r>
      <w:r>
        <w:rPr>
          <w:rFonts w:hint="eastAsia" w:ascii="宋体" w:hAnsi="宋体" w:cs="宋体"/>
          <w:b w:val="0"/>
          <w:sz w:val="24"/>
          <w:szCs w:val="24"/>
          <w:lang/>
        </w:rPr>
        <w:fldChar w:fldCharType="separate"/>
      </w:r>
      <w:r>
        <w:rPr>
          <w:rFonts w:hint="eastAsia" w:ascii="宋体" w:hAnsi="宋体" w:cs="宋体"/>
          <w:b w:val="0"/>
          <w:sz w:val="24"/>
          <w:szCs w:val="24"/>
          <w:lang/>
        </w:rPr>
        <w:t>10</w:t>
      </w:r>
      <w:r>
        <w:rPr>
          <w:rFonts w:hint="eastAsia" w:ascii="宋体" w:hAnsi="宋体" w:cs="宋体"/>
          <w:b w:val="0"/>
          <w:sz w:val="24"/>
          <w:szCs w:val="24"/>
        </w:rPr>
        <w:t>3</w:t>
      </w:r>
      <w:r>
        <w:rPr>
          <w:rFonts w:hint="eastAsia" w:ascii="宋体" w:hAnsi="宋体" w:cs="宋体"/>
          <w:b w:val="0"/>
          <w:sz w:val="24"/>
          <w:szCs w:val="24"/>
          <w:lang/>
        </w:rPr>
        <w:fldChar w:fldCharType="end"/>
      </w:r>
      <w:r>
        <w:rPr>
          <w:rFonts w:hint="eastAsia" w:ascii="宋体" w:hAnsi="宋体" w:cs="宋体"/>
          <w:b w:val="0"/>
          <w:sz w:val="24"/>
          <w:szCs w:val="24"/>
          <w:lang/>
        </w:rPr>
        <w:fldChar w:fldCharType="end"/>
      </w:r>
    </w:p>
    <w:p>
      <w:pPr>
        <w:pStyle w:val="65"/>
        <w:tabs>
          <w:tab w:val="right" w:leader="dot" w:pos="8958"/>
        </w:tabs>
        <w:snapToGrid w:val="0"/>
        <w:spacing w:line="600" w:lineRule="exact"/>
        <w:rPr>
          <w:rFonts w:hint="eastAsia" w:ascii="宋体" w:hAnsi="宋体" w:cs="宋体"/>
          <w:bCs/>
          <w:color w:val="000000"/>
          <w:sz w:val="24"/>
          <w:szCs w:val="24"/>
        </w:rPr>
      </w:pPr>
      <w:r>
        <w:rPr>
          <w:rFonts w:hint="eastAsia" w:ascii="宋体" w:hAnsi="宋体" w:cs="宋体"/>
          <w:bCs/>
          <w:color w:val="000000"/>
          <w:sz w:val="24"/>
          <w:szCs w:val="24"/>
        </w:rPr>
        <w:fldChar w:fldCharType="end"/>
      </w:r>
    </w:p>
    <w:p>
      <w:pPr>
        <w:jc w:val="center"/>
        <w:rPr>
          <w:rFonts w:hint="eastAsia" w:ascii="宋体" w:hAnsi="宋体" w:cs="宋体"/>
          <w:bCs/>
          <w:sz w:val="28"/>
          <w:szCs w:val="28"/>
        </w:rPr>
        <w:sectPr>
          <w:pgSz w:w="11906" w:h="16838"/>
          <w:pgMar w:top="1531" w:right="1304" w:bottom="1531" w:left="1361" w:header="851" w:footer="1304" w:gutter="0"/>
          <w:cols w:space="720" w:num="1"/>
          <w:docGrid w:linePitch="312" w:charSpace="0"/>
        </w:sectPr>
      </w:pPr>
      <w:bookmarkStart w:id="0" w:name="_Toc354996693"/>
      <w:bookmarkStart w:id="1" w:name="_Toc33194385"/>
    </w:p>
    <w:p>
      <w:pPr>
        <w:spacing w:before="120" w:beforeLines="50" w:after="120" w:afterLines="50"/>
        <w:jc w:val="center"/>
        <w:rPr>
          <w:rFonts w:hint="eastAsia" w:ascii="宋体" w:hAnsi="宋体" w:cs="宋体"/>
          <w:b/>
          <w:bCs/>
          <w:sz w:val="28"/>
          <w:szCs w:val="28"/>
        </w:rPr>
      </w:pPr>
      <w:r>
        <w:rPr>
          <w:rFonts w:hint="eastAsia" w:ascii="宋体" w:hAnsi="宋体" w:cs="宋体"/>
          <w:b/>
          <w:bCs/>
          <w:sz w:val="28"/>
          <w:szCs w:val="28"/>
        </w:rPr>
        <w:t>第一部分  招标公告</w:t>
      </w:r>
      <w:bookmarkEnd w:id="0"/>
      <w:bookmarkEnd w:id="1"/>
    </w:p>
    <w:p>
      <w:pPr>
        <w:shd w:val="clear" w:color="auto" w:fill="FFFFFF"/>
        <w:snapToGrid w:val="0"/>
        <w:spacing w:line="600" w:lineRule="exact"/>
        <w:ind w:firstLine="480" w:firstLineChars="200"/>
        <w:textAlignment w:val="bottom"/>
        <w:rPr>
          <w:rFonts w:hint="eastAsia" w:ascii="宋体" w:hAnsi="宋体" w:cs="宋体"/>
          <w:color w:val="000000"/>
          <w:kern w:val="0"/>
          <w:sz w:val="24"/>
        </w:rPr>
      </w:pPr>
      <w:bookmarkStart w:id="2" w:name="_Hlt74729822"/>
      <w:bookmarkEnd w:id="2"/>
      <w:bookmarkStart w:id="3" w:name="_Hlt74707423"/>
      <w:bookmarkEnd w:id="3"/>
      <w:bookmarkStart w:id="4" w:name="_Hlt74728647"/>
      <w:bookmarkEnd w:id="4"/>
      <w:bookmarkStart w:id="5" w:name="_Hlt74649545"/>
      <w:bookmarkEnd w:id="5"/>
      <w:bookmarkStart w:id="6" w:name="_Toc354996694"/>
      <w:bookmarkStart w:id="7" w:name="_Toc33194386"/>
      <w:bookmarkStart w:id="8" w:name="_Toc225840107"/>
      <w:r>
        <w:rPr>
          <w:rFonts w:hint="eastAsia" w:ascii="宋体" w:hAnsi="宋体" w:cs="宋体"/>
          <w:color w:val="000000"/>
          <w:kern w:val="0"/>
          <w:sz w:val="24"/>
        </w:rPr>
        <w:t>根据《中华人民共和国政府采购法》等有关规定，</w:t>
      </w:r>
      <w:r>
        <w:rPr>
          <w:rFonts w:hint="eastAsia" w:ascii="宋体" w:hAnsi="宋体" w:cs="宋体"/>
          <w:sz w:val="24"/>
        </w:rPr>
        <w:t>经</w:t>
      </w:r>
      <w:r>
        <w:rPr>
          <w:rFonts w:hint="eastAsia" w:ascii="宋体" w:hAnsi="宋体" w:cs="宋体"/>
          <w:sz w:val="24"/>
          <w:highlight w:val="none"/>
        </w:rPr>
        <w:t>杭州市余杭区财政局临[202</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2009</w:t>
      </w:r>
      <w:r>
        <w:rPr>
          <w:rFonts w:hint="eastAsia" w:ascii="宋体" w:hAnsi="宋体" w:cs="宋体"/>
          <w:sz w:val="24"/>
          <w:highlight w:val="none"/>
        </w:rPr>
        <w:t>号确认书批准，</w:t>
      </w:r>
      <w:r>
        <w:rPr>
          <w:rFonts w:hint="eastAsia" w:ascii="宋体" w:hAnsi="宋体" w:cs="宋体"/>
          <w:color w:val="000000"/>
          <w:kern w:val="0"/>
          <w:sz w:val="24"/>
          <w:highlight w:val="none"/>
        </w:rPr>
        <w:t>杭州政采工程咨询代理有限公司受</w:t>
      </w:r>
      <w:r>
        <w:rPr>
          <w:rFonts w:hint="eastAsia" w:ascii="宋体" w:hAnsi="宋体" w:cs="宋体"/>
          <w:kern w:val="0"/>
          <w:sz w:val="24"/>
          <w:szCs w:val="24"/>
          <w:highlight w:val="none"/>
        </w:rPr>
        <w:t>杭州市余</w:t>
      </w:r>
      <w:r>
        <w:rPr>
          <w:rFonts w:hint="eastAsia" w:ascii="宋体" w:hAnsi="宋体" w:cs="宋体"/>
          <w:kern w:val="0"/>
          <w:sz w:val="24"/>
          <w:szCs w:val="24"/>
        </w:rPr>
        <w:t>杭区黄湖镇人民政府的</w:t>
      </w:r>
      <w:r>
        <w:rPr>
          <w:rFonts w:hint="eastAsia" w:ascii="宋体" w:hAnsi="宋体" w:cs="宋体"/>
          <w:color w:val="000000"/>
          <w:kern w:val="0"/>
          <w:sz w:val="24"/>
        </w:rPr>
        <w:t>委托，</w:t>
      </w:r>
      <w:r>
        <w:rPr>
          <w:rFonts w:hint="eastAsia" w:ascii="宋体" w:hAnsi="宋体" w:cs="宋体"/>
          <w:sz w:val="24"/>
        </w:rPr>
        <w:t>现</w:t>
      </w:r>
      <w:r>
        <w:rPr>
          <w:rFonts w:hint="eastAsia" w:ascii="宋体" w:hAnsi="宋体" w:cs="宋体"/>
          <w:color w:val="000000"/>
          <w:kern w:val="0"/>
          <w:sz w:val="24"/>
        </w:rPr>
        <w:t>就</w:t>
      </w:r>
      <w:r>
        <w:rPr>
          <w:rFonts w:hint="eastAsia" w:ascii="宋体" w:hAnsi="宋体" w:cs="宋体"/>
          <w:color w:val="000000"/>
          <w:kern w:val="0"/>
          <w:sz w:val="24"/>
          <w:lang w:eastAsia="zh-CN"/>
        </w:rPr>
        <w:t>黄湖镇道路保洁等服务采购项目</w:t>
      </w:r>
      <w:r>
        <w:rPr>
          <w:rFonts w:hint="eastAsia" w:ascii="宋体" w:hAnsi="宋体" w:cs="宋体"/>
          <w:color w:val="000000"/>
          <w:kern w:val="0"/>
          <w:sz w:val="24"/>
        </w:rPr>
        <w:t>进行公开招标（线上电子招投标），欢迎国内合格的供应商前来参加。</w:t>
      </w:r>
    </w:p>
    <w:p>
      <w:pPr>
        <w:widowControl/>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一、</w:t>
      </w:r>
      <w:r>
        <w:rPr>
          <w:rFonts w:hint="eastAsia" w:ascii="宋体" w:hAnsi="宋体" w:cs="宋体"/>
          <w:sz w:val="24"/>
        </w:rPr>
        <w:t>项目名称及编号：</w:t>
      </w:r>
      <w:r>
        <w:rPr>
          <w:rFonts w:hint="eastAsia" w:ascii="宋体" w:hAnsi="宋体" w:cs="宋体"/>
          <w:sz w:val="24"/>
          <w:lang w:eastAsia="zh-CN"/>
        </w:rPr>
        <w:t>黄湖镇道路保洁等服务采购项目</w:t>
      </w:r>
      <w:r>
        <w:rPr>
          <w:rFonts w:hint="eastAsia" w:ascii="宋体" w:hAnsi="宋体" w:cs="宋体"/>
          <w:sz w:val="24"/>
        </w:rPr>
        <w:t>（</w:t>
      </w:r>
      <w:r>
        <w:rPr>
          <w:rFonts w:hint="eastAsia" w:ascii="宋体" w:hAnsi="宋体" w:cs="宋体"/>
          <w:color w:val="000000"/>
          <w:sz w:val="24"/>
        </w:rPr>
        <w:t>ZCZFCG2020-00</w:t>
      </w:r>
      <w:r>
        <w:rPr>
          <w:rFonts w:hint="eastAsia" w:ascii="宋体" w:hAnsi="宋体" w:cs="宋体"/>
          <w:color w:val="000000"/>
          <w:sz w:val="24"/>
          <w:lang w:val="en-US" w:eastAsia="zh-CN"/>
        </w:rPr>
        <w:t>9</w:t>
      </w:r>
      <w:r>
        <w:rPr>
          <w:rFonts w:hint="eastAsia" w:ascii="宋体" w:hAnsi="宋体" w:cs="宋体"/>
          <w:color w:val="00000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二、</w:t>
      </w:r>
      <w:r>
        <w:rPr>
          <w:rFonts w:hint="eastAsia" w:ascii="宋体" w:hAnsi="宋体" w:cs="宋体"/>
          <w:color w:val="000000"/>
          <w:sz w:val="24"/>
        </w:rPr>
        <w:t>采购组织类型：</w:t>
      </w:r>
      <w:r>
        <w:rPr>
          <w:rFonts w:hint="eastAsia" w:ascii="宋体" w:hAnsi="宋体" w:cs="宋体"/>
          <w:color w:val="000000"/>
          <w:kern w:val="0"/>
          <w:sz w:val="24"/>
        </w:rPr>
        <w:t xml:space="preserve">分散采购委托代理 </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三、采购方式：</w:t>
      </w:r>
      <w:r>
        <w:rPr>
          <w:rFonts w:hint="eastAsia" w:ascii="宋体" w:hAnsi="宋体" w:cs="宋体"/>
          <w:color w:val="000000"/>
          <w:kern w:val="0"/>
          <w:sz w:val="24"/>
        </w:rPr>
        <w:t>公开招标</w:t>
      </w:r>
    </w:p>
    <w:p>
      <w:pPr>
        <w:widowControl/>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四、招标项目概况（内容、用途、数量、简要技术要求等）：</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58"/>
        <w:gridCol w:w="535"/>
        <w:gridCol w:w="628"/>
        <w:gridCol w:w="1190"/>
        <w:gridCol w:w="2684"/>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标项内容</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数量</w:t>
            </w:r>
          </w:p>
        </w:tc>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单位</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预算金额（万元）</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简要技术要求、用途</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lang w:eastAsia="zh-CN"/>
              </w:rPr>
              <w:t>黄湖镇道路保洁等服务采购项目</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年</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4"/>
              </w:rPr>
            </w:pPr>
            <w:r>
              <w:rPr>
                <w:rFonts w:hint="eastAsia" w:ascii="宋体" w:hAnsi="宋体" w:cs="宋体"/>
                <w:b/>
                <w:sz w:val="24"/>
                <w:lang w:val="en-US" w:eastAsia="zh-CN"/>
              </w:rPr>
              <w:t>367.325</w:t>
            </w:r>
          </w:p>
        </w:tc>
        <w:tc>
          <w:tcPr>
            <w:tcW w:w="2684"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黄湖道路保洁、绿化养护、河道保洁、公厕保洁等项目</w:t>
            </w:r>
          </w:p>
        </w:tc>
        <w:tc>
          <w:tcPr>
            <w:tcW w:w="1439" w:type="dxa"/>
            <w:noWrap w:val="0"/>
            <w:vAlign w:val="center"/>
          </w:tcPr>
          <w:p>
            <w:pPr>
              <w:jc w:val="center"/>
              <w:rPr>
                <w:rFonts w:hint="eastAsia" w:ascii="宋体" w:hAnsi="宋体" w:cs="宋体"/>
                <w:b/>
                <w:bCs/>
                <w:sz w:val="24"/>
              </w:rPr>
            </w:pPr>
            <w:r>
              <w:rPr>
                <w:rFonts w:hint="eastAsia" w:ascii="宋体" w:hAnsi="宋体" w:cs="宋体"/>
                <w:b/>
                <w:bCs/>
                <w:sz w:val="24"/>
              </w:rPr>
              <w:t>详见招标文件第三部分“项目技术规范和服务要求”。</w:t>
            </w:r>
          </w:p>
        </w:tc>
      </w:tr>
    </w:tbl>
    <w:p>
      <w:pPr>
        <w:widowControl/>
        <w:snapToGrid w:val="0"/>
        <w:spacing w:line="600" w:lineRule="exact"/>
        <w:ind w:firstLine="480" w:firstLineChars="200"/>
        <w:jc w:val="left"/>
        <w:rPr>
          <w:rFonts w:hint="eastAsia" w:ascii="宋体" w:hAnsi="宋体" w:cs="宋体"/>
          <w:color w:val="000000"/>
          <w:kern w:val="0"/>
          <w:sz w:val="24"/>
        </w:rPr>
      </w:pPr>
      <w:bookmarkStart w:id="9" w:name="_Hlk33175756"/>
      <w:r>
        <w:rPr>
          <w:rFonts w:hint="eastAsia" w:ascii="宋体" w:hAnsi="宋体" w:cs="宋体"/>
          <w:color w:val="000000"/>
          <w:kern w:val="0"/>
          <w:sz w:val="24"/>
        </w:rPr>
        <w:t>五、投标供应商资格要求：</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1、符合《中华人民共和国政府采购法》第二十二条的规定：</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315"/>
        <w:snapToGrid w:val="0"/>
        <w:spacing w:line="600" w:lineRule="exact"/>
        <w:rPr>
          <w:rFonts w:hint="eastAsia" w:ascii="宋体" w:hAnsi="宋体" w:cs="宋体"/>
          <w:color w:val="000000"/>
          <w:sz w:val="24"/>
        </w:rPr>
      </w:pPr>
      <w:r>
        <w:rPr>
          <w:rFonts w:hint="eastAsia" w:ascii="宋体" w:hAnsi="宋体" w:cs="宋体"/>
          <w:color w:val="000000"/>
          <w:sz w:val="24"/>
        </w:rPr>
        <w:t>窗体顶端</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2、投标供应商特定资格条件：</w:t>
      </w:r>
    </w:p>
    <w:p>
      <w:pPr>
        <w:pStyle w:val="453"/>
        <w:snapToGrid w:val="0"/>
        <w:spacing w:line="600" w:lineRule="exact"/>
        <w:rPr>
          <w:rFonts w:hint="eastAsia" w:ascii="宋体" w:hAnsi="宋体" w:cs="宋体"/>
          <w:color w:val="000000"/>
          <w:sz w:val="24"/>
        </w:rPr>
      </w:pPr>
      <w:r>
        <w:rPr>
          <w:rFonts w:hint="eastAsia" w:ascii="宋体" w:hAnsi="宋体" w:cs="宋体"/>
          <w:color w:val="000000"/>
          <w:sz w:val="24"/>
        </w:rPr>
        <w:t>窗体底端</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（1）单位负责人为同一人或者存在直接控股、管理关系的不同供应商，不得参加同一合同项下的政府采购活动；</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（2）供应商未被列入失信被执行人名单、重大税收违法案件当事人名单、政府采购严重违法失信行为记录名单，信用信息以信用中国网站（www.creditchina.gov.cn）、中国政府采购网（www.ccgp.gov.cn）公布为准；</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（3）本项目谢绝联合体投标。</w:t>
      </w:r>
    </w:p>
    <w:bookmarkEnd w:id="9"/>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六、招标文件的获取：</w:t>
      </w:r>
    </w:p>
    <w:p>
      <w:pPr>
        <w:spacing w:line="600" w:lineRule="exact"/>
        <w:ind w:firstLine="480" w:firstLineChars="200"/>
        <w:rPr>
          <w:rFonts w:hint="eastAsia" w:ascii="宋体" w:hAnsi="宋体" w:cs="宋体"/>
          <w:color w:val="000000"/>
          <w:sz w:val="24"/>
        </w:rPr>
      </w:pPr>
      <w:r>
        <w:rPr>
          <w:rFonts w:hint="eastAsia" w:ascii="宋体" w:hAnsi="宋体" w:cs="宋体"/>
          <w:sz w:val="24"/>
        </w:rPr>
        <w:t>1、</w:t>
      </w:r>
      <w:r>
        <w:rPr>
          <w:rFonts w:hint="eastAsia" w:ascii="宋体" w:hAnsi="宋体" w:cs="宋体"/>
          <w:color w:val="000000"/>
          <w:sz w:val="24"/>
        </w:rPr>
        <w:t>本项目招标文件实行“政府采购云平台”在线获取，</w:t>
      </w:r>
      <w:r>
        <w:rPr>
          <w:rFonts w:hint="eastAsia" w:ascii="宋体" w:hAnsi="宋体" w:cs="宋体"/>
          <w:color w:val="000000"/>
          <w:kern w:val="0"/>
          <w:sz w:val="24"/>
        </w:rPr>
        <w:t>不提供招标文件纸质版</w:t>
      </w:r>
      <w:r>
        <w:rPr>
          <w:rFonts w:hint="eastAsia" w:ascii="宋体" w:hAnsi="宋体" w:cs="宋体"/>
          <w:color w:val="000000"/>
          <w:sz w:val="24"/>
        </w:rPr>
        <w:t>。供应商获取招标文件前应先完成“政府采购云平台”的账号注册；</w:t>
      </w:r>
    </w:p>
    <w:p>
      <w:pPr>
        <w:pStyle w:val="31"/>
        <w:snapToGri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2、地点：政采云平台（http://zfcg.czt.zj.gov.cn）；</w:t>
      </w:r>
    </w:p>
    <w:p>
      <w:pPr>
        <w:pStyle w:val="31"/>
        <w:snapToGri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3、方式：潜在供应商登陆政采云平台，在线申请获取招标文件（进入“项目采购”应用，在获取招标文件菜单中选择项目，申请获取招标文件</w:t>
      </w:r>
      <w:r>
        <w:rPr>
          <w:rFonts w:hint="eastAsia" w:ascii="宋体" w:hAnsi="宋体" w:eastAsia="宋体" w:cs="宋体"/>
          <w:color w:val="000000"/>
          <w:sz w:val="24"/>
          <w:szCs w:val="24"/>
        </w:rPr>
        <w:t>，本项目招标文件不收取工本费</w:t>
      </w:r>
      <w:r>
        <w:rPr>
          <w:rFonts w:hint="eastAsia" w:ascii="宋体" w:hAnsi="宋体" w:eastAsia="宋体" w:cs="宋体"/>
          <w:sz w:val="24"/>
          <w:szCs w:val="24"/>
        </w:rPr>
        <w:t>；</w:t>
      </w:r>
      <w:r>
        <w:rPr>
          <w:rFonts w:hint="eastAsia" w:ascii="宋体" w:hAnsi="宋体" w:eastAsia="宋体" w:cs="宋体"/>
          <w:sz w:val="24"/>
          <w:szCs w:val="24"/>
          <w:u w:val="single"/>
        </w:rPr>
        <w:t>仅需浏览招标文件的供应商可点击“游客，浏览招标文件”直接下载招标文件浏览</w:t>
      </w:r>
      <w:r>
        <w:rPr>
          <w:rFonts w:hint="eastAsia" w:ascii="宋体" w:hAnsi="宋体" w:eastAsia="宋体" w:cs="宋体"/>
          <w:sz w:val="24"/>
          <w:szCs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4、供应商获取招标文件时须提交的文件资料：无；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600" w:lineRule="exact"/>
        <w:ind w:firstLine="480" w:firstLineChars="200"/>
        <w:jc w:val="left"/>
        <w:rPr>
          <w:rFonts w:hint="eastAsia" w:ascii="宋体" w:hAnsi="宋体" w:cs="宋体"/>
          <w:sz w:val="24"/>
        </w:rPr>
      </w:pPr>
      <w:r>
        <w:rPr>
          <w:rFonts w:hint="eastAsia" w:ascii="宋体" w:hAnsi="宋体" w:cs="宋体"/>
          <w:color w:val="000000"/>
          <w:kern w:val="0"/>
          <w:sz w:val="24"/>
        </w:rPr>
        <w:t>注：请供应商按上述要求获取招标文件，如未在“</w:t>
      </w:r>
      <w:r>
        <w:rPr>
          <w:rFonts w:hint="eastAsia" w:ascii="宋体" w:hAnsi="宋体" w:cs="宋体"/>
          <w:sz w:val="24"/>
        </w:rPr>
        <w:t>政采云”系统内完成相关流程，引起的投标无效责任自负。</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七、投标截止时间：2020年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八、投标地点：杭州市公共资源交易中心余杭分中心</w:t>
      </w:r>
      <w:r>
        <w:rPr>
          <w:rFonts w:hint="eastAsia" w:ascii="宋体" w:hAnsi="宋体" w:cs="宋体"/>
          <w:color w:val="auto"/>
          <w:kern w:val="0"/>
          <w:sz w:val="24"/>
          <w:lang w:val="en-US" w:eastAsia="zh-CN"/>
        </w:rPr>
        <w:t xml:space="preserve"> 4</w:t>
      </w:r>
      <w:r>
        <w:rPr>
          <w:rFonts w:hint="eastAsia" w:ascii="宋体" w:hAnsi="宋体" w:cs="宋体"/>
          <w:color w:val="auto"/>
          <w:kern w:val="0"/>
          <w:sz w:val="24"/>
        </w:rPr>
        <w:t>号开标室（杭州市余杭区临平南大街265号市民之家三楼）。</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九、开标时间：</w:t>
      </w:r>
      <w:r>
        <w:rPr>
          <w:rFonts w:hint="eastAsia" w:ascii="宋体" w:hAnsi="宋体" w:cs="宋体"/>
          <w:color w:val="000000"/>
          <w:kern w:val="0"/>
          <w:sz w:val="24"/>
        </w:rPr>
        <w:t>2020年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r>
        <w:rPr>
          <w:rFonts w:hint="eastAsia" w:ascii="宋体" w:hAnsi="宋体" w:cs="宋体"/>
          <w:color w:val="auto"/>
          <w:kern w:val="0"/>
          <w:sz w:val="24"/>
        </w:rPr>
        <w:t>；</w:t>
      </w:r>
    </w:p>
    <w:p>
      <w:pPr>
        <w:widowControl/>
        <w:snapToGrid w:val="0"/>
        <w:spacing w:line="600" w:lineRule="exact"/>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十、开标地点：杭州市公共资源交易中心余杭分中心</w:t>
      </w:r>
      <w:r>
        <w:rPr>
          <w:rFonts w:hint="eastAsia" w:ascii="宋体" w:hAnsi="宋体" w:cs="宋体"/>
          <w:color w:val="auto"/>
          <w:kern w:val="0"/>
          <w:sz w:val="24"/>
          <w:lang w:val="en-US" w:eastAsia="zh-CN"/>
        </w:rPr>
        <w:t xml:space="preserve"> 4</w:t>
      </w:r>
      <w:r>
        <w:rPr>
          <w:rFonts w:hint="eastAsia" w:ascii="宋体" w:hAnsi="宋体" w:cs="宋体"/>
          <w:color w:val="auto"/>
          <w:kern w:val="0"/>
          <w:sz w:val="24"/>
        </w:rPr>
        <w:t>号开标室（杭州市余杭区临平南大街265号市民之家三楼）。</w:t>
      </w:r>
    </w:p>
    <w:p>
      <w:pPr>
        <w:widowControl/>
        <w:snapToGrid w:val="0"/>
        <w:spacing w:line="6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十一、投标保证金：无。</w:t>
      </w:r>
    </w:p>
    <w:p>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十二、在线投标响应（电子投标）说明</w:t>
      </w:r>
    </w:p>
    <w:p>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000000"/>
          <w:sz w:val="24"/>
        </w:rPr>
        <w:t>。</w:t>
      </w:r>
    </w:p>
    <w:p>
      <w:pPr>
        <w:spacing w:line="600" w:lineRule="exact"/>
        <w:ind w:firstLine="480" w:firstLineChars="200"/>
        <w:rPr>
          <w:rFonts w:hint="eastAsia" w:ascii="宋体" w:hAnsi="宋体" w:cs="宋体"/>
          <w:color w:val="000000"/>
          <w:sz w:val="24"/>
          <w:u w:val="single"/>
        </w:rPr>
      </w:pPr>
      <w:r>
        <w:rPr>
          <w:rFonts w:hint="eastAsia" w:ascii="宋体" w:hAnsi="宋体" w:cs="宋体"/>
          <w:color w:val="000000"/>
          <w:sz w:val="24"/>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000000"/>
          <w:sz w:val="24"/>
        </w:rPr>
        <w:t>。使用“政采云电子交易客户端”需要提前申领CA数字证书，申领流程请自行前往“浙江政府采购网-下载专区-电子交易客户端-</w:t>
      </w:r>
      <w:r>
        <w:rPr>
          <w:rFonts w:hint="eastAsia" w:ascii="宋体" w:hAnsi="宋体" w:cs="宋体"/>
          <w:color w:val="000000"/>
          <w:sz w:val="24"/>
        </w:rPr>
        <w:fldChar w:fldCharType="begin"/>
      </w:r>
      <w:r>
        <w:rPr>
          <w:rFonts w:hint="eastAsia" w:ascii="宋体" w:hAnsi="宋体" w:cs="宋体"/>
          <w:color w:val="000000"/>
          <w:sz w:val="24"/>
        </w:rPr>
        <w:instrText xml:space="preserve"> HYPERLINK "http://www.zjzfcg.gov.cn/bidClientTemplate/2019-05-27/12945.html" \o "CA驱动和申领流程" \t "_blank" </w:instrText>
      </w:r>
      <w:r>
        <w:rPr>
          <w:rFonts w:hint="eastAsia" w:ascii="宋体" w:hAnsi="宋体" w:cs="宋体"/>
          <w:color w:val="000000"/>
          <w:sz w:val="24"/>
        </w:rPr>
        <w:fldChar w:fldCharType="separate"/>
      </w:r>
      <w:r>
        <w:rPr>
          <w:rFonts w:hint="eastAsia" w:ascii="宋体" w:hAnsi="宋体" w:cs="宋体"/>
          <w:color w:val="000000"/>
          <w:sz w:val="24"/>
        </w:rPr>
        <w:t>CA驱动和申领流程</w:t>
      </w:r>
      <w:r>
        <w:rPr>
          <w:rFonts w:hint="eastAsia" w:ascii="宋体" w:hAnsi="宋体" w:cs="宋体"/>
          <w:color w:val="000000"/>
          <w:sz w:val="24"/>
        </w:rPr>
        <w:fldChar w:fldCharType="end"/>
      </w:r>
      <w:r>
        <w:rPr>
          <w:rFonts w:hint="eastAsia" w:ascii="宋体" w:hAnsi="宋体" w:cs="宋体"/>
          <w:color w:val="000000"/>
          <w:sz w:val="24"/>
        </w:rPr>
        <w:t>”进行查阅；</w:t>
      </w:r>
    </w:p>
    <w:p>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u w:val="single"/>
        </w:rPr>
        <w:t>投标供应商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r>
        <w:rPr>
          <w:rFonts w:hint="eastAsia" w:ascii="宋体" w:hAnsi="宋体" w:cs="宋体"/>
          <w:color w:val="000000"/>
          <w:sz w:val="24"/>
        </w:rPr>
        <w:t>。</w:t>
      </w:r>
    </w:p>
    <w:p>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十三、其他事项：</w:t>
      </w:r>
    </w:p>
    <w:p>
      <w:pPr>
        <w:widowControl/>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1、本项目公告期限：5个工作日。</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供应商认为招标文件使自己的权益受到损害的，可以自获取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3、本项目对符合财政扶持政策的中小企业（小型、微型）、监狱企业、残疾人福利性单位给予价格优惠扶持，执行节能产品政府强制采购和优先采购政策，执行环境标志产品政府优先采购政策。</w:t>
      </w:r>
    </w:p>
    <w:p>
      <w:pPr>
        <w:widowControl/>
        <w:snapToGrid w:val="0"/>
        <w:spacing w:line="600" w:lineRule="exac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kern w:val="0"/>
          <w:sz w:val="24"/>
        </w:rPr>
        <w:t>4、书面质疑受理地点：杭州政采工程咨询代理有限公司招标代理部（杭州市余杭区星桥街道星源路388-1号1幢（中丹大厦）11楼1108室），联系人：</w:t>
      </w:r>
      <w:r>
        <w:rPr>
          <w:rFonts w:hint="eastAsia" w:ascii="宋体" w:hAnsi="宋体" w:cs="宋体"/>
          <w:color w:val="000000"/>
          <w:kern w:val="0"/>
          <w:sz w:val="24"/>
          <w:lang w:eastAsia="zh-CN"/>
        </w:rPr>
        <w:t>李工</w:t>
      </w:r>
      <w:r>
        <w:rPr>
          <w:rFonts w:hint="eastAsia" w:ascii="宋体" w:hAnsi="宋体" w:cs="宋体"/>
          <w:color w:val="000000"/>
          <w:kern w:val="0"/>
          <w:sz w:val="24"/>
        </w:rPr>
        <w:t>；</w:t>
      </w:r>
      <w:bookmarkStart w:id="10" w:name="B30_其他事项"/>
      <w:bookmarkEnd w:id="10"/>
      <w:r>
        <w:rPr>
          <w:rFonts w:hint="eastAsia" w:ascii="宋体" w:hAnsi="宋体" w:cs="宋体"/>
          <w:color w:val="000000"/>
          <w:sz w:val="24"/>
          <w:szCs w:val="24"/>
          <w:lang w:val="en-US" w:eastAsia="zh-CN"/>
        </w:rPr>
        <w:t>0571-88633281</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十四、联系方式：</w:t>
      </w:r>
    </w:p>
    <w:p>
      <w:pPr>
        <w:spacing w:line="600" w:lineRule="exact"/>
        <w:ind w:firstLine="480" w:firstLineChars="200"/>
        <w:rPr>
          <w:rFonts w:hint="eastAsia" w:ascii="宋体" w:hAnsi="宋体" w:cs="宋体"/>
          <w:sz w:val="24"/>
        </w:rPr>
      </w:pPr>
      <w:r>
        <w:rPr>
          <w:rFonts w:hint="eastAsia" w:ascii="宋体" w:hAnsi="宋体" w:cs="宋体"/>
          <w:sz w:val="24"/>
        </w:rPr>
        <w:t>1、采购代理机构名称：杭州政采工程咨询代理有限公司</w:t>
      </w:r>
    </w:p>
    <w:p>
      <w:pPr>
        <w:spacing w:line="600" w:lineRule="exact"/>
        <w:ind w:firstLine="480" w:firstLineChars="200"/>
        <w:rPr>
          <w:rFonts w:hint="eastAsia" w:ascii="宋体" w:hAnsi="宋体" w:cs="宋体"/>
          <w:sz w:val="24"/>
        </w:rPr>
      </w:pPr>
      <w:r>
        <w:rPr>
          <w:rFonts w:hint="eastAsia" w:ascii="宋体" w:hAnsi="宋体" w:cs="宋体"/>
          <w:sz w:val="24"/>
        </w:rPr>
        <w:t>联系人： 姜云兰</w:t>
      </w:r>
    </w:p>
    <w:p>
      <w:pPr>
        <w:spacing w:line="600" w:lineRule="exact"/>
        <w:ind w:firstLine="480" w:firstLineChars="200"/>
        <w:rPr>
          <w:rFonts w:hint="eastAsia" w:ascii="宋体" w:hAnsi="宋体" w:cs="宋体"/>
          <w:sz w:val="24"/>
        </w:rPr>
      </w:pPr>
      <w:r>
        <w:rPr>
          <w:rFonts w:hint="eastAsia" w:ascii="宋体" w:hAnsi="宋体" w:cs="宋体"/>
          <w:sz w:val="24"/>
        </w:rPr>
        <w:t>联系电话： 15058195339</w:t>
      </w:r>
    </w:p>
    <w:p>
      <w:pPr>
        <w:spacing w:line="600" w:lineRule="exact"/>
        <w:ind w:firstLine="480" w:firstLineChars="200"/>
        <w:rPr>
          <w:rFonts w:hint="eastAsia" w:ascii="宋体" w:hAnsi="宋体" w:cs="宋体"/>
          <w:sz w:val="24"/>
        </w:rPr>
      </w:pPr>
      <w:r>
        <w:rPr>
          <w:rFonts w:hint="eastAsia" w:ascii="宋体" w:hAnsi="宋体" w:cs="宋体"/>
          <w:sz w:val="24"/>
        </w:rPr>
        <w:t>地址： 杭州市余杭区星桥街道星源路388-1号1幢（中丹大厦）11楼1108室</w:t>
      </w:r>
    </w:p>
    <w:p>
      <w:pPr>
        <w:spacing w:line="600" w:lineRule="exact"/>
        <w:ind w:firstLine="480" w:firstLineChars="200"/>
        <w:rPr>
          <w:rFonts w:hint="eastAsia" w:ascii="宋体" w:hAnsi="宋体" w:cs="宋体"/>
          <w:sz w:val="24"/>
        </w:rPr>
      </w:pPr>
      <w:r>
        <w:rPr>
          <w:rFonts w:hint="eastAsia" w:ascii="宋体" w:hAnsi="宋体" w:cs="宋体"/>
          <w:sz w:val="24"/>
        </w:rPr>
        <w:t xml:space="preserve">2、采购人名称：杭州市余杭区黄湖镇人民政府 </w:t>
      </w:r>
    </w:p>
    <w:p>
      <w:pPr>
        <w:spacing w:line="600" w:lineRule="exact"/>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color w:val="000000"/>
          <w:sz w:val="24"/>
          <w:szCs w:val="24"/>
          <w:lang w:val="en-US" w:eastAsia="zh-CN"/>
        </w:rPr>
        <w:t>梁亮</w:t>
      </w:r>
      <w:r>
        <w:rPr>
          <w:rFonts w:hint="eastAsia" w:ascii="宋体" w:hAnsi="宋体" w:cs="宋体"/>
          <w:sz w:val="24"/>
        </w:rPr>
        <w:t>，张静</w:t>
      </w:r>
    </w:p>
    <w:p>
      <w:pPr>
        <w:spacing w:line="600" w:lineRule="exact"/>
        <w:ind w:firstLine="480" w:firstLineChars="200"/>
        <w:rPr>
          <w:rFonts w:hint="eastAsia" w:ascii="宋体" w:hAnsi="宋体" w:cs="宋体"/>
          <w:color w:val="000000"/>
          <w:sz w:val="24"/>
        </w:rPr>
      </w:pPr>
      <w:r>
        <w:rPr>
          <w:rFonts w:hint="eastAsia" w:ascii="宋体" w:hAnsi="宋体" w:cs="宋体"/>
          <w:sz w:val="24"/>
        </w:rPr>
        <w:t>联系电话：</w:t>
      </w:r>
      <w:r>
        <w:rPr>
          <w:rFonts w:hint="eastAsia" w:ascii="宋体" w:hAnsi="宋体" w:cs="宋体"/>
          <w:color w:val="000000"/>
          <w:sz w:val="24"/>
          <w:szCs w:val="24"/>
          <w:lang w:val="en-US" w:eastAsia="zh-CN"/>
        </w:rPr>
        <w:t>0571-88517267,88517267</w:t>
      </w:r>
    </w:p>
    <w:p>
      <w:pPr>
        <w:spacing w:line="600" w:lineRule="exact"/>
        <w:ind w:firstLine="480" w:firstLineChars="200"/>
        <w:rPr>
          <w:rFonts w:hint="eastAsia" w:ascii="宋体" w:hAnsi="宋体" w:cs="宋体"/>
          <w:sz w:val="24"/>
        </w:rPr>
      </w:pPr>
      <w:r>
        <w:rPr>
          <w:rFonts w:hint="eastAsia" w:ascii="宋体" w:hAnsi="宋体" w:cs="宋体"/>
          <w:sz w:val="24"/>
        </w:rPr>
        <w:t xml:space="preserve">地址：杭州市余杭区黄湖镇人民政府 </w:t>
      </w:r>
    </w:p>
    <w:p>
      <w:pPr>
        <w:spacing w:line="600" w:lineRule="exact"/>
        <w:ind w:firstLine="480" w:firstLineChars="200"/>
        <w:rPr>
          <w:rFonts w:hint="eastAsia" w:ascii="宋体" w:hAnsi="宋体" w:cs="宋体"/>
          <w:sz w:val="24"/>
        </w:rPr>
      </w:pPr>
      <w:r>
        <w:rPr>
          <w:rFonts w:hint="eastAsia" w:ascii="宋体" w:hAnsi="宋体" w:cs="宋体"/>
          <w:sz w:val="24"/>
        </w:rPr>
        <w:t>3、同级政府采购监督管理部门名称：余杭区政府采购办公室</w:t>
      </w:r>
    </w:p>
    <w:p>
      <w:pPr>
        <w:spacing w:line="600" w:lineRule="exact"/>
        <w:ind w:firstLine="480" w:firstLineChars="200"/>
        <w:rPr>
          <w:rFonts w:hint="eastAsia" w:ascii="宋体" w:hAnsi="宋体" w:cs="宋体"/>
          <w:sz w:val="24"/>
        </w:rPr>
      </w:pPr>
      <w:r>
        <w:rPr>
          <w:rFonts w:hint="eastAsia" w:ascii="宋体" w:hAnsi="宋体" w:cs="宋体"/>
          <w:sz w:val="24"/>
        </w:rPr>
        <w:t>地址：杭州市余杭区临平东湖中路236号余杭财税大楼</w:t>
      </w:r>
    </w:p>
    <w:p>
      <w:pPr>
        <w:spacing w:line="600" w:lineRule="exact"/>
        <w:ind w:firstLine="480" w:firstLineChars="200"/>
        <w:rPr>
          <w:rFonts w:hint="eastAsia" w:ascii="宋体" w:hAnsi="宋体" w:cs="宋体"/>
          <w:sz w:val="24"/>
        </w:rPr>
      </w:pPr>
      <w:r>
        <w:rPr>
          <w:rFonts w:hint="eastAsia" w:ascii="宋体" w:hAnsi="宋体" w:cs="宋体"/>
          <w:sz w:val="24"/>
        </w:rPr>
        <w:t>联系人：杜国强，联系电话：0571-89180113，传真：0571-89180113</w:t>
      </w:r>
    </w:p>
    <w:p>
      <w:pPr>
        <w:pStyle w:val="31"/>
        <w:spacing w:line="600" w:lineRule="exact"/>
        <w:rPr>
          <w:rFonts w:hint="eastAsia" w:ascii="宋体" w:hAnsi="宋体" w:eastAsia="宋体" w:cs="宋体"/>
          <w:sz w:val="24"/>
          <w:szCs w:val="24"/>
        </w:rPr>
      </w:pPr>
    </w:p>
    <w:p>
      <w:pPr>
        <w:shd w:val="clear" w:color="auto" w:fill="FFFFFF"/>
        <w:snapToGrid w:val="0"/>
        <w:spacing w:line="600" w:lineRule="exact"/>
        <w:jc w:val="right"/>
        <w:rPr>
          <w:rFonts w:hint="eastAsia" w:ascii="宋体" w:hAnsi="宋体" w:cs="宋体"/>
          <w:color w:val="000000"/>
          <w:sz w:val="24"/>
        </w:rPr>
      </w:pPr>
    </w:p>
    <w:p>
      <w:pPr>
        <w:shd w:val="clear" w:color="auto" w:fill="FFFFFF"/>
        <w:snapToGrid w:val="0"/>
        <w:spacing w:line="600" w:lineRule="exact"/>
        <w:jc w:val="right"/>
        <w:rPr>
          <w:rFonts w:ascii="宋体" w:hAnsi="宋体" w:cs="宋体"/>
          <w:color w:val="000000"/>
          <w:sz w:val="24"/>
          <w:szCs w:val="24"/>
        </w:rPr>
      </w:pPr>
      <w:r>
        <w:rPr>
          <w:rFonts w:hint="eastAsia" w:ascii="宋体" w:hAnsi="宋体" w:cs="宋体"/>
          <w:b/>
          <w:bCs/>
          <w:color w:val="000000"/>
          <w:sz w:val="24"/>
          <w:szCs w:val="24"/>
        </w:rPr>
        <w:t>杭州市余杭区黄湖镇人民政府</w:t>
      </w:r>
      <w:r>
        <w:rPr>
          <w:rFonts w:ascii="宋体" w:hAnsi="宋体" w:cs="宋体"/>
          <w:color w:val="000000"/>
          <w:sz w:val="24"/>
          <w:szCs w:val="24"/>
        </w:rPr>
        <w:t xml:space="preserve"> </w:t>
      </w:r>
    </w:p>
    <w:p>
      <w:pPr>
        <w:shd w:val="clear" w:color="auto" w:fill="FFFFFF"/>
        <w:snapToGrid w:val="0"/>
        <w:spacing w:line="600" w:lineRule="exact"/>
        <w:jc w:val="right"/>
        <w:rPr>
          <w:rFonts w:hint="eastAsia" w:ascii="宋体" w:hAnsi="宋体" w:cs="宋体"/>
          <w:color w:val="000000"/>
          <w:sz w:val="24"/>
        </w:rPr>
      </w:pPr>
      <w:r>
        <w:rPr>
          <w:rFonts w:hint="eastAsia" w:ascii="宋体" w:hAnsi="宋体" w:cs="宋体"/>
          <w:color w:val="000000"/>
          <w:sz w:val="24"/>
        </w:rPr>
        <w:t>杭州政采工程咨询代理有限公司</w:t>
      </w:r>
    </w:p>
    <w:p>
      <w:pPr>
        <w:shd w:val="clear" w:color="auto" w:fill="FFFFFF"/>
        <w:snapToGrid w:val="0"/>
        <w:spacing w:line="600" w:lineRule="exact"/>
        <w:jc w:val="right"/>
      </w:pPr>
      <w:r>
        <w:rPr>
          <w:rFonts w:hint="eastAsia" w:ascii="宋体" w:hAnsi="宋体" w:cs="宋体"/>
          <w:color w:val="000000"/>
          <w:sz w:val="24"/>
        </w:rPr>
        <w:t>2020年</w:t>
      </w:r>
      <w:r>
        <w:rPr>
          <w:rFonts w:hint="eastAsia" w:ascii="宋体" w:hAnsi="宋体" w:cs="宋体"/>
          <w:color w:val="000000"/>
          <w:sz w:val="24"/>
          <w:lang w:val="en-US" w:eastAsia="zh-CN"/>
        </w:rPr>
        <w:t>4</w:t>
      </w:r>
      <w:r>
        <w:rPr>
          <w:rFonts w:hint="eastAsia" w:ascii="宋体" w:hAnsi="宋体" w:cs="宋体"/>
          <w:color w:val="000000"/>
          <w:sz w:val="24"/>
        </w:rPr>
        <w:t>月</w:t>
      </w: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center"/>
        <w:rPr>
          <w:rFonts w:hint="eastAsia" w:ascii="宋体" w:hAnsi="宋体" w:cs="宋体"/>
          <w:b/>
          <w:bCs/>
          <w:sz w:val="28"/>
          <w:szCs w:val="28"/>
        </w:rPr>
      </w:pPr>
    </w:p>
    <w:p>
      <w:pPr>
        <w:spacing w:before="157" w:beforeLines="50" w:after="157" w:afterLines="50"/>
        <w:jc w:val="both"/>
        <w:rPr>
          <w:rFonts w:hint="eastAsia" w:ascii="宋体" w:hAnsi="宋体" w:cs="宋体"/>
          <w:b/>
          <w:bCs/>
          <w:sz w:val="28"/>
          <w:szCs w:val="28"/>
        </w:rPr>
      </w:pPr>
      <w:r>
        <w:rPr>
          <w:rFonts w:hint="eastAsia" w:ascii="宋体" w:hAnsi="宋体" w:cs="宋体"/>
          <w:b/>
          <w:bCs/>
          <w:sz w:val="28"/>
          <w:szCs w:val="28"/>
          <w:lang w:val="en-US" w:eastAsia="zh-CN"/>
        </w:rPr>
        <w:t xml:space="preserve">           </w:t>
      </w:r>
      <w:r>
        <w:rPr>
          <w:rFonts w:hint="eastAsia" w:ascii="宋体" w:hAnsi="宋体" w:cs="宋体"/>
          <w:b/>
          <w:bCs/>
          <w:sz w:val="28"/>
          <w:szCs w:val="28"/>
        </w:rPr>
        <w:t>第二部分  编制和提交投标文件须知</w:t>
      </w:r>
      <w:bookmarkEnd w:id="6"/>
      <w:bookmarkEnd w:id="7"/>
    </w:p>
    <w:p>
      <w:pPr>
        <w:spacing w:before="157" w:beforeLines="50" w:after="157" w:afterLines="50"/>
        <w:jc w:val="center"/>
        <w:rPr>
          <w:rFonts w:hint="eastAsia" w:ascii="宋体" w:hAnsi="宋体" w:cs="宋体"/>
          <w:b/>
          <w:bCs/>
          <w:sz w:val="28"/>
          <w:szCs w:val="28"/>
        </w:rPr>
      </w:pPr>
      <w:bookmarkStart w:id="11" w:name="_Toc233618971"/>
      <w:bookmarkStart w:id="12" w:name="_Toc354996695"/>
      <w:bookmarkStart w:id="13" w:name="_Toc33194387"/>
      <w:r>
        <w:rPr>
          <w:rFonts w:hint="eastAsia" w:ascii="宋体" w:hAnsi="宋体" w:cs="宋体"/>
          <w:b/>
          <w:bCs/>
          <w:sz w:val="28"/>
          <w:szCs w:val="28"/>
        </w:rPr>
        <w:t>前 附 表</w:t>
      </w:r>
      <w:bookmarkEnd w:id="11"/>
      <w:bookmarkEnd w:id="12"/>
      <w:bookmarkEnd w:id="13"/>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ascii="宋体" w:hAnsi="宋体" w:cs="宋体"/>
                <w:sz w:val="24"/>
              </w:rPr>
            </w:pPr>
            <w:r>
              <w:rPr>
                <w:rFonts w:hint="eastAsia" w:ascii="宋体" w:hAnsi="宋体" w:cs="宋体"/>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项目说明</w:t>
            </w:r>
          </w:p>
          <w:p>
            <w:pPr>
              <w:spacing w:line="600" w:lineRule="exact"/>
              <w:jc w:val="left"/>
              <w:rPr>
                <w:rFonts w:hint="eastAsia" w:ascii="宋体" w:hAnsi="宋体" w:cs="宋体"/>
                <w:sz w:val="24"/>
              </w:rPr>
            </w:pPr>
            <w:r>
              <w:rPr>
                <w:rFonts w:hint="eastAsia" w:ascii="宋体" w:hAnsi="宋体" w:cs="宋体"/>
                <w:sz w:val="24"/>
              </w:rPr>
              <w:t>一、项目名称：</w:t>
            </w:r>
            <w:r>
              <w:rPr>
                <w:rFonts w:hint="eastAsia" w:ascii="宋体" w:hAnsi="宋体" w:cs="宋体"/>
                <w:sz w:val="24"/>
                <w:lang w:eastAsia="zh-CN"/>
              </w:rPr>
              <w:t>黄湖镇道路保洁等服务采购项目</w:t>
            </w:r>
            <w:r>
              <w:rPr>
                <w:rFonts w:hint="eastAsia" w:ascii="宋体" w:hAnsi="宋体" w:cs="宋体"/>
                <w:sz w:val="24"/>
              </w:rPr>
              <w:t>。</w:t>
            </w:r>
          </w:p>
          <w:p>
            <w:pPr>
              <w:spacing w:line="600" w:lineRule="exact"/>
              <w:jc w:val="left"/>
              <w:rPr>
                <w:rFonts w:hint="eastAsia" w:ascii="宋体" w:hAnsi="宋体" w:cs="宋体"/>
                <w:sz w:val="24"/>
              </w:rPr>
            </w:pPr>
            <w:bookmarkStart w:id="14" w:name="_Hlt75139851"/>
            <w:bookmarkEnd w:id="14"/>
            <w:r>
              <w:rPr>
                <w:rFonts w:hint="eastAsia" w:ascii="宋体" w:hAnsi="宋体" w:cs="宋体"/>
                <w:sz w:val="24"/>
              </w:rPr>
              <w:t>二、采购内容：黄湖道路保洁、绿化养护、河道保洁、公厕保洁等项目。</w:t>
            </w:r>
          </w:p>
          <w:p>
            <w:pPr>
              <w:spacing w:line="600" w:lineRule="exact"/>
              <w:jc w:val="left"/>
              <w:rPr>
                <w:rFonts w:hint="eastAsia" w:ascii="宋体" w:hAnsi="宋体" w:cs="宋体"/>
                <w:sz w:val="24"/>
              </w:rPr>
            </w:pPr>
            <w:r>
              <w:rPr>
                <w:rFonts w:hint="eastAsia" w:ascii="宋体" w:hAnsi="宋体" w:cs="宋体"/>
                <w:sz w:val="24"/>
              </w:rPr>
              <w:t>三、项目实施地点：余杭区范围内采购人指定地点。</w:t>
            </w:r>
          </w:p>
          <w:p>
            <w:pPr>
              <w:spacing w:line="600" w:lineRule="exact"/>
              <w:jc w:val="left"/>
              <w:rPr>
                <w:rFonts w:hint="eastAsia" w:ascii="宋体" w:hAnsi="宋体" w:cs="宋体"/>
                <w:sz w:val="24"/>
              </w:rPr>
            </w:pPr>
            <w:r>
              <w:rPr>
                <w:rFonts w:hint="eastAsia" w:ascii="宋体" w:hAnsi="宋体" w:cs="宋体"/>
                <w:sz w:val="24"/>
              </w:rPr>
              <w:t>四、主要功能和性能要求：详见第三部分——项目技术规范和服务要求。</w:t>
            </w:r>
          </w:p>
          <w:p>
            <w:pPr>
              <w:spacing w:line="600" w:lineRule="exact"/>
              <w:jc w:val="left"/>
              <w:rPr>
                <w:rFonts w:hint="eastAsia" w:ascii="宋体" w:hAnsi="宋体" w:cs="宋体"/>
                <w:sz w:val="24"/>
              </w:rPr>
            </w:pPr>
            <w:r>
              <w:rPr>
                <w:rFonts w:hint="eastAsia" w:ascii="宋体" w:hAnsi="宋体" w:cs="宋体"/>
                <w:sz w:val="24"/>
              </w:rPr>
              <w:t>五、服务期：</w:t>
            </w:r>
            <w:r>
              <w:rPr>
                <w:rFonts w:hint="eastAsia" w:ascii="宋体" w:hAnsi="宋体" w:cs="宋体"/>
                <w:sz w:val="24"/>
                <w:lang w:val="en-US" w:eastAsia="zh-CN"/>
              </w:rPr>
              <w:t>1</w:t>
            </w:r>
            <w:r>
              <w:rPr>
                <w:rFonts w:hint="eastAsia" w:ascii="宋体" w:hAnsi="宋体" w:cs="宋体"/>
                <w:sz w:val="24"/>
              </w:rPr>
              <w:t>年 。</w:t>
            </w:r>
          </w:p>
          <w:p>
            <w:pPr>
              <w:spacing w:line="600" w:lineRule="exact"/>
              <w:jc w:val="left"/>
              <w:rPr>
                <w:rFonts w:hint="eastAsia" w:ascii="宋体" w:hAnsi="宋体" w:cs="宋体"/>
                <w:sz w:val="24"/>
              </w:rPr>
            </w:pPr>
            <w:r>
              <w:rPr>
                <w:rFonts w:hint="eastAsia" w:ascii="宋体" w:hAnsi="宋体" w:cs="宋体"/>
                <w:sz w:val="24"/>
              </w:rPr>
              <w:t>六、</w:t>
            </w:r>
            <w:r>
              <w:rPr>
                <w:rFonts w:hint="eastAsia" w:ascii="宋体" w:hAnsi="宋体" w:cs="宋体"/>
                <w:sz w:val="24"/>
                <w:lang w:val="zh-CN"/>
              </w:rPr>
              <w:t>采购预算：人民币</w:t>
            </w:r>
            <w:r>
              <w:rPr>
                <w:rFonts w:hint="eastAsia" w:ascii="宋体" w:hAnsi="宋体" w:cs="宋体"/>
                <w:sz w:val="24"/>
                <w:lang w:val="en-US" w:eastAsia="zh-CN"/>
              </w:rPr>
              <w:t>367.325</w:t>
            </w:r>
            <w:r>
              <w:rPr>
                <w:rFonts w:hint="eastAsia" w:ascii="宋体" w:hAnsi="宋体" w:cs="宋体"/>
                <w:sz w:val="24"/>
                <w:lang w:val="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36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合同名称</w:t>
            </w:r>
          </w:p>
        </w:tc>
        <w:tc>
          <w:tcPr>
            <w:tcW w:w="7308" w:type="dxa"/>
            <w:tcBorders>
              <w:top w:val="single" w:color="000000" w:sz="2" w:space="0"/>
              <w:left w:val="single" w:color="000000" w:sz="2" w:space="0"/>
              <w:bottom w:val="single" w:color="000000" w:sz="2" w:space="0"/>
              <w:right w:val="single" w:color="000000" w:sz="8" w:space="0"/>
            </w:tcBorders>
            <w:noWrap w:val="0"/>
            <w:vAlign w:val="center"/>
          </w:tcPr>
          <w:p>
            <w:pPr>
              <w:spacing w:line="600" w:lineRule="exact"/>
              <w:rPr>
                <w:rFonts w:hint="eastAsia" w:ascii="宋体" w:hAnsi="宋体" w:cs="宋体"/>
                <w:sz w:val="24"/>
              </w:rPr>
            </w:pPr>
            <w:r>
              <w:rPr>
                <w:rFonts w:hint="eastAsia" w:ascii="宋体" w:hAnsi="宋体" w:cs="宋体"/>
                <w:sz w:val="24"/>
              </w:rPr>
              <w:t>《</w:t>
            </w:r>
            <w:r>
              <w:rPr>
                <w:rFonts w:hint="eastAsia" w:ascii="宋体" w:hAnsi="宋体" w:cs="宋体"/>
                <w:sz w:val="24"/>
                <w:lang w:eastAsia="zh-CN"/>
              </w:rPr>
              <w:t>黄湖镇道路保洁等服务采购项目</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b/>
                <w:sz w:val="24"/>
              </w:rPr>
            </w:pPr>
            <w:r>
              <w:rPr>
                <w:rFonts w:hint="eastAsia" w:ascii="宋体" w:hAnsi="宋体" w:cs="宋体"/>
                <w:b/>
                <w:sz w:val="24"/>
              </w:rPr>
              <w:t>本项目招标代理费由中标单位支付，中标单位在领取中标通知书前需向招标代理机构支付人民币</w:t>
            </w:r>
            <w:r>
              <w:rPr>
                <w:rFonts w:hint="eastAsia" w:ascii="宋体" w:hAnsi="宋体" w:cs="宋体"/>
                <w:b/>
                <w:sz w:val="24"/>
                <w:lang w:val="en-US" w:eastAsia="zh-CN"/>
              </w:rPr>
              <w:t>30986</w:t>
            </w:r>
            <w:r>
              <w:rPr>
                <w:rFonts w:hint="eastAsia" w:ascii="宋体" w:hAnsi="宋体" w:cs="宋体"/>
                <w:b/>
                <w:sz w:val="24"/>
              </w:rPr>
              <w:t>元招标代理服务费。</w:t>
            </w:r>
          </w:p>
          <w:p>
            <w:pPr>
              <w:spacing w:line="600" w:lineRule="exact"/>
              <w:jc w:val="left"/>
              <w:rPr>
                <w:rFonts w:hint="eastAsia" w:ascii="宋体" w:hAnsi="宋体" w:cs="宋体"/>
                <w:sz w:val="21"/>
                <w:szCs w:val="21"/>
                <w:lang w:eastAsia="zh-CN"/>
              </w:rPr>
            </w:pPr>
            <w:r>
              <w:rPr>
                <w:rFonts w:hint="eastAsia" w:ascii="宋体" w:hAnsi="宋体" w:cs="宋体"/>
                <w:sz w:val="21"/>
                <w:szCs w:val="21"/>
              </w:rPr>
              <w:t>中标服务费的交纳方式：以转帐或支票的形式支付</w:t>
            </w:r>
            <w:r>
              <w:rPr>
                <w:rFonts w:hint="eastAsia" w:ascii="宋体" w:hAnsi="宋体" w:cs="宋体"/>
                <w:sz w:val="21"/>
                <w:szCs w:val="21"/>
                <w:lang w:eastAsia="zh-CN"/>
              </w:rPr>
              <w:t>。</w:t>
            </w:r>
          </w:p>
          <w:p>
            <w:pPr>
              <w:spacing w:line="600" w:lineRule="exact"/>
              <w:jc w:val="left"/>
              <w:rPr>
                <w:rFonts w:hint="eastAsia" w:ascii="宋体" w:hAnsi="宋体" w:cs="宋体"/>
                <w:sz w:val="21"/>
                <w:szCs w:val="21"/>
              </w:rPr>
            </w:pPr>
            <w:r>
              <w:rPr>
                <w:rFonts w:hint="eastAsia" w:ascii="宋体" w:hAnsi="宋体" w:cs="宋体"/>
                <w:sz w:val="21"/>
                <w:szCs w:val="21"/>
              </w:rPr>
              <w:t>开户行名称：</w:t>
            </w:r>
            <w:r>
              <w:rPr>
                <w:rFonts w:hint="eastAsia"/>
                <w:sz w:val="21"/>
                <w:szCs w:val="21"/>
                <w:lang w:val="en-US" w:eastAsia="zh-CN"/>
              </w:rPr>
              <w:t>杭州市余杭农村商业银行股份有限公司东湖支行</w:t>
            </w:r>
            <w:r>
              <w:rPr>
                <w:rFonts w:hint="eastAsia" w:ascii="宋体" w:hAnsi="宋体" w:cs="宋体"/>
                <w:sz w:val="21"/>
                <w:szCs w:val="21"/>
              </w:rPr>
              <w:t>；</w:t>
            </w:r>
          </w:p>
          <w:p>
            <w:pPr>
              <w:spacing w:line="600" w:lineRule="exact"/>
              <w:jc w:val="left"/>
              <w:rPr>
                <w:rFonts w:hint="eastAsia" w:ascii="宋体" w:hAnsi="宋体" w:cs="宋体"/>
                <w:b/>
                <w:sz w:val="24"/>
              </w:rPr>
            </w:pPr>
            <w:r>
              <w:rPr>
                <w:rFonts w:hint="eastAsia" w:ascii="宋体" w:hAnsi="宋体" w:cs="宋体"/>
                <w:sz w:val="21"/>
                <w:szCs w:val="21"/>
              </w:rPr>
              <w:t>帐号：</w:t>
            </w:r>
            <w:r>
              <w:rPr>
                <w:rFonts w:hint="eastAsia"/>
                <w:sz w:val="21"/>
                <w:szCs w:val="21"/>
                <w:lang w:val="en-US" w:eastAsia="zh-CN"/>
              </w:rPr>
              <w:t>201000211530519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投标文件的组成：</w:t>
            </w:r>
            <w:r>
              <w:rPr>
                <w:rFonts w:hint="eastAsia" w:ascii="宋体" w:hAnsi="宋体" w:cs="宋体"/>
                <w:b/>
                <w:bCs/>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7</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8</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b/>
                <w:bCs/>
                <w:sz w:val="24"/>
              </w:rPr>
            </w:pPr>
            <w:r>
              <w:rPr>
                <w:rFonts w:hint="eastAsia" w:ascii="宋体" w:hAnsi="宋体" w:cs="宋体"/>
                <w:sz w:val="24"/>
              </w:rPr>
              <w:t>投标文件的形式：</w:t>
            </w:r>
            <w:r>
              <w:rPr>
                <w:rFonts w:hint="eastAsia" w:ascii="宋体" w:hAnsi="宋体" w:cs="宋体"/>
                <w:b/>
                <w:bCs/>
                <w:sz w:val="24"/>
              </w:rPr>
              <w:t>☑电子投标文件（包括“电子加密投标文件”和“备份投标文件”，在投标文件编制完成后同时生成）；</w:t>
            </w:r>
          </w:p>
          <w:p>
            <w:pPr>
              <w:spacing w:line="600" w:lineRule="exact"/>
              <w:jc w:val="left"/>
              <w:rPr>
                <w:rFonts w:hint="eastAsia" w:ascii="宋体" w:hAnsi="宋体" w:cs="宋体"/>
                <w:b/>
                <w:bCs/>
                <w:sz w:val="24"/>
              </w:rPr>
            </w:pPr>
            <w:r>
              <w:rPr>
                <w:rFonts w:hint="eastAsia" w:ascii="宋体" w:hAnsi="宋体" w:cs="宋体"/>
                <w:b/>
                <w:bCs/>
                <w:sz w:val="24"/>
              </w:rPr>
              <w:t>（1）“电子加密投标文件”是指通过“政采云电子交易客户端”完成投标文件编制后生成并加密的数据电文形式的投标文件。</w:t>
            </w:r>
          </w:p>
          <w:p>
            <w:pPr>
              <w:spacing w:line="600" w:lineRule="exact"/>
              <w:jc w:val="left"/>
              <w:rPr>
                <w:rFonts w:hint="eastAsia" w:ascii="宋体" w:hAnsi="宋体" w:cs="宋体"/>
                <w:sz w:val="24"/>
              </w:rPr>
            </w:pPr>
            <w:r>
              <w:rPr>
                <w:rFonts w:hint="eastAsia" w:ascii="宋体" w:hAnsi="宋体" w:cs="宋体"/>
                <w:b/>
                <w:bCs/>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投标文件份数：</w:t>
            </w:r>
            <w:r>
              <w:rPr>
                <w:rFonts w:hint="eastAsia" w:ascii="宋体" w:hAnsi="宋体" w:cs="宋体"/>
                <w:b/>
                <w:bCs/>
                <w:sz w:val="24"/>
              </w:rPr>
              <w:t>（1）“电子加密投标文件”：在线上传递交、一份。（2）“备份投标文件”：密封包装后（EMS邮寄形式）投标截止时间前递交、一份（邮寄地址：杭州市余杭区）。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投标文件的上传和递交：</w:t>
            </w:r>
          </w:p>
          <w:p>
            <w:pPr>
              <w:spacing w:line="600" w:lineRule="exact"/>
              <w:jc w:val="left"/>
              <w:rPr>
                <w:rFonts w:hint="eastAsia" w:ascii="宋体" w:hAnsi="宋体" w:cs="宋体"/>
                <w:b/>
                <w:bCs/>
                <w:sz w:val="24"/>
              </w:rPr>
            </w:pPr>
            <w:r>
              <w:rPr>
                <w:rFonts w:hint="eastAsia" w:ascii="宋体" w:hAnsi="宋体" w:cs="宋体"/>
                <w:b/>
                <w:bCs/>
                <w:sz w:val="24"/>
              </w:rPr>
              <w:t>（1）“电子加密投标文件”的上传、递交：</w:t>
            </w:r>
          </w:p>
          <w:p>
            <w:pPr>
              <w:spacing w:line="600" w:lineRule="exact"/>
              <w:jc w:val="left"/>
              <w:rPr>
                <w:rFonts w:hint="eastAsia" w:ascii="宋体" w:hAnsi="宋体" w:cs="宋体"/>
                <w:b/>
                <w:bCs/>
                <w:sz w:val="24"/>
              </w:rPr>
            </w:pPr>
            <w:r>
              <w:rPr>
                <w:rFonts w:hint="eastAsia" w:ascii="宋体" w:hAnsi="宋体" w:cs="宋体"/>
                <w:b/>
                <w:bCs/>
                <w:sz w:val="24"/>
              </w:rPr>
              <w:t>a.投标供应商应在投标截止时间前将“电子加密投标文件”成功上传递交至“政府采购云平台”，否则投标无效。</w:t>
            </w:r>
          </w:p>
          <w:p>
            <w:pPr>
              <w:spacing w:line="600" w:lineRule="exact"/>
              <w:jc w:val="left"/>
              <w:rPr>
                <w:rFonts w:hint="eastAsia" w:ascii="宋体" w:hAnsi="宋体" w:cs="宋体"/>
                <w:b/>
                <w:bCs/>
                <w:sz w:val="24"/>
              </w:rPr>
            </w:pPr>
            <w:r>
              <w:rPr>
                <w:rFonts w:hint="eastAsia" w:ascii="宋体" w:hAnsi="宋体" w:cs="宋体"/>
                <w:b/>
                <w:bCs/>
                <w:sz w:val="24"/>
              </w:rPr>
              <w:t>b.“电子加密投标文件”成功上传递交后，供应商可自行打印投标文件接收回执。</w:t>
            </w:r>
          </w:p>
          <w:p>
            <w:pPr>
              <w:spacing w:line="600" w:lineRule="exact"/>
              <w:jc w:val="left"/>
              <w:rPr>
                <w:rFonts w:hint="eastAsia" w:ascii="宋体" w:hAnsi="宋体" w:cs="宋体"/>
                <w:b/>
                <w:bCs/>
                <w:sz w:val="24"/>
              </w:rPr>
            </w:pPr>
            <w:r>
              <w:rPr>
                <w:rFonts w:hint="eastAsia" w:ascii="宋体" w:hAnsi="宋体" w:cs="宋体"/>
                <w:b/>
                <w:bCs/>
                <w:sz w:val="24"/>
              </w:rPr>
              <w:t>（2）“备份投标文件”的密封包装、递交：</w:t>
            </w:r>
          </w:p>
          <w:p>
            <w:pPr>
              <w:spacing w:line="600" w:lineRule="exact"/>
              <w:jc w:val="left"/>
              <w:rPr>
                <w:rFonts w:hint="eastAsia" w:ascii="宋体" w:hAnsi="宋体" w:cs="宋体"/>
                <w:b/>
                <w:bCs/>
                <w:sz w:val="24"/>
              </w:rPr>
            </w:pPr>
            <w:r>
              <w:rPr>
                <w:rFonts w:hint="eastAsia" w:ascii="宋体" w:hAnsi="宋体" w:cs="宋体"/>
                <w:b/>
                <w:bCs/>
                <w:sz w:val="24"/>
              </w:rPr>
              <w:t>a.投标供应商在“政府采购云平台”完成“电子加密投标文件”的上传递交后，还可以（EMS邮寄形式）在投标截止时间前递交以介质（U盘）存储的 “备份投标文件”（一份）；</w:t>
            </w:r>
          </w:p>
          <w:p>
            <w:pPr>
              <w:spacing w:line="600" w:lineRule="exact"/>
              <w:jc w:val="left"/>
              <w:rPr>
                <w:rFonts w:hint="eastAsia" w:ascii="宋体" w:hAnsi="宋体" w:cs="宋体"/>
                <w:b/>
                <w:bCs/>
                <w:sz w:val="24"/>
              </w:rPr>
            </w:pPr>
            <w:r>
              <w:rPr>
                <w:rFonts w:hint="eastAsia" w:ascii="宋体" w:hAnsi="宋体" w:cs="宋体"/>
                <w:b/>
                <w:bCs/>
                <w:sz w:val="24"/>
              </w:rPr>
              <w:t>b.“备份投标文件”应当密封包装，并在包装上标注投标项目名称、投标单位名称并加盖公章。没有密封包装或者逾期邮寄送达至投标地点的“备份投标文件”将不予接收；</w:t>
            </w:r>
          </w:p>
          <w:p>
            <w:pPr>
              <w:spacing w:line="600" w:lineRule="exact"/>
              <w:jc w:val="left"/>
              <w:rPr>
                <w:rFonts w:hint="eastAsia" w:ascii="宋体" w:hAnsi="宋体" w:cs="宋体"/>
                <w:sz w:val="24"/>
              </w:rPr>
            </w:pPr>
            <w:r>
              <w:rPr>
                <w:rFonts w:hint="eastAsia" w:ascii="宋体" w:hAnsi="宋体" w:cs="宋体"/>
                <w:b/>
                <w:bCs/>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电子加密投标文件的解密和异常情况处理：</w:t>
            </w:r>
          </w:p>
          <w:p>
            <w:pPr>
              <w:spacing w:line="600" w:lineRule="exact"/>
              <w:jc w:val="left"/>
              <w:rPr>
                <w:rFonts w:hint="eastAsia" w:ascii="宋体" w:hAnsi="宋体" w:cs="宋体"/>
                <w:sz w:val="24"/>
              </w:rPr>
            </w:pPr>
            <w:r>
              <w:rPr>
                <w:rFonts w:hint="eastAsia" w:ascii="宋体" w:hAnsi="宋体" w:cs="宋体"/>
                <w:sz w:val="24"/>
              </w:rPr>
              <w:t>（1）开标后，采购组织机构将向各投标供应商发出“电子加密投标文件”的解密通知，各投标供应商代表应当在接到解密通知后45分钟内自行完成“电子加密投标文件”的在线解密。</w:t>
            </w:r>
          </w:p>
          <w:p>
            <w:pPr>
              <w:spacing w:line="600" w:lineRule="exact"/>
              <w:jc w:val="left"/>
              <w:rPr>
                <w:rFonts w:hint="eastAsia" w:ascii="宋体" w:hAnsi="宋体" w:cs="宋体"/>
                <w:sz w:val="24"/>
              </w:rPr>
            </w:pPr>
            <w:r>
              <w:rPr>
                <w:rFonts w:hint="eastAsia" w:ascii="宋体" w:hAns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600" w:lineRule="exact"/>
              <w:jc w:val="left"/>
              <w:rPr>
                <w:rFonts w:hint="eastAsia" w:ascii="宋体" w:hAnsi="宋体" w:cs="宋体"/>
                <w:sz w:val="24"/>
              </w:rPr>
            </w:pPr>
            <w:r>
              <w:rPr>
                <w:rFonts w:hint="eastAsia" w:ascii="宋体" w:hAnsi="宋体" w:cs="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highlight w:val="none"/>
              </w:rPr>
            </w:pPr>
            <w:r>
              <w:rPr>
                <w:rFonts w:hint="eastAsia" w:ascii="宋体" w:hAnsi="宋体" w:cs="宋体"/>
                <w:sz w:val="24"/>
                <w:highlight w:val="none"/>
              </w:rPr>
              <w:t>13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rPr>
                <w:rFonts w:hint="eastAsia" w:ascii="宋体" w:hAnsi="宋体" w:cs="宋体"/>
                <w:color w:val="FF0000"/>
                <w:sz w:val="24"/>
                <w:highlight w:val="none"/>
              </w:rPr>
            </w:pPr>
            <w:r>
              <w:rPr>
                <w:rFonts w:hint="eastAsia" w:ascii="宋体" w:hAnsi="宋体" w:cs="宋体"/>
                <w:color w:val="auto"/>
                <w:sz w:val="24"/>
                <w:highlight w:val="none"/>
              </w:rPr>
              <w:t>投标截止时间：</w:t>
            </w:r>
            <w:r>
              <w:rPr>
                <w:rFonts w:hint="eastAsia" w:ascii="宋体" w:hAnsi="宋体" w:cs="宋体"/>
                <w:color w:val="000000"/>
                <w:kern w:val="0"/>
                <w:sz w:val="24"/>
              </w:rPr>
              <w:t>2020年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FF0000"/>
                <w:sz w:val="24"/>
              </w:rPr>
            </w:pPr>
            <w:r>
              <w:rPr>
                <w:rFonts w:hint="eastAsia" w:ascii="宋体" w:hAnsi="宋体" w:cs="宋体"/>
                <w:color w:val="auto"/>
                <w:sz w:val="24"/>
              </w:rPr>
              <w:t>投标地点：</w:t>
            </w:r>
            <w:bookmarkStart w:id="15" w:name="bidAddr"/>
            <w:r>
              <w:rPr>
                <w:rFonts w:hint="eastAsia" w:ascii="宋体" w:hAnsi="宋体" w:cs="宋体"/>
                <w:color w:val="auto"/>
                <w:kern w:val="0"/>
                <w:sz w:val="24"/>
              </w:rPr>
              <w:t>杭州市公共资源交易中心余杭分中心</w:t>
            </w:r>
            <w:r>
              <w:rPr>
                <w:rFonts w:hint="eastAsia" w:ascii="宋体" w:hAnsi="宋体" w:cs="宋体"/>
                <w:color w:val="auto"/>
                <w:kern w:val="0"/>
                <w:sz w:val="24"/>
                <w:lang w:val="en-US" w:eastAsia="zh-CN"/>
              </w:rPr>
              <w:t>4</w:t>
            </w:r>
            <w:r>
              <w:rPr>
                <w:rFonts w:hint="eastAsia" w:ascii="宋体" w:hAnsi="宋体" w:cs="宋体"/>
                <w:color w:val="auto"/>
                <w:kern w:val="0"/>
                <w:sz w:val="24"/>
              </w:rPr>
              <w:t>号开标室</w:t>
            </w:r>
            <w:bookmarkEnd w:id="15"/>
            <w:r>
              <w:rPr>
                <w:rFonts w:hint="eastAsia" w:ascii="宋体" w:hAnsi="宋体" w:cs="宋体"/>
                <w:color w:val="auto"/>
                <w:kern w:val="0"/>
                <w:sz w:val="24"/>
              </w:rPr>
              <w:t>（杭州市余杭区临平南大街265号市民之家三楼）</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15</w:t>
            </w:r>
          </w:p>
        </w:tc>
        <w:tc>
          <w:tcPr>
            <w:tcW w:w="8673" w:type="dxa"/>
            <w:gridSpan w:val="2"/>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16</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17</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1、投标截止后，在投标有效期内，投标人不能撤销投标文件。投标人强行撤销投标文件的，应按预算金额的2%赔偿对招标代理机构造成的损失。</w:t>
            </w:r>
          </w:p>
          <w:p>
            <w:pPr>
              <w:spacing w:line="600" w:lineRule="exact"/>
              <w:jc w:val="left"/>
              <w:rPr>
                <w:rFonts w:hint="eastAsia" w:ascii="宋体" w:hAnsi="宋体" w:cs="宋体"/>
                <w:sz w:val="24"/>
              </w:rPr>
            </w:pPr>
            <w:r>
              <w:rPr>
                <w:rFonts w:hint="eastAsia" w:ascii="宋体" w:hAnsi="宋体" w:cs="宋体"/>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pacing w:line="600" w:lineRule="exact"/>
              <w:jc w:val="left"/>
              <w:rPr>
                <w:rFonts w:hint="eastAsia" w:ascii="宋体" w:hAnsi="宋体" w:cs="宋体"/>
                <w:sz w:val="24"/>
              </w:rPr>
            </w:pPr>
            <w:r>
              <w:rPr>
                <w:rFonts w:hint="eastAsia" w:ascii="宋体" w:hAnsi="宋体" w:cs="宋体"/>
                <w:sz w:val="24"/>
              </w:rPr>
              <w:t>3、存在下列行为的，招标代理机构将其失信行为上报政府采购主管部门，由主管部门按有关规定对其违法失信行为记录进行公开：</w:t>
            </w:r>
          </w:p>
          <w:p>
            <w:pPr>
              <w:spacing w:line="600" w:lineRule="exact"/>
              <w:jc w:val="left"/>
              <w:rPr>
                <w:rFonts w:hint="eastAsia" w:ascii="宋体" w:hAnsi="宋体" w:cs="宋体"/>
                <w:sz w:val="24"/>
              </w:rPr>
            </w:pPr>
            <w:r>
              <w:rPr>
                <w:rFonts w:hint="eastAsia" w:ascii="宋体" w:hAnsi="宋体" w:cs="宋体"/>
                <w:sz w:val="24"/>
              </w:rPr>
              <w:t>（1）中标或者成交后，拒绝签订政府采购合同的；</w:t>
            </w:r>
          </w:p>
          <w:p>
            <w:pPr>
              <w:spacing w:line="600" w:lineRule="exact"/>
              <w:jc w:val="left"/>
              <w:rPr>
                <w:rFonts w:hint="eastAsia" w:ascii="宋体" w:hAnsi="宋体" w:cs="宋体"/>
                <w:sz w:val="24"/>
              </w:rPr>
            </w:pPr>
            <w:r>
              <w:rPr>
                <w:rFonts w:hint="eastAsia" w:ascii="宋体" w:hAnsi="宋体" w:cs="宋体"/>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18</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潜在供应商需在浙江政府采购网</w:t>
            </w:r>
            <w:r>
              <w:rPr>
                <w:rFonts w:hint="eastAsia" w:ascii="宋体" w:hAnsi="宋体" w:cs="宋体"/>
                <w:sz w:val="24"/>
              </w:rPr>
              <w:drawing>
                <wp:inline distT="0" distB="0" distL="114300" distR="114300">
                  <wp:extent cx="189865" cy="142240"/>
                  <wp:effectExtent l="0" t="0" r="635" b="10160"/>
                  <wp:docPr id="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1、本项目对符合财政扶持政策的中小企业（小型、微型）、监狱企业、残疾人福利性单位给予价格优惠扶持，价格优惠扶持见《第三章 评分办法》。</w:t>
            </w:r>
          </w:p>
          <w:p>
            <w:pPr>
              <w:spacing w:line="600" w:lineRule="exact"/>
              <w:jc w:val="left"/>
              <w:rPr>
                <w:rFonts w:hint="eastAsia" w:ascii="宋体" w:hAnsi="宋体" w:cs="宋体"/>
                <w:sz w:val="24"/>
              </w:rPr>
            </w:pPr>
            <w:r>
              <w:rPr>
                <w:rFonts w:hint="eastAsia" w:ascii="宋体" w:hAnsi="宋体" w:cs="宋体"/>
                <w:sz w:val="24"/>
              </w:rPr>
              <w:t>2、满足转发财政部 工业和信息化部关于印发《政府采购促进中小企业发展暂行办法》的通知（浙财采监[2012]11号）的规定的中小企业可享受优惠扶持。</w:t>
            </w:r>
          </w:p>
          <w:p>
            <w:pPr>
              <w:spacing w:line="600" w:lineRule="exact"/>
              <w:jc w:val="left"/>
              <w:rPr>
                <w:rFonts w:hint="eastAsia" w:ascii="宋体" w:hAnsi="宋体" w:cs="宋体"/>
                <w:sz w:val="24"/>
              </w:rPr>
            </w:pPr>
            <w:r>
              <w:rPr>
                <w:rFonts w:hint="eastAsia" w:ascii="宋体" w:hAnsi="宋体" w:cs="宋体"/>
                <w:sz w:val="24"/>
              </w:rPr>
              <w:t>满足关于政府采购支持监狱企业发展有关问题的通知（财库[2014]68号）的规定的供应商可享受优惠扶持。</w:t>
            </w:r>
          </w:p>
          <w:p>
            <w:pPr>
              <w:spacing w:line="600" w:lineRule="exact"/>
              <w:jc w:val="left"/>
              <w:rPr>
                <w:rFonts w:hint="eastAsia" w:ascii="宋体" w:hAnsi="宋体" w:cs="宋体"/>
                <w:sz w:val="24"/>
              </w:rPr>
            </w:pPr>
            <w:r>
              <w:rPr>
                <w:rFonts w:hint="eastAsia" w:ascii="宋体" w:hAnsi="宋体" w:cs="宋体"/>
                <w:sz w:val="24"/>
              </w:rPr>
              <w:t>满足关于促进残疾人就业政府采购政策的通知（财库[2017]141号）的规定的供应商可享受优惠扶持。</w:t>
            </w:r>
          </w:p>
          <w:p>
            <w:pPr>
              <w:spacing w:line="600" w:lineRule="exact"/>
              <w:jc w:val="left"/>
              <w:rPr>
                <w:rFonts w:hint="eastAsia" w:ascii="宋体" w:hAnsi="宋体" w:cs="宋体"/>
                <w:sz w:val="24"/>
              </w:rPr>
            </w:pPr>
            <w:r>
              <w:rPr>
                <w:rFonts w:hint="eastAsia" w:ascii="宋体" w:hAnsi="宋体" w:cs="宋体"/>
                <w:sz w:val="24"/>
              </w:rPr>
              <w:t>3、节能产品、环境标志产品的强制采购政策</w:t>
            </w:r>
          </w:p>
          <w:p>
            <w:pPr>
              <w:spacing w:line="600" w:lineRule="exact"/>
              <w:jc w:val="left"/>
              <w:rPr>
                <w:rFonts w:hint="eastAsia"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600" w:lineRule="exact"/>
              <w:jc w:val="left"/>
              <w:rPr>
                <w:rFonts w:hint="eastAsia" w:ascii="宋体" w:hAnsi="宋体" w:cs="宋体"/>
                <w:sz w:val="24"/>
              </w:rPr>
            </w:pPr>
            <w:r>
              <w:rPr>
                <w:rFonts w:hint="eastAsia" w:ascii="宋体" w:hAnsi="宋体" w:cs="宋体"/>
                <w:sz w:val="24"/>
              </w:rPr>
              <w:t>4、节能产品、环境标志产品的优先采购政策</w:t>
            </w:r>
          </w:p>
          <w:p>
            <w:pPr>
              <w:spacing w:line="600" w:lineRule="exact"/>
              <w:jc w:val="left"/>
              <w:rPr>
                <w:rFonts w:hint="eastAsia"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pacing w:line="600" w:lineRule="exact"/>
              <w:jc w:val="left"/>
              <w:rPr>
                <w:rFonts w:hint="eastAsia" w:ascii="宋体" w:hAnsi="宋体" w:cs="宋体"/>
                <w:sz w:val="24"/>
              </w:rPr>
            </w:pPr>
            <w:r>
              <w:rPr>
                <w:rFonts w:hint="eastAsia" w:ascii="宋体" w:hAnsi="宋体" w:cs="宋体"/>
                <w:sz w:val="24"/>
              </w:rPr>
              <w:t>（1）采购人或采购代理机构将对本项目供应商的信用记录进行查询。查询渠道为信用中国网站（www.creditchina.gov.cn）、中国政府采购网（www.ccgp.gov.cn）；</w:t>
            </w:r>
          </w:p>
          <w:p>
            <w:pPr>
              <w:spacing w:line="600" w:lineRule="exact"/>
              <w:jc w:val="left"/>
              <w:rPr>
                <w:rFonts w:hint="eastAsia" w:ascii="宋体" w:hAnsi="宋体" w:cs="宋体"/>
                <w:sz w:val="24"/>
              </w:rPr>
            </w:pPr>
            <w:r>
              <w:rPr>
                <w:rFonts w:hint="eastAsia" w:ascii="宋体" w:hAnsi="宋体" w:cs="宋体"/>
                <w:sz w:val="24"/>
              </w:rPr>
              <w:t>（2）截止时点：提交投标文件（响应文件）截止时间前3年内；</w:t>
            </w:r>
          </w:p>
          <w:p>
            <w:pPr>
              <w:spacing w:line="600" w:lineRule="exact"/>
              <w:jc w:val="left"/>
              <w:rPr>
                <w:rFonts w:hint="eastAsia" w:ascii="宋体" w:hAnsi="宋体" w:cs="宋体"/>
                <w:sz w:val="24"/>
              </w:rPr>
            </w:pPr>
            <w:r>
              <w:rPr>
                <w:rFonts w:hint="eastAsia" w:ascii="宋体" w:hAnsi="宋体" w:cs="宋体"/>
                <w:sz w:val="24"/>
              </w:rPr>
              <w:t>（3）查询记录和证据的留存：信用信息查询记录和证据以网页截图等方式留存。</w:t>
            </w:r>
          </w:p>
          <w:p>
            <w:pPr>
              <w:spacing w:line="600" w:lineRule="exact"/>
              <w:jc w:val="left"/>
              <w:rPr>
                <w:rFonts w:hint="eastAsia" w:ascii="宋体" w:hAnsi="宋体" w:cs="宋体"/>
                <w:sz w:val="24"/>
              </w:rPr>
            </w:pP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pacing w:line="600" w:lineRule="exact"/>
              <w:jc w:val="left"/>
              <w:rPr>
                <w:rFonts w:hint="eastAsia" w:ascii="宋体" w:hAnsi="宋体" w:cs="宋体"/>
                <w:sz w:val="24"/>
              </w:rPr>
            </w:pP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wBefore w:w="0" w:type="dxa"/>
          <w:wAfter w:w="0" w:type="dxa"/>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中标单位在中标公示结束后再递交与电子加密投标文件内容一致的书面投标文件（正本一份，副本四份）。</w:t>
            </w:r>
          </w:p>
        </w:tc>
      </w:tr>
    </w:tbl>
    <w:p>
      <w:pPr>
        <w:shd w:val="clear" w:color="auto" w:fill="FFFFFF"/>
        <w:snapToGrid w:val="0"/>
        <w:spacing w:line="600" w:lineRule="exact"/>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8"/>
      <w:bookmarkStart w:id="16" w:name="_Toc354996696"/>
      <w:bookmarkStart w:id="17" w:name="_Toc233618972"/>
      <w:bookmarkStart w:id="18" w:name="_Toc33194388"/>
      <w:bookmarkStart w:id="19" w:name="_Toc225840109"/>
      <w:bookmarkStart w:id="20" w:name="_Toc226521904"/>
      <w:bookmarkStart w:id="21" w:name="_Toc226106467"/>
      <w:bookmarkStart w:id="22" w:name="_Toc226106516"/>
      <w:r>
        <w:rPr>
          <w:rFonts w:hint="eastAsia" w:ascii="宋体" w:hAnsi="宋体" w:cs="宋体"/>
          <w:b/>
          <w:bCs/>
          <w:color w:val="000000"/>
          <w:sz w:val="24"/>
        </w:rPr>
        <w:t>一、总 则</w:t>
      </w:r>
      <w:bookmarkEnd w:id="16"/>
      <w:bookmarkEnd w:id="17"/>
      <w:bookmarkEnd w:id="18"/>
    </w:p>
    <w:p>
      <w:pPr>
        <w:snapToGrid w:val="0"/>
        <w:spacing w:line="600" w:lineRule="exact"/>
        <w:rPr>
          <w:rFonts w:hint="eastAsia" w:ascii="宋体" w:hAnsi="宋体" w:cs="宋体"/>
          <w:b/>
          <w:color w:val="000000"/>
          <w:sz w:val="24"/>
        </w:rPr>
      </w:pPr>
      <w:bookmarkStart w:id="23" w:name="_Toc91899872"/>
      <w:bookmarkStart w:id="24" w:name="_Hlt74730208"/>
      <w:bookmarkStart w:id="25" w:name="_Hlt74730112"/>
      <w:bookmarkStart w:id="26" w:name="_Toc233618973"/>
      <w:bookmarkStart w:id="27" w:name="_Toc354996697"/>
      <w:r>
        <w:rPr>
          <w:rFonts w:hint="eastAsia" w:ascii="宋体" w:hAnsi="宋体" w:cs="宋体"/>
          <w:b/>
          <w:color w:val="000000"/>
          <w:sz w:val="24"/>
        </w:rPr>
        <w:t>（一）项目说明</w:t>
      </w:r>
      <w:bookmarkEnd w:id="23"/>
    </w:p>
    <w:p>
      <w:pPr>
        <w:pStyle w:val="328"/>
        <w:snapToGrid w:val="0"/>
        <w:spacing w:line="600" w:lineRule="exact"/>
        <w:ind w:firstLine="480"/>
        <w:rPr>
          <w:rFonts w:hint="eastAsia"/>
          <w:color w:val="000000"/>
        </w:rPr>
      </w:pPr>
      <w:r>
        <w:rPr>
          <w:rFonts w:hint="eastAsia"/>
          <w:color w:val="000000"/>
        </w:rPr>
        <w:t>1、项目说明见投标须知前附表(以下称“前附表”)第1项所述。</w:t>
      </w:r>
    </w:p>
    <w:p>
      <w:pPr>
        <w:pStyle w:val="328"/>
        <w:tabs>
          <w:tab w:val="left" w:pos="6510"/>
        </w:tabs>
        <w:snapToGrid w:val="0"/>
        <w:spacing w:line="600" w:lineRule="exact"/>
        <w:ind w:firstLine="480"/>
        <w:rPr>
          <w:rFonts w:hint="eastAsia"/>
          <w:color w:val="000000"/>
        </w:rPr>
      </w:pPr>
      <w:r>
        <w:rPr>
          <w:rFonts w:hint="eastAsia"/>
          <w:color w:val="000000"/>
        </w:rPr>
        <w:t>2、采购单位</w:t>
      </w:r>
      <w:r>
        <w:rPr>
          <w:rFonts w:hint="eastAsia"/>
          <w:color w:val="000000"/>
          <w:lang w:eastAsia="zh-CN"/>
        </w:rPr>
        <w:t>杭州市余杭区黄湖镇人民政府</w:t>
      </w:r>
      <w:r>
        <w:rPr>
          <w:rFonts w:hint="eastAsia"/>
          <w:color w:val="000000"/>
        </w:rPr>
        <w:t>为本项目的招标人（合同中的甲方），杭州政采工程咨询代理有限公司为招标代理机构，</w:t>
      </w:r>
      <w:r>
        <w:rPr>
          <w:rFonts w:hint="eastAsia"/>
        </w:rPr>
        <w:t>余杭区政府采购办公室</w:t>
      </w:r>
      <w:r>
        <w:rPr>
          <w:rFonts w:hint="eastAsia"/>
          <w:color w:val="000000"/>
        </w:rPr>
        <w:t>为政府采购监督管理部门，自愿参加本次项目投标的法人、其他组织为投标人，经评审产生并经批准的投标人为中标人，签订合同后的中标人为供应商(合同中的乙方)。</w:t>
      </w:r>
    </w:p>
    <w:p>
      <w:pPr>
        <w:pStyle w:val="328"/>
        <w:snapToGrid w:val="0"/>
        <w:spacing w:line="600" w:lineRule="exact"/>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28" w:name="_Toc91899873"/>
    </w:p>
    <w:p>
      <w:pPr>
        <w:tabs>
          <w:tab w:val="left" w:pos="3780"/>
        </w:tabs>
        <w:snapToGrid w:val="0"/>
        <w:spacing w:line="600" w:lineRule="exact"/>
        <w:rPr>
          <w:rFonts w:hint="eastAsia" w:ascii="宋体" w:hAnsi="宋体" w:cs="宋体"/>
          <w:b/>
          <w:color w:val="000000"/>
          <w:sz w:val="24"/>
        </w:rPr>
      </w:pPr>
      <w:r>
        <w:rPr>
          <w:rFonts w:hint="eastAsia" w:ascii="宋体" w:hAnsi="宋体" w:cs="宋体"/>
          <w:b/>
          <w:color w:val="000000"/>
          <w:sz w:val="24"/>
        </w:rPr>
        <w:t>（二）采购方式</w:t>
      </w:r>
      <w:bookmarkEnd w:id="28"/>
    </w:p>
    <w:p>
      <w:pPr>
        <w:pStyle w:val="328"/>
        <w:snapToGrid w:val="0"/>
        <w:spacing w:line="600" w:lineRule="exact"/>
        <w:ind w:firstLine="480"/>
        <w:rPr>
          <w:rFonts w:hint="eastAsia"/>
          <w:color w:val="000000"/>
        </w:rPr>
      </w:pPr>
      <w:r>
        <w:rPr>
          <w:rFonts w:hint="eastAsia"/>
          <w:color w:val="000000"/>
        </w:rPr>
        <w:t>公开招标。</w:t>
      </w:r>
      <w:bookmarkEnd w:id="24"/>
      <w:bookmarkEnd w:id="25"/>
      <w:bookmarkStart w:id="29" w:name="_Hlt68516771"/>
      <w:bookmarkEnd w:id="29"/>
      <w:bookmarkStart w:id="30" w:name="_Hlt74388212"/>
      <w:bookmarkEnd w:id="30"/>
    </w:p>
    <w:p>
      <w:pPr>
        <w:snapToGrid w:val="0"/>
        <w:spacing w:line="600" w:lineRule="exact"/>
        <w:rPr>
          <w:rFonts w:hint="eastAsia" w:ascii="宋体" w:hAnsi="宋体" w:cs="宋体"/>
          <w:b/>
          <w:color w:val="000000"/>
          <w:sz w:val="24"/>
        </w:rPr>
      </w:pPr>
      <w:bookmarkStart w:id="31" w:name="_Hlt74730303"/>
      <w:bookmarkStart w:id="32"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600" w:lineRule="exact"/>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600" w:lineRule="exact"/>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600" w:lineRule="exact"/>
        <w:ind w:firstLine="480" w:firstLineChars="200"/>
        <w:rPr>
          <w:rFonts w:hint="eastAsia" w:ascii="宋体" w:hAnsi="宋体" w:cs="宋体"/>
          <w:color w:val="000000"/>
          <w:sz w:val="24"/>
          <w:lang w:val="zh-CN"/>
        </w:rPr>
      </w:pPr>
      <w:r>
        <w:rPr>
          <w:rFonts w:hint="eastAsia" w:ascii="宋体" w:hAnsi="宋体" w:cs="宋体"/>
          <w:sz w:val="24"/>
        </w:rPr>
        <w:t>本项目采购内容为黄湖道路保洁、绿化养护、河道保洁、公厕保洁等项目，</w:t>
      </w:r>
      <w:r>
        <w:rPr>
          <w:rFonts w:hint="eastAsia" w:ascii="宋体" w:hAnsi="宋体" w:cs="宋体"/>
          <w:color w:val="000000"/>
          <w:sz w:val="24"/>
        </w:rPr>
        <w:t>详见第三部分——项目技术规范和服务要求。</w:t>
      </w:r>
    </w:p>
    <w:p>
      <w:pPr>
        <w:pStyle w:val="40"/>
        <w:snapToGrid w:val="0"/>
        <w:spacing w:line="6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600" w:lineRule="exact"/>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31"/>
    <w:bookmarkEnd w:id="32"/>
    <w:p>
      <w:pPr>
        <w:shd w:val="clear" w:color="auto" w:fill="FFFFFF"/>
        <w:snapToGrid w:val="0"/>
        <w:spacing w:line="600" w:lineRule="exact"/>
        <w:jc w:val="center"/>
        <w:outlineLvl w:val="1"/>
        <w:rPr>
          <w:rFonts w:hint="eastAsia" w:ascii="宋体" w:hAnsi="宋体" w:cs="宋体"/>
          <w:b/>
          <w:bCs/>
          <w:color w:val="000000"/>
          <w:sz w:val="24"/>
        </w:rPr>
      </w:pPr>
      <w:bookmarkStart w:id="33" w:name="_Toc33194389"/>
    </w:p>
    <w:p>
      <w:pPr>
        <w:shd w:val="clear" w:color="auto" w:fill="FFFFFF"/>
        <w:snapToGrid w:val="0"/>
        <w:spacing w:line="600" w:lineRule="exact"/>
        <w:jc w:val="center"/>
        <w:outlineLvl w:val="1"/>
        <w:rPr>
          <w:rFonts w:hint="eastAsia" w:ascii="宋体" w:hAnsi="宋体" w:cs="宋体"/>
          <w:b/>
          <w:bCs/>
          <w:color w:val="000000"/>
          <w:sz w:val="24"/>
        </w:rPr>
      </w:pPr>
      <w:r>
        <w:rPr>
          <w:rFonts w:hint="eastAsia" w:ascii="宋体" w:hAnsi="宋体" w:cs="宋体"/>
          <w:b/>
          <w:bCs/>
          <w:color w:val="000000"/>
          <w:sz w:val="24"/>
        </w:rPr>
        <w:t>二、招标文件</w:t>
      </w:r>
      <w:bookmarkEnd w:id="26"/>
      <w:bookmarkEnd w:id="27"/>
      <w:bookmarkEnd w:id="33"/>
    </w:p>
    <w:p>
      <w:pPr>
        <w:shd w:val="clear" w:color="auto" w:fill="FFFFFF"/>
        <w:snapToGrid w:val="0"/>
        <w:spacing w:line="600" w:lineRule="exact"/>
        <w:rPr>
          <w:rFonts w:hint="eastAsia" w:ascii="宋体" w:hAnsi="宋体" w:cs="宋体"/>
          <w:b/>
          <w:bCs/>
          <w:color w:val="000000"/>
          <w:sz w:val="24"/>
        </w:rPr>
      </w:pPr>
      <w:bookmarkStart w:id="34" w:name="_Toc91899880"/>
      <w:bookmarkStart w:id="35" w:name="_Hlt74730307"/>
      <w:r>
        <w:rPr>
          <w:rFonts w:hint="eastAsia" w:ascii="宋体" w:hAnsi="宋体" w:cs="宋体"/>
          <w:b/>
          <w:bCs/>
          <w:color w:val="000000"/>
          <w:sz w:val="24"/>
        </w:rPr>
        <w:t>（一）招标文件的构成</w:t>
      </w:r>
      <w:bookmarkEnd w:id="34"/>
    </w:p>
    <w:bookmarkEnd w:id="35"/>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1、招标文件包括下列文件及附件</w:t>
      </w:r>
    </w:p>
    <w:p>
      <w:pPr>
        <w:numPr>
          <w:ilvl w:val="0"/>
          <w:numId w:val="8"/>
        </w:num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第一部分  招标公告</w:t>
      </w:r>
    </w:p>
    <w:p>
      <w:pPr>
        <w:numPr>
          <w:ilvl w:val="0"/>
          <w:numId w:val="8"/>
        </w:num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第二部分  编制和提交投标文件须知</w:t>
      </w:r>
    </w:p>
    <w:p>
      <w:pPr>
        <w:numPr>
          <w:ilvl w:val="0"/>
          <w:numId w:val="8"/>
        </w:num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第三部分  项目技术规范和服务要求</w:t>
      </w:r>
    </w:p>
    <w:p>
      <w:pPr>
        <w:numPr>
          <w:ilvl w:val="0"/>
          <w:numId w:val="8"/>
        </w:num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第四部分  合同主要条款</w:t>
      </w:r>
    </w:p>
    <w:p>
      <w:pPr>
        <w:numPr>
          <w:ilvl w:val="0"/>
          <w:numId w:val="8"/>
        </w:num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snapToGrid w:val="0"/>
        <w:spacing w:line="60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146"/>
        <w:snapToGrid w:val="0"/>
        <w:spacing w:before="0" w:line="600" w:lineRule="exact"/>
        <w:ind w:left="120" w:leftChars="57" w:firstLine="480"/>
        <w:rPr>
          <w:rFonts w:hint="eastAsia" w:ascii="宋体" w:hAnsi="宋体" w:eastAsia="宋体" w:cs="宋体"/>
          <w:color w:val="000000"/>
          <w:szCs w:val="24"/>
        </w:rPr>
      </w:pPr>
      <w:r>
        <w:rPr>
          <w:rFonts w:hint="eastAsia" w:ascii="宋体" w:hAnsi="宋体" w:eastAsia="宋体" w:cs="宋体"/>
          <w:color w:val="000000"/>
          <w:szCs w:val="24"/>
        </w:rPr>
        <w:t>1、供应商认为招标文件使自己的权益受到损害的，可以自获取招标文件之日（获取截止日之后收到招标文件的，以获取截止日为准）起7个工作日内，以书面形式向采购人和采购代理机构提出质疑。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600" w:lineRule="exact"/>
        <w:ind w:firstLine="600" w:firstLineChars="250"/>
        <w:rPr>
          <w:rFonts w:hint="eastAsia" w:ascii="宋体" w:hAnsi="宋体" w:cs="宋体"/>
          <w:color w:val="000000"/>
          <w:sz w:val="24"/>
        </w:rPr>
      </w:pPr>
      <w:r>
        <w:rPr>
          <w:rFonts w:hint="eastAsia" w:ascii="宋体" w:hAnsi="宋体" w:cs="宋体"/>
          <w:color w:val="000000"/>
          <w:sz w:val="24"/>
        </w:rPr>
        <w:t>2、投标人一旦参与本次采购活动，即被视为接受了本招标文件的所有内容，如有任何异议，均已在答疑截止时间前提出。</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600" w:lineRule="exact"/>
        <w:ind w:firstLine="480" w:firstLineChars="200"/>
        <w:rPr>
          <w:rFonts w:hint="eastAsia" w:ascii="宋体" w:hAnsi="宋体" w:cs="宋体"/>
          <w:color w:val="000000"/>
          <w:sz w:val="24"/>
          <w:lang w:val="zh-CN"/>
        </w:rPr>
      </w:pPr>
      <w:r>
        <w:rPr>
          <w:rFonts w:hint="eastAsia" w:ascii="宋体" w:hAnsi="宋体" w:cs="宋体"/>
          <w:color w:val="000000"/>
          <w:sz w:val="24"/>
        </w:rPr>
        <w:t>2、若有必要，招标代理机构将酌情延长递交投标文件的截止日期。</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（四）投标报价</w:t>
      </w:r>
    </w:p>
    <w:p>
      <w:pPr>
        <w:pStyle w:val="146"/>
        <w:snapToGrid w:val="0"/>
        <w:spacing w:before="0" w:line="600" w:lineRule="exact"/>
        <w:ind w:firstLine="480"/>
        <w:rPr>
          <w:rFonts w:hint="eastAsia" w:ascii="宋体" w:hAnsi="宋体" w:eastAsia="宋体" w:cs="宋体"/>
          <w:color w:val="000000"/>
          <w:szCs w:val="24"/>
        </w:rPr>
      </w:pPr>
      <w:r>
        <w:rPr>
          <w:rFonts w:hint="eastAsia" w:ascii="宋体" w:hAnsi="宋体" w:eastAsia="宋体" w:cs="宋体"/>
          <w:color w:val="000000"/>
          <w:szCs w:val="24"/>
        </w:rPr>
        <w:t>1、报价</w:t>
      </w:r>
    </w:p>
    <w:p>
      <w:pPr>
        <w:pStyle w:val="146"/>
        <w:snapToGrid w:val="0"/>
        <w:spacing w:before="0" w:line="600" w:lineRule="exact"/>
        <w:ind w:firstLine="480"/>
        <w:rPr>
          <w:rFonts w:hint="eastAsia" w:ascii="宋体" w:hAnsi="宋体" w:eastAsia="宋体" w:cs="宋体"/>
          <w:color w:val="000000"/>
          <w:szCs w:val="24"/>
        </w:rPr>
      </w:pPr>
      <w:r>
        <w:rPr>
          <w:rFonts w:hint="eastAsia" w:ascii="宋体" w:hAnsi="宋体" w:eastAsia="宋体" w:cs="宋体"/>
          <w:color w:val="000000"/>
          <w:szCs w:val="24"/>
        </w:rPr>
        <w:t>有关本项目所需的一切费用均计入报价。投标人应根据《开标一览表》填写相关内容。《开标一览表》是报价的唯一载体。</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2、其它费用处理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3、投标货币</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600" w:lineRule="exact"/>
        <w:ind w:firstLine="480" w:firstLineChars="200"/>
        <w:textAlignment w:val="bottom"/>
        <w:rPr>
          <w:rFonts w:hint="eastAsia" w:ascii="宋体" w:hAnsi="宋体" w:cs="宋体"/>
          <w:color w:val="000000"/>
          <w:sz w:val="24"/>
        </w:rPr>
      </w:pPr>
      <w:r>
        <w:rPr>
          <w:rFonts w:hint="eastAsia" w:ascii="宋体" w:hAnsi="宋体" w:cs="宋体"/>
          <w:color w:val="000000"/>
          <w:sz w:val="24"/>
        </w:rPr>
        <w:t>4、投标人对在合同执行中，除上述费用及招标文件规定的由中标人负责的工作范围以外需要招标人协调或提供便利的工作应当在投标文件中说明。</w:t>
      </w:r>
    </w:p>
    <w:p>
      <w:pPr>
        <w:tabs>
          <w:tab w:val="left" w:pos="3780"/>
        </w:tabs>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600" w:lineRule="exact"/>
        <w:rPr>
          <w:rFonts w:hint="eastAsia" w:ascii="宋体" w:hAnsi="宋体" w:cs="宋体"/>
          <w:color w:val="000000"/>
          <w:sz w:val="24"/>
        </w:rPr>
      </w:pPr>
      <w:r>
        <w:rPr>
          <w:rFonts w:hint="eastAsia" w:ascii="宋体" w:hAnsi="宋体" w:cs="宋体"/>
          <w:color w:val="000000"/>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600" w:lineRule="exact"/>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600" w:lineRule="exact"/>
        <w:jc w:val="center"/>
        <w:rPr>
          <w:rFonts w:hint="eastAsia" w:ascii="宋体" w:hAnsi="宋体" w:cs="宋体"/>
          <w:b/>
          <w:bCs/>
          <w:color w:val="000000"/>
          <w:sz w:val="24"/>
        </w:rPr>
      </w:pPr>
      <w:bookmarkStart w:id="36" w:name="_Toc33194390"/>
    </w:p>
    <w:p>
      <w:pPr>
        <w:snapToGrid w:val="0"/>
        <w:spacing w:line="600" w:lineRule="exact"/>
        <w:jc w:val="center"/>
        <w:rPr>
          <w:rFonts w:hint="eastAsia" w:ascii="宋体" w:hAnsi="宋体" w:cs="宋体"/>
          <w:b/>
          <w:bCs/>
          <w:color w:val="000000"/>
          <w:sz w:val="24"/>
        </w:rPr>
      </w:pPr>
    </w:p>
    <w:p>
      <w:pPr>
        <w:snapToGrid w:val="0"/>
        <w:spacing w:line="600" w:lineRule="exact"/>
        <w:jc w:val="center"/>
        <w:rPr>
          <w:rFonts w:hint="eastAsia" w:ascii="宋体" w:hAnsi="宋体" w:cs="宋体"/>
          <w:b/>
          <w:bCs/>
          <w:color w:val="000000"/>
          <w:sz w:val="24"/>
        </w:rPr>
      </w:pPr>
      <w:r>
        <w:rPr>
          <w:rFonts w:hint="eastAsia" w:ascii="宋体" w:hAnsi="宋体" w:cs="宋体"/>
          <w:b/>
          <w:bCs/>
          <w:color w:val="000000"/>
          <w:sz w:val="24"/>
        </w:rPr>
        <w:t>三、</w:t>
      </w:r>
      <w:bookmarkStart w:id="37" w:name="_Hlt75236011"/>
      <w:bookmarkEnd w:id="37"/>
      <w:bookmarkStart w:id="38" w:name="_Toc233618974"/>
      <w:bookmarkStart w:id="39" w:name="_Toc91899884"/>
      <w:bookmarkStart w:id="40" w:name="_Toc354996698"/>
      <w:r>
        <w:rPr>
          <w:rFonts w:hint="eastAsia" w:ascii="宋体" w:hAnsi="宋体" w:cs="宋体"/>
          <w:b/>
          <w:bCs/>
          <w:color w:val="000000"/>
          <w:sz w:val="24"/>
        </w:rPr>
        <w:t>投标文件</w:t>
      </w:r>
      <w:bookmarkEnd w:id="36"/>
      <w:bookmarkEnd w:id="38"/>
      <w:bookmarkEnd w:id="39"/>
      <w:bookmarkEnd w:id="40"/>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600" w:lineRule="exact"/>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146"/>
        <w:snapToGrid w:val="0"/>
        <w:spacing w:before="0" w:line="600" w:lineRule="exact"/>
        <w:ind w:firstLine="0" w:firstLineChars="0"/>
        <w:rPr>
          <w:rFonts w:hint="eastAsia" w:ascii="宋体" w:hAnsi="宋体" w:eastAsia="宋体" w:cs="宋体"/>
          <w:b/>
          <w:color w:val="000000"/>
          <w:szCs w:val="24"/>
        </w:rPr>
      </w:pPr>
      <w:bookmarkStart w:id="41" w:name="_Toc91899887"/>
      <w:r>
        <w:rPr>
          <w:rFonts w:hint="eastAsia" w:ascii="宋体" w:hAnsi="宋体" w:eastAsia="宋体" w:cs="宋体"/>
          <w:b/>
          <w:color w:val="000000"/>
          <w:szCs w:val="24"/>
        </w:rPr>
        <w:t>（二）投标文件的组成</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投标文件应当包括以下主要内容：资格文件、报价文件、商务技术文件。</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1、投标人的资格文件至少应包括以下内容：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基本资格条件审查材料：</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【即证明其符合《中华人民共和国政府采购法》规定的供应商基本条件的有关资格证明文件。】</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包括：</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（1）营业执照(或事业法人登记证书或其它工商等登记证明材料；自然人参与政府采购，提供身份证)复印件；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（2）最近一年财务报表(复印件，新成立的公司提供情况说明)；</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（3）具有履行合同所必需的场地、设备和专业技术能力的承诺函；</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（7）投标供应商没有失信记录承诺函；</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上述资格条件审查材料有一项不提供的，视为资格审查不通过。</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2、投标人的报价文件至少应包括以下内容：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（1）投标响应函；</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（2）开标一览表；</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（3）报价明细清单；</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（4）中小企业声明函、监狱企业、残疾人福利性单位及其他相关的充分的证明材料。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3、投标人的商务技术文件至少应包括以下内容： </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（1）法定代表人授权委托书；</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（2）法定代表人及授权委托人的身份证(复印件加盖公章)；</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（3）技术偏离表；</w:t>
      </w:r>
    </w:p>
    <w:p>
      <w:pPr>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sz w:val="24"/>
        </w:rPr>
        <w:t>对应评分细则提供相关证明资料</w:t>
      </w:r>
      <w:r>
        <w:rPr>
          <w:rFonts w:hint="eastAsia" w:ascii="宋体" w:hAnsi="宋体" w:cs="宋体"/>
          <w:color w:val="000000"/>
          <w:kern w:val="0"/>
          <w:sz w:val="24"/>
        </w:rPr>
        <w:t>；</w:t>
      </w:r>
    </w:p>
    <w:p>
      <w:pPr>
        <w:snapToGrid w:val="0"/>
        <w:spacing w:line="6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投标文件中所需的各种证书、证件、证明资料如是复印件，须在复印件上加盖有效公章。</w:t>
      </w:r>
    </w:p>
    <w:p>
      <w:pPr>
        <w:snapToGrid w:val="0"/>
        <w:spacing w:line="6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投标人的投标文件必须按照招标文件要求制作。</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1、投标文件合格投递后，自投标截止日期起，至前附表所列的日期内有效。</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2、在原定投标有效期之前，如果出现特殊情况，招标代理机构可以以书面形式通知投标人延长投标有效期。</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无。</w:t>
      </w:r>
    </w:p>
    <w:p>
      <w:pPr>
        <w:spacing w:line="600" w:lineRule="exact"/>
        <w:rPr>
          <w:rFonts w:hint="eastAsia" w:ascii="宋体" w:hAnsi="宋体" w:cs="宋体"/>
          <w:b/>
          <w:bCs/>
          <w:color w:val="000000"/>
          <w:sz w:val="24"/>
        </w:rPr>
      </w:pPr>
      <w:r>
        <w:rPr>
          <w:rFonts w:hint="eastAsia" w:ascii="宋体" w:hAnsi="宋体" w:cs="宋体"/>
          <w:b/>
          <w:bCs/>
          <w:color w:val="000000"/>
          <w:sz w:val="24"/>
        </w:rPr>
        <w:t>（五）</w:t>
      </w:r>
      <w:bookmarkEnd w:id="41"/>
      <w:bookmarkStart w:id="42" w:name="_Hlt68072998"/>
      <w:bookmarkEnd w:id="42"/>
      <w:bookmarkStart w:id="43" w:name="_Hlt68403820"/>
      <w:bookmarkEnd w:id="43"/>
      <w:bookmarkStart w:id="44" w:name="_Hlt68073093"/>
      <w:bookmarkEnd w:id="44"/>
      <w:bookmarkStart w:id="45" w:name="_Toc86216991"/>
      <w:bookmarkStart w:id="46" w:name="_Toc91899892"/>
      <w:bookmarkStart w:id="47" w:name="_Toc233618975"/>
      <w:r>
        <w:rPr>
          <w:rFonts w:hint="eastAsia" w:ascii="宋体" w:hAnsi="宋体" w:cs="宋体"/>
          <w:b/>
          <w:bCs/>
          <w:color w:val="000000"/>
          <w:sz w:val="24"/>
        </w:rPr>
        <w:t>投标文件编制</w:t>
      </w:r>
    </w:p>
    <w:p>
      <w:pPr>
        <w:spacing w:line="600" w:lineRule="exact"/>
        <w:ind w:firstLine="482" w:firstLineChars="200"/>
        <w:rPr>
          <w:rFonts w:hint="eastAsia" w:ascii="宋体" w:hAnsi="宋体" w:cs="宋体"/>
          <w:b/>
          <w:color w:val="000000"/>
          <w:sz w:val="24"/>
        </w:rPr>
      </w:pPr>
      <w:r>
        <w:rPr>
          <w:rFonts w:hint="eastAsia" w:ascii="宋体" w:hAnsi="宋体" w:cs="宋体"/>
          <w:b/>
          <w:color w:val="000000"/>
          <w:kern w:val="0"/>
          <w:sz w:val="24"/>
        </w:rPr>
        <w:t>5.1</w:t>
      </w:r>
      <w:r>
        <w:rPr>
          <w:rFonts w:hint="eastAsia" w:ascii="宋体" w:hAnsi="宋体" w:cs="宋体"/>
          <w:b/>
          <w:color w:val="000000"/>
          <w:sz w:val="24"/>
        </w:rPr>
        <w:t>本项目通过“政府采购云平台（www.zcygov.cn）”实行在线投标响应（电子投标）。供应商应通过“政采云电子交易客户端”，并按照本招标文件和“政府采购云平台”的要求编制并加密投标文件。</w:t>
      </w:r>
    </w:p>
    <w:p>
      <w:pPr>
        <w:spacing w:line="600" w:lineRule="exact"/>
        <w:ind w:firstLine="422" w:firstLineChars="175"/>
        <w:rPr>
          <w:rFonts w:hint="eastAsia" w:ascii="宋体" w:hAnsi="宋体" w:cs="宋体"/>
          <w:b/>
          <w:color w:val="000000"/>
          <w:kern w:val="0"/>
          <w:sz w:val="24"/>
        </w:rPr>
      </w:pPr>
      <w:r>
        <w:rPr>
          <w:rFonts w:hint="eastAsia" w:ascii="宋体" w:hAnsi="宋体" w:cs="宋体"/>
          <w:b/>
          <w:color w:val="000000"/>
          <w:kern w:val="0"/>
          <w:sz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600" w:lineRule="exact"/>
        <w:ind w:firstLine="422" w:firstLineChars="175"/>
        <w:rPr>
          <w:rFonts w:hint="eastAsia" w:ascii="宋体" w:hAnsi="宋体" w:cs="宋体"/>
          <w:b/>
          <w:color w:val="000000"/>
          <w:sz w:val="24"/>
        </w:rPr>
      </w:pPr>
      <w:r>
        <w:rPr>
          <w:rFonts w:hint="eastAsia" w:ascii="宋体" w:hAnsi="宋体" w:cs="宋体"/>
          <w:b/>
          <w:color w:val="000000"/>
          <w:sz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5.4《投标文件》内容不完整、编排混乱导致《投标文件》被误读、漏读或者查找不到相关内容的，是投标供应商的责任。</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5.5《投标文件》因字迹潦草或表达不清所引起的后果由投标供应商负责。</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5.6投标供应商没有按照本章节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（六）投标文件的签章</w:t>
      </w:r>
    </w:p>
    <w:p>
      <w:pPr>
        <w:spacing w:line="600" w:lineRule="exact"/>
        <w:ind w:firstLine="463" w:firstLineChars="192"/>
        <w:rPr>
          <w:rFonts w:hint="eastAsia" w:ascii="宋体" w:hAnsi="宋体" w:cs="宋体"/>
          <w:b/>
          <w:color w:val="000000"/>
          <w:kern w:val="0"/>
          <w:sz w:val="24"/>
        </w:rPr>
      </w:pPr>
      <w:r>
        <w:rPr>
          <w:rFonts w:hint="eastAsia" w:ascii="宋体" w:hAnsi="宋体" w:cs="宋体"/>
          <w:b/>
          <w:color w:val="000000"/>
          <w:kern w:val="0"/>
          <w:sz w:val="24"/>
        </w:rPr>
        <w:t>6.1《投标文件》的签章：</w:t>
      </w:r>
      <w:r>
        <w:rPr>
          <w:rFonts w:hint="eastAsia" w:ascii="宋体" w:hAnsi="宋体" w:cs="宋体"/>
          <w:b/>
          <w:color w:val="000000"/>
          <w:sz w:val="24"/>
        </w:rPr>
        <w:t>见《前附表》；</w:t>
      </w:r>
    </w:p>
    <w:p>
      <w:pPr>
        <w:spacing w:line="600" w:lineRule="exact"/>
        <w:ind w:firstLine="463" w:firstLineChars="192"/>
        <w:rPr>
          <w:rFonts w:hint="eastAsia" w:ascii="宋体" w:hAnsi="宋体" w:cs="宋体"/>
          <w:b/>
          <w:color w:val="000000"/>
          <w:kern w:val="0"/>
          <w:sz w:val="24"/>
        </w:rPr>
      </w:pPr>
      <w:r>
        <w:rPr>
          <w:rFonts w:hint="eastAsia" w:ascii="宋体" w:hAnsi="宋体" w:cs="宋体"/>
          <w:b/>
          <w:color w:val="000000"/>
          <w:kern w:val="0"/>
          <w:sz w:val="24"/>
        </w:rPr>
        <w:t>6.2《投标文件》应由投标供应商法定代表人或其授权代表签字（或盖章），并时加盖投标供应商公章。</w:t>
      </w:r>
    </w:p>
    <w:p>
      <w:pPr>
        <w:spacing w:line="600" w:lineRule="exact"/>
        <w:ind w:firstLine="424" w:firstLineChars="176"/>
        <w:rPr>
          <w:rFonts w:hint="eastAsia" w:ascii="宋体" w:hAnsi="宋体" w:cs="宋体"/>
          <w:color w:val="000000"/>
          <w:sz w:val="24"/>
        </w:rPr>
      </w:pPr>
      <w:r>
        <w:rPr>
          <w:rFonts w:hint="eastAsia" w:ascii="宋体" w:hAnsi="宋体" w:cs="宋体"/>
          <w:b/>
          <w:color w:val="000000"/>
          <w:kern w:val="0"/>
          <w:sz w:val="24"/>
        </w:rPr>
        <w:t>6.3电子签章操作指南详见采购公告附件</w:t>
      </w:r>
      <w:r>
        <w:rPr>
          <w:rFonts w:hint="eastAsia" w:ascii="宋体" w:hAnsi="宋体" w:cs="宋体"/>
          <w:b/>
          <w:color w:val="000000"/>
          <w:sz w:val="24"/>
        </w:rPr>
        <w:t>《供应商项目采购-电子招投标操作指南》</w:t>
      </w:r>
      <w:r>
        <w:rPr>
          <w:rFonts w:hint="eastAsia" w:ascii="宋体" w:hAnsi="宋体" w:cs="宋体"/>
          <w:color w:val="000000"/>
          <w:sz w:val="24"/>
        </w:rPr>
        <w:t>。</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（七）投标文件的形式</w:t>
      </w:r>
    </w:p>
    <w:p>
      <w:pPr>
        <w:spacing w:line="600" w:lineRule="exact"/>
        <w:ind w:firstLine="424" w:firstLineChars="176"/>
        <w:rPr>
          <w:rFonts w:hint="eastAsia" w:ascii="宋体" w:hAnsi="宋体" w:cs="宋体"/>
          <w:color w:val="000000"/>
          <w:sz w:val="24"/>
        </w:rPr>
      </w:pPr>
      <w:r>
        <w:rPr>
          <w:rFonts w:hint="eastAsia" w:ascii="宋体" w:hAnsi="宋体" w:cs="宋体"/>
          <w:b/>
          <w:color w:val="000000"/>
          <w:sz w:val="24"/>
        </w:rPr>
        <w:t>7.1投标文件的形式：见《前附表》；</w:t>
      </w:r>
    </w:p>
    <w:p>
      <w:pPr>
        <w:spacing w:line="600" w:lineRule="exact"/>
        <w:ind w:firstLine="424" w:firstLineChars="176"/>
        <w:rPr>
          <w:rFonts w:hint="eastAsia" w:ascii="宋体" w:hAnsi="宋体" w:cs="宋体"/>
          <w:b/>
          <w:color w:val="000000"/>
          <w:sz w:val="24"/>
        </w:rPr>
      </w:pPr>
      <w:r>
        <w:rPr>
          <w:rFonts w:hint="eastAsia" w:ascii="宋体" w:hAnsi="宋体" w:cs="宋体"/>
          <w:b/>
          <w:color w:val="000000"/>
          <w:sz w:val="24"/>
        </w:rPr>
        <w:t>7.2“电子加密投标文件”：“电子加密投标文件”是指通过“政采云电子交易客户端”完成投标文件编制后生成并加密的数据电文形式的投标文件。</w:t>
      </w:r>
    </w:p>
    <w:p>
      <w:pPr>
        <w:spacing w:line="600" w:lineRule="exact"/>
        <w:ind w:firstLine="424" w:firstLineChars="176"/>
        <w:rPr>
          <w:rFonts w:hint="eastAsia" w:ascii="宋体" w:hAnsi="宋体" w:cs="宋体"/>
          <w:b/>
          <w:color w:val="000000"/>
          <w:sz w:val="24"/>
        </w:rPr>
      </w:pPr>
      <w:r>
        <w:rPr>
          <w:rFonts w:hint="eastAsia" w:ascii="宋体" w:hAnsi="宋体" w:cs="宋体"/>
          <w:b/>
          <w:color w:val="000000"/>
          <w:sz w:val="24"/>
        </w:rPr>
        <w:t>7.3“备份投标文件”：“备份投标文件”是指与“电子加密投标文件”同时生成的数据电文形式的电子文件（备份标书），其他方式编制的“备份投标文件”视为无效的“备份投标文件”。</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（八）投标文件的份数</w:t>
      </w:r>
    </w:p>
    <w:p>
      <w:pPr>
        <w:spacing w:line="600" w:lineRule="exact"/>
        <w:ind w:firstLine="424" w:firstLineChars="176"/>
        <w:rPr>
          <w:rFonts w:hint="eastAsia" w:ascii="宋体" w:hAnsi="宋体" w:cs="宋体"/>
          <w:b/>
          <w:color w:val="000000"/>
          <w:kern w:val="0"/>
          <w:sz w:val="24"/>
        </w:rPr>
      </w:pPr>
      <w:r>
        <w:rPr>
          <w:rFonts w:hint="eastAsia" w:ascii="宋体" w:hAnsi="宋体" w:cs="宋体"/>
          <w:b/>
          <w:color w:val="000000"/>
          <w:sz w:val="24"/>
        </w:rPr>
        <w:t>8.1投标文件的份数：见《前附表》。</w:t>
      </w:r>
    </w:p>
    <w:p>
      <w:pPr>
        <w:shd w:val="clear" w:color="auto" w:fill="FFFFFF"/>
        <w:snapToGrid w:val="0"/>
        <w:spacing w:line="600" w:lineRule="exact"/>
        <w:rPr>
          <w:rFonts w:hint="eastAsia" w:ascii="宋体" w:hAnsi="宋体" w:cs="宋体"/>
          <w:b/>
          <w:bCs/>
          <w:color w:val="000000"/>
          <w:sz w:val="24"/>
        </w:rPr>
      </w:pPr>
    </w:p>
    <w:p>
      <w:pPr>
        <w:snapToGrid w:val="0"/>
        <w:spacing w:line="600" w:lineRule="exact"/>
        <w:jc w:val="center"/>
        <w:outlineLvl w:val="1"/>
        <w:rPr>
          <w:rFonts w:hint="eastAsia" w:ascii="宋体" w:hAnsi="宋体" w:cs="宋体"/>
          <w:b/>
          <w:color w:val="000000"/>
          <w:sz w:val="24"/>
        </w:rPr>
      </w:pPr>
      <w:bookmarkStart w:id="48" w:name="_Toc462229099"/>
      <w:bookmarkStart w:id="49" w:name="_Toc33194391"/>
      <w:bookmarkStart w:id="50" w:name="_Toc412730341"/>
      <w:bookmarkStart w:id="51" w:name="_Toc354996699"/>
      <w:r>
        <w:rPr>
          <w:rFonts w:hint="eastAsia" w:ascii="宋体" w:hAnsi="宋体" w:cs="宋体"/>
          <w:b/>
          <w:color w:val="000000"/>
          <w:sz w:val="24"/>
        </w:rPr>
        <w:t>四、投标</w:t>
      </w:r>
      <w:bookmarkEnd w:id="48"/>
      <w:bookmarkEnd w:id="49"/>
      <w:bookmarkEnd w:id="50"/>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（一）投标文件的上传和递交</w:t>
      </w:r>
    </w:p>
    <w:p>
      <w:pPr>
        <w:spacing w:line="600" w:lineRule="exact"/>
        <w:ind w:firstLine="426" w:firstLineChars="177"/>
        <w:rPr>
          <w:rFonts w:hint="eastAsia" w:ascii="宋体" w:hAnsi="宋体" w:cs="宋体"/>
          <w:b/>
          <w:color w:val="000000"/>
          <w:sz w:val="24"/>
        </w:rPr>
      </w:pPr>
      <w:r>
        <w:rPr>
          <w:rFonts w:hint="eastAsia" w:ascii="宋体" w:hAnsi="宋体" w:cs="宋体"/>
          <w:b/>
          <w:color w:val="000000"/>
          <w:kern w:val="0"/>
          <w:sz w:val="24"/>
        </w:rPr>
        <w:t>1.1“投标文件”的上传、递交：</w:t>
      </w:r>
      <w:r>
        <w:rPr>
          <w:rFonts w:hint="eastAsia" w:ascii="宋体" w:hAnsi="宋体" w:cs="宋体"/>
          <w:b/>
          <w:color w:val="000000"/>
          <w:sz w:val="24"/>
        </w:rPr>
        <w:t>见《前附表》。</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（二）“电子加密投标文件”解密和异常情况处理</w:t>
      </w:r>
    </w:p>
    <w:p>
      <w:pPr>
        <w:spacing w:line="600" w:lineRule="exact"/>
        <w:ind w:firstLine="426" w:firstLineChars="177"/>
        <w:rPr>
          <w:rFonts w:hint="eastAsia" w:ascii="宋体" w:hAnsi="宋体" w:cs="宋体"/>
          <w:color w:val="000000"/>
          <w:sz w:val="24"/>
        </w:rPr>
      </w:pPr>
      <w:r>
        <w:rPr>
          <w:rFonts w:hint="eastAsia" w:ascii="宋体" w:hAnsi="宋体" w:cs="宋体"/>
          <w:b/>
          <w:color w:val="000000"/>
          <w:kern w:val="0"/>
          <w:sz w:val="24"/>
        </w:rPr>
        <w:t>2.1“电子加密投标文件”解密：</w:t>
      </w:r>
      <w:r>
        <w:rPr>
          <w:rFonts w:hint="eastAsia" w:ascii="宋体" w:hAnsi="宋体" w:cs="宋体"/>
          <w:b/>
          <w:color w:val="000000"/>
          <w:sz w:val="24"/>
        </w:rPr>
        <w:t>见《前附表》。</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（三）投标文件的补充、修改或撤回</w:t>
      </w:r>
    </w:p>
    <w:p>
      <w:pPr>
        <w:spacing w:line="600" w:lineRule="exact"/>
        <w:ind w:firstLine="426" w:firstLineChars="177"/>
        <w:rPr>
          <w:rFonts w:hint="eastAsia" w:ascii="宋体" w:hAnsi="宋体" w:cs="宋体"/>
          <w:color w:val="000000"/>
          <w:kern w:val="0"/>
          <w:sz w:val="24"/>
        </w:rPr>
      </w:pPr>
      <w:r>
        <w:rPr>
          <w:rFonts w:hint="eastAsia" w:ascii="宋体" w:hAnsi="宋体" w:cs="宋体"/>
          <w:b/>
          <w:color w:val="000000"/>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600" w:lineRule="exact"/>
        <w:ind w:firstLine="426" w:firstLineChars="177"/>
        <w:rPr>
          <w:rFonts w:hint="eastAsia" w:ascii="宋体" w:hAnsi="宋体" w:cs="宋体"/>
          <w:b/>
          <w:color w:val="000000"/>
          <w:kern w:val="0"/>
          <w:sz w:val="24"/>
        </w:rPr>
      </w:pPr>
      <w:r>
        <w:rPr>
          <w:rFonts w:hint="eastAsia" w:ascii="宋体" w:hAnsi="宋体" w:cs="宋体"/>
          <w:b/>
          <w:color w:val="000000"/>
          <w:kern w:val="0"/>
          <w:sz w:val="24"/>
        </w:rPr>
        <w:t>3.2投标截止时间后，投标供应商不得撤回、修改《投标文件》。</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（四）投标文件的备选方案</w:t>
      </w:r>
    </w:p>
    <w:p>
      <w:pPr>
        <w:spacing w:line="600" w:lineRule="exact"/>
        <w:ind w:firstLine="426" w:firstLineChars="177"/>
        <w:rPr>
          <w:rFonts w:hint="eastAsia" w:ascii="宋体" w:hAnsi="宋体" w:cs="宋体"/>
          <w:b/>
          <w:color w:val="000000"/>
          <w:sz w:val="24"/>
        </w:rPr>
      </w:pPr>
      <w:r>
        <w:rPr>
          <w:rFonts w:hint="eastAsia" w:ascii="宋体" w:hAnsi="宋体" w:cs="宋体"/>
          <w:b/>
          <w:color w:val="000000"/>
          <w:sz w:val="24"/>
        </w:rPr>
        <w:t>4.1投标供应商不得递交任何的</w:t>
      </w:r>
      <w:r>
        <w:rPr>
          <w:rFonts w:hint="eastAsia" w:ascii="宋体" w:hAnsi="宋体" w:cs="宋体"/>
          <w:b/>
          <w:color w:val="000000"/>
          <w:kern w:val="0"/>
          <w:sz w:val="24"/>
        </w:rPr>
        <w:t>投标备选（替代）方案</w:t>
      </w:r>
      <w:r>
        <w:rPr>
          <w:rFonts w:hint="eastAsia" w:ascii="宋体" w:hAnsi="宋体" w:cs="宋体"/>
          <w:b/>
          <w:color w:val="000000"/>
          <w:sz w:val="24"/>
        </w:rPr>
        <w:t>，否则其投标文件将作无效标处理。与“电子加密投标文件”同时生成的“备份投标文件”不是投标备选（替代）方案。</w:t>
      </w:r>
    </w:p>
    <w:p>
      <w:pPr>
        <w:pStyle w:val="146"/>
        <w:snapToGrid w:val="0"/>
        <w:spacing w:before="0" w:line="600" w:lineRule="exact"/>
        <w:ind w:firstLine="482"/>
        <w:rPr>
          <w:rFonts w:hint="eastAsia" w:ascii="宋体" w:hAnsi="宋体" w:eastAsia="宋体" w:cs="宋体"/>
          <w:b/>
          <w:color w:val="000000"/>
          <w:szCs w:val="24"/>
        </w:rPr>
      </w:pPr>
    </w:p>
    <w:p>
      <w:pPr>
        <w:snapToGrid w:val="0"/>
        <w:spacing w:line="600" w:lineRule="exact"/>
        <w:jc w:val="center"/>
        <w:outlineLvl w:val="1"/>
        <w:rPr>
          <w:rFonts w:hint="eastAsia" w:ascii="宋体" w:hAnsi="宋体" w:cs="宋体"/>
          <w:b/>
          <w:color w:val="000000"/>
          <w:sz w:val="24"/>
        </w:rPr>
      </w:pPr>
      <w:bookmarkStart w:id="52" w:name="_Toc462229100"/>
      <w:bookmarkStart w:id="53" w:name="_Toc33194392"/>
      <w:r>
        <w:rPr>
          <w:rFonts w:hint="eastAsia" w:ascii="宋体" w:hAnsi="宋体" w:cs="宋体"/>
          <w:b/>
          <w:color w:val="000000"/>
          <w:sz w:val="24"/>
        </w:rPr>
        <w:t>五、开 标</w:t>
      </w:r>
      <w:bookmarkEnd w:id="52"/>
      <w:bookmarkEnd w:id="53"/>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（一）开标形式</w:t>
      </w:r>
    </w:p>
    <w:p>
      <w:pPr>
        <w:spacing w:line="600" w:lineRule="exact"/>
        <w:ind w:firstLine="426" w:firstLineChars="177"/>
        <w:rPr>
          <w:rFonts w:hint="eastAsia" w:ascii="宋体" w:hAnsi="宋体" w:cs="宋体"/>
          <w:b/>
          <w:color w:val="000000"/>
          <w:sz w:val="24"/>
        </w:rPr>
      </w:pPr>
      <w:r>
        <w:rPr>
          <w:rFonts w:hint="eastAsia" w:ascii="宋体" w:hAnsi="宋体" w:cs="宋体"/>
          <w:b/>
          <w:color w:val="000000"/>
          <w:sz w:val="24"/>
        </w:rPr>
        <w:t>1.1 采购组织机构将按照招标文件规定的时间通过“政府采购云平台”组织开标、开启投标文件，所有供应商均应当准时在线参加。</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（二） 开标准备</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2.1开标的准备工作由采购组织机构负责落实；</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2.2</w:t>
      </w:r>
      <w:r>
        <w:rPr>
          <w:rFonts w:hint="eastAsia" w:ascii="宋体" w:hAnsi="宋体" w:cs="宋体"/>
          <w:b/>
          <w:color w:val="000000"/>
          <w:sz w:val="24"/>
        </w:rPr>
        <w:t>采购组织机构将按照招标文件规定的时间通过“政府采购云平台”组织开标、开启投标文件，所有供应商均应当准时在线参加。</w:t>
      </w:r>
      <w:r>
        <w:rPr>
          <w:rFonts w:hint="eastAsia" w:ascii="宋体" w:hAnsi="宋体" w:cs="宋体"/>
          <w:b/>
          <w:color w:val="000000"/>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（三）开标流程（两阶段）</w:t>
      </w:r>
    </w:p>
    <w:p>
      <w:pPr>
        <w:spacing w:line="600" w:lineRule="exact"/>
        <w:ind w:firstLine="426" w:firstLineChars="177"/>
        <w:jc w:val="left"/>
        <w:rPr>
          <w:rFonts w:hint="eastAsia" w:ascii="宋体" w:hAnsi="宋体" w:cs="宋体"/>
          <w:b/>
          <w:color w:val="000000"/>
          <w:kern w:val="0"/>
          <w:sz w:val="24"/>
        </w:rPr>
      </w:pPr>
      <w:r>
        <w:rPr>
          <w:rFonts w:hint="eastAsia" w:ascii="宋体" w:hAnsi="宋体" w:cs="宋体"/>
          <w:b/>
          <w:color w:val="000000"/>
          <w:kern w:val="0"/>
          <w:sz w:val="24"/>
        </w:rPr>
        <w:t>3.1开标第一阶段</w:t>
      </w:r>
    </w:p>
    <w:p>
      <w:pPr>
        <w:spacing w:line="600" w:lineRule="exact"/>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600" w:lineRule="exact"/>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（2）投标文件解密结束，通过邮件形式发送各投标人组织签署《政府采购活动现场确认声明书》；</w:t>
      </w:r>
    </w:p>
    <w:p>
      <w:pPr>
        <w:spacing w:line="600" w:lineRule="exact"/>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（3）开启投标文件，进入资格审查；</w:t>
      </w:r>
    </w:p>
    <w:p>
      <w:pPr>
        <w:spacing w:line="600" w:lineRule="exact"/>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（4）开启资格审查通过的投标供应商的商务技术文件进入符合性审查、商务技术评审；</w:t>
      </w:r>
    </w:p>
    <w:p>
      <w:pPr>
        <w:spacing w:line="600" w:lineRule="exact"/>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（5）第一阶段开标结束。</w:t>
      </w:r>
    </w:p>
    <w:p>
      <w:pPr>
        <w:spacing w:line="600" w:lineRule="exact"/>
        <w:ind w:firstLine="426" w:firstLineChars="177"/>
        <w:jc w:val="left"/>
        <w:rPr>
          <w:rFonts w:hint="eastAsia" w:ascii="宋体" w:hAnsi="宋体" w:cs="宋体"/>
          <w:b/>
          <w:color w:val="000000"/>
          <w:kern w:val="0"/>
          <w:sz w:val="24"/>
        </w:rPr>
      </w:pPr>
      <w:r>
        <w:rPr>
          <w:rFonts w:hint="eastAsia" w:ascii="宋体" w:hAnsi="宋体" w:cs="宋体"/>
          <w:b/>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600" w:lineRule="exact"/>
        <w:ind w:firstLine="426" w:firstLineChars="177"/>
        <w:jc w:val="left"/>
        <w:rPr>
          <w:rFonts w:hint="eastAsia" w:ascii="宋体" w:hAnsi="宋体" w:cs="宋体"/>
          <w:b/>
          <w:color w:val="000000"/>
          <w:kern w:val="0"/>
          <w:sz w:val="24"/>
        </w:rPr>
      </w:pPr>
      <w:r>
        <w:rPr>
          <w:rFonts w:hint="eastAsia" w:ascii="宋体" w:hAnsi="宋体" w:cs="宋体"/>
          <w:b/>
          <w:color w:val="000000"/>
          <w:kern w:val="0"/>
          <w:sz w:val="24"/>
        </w:rPr>
        <w:t>3.2开标大会第二阶段</w:t>
      </w:r>
    </w:p>
    <w:p>
      <w:pPr>
        <w:spacing w:line="600" w:lineRule="exact"/>
        <w:ind w:firstLine="424" w:firstLineChars="177"/>
        <w:jc w:val="left"/>
        <w:rPr>
          <w:rFonts w:hint="eastAsia" w:ascii="宋体" w:hAnsi="宋体" w:cs="宋体"/>
          <w:kern w:val="0"/>
          <w:sz w:val="24"/>
        </w:rPr>
      </w:pPr>
      <w:r>
        <w:rPr>
          <w:rFonts w:hint="eastAsia" w:ascii="宋体" w:hAnsi="宋体" w:cs="宋体"/>
          <w:kern w:val="0"/>
          <w:sz w:val="24"/>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spacing w:line="600" w:lineRule="exact"/>
        <w:ind w:firstLine="424" w:firstLineChars="177"/>
        <w:jc w:val="left"/>
        <w:rPr>
          <w:rFonts w:hint="eastAsia" w:ascii="宋体" w:hAnsi="宋体" w:cs="宋体"/>
          <w:kern w:val="0"/>
          <w:sz w:val="24"/>
        </w:rPr>
      </w:pPr>
      <w:r>
        <w:rPr>
          <w:rFonts w:hint="eastAsia" w:ascii="宋体" w:hAnsi="宋体" w:cs="宋体"/>
          <w:kern w:val="0"/>
          <w:sz w:val="24"/>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600" w:lineRule="exact"/>
        <w:ind w:firstLine="424" w:firstLineChars="177"/>
        <w:jc w:val="left"/>
        <w:rPr>
          <w:rFonts w:hint="eastAsia" w:ascii="宋体" w:hAnsi="宋体" w:cs="宋体"/>
          <w:kern w:val="0"/>
          <w:sz w:val="24"/>
        </w:rPr>
      </w:pPr>
      <w:r>
        <w:rPr>
          <w:rFonts w:hint="eastAsia" w:ascii="宋体" w:hAnsi="宋体" w:cs="宋体"/>
          <w:kern w:val="0"/>
          <w:sz w:val="24"/>
        </w:rPr>
        <w:t>（3）评审结束后，通过发送邮件形式公布中标（成交）候选供应商名单，及采购人最终确定中标或成交供应商名单的时间和公告方式等。</w:t>
      </w:r>
    </w:p>
    <w:p>
      <w:pPr>
        <w:spacing w:line="600" w:lineRule="exact"/>
        <w:ind w:firstLine="426" w:firstLineChars="177"/>
        <w:jc w:val="left"/>
        <w:rPr>
          <w:rFonts w:hint="eastAsia" w:ascii="宋体" w:hAnsi="宋体" w:cs="宋体"/>
          <w:b/>
          <w:color w:val="000000"/>
          <w:kern w:val="0"/>
          <w:sz w:val="24"/>
        </w:rPr>
      </w:pPr>
      <w:r>
        <w:rPr>
          <w:rFonts w:hint="eastAsia" w:ascii="宋体" w:hAnsi="宋体" w:cs="宋体"/>
          <w:b/>
          <w:color w:val="000000"/>
          <w:kern w:val="0"/>
          <w:sz w:val="24"/>
        </w:rPr>
        <w:t>特别说明：如遇“政府采购云平台”电子化开标或评审程序调整的，按调整后程序执行。</w:t>
      </w:r>
    </w:p>
    <w:p>
      <w:pPr>
        <w:pStyle w:val="4"/>
        <w:numPr>
          <w:ilvl w:val="0"/>
          <w:numId w:val="0"/>
        </w:numPr>
        <w:tabs>
          <w:tab w:val="left" w:pos="1110"/>
        </w:tabs>
        <w:spacing w:line="600" w:lineRule="exact"/>
        <w:rPr>
          <w:rFonts w:hint="eastAsia" w:ascii="宋体" w:hAnsi="宋体" w:eastAsia="宋体" w:cs="宋体"/>
          <w:color w:val="000000"/>
          <w:sz w:val="24"/>
          <w:szCs w:val="24"/>
        </w:rPr>
      </w:pPr>
      <w:bookmarkStart w:id="54" w:name="_Toc24550037"/>
      <w:bookmarkStart w:id="55" w:name="_Toc33194393"/>
      <w:r>
        <w:rPr>
          <w:rFonts w:hint="eastAsia" w:ascii="宋体" w:hAnsi="宋体" w:eastAsia="宋体" w:cs="宋体"/>
          <w:color w:val="000000"/>
          <w:sz w:val="24"/>
          <w:szCs w:val="24"/>
        </w:rPr>
        <w:t>（四）投标供应商资格审查</w:t>
      </w:r>
      <w:bookmarkEnd w:id="54"/>
      <w:bookmarkEnd w:id="55"/>
    </w:p>
    <w:p>
      <w:pPr>
        <w:spacing w:line="600" w:lineRule="exact"/>
        <w:ind w:firstLine="426" w:firstLineChars="177"/>
        <w:rPr>
          <w:rFonts w:hint="eastAsia" w:ascii="宋体" w:hAnsi="宋体" w:cs="宋体"/>
          <w:color w:val="000000"/>
          <w:sz w:val="24"/>
        </w:rPr>
      </w:pPr>
      <w:r>
        <w:rPr>
          <w:rFonts w:hint="eastAsia" w:ascii="宋体" w:hAnsi="宋体" w:cs="宋体"/>
          <w:b/>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600" w:lineRule="exact"/>
        <w:ind w:firstLine="426" w:firstLineChars="177"/>
        <w:rPr>
          <w:rFonts w:hint="eastAsia" w:ascii="宋体" w:hAnsi="宋体" w:cs="宋体"/>
          <w:b/>
          <w:color w:val="000000"/>
          <w:kern w:val="0"/>
          <w:sz w:val="24"/>
        </w:rPr>
      </w:pPr>
      <w:r>
        <w:rPr>
          <w:rFonts w:hint="eastAsia" w:ascii="宋体" w:hAnsi="宋体" w:cs="宋体"/>
          <w:b/>
          <w:color w:val="000000"/>
          <w:sz w:val="24"/>
        </w:rPr>
        <w:t>4.2投标供应商提交的资格证明材料无法证明其符合招标文件规定的“投标供应商资格要求”的，采购人或采购代理机构</w:t>
      </w:r>
      <w:r>
        <w:rPr>
          <w:rFonts w:hint="eastAsia" w:ascii="宋体" w:hAnsi="宋体" w:cs="宋体"/>
          <w:b/>
          <w:color w:val="000000"/>
          <w:kern w:val="0"/>
          <w:sz w:val="24"/>
        </w:rPr>
        <w:t>将对其作资格审查不通过处理（无效投标），并不再将其投标提交评标委员会进行后续评审。</w:t>
      </w:r>
    </w:p>
    <w:p>
      <w:pPr>
        <w:spacing w:line="600" w:lineRule="exact"/>
        <w:ind w:firstLine="426" w:firstLineChars="177"/>
        <w:rPr>
          <w:rFonts w:hint="eastAsia" w:ascii="宋体" w:hAnsi="宋体" w:cs="宋体"/>
          <w:b/>
          <w:color w:val="000000"/>
          <w:kern w:val="0"/>
          <w:sz w:val="24"/>
        </w:rPr>
      </w:pPr>
      <w:r>
        <w:rPr>
          <w:rFonts w:hint="eastAsia" w:ascii="宋体" w:hAnsi="宋体" w:cs="宋体"/>
          <w:b/>
          <w:color w:val="000000"/>
          <w:sz w:val="24"/>
        </w:rPr>
        <w:t>4</w:t>
      </w:r>
      <w:r>
        <w:rPr>
          <w:rFonts w:hint="eastAsia" w:ascii="宋体" w:hAnsi="宋体" w:cs="宋体"/>
          <w:b/>
          <w:color w:val="000000"/>
          <w:kern w:val="0"/>
          <w:sz w:val="24"/>
        </w:rPr>
        <w:t>.3单位负责人为同一人或者存在直接控股、管理关系的不同供应商参加同一合同项下的政府采购活动的，相关投标供应商均作资格无效处理。</w:t>
      </w:r>
    </w:p>
    <w:bookmarkEnd w:id="45"/>
    <w:bookmarkEnd w:id="46"/>
    <w:bookmarkEnd w:id="47"/>
    <w:bookmarkEnd w:id="51"/>
    <w:p>
      <w:pPr>
        <w:snapToGrid w:val="0"/>
        <w:spacing w:line="600" w:lineRule="exact"/>
        <w:jc w:val="center"/>
        <w:outlineLvl w:val="1"/>
        <w:rPr>
          <w:rFonts w:hint="eastAsia" w:ascii="宋体" w:hAnsi="宋体" w:cs="宋体"/>
          <w:b/>
          <w:color w:val="000000"/>
          <w:sz w:val="24"/>
        </w:rPr>
      </w:pPr>
      <w:bookmarkStart w:id="56" w:name="_Toc412730343"/>
      <w:bookmarkStart w:id="57" w:name="_Toc462229101"/>
      <w:bookmarkStart w:id="58" w:name="_Toc233618978"/>
      <w:bookmarkStart w:id="59" w:name="_Toc354996702"/>
      <w:bookmarkStart w:id="60" w:name="_Toc86216994"/>
    </w:p>
    <w:p>
      <w:pPr>
        <w:snapToGrid w:val="0"/>
        <w:spacing w:line="600" w:lineRule="exact"/>
        <w:jc w:val="center"/>
        <w:outlineLvl w:val="1"/>
        <w:rPr>
          <w:rFonts w:hint="eastAsia" w:ascii="宋体" w:hAnsi="宋体" w:cs="宋体"/>
          <w:b/>
          <w:color w:val="000000"/>
          <w:sz w:val="24"/>
        </w:rPr>
      </w:pPr>
      <w:bookmarkStart w:id="61" w:name="_Toc33194394"/>
      <w:r>
        <w:rPr>
          <w:rFonts w:hint="eastAsia" w:ascii="宋体" w:hAnsi="宋体" w:cs="宋体"/>
          <w:b/>
          <w:color w:val="000000"/>
          <w:sz w:val="24"/>
        </w:rPr>
        <w:t>六、评 标</w:t>
      </w:r>
      <w:bookmarkEnd w:id="56"/>
      <w:bookmarkEnd w:id="57"/>
      <w:bookmarkEnd w:id="61"/>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1.1采购人或采购代理机构负责组织本项目的评审工作，并依据《政府采购货物和服务招标投标管理办法（财政部第87号令）》第四十五条的相关规定履行职责。</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2.1评标委员会由采购人或采购代理机构依法组建，成员包括采购人代表和评审专家，成员人数为五人或以上单数，其中评审专家不少于成员总数的三分之二。</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2.2评标委员会成员名单在评审结果（采购结果）公告前保密。</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spacing w:line="600" w:lineRule="exact"/>
        <w:ind w:firstLine="424" w:firstLineChars="176"/>
        <w:rPr>
          <w:rFonts w:hint="eastAsia" w:ascii="宋体" w:hAnsi="宋体" w:cs="宋体"/>
          <w:b/>
          <w:color w:val="000000"/>
          <w:kern w:val="0"/>
          <w:sz w:val="24"/>
        </w:rPr>
      </w:pPr>
      <w:r>
        <w:rPr>
          <w:rFonts w:hint="eastAsia" w:ascii="宋体" w:hAnsi="宋体" w:cs="宋体"/>
          <w:b/>
          <w:color w:val="000000"/>
          <w:kern w:val="0"/>
          <w:sz w:val="24"/>
        </w:rPr>
        <w:t>3.1评标委员会负责具体评审事务，并独立履行下列职责：</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（1）审查、评价投标文件是否符合招标文件的商务、技术等实质性要求；</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（2）要求投标人对投标文件有关事项作出澄清或者说明；</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（3）对投标文件进行比较和评价；</w:t>
      </w:r>
    </w:p>
    <w:p>
      <w:pPr>
        <w:spacing w:line="600" w:lineRule="exact"/>
        <w:ind w:firstLine="422" w:firstLineChars="176"/>
        <w:rPr>
          <w:rFonts w:hint="eastAsia" w:ascii="宋体" w:hAnsi="宋体" w:cs="宋体"/>
          <w:color w:val="000000"/>
          <w:kern w:val="0"/>
          <w:sz w:val="24"/>
        </w:rPr>
      </w:pPr>
      <w:r>
        <w:rPr>
          <w:rFonts w:hint="eastAsia" w:ascii="宋体" w:hAnsi="宋体" w:cs="宋体"/>
          <w:color w:val="000000"/>
          <w:kern w:val="0"/>
          <w:sz w:val="24"/>
        </w:rPr>
        <w:t>（4）确定中标候选人名单，以及根据采购人委托直接确定中标人；</w:t>
      </w:r>
    </w:p>
    <w:p>
      <w:pPr>
        <w:numPr>
          <w:ilvl w:val="0"/>
          <w:numId w:val="9"/>
        </w:numPr>
        <w:spacing w:line="600" w:lineRule="exact"/>
        <w:ind w:firstLine="422"/>
        <w:rPr>
          <w:rFonts w:hint="eastAsia" w:ascii="宋体" w:hAnsi="宋体" w:cs="宋体"/>
          <w:color w:val="000000"/>
          <w:kern w:val="0"/>
          <w:sz w:val="24"/>
        </w:rPr>
      </w:pPr>
      <w:r>
        <w:rPr>
          <w:rFonts w:hint="eastAsia" w:ascii="宋体" w:hAnsi="宋体" w:cs="宋体"/>
          <w:color w:val="000000"/>
          <w:kern w:val="0"/>
          <w:sz w:val="24"/>
        </w:rPr>
        <w:t>向采购人、采购代理机构或者有关部门报告评审中发现的违法行为。</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spacing w:line="600" w:lineRule="exact"/>
        <w:ind w:firstLine="424" w:firstLineChars="177"/>
        <w:rPr>
          <w:rFonts w:hint="eastAsia" w:ascii="宋体" w:hAnsi="宋体" w:cs="宋体"/>
          <w:color w:val="000000"/>
          <w:sz w:val="24"/>
        </w:rPr>
      </w:pPr>
      <w:r>
        <w:rPr>
          <w:rFonts w:hint="eastAsia" w:ascii="宋体" w:hAnsi="宋体" w:cs="宋体"/>
          <w:color w:val="000000"/>
          <w:sz w:val="24"/>
        </w:rPr>
        <w:t>4.1评审原则：</w:t>
      </w:r>
      <w:r>
        <w:rPr>
          <w:rFonts w:hint="eastAsia" w:ascii="宋体" w:hAnsi="宋体" w:cs="宋体"/>
          <w:color w:val="000000"/>
          <w:kern w:val="0"/>
          <w:sz w:val="24"/>
        </w:rPr>
        <w:t>评标委员会</w:t>
      </w:r>
      <w:r>
        <w:rPr>
          <w:rFonts w:hint="eastAsia" w:ascii="宋体" w:hAnsi="宋体" w:cs="宋体"/>
          <w:color w:val="000000"/>
          <w:sz w:val="24"/>
        </w:rPr>
        <w:t>按照客观、公正、审慎、择优的原则，根据招标文件规定的评审程序、评审方法和评审标准进行独立评审。</w:t>
      </w:r>
    </w:p>
    <w:p>
      <w:pPr>
        <w:spacing w:line="600" w:lineRule="exact"/>
        <w:ind w:firstLine="424" w:firstLineChars="177"/>
        <w:rPr>
          <w:rFonts w:hint="eastAsia" w:ascii="宋体" w:hAnsi="宋体" w:cs="宋体"/>
          <w:color w:val="000000"/>
          <w:sz w:val="24"/>
        </w:rPr>
      </w:pPr>
      <w:r>
        <w:rPr>
          <w:rFonts w:hint="eastAsia" w:ascii="宋体" w:hAnsi="宋体" w:cs="宋体"/>
          <w:color w:val="000000"/>
          <w:sz w:val="24"/>
        </w:rPr>
        <w:t>4.2评审工作将依据</w:t>
      </w:r>
      <w:r>
        <w:rPr>
          <w:rFonts w:hint="eastAsia" w:ascii="宋体" w:hAnsi="宋体" w:cs="宋体"/>
          <w:color w:val="000000"/>
          <w:kern w:val="0"/>
          <w:sz w:val="24"/>
        </w:rPr>
        <w:t>招标文件、投标文件及招标文件中事先已列明的内容进行（如现场方案讲解、演示等）。</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spacing w:line="600" w:lineRule="exact"/>
        <w:ind w:firstLine="424" w:firstLineChars="177"/>
        <w:rPr>
          <w:rFonts w:hint="eastAsia" w:ascii="宋体" w:hAnsi="宋体" w:cs="宋体"/>
          <w:bCs/>
          <w:color w:val="000000"/>
          <w:sz w:val="24"/>
        </w:rPr>
      </w:pPr>
      <w:r>
        <w:rPr>
          <w:rFonts w:hint="eastAsia" w:ascii="宋体" w:hAnsi="宋体" w:cs="宋体"/>
          <w:bCs/>
          <w:color w:val="000000"/>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spacing w:line="600" w:lineRule="exact"/>
        <w:ind w:firstLine="424" w:firstLineChars="177"/>
        <w:rPr>
          <w:rFonts w:hint="eastAsia" w:ascii="宋体" w:hAnsi="宋体" w:cs="宋体"/>
          <w:color w:val="000000"/>
          <w:kern w:val="0"/>
          <w:sz w:val="24"/>
        </w:rPr>
      </w:pPr>
      <w:r>
        <w:rPr>
          <w:rFonts w:hint="eastAsia" w:ascii="宋体" w:hAnsi="宋体" w:cs="宋体"/>
          <w:color w:val="000000"/>
          <w:sz w:val="24"/>
        </w:rPr>
        <w:t>6.1评标委员会成员必须严格遵守保密规定，不得泄露评审的有关情况</w:t>
      </w:r>
      <w:r>
        <w:rPr>
          <w:rFonts w:hint="eastAsia" w:ascii="宋体" w:hAnsi="宋体" w:cs="宋体"/>
          <w:color w:val="000000"/>
          <w:kern w:val="0"/>
          <w:sz w:val="24"/>
        </w:rPr>
        <w:t>，任何单位和个人不得干扰、影响评标的正常进行，评标委员会成员不得私下与投标供应商接触，不得出现浙江省政府采购活动现场组织管理办法中规定的其他禁止行为。</w:t>
      </w:r>
    </w:p>
    <w:p>
      <w:pPr>
        <w:pStyle w:val="4"/>
        <w:numPr>
          <w:ilvl w:val="0"/>
          <w:numId w:val="0"/>
        </w:numPr>
        <w:tabs>
          <w:tab w:val="left" w:pos="1110"/>
        </w:tabs>
        <w:spacing w:line="600" w:lineRule="exact"/>
        <w:rPr>
          <w:rFonts w:hint="eastAsia" w:ascii="宋体" w:hAnsi="宋体" w:eastAsia="宋体" w:cs="宋体"/>
          <w:color w:val="000000"/>
          <w:sz w:val="24"/>
          <w:szCs w:val="24"/>
        </w:rPr>
      </w:pPr>
      <w:bookmarkStart w:id="62" w:name="_Toc24550043"/>
      <w:bookmarkStart w:id="63" w:name="_Toc33194395"/>
      <w:r>
        <w:rPr>
          <w:rFonts w:hint="eastAsia" w:ascii="宋体" w:hAnsi="宋体" w:eastAsia="宋体" w:cs="宋体"/>
          <w:color w:val="000000"/>
          <w:sz w:val="24"/>
          <w:szCs w:val="24"/>
        </w:rPr>
        <w:t>（七）</w:t>
      </w:r>
      <w:bookmarkEnd w:id="62"/>
      <w:bookmarkStart w:id="64" w:name="_Toc24550044"/>
      <w:r>
        <w:rPr>
          <w:rFonts w:hint="eastAsia" w:ascii="宋体" w:hAnsi="宋体" w:eastAsia="宋体" w:cs="宋体"/>
          <w:color w:val="000000"/>
          <w:sz w:val="24"/>
          <w:szCs w:val="24"/>
        </w:rPr>
        <w:t>评审流程及内容</w:t>
      </w:r>
      <w:bookmarkEnd w:id="63"/>
      <w:bookmarkEnd w:id="64"/>
    </w:p>
    <w:p>
      <w:pPr>
        <w:spacing w:line="600" w:lineRule="exact"/>
        <w:ind w:firstLine="424" w:firstLineChars="176"/>
        <w:rPr>
          <w:rFonts w:hint="eastAsia" w:ascii="宋体" w:hAnsi="宋体" w:cs="宋体"/>
          <w:color w:val="000000"/>
          <w:sz w:val="24"/>
        </w:rPr>
      </w:pPr>
      <w:r>
        <w:rPr>
          <w:rFonts w:hint="eastAsia" w:ascii="宋体" w:hAnsi="宋体" w:cs="宋体"/>
          <w:b/>
          <w:color w:val="000000"/>
          <w:kern w:val="0"/>
          <w:sz w:val="24"/>
        </w:rPr>
        <w:t>本项目具体的评审事务由评标委员会负责，评审流程及内容如下：</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7.1 评审前准备</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7.1.1由评审专家推选评审小组组长，采购人代表不得担任评审小组组长。</w:t>
      </w:r>
    </w:p>
    <w:p>
      <w:pPr>
        <w:spacing w:line="600" w:lineRule="exact"/>
        <w:ind w:firstLine="424" w:firstLineChars="177"/>
        <w:rPr>
          <w:rFonts w:hint="eastAsia" w:ascii="宋体" w:hAnsi="宋体" w:cs="宋体"/>
          <w:b/>
          <w:color w:val="000000"/>
          <w:kern w:val="0"/>
          <w:sz w:val="24"/>
        </w:rPr>
      </w:pPr>
      <w:r>
        <w:rPr>
          <w:rFonts w:hint="eastAsia" w:ascii="宋体" w:hAnsi="宋体" w:cs="宋体"/>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spacing w:line="600" w:lineRule="exact"/>
        <w:ind w:firstLine="426" w:firstLineChars="177"/>
        <w:rPr>
          <w:rFonts w:hint="eastAsia" w:ascii="宋体" w:hAnsi="宋体" w:cs="宋体"/>
          <w:b/>
          <w:color w:val="000000"/>
          <w:kern w:val="0"/>
          <w:sz w:val="24"/>
        </w:rPr>
      </w:pPr>
      <w:r>
        <w:rPr>
          <w:rFonts w:hint="eastAsia" w:ascii="宋体" w:hAnsi="宋体" w:cs="宋体"/>
          <w:b/>
          <w:color w:val="000000"/>
          <w:kern w:val="0"/>
          <w:sz w:val="24"/>
        </w:rPr>
        <w:t>对所有通过资格审查的投标供应商的投标文件进行初步审查，审查、评价投标文件是否符合招标文件的商务、技术、服务等实质性要求。</w:t>
      </w:r>
    </w:p>
    <w:p>
      <w:pPr>
        <w:spacing w:line="600" w:lineRule="exact"/>
        <w:ind w:firstLine="424" w:firstLineChars="177"/>
        <w:rPr>
          <w:rFonts w:hint="eastAsia" w:ascii="宋体" w:hAnsi="宋体" w:cs="宋体"/>
          <w:color w:val="000000"/>
          <w:sz w:val="24"/>
        </w:rPr>
      </w:pPr>
      <w:r>
        <w:rPr>
          <w:rFonts w:hint="eastAsia" w:ascii="宋体" w:hAnsi="宋体" w:cs="宋体"/>
          <w:color w:val="000000"/>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5"/>
        <w:numPr>
          <w:ilvl w:val="2"/>
          <w:numId w:val="0"/>
        </w:numPr>
        <w:tabs>
          <w:tab w:val="clear" w:pos="720"/>
        </w:tabs>
        <w:spacing w:before="0" w:after="0" w:line="600" w:lineRule="exact"/>
        <w:jc w:val="both"/>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spacing w:line="600" w:lineRule="exact"/>
        <w:ind w:firstLine="424" w:firstLineChars="177"/>
        <w:rPr>
          <w:rFonts w:hint="eastAsia" w:ascii="宋体" w:hAnsi="宋体" w:cs="宋体"/>
          <w:color w:val="000000"/>
          <w:kern w:val="0"/>
          <w:sz w:val="24"/>
        </w:rPr>
      </w:pPr>
      <w:r>
        <w:rPr>
          <w:rFonts w:hint="eastAsia" w:ascii="宋体" w:hAnsi="宋体" w:cs="宋体"/>
          <w:color w:val="000000"/>
          <w:kern w:val="0"/>
          <w:sz w:val="24"/>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600" w:lineRule="exact"/>
        <w:ind w:firstLine="424" w:firstLineChars="177"/>
        <w:rPr>
          <w:rFonts w:hint="eastAsia" w:ascii="宋体" w:hAnsi="宋体" w:cs="宋体"/>
          <w:color w:val="000000"/>
          <w:kern w:val="0"/>
          <w:sz w:val="24"/>
        </w:rPr>
      </w:pPr>
      <w:r>
        <w:rPr>
          <w:rFonts w:hint="eastAsia" w:ascii="宋体" w:hAnsi="宋体" w:cs="宋体"/>
          <w:color w:val="000000"/>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7.4 投标文件的错误修正</w:t>
      </w:r>
    </w:p>
    <w:p>
      <w:pPr>
        <w:spacing w:line="600" w:lineRule="exact"/>
        <w:ind w:firstLine="422" w:firstLineChars="175"/>
        <w:rPr>
          <w:rFonts w:hint="eastAsia" w:ascii="宋体" w:hAnsi="宋体" w:cs="宋体"/>
          <w:b/>
          <w:color w:val="000000"/>
          <w:kern w:val="0"/>
          <w:sz w:val="24"/>
        </w:rPr>
      </w:pPr>
      <w:r>
        <w:rPr>
          <w:rFonts w:hint="eastAsia" w:ascii="宋体" w:hAnsi="宋体" w:cs="宋体"/>
          <w:b/>
          <w:color w:val="000000"/>
          <w:kern w:val="0"/>
          <w:sz w:val="24"/>
        </w:rPr>
        <w:t>7.4.1《投标文件》如果出现计算或表达上的错误，修正错误的原则如下：</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（1）投标文件中开标一览表（报价表）内容与投标文件中相应内容不一致的，以开标一览表（报价表）为准。</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（2）《投标文件》的大写金额和小写金额不一致的，以大写金额为准；</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（3）单价金额小数点或者百分比有明显错位的，应以开标一览表（报价表）的总价为准，并修改单价；</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（4）总价金额与按单价汇总金额不一致的，以单价金额计算结果为准。</w:t>
      </w:r>
    </w:p>
    <w:p>
      <w:pPr>
        <w:spacing w:line="600" w:lineRule="exact"/>
        <w:ind w:firstLine="420" w:firstLineChars="175"/>
        <w:rPr>
          <w:rFonts w:hint="eastAsia" w:ascii="宋体" w:hAnsi="宋体" w:cs="宋体"/>
          <w:color w:val="000000"/>
          <w:kern w:val="0"/>
          <w:sz w:val="24"/>
        </w:rPr>
      </w:pPr>
      <w:r>
        <w:rPr>
          <w:rFonts w:hint="eastAsia" w:ascii="宋体" w:hAnsi="宋体" w:cs="宋体"/>
          <w:color w:val="000000"/>
          <w:kern w:val="0"/>
          <w:sz w:val="24"/>
        </w:rPr>
        <w:t>7.4.2对不同文字文本《投标文件》的解释发生异议的，以中文文本为准。</w:t>
      </w:r>
    </w:p>
    <w:p>
      <w:pPr>
        <w:pStyle w:val="344"/>
        <w:autoSpaceDE/>
        <w:adjustRightInd/>
        <w:snapToGrid w:val="0"/>
        <w:spacing w:before="0" w:line="600" w:lineRule="exact"/>
        <w:ind w:left="0" w:firstLine="0"/>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600" w:lineRule="exact"/>
        <w:ind w:firstLine="424" w:firstLineChars="176"/>
        <w:rPr>
          <w:rFonts w:hint="eastAsia" w:ascii="宋体" w:hAnsi="宋体" w:cs="宋体"/>
          <w:b/>
          <w:color w:val="000000"/>
          <w:kern w:val="0"/>
          <w:sz w:val="24"/>
        </w:rPr>
      </w:pPr>
      <w:bookmarkStart w:id="65" w:name="_Hlk33211013"/>
      <w:r>
        <w:rPr>
          <w:rFonts w:hint="eastAsia" w:ascii="宋体" w:hAnsi="宋体" w:cs="宋体"/>
          <w:b/>
          <w:color w:val="000000"/>
          <w:kern w:val="0"/>
          <w:sz w:val="24"/>
        </w:rPr>
        <w:t>8.1商务、技术文件符合性审查中，存在下列情形之一的，经评标委员会认定后作无效标处理：</w:t>
      </w:r>
    </w:p>
    <w:p>
      <w:pPr>
        <w:pStyle w:val="4"/>
        <w:numPr>
          <w:ilvl w:val="0"/>
          <w:numId w:val="0"/>
        </w:numPr>
        <w:tabs>
          <w:tab w:val="left" w:pos="1110"/>
        </w:tabs>
        <w:spacing w:line="600" w:lineRule="exact"/>
        <w:ind w:left="106" w:firstLine="241" w:firstLineChars="100"/>
        <w:jc w:val="left"/>
        <w:rPr>
          <w:rFonts w:hint="eastAsia" w:ascii="宋体" w:hAnsi="宋体" w:eastAsia="宋体" w:cs="宋体"/>
          <w:bCs w:val="0"/>
          <w:sz w:val="24"/>
          <w:szCs w:val="24"/>
        </w:rPr>
      </w:pPr>
      <w:bookmarkStart w:id="66" w:name="_Toc33194396"/>
      <w:r>
        <w:rPr>
          <w:rFonts w:hint="eastAsia" w:ascii="宋体" w:hAnsi="宋体" w:eastAsia="宋体" w:cs="宋体"/>
          <w:bCs w:val="0"/>
          <w:color w:val="000000"/>
          <w:sz w:val="24"/>
          <w:szCs w:val="24"/>
        </w:rPr>
        <w:t>（1）投标文件未有效授权，法定代表人授权委托书等填写不完整或有涂改的；</w:t>
      </w:r>
      <w:bookmarkEnd w:id="66"/>
    </w:p>
    <w:p>
      <w:pPr>
        <w:spacing w:line="600" w:lineRule="exact"/>
        <w:ind w:firstLine="426" w:firstLineChars="177"/>
        <w:rPr>
          <w:rFonts w:hint="eastAsia" w:ascii="宋体" w:hAnsi="宋体" w:cs="宋体"/>
          <w:b/>
          <w:sz w:val="24"/>
        </w:rPr>
      </w:pPr>
      <w:r>
        <w:rPr>
          <w:rFonts w:hint="eastAsia" w:ascii="宋体" w:hAnsi="宋体" w:cs="宋体"/>
          <w:b/>
          <w:sz w:val="24"/>
        </w:rPr>
        <w:t>（2）投标文件没有对本招标文件作出实质性响应的，或不满足（不响应）本招标文件中标注“▲”的实质性要求条款的，或存在招标文件中明确规定的其他无效标情形的；</w:t>
      </w:r>
    </w:p>
    <w:p>
      <w:pPr>
        <w:spacing w:line="600" w:lineRule="exact"/>
        <w:ind w:firstLine="426" w:firstLineChars="177"/>
        <w:rPr>
          <w:rFonts w:hint="eastAsia" w:ascii="宋体" w:hAnsi="宋体" w:cs="宋体"/>
          <w:b/>
          <w:sz w:val="24"/>
        </w:rPr>
      </w:pPr>
      <w:r>
        <w:rPr>
          <w:rFonts w:hint="eastAsia" w:ascii="宋体" w:hAnsi="宋体" w:cs="宋体"/>
          <w:b/>
          <w:sz w:val="24"/>
        </w:rPr>
        <w:t>（3）投标文件存在一个或一个以上备选（替代）投标方案的；</w:t>
      </w:r>
    </w:p>
    <w:p>
      <w:pPr>
        <w:spacing w:line="600" w:lineRule="exact"/>
        <w:ind w:firstLine="426" w:firstLineChars="177"/>
        <w:rPr>
          <w:rFonts w:hint="eastAsia" w:ascii="宋体" w:hAnsi="宋体" w:cs="宋体"/>
          <w:b/>
          <w:sz w:val="24"/>
        </w:rPr>
      </w:pPr>
      <w:r>
        <w:rPr>
          <w:rFonts w:hint="eastAsia" w:ascii="宋体" w:hAnsi="宋体" w:cs="宋体"/>
          <w:b/>
          <w:sz w:val="24"/>
        </w:rPr>
        <w:t>（4）仅提交“备份投标文件”的；</w:t>
      </w:r>
    </w:p>
    <w:p>
      <w:pPr>
        <w:spacing w:line="600" w:lineRule="exact"/>
        <w:ind w:firstLine="426" w:firstLineChars="177"/>
        <w:rPr>
          <w:rFonts w:hint="eastAsia" w:ascii="宋体" w:hAnsi="宋体" w:cs="宋体"/>
          <w:b/>
          <w:sz w:val="24"/>
        </w:rPr>
      </w:pPr>
      <w:r>
        <w:rPr>
          <w:rFonts w:hint="eastAsia" w:ascii="宋体" w:hAnsi="宋体" w:cs="宋体"/>
          <w:b/>
          <w:sz w:val="24"/>
        </w:rPr>
        <w:t>（5）文件组成内容不齐全，本招标文件规定必须提供而未提供的（属于资格审查范围的除外）；</w:t>
      </w:r>
    </w:p>
    <w:p>
      <w:pPr>
        <w:spacing w:line="600" w:lineRule="exact"/>
        <w:ind w:firstLine="426" w:firstLineChars="177"/>
        <w:rPr>
          <w:rFonts w:hint="eastAsia" w:ascii="宋体" w:hAnsi="宋体" w:cs="宋体"/>
          <w:b/>
          <w:sz w:val="24"/>
        </w:rPr>
      </w:pPr>
      <w:r>
        <w:rPr>
          <w:rFonts w:hint="eastAsia" w:ascii="宋体" w:hAnsi="宋体" w:cs="宋体"/>
          <w:b/>
          <w:sz w:val="24"/>
        </w:rPr>
        <w:t>（6）投标文件标注的响应或偏离情况与事实不符，或提供了虚假材料的；</w:t>
      </w:r>
    </w:p>
    <w:p>
      <w:pPr>
        <w:spacing w:line="600" w:lineRule="exact"/>
        <w:ind w:firstLine="426" w:firstLineChars="177"/>
        <w:rPr>
          <w:rFonts w:hint="eastAsia" w:ascii="宋体" w:hAnsi="宋体" w:cs="宋体"/>
          <w:b/>
          <w:sz w:val="24"/>
        </w:rPr>
      </w:pPr>
      <w:r>
        <w:rPr>
          <w:rFonts w:hint="eastAsia" w:ascii="宋体" w:hAnsi="宋体" w:cs="宋体"/>
          <w:b/>
          <w:sz w:val="24"/>
        </w:rPr>
        <w:t>（7）不响应或擅自改变本招标文件要求或投标文件有采购人不能接受的附加条件的；</w:t>
      </w:r>
    </w:p>
    <w:p>
      <w:pPr>
        <w:spacing w:line="600" w:lineRule="exact"/>
        <w:ind w:firstLine="426" w:firstLineChars="177"/>
        <w:rPr>
          <w:rFonts w:hint="eastAsia" w:ascii="宋体" w:hAnsi="宋体" w:cs="宋体"/>
          <w:b/>
          <w:sz w:val="24"/>
        </w:rPr>
      </w:pPr>
      <w:r>
        <w:rPr>
          <w:rFonts w:hint="eastAsia" w:ascii="宋体" w:hAnsi="宋体" w:cs="宋体"/>
          <w:b/>
          <w:sz w:val="24"/>
        </w:rPr>
        <w:t>（8）参加同一合同项下政府采购活动的不同供应商之间存在利害关系并且存在影响政府采购公平竞争行为的；</w:t>
      </w:r>
    </w:p>
    <w:p>
      <w:pPr>
        <w:pStyle w:val="4"/>
        <w:numPr>
          <w:ilvl w:val="0"/>
          <w:numId w:val="0"/>
        </w:numPr>
        <w:tabs>
          <w:tab w:val="left" w:pos="1110"/>
        </w:tabs>
        <w:spacing w:line="600" w:lineRule="exact"/>
        <w:ind w:left="560" w:firstLine="5" w:firstLineChars="2"/>
        <w:rPr>
          <w:rFonts w:hint="eastAsia" w:ascii="宋体" w:hAnsi="宋体" w:eastAsia="宋体" w:cs="宋体"/>
          <w:bCs w:val="0"/>
          <w:color w:val="000000"/>
          <w:sz w:val="24"/>
          <w:szCs w:val="24"/>
        </w:rPr>
      </w:pPr>
      <w:bookmarkStart w:id="67" w:name="_Toc33194397"/>
      <w:r>
        <w:rPr>
          <w:rFonts w:hint="eastAsia" w:ascii="宋体" w:hAnsi="宋体" w:eastAsia="宋体" w:cs="宋体"/>
          <w:bCs w:val="0"/>
          <w:sz w:val="24"/>
          <w:szCs w:val="24"/>
        </w:rPr>
        <w:t>（9）</w:t>
      </w:r>
      <w:r>
        <w:rPr>
          <w:rFonts w:hint="eastAsia" w:ascii="宋体" w:hAnsi="宋体" w:eastAsia="宋体" w:cs="宋体"/>
          <w:bCs w:val="0"/>
          <w:color w:val="000000"/>
          <w:sz w:val="24"/>
          <w:szCs w:val="24"/>
        </w:rPr>
        <w:t>招标人拟采购的产品如属于品目清单范围内的强制采购品目的，投标人未</w:t>
      </w:r>
      <w:bookmarkEnd w:id="67"/>
    </w:p>
    <w:p>
      <w:pPr>
        <w:pStyle w:val="4"/>
        <w:numPr>
          <w:ilvl w:val="0"/>
          <w:numId w:val="0"/>
        </w:numPr>
        <w:tabs>
          <w:tab w:val="left" w:pos="1110"/>
        </w:tabs>
        <w:spacing w:line="600" w:lineRule="exact"/>
        <w:ind w:left="106"/>
        <w:rPr>
          <w:rFonts w:hint="eastAsia" w:ascii="宋体" w:hAnsi="宋体" w:eastAsia="宋体" w:cs="宋体"/>
          <w:bCs w:val="0"/>
          <w:sz w:val="24"/>
          <w:szCs w:val="24"/>
        </w:rPr>
      </w:pPr>
      <w:bookmarkStart w:id="68" w:name="_Toc33194398"/>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68"/>
    </w:p>
    <w:p>
      <w:pPr>
        <w:spacing w:line="600" w:lineRule="exact"/>
        <w:ind w:firstLine="426" w:firstLineChars="177"/>
        <w:rPr>
          <w:rFonts w:hint="eastAsia" w:ascii="宋体" w:hAnsi="宋体" w:cs="宋体"/>
          <w:b/>
          <w:sz w:val="24"/>
        </w:rPr>
      </w:pPr>
      <w:r>
        <w:rPr>
          <w:rFonts w:hint="eastAsia" w:ascii="宋体" w:hAnsi="宋体" w:cs="宋体"/>
          <w:b/>
          <w:sz w:val="24"/>
        </w:rPr>
        <w:t>（10）违反国家或政府部门相关法律、法规、文件规定的。</w:t>
      </w:r>
    </w:p>
    <w:bookmarkEnd w:id="65"/>
    <w:p>
      <w:pPr>
        <w:pStyle w:val="344"/>
        <w:autoSpaceDE/>
        <w:adjustRightInd/>
        <w:snapToGrid w:val="0"/>
        <w:spacing w:before="0" w:line="600" w:lineRule="exact"/>
        <w:ind w:left="0" w:firstLine="0"/>
        <w:rPr>
          <w:rFonts w:hint="eastAsia" w:ascii="宋体" w:hAnsi="宋体" w:eastAsia="宋体" w:cs="宋体"/>
          <w:b/>
          <w:color w:val="000000"/>
          <w:kern w:val="2"/>
          <w:sz w:val="24"/>
          <w:szCs w:val="24"/>
        </w:rPr>
      </w:pPr>
    </w:p>
    <w:p>
      <w:pPr>
        <w:spacing w:line="600" w:lineRule="exact"/>
        <w:ind w:firstLine="426" w:firstLineChars="177"/>
        <w:rPr>
          <w:rFonts w:hint="eastAsia" w:ascii="宋体" w:hAnsi="宋体" w:cs="宋体"/>
          <w:b/>
          <w:color w:val="000000"/>
          <w:kern w:val="0"/>
          <w:sz w:val="24"/>
        </w:rPr>
      </w:pPr>
      <w:r>
        <w:rPr>
          <w:rFonts w:hint="eastAsia" w:ascii="宋体" w:hAnsi="宋体" w:cs="宋体"/>
          <w:b/>
          <w:color w:val="000000"/>
          <w:kern w:val="0"/>
          <w:sz w:val="24"/>
        </w:rPr>
        <w:t>8.2报价文件符合性审查中，存在下列情形之一的，经评标委员会认定后作无效标处理：</w:t>
      </w:r>
    </w:p>
    <w:p>
      <w:pPr>
        <w:spacing w:line="600" w:lineRule="exact"/>
        <w:ind w:firstLine="426" w:firstLineChars="177"/>
        <w:rPr>
          <w:rFonts w:hint="eastAsia" w:ascii="宋体" w:hAnsi="宋体" w:cs="宋体"/>
          <w:b/>
          <w:sz w:val="24"/>
        </w:rPr>
      </w:pPr>
      <w:r>
        <w:rPr>
          <w:rFonts w:hint="eastAsia" w:ascii="宋体" w:hAnsi="宋体" w:cs="宋体"/>
          <w:b/>
          <w:sz w:val="24"/>
        </w:rPr>
        <w:t>（1）投标文件没有对本招标文件作出实质性响应的，或不满足（不响应）本招标文件中标注“▲”的实质性要求条款的，或存在招标文件中明确规定的其他无效标情形的；</w:t>
      </w:r>
    </w:p>
    <w:p>
      <w:pPr>
        <w:spacing w:line="600" w:lineRule="exact"/>
        <w:ind w:firstLine="426" w:firstLineChars="177"/>
        <w:rPr>
          <w:rFonts w:hint="eastAsia" w:ascii="宋体" w:hAnsi="宋体" w:cs="宋体"/>
          <w:b/>
          <w:sz w:val="24"/>
        </w:rPr>
      </w:pPr>
      <w:r>
        <w:rPr>
          <w:rFonts w:hint="eastAsia" w:ascii="宋体" w:hAnsi="宋体" w:cs="宋体"/>
          <w:b/>
          <w:sz w:val="24"/>
        </w:rPr>
        <w:t>（2）投标文件存在一个或一个以上备选（替代）投标方案的；</w:t>
      </w:r>
    </w:p>
    <w:p>
      <w:pPr>
        <w:spacing w:line="600" w:lineRule="exact"/>
        <w:ind w:firstLine="426" w:firstLineChars="177"/>
        <w:rPr>
          <w:rFonts w:hint="eastAsia" w:ascii="宋体" w:hAnsi="宋体" w:cs="宋体"/>
          <w:b/>
          <w:sz w:val="24"/>
        </w:rPr>
      </w:pPr>
      <w:r>
        <w:rPr>
          <w:rFonts w:hint="eastAsia" w:ascii="宋体" w:hAnsi="宋体" w:cs="宋体"/>
          <w:b/>
          <w:sz w:val="24"/>
        </w:rPr>
        <w:t>（3）未按照招标文件标明的币种报价的，或者投标报价涵盖的内容不符合招标文件要求的；</w:t>
      </w:r>
    </w:p>
    <w:p>
      <w:pPr>
        <w:spacing w:line="600" w:lineRule="exact"/>
        <w:ind w:firstLine="426" w:firstLineChars="177"/>
        <w:rPr>
          <w:rFonts w:hint="eastAsia" w:ascii="宋体" w:hAnsi="宋体" w:cs="宋体"/>
          <w:b/>
          <w:sz w:val="24"/>
        </w:rPr>
      </w:pPr>
      <w:r>
        <w:rPr>
          <w:rFonts w:hint="eastAsia" w:ascii="宋体" w:hAnsi="宋体" w:cs="宋体"/>
          <w:b/>
          <w:sz w:val="24"/>
        </w:rPr>
        <w:t>（4）《开标一览表》内容与《投标报价明细表》内容不一致且拒不接受修正的；</w:t>
      </w:r>
    </w:p>
    <w:p>
      <w:pPr>
        <w:spacing w:line="600" w:lineRule="exact"/>
        <w:ind w:firstLine="426" w:firstLineChars="177"/>
        <w:rPr>
          <w:rFonts w:hint="eastAsia" w:ascii="宋体" w:hAnsi="宋体" w:cs="宋体"/>
          <w:b/>
          <w:sz w:val="24"/>
        </w:rPr>
      </w:pPr>
      <w:r>
        <w:rPr>
          <w:rFonts w:hint="eastAsia" w:ascii="宋体" w:hAnsi="宋体" w:cs="宋体"/>
          <w:b/>
          <w:sz w:val="24"/>
        </w:rPr>
        <w:t>（5）投标报价具有选择性，唱标价格与《投标文件》承诺的优惠（折扣）后价格不一致的；</w:t>
      </w:r>
    </w:p>
    <w:p>
      <w:pPr>
        <w:spacing w:line="600" w:lineRule="exact"/>
        <w:ind w:firstLine="426" w:firstLineChars="177"/>
        <w:rPr>
          <w:rFonts w:hint="eastAsia" w:ascii="宋体" w:hAnsi="宋体" w:cs="宋体"/>
          <w:b/>
          <w:sz w:val="24"/>
        </w:rPr>
      </w:pPr>
      <w:r>
        <w:rPr>
          <w:rFonts w:hint="eastAsia" w:ascii="宋体" w:hAnsi="宋体" w:cs="宋体"/>
          <w:b/>
          <w:sz w:val="24"/>
        </w:rPr>
        <w:t>（6）投标报价超过采购预算（或最高限价）的；</w:t>
      </w:r>
    </w:p>
    <w:p>
      <w:pPr>
        <w:spacing w:line="600" w:lineRule="exact"/>
        <w:ind w:firstLine="426" w:firstLineChars="177"/>
        <w:rPr>
          <w:rFonts w:hint="eastAsia" w:ascii="宋体" w:hAnsi="宋体" w:cs="宋体"/>
          <w:b/>
          <w:sz w:val="24"/>
        </w:rPr>
      </w:pPr>
      <w:r>
        <w:rPr>
          <w:rFonts w:hint="eastAsia" w:ascii="宋体" w:hAnsi="宋体" w:cs="宋体"/>
          <w:b/>
          <w:sz w:val="24"/>
        </w:rPr>
        <w:t>（7）仅提交“备份投标文件”的；</w:t>
      </w:r>
    </w:p>
    <w:p>
      <w:pPr>
        <w:spacing w:line="600" w:lineRule="exact"/>
        <w:ind w:firstLine="426" w:firstLineChars="177"/>
        <w:rPr>
          <w:rFonts w:hint="eastAsia" w:ascii="宋体" w:hAnsi="宋体" w:cs="宋体"/>
          <w:b/>
          <w:sz w:val="24"/>
        </w:rPr>
      </w:pPr>
      <w:r>
        <w:rPr>
          <w:rFonts w:hint="eastAsia" w:ascii="宋体" w:hAnsi="宋体" w:cs="宋体"/>
          <w:b/>
          <w:sz w:val="24"/>
        </w:rPr>
        <w:t>（8）投标文件组成内容不齐全，本招标文件规定必须提供而未提供的（属于资格审查范围的除外）；</w:t>
      </w:r>
    </w:p>
    <w:p>
      <w:pPr>
        <w:spacing w:line="600" w:lineRule="exact"/>
        <w:ind w:firstLine="426" w:firstLineChars="177"/>
        <w:rPr>
          <w:rFonts w:hint="eastAsia" w:ascii="宋体" w:hAnsi="宋体" w:cs="宋体"/>
          <w:b/>
          <w:sz w:val="24"/>
        </w:rPr>
      </w:pPr>
      <w:r>
        <w:rPr>
          <w:rFonts w:hint="eastAsia" w:ascii="宋体" w:hAnsi="宋体" w:cs="宋体"/>
          <w:b/>
          <w:sz w:val="24"/>
        </w:rPr>
        <w:t>（9）投标文件标注的响应或偏离情况与事实不符，或提供了虚假材料的；</w:t>
      </w:r>
    </w:p>
    <w:p>
      <w:pPr>
        <w:spacing w:line="600" w:lineRule="exact"/>
        <w:ind w:firstLine="426" w:firstLineChars="177"/>
        <w:rPr>
          <w:rFonts w:hint="eastAsia" w:ascii="宋体" w:hAnsi="宋体" w:cs="宋体"/>
          <w:b/>
          <w:sz w:val="24"/>
        </w:rPr>
      </w:pPr>
      <w:r>
        <w:rPr>
          <w:rFonts w:hint="eastAsia" w:ascii="宋体" w:hAnsi="宋体" w:cs="宋体"/>
          <w:b/>
          <w:sz w:val="24"/>
        </w:rPr>
        <w:t>（10）不响应或擅自改变本招标文件要求或投标文件有采购人不能接受的附加条件的；</w:t>
      </w:r>
    </w:p>
    <w:p>
      <w:pPr>
        <w:shd w:val="clear" w:color="auto" w:fill="FFFFFF"/>
        <w:autoSpaceDE w:val="0"/>
        <w:autoSpaceDN w:val="0"/>
        <w:snapToGrid w:val="0"/>
        <w:spacing w:line="600" w:lineRule="exact"/>
        <w:ind w:firstLine="482" w:firstLineChars="200"/>
        <w:rPr>
          <w:rFonts w:hint="eastAsia" w:ascii="宋体" w:hAnsi="宋体" w:cs="宋体"/>
          <w:b/>
          <w:color w:val="000000"/>
          <w:sz w:val="24"/>
        </w:rPr>
      </w:pPr>
      <w:r>
        <w:rPr>
          <w:rFonts w:hint="eastAsia" w:ascii="宋体" w:hAnsi="宋体" w:cs="宋体"/>
          <w:b/>
          <w:sz w:val="24"/>
        </w:rPr>
        <w:t>（11）</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600" w:lineRule="exact"/>
        <w:ind w:firstLine="426" w:firstLineChars="177"/>
        <w:rPr>
          <w:rFonts w:hint="eastAsia" w:ascii="宋体" w:hAnsi="宋体" w:cs="宋体"/>
          <w:b/>
          <w:color w:val="000000"/>
          <w:kern w:val="0"/>
          <w:sz w:val="24"/>
        </w:rPr>
      </w:pPr>
      <w:r>
        <w:rPr>
          <w:rFonts w:hint="eastAsia" w:ascii="宋体" w:hAnsi="宋体" w:cs="宋体"/>
          <w:b/>
          <w:sz w:val="24"/>
        </w:rPr>
        <w:t>（12）违反国家或政府部门相关法律、法规、文件规定的。</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spacing w:line="600" w:lineRule="exact"/>
        <w:ind w:firstLine="424" w:firstLineChars="177"/>
        <w:rPr>
          <w:rFonts w:hint="eastAsia" w:ascii="宋体" w:hAnsi="宋体" w:cs="宋体"/>
          <w:color w:val="000000"/>
          <w:kern w:val="0"/>
          <w:sz w:val="24"/>
        </w:rPr>
      </w:pPr>
      <w:r>
        <w:rPr>
          <w:rFonts w:hint="eastAsia" w:ascii="宋体" w:hAnsi="宋体" w:cs="宋体"/>
          <w:color w:val="000000"/>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pPr>
        <w:spacing w:line="600" w:lineRule="exact"/>
        <w:ind w:firstLine="424" w:firstLineChars="177"/>
        <w:rPr>
          <w:rFonts w:hint="eastAsia" w:ascii="宋体" w:hAnsi="宋体" w:cs="宋体"/>
          <w:color w:val="000000"/>
          <w:kern w:val="0"/>
          <w:sz w:val="24"/>
        </w:rPr>
      </w:pPr>
      <w:r>
        <w:rPr>
          <w:rFonts w:hint="eastAsia" w:ascii="宋体" w:hAnsi="宋体" w:cs="宋体"/>
          <w:color w:val="000000"/>
          <w:kern w:val="0"/>
          <w:sz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（十）修改评审结果</w:t>
      </w:r>
    </w:p>
    <w:p>
      <w:pPr>
        <w:spacing w:line="600" w:lineRule="exact"/>
        <w:ind w:firstLine="487" w:firstLineChars="202"/>
        <w:rPr>
          <w:rFonts w:hint="eastAsia" w:ascii="宋体" w:hAnsi="宋体" w:cs="宋体"/>
          <w:b/>
          <w:color w:val="000000"/>
          <w:sz w:val="24"/>
        </w:rPr>
      </w:pPr>
      <w:r>
        <w:rPr>
          <w:rFonts w:hint="eastAsia" w:ascii="宋体" w:hAnsi="宋体" w:cs="宋体"/>
          <w:b/>
          <w:color w:val="000000"/>
          <w:sz w:val="24"/>
        </w:rPr>
        <w:t>10.1评标结果汇总完成后，除下列情形外，任何人不得修改评标结果：</w:t>
      </w:r>
    </w:p>
    <w:p>
      <w:pPr>
        <w:spacing w:line="600" w:lineRule="exact"/>
        <w:ind w:firstLine="484" w:firstLineChars="202"/>
        <w:rPr>
          <w:rFonts w:hint="eastAsia" w:ascii="宋体" w:hAnsi="宋体" w:cs="宋体"/>
          <w:color w:val="000000"/>
          <w:sz w:val="24"/>
        </w:rPr>
      </w:pPr>
      <w:r>
        <w:rPr>
          <w:rFonts w:hint="eastAsia" w:ascii="宋体" w:hAnsi="宋体" w:cs="宋体"/>
          <w:color w:val="000000"/>
          <w:sz w:val="24"/>
        </w:rPr>
        <w:t>（1）分值汇总计算错误的；</w:t>
      </w:r>
    </w:p>
    <w:p>
      <w:pPr>
        <w:spacing w:line="600" w:lineRule="exact"/>
        <w:ind w:firstLine="484" w:firstLineChars="202"/>
        <w:rPr>
          <w:rFonts w:hint="eastAsia" w:ascii="宋体" w:hAnsi="宋体" w:cs="宋体"/>
          <w:color w:val="000000"/>
          <w:sz w:val="24"/>
        </w:rPr>
      </w:pPr>
      <w:r>
        <w:rPr>
          <w:rFonts w:hint="eastAsia" w:ascii="宋体" w:hAnsi="宋体" w:cs="宋体"/>
          <w:color w:val="000000"/>
          <w:sz w:val="24"/>
        </w:rPr>
        <w:t>（2）分项评分超出评分标准范围的；</w:t>
      </w:r>
    </w:p>
    <w:p>
      <w:pPr>
        <w:spacing w:line="600" w:lineRule="exact"/>
        <w:ind w:firstLine="484" w:firstLineChars="202"/>
        <w:rPr>
          <w:rFonts w:hint="eastAsia" w:ascii="宋体" w:hAnsi="宋体" w:cs="宋体"/>
          <w:color w:val="000000"/>
          <w:sz w:val="24"/>
        </w:rPr>
      </w:pPr>
      <w:r>
        <w:rPr>
          <w:rFonts w:hint="eastAsia" w:ascii="宋体" w:hAnsi="宋体" w:cs="宋体"/>
          <w:color w:val="000000"/>
          <w:sz w:val="24"/>
        </w:rPr>
        <w:t>（3）评标委员会成员对客观评审因素评分不一致的；</w:t>
      </w:r>
    </w:p>
    <w:p>
      <w:pPr>
        <w:spacing w:line="600" w:lineRule="exact"/>
        <w:ind w:firstLine="484" w:firstLineChars="202"/>
        <w:rPr>
          <w:rFonts w:hint="eastAsia" w:ascii="宋体" w:hAnsi="宋体" w:cs="宋体"/>
          <w:color w:val="000000"/>
          <w:sz w:val="24"/>
        </w:rPr>
      </w:pPr>
      <w:r>
        <w:rPr>
          <w:rFonts w:hint="eastAsia" w:ascii="宋体" w:hAnsi="宋体" w:cs="宋体"/>
          <w:color w:val="000000"/>
          <w:sz w:val="24"/>
        </w:rPr>
        <w:t>（4）经评标委员会认定评分畸高、畸低的。</w:t>
      </w:r>
    </w:p>
    <w:p>
      <w:pPr>
        <w:spacing w:line="600" w:lineRule="exact"/>
        <w:ind w:firstLine="487" w:firstLineChars="202"/>
        <w:rPr>
          <w:rFonts w:hint="eastAsia" w:ascii="宋体" w:hAnsi="宋体" w:cs="宋体"/>
          <w:b/>
          <w:color w:val="000000"/>
          <w:sz w:val="24"/>
        </w:rPr>
      </w:pPr>
      <w:r>
        <w:rPr>
          <w:rFonts w:hint="eastAsia" w:ascii="宋体" w:hAnsi="宋体" w:cs="宋体"/>
          <w:b/>
          <w:color w:val="000000"/>
          <w:sz w:val="24"/>
        </w:rPr>
        <w:t>10.2评标报告签署前，经复核发现存在以上情形之一的，评标委员会将当场修改评标结果，并在评标报告中记载。</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spacing w:line="600" w:lineRule="exact"/>
        <w:ind w:firstLine="426" w:firstLineChars="177"/>
        <w:rPr>
          <w:rFonts w:hint="eastAsia" w:ascii="宋体" w:hAnsi="宋体" w:cs="宋体"/>
          <w:b/>
          <w:color w:val="000000"/>
          <w:sz w:val="24"/>
        </w:rPr>
      </w:pPr>
      <w:r>
        <w:rPr>
          <w:rFonts w:hint="eastAsia" w:ascii="宋体" w:hAnsi="宋体" w:cs="宋体"/>
          <w:b/>
          <w:color w:val="000000"/>
          <w:sz w:val="24"/>
        </w:rPr>
        <w:t>评标委员会根据以下规定确定供应商排名并推荐中标（成交）候选供应商。</w:t>
      </w:r>
    </w:p>
    <w:p>
      <w:pPr>
        <w:spacing w:line="600" w:lineRule="exact"/>
        <w:ind w:firstLine="465" w:firstLineChars="193"/>
        <w:rPr>
          <w:rFonts w:hint="eastAsia" w:ascii="宋体" w:hAnsi="宋体" w:cs="宋体"/>
          <w:color w:val="000000"/>
          <w:kern w:val="0"/>
          <w:sz w:val="24"/>
        </w:rPr>
      </w:pPr>
      <w:r>
        <w:rPr>
          <w:rFonts w:hint="eastAsia" w:ascii="宋体" w:hAnsi="宋体" w:cs="宋体"/>
          <w:b/>
          <w:color w:val="000000"/>
          <w:sz w:val="24"/>
        </w:rPr>
        <w:t>11.1评标委员会根据各投标供应商的综合得分（商务技术分与报价得分之和）从高到低依次进行排名排序。特殊情形按以下原则处理：</w:t>
      </w:r>
    </w:p>
    <w:p>
      <w:pPr>
        <w:spacing w:line="600" w:lineRule="exact"/>
        <w:ind w:firstLine="463" w:firstLineChars="193"/>
        <w:rPr>
          <w:rFonts w:hint="eastAsia" w:ascii="宋体" w:hAnsi="宋体" w:cs="宋体"/>
          <w:color w:val="000000"/>
          <w:sz w:val="24"/>
        </w:rPr>
      </w:pPr>
      <w:r>
        <w:rPr>
          <w:rFonts w:hint="eastAsia" w:ascii="宋体" w:hAnsi="宋体" w:cs="宋体"/>
          <w:color w:val="000000"/>
          <w:sz w:val="24"/>
        </w:rPr>
        <w:t>（1）综合得分相同的，按投标报价低的优先原则确定排名；</w:t>
      </w:r>
    </w:p>
    <w:p>
      <w:pPr>
        <w:spacing w:line="600" w:lineRule="exact"/>
        <w:ind w:firstLine="463" w:firstLineChars="193"/>
        <w:rPr>
          <w:rFonts w:hint="eastAsia" w:ascii="宋体" w:hAnsi="宋体" w:cs="宋体"/>
          <w:color w:val="000000"/>
          <w:sz w:val="24"/>
        </w:rPr>
      </w:pPr>
      <w:r>
        <w:rPr>
          <w:rFonts w:hint="eastAsia" w:ascii="宋体" w:hAnsi="宋体" w:cs="宋体"/>
          <w:color w:val="000000"/>
          <w:sz w:val="24"/>
        </w:rPr>
        <w:t>（2）综合得分和投标报价均相同的，按技术资信得分从高到低确定排名；</w:t>
      </w:r>
    </w:p>
    <w:p>
      <w:pPr>
        <w:spacing w:line="600" w:lineRule="exact"/>
        <w:ind w:firstLine="463" w:firstLineChars="193"/>
        <w:rPr>
          <w:rFonts w:hint="eastAsia" w:ascii="宋体" w:hAnsi="宋体" w:cs="宋体"/>
          <w:color w:val="000000"/>
          <w:sz w:val="24"/>
        </w:rPr>
      </w:pPr>
      <w:r>
        <w:rPr>
          <w:rFonts w:hint="eastAsia" w:ascii="宋体" w:hAnsi="宋体" w:cs="宋体"/>
          <w:color w:val="000000"/>
          <w:sz w:val="24"/>
        </w:rPr>
        <w:t>（3）综合得分、投标报价和技术资信得分均相同的由评标委员会全体成员记名投票按少数服从多数的原则确定排名。</w:t>
      </w:r>
    </w:p>
    <w:p>
      <w:pPr>
        <w:spacing w:line="600" w:lineRule="exact"/>
        <w:ind w:firstLine="426" w:firstLineChars="177"/>
        <w:rPr>
          <w:rFonts w:hint="eastAsia" w:ascii="宋体" w:hAnsi="宋体" w:cs="宋体"/>
          <w:b/>
          <w:color w:val="000000"/>
          <w:sz w:val="24"/>
        </w:rPr>
      </w:pPr>
      <w:r>
        <w:rPr>
          <w:rFonts w:hint="eastAsia" w:ascii="宋体" w:hAnsi="宋体" w:cs="宋体"/>
          <w:b/>
          <w:color w:val="000000"/>
          <w:sz w:val="24"/>
        </w:rPr>
        <w:t>11.2根据最终得分排序，通过书面评审报告的形式，向采购人推荐</w:t>
      </w:r>
      <w:r>
        <w:rPr>
          <w:rFonts w:hint="eastAsia" w:ascii="宋体" w:hAnsi="宋体" w:cs="宋体"/>
          <w:b/>
          <w:color w:val="000000"/>
          <w:kern w:val="0"/>
          <w:sz w:val="24"/>
        </w:rPr>
        <w:t>排名第一的投标供应商为中标（成交）候选供应商</w:t>
      </w:r>
      <w:r>
        <w:rPr>
          <w:rFonts w:hint="eastAsia" w:ascii="宋体" w:hAnsi="宋体" w:cs="宋体"/>
          <w:b/>
          <w:color w:val="000000"/>
          <w:sz w:val="24"/>
        </w:rPr>
        <w:t>。</w:t>
      </w:r>
    </w:p>
    <w:p>
      <w:pPr>
        <w:pStyle w:val="5"/>
        <w:numPr>
          <w:ilvl w:val="2"/>
          <w:numId w:val="0"/>
        </w:numPr>
        <w:tabs>
          <w:tab w:val="clear" w:pos="720"/>
        </w:tabs>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（十二）起草、签署评审报告</w:t>
      </w:r>
    </w:p>
    <w:p>
      <w:pPr>
        <w:spacing w:line="600" w:lineRule="exact"/>
        <w:ind w:firstLine="463" w:firstLineChars="193"/>
        <w:rPr>
          <w:rFonts w:hint="eastAsia" w:ascii="宋体" w:hAnsi="宋体" w:cs="宋体"/>
          <w:color w:val="000000"/>
          <w:sz w:val="24"/>
        </w:rPr>
      </w:pPr>
      <w:r>
        <w:rPr>
          <w:rFonts w:hint="eastAsia" w:ascii="宋体" w:hAnsi="宋体" w:cs="宋体"/>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40"/>
        <w:snapToGrid w:val="0"/>
        <w:spacing w:line="600" w:lineRule="exact"/>
        <w:rPr>
          <w:rFonts w:hint="eastAsia" w:ascii="宋体" w:hAnsi="宋体" w:eastAsia="宋体" w:cs="宋体"/>
          <w:b/>
          <w:color w:val="000000"/>
          <w:sz w:val="24"/>
          <w:szCs w:val="24"/>
        </w:rPr>
      </w:pPr>
      <w:bookmarkStart w:id="69" w:name="_Toc91899903"/>
      <w:r>
        <w:rPr>
          <w:rFonts w:hint="eastAsia" w:ascii="宋体" w:hAnsi="宋体" w:eastAsia="宋体" w:cs="宋体"/>
          <w:b/>
          <w:color w:val="000000"/>
          <w:sz w:val="24"/>
          <w:szCs w:val="24"/>
        </w:rPr>
        <w:t>（十三）评标办法</w:t>
      </w:r>
    </w:p>
    <w:p>
      <w:pPr>
        <w:snapToGrid w:val="0"/>
        <w:spacing w:line="600" w:lineRule="exact"/>
        <w:ind w:firstLine="482" w:firstLineChars="200"/>
        <w:rPr>
          <w:rFonts w:hint="eastAsia" w:ascii="宋体" w:hAnsi="宋体" w:cs="宋体"/>
          <w:color w:val="000000"/>
          <w:sz w:val="24"/>
        </w:rPr>
      </w:pPr>
      <w:r>
        <w:rPr>
          <w:rFonts w:hint="eastAsia" w:ascii="宋体" w:hAnsi="宋体" w:cs="宋体"/>
          <w:b/>
          <w:bCs/>
          <w:color w:val="000000"/>
          <w:sz w:val="24"/>
        </w:rPr>
        <w:t>1、</w:t>
      </w:r>
      <w:r>
        <w:rPr>
          <w:rFonts w:hint="eastAsia" w:ascii="宋体" w:hAnsi="宋体" w:cs="宋体"/>
          <w:b/>
          <w:color w:val="000000"/>
          <w:sz w:val="24"/>
        </w:rPr>
        <w:t>本项目采用综合评分法</w:t>
      </w:r>
      <w:r>
        <w:rPr>
          <w:rFonts w:hint="eastAsia" w:ascii="宋体" w:hAnsi="宋体" w:cs="宋体"/>
          <w:color w:val="000000"/>
          <w:sz w:val="24"/>
        </w:rPr>
        <w:t>，总分为100分，其中商务、技术90分，价格分10分。</w:t>
      </w:r>
    </w:p>
    <w:p>
      <w:pPr>
        <w:numPr>
          <w:ilvl w:val="0"/>
          <w:numId w:val="10"/>
        </w:num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商务、技术评标细则（90分）</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640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35" w:hRule="exact"/>
        </w:trPr>
        <w:tc>
          <w:tcPr>
            <w:tcW w:w="738" w:type="dxa"/>
            <w:vMerge w:val="restart"/>
            <w:noWrap w:val="0"/>
            <w:vAlign w:val="center"/>
          </w:tcPr>
          <w:p>
            <w:pPr>
              <w:rPr>
                <w:rFonts w:hint="eastAsia" w:ascii="宋体" w:hAnsi="宋体"/>
                <w:sz w:val="24"/>
                <w:highlight w:val="none"/>
              </w:rPr>
            </w:pPr>
            <w:r>
              <w:rPr>
                <w:rFonts w:hint="eastAsia" w:ascii="宋体" w:hAnsi="宋体"/>
                <w:sz w:val="24"/>
                <w:highlight w:val="none"/>
              </w:rPr>
              <w:t>资信分(</w:t>
            </w:r>
            <w:r>
              <w:rPr>
                <w:rFonts w:hint="eastAsia" w:ascii="宋体" w:hAnsi="宋体"/>
                <w:sz w:val="24"/>
                <w:highlight w:val="none"/>
                <w:lang w:val="en-US" w:eastAsia="zh-CN"/>
              </w:rPr>
              <w:t>50</w:t>
            </w:r>
            <w:r>
              <w:rPr>
                <w:rFonts w:hint="eastAsia" w:ascii="宋体" w:hAnsi="宋体"/>
                <w:sz w:val="24"/>
                <w:highlight w:val="none"/>
              </w:rPr>
              <w:t>分)</w:t>
            </w:r>
          </w:p>
        </w:tc>
        <w:tc>
          <w:tcPr>
            <w:tcW w:w="1575" w:type="dxa"/>
            <w:noWrap w:val="0"/>
            <w:vAlign w:val="center"/>
          </w:tcPr>
          <w:p>
            <w:pPr>
              <w:jc w:val="center"/>
              <w:rPr>
                <w:rFonts w:hint="eastAsia" w:ascii="宋体" w:hAnsi="宋体"/>
                <w:sz w:val="24"/>
                <w:highlight w:val="none"/>
              </w:rPr>
            </w:pPr>
            <w:r>
              <w:rPr>
                <w:rFonts w:hint="eastAsia" w:ascii="宋体" w:hAnsi="宋体"/>
                <w:sz w:val="24"/>
                <w:highlight w:val="none"/>
              </w:rPr>
              <w:t xml:space="preserve">企业认证体系 </w:t>
            </w:r>
          </w:p>
        </w:tc>
        <w:tc>
          <w:tcPr>
            <w:tcW w:w="6405" w:type="dxa"/>
            <w:noWrap w:val="0"/>
            <w:vAlign w:val="center"/>
          </w:tcPr>
          <w:p>
            <w:pPr>
              <w:spacing w:line="400" w:lineRule="atLeast"/>
              <w:rPr>
                <w:rFonts w:ascii="宋体" w:hAnsi="宋体" w:cs="黑体"/>
                <w:snapToGrid w:val="0"/>
                <w:sz w:val="24"/>
                <w:highlight w:val="none"/>
              </w:rPr>
            </w:pPr>
            <w:r>
              <w:rPr>
                <w:rFonts w:hint="eastAsia" w:ascii="宋体" w:hAnsi="宋体" w:cs="黑体"/>
                <w:snapToGrid w:val="0"/>
                <w:sz w:val="24"/>
                <w:highlight w:val="none"/>
              </w:rPr>
              <w:t>1)</w:t>
            </w:r>
            <w:r>
              <w:rPr>
                <w:rFonts w:ascii="宋体" w:hAnsi="宋体" w:cs="黑体"/>
                <w:snapToGrid w:val="0"/>
                <w:sz w:val="24"/>
                <w:highlight w:val="none"/>
              </w:rPr>
              <w:t>投标人提供职业健康安全管理体系认证证书复印件并加盖公章的得</w:t>
            </w:r>
            <w:r>
              <w:rPr>
                <w:rFonts w:hint="eastAsia" w:ascii="宋体" w:hAnsi="宋体" w:cs="黑体"/>
                <w:snapToGrid w:val="0"/>
                <w:sz w:val="24"/>
                <w:highlight w:val="none"/>
                <w:lang w:val="en-US" w:eastAsia="zh-CN"/>
              </w:rPr>
              <w:t>2</w:t>
            </w:r>
            <w:r>
              <w:rPr>
                <w:rFonts w:ascii="宋体" w:hAnsi="宋体" w:cs="黑体"/>
                <w:snapToGrid w:val="0"/>
                <w:sz w:val="24"/>
                <w:highlight w:val="none"/>
              </w:rPr>
              <w:t>分；提供质量管理体系认证证书复印件并加盖公章的得</w:t>
            </w:r>
            <w:r>
              <w:rPr>
                <w:rFonts w:hint="eastAsia" w:ascii="宋体" w:hAnsi="宋体" w:cs="黑体"/>
                <w:snapToGrid w:val="0"/>
                <w:sz w:val="24"/>
                <w:highlight w:val="none"/>
                <w:lang w:val="en-US" w:eastAsia="zh-CN"/>
              </w:rPr>
              <w:t>2</w:t>
            </w:r>
            <w:r>
              <w:rPr>
                <w:rFonts w:ascii="宋体" w:hAnsi="宋体" w:cs="黑体"/>
                <w:snapToGrid w:val="0"/>
                <w:sz w:val="24"/>
                <w:highlight w:val="none"/>
              </w:rPr>
              <w:t>分，提供</w:t>
            </w:r>
            <w:r>
              <w:rPr>
                <w:rFonts w:hint="eastAsia" w:ascii="宋体" w:hAnsi="宋体" w:cs="黑体"/>
                <w:snapToGrid w:val="0"/>
                <w:sz w:val="24"/>
                <w:highlight w:val="none"/>
              </w:rPr>
              <w:t>环境</w:t>
            </w:r>
            <w:r>
              <w:rPr>
                <w:rFonts w:ascii="宋体" w:hAnsi="宋体" w:cs="黑体"/>
                <w:snapToGrid w:val="0"/>
                <w:sz w:val="24"/>
                <w:highlight w:val="none"/>
              </w:rPr>
              <w:t>管理体系认证证书复印件并加盖公章的得</w:t>
            </w:r>
            <w:r>
              <w:rPr>
                <w:rFonts w:hint="eastAsia" w:ascii="宋体" w:hAnsi="宋体" w:cs="黑体"/>
                <w:snapToGrid w:val="0"/>
                <w:sz w:val="24"/>
                <w:highlight w:val="none"/>
                <w:lang w:val="en-US" w:eastAsia="zh-CN"/>
              </w:rPr>
              <w:t>2</w:t>
            </w:r>
            <w:r>
              <w:rPr>
                <w:rFonts w:ascii="宋体" w:hAnsi="宋体" w:cs="黑体"/>
                <w:snapToGrid w:val="0"/>
                <w:sz w:val="24"/>
                <w:highlight w:val="none"/>
              </w:rPr>
              <w:t>分</w:t>
            </w:r>
            <w:r>
              <w:rPr>
                <w:rFonts w:hint="eastAsia" w:ascii="宋体" w:hAnsi="宋体" w:cs="黑体"/>
                <w:snapToGrid w:val="0"/>
                <w:sz w:val="24"/>
                <w:highlight w:val="none"/>
              </w:rPr>
              <w:t>。</w:t>
            </w:r>
            <w:r>
              <w:rPr>
                <w:rFonts w:ascii="宋体" w:hAnsi="宋体" w:cs="黑体"/>
                <w:snapToGrid w:val="0"/>
                <w:sz w:val="24"/>
                <w:highlight w:val="none"/>
              </w:rPr>
              <w:t>所有证书须在有效期内</w:t>
            </w:r>
            <w:r>
              <w:rPr>
                <w:rFonts w:hint="eastAsia" w:ascii="宋体" w:hAnsi="宋体" w:cs="黑体"/>
                <w:snapToGrid w:val="0"/>
                <w:sz w:val="24"/>
                <w:highlight w:val="none"/>
                <w:lang w:eastAsia="zh-CN"/>
              </w:rPr>
              <w:t>。</w:t>
            </w:r>
          </w:p>
          <w:p>
            <w:pPr>
              <w:rPr>
                <w:rFonts w:hint="eastAsia"/>
                <w:sz w:val="24"/>
                <w:szCs w:val="24"/>
                <w:highlight w:val="none"/>
              </w:rPr>
            </w:pPr>
          </w:p>
        </w:tc>
        <w:tc>
          <w:tcPr>
            <w:tcW w:w="1110" w:type="dxa"/>
            <w:noWrap w:val="0"/>
            <w:vAlign w:val="center"/>
          </w:tcPr>
          <w:p>
            <w:pPr>
              <w:jc w:val="center"/>
              <w:rPr>
                <w:rFonts w:ascii="宋体" w:hAnsi="宋体"/>
                <w:sz w:val="24"/>
                <w:highlight w:val="none"/>
              </w:rPr>
            </w:pPr>
            <w:r>
              <w:rPr>
                <w:rFonts w:hint="eastAsia" w:ascii="宋体" w:hAnsi="宋体"/>
                <w:sz w:val="24"/>
                <w:highlight w:val="none"/>
              </w:rPr>
              <w:t>0—</w:t>
            </w:r>
            <w:r>
              <w:rPr>
                <w:rFonts w:hint="eastAsia" w:ascii="宋体" w:hAnsi="宋体"/>
                <w:sz w:val="24"/>
                <w:highlight w:val="none"/>
                <w:lang w:val="en-US" w:eastAsia="zh-CN"/>
              </w:rPr>
              <w:t>6</w:t>
            </w:r>
            <w:r>
              <w:rPr>
                <w:rFonts w:hint="eastAsia" w:ascii="宋体" w:hAnsi="宋体"/>
                <w:sz w:val="24"/>
                <w:highlight w:val="none"/>
              </w:rPr>
              <w:t>分</w:t>
            </w:r>
          </w:p>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18" w:hRule="exact"/>
        </w:trPr>
        <w:tc>
          <w:tcPr>
            <w:tcW w:w="738" w:type="dxa"/>
            <w:vMerge w:val="continue"/>
            <w:noWrap w:val="0"/>
            <w:vAlign w:val="center"/>
          </w:tcPr>
          <w:p>
            <w:pPr>
              <w:rPr>
                <w:rFonts w:hint="eastAsia" w:ascii="宋体" w:hAnsi="宋体"/>
                <w:sz w:val="24"/>
                <w:highlight w:val="none"/>
              </w:rPr>
            </w:pPr>
          </w:p>
        </w:tc>
        <w:tc>
          <w:tcPr>
            <w:tcW w:w="1575" w:type="dxa"/>
            <w:noWrap w:val="0"/>
            <w:vAlign w:val="center"/>
          </w:tcPr>
          <w:p>
            <w:pPr>
              <w:jc w:val="center"/>
              <w:rPr>
                <w:rFonts w:hint="eastAsia" w:ascii="宋体" w:hAnsi="宋体"/>
                <w:sz w:val="24"/>
                <w:highlight w:val="none"/>
              </w:rPr>
            </w:pPr>
            <w:r>
              <w:rPr>
                <w:rFonts w:hint="eastAsia" w:ascii="宋体" w:hAnsi="宋体"/>
                <w:sz w:val="24"/>
                <w:highlight w:val="none"/>
              </w:rPr>
              <w:t>企业实绩</w:t>
            </w:r>
          </w:p>
        </w:tc>
        <w:tc>
          <w:tcPr>
            <w:tcW w:w="6405" w:type="dxa"/>
            <w:noWrap w:val="0"/>
            <w:vAlign w:val="center"/>
          </w:tcPr>
          <w:p>
            <w:pPr>
              <w:rPr>
                <w:rFonts w:hint="eastAsia"/>
                <w:sz w:val="24"/>
                <w:szCs w:val="24"/>
                <w:highlight w:val="none"/>
              </w:rPr>
            </w:pPr>
            <w:r>
              <w:rPr>
                <w:rFonts w:hint="eastAsia" w:ascii="宋体" w:hAnsi="宋体"/>
                <w:color w:val="000000"/>
                <w:sz w:val="24"/>
                <w:highlight w:val="none"/>
              </w:rPr>
              <w:t>2017年1月1日以来承担过村镇保洁项目的每个得</w:t>
            </w:r>
            <w:r>
              <w:rPr>
                <w:rFonts w:hint="eastAsia" w:ascii="宋体" w:hAnsi="宋体"/>
                <w:color w:val="000000"/>
                <w:sz w:val="24"/>
                <w:highlight w:val="none"/>
                <w:lang w:val="en-US" w:eastAsia="zh-CN"/>
              </w:rPr>
              <w:t>2</w:t>
            </w:r>
            <w:r>
              <w:rPr>
                <w:rFonts w:hint="eastAsia" w:ascii="宋体" w:hAnsi="宋体"/>
                <w:color w:val="000000"/>
                <w:sz w:val="24"/>
                <w:highlight w:val="none"/>
              </w:rPr>
              <w:t>分，本项最高得</w:t>
            </w:r>
            <w:r>
              <w:rPr>
                <w:rFonts w:hint="eastAsia" w:ascii="宋体" w:hAnsi="宋体"/>
                <w:color w:val="000000"/>
                <w:sz w:val="24"/>
                <w:highlight w:val="none"/>
                <w:lang w:val="en-US" w:eastAsia="zh-CN"/>
              </w:rPr>
              <w:t>4</w:t>
            </w:r>
            <w:r>
              <w:rPr>
                <w:rFonts w:hint="eastAsia" w:ascii="宋体" w:hAnsi="宋体"/>
                <w:color w:val="000000"/>
                <w:sz w:val="24"/>
                <w:highlight w:val="none"/>
              </w:rPr>
              <w:t>分；（证明材料为中标通知书及合同，具体时间以合同签订约定服务期限时间或中标通知书上的时间为准，）</w:t>
            </w:r>
          </w:p>
        </w:tc>
        <w:tc>
          <w:tcPr>
            <w:tcW w:w="1110" w:type="dxa"/>
            <w:noWrap w:val="0"/>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0-</w:t>
            </w:r>
            <w:r>
              <w:rPr>
                <w:rFonts w:hint="eastAsia" w:ascii="宋体" w:hAnsi="宋体"/>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5" w:hRule="exact"/>
        </w:trPr>
        <w:tc>
          <w:tcPr>
            <w:tcW w:w="738" w:type="dxa"/>
            <w:vMerge w:val="continue"/>
            <w:noWrap w:val="0"/>
            <w:vAlign w:val="center"/>
          </w:tcPr>
          <w:p>
            <w:pPr>
              <w:rPr>
                <w:rFonts w:hint="eastAsia" w:ascii="宋体" w:hAnsi="宋体"/>
                <w:sz w:val="24"/>
                <w:highlight w:val="none"/>
              </w:rPr>
            </w:pPr>
          </w:p>
        </w:tc>
        <w:tc>
          <w:tcPr>
            <w:tcW w:w="1575" w:type="dxa"/>
            <w:noWrap w:val="0"/>
            <w:vAlign w:val="center"/>
          </w:tcPr>
          <w:p>
            <w:pPr>
              <w:jc w:val="center"/>
              <w:rPr>
                <w:rFonts w:hint="eastAsia" w:ascii="宋体" w:hAnsi="宋体"/>
                <w:sz w:val="24"/>
                <w:highlight w:val="none"/>
              </w:rPr>
            </w:pPr>
            <w:r>
              <w:rPr>
                <w:rFonts w:hint="eastAsia" w:ascii="宋体" w:hAnsi="宋体"/>
                <w:sz w:val="24"/>
                <w:highlight w:val="none"/>
              </w:rPr>
              <w:t>设备及人员配备</w:t>
            </w:r>
          </w:p>
        </w:tc>
        <w:tc>
          <w:tcPr>
            <w:tcW w:w="6405" w:type="dxa"/>
            <w:noWrap w:val="0"/>
            <w:vAlign w:val="center"/>
          </w:tcPr>
          <w:p>
            <w:pPr>
              <w:rPr>
                <w:rFonts w:ascii="宋体" w:hAnsi="宋体"/>
                <w:sz w:val="24"/>
                <w:highlight w:val="none"/>
              </w:rPr>
            </w:pPr>
            <w:r>
              <w:rPr>
                <w:rFonts w:hint="eastAsia" w:ascii="宋体" w:hAnsi="宋体"/>
                <w:sz w:val="24"/>
                <w:highlight w:val="none"/>
              </w:rPr>
              <w:t>拟投入本项目的设备（企业自有）：</w:t>
            </w:r>
          </w:p>
          <w:p>
            <w:pPr>
              <w:numPr>
                <w:ilvl w:val="0"/>
                <w:numId w:val="11"/>
              </w:numPr>
              <w:rPr>
                <w:rFonts w:hint="eastAsia" w:ascii="宋体" w:hAnsi="宋体"/>
                <w:sz w:val="24"/>
                <w:highlight w:val="none"/>
              </w:rPr>
            </w:pPr>
            <w:r>
              <w:rPr>
                <w:rFonts w:hint="eastAsia" w:ascii="宋体" w:hAnsi="宋体"/>
                <w:sz w:val="24"/>
                <w:highlight w:val="none"/>
              </w:rPr>
              <w:t>多功能洗扫车（集洒、扫、吸三种功能为一体，车辆总质量10吨及以上）的一辆得2分，本项最高得4分；</w:t>
            </w:r>
          </w:p>
          <w:p>
            <w:pPr>
              <w:numPr>
                <w:ilvl w:val="0"/>
                <w:numId w:val="11"/>
              </w:numPr>
              <w:rPr>
                <w:rFonts w:hint="eastAsia" w:ascii="宋体" w:hAnsi="宋体"/>
                <w:sz w:val="24"/>
                <w:highlight w:val="none"/>
              </w:rPr>
            </w:pPr>
            <w:r>
              <w:rPr>
                <w:rFonts w:hint="eastAsia" w:ascii="宋体" w:hAnsi="宋体"/>
                <w:sz w:val="24"/>
                <w:highlight w:val="none"/>
                <w:lang w:eastAsia="zh-CN"/>
              </w:rPr>
              <w:t>多功能扫路机一辆得</w:t>
            </w:r>
            <w:r>
              <w:rPr>
                <w:rFonts w:hint="eastAsia" w:ascii="宋体" w:hAnsi="宋体"/>
                <w:sz w:val="24"/>
                <w:highlight w:val="none"/>
                <w:lang w:val="en-US" w:eastAsia="zh-CN"/>
              </w:rPr>
              <w:t>2分，</w:t>
            </w:r>
            <w:r>
              <w:rPr>
                <w:rFonts w:hint="eastAsia" w:ascii="宋体" w:hAnsi="宋体"/>
                <w:sz w:val="24"/>
                <w:highlight w:val="none"/>
              </w:rPr>
              <w:t>本项最高得2分；</w:t>
            </w:r>
          </w:p>
          <w:p>
            <w:pPr>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.电动高压冲洗车一辆得2分，本项最高得2分；</w:t>
            </w:r>
          </w:p>
          <w:p>
            <w:pPr>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.洒水车（单车总质量5吨及以上）一辆的得2分；本项最高得4分；</w:t>
            </w:r>
          </w:p>
          <w:p>
            <w:pPr>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.音乐垃圾收集车一辆得2分，本项最高得</w:t>
            </w:r>
            <w:r>
              <w:rPr>
                <w:rFonts w:hint="eastAsia" w:ascii="宋体" w:hAnsi="宋体"/>
                <w:sz w:val="24"/>
                <w:highlight w:val="none"/>
                <w:lang w:val="en-US" w:eastAsia="zh-CN"/>
              </w:rPr>
              <w:t>4</w:t>
            </w:r>
            <w:r>
              <w:rPr>
                <w:rFonts w:hint="eastAsia" w:ascii="宋体" w:hAnsi="宋体"/>
                <w:sz w:val="24"/>
                <w:highlight w:val="none"/>
              </w:rPr>
              <w:t>分；</w:t>
            </w:r>
          </w:p>
          <w:p>
            <w:pPr>
              <w:rPr>
                <w:rFonts w:hint="eastAsia" w:ascii="宋体" w:hAnsi="宋体" w:eastAsia="宋体"/>
                <w:sz w:val="24"/>
                <w:highlight w:val="none"/>
                <w:lang w:eastAsia="zh-CN"/>
              </w:rPr>
            </w:pPr>
            <w:r>
              <w:rPr>
                <w:rFonts w:hint="eastAsia" w:ascii="宋体" w:hAnsi="宋体"/>
                <w:sz w:val="24"/>
                <w:highlight w:val="none"/>
                <w:lang w:val="en-US" w:eastAsia="zh-CN"/>
              </w:rPr>
              <w:t>6</w:t>
            </w:r>
            <w:r>
              <w:rPr>
                <w:rFonts w:hint="eastAsia" w:ascii="宋体" w:hAnsi="宋体"/>
                <w:sz w:val="24"/>
                <w:highlight w:val="none"/>
              </w:rPr>
              <w:t>.其他垃圾收集清运车（单车总质量5吨及以上）一辆得1分，易腐垃圾收集清运车一辆得</w:t>
            </w:r>
            <w:r>
              <w:rPr>
                <w:rFonts w:hint="eastAsia" w:ascii="宋体" w:hAnsi="宋体"/>
                <w:sz w:val="24"/>
                <w:highlight w:val="none"/>
                <w:lang w:val="en-US" w:eastAsia="zh-CN"/>
              </w:rPr>
              <w:t>1</w:t>
            </w:r>
            <w:r>
              <w:rPr>
                <w:rFonts w:hint="eastAsia" w:ascii="宋体" w:hAnsi="宋体"/>
                <w:sz w:val="24"/>
                <w:highlight w:val="none"/>
              </w:rPr>
              <w:t>分，本项最高得</w:t>
            </w:r>
            <w:r>
              <w:rPr>
                <w:rFonts w:hint="eastAsia" w:ascii="宋体" w:hAnsi="宋体"/>
                <w:sz w:val="24"/>
                <w:highlight w:val="none"/>
                <w:lang w:val="en-US" w:eastAsia="zh-CN"/>
              </w:rPr>
              <w:t>4</w:t>
            </w:r>
            <w:r>
              <w:rPr>
                <w:rFonts w:hint="eastAsia" w:ascii="宋体" w:hAnsi="宋体"/>
                <w:sz w:val="24"/>
                <w:highlight w:val="none"/>
              </w:rPr>
              <w:t>分</w:t>
            </w:r>
            <w:r>
              <w:rPr>
                <w:rFonts w:hint="eastAsia" w:ascii="宋体" w:hAnsi="宋体"/>
                <w:sz w:val="24"/>
                <w:highlight w:val="none"/>
                <w:lang w:eastAsia="zh-CN"/>
              </w:rPr>
              <w:t>；</w:t>
            </w:r>
          </w:p>
          <w:p>
            <w:pPr>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w:t>
            </w:r>
            <w:r>
              <w:rPr>
                <w:rFonts w:hint="default" w:ascii="宋体" w:hAnsi="宋体"/>
                <w:sz w:val="24"/>
                <w:highlight w:val="none"/>
                <w:lang w:val="en-US" w:eastAsia="zh-CN"/>
              </w:rPr>
              <w:t>易腐垃圾车载称重系统和GPS定位系统</w:t>
            </w:r>
            <w:r>
              <w:rPr>
                <w:rFonts w:hint="eastAsia" w:ascii="宋体" w:hAnsi="宋体"/>
                <w:sz w:val="24"/>
                <w:highlight w:val="none"/>
              </w:rPr>
              <w:t>，</w:t>
            </w:r>
            <w:r>
              <w:rPr>
                <w:rFonts w:hint="eastAsia" w:ascii="宋体" w:hAnsi="宋体"/>
                <w:sz w:val="24"/>
                <w:highlight w:val="none"/>
                <w:lang w:eastAsia="zh-CN"/>
              </w:rPr>
              <w:t>一</w:t>
            </w:r>
            <w:r>
              <w:rPr>
                <w:rFonts w:hint="eastAsia" w:ascii="宋体" w:hAnsi="宋体"/>
                <w:sz w:val="24"/>
                <w:highlight w:val="none"/>
              </w:rPr>
              <w:t>辆得</w:t>
            </w:r>
            <w:r>
              <w:rPr>
                <w:rFonts w:hint="eastAsia" w:ascii="宋体" w:hAnsi="宋体"/>
                <w:sz w:val="24"/>
                <w:highlight w:val="none"/>
                <w:lang w:val="en-US" w:eastAsia="zh-CN"/>
              </w:rPr>
              <w:t>3</w:t>
            </w:r>
            <w:r>
              <w:rPr>
                <w:rFonts w:hint="eastAsia" w:ascii="宋体" w:hAnsi="宋体"/>
                <w:sz w:val="24"/>
                <w:highlight w:val="none"/>
              </w:rPr>
              <w:t>分，本项最高得</w:t>
            </w:r>
            <w:r>
              <w:rPr>
                <w:rFonts w:hint="eastAsia" w:ascii="宋体" w:hAnsi="宋体"/>
                <w:sz w:val="24"/>
                <w:highlight w:val="none"/>
                <w:lang w:val="en-US" w:eastAsia="zh-CN"/>
              </w:rPr>
              <w:t>3</w:t>
            </w:r>
            <w:r>
              <w:rPr>
                <w:rFonts w:hint="eastAsia" w:ascii="宋体" w:hAnsi="宋体"/>
                <w:sz w:val="24"/>
                <w:highlight w:val="none"/>
              </w:rPr>
              <w:t>分；</w:t>
            </w:r>
          </w:p>
          <w:p>
            <w:pPr>
              <w:rPr>
                <w:rFonts w:hint="eastAsia" w:ascii="宋体" w:hAnsi="宋体"/>
                <w:sz w:val="24"/>
                <w:highlight w:val="none"/>
                <w:lang w:val="en-US" w:eastAsia="zh-CN"/>
              </w:rPr>
            </w:pPr>
            <w:r>
              <w:rPr>
                <w:rFonts w:hint="eastAsia" w:ascii="宋体" w:hAnsi="宋体"/>
                <w:sz w:val="24"/>
                <w:highlight w:val="none"/>
                <w:lang w:val="en-US" w:eastAsia="zh-CN"/>
              </w:rPr>
              <w:t>8</w:t>
            </w:r>
            <w:r>
              <w:rPr>
                <w:rFonts w:hint="eastAsia" w:ascii="宋体" w:hAnsi="宋体"/>
                <w:sz w:val="24"/>
                <w:highlight w:val="none"/>
              </w:rPr>
              <w:t>.</w:t>
            </w:r>
            <w:r>
              <w:rPr>
                <w:rFonts w:hint="eastAsia" w:ascii="宋体" w:hAnsi="宋体"/>
                <w:sz w:val="24"/>
                <w:highlight w:val="none"/>
                <w:lang w:eastAsia="zh-CN"/>
              </w:rPr>
              <w:t>密闭式垃圾直运车</w:t>
            </w:r>
            <w:r>
              <w:rPr>
                <w:rFonts w:hint="eastAsia" w:ascii="宋体" w:hAnsi="宋体"/>
                <w:sz w:val="24"/>
                <w:highlight w:val="none"/>
                <w:lang w:val="en-US" w:eastAsia="zh-CN"/>
              </w:rPr>
              <w:t>25吨以上，一辆得2分</w:t>
            </w:r>
            <w:r>
              <w:rPr>
                <w:rFonts w:hint="eastAsia" w:ascii="宋体" w:hAnsi="宋体"/>
                <w:sz w:val="24"/>
                <w:highlight w:val="none"/>
              </w:rPr>
              <w:t>，本项最高得</w:t>
            </w:r>
            <w:r>
              <w:rPr>
                <w:rFonts w:hint="eastAsia" w:ascii="宋体" w:hAnsi="宋体"/>
                <w:sz w:val="24"/>
                <w:highlight w:val="none"/>
                <w:lang w:val="en-US" w:eastAsia="zh-CN"/>
              </w:rPr>
              <w:t>2</w:t>
            </w:r>
            <w:r>
              <w:rPr>
                <w:rFonts w:hint="eastAsia" w:ascii="宋体" w:hAnsi="宋体"/>
                <w:sz w:val="24"/>
                <w:highlight w:val="none"/>
              </w:rPr>
              <w:t>分</w:t>
            </w:r>
            <w:r>
              <w:rPr>
                <w:rFonts w:hint="eastAsia" w:ascii="宋体" w:hAnsi="宋体"/>
                <w:sz w:val="24"/>
                <w:highlight w:val="none"/>
                <w:lang w:val="en-US" w:eastAsia="zh-CN"/>
              </w:rPr>
              <w:t>；</w:t>
            </w:r>
          </w:p>
          <w:p>
            <w:pPr>
              <w:rPr>
                <w:rFonts w:hint="eastAsia" w:ascii="宋体" w:hAnsi="宋体" w:eastAsia="宋体"/>
                <w:sz w:val="24"/>
                <w:highlight w:val="none"/>
                <w:lang w:val="en-US" w:eastAsia="zh-CN"/>
              </w:rPr>
            </w:pPr>
            <w:r>
              <w:rPr>
                <w:rFonts w:hint="eastAsia" w:ascii="宋体" w:hAnsi="宋体"/>
                <w:sz w:val="24"/>
                <w:highlight w:val="none"/>
                <w:lang w:val="en-US" w:eastAsia="zh-CN"/>
              </w:rPr>
              <w:t>9.多功能抑尘车15吨以上，一辆得4分，</w:t>
            </w:r>
            <w:r>
              <w:rPr>
                <w:rFonts w:hint="eastAsia" w:ascii="宋体" w:hAnsi="宋体"/>
                <w:sz w:val="24"/>
                <w:highlight w:val="none"/>
              </w:rPr>
              <w:t>本项最高得</w:t>
            </w:r>
            <w:r>
              <w:rPr>
                <w:rFonts w:hint="eastAsia" w:ascii="宋体" w:hAnsi="宋体"/>
                <w:sz w:val="24"/>
                <w:highlight w:val="none"/>
                <w:lang w:val="en-US" w:eastAsia="zh-CN"/>
              </w:rPr>
              <w:t>4</w:t>
            </w:r>
            <w:r>
              <w:rPr>
                <w:rFonts w:hint="eastAsia" w:ascii="宋体" w:hAnsi="宋体"/>
                <w:sz w:val="24"/>
                <w:highlight w:val="none"/>
              </w:rPr>
              <w:t>分</w:t>
            </w:r>
            <w:r>
              <w:rPr>
                <w:rFonts w:hint="eastAsia" w:ascii="宋体" w:hAnsi="宋体"/>
                <w:sz w:val="24"/>
                <w:highlight w:val="none"/>
                <w:lang w:eastAsia="zh-CN"/>
              </w:rPr>
              <w:t>；</w:t>
            </w:r>
          </w:p>
          <w:p>
            <w:pPr>
              <w:rPr>
                <w:rFonts w:hint="eastAsia" w:ascii="宋体" w:hAnsi="宋体" w:eastAsia="宋体"/>
                <w:sz w:val="24"/>
                <w:highlight w:val="none"/>
                <w:lang w:eastAsia="zh-CN"/>
              </w:rPr>
            </w:pPr>
            <w:r>
              <w:rPr>
                <w:rFonts w:hint="eastAsia" w:ascii="宋体" w:hAnsi="宋体"/>
                <w:sz w:val="24"/>
                <w:highlight w:val="none"/>
                <w:lang w:val="en-US" w:eastAsia="zh-CN"/>
              </w:rPr>
              <w:t>10.</w:t>
            </w:r>
            <w:r>
              <w:rPr>
                <w:rFonts w:hint="eastAsia" w:ascii="宋体" w:hAnsi="宋体"/>
                <w:sz w:val="24"/>
                <w:highlight w:val="none"/>
              </w:rPr>
              <w:t>机动船一辆得</w:t>
            </w:r>
            <w:r>
              <w:rPr>
                <w:rFonts w:hint="eastAsia" w:ascii="宋体" w:hAnsi="宋体"/>
                <w:sz w:val="24"/>
                <w:highlight w:val="none"/>
                <w:lang w:val="en-US" w:eastAsia="zh-CN"/>
              </w:rPr>
              <w:t>2</w:t>
            </w:r>
            <w:r>
              <w:rPr>
                <w:rFonts w:hint="eastAsia" w:ascii="宋体" w:hAnsi="宋体"/>
                <w:sz w:val="24"/>
                <w:highlight w:val="none"/>
              </w:rPr>
              <w:t>分，本项最高得</w:t>
            </w:r>
            <w:r>
              <w:rPr>
                <w:rFonts w:hint="eastAsia" w:ascii="宋体" w:hAnsi="宋体"/>
                <w:sz w:val="24"/>
                <w:highlight w:val="none"/>
                <w:lang w:val="en-US" w:eastAsia="zh-CN"/>
              </w:rPr>
              <w:t>6</w:t>
            </w:r>
            <w:r>
              <w:rPr>
                <w:rFonts w:hint="eastAsia" w:ascii="宋体" w:hAnsi="宋体"/>
                <w:sz w:val="24"/>
                <w:highlight w:val="none"/>
              </w:rPr>
              <w:t>分</w:t>
            </w:r>
            <w:r>
              <w:rPr>
                <w:rFonts w:hint="eastAsia" w:ascii="宋体" w:hAnsi="宋体"/>
                <w:sz w:val="24"/>
                <w:highlight w:val="none"/>
                <w:lang w:eastAsia="zh-CN"/>
              </w:rPr>
              <w:t>；</w:t>
            </w:r>
          </w:p>
          <w:p>
            <w:pPr>
              <w:rPr>
                <w:rFonts w:hint="eastAsia" w:ascii="宋体" w:hAnsi="宋体" w:eastAsia="宋体"/>
                <w:sz w:val="24"/>
                <w:highlight w:val="none"/>
                <w:lang w:eastAsia="zh-CN"/>
              </w:rPr>
            </w:pPr>
            <w:r>
              <w:rPr>
                <w:rFonts w:hint="eastAsia" w:ascii="宋体" w:hAnsi="宋体"/>
                <w:sz w:val="24"/>
                <w:highlight w:val="none"/>
                <w:lang w:val="en-US" w:eastAsia="zh-CN"/>
              </w:rPr>
              <w:t>11</w:t>
            </w:r>
            <w:r>
              <w:rPr>
                <w:rFonts w:hint="eastAsia" w:ascii="宋体" w:hAnsi="宋体"/>
                <w:sz w:val="24"/>
                <w:highlight w:val="none"/>
              </w:rPr>
              <w:t>.修剪机一台的得</w:t>
            </w:r>
            <w:r>
              <w:rPr>
                <w:rFonts w:hint="eastAsia" w:ascii="宋体" w:hAnsi="宋体"/>
                <w:sz w:val="24"/>
                <w:highlight w:val="none"/>
                <w:lang w:val="en-US" w:eastAsia="zh-CN"/>
              </w:rPr>
              <w:t>1</w:t>
            </w:r>
            <w:r>
              <w:rPr>
                <w:rFonts w:hint="eastAsia" w:ascii="宋体" w:hAnsi="宋体"/>
                <w:sz w:val="24"/>
                <w:highlight w:val="none"/>
              </w:rPr>
              <w:t>分，本项最高得</w:t>
            </w:r>
            <w:r>
              <w:rPr>
                <w:rFonts w:hint="eastAsia" w:ascii="宋体" w:hAnsi="宋体"/>
                <w:sz w:val="24"/>
                <w:highlight w:val="none"/>
                <w:lang w:val="en-US" w:eastAsia="zh-CN"/>
              </w:rPr>
              <w:t>1</w:t>
            </w:r>
            <w:r>
              <w:rPr>
                <w:rFonts w:hint="eastAsia" w:ascii="宋体" w:hAnsi="宋体"/>
                <w:sz w:val="24"/>
                <w:highlight w:val="none"/>
              </w:rPr>
              <w:t>分</w:t>
            </w:r>
            <w:r>
              <w:rPr>
                <w:rFonts w:hint="eastAsia" w:ascii="宋体" w:hAnsi="宋体"/>
                <w:sz w:val="24"/>
                <w:highlight w:val="none"/>
                <w:lang w:eastAsia="zh-CN"/>
              </w:rPr>
              <w:t>；</w:t>
            </w:r>
          </w:p>
          <w:p>
            <w:pPr>
              <w:rPr>
                <w:rFonts w:hint="eastAsia" w:ascii="宋体" w:hAnsi="宋体" w:eastAsia="宋体"/>
                <w:sz w:val="24"/>
                <w:highlight w:val="none"/>
                <w:lang w:val="en-US" w:eastAsia="zh-CN"/>
              </w:rPr>
            </w:pPr>
            <w:r>
              <w:rPr>
                <w:rFonts w:hint="eastAsia" w:ascii="宋体" w:hAnsi="宋体"/>
                <w:sz w:val="24"/>
                <w:highlight w:val="none"/>
                <w:lang w:val="en-US" w:eastAsia="zh-CN"/>
              </w:rPr>
              <w:t>12.打草</w:t>
            </w:r>
            <w:r>
              <w:rPr>
                <w:rFonts w:hint="eastAsia" w:ascii="宋体" w:hAnsi="宋体"/>
                <w:sz w:val="24"/>
                <w:highlight w:val="none"/>
              </w:rPr>
              <w:t>机一台的得</w:t>
            </w:r>
            <w:r>
              <w:rPr>
                <w:rFonts w:hint="eastAsia" w:ascii="宋体" w:hAnsi="宋体"/>
                <w:sz w:val="24"/>
                <w:highlight w:val="none"/>
                <w:lang w:val="en-US" w:eastAsia="zh-CN"/>
              </w:rPr>
              <w:t>1</w:t>
            </w:r>
            <w:r>
              <w:rPr>
                <w:rFonts w:hint="eastAsia" w:ascii="宋体" w:hAnsi="宋体"/>
                <w:sz w:val="24"/>
                <w:highlight w:val="none"/>
              </w:rPr>
              <w:t>分，本项最高得</w:t>
            </w:r>
            <w:r>
              <w:rPr>
                <w:rFonts w:hint="eastAsia" w:ascii="宋体" w:hAnsi="宋体"/>
                <w:sz w:val="24"/>
                <w:highlight w:val="none"/>
                <w:lang w:val="en-US" w:eastAsia="zh-CN"/>
              </w:rPr>
              <w:t>1</w:t>
            </w:r>
            <w:r>
              <w:rPr>
                <w:rFonts w:hint="eastAsia" w:ascii="宋体" w:hAnsi="宋体"/>
                <w:sz w:val="24"/>
                <w:highlight w:val="none"/>
              </w:rPr>
              <w:t>分</w:t>
            </w:r>
            <w:r>
              <w:rPr>
                <w:rFonts w:hint="eastAsia" w:ascii="宋体" w:hAnsi="宋体"/>
                <w:sz w:val="24"/>
                <w:highlight w:val="none"/>
                <w:lang w:eastAsia="zh-CN"/>
              </w:rPr>
              <w:t>；</w:t>
            </w:r>
          </w:p>
          <w:p>
            <w:pPr>
              <w:rPr>
                <w:rFonts w:hint="eastAsia" w:ascii="宋体" w:hAnsi="宋体" w:eastAsia="宋体"/>
                <w:sz w:val="24"/>
                <w:highlight w:val="none"/>
                <w:lang w:eastAsia="zh-CN"/>
              </w:rPr>
            </w:pPr>
            <w:r>
              <w:rPr>
                <w:rFonts w:hint="eastAsia" w:ascii="宋体" w:hAnsi="宋体"/>
                <w:sz w:val="24"/>
                <w:highlight w:val="none"/>
                <w:lang w:val="en-US" w:eastAsia="zh-CN"/>
              </w:rPr>
              <w:t>13.手推草坪机</w:t>
            </w:r>
            <w:r>
              <w:rPr>
                <w:rFonts w:hint="eastAsia" w:ascii="宋体" w:hAnsi="宋体"/>
                <w:sz w:val="24"/>
                <w:highlight w:val="none"/>
              </w:rPr>
              <w:t>机一台的得</w:t>
            </w:r>
            <w:r>
              <w:rPr>
                <w:rFonts w:hint="eastAsia" w:ascii="宋体" w:hAnsi="宋体"/>
                <w:sz w:val="24"/>
                <w:highlight w:val="none"/>
                <w:lang w:val="en-US" w:eastAsia="zh-CN"/>
              </w:rPr>
              <w:t>1</w:t>
            </w:r>
            <w:r>
              <w:rPr>
                <w:rFonts w:hint="eastAsia" w:ascii="宋体" w:hAnsi="宋体"/>
                <w:sz w:val="24"/>
                <w:highlight w:val="none"/>
              </w:rPr>
              <w:t>分，本项最高得</w:t>
            </w:r>
            <w:r>
              <w:rPr>
                <w:rFonts w:hint="eastAsia" w:ascii="宋体" w:hAnsi="宋体"/>
                <w:sz w:val="24"/>
                <w:highlight w:val="none"/>
                <w:lang w:val="en-US" w:eastAsia="zh-CN"/>
              </w:rPr>
              <w:t>1</w:t>
            </w:r>
            <w:r>
              <w:rPr>
                <w:rFonts w:hint="eastAsia" w:ascii="宋体" w:hAnsi="宋体"/>
                <w:sz w:val="24"/>
                <w:highlight w:val="none"/>
              </w:rPr>
              <w:t>分</w:t>
            </w:r>
            <w:r>
              <w:rPr>
                <w:rFonts w:hint="eastAsia" w:ascii="宋体" w:hAnsi="宋体"/>
                <w:sz w:val="24"/>
                <w:highlight w:val="none"/>
                <w:lang w:eastAsia="zh-CN"/>
              </w:rPr>
              <w:t>；</w:t>
            </w:r>
          </w:p>
          <w:p>
            <w:pPr>
              <w:rPr>
                <w:rFonts w:hint="default" w:ascii="宋体" w:hAnsi="宋体"/>
                <w:sz w:val="24"/>
                <w:highlight w:val="none"/>
                <w:lang w:val="en-US" w:eastAsia="zh-CN"/>
              </w:rPr>
            </w:pPr>
            <w:r>
              <w:rPr>
                <w:rFonts w:hint="eastAsia" w:ascii="宋体" w:hAnsi="宋体"/>
                <w:sz w:val="24"/>
                <w:highlight w:val="none"/>
                <w:lang w:val="en-US" w:eastAsia="zh-CN"/>
              </w:rPr>
              <w:t>14.吸粪车一辆得1分，</w:t>
            </w:r>
            <w:r>
              <w:rPr>
                <w:rFonts w:hint="eastAsia" w:ascii="宋体" w:hAnsi="宋体"/>
                <w:sz w:val="24"/>
                <w:highlight w:val="none"/>
              </w:rPr>
              <w:t>本项最高得</w:t>
            </w:r>
            <w:r>
              <w:rPr>
                <w:rFonts w:hint="eastAsia" w:ascii="宋体" w:hAnsi="宋体"/>
                <w:sz w:val="24"/>
                <w:highlight w:val="none"/>
                <w:lang w:val="en-US" w:eastAsia="zh-CN"/>
              </w:rPr>
              <w:t>2</w:t>
            </w:r>
            <w:r>
              <w:rPr>
                <w:rFonts w:hint="eastAsia" w:ascii="宋体" w:hAnsi="宋体"/>
                <w:sz w:val="24"/>
                <w:highlight w:val="none"/>
              </w:rPr>
              <w:t>分</w:t>
            </w:r>
            <w:r>
              <w:rPr>
                <w:rFonts w:hint="eastAsia" w:ascii="宋体" w:hAnsi="宋体"/>
                <w:sz w:val="24"/>
                <w:highlight w:val="none"/>
                <w:lang w:eastAsia="zh-CN"/>
              </w:rPr>
              <w:t>。</w:t>
            </w:r>
          </w:p>
          <w:p>
            <w:pPr>
              <w:rPr>
                <w:rFonts w:hint="eastAsia" w:ascii="宋体" w:hAnsi="宋体"/>
                <w:sz w:val="24"/>
                <w:highlight w:val="none"/>
              </w:rPr>
            </w:pPr>
            <w:r>
              <w:rPr>
                <w:rFonts w:hint="eastAsia" w:ascii="宋体" w:hAnsi="宋体"/>
                <w:sz w:val="24"/>
                <w:highlight w:val="none"/>
              </w:rPr>
              <w:t>（以上证明材料以发票</w:t>
            </w:r>
            <w:r>
              <w:rPr>
                <w:rFonts w:hint="eastAsia" w:ascii="宋体" w:hAnsi="宋体"/>
                <w:sz w:val="24"/>
                <w:highlight w:val="none"/>
                <w:lang w:eastAsia="zh-CN"/>
              </w:rPr>
              <w:t>及购买合同，合格证，行驶证</w:t>
            </w:r>
            <w:r>
              <w:rPr>
                <w:rFonts w:hint="eastAsia" w:ascii="宋体" w:hAnsi="宋体"/>
                <w:sz w:val="24"/>
                <w:highlight w:val="none"/>
              </w:rPr>
              <w:t>为准，</w:t>
            </w:r>
            <w:r>
              <w:rPr>
                <w:rFonts w:hint="eastAsia" w:ascii="宋体" w:hAnsi="宋体"/>
                <w:sz w:val="24"/>
                <w:highlight w:val="none"/>
                <w:lang w:eastAsia="zh-CN"/>
              </w:rPr>
              <w:t>另车辆排放标准为国三的不得分</w:t>
            </w:r>
            <w:r>
              <w:rPr>
                <w:rFonts w:hint="eastAsia" w:ascii="宋体" w:hAnsi="宋体"/>
                <w:sz w:val="24"/>
                <w:highlight w:val="none"/>
              </w:rPr>
              <w:t>）</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w:t>
            </w:r>
            <w:r>
              <w:rPr>
                <w:rFonts w:hint="eastAsia" w:ascii="宋体" w:hAnsi="宋体"/>
                <w:sz w:val="24"/>
                <w:highlight w:val="none"/>
                <w:lang w:val="en-US" w:eastAsia="zh-CN"/>
              </w:rPr>
              <w:t>40</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restart"/>
            <w:noWrap w:val="0"/>
            <w:vAlign w:val="center"/>
          </w:tcPr>
          <w:p>
            <w:pPr>
              <w:jc w:val="center"/>
              <w:rPr>
                <w:rFonts w:hint="eastAsia" w:ascii="宋体" w:hAnsi="宋体"/>
                <w:sz w:val="24"/>
                <w:highlight w:val="none"/>
              </w:rPr>
            </w:pPr>
            <w:r>
              <w:rPr>
                <w:rFonts w:hint="eastAsia" w:ascii="宋体" w:hAnsi="宋体"/>
                <w:sz w:val="24"/>
                <w:highlight w:val="none"/>
              </w:rPr>
              <w:t>技</w:t>
            </w:r>
          </w:p>
          <w:p>
            <w:pPr>
              <w:jc w:val="center"/>
              <w:rPr>
                <w:rFonts w:hint="eastAsia" w:ascii="宋体" w:hAnsi="宋体"/>
                <w:sz w:val="24"/>
                <w:highlight w:val="none"/>
              </w:rPr>
            </w:pPr>
            <w:r>
              <w:rPr>
                <w:rFonts w:hint="eastAsia" w:ascii="宋体" w:hAnsi="宋体"/>
                <w:sz w:val="24"/>
                <w:highlight w:val="none"/>
              </w:rPr>
              <w:t>术</w:t>
            </w:r>
          </w:p>
          <w:p>
            <w:pPr>
              <w:jc w:val="center"/>
              <w:rPr>
                <w:rFonts w:hint="eastAsia" w:ascii="宋体" w:hAnsi="宋体"/>
                <w:sz w:val="24"/>
                <w:highlight w:val="none"/>
              </w:rPr>
            </w:pPr>
            <w:r>
              <w:rPr>
                <w:rFonts w:hint="eastAsia" w:ascii="宋体" w:hAnsi="宋体"/>
                <w:sz w:val="24"/>
                <w:highlight w:val="none"/>
              </w:rPr>
              <w:t>分</w:t>
            </w:r>
          </w:p>
          <w:p>
            <w:pPr>
              <w:jc w:val="center"/>
              <w:rPr>
                <w:rFonts w:hint="eastAsia" w:ascii="宋体" w:hAnsi="宋体"/>
                <w:sz w:val="24"/>
                <w:highlight w:val="none"/>
              </w:rPr>
            </w:pPr>
            <w:r>
              <w:rPr>
                <w:rFonts w:hint="eastAsia" w:ascii="宋体" w:hAnsi="宋体"/>
                <w:sz w:val="24"/>
                <w:highlight w:val="none"/>
              </w:rPr>
              <w:t>40</w:t>
            </w:r>
          </w:p>
          <w:p>
            <w:pPr>
              <w:jc w:val="center"/>
              <w:rPr>
                <w:rFonts w:hint="eastAsia" w:ascii="宋体" w:hAnsi="宋体"/>
                <w:sz w:val="24"/>
                <w:highlight w:val="none"/>
              </w:rPr>
            </w:pPr>
            <w:r>
              <w:rPr>
                <w:rFonts w:hint="eastAsia" w:ascii="宋体" w:hAnsi="宋体"/>
                <w:sz w:val="24"/>
                <w:highlight w:val="none"/>
              </w:rPr>
              <w:t>分</w:t>
            </w:r>
          </w:p>
        </w:tc>
        <w:tc>
          <w:tcPr>
            <w:tcW w:w="1575" w:type="dxa"/>
            <w:vMerge w:val="restart"/>
            <w:noWrap w:val="0"/>
            <w:vAlign w:val="center"/>
          </w:tcPr>
          <w:p>
            <w:pPr>
              <w:jc w:val="center"/>
              <w:rPr>
                <w:rFonts w:hint="eastAsia" w:ascii="宋体" w:hAnsi="宋体"/>
                <w:sz w:val="24"/>
                <w:highlight w:val="none"/>
              </w:rPr>
            </w:pPr>
            <w:r>
              <w:rPr>
                <w:rFonts w:hint="eastAsia" w:ascii="宋体" w:hAnsi="宋体"/>
                <w:sz w:val="24"/>
                <w:highlight w:val="none"/>
              </w:rPr>
              <w:t>保洁和绿化服务施工组织方案</w:t>
            </w:r>
          </w:p>
        </w:tc>
        <w:tc>
          <w:tcPr>
            <w:tcW w:w="6405" w:type="dxa"/>
            <w:noWrap w:val="0"/>
            <w:vAlign w:val="center"/>
          </w:tcPr>
          <w:p>
            <w:pPr>
              <w:jc w:val="left"/>
              <w:rPr>
                <w:rFonts w:hint="eastAsia" w:ascii="宋体" w:hAnsi="宋体"/>
                <w:sz w:val="24"/>
                <w:highlight w:val="none"/>
              </w:rPr>
            </w:pPr>
            <w:r>
              <w:rPr>
                <w:rFonts w:hint="eastAsia" w:ascii="宋体" w:hAnsi="宋体"/>
                <w:sz w:val="24"/>
                <w:highlight w:val="none"/>
              </w:rPr>
              <w:t>投标人管理组织是否健全，酌情给分。</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none"/>
              </w:rPr>
            </w:pPr>
          </w:p>
        </w:tc>
        <w:tc>
          <w:tcPr>
            <w:tcW w:w="1575" w:type="dxa"/>
            <w:vMerge w:val="continue"/>
            <w:noWrap w:val="0"/>
            <w:vAlign w:val="center"/>
          </w:tcPr>
          <w:p>
            <w:pPr>
              <w:jc w:val="center"/>
              <w:rPr>
                <w:rFonts w:hint="eastAsia" w:ascii="宋体" w:hAnsi="宋体"/>
                <w:sz w:val="24"/>
                <w:highlight w:val="none"/>
              </w:rPr>
            </w:pPr>
          </w:p>
        </w:tc>
        <w:tc>
          <w:tcPr>
            <w:tcW w:w="6405" w:type="dxa"/>
            <w:noWrap w:val="0"/>
            <w:vAlign w:val="center"/>
          </w:tcPr>
          <w:p>
            <w:pPr>
              <w:jc w:val="left"/>
              <w:rPr>
                <w:rFonts w:hint="eastAsia" w:ascii="宋体" w:hAnsi="宋体"/>
                <w:sz w:val="24"/>
                <w:highlight w:val="none"/>
              </w:rPr>
            </w:pPr>
            <w:r>
              <w:rPr>
                <w:rFonts w:hint="eastAsia" w:ascii="宋体" w:hAnsi="宋体"/>
                <w:sz w:val="24"/>
                <w:highlight w:val="none"/>
              </w:rPr>
              <w:t>投标人管理制度是否全面合理，酌情给分。</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none"/>
              </w:rPr>
            </w:pPr>
          </w:p>
        </w:tc>
        <w:tc>
          <w:tcPr>
            <w:tcW w:w="1575" w:type="dxa"/>
            <w:vMerge w:val="continue"/>
            <w:noWrap w:val="0"/>
            <w:vAlign w:val="center"/>
          </w:tcPr>
          <w:p>
            <w:pPr>
              <w:jc w:val="center"/>
              <w:rPr>
                <w:rFonts w:hint="eastAsia" w:ascii="宋体" w:hAnsi="宋体"/>
                <w:sz w:val="24"/>
                <w:highlight w:val="none"/>
              </w:rPr>
            </w:pPr>
          </w:p>
        </w:tc>
        <w:tc>
          <w:tcPr>
            <w:tcW w:w="6405" w:type="dxa"/>
            <w:noWrap w:val="0"/>
            <w:vAlign w:val="center"/>
          </w:tcPr>
          <w:p>
            <w:pPr>
              <w:jc w:val="center"/>
              <w:rPr>
                <w:rFonts w:hint="eastAsia" w:ascii="宋体" w:hAnsi="宋体" w:eastAsia="宋体"/>
                <w:sz w:val="24"/>
                <w:highlight w:val="none"/>
                <w:lang w:eastAsia="zh-CN"/>
              </w:rPr>
            </w:pPr>
            <w:r>
              <w:rPr>
                <w:rFonts w:hint="eastAsia"/>
                <w:sz w:val="24"/>
                <w:highlight w:val="none"/>
              </w:rPr>
              <w:t>服务响应承诺：根据投标人的服务响应时间，解决问题的时间等承诺情况给分</w:t>
            </w:r>
            <w:r>
              <w:rPr>
                <w:rFonts w:hint="eastAsia"/>
                <w:sz w:val="24"/>
                <w:highlight w:val="none"/>
                <w:lang w:eastAsia="zh-CN"/>
              </w:rPr>
              <w:t>。</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none"/>
              </w:rPr>
            </w:pPr>
          </w:p>
        </w:tc>
        <w:tc>
          <w:tcPr>
            <w:tcW w:w="1575" w:type="dxa"/>
            <w:vMerge w:val="continue"/>
            <w:noWrap w:val="0"/>
            <w:vAlign w:val="center"/>
          </w:tcPr>
          <w:p>
            <w:pPr>
              <w:jc w:val="center"/>
              <w:rPr>
                <w:rFonts w:hint="eastAsia" w:ascii="宋体" w:hAnsi="宋体"/>
                <w:sz w:val="24"/>
                <w:highlight w:val="none"/>
              </w:rPr>
            </w:pPr>
          </w:p>
        </w:tc>
        <w:tc>
          <w:tcPr>
            <w:tcW w:w="6405" w:type="dxa"/>
            <w:noWrap w:val="0"/>
            <w:vAlign w:val="center"/>
          </w:tcPr>
          <w:p>
            <w:pPr>
              <w:jc w:val="left"/>
              <w:rPr>
                <w:rFonts w:hint="eastAsia" w:ascii="宋体" w:hAnsi="宋体"/>
                <w:sz w:val="24"/>
                <w:highlight w:val="none"/>
              </w:rPr>
            </w:pPr>
            <w:r>
              <w:rPr>
                <w:rFonts w:hint="eastAsia" w:ascii="宋体" w:hAnsi="宋体"/>
                <w:sz w:val="24"/>
                <w:highlight w:val="none"/>
              </w:rPr>
              <w:t>保洁作业方案是否切实可行，酌情给分。</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none"/>
              </w:rPr>
            </w:pPr>
          </w:p>
        </w:tc>
        <w:tc>
          <w:tcPr>
            <w:tcW w:w="1575" w:type="dxa"/>
            <w:vMerge w:val="continue"/>
            <w:noWrap w:val="0"/>
            <w:vAlign w:val="center"/>
          </w:tcPr>
          <w:p>
            <w:pPr>
              <w:jc w:val="center"/>
              <w:rPr>
                <w:rFonts w:hint="eastAsia" w:ascii="宋体" w:hAnsi="宋体"/>
                <w:sz w:val="24"/>
                <w:highlight w:val="none"/>
              </w:rPr>
            </w:pPr>
          </w:p>
        </w:tc>
        <w:tc>
          <w:tcPr>
            <w:tcW w:w="6405" w:type="dxa"/>
            <w:noWrap w:val="0"/>
            <w:vAlign w:val="center"/>
          </w:tcPr>
          <w:p>
            <w:pPr>
              <w:spacing w:line="400" w:lineRule="atLeast"/>
              <w:jc w:val="left"/>
              <w:rPr>
                <w:sz w:val="24"/>
                <w:highlight w:val="none"/>
              </w:rPr>
            </w:pPr>
            <w:r>
              <w:rPr>
                <w:rFonts w:hint="eastAsia"/>
                <w:sz w:val="24"/>
                <w:szCs w:val="24"/>
                <w:highlight w:val="none"/>
              </w:rPr>
              <w:t>项目实施的人员安排配置情况：</w:t>
            </w:r>
          </w:p>
          <w:p>
            <w:pPr>
              <w:jc w:val="left"/>
              <w:rPr>
                <w:rFonts w:hint="eastAsia" w:ascii="宋体" w:hAnsi="宋体"/>
                <w:sz w:val="24"/>
                <w:highlight w:val="none"/>
              </w:rPr>
            </w:pPr>
            <w:r>
              <w:rPr>
                <w:rFonts w:hint="eastAsia"/>
                <w:sz w:val="24"/>
                <w:szCs w:val="24"/>
                <w:highlight w:val="none"/>
              </w:rPr>
              <w:t>人员岗位安排分配明细情况，包括人员数量、配备是否合理，各岗位的配置和劳动 力的投入是否经优化配置、充分满足各岗位和工作量的需要；</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yellow"/>
              </w:rPr>
            </w:pPr>
          </w:p>
        </w:tc>
        <w:tc>
          <w:tcPr>
            <w:tcW w:w="1575" w:type="dxa"/>
            <w:vMerge w:val="continue"/>
            <w:noWrap w:val="0"/>
            <w:vAlign w:val="center"/>
          </w:tcPr>
          <w:p>
            <w:pPr>
              <w:jc w:val="center"/>
              <w:rPr>
                <w:rFonts w:hint="eastAsia" w:ascii="宋体" w:hAnsi="宋体"/>
                <w:sz w:val="24"/>
                <w:highlight w:val="yellow"/>
              </w:rPr>
            </w:pPr>
          </w:p>
        </w:tc>
        <w:tc>
          <w:tcPr>
            <w:tcW w:w="6405" w:type="dxa"/>
            <w:noWrap w:val="0"/>
            <w:vAlign w:val="center"/>
          </w:tcPr>
          <w:p>
            <w:pPr>
              <w:jc w:val="left"/>
              <w:rPr>
                <w:rFonts w:hint="eastAsia" w:ascii="宋体" w:hAnsi="宋体"/>
                <w:sz w:val="24"/>
                <w:highlight w:val="none"/>
              </w:rPr>
            </w:pPr>
            <w:r>
              <w:rPr>
                <w:rFonts w:hint="eastAsia" w:ascii="宋体" w:hAnsi="宋体"/>
                <w:sz w:val="24"/>
                <w:highlight w:val="none"/>
              </w:rPr>
              <w:t>规范和标准是否明确且切实可行，酌情给分。</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yellow"/>
              </w:rPr>
            </w:pPr>
          </w:p>
        </w:tc>
        <w:tc>
          <w:tcPr>
            <w:tcW w:w="1575" w:type="dxa"/>
            <w:vMerge w:val="continue"/>
            <w:noWrap w:val="0"/>
            <w:vAlign w:val="center"/>
          </w:tcPr>
          <w:p>
            <w:pPr>
              <w:jc w:val="center"/>
              <w:rPr>
                <w:rFonts w:hint="eastAsia" w:ascii="宋体" w:hAnsi="宋体"/>
                <w:sz w:val="24"/>
                <w:highlight w:val="yellow"/>
              </w:rPr>
            </w:pPr>
          </w:p>
        </w:tc>
        <w:tc>
          <w:tcPr>
            <w:tcW w:w="6405" w:type="dxa"/>
            <w:noWrap w:val="0"/>
            <w:vAlign w:val="center"/>
          </w:tcPr>
          <w:p>
            <w:pPr>
              <w:jc w:val="left"/>
              <w:rPr>
                <w:rFonts w:hint="eastAsia" w:ascii="宋体" w:hAnsi="宋体"/>
                <w:sz w:val="24"/>
                <w:highlight w:val="none"/>
              </w:rPr>
            </w:pPr>
            <w:r>
              <w:rPr>
                <w:rFonts w:hint="eastAsia" w:ascii="宋体" w:hAnsi="宋体"/>
                <w:sz w:val="24"/>
                <w:highlight w:val="none"/>
              </w:rPr>
              <w:t>质量保证体系和质量保证措施是否完善、先进可靠，酌情给分。</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yellow"/>
              </w:rPr>
            </w:pPr>
          </w:p>
        </w:tc>
        <w:tc>
          <w:tcPr>
            <w:tcW w:w="1575" w:type="dxa"/>
            <w:vMerge w:val="continue"/>
            <w:noWrap w:val="0"/>
            <w:vAlign w:val="center"/>
          </w:tcPr>
          <w:p>
            <w:pPr>
              <w:jc w:val="center"/>
              <w:rPr>
                <w:rFonts w:hint="eastAsia" w:ascii="宋体" w:hAnsi="宋体"/>
                <w:sz w:val="24"/>
                <w:highlight w:val="yellow"/>
              </w:rPr>
            </w:pPr>
          </w:p>
        </w:tc>
        <w:tc>
          <w:tcPr>
            <w:tcW w:w="6405" w:type="dxa"/>
            <w:noWrap w:val="0"/>
            <w:vAlign w:val="center"/>
          </w:tcPr>
          <w:p>
            <w:pPr>
              <w:jc w:val="left"/>
              <w:rPr>
                <w:rFonts w:hint="eastAsia" w:ascii="宋体" w:hAnsi="宋体"/>
                <w:sz w:val="24"/>
                <w:highlight w:val="none"/>
              </w:rPr>
            </w:pPr>
            <w:r>
              <w:rPr>
                <w:rFonts w:hint="eastAsia" w:ascii="宋体" w:hAnsi="宋体"/>
                <w:sz w:val="24"/>
                <w:highlight w:val="none"/>
              </w:rPr>
              <w:t>文明安全保证体系和安全保证措施是否完善、先进可靠，酌情给分。</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yellow"/>
              </w:rPr>
            </w:pPr>
          </w:p>
        </w:tc>
        <w:tc>
          <w:tcPr>
            <w:tcW w:w="1575" w:type="dxa"/>
            <w:vMerge w:val="continue"/>
            <w:noWrap w:val="0"/>
            <w:vAlign w:val="center"/>
          </w:tcPr>
          <w:p>
            <w:pPr>
              <w:jc w:val="center"/>
              <w:rPr>
                <w:rFonts w:hint="eastAsia" w:ascii="宋体" w:hAnsi="宋体"/>
                <w:sz w:val="24"/>
                <w:highlight w:val="yellow"/>
              </w:rPr>
            </w:pPr>
          </w:p>
        </w:tc>
        <w:tc>
          <w:tcPr>
            <w:tcW w:w="6405" w:type="dxa"/>
            <w:noWrap w:val="0"/>
            <w:vAlign w:val="center"/>
          </w:tcPr>
          <w:p>
            <w:pPr>
              <w:spacing w:line="400" w:lineRule="atLeast"/>
              <w:jc w:val="left"/>
              <w:rPr>
                <w:sz w:val="24"/>
                <w:highlight w:val="none"/>
              </w:rPr>
            </w:pPr>
            <w:r>
              <w:rPr>
                <w:rFonts w:hint="eastAsia"/>
                <w:sz w:val="24"/>
                <w:highlight w:val="none"/>
              </w:rPr>
              <w:t>突发事件的应急措施：</w:t>
            </w:r>
          </w:p>
          <w:p>
            <w:pPr>
              <w:spacing w:line="400" w:lineRule="atLeast"/>
              <w:jc w:val="left"/>
              <w:rPr>
                <w:rFonts w:hint="eastAsia" w:eastAsia="宋体"/>
                <w:sz w:val="24"/>
                <w:highlight w:val="none"/>
                <w:lang w:eastAsia="zh-CN"/>
              </w:rPr>
            </w:pPr>
            <w:r>
              <w:rPr>
                <w:rFonts w:hint="eastAsia"/>
                <w:sz w:val="24"/>
                <w:highlight w:val="none"/>
              </w:rPr>
              <w:t>对管理区域内安全防范措施、消防、抗台、抗震等紧急预案</w:t>
            </w:r>
            <w:r>
              <w:rPr>
                <w:rFonts w:hint="eastAsia"/>
                <w:sz w:val="24"/>
                <w:highlight w:val="none"/>
                <w:lang w:eastAsia="zh-CN"/>
              </w:rPr>
              <w:t>。</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38" w:type="dxa"/>
            <w:vMerge w:val="continue"/>
            <w:noWrap w:val="0"/>
            <w:vAlign w:val="center"/>
          </w:tcPr>
          <w:p>
            <w:pPr>
              <w:rPr>
                <w:rFonts w:hint="eastAsia" w:ascii="宋体" w:hAnsi="宋体"/>
                <w:sz w:val="24"/>
                <w:highlight w:val="yellow"/>
              </w:rPr>
            </w:pPr>
          </w:p>
        </w:tc>
        <w:tc>
          <w:tcPr>
            <w:tcW w:w="1575" w:type="dxa"/>
            <w:noWrap w:val="0"/>
            <w:vAlign w:val="center"/>
          </w:tcPr>
          <w:p>
            <w:pPr>
              <w:jc w:val="center"/>
              <w:rPr>
                <w:rFonts w:hint="eastAsia" w:ascii="宋体" w:hAnsi="宋体"/>
                <w:sz w:val="24"/>
                <w:highlight w:val="yellow"/>
              </w:rPr>
            </w:pPr>
            <w:r>
              <w:rPr>
                <w:rFonts w:hint="eastAsia" w:ascii="宋体" w:hAnsi="宋体"/>
                <w:sz w:val="24"/>
                <w:highlight w:val="none"/>
              </w:rPr>
              <w:t>合理化建议</w:t>
            </w:r>
          </w:p>
        </w:tc>
        <w:tc>
          <w:tcPr>
            <w:tcW w:w="6405" w:type="dxa"/>
            <w:noWrap w:val="0"/>
            <w:vAlign w:val="center"/>
          </w:tcPr>
          <w:p>
            <w:pPr>
              <w:jc w:val="left"/>
              <w:rPr>
                <w:rFonts w:hint="eastAsia" w:ascii="宋体" w:hAnsi="宋体"/>
                <w:sz w:val="24"/>
                <w:highlight w:val="none"/>
              </w:rPr>
            </w:pPr>
            <w:r>
              <w:rPr>
                <w:rFonts w:hint="eastAsia" w:ascii="宋体" w:hAnsi="宋体"/>
                <w:sz w:val="24"/>
                <w:highlight w:val="none"/>
              </w:rPr>
              <w:t>根据投标单位提出的合理化、优化建议，酌情打分</w:t>
            </w:r>
          </w:p>
        </w:tc>
        <w:tc>
          <w:tcPr>
            <w:tcW w:w="1110" w:type="dxa"/>
            <w:noWrap w:val="0"/>
            <w:vAlign w:val="center"/>
          </w:tcPr>
          <w:p>
            <w:pPr>
              <w:jc w:val="center"/>
              <w:rPr>
                <w:rFonts w:hint="eastAsia" w:ascii="宋体" w:hAnsi="宋体"/>
                <w:sz w:val="24"/>
                <w:highlight w:val="none"/>
              </w:rPr>
            </w:pPr>
            <w:r>
              <w:rPr>
                <w:rFonts w:hint="eastAsia" w:ascii="宋体" w:hAnsi="宋体"/>
                <w:sz w:val="24"/>
                <w:highlight w:val="none"/>
              </w:rPr>
              <w:t>0—4分</w:t>
            </w:r>
          </w:p>
        </w:tc>
      </w:tr>
    </w:tbl>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3、技术分+商务分=评标委员会所有成员评分合计数/评标委员会组成人员数</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4、价格分（10分）采用低价优先法计算，即满足招标文件要求且投标价格最低的投标报价为评标基准价，其他投标人的价格分按照下列公式计算：</w:t>
      </w:r>
    </w:p>
    <w:p>
      <w:pPr>
        <w:snapToGrid w:val="0"/>
        <w:spacing w:line="600" w:lineRule="exact"/>
        <w:ind w:firstLine="480" w:firstLineChars="200"/>
        <w:rPr>
          <w:rFonts w:hint="eastAsia" w:ascii="宋体" w:hAnsi="宋体" w:cs="宋体"/>
          <w:color w:val="000000"/>
          <w:sz w:val="24"/>
        </w:rPr>
      </w:pPr>
      <w:r>
        <w:rPr>
          <w:rFonts w:hint="eastAsia" w:ascii="宋体" w:hAnsi="宋体" w:cs="宋体"/>
          <w:sz w:val="24"/>
        </w:rPr>
        <w:t>投标报价得分=(评标基准价／投标报价)×价格权值×100（精确到小数点后二位）</w:t>
      </w:r>
      <w:r>
        <w:rPr>
          <w:rFonts w:hint="eastAsia" w:ascii="宋体" w:hAnsi="宋体" w:cs="宋体"/>
          <w:color w:val="000000"/>
          <w:sz w:val="24"/>
        </w:rPr>
        <w:t>因落实政府采购政策进行价格调整的，以调整后的价格计算评标基准价和投标报价。</w:t>
      </w:r>
    </w:p>
    <w:p>
      <w:pPr>
        <w:snapToGrid w:val="0"/>
        <w:spacing w:line="600" w:lineRule="exact"/>
        <w:ind w:firstLine="480" w:firstLineChars="200"/>
        <w:rPr>
          <w:rFonts w:hint="eastAsia" w:ascii="宋体" w:hAnsi="宋体" w:cs="宋体"/>
          <w:b/>
          <w:color w:val="000000"/>
          <w:sz w:val="24"/>
        </w:rPr>
      </w:pPr>
      <w:r>
        <w:rPr>
          <w:rFonts w:hint="eastAsia" w:ascii="宋体" w:hAnsi="宋体" w:cs="宋体"/>
          <w:color w:val="000000"/>
          <w:sz w:val="24"/>
        </w:rPr>
        <w:t>5、投标人评标综合得分=价格分+技术分+商务分</w:t>
      </w:r>
    </w:p>
    <w:p>
      <w:pPr>
        <w:snapToGrid w:val="0"/>
        <w:spacing w:line="600" w:lineRule="exact"/>
        <w:ind w:firstLine="472" w:firstLineChars="196"/>
        <w:rPr>
          <w:rFonts w:hint="eastAsia"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600" w:lineRule="exact"/>
        <w:ind w:left="105" w:leftChars="50" w:firstLine="480" w:firstLineChars="200"/>
        <w:rPr>
          <w:rFonts w:hint="eastAsia"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注：根据浙江省财政厅、浙江省中小企业局转发财政部、工业和信息化部关于印发《政府采购促进中小企业发展暂行办法》的通知（浙财采监[2012]11号），对小型或微型企业的投标报价给予</w:t>
      </w:r>
      <w:r>
        <w:rPr>
          <w:rFonts w:hint="eastAsia" w:ascii="宋体" w:hAnsi="宋体" w:cs="宋体"/>
          <w:color w:val="000000"/>
          <w:sz w:val="24"/>
          <w:u w:val="single"/>
        </w:rPr>
        <w:t>6%</w:t>
      </w:r>
      <w:r>
        <w:rPr>
          <w:rFonts w:hint="eastAsia" w:ascii="宋体" w:hAnsi="宋体" w:cs="宋体"/>
          <w:color w:val="000000"/>
          <w:sz w:val="24"/>
        </w:rPr>
        <w:t>的扣除，并用扣除后的价格计算价格评分。同时符合以下所有要求的投标人被认定为小型、微型企业：</w:t>
      </w:r>
    </w:p>
    <w:p>
      <w:pPr>
        <w:snapToGrid w:val="0"/>
        <w:spacing w:line="600" w:lineRule="exact"/>
        <w:ind w:left="105" w:leftChars="50" w:firstLine="480" w:firstLineChars="200"/>
        <w:rPr>
          <w:rFonts w:hint="eastAsia"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600" w:lineRule="exact"/>
        <w:ind w:left="105" w:leftChars="50" w:firstLine="480" w:firstLineChars="200"/>
        <w:rPr>
          <w:rFonts w:hint="eastAsia"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600" w:lineRule="exact"/>
        <w:ind w:left="105" w:leftChars="50" w:firstLine="480" w:firstLineChars="200"/>
        <w:rPr>
          <w:rFonts w:hint="eastAsia"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600" w:lineRule="exact"/>
        <w:ind w:left="105" w:leftChars="50" w:firstLine="480" w:firstLineChars="200"/>
        <w:rPr>
          <w:rFonts w:hint="eastAsia"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277"/>
        <w:spacing w:line="600" w:lineRule="exact"/>
        <w:ind w:left="360" w:firstLine="0" w:firstLineChars="0"/>
        <w:rPr>
          <w:rFonts w:hint="eastAsia" w:ascii="宋体" w:hAnsi="宋体" w:eastAsia="宋体" w:cs="宋体"/>
          <w:color w:val="000000"/>
          <w:szCs w:val="24"/>
        </w:rPr>
      </w:pPr>
      <w:r>
        <w:rPr>
          <w:rFonts w:hint="eastAsia" w:ascii="宋体" w:hAnsi="宋体" w:eastAsia="宋体" w:cs="宋体"/>
          <w:color w:val="000000"/>
          <w:szCs w:val="24"/>
        </w:rPr>
        <w:t>（5）残疾人福利性单位参加投标【提供《残疾人福利性单位声明函》】，视为小</w:t>
      </w:r>
    </w:p>
    <w:p>
      <w:pPr>
        <w:pStyle w:val="277"/>
        <w:spacing w:line="600" w:lineRule="exact"/>
        <w:ind w:firstLine="141" w:firstLineChars="59"/>
        <w:rPr>
          <w:rFonts w:hint="eastAsia"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1、公开开标后，直到宣布中标单位止，凡属于审查、澄清、评价和比较投标的所有资料，都不应向投标人或与评标无关的其他人泄露。</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2、在投标文件的审查、澄清、评价和比较以及确定中标人过程中，投标人对招标人、招标代理机构和评标委员会施加影响的任何行为，都将导致取消资格。</w:t>
      </w:r>
    </w:p>
    <w:bookmarkEnd w:id="69"/>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（十五）废标</w:t>
      </w:r>
    </w:p>
    <w:p>
      <w:pPr>
        <w:pStyle w:val="31"/>
        <w:snapToGrid w:val="0"/>
        <w:spacing w:line="6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在采购中，出现下列情形之一的，应予废标：</w:t>
      </w:r>
    </w:p>
    <w:p>
      <w:pPr>
        <w:pStyle w:val="31"/>
        <w:snapToGrid w:val="0"/>
        <w:spacing w:line="600" w:lineRule="exact"/>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(1)符合专业条件的供应商或者对招标文件作实质响应的供应商不足3家的；</w:t>
      </w:r>
    </w:p>
    <w:p>
      <w:pPr>
        <w:pStyle w:val="31"/>
        <w:snapToGrid w:val="0"/>
        <w:spacing w:line="600" w:lineRule="exact"/>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(2)出现影响采购公正的违法、违规行为的；</w:t>
      </w:r>
    </w:p>
    <w:p>
      <w:pPr>
        <w:pStyle w:val="31"/>
        <w:snapToGrid w:val="0"/>
        <w:spacing w:line="600" w:lineRule="exact"/>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(3)报价均超过预算，不能支付的；</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color w:val="000000"/>
          <w:sz w:val="24"/>
        </w:rPr>
        <w:t xml:space="preserve">    (4)因重大变故，采购任务取消的。</w:t>
      </w:r>
    </w:p>
    <w:p>
      <w:pPr>
        <w:pStyle w:val="5"/>
        <w:numPr>
          <w:ilvl w:val="2"/>
          <w:numId w:val="0"/>
        </w:numPr>
        <w:tabs>
          <w:tab w:val="clear" w:pos="720"/>
        </w:tabs>
        <w:spacing w:before="0" w:after="0" w:line="600" w:lineRule="exact"/>
        <w:jc w:val="both"/>
        <w:rPr>
          <w:rFonts w:hint="eastAsia" w:ascii="宋体" w:hAnsi="宋体" w:eastAsia="宋体" w:cs="宋体"/>
          <w:sz w:val="24"/>
          <w:szCs w:val="24"/>
        </w:rPr>
      </w:pPr>
      <w:r>
        <w:rPr>
          <w:rFonts w:hint="eastAsia" w:ascii="宋体" w:hAnsi="宋体" w:eastAsia="宋体" w:cs="宋体"/>
          <w:sz w:val="24"/>
          <w:szCs w:val="24"/>
        </w:rPr>
        <w:t>（十六）可中止电子交易活动的情形</w:t>
      </w:r>
    </w:p>
    <w:p>
      <w:pPr>
        <w:spacing w:line="600" w:lineRule="exact"/>
        <w:ind w:firstLine="424" w:firstLineChars="176"/>
        <w:rPr>
          <w:rFonts w:hint="eastAsia" w:ascii="宋体" w:hAnsi="宋体" w:cs="宋体"/>
          <w:color w:val="000000"/>
          <w:sz w:val="24"/>
        </w:rPr>
      </w:pPr>
      <w:r>
        <w:rPr>
          <w:rFonts w:hint="eastAsia" w:ascii="宋体" w:hAnsi="宋体" w:cs="宋体"/>
          <w:b/>
          <w:color w:val="000000"/>
          <w:sz w:val="24"/>
        </w:rPr>
        <w:t>采购过程中出现以下情形，导致电子交易平台无法正常运行，或者无法保证电子交易的公平、公正和安全时，采购组织机构可中止电子交易活动：</w:t>
      </w:r>
    </w:p>
    <w:p>
      <w:pPr>
        <w:spacing w:line="600" w:lineRule="exact"/>
        <w:ind w:firstLine="422" w:firstLineChars="176"/>
        <w:rPr>
          <w:rFonts w:hint="eastAsia" w:ascii="宋体" w:hAnsi="宋体" w:cs="宋体"/>
          <w:color w:val="000000"/>
          <w:sz w:val="24"/>
        </w:rPr>
      </w:pPr>
      <w:r>
        <w:rPr>
          <w:rFonts w:hint="eastAsia" w:ascii="宋体" w:hAnsi="宋体" w:cs="宋体"/>
          <w:color w:val="000000"/>
          <w:sz w:val="24"/>
        </w:rPr>
        <w:t>1、电子交易平台发生故障而无法登录访问的；</w:t>
      </w:r>
    </w:p>
    <w:p>
      <w:pPr>
        <w:spacing w:line="600" w:lineRule="exact"/>
        <w:ind w:firstLine="422" w:firstLineChars="176"/>
        <w:rPr>
          <w:rFonts w:hint="eastAsia" w:ascii="宋体" w:hAnsi="宋体" w:cs="宋体"/>
          <w:color w:val="000000"/>
          <w:sz w:val="24"/>
        </w:rPr>
      </w:pPr>
      <w:r>
        <w:rPr>
          <w:rFonts w:hint="eastAsia" w:ascii="宋体" w:hAnsi="宋体" w:cs="宋体"/>
          <w:color w:val="000000"/>
          <w:sz w:val="24"/>
        </w:rPr>
        <w:t>2、电子交易平台应用或数据库出现错误，不能进行正常操作的；</w:t>
      </w:r>
    </w:p>
    <w:p>
      <w:pPr>
        <w:spacing w:line="600" w:lineRule="exact"/>
        <w:ind w:firstLine="422" w:firstLineChars="176"/>
        <w:rPr>
          <w:rFonts w:hint="eastAsia" w:ascii="宋体" w:hAnsi="宋体" w:cs="宋体"/>
          <w:color w:val="000000"/>
          <w:sz w:val="24"/>
        </w:rPr>
      </w:pPr>
      <w:r>
        <w:rPr>
          <w:rFonts w:hint="eastAsia" w:ascii="宋体" w:hAnsi="宋体" w:cs="宋体"/>
          <w:color w:val="000000"/>
          <w:sz w:val="24"/>
        </w:rPr>
        <w:t>3、电子交易平台发现严重安全漏洞，有潜在泄密危险的；</w:t>
      </w:r>
    </w:p>
    <w:p>
      <w:pPr>
        <w:spacing w:line="600" w:lineRule="exact"/>
        <w:ind w:firstLine="422" w:firstLineChars="176"/>
        <w:rPr>
          <w:rFonts w:hint="eastAsia" w:ascii="宋体" w:hAnsi="宋体" w:cs="宋体"/>
          <w:color w:val="000000"/>
          <w:sz w:val="24"/>
        </w:rPr>
      </w:pPr>
      <w:r>
        <w:rPr>
          <w:rFonts w:hint="eastAsia" w:ascii="宋体" w:hAnsi="宋体" w:cs="宋体"/>
          <w:color w:val="000000"/>
          <w:sz w:val="24"/>
        </w:rPr>
        <w:t>4、病毒发作导致不能进行正常操作的；</w:t>
      </w:r>
    </w:p>
    <w:p>
      <w:pPr>
        <w:spacing w:line="600" w:lineRule="exact"/>
        <w:ind w:firstLine="422" w:firstLineChars="176"/>
        <w:rPr>
          <w:rFonts w:hint="eastAsia" w:ascii="宋体" w:hAnsi="宋体" w:cs="宋体"/>
          <w:color w:val="000000"/>
          <w:sz w:val="24"/>
        </w:rPr>
      </w:pPr>
      <w:r>
        <w:rPr>
          <w:rFonts w:hint="eastAsia" w:ascii="宋体" w:hAnsi="宋体" w:cs="宋体"/>
          <w:color w:val="000000"/>
          <w:sz w:val="24"/>
        </w:rPr>
        <w:t>5、其他无法保证电子交易的公平、公正和安全的情况。</w:t>
      </w:r>
    </w:p>
    <w:p>
      <w:pPr>
        <w:spacing w:line="600" w:lineRule="exact"/>
        <w:ind w:firstLine="424" w:firstLineChars="176"/>
        <w:rPr>
          <w:rFonts w:hint="eastAsia" w:ascii="宋体" w:hAnsi="宋体" w:cs="宋体"/>
          <w:color w:val="000000"/>
          <w:sz w:val="24"/>
        </w:rPr>
      </w:pPr>
      <w:r>
        <w:rPr>
          <w:rFonts w:hint="eastAsia" w:ascii="宋体" w:hAnsi="宋体" w:cs="宋体"/>
          <w:b/>
          <w:color w:val="000000"/>
          <w:sz w:val="24"/>
        </w:rPr>
        <w:t>出现前款规定情形，不影响采购公平、公正性的，采购组织机构可以待上述情形消除后继续组织电子交易活动；影响或可能影响采购公平、公正性的，应当重新采购。</w:t>
      </w:r>
    </w:p>
    <w:p>
      <w:pPr>
        <w:pStyle w:val="4"/>
        <w:numPr>
          <w:ilvl w:val="0"/>
          <w:numId w:val="0"/>
        </w:numPr>
        <w:tabs>
          <w:tab w:val="left" w:pos="1110"/>
        </w:tabs>
        <w:spacing w:line="600" w:lineRule="exact"/>
        <w:ind w:left="560"/>
        <w:rPr>
          <w:rFonts w:hint="eastAsia" w:ascii="宋体" w:hAnsi="宋体" w:eastAsia="宋体" w:cs="宋体"/>
          <w:sz w:val="24"/>
          <w:szCs w:val="24"/>
        </w:rPr>
      </w:pPr>
    </w:p>
    <w:bookmarkEnd w:id="58"/>
    <w:bookmarkEnd w:id="59"/>
    <w:bookmarkEnd w:id="60"/>
    <w:p>
      <w:pPr>
        <w:shd w:val="clear" w:color="auto" w:fill="FFFFFF"/>
        <w:snapToGrid w:val="0"/>
        <w:spacing w:line="600" w:lineRule="exact"/>
        <w:jc w:val="center"/>
        <w:outlineLvl w:val="1"/>
        <w:rPr>
          <w:rFonts w:hint="eastAsia" w:ascii="宋体" w:hAnsi="宋体" w:cs="宋体"/>
          <w:b/>
          <w:bCs/>
          <w:color w:val="000000"/>
          <w:sz w:val="24"/>
        </w:rPr>
      </w:pPr>
      <w:bookmarkStart w:id="70" w:name="_Toc86216995"/>
      <w:bookmarkStart w:id="71" w:name="_Toc233618979"/>
      <w:bookmarkStart w:id="72" w:name="_Toc33194399"/>
      <w:bookmarkStart w:id="73" w:name="_Toc354996703"/>
      <w:bookmarkStart w:id="74" w:name="_Toc91899910"/>
      <w:r>
        <w:rPr>
          <w:rFonts w:hint="eastAsia" w:ascii="宋体" w:hAnsi="宋体" w:cs="宋体"/>
          <w:b/>
          <w:bCs/>
          <w:color w:val="000000"/>
          <w:sz w:val="24"/>
        </w:rPr>
        <w:t>七、</w:t>
      </w:r>
      <w:bookmarkEnd w:id="70"/>
      <w:r>
        <w:rPr>
          <w:rFonts w:hint="eastAsia" w:ascii="宋体" w:hAnsi="宋体" w:cs="宋体"/>
          <w:b/>
          <w:bCs/>
          <w:color w:val="000000"/>
          <w:sz w:val="24"/>
        </w:rPr>
        <w:t>合同签订及其他</w:t>
      </w:r>
      <w:bookmarkEnd w:id="71"/>
      <w:bookmarkEnd w:id="72"/>
      <w:bookmarkEnd w:id="73"/>
    </w:p>
    <w:bookmarkEnd w:id="74"/>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1、确定中标人后，招标代理机构将在发布招标公告的网站上公布评标结果。</w:t>
      </w:r>
    </w:p>
    <w:p>
      <w:pPr>
        <w:shd w:val="clear" w:color="auto" w:fill="FFFFFF"/>
        <w:tabs>
          <w:tab w:val="left" w:pos="0"/>
        </w:tabs>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600" w:lineRule="exact"/>
        <w:ind w:firstLine="540"/>
        <w:rPr>
          <w:rFonts w:hint="eastAsia" w:ascii="宋体" w:hAnsi="宋体" w:cs="宋体"/>
          <w:color w:val="000000"/>
          <w:sz w:val="24"/>
        </w:rPr>
      </w:pPr>
      <w:r>
        <w:rPr>
          <w:rFonts w:hint="eastAsia" w:ascii="宋体" w:hAnsi="宋体" w:cs="宋体"/>
          <w:color w:val="000000"/>
          <w:sz w:val="24"/>
        </w:rPr>
        <w:t>3、在中标人签订合同并生效后，招标代理机构及时将未中标的结果通知其他投标人。</w:t>
      </w:r>
    </w:p>
    <w:p>
      <w:pPr>
        <w:shd w:val="clear" w:color="auto" w:fill="FFFFFF"/>
        <w:snapToGrid w:val="0"/>
        <w:spacing w:line="600" w:lineRule="exact"/>
        <w:ind w:firstLine="540"/>
        <w:rPr>
          <w:rFonts w:hint="eastAsia" w:ascii="宋体" w:hAnsi="宋体" w:cs="宋体"/>
          <w:color w:val="000000"/>
          <w:sz w:val="24"/>
        </w:rPr>
      </w:pPr>
      <w:r>
        <w:rPr>
          <w:rFonts w:hint="eastAsia" w:ascii="宋体" w:hAnsi="宋体" w:cs="宋体"/>
          <w:color w:val="000000"/>
          <w:sz w:val="24"/>
        </w:rPr>
        <w:t>4、如签订合同并生效后，供应商无故拒绝或延期，除按照合同条款处罚外，列入不良行为记录一次，并给予通报。</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（三）付款结算方式</w:t>
      </w:r>
    </w:p>
    <w:p>
      <w:pPr>
        <w:shd w:val="clear" w:color="auto" w:fill="FFFFFF"/>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1.本项目预付款为合同总价的10%。</w:t>
      </w:r>
    </w:p>
    <w:p>
      <w:pPr>
        <w:shd w:val="clear" w:color="auto" w:fill="FFFFFF"/>
        <w:snapToGrid w:val="0"/>
        <w:spacing w:line="600" w:lineRule="exact"/>
        <w:rPr>
          <w:rFonts w:hint="eastAsia" w:ascii="宋体" w:hAnsi="宋体" w:cs="宋体"/>
          <w:b/>
          <w:bCs/>
          <w:color w:val="auto"/>
          <w:sz w:val="24"/>
        </w:rPr>
      </w:pPr>
      <w:r>
        <w:rPr>
          <w:rFonts w:hint="eastAsia" w:ascii="宋体" w:hAnsi="宋体" w:cs="宋体"/>
          <w:b/>
          <w:bCs/>
          <w:color w:val="auto"/>
          <w:sz w:val="24"/>
        </w:rPr>
        <w:t>（四）工期要求</w:t>
      </w:r>
    </w:p>
    <w:p>
      <w:pPr>
        <w:shd w:val="clear" w:color="auto" w:fill="FFFFFF"/>
        <w:snapToGrid w:val="0"/>
        <w:spacing w:line="600" w:lineRule="exact"/>
        <w:ind w:firstLine="482" w:firstLineChars="200"/>
        <w:rPr>
          <w:rFonts w:hint="eastAsia" w:ascii="宋体" w:hAnsi="宋体" w:cs="宋体"/>
          <w:b/>
          <w:color w:val="auto"/>
          <w:sz w:val="24"/>
        </w:rPr>
      </w:pPr>
      <w:r>
        <w:rPr>
          <w:rFonts w:hint="eastAsia" w:ascii="宋体" w:hAnsi="宋体" w:cs="宋体"/>
          <w:b/>
          <w:color w:val="auto"/>
          <w:sz w:val="24"/>
        </w:rPr>
        <w:t>合同签订后。</w:t>
      </w:r>
    </w:p>
    <w:p>
      <w:pPr>
        <w:shd w:val="clear" w:color="auto" w:fill="FFFFFF"/>
        <w:snapToGrid w:val="0"/>
        <w:spacing w:line="600" w:lineRule="exact"/>
        <w:rPr>
          <w:rFonts w:hint="eastAsia" w:ascii="宋体" w:hAnsi="宋体" w:cs="宋体"/>
          <w:color w:val="000000"/>
          <w:kern w:val="0"/>
          <w:sz w:val="24"/>
          <w:lang w:val="zh-CN"/>
        </w:rPr>
      </w:pPr>
      <w:r>
        <w:rPr>
          <w:rFonts w:hint="eastAsia" w:ascii="宋体" w:hAnsi="宋体" w:cs="宋体"/>
          <w:b/>
          <w:bCs/>
          <w:color w:val="000000"/>
          <w:sz w:val="24"/>
        </w:rPr>
        <w:t>（五）采购方式改变</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napToGrid w:val="0"/>
        <w:spacing w:line="600" w:lineRule="exact"/>
        <w:rPr>
          <w:rFonts w:hint="eastAsia" w:ascii="宋体" w:hAnsi="宋体" w:cs="宋体"/>
          <w:b/>
          <w:color w:val="000000"/>
          <w:sz w:val="24"/>
        </w:rPr>
      </w:pPr>
      <w:r>
        <w:rPr>
          <w:rFonts w:hint="eastAsia" w:ascii="宋体" w:hAnsi="宋体" w:cs="宋体"/>
          <w:b/>
          <w:color w:val="000000"/>
          <w:sz w:val="24"/>
        </w:rPr>
        <w:t>（六）质疑和投诉</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600" w:lineRule="exact"/>
        <w:ind w:firstLine="480" w:firstLineChars="200"/>
        <w:rPr>
          <w:rFonts w:hint="eastAsia" w:ascii="宋体" w:hAnsi="宋体" w:cs="宋体"/>
          <w:color w:val="000000"/>
          <w:sz w:val="24"/>
        </w:rPr>
      </w:pPr>
      <w:r>
        <w:rPr>
          <w:rFonts w:hint="eastAsia" w:ascii="宋体" w:hAnsi="宋体" w:cs="宋体"/>
          <w:snapToGrid w:val="0"/>
          <w:color w:val="000000"/>
          <w:kern w:val="0"/>
          <w:sz w:val="24"/>
        </w:rPr>
        <w:t>1、</w:t>
      </w:r>
      <w:r>
        <w:rPr>
          <w:rFonts w:hint="eastAsia" w:ascii="宋体" w:hAnsi="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600" w:lineRule="exact"/>
        <w:ind w:firstLine="360" w:firstLineChars="150"/>
        <w:rPr>
          <w:rFonts w:hint="eastAsia" w:ascii="宋体" w:hAnsi="宋体" w:cs="宋体"/>
          <w:color w:val="000000"/>
          <w:sz w:val="24"/>
        </w:rPr>
      </w:pPr>
      <w:r>
        <w:rPr>
          <w:rFonts w:hint="eastAsia" w:ascii="宋体" w:hAnsi="宋体" w:cs="宋体"/>
          <w:color w:val="000000"/>
          <w:sz w:val="24"/>
        </w:rPr>
        <w:t>（1）对可以质疑的招标文件提出质疑的，为收到招标文件之日或者招标文件公告期限届满之日；</w:t>
      </w:r>
    </w:p>
    <w:p>
      <w:pPr>
        <w:snapToGrid w:val="0"/>
        <w:spacing w:line="600" w:lineRule="exact"/>
        <w:ind w:firstLine="360" w:firstLineChars="150"/>
        <w:rPr>
          <w:rFonts w:hint="eastAsia" w:ascii="宋体" w:hAnsi="宋体" w:cs="宋体"/>
          <w:color w:val="000000"/>
          <w:sz w:val="24"/>
        </w:rPr>
      </w:pPr>
      <w:r>
        <w:rPr>
          <w:rFonts w:hint="eastAsia" w:ascii="宋体" w:hAnsi="宋体" w:cs="宋体"/>
          <w:color w:val="000000"/>
          <w:sz w:val="24"/>
        </w:rPr>
        <w:t>（2）对采购过程提出质疑的，为各采购程序环节结束之日；</w:t>
      </w:r>
    </w:p>
    <w:p>
      <w:pPr>
        <w:snapToGrid w:val="0"/>
        <w:spacing w:line="600" w:lineRule="exact"/>
        <w:ind w:firstLine="360" w:firstLineChars="150"/>
        <w:rPr>
          <w:rFonts w:hint="eastAsia" w:ascii="宋体" w:hAnsi="宋体" w:cs="宋体"/>
          <w:color w:val="000000"/>
          <w:sz w:val="24"/>
        </w:rPr>
      </w:pPr>
      <w:r>
        <w:rPr>
          <w:rFonts w:hint="eastAsia" w:ascii="宋体" w:hAnsi="宋体" w:cs="宋体"/>
          <w:color w:val="000000"/>
          <w:sz w:val="24"/>
        </w:rPr>
        <w:t>（3）对成交结果提出质疑的，为成交结果公告期限届满之日。</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2、采购人或者采购代理机构应当在3个工作日内对供应商依法提出的询问作出答复。</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600" w:lineRule="exact"/>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snapToGrid w:val="0"/>
          <w:color w:val="000000"/>
          <w:kern w:val="0"/>
          <w:sz w:val="24"/>
        </w:rPr>
        <w:t>3、</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4、要求投标人在法定质疑期内一次性提出针对同一招标程序环节的质疑。</w:t>
      </w:r>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kern w:val="0"/>
          <w:sz w:val="24"/>
          <w:lang w:val="zh-CN"/>
        </w:rPr>
        <w:t>（七）</w:t>
      </w:r>
      <w:r>
        <w:rPr>
          <w:rFonts w:hint="eastAsia" w:ascii="宋体" w:hAnsi="宋体" w:cs="宋体"/>
          <w:b/>
          <w:bCs/>
          <w:color w:val="000000"/>
          <w:sz w:val="24"/>
        </w:rPr>
        <w:t>解释权</w:t>
      </w:r>
    </w:p>
    <w:p>
      <w:pPr>
        <w:shd w:val="clear" w:color="auto" w:fill="FFFFFF"/>
        <w:snapToGrid w:val="0"/>
        <w:spacing w:line="600" w:lineRule="exact"/>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w:t>
      </w:r>
      <w:r>
        <w:rPr>
          <w:rFonts w:hint="eastAsia" w:ascii="宋体" w:hAnsi="宋体" w:cs="宋体"/>
          <w:color w:val="000000"/>
          <w:sz w:val="24"/>
          <w:lang w:eastAsia="zh-CN"/>
        </w:rPr>
        <w:t>杭州市余杭区黄湖镇人民政府</w:t>
      </w:r>
      <w:r>
        <w:rPr>
          <w:rFonts w:hint="eastAsia" w:ascii="宋体" w:hAnsi="宋体" w:cs="宋体"/>
          <w:color w:val="000000"/>
          <w:sz w:val="24"/>
        </w:rPr>
        <w:t>和杭州政采工程咨询代理有限公司</w:t>
      </w:r>
      <w:r>
        <w:rPr>
          <w:rFonts w:hint="eastAsia" w:ascii="宋体" w:hAnsi="宋体" w:cs="宋体"/>
          <w:color w:val="000000"/>
          <w:spacing w:val="-11"/>
          <w:sz w:val="24"/>
        </w:rPr>
        <w:t>。</w:t>
      </w: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shd w:val="clear" w:color="auto" w:fill="FFFFFF"/>
        <w:snapToGrid w:val="0"/>
        <w:spacing w:line="600" w:lineRule="exact"/>
        <w:ind w:firstLine="436" w:firstLineChars="200"/>
        <w:rPr>
          <w:rFonts w:hint="eastAsia" w:ascii="宋体" w:hAnsi="宋体" w:cs="宋体"/>
          <w:color w:val="000000"/>
          <w:spacing w:val="-11"/>
          <w:sz w:val="24"/>
        </w:rPr>
      </w:pPr>
    </w:p>
    <w:p>
      <w:pPr>
        <w:numPr>
          <w:ilvl w:val="0"/>
          <w:numId w:val="0"/>
        </w:numPr>
        <w:spacing w:line="400" w:lineRule="exact"/>
        <w:ind w:left="600" w:leftChars="0"/>
        <w:rPr>
          <w:rFonts w:hint="eastAsia" w:ascii="宋体" w:hAnsi="宋体" w:cs="宋体"/>
          <w:b/>
          <w:bCs/>
          <w:color w:val="000000"/>
          <w:sz w:val="24"/>
        </w:rPr>
      </w:pPr>
      <w:bookmarkStart w:id="75" w:name="_Toc33194400"/>
      <w:r>
        <w:rPr>
          <w:rFonts w:hint="eastAsia" w:ascii="宋体" w:hAnsi="宋体" w:cs="宋体"/>
          <w:b/>
          <w:bCs/>
          <w:color w:val="000000"/>
          <w:sz w:val="24"/>
          <w:lang w:val="en-US" w:eastAsia="zh-CN"/>
        </w:rPr>
        <w:t xml:space="preserve">               </w:t>
      </w:r>
      <w:r>
        <w:rPr>
          <w:rFonts w:hint="eastAsia" w:ascii="宋体" w:hAnsi="宋体" w:cs="宋体"/>
          <w:b/>
          <w:bCs/>
          <w:color w:val="000000"/>
          <w:sz w:val="24"/>
        </w:rPr>
        <w:t>第三部分  项目技术规范和服务要求</w:t>
      </w:r>
      <w:bookmarkEnd w:id="75"/>
    </w:p>
    <w:p>
      <w:pPr>
        <w:spacing w:line="600" w:lineRule="exact"/>
        <w:rPr>
          <w:rFonts w:hint="eastAsia" w:ascii="宋体" w:hAnsi="宋体" w:cs="宋体"/>
          <w:b/>
          <w:bCs/>
          <w:color w:val="000000"/>
          <w:sz w:val="24"/>
        </w:rPr>
      </w:pPr>
      <w:r>
        <w:rPr>
          <w:rFonts w:hint="eastAsia" w:ascii="宋体" w:hAnsi="宋体" w:cs="宋体"/>
          <w:b/>
          <w:color w:val="000000"/>
          <w:sz w:val="24"/>
          <w:lang w:bidi="ar"/>
        </w:rPr>
        <w:t>一、项目概况：</w:t>
      </w:r>
    </w:p>
    <w:p>
      <w:pPr>
        <w:pStyle w:val="31"/>
        <w:spacing w:line="600" w:lineRule="exact"/>
        <w:ind w:firstLine="482" w:firstLineChars="200"/>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本项目为“交钥匙”项目，采购内容包括按提供符合采购人要求的黄湖集镇范围内的道路保洁、绿化养护、区镇级河道保洁、公厕保洁、全镇范围内的垃圾清运。投标报价包括所有人员的工资、社保、加班费、培训费、通讯设备、低值易耗品、工具及相关设备费、临时性杂项服务费、政策性文件规定及合同包含的所有风险、责任、税费、合理利润等各项全部费用。</w:t>
      </w:r>
    </w:p>
    <w:p>
      <w:pPr>
        <w:pStyle w:val="31"/>
        <w:numPr>
          <w:ilvl w:val="0"/>
          <w:numId w:val="12"/>
        </w:numPr>
        <w:spacing w:line="600" w:lineRule="exact"/>
        <w:ind w:firstLine="482" w:firstLineChars="200"/>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具体服务内容、要求等</w:t>
      </w:r>
    </w:p>
    <w:p>
      <w:pPr>
        <w:numPr>
          <w:ilvl w:val="0"/>
          <w:numId w:val="0"/>
        </w:numPr>
        <w:adjustRightInd w:val="0"/>
        <w:snapToGrid w:val="0"/>
        <w:spacing w:line="360" w:lineRule="auto"/>
        <w:rPr>
          <w:rFonts w:hint="eastAsia" w:ascii="宋体" w:hAnsi="宋体" w:eastAsia="宋体" w:cs="宋体"/>
          <w:b/>
          <w:color w:val="000000"/>
          <w:sz w:val="24"/>
          <w:szCs w:val="24"/>
          <w:lang w:bidi="ar"/>
        </w:rPr>
      </w:pPr>
      <w:r>
        <w:rPr>
          <w:rFonts w:hint="eastAsia" w:ascii="仿宋_GB2312" w:hAnsi="宋体" w:eastAsia="仿宋_GB2312"/>
          <w:b/>
          <w:bCs/>
          <w:sz w:val="24"/>
          <w:lang w:val="en-US" w:eastAsia="zh-CN"/>
        </w:rPr>
        <w:t>1、</w:t>
      </w:r>
      <w:r>
        <w:rPr>
          <w:rFonts w:hint="eastAsia" w:ascii="仿宋_GB2312" w:hAnsi="宋体" w:eastAsia="仿宋_GB2312"/>
          <w:b/>
          <w:bCs/>
          <w:sz w:val="24"/>
        </w:rPr>
        <w:t>保洁服务期：一年</w:t>
      </w:r>
      <w:r>
        <w:rPr>
          <w:rFonts w:hint="eastAsia" w:ascii="仿宋_GB2312" w:hAnsi="宋体" w:eastAsia="仿宋_GB2312"/>
          <w:b/>
          <w:bCs/>
          <w:sz w:val="24"/>
          <w:lang w:eastAsia="zh-CN"/>
        </w:rPr>
        <w:t>。</w:t>
      </w:r>
    </w:p>
    <w:p>
      <w:pPr>
        <w:spacing w:line="400" w:lineRule="exact"/>
        <w:rPr>
          <w:rFonts w:hint="eastAsia" w:ascii="仿宋_GB2312" w:hAnsi="宋体" w:eastAsia="仿宋_GB2312"/>
          <w:b/>
          <w:bCs/>
          <w:sz w:val="24"/>
        </w:rPr>
      </w:pPr>
      <w:r>
        <w:rPr>
          <w:rFonts w:hint="eastAsia" w:ascii="仿宋_GB2312" w:hAnsi="宋体" w:eastAsia="仿宋_GB2312"/>
          <w:b/>
          <w:bCs/>
          <w:sz w:val="24"/>
          <w:lang w:val="en-US" w:eastAsia="zh-CN"/>
        </w:rPr>
        <w:t>2、</w:t>
      </w:r>
      <w:r>
        <w:rPr>
          <w:rFonts w:hint="eastAsia" w:ascii="仿宋_GB2312" w:hAnsi="宋体" w:eastAsia="仿宋_GB2312"/>
          <w:b/>
          <w:bCs/>
          <w:sz w:val="24"/>
        </w:rPr>
        <w:t>保洁范围及相关要求：</w:t>
      </w:r>
    </w:p>
    <w:p>
      <w:pPr>
        <w:spacing w:line="360" w:lineRule="auto"/>
        <w:jc w:val="left"/>
        <w:rPr>
          <w:rFonts w:hint="eastAsia" w:ascii="宋体" w:hAnsi="宋体" w:cs="宋体"/>
          <w:b/>
          <w:sz w:val="24"/>
        </w:rPr>
      </w:pPr>
      <w:r>
        <w:rPr>
          <w:rFonts w:hint="eastAsia" w:ascii="宋体" w:hAnsi="宋体" w:cs="宋体"/>
          <w:b/>
          <w:sz w:val="24"/>
        </w:rPr>
        <w:t>项目概况（</w:t>
      </w:r>
      <w:r>
        <w:rPr>
          <w:rFonts w:hint="eastAsia" w:ascii="宋体" w:hAnsi="宋体" w:cs="宋体"/>
          <w:b/>
          <w:sz w:val="24"/>
          <w:lang w:eastAsia="zh-CN"/>
        </w:rPr>
        <w:t>主要包括道路</w:t>
      </w:r>
      <w:r>
        <w:rPr>
          <w:rFonts w:hint="eastAsia" w:ascii="宋体" w:hAnsi="宋体" w:cs="宋体"/>
          <w:b/>
          <w:sz w:val="24"/>
        </w:rPr>
        <w:t>保洁</w:t>
      </w:r>
      <w:r>
        <w:rPr>
          <w:rFonts w:hint="eastAsia" w:ascii="宋体" w:hAnsi="宋体" w:cs="宋体"/>
          <w:b/>
          <w:sz w:val="24"/>
          <w:lang w:eastAsia="zh-CN"/>
        </w:rPr>
        <w:t>、</w:t>
      </w:r>
      <w:r>
        <w:rPr>
          <w:rFonts w:hint="eastAsia" w:ascii="宋体" w:hAnsi="宋体" w:cs="宋体"/>
          <w:b/>
          <w:sz w:val="24"/>
        </w:rPr>
        <w:t>绿化保洁、养护</w:t>
      </w:r>
      <w:r>
        <w:rPr>
          <w:rFonts w:hint="eastAsia" w:ascii="宋体" w:hAnsi="宋体" w:cs="宋体"/>
          <w:b/>
          <w:sz w:val="24"/>
          <w:lang w:val="en-US" w:eastAsia="zh-CN"/>
        </w:rPr>
        <w:t>、</w:t>
      </w:r>
      <w:r>
        <w:rPr>
          <w:rFonts w:hint="eastAsia" w:ascii="宋体" w:hAnsi="宋体" w:cs="宋体"/>
          <w:b/>
          <w:sz w:val="24"/>
        </w:rPr>
        <w:t>河道</w:t>
      </w:r>
      <w:r>
        <w:rPr>
          <w:rFonts w:hint="eastAsia" w:ascii="宋体" w:hAnsi="宋体" w:cs="宋体"/>
          <w:b/>
          <w:sz w:val="24"/>
          <w:lang w:eastAsia="zh-CN"/>
        </w:rPr>
        <w:t>保洁（涵盖</w:t>
      </w:r>
      <w:r>
        <w:rPr>
          <w:rFonts w:hint="eastAsia" w:ascii="宋体" w:hAnsi="宋体" w:cs="宋体"/>
          <w:b/>
          <w:sz w:val="24"/>
        </w:rPr>
        <w:t>集镇</w:t>
      </w:r>
      <w:r>
        <w:rPr>
          <w:rFonts w:hint="eastAsia" w:ascii="宋体" w:hAnsi="宋体" w:cs="宋体"/>
          <w:b/>
          <w:sz w:val="24"/>
          <w:lang w:eastAsia="zh-CN"/>
        </w:rPr>
        <w:t>内</w:t>
      </w:r>
      <w:r>
        <w:rPr>
          <w:rFonts w:hint="eastAsia" w:ascii="宋体" w:hAnsi="宋体" w:cs="宋体"/>
          <w:b/>
          <w:sz w:val="24"/>
        </w:rPr>
        <w:t>小沟小渠清理</w:t>
      </w:r>
      <w:r>
        <w:rPr>
          <w:rFonts w:hint="eastAsia" w:ascii="宋体" w:hAnsi="宋体" w:cs="宋体"/>
          <w:b/>
          <w:sz w:val="24"/>
          <w:lang w:eastAsia="zh-CN"/>
        </w:rPr>
        <w:t>）</w:t>
      </w:r>
      <w:r>
        <w:rPr>
          <w:rFonts w:hint="eastAsia" w:ascii="宋体" w:hAnsi="宋体" w:cs="宋体"/>
          <w:b/>
          <w:sz w:val="24"/>
        </w:rPr>
        <w:t>+公厕</w:t>
      </w:r>
      <w:r>
        <w:rPr>
          <w:rFonts w:hint="eastAsia" w:ascii="宋体" w:hAnsi="宋体" w:cs="宋体"/>
          <w:b/>
          <w:sz w:val="24"/>
          <w:lang w:eastAsia="zh-CN"/>
        </w:rPr>
        <w:t>保洁</w:t>
      </w:r>
      <w:r>
        <w:rPr>
          <w:rFonts w:hint="eastAsia" w:ascii="宋体" w:hAnsi="宋体" w:cs="宋体"/>
          <w:b/>
          <w:sz w:val="24"/>
        </w:rPr>
        <w:t>+垃圾中转站日常维护+垃圾清运）</w:t>
      </w:r>
    </w:p>
    <w:p>
      <w:pPr>
        <w:spacing w:line="360" w:lineRule="auto"/>
        <w:jc w:val="left"/>
        <w:rPr>
          <w:rFonts w:hint="eastAsia" w:ascii="宋体" w:hAnsi="宋体" w:cs="宋体"/>
          <w:b/>
          <w:sz w:val="24"/>
        </w:rPr>
      </w:pPr>
      <w:r>
        <w:rPr>
          <w:rFonts w:hint="eastAsia" w:ascii="宋体" w:hAnsi="宋体" w:cs="宋体"/>
          <w:b/>
          <w:sz w:val="24"/>
        </w:rPr>
        <w:t>（一）、黄湖集镇的所有道路：</w:t>
      </w:r>
    </w:p>
    <w:p>
      <w:pPr>
        <w:spacing w:line="360" w:lineRule="auto"/>
        <w:jc w:val="left"/>
        <w:rPr>
          <w:rFonts w:hint="eastAsia" w:ascii="宋体" w:hAnsi="宋体" w:cs="宋体"/>
          <w:sz w:val="24"/>
        </w:rPr>
      </w:pPr>
      <w:r>
        <w:rPr>
          <w:rFonts w:hint="eastAsia" w:ascii="宋体" w:hAnsi="宋体" w:cs="宋体"/>
          <w:sz w:val="24"/>
        </w:rPr>
        <w:t>1、保洁范围及内容：区域保洁范围约1.5平方公里，四至范围为东杭长高速出口沿S201省道至黄后路，南工业区，西双后线至迂前北路的***，北黄后桥；道路清扫保洁范围为行车道、人行道、道路绿地以及其他可通行的道路以及周边可视区域（含闲置杂地等）等保洁；具体如下：</w:t>
      </w:r>
    </w:p>
    <w:tbl>
      <w:tblPr>
        <w:tblStyle w:val="76"/>
        <w:tblW w:w="0" w:type="auto"/>
        <w:tblInd w:w="-1024" w:type="dxa"/>
        <w:tblLayout w:type="fixed"/>
        <w:tblCellMar>
          <w:top w:w="0" w:type="dxa"/>
          <w:left w:w="108" w:type="dxa"/>
          <w:bottom w:w="0" w:type="dxa"/>
          <w:right w:w="108" w:type="dxa"/>
        </w:tblCellMar>
      </w:tblPr>
      <w:tblGrid>
        <w:gridCol w:w="1029"/>
        <w:gridCol w:w="2942"/>
        <w:gridCol w:w="1081"/>
        <w:gridCol w:w="1170"/>
        <w:gridCol w:w="1335"/>
        <w:gridCol w:w="1080"/>
        <w:gridCol w:w="1335"/>
      </w:tblGrid>
      <w:tr>
        <w:tblPrEx>
          <w:tblCellMar>
            <w:top w:w="0" w:type="dxa"/>
            <w:left w:w="108" w:type="dxa"/>
            <w:bottom w:w="0" w:type="dxa"/>
            <w:right w:w="108" w:type="dxa"/>
          </w:tblCellMar>
        </w:tblPrEx>
        <w:trPr>
          <w:wBefore w:w="0" w:type="dxa"/>
          <w:wAfter w:w="0" w:type="dxa"/>
          <w:trHeight w:val="323" w:hRule="atLeast"/>
        </w:trPr>
        <w:tc>
          <w:tcPr>
            <w:tcW w:w="10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29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路线简称</w:t>
            </w:r>
          </w:p>
        </w:tc>
        <w:tc>
          <w:tcPr>
            <w:tcW w:w="35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路面</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人行道</w:t>
            </w:r>
          </w:p>
        </w:tc>
      </w:tr>
      <w:tr>
        <w:tblPrEx>
          <w:tblCellMar>
            <w:top w:w="0" w:type="dxa"/>
            <w:left w:w="108" w:type="dxa"/>
            <w:bottom w:w="0" w:type="dxa"/>
            <w:right w:w="108" w:type="dxa"/>
          </w:tblCellMar>
        </w:tblPrEx>
        <w:trPr>
          <w:wBefore w:w="0" w:type="dxa"/>
          <w:wAfter w:w="0" w:type="dxa"/>
          <w:trHeight w:val="135" w:hRule="atLeast"/>
        </w:trPr>
        <w:tc>
          <w:tcPr>
            <w:tcW w:w="10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29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长</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宽</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宽</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w:t>
            </w:r>
          </w:p>
        </w:tc>
      </w:tr>
      <w:tr>
        <w:tblPrEx>
          <w:tblCellMar>
            <w:top w:w="0" w:type="dxa"/>
            <w:left w:w="108" w:type="dxa"/>
            <w:bottom w:w="0" w:type="dxa"/>
            <w:right w:w="108" w:type="dxa"/>
          </w:tblCellMar>
        </w:tblPrEx>
        <w:trPr>
          <w:wBefore w:w="0" w:type="dxa"/>
          <w:wAfter w:w="0" w:type="dxa"/>
          <w:trHeight w:val="1074"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294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宏图路（二类）</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770</w:t>
            </w:r>
          </w:p>
        </w:tc>
        <w:tc>
          <w:tcPr>
            <w:tcW w:w="117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11</w:t>
            </w:r>
          </w:p>
        </w:tc>
        <w:tc>
          <w:tcPr>
            <w:tcW w:w="133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8470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4312</w:t>
            </w:r>
          </w:p>
        </w:tc>
      </w:tr>
      <w:tr>
        <w:tblPrEx>
          <w:tblCellMar>
            <w:top w:w="0" w:type="dxa"/>
            <w:left w:w="108" w:type="dxa"/>
            <w:bottom w:w="0" w:type="dxa"/>
            <w:right w:w="108" w:type="dxa"/>
          </w:tblCellMar>
        </w:tblPrEx>
        <w:trPr>
          <w:wBefore w:w="0" w:type="dxa"/>
          <w:wAfter w:w="0" w:type="dxa"/>
          <w:trHeight w:val="599"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通达路（一类）</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522</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11</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5742</w:t>
            </w:r>
          </w:p>
        </w:tc>
        <w:tc>
          <w:tcPr>
            <w:tcW w:w="10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133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3654</w:t>
            </w:r>
          </w:p>
        </w:tc>
      </w:tr>
      <w:tr>
        <w:tblPrEx>
          <w:tblCellMar>
            <w:top w:w="0" w:type="dxa"/>
            <w:left w:w="108" w:type="dxa"/>
            <w:bottom w:w="0" w:type="dxa"/>
            <w:right w:w="108" w:type="dxa"/>
          </w:tblCellMar>
        </w:tblPrEx>
        <w:trPr>
          <w:wBefore w:w="0" w:type="dxa"/>
          <w:wAfter w:w="0" w:type="dxa"/>
          <w:trHeight w:val="52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清波路（三类）</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543</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11</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5973</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5.2</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2823.6</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永峥路</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873</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6984</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4365</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迂前南路</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433</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5.3</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2294.9</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wBefore w:w="0" w:type="dxa"/>
          <w:wAfter w:w="0" w:type="dxa"/>
          <w:trHeight w:val="421"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迂前北路</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414</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5.3</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2194.9</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黄后公路（桥东段）</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207</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1799</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wBefore w:w="0" w:type="dxa"/>
          <w:wAfter w:w="0" w:type="dxa"/>
          <w:trHeight w:val="212"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双黄公路</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630</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10080</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5040</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通学街</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709</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23</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16307</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4963</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二通道</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253</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2024</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1265</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大溪西侧</w:t>
            </w:r>
          </w:p>
          <w:p>
            <w:pPr>
              <w:spacing w:line="360" w:lineRule="auto"/>
              <w:jc w:val="left"/>
              <w:rPr>
                <w:rFonts w:hint="eastAsia" w:ascii="宋体" w:hAnsi="宋体" w:cs="宋体"/>
                <w:sz w:val="24"/>
                <w:highlight w:val="none"/>
              </w:rPr>
            </w:pPr>
            <w:r>
              <w:rPr>
                <w:rFonts w:hint="eastAsia" w:ascii="宋体" w:hAnsi="宋体" w:cs="宋体"/>
                <w:sz w:val="24"/>
                <w:highlight w:val="none"/>
              </w:rPr>
              <w:t>（黄后公路—通达路）</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706</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6.3</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4447.8</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highlight w:val="none"/>
              </w:rPr>
            </w:pP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highlight w:val="none"/>
              </w:rPr>
            </w:pP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兴湖路</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1658</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19896</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7.3</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4803.6</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u w:val="dotted"/>
              </w:rPr>
              <w:t>良清路</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1350</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4.5</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6075</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湖园街</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420</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6300</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15</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二通道-邮政</w:t>
            </w:r>
          </w:p>
          <w:p>
            <w:pPr>
              <w:spacing w:line="360" w:lineRule="auto"/>
              <w:jc w:val="center"/>
              <w:rPr>
                <w:rFonts w:hint="eastAsia" w:ascii="宋体" w:hAnsi="宋体" w:cs="宋体"/>
                <w:sz w:val="24"/>
              </w:rPr>
            </w:pPr>
            <w:r>
              <w:rPr>
                <w:rFonts w:hint="eastAsia" w:ascii="宋体" w:hAnsi="宋体" w:cs="宋体"/>
                <w:sz w:val="24"/>
              </w:rPr>
              <w:t>（清波农居点）</w:t>
            </w:r>
          </w:p>
        </w:tc>
        <w:tc>
          <w:tcPr>
            <w:tcW w:w="108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160</w:t>
            </w:r>
          </w:p>
        </w:tc>
        <w:tc>
          <w:tcPr>
            <w:tcW w:w="117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1600</w:t>
            </w:r>
          </w:p>
        </w:tc>
        <w:tc>
          <w:tcPr>
            <w:tcW w:w="108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1335"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04省道两侧</w:t>
            </w:r>
          </w:p>
          <w:p>
            <w:pPr>
              <w:spacing w:line="360" w:lineRule="auto"/>
              <w:jc w:val="center"/>
              <w:rPr>
                <w:rFonts w:hint="eastAsia" w:ascii="宋体" w:hAnsi="宋体" w:cs="宋体"/>
                <w:sz w:val="24"/>
              </w:rPr>
            </w:pPr>
            <w:r>
              <w:rPr>
                <w:rFonts w:hint="eastAsia" w:ascii="宋体" w:hAnsi="宋体" w:cs="宋体"/>
                <w:sz w:val="24"/>
              </w:rPr>
              <w:t>（黄后公路-三桥）</w:t>
            </w:r>
          </w:p>
        </w:tc>
        <w:tc>
          <w:tcPr>
            <w:tcW w:w="6001" w:type="dxa"/>
            <w:gridSpan w:val="5"/>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非机动车长1737米，宽合计6米，面积：10422</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17</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大溪两侧游步道</w:t>
            </w:r>
            <w:r>
              <w:rPr>
                <w:rFonts w:hint="eastAsia" w:ascii="宋体" w:hAnsi="宋体" w:cs="宋体"/>
                <w:sz w:val="24"/>
              </w:rPr>
              <w:br w:type="textWrapping"/>
            </w:r>
            <w:r>
              <w:rPr>
                <w:rFonts w:hint="eastAsia" w:ascii="宋体" w:hAnsi="宋体" w:cs="宋体"/>
                <w:sz w:val="24"/>
              </w:rPr>
              <w:t>（黄后公路-东山堰）</w:t>
            </w:r>
          </w:p>
        </w:tc>
        <w:tc>
          <w:tcPr>
            <w:tcW w:w="6001" w:type="dxa"/>
            <w:gridSpan w:val="5"/>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面积：13800平方米</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18</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黄小明小区停车场</w:t>
            </w:r>
          </w:p>
        </w:tc>
        <w:tc>
          <w:tcPr>
            <w:tcW w:w="6001" w:type="dxa"/>
            <w:gridSpan w:val="5"/>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面积：1500平方米</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19</w:t>
            </w:r>
          </w:p>
        </w:tc>
        <w:tc>
          <w:tcPr>
            <w:tcW w:w="2942"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农贸市场停车场（非机动车停车车）</w:t>
            </w:r>
          </w:p>
        </w:tc>
        <w:tc>
          <w:tcPr>
            <w:tcW w:w="6001" w:type="dxa"/>
            <w:gridSpan w:val="5"/>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面积：1000平方米</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20</w:t>
            </w:r>
          </w:p>
        </w:tc>
        <w:tc>
          <w:tcPr>
            <w:tcW w:w="2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停车场四周</w:t>
            </w:r>
          </w:p>
        </w:tc>
        <w:tc>
          <w:tcPr>
            <w:tcW w:w="600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面积：1500平方米</w:t>
            </w:r>
          </w:p>
        </w:tc>
      </w:tr>
      <w:tr>
        <w:tblPrEx>
          <w:tblCellMar>
            <w:top w:w="0" w:type="dxa"/>
            <w:left w:w="108" w:type="dxa"/>
            <w:bottom w:w="0" w:type="dxa"/>
            <w:right w:w="108" w:type="dxa"/>
          </w:tblCellMar>
        </w:tblPrEx>
        <w:trPr>
          <w:wBefore w:w="0" w:type="dxa"/>
          <w:wAfter w:w="0" w:type="dxa"/>
          <w:trHeight w:val="285"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21</w:t>
            </w:r>
          </w:p>
        </w:tc>
        <w:tc>
          <w:tcPr>
            <w:tcW w:w="2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集镇背街小巷</w:t>
            </w:r>
          </w:p>
        </w:tc>
        <w:tc>
          <w:tcPr>
            <w:tcW w:w="600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面积约：5000平方米</w:t>
            </w:r>
          </w:p>
        </w:tc>
      </w:tr>
    </w:tbl>
    <w:p>
      <w:pPr>
        <w:spacing w:line="360" w:lineRule="auto"/>
        <w:jc w:val="left"/>
        <w:rPr>
          <w:rFonts w:hint="eastAsia" w:ascii="宋体" w:hAnsi="宋体" w:cs="宋体"/>
          <w:sz w:val="24"/>
        </w:rPr>
      </w:pPr>
      <w:r>
        <w:rPr>
          <w:rFonts w:hint="eastAsia" w:ascii="宋体" w:hAnsi="宋体" w:cs="宋体"/>
          <w:sz w:val="24"/>
        </w:rPr>
        <w:t>2、保洁标准及相关要求：道路及室外公共场所等级划分及保洁质量、要求等符合下表规定：</w:t>
      </w:r>
    </w:p>
    <w:p>
      <w:pPr>
        <w:spacing w:line="360" w:lineRule="auto"/>
        <w:jc w:val="left"/>
        <w:rPr>
          <w:rFonts w:hint="eastAsia" w:ascii="宋体" w:hAnsi="宋体" w:cs="宋体"/>
          <w:sz w:val="24"/>
        </w:rPr>
      </w:pPr>
      <w:r>
        <w:rPr>
          <w:rFonts w:hint="eastAsia" w:ascii="宋体" w:hAnsi="宋体" w:cs="宋体"/>
          <w:sz w:val="24"/>
        </w:rPr>
        <w:t xml:space="preserve">   道路和室外公共场所等级划分及保洁质量标准</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223"/>
        <w:gridCol w:w="99"/>
        <w:gridCol w:w="1036"/>
        <w:gridCol w:w="1529"/>
        <w:gridCol w:w="220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5" w:hRule="atLeast"/>
        </w:trPr>
        <w:tc>
          <w:tcPr>
            <w:tcW w:w="13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质量标准</w:t>
            </w:r>
          </w:p>
          <w:p>
            <w:pPr>
              <w:spacing w:line="360" w:lineRule="auto"/>
              <w:jc w:val="center"/>
              <w:rPr>
                <w:rFonts w:hint="eastAsia" w:ascii="宋体" w:hAnsi="宋体" w:cs="宋体"/>
                <w:sz w:val="24"/>
              </w:rPr>
            </w:pPr>
            <w:r>
              <w:rPr>
                <w:rFonts w:hint="eastAsia" w:ascii="宋体" w:hAnsi="宋体" w:cs="宋体"/>
                <w:sz w:val="24"/>
              </w:rPr>
              <w:t>保洁等级</w:t>
            </w: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一类</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二类</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三类</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划分依据</w:t>
            </w:r>
          </w:p>
        </w:tc>
        <w:tc>
          <w:tcPr>
            <w:tcW w:w="232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城区商业网点集中路段；车站、码头等交通重点路段；旅游景点、大型文体娱乐场所、广场、展览馆等所在路段；其他对城市形象有重大影响的路段。</w:t>
            </w:r>
          </w:p>
        </w:tc>
        <w:tc>
          <w:tcPr>
            <w:tcW w:w="256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城区商业网点集中路段；公共娱乐场所所在路段。</w:t>
            </w:r>
          </w:p>
        </w:tc>
        <w:tc>
          <w:tcPr>
            <w:tcW w:w="220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城区城郊结合部的交通路段；商业网点较少路段。</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除一、二、三类道路以外的其他道路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质量要求</w:t>
            </w:r>
          </w:p>
        </w:tc>
        <w:tc>
          <w:tcPr>
            <w:tcW w:w="232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w:t>
            </w:r>
          </w:p>
        </w:tc>
        <w:tc>
          <w:tcPr>
            <w:tcW w:w="256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w:t>
            </w:r>
          </w:p>
        </w:tc>
        <w:tc>
          <w:tcPr>
            <w:tcW w:w="220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①路面无垃圾、无杂物、无积泥（沙石），晴天无积水。②雨水井沟眼畅通干净。③绿化内清洁无垃圾、杂物。④环卫设施无破损，箱（桶、房）表面及周围整洁。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保洁时间</w:t>
            </w:r>
          </w:p>
        </w:tc>
        <w:tc>
          <w:tcPr>
            <w:tcW w:w="232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18小时以上</w:t>
            </w:r>
          </w:p>
        </w:tc>
        <w:tc>
          <w:tcPr>
            <w:tcW w:w="256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16小时</w:t>
            </w:r>
          </w:p>
        </w:tc>
        <w:tc>
          <w:tcPr>
            <w:tcW w:w="220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14小时</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普扫完成时间</w:t>
            </w:r>
          </w:p>
        </w:tc>
        <w:tc>
          <w:tcPr>
            <w:tcW w:w="7091"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夏季上午7点前，其他季节上午7点30分前</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每天清扫次数</w:t>
            </w:r>
          </w:p>
        </w:tc>
        <w:tc>
          <w:tcPr>
            <w:tcW w:w="7091"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巡回保洁</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人均保洁面积</w:t>
            </w: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5000m²</w:t>
            </w:r>
          </w:p>
        </w:tc>
        <w:tc>
          <w:tcPr>
            <w:tcW w:w="113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5500m²</w:t>
            </w:r>
          </w:p>
        </w:tc>
        <w:tc>
          <w:tcPr>
            <w:tcW w:w="373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6000m²</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8000m²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有色垃圾滞留时间</w:t>
            </w: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10分钟</w:t>
            </w:r>
          </w:p>
        </w:tc>
        <w:tc>
          <w:tcPr>
            <w:tcW w:w="113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15分钟</w:t>
            </w:r>
          </w:p>
        </w:tc>
        <w:tc>
          <w:tcPr>
            <w:tcW w:w="373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20分钟</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洒水次数</w:t>
            </w: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4次</w:t>
            </w:r>
          </w:p>
        </w:tc>
        <w:tc>
          <w:tcPr>
            <w:tcW w:w="113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3次</w:t>
            </w:r>
          </w:p>
        </w:tc>
        <w:tc>
          <w:tcPr>
            <w:tcW w:w="373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2次</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机扫次数</w:t>
            </w:r>
          </w:p>
        </w:tc>
        <w:tc>
          <w:tcPr>
            <w:tcW w:w="3358"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2次</w:t>
            </w:r>
          </w:p>
        </w:tc>
        <w:tc>
          <w:tcPr>
            <w:tcW w:w="373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1次</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路面清洗</w:t>
            </w: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每周2次</w:t>
            </w:r>
          </w:p>
        </w:tc>
        <w:tc>
          <w:tcPr>
            <w:tcW w:w="113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每月2次</w:t>
            </w:r>
          </w:p>
        </w:tc>
        <w:tc>
          <w:tcPr>
            <w:tcW w:w="373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每月1次</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c>
          <w:tcPr>
            <w:tcW w:w="7091"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气温高于30℃增加洒水次数，气温低于2℃时应停止清洗和洒水</w:t>
            </w: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c>
          <w:tcPr>
            <w:tcW w:w="7091"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p>
        </w:tc>
        <w:tc>
          <w:tcPr>
            <w:tcW w:w="13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p>
        </w:tc>
      </w:tr>
    </w:tbl>
    <w:p>
      <w:pPr>
        <w:spacing w:line="360" w:lineRule="auto"/>
        <w:jc w:val="left"/>
        <w:rPr>
          <w:rFonts w:hint="eastAsia" w:ascii="宋体" w:hAnsi="宋体" w:cs="宋体"/>
          <w:sz w:val="24"/>
        </w:rPr>
      </w:pPr>
      <w:r>
        <w:rPr>
          <w:rFonts w:hint="eastAsia" w:ascii="宋体" w:hAnsi="宋体" w:cs="宋体"/>
          <w:sz w:val="24"/>
        </w:rPr>
        <w:t>桥面、通行隧道、公交站台的保洁质量与所在的道路保洁质量标准相同。</w:t>
      </w:r>
    </w:p>
    <w:p>
      <w:pPr>
        <w:spacing w:line="360" w:lineRule="auto"/>
        <w:jc w:val="left"/>
        <w:rPr>
          <w:rFonts w:hint="eastAsia" w:ascii="宋体" w:hAnsi="宋体" w:cs="宋体"/>
          <w:sz w:val="24"/>
        </w:rPr>
      </w:pPr>
      <w:r>
        <w:rPr>
          <w:rFonts w:hint="eastAsia" w:ascii="宋体" w:hAnsi="宋体" w:cs="宋体"/>
          <w:sz w:val="24"/>
        </w:rPr>
        <w:t>建、构筑物四周及道路周边可视区域内无废弃杂物及成堆成片垃圾和明显散落垃圾。</w:t>
      </w:r>
    </w:p>
    <w:p>
      <w:pPr>
        <w:spacing w:line="360" w:lineRule="auto"/>
        <w:jc w:val="center"/>
        <w:rPr>
          <w:rFonts w:hint="eastAsia"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 xml:space="preserve">2、保洁标准及相关要求： </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596"/>
        <w:gridCol w:w="6"/>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3" w:hRule="atLeast"/>
        </w:trPr>
        <w:tc>
          <w:tcPr>
            <w:tcW w:w="17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保洁等级质量标准</w:t>
            </w:r>
          </w:p>
        </w:tc>
        <w:tc>
          <w:tcPr>
            <w:tcW w:w="559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县级道路</w:t>
            </w:r>
          </w:p>
        </w:tc>
        <w:tc>
          <w:tcPr>
            <w:tcW w:w="2388"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县级以下道路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质量要求</w:t>
            </w:r>
          </w:p>
        </w:tc>
        <w:tc>
          <w:tcPr>
            <w:tcW w:w="5596"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路面无果皮、废纸杂物，无积泥、建材堆积和农作物，边沟畅通，侧石干净，附属设施整洁。两侧管理控制区内无成堆、成片垃圾杂物及明显散落垃圾。</w:t>
            </w:r>
          </w:p>
        </w:tc>
        <w:tc>
          <w:tcPr>
            <w:tcW w:w="2388"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路面两侧管理控制区内无成堆、成片垃圾杂物及明显散落垃圾。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保洁时间</w:t>
            </w:r>
          </w:p>
        </w:tc>
        <w:tc>
          <w:tcPr>
            <w:tcW w:w="7984" w:type="dxa"/>
            <w:gridSpan w:val="3"/>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每天清扫次数</w:t>
            </w:r>
          </w:p>
        </w:tc>
        <w:tc>
          <w:tcPr>
            <w:tcW w:w="5602"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巡回保洁</w:t>
            </w:r>
          </w:p>
        </w:tc>
        <w:tc>
          <w:tcPr>
            <w:tcW w:w="2382"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机扫次数</w:t>
            </w:r>
          </w:p>
        </w:tc>
        <w:tc>
          <w:tcPr>
            <w:tcW w:w="5602"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1次</w:t>
            </w:r>
          </w:p>
        </w:tc>
        <w:tc>
          <w:tcPr>
            <w:tcW w:w="2382"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洒水次数</w:t>
            </w:r>
          </w:p>
        </w:tc>
        <w:tc>
          <w:tcPr>
            <w:tcW w:w="5602"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2次</w:t>
            </w:r>
          </w:p>
        </w:tc>
        <w:tc>
          <w:tcPr>
            <w:tcW w:w="2382"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c>
          <w:tcPr>
            <w:tcW w:w="7984" w:type="dxa"/>
            <w:gridSpan w:val="3"/>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气温高于30℃增加洒水次数，气温低于2℃时应停止清洗和洒水</w:t>
            </w:r>
          </w:p>
        </w:tc>
      </w:tr>
    </w:tbl>
    <w:p>
      <w:pPr>
        <w:spacing w:line="360" w:lineRule="auto"/>
        <w:jc w:val="left"/>
        <w:rPr>
          <w:rFonts w:hint="eastAsia" w:ascii="宋体" w:hAnsi="宋体" w:cs="宋体"/>
          <w:b/>
          <w:sz w:val="24"/>
        </w:rPr>
      </w:pPr>
      <w:r>
        <w:rPr>
          <w:rFonts w:hint="eastAsia" w:ascii="宋体" w:hAnsi="宋体" w:cs="宋体"/>
          <w:b/>
          <w:sz w:val="24"/>
        </w:rPr>
        <w:t>（二）、道路保洁其他要求：</w:t>
      </w:r>
    </w:p>
    <w:p>
      <w:pPr>
        <w:spacing w:line="360" w:lineRule="auto"/>
        <w:jc w:val="left"/>
        <w:rPr>
          <w:rFonts w:hint="eastAsia" w:ascii="宋体" w:hAnsi="宋体" w:cs="宋体"/>
          <w:sz w:val="24"/>
          <w:lang w:val="zh-CN"/>
        </w:rPr>
      </w:pPr>
      <w:r>
        <w:rPr>
          <w:rFonts w:hint="eastAsia" w:ascii="宋体" w:hAnsi="宋体" w:cs="宋体"/>
          <w:sz w:val="24"/>
        </w:rPr>
        <w:t>①</w:t>
      </w:r>
      <w:r>
        <w:rPr>
          <w:rFonts w:hint="eastAsia" w:ascii="宋体" w:hAnsi="宋体" w:cs="宋体"/>
          <w:sz w:val="24"/>
          <w:lang w:val="zh-CN"/>
        </w:rPr>
        <w:t>对集镇范围内的所有道路、桥梁、黄湖溪两岸、高速出口至S201、小巷、里弄等进行日常保洁，并实行全天候动态保洁作业，必须做到彻底扫除垃圾、积水和积泥。</w:t>
      </w:r>
    </w:p>
    <w:p>
      <w:pPr>
        <w:spacing w:line="360" w:lineRule="auto"/>
        <w:jc w:val="left"/>
        <w:rPr>
          <w:rFonts w:hint="eastAsia" w:ascii="宋体" w:hAnsi="宋体" w:cs="宋体"/>
          <w:sz w:val="24"/>
          <w:lang w:val="zh-CN"/>
        </w:rPr>
      </w:pPr>
      <w:r>
        <w:rPr>
          <w:rFonts w:hint="eastAsia" w:ascii="宋体" w:hAnsi="宋体" w:cs="宋体"/>
          <w:sz w:val="24"/>
          <w:lang w:val="zh-CN"/>
        </w:rPr>
        <w:t>②、根据区域面积和工作量，合理安排环卫保洁人员，同时报甲方备案。</w:t>
      </w:r>
    </w:p>
    <w:p>
      <w:pPr>
        <w:spacing w:line="360" w:lineRule="auto"/>
        <w:jc w:val="left"/>
        <w:rPr>
          <w:rFonts w:hint="eastAsia" w:ascii="宋体" w:hAnsi="宋体" w:cs="宋体"/>
          <w:sz w:val="24"/>
          <w:lang w:val="zh-CN"/>
        </w:rPr>
      </w:pPr>
      <w:r>
        <w:rPr>
          <w:rFonts w:hint="eastAsia" w:ascii="宋体" w:hAnsi="宋体" w:cs="宋体"/>
          <w:sz w:val="24"/>
          <w:lang w:val="zh-CN"/>
        </w:rPr>
        <w:t>③、所有垃圾桶的垃圾，做到每日2次收集清理（早晚各一次），垃圾桶定期清洗，保持干净，严禁垃圾外溢现象，做到日产日清。</w:t>
      </w:r>
    </w:p>
    <w:p>
      <w:pPr>
        <w:spacing w:line="360" w:lineRule="auto"/>
        <w:jc w:val="left"/>
        <w:rPr>
          <w:rFonts w:hint="eastAsia" w:ascii="宋体" w:hAnsi="宋体" w:cs="宋体"/>
          <w:sz w:val="24"/>
        </w:rPr>
      </w:pPr>
      <w:r>
        <w:rPr>
          <w:rFonts w:hint="eastAsia" w:ascii="宋体" w:hAnsi="宋体" w:cs="宋体"/>
          <w:sz w:val="24"/>
          <w:lang w:val="zh-CN"/>
        </w:rPr>
        <w:t>④、要安排专人进行牛皮癣清除，要做到发现一处，清除一处。</w:t>
      </w:r>
    </w:p>
    <w:p>
      <w:pPr>
        <w:spacing w:line="360" w:lineRule="auto"/>
        <w:jc w:val="left"/>
        <w:rPr>
          <w:rFonts w:hint="eastAsia" w:ascii="宋体" w:hAnsi="宋体" w:cs="宋体"/>
          <w:b/>
          <w:sz w:val="24"/>
        </w:rPr>
      </w:pPr>
      <w:r>
        <w:rPr>
          <w:rFonts w:hint="eastAsia" w:ascii="宋体" w:hAnsi="宋体" w:cs="宋体"/>
          <w:b/>
          <w:sz w:val="24"/>
        </w:rPr>
        <w:t>（三）、黄湖集镇范围内的所有绿化保洁及养护</w:t>
      </w:r>
    </w:p>
    <w:p>
      <w:pPr>
        <w:spacing w:line="360" w:lineRule="auto"/>
        <w:jc w:val="left"/>
        <w:rPr>
          <w:rFonts w:hint="eastAsia" w:ascii="宋体" w:hAnsi="宋体" w:cs="宋体"/>
          <w:sz w:val="24"/>
        </w:rPr>
      </w:pPr>
      <w:r>
        <w:rPr>
          <w:rFonts w:hint="eastAsia" w:ascii="宋体" w:hAnsi="宋体" w:cs="宋体"/>
          <w:sz w:val="24"/>
        </w:rPr>
        <w:t>1、绿化保洁及养护范围：</w:t>
      </w:r>
    </w:p>
    <w:tbl>
      <w:tblPr>
        <w:tblStyle w:val="76"/>
        <w:tblW w:w="0" w:type="auto"/>
        <w:tblInd w:w="0" w:type="dxa"/>
        <w:tblLayout w:type="fixed"/>
        <w:tblCellMar>
          <w:top w:w="0" w:type="dxa"/>
          <w:left w:w="108" w:type="dxa"/>
          <w:bottom w:w="0" w:type="dxa"/>
          <w:right w:w="108" w:type="dxa"/>
        </w:tblCellMar>
      </w:tblPr>
      <w:tblGrid>
        <w:gridCol w:w="1052"/>
        <w:gridCol w:w="4456"/>
        <w:gridCol w:w="1980"/>
        <w:gridCol w:w="1755"/>
      </w:tblGrid>
      <w:tr>
        <w:tblPrEx>
          <w:tblCellMar>
            <w:top w:w="0" w:type="dxa"/>
            <w:left w:w="108" w:type="dxa"/>
            <w:bottom w:w="0" w:type="dxa"/>
            <w:right w:w="108" w:type="dxa"/>
          </w:tblCellMar>
        </w:tblPrEx>
        <w:trPr>
          <w:trHeight w:val="775"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4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地点</w:t>
            </w:r>
          </w:p>
        </w:tc>
        <w:tc>
          <w:tcPr>
            <w:tcW w:w="1980"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面积（平方米）</w:t>
            </w:r>
          </w:p>
        </w:tc>
        <w:tc>
          <w:tcPr>
            <w:tcW w:w="1755"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trHeight w:val="491"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清波公园</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1800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58"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菜市场正对面</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474</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4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通学街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1050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541"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加油站斜对面</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625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9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茶叶厂门口</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67"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垃圾中转站</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150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62"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黄湖镇政府</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235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33"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政府门口（二处）</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188</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51"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卫生院门口（二处）</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209.04</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51"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10</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永峥公园</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5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11</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通达桥-黄后公路（西侧小公园）</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60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49"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12</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通达桥-黄后公路（西岸）</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3098</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69"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13</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通达桥-永峥桥（东岸）</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3927</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36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14</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通达桥-永峥桥（西岸）</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4219</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467"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15</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通达桥-黄后公路（东岸）</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1082</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16</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永峥桥-滨河公园 </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33100 </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只保洁不养护，2021年4月开始养护</w:t>
            </w: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17</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双后线道路两侧幼儿园至望月岭</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20000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18</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洞口岔路处</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2200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19</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***前</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60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茶厂门口</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三桥红绿灯</w:t>
            </w:r>
            <w:r>
              <w:rPr>
                <w:rFonts w:hint="eastAsia" w:ascii="宋体" w:hAnsi="宋体" w:cs="宋体"/>
                <w:sz w:val="24"/>
                <w:lang w:eastAsia="zh-CN"/>
              </w:rPr>
              <w:t>处</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500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高标准公厕</w:t>
            </w:r>
            <w:r>
              <w:rPr>
                <w:rFonts w:hint="eastAsia" w:ascii="宋体" w:hAnsi="宋体" w:cs="宋体"/>
                <w:sz w:val="24"/>
                <w:lang w:eastAsia="zh-CN"/>
              </w:rPr>
              <w:t>处</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23</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街道零星绿化</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500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786"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24</w:t>
            </w:r>
          </w:p>
        </w:tc>
        <w:tc>
          <w:tcPr>
            <w:tcW w:w="4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eastAsia="zh-CN"/>
              </w:rPr>
              <w:t>樱花树</w:t>
            </w:r>
          </w:p>
        </w:tc>
        <w:tc>
          <w:tcPr>
            <w:tcW w:w="19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126</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eastAsia="zh-CN"/>
              </w:rPr>
              <w:t>因樱花树树池较大故算</w:t>
            </w:r>
            <w:r>
              <w:rPr>
                <w:rFonts w:hint="eastAsia" w:ascii="宋体" w:hAnsi="宋体" w:cs="宋体"/>
                <w:sz w:val="24"/>
                <w:lang w:val="en-US" w:eastAsia="zh-CN"/>
              </w:rPr>
              <w:t>2平方米每个树池</w:t>
            </w:r>
          </w:p>
        </w:tc>
      </w:tr>
      <w:tr>
        <w:tblPrEx>
          <w:tblCellMar>
            <w:top w:w="0" w:type="dxa"/>
            <w:left w:w="108" w:type="dxa"/>
            <w:bottom w:w="0" w:type="dxa"/>
            <w:right w:w="108" w:type="dxa"/>
          </w:tblCellMar>
        </w:tblPrEx>
        <w:trPr>
          <w:trHeight w:val="518"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24</w:t>
            </w:r>
          </w:p>
        </w:tc>
        <w:tc>
          <w:tcPr>
            <w:tcW w:w="6436"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合计：7</w:t>
            </w:r>
            <w:r>
              <w:rPr>
                <w:rFonts w:hint="eastAsia" w:ascii="宋体" w:hAnsi="宋体" w:cs="宋体"/>
                <w:sz w:val="24"/>
                <w:lang w:val="en-US" w:eastAsia="zh-CN"/>
              </w:rPr>
              <w:t>4903.04</w:t>
            </w:r>
            <w:r>
              <w:rPr>
                <w:rFonts w:hint="eastAsia" w:ascii="宋体" w:hAnsi="宋体" w:cs="宋体"/>
                <w:sz w:val="24"/>
              </w:rPr>
              <w:t>平方米</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r>
        <w:tblPrEx>
          <w:tblCellMar>
            <w:top w:w="0" w:type="dxa"/>
            <w:left w:w="108" w:type="dxa"/>
            <w:bottom w:w="0" w:type="dxa"/>
            <w:right w:w="108" w:type="dxa"/>
          </w:tblCellMar>
        </w:tblPrEx>
        <w:trPr>
          <w:trHeight w:val="518" w:hRule="atLeast"/>
        </w:trPr>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25</w:t>
            </w:r>
          </w:p>
        </w:tc>
        <w:tc>
          <w:tcPr>
            <w:tcW w:w="6436"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b/>
                <w:sz w:val="24"/>
              </w:rPr>
              <w:t>行道树及树池绿化（550）个</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p>
        </w:tc>
      </w:tr>
    </w:tbl>
    <w:p>
      <w:pPr>
        <w:spacing w:line="360" w:lineRule="auto"/>
        <w:jc w:val="left"/>
        <w:rPr>
          <w:rFonts w:hint="eastAsia" w:ascii="宋体" w:hAnsi="宋体" w:cs="宋体"/>
          <w:sz w:val="24"/>
        </w:rPr>
      </w:pPr>
      <w:r>
        <w:rPr>
          <w:rFonts w:hint="eastAsia" w:ascii="宋体" w:hAnsi="宋体" w:cs="宋体"/>
          <w:sz w:val="24"/>
        </w:rPr>
        <w:t>2、绿化养护标准及要求：</w:t>
      </w:r>
    </w:p>
    <w:p>
      <w:pPr>
        <w:spacing w:line="360" w:lineRule="auto"/>
        <w:jc w:val="left"/>
        <w:rPr>
          <w:rFonts w:hint="eastAsia" w:ascii="宋体" w:hAnsi="宋体" w:cs="宋体"/>
          <w:sz w:val="24"/>
          <w:lang w:val="zh-CN"/>
        </w:rPr>
      </w:pPr>
      <w:r>
        <w:rPr>
          <w:rFonts w:hint="eastAsia" w:ascii="宋体" w:hAnsi="宋体" w:cs="宋体"/>
          <w:sz w:val="24"/>
          <w:lang w:val="zh-CN"/>
        </w:rPr>
        <w:t>（1）、行道树养护标准</w:t>
      </w:r>
    </w:p>
    <w:p>
      <w:pPr>
        <w:spacing w:line="360" w:lineRule="auto"/>
        <w:jc w:val="left"/>
        <w:rPr>
          <w:rFonts w:hint="eastAsia" w:ascii="宋体" w:hAnsi="宋体" w:cs="宋体"/>
          <w:sz w:val="24"/>
          <w:lang w:val="zh-CN"/>
        </w:rPr>
      </w:pPr>
      <w:r>
        <w:rPr>
          <w:rFonts w:hint="eastAsia" w:ascii="宋体" w:hAnsi="宋体" w:cs="宋体"/>
          <w:sz w:val="24"/>
          <w:lang w:val="zh-CN"/>
        </w:rPr>
        <w:t>①、总体标准：指行道树养护的整体质量，内容有养护质量、树木存活率、设施维护、土肥标准、病虫害防治标准及管理标准。</w:t>
      </w:r>
    </w:p>
    <w:p>
      <w:pPr>
        <w:spacing w:line="360" w:lineRule="auto"/>
        <w:jc w:val="left"/>
        <w:rPr>
          <w:rFonts w:hint="eastAsia" w:ascii="宋体" w:hAnsi="宋体" w:cs="宋体"/>
          <w:sz w:val="24"/>
          <w:lang w:val="zh-CN"/>
        </w:rPr>
      </w:pPr>
      <w:r>
        <w:rPr>
          <w:rFonts w:hint="eastAsia" w:ascii="宋体" w:hAnsi="宋体" w:cs="宋体"/>
          <w:sz w:val="24"/>
          <w:lang w:val="zh-CN"/>
        </w:rPr>
        <w:t>A、养护质量：</w:t>
      </w:r>
    </w:p>
    <w:p>
      <w:pPr>
        <w:spacing w:line="360" w:lineRule="auto"/>
        <w:jc w:val="left"/>
        <w:rPr>
          <w:rFonts w:hint="eastAsia" w:ascii="宋体" w:hAnsi="宋体" w:cs="宋体"/>
          <w:sz w:val="24"/>
          <w:lang w:val="zh-CN"/>
        </w:rPr>
      </w:pPr>
      <w:r>
        <w:rPr>
          <w:rFonts w:hint="eastAsia" w:ascii="宋体" w:hAnsi="宋体" w:cs="宋体"/>
          <w:sz w:val="24"/>
          <w:lang w:val="zh-CN"/>
        </w:rPr>
        <w:t>a植株树冠丰满、完整、茂盛，骨架均匀、树干挺直，具有一定的遮荫及观赏效果。叶片正常，在正常条件下不黄叶，不焦叶，不卷叶，不落叶。</w:t>
      </w:r>
    </w:p>
    <w:p>
      <w:pPr>
        <w:spacing w:line="360" w:lineRule="auto"/>
        <w:jc w:val="left"/>
        <w:rPr>
          <w:rFonts w:hint="eastAsia" w:ascii="宋体" w:hAnsi="宋体" w:cs="宋体"/>
          <w:sz w:val="24"/>
          <w:lang w:val="zh-CN"/>
        </w:rPr>
      </w:pPr>
      <w:r>
        <w:rPr>
          <w:rFonts w:hint="eastAsia" w:ascii="宋体" w:hAnsi="宋体" w:cs="宋体"/>
          <w:sz w:val="24"/>
          <w:lang w:val="zh-CN"/>
        </w:rPr>
        <w:t>b植株无徒长枝、病虫枝、过密枝、并生枝、交叉枝、下垂枝、枯枝、伤损枝、碰线枝；及时抹芽，主干及一级枝不定芽不超过15cm；对倾斜老树要控制倾斜度，并逐渐扶正。</w:t>
      </w:r>
    </w:p>
    <w:p>
      <w:pPr>
        <w:spacing w:line="360" w:lineRule="auto"/>
        <w:jc w:val="left"/>
        <w:rPr>
          <w:rFonts w:hint="eastAsia" w:ascii="宋体" w:hAnsi="宋体" w:cs="宋体"/>
          <w:sz w:val="24"/>
          <w:lang w:val="zh-CN"/>
        </w:rPr>
      </w:pPr>
      <w:r>
        <w:rPr>
          <w:rFonts w:hint="eastAsia" w:ascii="宋体" w:hAnsi="宋体" w:cs="宋体"/>
          <w:sz w:val="24"/>
          <w:lang w:val="zh-CN"/>
        </w:rPr>
        <w:t>c行道树要有群体特色效果，选用的品种、规格相对统一，补植树品种、规格（树高一致，胸径误差≤20%）也应保持一致，树冠必须保留骨架（3--4根一级主枝）</w:t>
      </w:r>
    </w:p>
    <w:p>
      <w:pPr>
        <w:spacing w:line="360" w:lineRule="auto"/>
        <w:jc w:val="left"/>
        <w:rPr>
          <w:rFonts w:hint="eastAsia" w:ascii="宋体" w:hAnsi="宋体" w:cs="宋体"/>
          <w:sz w:val="24"/>
          <w:lang w:val="zh-CN"/>
        </w:rPr>
      </w:pPr>
      <w:r>
        <w:rPr>
          <w:rFonts w:hint="eastAsia" w:ascii="宋体" w:hAnsi="宋体" w:cs="宋体"/>
          <w:sz w:val="24"/>
          <w:lang w:val="zh-CN"/>
        </w:rPr>
        <w:t>d有防台措施，对危树及时采取修枝、加固或申报更换等措施，遇灾害性天气及时组织进行抢扶。</w:t>
      </w:r>
    </w:p>
    <w:p>
      <w:pPr>
        <w:spacing w:line="360" w:lineRule="auto"/>
        <w:jc w:val="left"/>
        <w:rPr>
          <w:rFonts w:hint="eastAsia" w:ascii="宋体" w:hAnsi="宋体" w:cs="宋体"/>
          <w:sz w:val="24"/>
          <w:lang w:val="zh-CN"/>
        </w:rPr>
      </w:pPr>
      <w:r>
        <w:rPr>
          <w:rFonts w:hint="eastAsia" w:ascii="宋体" w:hAnsi="宋体" w:cs="宋体"/>
          <w:sz w:val="24"/>
          <w:lang w:val="zh-CN"/>
        </w:rPr>
        <w:t>②树木存活率：新栽行道树存活率95%以上，行道树保存率100%。无死株、无缺株。</w:t>
      </w:r>
    </w:p>
    <w:p>
      <w:pPr>
        <w:spacing w:line="360" w:lineRule="auto"/>
        <w:jc w:val="left"/>
        <w:rPr>
          <w:rFonts w:hint="eastAsia" w:ascii="宋体" w:hAnsi="宋体" w:cs="宋体"/>
          <w:sz w:val="24"/>
          <w:lang w:val="zh-CN"/>
        </w:rPr>
      </w:pPr>
      <w:r>
        <w:rPr>
          <w:rFonts w:hint="eastAsia" w:ascii="宋体" w:hAnsi="宋体" w:cs="宋体"/>
          <w:sz w:val="24"/>
          <w:lang w:val="zh-CN"/>
        </w:rPr>
        <w:t>③设施维护：</w:t>
      </w:r>
    </w:p>
    <w:p>
      <w:pPr>
        <w:spacing w:line="360" w:lineRule="auto"/>
        <w:jc w:val="left"/>
        <w:rPr>
          <w:rFonts w:hint="eastAsia" w:ascii="宋体" w:hAnsi="宋体" w:cs="宋体"/>
          <w:sz w:val="24"/>
          <w:lang w:val="zh-CN"/>
        </w:rPr>
      </w:pPr>
      <w:r>
        <w:rPr>
          <w:rFonts w:hint="eastAsia" w:ascii="宋体" w:hAnsi="宋体" w:cs="宋体"/>
          <w:sz w:val="24"/>
          <w:lang w:val="zh-CN"/>
        </w:rPr>
        <w:t>a树穴有侧石，有平整盖板或种植地被植物，黄土不裸露。</w:t>
      </w:r>
    </w:p>
    <w:p>
      <w:pPr>
        <w:spacing w:line="360" w:lineRule="auto"/>
        <w:jc w:val="left"/>
        <w:rPr>
          <w:rFonts w:hint="eastAsia" w:ascii="宋体" w:hAnsi="宋体" w:cs="宋体"/>
          <w:sz w:val="24"/>
          <w:lang w:val="zh-CN"/>
        </w:rPr>
      </w:pPr>
      <w:r>
        <w:rPr>
          <w:rFonts w:hint="eastAsia" w:ascii="宋体" w:hAnsi="宋体" w:cs="宋体"/>
          <w:sz w:val="24"/>
          <w:lang w:val="zh-CN"/>
        </w:rPr>
        <w:t>b树木支撑规范、统一，无断桩、坏桩，桩位扎缚规范化。</w:t>
      </w:r>
    </w:p>
    <w:p>
      <w:pPr>
        <w:spacing w:line="360" w:lineRule="auto"/>
        <w:jc w:val="left"/>
        <w:rPr>
          <w:rFonts w:hint="eastAsia" w:ascii="宋体" w:hAnsi="宋体" w:cs="宋体"/>
          <w:sz w:val="24"/>
          <w:lang w:val="zh-CN"/>
        </w:rPr>
      </w:pPr>
      <w:r>
        <w:rPr>
          <w:rFonts w:hint="eastAsia" w:ascii="宋体" w:hAnsi="宋体" w:cs="宋体"/>
          <w:sz w:val="24"/>
          <w:lang w:val="zh-CN"/>
        </w:rPr>
        <w:t>④土肥标准：栽培基质应具有一定的透水、透气、保肥能力；每年冬季施有机肥一次，每次用有机肥１公斤／株；石砾含量中，其粒径≤5cm,含量≤10%；PH值为6.0—7.8之间；有效土层(长、宽、深)≥100cm；有机质含量≥25g/kg。</w:t>
      </w:r>
    </w:p>
    <w:p>
      <w:pPr>
        <w:spacing w:line="360" w:lineRule="auto"/>
        <w:jc w:val="left"/>
        <w:rPr>
          <w:rFonts w:hint="eastAsia" w:ascii="宋体" w:hAnsi="宋体" w:cs="宋体"/>
          <w:sz w:val="24"/>
          <w:lang w:val="zh-CN"/>
        </w:rPr>
      </w:pPr>
      <w:r>
        <w:rPr>
          <w:rFonts w:hint="eastAsia" w:ascii="宋体" w:hAnsi="宋体" w:cs="宋体"/>
          <w:sz w:val="24"/>
          <w:lang w:val="zh-CN"/>
        </w:rPr>
        <w:t>⑤病虫害防治标准:基本无病虫害危害迹象。</w:t>
      </w:r>
    </w:p>
    <w:p>
      <w:pPr>
        <w:spacing w:line="360" w:lineRule="auto"/>
        <w:jc w:val="left"/>
        <w:rPr>
          <w:rFonts w:hint="eastAsia" w:ascii="宋体" w:hAnsi="宋体" w:cs="宋体"/>
          <w:sz w:val="24"/>
          <w:lang w:val="zh-CN"/>
        </w:rPr>
      </w:pPr>
      <w:r>
        <w:rPr>
          <w:rFonts w:hint="eastAsia" w:ascii="宋体" w:hAnsi="宋体" w:cs="宋体"/>
          <w:sz w:val="24"/>
          <w:lang w:val="zh-CN"/>
        </w:rPr>
        <w:t>⑥管理标准：</w:t>
      </w:r>
    </w:p>
    <w:p>
      <w:pPr>
        <w:spacing w:line="360" w:lineRule="auto"/>
        <w:jc w:val="left"/>
        <w:rPr>
          <w:rFonts w:hint="eastAsia" w:ascii="宋体" w:hAnsi="宋体" w:cs="宋体"/>
          <w:sz w:val="24"/>
          <w:lang w:val="zh-CN"/>
        </w:rPr>
      </w:pPr>
      <w:r>
        <w:rPr>
          <w:rFonts w:hint="eastAsia" w:ascii="宋体" w:hAnsi="宋体" w:cs="宋体"/>
          <w:sz w:val="24"/>
          <w:lang w:val="zh-CN"/>
        </w:rPr>
        <w:t>a树穴无杂草、垃圾和其它杂物，树干无钉子、铁丝等破坏树木生长的东西。</w:t>
      </w:r>
    </w:p>
    <w:p>
      <w:pPr>
        <w:spacing w:line="360" w:lineRule="auto"/>
        <w:jc w:val="left"/>
        <w:rPr>
          <w:rFonts w:hint="eastAsia" w:ascii="宋体" w:hAnsi="宋体" w:cs="宋体"/>
          <w:sz w:val="24"/>
          <w:lang w:val="zh-CN"/>
        </w:rPr>
      </w:pPr>
      <w:r>
        <w:rPr>
          <w:rFonts w:hint="eastAsia" w:ascii="宋体" w:hAnsi="宋体" w:cs="宋体"/>
          <w:sz w:val="24"/>
          <w:lang w:val="zh-CN"/>
        </w:rPr>
        <w:t>b管理制度全面落实，档案资料完整、详尽，对行道树的基础资料、变更情况及时记录入档；工作人员统一着装，挂牌上岗。</w:t>
      </w:r>
    </w:p>
    <w:p>
      <w:pPr>
        <w:spacing w:line="360" w:lineRule="auto"/>
        <w:jc w:val="left"/>
        <w:rPr>
          <w:rFonts w:hint="eastAsia" w:ascii="宋体" w:hAnsi="宋体" w:cs="宋体"/>
          <w:sz w:val="24"/>
          <w:lang w:val="zh-CN"/>
        </w:rPr>
      </w:pPr>
      <w:r>
        <w:rPr>
          <w:rFonts w:hint="eastAsia" w:ascii="宋体" w:hAnsi="宋体" w:cs="宋体"/>
          <w:sz w:val="24"/>
          <w:lang w:val="zh-CN"/>
        </w:rPr>
        <w:t>（2）、具体养护标准</w:t>
      </w:r>
    </w:p>
    <w:p>
      <w:pPr>
        <w:spacing w:line="360" w:lineRule="auto"/>
        <w:jc w:val="left"/>
        <w:rPr>
          <w:rFonts w:hint="eastAsia" w:ascii="宋体" w:hAnsi="宋体" w:cs="宋体"/>
          <w:sz w:val="24"/>
          <w:lang w:val="zh-CN"/>
        </w:rPr>
      </w:pPr>
      <w:r>
        <w:rPr>
          <w:rFonts w:hint="eastAsia" w:ascii="宋体" w:hAnsi="宋体" w:cs="宋体"/>
          <w:sz w:val="24"/>
          <w:lang w:val="zh-CN"/>
        </w:rPr>
        <w:t>①生长势好,叶片健壮，在正常条件下不黄叶，不焦叶，不卷叶，不落叶,枝干健壮，无明显枯枝死杈。正常，无明显枯枝死杈。</w:t>
      </w:r>
    </w:p>
    <w:p>
      <w:pPr>
        <w:spacing w:line="360" w:lineRule="auto"/>
        <w:jc w:val="left"/>
        <w:rPr>
          <w:rFonts w:hint="eastAsia" w:ascii="宋体" w:hAnsi="宋体" w:cs="宋体"/>
          <w:sz w:val="24"/>
          <w:lang w:val="zh-CN"/>
        </w:rPr>
      </w:pPr>
      <w:r>
        <w:rPr>
          <w:rFonts w:hint="eastAsia" w:ascii="宋体" w:hAnsi="宋体" w:cs="宋体"/>
          <w:sz w:val="24"/>
          <w:lang w:val="zh-CN"/>
        </w:rPr>
        <w:t>②病虫害控制基本无病虫害危害。食叶害虫危害的叶片每株不超过5%，刺吸性害虫危害的叶片每株不超过10%，无蛀干性害虫的活虫，活卵。</w:t>
      </w:r>
    </w:p>
    <w:p>
      <w:pPr>
        <w:spacing w:line="360" w:lineRule="auto"/>
        <w:jc w:val="left"/>
        <w:rPr>
          <w:rFonts w:hint="eastAsia" w:ascii="宋体" w:hAnsi="宋体" w:cs="宋体"/>
          <w:sz w:val="24"/>
          <w:lang w:val="zh-CN"/>
        </w:rPr>
      </w:pPr>
      <w:r>
        <w:rPr>
          <w:rFonts w:hint="eastAsia" w:ascii="宋体" w:hAnsi="宋体" w:cs="宋体"/>
          <w:sz w:val="24"/>
          <w:lang w:val="zh-CN"/>
        </w:rPr>
        <w:t>③树穴有侧石，有平整盖板或种植地被植物，黄土不裸露。</w:t>
      </w:r>
    </w:p>
    <w:p>
      <w:pPr>
        <w:spacing w:line="360" w:lineRule="auto"/>
        <w:jc w:val="left"/>
        <w:rPr>
          <w:rFonts w:hint="eastAsia" w:ascii="宋体" w:hAnsi="宋体" w:cs="宋体"/>
          <w:sz w:val="24"/>
          <w:lang w:val="zh-CN"/>
        </w:rPr>
      </w:pPr>
      <w:r>
        <w:rPr>
          <w:rFonts w:hint="eastAsia" w:ascii="宋体" w:hAnsi="宋体" w:cs="宋体"/>
          <w:sz w:val="24"/>
          <w:lang w:val="zh-CN"/>
        </w:rPr>
        <w:t>④其他:无断桩，坏桩，桩位扎缚规范。</w:t>
      </w:r>
    </w:p>
    <w:p>
      <w:pPr>
        <w:spacing w:line="360" w:lineRule="auto"/>
        <w:jc w:val="left"/>
        <w:rPr>
          <w:rFonts w:hint="eastAsia" w:ascii="宋体" w:hAnsi="宋体" w:cs="宋体"/>
          <w:sz w:val="24"/>
          <w:lang w:val="zh-CN"/>
        </w:rPr>
      </w:pPr>
      <w:r>
        <w:rPr>
          <w:rFonts w:hint="eastAsia" w:ascii="宋体" w:hAnsi="宋体" w:cs="宋体"/>
          <w:sz w:val="24"/>
          <w:lang w:val="zh-CN"/>
        </w:rPr>
        <w:t>2、道路绿化带养护标准</w:t>
      </w:r>
    </w:p>
    <w:p>
      <w:pPr>
        <w:spacing w:line="360" w:lineRule="auto"/>
        <w:jc w:val="left"/>
        <w:rPr>
          <w:rFonts w:hint="eastAsia" w:ascii="宋体" w:hAnsi="宋体" w:cs="宋体"/>
          <w:sz w:val="24"/>
          <w:lang w:val="zh-CN"/>
        </w:rPr>
      </w:pPr>
      <w:r>
        <w:rPr>
          <w:rFonts w:hint="eastAsia" w:ascii="宋体" w:hAnsi="宋体" w:cs="宋体"/>
          <w:sz w:val="24"/>
          <w:lang w:val="zh-CN"/>
        </w:rPr>
        <w:t>（1）、总体标准：指道路绿化带养护的整体质量，内容有养护质量、树木存活率、设施维护、土肥标准、病虫害防治标准及管理标准。</w:t>
      </w:r>
    </w:p>
    <w:p>
      <w:pPr>
        <w:spacing w:line="360" w:lineRule="auto"/>
        <w:jc w:val="left"/>
        <w:rPr>
          <w:rFonts w:hint="eastAsia" w:ascii="宋体" w:hAnsi="宋体" w:cs="宋体"/>
          <w:sz w:val="24"/>
          <w:lang w:val="zh-CN"/>
        </w:rPr>
      </w:pPr>
      <w:r>
        <w:rPr>
          <w:rFonts w:hint="eastAsia" w:ascii="宋体" w:hAnsi="宋体" w:cs="宋体"/>
          <w:sz w:val="24"/>
          <w:lang w:val="zh-CN"/>
        </w:rPr>
        <w:t>①植物养护标准：</w:t>
      </w:r>
    </w:p>
    <w:p>
      <w:pPr>
        <w:spacing w:line="360" w:lineRule="auto"/>
        <w:jc w:val="left"/>
        <w:rPr>
          <w:rFonts w:hint="eastAsia" w:ascii="宋体" w:hAnsi="宋体" w:cs="宋体"/>
          <w:sz w:val="24"/>
          <w:lang w:val="zh-CN"/>
        </w:rPr>
      </w:pPr>
      <w:r>
        <w:rPr>
          <w:rFonts w:hint="eastAsia" w:ascii="宋体" w:hAnsi="宋体" w:cs="宋体"/>
          <w:sz w:val="24"/>
          <w:lang w:val="zh-CN"/>
        </w:rPr>
        <w:t>按道路绿化带的立地条件，对植物进行特殊养护、精心养护，使植物健康生长，具有良好的道路景观。</w:t>
      </w:r>
    </w:p>
    <w:p>
      <w:pPr>
        <w:spacing w:line="360" w:lineRule="auto"/>
        <w:jc w:val="left"/>
        <w:rPr>
          <w:rFonts w:hint="eastAsia" w:ascii="宋体" w:hAnsi="宋体" w:cs="宋体"/>
          <w:sz w:val="24"/>
          <w:lang w:val="zh-CN"/>
        </w:rPr>
      </w:pPr>
      <w:r>
        <w:rPr>
          <w:rFonts w:hint="eastAsia" w:ascii="宋体" w:hAnsi="宋体" w:cs="宋体"/>
          <w:sz w:val="24"/>
          <w:lang w:val="zh-CN"/>
        </w:rPr>
        <w:t>②树木种植成活率标准：当年新栽植物成活率达95%以上，保存率98%以上，无缺株、死株。</w:t>
      </w:r>
    </w:p>
    <w:p>
      <w:pPr>
        <w:spacing w:line="360" w:lineRule="auto"/>
        <w:jc w:val="left"/>
        <w:rPr>
          <w:rFonts w:hint="eastAsia" w:ascii="宋体" w:hAnsi="宋体" w:cs="宋体"/>
          <w:sz w:val="24"/>
          <w:lang w:val="zh-CN"/>
        </w:rPr>
      </w:pPr>
      <w:r>
        <w:rPr>
          <w:rFonts w:hint="eastAsia" w:ascii="宋体" w:hAnsi="宋体" w:cs="宋体"/>
          <w:sz w:val="24"/>
          <w:lang w:val="zh-CN"/>
        </w:rPr>
        <w:t>③土肥标准：土壤疏松，无积水，种植土低于容器（或侧石）上沿3cm；充分利用有机肥，也可用复合肥，增强土壤肥力（要求一年施肥二次，每次用腐熟豆饼0.5kg／m2），其理化性状应符合下列规定：PH值为6.7—7.5之间；石砾粒径≤5cm（高架挂箱石砾粒径≤2cm），含量≤8%（W/W）；有机质含量≥25g/kg。</w:t>
      </w:r>
    </w:p>
    <w:p>
      <w:pPr>
        <w:spacing w:line="360" w:lineRule="auto"/>
        <w:jc w:val="left"/>
        <w:rPr>
          <w:rFonts w:hint="eastAsia" w:ascii="宋体" w:hAnsi="宋体" w:cs="宋体"/>
          <w:sz w:val="24"/>
          <w:lang w:val="zh-CN"/>
        </w:rPr>
      </w:pPr>
      <w:r>
        <w:rPr>
          <w:rFonts w:hint="eastAsia" w:ascii="宋体" w:hAnsi="宋体" w:cs="宋体"/>
          <w:sz w:val="24"/>
          <w:lang w:val="zh-CN"/>
        </w:rPr>
        <w:t>④病虫害防治标准：提倡综合防治，病虫害应控制在以不影响观赏效果的危害程度之内。</w:t>
      </w:r>
    </w:p>
    <w:p>
      <w:pPr>
        <w:spacing w:line="360" w:lineRule="auto"/>
        <w:jc w:val="left"/>
        <w:rPr>
          <w:rFonts w:hint="eastAsia" w:ascii="宋体" w:hAnsi="宋体" w:cs="宋体"/>
          <w:sz w:val="24"/>
          <w:lang w:val="zh-CN"/>
        </w:rPr>
      </w:pPr>
      <w:r>
        <w:rPr>
          <w:rFonts w:hint="eastAsia" w:ascii="宋体" w:hAnsi="宋体" w:cs="宋体"/>
          <w:sz w:val="24"/>
          <w:lang w:val="zh-CN"/>
        </w:rPr>
        <w:t>（2）、道路绿化带的具体养管标准。</w:t>
      </w:r>
    </w:p>
    <w:p>
      <w:pPr>
        <w:spacing w:line="360" w:lineRule="auto"/>
        <w:jc w:val="left"/>
        <w:rPr>
          <w:rFonts w:hint="eastAsia" w:ascii="宋体" w:hAnsi="宋体" w:cs="宋体"/>
          <w:sz w:val="24"/>
          <w:lang w:val="zh-CN"/>
        </w:rPr>
      </w:pPr>
      <w:r>
        <w:rPr>
          <w:rFonts w:hint="eastAsia" w:ascii="宋体" w:hAnsi="宋体" w:cs="宋体"/>
          <w:sz w:val="24"/>
          <w:lang w:val="zh-CN"/>
        </w:rPr>
        <w:t>①道路绿化带景观要求：</w:t>
      </w:r>
    </w:p>
    <w:p>
      <w:pPr>
        <w:spacing w:line="360" w:lineRule="auto"/>
        <w:jc w:val="left"/>
        <w:rPr>
          <w:rFonts w:hint="eastAsia" w:ascii="宋体" w:hAnsi="宋体" w:cs="宋体"/>
          <w:sz w:val="24"/>
          <w:lang w:val="zh-CN"/>
        </w:rPr>
      </w:pPr>
      <w:r>
        <w:rPr>
          <w:rFonts w:hint="eastAsia" w:ascii="宋体" w:hAnsi="宋体" w:cs="宋体"/>
          <w:sz w:val="24"/>
          <w:lang w:val="zh-CN"/>
        </w:rPr>
        <w:t>a采用修剪等特殊手法，控制植物高度，植物高度不得影响交通视线。</w:t>
      </w:r>
    </w:p>
    <w:p>
      <w:pPr>
        <w:spacing w:line="360" w:lineRule="auto"/>
        <w:jc w:val="left"/>
        <w:rPr>
          <w:rFonts w:hint="eastAsia" w:ascii="宋体" w:hAnsi="宋体" w:cs="宋体"/>
          <w:sz w:val="24"/>
          <w:lang w:val="zh-CN"/>
        </w:rPr>
      </w:pPr>
      <w:r>
        <w:rPr>
          <w:rFonts w:hint="eastAsia" w:ascii="宋体" w:hAnsi="宋体" w:cs="宋体"/>
          <w:sz w:val="24"/>
          <w:lang w:val="zh-CN"/>
        </w:rPr>
        <w:t>b特殊地段的景观应按设计精心养护，形成有特色的植物景观。整形植物必须及时修剪保持形态，悬垂植物生长健壮，整体效果好。</w:t>
      </w:r>
    </w:p>
    <w:p>
      <w:pPr>
        <w:spacing w:line="360" w:lineRule="auto"/>
        <w:jc w:val="left"/>
        <w:rPr>
          <w:rFonts w:hint="eastAsia" w:ascii="宋体" w:hAnsi="宋体" w:cs="宋体"/>
          <w:sz w:val="24"/>
          <w:lang w:val="zh-CN"/>
        </w:rPr>
      </w:pPr>
      <w:r>
        <w:rPr>
          <w:rFonts w:hint="eastAsia" w:ascii="宋体" w:hAnsi="宋体" w:cs="宋体"/>
          <w:sz w:val="24"/>
          <w:lang w:val="zh-CN"/>
        </w:rPr>
        <w:t>c花卉花期整齐，株行距适宜，无空秃、色彩效果好。</w:t>
      </w:r>
    </w:p>
    <w:p>
      <w:pPr>
        <w:spacing w:line="360" w:lineRule="auto"/>
        <w:jc w:val="left"/>
        <w:rPr>
          <w:rFonts w:hint="eastAsia" w:ascii="宋体" w:hAnsi="宋体" w:cs="宋体"/>
          <w:sz w:val="24"/>
          <w:lang w:val="zh-CN"/>
        </w:rPr>
      </w:pPr>
      <w:r>
        <w:rPr>
          <w:rFonts w:hint="eastAsia" w:ascii="宋体" w:hAnsi="宋体" w:cs="宋体"/>
          <w:sz w:val="24"/>
          <w:lang w:val="zh-CN"/>
        </w:rPr>
        <w:t>d绿带必须无裸地，可种植地被植物或草坪。</w:t>
      </w:r>
    </w:p>
    <w:p>
      <w:pPr>
        <w:spacing w:line="360" w:lineRule="auto"/>
        <w:jc w:val="left"/>
        <w:rPr>
          <w:rFonts w:hint="eastAsia" w:ascii="宋体" w:hAnsi="宋体" w:cs="宋体"/>
          <w:sz w:val="24"/>
          <w:lang w:val="zh-CN"/>
        </w:rPr>
      </w:pPr>
      <w:r>
        <w:rPr>
          <w:rFonts w:hint="eastAsia" w:ascii="宋体" w:hAnsi="宋体" w:cs="宋体"/>
          <w:sz w:val="24"/>
          <w:lang w:val="zh-CN"/>
        </w:rPr>
        <w:t>e绿带内无枯枝残叶、无杂草，整洁无垃圾；植物叶面无陈旧积尘。</w:t>
      </w:r>
    </w:p>
    <w:p>
      <w:pPr>
        <w:spacing w:line="360" w:lineRule="auto"/>
        <w:jc w:val="left"/>
        <w:rPr>
          <w:rFonts w:hint="eastAsia" w:ascii="宋体" w:hAnsi="宋体" w:cs="宋体"/>
          <w:sz w:val="24"/>
          <w:lang w:val="zh-CN"/>
        </w:rPr>
      </w:pPr>
      <w:r>
        <w:rPr>
          <w:rFonts w:hint="eastAsia" w:ascii="宋体" w:hAnsi="宋体" w:cs="宋体"/>
          <w:sz w:val="24"/>
          <w:lang w:val="zh-CN"/>
        </w:rPr>
        <w:t>f辅助设施（包括支撑物和悬挂容器）必须安全、完好、整洁、美观。</w:t>
      </w:r>
    </w:p>
    <w:p>
      <w:pPr>
        <w:spacing w:line="360" w:lineRule="auto"/>
        <w:jc w:val="left"/>
        <w:rPr>
          <w:rFonts w:hint="eastAsia" w:ascii="宋体" w:hAnsi="宋体" w:cs="宋体"/>
          <w:sz w:val="24"/>
          <w:lang w:val="zh-CN"/>
        </w:rPr>
      </w:pPr>
      <w:r>
        <w:rPr>
          <w:rFonts w:hint="eastAsia" w:ascii="宋体" w:hAnsi="宋体" w:cs="宋体"/>
          <w:sz w:val="24"/>
          <w:lang w:val="zh-CN"/>
        </w:rPr>
        <w:t>g道路绿化带冬季浇水应注意不要让水溢出，避免造成路面结冰。</w:t>
      </w:r>
    </w:p>
    <w:p>
      <w:pPr>
        <w:spacing w:line="360" w:lineRule="auto"/>
        <w:jc w:val="left"/>
        <w:rPr>
          <w:rFonts w:hint="eastAsia" w:ascii="宋体" w:hAnsi="宋体" w:cs="宋体"/>
          <w:sz w:val="24"/>
          <w:lang w:val="zh-CN"/>
        </w:rPr>
      </w:pPr>
      <w:r>
        <w:rPr>
          <w:rFonts w:hint="eastAsia" w:ascii="宋体" w:hAnsi="宋体" w:cs="宋体"/>
          <w:sz w:val="24"/>
          <w:lang w:val="zh-CN"/>
        </w:rPr>
        <w:t>道路绿化带养护作业必须穿着有反光条的工作服，做到文明作业，尽量减少对行车的干扰。</w:t>
      </w:r>
    </w:p>
    <w:p>
      <w:pPr>
        <w:spacing w:line="360" w:lineRule="auto"/>
        <w:jc w:val="left"/>
        <w:rPr>
          <w:rFonts w:hint="eastAsia" w:ascii="宋体" w:hAnsi="宋体" w:cs="宋体"/>
          <w:sz w:val="24"/>
          <w:lang w:val="zh-CN"/>
        </w:rPr>
      </w:pPr>
      <w:r>
        <w:rPr>
          <w:rFonts w:hint="eastAsia" w:ascii="宋体" w:hAnsi="宋体" w:cs="宋体"/>
          <w:sz w:val="24"/>
          <w:lang w:val="zh-CN"/>
        </w:rPr>
        <w:t>道路绿化带以人工除草和机械除草为主，不得使用草甘膦和有毒农药。</w:t>
      </w:r>
    </w:p>
    <w:p>
      <w:pPr>
        <w:spacing w:line="360" w:lineRule="auto"/>
        <w:jc w:val="left"/>
        <w:rPr>
          <w:rFonts w:hint="eastAsia" w:ascii="宋体" w:hAnsi="宋体" w:cs="宋体"/>
          <w:sz w:val="24"/>
        </w:rPr>
      </w:pPr>
      <w:r>
        <w:rPr>
          <w:rFonts w:hint="eastAsia" w:ascii="宋体" w:hAnsi="宋体" w:cs="宋体"/>
          <w:sz w:val="24"/>
          <w:lang w:val="zh-CN"/>
        </w:rPr>
        <w:t>3、绿化养护</w:t>
      </w:r>
      <w:r>
        <w:rPr>
          <w:rFonts w:hint="eastAsia" w:ascii="宋体" w:hAnsi="宋体" w:cs="宋体"/>
          <w:sz w:val="24"/>
        </w:rPr>
        <w:t>整形与修剪规范</w:t>
      </w:r>
    </w:p>
    <w:p>
      <w:pPr>
        <w:spacing w:line="360" w:lineRule="auto"/>
        <w:jc w:val="left"/>
        <w:rPr>
          <w:rFonts w:hint="eastAsia" w:ascii="宋体" w:hAnsi="宋体" w:cs="宋体"/>
          <w:sz w:val="24"/>
        </w:rPr>
      </w:pPr>
      <w:r>
        <w:rPr>
          <w:rFonts w:hint="eastAsia" w:ascii="宋体" w:hAnsi="宋体" w:cs="宋体"/>
          <w:sz w:val="24"/>
        </w:rPr>
        <w:t>整形与修剪能使树木生长健壮，花艳叶茂，树冠整齐美观，提高观赏性，还能改善通风透光条件，减少病虫害，对新栽和病弱树木还可以减少养分、水分消耗，恢复树势。</w:t>
      </w:r>
    </w:p>
    <w:p>
      <w:pPr>
        <w:spacing w:line="360" w:lineRule="auto"/>
        <w:jc w:val="left"/>
        <w:rPr>
          <w:rFonts w:hint="eastAsia" w:ascii="宋体" w:hAnsi="宋体" w:cs="宋体"/>
          <w:sz w:val="24"/>
        </w:rPr>
      </w:pPr>
      <w:r>
        <w:rPr>
          <w:rFonts w:hint="eastAsia" w:ascii="宋体" w:hAnsi="宋体" w:cs="宋体"/>
          <w:sz w:val="24"/>
        </w:rPr>
        <w:t>（1）、树木整形要根据树木习性而定，主干生长强势的应保留其领导干，采取塔形、圆锥形整形。主干生长势不强而易于形成丛状树冠的，可修成圆球状、半球形或自然形树冠，喜光小乔木可采用自然开心形。</w:t>
      </w:r>
    </w:p>
    <w:p>
      <w:pPr>
        <w:spacing w:line="360" w:lineRule="auto"/>
        <w:jc w:val="left"/>
        <w:rPr>
          <w:rFonts w:hint="eastAsia" w:ascii="宋体" w:hAnsi="宋体" w:cs="宋体"/>
          <w:sz w:val="24"/>
        </w:rPr>
      </w:pPr>
      <w:r>
        <w:rPr>
          <w:rFonts w:hint="eastAsia" w:ascii="宋体" w:hAnsi="宋体" w:cs="宋体"/>
          <w:sz w:val="24"/>
        </w:rPr>
        <w:t>（2）、为平衡树势，使各主枝、侧枝间均衡生长，应“强主枝强剪，弱主枝弱剪”与“强枝弱剪，弱枝强剪”，枯死枝、病虫枝、徒长枝、并生枝和损伤枝要及时剪去。</w:t>
      </w:r>
    </w:p>
    <w:p>
      <w:pPr>
        <w:spacing w:line="360" w:lineRule="auto"/>
        <w:jc w:val="left"/>
        <w:rPr>
          <w:rFonts w:hint="eastAsia" w:ascii="宋体" w:hAnsi="宋体" w:cs="宋体"/>
          <w:sz w:val="24"/>
        </w:rPr>
      </w:pPr>
      <w:r>
        <w:rPr>
          <w:rFonts w:hint="eastAsia" w:ascii="宋体" w:hAnsi="宋体" w:cs="宋体"/>
          <w:sz w:val="24"/>
        </w:rPr>
        <w:t>（3）、老衰树木可以强度修剪恢复树势，灌木丛或绿篱下部空枯时，应逐批短裁或疏剪老枝，培育新枝，恢复树势。</w:t>
      </w:r>
    </w:p>
    <w:p>
      <w:pPr>
        <w:spacing w:line="360" w:lineRule="auto"/>
        <w:jc w:val="left"/>
        <w:rPr>
          <w:rFonts w:hint="eastAsia" w:ascii="宋体" w:hAnsi="宋体" w:cs="宋体"/>
          <w:sz w:val="24"/>
        </w:rPr>
      </w:pPr>
      <w:r>
        <w:rPr>
          <w:rFonts w:hint="eastAsia" w:ascii="宋体" w:hAnsi="宋体" w:cs="宋体"/>
          <w:sz w:val="24"/>
        </w:rPr>
        <w:t>（4）、修剪时期应视树木开花习性及耐寒力而定。头年生枝开花（结果）的，应在花后修剪，如迎春、连翘等；当年上枝开花（结果）的，应在落叶后至发芽前修剪。耐寒的树木休眠期修剪，阔叶绿篱早春发芽前修剪，针叶绿篱8~9月修剪。</w:t>
      </w:r>
    </w:p>
    <w:p>
      <w:pPr>
        <w:spacing w:line="360" w:lineRule="auto"/>
        <w:jc w:val="left"/>
        <w:rPr>
          <w:rFonts w:hint="eastAsia" w:ascii="宋体" w:hAnsi="宋体" w:cs="宋体"/>
          <w:sz w:val="24"/>
        </w:rPr>
      </w:pPr>
      <w:r>
        <w:rPr>
          <w:rFonts w:hint="eastAsia" w:ascii="宋体" w:hAnsi="宋体" w:cs="宋体"/>
          <w:sz w:val="24"/>
        </w:rPr>
        <w:t>（5）、幼小花木及新栽花灌木，应及时去花、蕾、果实。根际易萌发的树木，可用萌条更新衰老枝。</w:t>
      </w:r>
    </w:p>
    <w:p>
      <w:pPr>
        <w:spacing w:line="360" w:lineRule="auto"/>
        <w:jc w:val="left"/>
        <w:rPr>
          <w:rFonts w:hint="eastAsia" w:ascii="宋体" w:hAnsi="宋体" w:cs="宋体"/>
          <w:sz w:val="24"/>
        </w:rPr>
      </w:pPr>
      <w:r>
        <w:rPr>
          <w:rFonts w:hint="eastAsia" w:ascii="宋体" w:hAnsi="宋体" w:cs="宋体"/>
          <w:sz w:val="24"/>
        </w:rPr>
        <w:t>（6）、修剪方法：修剪时切口必须靠节，剪口应在剪口芽的反侧面，呈45度斜面，剪口要平滑，对过粗的枝条应分段截枝，防止撕裂树皮。修剪一棵树，应从树冠上方至下方，由内向外进行。先作示范，确定修剪方式，再全面展开。</w:t>
      </w:r>
    </w:p>
    <w:p>
      <w:pPr>
        <w:spacing w:line="360" w:lineRule="auto"/>
        <w:jc w:val="left"/>
        <w:rPr>
          <w:rFonts w:hint="eastAsia" w:ascii="宋体" w:hAnsi="宋体" w:cs="宋体"/>
          <w:sz w:val="24"/>
        </w:rPr>
      </w:pPr>
      <w:r>
        <w:rPr>
          <w:rFonts w:hint="eastAsia" w:ascii="宋体" w:hAnsi="宋体" w:cs="宋体"/>
          <w:sz w:val="24"/>
        </w:rPr>
        <w:t>（7）、生长期萌发的不定芽，除应保留者外，都要在未木质化时清除，扰乱树形的根际萌蘖及时清除。</w:t>
      </w:r>
    </w:p>
    <w:p>
      <w:pPr>
        <w:spacing w:line="360" w:lineRule="auto"/>
        <w:jc w:val="left"/>
        <w:rPr>
          <w:rFonts w:hint="eastAsia" w:ascii="宋体" w:hAnsi="宋体" w:cs="宋体"/>
          <w:sz w:val="24"/>
        </w:rPr>
      </w:pPr>
      <w:r>
        <w:rPr>
          <w:rFonts w:hint="eastAsia" w:ascii="宋体" w:hAnsi="宋体" w:cs="宋体"/>
          <w:sz w:val="24"/>
        </w:rPr>
        <w:t>4、绿化养护施肥标准</w:t>
      </w:r>
    </w:p>
    <w:p>
      <w:pPr>
        <w:spacing w:line="360" w:lineRule="auto"/>
        <w:jc w:val="left"/>
        <w:rPr>
          <w:rFonts w:hint="eastAsia" w:ascii="宋体" w:hAnsi="宋体" w:cs="宋体"/>
          <w:sz w:val="24"/>
        </w:rPr>
      </w:pPr>
      <w:r>
        <w:rPr>
          <w:rFonts w:hint="eastAsia" w:ascii="宋体" w:hAnsi="宋体" w:cs="宋体"/>
          <w:sz w:val="24"/>
        </w:rPr>
        <w:t>肥是植物的粮食，为使树木茂盛生长，必须施肥。休眠期施的肥称基肥，生长期施肥称追肥，有机肥必须充分腐熟才能使用。</w:t>
      </w:r>
    </w:p>
    <w:p>
      <w:pPr>
        <w:spacing w:line="360" w:lineRule="auto"/>
        <w:jc w:val="left"/>
        <w:rPr>
          <w:rFonts w:hint="eastAsia" w:ascii="宋体" w:hAnsi="宋体" w:cs="宋体"/>
          <w:sz w:val="24"/>
        </w:rPr>
      </w:pPr>
      <w:r>
        <w:rPr>
          <w:rFonts w:hint="eastAsia" w:ascii="宋体" w:hAnsi="宋体" w:cs="宋体"/>
          <w:sz w:val="24"/>
        </w:rPr>
        <w:t>（1）、观花观果树木，要求花前花后各施一次追肥，休眠期施一次基肥。</w:t>
      </w:r>
    </w:p>
    <w:p>
      <w:pPr>
        <w:spacing w:line="360" w:lineRule="auto"/>
        <w:jc w:val="left"/>
        <w:rPr>
          <w:rFonts w:hint="eastAsia" w:ascii="宋体" w:hAnsi="宋体" w:cs="宋体"/>
          <w:sz w:val="24"/>
        </w:rPr>
      </w:pPr>
      <w:r>
        <w:rPr>
          <w:rFonts w:hint="eastAsia" w:ascii="宋体" w:hAnsi="宋体" w:cs="宋体"/>
          <w:sz w:val="24"/>
        </w:rPr>
        <w:t>（2）、一般树木，休眠期施一次基肥，基肥施用量应视树种、土壤及树木大小而定，一般胸径10㎝以下的施有机肥5斤，10㎝以上的施10斤。</w:t>
      </w:r>
    </w:p>
    <w:p>
      <w:pPr>
        <w:spacing w:line="360" w:lineRule="auto"/>
        <w:jc w:val="left"/>
        <w:rPr>
          <w:rFonts w:hint="eastAsia" w:ascii="宋体" w:hAnsi="宋体" w:cs="宋体"/>
          <w:sz w:val="24"/>
        </w:rPr>
      </w:pPr>
      <w:r>
        <w:rPr>
          <w:rFonts w:hint="eastAsia" w:ascii="宋体" w:hAnsi="宋体" w:cs="宋体"/>
          <w:sz w:val="24"/>
        </w:rPr>
        <w:t>（3）、施肥要选择晴天，土壤干燥时进行。施肥时，肥料不能玷污枝叶，以免烧伤。施肥从效果与环境卫生考虑，应采用沟施或穴施，沟（穴）应开在树冠之冠缘线下，深度视根的深度而定，一般25㎝，肥料不能与粗根接触，施后将沟（穴）填平。</w:t>
      </w:r>
    </w:p>
    <w:p>
      <w:pPr>
        <w:spacing w:line="360" w:lineRule="auto"/>
        <w:jc w:val="left"/>
        <w:rPr>
          <w:rFonts w:hint="eastAsia" w:ascii="宋体" w:hAnsi="宋体" w:cs="宋体"/>
          <w:sz w:val="24"/>
        </w:rPr>
      </w:pPr>
      <w:r>
        <w:rPr>
          <w:rFonts w:hint="eastAsia" w:ascii="宋体" w:hAnsi="宋体" w:cs="宋体"/>
          <w:sz w:val="24"/>
        </w:rPr>
        <w:t>（4）、化肥要与有机肥交替使用。名贵树木可适当采用微量元素。磷肥、尿素作根外喷施，根外喷施宜在清晨或黄昏进行，以叶面泾润为度。</w:t>
      </w:r>
    </w:p>
    <w:p>
      <w:pPr>
        <w:spacing w:line="360" w:lineRule="auto"/>
        <w:jc w:val="left"/>
        <w:rPr>
          <w:rFonts w:hint="eastAsia" w:ascii="宋体" w:hAnsi="宋体" w:cs="宋体"/>
          <w:sz w:val="24"/>
        </w:rPr>
      </w:pPr>
      <w:r>
        <w:rPr>
          <w:rFonts w:hint="eastAsia" w:ascii="宋体" w:hAnsi="宋体" w:cs="宋体"/>
          <w:sz w:val="24"/>
        </w:rPr>
        <w:t>（5）、要根据树木特性选择合适的肥料，喜酸性花木如杜鹃等，不宜用碱性肥，常绿针叶幼龄小苗不宜使用化肥等。</w:t>
      </w:r>
    </w:p>
    <w:p>
      <w:pPr>
        <w:spacing w:line="360" w:lineRule="auto"/>
        <w:jc w:val="left"/>
        <w:rPr>
          <w:rFonts w:hint="eastAsia" w:ascii="宋体" w:hAnsi="宋体" w:cs="宋体"/>
          <w:sz w:val="24"/>
        </w:rPr>
      </w:pPr>
      <w:r>
        <w:rPr>
          <w:rFonts w:hint="eastAsia" w:ascii="宋体" w:hAnsi="宋体" w:cs="宋体"/>
          <w:sz w:val="24"/>
        </w:rPr>
        <w:t>5、绿化养护病虫害防治标准</w:t>
      </w:r>
    </w:p>
    <w:p>
      <w:pPr>
        <w:spacing w:line="360" w:lineRule="auto"/>
        <w:jc w:val="left"/>
        <w:rPr>
          <w:rFonts w:hint="eastAsia" w:ascii="宋体" w:hAnsi="宋体" w:cs="宋体"/>
          <w:sz w:val="24"/>
        </w:rPr>
      </w:pPr>
      <w:r>
        <w:rPr>
          <w:rFonts w:hint="eastAsia" w:ascii="宋体" w:hAnsi="宋体" w:cs="宋体"/>
          <w:sz w:val="24"/>
        </w:rPr>
        <w:t>（1）、应贯彻“预防为主，综合治理”的防治方针，并充分利用生物多样性原则，利用保护和增殖天敌等生物防治措施，以防致病虫危害。</w:t>
      </w:r>
    </w:p>
    <w:p>
      <w:pPr>
        <w:spacing w:line="360" w:lineRule="auto"/>
        <w:jc w:val="left"/>
        <w:rPr>
          <w:rFonts w:hint="eastAsia" w:ascii="宋体" w:hAnsi="宋体" w:cs="宋体"/>
          <w:sz w:val="24"/>
        </w:rPr>
      </w:pPr>
      <w:r>
        <w:rPr>
          <w:rFonts w:hint="eastAsia" w:ascii="宋体" w:hAnsi="宋体" w:cs="宋体"/>
          <w:sz w:val="24"/>
        </w:rPr>
        <w:t>（2）、应做好园林植物病虫害的预测预报工作，根据病虫害的发生规律，及时做好园林植物病虫害的防治工作。防治效果应达到95%以上。</w:t>
      </w:r>
    </w:p>
    <w:p>
      <w:pPr>
        <w:spacing w:line="360" w:lineRule="auto"/>
        <w:jc w:val="left"/>
        <w:rPr>
          <w:rFonts w:hint="eastAsia" w:ascii="宋体" w:hAnsi="宋体" w:cs="宋体"/>
          <w:sz w:val="24"/>
        </w:rPr>
      </w:pPr>
      <w:r>
        <w:rPr>
          <w:rFonts w:hint="eastAsia" w:ascii="宋体" w:hAnsi="宋体" w:cs="宋体"/>
          <w:sz w:val="24"/>
        </w:rPr>
        <w:t>（3）、严禁在开放性地区使用剧毒、高残毒和有关部门规定禁用的化学农药。使用化学农药应严格按有关安全操作规程施行。</w:t>
      </w:r>
    </w:p>
    <w:p>
      <w:pPr>
        <w:spacing w:line="360" w:lineRule="auto"/>
        <w:jc w:val="left"/>
        <w:rPr>
          <w:rFonts w:hint="eastAsia" w:ascii="宋体" w:hAnsi="宋体" w:cs="宋体"/>
          <w:b/>
          <w:sz w:val="24"/>
        </w:rPr>
      </w:pPr>
      <w:r>
        <w:rPr>
          <w:rFonts w:hint="eastAsia" w:ascii="宋体" w:hAnsi="宋体" w:cs="宋体"/>
          <w:b/>
          <w:sz w:val="24"/>
        </w:rPr>
        <w:t>（四）、河道保洁</w:t>
      </w:r>
    </w:p>
    <w:p>
      <w:pPr>
        <w:spacing w:line="360" w:lineRule="auto"/>
        <w:jc w:val="left"/>
        <w:rPr>
          <w:rFonts w:hint="eastAsia" w:ascii="宋体" w:hAnsi="宋体" w:cs="宋体"/>
          <w:sz w:val="24"/>
        </w:rPr>
      </w:pPr>
      <w:r>
        <w:rPr>
          <w:rFonts w:hint="eastAsia" w:ascii="宋体" w:hAnsi="宋体" w:cs="宋体"/>
          <w:sz w:val="24"/>
        </w:rPr>
        <w:t>1、保洁范围：</w:t>
      </w:r>
    </w:p>
    <w:tbl>
      <w:tblPr>
        <w:tblStyle w:val="76"/>
        <w:tblW w:w="0" w:type="auto"/>
        <w:tblInd w:w="0" w:type="dxa"/>
        <w:tblLayout w:type="fixed"/>
        <w:tblCellMar>
          <w:top w:w="0" w:type="dxa"/>
          <w:left w:w="108" w:type="dxa"/>
          <w:bottom w:w="0" w:type="dxa"/>
          <w:right w:w="108" w:type="dxa"/>
        </w:tblCellMar>
      </w:tblPr>
      <w:tblGrid>
        <w:gridCol w:w="1029"/>
        <w:gridCol w:w="2913"/>
        <w:gridCol w:w="3089"/>
        <w:gridCol w:w="2317"/>
      </w:tblGrid>
      <w:tr>
        <w:tblPrEx>
          <w:tblCellMar>
            <w:top w:w="0" w:type="dxa"/>
            <w:left w:w="108" w:type="dxa"/>
            <w:bottom w:w="0" w:type="dxa"/>
            <w:right w:w="108" w:type="dxa"/>
          </w:tblCellMar>
        </w:tblPrEx>
        <w:trPr>
          <w:wBefore w:w="0" w:type="dxa"/>
          <w:wAfter w:w="0" w:type="dxa"/>
          <w:trHeight w:val="449"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序号</w:t>
            </w:r>
          </w:p>
        </w:tc>
        <w:tc>
          <w:tcPr>
            <w:tcW w:w="2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河道名称</w:t>
            </w:r>
          </w:p>
        </w:tc>
        <w:tc>
          <w:tcPr>
            <w:tcW w:w="3089" w:type="dxa"/>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起讫地点</w:t>
            </w:r>
          </w:p>
        </w:tc>
        <w:tc>
          <w:tcPr>
            <w:tcW w:w="2317" w:type="dxa"/>
            <w:tcBorders>
              <w:top w:val="single" w:color="auto" w:sz="4" w:space="0"/>
              <w:left w:val="single" w:color="auto" w:sz="4" w:space="0"/>
              <w:bottom w:val="nil"/>
              <w:right w:val="single" w:color="auto" w:sz="4" w:space="0"/>
            </w:tcBorders>
            <w:noWrap w:val="0"/>
            <w:vAlign w:val="top"/>
          </w:tcPr>
          <w:p>
            <w:pPr>
              <w:spacing w:line="360" w:lineRule="auto"/>
              <w:ind w:right="575" w:rightChars="274"/>
              <w:jc w:val="left"/>
              <w:rPr>
                <w:rFonts w:hint="eastAsia" w:ascii="宋体" w:hAnsi="宋体" w:cs="宋体"/>
                <w:sz w:val="24"/>
              </w:rPr>
            </w:pPr>
            <w:r>
              <w:rPr>
                <w:rFonts w:hint="eastAsia" w:ascii="宋体" w:hAnsi="宋体" w:cs="宋体"/>
                <w:sz w:val="24"/>
              </w:rPr>
              <w:t>长度</w:t>
            </w:r>
          </w:p>
        </w:tc>
      </w:tr>
      <w:tr>
        <w:tblPrEx>
          <w:tblCellMar>
            <w:top w:w="0" w:type="dxa"/>
            <w:left w:w="108" w:type="dxa"/>
            <w:bottom w:w="0" w:type="dxa"/>
            <w:right w:w="108" w:type="dxa"/>
          </w:tblCellMar>
        </w:tblPrEx>
        <w:trPr>
          <w:wBefore w:w="0" w:type="dxa"/>
          <w:wAfter w:w="0" w:type="dxa"/>
          <w:trHeight w:val="411" w:hRule="atLeast"/>
        </w:trPr>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1</w:t>
            </w:r>
          </w:p>
        </w:tc>
        <w:tc>
          <w:tcPr>
            <w:tcW w:w="2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黄湖大溪（区级）</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白沙大桥至木鱼岭</w:t>
            </w:r>
          </w:p>
        </w:tc>
        <w:tc>
          <w:tcPr>
            <w:tcW w:w="231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cs="宋体"/>
                <w:sz w:val="24"/>
              </w:rPr>
            </w:pPr>
            <w:r>
              <w:rPr>
                <w:rFonts w:hint="eastAsia" w:ascii="宋体" w:hAnsi="宋体" w:cs="宋体"/>
                <w:sz w:val="24"/>
              </w:rPr>
              <w:t>7480米</w:t>
            </w:r>
          </w:p>
        </w:tc>
      </w:tr>
    </w:tbl>
    <w:p>
      <w:pPr>
        <w:spacing w:line="360" w:lineRule="auto"/>
        <w:jc w:val="left"/>
        <w:rPr>
          <w:rFonts w:hint="eastAsia" w:ascii="宋体" w:hAnsi="宋体" w:cs="宋体"/>
          <w:sz w:val="24"/>
        </w:rPr>
      </w:pPr>
      <w:r>
        <w:rPr>
          <w:rFonts w:hint="eastAsia" w:ascii="宋体" w:hAnsi="宋体" w:cs="宋体"/>
          <w:sz w:val="24"/>
        </w:rPr>
        <w:t>镇级河道保洁范围情况表</w:t>
      </w:r>
    </w:p>
    <w:tbl>
      <w:tblPr>
        <w:tblStyle w:val="7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81"/>
        <w:gridCol w:w="1305"/>
        <w:gridCol w:w="3060"/>
        <w:gridCol w:w="1147"/>
        <w:gridCol w:w="126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482" w:hRule="atLeast"/>
        </w:trPr>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河道名称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涉及村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起讫地点</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长度(米)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911" w:hRule="atLeast"/>
        </w:trPr>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青山溪</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青山村、</w:t>
            </w:r>
          </w:p>
          <w:p>
            <w:pPr>
              <w:spacing w:line="360" w:lineRule="auto"/>
              <w:jc w:val="left"/>
              <w:rPr>
                <w:rFonts w:hint="eastAsia" w:ascii="宋体" w:hAnsi="宋体" w:cs="宋体"/>
                <w:sz w:val="24"/>
              </w:rPr>
            </w:pPr>
            <w:r>
              <w:rPr>
                <w:rFonts w:hint="eastAsia" w:ascii="宋体" w:hAnsi="宋体" w:cs="宋体"/>
                <w:sz w:val="24"/>
              </w:rPr>
              <w:t>赐璧村、</w:t>
            </w:r>
          </w:p>
          <w:p>
            <w:pPr>
              <w:spacing w:line="360" w:lineRule="auto"/>
              <w:jc w:val="left"/>
              <w:rPr>
                <w:rFonts w:hint="eastAsia" w:ascii="宋体" w:hAnsi="宋体" w:cs="宋体"/>
                <w:sz w:val="24"/>
              </w:rPr>
            </w:pPr>
            <w:r>
              <w:rPr>
                <w:rFonts w:hint="eastAsia" w:ascii="宋体" w:hAnsi="宋体" w:cs="宋体"/>
                <w:sz w:val="24"/>
              </w:rPr>
              <w:t>清波村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深坝头桥至黄湖大溪</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4600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镇级河道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482" w:hRule="atLeast"/>
        </w:trPr>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里山溪(青山溪支流)</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青山村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石扶梯水库至双江堰</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2700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镇级河道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415" w:hRule="atLeast"/>
        </w:trPr>
        <w:tc>
          <w:tcPr>
            <w:tcW w:w="2681" w:type="dxa"/>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东坞溪(青山溪支流)</w:t>
            </w:r>
          </w:p>
        </w:tc>
        <w:tc>
          <w:tcPr>
            <w:tcW w:w="1305" w:type="dxa"/>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青山村</w:t>
            </w:r>
          </w:p>
        </w:tc>
        <w:tc>
          <w:tcPr>
            <w:tcW w:w="3060" w:type="dxa"/>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龙坞水库至深坝头桥</w:t>
            </w:r>
          </w:p>
        </w:tc>
        <w:tc>
          <w:tcPr>
            <w:tcW w:w="1147" w:type="dxa"/>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2100</w:t>
            </w:r>
          </w:p>
        </w:tc>
        <w:tc>
          <w:tcPr>
            <w:tcW w:w="1260" w:type="dxa"/>
            <w:tcBorders>
              <w:top w:val="single" w:color="auto" w:sz="4" w:space="0"/>
              <w:left w:val="single" w:color="auto" w:sz="4" w:space="0"/>
              <w:bottom w:val="nil"/>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镇级河道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482" w:hRule="atLeast"/>
        </w:trPr>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大马湾溪(青山溪支流)</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青山村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大马湾水库至深坝头桥</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1300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镇级河道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418" w:hRule="atLeast"/>
        </w:trPr>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赐璧溪(青山溪支流)</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赐璧村</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龙兴桥水库至洞口</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2800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镇级河道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418" w:hRule="atLeast"/>
        </w:trPr>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集镇</w:t>
            </w:r>
            <w:r>
              <w:rPr>
                <w:rFonts w:hint="eastAsia" w:ascii="宋体" w:hAnsi="宋体" w:cs="宋体"/>
                <w:sz w:val="24"/>
                <w:lang w:eastAsia="zh-CN"/>
              </w:rPr>
              <w:t>内的</w:t>
            </w:r>
            <w:r>
              <w:rPr>
                <w:rFonts w:hint="eastAsia" w:ascii="宋体" w:hAnsi="宋体" w:cs="宋体"/>
                <w:sz w:val="24"/>
              </w:rPr>
              <w:t>小沟小渠</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4"/>
                <w:lang w:eastAsia="zh-CN"/>
              </w:rPr>
            </w:pPr>
            <w:r>
              <w:rPr>
                <w:rFonts w:hint="eastAsia" w:ascii="宋体" w:hAnsi="宋体" w:cs="宋体"/>
                <w:sz w:val="24"/>
                <w:lang w:eastAsia="zh-CN"/>
              </w:rPr>
              <w:t>集镇内</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4"/>
                <w:lang w:eastAsia="zh-CN"/>
              </w:rPr>
            </w:pPr>
            <w:r>
              <w:rPr>
                <w:rFonts w:hint="eastAsia" w:ascii="宋体" w:hAnsi="宋体" w:cs="宋体"/>
                <w:sz w:val="24"/>
                <w:lang w:eastAsia="zh-CN"/>
              </w:rPr>
              <w:t>所有集镇内的小沟小渠</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4"/>
                <w:lang w:val="en-US" w:eastAsia="zh-CN"/>
              </w:rPr>
            </w:pPr>
            <w:r>
              <w:rPr>
                <w:rFonts w:hint="eastAsia" w:ascii="宋体" w:hAnsi="宋体" w:cs="宋体"/>
                <w:sz w:val="24"/>
                <w:lang w:val="en-US" w:eastAsia="zh-CN"/>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448" w:hRule="atLeast"/>
        </w:trPr>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合计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13500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p>
        </w:tc>
      </w:tr>
    </w:tbl>
    <w:p>
      <w:pPr>
        <w:spacing w:line="360" w:lineRule="auto"/>
        <w:jc w:val="left"/>
        <w:rPr>
          <w:rFonts w:hint="eastAsia" w:ascii="宋体" w:hAnsi="宋体" w:cs="宋体"/>
          <w:sz w:val="24"/>
        </w:rPr>
      </w:pPr>
      <w:r>
        <w:rPr>
          <w:rFonts w:hint="eastAsia" w:ascii="宋体" w:hAnsi="宋体" w:cs="宋体"/>
          <w:sz w:val="24"/>
        </w:rPr>
        <w:t>2、保洁标准及相关要求：</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4282"/>
        <w:gridCol w:w="340"/>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12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cs="宋体"/>
                <w:sz w:val="24"/>
              </w:rPr>
            </w:pPr>
            <w:r>
              <w:rPr>
                <w:rFonts w:hint="eastAsia" w:ascii="宋体" w:hAnsi="宋体" w:cs="宋体"/>
                <w:sz w:val="24"/>
              </w:rPr>
              <w:t>保洁等级</w:t>
            </w:r>
          </w:p>
        </w:tc>
        <w:tc>
          <w:tcPr>
            <w:tcW w:w="428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区级河道</w:t>
            </w:r>
          </w:p>
        </w:tc>
        <w:tc>
          <w:tcPr>
            <w:tcW w:w="3826" w:type="dxa"/>
            <w:gridSpan w:val="2"/>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区级以下河道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质量要求</w:t>
            </w:r>
          </w:p>
        </w:tc>
        <w:tc>
          <w:tcPr>
            <w:tcW w:w="4282" w:type="dxa"/>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rPr>
            </w:pPr>
            <w:r>
              <w:rPr>
                <w:rFonts w:hint="eastAsia" w:ascii="宋体" w:hAnsi="宋体" w:cs="宋体"/>
                <w:sz w:val="24"/>
              </w:rPr>
              <w:t>河面清洁无垃圾、无杂草落叶，水生植物有序养殖，有效控制；河岸（滩）无垃圾、无污垢和卫生死角；两侧管理控制区内无成堆、成片垃圾杂物及明显散落垃圾；垃圾日产日清，规范处置。</w:t>
            </w:r>
          </w:p>
        </w:tc>
        <w:tc>
          <w:tcPr>
            <w:tcW w:w="3826" w:type="dxa"/>
            <w:gridSpan w:val="2"/>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rPr>
            </w:pPr>
            <w:r>
              <w:rPr>
                <w:rFonts w:hint="eastAsia" w:ascii="宋体" w:hAnsi="宋体" w:cs="宋体"/>
                <w:sz w:val="24"/>
              </w:rPr>
              <w:t>河面清洁无明显散落垃圾，河岸（滩）无成堆垃圾和卫生死角；两侧管理控制区内无成堆、成片垃圾杂物及明显散落垃圾；垃圾日产日清，规范处置。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保洁时间</w:t>
            </w:r>
          </w:p>
        </w:tc>
        <w:tc>
          <w:tcPr>
            <w:tcW w:w="8108" w:type="dxa"/>
            <w:gridSpan w:val="3"/>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rPr>
            </w:pPr>
            <w:r>
              <w:rPr>
                <w:rFonts w:hint="eastAsia" w:ascii="宋体" w:hAnsi="宋体" w:cs="宋体"/>
                <w:sz w:val="24"/>
              </w:rPr>
              <w:t>10小时（1-4月，11-12月）；12小时（5-10月）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每天清扫次数</w:t>
            </w:r>
          </w:p>
        </w:tc>
        <w:tc>
          <w:tcPr>
            <w:tcW w:w="4622" w:type="dxa"/>
            <w:gridSpan w:val="2"/>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不少于2次；巡回保洁</w:t>
            </w:r>
          </w:p>
        </w:tc>
        <w:tc>
          <w:tcPr>
            <w:tcW w:w="3486"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备注</w:t>
            </w:r>
          </w:p>
        </w:tc>
        <w:tc>
          <w:tcPr>
            <w:tcW w:w="8108" w:type="dxa"/>
            <w:gridSpan w:val="3"/>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rPr>
            </w:pPr>
            <w:r>
              <w:rPr>
                <w:rFonts w:hint="eastAsia" w:ascii="宋体" w:hAnsi="宋体" w:cs="宋体"/>
                <w:sz w:val="24"/>
              </w:rPr>
              <w:t>夏季高温期间由保洁单位合理调整作业时间；</w:t>
            </w:r>
          </w:p>
          <w:p>
            <w:pPr>
              <w:spacing w:line="360" w:lineRule="auto"/>
              <w:jc w:val="left"/>
              <w:rPr>
                <w:rFonts w:hint="eastAsia" w:ascii="宋体" w:hAnsi="宋体" w:cs="宋体"/>
                <w:sz w:val="24"/>
              </w:rPr>
            </w:pPr>
            <w:r>
              <w:rPr>
                <w:rFonts w:hint="eastAsia" w:ascii="宋体" w:hAnsi="宋体" w:cs="宋体"/>
                <w:sz w:val="24"/>
              </w:rPr>
              <w:t>重点整治河道质量标准参照区级河道执行。</w:t>
            </w:r>
          </w:p>
        </w:tc>
      </w:tr>
    </w:tbl>
    <w:p>
      <w:pPr>
        <w:spacing w:line="360" w:lineRule="auto"/>
        <w:jc w:val="left"/>
        <w:rPr>
          <w:rFonts w:hint="eastAsia" w:ascii="宋体" w:hAnsi="宋体" w:cs="宋体"/>
          <w:sz w:val="24"/>
        </w:rPr>
      </w:pPr>
      <w:r>
        <w:rPr>
          <w:rFonts w:hint="eastAsia" w:ascii="宋体" w:hAnsi="宋体" w:cs="宋体"/>
          <w:sz w:val="24"/>
        </w:rPr>
        <w:t xml:space="preserve">    保洁河道落实专人专船负责保洁。要求10小时（1-4月，11-12月）；12小时（5-10月）</w:t>
      </w:r>
    </w:p>
    <w:p>
      <w:pPr>
        <w:spacing w:line="360" w:lineRule="auto"/>
        <w:jc w:val="left"/>
        <w:rPr>
          <w:rFonts w:hint="eastAsia" w:ascii="宋体" w:hAnsi="宋体" w:cs="宋体"/>
          <w:sz w:val="24"/>
        </w:rPr>
      </w:pPr>
      <w:r>
        <w:rPr>
          <w:rFonts w:hint="eastAsia" w:ascii="宋体" w:hAnsi="宋体" w:cs="宋体"/>
          <w:sz w:val="24"/>
        </w:rPr>
        <w:t>循环保洁，确保两岸河坡干净整洁，垃圾当日清理并运送至垃圾中转站。打捞招标清单范围内河道水面杂草、垃圾、漂浮物（包括各类垃圾、水葫芦和浮萍等）、枯枝、网具等，清除河滩斜坡滩地及河道两岸迎水坡5米范围内的生活建筑垃圾等。垃圾日产日清运至垃圾中转站，死牲畜及时报告镇里进行无害化消毒处理。对沿途企业单位和个人是否向河道排放污水情况及向河道倾倒建筑垃圾，是否有违法建设行为进行巡查，一旦发现及时向招标人汇报并及时清理。</w:t>
      </w:r>
    </w:p>
    <w:p>
      <w:pPr>
        <w:spacing w:line="360" w:lineRule="auto"/>
        <w:jc w:val="left"/>
        <w:rPr>
          <w:rFonts w:hint="eastAsia" w:ascii="宋体" w:hAnsi="宋体" w:eastAsia="宋体" w:cs="宋体"/>
          <w:b/>
          <w:bCs/>
          <w:sz w:val="24"/>
          <w:lang w:eastAsia="zh-CN"/>
        </w:rPr>
      </w:pPr>
      <w:r>
        <w:rPr>
          <w:rFonts w:hint="eastAsia" w:ascii="宋体" w:hAnsi="宋体" w:cs="宋体"/>
          <w:b/>
          <w:bCs/>
          <w:sz w:val="24"/>
        </w:rPr>
        <w:t>集镇小沟小渠的清理</w:t>
      </w:r>
      <w:r>
        <w:rPr>
          <w:rFonts w:hint="eastAsia" w:ascii="宋体" w:hAnsi="宋体" w:cs="宋体"/>
          <w:b/>
          <w:bCs/>
          <w:sz w:val="24"/>
          <w:lang w:eastAsia="zh-CN"/>
        </w:rPr>
        <w:t>：</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1、</w:t>
      </w:r>
      <w:r>
        <w:rPr>
          <w:rFonts w:hint="eastAsia" w:ascii="宋体" w:hAnsi="宋体" w:cs="宋体"/>
          <w:sz w:val="24"/>
          <w:lang w:val="zh-CN"/>
        </w:rPr>
        <w:t>小沟小渠清洁无明显散落垃圾，无成堆垃圾和卫生死角；两侧管理控制区内无成堆、成片垃圾杂物及明显散落垃圾。</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垃圾日产日清运至垃圾中转站，死牲畜及时报告镇里进行无害化消毒处理。对沿途企业单位和个人是否向河道排放污水情况及向河道倾倒建筑垃圾，是否有违法建设行为进行巡查，一旦发现及时向招标人汇报并及时清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val="en-US" w:eastAsia="zh-CN"/>
        </w:rPr>
        <w:t>3、每日清洁</w:t>
      </w:r>
      <w:r>
        <w:rPr>
          <w:rFonts w:hint="eastAsia" w:ascii="宋体" w:hAnsi="宋体" w:cs="宋体"/>
          <w:sz w:val="24"/>
        </w:rPr>
        <w:t>不少于2次</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范围内干净整洁，无散落垃圾，无明显异味，墙面无明显积灰、污渍，无污水乱排。</w:t>
      </w:r>
    </w:p>
    <w:p>
      <w:pPr>
        <w:spacing w:line="360" w:lineRule="auto"/>
        <w:jc w:val="left"/>
        <w:rPr>
          <w:rFonts w:hint="eastAsia" w:ascii="宋体" w:hAnsi="宋体" w:cs="宋体"/>
          <w:sz w:val="24"/>
        </w:rPr>
      </w:pPr>
    </w:p>
    <w:p>
      <w:pPr>
        <w:spacing w:line="360" w:lineRule="auto"/>
        <w:jc w:val="left"/>
        <w:rPr>
          <w:rFonts w:hint="eastAsia" w:ascii="宋体" w:hAnsi="宋体" w:cs="宋体"/>
          <w:b/>
          <w:sz w:val="24"/>
        </w:rPr>
      </w:pPr>
      <w:r>
        <w:rPr>
          <w:rFonts w:hint="eastAsia" w:ascii="宋体" w:hAnsi="宋体" w:cs="宋体"/>
          <w:b/>
          <w:sz w:val="24"/>
        </w:rPr>
        <w:t>（五）、公厕保洁</w:t>
      </w:r>
    </w:p>
    <w:p>
      <w:pPr>
        <w:spacing w:line="360" w:lineRule="auto"/>
        <w:jc w:val="left"/>
        <w:rPr>
          <w:rFonts w:hint="eastAsia" w:ascii="宋体" w:hAnsi="宋体" w:cs="宋体"/>
          <w:sz w:val="24"/>
        </w:rPr>
      </w:pPr>
      <w:r>
        <w:rPr>
          <w:rFonts w:hint="eastAsia" w:ascii="宋体" w:hAnsi="宋体" w:cs="宋体"/>
          <w:sz w:val="24"/>
        </w:rPr>
        <w:t>1、公厕保洁范围：农贸市场停车场公厕、（原好又多超市）停车场公厕、经发楼后公厕、二通道高标准公厕、绿地公园公厕、滨河公园公厕、清波公园公厕等</w:t>
      </w:r>
    </w:p>
    <w:p>
      <w:pPr>
        <w:spacing w:line="360" w:lineRule="auto"/>
        <w:jc w:val="left"/>
        <w:rPr>
          <w:rFonts w:hint="eastAsia" w:ascii="宋体" w:hAnsi="宋体" w:cs="宋体"/>
          <w:b/>
          <w:sz w:val="24"/>
        </w:rPr>
      </w:pPr>
      <w:r>
        <w:rPr>
          <w:rFonts w:hint="eastAsia" w:ascii="宋体" w:hAnsi="宋体" w:cs="宋体"/>
          <w:b/>
          <w:sz w:val="24"/>
        </w:rPr>
        <w:t>注：价格包含日常保洁人工经费、设施设备维护维修、劳保工具、厕纸等易耗品，水电费用由甲方支出</w:t>
      </w:r>
      <w:r>
        <w:rPr>
          <w:rFonts w:hint="eastAsia" w:ascii="宋体" w:hAnsi="宋体" w:cs="宋体"/>
          <w:b/>
          <w:sz w:val="24"/>
          <w:lang w:eastAsia="zh-CN"/>
        </w:rPr>
        <w:t>。</w:t>
      </w:r>
    </w:p>
    <w:p>
      <w:pPr>
        <w:spacing w:line="360" w:lineRule="auto"/>
        <w:jc w:val="left"/>
        <w:rPr>
          <w:rFonts w:hint="eastAsia" w:ascii="宋体" w:hAnsi="宋体" w:cs="宋体"/>
          <w:sz w:val="24"/>
        </w:rPr>
      </w:pPr>
      <w:r>
        <w:rPr>
          <w:rFonts w:hint="eastAsia" w:ascii="宋体" w:hAnsi="宋体" w:cs="宋体"/>
          <w:sz w:val="24"/>
        </w:rPr>
        <w:t>2、公厕保洁标准及相关要求：</w:t>
      </w:r>
    </w:p>
    <w:p>
      <w:pPr>
        <w:spacing w:line="360" w:lineRule="auto"/>
        <w:jc w:val="left"/>
        <w:rPr>
          <w:rFonts w:hint="eastAsia" w:ascii="宋体" w:hAnsi="宋体" w:cs="宋体"/>
          <w:sz w:val="24"/>
        </w:rPr>
      </w:pPr>
      <w:r>
        <w:rPr>
          <w:rFonts w:hint="eastAsia" w:ascii="宋体" w:hAnsi="宋体" w:cs="宋体"/>
          <w:sz w:val="24"/>
        </w:rPr>
        <w:t>（1）、公厕管理质量要求和管理时间：</w:t>
      </w:r>
    </w:p>
    <w:p>
      <w:pPr>
        <w:spacing w:line="360" w:lineRule="auto"/>
        <w:jc w:val="left"/>
        <w:rPr>
          <w:rFonts w:hint="eastAsia" w:ascii="宋体" w:hAnsi="宋体" w:cs="宋体"/>
          <w:sz w:val="24"/>
        </w:rPr>
      </w:pPr>
      <w:r>
        <w:rPr>
          <w:rFonts w:hint="eastAsia" w:ascii="宋体" w:hAnsi="宋体" w:cs="宋体"/>
          <w:sz w:val="24"/>
        </w:rPr>
        <w:t>公厕必须配有专职管理人员，标准公厕实行16小时管理制度，高标准公厕实行24小时管理制度，工作人员服务态度良好。</w:t>
      </w:r>
    </w:p>
    <w:p>
      <w:pPr>
        <w:spacing w:line="360" w:lineRule="auto"/>
        <w:jc w:val="left"/>
        <w:rPr>
          <w:rFonts w:hint="eastAsia" w:ascii="宋体" w:hAnsi="宋体" w:cs="宋体"/>
          <w:sz w:val="24"/>
        </w:rPr>
      </w:pPr>
      <w:r>
        <w:rPr>
          <w:rFonts w:hint="eastAsia" w:ascii="宋体" w:hAnsi="宋体" w:cs="宋体"/>
          <w:sz w:val="24"/>
        </w:rPr>
        <w:t>（2）、洗手间内</w:t>
      </w:r>
    </w:p>
    <w:p>
      <w:pPr>
        <w:spacing w:line="360" w:lineRule="auto"/>
        <w:jc w:val="left"/>
        <w:rPr>
          <w:rFonts w:hint="eastAsia" w:ascii="宋体" w:hAnsi="宋体" w:cs="宋体"/>
          <w:sz w:val="24"/>
        </w:rPr>
      </w:pPr>
      <w:r>
        <w:rPr>
          <w:rFonts w:hint="eastAsia" w:ascii="宋体" w:hAnsi="宋体" w:cs="宋体"/>
          <w:sz w:val="24"/>
        </w:rPr>
        <w:t>地面：无污迹、无水泥迹、无口香糖胶迹、无积水、无堆放杂物。</w:t>
      </w:r>
    </w:p>
    <w:p>
      <w:pPr>
        <w:spacing w:line="360" w:lineRule="auto"/>
        <w:jc w:val="left"/>
        <w:rPr>
          <w:rFonts w:hint="eastAsia" w:ascii="宋体" w:hAnsi="宋体" w:cs="宋体"/>
          <w:sz w:val="24"/>
        </w:rPr>
      </w:pPr>
      <w:r>
        <w:rPr>
          <w:rFonts w:hint="eastAsia" w:ascii="宋体" w:hAnsi="宋体" w:cs="宋体"/>
          <w:sz w:val="24"/>
        </w:rPr>
        <w:t>墙面：无污迹、无乱张贴物。</w:t>
      </w:r>
    </w:p>
    <w:p>
      <w:pPr>
        <w:spacing w:line="360" w:lineRule="auto"/>
        <w:jc w:val="left"/>
        <w:rPr>
          <w:rFonts w:hint="eastAsia" w:ascii="宋体" w:hAnsi="宋体" w:cs="宋体"/>
          <w:sz w:val="24"/>
        </w:rPr>
      </w:pPr>
      <w:r>
        <w:rPr>
          <w:rFonts w:hint="eastAsia" w:ascii="宋体" w:hAnsi="宋体" w:cs="宋体"/>
          <w:sz w:val="24"/>
        </w:rPr>
        <w:t>天花：无污迹、无积尘、无蜘蛛网、无霉迹。</w:t>
      </w:r>
    </w:p>
    <w:p>
      <w:pPr>
        <w:spacing w:line="360" w:lineRule="auto"/>
        <w:jc w:val="left"/>
        <w:rPr>
          <w:rFonts w:hint="eastAsia" w:ascii="宋体" w:hAnsi="宋体" w:cs="宋体"/>
          <w:sz w:val="24"/>
        </w:rPr>
      </w:pPr>
      <w:r>
        <w:rPr>
          <w:rFonts w:hint="eastAsia" w:ascii="宋体" w:hAnsi="宋体" w:cs="宋体"/>
          <w:sz w:val="24"/>
        </w:rPr>
        <w:t>光管罩：无污迹、无积尘、无乱张贴物。</w:t>
      </w:r>
    </w:p>
    <w:p>
      <w:pPr>
        <w:spacing w:line="360" w:lineRule="auto"/>
        <w:jc w:val="left"/>
        <w:rPr>
          <w:rFonts w:hint="eastAsia" w:ascii="宋体" w:hAnsi="宋体" w:cs="宋体"/>
          <w:sz w:val="24"/>
        </w:rPr>
      </w:pPr>
      <w:r>
        <w:rPr>
          <w:rFonts w:hint="eastAsia" w:ascii="宋体" w:hAnsi="宋体" w:cs="宋体"/>
          <w:sz w:val="24"/>
        </w:rPr>
        <w:t>窗户：无污迹、无积尘、无乱张贴物。</w:t>
      </w:r>
    </w:p>
    <w:p>
      <w:pPr>
        <w:spacing w:line="360" w:lineRule="auto"/>
        <w:jc w:val="left"/>
        <w:rPr>
          <w:rFonts w:hint="eastAsia" w:ascii="宋体" w:hAnsi="宋体" w:cs="宋体"/>
          <w:sz w:val="24"/>
        </w:rPr>
      </w:pPr>
      <w:r>
        <w:rPr>
          <w:rFonts w:hint="eastAsia" w:ascii="宋体" w:hAnsi="宋体" w:cs="宋体"/>
          <w:sz w:val="24"/>
        </w:rPr>
        <w:t>镜台：无污迹、无积尘、无乱张贴物。</w:t>
      </w:r>
    </w:p>
    <w:p>
      <w:pPr>
        <w:spacing w:line="360" w:lineRule="auto"/>
        <w:jc w:val="left"/>
        <w:rPr>
          <w:rFonts w:hint="eastAsia" w:ascii="宋体" w:hAnsi="宋体" w:cs="宋体"/>
          <w:sz w:val="24"/>
        </w:rPr>
      </w:pPr>
      <w:r>
        <w:rPr>
          <w:rFonts w:hint="eastAsia" w:ascii="宋体" w:hAnsi="宋体" w:cs="宋体"/>
          <w:sz w:val="24"/>
        </w:rPr>
        <w:t>洗手盆：表面光洁、无污迹。</w:t>
      </w:r>
    </w:p>
    <w:p>
      <w:pPr>
        <w:spacing w:line="360" w:lineRule="auto"/>
        <w:jc w:val="left"/>
        <w:rPr>
          <w:rFonts w:hint="eastAsia" w:ascii="宋体" w:hAnsi="宋体" w:cs="宋体"/>
          <w:sz w:val="24"/>
        </w:rPr>
      </w:pPr>
      <w:r>
        <w:rPr>
          <w:rFonts w:hint="eastAsia" w:ascii="宋体" w:hAnsi="宋体" w:cs="宋体"/>
          <w:sz w:val="24"/>
        </w:rPr>
        <w:t>镜面：无污迹、无积尘、无乱张贴物。</w:t>
      </w:r>
    </w:p>
    <w:p>
      <w:pPr>
        <w:spacing w:line="360" w:lineRule="auto"/>
        <w:jc w:val="left"/>
        <w:rPr>
          <w:rFonts w:hint="eastAsia" w:ascii="宋体" w:hAnsi="宋体" w:cs="宋体"/>
          <w:sz w:val="24"/>
        </w:rPr>
      </w:pPr>
      <w:r>
        <w:rPr>
          <w:rFonts w:hint="eastAsia" w:ascii="宋体" w:hAnsi="宋体" w:cs="宋体"/>
          <w:sz w:val="24"/>
        </w:rPr>
        <w:t>排水口：无污迹、无积尘、无蜘蛛网、无霉迹。</w:t>
      </w:r>
    </w:p>
    <w:p>
      <w:pPr>
        <w:spacing w:line="360" w:lineRule="auto"/>
        <w:jc w:val="left"/>
        <w:rPr>
          <w:rFonts w:hint="eastAsia" w:ascii="宋体" w:hAnsi="宋体" w:cs="宋体"/>
          <w:sz w:val="24"/>
        </w:rPr>
      </w:pPr>
      <w:r>
        <w:rPr>
          <w:rFonts w:hint="eastAsia" w:ascii="宋体" w:hAnsi="宋体" w:cs="宋体"/>
          <w:sz w:val="24"/>
        </w:rPr>
        <w:t>尿槽：表面光洁、无尿迹、无污迹、无水透迹、无烟头、无杂物、无异物。</w:t>
      </w:r>
    </w:p>
    <w:p>
      <w:pPr>
        <w:spacing w:line="360" w:lineRule="auto"/>
        <w:jc w:val="left"/>
        <w:rPr>
          <w:rFonts w:hint="eastAsia" w:ascii="宋体" w:hAnsi="宋体" w:cs="宋体"/>
          <w:sz w:val="24"/>
        </w:rPr>
      </w:pPr>
      <w:r>
        <w:rPr>
          <w:rFonts w:hint="eastAsia" w:ascii="宋体" w:hAnsi="宋体" w:cs="宋体"/>
          <w:sz w:val="24"/>
        </w:rPr>
        <w:t>厕座：厕盖迹厕体内外表光洁、其内无尿迹、无污迹、无水透迹、无阻塞。</w:t>
      </w:r>
    </w:p>
    <w:p>
      <w:pPr>
        <w:spacing w:line="360" w:lineRule="auto"/>
        <w:jc w:val="left"/>
        <w:rPr>
          <w:rFonts w:hint="eastAsia" w:ascii="宋体" w:hAnsi="宋体" w:cs="宋体"/>
          <w:sz w:val="24"/>
        </w:rPr>
      </w:pPr>
      <w:r>
        <w:rPr>
          <w:rFonts w:hint="eastAsia" w:ascii="宋体" w:hAnsi="宋体" w:cs="宋体"/>
          <w:sz w:val="24"/>
        </w:rPr>
        <w:t>厕纸箱：无污迹、无积尘、无蜘蛛网、无霉迹。</w:t>
      </w:r>
    </w:p>
    <w:p>
      <w:pPr>
        <w:spacing w:line="360" w:lineRule="auto"/>
        <w:jc w:val="left"/>
        <w:rPr>
          <w:rFonts w:hint="eastAsia" w:ascii="宋体" w:hAnsi="宋体" w:cs="宋体"/>
          <w:sz w:val="24"/>
        </w:rPr>
      </w:pPr>
      <w:r>
        <w:rPr>
          <w:rFonts w:hint="eastAsia" w:ascii="宋体" w:hAnsi="宋体" w:cs="宋体"/>
          <w:sz w:val="24"/>
        </w:rPr>
        <w:t>手纸箱：无污迹、无积尘、无蜘蛛网、无霉迹。</w:t>
      </w:r>
    </w:p>
    <w:p>
      <w:pPr>
        <w:spacing w:line="360" w:lineRule="auto"/>
        <w:jc w:val="left"/>
        <w:rPr>
          <w:rFonts w:hint="eastAsia" w:ascii="宋体" w:hAnsi="宋体" w:cs="宋体"/>
          <w:sz w:val="24"/>
        </w:rPr>
      </w:pPr>
      <w:r>
        <w:rPr>
          <w:rFonts w:hint="eastAsia" w:ascii="宋体" w:hAnsi="宋体" w:cs="宋体"/>
          <w:sz w:val="24"/>
        </w:rPr>
        <w:t>门户：无污迹、无积尘、无蜘蛛网、无霉迹。</w:t>
      </w:r>
    </w:p>
    <w:p>
      <w:pPr>
        <w:spacing w:line="360" w:lineRule="auto"/>
        <w:jc w:val="left"/>
        <w:rPr>
          <w:rFonts w:hint="eastAsia" w:ascii="宋体" w:hAnsi="宋体" w:cs="宋体"/>
          <w:sz w:val="24"/>
        </w:rPr>
      </w:pPr>
      <w:r>
        <w:rPr>
          <w:rFonts w:hint="eastAsia" w:ascii="宋体" w:hAnsi="宋体" w:cs="宋体"/>
          <w:sz w:val="24"/>
        </w:rPr>
        <w:t>地漏迹及水沟：无污物积聚、无堵塞。</w:t>
      </w:r>
    </w:p>
    <w:p>
      <w:pPr>
        <w:spacing w:line="360" w:lineRule="auto"/>
        <w:jc w:val="left"/>
        <w:rPr>
          <w:rFonts w:hint="eastAsia" w:ascii="宋体" w:hAnsi="宋体" w:cs="宋体"/>
          <w:sz w:val="24"/>
        </w:rPr>
      </w:pPr>
      <w:r>
        <w:rPr>
          <w:rFonts w:hint="eastAsia" w:ascii="宋体" w:hAnsi="宋体" w:cs="宋体"/>
          <w:sz w:val="24"/>
        </w:rPr>
        <w:t>（3）、门厅及走廊</w:t>
      </w:r>
    </w:p>
    <w:p>
      <w:pPr>
        <w:spacing w:line="360" w:lineRule="auto"/>
        <w:jc w:val="left"/>
        <w:rPr>
          <w:rFonts w:hint="eastAsia" w:ascii="宋体" w:hAnsi="宋体" w:cs="宋体"/>
          <w:sz w:val="24"/>
        </w:rPr>
      </w:pPr>
      <w:r>
        <w:rPr>
          <w:rFonts w:hint="eastAsia" w:ascii="宋体" w:hAnsi="宋体" w:cs="宋体"/>
          <w:sz w:val="24"/>
        </w:rPr>
        <w:t>地面：无脚印、无污迹、无水泥迹、无口香糖胶迹、无积水、无堆放杂物、无垃圾。</w:t>
      </w:r>
    </w:p>
    <w:p>
      <w:pPr>
        <w:spacing w:line="360" w:lineRule="auto"/>
        <w:jc w:val="left"/>
        <w:rPr>
          <w:rFonts w:hint="eastAsia" w:ascii="宋体" w:hAnsi="宋体" w:cs="宋体"/>
          <w:sz w:val="24"/>
        </w:rPr>
      </w:pPr>
      <w:r>
        <w:rPr>
          <w:rFonts w:hint="eastAsia" w:ascii="宋体" w:hAnsi="宋体" w:cs="宋体"/>
          <w:sz w:val="24"/>
        </w:rPr>
        <w:t>天花：无污迹、无积尘、无蜘蛛网、无霉迹。</w:t>
      </w:r>
    </w:p>
    <w:p>
      <w:pPr>
        <w:spacing w:line="360" w:lineRule="auto"/>
        <w:jc w:val="left"/>
        <w:rPr>
          <w:rFonts w:hint="eastAsia" w:ascii="宋体" w:hAnsi="宋体" w:cs="宋体"/>
          <w:sz w:val="24"/>
        </w:rPr>
      </w:pPr>
      <w:r>
        <w:rPr>
          <w:rFonts w:hint="eastAsia" w:ascii="宋体" w:hAnsi="宋体" w:cs="宋体"/>
          <w:sz w:val="24"/>
        </w:rPr>
        <w:t>光管罩：无污迹、无积尘、无蜘蛛网、无霉迹。</w:t>
      </w:r>
    </w:p>
    <w:p>
      <w:pPr>
        <w:spacing w:line="360" w:lineRule="auto"/>
        <w:jc w:val="left"/>
        <w:rPr>
          <w:rFonts w:hint="eastAsia" w:ascii="宋体" w:hAnsi="宋体" w:cs="宋体"/>
          <w:sz w:val="24"/>
        </w:rPr>
      </w:pPr>
      <w:r>
        <w:rPr>
          <w:rFonts w:hint="eastAsia" w:ascii="宋体" w:hAnsi="宋体" w:cs="宋体"/>
          <w:sz w:val="24"/>
        </w:rPr>
        <w:t>铜牌：无污迹、无积尘、无铜油迹</w:t>
      </w:r>
    </w:p>
    <w:p>
      <w:pPr>
        <w:spacing w:line="360" w:lineRule="auto"/>
        <w:jc w:val="left"/>
        <w:rPr>
          <w:rFonts w:hint="eastAsia" w:ascii="宋体" w:hAnsi="宋体" w:cs="宋体"/>
          <w:sz w:val="24"/>
        </w:rPr>
      </w:pPr>
      <w:r>
        <w:rPr>
          <w:rFonts w:hint="eastAsia" w:ascii="宋体" w:hAnsi="宋体" w:cs="宋体"/>
          <w:sz w:val="24"/>
        </w:rPr>
        <w:t>水牌迹指示牌：无污迹、无积尘、无乱张贴物。</w:t>
      </w:r>
    </w:p>
    <w:p>
      <w:pPr>
        <w:spacing w:line="360" w:lineRule="auto"/>
        <w:jc w:val="left"/>
        <w:rPr>
          <w:rFonts w:hint="eastAsia" w:ascii="宋体" w:hAnsi="宋体" w:cs="宋体"/>
          <w:sz w:val="24"/>
        </w:rPr>
      </w:pPr>
      <w:r>
        <w:rPr>
          <w:rFonts w:hint="eastAsia" w:ascii="宋体" w:hAnsi="宋体" w:cs="宋体"/>
          <w:sz w:val="24"/>
        </w:rPr>
        <w:t>门户（管井门、隔烟门、厕所门）：无污迹、无积尘、无乱张贴物。</w:t>
      </w:r>
    </w:p>
    <w:p>
      <w:pPr>
        <w:spacing w:line="360" w:lineRule="auto"/>
        <w:jc w:val="left"/>
        <w:rPr>
          <w:rFonts w:hint="eastAsia" w:ascii="宋体" w:hAnsi="宋体" w:cs="宋体"/>
          <w:sz w:val="24"/>
        </w:rPr>
      </w:pPr>
      <w:r>
        <w:rPr>
          <w:rFonts w:hint="eastAsia" w:ascii="宋体" w:hAnsi="宋体" w:cs="宋体"/>
          <w:sz w:val="24"/>
        </w:rPr>
        <w:t>垃圾桶：桶体光洁无污迹、无痰迹；烟灰缸盖上无烟头、杂物；桶内垃圾不得超过桶口。</w:t>
      </w:r>
    </w:p>
    <w:p>
      <w:pPr>
        <w:spacing w:line="360" w:lineRule="auto"/>
        <w:jc w:val="left"/>
        <w:rPr>
          <w:rFonts w:hint="eastAsia" w:ascii="宋体" w:hAnsi="宋体" w:cs="宋体"/>
          <w:sz w:val="24"/>
        </w:rPr>
      </w:pPr>
      <w:r>
        <w:rPr>
          <w:rFonts w:hint="eastAsia" w:ascii="宋体" w:hAnsi="宋体" w:cs="宋体"/>
          <w:sz w:val="24"/>
        </w:rPr>
        <w:t>消防栓：无污迹、无积尘、无乱张贴物。</w:t>
      </w:r>
    </w:p>
    <w:p>
      <w:pPr>
        <w:spacing w:line="360" w:lineRule="auto"/>
        <w:jc w:val="left"/>
        <w:rPr>
          <w:rFonts w:hint="eastAsia" w:ascii="宋体" w:hAnsi="宋体" w:cs="宋体"/>
          <w:sz w:val="24"/>
        </w:rPr>
      </w:pPr>
      <w:r>
        <w:rPr>
          <w:rFonts w:hint="eastAsia" w:ascii="宋体" w:hAnsi="宋体" w:cs="宋体"/>
          <w:sz w:val="24"/>
        </w:rPr>
        <w:t>（4）、消杀、无蝇、少蚊、少虫。</w:t>
      </w:r>
    </w:p>
    <w:p>
      <w:pPr>
        <w:spacing w:line="360" w:lineRule="auto"/>
        <w:jc w:val="left"/>
        <w:rPr>
          <w:rFonts w:hint="eastAsia" w:ascii="宋体" w:hAnsi="宋体" w:cs="宋体"/>
          <w:sz w:val="24"/>
        </w:rPr>
      </w:pPr>
      <w:r>
        <w:rPr>
          <w:rFonts w:hint="eastAsia" w:ascii="宋体" w:hAnsi="宋体" w:cs="宋体"/>
          <w:sz w:val="24"/>
        </w:rPr>
        <w:t>（5）、灭鼠、灭蟑螂。</w:t>
      </w:r>
    </w:p>
    <w:p>
      <w:pPr>
        <w:spacing w:line="360" w:lineRule="auto"/>
        <w:jc w:val="left"/>
        <w:rPr>
          <w:rFonts w:hint="eastAsia" w:ascii="宋体" w:hAnsi="宋体" w:cs="宋体"/>
          <w:b/>
          <w:sz w:val="24"/>
        </w:rPr>
      </w:pPr>
      <w:r>
        <w:rPr>
          <w:rFonts w:hint="eastAsia" w:ascii="宋体" w:hAnsi="宋体" w:cs="宋体"/>
          <w:b/>
          <w:sz w:val="24"/>
        </w:rPr>
        <w:t>（六）、垃圾中转站保洁及维护</w:t>
      </w:r>
    </w:p>
    <w:p>
      <w:pPr>
        <w:spacing w:line="360" w:lineRule="auto"/>
        <w:jc w:val="left"/>
        <w:rPr>
          <w:rFonts w:hint="eastAsia" w:ascii="宋体" w:hAnsi="宋体" w:cs="宋体"/>
          <w:sz w:val="24"/>
        </w:rPr>
      </w:pPr>
      <w:r>
        <w:rPr>
          <w:rFonts w:hint="eastAsia" w:ascii="宋体" w:hAnsi="宋体" w:cs="宋体"/>
          <w:sz w:val="24"/>
        </w:rPr>
        <w:t>1、具体范围如下：垃圾中转站日常维护及保洁与维修，垃圾分类及湿垃圾处理后清肥，以及各个村生活垃圾数量统计、称重和档案记录</w:t>
      </w:r>
      <w:r>
        <w:rPr>
          <w:rFonts w:hint="eastAsia" w:ascii="宋体" w:hAnsi="宋体" w:cs="宋体"/>
          <w:sz w:val="24"/>
          <w:lang w:eastAsia="zh-CN"/>
        </w:rPr>
        <w:t>，同时向甲方提供一辆电动汽车用于巡查集镇城市管理工作</w:t>
      </w:r>
      <w:r>
        <w:rPr>
          <w:rFonts w:hint="eastAsia" w:ascii="宋体" w:hAnsi="宋体" w:cs="宋体"/>
          <w:sz w:val="24"/>
        </w:rPr>
        <w:t>。</w:t>
      </w:r>
    </w:p>
    <w:p>
      <w:pPr>
        <w:spacing w:line="360" w:lineRule="auto"/>
        <w:jc w:val="left"/>
        <w:rPr>
          <w:rFonts w:hint="eastAsia" w:ascii="宋体" w:hAnsi="宋体" w:cs="宋体"/>
          <w:sz w:val="24"/>
        </w:rPr>
      </w:pPr>
      <w:r>
        <w:rPr>
          <w:rFonts w:hint="eastAsia" w:ascii="宋体" w:hAnsi="宋体" w:cs="宋体"/>
          <w:sz w:val="24"/>
        </w:rPr>
        <w:t>注：采购人已购置垃圾清运车一辆</w:t>
      </w:r>
      <w:r>
        <w:rPr>
          <w:rFonts w:hint="eastAsia" w:ascii="宋体" w:hAnsi="宋体" w:cs="宋体"/>
          <w:sz w:val="24"/>
          <w:lang w:eastAsia="zh-CN"/>
        </w:rPr>
        <w:t>、音乐垃圾收集车一辆、电力三轮车一辆</w:t>
      </w:r>
      <w:r>
        <w:rPr>
          <w:rFonts w:hint="eastAsia" w:ascii="宋体" w:hAnsi="宋体" w:cs="宋体"/>
          <w:sz w:val="24"/>
        </w:rPr>
        <w:t>，中标单位须租用</w:t>
      </w:r>
      <w:r>
        <w:rPr>
          <w:rFonts w:hint="eastAsia" w:ascii="宋体" w:hAnsi="宋体" w:cs="宋体"/>
          <w:sz w:val="24"/>
          <w:lang w:eastAsia="zh-CN"/>
        </w:rPr>
        <w:t>上述车辆，租用</w:t>
      </w:r>
      <w:r>
        <w:rPr>
          <w:rFonts w:hint="eastAsia" w:ascii="宋体" w:hAnsi="宋体" w:cs="宋体"/>
          <w:sz w:val="24"/>
        </w:rPr>
        <w:t>费用为</w:t>
      </w:r>
      <w:r>
        <w:rPr>
          <w:rFonts w:hint="eastAsia" w:ascii="宋体" w:hAnsi="宋体" w:cs="宋体"/>
          <w:sz w:val="24"/>
          <w:lang w:val="en-US" w:eastAsia="zh-CN"/>
        </w:rPr>
        <w:t>5万</w:t>
      </w:r>
      <w:r>
        <w:rPr>
          <w:rFonts w:hint="eastAsia" w:ascii="宋体" w:hAnsi="宋体" w:cs="宋体"/>
          <w:sz w:val="24"/>
        </w:rPr>
        <w:t>元/年，</w:t>
      </w:r>
      <w:r>
        <w:rPr>
          <w:rFonts w:hint="eastAsia" w:ascii="宋体" w:hAnsi="宋体" w:cs="宋体"/>
          <w:sz w:val="24"/>
          <w:lang w:eastAsia="zh-CN"/>
        </w:rPr>
        <w:t>首次拨付合同款时扣除年度租金。</w:t>
      </w:r>
    </w:p>
    <w:p>
      <w:pPr>
        <w:spacing w:line="360" w:lineRule="auto"/>
        <w:jc w:val="left"/>
        <w:rPr>
          <w:rFonts w:hint="eastAsia" w:ascii="宋体" w:hAnsi="宋体" w:cs="宋体"/>
          <w:sz w:val="24"/>
        </w:rPr>
      </w:pPr>
      <w:r>
        <w:rPr>
          <w:rFonts w:hint="eastAsia" w:ascii="宋体" w:hAnsi="宋体" w:cs="宋体"/>
          <w:sz w:val="24"/>
        </w:rPr>
        <w:t>2、</w:t>
      </w:r>
      <w:r>
        <w:rPr>
          <w:rFonts w:hint="eastAsia" w:ascii="宋体" w:hAnsi="宋体" w:cs="宋体"/>
          <w:b/>
          <w:sz w:val="24"/>
        </w:rPr>
        <w:t>保洁及维护的</w:t>
      </w:r>
      <w:r>
        <w:rPr>
          <w:rFonts w:hint="eastAsia" w:ascii="宋体" w:hAnsi="宋体" w:cs="宋体"/>
          <w:sz w:val="24"/>
        </w:rPr>
        <w:t>标准及相关要求：</w:t>
      </w:r>
    </w:p>
    <w:p>
      <w:pPr>
        <w:spacing w:line="360" w:lineRule="auto"/>
        <w:jc w:val="left"/>
        <w:rPr>
          <w:rFonts w:hint="eastAsia" w:ascii="宋体" w:hAnsi="宋体" w:cs="宋体"/>
          <w:sz w:val="24"/>
        </w:rPr>
      </w:pPr>
      <w:r>
        <w:rPr>
          <w:rFonts w:hint="eastAsia" w:ascii="宋体" w:hAnsi="宋体" w:cs="宋体"/>
          <w:sz w:val="24"/>
        </w:rPr>
        <w:t>（1）、垃圾收集设施内生活垃圾日产日清。</w:t>
      </w:r>
    </w:p>
    <w:p>
      <w:pPr>
        <w:spacing w:line="360" w:lineRule="auto"/>
        <w:jc w:val="left"/>
        <w:rPr>
          <w:rFonts w:hint="eastAsia" w:ascii="宋体" w:hAnsi="宋体" w:cs="宋体"/>
          <w:sz w:val="24"/>
        </w:rPr>
      </w:pPr>
      <w:r>
        <w:rPr>
          <w:rFonts w:hint="eastAsia" w:ascii="宋体" w:hAnsi="宋体" w:cs="宋体"/>
          <w:sz w:val="24"/>
        </w:rPr>
        <w:t>（2）、清理、收集的各类垃圾必须按指定地点倾倒。</w:t>
      </w:r>
    </w:p>
    <w:p>
      <w:pPr>
        <w:spacing w:line="360" w:lineRule="auto"/>
        <w:jc w:val="left"/>
        <w:rPr>
          <w:rFonts w:hint="eastAsia" w:ascii="宋体" w:hAnsi="宋体" w:cs="宋体"/>
          <w:sz w:val="24"/>
        </w:rPr>
      </w:pPr>
      <w:r>
        <w:rPr>
          <w:rFonts w:hint="eastAsia" w:ascii="宋体" w:hAnsi="宋体" w:cs="宋体"/>
          <w:sz w:val="24"/>
        </w:rPr>
        <w:t>（3）、垃圾运输密闭，无抛洒、吊挂和污水滴漏，运输车辆作业后及时清洗，干净停放。</w:t>
      </w:r>
    </w:p>
    <w:p>
      <w:pPr>
        <w:spacing w:line="360" w:lineRule="auto"/>
        <w:jc w:val="left"/>
        <w:rPr>
          <w:rFonts w:hint="eastAsia" w:ascii="宋体" w:hAnsi="宋体" w:cs="宋体"/>
          <w:sz w:val="24"/>
        </w:rPr>
      </w:pPr>
      <w:r>
        <w:rPr>
          <w:rFonts w:hint="eastAsia" w:ascii="宋体" w:hAnsi="宋体" w:cs="宋体"/>
          <w:sz w:val="24"/>
        </w:rPr>
        <w:t>（4）、中转站垃圾及时转运，周边10米范围内干净整洁，无散落垃圾，无明显异味，墙面无明显积灰、污渍，无污水乱排。</w:t>
      </w:r>
    </w:p>
    <w:p>
      <w:pPr>
        <w:spacing w:line="360" w:lineRule="auto"/>
        <w:jc w:val="left"/>
        <w:rPr>
          <w:rFonts w:hint="eastAsia" w:ascii="宋体" w:hAnsi="宋体" w:cs="宋体"/>
          <w:sz w:val="24"/>
        </w:rPr>
      </w:pPr>
      <w:r>
        <w:rPr>
          <w:rFonts w:hint="eastAsia" w:ascii="宋体" w:hAnsi="宋体" w:cs="宋体"/>
          <w:sz w:val="24"/>
        </w:rPr>
        <w:t>（5）、生活垃圾统一实行无害化处理，禁止自行简易填埋、焚烧，禁止工业垃圾、建筑垃圾、装修垃圾等混入生活垃圾处置场所。</w:t>
      </w:r>
    </w:p>
    <w:p>
      <w:pPr>
        <w:spacing w:line="360" w:lineRule="auto"/>
        <w:jc w:val="left"/>
        <w:rPr>
          <w:rFonts w:hint="eastAsia" w:ascii="宋体" w:hAnsi="宋体" w:cs="宋体"/>
          <w:sz w:val="24"/>
        </w:rPr>
      </w:pPr>
      <w:r>
        <w:rPr>
          <w:rFonts w:hint="eastAsia" w:ascii="宋体" w:hAnsi="宋体" w:cs="宋体"/>
          <w:sz w:val="24"/>
        </w:rPr>
        <w:t>（6）、生活垃圾无害化处理率达100%。</w:t>
      </w:r>
    </w:p>
    <w:p>
      <w:pPr>
        <w:spacing w:line="360" w:lineRule="auto"/>
        <w:jc w:val="left"/>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每日</w:t>
      </w:r>
      <w:r>
        <w:rPr>
          <w:rFonts w:hint="eastAsia" w:ascii="宋体" w:hAnsi="宋体" w:cs="宋体"/>
          <w:sz w:val="24"/>
        </w:rPr>
        <w:t>需将各个村生活垃圾数量统计、称重并且记录在档案中。</w:t>
      </w:r>
    </w:p>
    <w:p>
      <w:pPr>
        <w:spacing w:line="360" w:lineRule="auto"/>
        <w:jc w:val="left"/>
        <w:rPr>
          <w:rFonts w:hint="eastAsia" w:ascii="宋体" w:hAnsi="宋体" w:cs="宋体"/>
          <w:b/>
          <w:sz w:val="24"/>
        </w:rPr>
      </w:pPr>
      <w:r>
        <w:rPr>
          <w:rFonts w:hint="eastAsia" w:ascii="宋体" w:hAnsi="宋体" w:cs="宋体"/>
          <w:b/>
          <w:sz w:val="24"/>
        </w:rPr>
        <w:t>（七）、垃圾清运的费用</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1、每天将村社集置点垃圾和集镇垃圾清运至垃圾中转站，压缩后其他垃圾运送至九峰焚烧，严禁随处乱倒、乱卸，否则所造成的后果由中标人负责。</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2、垃圾清运中要保证文明作业，不准垃圾运输车辆沿途抛撒。</w:t>
      </w:r>
    </w:p>
    <w:p>
      <w:pPr>
        <w:autoSpaceDE w:val="0"/>
        <w:autoSpaceDN w:val="0"/>
        <w:adjustRightInd w:val="0"/>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3、注意清运安全，中标人须加强对聘用人员的安全作业教育。清运过程中一旦发生安全事故，均由中标人承担全部责任。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4、生活垃圾运输途中确保密闭运输，不得有污水滴漏、垃圾抛洒等情况发生。</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5、垃圾压缩过程中，需要每日喷洒除虫除臭药水，保证中转站现场卫生。</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6、有完备的作业制度及应对各类突发事件的工作预案。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bidi="ar"/>
        </w:rPr>
        <w:t>7、作业期间所发生的一切安全及交通事故均由中标单位承担。</w:t>
      </w:r>
    </w:p>
    <w:p>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8、所有运输车辆加装GPS定位装置，便于业主随时在线监管。</w:t>
      </w:r>
    </w:p>
    <w:p>
      <w:pPr>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9、需配置垃圾称重，并需称重放入库内。</w:t>
      </w:r>
    </w:p>
    <w:p>
      <w:pPr>
        <w:spacing w:line="360" w:lineRule="auto"/>
        <w:ind w:firstLine="480" w:firstLineChars="200"/>
        <w:rPr>
          <w:rFonts w:ascii="宋体" w:hAnsi="宋体" w:cs="宋体"/>
          <w:sz w:val="24"/>
          <w:szCs w:val="24"/>
          <w:lang w:bidi="ar"/>
        </w:rPr>
      </w:pPr>
      <w:r>
        <w:rPr>
          <w:rFonts w:hint="eastAsia" w:ascii="宋体" w:hAnsi="宋体" w:cs="宋体"/>
          <w:sz w:val="24"/>
          <w:szCs w:val="24"/>
          <w:lang w:bidi="ar"/>
        </w:rPr>
        <w:t>10、车辆的日常维护，保险等费用自行解决</w:t>
      </w:r>
    </w:p>
    <w:p>
      <w:pPr>
        <w:spacing w:line="360" w:lineRule="auto"/>
        <w:ind w:firstLine="480" w:firstLineChars="200"/>
        <w:jc w:val="left"/>
        <w:rPr>
          <w:rFonts w:hint="eastAsia" w:ascii="宋体" w:hAnsi="宋体" w:cs="宋体"/>
          <w:b/>
          <w:sz w:val="24"/>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、根据区域面积和工作量，合理安排环卫保洁人员，同时报甲方备案，垃圾桶定期清洗，保持干净，严禁垃圾外溢现象，做到日产日清。</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2</w:t>
      </w:r>
      <w:r>
        <w:rPr>
          <w:rFonts w:hint="eastAsia" w:ascii="宋体" w:hAnsi="宋体" w:cs="宋体"/>
          <w:sz w:val="24"/>
          <w:lang w:val="zh-CN"/>
        </w:rPr>
        <w:t>、要安排专人进行牛皮癣清除，要做到发现一处，清除一处。</w:t>
      </w:r>
    </w:p>
    <w:p>
      <w:pPr>
        <w:spacing w:line="360" w:lineRule="auto"/>
        <w:jc w:val="left"/>
        <w:rPr>
          <w:rFonts w:hint="eastAsia" w:ascii="宋体" w:hAnsi="宋体" w:cs="宋体"/>
          <w:b/>
          <w:sz w:val="24"/>
        </w:rPr>
      </w:pPr>
      <w:r>
        <w:rPr>
          <w:rFonts w:hint="eastAsia" w:ascii="宋体" w:hAnsi="宋体" w:cs="宋体"/>
          <w:b/>
          <w:sz w:val="24"/>
        </w:rPr>
        <w:t>四、保洁的其他相关要求</w:t>
      </w:r>
    </w:p>
    <w:p>
      <w:pPr>
        <w:spacing w:line="360" w:lineRule="auto"/>
        <w:jc w:val="left"/>
        <w:rPr>
          <w:rFonts w:hint="eastAsia" w:ascii="宋体" w:hAnsi="宋体" w:cs="宋体"/>
          <w:sz w:val="24"/>
        </w:rPr>
      </w:pPr>
      <w:r>
        <w:rPr>
          <w:rFonts w:hint="eastAsia" w:ascii="宋体" w:hAnsi="宋体" w:cs="宋体"/>
          <w:sz w:val="24"/>
        </w:rPr>
        <w:t>1、中标单位在保洁作业中投入的机械设备、人员配置等必须与投标文件中所承诺的数量规格相符合。加强日常作业质量管理，做好作业质量自查日记，每月25日前报送工作报表。</w:t>
      </w:r>
    </w:p>
    <w:p>
      <w:pPr>
        <w:spacing w:line="360" w:lineRule="auto"/>
        <w:jc w:val="left"/>
        <w:rPr>
          <w:rFonts w:hint="eastAsia" w:ascii="宋体" w:hAnsi="宋体" w:cs="宋体"/>
          <w:sz w:val="24"/>
        </w:rPr>
      </w:pPr>
      <w:r>
        <w:rPr>
          <w:rFonts w:hint="eastAsia" w:ascii="宋体" w:hAnsi="宋体" w:cs="宋体"/>
          <w:sz w:val="24"/>
        </w:rPr>
        <w:t>2、规范管理、文明作业、自觉接受采购人及其上级各部门领导的检查和社会监督，对出现的问题要及时整改。</w:t>
      </w:r>
    </w:p>
    <w:p>
      <w:pPr>
        <w:spacing w:line="360" w:lineRule="auto"/>
        <w:jc w:val="left"/>
        <w:rPr>
          <w:rFonts w:hint="eastAsia" w:ascii="宋体" w:hAnsi="宋体" w:cs="宋体"/>
          <w:sz w:val="24"/>
        </w:rPr>
      </w:pPr>
      <w:r>
        <w:rPr>
          <w:rFonts w:hint="eastAsia" w:ascii="宋体" w:hAnsi="宋体" w:cs="宋体"/>
          <w:sz w:val="24"/>
        </w:rPr>
        <w:t>3、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采购人）。</w:t>
      </w:r>
    </w:p>
    <w:p>
      <w:pPr>
        <w:spacing w:line="360" w:lineRule="auto"/>
        <w:jc w:val="left"/>
        <w:rPr>
          <w:rFonts w:hint="eastAsia" w:ascii="宋体" w:hAnsi="宋体" w:cs="宋体"/>
          <w:sz w:val="24"/>
        </w:rPr>
      </w:pPr>
      <w:r>
        <w:rPr>
          <w:rFonts w:hint="eastAsia" w:ascii="宋体" w:hAnsi="宋体" w:cs="宋体"/>
          <w:sz w:val="24"/>
        </w:rPr>
        <w:t>4、中标单位不得以任何名义擅自向沿街单位和个人收取保洁费用。</w:t>
      </w:r>
    </w:p>
    <w:p>
      <w:pPr>
        <w:spacing w:line="360" w:lineRule="auto"/>
        <w:jc w:val="left"/>
        <w:rPr>
          <w:rFonts w:hint="eastAsia" w:ascii="宋体" w:hAnsi="宋体" w:cs="宋体"/>
          <w:sz w:val="24"/>
        </w:rPr>
      </w:pPr>
      <w:r>
        <w:rPr>
          <w:rFonts w:hint="eastAsia" w:ascii="宋体" w:hAnsi="宋体" w:cs="宋体"/>
          <w:sz w:val="24"/>
        </w:rPr>
        <w:t>5、果壳箱应定期保养保持整洁完好无缺失，承包期间因作业操作不善或其它原因造成破损、缺失、被盗的，由中标单位承担费用并负责修复或更新（果壳箱更换款式应保持原样，或经采购人同意后调整款式）。</w:t>
      </w:r>
    </w:p>
    <w:p>
      <w:pPr>
        <w:spacing w:line="360" w:lineRule="auto"/>
        <w:jc w:val="left"/>
        <w:rPr>
          <w:rFonts w:hint="eastAsia" w:ascii="宋体" w:hAnsi="宋体" w:cs="宋体"/>
          <w:sz w:val="24"/>
        </w:rPr>
      </w:pPr>
      <w:r>
        <w:rPr>
          <w:rFonts w:hint="eastAsia" w:ascii="宋体" w:hAnsi="宋体" w:cs="宋体"/>
          <w:sz w:val="24"/>
        </w:rPr>
        <w:t>6、机动、人力车辆应按时冲洗保养保持外观整洁，无抛洒滴漏、无满溢、无吊挂，车辆符合环卫标准化管理要求。</w:t>
      </w:r>
    </w:p>
    <w:p>
      <w:pPr>
        <w:spacing w:line="360" w:lineRule="auto"/>
        <w:jc w:val="left"/>
        <w:rPr>
          <w:rFonts w:hint="eastAsia" w:ascii="宋体" w:hAnsi="宋体" w:cs="宋体"/>
          <w:sz w:val="24"/>
        </w:rPr>
      </w:pPr>
      <w:r>
        <w:rPr>
          <w:rFonts w:hint="eastAsia" w:ascii="宋体" w:hAnsi="宋体" w:cs="宋体"/>
          <w:sz w:val="24"/>
        </w:rPr>
        <w:t>7、垃圾应倾倒在指定的垃圾中转站，不得焚烧垃圾、树叶，确需垃圾二次转运的应在指定地点进行，不得直接在保洁道路上进行。</w:t>
      </w:r>
    </w:p>
    <w:p>
      <w:pPr>
        <w:spacing w:line="360" w:lineRule="auto"/>
        <w:jc w:val="left"/>
        <w:rPr>
          <w:rFonts w:hint="eastAsia" w:ascii="宋体" w:hAnsi="宋体" w:cs="宋体"/>
          <w:sz w:val="24"/>
        </w:rPr>
      </w:pPr>
      <w:r>
        <w:rPr>
          <w:rFonts w:hint="eastAsia" w:ascii="宋体" w:hAnsi="宋体" w:cs="宋体"/>
          <w:sz w:val="24"/>
        </w:rPr>
        <w:t>8、如遇渣土抛洒污染路面等情况，中标单位应及时举报执法部门，同时配合相关部门进行道路清理冲洗。</w:t>
      </w:r>
    </w:p>
    <w:p>
      <w:pPr>
        <w:spacing w:line="360" w:lineRule="auto"/>
        <w:jc w:val="left"/>
        <w:rPr>
          <w:rFonts w:hint="eastAsia" w:ascii="宋体" w:hAnsi="宋体" w:cs="宋体"/>
          <w:sz w:val="24"/>
        </w:rPr>
      </w:pPr>
      <w:r>
        <w:rPr>
          <w:rFonts w:hint="eastAsia" w:ascii="宋体" w:hAnsi="宋体" w:cs="宋体"/>
          <w:sz w:val="24"/>
        </w:rPr>
        <w:t>9、专用作业车辆要有反光标志、有编号、有监督电话、有责任单位、车辆停放场所中标单位自行负责解决。</w:t>
      </w:r>
    </w:p>
    <w:p>
      <w:pPr>
        <w:spacing w:line="360" w:lineRule="auto"/>
        <w:jc w:val="left"/>
        <w:rPr>
          <w:rFonts w:hint="eastAsia" w:ascii="宋体" w:hAnsi="宋体" w:cs="宋体"/>
          <w:sz w:val="24"/>
        </w:rPr>
      </w:pPr>
      <w:r>
        <w:rPr>
          <w:rFonts w:hint="eastAsia" w:ascii="宋体" w:hAnsi="宋体" w:cs="宋体"/>
          <w:sz w:val="24"/>
        </w:rPr>
        <w:t>10、本着以人为本、关爱职工的理念，严格遵守有关劳动法规，落实《杭州市人民政府办公厅关于进一步解决环卫工人实际困难，保障其合法权益的意见》精神。如因违法、违规并造成不良后果的，责任由中标单位自负</w:t>
      </w:r>
    </w:p>
    <w:p>
      <w:pPr>
        <w:spacing w:line="360" w:lineRule="auto"/>
        <w:jc w:val="left"/>
        <w:rPr>
          <w:rFonts w:hint="eastAsia" w:ascii="宋体" w:hAnsi="宋体" w:cs="宋体"/>
          <w:sz w:val="24"/>
        </w:rPr>
      </w:pPr>
      <w:r>
        <w:rPr>
          <w:rFonts w:hint="eastAsia" w:ascii="宋体" w:hAnsi="宋体" w:cs="宋体"/>
          <w:sz w:val="24"/>
        </w:rPr>
        <w:t>11、车辆的保险，维修等费用自行提供，不得问甲方收取该费用。</w:t>
      </w:r>
    </w:p>
    <w:p>
      <w:pPr>
        <w:spacing w:line="360" w:lineRule="auto"/>
        <w:jc w:val="left"/>
        <w:rPr>
          <w:rFonts w:hint="eastAsia" w:ascii="宋体" w:hAnsi="宋体" w:cs="宋体"/>
          <w:sz w:val="24"/>
        </w:rPr>
      </w:pPr>
      <w:r>
        <w:rPr>
          <w:rFonts w:hint="eastAsia" w:ascii="宋体" w:hAnsi="宋体" w:cs="宋体"/>
          <w:sz w:val="24"/>
        </w:rPr>
        <w:t>12、垃圾中转站的消防水不得用于日常清洗中，若发现有该情况，根据情况相应扣款。</w:t>
      </w:r>
    </w:p>
    <w:p>
      <w:pPr>
        <w:spacing w:line="360" w:lineRule="auto"/>
        <w:jc w:val="left"/>
        <w:rPr>
          <w:rFonts w:hint="eastAsia" w:ascii="宋体" w:hAnsi="宋体" w:cs="宋体"/>
          <w:sz w:val="24"/>
        </w:rPr>
      </w:pPr>
      <w:r>
        <w:rPr>
          <w:rFonts w:hint="eastAsia" w:ascii="宋体" w:hAnsi="宋体" w:cs="宋体"/>
          <w:sz w:val="24"/>
        </w:rPr>
        <w:t>13、中标方进场工作时需给甲方提供巡逻车一辆，以便甲方巡查监管。</w:t>
      </w:r>
    </w:p>
    <w:p>
      <w:pPr>
        <w:spacing w:line="360" w:lineRule="auto"/>
        <w:jc w:val="left"/>
        <w:rPr>
          <w:rFonts w:hint="eastAsia" w:ascii="宋体" w:hAnsi="宋体" w:cs="宋体"/>
          <w:b/>
          <w:sz w:val="24"/>
        </w:rPr>
      </w:pPr>
      <w:r>
        <w:rPr>
          <w:rFonts w:hint="eastAsia" w:ascii="宋体" w:hAnsi="宋体" w:cs="宋体"/>
          <w:b/>
          <w:sz w:val="24"/>
        </w:rPr>
        <w:t>五、管理服务费用及财务管理要求</w:t>
      </w:r>
    </w:p>
    <w:p>
      <w:pPr>
        <w:spacing w:line="360" w:lineRule="auto"/>
        <w:jc w:val="left"/>
        <w:rPr>
          <w:rFonts w:hint="eastAsia" w:ascii="宋体" w:hAnsi="宋体" w:cs="宋体"/>
          <w:sz w:val="24"/>
        </w:rPr>
      </w:pPr>
      <w:r>
        <w:rPr>
          <w:rFonts w:hint="eastAsia" w:ascii="宋体" w:hAnsi="宋体" w:cs="宋体"/>
          <w:sz w:val="24"/>
        </w:rPr>
        <w:t>1、管理服务费以签订的合同价为准。</w:t>
      </w:r>
    </w:p>
    <w:p>
      <w:pPr>
        <w:spacing w:line="360" w:lineRule="auto"/>
        <w:jc w:val="left"/>
        <w:rPr>
          <w:rFonts w:hint="eastAsia" w:ascii="宋体" w:hAnsi="宋体" w:cs="宋体"/>
          <w:sz w:val="24"/>
        </w:rPr>
      </w:pPr>
      <w:r>
        <w:rPr>
          <w:rFonts w:hint="eastAsia" w:ascii="宋体" w:hAnsi="宋体" w:cs="宋体"/>
          <w:sz w:val="24"/>
        </w:rPr>
        <w:t>2、中标单位需承担相关所需保洁用品、物业保洁和维护设备、工具及所有保洁消耗。</w:t>
      </w:r>
    </w:p>
    <w:p>
      <w:pPr>
        <w:spacing w:line="360" w:lineRule="auto"/>
        <w:jc w:val="left"/>
        <w:rPr>
          <w:rFonts w:hint="eastAsia" w:ascii="宋体" w:hAnsi="宋体" w:cs="宋体"/>
          <w:sz w:val="24"/>
        </w:rPr>
      </w:pPr>
      <w:r>
        <w:rPr>
          <w:rFonts w:hint="eastAsia" w:ascii="宋体" w:hAnsi="宋体" w:cs="宋体"/>
          <w:sz w:val="24"/>
        </w:rPr>
        <w:t>3.采购单位不提供相关办公场所，由中标单位自己解决办公场所。办公用品所需耗材由中标单位自行承担。</w:t>
      </w:r>
    </w:p>
    <w:p>
      <w:pPr>
        <w:spacing w:line="360" w:lineRule="auto"/>
        <w:jc w:val="left"/>
        <w:rPr>
          <w:rFonts w:hint="eastAsia" w:ascii="宋体" w:hAnsi="宋体" w:cs="宋体"/>
          <w:sz w:val="24"/>
        </w:rPr>
      </w:pPr>
      <w:r>
        <w:rPr>
          <w:rFonts w:hint="eastAsia" w:ascii="宋体" w:hAnsi="宋体"/>
          <w:b/>
          <w:sz w:val="24"/>
        </w:rPr>
        <w:t>●</w:t>
      </w:r>
      <w:r>
        <w:rPr>
          <w:rFonts w:hint="eastAsia" w:ascii="宋体" w:hAnsi="宋体" w:cs="宋体"/>
          <w:sz w:val="24"/>
        </w:rPr>
        <w:t>4、服务期限：签订合同之日起1年。</w:t>
      </w:r>
    </w:p>
    <w:p>
      <w:pPr>
        <w:spacing w:line="360" w:lineRule="auto"/>
        <w:jc w:val="left"/>
        <w:rPr>
          <w:rFonts w:hint="eastAsia" w:ascii="宋体" w:hAnsi="宋体" w:cs="宋体"/>
          <w:b/>
          <w:sz w:val="24"/>
        </w:rPr>
      </w:pPr>
      <w:r>
        <w:rPr>
          <w:rFonts w:hint="eastAsia" w:ascii="宋体" w:hAnsi="宋体"/>
          <w:b/>
          <w:sz w:val="24"/>
        </w:rPr>
        <w:t>●</w:t>
      </w:r>
      <w:r>
        <w:rPr>
          <w:rFonts w:hint="eastAsia" w:ascii="宋体" w:hAnsi="宋体" w:cs="宋体"/>
          <w:b/>
          <w:sz w:val="24"/>
        </w:rPr>
        <w:t>六、费用结算方式</w:t>
      </w:r>
    </w:p>
    <w:p>
      <w:pPr>
        <w:spacing w:line="360" w:lineRule="auto"/>
        <w:jc w:val="left"/>
        <w:rPr>
          <w:rFonts w:hint="eastAsia" w:ascii="宋体" w:hAnsi="宋体" w:cs="宋体"/>
          <w:sz w:val="24"/>
        </w:rPr>
      </w:pPr>
      <w:r>
        <w:rPr>
          <w:rFonts w:hint="eastAsia" w:ascii="宋体" w:hAnsi="宋体" w:cs="宋体"/>
          <w:sz w:val="24"/>
        </w:rPr>
        <w:t xml:space="preserve"> (1)发包方应在合同正式生效一个月内支付合同价的百分之30%，。以后每季度的最后一个月末，招标人根据考核结果每次支付给乙方每年合同价的15%，直至所付款项每年合同价的90%止。剩余10%的应付款项须待年度期满时，招标人对承包方的保洁工作进行总体考核并验收合格，在十五日内付清。</w:t>
      </w:r>
    </w:p>
    <w:p>
      <w:pPr>
        <w:spacing w:line="360" w:lineRule="auto"/>
        <w:jc w:val="left"/>
        <w:rPr>
          <w:rFonts w:hint="eastAsia" w:ascii="宋体" w:hAnsi="宋体" w:cs="宋体"/>
          <w:sz w:val="24"/>
        </w:rPr>
      </w:pPr>
      <w:r>
        <w:rPr>
          <w:rFonts w:hint="eastAsia" w:ascii="宋体" w:hAnsi="宋体" w:cs="宋体"/>
          <w:sz w:val="24"/>
        </w:rPr>
        <w:t>(2)承包方因工作失误造成的扣款则在当季度款中相应扣除。</w:t>
      </w:r>
    </w:p>
    <w:p>
      <w:pPr>
        <w:spacing w:line="360" w:lineRule="auto"/>
        <w:jc w:val="left"/>
        <w:rPr>
          <w:rFonts w:hint="eastAsia" w:ascii="宋体" w:hAnsi="宋体" w:cs="宋体"/>
          <w:b/>
          <w:sz w:val="24"/>
        </w:rPr>
      </w:pPr>
      <w:r>
        <w:rPr>
          <w:rFonts w:hint="eastAsia" w:ascii="宋体" w:hAnsi="宋体" w:cs="宋体"/>
          <w:b/>
          <w:sz w:val="24"/>
        </w:rPr>
        <w:t>七、检查与考核</w:t>
      </w:r>
    </w:p>
    <w:p>
      <w:pPr>
        <w:spacing w:line="360" w:lineRule="auto"/>
        <w:jc w:val="left"/>
        <w:rPr>
          <w:rFonts w:hint="eastAsia" w:ascii="宋体" w:hAnsi="宋体" w:cs="宋体"/>
          <w:sz w:val="24"/>
        </w:rPr>
      </w:pPr>
      <w:r>
        <w:rPr>
          <w:rFonts w:hint="eastAsia" w:ascii="宋体" w:hAnsi="宋体" w:cs="宋体"/>
          <w:sz w:val="24"/>
        </w:rPr>
        <w:t xml:space="preserve">    采购单位将定期和不定期地对供应商管理服务进行检查和抽查，检查记录和整改时限反馈供应商，并将每季考核结果进行反馈。服务方达不到采购单位要求及各项服务承诺，根据附件1、附件2、附件3、附件4的考核细则进行处罚，并且采购单位有权要求其整改，直至扣款或终止合同。</w:t>
      </w:r>
    </w:p>
    <w:p>
      <w:pPr>
        <w:spacing w:line="360" w:lineRule="auto"/>
        <w:jc w:val="left"/>
        <w:rPr>
          <w:rFonts w:hint="eastAsia" w:ascii="宋体" w:hAnsi="宋体" w:cs="宋体"/>
          <w:b/>
          <w:sz w:val="24"/>
        </w:rPr>
      </w:pPr>
      <w:r>
        <w:rPr>
          <w:rFonts w:hint="eastAsia" w:ascii="宋体" w:hAnsi="宋体" w:cs="宋体"/>
          <w:b/>
          <w:sz w:val="24"/>
        </w:rPr>
        <w:t>八、特别要求</w:t>
      </w:r>
    </w:p>
    <w:p>
      <w:pPr>
        <w:spacing w:line="360" w:lineRule="auto"/>
        <w:jc w:val="left"/>
        <w:rPr>
          <w:rFonts w:hint="eastAsia" w:ascii="宋体" w:hAnsi="宋体" w:cs="宋体"/>
          <w:sz w:val="24"/>
        </w:rPr>
      </w:pPr>
      <w:r>
        <w:rPr>
          <w:rFonts w:hint="eastAsia" w:ascii="宋体" w:hAnsi="宋体" w:cs="宋体"/>
          <w:sz w:val="24"/>
        </w:rPr>
        <w:t xml:space="preserve">    考虑到项目交接进场情况，中标单位须在领取中标通知书后，10日历天内将投标文件中承诺的机械设备、人员配备到位，否则采购人有权取消其中标资格。</w:t>
      </w:r>
    </w:p>
    <w:p>
      <w:pPr>
        <w:spacing w:line="400" w:lineRule="exact"/>
        <w:ind w:left="-27" w:leftChars="-13" w:firstLine="482" w:firstLineChars="200"/>
        <w:rPr>
          <w:rFonts w:hint="eastAsia" w:ascii="仿宋_GB2312" w:hAnsi="宋体" w:eastAsia="仿宋_GB2312"/>
          <w:b/>
          <w:sz w:val="24"/>
        </w:rPr>
      </w:pPr>
    </w:p>
    <w:p>
      <w:pPr>
        <w:spacing w:line="400" w:lineRule="exact"/>
        <w:ind w:left="-27" w:leftChars="-13" w:firstLine="482" w:firstLineChars="200"/>
        <w:rPr>
          <w:rFonts w:hint="eastAsia" w:ascii="仿宋_GB2312" w:hAnsi="宋体" w:eastAsia="仿宋_GB2312"/>
          <w:b/>
          <w:sz w:val="24"/>
        </w:rPr>
      </w:pPr>
    </w:p>
    <w:p>
      <w:pPr>
        <w:spacing w:line="400" w:lineRule="exact"/>
        <w:ind w:left="-27" w:leftChars="-13" w:firstLine="482" w:firstLineChars="200"/>
        <w:rPr>
          <w:rFonts w:hint="eastAsia" w:ascii="仿宋_GB2312" w:hAnsi="宋体" w:eastAsia="仿宋_GB2312"/>
          <w:b/>
          <w:sz w:val="24"/>
        </w:rPr>
      </w:pPr>
    </w:p>
    <w:p>
      <w:pPr>
        <w:spacing w:line="400" w:lineRule="exact"/>
        <w:ind w:left="-27" w:leftChars="-13" w:firstLine="482" w:firstLineChars="200"/>
        <w:rPr>
          <w:rFonts w:hint="eastAsia" w:ascii="仿宋_GB2312" w:hAnsi="宋体" w:eastAsia="仿宋_GB2312"/>
          <w:b/>
          <w:sz w:val="24"/>
        </w:rPr>
      </w:pPr>
    </w:p>
    <w:p>
      <w:pPr>
        <w:spacing w:line="400" w:lineRule="exact"/>
        <w:ind w:left="-27" w:leftChars="-13" w:firstLine="482" w:firstLineChars="200"/>
        <w:rPr>
          <w:rFonts w:hint="eastAsia" w:ascii="仿宋_GB2312" w:hAnsi="宋体" w:eastAsia="仿宋_GB2312"/>
          <w:b/>
          <w:sz w:val="24"/>
        </w:rPr>
      </w:pPr>
    </w:p>
    <w:p>
      <w:pPr>
        <w:spacing w:line="400" w:lineRule="exact"/>
        <w:ind w:left="-27" w:leftChars="-13" w:firstLine="482" w:firstLineChars="200"/>
        <w:rPr>
          <w:rFonts w:hint="eastAsia" w:ascii="仿宋_GB2312" w:hAnsi="宋体" w:eastAsia="仿宋_GB2312"/>
          <w:b/>
          <w:sz w:val="24"/>
        </w:rPr>
      </w:pPr>
    </w:p>
    <w:p>
      <w:pPr>
        <w:spacing w:line="400" w:lineRule="exact"/>
        <w:ind w:left="-27" w:leftChars="-13" w:firstLine="482" w:firstLineChars="200"/>
        <w:rPr>
          <w:rFonts w:hint="eastAsia" w:ascii="仿宋_GB2312" w:hAnsi="宋体" w:eastAsia="仿宋_GB2312"/>
          <w:b/>
          <w:sz w:val="24"/>
        </w:rPr>
      </w:pPr>
    </w:p>
    <w:p>
      <w:pPr>
        <w:widowControl/>
        <w:rPr>
          <w:rFonts w:hint="eastAsia" w:ascii="仿宋_GB2312" w:hAnsi="宋体" w:eastAsia="仿宋_GB2312" w:cs="宋体"/>
          <w:kern w:val="0"/>
          <w:sz w:val="24"/>
        </w:rPr>
      </w:pPr>
      <w:r>
        <w:rPr>
          <w:rFonts w:hint="eastAsia" w:ascii="仿宋_GB2312" w:hAnsi="宋体" w:eastAsia="仿宋_GB2312" w:cs="宋体"/>
          <w:kern w:val="0"/>
          <w:sz w:val="24"/>
        </w:rPr>
        <w:t>附件1</w:t>
      </w:r>
    </w:p>
    <w:p>
      <w:pPr>
        <w:spacing w:line="44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黄湖集镇市容环卫工作考核细则</w:t>
      </w:r>
    </w:p>
    <w:p>
      <w:pPr>
        <w:spacing w:line="440" w:lineRule="exact"/>
        <w:rPr>
          <w:rFonts w:hint="eastAsia" w:ascii="仿宋_GB2312" w:hAnsi="宋体" w:eastAsia="仿宋_GB2312" w:cs="宋体"/>
          <w:b/>
          <w:color w:val="000000"/>
          <w:sz w:val="24"/>
        </w:rPr>
      </w:pPr>
      <w:r>
        <w:rPr>
          <w:rFonts w:hint="eastAsia" w:ascii="仿宋_GB2312" w:hAnsi="宋体" w:eastAsia="仿宋_GB2312" w:cs="宋体"/>
          <w:b/>
          <w:color w:val="000000"/>
          <w:sz w:val="24"/>
        </w:rPr>
        <w:t>考核对象：                                         考核时间：</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5254"/>
        <w:gridCol w:w="1367"/>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
                <w:color w:val="000000"/>
                <w:sz w:val="24"/>
              </w:rPr>
            </w:pPr>
            <w:r>
              <w:rPr>
                <w:rFonts w:hint="eastAsia" w:ascii="仿宋_GB2312" w:hAnsi="宋体" w:eastAsia="仿宋_GB2312" w:cs="宋体"/>
                <w:b/>
                <w:color w:val="000000"/>
                <w:sz w:val="24"/>
              </w:rPr>
              <w:t>考核项目</w:t>
            </w:r>
          </w:p>
        </w:tc>
        <w:tc>
          <w:tcPr>
            <w:tcW w:w="52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
                <w:color w:val="000000"/>
                <w:sz w:val="24"/>
              </w:rPr>
            </w:pPr>
            <w:r>
              <w:rPr>
                <w:rFonts w:hint="eastAsia" w:ascii="仿宋_GB2312" w:hAnsi="宋体" w:eastAsia="仿宋_GB2312" w:cs="宋体"/>
                <w:b/>
                <w:color w:val="000000"/>
                <w:sz w:val="24"/>
              </w:rPr>
              <w:t>考核标准</w:t>
            </w:r>
          </w:p>
        </w:tc>
        <w:tc>
          <w:tcPr>
            <w:tcW w:w="136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宋体" w:eastAsia="仿宋_GB2312" w:cs="宋体"/>
                <w:b/>
                <w:color w:val="000000"/>
                <w:sz w:val="24"/>
              </w:rPr>
            </w:pPr>
            <w:r>
              <w:rPr>
                <w:rFonts w:hint="eastAsia" w:ascii="仿宋_GB2312" w:hAnsi="宋体" w:eastAsia="仿宋_GB2312" w:cs="宋体"/>
                <w:b/>
                <w:color w:val="000000"/>
                <w:sz w:val="24"/>
              </w:rPr>
              <w:t>一类道路扣除金额</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
                <w:color w:val="000000"/>
                <w:sz w:val="24"/>
              </w:rPr>
            </w:pPr>
            <w:r>
              <w:rPr>
                <w:rFonts w:hint="eastAsia" w:ascii="仿宋_GB2312" w:hAnsi="宋体" w:eastAsia="仿宋_GB2312" w:cs="宋体"/>
                <w:b/>
                <w:color w:val="000000"/>
                <w:sz w:val="24"/>
              </w:rPr>
              <w:t>二类道路扣除金额</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
                <w:color w:val="000000"/>
                <w:sz w:val="24"/>
              </w:rPr>
            </w:pPr>
            <w:r>
              <w:rPr>
                <w:rFonts w:hint="eastAsia" w:ascii="仿宋_GB2312" w:hAnsi="宋体" w:eastAsia="仿宋_GB2312" w:cs="宋体"/>
                <w:b/>
                <w:color w:val="000000"/>
                <w:sz w:val="24"/>
              </w:rPr>
              <w:t>三类及其它道路扣除金额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道路清扫</w:t>
            </w: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垃圾焚烧</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2000元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firstLine="120" w:firstLineChars="50"/>
              <w:jc w:val="center"/>
              <w:rPr>
                <w:rFonts w:hint="eastAsia" w:ascii="仿宋_GB2312" w:hAnsi="宋体" w:eastAsia="仿宋_GB2312" w:cs="宋体"/>
                <w:bCs/>
                <w:sz w:val="24"/>
              </w:rPr>
            </w:pPr>
            <w:r>
              <w:rPr>
                <w:rFonts w:hint="eastAsia" w:ascii="仿宋_GB2312" w:hAnsi="宋体" w:eastAsia="仿宋_GB2312" w:cs="宋体"/>
                <w:bCs/>
                <w:sz w:val="24"/>
              </w:rPr>
              <w:t>1800元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firstLine="120" w:firstLineChars="50"/>
              <w:jc w:val="center"/>
              <w:rPr>
                <w:rFonts w:hint="eastAsia" w:ascii="仿宋_GB2312" w:hAnsi="宋体" w:eastAsia="仿宋_GB2312" w:cs="宋体"/>
                <w:bCs/>
                <w:sz w:val="24"/>
              </w:rPr>
            </w:pPr>
            <w:r>
              <w:rPr>
                <w:rFonts w:hint="eastAsia" w:ascii="仿宋_GB2312" w:hAnsi="宋体" w:eastAsia="仿宋_GB2312" w:cs="宋体"/>
                <w:bCs/>
                <w:sz w:val="24"/>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道路整体保洁质量差的（一条道路出现5处以上问题）</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1500元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firstLine="120" w:firstLineChars="50"/>
              <w:jc w:val="center"/>
              <w:rPr>
                <w:rFonts w:hint="eastAsia" w:ascii="仿宋_GB2312" w:hAnsi="宋体" w:eastAsia="仿宋_GB2312" w:cs="宋体"/>
                <w:bCs/>
                <w:sz w:val="24"/>
              </w:rPr>
            </w:pPr>
            <w:r>
              <w:rPr>
                <w:rFonts w:hint="eastAsia" w:ascii="仿宋_GB2312" w:hAnsi="宋体" w:eastAsia="仿宋_GB2312" w:cs="宋体"/>
                <w:bCs/>
                <w:sz w:val="24"/>
              </w:rPr>
              <w:t>1200元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firstLine="120" w:firstLineChars="50"/>
              <w:jc w:val="center"/>
              <w:rPr>
                <w:rFonts w:hint="eastAsia" w:ascii="仿宋_GB2312" w:hAnsi="宋体" w:eastAsia="仿宋_GB2312" w:cs="宋体"/>
                <w:bCs/>
                <w:sz w:val="24"/>
              </w:rPr>
            </w:pPr>
            <w:r>
              <w:rPr>
                <w:rFonts w:hint="eastAsia" w:ascii="仿宋_GB2312" w:hAnsi="宋体" w:eastAsia="仿宋_GB2312" w:cs="宋体"/>
                <w:bCs/>
                <w:sz w:val="24"/>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将垃圾扫入绿化带、窨井的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出现成堆暴露垃圾</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500元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400元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道路扬尘</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500元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400元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8"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夏秋季每日上午7：00前，秋冬季每日上午7：30前未完成普扫的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500元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400元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垃圾桶满溢未及时清倒的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路面积泥、污渍</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300元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200元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晴天积水、雨水井沟眼积泥、嵌石</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864"/>
              </w:tabs>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864"/>
              </w:tabs>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路面杂草</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清扫保洁时漏扫、归堆未清除的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机扫车、洒水车未按规定使用警示灯、提示音</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辖区范围内有卫生死角的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864"/>
              </w:tabs>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864"/>
              </w:tabs>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垃圾桶未盖、垃圾箱、果壳箱不洁</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z w:val="24"/>
              </w:rPr>
            </w:pPr>
            <w:r>
              <w:rPr>
                <w:rFonts w:hint="eastAsia" w:ascii="仿宋_GB2312" w:hAnsi="宋体" w:eastAsia="仿宋_GB2312" w:cs="宋体"/>
                <w:bCs/>
                <w:sz w:val="24"/>
              </w:rPr>
              <w:t>店家反映门前三包垃圾清理不及时</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864"/>
              </w:tabs>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864"/>
              </w:tabs>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pacing w:val="-4"/>
                <w:sz w:val="24"/>
              </w:rPr>
              <w:t>临时清运点周边不洁</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300元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240元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pacing w:val="-4"/>
                <w:sz w:val="24"/>
              </w:rPr>
              <w:t>机扫车、洒水车未按规定清扫次数</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500元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400元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pacing w:val="-4"/>
                <w:sz w:val="24"/>
              </w:rPr>
              <w:t>出现各类牛皮癣</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50元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z w:val="24"/>
              </w:rPr>
              <w:t>路面（绿地、树穴）有垃圾（杂物）</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pacing w:val="-4"/>
                <w:sz w:val="24"/>
              </w:rPr>
              <w:t>清运垃圾出现抛洒掉落</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300元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200元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pacing w:val="-4"/>
                <w:sz w:val="24"/>
              </w:rPr>
              <w:t>果壳箱周边有垃圾包、不洁</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80元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公厕管理</w:t>
            </w: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pacing w:val="-4"/>
                <w:sz w:val="24"/>
              </w:rPr>
              <w:t>管理制度未上墙的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100元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bCs/>
                <w:spacing w:val="-4"/>
                <w:sz w:val="24"/>
              </w:rPr>
            </w:pPr>
            <w:r>
              <w:rPr>
                <w:rFonts w:hint="eastAsia" w:ascii="仿宋_GB2312" w:hAnsi="宋体" w:eastAsia="仿宋_GB2312" w:cs="宋体"/>
                <w:bCs/>
                <w:sz w:val="24"/>
              </w:rPr>
              <w:t>卫生洁具及辅助设施破损、缺失的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50元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bCs/>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atLeas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内外环境不洁（</w:t>
            </w:r>
            <w:r>
              <w:rPr>
                <w:rFonts w:hint="eastAsia" w:ascii="仿宋_GB2312" w:hAnsi="宋体" w:eastAsia="仿宋_GB2312" w:cs="宋体"/>
                <w:bCs/>
                <w:color w:val="000000"/>
                <w:sz w:val="24"/>
              </w:rPr>
              <w:t>蹲坑、洗手盆、地面及墙面不洁等）、</w:t>
            </w:r>
            <w:r>
              <w:rPr>
                <w:rFonts w:hint="eastAsia" w:ascii="仿宋_GB2312" w:hAnsi="宋体" w:eastAsia="仿宋_GB2312" w:cs="宋体"/>
                <w:color w:val="000000"/>
                <w:sz w:val="24"/>
              </w:rPr>
              <w:t>堆放杂物、采光及通风未落实、有明显异味</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50元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50元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s="宋体"/>
                <w:bCs/>
                <w:sz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安全监督及抄告单处置</w:t>
            </w: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重大活动、应急保障不力</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10000元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8000元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s="宋体"/>
                <w:bCs/>
                <w:sz w:val="24"/>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信访处置不力、因劳资纠纷引起群体性事件、发生有责投诉的。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5000元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4000元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s="宋体"/>
                <w:bCs/>
                <w:sz w:val="24"/>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3" w:hRule="exac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sz w:val="24"/>
              </w:rPr>
            </w:pPr>
            <w:r>
              <w:rPr>
                <w:rFonts w:hint="eastAsia" w:ascii="仿宋_GB2312" w:hAnsi="宋体" w:eastAsia="仿宋_GB2312" w:cs="宋体"/>
                <w:sz w:val="24"/>
              </w:rPr>
              <w:t>发生安全责任事故</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sz w:val="24"/>
              </w:rPr>
            </w:pPr>
            <w:r>
              <w:rPr>
                <w:rFonts w:hint="eastAsia" w:ascii="仿宋_GB2312" w:hAnsi="宋体" w:eastAsia="仿宋_GB2312" w:cs="宋体"/>
                <w:sz w:val="24"/>
              </w:rPr>
              <w:t>3000元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sz w:val="24"/>
              </w:rPr>
              <w:t>3000元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bCs/>
                <w:sz w:val="24"/>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sz w:val="24"/>
              </w:rPr>
            </w:pPr>
            <w:r>
              <w:rPr>
                <w:rFonts w:hint="eastAsia" w:ascii="仿宋_GB2312" w:hAnsi="宋体" w:eastAsia="仿宋_GB2312" w:cs="宋体"/>
                <w:sz w:val="24"/>
              </w:rPr>
              <w:t>环卫工人作业时未穿反光背心（工作服）、不遵守交通规则、环卫车辆未设置反光标识的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sz w:val="24"/>
              </w:rPr>
            </w:pPr>
            <w:r>
              <w:rPr>
                <w:rFonts w:hint="eastAsia" w:ascii="仿宋_GB2312" w:hAnsi="宋体" w:eastAsia="仿宋_GB2312" w:cs="宋体"/>
                <w:sz w:val="24"/>
              </w:rPr>
              <w:t>300元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sz w:val="24"/>
              </w:rPr>
              <w:t>300元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bCs/>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5" w:hRule="atLeas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sz w:val="24"/>
              </w:rPr>
            </w:pPr>
            <w:r>
              <w:rPr>
                <w:rFonts w:hint="eastAsia" w:ascii="仿宋_GB2312" w:hAnsi="宋体" w:eastAsia="仿宋_GB2312" w:cs="宋体"/>
                <w:kern w:val="0"/>
                <w:sz w:val="24"/>
              </w:rPr>
              <w:t>市查、区查、镇查抄告单未及时整改或整改不彻底的；数字城管抄告未在规定期限内整改或整改不符合要求的。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sz w:val="24"/>
              </w:rPr>
            </w:pPr>
            <w:r>
              <w:rPr>
                <w:rFonts w:hint="eastAsia" w:ascii="仿宋_GB2312" w:hAnsi="宋体" w:eastAsia="仿宋_GB2312" w:cs="宋体"/>
                <w:sz w:val="24"/>
              </w:rPr>
              <w:t>1000元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sz w:val="24"/>
              </w:rPr>
              <w:t>800元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bCs/>
                <w:sz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atLeas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市查、区查抄告单被上级通报批评或被市、区级媒体曝光的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sz w:val="24"/>
              </w:rPr>
            </w:pPr>
            <w:r>
              <w:rPr>
                <w:rFonts w:hint="eastAsia" w:ascii="仿宋_GB2312" w:hAnsi="宋体" w:eastAsia="仿宋_GB2312" w:cs="宋体"/>
                <w:sz w:val="24"/>
              </w:rPr>
              <w:t>1000元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sz w:val="24"/>
              </w:rPr>
              <w:t>800元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bCs/>
                <w:sz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atLeast"/>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宋体" w:eastAsia="仿宋_GB2312"/>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能够及时提供相应保洁台帐，如未能提供（日常管理资料等）</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sz w:val="24"/>
              </w:rPr>
            </w:pPr>
            <w:r>
              <w:rPr>
                <w:rFonts w:hint="eastAsia" w:ascii="仿宋_GB2312" w:hAnsi="宋体" w:eastAsia="仿宋_GB2312" w:cs="宋体"/>
                <w:sz w:val="24"/>
              </w:rPr>
              <w:t>1000元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sz w:val="24"/>
              </w:rPr>
              <w:t>800元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bCs/>
                <w:sz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cs="宋体"/>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管养道路两侧发生偷到建筑垃圾、装修垃圾等在接到清理指令后未在8小时内清理的。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cs="宋体"/>
                <w:sz w:val="24"/>
              </w:rPr>
            </w:pPr>
            <w:r>
              <w:rPr>
                <w:rFonts w:hint="eastAsia" w:ascii="仿宋_GB2312" w:hAnsi="宋体" w:eastAsia="仿宋_GB2312" w:cs="宋体"/>
                <w:sz w:val="24"/>
              </w:rPr>
              <w:t>500元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sz w:val="24"/>
              </w:rPr>
              <w:t>300元</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sz w:val="24"/>
              </w:rPr>
            </w:pPr>
            <w:r>
              <w:rPr>
                <w:rFonts w:hint="eastAsia" w:ascii="仿宋_GB2312" w:hAnsi="宋体" w:eastAsia="仿宋_GB2312" w:cs="宋体"/>
                <w:bCs/>
                <w:sz w:val="24"/>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cs="宋体"/>
                <w:kern w:val="0"/>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将消防用水作用于日常清洗，若发现该情况则扣款。</w:t>
            </w:r>
          </w:p>
        </w:tc>
        <w:tc>
          <w:tcPr>
            <w:tcW w:w="367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kern w:val="0"/>
                <w:sz w:val="24"/>
              </w:rPr>
            </w:pPr>
            <w:r>
              <w:rPr>
                <w:rFonts w:hint="eastAsia" w:ascii="仿宋_GB2312" w:hAnsi="宋体" w:eastAsia="仿宋_GB2312" w:cs="宋体"/>
                <w:kern w:val="0"/>
                <w:sz w:val="24"/>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仿宋_GB2312" w:hAnsi="宋体" w:eastAsia="仿宋_GB2312" w:cs="宋体"/>
                <w:kern w:val="0"/>
                <w:sz w:val="24"/>
              </w:rPr>
            </w:pP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垃圾集置点未做到日产日清的</w:t>
            </w:r>
          </w:p>
        </w:tc>
        <w:tc>
          <w:tcPr>
            <w:tcW w:w="367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center"/>
              <w:rPr>
                <w:rFonts w:hint="eastAsia" w:ascii="仿宋_GB2312" w:hAnsi="宋体" w:eastAsia="仿宋_GB2312" w:cs="宋体"/>
                <w:kern w:val="0"/>
                <w:sz w:val="24"/>
              </w:rPr>
            </w:pPr>
            <w:r>
              <w:rPr>
                <w:rFonts w:hint="eastAsia" w:ascii="仿宋_GB2312" w:hAnsi="宋体" w:eastAsia="仿宋_GB2312" w:cs="宋体"/>
                <w:kern w:val="0"/>
                <w:sz w:val="24"/>
              </w:rPr>
              <w:t>100元</w:t>
            </w:r>
          </w:p>
        </w:tc>
      </w:tr>
    </w:tbl>
    <w:p>
      <w:pPr>
        <w:spacing w:line="590" w:lineRule="exact"/>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附件2：</w:t>
      </w:r>
    </w:p>
    <w:p>
      <w:pPr>
        <w:spacing w:line="590" w:lineRule="exact"/>
        <w:ind w:firstLine="2040" w:firstLineChars="85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黄湖镇公共绿地管理考核细则</w:t>
      </w:r>
    </w:p>
    <w:p>
      <w:pPr>
        <w:rPr>
          <w:rFonts w:hint="eastAsia" w:ascii="仿宋_GB2312" w:hAnsi="宋体" w:eastAsia="仿宋_GB2312" w:cs="仿宋_GB2312"/>
          <w:bCs/>
          <w:color w:val="000000"/>
          <w:sz w:val="24"/>
        </w:rPr>
      </w:pPr>
      <w:r>
        <w:rPr>
          <w:rFonts w:hint="eastAsia" w:ascii="仿宋_GB2312" w:hAnsi="宋体" w:eastAsia="仿宋_GB2312" w:cs="仿宋_GB2312"/>
          <w:bCs/>
          <w:color w:val="000000"/>
          <w:sz w:val="24"/>
        </w:rPr>
        <w:t xml:space="preserve">考核对象：                               考核时间：        </w:t>
      </w:r>
    </w:p>
    <w:tbl>
      <w:tblPr>
        <w:tblStyle w:val="76"/>
        <w:tblW w:w="0" w:type="auto"/>
        <w:tblInd w:w="-249" w:type="dxa"/>
        <w:tblLayout w:type="fixed"/>
        <w:tblCellMar>
          <w:top w:w="0" w:type="dxa"/>
          <w:left w:w="108" w:type="dxa"/>
          <w:bottom w:w="0" w:type="dxa"/>
          <w:right w:w="108" w:type="dxa"/>
        </w:tblCellMar>
      </w:tblPr>
      <w:tblGrid>
        <w:gridCol w:w="900"/>
        <w:gridCol w:w="7014"/>
        <w:gridCol w:w="1101"/>
      </w:tblGrid>
      <w:tr>
        <w:tblPrEx>
          <w:tblCellMar>
            <w:top w:w="0" w:type="dxa"/>
            <w:left w:w="108" w:type="dxa"/>
            <w:bottom w:w="0" w:type="dxa"/>
            <w:right w:w="108" w:type="dxa"/>
          </w:tblCellMar>
        </w:tblPrEx>
        <w:trPr>
          <w:wBefore w:w="0" w:type="dxa"/>
          <w:wAfter w:w="0" w:type="dxa"/>
          <w:trHeight w:val="573" w:hRule="atLeast"/>
          <w:tblHead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bCs/>
                <w:color w:val="000000"/>
                <w:kern w:val="0"/>
                <w:sz w:val="24"/>
              </w:rPr>
            </w:pPr>
            <w:r>
              <w:rPr>
                <w:rFonts w:hint="eastAsia" w:ascii="仿宋_GB2312" w:hAnsi="宋体" w:eastAsia="仿宋_GB2312" w:cs="仿宋_GB2312"/>
                <w:bCs/>
                <w:color w:val="000000"/>
                <w:kern w:val="0"/>
                <w:sz w:val="24"/>
              </w:rPr>
              <w:t>考核</w:t>
            </w:r>
          </w:p>
          <w:p>
            <w:pPr>
              <w:spacing w:line="320" w:lineRule="exact"/>
              <w:jc w:val="center"/>
              <w:rPr>
                <w:rFonts w:hint="eastAsia" w:ascii="仿宋_GB2312" w:hAnsi="宋体" w:eastAsia="仿宋_GB2312" w:cs="仿宋_GB2312"/>
                <w:bCs/>
                <w:color w:val="000000"/>
                <w:kern w:val="0"/>
                <w:sz w:val="24"/>
              </w:rPr>
            </w:pPr>
            <w:r>
              <w:rPr>
                <w:rFonts w:hint="eastAsia" w:ascii="仿宋_GB2312" w:hAnsi="宋体" w:eastAsia="仿宋_GB2312" w:cs="仿宋_GB2312"/>
                <w:bCs/>
                <w:color w:val="000000"/>
                <w:kern w:val="0"/>
                <w:sz w:val="24"/>
              </w:rPr>
              <w:t>项目</w:t>
            </w:r>
          </w:p>
        </w:tc>
        <w:tc>
          <w:tcPr>
            <w:tcW w:w="70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bCs/>
                <w:color w:val="000000"/>
                <w:kern w:val="0"/>
                <w:sz w:val="24"/>
              </w:rPr>
            </w:pPr>
            <w:r>
              <w:rPr>
                <w:rFonts w:hint="eastAsia" w:ascii="仿宋_GB2312" w:hAnsi="宋体" w:eastAsia="仿宋_GB2312" w:cs="仿宋_GB2312"/>
                <w:bCs/>
                <w:color w:val="000000"/>
                <w:kern w:val="0"/>
                <w:sz w:val="24"/>
              </w:rPr>
              <w:t>考核标准</w:t>
            </w:r>
          </w:p>
        </w:tc>
        <w:tc>
          <w:tcPr>
            <w:tcW w:w="11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bCs/>
                <w:color w:val="000000"/>
                <w:kern w:val="0"/>
                <w:sz w:val="24"/>
              </w:rPr>
            </w:pPr>
            <w:r>
              <w:rPr>
                <w:rFonts w:hint="eastAsia" w:ascii="仿宋_GB2312" w:hAnsi="宋体" w:eastAsia="仿宋_GB2312" w:cs="仿宋_GB2312"/>
                <w:bCs/>
                <w:color w:val="000000"/>
                <w:kern w:val="0"/>
                <w:sz w:val="24"/>
              </w:rPr>
              <w:t>扣款</w:t>
            </w:r>
          </w:p>
          <w:p>
            <w:pPr>
              <w:spacing w:line="320" w:lineRule="exact"/>
              <w:jc w:val="center"/>
              <w:rPr>
                <w:rFonts w:hint="eastAsia" w:ascii="仿宋_GB2312" w:hAnsi="宋体" w:eastAsia="仿宋_GB2312" w:cs="仿宋_GB2312"/>
                <w:bCs/>
                <w:color w:val="000000"/>
                <w:kern w:val="0"/>
                <w:sz w:val="24"/>
              </w:rPr>
            </w:pPr>
            <w:r>
              <w:rPr>
                <w:rFonts w:hint="eastAsia" w:ascii="仿宋_GB2312" w:hAnsi="宋体" w:eastAsia="仿宋_GB2312" w:cs="仿宋_GB2312"/>
                <w:bCs/>
                <w:color w:val="000000"/>
                <w:kern w:val="0"/>
                <w:sz w:val="24"/>
              </w:rPr>
              <w:t>金额</w:t>
            </w:r>
          </w:p>
        </w:tc>
      </w:tr>
      <w:tr>
        <w:tblPrEx>
          <w:tblCellMar>
            <w:top w:w="0" w:type="dxa"/>
            <w:left w:w="108" w:type="dxa"/>
            <w:bottom w:w="0" w:type="dxa"/>
            <w:right w:w="108" w:type="dxa"/>
          </w:tblCellMar>
        </w:tblPrEx>
        <w:trPr>
          <w:wBefore w:w="0" w:type="dxa"/>
          <w:wAfter w:w="0" w:type="dxa"/>
          <w:trHeight w:val="417" w:hRule="atLeast"/>
        </w:trPr>
        <w:tc>
          <w:tcPr>
            <w:tcW w:w="900" w:type="dxa"/>
            <w:vMerge w:val="restart"/>
            <w:tcBorders>
              <w:top w:val="nil"/>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植</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物</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基</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本</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养</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护</w:t>
            </w: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行道树和乔木死株、缺株未在适宜季节更换补种的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200元/株</w:t>
            </w:r>
          </w:p>
        </w:tc>
      </w:tr>
      <w:tr>
        <w:tblPrEx>
          <w:tblCellMar>
            <w:top w:w="0" w:type="dxa"/>
            <w:left w:w="108" w:type="dxa"/>
            <w:bottom w:w="0" w:type="dxa"/>
            <w:right w:w="108" w:type="dxa"/>
          </w:tblCellMar>
        </w:tblPrEx>
        <w:trPr>
          <w:wBefore w:w="0" w:type="dxa"/>
          <w:wAfter w:w="0" w:type="dxa"/>
          <w:trHeight w:val="417"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行道树和乔木支撑不规范、支撑架倒塌、断桩、坏桩、树木倾斜严重。</w:t>
            </w:r>
          </w:p>
        </w:tc>
        <w:tc>
          <w:tcPr>
            <w:tcW w:w="11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kern w:val="0"/>
                <w:sz w:val="24"/>
              </w:rPr>
            </w:pPr>
            <w:r>
              <w:rPr>
                <w:rFonts w:hint="eastAsia" w:ascii="仿宋_GB2312" w:hAnsi="宋体" w:eastAsia="仿宋_GB2312" w:cs="仿宋_GB2312"/>
                <w:spacing w:val="-8"/>
                <w:sz w:val="24"/>
              </w:rPr>
              <w:t>50元/株</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top w:val="nil"/>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行道树和乔木病虫枝、枯枝、伤损枝、徒长枝超过养护标准的，树皮开裂、孔洞未及时填补；修剪不规范造成树木严重受损或修剪后不做伤口处理的。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50元/株</w:t>
            </w:r>
          </w:p>
        </w:tc>
      </w:tr>
      <w:tr>
        <w:tblPrEx>
          <w:tblCellMar>
            <w:top w:w="0" w:type="dxa"/>
            <w:left w:w="108" w:type="dxa"/>
            <w:bottom w:w="0" w:type="dxa"/>
            <w:right w:w="108" w:type="dxa"/>
          </w:tblCellMar>
        </w:tblPrEx>
        <w:trPr>
          <w:wBefore w:w="0" w:type="dxa"/>
          <w:wAfter w:w="0" w:type="dxa"/>
          <w:trHeight w:val="605"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行道树和乔木长势不佳、偏冠严重、无冠幅；树木长势较弱，黄叶、焦叶、落叶。</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50元/株</w:t>
            </w:r>
          </w:p>
        </w:tc>
      </w:tr>
      <w:tr>
        <w:tblPrEx>
          <w:tblCellMar>
            <w:top w:w="0" w:type="dxa"/>
            <w:left w:w="108" w:type="dxa"/>
            <w:bottom w:w="0" w:type="dxa"/>
            <w:right w:w="108" w:type="dxa"/>
          </w:tblCellMar>
        </w:tblPrEx>
        <w:trPr>
          <w:wBefore w:w="0" w:type="dxa"/>
          <w:wAfter w:w="0" w:type="dxa"/>
          <w:trHeight w:val="465"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树穴土壤高于侧石、板结、填充物缺失、黄土裸露。</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50元/个</w:t>
            </w:r>
          </w:p>
        </w:tc>
      </w:tr>
      <w:tr>
        <w:tblPrEx>
          <w:tblCellMar>
            <w:top w:w="0" w:type="dxa"/>
            <w:left w:w="108" w:type="dxa"/>
            <w:bottom w:w="0" w:type="dxa"/>
            <w:right w:w="108" w:type="dxa"/>
          </w:tblCellMar>
        </w:tblPrEx>
        <w:trPr>
          <w:wBefore w:w="0" w:type="dxa"/>
          <w:wAfter w:w="0" w:type="dxa"/>
          <w:trHeight w:val="465"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监管不到位致绿化破坏的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100元/处</w:t>
            </w:r>
          </w:p>
        </w:tc>
      </w:tr>
      <w:tr>
        <w:tblPrEx>
          <w:tblCellMar>
            <w:top w:w="0" w:type="dxa"/>
            <w:left w:w="108" w:type="dxa"/>
            <w:bottom w:w="0" w:type="dxa"/>
            <w:right w:w="108" w:type="dxa"/>
          </w:tblCellMar>
        </w:tblPrEx>
        <w:trPr>
          <w:wBefore w:w="0" w:type="dxa"/>
          <w:wAfter w:w="0" w:type="dxa"/>
          <w:trHeight w:val="465"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绿篱和灌木出现死株、缺株、混种、小道、杂株返祖的。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465"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绿地内宿根草本花卉或木本花卉不及时修剪</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80元/</w:t>
            </w:r>
            <w:r>
              <w:rPr>
                <w:rFonts w:hint="eastAsia" w:ascii="仿宋_GB2312" w:hAnsi="宋体" w:cs="仿宋_GB2312"/>
                <w:spacing w:val="-8"/>
                <w:sz w:val="24"/>
              </w:rPr>
              <w:t>㎡</w:t>
            </w:r>
          </w:p>
        </w:tc>
      </w:tr>
      <w:tr>
        <w:tblPrEx>
          <w:tblCellMar>
            <w:top w:w="0" w:type="dxa"/>
            <w:left w:w="108" w:type="dxa"/>
            <w:bottom w:w="0" w:type="dxa"/>
            <w:right w:w="108" w:type="dxa"/>
          </w:tblCellMar>
        </w:tblPrEx>
        <w:trPr>
          <w:wBefore w:w="0" w:type="dxa"/>
          <w:wAfter w:w="0" w:type="dxa"/>
          <w:trHeight w:val="465"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绿篱和灌木修剪不平整、不及时、高度影响交通视线的。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草坪边缘不清淅、草坪覆盖率低于养护标准、中心区出现空秃每2</w:t>
            </w:r>
            <w:r>
              <w:rPr>
                <w:rFonts w:hint="eastAsia" w:ascii="仿宋_GB2312" w:hAnsi="宋体" w:cs="仿宋_GB2312"/>
                <w:kern w:val="0"/>
                <w:sz w:val="24"/>
              </w:rPr>
              <w:t>㎡</w:t>
            </w:r>
            <w:r>
              <w:rPr>
                <w:rFonts w:hint="eastAsia" w:ascii="仿宋_GB2312" w:hAnsi="宋体" w:eastAsia="仿宋_GB2312" w:cs="仿宋_GB2312"/>
                <w:kern w:val="0"/>
                <w:sz w:val="24"/>
              </w:rPr>
              <w:t>以上的（面积10</w:t>
            </w:r>
            <w:r>
              <w:rPr>
                <w:rFonts w:hint="eastAsia" w:ascii="仿宋_GB2312" w:hAnsi="宋体" w:cs="仿宋_GB2312"/>
                <w:kern w:val="0"/>
                <w:sz w:val="24"/>
              </w:rPr>
              <w:t>㎡</w:t>
            </w:r>
            <w:r>
              <w:rPr>
                <w:rFonts w:hint="eastAsia" w:ascii="仿宋_GB2312" w:hAnsi="宋体" w:eastAsia="仿宋_GB2312" w:cs="仿宋_GB2312"/>
                <w:kern w:val="0"/>
                <w:sz w:val="24"/>
              </w:rPr>
              <w:t>以上的扣款加倍）。</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草坪草高超出养护标准（暖季型草种不超过8cm，冷季型草种不超过10cm，常绿草不超过6cm）</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80元/处</w:t>
            </w:r>
          </w:p>
        </w:tc>
      </w:tr>
      <w:tr>
        <w:tblPrEx>
          <w:tblCellMar>
            <w:top w:w="0" w:type="dxa"/>
            <w:left w:w="108" w:type="dxa"/>
            <w:bottom w:w="0" w:type="dxa"/>
            <w:right w:w="108" w:type="dxa"/>
          </w:tblCellMar>
        </w:tblPrEx>
        <w:trPr>
          <w:wBefore w:w="0" w:type="dxa"/>
          <w:wAfter w:w="0" w:type="dxa"/>
          <w:trHeight w:val="545"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绿地内有明显杂草的。</w:t>
            </w:r>
          </w:p>
        </w:tc>
        <w:tc>
          <w:tcPr>
            <w:tcW w:w="11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w:t>
            </w:r>
            <w:r>
              <w:rPr>
                <w:rFonts w:hint="eastAsia" w:ascii="仿宋_GB2312" w:hAnsi="宋体" w:cs="仿宋_GB2312"/>
                <w:spacing w:val="-8"/>
                <w:sz w:val="24"/>
              </w:rPr>
              <w:t>㎡</w:t>
            </w:r>
          </w:p>
        </w:tc>
      </w:tr>
      <w:tr>
        <w:tblPrEx>
          <w:tblCellMar>
            <w:top w:w="0" w:type="dxa"/>
            <w:left w:w="108" w:type="dxa"/>
            <w:bottom w:w="0" w:type="dxa"/>
            <w:right w:w="108" w:type="dxa"/>
          </w:tblCellMar>
        </w:tblPrEx>
        <w:trPr>
          <w:wBefore w:w="0" w:type="dxa"/>
          <w:wAfter w:w="0" w:type="dxa"/>
          <w:trHeight w:val="53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花坛花箱内无时花，时花倒伏、枯枝残花、杂草垃圾等。</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43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绿化补种不规范；</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58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绿地内出现黄土裸露未及时补种的</w:t>
            </w:r>
          </w:p>
        </w:tc>
        <w:tc>
          <w:tcPr>
            <w:tcW w:w="11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kern w:val="0"/>
                <w:sz w:val="24"/>
              </w:rPr>
              <w:t>100元/</w:t>
            </w:r>
            <w:r>
              <w:rPr>
                <w:rFonts w:hint="eastAsia" w:ascii="仿宋_GB2312" w:hAnsi="宋体" w:cs="仿宋_GB2312"/>
                <w:kern w:val="0"/>
                <w:sz w:val="24"/>
              </w:rPr>
              <w:t>㎡</w:t>
            </w:r>
          </w:p>
        </w:tc>
      </w:tr>
      <w:tr>
        <w:tblPrEx>
          <w:tblCellMar>
            <w:top w:w="0" w:type="dxa"/>
            <w:left w:w="108" w:type="dxa"/>
            <w:bottom w:w="0" w:type="dxa"/>
            <w:right w:w="108" w:type="dxa"/>
          </w:tblCellMar>
        </w:tblPrEx>
        <w:trPr>
          <w:wBefore w:w="0" w:type="dxa"/>
          <w:wAfter w:w="0" w:type="dxa"/>
          <w:trHeight w:val="640" w:hRule="atLeast"/>
        </w:trPr>
        <w:tc>
          <w:tcPr>
            <w:tcW w:w="900"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病虫</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害防</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治</w:t>
            </w:r>
          </w:p>
        </w:tc>
        <w:tc>
          <w:tcPr>
            <w:tcW w:w="70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发生病虫害的及发现病虫害未及时进行防治措施的。</w:t>
            </w:r>
          </w:p>
        </w:tc>
        <w:tc>
          <w:tcPr>
            <w:tcW w:w="11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食叶性害虫危害树木，每株或灌木每</w:t>
            </w:r>
            <w:r>
              <w:rPr>
                <w:rFonts w:hint="eastAsia" w:ascii="仿宋_GB2312" w:hAnsi="宋体" w:cs="仿宋_GB2312"/>
                <w:kern w:val="0"/>
                <w:sz w:val="24"/>
              </w:rPr>
              <w:t>㎡</w:t>
            </w:r>
            <w:r>
              <w:rPr>
                <w:rFonts w:hint="eastAsia" w:ascii="仿宋_GB2312" w:hAnsi="宋体" w:eastAsia="仿宋_GB2312" w:cs="仿宋_GB2312"/>
                <w:kern w:val="0"/>
                <w:sz w:val="24"/>
              </w:rPr>
              <w:t>（5%）超过养护标准的。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80元/处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发现活蛀虫和活卵，每株或每</w:t>
            </w:r>
            <w:r>
              <w:rPr>
                <w:rFonts w:hint="eastAsia" w:ascii="仿宋_GB2312" w:hAnsi="宋体" w:cs="仿宋_GB2312"/>
                <w:kern w:val="0"/>
                <w:sz w:val="24"/>
              </w:rPr>
              <w:t>㎡</w:t>
            </w:r>
            <w:r>
              <w:rPr>
                <w:rFonts w:hint="eastAsia" w:ascii="仿宋_GB2312" w:hAnsi="宋体" w:eastAsia="仿宋_GB2312" w:cs="仿宋_GB2312"/>
                <w:kern w:val="0"/>
                <w:sz w:val="24"/>
              </w:rPr>
              <w:t>（10%）超过养护标准的。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绿化</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设施</w:t>
            </w:r>
          </w:p>
        </w:tc>
        <w:tc>
          <w:tcPr>
            <w:tcW w:w="70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花箱、花坛、护栏、围栏、树穴破损、缺失的。</w:t>
            </w:r>
          </w:p>
        </w:tc>
        <w:tc>
          <w:tcPr>
            <w:tcW w:w="11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果壳箱有污迹、破损、松动，箱内垃圾未日产日清的。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设施有污迹、破损，金属构件设施有锈斑，油漆剥落等现象的；其它（景墙、挡墙、浮雕墙、地雕、雕塑）等景观设施有明显裂缝的，墙面砖破损、松动、油漆剥落的。公园设施存在明显安全隐患，未采取安全措施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restart"/>
            <w:tcBorders>
              <w:top w:val="nil"/>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卫生及</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管理</w:t>
            </w: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树上有垃圾袋、零乱草绳、钉子、扎缚铁丝、电线、挂晾晒衣物的。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top w:val="nil"/>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spacing w:line="240" w:lineRule="exact"/>
              <w:rPr>
                <w:rFonts w:hint="eastAsia" w:ascii="仿宋_GB2312" w:hAnsi="宋体" w:eastAsia="仿宋_GB2312" w:cs="仿宋_GB2312"/>
                <w:kern w:val="0"/>
                <w:sz w:val="24"/>
              </w:rPr>
            </w:pPr>
            <w:r>
              <w:rPr>
                <w:rFonts w:hint="eastAsia" w:ascii="仿宋_GB2312" w:hAnsi="宋体" w:eastAsia="仿宋_GB2312" w:cs="仿宋_GB2312"/>
                <w:kern w:val="0"/>
                <w:sz w:val="24"/>
              </w:rPr>
              <w:t>将消防用水作用于日常清洗，若发现该情况则扣款。</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500元/次</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绿地内有垃圾、石块、果壳等杂物的。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乔木积尘明显，色块叶面积灰严重的（色块以每平方计算）。</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50元/株</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管养人员不到位，未到养护标准的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100元/人</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养护人员上路作业不穿工作服，不文明作业的。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50元/人</w:t>
            </w:r>
          </w:p>
        </w:tc>
      </w:tr>
      <w:tr>
        <w:tblPrEx>
          <w:tblCellMar>
            <w:top w:w="0" w:type="dxa"/>
            <w:left w:w="108" w:type="dxa"/>
            <w:bottom w:w="0" w:type="dxa"/>
            <w:right w:w="108" w:type="dxa"/>
          </w:tblCellMar>
        </w:tblPrEx>
        <w:trPr>
          <w:wBefore w:w="0" w:type="dxa"/>
          <w:wAfter w:w="0" w:type="dxa"/>
          <w:trHeight w:val="640" w:hRule="atLeast"/>
        </w:trPr>
        <w:tc>
          <w:tcPr>
            <w:tcW w:w="900"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整体</w:t>
            </w:r>
          </w:p>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景观</w:t>
            </w: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养护不当造成植物季相不分明，色彩不丰富，生长不茂盛，植物群落不完整等影响整体景观效果的。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50元/处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restart"/>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抄告单处理</w:t>
            </w: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市查、区查、街道查抄告单未及时整改或整改不彻底的，</w:t>
            </w:r>
            <w:r>
              <w:rPr>
                <w:rFonts w:hint="eastAsia" w:ascii="仿宋_GB2312" w:hAnsi="宋体" w:eastAsia="仿宋_GB2312" w:cs="仿宋_GB2312"/>
                <w:sz w:val="24"/>
              </w:rPr>
              <w:t>数字城管抄告未在规定期限内整改或整改不到位的。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1000元/处</w:t>
            </w:r>
          </w:p>
        </w:tc>
      </w:tr>
      <w:tr>
        <w:tblPrEx>
          <w:tblCellMar>
            <w:top w:w="0" w:type="dxa"/>
            <w:left w:w="108" w:type="dxa"/>
            <w:bottom w:w="0" w:type="dxa"/>
            <w:right w:w="108" w:type="dxa"/>
          </w:tblCellMar>
        </w:tblPrEx>
        <w:trPr>
          <w:wBefore w:w="0" w:type="dxa"/>
          <w:wAfter w:w="0" w:type="dxa"/>
          <w:trHeight w:val="64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eastAsia="仿宋_GB2312" w:cs="仿宋_GB2312"/>
                <w:color w:val="000000"/>
                <w:kern w:val="0"/>
                <w:sz w:val="24"/>
              </w:rPr>
            </w:pPr>
          </w:p>
        </w:tc>
        <w:tc>
          <w:tcPr>
            <w:tcW w:w="701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4"/>
              </w:rPr>
            </w:pPr>
            <w:r>
              <w:rPr>
                <w:rFonts w:hint="eastAsia" w:ascii="仿宋_GB2312" w:hAnsi="宋体" w:eastAsia="仿宋_GB2312" w:cs="仿宋_GB2312"/>
                <w:kern w:val="0"/>
                <w:sz w:val="24"/>
              </w:rPr>
              <w:t>市查、区查抄告单被上级通报批评或被市、区级媒体曝光的</w:t>
            </w:r>
          </w:p>
        </w:tc>
        <w:tc>
          <w:tcPr>
            <w:tcW w:w="110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spacing w:val="-8"/>
                <w:sz w:val="24"/>
              </w:rPr>
            </w:pPr>
            <w:r>
              <w:rPr>
                <w:rFonts w:hint="eastAsia" w:ascii="仿宋_GB2312" w:hAnsi="宋体" w:eastAsia="仿宋_GB2312" w:cs="仿宋_GB2312"/>
                <w:spacing w:val="-8"/>
                <w:sz w:val="24"/>
              </w:rPr>
              <w:t>2000元/次</w:t>
            </w:r>
          </w:p>
        </w:tc>
      </w:tr>
    </w:tbl>
    <w:p>
      <w:pPr>
        <w:spacing w:line="590" w:lineRule="exact"/>
        <w:rPr>
          <w:rFonts w:hint="eastAsia" w:ascii="仿宋_GB2312" w:hAnsi="宋体" w:eastAsia="仿宋_GB2312" w:cs="仿宋_GB2312"/>
          <w:color w:val="000000"/>
          <w:sz w:val="24"/>
        </w:rPr>
      </w:pPr>
    </w:p>
    <w:p>
      <w:pPr>
        <w:spacing w:line="400" w:lineRule="exact"/>
        <w:ind w:left="-27" w:leftChars="-13" w:firstLine="480" w:firstLineChars="200"/>
        <w:rPr>
          <w:rFonts w:hint="eastAsia" w:ascii="仿宋_GB2312" w:hAnsi="宋体" w:eastAsia="仿宋_GB2312"/>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400" w:lineRule="exact"/>
        <w:jc w:val="center"/>
        <w:rPr>
          <w:rFonts w:hint="eastAsia" w:ascii="仿宋_GB2312" w:hAnsi="宋体" w:eastAsia="仿宋_GB2312"/>
          <w:b/>
          <w:bCs/>
          <w:sz w:val="24"/>
        </w:rPr>
      </w:pPr>
    </w:p>
    <w:p>
      <w:pPr>
        <w:spacing w:line="590" w:lineRule="exact"/>
        <w:rPr>
          <w:rFonts w:hint="eastAsia" w:ascii="仿宋_GB2312" w:hAnsi="宋体" w:eastAsia="仿宋_GB2312" w:cs="仿宋_GB2312"/>
          <w:color w:val="000000"/>
          <w:sz w:val="24"/>
        </w:rPr>
      </w:pPr>
      <w:r>
        <w:rPr>
          <w:rFonts w:hint="eastAsia" w:ascii="仿宋_GB2312" w:hAnsi="宋体" w:eastAsia="仿宋_GB2312"/>
          <w:bCs/>
          <w:sz w:val="24"/>
        </w:rPr>
        <w:t>附件3</w:t>
      </w:r>
      <w:r>
        <w:rPr>
          <w:rFonts w:hint="eastAsia" w:ascii="仿宋_GB2312" w:hAnsi="宋体" w:eastAsia="仿宋_GB2312" w:cs="仿宋_GB2312"/>
          <w:color w:val="000000"/>
          <w:sz w:val="24"/>
        </w:rPr>
        <w:t>：</w:t>
      </w:r>
    </w:p>
    <w:p>
      <w:pPr>
        <w:spacing w:line="590" w:lineRule="exact"/>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河道保洁考核细则</w:t>
      </w:r>
    </w:p>
    <w:p>
      <w:pPr>
        <w:rPr>
          <w:rFonts w:hint="eastAsia" w:ascii="仿宋_GB2312" w:hAnsi="宋体" w:eastAsia="仿宋_GB2312" w:cs="仿宋_GB2312"/>
          <w:bCs/>
          <w:color w:val="000000"/>
          <w:sz w:val="24"/>
        </w:rPr>
      </w:pPr>
      <w:r>
        <w:rPr>
          <w:rFonts w:hint="eastAsia" w:ascii="仿宋_GB2312" w:hAnsi="宋体" w:eastAsia="仿宋_GB2312" w:cs="仿宋_GB2312"/>
          <w:bCs/>
          <w:color w:val="000000"/>
          <w:sz w:val="24"/>
        </w:rPr>
        <w:t xml:space="preserve">考核对象：                                      考核时间：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57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000000"/>
                <w:szCs w:val="21"/>
              </w:rPr>
            </w:pPr>
            <w:r>
              <w:rPr>
                <w:rFonts w:hint="eastAsia"/>
                <w:color w:val="000000"/>
                <w:szCs w:val="21"/>
              </w:rPr>
              <w:t>考核</w:t>
            </w:r>
          </w:p>
          <w:p>
            <w:pPr>
              <w:widowControl/>
              <w:jc w:val="center"/>
              <w:rPr>
                <w:color w:val="000000"/>
                <w:szCs w:val="21"/>
              </w:rPr>
            </w:pPr>
            <w:r>
              <w:rPr>
                <w:rFonts w:hint="eastAsia"/>
                <w:color w:val="000000"/>
                <w:szCs w:val="21"/>
              </w:rPr>
              <w:t>内容</w:t>
            </w: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rFonts w:hint="eastAsia"/>
                <w:color w:val="000000"/>
                <w:szCs w:val="21"/>
              </w:rPr>
              <w:t>考核标准</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szCs w:val="21"/>
              </w:rPr>
            </w:pPr>
            <w:r>
              <w:rPr>
                <w:rFonts w:hint="eastAsia"/>
                <w:color w:val="000000"/>
                <w:szCs w:val="21"/>
              </w:rPr>
              <w:t>扣款</w:t>
            </w:r>
          </w:p>
          <w:p>
            <w:pPr>
              <w:widowControl/>
              <w:jc w:val="center"/>
              <w:rPr>
                <w:rFonts w:hint="eastAsia"/>
                <w:color w:val="000000"/>
                <w:szCs w:val="21"/>
              </w:rPr>
            </w:pPr>
            <w:r>
              <w:rPr>
                <w:rFonts w:hint="eastAsia"/>
                <w:color w:val="000000"/>
                <w:szCs w:val="21"/>
              </w:rPr>
              <w:t>金额</w:t>
            </w:r>
          </w:p>
          <w:p>
            <w:pPr>
              <w:widowControl/>
              <w:jc w:val="center"/>
              <w:rPr>
                <w:color w:val="000000"/>
                <w:szCs w:val="21"/>
              </w:rPr>
            </w:pPr>
            <w:r>
              <w:rPr>
                <w:rFonts w:hint="eastAsia"/>
                <w:color w:val="000000"/>
                <w:szCs w:val="21"/>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3" w:hRule="atLeast"/>
          <w:jc w:val="center"/>
        </w:trPr>
        <w:tc>
          <w:tcPr>
            <w:tcW w:w="72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r>
              <w:rPr>
                <w:rFonts w:hint="eastAsia"/>
                <w:color w:val="000000"/>
                <w:szCs w:val="21"/>
              </w:rPr>
              <w:t>河面</w:t>
            </w:r>
          </w:p>
          <w:p>
            <w:pPr>
              <w:rPr>
                <w:rFonts w:hint="eastAsia"/>
                <w:color w:val="000000"/>
                <w:szCs w:val="21"/>
              </w:rPr>
            </w:pPr>
            <w:r>
              <w:rPr>
                <w:rFonts w:hint="eastAsia"/>
                <w:color w:val="000000"/>
                <w:szCs w:val="21"/>
              </w:rPr>
              <w:t>保洁</w:t>
            </w: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rPr>
            </w:pPr>
            <w:r>
              <w:rPr>
                <w:rFonts w:hint="eastAsia"/>
                <w:color w:val="000000"/>
                <w:szCs w:val="21"/>
              </w:rPr>
              <w:t>发现少量垃圾、漂浮物、油污</w:t>
            </w:r>
            <w:r>
              <w:rPr>
                <w:color w:val="000000"/>
                <w:szCs w:val="21"/>
              </w:rPr>
              <w:t xml:space="preserve"> </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jc w:val="center"/>
        </w:trPr>
        <w:tc>
          <w:tcPr>
            <w:tcW w:w="729" w:type="dxa"/>
            <w:vMerge w:val="continue"/>
            <w:tcBorders>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Cs w:val="21"/>
              </w:rPr>
            </w:pPr>
            <w:r>
              <w:rPr>
                <w:rFonts w:hint="eastAsia"/>
                <w:color w:val="000000"/>
                <w:szCs w:val="21"/>
              </w:rPr>
              <w:t>有10平方米以上垃圾、漂浮物</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jc w:val="center"/>
        </w:trPr>
        <w:tc>
          <w:tcPr>
            <w:tcW w:w="729" w:type="dxa"/>
            <w:vMerge w:val="continue"/>
            <w:tcBorders>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Cs w:val="21"/>
              </w:rPr>
            </w:pPr>
            <w:r>
              <w:rPr>
                <w:rFonts w:hint="eastAsia"/>
                <w:color w:val="000000"/>
                <w:szCs w:val="21"/>
              </w:rPr>
              <w:t>生态岛屿上有垃圾、杂草</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0" w:hRule="atLeast"/>
          <w:jc w:val="center"/>
        </w:trPr>
        <w:tc>
          <w:tcPr>
            <w:tcW w:w="729" w:type="dxa"/>
            <w:vMerge w:val="continue"/>
            <w:tcBorders>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Cs w:val="21"/>
              </w:rPr>
            </w:pPr>
            <w:r>
              <w:rPr>
                <w:rFonts w:hint="eastAsia"/>
                <w:color w:val="000000"/>
                <w:szCs w:val="21"/>
              </w:rPr>
              <w:t>有大面积落叶且无保洁人员现场清理</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1" w:hRule="atLeast"/>
          <w:jc w:val="center"/>
        </w:trPr>
        <w:tc>
          <w:tcPr>
            <w:tcW w:w="729" w:type="dxa"/>
            <w:vMerge w:val="continue"/>
            <w:tcBorders>
              <w:left w:val="single" w:color="auto" w:sz="4" w:space="0"/>
              <w:right w:val="single" w:color="auto" w:sz="4" w:space="0"/>
            </w:tcBorders>
            <w:noWrap w:val="0"/>
            <w:vAlign w:val="center"/>
          </w:tcPr>
          <w:p>
            <w:pPr>
              <w:widowControl/>
              <w:jc w:val="left"/>
              <w:rPr>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rPr>
            </w:pPr>
            <w:r>
              <w:rPr>
                <w:rFonts w:hint="eastAsia"/>
                <w:color w:val="000000"/>
                <w:szCs w:val="21"/>
              </w:rPr>
              <w:t>有水葫芦等漂浮水生植物</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3" w:hRule="atLeast"/>
          <w:jc w:val="center"/>
        </w:trPr>
        <w:tc>
          <w:tcPr>
            <w:tcW w:w="729" w:type="dxa"/>
            <w:vMerge w:val="continue"/>
            <w:tcBorders>
              <w:left w:val="single" w:color="auto" w:sz="4" w:space="0"/>
              <w:right w:val="single" w:color="auto" w:sz="4" w:space="0"/>
            </w:tcBorders>
            <w:noWrap w:val="0"/>
            <w:vAlign w:val="center"/>
          </w:tcPr>
          <w:p>
            <w:pPr>
              <w:widowControl/>
              <w:jc w:val="left"/>
              <w:rPr>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有大量水葫芦水草等水生植物聚集</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9" w:hRule="atLeast"/>
          <w:jc w:val="center"/>
        </w:trPr>
        <w:tc>
          <w:tcPr>
            <w:tcW w:w="729" w:type="dxa"/>
            <w:vMerge w:val="continue"/>
            <w:tcBorders>
              <w:left w:val="single" w:color="auto" w:sz="4" w:space="0"/>
              <w:bottom w:val="single" w:color="auto" w:sz="4" w:space="0"/>
              <w:right w:val="single" w:color="auto" w:sz="4" w:space="0"/>
            </w:tcBorders>
            <w:noWrap w:val="0"/>
            <w:vAlign w:val="center"/>
          </w:tcPr>
          <w:p>
            <w:pPr>
              <w:widowControl/>
              <w:jc w:val="left"/>
              <w:rPr>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有影响行洪的障碍物</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9" w:type="dxa"/>
            <w:vMerge w:val="restart"/>
            <w:tcBorders>
              <w:top w:val="single" w:color="auto" w:sz="4" w:space="0"/>
              <w:left w:val="single" w:color="auto" w:sz="4" w:space="0"/>
              <w:right w:val="single" w:color="auto" w:sz="4" w:space="0"/>
            </w:tcBorders>
            <w:noWrap w:val="0"/>
            <w:vAlign w:val="center"/>
          </w:tcPr>
          <w:p>
            <w:pPr>
              <w:widowControl/>
              <w:jc w:val="center"/>
              <w:rPr>
                <w:color w:val="000000"/>
                <w:szCs w:val="21"/>
              </w:rPr>
            </w:pPr>
            <w:r>
              <w:rPr>
                <w:rFonts w:hint="eastAsia"/>
                <w:color w:val="000000"/>
                <w:szCs w:val="21"/>
              </w:rPr>
              <w:t>河岸保洁</w:t>
            </w: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rPr>
            </w:pPr>
            <w:r>
              <w:rPr>
                <w:rFonts w:hint="eastAsia"/>
                <w:color w:val="000000"/>
                <w:szCs w:val="21"/>
              </w:rPr>
              <w:t>河岸有垃圾、杂物、积水、污垢、青苔等</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设施脏、乱，有积尘的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有涂刻、招贴的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有乱堆、乱放杂物</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有多处涂刻、招贴</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有大面积垃圾和卫生死角的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垃圾未倾倒在规定地点</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29"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乱堆放垃圾，不及时清运</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jc w:val="center"/>
        </w:trPr>
        <w:tc>
          <w:tcPr>
            <w:tcW w:w="72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焚烧垃圾、树叶的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3" w:hRule="atLeast"/>
          <w:jc w:val="center"/>
        </w:trPr>
        <w:tc>
          <w:tcPr>
            <w:tcW w:w="72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Cs w:val="21"/>
              </w:rPr>
            </w:pPr>
            <w:r>
              <w:rPr>
                <w:rFonts w:hint="eastAsia"/>
                <w:color w:val="000000"/>
                <w:szCs w:val="21"/>
              </w:rPr>
              <w:t>河岸设施养护</w:t>
            </w: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rPr>
            </w:pPr>
            <w:r>
              <w:rPr>
                <w:rFonts w:hint="eastAsia"/>
                <w:color w:val="000000"/>
                <w:szCs w:val="21"/>
              </w:rPr>
              <w:t>克顶、挡墙、维护桩和护坡有破损不及时修复或上报</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7" w:hRule="atLeast"/>
          <w:jc w:val="center"/>
        </w:trPr>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路面缺损、碎裂、严重沉降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000000"/>
                <w:szCs w:val="21"/>
              </w:rPr>
            </w:pPr>
            <w:r>
              <w:rPr>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olor w:val="000000"/>
                <w:szCs w:val="21"/>
              </w:rPr>
            </w:pPr>
            <w:r>
              <w:rPr>
                <w:rFonts w:hint="eastAsia"/>
                <w:color w:val="000000"/>
                <w:szCs w:val="21"/>
              </w:rPr>
              <w:t>设施有破损失修、油漆剥落、外观不洁</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 w:hRule="atLeast"/>
          <w:jc w:val="center"/>
        </w:trPr>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rPr>
            </w:pPr>
          </w:p>
        </w:tc>
        <w:tc>
          <w:tcPr>
            <w:tcW w:w="6573"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rPr>
            </w:pPr>
            <w:r>
              <w:rPr>
                <w:rFonts w:hint="eastAsia"/>
                <w:color w:val="000000"/>
                <w:szCs w:val="21"/>
              </w:rPr>
              <w:t>严重破损存在安全隐患的</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zCs w:val="21"/>
              </w:rPr>
            </w:pPr>
            <w:r>
              <w:rPr>
                <w:color w:val="000000"/>
                <w:szCs w:val="21"/>
              </w:rPr>
              <w:t>200</w:t>
            </w:r>
          </w:p>
        </w:tc>
      </w:tr>
    </w:tbl>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r>
        <w:rPr>
          <w:rFonts w:hint="eastAsia" w:ascii="仿宋_GB2312" w:hAnsi="宋体" w:eastAsia="仿宋_GB2312"/>
          <w:bCs/>
          <w:sz w:val="24"/>
        </w:rPr>
        <w:t>附件4：</w:t>
      </w:r>
    </w:p>
    <w:p>
      <w:pPr>
        <w:tabs>
          <w:tab w:val="left" w:pos="1056"/>
        </w:tabs>
        <w:spacing w:line="440" w:lineRule="exact"/>
        <w:jc w:val="center"/>
        <w:rPr>
          <w:sz w:val="28"/>
          <w:szCs w:val="28"/>
        </w:rPr>
      </w:pPr>
      <w:r>
        <w:rPr>
          <w:rFonts w:hint="eastAsia"/>
          <w:sz w:val="28"/>
          <w:szCs w:val="28"/>
        </w:rPr>
        <w:t>厕所考核细则</w:t>
      </w:r>
    </w:p>
    <w:p>
      <w:pPr>
        <w:spacing w:line="440" w:lineRule="exact"/>
        <w:jc w:val="left"/>
        <w:rPr>
          <w:bCs/>
          <w:szCs w:val="21"/>
        </w:rPr>
      </w:pPr>
      <w:r>
        <w:rPr>
          <w:bCs/>
          <w:szCs w:val="21"/>
        </w:rPr>
        <w:t>考核对象：                                     考核时间：</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110"/>
        <w:gridCol w:w="573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4" w:type="dxa"/>
            <w:noWrap w:val="0"/>
            <w:vAlign w:val="center"/>
          </w:tcPr>
          <w:p>
            <w:pPr>
              <w:jc w:val="center"/>
              <w:rPr>
                <w:szCs w:val="21"/>
              </w:rPr>
            </w:pPr>
            <w:r>
              <w:rPr>
                <w:szCs w:val="21"/>
              </w:rPr>
              <w:t>序号</w:t>
            </w:r>
          </w:p>
        </w:tc>
        <w:tc>
          <w:tcPr>
            <w:tcW w:w="1110" w:type="dxa"/>
            <w:noWrap w:val="0"/>
            <w:vAlign w:val="center"/>
          </w:tcPr>
          <w:p>
            <w:pPr>
              <w:jc w:val="center"/>
              <w:rPr>
                <w:szCs w:val="21"/>
              </w:rPr>
            </w:pPr>
            <w:r>
              <w:rPr>
                <w:szCs w:val="21"/>
              </w:rPr>
              <w:t>考核项目</w:t>
            </w:r>
          </w:p>
        </w:tc>
        <w:tc>
          <w:tcPr>
            <w:tcW w:w="5730" w:type="dxa"/>
            <w:noWrap w:val="0"/>
            <w:vAlign w:val="center"/>
          </w:tcPr>
          <w:p>
            <w:pPr>
              <w:widowControl/>
              <w:jc w:val="center"/>
              <w:rPr>
                <w:color w:val="000000"/>
                <w:szCs w:val="21"/>
              </w:rPr>
            </w:pPr>
            <w:r>
              <w:rPr>
                <w:rFonts w:hint="eastAsia"/>
                <w:color w:val="000000"/>
                <w:szCs w:val="21"/>
              </w:rPr>
              <w:t>考核标准</w:t>
            </w:r>
          </w:p>
        </w:tc>
        <w:tc>
          <w:tcPr>
            <w:tcW w:w="1344" w:type="dxa"/>
            <w:noWrap w:val="0"/>
            <w:vAlign w:val="center"/>
          </w:tcPr>
          <w:p>
            <w:pPr>
              <w:spacing w:line="320" w:lineRule="exact"/>
              <w:jc w:val="center"/>
              <w:rPr>
                <w:rFonts w:hint="eastAsia"/>
                <w:color w:val="000000"/>
                <w:szCs w:val="21"/>
              </w:rPr>
            </w:pPr>
            <w:r>
              <w:rPr>
                <w:rFonts w:hint="eastAsia"/>
                <w:color w:val="000000"/>
                <w:szCs w:val="21"/>
              </w:rPr>
              <w:t>扣款</w:t>
            </w:r>
          </w:p>
          <w:p>
            <w:pPr>
              <w:widowControl/>
              <w:jc w:val="center"/>
              <w:rPr>
                <w:rFonts w:hint="eastAsia"/>
                <w:color w:val="000000"/>
                <w:szCs w:val="21"/>
              </w:rPr>
            </w:pPr>
            <w:r>
              <w:rPr>
                <w:rFonts w:hint="eastAsia"/>
                <w:color w:val="000000"/>
                <w:szCs w:val="21"/>
              </w:rPr>
              <w:t>金额</w:t>
            </w:r>
          </w:p>
          <w:p>
            <w:pPr>
              <w:widowControl/>
              <w:jc w:val="center"/>
              <w:rPr>
                <w:color w:val="000000"/>
                <w:szCs w:val="21"/>
              </w:rPr>
            </w:pPr>
            <w:r>
              <w:rPr>
                <w:rFonts w:hint="eastAsia"/>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384" w:type="dxa"/>
            <w:vMerge w:val="restart"/>
            <w:noWrap w:val="0"/>
            <w:vAlign w:val="center"/>
          </w:tcPr>
          <w:p>
            <w:pPr>
              <w:spacing w:line="260" w:lineRule="exact"/>
              <w:rPr>
                <w:rFonts w:hint="eastAsia"/>
                <w:kern w:val="0"/>
                <w:sz w:val="20"/>
              </w:rPr>
            </w:pPr>
            <w:r>
              <w:rPr>
                <w:rFonts w:hint="eastAsia"/>
                <w:kern w:val="0"/>
                <w:sz w:val="20"/>
              </w:rPr>
              <w:t>1</w:t>
            </w:r>
          </w:p>
        </w:tc>
        <w:tc>
          <w:tcPr>
            <w:tcW w:w="1110" w:type="dxa"/>
            <w:vMerge w:val="restart"/>
            <w:noWrap w:val="0"/>
            <w:vAlign w:val="center"/>
          </w:tcPr>
          <w:p>
            <w:pPr>
              <w:spacing w:line="260" w:lineRule="exact"/>
              <w:rPr>
                <w:kern w:val="0"/>
                <w:sz w:val="20"/>
              </w:rPr>
            </w:pPr>
          </w:p>
          <w:p>
            <w:pPr>
              <w:spacing w:line="260" w:lineRule="exact"/>
              <w:rPr>
                <w:kern w:val="0"/>
                <w:sz w:val="20"/>
              </w:rPr>
            </w:pPr>
            <w:r>
              <w:rPr>
                <w:rFonts w:hint="eastAsia"/>
                <w:kern w:val="0"/>
                <w:sz w:val="20"/>
              </w:rPr>
              <w:t>设施设备</w:t>
            </w:r>
          </w:p>
        </w:tc>
        <w:tc>
          <w:tcPr>
            <w:tcW w:w="5730" w:type="dxa"/>
            <w:noWrap w:val="0"/>
            <w:vAlign w:val="center"/>
          </w:tcPr>
          <w:p>
            <w:pPr>
              <w:spacing w:line="280" w:lineRule="exact"/>
              <w:rPr>
                <w:kern w:val="0"/>
                <w:sz w:val="20"/>
              </w:rPr>
            </w:pPr>
            <w:r>
              <w:rPr>
                <w:rFonts w:hint="eastAsia"/>
                <w:kern w:val="0"/>
                <w:sz w:val="20"/>
              </w:rPr>
              <w:t>未设置厕所管理制度牌的</w:t>
            </w:r>
          </w:p>
        </w:tc>
        <w:tc>
          <w:tcPr>
            <w:tcW w:w="1344" w:type="dxa"/>
            <w:noWrap w:val="0"/>
            <w:vAlign w:val="center"/>
          </w:tcPr>
          <w:p>
            <w:pPr>
              <w:spacing w:line="260" w:lineRule="exact"/>
              <w:rPr>
                <w:rFonts w:hint="eastAsia"/>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384" w:type="dxa"/>
            <w:vMerge w:val="continue"/>
            <w:noWrap w:val="0"/>
            <w:vAlign w:val="center"/>
          </w:tcPr>
          <w:p>
            <w:pPr>
              <w:spacing w:line="260" w:lineRule="exact"/>
              <w:rPr>
                <w:rFonts w:hint="eastAsia"/>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280" w:lineRule="exact"/>
              <w:rPr>
                <w:rFonts w:hint="eastAsia"/>
                <w:kern w:val="0"/>
                <w:sz w:val="20"/>
              </w:rPr>
            </w:pPr>
            <w:r>
              <w:rPr>
                <w:rFonts w:hint="eastAsia"/>
                <w:kern w:val="0"/>
                <w:sz w:val="20"/>
              </w:rPr>
              <w:t>管理制度牌字体不清晰、信息缺项或不准确的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trPr>
        <w:tc>
          <w:tcPr>
            <w:tcW w:w="384" w:type="dxa"/>
            <w:vMerge w:val="continue"/>
            <w:noWrap w:val="0"/>
            <w:vAlign w:val="center"/>
          </w:tcPr>
          <w:p>
            <w:pPr>
              <w:spacing w:line="260" w:lineRule="exact"/>
              <w:rPr>
                <w:rFonts w:hint="eastAsia"/>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280" w:lineRule="exact"/>
              <w:rPr>
                <w:rFonts w:hint="eastAsia"/>
                <w:kern w:val="0"/>
                <w:sz w:val="20"/>
              </w:rPr>
            </w:pPr>
            <w:r>
              <w:rPr>
                <w:rFonts w:hint="eastAsia"/>
                <w:kern w:val="0"/>
                <w:sz w:val="20"/>
              </w:rPr>
              <w:t>未设置公共厕所标识标牌的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84" w:type="dxa"/>
            <w:vMerge w:val="continue"/>
            <w:noWrap w:val="0"/>
            <w:vAlign w:val="center"/>
          </w:tcPr>
          <w:p>
            <w:pPr>
              <w:spacing w:line="260" w:lineRule="exact"/>
              <w:rPr>
                <w:rFonts w:hint="eastAsia"/>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rFonts w:hint="eastAsia"/>
                <w:kern w:val="0"/>
                <w:sz w:val="20"/>
              </w:rPr>
            </w:pPr>
            <w:r>
              <w:rPr>
                <w:rFonts w:hint="eastAsia"/>
                <w:kern w:val="0"/>
                <w:sz w:val="20"/>
              </w:rPr>
              <w:t>未设置男女厕、坐便器、蹲便器、无障碍卫生间等标识的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384" w:type="dxa"/>
            <w:vMerge w:val="continue"/>
            <w:noWrap w:val="0"/>
            <w:vAlign w:val="center"/>
          </w:tcPr>
          <w:p>
            <w:pPr>
              <w:spacing w:line="260" w:lineRule="exact"/>
              <w:rPr>
                <w:rFonts w:hint="eastAsia"/>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rFonts w:hint="eastAsia"/>
                <w:kern w:val="0"/>
                <w:sz w:val="20"/>
              </w:rPr>
            </w:pPr>
            <w:r>
              <w:rPr>
                <w:rFonts w:hint="eastAsia"/>
                <w:kern w:val="0"/>
                <w:sz w:val="20"/>
              </w:rPr>
              <w:t>厕所各类标牌标识破损、遮挡、残缺、歪斜、或设置不规范的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rFonts w:hint="eastAsia"/>
                <w:kern w:val="0"/>
                <w:sz w:val="20"/>
              </w:rPr>
            </w:pPr>
            <w:r>
              <w:rPr>
                <w:kern w:val="0"/>
                <w:sz w:val="20"/>
              </w:rPr>
              <w:t>未免费向公众提供厕纸的</w:t>
            </w:r>
          </w:p>
        </w:tc>
        <w:tc>
          <w:tcPr>
            <w:tcW w:w="1344" w:type="dxa"/>
            <w:noWrap w:val="0"/>
            <w:vAlign w:val="top"/>
          </w:tcPr>
          <w:p>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rFonts w:hint="eastAsia"/>
                <w:kern w:val="0"/>
                <w:sz w:val="20"/>
              </w:rPr>
            </w:pPr>
            <w:r>
              <w:rPr>
                <w:kern w:val="0"/>
                <w:sz w:val="20"/>
              </w:rPr>
              <w:t>垃圾桶或纸篓缺失、破损、不洁、满溢的</w:t>
            </w:r>
          </w:p>
        </w:tc>
        <w:tc>
          <w:tcPr>
            <w:tcW w:w="1344" w:type="dxa"/>
            <w:noWrap w:val="0"/>
            <w:vAlign w:val="top"/>
          </w:tcPr>
          <w:p>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rFonts w:hint="eastAsia"/>
                <w:kern w:val="0"/>
                <w:sz w:val="20"/>
              </w:rPr>
            </w:pPr>
            <w:r>
              <w:rPr>
                <w:kern w:val="0"/>
                <w:sz w:val="20"/>
              </w:rPr>
              <w:t>大便器、大便槽、小便器（槽）破损的每处</w:t>
            </w:r>
          </w:p>
        </w:tc>
        <w:tc>
          <w:tcPr>
            <w:tcW w:w="1344" w:type="dxa"/>
            <w:noWrap w:val="0"/>
            <w:vAlign w:val="top"/>
          </w:tcPr>
          <w:p>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5"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厕所天花板、内外墙面、门窗、洗手池及台面、拖把池、大小便厕位隔断、搁物台、上下水管、镜子、挂衣钩、无障碍间卫生洁具及辅助设施等不洁、缺失、破损、生锈或不能正常使用的</w:t>
            </w:r>
          </w:p>
        </w:tc>
        <w:tc>
          <w:tcPr>
            <w:tcW w:w="1344" w:type="dxa"/>
            <w:noWrap w:val="0"/>
            <w:vAlign w:val="top"/>
          </w:tcPr>
          <w:p>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化粪池、贮粪池、厕所粪池盖不密闭、缺失、破损、松动</w:t>
            </w:r>
          </w:p>
        </w:tc>
        <w:tc>
          <w:tcPr>
            <w:tcW w:w="1344" w:type="dxa"/>
            <w:noWrap w:val="0"/>
            <w:vAlign w:val="top"/>
          </w:tcPr>
          <w:p>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4" w:hRule="atLeast"/>
        </w:trPr>
        <w:tc>
          <w:tcPr>
            <w:tcW w:w="384" w:type="dxa"/>
            <w:vMerge w:val="restart"/>
            <w:noWrap w:val="0"/>
            <w:vAlign w:val="center"/>
          </w:tcPr>
          <w:p>
            <w:pPr>
              <w:spacing w:line="260" w:lineRule="exact"/>
              <w:rPr>
                <w:rFonts w:hint="eastAsia"/>
                <w:kern w:val="0"/>
                <w:sz w:val="20"/>
              </w:rPr>
            </w:pPr>
            <w:r>
              <w:rPr>
                <w:rFonts w:hint="eastAsia"/>
                <w:kern w:val="0"/>
                <w:sz w:val="20"/>
              </w:rPr>
              <w:t>2</w:t>
            </w:r>
          </w:p>
        </w:tc>
        <w:tc>
          <w:tcPr>
            <w:tcW w:w="1110" w:type="dxa"/>
            <w:vMerge w:val="restart"/>
            <w:noWrap w:val="0"/>
            <w:vAlign w:val="center"/>
          </w:tcPr>
          <w:p>
            <w:pPr>
              <w:spacing w:line="260" w:lineRule="exact"/>
              <w:rPr>
                <w:kern w:val="0"/>
                <w:sz w:val="20"/>
              </w:rPr>
            </w:pPr>
            <w:r>
              <w:rPr>
                <w:kern w:val="0"/>
                <w:sz w:val="20"/>
              </w:rPr>
              <w:t>日常</w:t>
            </w:r>
            <w:r>
              <w:rPr>
                <w:rFonts w:hint="eastAsia"/>
                <w:kern w:val="0"/>
                <w:sz w:val="20"/>
              </w:rPr>
              <w:t>保洁</w:t>
            </w:r>
          </w:p>
        </w:tc>
        <w:tc>
          <w:tcPr>
            <w:tcW w:w="5730" w:type="dxa"/>
            <w:noWrap w:val="0"/>
            <w:vAlign w:val="center"/>
          </w:tcPr>
          <w:p>
            <w:pPr>
              <w:spacing w:line="300" w:lineRule="exact"/>
              <w:rPr>
                <w:kern w:val="0"/>
                <w:sz w:val="20"/>
              </w:rPr>
            </w:pPr>
            <w:r>
              <w:rPr>
                <w:kern w:val="0"/>
                <w:sz w:val="20"/>
              </w:rPr>
              <w:t>大便器、大便槽、小便器（槽）不洁的</w:t>
            </w:r>
            <w:r>
              <w:rPr>
                <w:rFonts w:hint="eastAsia"/>
                <w:kern w:val="0"/>
                <w:sz w:val="20"/>
              </w:rPr>
              <w:t>，</w:t>
            </w:r>
            <w:r>
              <w:rPr>
                <w:kern w:val="0"/>
                <w:sz w:val="20"/>
              </w:rPr>
              <w:t>积粪（尿）的，堵塞的</w:t>
            </w:r>
          </w:p>
        </w:tc>
        <w:tc>
          <w:tcPr>
            <w:tcW w:w="1344" w:type="dxa"/>
            <w:noWrap w:val="0"/>
            <w:vAlign w:val="center"/>
          </w:tcPr>
          <w:p>
            <w:pPr>
              <w:spacing w:line="260" w:lineRule="exact"/>
              <w:rPr>
                <w:rFonts w:hint="eastAsia"/>
                <w:kern w:val="0"/>
                <w:sz w:val="20"/>
              </w:rPr>
            </w:pPr>
            <w:r>
              <w:rPr>
                <w:rFonts w:hint="eastAsia"/>
                <w:kern w:val="0"/>
                <w:sz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4" w:hRule="atLeast"/>
        </w:trPr>
        <w:tc>
          <w:tcPr>
            <w:tcW w:w="384" w:type="dxa"/>
            <w:vMerge w:val="continue"/>
            <w:noWrap w:val="0"/>
            <w:vAlign w:val="center"/>
          </w:tcPr>
          <w:p>
            <w:pPr>
              <w:spacing w:line="260" w:lineRule="exact"/>
              <w:rPr>
                <w:rFonts w:hint="eastAsia"/>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240" w:lineRule="exact"/>
              <w:rPr>
                <w:rFonts w:hint="eastAsia" w:ascii="仿宋_GB2312" w:hAnsi="宋体" w:eastAsia="仿宋_GB2312" w:cs="宋体"/>
                <w:kern w:val="0"/>
                <w:sz w:val="24"/>
              </w:rPr>
            </w:pPr>
            <w:r>
              <w:rPr>
                <w:rFonts w:hint="eastAsia" w:ascii="宋体" w:hAnsi="宋体" w:cs="宋体"/>
                <w:sz w:val="24"/>
                <w:szCs w:val="24"/>
                <w:lang w:bidi="ar"/>
              </w:rPr>
              <w:t>将消防用水作用于日常清洗，若发现该情况则扣款。</w:t>
            </w:r>
          </w:p>
        </w:tc>
        <w:tc>
          <w:tcPr>
            <w:tcW w:w="1344" w:type="dxa"/>
            <w:noWrap w:val="0"/>
            <w:vAlign w:val="center"/>
          </w:tcPr>
          <w:p>
            <w:pPr>
              <w:spacing w:line="260" w:lineRule="exact"/>
              <w:rPr>
                <w:rFonts w:hint="eastAsia"/>
                <w:kern w:val="0"/>
                <w:sz w:val="20"/>
              </w:rPr>
            </w:pPr>
            <w:r>
              <w:rPr>
                <w:rFonts w:hint="eastAsia"/>
                <w:kern w:val="0"/>
                <w:sz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4"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厕所内堆放杂物、厕位内乱堆放作业工具的</w:t>
            </w:r>
          </w:p>
        </w:tc>
        <w:tc>
          <w:tcPr>
            <w:tcW w:w="1344" w:type="dxa"/>
            <w:noWrap w:val="0"/>
            <w:vAlign w:val="center"/>
          </w:tcPr>
          <w:p>
            <w:pPr>
              <w:spacing w:line="260" w:lineRule="exact"/>
              <w:rPr>
                <w:rFonts w:hint="eastAsia"/>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厕所及厕位地面不洁、湿滑积水的</w:t>
            </w:r>
            <w:r>
              <w:rPr>
                <w:rFonts w:hint="eastAsia"/>
                <w:kern w:val="0"/>
                <w:sz w:val="20"/>
              </w:rPr>
              <w:t>，</w:t>
            </w:r>
            <w:r>
              <w:rPr>
                <w:kern w:val="0"/>
                <w:sz w:val="20"/>
              </w:rPr>
              <w:t>工具间环境不整洁的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4"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厕所外环境不洁，有作业工具乱放，垃圾、粪便、杂物堆放吊挂、晾晒衣物现象的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化粪池、贮粪池臭气外溢，周围地面有粪迹、垃圾、污水、恶臭、蝇蛆的，粪污水、粪便污染周边水体等环境的</w:t>
            </w:r>
          </w:p>
        </w:tc>
        <w:tc>
          <w:tcPr>
            <w:tcW w:w="1344" w:type="dxa"/>
            <w:noWrap w:val="0"/>
            <w:vAlign w:val="center"/>
          </w:tcPr>
          <w:p>
            <w:pPr>
              <w:spacing w:line="260" w:lineRule="exact"/>
              <w:rPr>
                <w:rFonts w:hint="eastAsia"/>
                <w:kern w:val="0"/>
                <w:sz w:val="20"/>
              </w:rPr>
            </w:pPr>
            <w:r>
              <w:rPr>
                <w:rFonts w:hint="eastAsia"/>
                <w:kern w:val="0"/>
                <w:sz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4"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厕所内饲养宠物的。</w:t>
            </w:r>
          </w:p>
        </w:tc>
        <w:tc>
          <w:tcPr>
            <w:tcW w:w="1344" w:type="dxa"/>
            <w:noWrap w:val="0"/>
            <w:vAlign w:val="center"/>
          </w:tcPr>
          <w:p>
            <w:pPr>
              <w:spacing w:line="260" w:lineRule="exact"/>
              <w:rPr>
                <w:kern w:val="0"/>
                <w:sz w:val="20"/>
              </w:rPr>
            </w:pPr>
            <w:r>
              <w:rPr>
                <w:rFonts w:hint="eastAsia"/>
                <w:kern w:val="0"/>
                <w:sz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厕所有明显臭味的。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rFonts w:hint="eastAsia"/>
                <w:kern w:val="0"/>
                <w:sz w:val="20"/>
              </w:rPr>
            </w:pPr>
            <w:r>
              <w:rPr>
                <w:kern w:val="0"/>
                <w:sz w:val="20"/>
              </w:rPr>
              <w:t>管理房内、外私拉电线、乱接插头插座、裸露接线现象</w:t>
            </w:r>
            <w:r>
              <w:rPr>
                <w:rFonts w:hint="eastAsia"/>
                <w:kern w:val="0"/>
                <w:sz w:val="20"/>
              </w:rPr>
              <w:t>的，</w:t>
            </w:r>
            <w:r>
              <w:rPr>
                <w:kern w:val="0"/>
                <w:sz w:val="20"/>
              </w:rPr>
              <w:t>厕所内外乱接水管的</w:t>
            </w:r>
          </w:p>
        </w:tc>
        <w:tc>
          <w:tcPr>
            <w:tcW w:w="1344" w:type="dxa"/>
            <w:noWrap w:val="0"/>
            <w:vAlign w:val="center"/>
          </w:tcPr>
          <w:p>
            <w:pPr>
              <w:spacing w:line="260" w:lineRule="exact"/>
              <w:rPr>
                <w:kern w:val="0"/>
                <w:sz w:val="20"/>
              </w:rPr>
            </w:pPr>
            <w:r>
              <w:rPr>
                <w:rFonts w:hint="eastAsia"/>
                <w:kern w:val="0"/>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84" w:type="dxa"/>
            <w:vMerge w:val="continue"/>
            <w:noWrap w:val="0"/>
            <w:vAlign w:val="center"/>
          </w:tcPr>
          <w:p>
            <w:pPr>
              <w:spacing w:line="260" w:lineRule="exact"/>
              <w:rPr>
                <w:kern w:val="0"/>
                <w:sz w:val="20"/>
              </w:rPr>
            </w:pPr>
          </w:p>
        </w:tc>
        <w:tc>
          <w:tcPr>
            <w:tcW w:w="1110" w:type="dxa"/>
            <w:vMerge w:val="continue"/>
            <w:noWrap w:val="0"/>
            <w:vAlign w:val="center"/>
          </w:tcPr>
          <w:p>
            <w:pPr>
              <w:spacing w:line="260" w:lineRule="exact"/>
              <w:rPr>
                <w:kern w:val="0"/>
                <w:sz w:val="20"/>
              </w:rPr>
            </w:pPr>
          </w:p>
        </w:tc>
        <w:tc>
          <w:tcPr>
            <w:tcW w:w="5730" w:type="dxa"/>
            <w:noWrap w:val="0"/>
            <w:vAlign w:val="center"/>
          </w:tcPr>
          <w:p>
            <w:pPr>
              <w:spacing w:line="300" w:lineRule="exact"/>
              <w:rPr>
                <w:kern w:val="0"/>
                <w:sz w:val="20"/>
              </w:rPr>
            </w:pPr>
            <w:r>
              <w:rPr>
                <w:kern w:val="0"/>
                <w:sz w:val="20"/>
              </w:rPr>
              <w:t>厕所内外墙面渗漏、墙面破损、乳胶漆脱落的，地面不平整、破损的</w:t>
            </w:r>
          </w:p>
        </w:tc>
        <w:tc>
          <w:tcPr>
            <w:tcW w:w="1344" w:type="dxa"/>
            <w:noWrap w:val="0"/>
            <w:vAlign w:val="center"/>
          </w:tcPr>
          <w:p>
            <w:pPr>
              <w:spacing w:line="260" w:lineRule="exact"/>
              <w:rPr>
                <w:kern w:val="0"/>
                <w:sz w:val="20"/>
              </w:rPr>
            </w:pPr>
            <w:r>
              <w:rPr>
                <w:rFonts w:hint="eastAsia"/>
                <w:kern w:val="0"/>
                <w:sz w:val="20"/>
              </w:rPr>
              <w:t>100</w:t>
            </w:r>
          </w:p>
        </w:tc>
      </w:tr>
    </w:tbl>
    <w:p>
      <w:pPr>
        <w:adjustRightInd w:val="0"/>
        <w:snapToGrid w:val="0"/>
        <w:spacing w:line="360" w:lineRule="auto"/>
        <w:rPr>
          <w:rFonts w:hint="eastAsia" w:ascii="宋体" w:hAnsi="宋体"/>
          <w:b/>
          <w:sz w:val="24"/>
        </w:rPr>
      </w:pPr>
    </w:p>
    <w:p>
      <w:pPr>
        <w:pageBreakBefore/>
        <w:snapToGrid w:val="0"/>
        <w:spacing w:line="600" w:lineRule="exact"/>
        <w:jc w:val="center"/>
        <w:outlineLvl w:val="0"/>
        <w:rPr>
          <w:rFonts w:hint="eastAsia" w:ascii="宋体" w:hAnsi="宋体" w:cs="宋体"/>
          <w:b/>
          <w:color w:val="000000"/>
          <w:sz w:val="24"/>
        </w:rPr>
      </w:pPr>
      <w:bookmarkStart w:id="76" w:name="_Toc33194401"/>
      <w:bookmarkStart w:id="77" w:name="_Toc354996706"/>
      <w:bookmarkStart w:id="78" w:name="_Toc86217003"/>
      <w:bookmarkStart w:id="79" w:name="_Toc233618986"/>
      <w:r>
        <w:rPr>
          <w:rFonts w:hint="eastAsia" w:ascii="宋体" w:hAnsi="宋体" w:cs="宋体"/>
          <w:b/>
          <w:color w:val="000000"/>
          <w:sz w:val="24"/>
        </w:rPr>
        <w:t>第四部分  合同</w:t>
      </w:r>
      <w:bookmarkEnd w:id="76"/>
      <w:r>
        <w:rPr>
          <w:rFonts w:hint="eastAsia" w:ascii="宋体" w:hAnsi="宋体" w:cs="宋体"/>
          <w:b/>
          <w:color w:val="000000"/>
          <w:sz w:val="24"/>
        </w:rPr>
        <w:t>样本</w:t>
      </w:r>
    </w:p>
    <w:p>
      <w:pPr>
        <w:spacing w:line="400" w:lineRule="atLeast"/>
        <w:rPr>
          <w:rFonts w:ascii="Times New Roman" w:hAnsi="Times New Roman"/>
        </w:rPr>
      </w:pPr>
      <w:r>
        <w:rPr>
          <w:rFonts w:hint="eastAsia" w:ascii="宋体" w:hAnsi="宋体" w:cs="宋体"/>
          <w:b/>
          <w:color w:val="000000"/>
          <w:sz w:val="24"/>
        </w:rPr>
        <w:t xml:space="preserve">       </w:t>
      </w:r>
    </w:p>
    <w:p>
      <w:pPr>
        <w:pStyle w:val="40"/>
        <w:snapToGrid w:val="0"/>
        <w:spacing w:line="400" w:lineRule="atLeast"/>
        <w:jc w:val="right"/>
        <w:rPr>
          <w:rFonts w:ascii="Times New Roman" w:hAnsi="Times New Roman"/>
          <w:b/>
          <w:sz w:val="28"/>
          <w:szCs w:val="28"/>
        </w:rPr>
      </w:pPr>
      <w:r>
        <w:rPr>
          <w:rFonts w:ascii="Times New Roman" w:hAnsi="Times New Roman"/>
          <w:sz w:val="24"/>
          <w:szCs w:val="24"/>
        </w:rPr>
        <w:t xml:space="preserve">合同编号：            </w:t>
      </w:r>
    </w:p>
    <w:p>
      <w:pPr>
        <w:pStyle w:val="31"/>
        <w:rPr>
          <w:rFonts w:hint="eastAsia"/>
        </w:rPr>
      </w:pPr>
      <w:bookmarkStart w:id="80" w:name="_Toc33194402"/>
    </w:p>
    <w:p>
      <w:pPr>
        <w:autoSpaceDE w:val="0"/>
        <w:autoSpaceDN w:val="0"/>
        <w:snapToGrid w:val="0"/>
        <w:spacing w:line="360" w:lineRule="auto"/>
        <w:ind w:firstLine="436" w:firstLineChars="182"/>
        <w:rPr>
          <w:rFonts w:hint="eastAsia" w:ascii="宋体" w:hAnsi="宋体"/>
          <w:color w:val="000000"/>
          <w:sz w:val="24"/>
        </w:rPr>
      </w:pPr>
      <w:r>
        <w:rPr>
          <w:rFonts w:ascii="宋体" w:hAnsi="宋体"/>
          <w:color w:val="000000"/>
          <w:sz w:val="24"/>
        </w:rPr>
        <w:t>项目名称：</w:t>
      </w:r>
      <w:r>
        <w:rPr>
          <w:rFonts w:hint="eastAsia" w:ascii="宋体" w:hAnsi="宋体"/>
          <w:color w:val="000000"/>
          <w:sz w:val="24"/>
        </w:rPr>
        <w:t xml:space="preserve"> </w:t>
      </w:r>
    </w:p>
    <w:p>
      <w:pPr>
        <w:pStyle w:val="4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招标编号：</w:t>
      </w:r>
      <w:r>
        <w:rPr>
          <w:rFonts w:hint="eastAsia" w:ascii="宋体" w:hAnsi="宋体" w:eastAsia="宋体"/>
          <w:color w:val="000000"/>
          <w:sz w:val="24"/>
          <w:szCs w:val="24"/>
        </w:rPr>
        <w:t xml:space="preserve"> </w:t>
      </w:r>
    </w:p>
    <w:p>
      <w:pPr>
        <w:pStyle w:val="40"/>
        <w:snapToGrid w:val="0"/>
        <w:spacing w:line="360" w:lineRule="auto"/>
        <w:ind w:firstLine="480" w:firstLineChars="200"/>
        <w:rPr>
          <w:rFonts w:hint="eastAsia" w:ascii="宋体" w:hAnsi="宋体" w:eastAsia="宋体"/>
          <w:color w:val="000000"/>
          <w:sz w:val="24"/>
          <w:szCs w:val="24"/>
        </w:rPr>
      </w:pPr>
      <w:r>
        <w:rPr>
          <w:rFonts w:ascii="宋体" w:hAnsi="宋体" w:eastAsia="宋体"/>
          <w:color w:val="000000"/>
          <w:sz w:val="24"/>
          <w:szCs w:val="24"/>
        </w:rPr>
        <w:t>甲方：</w:t>
      </w:r>
      <w:r>
        <w:rPr>
          <w:rFonts w:hint="eastAsia" w:ascii="宋体" w:hAnsi="宋体" w:eastAsia="宋体"/>
          <w:color w:val="000000"/>
          <w:sz w:val="24"/>
          <w:szCs w:val="24"/>
        </w:rPr>
        <w:t xml:space="preserve"> </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乙方：</w:t>
      </w:r>
    </w:p>
    <w:p>
      <w:pPr>
        <w:pStyle w:val="334"/>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u w:val="single"/>
          <w:lang w:eastAsia="zh-CN"/>
        </w:rPr>
        <w:t xml:space="preserve">                       （标项：          ）</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334"/>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pStyle w:val="334"/>
        <w:snapToGrid w:val="0"/>
        <w:spacing w:line="360" w:lineRule="auto"/>
        <w:ind w:firstLine="482" w:firstLineChars="200"/>
        <w:rPr>
          <w:rFonts w:hint="eastAsia" w:ascii="宋体" w:hAnsi="宋体" w:eastAsia="宋体"/>
          <w:b/>
          <w:color w:val="000000"/>
          <w:sz w:val="24"/>
          <w:szCs w:val="24"/>
          <w:lang w:eastAsia="zh-CN"/>
        </w:rPr>
      </w:pP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p>
    <w:p>
      <w:pPr>
        <w:pStyle w:val="334"/>
        <w:snapToGrid w:val="0"/>
        <w:spacing w:line="360" w:lineRule="auto"/>
        <w:ind w:firstLine="482" w:firstLineChars="200"/>
        <w:rPr>
          <w:rFonts w:hint="eastAsia" w:ascii="宋体" w:hAnsi="宋体" w:eastAsia="宋体"/>
          <w:b/>
          <w:color w:val="000000"/>
          <w:sz w:val="24"/>
          <w:szCs w:val="24"/>
          <w:lang w:eastAsia="zh-CN"/>
        </w:rPr>
      </w:pP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pPr>
        <w:pStyle w:val="334"/>
        <w:snapToGrid w:val="0"/>
        <w:spacing w:line="360" w:lineRule="auto"/>
        <w:ind w:firstLine="480" w:firstLineChars="200"/>
        <w:rPr>
          <w:rFonts w:hint="eastAsia" w:ascii="宋体" w:hAnsi="宋体" w:eastAsia="宋体"/>
          <w:bCs/>
          <w:color w:val="000000"/>
          <w:sz w:val="24"/>
          <w:szCs w:val="24"/>
          <w:lang w:eastAsia="zh-CN"/>
        </w:rPr>
      </w:pPr>
      <w:r>
        <w:rPr>
          <w:rFonts w:hint="eastAsia" w:ascii="宋体" w:hAnsi="宋体" w:eastAsia="宋体"/>
          <w:bCs/>
          <w:color w:val="000000"/>
          <w:sz w:val="24"/>
          <w:szCs w:val="24"/>
          <w:lang w:eastAsia="zh-CN"/>
        </w:rPr>
        <w:t>以招标文件约定。</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334"/>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pPr>
        <w:pStyle w:val="334"/>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334"/>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334"/>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pPr>
        <w:autoSpaceDE w:val="0"/>
        <w:autoSpaceDN w:val="0"/>
        <w:snapToGrid w:val="0"/>
        <w:spacing w:line="360" w:lineRule="auto"/>
        <w:ind w:firstLine="482" w:firstLineChars="200"/>
        <w:rPr>
          <w:rFonts w:hint="eastAsia" w:ascii="宋体" w:hAnsi="宋体"/>
          <w:b/>
          <w:color w:val="000000"/>
          <w:sz w:val="24"/>
        </w:rPr>
      </w:pP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pPr>
        <w:pStyle w:val="334"/>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334"/>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pPr>
        <w:pStyle w:val="334"/>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334"/>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4、本合同一式肆份，具有同等法律效力，甲乙双方各执两份。</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75"/>
        <w:ind w:firstLine="480"/>
        <w:rPr>
          <w:rFonts w:hint="eastAsia" w:ascii="宋体" w:hAnsi="宋体" w:cs="宋体"/>
          <w:color w:val="000000"/>
          <w:sz w:val="24"/>
        </w:rPr>
      </w:pPr>
    </w:p>
    <w:p>
      <w:pPr>
        <w:pStyle w:val="75"/>
        <w:ind w:firstLine="480"/>
        <w:rPr>
          <w:rFonts w:hint="eastAsia" w:ascii="宋体" w:hAnsi="宋体" w:cs="宋体"/>
          <w:color w:val="000000"/>
          <w:sz w:val="24"/>
        </w:rPr>
      </w:pPr>
    </w:p>
    <w:p>
      <w:pPr>
        <w:pStyle w:val="75"/>
        <w:ind w:firstLine="480"/>
        <w:rPr>
          <w:rFonts w:hint="eastAsia" w:ascii="宋体" w:hAnsi="宋体" w:cs="宋体"/>
          <w:color w:val="000000"/>
          <w:sz w:val="24"/>
        </w:rPr>
      </w:pPr>
    </w:p>
    <w:p>
      <w:pPr>
        <w:pStyle w:val="75"/>
        <w:ind w:firstLine="480"/>
        <w:rPr>
          <w:rFonts w:hint="eastAsia" w:ascii="宋体" w:hAnsi="宋体" w:cs="宋体"/>
          <w:color w:val="000000"/>
          <w:sz w:val="24"/>
        </w:rPr>
      </w:pPr>
    </w:p>
    <w:p>
      <w:pPr>
        <w:pStyle w:val="75"/>
        <w:ind w:firstLine="5280" w:firstLineChars="2200"/>
        <w:rPr>
          <w:rFonts w:hint="eastAsia"/>
        </w:rPr>
      </w:pPr>
      <w:r>
        <w:rPr>
          <w:rFonts w:hint="eastAsia" w:ascii="宋体" w:hAnsi="宋体" w:cs="宋体"/>
          <w:color w:val="000000"/>
          <w:sz w:val="24"/>
        </w:rPr>
        <w:t>签订地点：</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pStyle w:val="30"/>
        <w:rPr>
          <w:rFonts w:hint="eastAsia" w:ascii="??_GB2312" w:hAnsi="??_GB2312" w:eastAsia="宋体" w:cs="宋体"/>
          <w:b/>
          <w:sz w:val="32"/>
          <w:szCs w:val="32"/>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第五部分  应提交的有关格式范例</w:t>
      </w:r>
      <w:bookmarkEnd w:id="80"/>
    </w:p>
    <w:p>
      <w:pPr>
        <w:shd w:val="clear" w:color="auto" w:fill="FFFFFF"/>
        <w:snapToGrid w:val="0"/>
        <w:spacing w:line="600" w:lineRule="exact"/>
        <w:rPr>
          <w:rFonts w:hint="eastAsia" w:ascii="宋体" w:hAnsi="宋体" w:cs="宋体"/>
          <w:b/>
          <w:bCs/>
          <w:color w:val="000000"/>
          <w:sz w:val="24"/>
        </w:rPr>
      </w:pPr>
      <w:r>
        <w:rPr>
          <w:rFonts w:hint="eastAsia" w:ascii="宋体" w:hAnsi="宋体" w:cs="宋体"/>
          <w:b/>
          <w:bCs/>
          <w:color w:val="000000"/>
          <w:sz w:val="24"/>
        </w:rPr>
        <w:t> </w:t>
      </w:r>
    </w:p>
    <w:p>
      <w:pPr>
        <w:snapToGrid w:val="0"/>
        <w:spacing w:line="600" w:lineRule="exact"/>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600" w:lineRule="exact"/>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bookmarkEnd w:id="77"/>
    <w:bookmarkEnd w:id="78"/>
    <w:bookmarkEnd w:id="79"/>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pPr>
      <w:bookmarkStart w:id="81" w:name="_Toc33194403"/>
      <w:r>
        <w:rPr>
          <w:rFonts w:hint="eastAsia" w:ascii="宋体" w:hAnsi="宋体" w:cs="宋体"/>
          <w:b/>
          <w:bCs/>
          <w:color w:val="000000"/>
          <w:sz w:val="28"/>
          <w:szCs w:val="28"/>
        </w:rPr>
        <w:t>资格文件</w:t>
      </w:r>
      <w:bookmarkEnd w:id="81"/>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bookmarkStart w:id="82" w:name="_Hlk33176655"/>
      <w:r>
        <w:rPr>
          <w:rFonts w:hint="eastAsia" w:ascii="宋体" w:hAnsi="宋体" w:cs="宋体"/>
          <w:color w:val="000000"/>
          <w:kern w:val="0"/>
          <w:sz w:val="24"/>
        </w:rPr>
        <w:t>（1）营业执照…………………………………………………………………………（页码）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bookmarkEnd w:id="82"/>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sectPr>
          <w:headerReference r:id="rId4" w:type="default"/>
          <w:footerReference r:id="rId5" w:type="default"/>
          <w:pgSz w:w="11906" w:h="16838"/>
          <w:pgMar w:top="993" w:right="1474" w:bottom="1134" w:left="1474" w:header="851" w:footer="641" w:gutter="0"/>
          <w:cols w:space="720" w:num="1"/>
          <w:docGrid w:type="lines" w:linePitch="315" w:charSpace="0"/>
        </w:sectPr>
      </w:pPr>
      <w:bookmarkStart w:id="83" w:name="_Toc26100"/>
      <w:bookmarkStart w:id="84" w:name="_Toc14356"/>
      <w:bookmarkStart w:id="85" w:name="_Toc27479"/>
      <w:bookmarkStart w:id="86" w:name="_Toc6616"/>
      <w:bookmarkStart w:id="87" w:name="_Toc20141"/>
      <w:bookmarkStart w:id="88" w:name="_Toc27119252"/>
      <w:bookmarkStart w:id="89" w:name="_Toc20581"/>
      <w:bookmarkStart w:id="90" w:name="_Toc5698"/>
      <w:bookmarkStart w:id="91" w:name="_Toc21301"/>
      <w:bookmarkStart w:id="92" w:name="_Toc14043"/>
      <w:bookmarkStart w:id="93" w:name="_Toc5464"/>
      <w:bookmarkStart w:id="94" w:name="_Toc33194404"/>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一、营业执照</w:t>
      </w:r>
      <w:bookmarkEnd w:id="83"/>
      <w:bookmarkEnd w:id="84"/>
      <w:bookmarkEnd w:id="85"/>
      <w:bookmarkEnd w:id="86"/>
      <w:bookmarkEnd w:id="87"/>
      <w:bookmarkEnd w:id="88"/>
      <w:bookmarkEnd w:id="89"/>
      <w:bookmarkEnd w:id="90"/>
      <w:bookmarkEnd w:id="91"/>
      <w:bookmarkEnd w:id="92"/>
      <w:bookmarkEnd w:id="93"/>
      <w:r>
        <w:rPr>
          <w:rFonts w:hint="eastAsia" w:ascii="宋体" w:hAnsi="宋体" w:cs="宋体"/>
          <w:b/>
          <w:bCs/>
          <w:color w:val="000000"/>
          <w:sz w:val="28"/>
          <w:szCs w:val="28"/>
        </w:rPr>
        <w:t>（复印件）</w:t>
      </w:r>
      <w:bookmarkEnd w:id="94"/>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二、最近一年度财务报表（复印件，新成立的公司提供相关说明）</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bookmarkStart w:id="95" w:name="_Toc27119254"/>
      <w:bookmarkStart w:id="96" w:name="_Toc33194405"/>
      <w:r>
        <w:rPr>
          <w:rFonts w:hint="eastAsia" w:ascii="宋体" w:hAnsi="宋体" w:cs="宋体"/>
          <w:b/>
          <w:bCs/>
          <w:color w:val="000000"/>
          <w:sz w:val="28"/>
          <w:szCs w:val="28"/>
        </w:rPr>
        <w:t>三、具有履行合同所必需的场地、设备和专业技术能力的承诺函</w:t>
      </w:r>
      <w:bookmarkEnd w:id="95"/>
      <w:bookmarkEnd w:id="96"/>
    </w:p>
    <w:p>
      <w:pPr>
        <w:snapToGrid w:val="0"/>
        <w:spacing w:line="600" w:lineRule="exact"/>
        <w:jc w:val="center"/>
        <w:rPr>
          <w:rFonts w:hint="eastAsia" w:ascii="宋体" w:hAnsi="宋体" w:cs="宋体"/>
          <w:color w:val="000000"/>
          <w:sz w:val="24"/>
        </w:rPr>
      </w:pPr>
    </w:p>
    <w:p>
      <w:pPr>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杭州市余杭区黄湖镇人民政府</w:t>
      </w:r>
      <w:r>
        <w:rPr>
          <w:rFonts w:hint="eastAsia" w:ascii="宋体" w:hAnsi="宋体" w:cs="宋体"/>
          <w:color w:val="000000"/>
          <w:sz w:val="24"/>
        </w:rPr>
        <w:t>、杭州政采工程咨询代理有限公司</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snapToGrid w:val="0"/>
        <w:spacing w:line="600" w:lineRule="exact"/>
        <w:jc w:val="center"/>
        <w:rPr>
          <w:rFonts w:hint="eastAsia" w:ascii="宋体" w:hAnsi="宋体" w:cs="宋体"/>
          <w:b/>
          <w:bCs/>
          <w:color w:val="000000"/>
          <w:sz w:val="28"/>
          <w:szCs w:val="28"/>
        </w:rPr>
        <w:sectPr>
          <w:pgSz w:w="11906" w:h="16838"/>
          <w:pgMar w:top="993" w:right="1474" w:bottom="1134" w:left="1474" w:header="851" w:footer="641" w:gutter="0"/>
          <w:cols w:space="720" w:num="1"/>
          <w:docGrid w:type="lines" w:linePitch="315" w:charSpace="0"/>
        </w:sect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四、依法缴纳税收和社会保障资金的承诺函</w:t>
      </w:r>
    </w:p>
    <w:p>
      <w:pPr>
        <w:spacing w:line="600" w:lineRule="exact"/>
        <w:rPr>
          <w:rFonts w:hint="eastAsia" w:ascii="宋体" w:hAnsi="宋体" w:cs="宋体"/>
          <w:b/>
          <w:color w:val="000000"/>
          <w:kern w:val="0"/>
          <w:sz w:val="24"/>
          <w:u w:val="single"/>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杭州市余杭区黄湖镇人民政府</w:t>
      </w:r>
      <w:r>
        <w:rPr>
          <w:rFonts w:hint="eastAsia" w:ascii="宋体" w:hAnsi="宋体" w:cs="宋体"/>
          <w:color w:val="000000"/>
          <w:sz w:val="24"/>
        </w:rPr>
        <w:t>、杭州政采工程咨询代理有限公司</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hint="eastAsia" w:ascii="宋体" w:hAnsi="宋体" w:cs="宋体"/>
          <w:color w:val="000000"/>
          <w:kern w:val="0"/>
          <w:sz w:val="24"/>
        </w:rPr>
      </w:pP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97" w:name="_Toc31784"/>
      <w:bookmarkStart w:id="98" w:name="_Toc14988"/>
      <w:bookmarkStart w:id="99" w:name="_Toc13669"/>
      <w:bookmarkStart w:id="100" w:name="_Toc28957"/>
      <w:bookmarkStart w:id="101" w:name="_Toc33194406"/>
      <w:bookmarkStart w:id="102" w:name="_Toc14589"/>
      <w:bookmarkStart w:id="103" w:name="_Toc31544"/>
      <w:bookmarkStart w:id="104" w:name="_Toc27119255"/>
      <w:bookmarkStart w:id="105" w:name="_Toc11360"/>
      <w:bookmarkStart w:id="106" w:name="_Toc18304"/>
      <w:bookmarkStart w:id="107" w:name="_Toc10630"/>
      <w:bookmarkStart w:id="108" w:name="_Toc6606"/>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五、参加政府采购活动前3年内在经营活动中没有重大违法记录的声明函</w:t>
      </w:r>
      <w:bookmarkEnd w:id="97"/>
      <w:bookmarkEnd w:id="98"/>
      <w:bookmarkEnd w:id="99"/>
      <w:bookmarkEnd w:id="100"/>
      <w:bookmarkEnd w:id="101"/>
      <w:bookmarkEnd w:id="102"/>
      <w:bookmarkEnd w:id="103"/>
      <w:bookmarkEnd w:id="104"/>
      <w:bookmarkEnd w:id="105"/>
      <w:bookmarkEnd w:id="106"/>
      <w:bookmarkEnd w:id="107"/>
      <w:bookmarkEnd w:id="108"/>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杭州市余杭区黄湖镇人民政府</w:t>
      </w:r>
      <w:r>
        <w:rPr>
          <w:rFonts w:hint="eastAsia" w:ascii="宋体" w:hAnsi="宋体" w:cs="宋体"/>
          <w:color w:val="000000"/>
          <w:sz w:val="24"/>
        </w:rPr>
        <w:t>、杭州政采工程咨询代理有限公司</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4"/>
        <w:numPr>
          <w:ilvl w:val="0"/>
          <w:numId w:val="0"/>
        </w:numPr>
        <w:tabs>
          <w:tab w:val="left" w:pos="1110"/>
        </w:tabs>
        <w:spacing w:line="600" w:lineRule="exact"/>
        <w:ind w:left="106" w:firstLine="454"/>
        <w:rPr>
          <w:rFonts w:hint="eastAsia" w:ascii="宋体" w:hAnsi="宋体" w:eastAsia="宋体" w:cs="宋体"/>
          <w:sz w:val="24"/>
          <w:szCs w:val="24"/>
        </w:rPr>
      </w:pP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六、与参加本次项目同一合同项下政府采购活动的其他供应商不存在单位负责人为同一人或者直接控股、管理关系的承诺函</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杭州市余杭区黄湖镇人民政府</w:t>
      </w:r>
      <w:r>
        <w:rPr>
          <w:rFonts w:hint="eastAsia" w:ascii="宋体" w:hAnsi="宋体" w:cs="宋体"/>
          <w:color w:val="000000"/>
          <w:sz w:val="24"/>
        </w:rPr>
        <w:t>、杭州政采工程咨询代理有限公司</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我方郑重承诺，我方此次参加</w:t>
      </w:r>
      <w:r>
        <w:rPr>
          <w:rFonts w:hint="eastAsia" w:ascii="宋体" w:hAnsi="宋体" w:cs="宋体"/>
          <w:color w:val="000000"/>
          <w:kern w:val="0"/>
          <w:sz w:val="24"/>
          <w:u w:val="single" w:color="auto"/>
          <w:lang w:val="en-US" w:eastAsia="zh-CN"/>
        </w:rPr>
        <w:t xml:space="preserve">       </w:t>
      </w:r>
      <w:r>
        <w:rPr>
          <w:rFonts w:hint="eastAsia" w:ascii="宋体" w:hAnsi="宋体" w:cs="宋体"/>
          <w:color w:val="000000"/>
          <w:kern w:val="0"/>
          <w:sz w:val="24"/>
          <w:lang w:val="en-US" w:eastAsia="zh-CN"/>
        </w:rPr>
        <w:t>项目</w:t>
      </w:r>
      <w:r>
        <w:rPr>
          <w:rFonts w:hint="eastAsia" w:ascii="宋体" w:hAnsi="宋体" w:cs="宋体"/>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cs="宋体"/>
          <w:b/>
          <w:color w:val="000000"/>
          <w:kern w:val="36"/>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jc w:val="center"/>
        <w:rPr>
          <w:rFonts w:hint="eastAsia" w:ascii="宋体" w:hAnsi="宋体" w:cs="宋体"/>
          <w:color w:val="000000"/>
          <w:sz w:val="24"/>
        </w:rPr>
      </w:pPr>
    </w:p>
    <w:p>
      <w:pPr>
        <w:spacing w:line="600" w:lineRule="exact"/>
        <w:jc w:val="center"/>
        <w:rPr>
          <w:rFonts w:hint="eastAsia" w:ascii="宋体" w:hAnsi="宋体" w:cs="宋体"/>
          <w:b/>
          <w:color w:val="000000"/>
          <w:kern w:val="0"/>
          <w:sz w:val="24"/>
        </w:rPr>
        <w:sectPr>
          <w:pgSz w:w="11906" w:h="16838"/>
          <w:pgMar w:top="993" w:right="1474" w:bottom="1134" w:left="1474" w:header="851" w:footer="641" w:gutter="0"/>
          <w:cols w:space="720" w:num="1"/>
          <w:docGrid w:type="lines" w:linePitch="315" w:charSpace="0"/>
        </w:sectPr>
      </w:pPr>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七、投标供应商没有失信记录承诺函</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lang w:eastAsia="zh-CN"/>
        </w:rPr>
        <w:t>杭州市余杭区黄湖镇人民政府</w:t>
      </w:r>
      <w:r>
        <w:rPr>
          <w:rFonts w:hint="eastAsia" w:ascii="宋体" w:hAnsi="宋体" w:cs="宋体"/>
          <w:color w:val="000000"/>
          <w:sz w:val="24"/>
        </w:rPr>
        <w:t>、杭州政采工程咨询代理有限公司</w:t>
      </w:r>
      <w:r>
        <w:rPr>
          <w:rFonts w:hint="eastAsia" w:ascii="宋体" w:hAnsi="宋体" w:cs="宋体"/>
          <w:color w:val="000000"/>
          <w:kern w:val="0"/>
          <w:sz w:val="24"/>
        </w:rPr>
        <w:t>：</w:t>
      </w:r>
    </w:p>
    <w:p>
      <w:pPr>
        <w:spacing w:line="600" w:lineRule="exact"/>
        <w:ind w:firstLine="484" w:firstLineChars="202"/>
        <w:jc w:val="left"/>
        <w:rPr>
          <w:rFonts w:hint="eastAsia" w:ascii="宋体" w:hAnsi="宋体" w:cs="宋体"/>
          <w:color w:val="000000"/>
          <w:kern w:val="0"/>
          <w:sz w:val="24"/>
        </w:rPr>
      </w:pPr>
      <w:r>
        <w:rPr>
          <w:rFonts w:hint="eastAsia" w:ascii="宋体" w:hAnsi="宋体" w:cs="宋体"/>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cs="宋体"/>
          <w:color w:val="00000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4"/>
        <w:numPr>
          <w:ilvl w:val="0"/>
          <w:numId w:val="0"/>
        </w:numPr>
        <w:tabs>
          <w:tab w:val="left" w:pos="1110"/>
        </w:tabs>
        <w:spacing w:line="600" w:lineRule="exact"/>
        <w:rPr>
          <w:rFonts w:hint="eastAsia" w:ascii="宋体" w:hAnsi="宋体" w:eastAsia="宋体" w:cs="宋体"/>
          <w:sz w:val="24"/>
          <w:szCs w:val="24"/>
        </w:rPr>
      </w:pPr>
    </w:p>
    <w:p>
      <w:pPr>
        <w:pStyle w:val="4"/>
        <w:numPr>
          <w:ilvl w:val="0"/>
          <w:numId w:val="0"/>
        </w:numPr>
        <w:tabs>
          <w:tab w:val="left" w:pos="1110"/>
        </w:tabs>
        <w:spacing w:line="600" w:lineRule="exact"/>
        <w:ind w:left="560"/>
        <w:rPr>
          <w:rFonts w:hint="eastAsia" w:ascii="宋体" w:hAnsi="宋体" w:eastAsia="宋体" w:cs="宋体"/>
          <w:sz w:val="24"/>
          <w:szCs w:val="24"/>
        </w:rPr>
      </w:pPr>
    </w:p>
    <w:p>
      <w:pPr>
        <w:shd w:val="clear" w:color="auto" w:fill="FFFFFF"/>
        <w:snapToGrid w:val="0"/>
        <w:spacing w:line="600" w:lineRule="exact"/>
        <w:jc w:val="center"/>
        <w:rPr>
          <w:rFonts w:hint="eastAsia" w:ascii="宋体" w:hAnsi="宋体" w:cs="宋体"/>
          <w:b/>
          <w:color w:val="000000"/>
          <w:kern w:val="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09" w:name="_Toc354996707"/>
      <w:bookmarkStart w:id="110" w:name="_Toc33194407"/>
      <w:bookmarkStart w:id="111" w:name="_Toc233618989"/>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报价文件</w:t>
      </w:r>
      <w:bookmarkEnd w:id="109"/>
      <w:bookmarkEnd w:id="110"/>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b/>
          <w:bCs/>
          <w:color w:val="000000"/>
          <w:sz w:val="24"/>
        </w:rPr>
        <w:t>（</w:t>
      </w:r>
      <w:r>
        <w:rPr>
          <w:rFonts w:hint="eastAsia" w:ascii="宋体" w:hAnsi="宋体" w:cs="宋体"/>
          <w:color w:val="000000"/>
          <w:kern w:val="0"/>
          <w:sz w:val="24"/>
        </w:rPr>
        <w:t>3）报价明细清单………………………………………………………………（页码）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（4）中小企业声明函、监狱企业、残疾人福利性单位及其他相关的充分的证明材料…………………………………………………………………………………（页码）</w:t>
      </w:r>
    </w:p>
    <w:p>
      <w:pPr>
        <w:pStyle w:val="3"/>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12" w:name="_Toc233618990"/>
    </w:p>
    <w:p>
      <w:pPr>
        <w:pStyle w:val="3"/>
        <w:snapToGrid w:val="0"/>
        <w:spacing w:line="600" w:lineRule="exact"/>
        <w:rPr>
          <w:rFonts w:hint="eastAsia" w:ascii="宋体" w:hAnsi="宋体" w:eastAsia="宋体"/>
          <w:bCs/>
          <w:color w:val="000000"/>
          <w:kern w:val="2"/>
          <w:sz w:val="28"/>
        </w:rPr>
      </w:pPr>
      <w:r>
        <w:rPr>
          <w:rFonts w:hint="eastAsia" w:ascii="宋体" w:hAnsi="宋体" w:eastAsia="宋体"/>
          <w:bCs/>
          <w:color w:val="000000"/>
          <w:kern w:val="2"/>
          <w:sz w:val="28"/>
        </w:rPr>
        <w:t>一、投标响应函</w:t>
      </w:r>
      <w:bookmarkEnd w:id="112"/>
    </w:p>
    <w:p>
      <w:pPr>
        <w:shd w:val="clear" w:color="auto" w:fill="FFFFFF"/>
        <w:snapToGrid w:val="0"/>
        <w:spacing w:line="600" w:lineRule="exact"/>
        <w:rPr>
          <w:rFonts w:hint="eastAsia" w:ascii="宋体" w:hAnsi="宋体" w:eastAsia="宋体" w:cs="宋体"/>
          <w:color w:val="000000"/>
          <w:sz w:val="24"/>
          <w:lang w:eastAsia="zh-CN"/>
        </w:rPr>
      </w:pPr>
      <w:r>
        <w:rPr>
          <w:rFonts w:hint="eastAsia" w:ascii="宋体" w:hAnsi="宋体" w:cs="宋体"/>
          <w:color w:val="000000"/>
          <w:sz w:val="24"/>
          <w:lang w:eastAsia="zh-CN"/>
        </w:rPr>
        <w:t>杭州市余杭区黄湖镇人民政府</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杭州政采工程咨询代理有限公司：</w:t>
      </w:r>
    </w:p>
    <w:p>
      <w:pPr>
        <w:shd w:val="clear" w:color="auto" w:fill="FFFFFF"/>
        <w:snapToGrid w:val="0"/>
        <w:spacing w:line="600" w:lineRule="exact"/>
        <w:rPr>
          <w:rFonts w:hint="eastAsia" w:ascii="宋体" w:hAnsi="宋体" w:cs="宋体"/>
          <w:color w:val="000000"/>
          <w:sz w:val="24"/>
          <w:u w:val="single" w:color="auto"/>
          <w:lang w:val="en-US" w:eastAsia="zh-CN"/>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s="宋体"/>
          <w:color w:val="000000"/>
          <w:sz w:val="24"/>
          <w:lang w:val="en-US" w:eastAsia="zh-CN"/>
        </w:rPr>
        <w:t xml:space="preserve"> </w:t>
      </w:r>
      <w:r>
        <w:rPr>
          <w:rFonts w:hint="eastAsia" w:ascii="宋体" w:hAnsi="宋体" w:cs="宋体"/>
          <w:color w:val="000000"/>
          <w:sz w:val="24"/>
          <w:u w:val="single" w:color="auto"/>
          <w:lang w:val="en-US" w:eastAsia="zh-CN"/>
        </w:rPr>
        <w:t xml:space="preserve"> </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u w:val="single" w:color="auto"/>
          <w:lang w:val="en-US" w:eastAsia="zh-CN"/>
        </w:rPr>
        <w:t xml:space="preserve">                       </w:t>
      </w:r>
      <w:r>
        <w:rPr>
          <w:rFonts w:hint="eastAsia" w:ascii="宋体" w:hAnsi="宋体" w:cs="宋体"/>
          <w:color w:val="000000"/>
          <w:sz w:val="24"/>
        </w:rPr>
        <w:t>(招标编号：</w:t>
      </w:r>
      <w:r>
        <w:rPr>
          <w:rFonts w:hint="eastAsia" w:ascii="宋体" w:hAnsi="宋体" w:cs="宋体"/>
          <w:color w:val="000000"/>
          <w:sz w:val="24"/>
          <w:lang w:val="en-US" w:eastAsia="zh-CN"/>
        </w:rPr>
        <w:t xml:space="preserve">      </w:t>
      </w:r>
      <w:r>
        <w:rPr>
          <w:rFonts w:hint="eastAsia" w:ascii="宋体" w:hAnsi="宋体" w:cs="宋体"/>
          <w:color w:val="000000"/>
          <w:kern w:val="0"/>
          <w:sz w:val="24"/>
          <w:lang w:val="zh-CN"/>
        </w:rPr>
        <w:t>)</w:t>
      </w:r>
      <w:r>
        <w:rPr>
          <w:rFonts w:hint="eastAsia" w:ascii="宋体" w:hAnsi="宋体" w:cs="宋体"/>
          <w:color w:val="000000"/>
          <w:sz w:val="24"/>
        </w:rPr>
        <w:t>招标的有关活动，并对此项目进行投标。为此：</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600" w:lineRule="exact"/>
        <w:rPr>
          <w:rFonts w:hint="eastAsia" w:ascii="宋体" w:hAnsi="宋体" w:cs="宋体"/>
          <w:color w:val="000000"/>
          <w:kern w:val="0"/>
          <w:sz w:val="24"/>
          <w:lang w:val="zh-CN"/>
        </w:rPr>
      </w:pP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600" w:lineRule="exact"/>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6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600" w:lineRule="exact"/>
        <w:ind w:firstLine="562" w:firstLineChars="200"/>
        <w:jc w:val="center"/>
        <w:outlineLvl w:val="2"/>
        <w:rPr>
          <w:rFonts w:hint="eastAsia" w:ascii="宋体" w:hAnsi="宋体" w:cs="宋体"/>
          <w:b/>
          <w:bCs/>
          <w:color w:val="000000"/>
          <w:sz w:val="24"/>
        </w:rPr>
      </w:pPr>
      <w:bookmarkStart w:id="113" w:name="_Toc233618991"/>
      <w:bookmarkStart w:id="114" w:name="_Toc354859632"/>
      <w:bookmarkStart w:id="115" w:name="_Toc354859475"/>
      <w:bookmarkStart w:id="116" w:name="_Toc354859551"/>
      <w:r>
        <w:rPr>
          <w:rFonts w:hint="eastAsia" w:ascii="宋体" w:hAnsi="宋体" w:cs="宋体"/>
          <w:b/>
          <w:bCs/>
          <w:color w:val="000000"/>
          <w:sz w:val="28"/>
          <w:szCs w:val="28"/>
        </w:rPr>
        <w:t>二、开标一览表</w:t>
      </w:r>
      <w:bookmarkEnd w:id="113"/>
      <w:bookmarkEnd w:id="114"/>
      <w:bookmarkEnd w:id="115"/>
      <w:bookmarkEnd w:id="116"/>
    </w:p>
    <w:p>
      <w:pPr>
        <w:shd w:val="clear" w:color="auto" w:fill="FFFFFF"/>
        <w:snapToGrid w:val="0"/>
        <w:spacing w:line="600" w:lineRule="exact"/>
        <w:rPr>
          <w:rFonts w:hint="eastAsia" w:ascii="宋体" w:hAnsi="宋体" w:eastAsia="宋体" w:cs="宋体"/>
          <w:color w:val="000000"/>
          <w:sz w:val="24"/>
          <w:lang w:eastAsia="zh-CN"/>
        </w:rPr>
      </w:pPr>
      <w:r>
        <w:rPr>
          <w:rFonts w:hint="eastAsia" w:ascii="宋体" w:hAnsi="宋体" w:cs="宋体"/>
          <w:color w:val="000000"/>
          <w:sz w:val="24"/>
          <w:lang w:eastAsia="zh-CN"/>
        </w:rPr>
        <w:t>杭州市余杭区黄湖镇人民政府</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杭州政采工程咨询代理有限公司：</w:t>
      </w:r>
    </w:p>
    <w:p>
      <w:pPr>
        <w:shd w:val="clear" w:color="auto" w:fill="FFFFFF"/>
        <w:snapToGrid w:val="0"/>
        <w:spacing w:line="6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按你方招标文件要求，我们，本投标文件签字方，谨此向你方发出要约如下：如你方接受本投标文件，我方承诺按照如下开标一览表的价格完成编号为</w:t>
      </w:r>
      <w:r>
        <w:rPr>
          <w:rFonts w:hint="eastAsia" w:ascii="宋体" w:hAnsi="宋体" w:cs="宋体"/>
          <w:color w:val="000000"/>
          <w:kern w:val="0"/>
          <w:sz w:val="24"/>
          <w:u w:val="single" w:color="auto"/>
          <w:lang w:val="en-US" w:eastAsia="zh-CN"/>
        </w:rPr>
        <w:t xml:space="preserve">        </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color="auto"/>
          <w:lang w:val="zh-CN"/>
        </w:rPr>
        <w:t xml:space="preserve"> </w:t>
      </w:r>
      <w:r>
        <w:rPr>
          <w:rFonts w:hint="eastAsia" w:ascii="宋体" w:hAnsi="宋体" w:cs="宋体"/>
          <w:color w:val="000000"/>
          <w:kern w:val="0"/>
          <w:sz w:val="24"/>
          <w:u w:val="single" w:color="auto"/>
          <w:lang w:val="en-US" w:eastAsia="zh-CN"/>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]实施。</w:t>
      </w:r>
    </w:p>
    <w:p>
      <w:pPr>
        <w:shd w:val="clear" w:color="auto" w:fill="FFFFFF"/>
        <w:snapToGrid w:val="0"/>
        <w:spacing w:line="600" w:lineRule="exact"/>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blHeader/>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项目名称</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服务期</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响应招标文件要求</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总价</w:t>
            </w:r>
          </w:p>
        </w:tc>
        <w:tc>
          <w:tcPr>
            <w:tcW w:w="4732" w:type="dxa"/>
            <w:gridSpan w:val="2"/>
            <w:tcBorders>
              <w:lef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（大写）</w:t>
            </w:r>
          </w:p>
        </w:tc>
      </w:tr>
    </w:tbl>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600" w:lineRule="exact"/>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(1)我方要约有效期为自投标截止；日起</w:t>
      </w:r>
      <w:r>
        <w:rPr>
          <w:rFonts w:hint="eastAsia" w:ascii="宋体" w:hAnsi="宋体" w:cs="宋体"/>
          <w:color w:val="000000"/>
          <w:kern w:val="0"/>
          <w:sz w:val="24"/>
        </w:rPr>
        <w:t>9</w:t>
      </w:r>
      <w:r>
        <w:rPr>
          <w:rFonts w:hint="eastAsia" w:ascii="宋体" w:hAnsi="宋体" w:cs="宋体"/>
          <w:color w:val="000000"/>
          <w:kern w:val="0"/>
          <w:sz w:val="24"/>
          <w:lang w:val="zh-CN"/>
        </w:rPr>
        <w:t>0天；</w:t>
      </w:r>
    </w:p>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600" w:lineRule="exact"/>
        <w:ind w:firstLine="480"/>
        <w:rPr>
          <w:rFonts w:hint="eastAsia" w:ascii="宋体" w:hAnsi="宋体" w:cs="宋体"/>
          <w:color w:val="000000"/>
          <w:kern w:val="0"/>
          <w:sz w:val="24"/>
          <w:lang w:val="zh-CN"/>
        </w:rPr>
      </w:pPr>
    </w:p>
    <w:p>
      <w:pPr>
        <w:shd w:val="clear" w:color="auto" w:fill="FFFFFF"/>
        <w:snapToGrid w:val="0"/>
        <w:spacing w:line="600" w:lineRule="exact"/>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pacing w:line="600" w:lineRule="exact"/>
        <w:rPr>
          <w:rFonts w:hint="eastAsia" w:ascii="宋体" w:hAnsi="宋体" w:cs="宋体"/>
          <w:color w:val="000000"/>
          <w:sz w:val="24"/>
        </w:rPr>
      </w:pPr>
    </w:p>
    <w:p>
      <w:pPr>
        <w:pageBreakBefore/>
        <w:shd w:val="clear" w:color="auto" w:fill="FFFFFF"/>
        <w:snapToGrid w:val="0"/>
        <w:spacing w:line="600" w:lineRule="exact"/>
        <w:ind w:firstLine="562" w:firstLineChars="200"/>
        <w:jc w:val="center"/>
        <w:outlineLvl w:val="2"/>
        <w:rPr>
          <w:rFonts w:hint="eastAsia" w:ascii="宋体" w:hAnsi="宋体" w:cs="宋体"/>
          <w:b/>
          <w:color w:val="000000"/>
          <w:sz w:val="24"/>
        </w:rPr>
      </w:pPr>
      <w:bookmarkStart w:id="117" w:name="_Toc233618992"/>
      <w:r>
        <w:rPr>
          <w:rFonts w:hint="eastAsia" w:ascii="宋体" w:hAnsi="宋体" w:cs="宋体"/>
          <w:b/>
          <w:bCs/>
          <w:color w:val="000000"/>
          <w:sz w:val="28"/>
          <w:szCs w:val="28"/>
        </w:rPr>
        <w:t>三、报价明细清单</w:t>
      </w:r>
      <w:bookmarkEnd w:id="117"/>
    </w:p>
    <w:p>
      <w:pPr>
        <w:snapToGrid w:val="0"/>
        <w:spacing w:line="600" w:lineRule="exact"/>
        <w:rPr>
          <w:rFonts w:hint="eastAsia" w:ascii="宋体" w:hAnsi="宋体" w:cs="宋体"/>
          <w:color w:val="000000"/>
          <w:sz w:val="24"/>
        </w:rPr>
      </w:pPr>
    </w:p>
    <w:tbl>
      <w:tblPr>
        <w:tblStyle w:val="76"/>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340"/>
        <w:gridCol w:w="1904"/>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序号</w:t>
            </w:r>
          </w:p>
        </w:tc>
        <w:tc>
          <w:tcPr>
            <w:tcW w:w="3591"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名称</w:t>
            </w:r>
          </w:p>
        </w:tc>
        <w:tc>
          <w:tcPr>
            <w:tcW w:w="1904" w:type="dxa"/>
            <w:tcBorders>
              <w:top w:val="single" w:color="auto" w:sz="8" w:space="0"/>
              <w:left w:val="single" w:color="auto" w:sz="2" w:space="0"/>
              <w:bottom w:val="single" w:color="auto" w:sz="2" w:space="0"/>
              <w:right w:val="single" w:color="auto" w:sz="4"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价格</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1</w:t>
            </w:r>
          </w:p>
        </w:tc>
        <w:tc>
          <w:tcPr>
            <w:tcW w:w="3591" w:type="dxa"/>
            <w:gridSpan w:val="3"/>
            <w:tcBorders>
              <w:top w:val="single" w:color="auto" w:sz="2"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b/>
                <w:color w:val="000000"/>
                <w:sz w:val="24"/>
              </w:rPr>
            </w:pPr>
          </w:p>
        </w:tc>
        <w:tc>
          <w:tcPr>
            <w:tcW w:w="1904" w:type="dxa"/>
            <w:tcBorders>
              <w:top w:val="single" w:color="auto" w:sz="2"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2</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3</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4</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5</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600" w:lineRule="exact"/>
              <w:jc w:val="center"/>
              <w:rPr>
                <w:rFonts w:hint="eastAsia" w:ascii="宋体" w:hAnsi="宋体" w:cs="宋体"/>
                <w:color w:val="000000"/>
                <w:sz w:val="24"/>
              </w:rPr>
            </w:pPr>
          </w:p>
        </w:tc>
        <w:tc>
          <w:tcPr>
            <w:tcW w:w="3591"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000000"/>
                <w:sz w:val="24"/>
              </w:rPr>
            </w:pPr>
            <w:r>
              <w:rPr>
                <w:rFonts w:hint="eastAsia" w:ascii="宋体" w:hAnsi="宋体" w:cs="宋体"/>
                <w:color w:val="000000"/>
                <w:sz w:val="24"/>
              </w:rPr>
              <w:t>……</w:t>
            </w: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600" w:lineRule="exact"/>
              <w:jc w:val="center"/>
              <w:rPr>
                <w:rFonts w:hint="eastAsia" w:ascii="宋体" w:hAnsi="宋体" w:cs="宋体"/>
                <w:color w:val="000000"/>
                <w:sz w:val="24"/>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bl>
    <w:p>
      <w:pPr>
        <w:pStyle w:val="4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sz w:val="24"/>
          <w:szCs w:val="24"/>
        </w:rPr>
        <w:t>可根据具体情况调整报价明细清单格式，但应包括项目涉及的一切相关税、费等费用。</w:t>
      </w:r>
    </w:p>
    <w:p>
      <w:pPr>
        <w:pStyle w:val="40"/>
        <w:snapToGrid w:val="0"/>
        <w:spacing w:line="600" w:lineRule="exact"/>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日期：    年  月   日</w:t>
      </w:r>
    </w:p>
    <w:p>
      <w:pPr>
        <w:pageBreakBefore/>
        <w:shd w:val="clear" w:color="auto" w:fill="FFFFFF"/>
        <w:snapToGrid w:val="0"/>
        <w:spacing w:line="600" w:lineRule="exact"/>
        <w:jc w:val="center"/>
        <w:outlineLvl w:val="2"/>
        <w:rPr>
          <w:rFonts w:hint="eastAsia" w:ascii="宋体" w:hAnsi="宋体" w:cs="宋体"/>
          <w:b/>
          <w:color w:val="000000"/>
          <w:kern w:val="0"/>
          <w:sz w:val="24"/>
        </w:rPr>
      </w:pPr>
      <w:r>
        <w:rPr>
          <w:rFonts w:hint="eastAsia" w:ascii="宋体" w:hAnsi="宋体" w:cs="宋体"/>
          <w:b/>
          <w:bCs/>
          <w:color w:val="000000"/>
          <w:sz w:val="28"/>
          <w:szCs w:val="28"/>
        </w:rPr>
        <w:t>四、中小企业声明函、监狱企业、残疾人福利性单位及其他相关的充分的证明材料中小企业声明函及其相关的充分的证明材料</w:t>
      </w:r>
    </w:p>
    <w:p>
      <w:pPr>
        <w:jc w:val="center"/>
        <w:rPr>
          <w:rFonts w:hint="eastAsia"/>
          <w:b/>
          <w:bCs/>
          <w:sz w:val="28"/>
          <w:szCs w:val="28"/>
        </w:rPr>
      </w:pPr>
    </w:p>
    <w:p>
      <w:pPr>
        <w:jc w:val="center"/>
        <w:rPr>
          <w:rFonts w:hint="eastAsia"/>
        </w:rPr>
      </w:pPr>
      <w:r>
        <w:rPr>
          <w:rFonts w:hint="eastAsia"/>
          <w:b/>
          <w:bCs/>
          <w:sz w:val="28"/>
          <w:szCs w:val="28"/>
        </w:rPr>
        <w:t>中小企业声明函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填写说明：</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1）投标人为中型、小型、微型企业的提供此函；</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2）中型企业不享受价格扣除，小型、微型企业的行业类别由评审专家结合投标人出具的证明材料认定；经认定不符合小型、微型企业标准的，不享受价格扣除；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3）所投标项内的产品如由多个企业制造的，在填写企业类型时，按产品生产企业中规模最大的企业类型填写；</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600" w:lineRule="exact"/>
        <w:ind w:firstLine="480" w:firstLineChars="200"/>
        <w:jc w:val="left"/>
        <w:rPr>
          <w:rFonts w:hint="eastAsia" w:ascii="宋体" w:hAnsi="宋体" w:cs="宋体"/>
          <w:b/>
          <w:color w:val="000000"/>
          <w:kern w:val="0"/>
          <w:sz w:val="24"/>
        </w:rPr>
      </w:pPr>
      <w:r>
        <w:rPr>
          <w:rFonts w:hint="eastAsia" w:ascii="宋体" w:hAnsi="宋体" w:cs="宋体"/>
          <w:color w:val="000000"/>
          <w:kern w:val="0"/>
          <w:sz w:val="24"/>
        </w:rPr>
        <w:t>5）注：小型、微型企业参加政府采购活动时，应提供：a）《中小企业声明函》；上述证明材料提供不齐全的，不能享受价格扣除。</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widowControl/>
        <w:snapToGrid w:val="0"/>
        <w:spacing w:line="600" w:lineRule="exact"/>
        <w:jc w:val="center"/>
        <w:rPr>
          <w:rFonts w:hint="eastAsia" w:ascii="宋体" w:hAnsi="宋体" w:cs="宋体"/>
          <w:b/>
          <w:color w:val="000000"/>
          <w:kern w:val="0"/>
          <w:sz w:val="24"/>
        </w:rPr>
        <w:sectPr>
          <w:pgSz w:w="11906" w:h="16838"/>
          <w:pgMar w:top="993" w:right="1474" w:bottom="1134" w:left="1474" w:header="851" w:footer="641" w:gutter="0"/>
          <w:cols w:space="720" w:num="1"/>
          <w:docGrid w:type="lines" w:linePitch="315" w:charSpace="0"/>
        </w:sectPr>
      </w:pPr>
    </w:p>
    <w:p>
      <w:pPr>
        <w:widowControl/>
        <w:snapToGrid w:val="0"/>
        <w:spacing w:line="600" w:lineRule="exact"/>
        <w:jc w:val="center"/>
        <w:rPr>
          <w:rFonts w:hint="eastAsia" w:ascii="宋体" w:hAnsi="宋体" w:cs="宋体"/>
          <w:b/>
          <w:color w:val="000000"/>
          <w:kern w:val="0"/>
          <w:sz w:val="24"/>
        </w:rPr>
      </w:pPr>
      <w:r>
        <w:rPr>
          <w:rFonts w:hint="eastAsia"/>
          <w:b/>
          <w:bCs/>
          <w:sz w:val="28"/>
          <w:szCs w:val="28"/>
        </w:rPr>
        <w:t>监狱企业声明函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napToGrid w:val="0"/>
        <w:spacing w:line="600" w:lineRule="exact"/>
        <w:rPr>
          <w:rFonts w:hint="eastAsia" w:ascii="宋体" w:hAnsi="宋体" w:cs="宋体"/>
          <w:b/>
          <w:color w:val="000000"/>
          <w:spacing w:val="6"/>
          <w:sz w:val="24"/>
        </w:rPr>
      </w:pPr>
      <w:bookmarkStart w:id="118" w:name="OLE_LINK14"/>
      <w:bookmarkStart w:id="119" w:name="OLE_LINK13"/>
    </w:p>
    <w:p>
      <w:pPr>
        <w:snapToGrid w:val="0"/>
        <w:spacing w:line="600" w:lineRule="exact"/>
        <w:rPr>
          <w:rFonts w:hint="eastAsia" w:ascii="宋体" w:hAnsi="宋体" w:cs="宋体"/>
          <w:b/>
          <w:color w:val="000000"/>
          <w:spacing w:val="6"/>
          <w:sz w:val="24"/>
        </w:rPr>
      </w:pPr>
    </w:p>
    <w:p>
      <w:pPr>
        <w:snapToGrid w:val="0"/>
        <w:spacing w:line="600" w:lineRule="exact"/>
        <w:rPr>
          <w:rFonts w:hint="eastAsia" w:ascii="宋体" w:hAnsi="宋体" w:cs="宋体"/>
          <w:b/>
          <w:color w:val="000000"/>
          <w:spacing w:val="6"/>
          <w:sz w:val="24"/>
        </w:rPr>
      </w:pPr>
    </w:p>
    <w:p>
      <w:pPr>
        <w:pageBreakBefore/>
        <w:snapToGrid w:val="0"/>
        <w:spacing w:line="600" w:lineRule="exact"/>
        <w:jc w:val="center"/>
        <w:rPr>
          <w:rFonts w:hint="eastAsia" w:ascii="宋体" w:hAnsi="宋体" w:cs="宋体"/>
          <w:b/>
          <w:color w:val="000000"/>
          <w:spacing w:val="6"/>
          <w:sz w:val="24"/>
        </w:rPr>
      </w:pPr>
      <w:r>
        <w:rPr>
          <w:rFonts w:hint="eastAsia"/>
          <w:b/>
          <w:bCs/>
          <w:sz w:val="28"/>
          <w:szCs w:val="28"/>
        </w:rPr>
        <w:t>残疾人福利性单位声明函</w:t>
      </w:r>
      <w:bookmarkEnd w:id="118"/>
      <w:bookmarkEnd w:id="119"/>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317"/>
        <w:snapToGrid w:val="0"/>
        <w:spacing w:line="600" w:lineRule="exact"/>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317"/>
        <w:snapToGrid w:val="0"/>
        <w:spacing w:line="600" w:lineRule="exact"/>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600" w:lineRule="exact"/>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317"/>
        <w:snapToGrid w:val="0"/>
        <w:spacing w:line="600" w:lineRule="exact"/>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317"/>
        <w:snapToGrid w:val="0"/>
        <w:spacing w:line="600" w:lineRule="exact"/>
        <w:ind w:left="360" w:firstLine="240" w:firstLineChars="100"/>
        <w:jc w:val="center"/>
        <w:rPr>
          <w:rFonts w:hint="eastAsia" w:ascii="宋体" w:hAnsi="宋体" w:cs="宋体"/>
          <w:color w:val="000000"/>
          <w:sz w:val="24"/>
          <w:szCs w:val="24"/>
        </w:rPr>
      </w:pPr>
    </w:p>
    <w:p>
      <w:pPr>
        <w:pStyle w:val="3"/>
        <w:snapToGrid w:val="0"/>
        <w:spacing w:line="600" w:lineRule="exact"/>
        <w:rPr>
          <w:rFonts w:hint="eastAsia" w:ascii="宋体" w:hAnsi="宋体" w:eastAsia="宋体"/>
          <w:color w:val="000000"/>
          <w:sz w:val="24"/>
          <w:szCs w:val="24"/>
        </w:rPr>
      </w:pPr>
      <w:r>
        <w:rPr>
          <w:rFonts w:hint="eastAsia" w:ascii="宋体" w:hAnsi="宋体" w:eastAsia="宋体"/>
          <w:color w:val="000000"/>
          <w:kern w:val="0"/>
          <w:sz w:val="24"/>
          <w:szCs w:val="24"/>
        </w:rPr>
        <w:br w:type="page"/>
      </w:r>
      <w:bookmarkStart w:id="120" w:name="_Toc354996708"/>
      <w:bookmarkStart w:id="121" w:name="_Toc33194408"/>
      <w:r>
        <w:rPr>
          <w:rFonts w:hint="eastAsia" w:ascii="宋体" w:hAnsi="宋体" w:eastAsia="宋体"/>
          <w:color w:val="000000"/>
          <w:sz w:val="24"/>
          <w:szCs w:val="24"/>
        </w:rPr>
        <w:t>商务</w:t>
      </w:r>
      <w:bookmarkEnd w:id="120"/>
      <w:bookmarkStart w:id="122" w:name="_Toc354996709"/>
      <w:r>
        <w:rPr>
          <w:rFonts w:hint="eastAsia" w:ascii="宋体" w:hAnsi="宋体" w:eastAsia="宋体"/>
          <w:color w:val="000000"/>
          <w:sz w:val="24"/>
          <w:szCs w:val="24"/>
        </w:rPr>
        <w:t>技术文件</w:t>
      </w:r>
      <w:bookmarkEnd w:id="121"/>
    </w:p>
    <w:p>
      <w:pPr>
        <w:shd w:val="clear" w:color="auto" w:fill="FFFFFF"/>
        <w:snapToGrid w:val="0"/>
        <w:spacing w:line="600" w:lineRule="exact"/>
        <w:jc w:val="center"/>
        <w:rPr>
          <w:rFonts w:hint="eastAsia" w:ascii="宋体" w:hAnsi="宋体" w:cs="宋体"/>
          <w:b/>
          <w:color w:val="000000"/>
          <w:kern w:val="0"/>
          <w:sz w:val="24"/>
        </w:rPr>
      </w:pPr>
      <w:bookmarkStart w:id="123" w:name="_Toc13349"/>
      <w:bookmarkStart w:id="124" w:name="_Toc20650"/>
      <w:bookmarkStart w:id="125" w:name="_Toc27129"/>
      <w:bookmarkStart w:id="126" w:name="_Toc7803"/>
      <w:bookmarkStart w:id="127" w:name="_Toc20721"/>
      <w:bookmarkStart w:id="128" w:name="_Toc7049"/>
      <w:bookmarkStart w:id="129" w:name="_Toc25554"/>
      <w:bookmarkStart w:id="130" w:name="_Toc13194"/>
      <w:bookmarkStart w:id="131" w:name="_Toc31837"/>
      <w:bookmarkStart w:id="132" w:name="_Toc3604"/>
      <w:bookmarkStart w:id="133" w:name="_Toc10347"/>
      <w:r>
        <w:rPr>
          <w:rFonts w:hint="eastAsia" w:ascii="宋体" w:hAnsi="宋体" w:cs="宋体"/>
          <w:b/>
          <w:color w:val="000000"/>
          <w:kern w:val="0"/>
          <w:sz w:val="24"/>
        </w:rPr>
        <w:t>目录</w:t>
      </w:r>
      <w:bookmarkEnd w:id="123"/>
      <w:bookmarkEnd w:id="124"/>
      <w:bookmarkEnd w:id="125"/>
      <w:bookmarkEnd w:id="126"/>
      <w:bookmarkEnd w:id="127"/>
      <w:bookmarkEnd w:id="128"/>
      <w:bookmarkEnd w:id="129"/>
      <w:bookmarkEnd w:id="130"/>
      <w:bookmarkEnd w:id="131"/>
      <w:bookmarkEnd w:id="132"/>
      <w:bookmarkEnd w:id="133"/>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（3）技术偏离表………………………………………………………………………（页码）</w:t>
      </w:r>
    </w:p>
    <w:p>
      <w:pPr>
        <w:shd w:val="clear" w:color="auto" w:fill="FFFFFF"/>
        <w:snapToGrid w:val="0"/>
        <w:spacing w:line="600" w:lineRule="exact"/>
        <w:jc w:val="left"/>
        <w:rPr>
          <w:rFonts w:hint="eastAsia" w:ascii="宋体" w:hAnsi="宋体" w:cs="宋体"/>
          <w:color w:val="000000"/>
          <w:sz w:val="24"/>
        </w:rPr>
      </w:pPr>
      <w:r>
        <w:rPr>
          <w:rFonts w:hint="eastAsia"/>
        </w:rPr>
        <w:t>（</w:t>
      </w:r>
      <w:r>
        <w:rPr>
          <w:rFonts w:hint="eastAsia" w:ascii="宋体" w:hAnsi="宋体" w:cs="宋体"/>
          <w:color w:val="000000"/>
          <w:kern w:val="0"/>
          <w:sz w:val="24"/>
        </w:rPr>
        <w:t>4）对于评分细则提供相关证明材料………………………………………………（页码）</w:t>
      </w:r>
      <w:r>
        <w:rPr>
          <w:rFonts w:hint="eastAsia" w:ascii="宋体" w:hAnsi="宋体" w:cs="宋体"/>
          <w:color w:val="000000"/>
          <w:sz w:val="24"/>
        </w:rPr>
        <w:t>注：以上目录是编制投标技术文件的基本格式要求，各投标人可根据自身情况进一步细化。</w:t>
      </w:r>
    </w:p>
    <w:p>
      <w:pPr>
        <w:pStyle w:val="40"/>
        <w:snapToGrid w:val="0"/>
        <w:spacing w:line="600" w:lineRule="exact"/>
        <w:ind w:firstLine="480"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color w:val="000000"/>
          <w:sz w:val="24"/>
          <w:szCs w:val="24"/>
        </w:rPr>
        <w:br w:type="page"/>
      </w:r>
      <w:bookmarkEnd w:id="122"/>
      <w:r>
        <w:rPr>
          <w:rFonts w:hint="eastAsia" w:ascii="宋体" w:hAnsi="宋体" w:eastAsia="宋体" w:cs="宋体"/>
          <w:b/>
          <w:color w:val="000000"/>
          <w:sz w:val="28"/>
          <w:szCs w:val="28"/>
          <w:lang w:val="zh-CN"/>
        </w:rPr>
        <w:t>一、法定代表人授权委托书</w:t>
      </w:r>
    </w:p>
    <w:p>
      <w:pPr>
        <w:shd w:val="clear" w:color="auto" w:fill="FFFFFF"/>
        <w:snapToGrid w:val="0"/>
        <w:spacing w:line="600" w:lineRule="exact"/>
        <w:rPr>
          <w:rFonts w:hint="eastAsia" w:ascii="宋体" w:hAnsi="宋体" w:eastAsia="宋体" w:cs="宋体"/>
          <w:color w:val="000000"/>
          <w:sz w:val="24"/>
          <w:lang w:eastAsia="zh-CN"/>
        </w:rPr>
      </w:pPr>
      <w:r>
        <w:rPr>
          <w:rFonts w:hint="eastAsia" w:ascii="宋体" w:hAnsi="宋体" w:cs="宋体"/>
          <w:color w:val="000000"/>
          <w:sz w:val="24"/>
          <w:lang w:eastAsia="zh-CN"/>
        </w:rPr>
        <w:t>杭州市余杭区黄湖镇人民政府</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杭州政采工程咨询代理有限公司：</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u w:val="single" w:color="auto"/>
          <w:lang w:val="en-US" w:eastAsia="zh-CN"/>
        </w:rPr>
        <w:t xml:space="preserve">              </w:t>
      </w:r>
      <w:r>
        <w:rPr>
          <w:rFonts w:hint="eastAsia" w:ascii="宋体" w:hAnsi="宋体" w:cs="宋体"/>
          <w:color w:val="000000"/>
          <w:sz w:val="24"/>
        </w:rPr>
        <w:t>(编号：</w:t>
      </w:r>
      <w:r>
        <w:rPr>
          <w:rFonts w:hint="eastAsia" w:ascii="宋体" w:hAnsi="宋体" w:cs="宋体"/>
          <w:color w:val="000000"/>
          <w:sz w:val="24"/>
          <w:lang w:val="en-US" w:eastAsia="zh-CN"/>
        </w:rPr>
        <w:t xml:space="preserve">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600" w:lineRule="exact"/>
        <w:rPr>
          <w:rFonts w:hint="eastAsia" w:ascii="宋体" w:hAnsi="宋体" w:cs="宋体"/>
          <w:color w:val="000000"/>
          <w:kern w:val="0"/>
          <w:sz w:val="24"/>
        </w:rPr>
      </w:pP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shd w:val="clear" w:color="auto" w:fill="FFFFFF"/>
        <w:snapToGrid w:val="0"/>
        <w:spacing w:line="600" w:lineRule="exact"/>
        <w:ind w:firstLine="482" w:firstLineChars="200"/>
        <w:rPr>
          <w:rFonts w:hint="eastAsia" w:ascii="宋体" w:hAnsi="宋体" w:cs="宋体"/>
          <w:b/>
          <w:bCs/>
          <w:color w:val="000000"/>
          <w:kern w:val="0"/>
          <w:sz w:val="24"/>
          <w:lang w:val="zh-CN"/>
        </w:rPr>
      </w:pPr>
    </w:p>
    <w:p>
      <w:pPr>
        <w:pStyle w:val="40"/>
        <w:snapToGrid w:val="0"/>
        <w:spacing w:line="600" w:lineRule="exact"/>
        <w:ind w:firstLine="482" w:firstLineChars="200"/>
        <w:jc w:val="center"/>
        <w:outlineLvl w:val="2"/>
        <w:rPr>
          <w:rFonts w:hint="eastAsia" w:ascii="宋体" w:hAnsi="宋体" w:eastAsia="宋体" w:cs="宋体"/>
          <w:b/>
          <w:color w:val="000000"/>
          <w:sz w:val="24"/>
          <w:szCs w:val="24"/>
          <w:lang w:val="zh-CN"/>
        </w:rPr>
        <w:sectPr>
          <w:pgSz w:w="11906" w:h="16838"/>
          <w:pgMar w:top="993" w:right="1474" w:bottom="1134" w:left="1474" w:header="851" w:footer="641" w:gutter="0"/>
          <w:cols w:space="720" w:num="1"/>
          <w:docGrid w:type="lines" w:linePitch="315" w:charSpace="0"/>
        </w:sect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二、法定代表人及授权代表人的身份证 (复印件加盖公章)</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pStyle w:val="31"/>
        <w:snapToGrid w:val="0"/>
        <w:spacing w:line="600" w:lineRule="exact"/>
        <w:ind w:firstLine="0"/>
        <w:jc w:val="center"/>
        <w:rPr>
          <w:rFonts w:hint="eastAsia" w:ascii="宋体" w:hAnsi="宋体" w:eastAsia="宋体" w:cs="宋体"/>
          <w:color w:val="000000"/>
          <w:sz w:val="24"/>
          <w:szCs w:val="24"/>
        </w:rPr>
      </w:pPr>
    </w:p>
    <w:p>
      <w:pPr>
        <w:pStyle w:val="31"/>
        <w:snapToGrid w:val="0"/>
        <w:spacing w:line="600" w:lineRule="exact"/>
        <w:ind w:firstLine="0"/>
        <w:jc w:val="center"/>
        <w:rPr>
          <w:rFonts w:hint="eastAsia" w:ascii="宋体" w:hAnsi="宋体" w:eastAsia="宋体" w:cs="宋体"/>
          <w:color w:val="000000"/>
          <w:sz w:val="24"/>
          <w:szCs w:val="24"/>
        </w:rPr>
      </w:pPr>
    </w:p>
    <w:p>
      <w:pPr>
        <w:snapToGrid w:val="0"/>
        <w:spacing w:line="600" w:lineRule="exact"/>
        <w:jc w:val="center"/>
        <w:outlineLvl w:val="2"/>
        <w:rPr>
          <w:rFonts w:hint="eastAsia" w:ascii="宋体" w:hAnsi="宋体" w:cs="宋体"/>
          <w:b/>
          <w:color w:val="000000"/>
          <w:sz w:val="24"/>
        </w:rPr>
      </w:pPr>
    </w:p>
    <w:p>
      <w:pPr>
        <w:snapToGrid w:val="0"/>
        <w:spacing w:line="600" w:lineRule="exact"/>
        <w:jc w:val="center"/>
        <w:outlineLvl w:val="2"/>
        <w:rPr>
          <w:rFonts w:hint="eastAsia" w:ascii="宋体" w:hAnsi="宋体" w:cs="宋体"/>
          <w:b/>
          <w:color w:val="000000"/>
          <w:sz w:val="28"/>
          <w:szCs w:val="28"/>
          <w:lang w:val="zh-CN"/>
        </w:rPr>
      </w:pPr>
      <w:r>
        <w:rPr>
          <w:rFonts w:hint="eastAsia" w:ascii="宋体" w:hAnsi="宋体" w:cs="宋体"/>
          <w:b/>
          <w:color w:val="000000"/>
          <w:sz w:val="28"/>
          <w:szCs w:val="28"/>
        </w:rPr>
        <w:t>三、</w:t>
      </w:r>
      <w:r>
        <w:rPr>
          <w:rFonts w:hint="eastAsia" w:ascii="宋体" w:hAnsi="宋体" w:cs="宋体"/>
          <w:b/>
          <w:color w:val="000000"/>
          <w:sz w:val="28"/>
          <w:szCs w:val="28"/>
          <w:lang w:val="zh-CN"/>
        </w:rPr>
        <w:t>技术偏离表</w:t>
      </w:r>
    </w:p>
    <w:p>
      <w:pPr>
        <w:autoSpaceDE w:val="0"/>
        <w:autoSpaceDN w:val="0"/>
        <w:adjustRightInd w:val="0"/>
        <w:spacing w:line="440" w:lineRule="exact"/>
        <w:ind w:firstLine="361" w:firstLineChars="150"/>
        <w:rPr>
          <w:rFonts w:hint="eastAsia" w:ascii="宋体" w:hAnsi="宋体"/>
          <w:b/>
          <w:kern w:val="0"/>
          <w:sz w:val="24"/>
        </w:rPr>
      </w:pPr>
      <w:r>
        <w:rPr>
          <w:rFonts w:hint="eastAsia" w:ascii="宋体" w:hAnsi="宋体"/>
          <w:b/>
          <w:kern w:val="0"/>
          <w:sz w:val="24"/>
        </w:rPr>
        <w:t>项目编号：</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序号</w:t>
            </w:r>
          </w:p>
        </w:tc>
        <w:tc>
          <w:tcPr>
            <w:tcW w:w="1855"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内  容</w:t>
            </w:r>
          </w:p>
        </w:tc>
        <w:tc>
          <w:tcPr>
            <w:tcW w:w="1957"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招标文件</w:t>
            </w:r>
          </w:p>
          <w:p>
            <w:pPr>
              <w:jc w:val="center"/>
              <w:rPr>
                <w:rFonts w:hint="eastAsia" w:ascii="宋体" w:hAnsi="宋体"/>
                <w:b/>
                <w:sz w:val="24"/>
              </w:rPr>
            </w:pPr>
            <w:r>
              <w:rPr>
                <w:rFonts w:hint="eastAsia" w:ascii="宋体" w:hAnsi="宋体"/>
                <w:b/>
                <w:sz w:val="24"/>
              </w:rPr>
              <w:t>规范要求</w:t>
            </w:r>
          </w:p>
        </w:tc>
        <w:tc>
          <w:tcPr>
            <w:tcW w:w="1620"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投标文件</w:t>
            </w:r>
          </w:p>
          <w:p>
            <w:pPr>
              <w:jc w:val="center"/>
              <w:rPr>
                <w:rFonts w:hint="eastAsia" w:ascii="宋体" w:hAnsi="宋体"/>
                <w:b/>
                <w:sz w:val="24"/>
              </w:rPr>
            </w:pPr>
            <w:r>
              <w:rPr>
                <w:rFonts w:hint="eastAsia" w:ascii="宋体" w:hAnsi="宋体"/>
                <w:b/>
                <w:sz w:val="24"/>
              </w:rPr>
              <w:t>对应规范</w:t>
            </w:r>
          </w:p>
        </w:tc>
        <w:tc>
          <w:tcPr>
            <w:tcW w:w="2524"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jc w:val="center"/>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bl>
    <w:p>
      <w:pPr>
        <w:autoSpaceDE w:val="0"/>
        <w:autoSpaceDN w:val="0"/>
        <w:adjustRightInd w:val="0"/>
        <w:spacing w:line="440" w:lineRule="exact"/>
        <w:rPr>
          <w:rFonts w:ascii="宋体" w:hAnsi="宋体"/>
          <w:kern w:val="0"/>
          <w:sz w:val="24"/>
        </w:rPr>
      </w:pPr>
      <w:r>
        <w:rPr>
          <w:rFonts w:hint="eastAsia" w:ascii="宋体" w:hAnsi="宋体"/>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cs="宋体"/>
          <w:color w:val="000000"/>
          <w:sz w:val="24"/>
        </w:rPr>
      </w:pPr>
      <w:r>
        <w:rPr>
          <w:rFonts w:hint="eastAsia" w:ascii="宋体" w:hAnsi="宋体" w:cs="仿宋_GB2312"/>
          <w:kern w:val="0"/>
          <w:sz w:val="24"/>
          <w:lang w:val="zh-CN"/>
        </w:rPr>
        <w:t xml:space="preserve">        </w:t>
      </w: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1" w:firstLineChars="100"/>
        <w:rPr>
          <w:rFonts w:hint="eastAsia" w:ascii="宋体" w:hAnsi="宋体" w:cs="宋体"/>
          <w:b/>
          <w:bCs/>
          <w:color w:val="000000"/>
          <w:sz w:val="24"/>
        </w:rPr>
      </w:pPr>
    </w:p>
    <w:p>
      <w:pPr>
        <w:autoSpaceDE w:val="0"/>
        <w:autoSpaceDN w:val="0"/>
        <w:snapToGrid w:val="0"/>
        <w:spacing w:line="600" w:lineRule="exact"/>
        <w:ind w:firstLine="5160" w:firstLineChars="2150"/>
        <w:rPr>
          <w:rFonts w:hint="eastAsia" w:ascii="宋体" w:hAnsi="宋体" w:cs="宋体"/>
          <w:color w:val="000000"/>
          <w:kern w:val="0"/>
          <w:sz w:val="24"/>
          <w:lang w:val="zh-CN"/>
        </w:rPr>
      </w:pPr>
    </w:p>
    <w:p>
      <w:pPr>
        <w:autoSpaceDE w:val="0"/>
        <w:autoSpaceDN w:val="0"/>
        <w:snapToGrid w:val="0"/>
        <w:spacing w:line="6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6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600" w:lineRule="exact"/>
        <w:ind w:firstLine="5160" w:firstLineChars="2150"/>
        <w:rPr>
          <w:rFonts w:hint="eastAsia" w:ascii="宋体" w:hAnsi="宋体" w:cs="宋体"/>
          <w:color w:val="000000"/>
          <w:kern w:val="0"/>
          <w:sz w:val="24"/>
          <w:lang w:val="zh-CN"/>
        </w:rPr>
      </w:pPr>
    </w:p>
    <w:p>
      <w:pPr>
        <w:snapToGrid w:val="0"/>
        <w:spacing w:line="600" w:lineRule="exact"/>
        <w:ind w:firstLine="241" w:firstLineChars="100"/>
        <w:rPr>
          <w:rFonts w:hint="eastAsia" w:ascii="宋体" w:hAnsi="宋体" w:cs="宋体"/>
          <w:b/>
          <w:bCs/>
          <w:color w:val="000000"/>
          <w:sz w:val="24"/>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4"/>
          <w:szCs w:val="24"/>
          <w:lang w:val="zh-CN"/>
        </w:rPr>
      </w:pPr>
      <w:r>
        <w:rPr>
          <w:rFonts w:hint="eastAsia" w:ascii="宋体" w:hAnsi="宋体" w:eastAsia="宋体" w:cs="宋体"/>
          <w:b/>
          <w:color w:val="000000"/>
          <w:sz w:val="28"/>
          <w:szCs w:val="28"/>
          <w:lang w:val="zh-CN"/>
        </w:rPr>
        <w:t>四、对于评分细则提供相关证明材料</w:t>
      </w:r>
    </w:p>
    <w:p>
      <w:pPr>
        <w:shd w:val="clear" w:color="auto" w:fill="FFFFFF"/>
        <w:snapToGrid w:val="0"/>
        <w:spacing w:line="600" w:lineRule="exact"/>
        <w:jc w:val="center"/>
        <w:rPr>
          <w:rFonts w:hint="eastAsia" w:ascii="宋体" w:hAnsi="宋体" w:cs="宋体"/>
          <w:b/>
          <w:bCs/>
          <w:color w:val="000000"/>
          <w:sz w:val="24"/>
        </w:rPr>
      </w:pPr>
    </w:p>
    <w:p>
      <w:pPr>
        <w:shd w:val="clear" w:color="auto" w:fill="FFFFFF"/>
        <w:snapToGrid w:val="0"/>
        <w:spacing w:line="6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6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shd w:val="clear" w:color="auto" w:fill="FFFFFF"/>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ageBreakBefore/>
        <w:shd w:val="clear" w:color="auto" w:fill="FFFFFF"/>
        <w:snapToGrid w:val="0"/>
        <w:spacing w:line="600" w:lineRule="exact"/>
        <w:outlineLvl w:val="2"/>
        <w:rPr>
          <w:rFonts w:hint="eastAsia" w:ascii="宋体" w:hAnsi="宋体" w:cs="宋体"/>
          <w:b/>
          <w:bCs/>
          <w:color w:val="000000"/>
          <w:sz w:val="24"/>
        </w:rPr>
      </w:pPr>
      <w:r>
        <w:rPr>
          <w:rFonts w:hint="eastAsia" w:ascii="宋体" w:hAnsi="宋体" w:cs="宋体"/>
          <w:b/>
          <w:bCs/>
          <w:color w:val="000000"/>
          <w:sz w:val="24"/>
        </w:rPr>
        <w:t>投标文件封面</w:t>
      </w:r>
    </w:p>
    <w:p>
      <w:pPr>
        <w:shd w:val="clear" w:color="auto" w:fill="FFFFFF"/>
        <w:snapToGrid w:val="0"/>
        <w:spacing w:line="600" w:lineRule="exact"/>
        <w:jc w:val="center"/>
        <w:rPr>
          <w:rFonts w:hint="eastAsia" w:ascii="宋体" w:hAnsi="宋体" w:cs="宋体"/>
          <w:b/>
          <w:bCs/>
          <w:color w:val="000000"/>
          <w:spacing w:val="-17"/>
          <w:sz w:val="32"/>
          <w:szCs w:val="32"/>
        </w:rPr>
      </w:pPr>
    </w:p>
    <w:p>
      <w:pPr>
        <w:shd w:val="clear" w:color="auto" w:fill="FFFFFF"/>
        <w:snapToGrid w:val="0"/>
        <w:spacing w:line="600" w:lineRule="exact"/>
        <w:jc w:val="both"/>
        <w:rPr>
          <w:rFonts w:hint="eastAsia" w:ascii="宋体" w:hAnsi="宋体" w:cs="宋体"/>
          <w:b/>
          <w:bCs/>
          <w:color w:val="000000"/>
          <w:sz w:val="36"/>
          <w:szCs w:val="36"/>
        </w:rPr>
      </w:pPr>
      <w:r>
        <w:rPr>
          <w:rFonts w:hint="eastAsia" w:ascii="宋体" w:hAnsi="宋体" w:cs="宋体"/>
          <w:b/>
          <w:bCs/>
          <w:color w:val="000000"/>
          <w:spacing w:val="-17"/>
          <w:sz w:val="36"/>
          <w:szCs w:val="36"/>
          <w:lang w:val="en-US" w:eastAsia="zh-CN"/>
        </w:rPr>
        <w:t xml:space="preserve">                    </w:t>
      </w:r>
      <w:r>
        <w:rPr>
          <w:rFonts w:hint="eastAsia" w:ascii="宋体" w:hAnsi="宋体" w:cs="宋体"/>
          <w:b/>
          <w:bCs/>
          <w:color w:val="000000"/>
          <w:spacing w:val="-17"/>
          <w:sz w:val="36"/>
          <w:szCs w:val="36"/>
          <w:u w:val="single" w:color="auto"/>
          <w:lang w:val="en-US" w:eastAsia="zh-CN"/>
        </w:rPr>
        <w:t xml:space="preserve">                          </w:t>
      </w:r>
      <w:r>
        <w:rPr>
          <w:rFonts w:hint="eastAsia" w:ascii="宋体" w:hAnsi="宋体" w:cs="宋体"/>
          <w:b/>
          <w:bCs/>
          <w:color w:val="000000"/>
          <w:spacing w:val="-17"/>
          <w:sz w:val="36"/>
          <w:szCs w:val="36"/>
        </w:rPr>
        <w:t>项目</w:t>
      </w:r>
    </w:p>
    <w:p>
      <w:pPr>
        <w:shd w:val="clear" w:color="auto" w:fill="FFFFFF"/>
        <w:snapToGrid w:val="0"/>
        <w:spacing w:line="600" w:lineRule="exact"/>
        <w:jc w:val="center"/>
        <w:rPr>
          <w:rFonts w:hint="eastAsia" w:ascii="宋体" w:hAnsi="宋体" w:cs="宋体"/>
          <w:b/>
          <w:bCs/>
          <w:color w:val="000000"/>
          <w:sz w:val="36"/>
          <w:szCs w:val="36"/>
        </w:rPr>
      </w:pPr>
      <w:r>
        <w:rPr>
          <w:rFonts w:hint="eastAsia" w:ascii="宋体" w:hAnsi="宋体" w:cs="宋体"/>
          <w:b/>
          <w:bCs/>
          <w:color w:val="000000"/>
          <w:sz w:val="36"/>
          <w:szCs w:val="36"/>
        </w:rPr>
        <w:t xml:space="preserve"> （资格文件/报价文件/商务技术文件）</w:t>
      </w:r>
    </w:p>
    <w:p>
      <w:pPr>
        <w:pStyle w:val="31"/>
        <w:rPr>
          <w:rFonts w:hint="eastAsia" w:ascii="宋体" w:hAnsi="宋体" w:eastAsia="宋体" w:cs="宋体"/>
          <w:b/>
          <w:bCs/>
          <w:color w:val="000000"/>
          <w:sz w:val="24"/>
          <w:szCs w:val="24"/>
        </w:rPr>
      </w:pPr>
    </w:p>
    <w:p>
      <w:pPr>
        <w:pStyle w:val="31"/>
        <w:rPr>
          <w:rFonts w:hint="eastAsia" w:ascii="宋体" w:hAnsi="宋体" w:eastAsia="宋体" w:cs="宋体"/>
          <w:b/>
          <w:bCs/>
          <w:color w:val="000000"/>
          <w:sz w:val="24"/>
          <w:szCs w:val="24"/>
        </w:rPr>
      </w:pPr>
    </w:p>
    <w:p>
      <w:pPr>
        <w:shd w:val="clear" w:color="auto" w:fill="FFFFFF"/>
        <w:snapToGrid w:val="0"/>
        <w:spacing w:line="600" w:lineRule="exact"/>
        <w:jc w:val="both"/>
        <w:rPr>
          <w:rFonts w:hint="eastAsia" w:ascii="宋体" w:hAnsi="宋体" w:cs="宋体"/>
          <w:b/>
          <w:bCs/>
          <w:color w:val="000000"/>
          <w:sz w:val="36"/>
          <w:szCs w:val="36"/>
        </w:rPr>
      </w:pPr>
      <w:r>
        <w:rPr>
          <w:rFonts w:hint="eastAsia" w:ascii="宋体" w:hAnsi="宋体" w:cs="宋体"/>
          <w:b/>
          <w:bCs/>
          <w:color w:val="000000"/>
          <w:sz w:val="36"/>
          <w:szCs w:val="36"/>
          <w:lang w:val="en-US" w:eastAsia="zh-CN"/>
        </w:rPr>
        <w:t xml:space="preserve">              </w:t>
      </w:r>
      <w:r>
        <w:rPr>
          <w:rFonts w:hint="eastAsia" w:ascii="宋体" w:hAnsi="宋体" w:cs="宋体"/>
          <w:b/>
          <w:bCs/>
          <w:color w:val="000000"/>
          <w:sz w:val="36"/>
          <w:szCs w:val="36"/>
        </w:rPr>
        <w:t>项目编号：</w:t>
      </w:r>
      <w:r>
        <w:rPr>
          <w:rFonts w:hint="eastAsia" w:ascii="宋体" w:hAnsi="宋体" w:cs="宋体"/>
          <w:b/>
          <w:bCs/>
          <w:color w:val="000000"/>
          <w:sz w:val="36"/>
          <w:szCs w:val="36"/>
          <w:u w:val="single" w:color="auto"/>
          <w:lang w:val="en-US" w:eastAsia="zh-CN"/>
        </w:rPr>
        <w:t xml:space="preserve">        </w:t>
      </w:r>
    </w:p>
    <w:p>
      <w:pPr>
        <w:pStyle w:val="31"/>
        <w:rPr>
          <w:rFonts w:hint="eastAsia" w:ascii="宋体" w:hAnsi="宋体" w:eastAsia="宋体" w:cs="宋体"/>
          <w:b/>
          <w:bCs/>
          <w:color w:val="000000"/>
          <w:sz w:val="24"/>
          <w:szCs w:val="24"/>
        </w:rPr>
      </w:pPr>
    </w:p>
    <w:p>
      <w:pPr>
        <w:pStyle w:val="31"/>
        <w:ind w:firstLine="0"/>
        <w:rPr>
          <w:rFonts w:hint="eastAsia" w:ascii="宋体" w:hAnsi="宋体" w:eastAsia="宋体" w:cs="宋体"/>
          <w:b/>
          <w:bCs/>
          <w:color w:val="000000"/>
          <w:sz w:val="24"/>
          <w:szCs w:val="24"/>
        </w:rPr>
      </w:pPr>
    </w:p>
    <w:p>
      <w:pPr>
        <w:pStyle w:val="31"/>
        <w:rPr>
          <w:rFonts w:hint="eastAsia" w:ascii="宋体" w:hAnsi="宋体" w:eastAsia="宋体" w:cs="宋体"/>
          <w:b/>
          <w:bCs/>
          <w:color w:val="000000"/>
          <w:sz w:val="44"/>
          <w:szCs w:val="44"/>
        </w:rPr>
      </w:pPr>
    </w:p>
    <w:bookmarkEnd w:id="19"/>
    <w:bookmarkEnd w:id="20"/>
    <w:bookmarkEnd w:id="21"/>
    <w:bookmarkEnd w:id="22"/>
    <w:bookmarkEnd w:id="111"/>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投</w:t>
      </w:r>
    </w:p>
    <w:p>
      <w:pPr>
        <w:pStyle w:val="31"/>
        <w:rPr>
          <w:rFonts w:hint="eastAsia"/>
        </w:rPr>
      </w:pPr>
    </w:p>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标</w:t>
      </w:r>
    </w:p>
    <w:p>
      <w:pPr>
        <w:pStyle w:val="31"/>
        <w:rPr>
          <w:rFonts w:hint="eastAsia"/>
        </w:rPr>
      </w:pPr>
    </w:p>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文</w:t>
      </w:r>
    </w:p>
    <w:p>
      <w:pPr>
        <w:pStyle w:val="31"/>
        <w:ind w:firstLine="0"/>
        <w:rPr>
          <w:rFonts w:hint="eastAsia" w:ascii="宋体" w:hAnsi="宋体" w:eastAsia="宋体" w:cs="宋体"/>
          <w:color w:val="000000"/>
          <w:sz w:val="44"/>
          <w:szCs w:val="44"/>
        </w:rPr>
      </w:pPr>
    </w:p>
    <w:p>
      <w:pPr>
        <w:snapToGrid w:val="0"/>
        <w:spacing w:line="600" w:lineRule="exact"/>
        <w:jc w:val="center"/>
        <w:rPr>
          <w:rFonts w:hint="eastAsia" w:ascii="宋体" w:hAnsi="宋体" w:cs="宋体"/>
          <w:color w:val="000000"/>
          <w:sz w:val="24"/>
        </w:rPr>
      </w:pPr>
      <w:r>
        <w:rPr>
          <w:rFonts w:hint="eastAsia" w:ascii="宋体" w:hAnsi="宋体" w:cs="宋体"/>
          <w:color w:val="000000"/>
          <w:sz w:val="44"/>
          <w:szCs w:val="44"/>
        </w:rPr>
        <w:t>件</w:t>
      </w:r>
    </w:p>
    <w:p>
      <w:pPr>
        <w:pStyle w:val="31"/>
        <w:rPr>
          <w:rFonts w:hint="eastAsia" w:ascii="宋体" w:hAnsi="宋体" w:eastAsia="宋体" w:cs="宋体"/>
          <w:color w:val="000000"/>
          <w:sz w:val="24"/>
          <w:szCs w:val="24"/>
        </w:rPr>
      </w:pPr>
    </w:p>
    <w:p>
      <w:pPr>
        <w:pStyle w:val="31"/>
        <w:ind w:firstLine="0"/>
        <w:rPr>
          <w:rFonts w:hint="eastAsia" w:ascii="宋体" w:hAnsi="宋体" w:eastAsia="宋体" w:cs="宋体"/>
          <w:color w:val="000000"/>
          <w:sz w:val="24"/>
          <w:szCs w:val="24"/>
        </w:rPr>
      </w:pPr>
    </w:p>
    <w:p>
      <w:pPr>
        <w:snapToGrid w:val="0"/>
        <w:spacing w:line="600" w:lineRule="exact"/>
        <w:jc w:val="center"/>
        <w:rPr>
          <w:rFonts w:hint="eastAsia" w:ascii="宋体" w:hAnsi="宋体" w:cs="宋体"/>
          <w:color w:val="000000"/>
          <w:sz w:val="30"/>
          <w:szCs w:val="30"/>
        </w:rPr>
      </w:pPr>
      <w:r>
        <w:rPr>
          <w:rFonts w:hint="eastAsia" w:ascii="宋体" w:hAnsi="宋体" w:cs="宋体"/>
          <w:color w:val="000000"/>
          <w:sz w:val="30"/>
          <w:szCs w:val="30"/>
        </w:rPr>
        <w:t>投标人全称：（加盖单位公章）</w:t>
      </w:r>
    </w:p>
    <w:p>
      <w:pPr>
        <w:pStyle w:val="31"/>
        <w:rPr>
          <w:rFonts w:hint="eastAsia"/>
        </w:rPr>
      </w:pPr>
    </w:p>
    <w:p>
      <w:pPr>
        <w:snapToGrid w:val="0"/>
        <w:spacing w:line="600" w:lineRule="exact"/>
        <w:jc w:val="center"/>
        <w:rPr>
          <w:rFonts w:hint="eastAsia" w:ascii="宋体" w:hAnsi="宋体" w:cs="宋体"/>
          <w:color w:val="000000"/>
          <w:sz w:val="30"/>
          <w:szCs w:val="30"/>
        </w:rPr>
      </w:pPr>
      <w:r>
        <w:rPr>
          <w:rFonts w:hint="eastAsia" w:ascii="宋体" w:hAnsi="宋体" w:cs="宋体"/>
          <w:color w:val="000000"/>
          <w:sz w:val="30"/>
          <w:szCs w:val="30"/>
        </w:rPr>
        <w:t>年   月   日</w:t>
      </w:r>
    </w:p>
    <w:p>
      <w:pPr>
        <w:spacing w:line="600" w:lineRule="exact"/>
        <w:rPr>
          <w:rFonts w:hint="eastAsia" w:ascii="宋体" w:hAnsi="宋体" w:cs="宋体"/>
          <w:color w:val="000000"/>
          <w:sz w:val="24"/>
        </w:rPr>
      </w:pPr>
    </w:p>
    <w:p>
      <w:pPr>
        <w:snapToGrid w:val="0"/>
        <w:spacing w:line="600" w:lineRule="exact"/>
        <w:rPr>
          <w:rFonts w:hint="eastAsia" w:ascii="宋体" w:hAnsi="宋体" w:cs="宋体"/>
          <w:color w:val="000000"/>
          <w:sz w:val="24"/>
        </w:rPr>
      </w:pPr>
    </w:p>
    <w:sectPr>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3" w:usb1="00000000" w:usb2="00000000" w:usb3="00000000" w:csb0="00000001" w:csb1="00000000"/>
  </w:font>
  <w:font w:name="Arial Unicode MS">
    <w:altName w:val="Arial"/>
    <w:panose1 w:val="020B0604020202020204"/>
    <w:charset w:val="00"/>
    <w:family w:val="roman"/>
    <w:pitch w:val="default"/>
    <w:sig w:usb0="00000003"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Baskerville">
    <w:altName w:val="Cambria Math"/>
    <w:panose1 w:val="02020502070401020303"/>
    <w:charset w:val="00"/>
    <w:family w:val="roman"/>
    <w:pitch w:val="default"/>
    <w:sig w:usb0="00000001" w:usb1="02000000" w:usb2="00000000" w:usb3="00000000" w:csb0="0000019F" w:csb1="0000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8bSus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pt6IoSxy0O/PLzx+XXn8vv72SZ 5ekD1Jh1HzAvDe/8gEsz+wGdmfWgos1f5EMwjuKer+LKIRGRH61X63WFIYGx+YL47OF5iJDeS29J NhoacXpFVH76CGlMnVNyNefvtDFlgsb940DM7GG597HHbKVhP0yE9r49I58eB99Qh3tOifngUNe8 I7MRZ2M/G8cQ9aErS5TrQbg9Jmyi9JYrjLBTYZxYYTdtV16Jx/eS9fBHbf8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PfG0rrIAQAAmQMAAA4AAAAAAAAAAQAgAAAAHgEAAGRycy9lMm9Eb2Mu eG1sUEsFBgAAAAAGAAYAWQEAAFgFAAAAAA== ">
              <v:fill on="f" focussize="0,0"/>
              <v:stroke on="f"/>
              <v:imagedata o:title=""/>
              <o:lock v:ext="edit" aspectratio="f"/>
              <v:textbox inset="0mm,0mm,0mm,0mm" style="mso-fit-shape-to-text:t;">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SrDu8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X1DieMWB37++eP86/H88J0s sz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FKsO7yQEAAJkDAAAOAAAAAAAAAAEAIAAAAB4BAABkcnMvZTJvRG9j LnhtbFBLBQYAAAAABgAGAFkBAABZBQAAAAA= ">
              <v:fill on="f" focussize="0,0"/>
              <v:stroke on="f"/>
              <v:imagedata o:title=""/>
              <o:lock v:ext="edit" aspectratio="f"/>
              <v:textbox inset="0mm,0mm,0mm,0mm" style="mso-fit-shape-to-text:t;">
                <w:txbxContent>
                  <w:p>
                    <w:pPr>
                      <w:pStyle w:val="50"/>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62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5AB24"/>
    <w:multiLevelType w:val="singleLevel"/>
    <w:tmpl w:val="DD65AB24"/>
    <w:lvl w:ilvl="0" w:tentative="0">
      <w:start w:val="1"/>
      <w:numFmt w:val="decimal"/>
      <w:lvlText w:val="%1."/>
      <w:lvlJc w:val="left"/>
      <w:pPr>
        <w:tabs>
          <w:tab w:val="left" w:pos="312"/>
        </w:tabs>
      </w:pPr>
    </w:lvl>
  </w:abstractNum>
  <w:abstractNum w:abstractNumId="1">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2">
    <w:nsid w:val="0D407D28"/>
    <w:multiLevelType w:val="multilevel"/>
    <w:tmpl w:val="0D407D28"/>
    <w:lvl w:ilvl="0" w:tentative="0">
      <w:start w:val="1"/>
      <w:numFmt w:val="bullet"/>
      <w:pStyle w:val="246"/>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3">
    <w:nsid w:val="0FB26183"/>
    <w:multiLevelType w:val="multilevel"/>
    <w:tmpl w:val="0FB26183"/>
    <w:lvl w:ilvl="0" w:tentative="0">
      <w:start w:val="1"/>
      <w:numFmt w:val="bullet"/>
      <w:pStyle w:val="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5BCF60D9"/>
    <w:multiLevelType w:val="singleLevel"/>
    <w:tmpl w:val="5BCF60D9"/>
    <w:lvl w:ilvl="0" w:tentative="0">
      <w:start w:val="1"/>
      <w:numFmt w:val="bullet"/>
      <w:pStyle w:val="272"/>
      <w:lvlText w:val=""/>
      <w:lvlJc w:val="left"/>
      <w:pPr>
        <w:tabs>
          <w:tab w:val="left" w:pos="425"/>
        </w:tabs>
        <w:ind w:left="425" w:hanging="425"/>
      </w:pPr>
      <w:rPr>
        <w:rFonts w:hint="default" w:ascii="Wingdings" w:hAnsi="Wingdings"/>
      </w:rPr>
    </w:lvl>
  </w:abstractNum>
  <w:abstractNum w:abstractNumId="6">
    <w:nsid w:val="5E68C855"/>
    <w:multiLevelType w:val="singleLevel"/>
    <w:tmpl w:val="5E68C855"/>
    <w:lvl w:ilvl="0" w:tentative="0">
      <w:start w:val="2"/>
      <w:numFmt w:val="decimal"/>
      <w:suff w:val="nothing"/>
      <w:lvlText w:val="%1、"/>
      <w:lvlJc w:val="left"/>
    </w:lvl>
  </w:abstractNum>
  <w:abstractNum w:abstractNumId="7">
    <w:nsid w:val="5EA7F0B8"/>
    <w:multiLevelType w:val="singleLevel"/>
    <w:tmpl w:val="5EA7F0B8"/>
    <w:lvl w:ilvl="0" w:tentative="0">
      <w:start w:val="2"/>
      <w:numFmt w:val="chineseCounting"/>
      <w:suff w:val="nothing"/>
      <w:lvlText w:val="%1、"/>
      <w:lvlJc w:val="left"/>
    </w:lvl>
  </w:abstractNum>
  <w:abstractNum w:abstractNumId="8">
    <w:nsid w:val="60AE39CC"/>
    <w:multiLevelType w:val="multilevel"/>
    <w:tmpl w:val="60AE39CC"/>
    <w:lvl w:ilvl="0" w:tentative="0">
      <w:start w:val="1"/>
      <w:numFmt w:val="chineseCountingThousand"/>
      <w:pStyle w:val="133"/>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621D3DF3"/>
    <w:multiLevelType w:val="multilevel"/>
    <w:tmpl w:val="621D3DF3"/>
    <w:lvl w:ilvl="0" w:tentative="0">
      <w:start w:val="1"/>
      <w:numFmt w:val="bullet"/>
      <w:pStyle w:val="290"/>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5316F3"/>
    <w:multiLevelType w:val="multilevel"/>
    <w:tmpl w:val="765316F3"/>
    <w:lvl w:ilvl="0" w:tentative="0">
      <w:start w:val="1"/>
      <w:numFmt w:val="chineseCountingThousand"/>
      <w:pStyle w:val="4"/>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1">
    <w:nsid w:val="79EB7B22"/>
    <w:multiLevelType w:val="multilevel"/>
    <w:tmpl w:val="79EB7B22"/>
    <w:lvl w:ilvl="0" w:tentative="0">
      <w:start w:val="1"/>
      <w:numFmt w:val="bullet"/>
      <w:pStyle w:val="213"/>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0"/>
  </w:num>
  <w:num w:numId="2">
    <w:abstractNumId w:val="8"/>
  </w:num>
  <w:num w:numId="3">
    <w:abstractNumId w:val="3"/>
  </w:num>
  <w:num w:numId="4">
    <w:abstractNumId w:val="11"/>
  </w:num>
  <w:num w:numId="5">
    <w:abstractNumId w:val="2"/>
  </w:num>
  <w:num w:numId="6">
    <w:abstractNumId w:val="5"/>
  </w:num>
  <w:num w:numId="7">
    <w:abstractNumId w:val="9"/>
  </w:num>
  <w:num w:numId="8">
    <w:abstractNumId w:val="1"/>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107B1"/>
    <w:rsid w:val="00012442"/>
    <w:rsid w:val="00012D7C"/>
    <w:rsid w:val="00014366"/>
    <w:rsid w:val="000151AB"/>
    <w:rsid w:val="00016A50"/>
    <w:rsid w:val="00016EFE"/>
    <w:rsid w:val="000204DE"/>
    <w:rsid w:val="00021A6C"/>
    <w:rsid w:val="00027FE8"/>
    <w:rsid w:val="000309C5"/>
    <w:rsid w:val="0003345D"/>
    <w:rsid w:val="00035520"/>
    <w:rsid w:val="00035599"/>
    <w:rsid w:val="00035E30"/>
    <w:rsid w:val="00035F17"/>
    <w:rsid w:val="00037BD3"/>
    <w:rsid w:val="0004192E"/>
    <w:rsid w:val="000446F6"/>
    <w:rsid w:val="0004700C"/>
    <w:rsid w:val="00047275"/>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B2120"/>
    <w:rsid w:val="000B2178"/>
    <w:rsid w:val="000B339B"/>
    <w:rsid w:val="000B4324"/>
    <w:rsid w:val="000B50E5"/>
    <w:rsid w:val="000B6B43"/>
    <w:rsid w:val="000C2E2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B5E"/>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640F"/>
    <w:rsid w:val="00187DB0"/>
    <w:rsid w:val="00191BE9"/>
    <w:rsid w:val="00196B08"/>
    <w:rsid w:val="00196C4E"/>
    <w:rsid w:val="00196E80"/>
    <w:rsid w:val="00197AA5"/>
    <w:rsid w:val="001A5043"/>
    <w:rsid w:val="001B0BB5"/>
    <w:rsid w:val="001B5734"/>
    <w:rsid w:val="001B580D"/>
    <w:rsid w:val="001B59C3"/>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5B1"/>
    <w:rsid w:val="00246C46"/>
    <w:rsid w:val="002519A6"/>
    <w:rsid w:val="00253A44"/>
    <w:rsid w:val="00253C6A"/>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6A2B"/>
    <w:rsid w:val="002B6BED"/>
    <w:rsid w:val="002C1467"/>
    <w:rsid w:val="002C5E7F"/>
    <w:rsid w:val="002D1D0B"/>
    <w:rsid w:val="002D1EC8"/>
    <w:rsid w:val="002D36AD"/>
    <w:rsid w:val="002E1E56"/>
    <w:rsid w:val="002E271C"/>
    <w:rsid w:val="002E4BBB"/>
    <w:rsid w:val="002E62DC"/>
    <w:rsid w:val="002E7954"/>
    <w:rsid w:val="002E7CB4"/>
    <w:rsid w:val="002F07FE"/>
    <w:rsid w:val="002F132E"/>
    <w:rsid w:val="002F38B7"/>
    <w:rsid w:val="002F6BA9"/>
    <w:rsid w:val="003016CD"/>
    <w:rsid w:val="00301D67"/>
    <w:rsid w:val="00304332"/>
    <w:rsid w:val="0030537F"/>
    <w:rsid w:val="00305C03"/>
    <w:rsid w:val="00307542"/>
    <w:rsid w:val="00307EC9"/>
    <w:rsid w:val="00310230"/>
    <w:rsid w:val="00311D86"/>
    <w:rsid w:val="003121A6"/>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41B9"/>
    <w:rsid w:val="003547C4"/>
    <w:rsid w:val="00355517"/>
    <w:rsid w:val="003573AC"/>
    <w:rsid w:val="003574BA"/>
    <w:rsid w:val="00366F88"/>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216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A0C"/>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50FC"/>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7F5"/>
    <w:rsid w:val="004C5B5B"/>
    <w:rsid w:val="004C76AF"/>
    <w:rsid w:val="004C7FE3"/>
    <w:rsid w:val="004D0F50"/>
    <w:rsid w:val="004D5B1A"/>
    <w:rsid w:val="004D63E2"/>
    <w:rsid w:val="004D7F69"/>
    <w:rsid w:val="004E047B"/>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AED"/>
    <w:rsid w:val="005012C2"/>
    <w:rsid w:val="00501F97"/>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74DF"/>
    <w:rsid w:val="005677F5"/>
    <w:rsid w:val="0057047D"/>
    <w:rsid w:val="0057509C"/>
    <w:rsid w:val="00575376"/>
    <w:rsid w:val="00576885"/>
    <w:rsid w:val="005864B7"/>
    <w:rsid w:val="00587329"/>
    <w:rsid w:val="005921F0"/>
    <w:rsid w:val="00595B3D"/>
    <w:rsid w:val="0059607D"/>
    <w:rsid w:val="00596922"/>
    <w:rsid w:val="00597829"/>
    <w:rsid w:val="00597B7E"/>
    <w:rsid w:val="005A2271"/>
    <w:rsid w:val="005A4D77"/>
    <w:rsid w:val="005B1907"/>
    <w:rsid w:val="005B3E8E"/>
    <w:rsid w:val="005B41AB"/>
    <w:rsid w:val="005B46D1"/>
    <w:rsid w:val="005B4DAE"/>
    <w:rsid w:val="005B59CB"/>
    <w:rsid w:val="005B65BC"/>
    <w:rsid w:val="005B7BDD"/>
    <w:rsid w:val="005C1638"/>
    <w:rsid w:val="005C1838"/>
    <w:rsid w:val="005C19BF"/>
    <w:rsid w:val="005C3200"/>
    <w:rsid w:val="005C428E"/>
    <w:rsid w:val="005C5FCC"/>
    <w:rsid w:val="005D0E93"/>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6B4"/>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26B9"/>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F7A"/>
    <w:rsid w:val="008241D3"/>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5D11"/>
    <w:rsid w:val="0094718C"/>
    <w:rsid w:val="00950310"/>
    <w:rsid w:val="00950BF3"/>
    <w:rsid w:val="00955657"/>
    <w:rsid w:val="00956A73"/>
    <w:rsid w:val="009612A8"/>
    <w:rsid w:val="009626D7"/>
    <w:rsid w:val="00965D90"/>
    <w:rsid w:val="00970DDB"/>
    <w:rsid w:val="00971DBF"/>
    <w:rsid w:val="0097296A"/>
    <w:rsid w:val="0097381C"/>
    <w:rsid w:val="009759CA"/>
    <w:rsid w:val="00976B33"/>
    <w:rsid w:val="00976C94"/>
    <w:rsid w:val="00976F72"/>
    <w:rsid w:val="0098729D"/>
    <w:rsid w:val="009906E0"/>
    <w:rsid w:val="00991FC9"/>
    <w:rsid w:val="00994FB2"/>
    <w:rsid w:val="00995D50"/>
    <w:rsid w:val="0099687B"/>
    <w:rsid w:val="00997DF8"/>
    <w:rsid w:val="009A2873"/>
    <w:rsid w:val="009A2924"/>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531D"/>
    <w:rsid w:val="00A66763"/>
    <w:rsid w:val="00A66B82"/>
    <w:rsid w:val="00A66DFD"/>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152C"/>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53D3"/>
    <w:rsid w:val="00B66D12"/>
    <w:rsid w:val="00B73A3F"/>
    <w:rsid w:val="00B743A2"/>
    <w:rsid w:val="00B749F3"/>
    <w:rsid w:val="00B74A24"/>
    <w:rsid w:val="00B74A5E"/>
    <w:rsid w:val="00B74BF9"/>
    <w:rsid w:val="00B852CE"/>
    <w:rsid w:val="00B85E1A"/>
    <w:rsid w:val="00B86373"/>
    <w:rsid w:val="00B9023F"/>
    <w:rsid w:val="00B91B99"/>
    <w:rsid w:val="00B94C4D"/>
    <w:rsid w:val="00B95D82"/>
    <w:rsid w:val="00B97FD6"/>
    <w:rsid w:val="00BA3C73"/>
    <w:rsid w:val="00BA4027"/>
    <w:rsid w:val="00BB2509"/>
    <w:rsid w:val="00BB2C4F"/>
    <w:rsid w:val="00BB3A35"/>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161"/>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3D69"/>
    <w:rsid w:val="00E16384"/>
    <w:rsid w:val="00E168AC"/>
    <w:rsid w:val="00E17056"/>
    <w:rsid w:val="00E17539"/>
    <w:rsid w:val="00E179FD"/>
    <w:rsid w:val="00E212A9"/>
    <w:rsid w:val="00E244FD"/>
    <w:rsid w:val="00E25C6F"/>
    <w:rsid w:val="00E303E1"/>
    <w:rsid w:val="00E313EB"/>
    <w:rsid w:val="00E32CA8"/>
    <w:rsid w:val="00E33F06"/>
    <w:rsid w:val="00E35F09"/>
    <w:rsid w:val="00E37F6F"/>
    <w:rsid w:val="00E44542"/>
    <w:rsid w:val="00E4479D"/>
    <w:rsid w:val="00E4550A"/>
    <w:rsid w:val="00E45A14"/>
    <w:rsid w:val="00E5094F"/>
    <w:rsid w:val="00E53147"/>
    <w:rsid w:val="00E53E8D"/>
    <w:rsid w:val="00E5480E"/>
    <w:rsid w:val="00E56EFC"/>
    <w:rsid w:val="00E609C2"/>
    <w:rsid w:val="00E6150B"/>
    <w:rsid w:val="00E63E57"/>
    <w:rsid w:val="00E63F57"/>
    <w:rsid w:val="00E65741"/>
    <w:rsid w:val="00E67CF5"/>
    <w:rsid w:val="00E7082E"/>
    <w:rsid w:val="00E72523"/>
    <w:rsid w:val="00E7436B"/>
    <w:rsid w:val="00E75DC5"/>
    <w:rsid w:val="00E76666"/>
    <w:rsid w:val="00E767B7"/>
    <w:rsid w:val="00E76BFF"/>
    <w:rsid w:val="00E77308"/>
    <w:rsid w:val="00E8116C"/>
    <w:rsid w:val="00E81A2B"/>
    <w:rsid w:val="00E83D29"/>
    <w:rsid w:val="00E857A9"/>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4F43"/>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DE4"/>
    <w:rsid w:val="00FE5E93"/>
    <w:rsid w:val="00FE644C"/>
    <w:rsid w:val="00FE6F1F"/>
    <w:rsid w:val="00FF03B0"/>
    <w:rsid w:val="00FF207D"/>
    <w:rsid w:val="00FF28BC"/>
    <w:rsid w:val="00FF321C"/>
    <w:rsid w:val="00FF4998"/>
    <w:rsid w:val="00FF59A4"/>
    <w:rsid w:val="00FF5DFC"/>
    <w:rsid w:val="00FF5FB2"/>
    <w:rsid w:val="01186B66"/>
    <w:rsid w:val="014E5781"/>
    <w:rsid w:val="019B6FA8"/>
    <w:rsid w:val="01BB5180"/>
    <w:rsid w:val="01C103F8"/>
    <w:rsid w:val="01FA07B0"/>
    <w:rsid w:val="02313F2A"/>
    <w:rsid w:val="0275404D"/>
    <w:rsid w:val="02E01568"/>
    <w:rsid w:val="03046375"/>
    <w:rsid w:val="03700089"/>
    <w:rsid w:val="03CF5D5C"/>
    <w:rsid w:val="03DB2498"/>
    <w:rsid w:val="041C5514"/>
    <w:rsid w:val="043625FE"/>
    <w:rsid w:val="04733514"/>
    <w:rsid w:val="04924634"/>
    <w:rsid w:val="04A2167D"/>
    <w:rsid w:val="04B17441"/>
    <w:rsid w:val="052F448C"/>
    <w:rsid w:val="055A7952"/>
    <w:rsid w:val="05706921"/>
    <w:rsid w:val="057A1088"/>
    <w:rsid w:val="05846550"/>
    <w:rsid w:val="05CA327E"/>
    <w:rsid w:val="05DA7960"/>
    <w:rsid w:val="06774985"/>
    <w:rsid w:val="069E11BE"/>
    <w:rsid w:val="06BF1F63"/>
    <w:rsid w:val="06E239EF"/>
    <w:rsid w:val="07291206"/>
    <w:rsid w:val="073C47BA"/>
    <w:rsid w:val="07C0082E"/>
    <w:rsid w:val="07C3125D"/>
    <w:rsid w:val="07CF7EA2"/>
    <w:rsid w:val="07F551F5"/>
    <w:rsid w:val="07F55F19"/>
    <w:rsid w:val="08517112"/>
    <w:rsid w:val="08A9717D"/>
    <w:rsid w:val="08C34746"/>
    <w:rsid w:val="08DD4CB6"/>
    <w:rsid w:val="08E34101"/>
    <w:rsid w:val="092335EB"/>
    <w:rsid w:val="092B4F51"/>
    <w:rsid w:val="096E46D5"/>
    <w:rsid w:val="097D29DA"/>
    <w:rsid w:val="098F4396"/>
    <w:rsid w:val="09934557"/>
    <w:rsid w:val="0A5E71AF"/>
    <w:rsid w:val="0A6B261E"/>
    <w:rsid w:val="0AB51F5E"/>
    <w:rsid w:val="0AE32174"/>
    <w:rsid w:val="0AED2B4D"/>
    <w:rsid w:val="0B2D4462"/>
    <w:rsid w:val="0B433477"/>
    <w:rsid w:val="0B514F31"/>
    <w:rsid w:val="0B8278DF"/>
    <w:rsid w:val="0BD20695"/>
    <w:rsid w:val="0C8F7597"/>
    <w:rsid w:val="0CC35432"/>
    <w:rsid w:val="0D1348B8"/>
    <w:rsid w:val="0D55787D"/>
    <w:rsid w:val="0D762D89"/>
    <w:rsid w:val="0DBF4CE3"/>
    <w:rsid w:val="0E174BA7"/>
    <w:rsid w:val="0E491E5D"/>
    <w:rsid w:val="0EAA7C1C"/>
    <w:rsid w:val="0F0D25C9"/>
    <w:rsid w:val="0F2910C0"/>
    <w:rsid w:val="0FEF3A91"/>
    <w:rsid w:val="10032189"/>
    <w:rsid w:val="104657AB"/>
    <w:rsid w:val="1073306D"/>
    <w:rsid w:val="1077029D"/>
    <w:rsid w:val="10ED777A"/>
    <w:rsid w:val="10F03FA8"/>
    <w:rsid w:val="11413E7B"/>
    <w:rsid w:val="11495023"/>
    <w:rsid w:val="114C321C"/>
    <w:rsid w:val="11551DB0"/>
    <w:rsid w:val="11607970"/>
    <w:rsid w:val="11776175"/>
    <w:rsid w:val="11D5692F"/>
    <w:rsid w:val="121C1A71"/>
    <w:rsid w:val="12640C27"/>
    <w:rsid w:val="12817F09"/>
    <w:rsid w:val="1294794D"/>
    <w:rsid w:val="12966AF3"/>
    <w:rsid w:val="12FE0FC0"/>
    <w:rsid w:val="12FE519E"/>
    <w:rsid w:val="131E56C0"/>
    <w:rsid w:val="13860D94"/>
    <w:rsid w:val="143C3D3B"/>
    <w:rsid w:val="146C4654"/>
    <w:rsid w:val="14B00DC9"/>
    <w:rsid w:val="14FD6A90"/>
    <w:rsid w:val="150F2679"/>
    <w:rsid w:val="153C6916"/>
    <w:rsid w:val="15702B4E"/>
    <w:rsid w:val="15944F85"/>
    <w:rsid w:val="16A82188"/>
    <w:rsid w:val="16E858FC"/>
    <w:rsid w:val="17323BCF"/>
    <w:rsid w:val="175E174E"/>
    <w:rsid w:val="178E5E27"/>
    <w:rsid w:val="17C4317A"/>
    <w:rsid w:val="180C188B"/>
    <w:rsid w:val="18622C45"/>
    <w:rsid w:val="18890248"/>
    <w:rsid w:val="18EA1D61"/>
    <w:rsid w:val="190F396D"/>
    <w:rsid w:val="191E46DC"/>
    <w:rsid w:val="1934514E"/>
    <w:rsid w:val="196D749E"/>
    <w:rsid w:val="199A349F"/>
    <w:rsid w:val="19AC5014"/>
    <w:rsid w:val="19C80C5B"/>
    <w:rsid w:val="19EC6237"/>
    <w:rsid w:val="1A681199"/>
    <w:rsid w:val="1AB167CC"/>
    <w:rsid w:val="1ADD7A0C"/>
    <w:rsid w:val="1ADF1A19"/>
    <w:rsid w:val="1B534665"/>
    <w:rsid w:val="1B735097"/>
    <w:rsid w:val="1BA24967"/>
    <w:rsid w:val="1C000C8E"/>
    <w:rsid w:val="1C0E7896"/>
    <w:rsid w:val="1C1076DE"/>
    <w:rsid w:val="1C4C269E"/>
    <w:rsid w:val="1C8403CB"/>
    <w:rsid w:val="1D2F40BA"/>
    <w:rsid w:val="1D7B5175"/>
    <w:rsid w:val="1D7C63EB"/>
    <w:rsid w:val="1DC01261"/>
    <w:rsid w:val="1DC45E9A"/>
    <w:rsid w:val="1E0F5267"/>
    <w:rsid w:val="1E34141D"/>
    <w:rsid w:val="1E6766DA"/>
    <w:rsid w:val="1E9654AF"/>
    <w:rsid w:val="1E9A0AF3"/>
    <w:rsid w:val="1EFC3FD6"/>
    <w:rsid w:val="1F306E32"/>
    <w:rsid w:val="20075BF3"/>
    <w:rsid w:val="20426910"/>
    <w:rsid w:val="205677C5"/>
    <w:rsid w:val="20EC2DA8"/>
    <w:rsid w:val="210E7827"/>
    <w:rsid w:val="21393E6A"/>
    <w:rsid w:val="21430CB8"/>
    <w:rsid w:val="220B144C"/>
    <w:rsid w:val="22A33518"/>
    <w:rsid w:val="22C26C24"/>
    <w:rsid w:val="22CE2D0F"/>
    <w:rsid w:val="22F10A77"/>
    <w:rsid w:val="2314403B"/>
    <w:rsid w:val="23327BB2"/>
    <w:rsid w:val="23872EDF"/>
    <w:rsid w:val="23AB3DF5"/>
    <w:rsid w:val="23E359D2"/>
    <w:rsid w:val="23EF6A65"/>
    <w:rsid w:val="24D25AC6"/>
    <w:rsid w:val="24F54FAD"/>
    <w:rsid w:val="250C1CDD"/>
    <w:rsid w:val="251116B1"/>
    <w:rsid w:val="251C1489"/>
    <w:rsid w:val="25421B0C"/>
    <w:rsid w:val="254622CA"/>
    <w:rsid w:val="25786F5B"/>
    <w:rsid w:val="259524DA"/>
    <w:rsid w:val="259C79F3"/>
    <w:rsid w:val="25C835CF"/>
    <w:rsid w:val="25CD20D7"/>
    <w:rsid w:val="262C55EE"/>
    <w:rsid w:val="266F38DE"/>
    <w:rsid w:val="26871406"/>
    <w:rsid w:val="26A967F0"/>
    <w:rsid w:val="276E4F09"/>
    <w:rsid w:val="277D7855"/>
    <w:rsid w:val="288F6F25"/>
    <w:rsid w:val="28C3168F"/>
    <w:rsid w:val="28EC6CD8"/>
    <w:rsid w:val="28FA09F6"/>
    <w:rsid w:val="29A37A01"/>
    <w:rsid w:val="29B13A13"/>
    <w:rsid w:val="29DF21B0"/>
    <w:rsid w:val="29E57EBF"/>
    <w:rsid w:val="2A575538"/>
    <w:rsid w:val="2A610A4B"/>
    <w:rsid w:val="2A633308"/>
    <w:rsid w:val="2A987773"/>
    <w:rsid w:val="2A9F1722"/>
    <w:rsid w:val="2AF1429C"/>
    <w:rsid w:val="2BC714CB"/>
    <w:rsid w:val="2C247C7C"/>
    <w:rsid w:val="2C470A2A"/>
    <w:rsid w:val="2C5043FD"/>
    <w:rsid w:val="2C5134AF"/>
    <w:rsid w:val="2C865673"/>
    <w:rsid w:val="2CA43B8F"/>
    <w:rsid w:val="2D203581"/>
    <w:rsid w:val="2D355FA7"/>
    <w:rsid w:val="2D643327"/>
    <w:rsid w:val="2D8861A8"/>
    <w:rsid w:val="2E3E78ED"/>
    <w:rsid w:val="2E6D4479"/>
    <w:rsid w:val="2ECA3698"/>
    <w:rsid w:val="2F3125E0"/>
    <w:rsid w:val="2F4859CC"/>
    <w:rsid w:val="2F9E5192"/>
    <w:rsid w:val="2FA92733"/>
    <w:rsid w:val="2FF5479D"/>
    <w:rsid w:val="30164626"/>
    <w:rsid w:val="309019B5"/>
    <w:rsid w:val="31245E6F"/>
    <w:rsid w:val="31B95301"/>
    <w:rsid w:val="320F23C2"/>
    <w:rsid w:val="32DB717D"/>
    <w:rsid w:val="33296423"/>
    <w:rsid w:val="337B1F07"/>
    <w:rsid w:val="33EC718C"/>
    <w:rsid w:val="33F569AA"/>
    <w:rsid w:val="34036C9A"/>
    <w:rsid w:val="34182A9B"/>
    <w:rsid w:val="343E22E2"/>
    <w:rsid w:val="346A3BA4"/>
    <w:rsid w:val="349D2033"/>
    <w:rsid w:val="34AB4F22"/>
    <w:rsid w:val="35312755"/>
    <w:rsid w:val="35AF2F3A"/>
    <w:rsid w:val="35C07A3B"/>
    <w:rsid w:val="35C94004"/>
    <w:rsid w:val="361C77CB"/>
    <w:rsid w:val="36203A46"/>
    <w:rsid w:val="3640288A"/>
    <w:rsid w:val="36E17279"/>
    <w:rsid w:val="372A204B"/>
    <w:rsid w:val="37EB36C4"/>
    <w:rsid w:val="380B1AC9"/>
    <w:rsid w:val="382563C7"/>
    <w:rsid w:val="3832671F"/>
    <w:rsid w:val="3838185E"/>
    <w:rsid w:val="384A0F7C"/>
    <w:rsid w:val="388A0841"/>
    <w:rsid w:val="389F1247"/>
    <w:rsid w:val="38E33B21"/>
    <w:rsid w:val="392213F1"/>
    <w:rsid w:val="395077F0"/>
    <w:rsid w:val="397200C0"/>
    <w:rsid w:val="3977253A"/>
    <w:rsid w:val="397F146D"/>
    <w:rsid w:val="3994237E"/>
    <w:rsid w:val="39A41479"/>
    <w:rsid w:val="39CA6372"/>
    <w:rsid w:val="39D42F61"/>
    <w:rsid w:val="39F52BBB"/>
    <w:rsid w:val="3A25387D"/>
    <w:rsid w:val="3A904555"/>
    <w:rsid w:val="3A936424"/>
    <w:rsid w:val="3AA5567A"/>
    <w:rsid w:val="3AB17F39"/>
    <w:rsid w:val="3ADA260F"/>
    <w:rsid w:val="3B0875A8"/>
    <w:rsid w:val="3B1E2AD4"/>
    <w:rsid w:val="3B8A1AFA"/>
    <w:rsid w:val="3BDB4034"/>
    <w:rsid w:val="3CE609A9"/>
    <w:rsid w:val="3CF94FF9"/>
    <w:rsid w:val="3D307C72"/>
    <w:rsid w:val="3D3C14BA"/>
    <w:rsid w:val="3D622DCF"/>
    <w:rsid w:val="3D651B10"/>
    <w:rsid w:val="3DE4134A"/>
    <w:rsid w:val="3DF641B8"/>
    <w:rsid w:val="3DFF76B9"/>
    <w:rsid w:val="3E130551"/>
    <w:rsid w:val="3EAE71F2"/>
    <w:rsid w:val="3EB63546"/>
    <w:rsid w:val="3EBF1C19"/>
    <w:rsid w:val="3EDA112C"/>
    <w:rsid w:val="3F2F49DC"/>
    <w:rsid w:val="3F3C090C"/>
    <w:rsid w:val="3F442945"/>
    <w:rsid w:val="3F7E27E2"/>
    <w:rsid w:val="3F9F6207"/>
    <w:rsid w:val="3FE96941"/>
    <w:rsid w:val="3FF81320"/>
    <w:rsid w:val="40200E8D"/>
    <w:rsid w:val="40210A98"/>
    <w:rsid w:val="4063109C"/>
    <w:rsid w:val="406E430C"/>
    <w:rsid w:val="4094020B"/>
    <w:rsid w:val="40A55546"/>
    <w:rsid w:val="40AA40FF"/>
    <w:rsid w:val="40FC6BFB"/>
    <w:rsid w:val="41295026"/>
    <w:rsid w:val="41685545"/>
    <w:rsid w:val="41A2496E"/>
    <w:rsid w:val="41DD49A0"/>
    <w:rsid w:val="420F4C19"/>
    <w:rsid w:val="42DA5A81"/>
    <w:rsid w:val="42EE608A"/>
    <w:rsid w:val="43C474DF"/>
    <w:rsid w:val="43EB0BC6"/>
    <w:rsid w:val="44235BD6"/>
    <w:rsid w:val="445D346B"/>
    <w:rsid w:val="449378AD"/>
    <w:rsid w:val="44FB2E63"/>
    <w:rsid w:val="451E605E"/>
    <w:rsid w:val="45A31E69"/>
    <w:rsid w:val="461D64BE"/>
    <w:rsid w:val="467C599A"/>
    <w:rsid w:val="47083695"/>
    <w:rsid w:val="4760077B"/>
    <w:rsid w:val="479445B2"/>
    <w:rsid w:val="47A23A66"/>
    <w:rsid w:val="47A44642"/>
    <w:rsid w:val="47BC4A5E"/>
    <w:rsid w:val="47F866AA"/>
    <w:rsid w:val="47FE67F6"/>
    <w:rsid w:val="4917106F"/>
    <w:rsid w:val="498C15B9"/>
    <w:rsid w:val="499C1EB2"/>
    <w:rsid w:val="49AA3180"/>
    <w:rsid w:val="49C73637"/>
    <w:rsid w:val="4A123A9E"/>
    <w:rsid w:val="4A1914E6"/>
    <w:rsid w:val="4A2C2C73"/>
    <w:rsid w:val="4A347A18"/>
    <w:rsid w:val="4A7C087B"/>
    <w:rsid w:val="4A7C4FC1"/>
    <w:rsid w:val="4AA45BE1"/>
    <w:rsid w:val="4AA65B3B"/>
    <w:rsid w:val="4AFC74DF"/>
    <w:rsid w:val="4B833213"/>
    <w:rsid w:val="4C0412E8"/>
    <w:rsid w:val="4C377209"/>
    <w:rsid w:val="4C3C1AA8"/>
    <w:rsid w:val="4C8463EE"/>
    <w:rsid w:val="4CC06BFB"/>
    <w:rsid w:val="4CD90E06"/>
    <w:rsid w:val="4D4F113F"/>
    <w:rsid w:val="4DDA1A4C"/>
    <w:rsid w:val="4DE87042"/>
    <w:rsid w:val="4E023609"/>
    <w:rsid w:val="4E1A5C09"/>
    <w:rsid w:val="4E2F2359"/>
    <w:rsid w:val="4E380CCC"/>
    <w:rsid w:val="4E431849"/>
    <w:rsid w:val="4E8B0B7B"/>
    <w:rsid w:val="4EBB5959"/>
    <w:rsid w:val="4ED04F5B"/>
    <w:rsid w:val="4EF14F49"/>
    <w:rsid w:val="4EF6050D"/>
    <w:rsid w:val="4F1A59BF"/>
    <w:rsid w:val="4FA54039"/>
    <w:rsid w:val="50123891"/>
    <w:rsid w:val="502A4A4C"/>
    <w:rsid w:val="507A0ADC"/>
    <w:rsid w:val="50D83106"/>
    <w:rsid w:val="513421C6"/>
    <w:rsid w:val="513E6359"/>
    <w:rsid w:val="51652482"/>
    <w:rsid w:val="51884B5E"/>
    <w:rsid w:val="518D3779"/>
    <w:rsid w:val="51D050D1"/>
    <w:rsid w:val="51D7211E"/>
    <w:rsid w:val="52505661"/>
    <w:rsid w:val="5257610A"/>
    <w:rsid w:val="526E5CB5"/>
    <w:rsid w:val="52A9427B"/>
    <w:rsid w:val="52D93B7C"/>
    <w:rsid w:val="53157900"/>
    <w:rsid w:val="53865274"/>
    <w:rsid w:val="54272FB7"/>
    <w:rsid w:val="542E1C7D"/>
    <w:rsid w:val="54683D67"/>
    <w:rsid w:val="547503CA"/>
    <w:rsid w:val="54A21BB2"/>
    <w:rsid w:val="54A32459"/>
    <w:rsid w:val="54C254CA"/>
    <w:rsid w:val="54FB0113"/>
    <w:rsid w:val="54FC1185"/>
    <w:rsid w:val="55B95A64"/>
    <w:rsid w:val="55DD2479"/>
    <w:rsid w:val="55FF5737"/>
    <w:rsid w:val="56022458"/>
    <w:rsid w:val="561D267A"/>
    <w:rsid w:val="561E51C2"/>
    <w:rsid w:val="56400CAD"/>
    <w:rsid w:val="56CC7D61"/>
    <w:rsid w:val="575710A5"/>
    <w:rsid w:val="57F7496D"/>
    <w:rsid w:val="58453A62"/>
    <w:rsid w:val="585B0093"/>
    <w:rsid w:val="58D858C7"/>
    <w:rsid w:val="59186B24"/>
    <w:rsid w:val="592C2178"/>
    <w:rsid w:val="593E3AF5"/>
    <w:rsid w:val="5980115E"/>
    <w:rsid w:val="59B3121D"/>
    <w:rsid w:val="59B40DDE"/>
    <w:rsid w:val="5A6C3F68"/>
    <w:rsid w:val="5A764AEA"/>
    <w:rsid w:val="5A7C6794"/>
    <w:rsid w:val="5ACF0B14"/>
    <w:rsid w:val="5AD97D44"/>
    <w:rsid w:val="5AFE2B3E"/>
    <w:rsid w:val="5B22024B"/>
    <w:rsid w:val="5B835103"/>
    <w:rsid w:val="5BAF2355"/>
    <w:rsid w:val="5BF60B78"/>
    <w:rsid w:val="5C0A3D46"/>
    <w:rsid w:val="5C1668CF"/>
    <w:rsid w:val="5C2448DF"/>
    <w:rsid w:val="5C281A1F"/>
    <w:rsid w:val="5C653248"/>
    <w:rsid w:val="5C7E749C"/>
    <w:rsid w:val="5C800C68"/>
    <w:rsid w:val="5D05202B"/>
    <w:rsid w:val="5DB27F4B"/>
    <w:rsid w:val="5E052F60"/>
    <w:rsid w:val="5E484D06"/>
    <w:rsid w:val="5E995CB6"/>
    <w:rsid w:val="5F4B4928"/>
    <w:rsid w:val="5F6D1766"/>
    <w:rsid w:val="5FA06C93"/>
    <w:rsid w:val="601A75CE"/>
    <w:rsid w:val="60730CCD"/>
    <w:rsid w:val="60787DEF"/>
    <w:rsid w:val="60B97D7B"/>
    <w:rsid w:val="60C471C8"/>
    <w:rsid w:val="60F0127D"/>
    <w:rsid w:val="610229C7"/>
    <w:rsid w:val="61082B42"/>
    <w:rsid w:val="61575DB9"/>
    <w:rsid w:val="615D62A4"/>
    <w:rsid w:val="618170EB"/>
    <w:rsid w:val="61A9603A"/>
    <w:rsid w:val="62282029"/>
    <w:rsid w:val="622B7960"/>
    <w:rsid w:val="624D13D2"/>
    <w:rsid w:val="624D3262"/>
    <w:rsid w:val="62862AB6"/>
    <w:rsid w:val="62952C26"/>
    <w:rsid w:val="62E03330"/>
    <w:rsid w:val="63661CC6"/>
    <w:rsid w:val="639844F4"/>
    <w:rsid w:val="63D30286"/>
    <w:rsid w:val="640C4D66"/>
    <w:rsid w:val="643D6AEA"/>
    <w:rsid w:val="644704AA"/>
    <w:rsid w:val="64512008"/>
    <w:rsid w:val="64836A7E"/>
    <w:rsid w:val="64F37D8E"/>
    <w:rsid w:val="65177A81"/>
    <w:rsid w:val="651D7D2C"/>
    <w:rsid w:val="65344221"/>
    <w:rsid w:val="65593354"/>
    <w:rsid w:val="658339DD"/>
    <w:rsid w:val="658C1862"/>
    <w:rsid w:val="659A4B3F"/>
    <w:rsid w:val="65C014DD"/>
    <w:rsid w:val="66334E81"/>
    <w:rsid w:val="66693D7A"/>
    <w:rsid w:val="66932504"/>
    <w:rsid w:val="66EF434C"/>
    <w:rsid w:val="67085112"/>
    <w:rsid w:val="6716631D"/>
    <w:rsid w:val="6727355B"/>
    <w:rsid w:val="677B7505"/>
    <w:rsid w:val="67A65B19"/>
    <w:rsid w:val="688C494F"/>
    <w:rsid w:val="68B34444"/>
    <w:rsid w:val="68E52730"/>
    <w:rsid w:val="69013A3D"/>
    <w:rsid w:val="69031495"/>
    <w:rsid w:val="697D10D3"/>
    <w:rsid w:val="69882C1F"/>
    <w:rsid w:val="69CB69A6"/>
    <w:rsid w:val="6A3645BE"/>
    <w:rsid w:val="6A9937FB"/>
    <w:rsid w:val="6B0E6819"/>
    <w:rsid w:val="6B815528"/>
    <w:rsid w:val="6BD85097"/>
    <w:rsid w:val="6C2F2D0A"/>
    <w:rsid w:val="6C913258"/>
    <w:rsid w:val="6CE14C19"/>
    <w:rsid w:val="6D7B5101"/>
    <w:rsid w:val="6D7E20B6"/>
    <w:rsid w:val="6E027843"/>
    <w:rsid w:val="6E9D4317"/>
    <w:rsid w:val="6EA43E65"/>
    <w:rsid w:val="6ED215D0"/>
    <w:rsid w:val="6F11121C"/>
    <w:rsid w:val="6F434296"/>
    <w:rsid w:val="6FD36A45"/>
    <w:rsid w:val="70281C68"/>
    <w:rsid w:val="703377EA"/>
    <w:rsid w:val="70A21D6E"/>
    <w:rsid w:val="70B10776"/>
    <w:rsid w:val="7114562E"/>
    <w:rsid w:val="717F1642"/>
    <w:rsid w:val="72253032"/>
    <w:rsid w:val="726D1F0A"/>
    <w:rsid w:val="736F36E4"/>
    <w:rsid w:val="73BD7D1D"/>
    <w:rsid w:val="741D46A8"/>
    <w:rsid w:val="745E480C"/>
    <w:rsid w:val="74741F55"/>
    <w:rsid w:val="74816CD1"/>
    <w:rsid w:val="748976C1"/>
    <w:rsid w:val="74D4090E"/>
    <w:rsid w:val="7514080C"/>
    <w:rsid w:val="751C1E37"/>
    <w:rsid w:val="75325822"/>
    <w:rsid w:val="754001E3"/>
    <w:rsid w:val="757310D2"/>
    <w:rsid w:val="75A03CD1"/>
    <w:rsid w:val="75D97917"/>
    <w:rsid w:val="76134F53"/>
    <w:rsid w:val="76515436"/>
    <w:rsid w:val="76850C11"/>
    <w:rsid w:val="769E1EB6"/>
    <w:rsid w:val="76BB18DA"/>
    <w:rsid w:val="76D95C71"/>
    <w:rsid w:val="77074DCA"/>
    <w:rsid w:val="770816F8"/>
    <w:rsid w:val="772A2634"/>
    <w:rsid w:val="77883EA5"/>
    <w:rsid w:val="77BE4B43"/>
    <w:rsid w:val="78616AC8"/>
    <w:rsid w:val="790F01DA"/>
    <w:rsid w:val="796B05A5"/>
    <w:rsid w:val="79775F17"/>
    <w:rsid w:val="79A43FE1"/>
    <w:rsid w:val="79B57CC2"/>
    <w:rsid w:val="79F70A30"/>
    <w:rsid w:val="79FF2965"/>
    <w:rsid w:val="7A3913E2"/>
    <w:rsid w:val="7A721D3D"/>
    <w:rsid w:val="7AAF2754"/>
    <w:rsid w:val="7ADD7225"/>
    <w:rsid w:val="7B0E5AAD"/>
    <w:rsid w:val="7B9D24D3"/>
    <w:rsid w:val="7B9F5675"/>
    <w:rsid w:val="7BD132F1"/>
    <w:rsid w:val="7C2F6A6C"/>
    <w:rsid w:val="7C677BE9"/>
    <w:rsid w:val="7C81697F"/>
    <w:rsid w:val="7C883222"/>
    <w:rsid w:val="7C936CCC"/>
    <w:rsid w:val="7D170593"/>
    <w:rsid w:val="7D4F5F80"/>
    <w:rsid w:val="7D5354FA"/>
    <w:rsid w:val="7EAD764E"/>
    <w:rsid w:val="7EB47327"/>
    <w:rsid w:val="7EB57BDC"/>
    <w:rsid w:val="7ECB089F"/>
    <w:rsid w:val="7F0511FB"/>
    <w:rsid w:val="7F5C1E83"/>
    <w:rsid w:val="7FE55DFA"/>
    <w:rsid w:val="7FF17E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kern w:val="2"/>
      <w:sz w:val="21"/>
      <w:szCs w:val="24"/>
      <w:lang w:val="en-US" w:eastAsia="zh-CN" w:bidi="ar-SA"/>
    </w:rPr>
  </w:style>
  <w:style w:type="paragraph" w:styleId="3">
    <w:name w:val="heading 1"/>
    <w:basedOn w:val="1"/>
    <w:next w:val="1"/>
    <w:link w:val="168"/>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link w:val="144"/>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5">
    <w:name w:val="heading 3"/>
    <w:basedOn w:val="1"/>
    <w:next w:val="1"/>
    <w:link w:val="116"/>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6">
    <w:name w:val="heading 4"/>
    <w:basedOn w:val="1"/>
    <w:next w:val="1"/>
    <w:link w:val="128"/>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link w:val="119"/>
    <w:qFormat/>
    <w:uiPriority w:val="0"/>
    <w:pPr>
      <w:keepNext/>
      <w:keepLines/>
      <w:spacing w:before="280" w:after="290" w:line="376" w:lineRule="auto"/>
      <w:outlineLvl w:val="4"/>
    </w:pPr>
    <w:rPr>
      <w:rFonts w:ascii="Calibri" w:hAnsi="Calibri" w:eastAsia="??"/>
      <w:b/>
      <w:bCs/>
      <w:sz w:val="28"/>
      <w:szCs w:val="28"/>
    </w:rPr>
  </w:style>
  <w:style w:type="paragraph" w:styleId="8">
    <w:name w:val="heading 6"/>
    <w:basedOn w:val="7"/>
    <w:next w:val="1"/>
    <w:link w:val="148"/>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9">
    <w:name w:val="heading 7"/>
    <w:basedOn w:val="1"/>
    <w:next w:val="1"/>
    <w:link w:val="139"/>
    <w:qFormat/>
    <w:uiPriority w:val="0"/>
    <w:pPr>
      <w:keepNext/>
      <w:keepLines/>
      <w:widowControl/>
      <w:numPr>
        <w:ilvl w:val="6"/>
        <w:numId w:val="2"/>
      </w:numPr>
      <w:spacing w:before="240" w:after="64" w:line="319" w:lineRule="auto"/>
      <w:jc w:val="left"/>
      <w:outlineLvl w:val="6"/>
    </w:pPr>
    <w:rPr>
      <w:rFonts w:ascii="Calibri" w:hAnsi="Calibri" w:eastAsia="??"/>
      <w:b/>
      <w:bCs/>
      <w:kern w:val="0"/>
      <w:sz w:val="24"/>
      <w:szCs w:val="28"/>
    </w:rPr>
  </w:style>
  <w:style w:type="paragraph" w:styleId="10">
    <w:name w:val="heading 8"/>
    <w:basedOn w:val="1"/>
    <w:next w:val="1"/>
    <w:link w:val="137"/>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1">
    <w:name w:val="heading 9"/>
    <w:basedOn w:val="1"/>
    <w:next w:val="1"/>
    <w:link w:val="188"/>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78">
    <w:name w:val="Default Paragraph Font"/>
    <w:link w:val="79"/>
    <w:semiHidden/>
    <w:uiPriority w:val="0"/>
    <w:rPr>
      <w:rFonts w:ascii="??_GB2312" w:hAnsi="??_GB2312" w:eastAsia="??_GB2312" w:cs="宋体"/>
      <w:b/>
      <w:sz w:val="32"/>
      <w:szCs w:val="32"/>
    </w:rPr>
  </w:style>
  <w:style w:type="table" w:default="1" w:styleId="76">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6"/>
      <w:tblCellMar>
        <w:top w:w="0" w:type="dxa"/>
        <w:left w:w="108" w:type="dxa"/>
        <w:bottom w:w="0" w:type="dxa"/>
        <w:right w:w="108" w:type="dxa"/>
      </w:tblCellMar>
    </w:tblPr>
  </w:style>
  <w:style w:type="paragraph" w:styleId="2">
    <w:name w:val="macro"/>
    <w:link w:val="11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numPr>
        <w:ilvl w:val="0"/>
        <w:numId w:val="3"/>
      </w:numPr>
      <w:spacing w:line="360" w:lineRule="auto"/>
    </w:pPr>
    <w:rPr>
      <w:sz w:val="24"/>
    </w:rPr>
  </w:style>
  <w:style w:type="paragraph" w:styleId="14">
    <w:name w:val="table of authorities"/>
    <w:basedOn w:val="1"/>
    <w:next w:val="1"/>
    <w:uiPriority w:val="0"/>
    <w:pPr>
      <w:spacing w:line="360" w:lineRule="auto"/>
      <w:ind w:left="420" w:leftChars="200"/>
    </w:pPr>
    <w:rPr>
      <w:rFonts w:eastAsia="楷体_GB2312"/>
      <w:sz w:val="24"/>
    </w:rPr>
  </w:style>
  <w:style w:type="paragraph" w:styleId="15">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uiPriority w:val="0"/>
    <w:pPr>
      <w:spacing w:line="360" w:lineRule="auto"/>
      <w:ind w:left="1400" w:leftChars="1400"/>
    </w:pPr>
    <w:rPr>
      <w:rFonts w:eastAsia="楷体_GB2312"/>
      <w:sz w:val="24"/>
    </w:rPr>
  </w:style>
  <w:style w:type="paragraph" w:styleId="17">
    <w:name w:val="E-mail Signature"/>
    <w:basedOn w:val="1"/>
    <w:link w:val="158"/>
    <w:uiPriority w:val="0"/>
    <w:pPr>
      <w:spacing w:line="360" w:lineRule="auto"/>
    </w:pPr>
    <w:rPr>
      <w:rFonts w:ascii="Calibri" w:hAnsi="Calibri" w:eastAsia="楷体_GB2312"/>
      <w:sz w:val="24"/>
    </w:rPr>
  </w:style>
  <w:style w:type="paragraph" w:styleId="18">
    <w:name w:val="List Number"/>
    <w:basedOn w:val="1"/>
    <w:uiPriority w:val="0"/>
    <w:pPr>
      <w:tabs>
        <w:tab w:val="left" w:pos="360"/>
      </w:tabs>
      <w:spacing w:line="360" w:lineRule="auto"/>
      <w:ind w:left="360" w:hanging="360" w:hangingChars="200"/>
    </w:pPr>
    <w:rPr>
      <w:rFonts w:eastAsia="楷体_GB2312"/>
      <w:sz w:val="24"/>
    </w:rPr>
  </w:style>
  <w:style w:type="paragraph" w:styleId="19">
    <w:name w:val="Normal Indent"/>
    <w:basedOn w:val="1"/>
    <w:link w:val="194"/>
    <w:uiPriority w:val="0"/>
    <w:pPr>
      <w:widowControl/>
      <w:ind w:firstLine="420"/>
      <w:jc w:val="left"/>
    </w:pPr>
    <w:rPr>
      <w:rFonts w:ascii="Calibri" w:hAnsi="Calibri" w:eastAsia="??"/>
      <w:kern w:val="0"/>
      <w:sz w:val="24"/>
    </w:rPr>
  </w:style>
  <w:style w:type="paragraph" w:styleId="20">
    <w:name w:val="caption"/>
    <w:basedOn w:val="1"/>
    <w:next w:val="1"/>
    <w:qFormat/>
    <w:uiPriority w:val="0"/>
    <w:pPr>
      <w:spacing w:before="152" w:after="160" w:line="360" w:lineRule="auto"/>
    </w:pPr>
    <w:rPr>
      <w:rFonts w:ascii="Arial" w:hAnsi="Arial" w:eastAsia="黑体" w:cs="Arial"/>
      <w:sz w:val="20"/>
      <w:szCs w:val="20"/>
    </w:rPr>
  </w:style>
  <w:style w:type="paragraph" w:styleId="21">
    <w:name w:val="index 5"/>
    <w:basedOn w:val="1"/>
    <w:next w:val="1"/>
    <w:uiPriority w:val="0"/>
    <w:pPr>
      <w:spacing w:line="360" w:lineRule="auto"/>
      <w:ind w:left="800" w:leftChars="800"/>
    </w:pPr>
    <w:rPr>
      <w:rFonts w:eastAsia="楷体_GB2312"/>
      <w:sz w:val="24"/>
    </w:rPr>
  </w:style>
  <w:style w:type="paragraph" w:styleId="22">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3">
    <w:name w:val="Document Map"/>
    <w:basedOn w:val="1"/>
    <w:uiPriority w:val="0"/>
    <w:pPr>
      <w:shd w:val="clear" w:color="auto" w:fill="000080"/>
    </w:pPr>
    <w:rPr>
      <w:rFonts w:eastAsia="??"/>
      <w:sz w:val="28"/>
      <w:szCs w:val="28"/>
    </w:rPr>
  </w:style>
  <w:style w:type="paragraph" w:styleId="24">
    <w:name w:val="toa heading"/>
    <w:basedOn w:val="1"/>
    <w:next w:val="1"/>
    <w:uiPriority w:val="0"/>
    <w:pPr>
      <w:spacing w:before="120" w:line="360" w:lineRule="auto"/>
    </w:pPr>
    <w:rPr>
      <w:rFonts w:ascii="Arial" w:hAnsi="Arial" w:eastAsia="楷体_GB2312" w:cs="Arial"/>
      <w:sz w:val="24"/>
    </w:rPr>
  </w:style>
  <w:style w:type="paragraph" w:styleId="25">
    <w:name w:val="annotation text"/>
    <w:basedOn w:val="1"/>
    <w:link w:val="123"/>
    <w:uiPriority w:val="0"/>
    <w:pPr>
      <w:jc w:val="left"/>
    </w:pPr>
    <w:rPr>
      <w:rFonts w:ascii="Calibri" w:hAnsi="Calibri" w:cs="Lucida Sans"/>
      <w:szCs w:val="20"/>
    </w:rPr>
  </w:style>
  <w:style w:type="paragraph" w:styleId="26">
    <w:name w:val="index 6"/>
    <w:basedOn w:val="1"/>
    <w:next w:val="1"/>
    <w:uiPriority w:val="0"/>
    <w:pPr>
      <w:spacing w:line="360" w:lineRule="auto"/>
      <w:ind w:left="1000" w:leftChars="1000"/>
    </w:pPr>
    <w:rPr>
      <w:rFonts w:eastAsia="楷体_GB2312"/>
      <w:sz w:val="24"/>
    </w:rPr>
  </w:style>
  <w:style w:type="paragraph" w:styleId="27">
    <w:name w:val="Salutation"/>
    <w:basedOn w:val="1"/>
    <w:next w:val="1"/>
    <w:link w:val="156"/>
    <w:uiPriority w:val="0"/>
    <w:rPr>
      <w:rFonts w:ascii="仿宋_GB2312" w:hAnsi="Calibri" w:eastAsia="仿宋_GB2312"/>
      <w:sz w:val="28"/>
      <w:szCs w:val="20"/>
    </w:rPr>
  </w:style>
  <w:style w:type="paragraph" w:styleId="28">
    <w:name w:val="Body Text 3"/>
    <w:basedOn w:val="1"/>
    <w:link w:val="151"/>
    <w:uiPriority w:val="0"/>
    <w:pPr>
      <w:jc w:val="center"/>
    </w:pPr>
    <w:rPr>
      <w:rFonts w:ascii="Calibri" w:hAnsi="Calibri"/>
      <w:szCs w:val="20"/>
    </w:rPr>
  </w:style>
  <w:style w:type="paragraph" w:styleId="29">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uiPriority w:val="0"/>
    <w:rPr>
      <w:rFonts w:eastAsia="??"/>
      <w:sz w:val="24"/>
      <w:szCs w:val="28"/>
    </w:rPr>
  </w:style>
  <w:style w:type="paragraph" w:styleId="31">
    <w:name w:val="Body Text Indent"/>
    <w:basedOn w:val="1"/>
    <w:link w:val="127"/>
    <w:uiPriority w:val="0"/>
    <w:pPr>
      <w:spacing w:line="480" w:lineRule="atLeast"/>
      <w:ind w:firstLine="570"/>
    </w:pPr>
    <w:rPr>
      <w:rFonts w:ascii="??" w:hAnsi="??" w:eastAsia="??"/>
      <w:sz w:val="28"/>
      <w:szCs w:val="28"/>
    </w:rPr>
  </w:style>
  <w:style w:type="paragraph" w:styleId="32">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uiPriority w:val="0"/>
    <w:pPr>
      <w:spacing w:line="360" w:lineRule="auto"/>
      <w:ind w:left="100" w:leftChars="200" w:hanging="200" w:hangingChars="200"/>
      <w:contextualSpacing/>
    </w:pPr>
    <w:rPr>
      <w:sz w:val="24"/>
    </w:rPr>
  </w:style>
  <w:style w:type="paragraph" w:styleId="34">
    <w:name w:val="List Continue"/>
    <w:basedOn w:val="1"/>
    <w:uiPriority w:val="0"/>
    <w:pPr>
      <w:spacing w:after="120" w:line="360" w:lineRule="auto"/>
      <w:ind w:left="420" w:leftChars="200"/>
    </w:pPr>
    <w:rPr>
      <w:rFonts w:eastAsia="楷体_GB2312"/>
      <w:sz w:val="24"/>
    </w:rPr>
  </w:style>
  <w:style w:type="paragraph" w:styleId="35">
    <w:name w:val="Block Text"/>
    <w:basedOn w:val="1"/>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uiPriority w:val="0"/>
    <w:pPr>
      <w:spacing w:line="360" w:lineRule="auto"/>
      <w:ind w:left="600" w:leftChars="600"/>
    </w:pPr>
    <w:rPr>
      <w:rFonts w:eastAsia="楷体_GB2312"/>
      <w:sz w:val="24"/>
    </w:rPr>
  </w:style>
  <w:style w:type="paragraph" w:styleId="38">
    <w:name w:val="toc 5"/>
    <w:basedOn w:val="1"/>
    <w:next w:val="1"/>
    <w:uiPriority w:val="0"/>
    <w:pPr>
      <w:ind w:left="840"/>
      <w:jc w:val="left"/>
    </w:pPr>
    <w:rPr>
      <w:sz w:val="18"/>
      <w:szCs w:val="18"/>
    </w:rPr>
  </w:style>
  <w:style w:type="paragraph" w:styleId="39">
    <w:name w:val="toc 3"/>
    <w:basedOn w:val="1"/>
    <w:next w:val="1"/>
    <w:uiPriority w:val="0"/>
    <w:pPr>
      <w:ind w:left="420"/>
      <w:jc w:val="left"/>
    </w:pPr>
    <w:rPr>
      <w:i/>
      <w:iCs/>
      <w:sz w:val="20"/>
      <w:szCs w:val="20"/>
    </w:rPr>
  </w:style>
  <w:style w:type="paragraph" w:styleId="40">
    <w:name w:val="Plain Text"/>
    <w:basedOn w:val="1"/>
    <w:link w:val="160"/>
    <w:qFormat/>
    <w:uiPriority w:val="0"/>
    <w:rPr>
      <w:rFonts w:ascii="??" w:hAnsi="??" w:eastAsia="??"/>
      <w:szCs w:val="21"/>
    </w:rPr>
  </w:style>
  <w:style w:type="paragraph" w:styleId="41">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uiPriority w:val="0"/>
    <w:pPr>
      <w:ind w:left="1470"/>
      <w:jc w:val="left"/>
    </w:pPr>
    <w:rPr>
      <w:sz w:val="18"/>
      <w:szCs w:val="18"/>
    </w:rPr>
  </w:style>
  <w:style w:type="paragraph" w:styleId="44">
    <w:name w:val="index 3"/>
    <w:basedOn w:val="1"/>
    <w:next w:val="1"/>
    <w:uiPriority w:val="0"/>
    <w:pPr>
      <w:spacing w:line="360" w:lineRule="auto"/>
      <w:ind w:left="400" w:leftChars="400"/>
    </w:pPr>
    <w:rPr>
      <w:rFonts w:eastAsia="楷体_GB2312"/>
      <w:sz w:val="24"/>
    </w:rPr>
  </w:style>
  <w:style w:type="paragraph" w:styleId="45">
    <w:name w:val="Date"/>
    <w:basedOn w:val="1"/>
    <w:next w:val="1"/>
    <w:link w:val="89"/>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link w:val="150"/>
    <w:uiPriority w:val="0"/>
    <w:pPr>
      <w:spacing w:line="520" w:lineRule="exact"/>
      <w:ind w:firstLine="303" w:firstLineChars="303"/>
    </w:pPr>
    <w:rPr>
      <w:rFonts w:ascii="??" w:hAnsi="??" w:eastAsia="??" w:cs="宋体"/>
      <w:sz w:val="28"/>
      <w:szCs w:val="28"/>
    </w:rPr>
  </w:style>
  <w:style w:type="paragraph" w:styleId="47">
    <w:name w:val="endnote text"/>
    <w:basedOn w:val="1"/>
    <w:link w:val="131"/>
    <w:uiPriority w:val="0"/>
    <w:pPr>
      <w:snapToGrid w:val="0"/>
      <w:spacing w:line="360" w:lineRule="auto"/>
      <w:jc w:val="left"/>
    </w:pPr>
    <w:rPr>
      <w:rFonts w:ascii="Calibri" w:hAnsi="Calibri" w:eastAsia="楷体_GB2312"/>
      <w:sz w:val="24"/>
    </w:rPr>
  </w:style>
  <w:style w:type="paragraph" w:styleId="48">
    <w:name w:val="List Continue 5"/>
    <w:basedOn w:val="1"/>
    <w:uiPriority w:val="0"/>
    <w:pPr>
      <w:spacing w:after="120" w:line="360" w:lineRule="auto"/>
      <w:ind w:left="2100" w:leftChars="1000"/>
    </w:pPr>
    <w:rPr>
      <w:rFonts w:eastAsia="楷体_GB2312"/>
      <w:sz w:val="24"/>
    </w:rPr>
  </w:style>
  <w:style w:type="paragraph" w:styleId="49">
    <w:name w:val="Balloon Text"/>
    <w:basedOn w:val="1"/>
    <w:link w:val="94"/>
    <w:uiPriority w:val="0"/>
    <w:rPr>
      <w:rFonts w:ascii="Calibri" w:hAnsi="Calibri" w:eastAsia="??"/>
      <w:sz w:val="18"/>
      <w:szCs w:val="18"/>
    </w:rPr>
  </w:style>
  <w:style w:type="paragraph" w:styleId="50">
    <w:name w:val="footer"/>
    <w:basedOn w:val="1"/>
    <w:link w:val="99"/>
    <w:uiPriority w:val="0"/>
    <w:pPr>
      <w:tabs>
        <w:tab w:val="center" w:pos="4153"/>
        <w:tab w:val="right" w:pos="8306"/>
      </w:tabs>
      <w:snapToGrid w:val="0"/>
      <w:jc w:val="left"/>
    </w:pPr>
    <w:rPr>
      <w:rFonts w:ascii="Calibri" w:hAnsi="Calibri" w:eastAsia="??"/>
      <w:sz w:val="18"/>
      <w:szCs w:val="28"/>
    </w:rPr>
  </w:style>
  <w:style w:type="paragraph" w:styleId="51">
    <w:name w:val="header"/>
    <w:basedOn w:val="1"/>
    <w:link w:val="180"/>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2">
    <w:name w:val="Signature"/>
    <w:basedOn w:val="1"/>
    <w:link w:val="113"/>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3">
    <w:name w:val="toc 1"/>
    <w:basedOn w:val="1"/>
    <w:next w:val="1"/>
    <w:uiPriority w:val="39"/>
    <w:pPr>
      <w:spacing w:before="120" w:after="120"/>
      <w:jc w:val="left"/>
    </w:pPr>
    <w:rPr>
      <w:b/>
      <w:bCs/>
      <w:caps/>
      <w:sz w:val="20"/>
      <w:szCs w:val="20"/>
    </w:rPr>
  </w:style>
  <w:style w:type="paragraph" w:styleId="54">
    <w:name w:val="List Continue 4"/>
    <w:basedOn w:val="1"/>
    <w:uiPriority w:val="0"/>
    <w:pPr>
      <w:spacing w:after="120" w:line="360" w:lineRule="auto"/>
      <w:ind w:left="1680" w:leftChars="800"/>
    </w:pPr>
    <w:rPr>
      <w:rFonts w:eastAsia="楷体_GB2312"/>
      <w:sz w:val="24"/>
    </w:rPr>
  </w:style>
  <w:style w:type="paragraph" w:styleId="55">
    <w:name w:val="toc 4"/>
    <w:basedOn w:val="1"/>
    <w:next w:val="1"/>
    <w:uiPriority w:val="0"/>
    <w:pPr>
      <w:ind w:left="630"/>
      <w:jc w:val="left"/>
    </w:pPr>
    <w:rPr>
      <w:sz w:val="18"/>
      <w:szCs w:val="18"/>
    </w:rPr>
  </w:style>
  <w:style w:type="paragraph" w:styleId="56">
    <w:name w:val="index heading"/>
    <w:basedOn w:val="1"/>
    <w:next w:val="57"/>
    <w:uiPriority w:val="0"/>
    <w:pPr>
      <w:spacing w:line="360" w:lineRule="auto"/>
    </w:pPr>
    <w:rPr>
      <w:rFonts w:ascii="Arial" w:hAnsi="Arial" w:eastAsia="楷体_GB2312" w:cs="Arial"/>
      <w:b/>
      <w:bCs/>
      <w:sz w:val="24"/>
    </w:rPr>
  </w:style>
  <w:style w:type="paragraph" w:styleId="57">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62"/>
    <w:uiPriority w:val="0"/>
    <w:pPr>
      <w:snapToGrid w:val="0"/>
      <w:spacing w:line="360" w:lineRule="auto"/>
      <w:jc w:val="left"/>
    </w:pPr>
    <w:rPr>
      <w:rFonts w:ascii="Calibri" w:hAnsi="Calibri" w:eastAsia="楷体_GB2312"/>
      <w:sz w:val="18"/>
      <w:szCs w:val="18"/>
    </w:rPr>
  </w:style>
  <w:style w:type="paragraph" w:styleId="60">
    <w:name w:val="toc 6"/>
    <w:basedOn w:val="1"/>
    <w:next w:val="1"/>
    <w:uiPriority w:val="0"/>
    <w:pPr>
      <w:ind w:left="1050"/>
      <w:jc w:val="left"/>
    </w:pPr>
    <w:rPr>
      <w:sz w:val="18"/>
      <w:szCs w:val="18"/>
    </w:rPr>
  </w:style>
  <w:style w:type="paragraph" w:styleId="61">
    <w:name w:val="Body Text Indent 3"/>
    <w:basedOn w:val="1"/>
    <w:link w:val="136"/>
    <w:uiPriority w:val="0"/>
    <w:pPr>
      <w:spacing w:line="520" w:lineRule="exact"/>
      <w:ind w:firstLine="547"/>
    </w:pPr>
    <w:rPr>
      <w:rFonts w:ascii="Calibri" w:hAnsi="Calibri" w:eastAsia="??"/>
      <w:sz w:val="28"/>
      <w:szCs w:val="28"/>
    </w:rPr>
  </w:style>
  <w:style w:type="paragraph" w:styleId="62">
    <w:name w:val="index 7"/>
    <w:basedOn w:val="1"/>
    <w:next w:val="1"/>
    <w:uiPriority w:val="0"/>
    <w:pPr>
      <w:spacing w:line="360" w:lineRule="auto"/>
      <w:ind w:left="1200" w:leftChars="1200"/>
    </w:pPr>
    <w:rPr>
      <w:rFonts w:eastAsia="楷体_GB2312"/>
      <w:sz w:val="24"/>
    </w:rPr>
  </w:style>
  <w:style w:type="paragraph" w:styleId="63">
    <w:name w:val="index 9"/>
    <w:basedOn w:val="1"/>
    <w:next w:val="1"/>
    <w:uiPriority w:val="0"/>
    <w:pPr>
      <w:spacing w:line="360" w:lineRule="auto"/>
      <w:ind w:left="1600" w:leftChars="1600"/>
    </w:pPr>
    <w:rPr>
      <w:rFonts w:eastAsia="楷体_GB2312"/>
      <w:sz w:val="24"/>
    </w:rPr>
  </w:style>
  <w:style w:type="paragraph" w:styleId="64">
    <w:name w:val="table of figures"/>
    <w:basedOn w:val="1"/>
    <w:next w:val="1"/>
    <w:uiPriority w:val="0"/>
    <w:pPr>
      <w:ind w:left="560" w:hanging="560"/>
      <w:jc w:val="left"/>
    </w:pPr>
    <w:rPr>
      <w:rFonts w:ascii="Calibri" w:hAnsi="Calibri" w:eastAsia="??" w:cs="宋体"/>
      <w:smallCaps/>
      <w:sz w:val="20"/>
      <w:szCs w:val="28"/>
    </w:rPr>
  </w:style>
  <w:style w:type="paragraph" w:styleId="65">
    <w:name w:val="toc 2"/>
    <w:basedOn w:val="1"/>
    <w:next w:val="1"/>
    <w:uiPriority w:val="39"/>
    <w:pPr>
      <w:ind w:left="210"/>
      <w:jc w:val="left"/>
    </w:pPr>
    <w:rPr>
      <w:smallCaps/>
      <w:sz w:val="20"/>
      <w:szCs w:val="20"/>
    </w:rPr>
  </w:style>
  <w:style w:type="paragraph" w:styleId="66">
    <w:name w:val="toc 9"/>
    <w:basedOn w:val="1"/>
    <w:next w:val="1"/>
    <w:uiPriority w:val="0"/>
    <w:pPr>
      <w:ind w:left="1680"/>
      <w:jc w:val="left"/>
    </w:pPr>
    <w:rPr>
      <w:sz w:val="18"/>
      <w:szCs w:val="18"/>
    </w:rPr>
  </w:style>
  <w:style w:type="paragraph" w:styleId="67">
    <w:name w:val="Body Text 2"/>
    <w:basedOn w:val="1"/>
    <w:link w:val="147"/>
    <w:uiPriority w:val="0"/>
    <w:pPr>
      <w:spacing w:after="120" w:line="480" w:lineRule="auto"/>
    </w:pPr>
    <w:rPr>
      <w:rFonts w:ascii="Calibri" w:hAnsi="Calibri"/>
      <w:szCs w:val="20"/>
    </w:rPr>
  </w:style>
  <w:style w:type="paragraph" w:styleId="68">
    <w:name w:val="List Continue 2"/>
    <w:basedOn w:val="1"/>
    <w:uiPriority w:val="0"/>
    <w:pPr>
      <w:spacing w:after="120" w:line="360" w:lineRule="auto"/>
      <w:ind w:left="840" w:leftChars="400"/>
    </w:pPr>
    <w:rPr>
      <w:rFonts w:eastAsia="楷体_GB2312"/>
      <w:sz w:val="24"/>
    </w:rPr>
  </w:style>
  <w:style w:type="paragraph" w:styleId="69">
    <w:name w:val="HTML Preformatted"/>
    <w:basedOn w:val="1"/>
    <w:link w:val="15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uiPriority w:val="0"/>
    <w:pPr>
      <w:spacing w:line="360" w:lineRule="auto"/>
      <w:ind w:left="200" w:leftChars="200"/>
    </w:pPr>
    <w:rPr>
      <w:rFonts w:eastAsia="楷体_GB2312"/>
      <w:sz w:val="24"/>
    </w:rPr>
  </w:style>
  <w:style w:type="paragraph" w:styleId="72">
    <w:name w:val="Title"/>
    <w:basedOn w:val="1"/>
    <w:link w:val="166"/>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3">
    <w:name w:val="annotation subject"/>
    <w:basedOn w:val="25"/>
    <w:next w:val="25"/>
    <w:link w:val="169"/>
    <w:uiPriority w:val="0"/>
    <w:rPr>
      <w:rFonts w:cs="Times New Roman"/>
      <w:b/>
    </w:rPr>
  </w:style>
  <w:style w:type="paragraph" w:styleId="74">
    <w:name w:val="Body Text First Indent"/>
    <w:basedOn w:val="30"/>
    <w:link w:val="91"/>
    <w:uiPriority w:val="0"/>
    <w:pPr>
      <w:autoSpaceDE w:val="0"/>
      <w:autoSpaceDN w:val="0"/>
      <w:adjustRightInd w:val="0"/>
      <w:spacing w:line="360" w:lineRule="auto"/>
      <w:ind w:firstLine="420"/>
    </w:pPr>
    <w:rPr>
      <w:rFonts w:ascii="宋体" w:hAnsi="Calibri" w:eastAsia="宋体"/>
      <w:szCs w:val="20"/>
      <w:lang w:val="zh-CN"/>
    </w:rPr>
  </w:style>
  <w:style w:type="paragraph" w:styleId="75">
    <w:name w:val="Body Text First Indent 2"/>
    <w:basedOn w:val="31"/>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qFormat/>
    <w:uiPriority w:val="0"/>
    <w:tblPr>
      <w:tblStyle w:val="7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Char1"/>
    <w:basedOn w:val="1"/>
    <w:link w:val="78"/>
    <w:uiPriority w:val="0"/>
    <w:rPr>
      <w:rFonts w:ascii="??_GB2312" w:hAnsi="??_GB2312" w:eastAsia="??_GB2312" w:cs="宋体"/>
      <w:b/>
      <w:sz w:val="32"/>
      <w:szCs w:val="32"/>
    </w:rPr>
  </w:style>
  <w:style w:type="character" w:styleId="80">
    <w:name w:val="Strong"/>
    <w:qFormat/>
    <w:uiPriority w:val="0"/>
    <w:rPr>
      <w:b/>
    </w:rPr>
  </w:style>
  <w:style w:type="character" w:styleId="81">
    <w:name w:val="page number"/>
    <w:basedOn w:val="78"/>
    <w:uiPriority w:val="0"/>
  </w:style>
  <w:style w:type="character" w:styleId="82">
    <w:name w:val="FollowedHyperlink"/>
    <w:uiPriority w:val="0"/>
    <w:rPr>
      <w:color w:val="800080"/>
      <w:u w:val="single"/>
    </w:rPr>
  </w:style>
  <w:style w:type="character" w:styleId="83">
    <w:name w:val="line number"/>
    <w:basedOn w:val="78"/>
    <w:uiPriority w:val="0"/>
  </w:style>
  <w:style w:type="character" w:styleId="84">
    <w:name w:val="Hyperlink"/>
    <w:uiPriority w:val="99"/>
    <w:rPr>
      <w:color w:val="0000FF"/>
      <w:u w:val="single"/>
    </w:rPr>
  </w:style>
  <w:style w:type="character" w:styleId="85">
    <w:name w:val="annotation reference"/>
    <w:uiPriority w:val="0"/>
    <w:rPr>
      <w:sz w:val="21"/>
    </w:rPr>
  </w:style>
  <w:style w:type="character" w:customStyle="1" w:styleId="86">
    <w:name w:val="占位符文本"/>
    <w:semiHidden/>
    <w:uiPriority w:val="0"/>
    <w:rPr>
      <w:color w:val="808080"/>
    </w:rPr>
  </w:style>
  <w:style w:type="character" w:customStyle="1" w:styleId="87">
    <w:name w:val="sony121"/>
    <w:uiPriority w:val="0"/>
    <w:rPr>
      <w:rFonts w:hint="eastAsia" w:ascii="宋体" w:hAnsi="宋体" w:eastAsia="宋体"/>
      <w:sz w:val="18"/>
      <w:szCs w:val="18"/>
    </w:rPr>
  </w:style>
  <w:style w:type="character" w:customStyle="1" w:styleId="88">
    <w:name w:val="font21"/>
    <w:uiPriority w:val="0"/>
    <w:rPr>
      <w:rFonts w:hint="eastAsia" w:ascii="宋体" w:hAnsi="宋体" w:eastAsia="宋体"/>
      <w:kern w:val="2"/>
      <w:sz w:val="28"/>
      <w:szCs w:val="28"/>
      <w:lang w:val="en-US" w:eastAsia="zh-CN" w:bidi="ar-SA"/>
    </w:rPr>
  </w:style>
  <w:style w:type="character" w:customStyle="1" w:styleId="89">
    <w:name w:val="日期 字符"/>
    <w:link w:val="45"/>
    <w:uiPriority w:val="0"/>
    <w:rPr>
      <w:rFonts w:eastAsia="??_GB2312"/>
      <w:b/>
      <w:sz w:val="28"/>
      <w:szCs w:val="28"/>
      <w:lang w:val="en-US" w:eastAsia="zh-CN" w:bidi="ar-SA"/>
    </w:rPr>
  </w:style>
  <w:style w:type="character" w:customStyle="1" w:styleId="90">
    <w:name w:val=" Char Char16"/>
    <w:uiPriority w:val="0"/>
    <w:rPr>
      <w:rFonts w:ascii="宋体" w:hAnsi="宋体" w:eastAsia="宋体" w:cs="Lucida Sans"/>
    </w:rPr>
  </w:style>
  <w:style w:type="character" w:customStyle="1" w:styleId="91">
    <w:name w:val="正文文本首行缩进 字符"/>
    <w:link w:val="74"/>
    <w:uiPriority w:val="0"/>
    <w:rPr>
      <w:rFonts w:ascii="宋体" w:eastAsia="宋体"/>
      <w:kern w:val="2"/>
      <w:sz w:val="24"/>
      <w:lang w:val="zh-CN" w:eastAsia="zh-CN" w:bidi="ar-SA"/>
    </w:rPr>
  </w:style>
  <w:style w:type="character" w:customStyle="1" w:styleId="92">
    <w:name w:val="正文缩 Char"/>
    <w:link w:val="93"/>
    <w:uiPriority w:val="0"/>
    <w:rPr>
      <w:rFonts w:eastAsia="楷体_GB2312"/>
      <w:kern w:val="2"/>
      <w:sz w:val="24"/>
      <w:szCs w:val="24"/>
      <w:lang w:bidi="ar-SA"/>
    </w:rPr>
  </w:style>
  <w:style w:type="paragraph" w:customStyle="1" w:styleId="93">
    <w:name w:val="正文缩"/>
    <w:basedOn w:val="1"/>
    <w:link w:val="92"/>
    <w:uiPriority w:val="0"/>
    <w:pPr>
      <w:spacing w:line="360" w:lineRule="auto"/>
      <w:ind w:firstLine="200" w:firstLineChars="200"/>
    </w:pPr>
    <w:rPr>
      <w:rFonts w:ascii="Calibri" w:hAnsi="Calibri" w:eastAsia="楷体_GB2312"/>
      <w:sz w:val="24"/>
    </w:rPr>
  </w:style>
  <w:style w:type="character" w:customStyle="1" w:styleId="94">
    <w:name w:val="批注框文本 字符"/>
    <w:link w:val="49"/>
    <w:uiPriority w:val="0"/>
    <w:rPr>
      <w:rFonts w:eastAsia="??"/>
      <w:kern w:val="2"/>
      <w:sz w:val="18"/>
      <w:szCs w:val="18"/>
      <w:lang w:val="en-US" w:eastAsia="zh-CN" w:bidi="ar-SA"/>
    </w:rPr>
  </w:style>
  <w:style w:type="character" w:customStyle="1" w:styleId="95">
    <w:name w:val="md"/>
    <w:basedOn w:val="78"/>
    <w:uiPriority w:val="0"/>
  </w:style>
  <w:style w:type="character" w:customStyle="1" w:styleId="96">
    <w:name w:val="正文4 Char"/>
    <w:link w:val="97"/>
    <w:uiPriority w:val="0"/>
    <w:rPr>
      <w:rFonts w:eastAsia="楷体_GB2312"/>
      <w:kern w:val="2"/>
      <w:sz w:val="24"/>
      <w:szCs w:val="24"/>
      <w:lang w:bidi="ar-SA"/>
    </w:rPr>
  </w:style>
  <w:style w:type="paragraph" w:customStyle="1" w:styleId="97">
    <w:name w:val="正文4"/>
    <w:basedOn w:val="1"/>
    <w:link w:val="96"/>
    <w:uiPriority w:val="0"/>
    <w:pPr>
      <w:spacing w:before="60" w:after="60" w:line="360" w:lineRule="auto"/>
    </w:pPr>
    <w:rPr>
      <w:rFonts w:ascii="Calibri" w:hAnsi="Calibri" w:eastAsia="楷体_GB2312"/>
      <w:sz w:val="24"/>
    </w:rPr>
  </w:style>
  <w:style w:type="character" w:customStyle="1" w:styleId="98">
    <w:name w:val="ca-41"/>
    <w:uiPriority w:val="0"/>
    <w:rPr>
      <w:rFonts w:hint="eastAsia" w:ascii="仿宋_GB2312" w:eastAsia="仿宋_GB2312"/>
      <w:sz w:val="24"/>
      <w:szCs w:val="24"/>
    </w:rPr>
  </w:style>
  <w:style w:type="character" w:customStyle="1" w:styleId="99">
    <w:name w:val="页脚 字符"/>
    <w:link w:val="50"/>
    <w:uiPriority w:val="0"/>
    <w:rPr>
      <w:rFonts w:eastAsia="??"/>
      <w:kern w:val="2"/>
      <w:sz w:val="18"/>
      <w:szCs w:val="28"/>
      <w:lang w:val="en-US" w:eastAsia="zh-CN" w:bidi="ar-SA"/>
    </w:rPr>
  </w:style>
  <w:style w:type="character" w:customStyle="1" w:styleId="100">
    <w:name w:val=" Char Char19"/>
    <w:uiPriority w:val="0"/>
    <w:rPr>
      <w:kern w:val="2"/>
      <w:sz w:val="18"/>
    </w:rPr>
  </w:style>
  <w:style w:type="character" w:customStyle="1" w:styleId="101">
    <w:name w:val="标准正文 Char"/>
    <w:link w:val="102"/>
    <w:locked/>
    <w:uiPriority w:val="0"/>
    <w:rPr>
      <w:sz w:val="24"/>
      <w:lang w:bidi="ar-SA"/>
    </w:rPr>
  </w:style>
  <w:style w:type="paragraph" w:customStyle="1" w:styleId="102">
    <w:name w:val="标准正文"/>
    <w:basedOn w:val="1"/>
    <w:link w:val="101"/>
    <w:uiPriority w:val="0"/>
    <w:pPr>
      <w:spacing w:line="360" w:lineRule="auto"/>
      <w:ind w:firstLine="480" w:firstLineChars="200"/>
    </w:pPr>
    <w:rPr>
      <w:rFonts w:ascii="Calibri" w:hAnsi="Calibri"/>
      <w:kern w:val="0"/>
      <w:sz w:val="24"/>
      <w:szCs w:val="20"/>
    </w:rPr>
  </w:style>
  <w:style w:type="character" w:customStyle="1" w:styleId="103">
    <w:name w:val="pword"/>
    <w:uiPriority w:val="0"/>
  </w:style>
  <w:style w:type="character" w:customStyle="1" w:styleId="104">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05">
    <w:name w:val="dectext1"/>
    <w:uiPriority w:val="0"/>
    <w:rPr>
      <w:rFonts w:ascii="宋体" w:hAnsi="宋体" w:eastAsia="宋体"/>
      <w:color w:val="333333"/>
      <w:sz w:val="21"/>
      <w:u w:val="none"/>
    </w:rPr>
  </w:style>
  <w:style w:type="character" w:customStyle="1" w:styleId="106">
    <w:name w:val="shadow11"/>
    <w:uiPriority w:val="0"/>
    <w:rPr>
      <w:color w:val="000000"/>
      <w:sz w:val="21"/>
    </w:rPr>
  </w:style>
  <w:style w:type="character" w:customStyle="1" w:styleId="107">
    <w:name w:val="正文首行缩进两字 Char"/>
    <w:link w:val="108"/>
    <w:uiPriority w:val="0"/>
    <w:rPr>
      <w:sz w:val="24"/>
      <w:szCs w:val="24"/>
      <w:lang w:val="en-US" w:eastAsia="zh-CN" w:bidi="ar-SA"/>
    </w:rPr>
  </w:style>
  <w:style w:type="paragraph" w:customStyle="1" w:styleId="108">
    <w:name w:val="正文首行缩进两字"/>
    <w:link w:val="107"/>
    <w:uiPriority w:val="0"/>
    <w:pPr>
      <w:spacing w:after="163" w:afterLines="50" w:line="300" w:lineRule="auto"/>
      <w:ind w:firstLine="480" w:firstLineChars="200"/>
    </w:pPr>
    <w:rPr>
      <w:sz w:val="24"/>
      <w:szCs w:val="24"/>
      <w:lang w:val="en-US" w:eastAsia="zh-CN" w:bidi="ar-SA"/>
    </w:rPr>
  </w:style>
  <w:style w:type="character" w:customStyle="1" w:styleId="109">
    <w:name w:val="style161"/>
    <w:uiPriority w:val="0"/>
    <w:rPr>
      <w:sz w:val="20"/>
      <w:szCs w:val="20"/>
    </w:rPr>
  </w:style>
  <w:style w:type="character" w:customStyle="1" w:styleId="110">
    <w:name w:val="宏文本 字符"/>
    <w:link w:val="2"/>
    <w:uiPriority w:val="0"/>
    <w:rPr>
      <w:rFonts w:ascii="Courier New" w:hAnsi="Courier New" w:cs="Courier New"/>
      <w:kern w:val="2"/>
      <w:sz w:val="24"/>
      <w:szCs w:val="24"/>
      <w:lang w:val="en-US" w:eastAsia="zh-CN" w:bidi="ar-SA"/>
    </w:rPr>
  </w:style>
  <w:style w:type="character" w:customStyle="1" w:styleId="111">
    <w:name w:val="公文正文 Char"/>
    <w:link w:val="112"/>
    <w:uiPriority w:val="0"/>
    <w:rPr>
      <w:rFonts w:ascii="??_GB2312" w:hAnsi="??_GB2312" w:eastAsia="??_GB2312" w:cs="宋体"/>
      <w:kern w:val="2"/>
      <w:sz w:val="24"/>
      <w:szCs w:val="24"/>
      <w:lang w:val="en-US" w:eastAsia="zh-CN" w:bidi="ar-SA"/>
    </w:rPr>
  </w:style>
  <w:style w:type="paragraph" w:customStyle="1" w:styleId="112">
    <w:name w:val="公文正文"/>
    <w:basedOn w:val="1"/>
    <w:link w:val="111"/>
    <w:uiPriority w:val="0"/>
    <w:pPr>
      <w:spacing w:before="156" w:line="360" w:lineRule="auto"/>
      <w:ind w:firstLine="200" w:firstLineChars="200"/>
    </w:pPr>
    <w:rPr>
      <w:rFonts w:ascii="??_GB2312" w:hAnsi="??_GB2312" w:eastAsia="??_GB2312" w:cs="宋体"/>
      <w:sz w:val="24"/>
    </w:rPr>
  </w:style>
  <w:style w:type="character" w:customStyle="1" w:styleId="113">
    <w:name w:val="签名 字符"/>
    <w:link w:val="52"/>
    <w:uiPriority w:val="0"/>
    <w:rPr>
      <w:rFonts w:eastAsia="仿宋_GB2312"/>
      <w:sz w:val="24"/>
      <w:lang w:bidi="ar-SA"/>
    </w:rPr>
  </w:style>
  <w:style w:type="character" w:customStyle="1" w:styleId="114">
    <w:name w:val="纯文本 Char2"/>
    <w:uiPriority w:val="0"/>
    <w:rPr>
      <w:rFonts w:ascii="??" w:hAnsi="??" w:eastAsia="??" w:cs="宋体"/>
      <w:kern w:val="2"/>
      <w:sz w:val="21"/>
      <w:szCs w:val="21"/>
    </w:rPr>
  </w:style>
  <w:style w:type="character" w:customStyle="1" w:styleId="115">
    <w:name w:val="unnamed11"/>
    <w:uiPriority w:val="0"/>
    <w:rPr>
      <w:sz w:val="20"/>
    </w:rPr>
  </w:style>
  <w:style w:type="character" w:customStyle="1" w:styleId="116">
    <w:name w:val="标题 3 字符"/>
    <w:link w:val="5"/>
    <w:uiPriority w:val="0"/>
    <w:rPr>
      <w:rFonts w:eastAsia="??"/>
      <w:b/>
      <w:sz w:val="32"/>
      <w:szCs w:val="28"/>
      <w:lang w:val="en-US" w:eastAsia="zh-CN" w:bidi="ar-SA"/>
    </w:rPr>
  </w:style>
  <w:style w:type="character" w:customStyle="1" w:styleId="117">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18">
    <w:name w:val="font51"/>
    <w:basedOn w:val="78"/>
    <w:qFormat/>
    <w:uiPriority w:val="0"/>
    <w:rPr>
      <w:rFonts w:hint="eastAsia" w:ascii="宋体" w:hAnsi="宋体" w:eastAsia="宋体" w:cs="宋体"/>
      <w:color w:val="000000"/>
      <w:sz w:val="20"/>
      <w:szCs w:val="20"/>
      <w:u w:val="none"/>
    </w:rPr>
  </w:style>
  <w:style w:type="character" w:customStyle="1" w:styleId="119">
    <w:name w:val="标题 5 字符"/>
    <w:link w:val="7"/>
    <w:uiPriority w:val="0"/>
    <w:rPr>
      <w:rFonts w:eastAsia="??"/>
      <w:b/>
      <w:bCs/>
      <w:kern w:val="2"/>
      <w:sz w:val="28"/>
      <w:szCs w:val="28"/>
      <w:lang w:val="en-US" w:eastAsia="zh-CN" w:bidi="ar-SA"/>
    </w:rPr>
  </w:style>
  <w:style w:type="character" w:customStyle="1" w:styleId="120">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21">
    <w:name w:val="DN-正文 Char Char"/>
    <w:link w:val="122"/>
    <w:uiPriority w:val="0"/>
    <w:rPr>
      <w:kern w:val="2"/>
      <w:sz w:val="21"/>
      <w:szCs w:val="24"/>
      <w:lang w:bidi="ar-SA"/>
    </w:rPr>
  </w:style>
  <w:style w:type="paragraph" w:customStyle="1" w:styleId="122">
    <w:name w:val="DN-正文"/>
    <w:basedOn w:val="19"/>
    <w:link w:val="121"/>
    <w:uiPriority w:val="0"/>
    <w:pPr>
      <w:widowControl w:val="0"/>
      <w:spacing w:line="400" w:lineRule="exact"/>
      <w:ind w:firstLine="200" w:firstLineChars="200"/>
      <w:jc w:val="both"/>
    </w:pPr>
    <w:rPr>
      <w:rFonts w:eastAsia="宋体"/>
      <w:kern w:val="2"/>
      <w:sz w:val="21"/>
    </w:rPr>
  </w:style>
  <w:style w:type="character" w:customStyle="1" w:styleId="123">
    <w:name w:val="批注文字 字符"/>
    <w:link w:val="25"/>
    <w:uiPriority w:val="0"/>
    <w:rPr>
      <w:rFonts w:eastAsia="宋体" w:cs="Lucida Sans"/>
      <w:kern w:val="2"/>
      <w:sz w:val="21"/>
      <w:lang w:val="en-US" w:eastAsia="zh-CN" w:bidi="ar-SA"/>
    </w:rPr>
  </w:style>
  <w:style w:type="character" w:customStyle="1" w:styleId="124">
    <w:name w:val="normalfont1"/>
    <w:uiPriority w:val="0"/>
    <w:rPr>
      <w:rFonts w:hint="default" w:ascii="ˎ̥" w:hAnsi="ˎ̥"/>
      <w:sz w:val="18"/>
      <w:szCs w:val="18"/>
      <w:u w:val="none"/>
    </w:rPr>
  </w:style>
  <w:style w:type="character" w:customStyle="1" w:styleId="125">
    <w:name w:val="页脚 Char"/>
    <w:uiPriority w:val="0"/>
    <w:rPr>
      <w:rFonts w:eastAsia="Calibri"/>
      <w:sz w:val="21"/>
    </w:rPr>
  </w:style>
  <w:style w:type="character" w:customStyle="1" w:styleId="126">
    <w:name w:val="subtitle1"/>
    <w:uiPriority w:val="0"/>
    <w:rPr>
      <w:rFonts w:hint="default" w:ascii="Georgia" w:hAnsi="Georgia"/>
      <w:b/>
      <w:bCs/>
      <w:color w:val="666666"/>
      <w:sz w:val="18"/>
      <w:szCs w:val="18"/>
    </w:rPr>
  </w:style>
  <w:style w:type="character" w:customStyle="1" w:styleId="127">
    <w:name w:val="正文文本缩进 字符"/>
    <w:link w:val="31"/>
    <w:uiPriority w:val="0"/>
    <w:rPr>
      <w:rFonts w:ascii="??" w:hAnsi="??" w:eastAsia="??" w:cs="宋体"/>
      <w:kern w:val="2"/>
      <w:sz w:val="28"/>
      <w:szCs w:val="28"/>
    </w:rPr>
  </w:style>
  <w:style w:type="character" w:customStyle="1" w:styleId="128">
    <w:name w:val="标题 4 字符"/>
    <w:link w:val="6"/>
    <w:uiPriority w:val="0"/>
    <w:rPr>
      <w:rFonts w:ascii="Arial" w:hAnsi="Arial" w:eastAsia="??" w:cs="Arial"/>
      <w:b/>
      <w:bCs/>
      <w:kern w:val="2"/>
      <w:sz w:val="28"/>
      <w:szCs w:val="28"/>
      <w:lang w:val="en-US" w:eastAsia="zh-CN" w:bidi="ar-SA"/>
    </w:rPr>
  </w:style>
  <w:style w:type="character" w:customStyle="1" w:styleId="129">
    <w:name w:val="time"/>
    <w:basedOn w:val="78"/>
    <w:uiPriority w:val="0"/>
    <w:rPr>
      <w:color w:val="769199"/>
    </w:rPr>
  </w:style>
  <w:style w:type="character" w:customStyle="1" w:styleId="130">
    <w:name w:val="段 Char Char Char"/>
    <w:uiPriority w:val="0"/>
    <w:rPr>
      <w:rFonts w:ascii="宋体" w:eastAsia="宋体"/>
      <w:sz w:val="21"/>
      <w:lang w:val="en-US" w:eastAsia="zh-CN" w:bidi="ar-SA"/>
    </w:rPr>
  </w:style>
  <w:style w:type="character" w:customStyle="1" w:styleId="131">
    <w:name w:val="尾注文本 字符"/>
    <w:link w:val="47"/>
    <w:uiPriority w:val="0"/>
    <w:rPr>
      <w:rFonts w:eastAsia="楷体_GB2312"/>
      <w:kern w:val="2"/>
      <w:sz w:val="24"/>
      <w:szCs w:val="24"/>
      <w:lang w:bidi="ar-SA"/>
    </w:rPr>
  </w:style>
  <w:style w:type="character" w:customStyle="1" w:styleId="132">
    <w:name w:val="样式1 Char Char"/>
    <w:link w:val="133"/>
    <w:qFormat/>
    <w:uiPriority w:val="0"/>
    <w:rPr>
      <w:rFonts w:ascii="??" w:hAnsi="??" w:eastAsia="??" w:cs="宋体"/>
      <w:b/>
      <w:sz w:val="32"/>
      <w:szCs w:val="28"/>
    </w:rPr>
  </w:style>
  <w:style w:type="paragraph" w:customStyle="1" w:styleId="133">
    <w:name w:val="样式1"/>
    <w:basedOn w:val="3"/>
    <w:link w:val="132"/>
    <w:qFormat/>
    <w:uiPriority w:val="0"/>
    <w:pPr>
      <w:numPr>
        <w:ilvl w:val="0"/>
        <w:numId w:val="2"/>
      </w:numPr>
    </w:pPr>
    <w:rPr>
      <w:kern w:val="0"/>
    </w:rPr>
  </w:style>
  <w:style w:type="character" w:customStyle="1" w:styleId="134">
    <w:name w:val="ih151"/>
    <w:uiPriority w:val="0"/>
    <w:rPr>
      <w:color w:val="666666"/>
      <w:sz w:val="18"/>
      <w:szCs w:val="18"/>
      <w:u w:val="none"/>
    </w:rPr>
  </w:style>
  <w:style w:type="character" w:customStyle="1" w:styleId="135">
    <w:name w:val="font41"/>
    <w:basedOn w:val="78"/>
    <w:qFormat/>
    <w:uiPriority w:val="0"/>
    <w:rPr>
      <w:rFonts w:hint="eastAsia" w:ascii="宋体" w:hAnsi="宋体" w:eastAsia="宋体" w:cs="宋体"/>
      <w:color w:val="000000"/>
      <w:sz w:val="20"/>
      <w:szCs w:val="20"/>
      <w:u w:val="none"/>
    </w:rPr>
  </w:style>
  <w:style w:type="character" w:customStyle="1" w:styleId="136">
    <w:name w:val="正文文本缩进 3 字符"/>
    <w:link w:val="61"/>
    <w:uiPriority w:val="0"/>
    <w:rPr>
      <w:rFonts w:eastAsia="??"/>
      <w:kern w:val="2"/>
      <w:sz w:val="28"/>
      <w:szCs w:val="28"/>
      <w:lang w:val="en-US" w:eastAsia="zh-CN" w:bidi="ar-SA"/>
    </w:rPr>
  </w:style>
  <w:style w:type="character" w:customStyle="1" w:styleId="137">
    <w:name w:val="标题 8 字符"/>
    <w:link w:val="10"/>
    <w:uiPriority w:val="0"/>
    <w:rPr>
      <w:rFonts w:ascii="Arial" w:hAnsi="Arial" w:eastAsia="??" w:cs="Arial"/>
      <w:sz w:val="24"/>
      <w:szCs w:val="28"/>
      <w:lang w:val="en-US" w:eastAsia="zh-CN" w:bidi="ar-SA"/>
    </w:rPr>
  </w:style>
  <w:style w:type="character" w:customStyle="1" w:styleId="138">
    <w:name w:val="纯文本 字符"/>
    <w:uiPriority w:val="0"/>
    <w:rPr>
      <w:rFonts w:ascii="??" w:hAnsi="??" w:eastAsia="??" w:cs="宋体"/>
      <w:kern w:val="2"/>
      <w:sz w:val="21"/>
      <w:szCs w:val="21"/>
    </w:rPr>
  </w:style>
  <w:style w:type="character" w:customStyle="1" w:styleId="139">
    <w:name w:val="标题 7 字符"/>
    <w:link w:val="9"/>
    <w:uiPriority w:val="0"/>
    <w:rPr>
      <w:rFonts w:eastAsia="??"/>
      <w:b/>
      <w:bCs/>
      <w:sz w:val="24"/>
      <w:szCs w:val="28"/>
      <w:lang w:val="en-US" w:eastAsia="zh-CN" w:bidi="ar-SA"/>
    </w:rPr>
  </w:style>
  <w:style w:type="character" w:customStyle="1" w:styleId="140">
    <w:name w:val="param_td12"/>
    <w:uiPriority w:val="0"/>
  </w:style>
  <w:style w:type="character" w:customStyle="1" w:styleId="141">
    <w:name w:val="正文 首行缩进2字符 Char Char Char"/>
    <w:uiPriority w:val="0"/>
    <w:rPr>
      <w:rFonts w:eastAsia="宋体"/>
      <w:kern w:val="2"/>
      <w:sz w:val="24"/>
      <w:szCs w:val="24"/>
      <w:lang w:val="en-US" w:eastAsia="zh-CN" w:bidi="ar-SA"/>
    </w:rPr>
  </w:style>
  <w:style w:type="character" w:customStyle="1" w:styleId="142">
    <w:name w:val="样式 样式 标书正文 + 首行缩进:  0.01 字符 + 首行缩进:  0.01 字符 Char"/>
    <w:link w:val="143"/>
    <w:uiPriority w:val="0"/>
    <w:rPr>
      <w:rFonts w:ascii="宋体" w:hAnsi="宋体" w:eastAsia="宋体" w:cs="宋体"/>
      <w:sz w:val="28"/>
      <w:lang w:val="en-US" w:eastAsia="zh-CN" w:bidi="ar-SA"/>
    </w:rPr>
  </w:style>
  <w:style w:type="paragraph" w:customStyle="1" w:styleId="143">
    <w:name w:val="样式 样式 标书正文 + 首行缩进:  0.01 字符 + 首行缩进:  0.01 字符"/>
    <w:basedOn w:val="1"/>
    <w:link w:val="142"/>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44">
    <w:name w:val="标题 2 字符"/>
    <w:link w:val="4"/>
    <w:uiPriority w:val="0"/>
    <w:rPr>
      <w:rFonts w:ascii="Arial" w:hAnsi="Arial" w:eastAsia="??" w:cs="Arial"/>
      <w:b/>
      <w:bCs/>
      <w:kern w:val="2"/>
      <w:sz w:val="21"/>
      <w:szCs w:val="32"/>
      <w:lang w:val="en-US" w:eastAsia="zh-CN" w:bidi="ar-SA"/>
    </w:rPr>
  </w:style>
  <w:style w:type="character" w:customStyle="1" w:styleId="145">
    <w:name w:val="正文2 Char"/>
    <w:link w:val="146"/>
    <w:locked/>
    <w:uiPriority w:val="0"/>
    <w:rPr>
      <w:rFonts w:eastAsia="??"/>
      <w:kern w:val="2"/>
      <w:sz w:val="24"/>
      <w:szCs w:val="28"/>
    </w:rPr>
  </w:style>
  <w:style w:type="paragraph" w:customStyle="1" w:styleId="146">
    <w:name w:val="正文2"/>
    <w:basedOn w:val="1"/>
    <w:link w:val="145"/>
    <w:uiPriority w:val="0"/>
    <w:pPr>
      <w:spacing w:before="156" w:line="360" w:lineRule="auto"/>
      <w:ind w:firstLine="200" w:firstLineChars="200"/>
    </w:pPr>
    <w:rPr>
      <w:rFonts w:ascii="Calibri" w:hAnsi="Calibri" w:eastAsia="??"/>
      <w:sz w:val="24"/>
      <w:szCs w:val="28"/>
    </w:rPr>
  </w:style>
  <w:style w:type="character" w:customStyle="1" w:styleId="147">
    <w:name w:val="正文文本 2 字符"/>
    <w:link w:val="67"/>
    <w:uiPriority w:val="0"/>
    <w:rPr>
      <w:rFonts w:eastAsia="宋体"/>
      <w:kern w:val="2"/>
      <w:sz w:val="21"/>
      <w:lang w:bidi="ar-SA"/>
    </w:rPr>
  </w:style>
  <w:style w:type="character" w:customStyle="1" w:styleId="148">
    <w:name w:val="标题 6 字符"/>
    <w:link w:val="8"/>
    <w:uiPriority w:val="0"/>
    <w:rPr>
      <w:rFonts w:ascii="Arial" w:hAnsi="Arial" w:eastAsia="??" w:cs="Arial"/>
      <w:b/>
      <w:bCs/>
      <w:sz w:val="24"/>
      <w:szCs w:val="28"/>
      <w:lang w:val="en-US" w:eastAsia="zh-CN" w:bidi="ar-SA"/>
    </w:rPr>
  </w:style>
  <w:style w:type="character" w:customStyle="1" w:styleId="149">
    <w:name w:val="fonts11"/>
    <w:uiPriority w:val="0"/>
    <w:rPr>
      <w:sz w:val="18"/>
      <w:szCs w:val="18"/>
    </w:rPr>
  </w:style>
  <w:style w:type="character" w:customStyle="1" w:styleId="150">
    <w:name w:val="正文文本缩进 2 字符"/>
    <w:link w:val="46"/>
    <w:uiPriority w:val="0"/>
    <w:rPr>
      <w:rFonts w:ascii="??" w:hAnsi="??" w:eastAsia="??" w:cs="宋体"/>
      <w:kern w:val="2"/>
      <w:sz w:val="28"/>
      <w:szCs w:val="28"/>
      <w:lang w:val="en-US" w:eastAsia="zh-CN" w:bidi="ar-SA"/>
    </w:rPr>
  </w:style>
  <w:style w:type="character" w:customStyle="1" w:styleId="151">
    <w:name w:val="正文文本 3 字符"/>
    <w:link w:val="28"/>
    <w:uiPriority w:val="0"/>
    <w:rPr>
      <w:rFonts w:eastAsia="宋体"/>
      <w:kern w:val="2"/>
      <w:sz w:val="21"/>
      <w:lang w:bidi="ar-SA"/>
    </w:rPr>
  </w:style>
  <w:style w:type="character" w:customStyle="1" w:styleId="152">
    <w:name w:val="正文2 Char Char"/>
    <w:uiPriority w:val="0"/>
    <w:rPr>
      <w:rFonts w:eastAsia="??"/>
      <w:kern w:val="2"/>
      <w:sz w:val="24"/>
      <w:szCs w:val="28"/>
      <w:lang w:val="en-US" w:eastAsia="zh-CN" w:bidi="ar-SA"/>
    </w:rPr>
  </w:style>
  <w:style w:type="character" w:customStyle="1" w:styleId="153">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54">
    <w:name w:val="正文 首行缩进:  2 字符 Char Char Char"/>
    <w:uiPriority w:val="0"/>
    <w:rPr>
      <w:rFonts w:eastAsia="宋体" w:cs="宋体"/>
      <w:kern w:val="2"/>
      <w:sz w:val="24"/>
      <w:lang w:val="en-US" w:eastAsia="zh-CN" w:bidi="ar-SA"/>
    </w:rPr>
  </w:style>
  <w:style w:type="character" w:customStyle="1" w:styleId="155">
    <w:name w:val="HTML 预设格式 字符"/>
    <w:link w:val="69"/>
    <w:uiPriority w:val="0"/>
    <w:rPr>
      <w:rFonts w:ascii="??" w:hAnsi="??" w:eastAsia="??" w:cs="Courier New"/>
      <w:szCs w:val="28"/>
      <w:lang w:val="en-US" w:eastAsia="zh-CN" w:bidi="ar-SA"/>
    </w:rPr>
  </w:style>
  <w:style w:type="character" w:customStyle="1" w:styleId="156">
    <w:name w:val="称呼 字符"/>
    <w:link w:val="27"/>
    <w:uiPriority w:val="0"/>
    <w:rPr>
      <w:rFonts w:ascii="仿宋_GB2312" w:eastAsia="仿宋_GB2312"/>
      <w:kern w:val="2"/>
      <w:sz w:val="28"/>
      <w:lang w:bidi="ar-SA"/>
    </w:rPr>
  </w:style>
  <w:style w:type="character" w:customStyle="1" w:styleId="157">
    <w:name w:val=" Char Char6"/>
    <w:uiPriority w:val="0"/>
    <w:rPr>
      <w:rFonts w:ascii="Times New Roman" w:hAnsi="Times New Roman"/>
      <w:kern w:val="28"/>
      <w:sz w:val="24"/>
      <w:szCs w:val="24"/>
    </w:rPr>
  </w:style>
  <w:style w:type="character" w:customStyle="1" w:styleId="158">
    <w:name w:val="电子邮件签名 字符"/>
    <w:link w:val="17"/>
    <w:uiPriority w:val="0"/>
    <w:rPr>
      <w:rFonts w:eastAsia="楷体_GB2312"/>
      <w:kern w:val="2"/>
      <w:sz w:val="24"/>
      <w:szCs w:val="24"/>
      <w:lang w:bidi="ar-SA"/>
    </w:rPr>
  </w:style>
  <w:style w:type="character" w:customStyle="1" w:styleId="159">
    <w:name w:val="正文1 Char"/>
    <w:uiPriority w:val="0"/>
    <w:rPr>
      <w:rFonts w:ascii="宋体" w:eastAsia="宋体"/>
      <w:snapToGrid w:val="0"/>
      <w:color w:val="000000"/>
      <w:kern w:val="28"/>
      <w:sz w:val="28"/>
      <w:lang w:val="en-US" w:eastAsia="zh-CN" w:bidi="ar-SA"/>
    </w:rPr>
  </w:style>
  <w:style w:type="character" w:customStyle="1" w:styleId="160">
    <w:name w:val="纯文本 字符1"/>
    <w:link w:val="40"/>
    <w:uiPriority w:val="0"/>
    <w:rPr>
      <w:rFonts w:ascii="??" w:hAnsi="??" w:eastAsia="??" w:cs="宋体"/>
      <w:kern w:val="2"/>
      <w:sz w:val="21"/>
      <w:szCs w:val="21"/>
    </w:rPr>
  </w:style>
  <w:style w:type="character" w:customStyle="1" w:styleId="161">
    <w:name w:val="纯文本 Char1"/>
    <w:uiPriority w:val="0"/>
    <w:rPr>
      <w:rFonts w:ascii="宋体" w:hAnsi="Courier New"/>
    </w:rPr>
  </w:style>
  <w:style w:type="character" w:customStyle="1" w:styleId="162">
    <w:name w:val="脚注文本 字符"/>
    <w:link w:val="59"/>
    <w:uiPriority w:val="0"/>
    <w:rPr>
      <w:rFonts w:eastAsia="楷体_GB2312"/>
      <w:kern w:val="2"/>
      <w:sz w:val="18"/>
      <w:szCs w:val="18"/>
      <w:lang w:bidi="ar-SA"/>
    </w:rPr>
  </w:style>
  <w:style w:type="character" w:customStyle="1" w:styleId="163">
    <w:name w:val="哈哈正文 Char"/>
    <w:link w:val="164"/>
    <w:uiPriority w:val="0"/>
    <w:rPr>
      <w:rFonts w:ascii="宋体" w:hAnsi="宋体" w:eastAsia="宋体"/>
      <w:kern w:val="2"/>
      <w:sz w:val="24"/>
      <w:lang w:bidi="ar-SA"/>
    </w:rPr>
  </w:style>
  <w:style w:type="paragraph" w:customStyle="1" w:styleId="164">
    <w:name w:val="哈哈正文"/>
    <w:basedOn w:val="1"/>
    <w:link w:val="163"/>
    <w:uiPriority w:val="0"/>
    <w:pPr>
      <w:spacing w:line="360" w:lineRule="auto"/>
      <w:ind w:firstLine="200" w:firstLineChars="200"/>
    </w:pPr>
    <w:rPr>
      <w:rFonts w:ascii="宋体" w:hAnsi="宋体"/>
      <w:sz w:val="24"/>
      <w:szCs w:val="20"/>
    </w:rPr>
  </w:style>
  <w:style w:type="character" w:customStyle="1" w:styleId="165">
    <w:name w:val="标题 5 Char Char Char Char Char Char Char Char Char Char Char Char Char"/>
    <w:uiPriority w:val="0"/>
    <w:rPr>
      <w:rFonts w:eastAsia="宋体"/>
      <w:b/>
      <w:bCs/>
      <w:kern w:val="2"/>
      <w:sz w:val="28"/>
      <w:szCs w:val="28"/>
      <w:lang w:val="en-US" w:eastAsia="zh-CN" w:bidi="ar-SA"/>
    </w:rPr>
  </w:style>
  <w:style w:type="character" w:customStyle="1" w:styleId="166">
    <w:name w:val="标题 字符"/>
    <w:link w:val="72"/>
    <w:uiPriority w:val="0"/>
    <w:rPr>
      <w:rFonts w:eastAsia="??"/>
      <w:b/>
      <w:sz w:val="24"/>
      <w:szCs w:val="28"/>
      <w:lang w:val="en-GB" w:eastAsia="zh-CN" w:bidi="ar-SA"/>
    </w:rPr>
  </w:style>
  <w:style w:type="character" w:customStyle="1" w:styleId="167">
    <w:name w:val="纯文本 Char"/>
    <w:uiPriority w:val="0"/>
    <w:rPr>
      <w:rFonts w:ascii="??" w:hAnsi="??" w:eastAsia="??" w:cs="宋体"/>
      <w:kern w:val="2"/>
      <w:sz w:val="21"/>
      <w:szCs w:val="21"/>
    </w:rPr>
  </w:style>
  <w:style w:type="character" w:customStyle="1" w:styleId="168">
    <w:name w:val="标题 1 字符"/>
    <w:link w:val="3"/>
    <w:uiPriority w:val="0"/>
    <w:rPr>
      <w:rFonts w:ascii="??" w:hAnsi="??" w:eastAsia="??" w:cs="宋体"/>
      <w:b/>
      <w:kern w:val="36"/>
      <w:sz w:val="32"/>
      <w:szCs w:val="28"/>
      <w:lang w:val="en-US" w:eastAsia="zh-CN" w:bidi="ar-SA"/>
    </w:rPr>
  </w:style>
  <w:style w:type="character" w:customStyle="1" w:styleId="169">
    <w:name w:val="批注主题 字符"/>
    <w:link w:val="73"/>
    <w:uiPriority w:val="0"/>
    <w:rPr>
      <w:rFonts w:eastAsia="宋体"/>
      <w:b/>
      <w:kern w:val="2"/>
      <w:sz w:val="21"/>
      <w:lang w:bidi="ar-SA"/>
    </w:rPr>
  </w:style>
  <w:style w:type="character" w:customStyle="1" w:styleId="170">
    <w:name w:val=" Char Char15"/>
    <w:uiPriority w:val="0"/>
    <w:rPr>
      <w:rFonts w:ascii="Times New Roman" w:hAnsi="Times New Roman"/>
      <w:sz w:val="18"/>
    </w:rPr>
  </w:style>
  <w:style w:type="character" w:customStyle="1" w:styleId="171">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72">
    <w:name w:val="gf正文1 Char"/>
    <w:link w:val="173"/>
    <w:uiPriority w:val="0"/>
    <w:rPr>
      <w:rFonts w:ascii="宋体" w:hAnsi="宋体" w:eastAsia="宋体"/>
      <w:kern w:val="2"/>
      <w:sz w:val="24"/>
      <w:lang w:val="en-US" w:eastAsia="zh-CN" w:bidi="ar-SA"/>
    </w:rPr>
  </w:style>
  <w:style w:type="paragraph" w:customStyle="1" w:styleId="173">
    <w:name w:val="gf正文1"/>
    <w:basedOn w:val="1"/>
    <w:link w:val="172"/>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74">
    <w:name w:val="t_tag"/>
    <w:basedOn w:val="78"/>
    <w:uiPriority w:val="0"/>
  </w:style>
  <w:style w:type="character" w:customStyle="1" w:styleId="175">
    <w:name w:val="ca-61"/>
    <w:uiPriority w:val="0"/>
    <w:rPr>
      <w:rFonts w:hint="eastAsia" w:ascii="仿宋_GB2312" w:eastAsia="仿宋_GB2312"/>
      <w:b/>
      <w:bCs/>
      <w:spacing w:val="-20"/>
      <w:sz w:val="24"/>
      <w:szCs w:val="24"/>
    </w:rPr>
  </w:style>
  <w:style w:type="character" w:customStyle="1" w:styleId="176">
    <w:name w:val="哈哈改 Char"/>
    <w:link w:val="177"/>
    <w:uiPriority w:val="0"/>
    <w:rPr>
      <w:rFonts w:ascii="宋体" w:hAnsi="宋体" w:eastAsia="宋体"/>
      <w:b/>
      <w:kern w:val="2"/>
      <w:sz w:val="24"/>
      <w:szCs w:val="24"/>
      <w:lang w:bidi="ar-SA"/>
    </w:rPr>
  </w:style>
  <w:style w:type="paragraph" w:customStyle="1" w:styleId="177">
    <w:name w:val="哈哈改"/>
    <w:basedOn w:val="164"/>
    <w:link w:val="176"/>
    <w:uiPriority w:val="0"/>
    <w:pPr>
      <w:ind w:firstLine="480"/>
    </w:pPr>
    <w:rPr>
      <w:b/>
      <w:szCs w:val="24"/>
    </w:rPr>
  </w:style>
  <w:style w:type="character" w:customStyle="1" w:styleId="178">
    <w:name w:val="more"/>
    <w:basedOn w:val="78"/>
    <w:uiPriority w:val="0"/>
  </w:style>
  <w:style w:type="character" w:customStyle="1" w:styleId="179">
    <w:name w:val="样式4 Char Char"/>
    <w:uiPriority w:val="0"/>
    <w:rPr>
      <w:rFonts w:eastAsia="宋体" w:cs="宋体"/>
      <w:color w:val="000000"/>
      <w:sz w:val="24"/>
      <w:szCs w:val="24"/>
      <w:lang w:val="en-US" w:eastAsia="zh-CN" w:bidi="ar-SA"/>
    </w:rPr>
  </w:style>
  <w:style w:type="character" w:customStyle="1" w:styleId="180">
    <w:name w:val="页眉 字符"/>
    <w:link w:val="51"/>
    <w:uiPriority w:val="0"/>
    <w:rPr>
      <w:rFonts w:eastAsia="??"/>
      <w:kern w:val="2"/>
      <w:sz w:val="18"/>
      <w:szCs w:val="28"/>
      <w:lang w:val="en-US" w:eastAsia="zh-CN" w:bidi="ar-SA"/>
    </w:rPr>
  </w:style>
  <w:style w:type="character" w:customStyle="1" w:styleId="181">
    <w:name w:val="pubtime"/>
    <w:basedOn w:val="78"/>
    <w:uiPriority w:val="0"/>
    <w:rPr>
      <w:b w:val="0"/>
      <w:color w:val="000000"/>
      <w:sz w:val="18"/>
      <w:szCs w:val="18"/>
    </w:rPr>
  </w:style>
  <w:style w:type="character" w:customStyle="1" w:styleId="182">
    <w:name w:val=" Char Char7 Char"/>
    <w:uiPriority w:val="0"/>
    <w:rPr>
      <w:rFonts w:ascii="仿宋_GB2312" w:eastAsia="仿宋_GB2312"/>
      <w:b/>
      <w:sz w:val="32"/>
      <w:szCs w:val="32"/>
    </w:rPr>
  </w:style>
  <w:style w:type="character" w:customStyle="1" w:styleId="183">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84">
    <w:name w:val="无间隔 字符"/>
    <w:link w:val="185"/>
    <w:uiPriority w:val="0"/>
    <w:rPr>
      <w:rFonts w:eastAsia="楷体_GB2312" w:cs="Lucida Sans"/>
      <w:kern w:val="2"/>
      <w:sz w:val="24"/>
      <w:szCs w:val="24"/>
      <w:lang w:val="en-US" w:eastAsia="zh-CN" w:bidi="ar-SA"/>
    </w:rPr>
  </w:style>
  <w:style w:type="paragraph" w:customStyle="1" w:styleId="185">
    <w:name w:val="无间隔"/>
    <w:link w:val="184"/>
    <w:qFormat/>
    <w:uiPriority w:val="0"/>
    <w:pPr>
      <w:widowControl w:val="0"/>
      <w:jc w:val="both"/>
    </w:pPr>
    <w:rPr>
      <w:rFonts w:eastAsia="楷体_GB2312" w:cs="Lucida Sans"/>
      <w:kern w:val="2"/>
      <w:sz w:val="24"/>
      <w:szCs w:val="24"/>
      <w:lang w:val="en-US" w:eastAsia="zh-CN" w:bidi="ar-SA"/>
    </w:rPr>
  </w:style>
  <w:style w:type="character" w:customStyle="1" w:styleId="186">
    <w:name w:val=" Char Char14"/>
    <w:uiPriority w:val="0"/>
    <w:rPr>
      <w:kern w:val="2"/>
      <w:sz w:val="21"/>
    </w:rPr>
  </w:style>
  <w:style w:type="character" w:customStyle="1" w:styleId="187">
    <w:name w:val="font-121"/>
    <w:uiPriority w:val="0"/>
    <w:rPr>
      <w:color w:val="666666"/>
      <w:sz w:val="18"/>
      <w:szCs w:val="18"/>
      <w:u w:val="none"/>
    </w:rPr>
  </w:style>
  <w:style w:type="character" w:customStyle="1" w:styleId="188">
    <w:name w:val="标题 9 字符"/>
    <w:link w:val="11"/>
    <w:uiPriority w:val="0"/>
    <w:rPr>
      <w:rFonts w:ascii="Arial" w:hAnsi="Arial" w:eastAsia="??" w:cs="Arial"/>
      <w:sz w:val="21"/>
      <w:szCs w:val="21"/>
      <w:lang w:val="en-US" w:eastAsia="zh-CN" w:bidi="ar-SA"/>
    </w:rPr>
  </w:style>
  <w:style w:type="character" w:customStyle="1" w:styleId="189">
    <w:name w:val="FA正文 Char Char"/>
    <w:link w:val="190"/>
    <w:uiPriority w:val="0"/>
    <w:rPr>
      <w:rFonts w:hAnsi="宋体"/>
      <w:kern w:val="2"/>
      <w:sz w:val="24"/>
      <w:lang w:bidi="ar-SA"/>
    </w:rPr>
  </w:style>
  <w:style w:type="paragraph" w:customStyle="1" w:styleId="190">
    <w:name w:val="FA正文"/>
    <w:basedOn w:val="1"/>
    <w:link w:val="189"/>
    <w:uiPriority w:val="0"/>
    <w:pPr>
      <w:spacing w:line="360" w:lineRule="auto"/>
      <w:ind w:firstLine="480" w:firstLineChars="200"/>
    </w:pPr>
    <w:rPr>
      <w:rFonts w:ascii="Calibri" w:hAnsi="宋体"/>
      <w:sz w:val="24"/>
      <w:szCs w:val="20"/>
    </w:rPr>
  </w:style>
  <w:style w:type="character" w:customStyle="1" w:styleId="191">
    <w:name w:val=" Char Char7"/>
    <w:uiPriority w:val="0"/>
    <w:rPr>
      <w:rFonts w:ascii="宋体" w:eastAsia="宋体"/>
      <w:snapToGrid w:val="0"/>
      <w:color w:val="000000"/>
      <w:kern w:val="28"/>
      <w:sz w:val="28"/>
      <w:lang w:val="en-US" w:eastAsia="zh-CN"/>
    </w:rPr>
  </w:style>
  <w:style w:type="character" w:customStyle="1" w:styleId="192">
    <w:name w:val="title141"/>
    <w:uiPriority w:val="0"/>
    <w:rPr>
      <w:sz w:val="25"/>
      <w:szCs w:val="25"/>
    </w:rPr>
  </w:style>
  <w:style w:type="character" w:customStyle="1" w:styleId="193">
    <w:name w:val=" Char12"/>
    <w:semiHidden/>
    <w:uiPriority w:val="0"/>
    <w:rPr>
      <w:rFonts w:eastAsia="宋体"/>
      <w:kern w:val="2"/>
      <w:sz w:val="24"/>
      <w:szCs w:val="24"/>
      <w:lang w:val="en-US" w:eastAsia="zh-CN" w:bidi="ar-SA"/>
    </w:rPr>
  </w:style>
  <w:style w:type="character" w:customStyle="1" w:styleId="194">
    <w:name w:val="正文缩进 字符"/>
    <w:link w:val="19"/>
    <w:uiPriority w:val="0"/>
    <w:rPr>
      <w:rFonts w:eastAsia="??"/>
      <w:sz w:val="24"/>
      <w:szCs w:val="24"/>
      <w:lang w:val="en-US" w:eastAsia="zh-CN" w:bidi="ar-SA"/>
    </w:rPr>
  </w:style>
  <w:style w:type="paragraph" w:customStyle="1" w:styleId="195">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19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197">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19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199">
    <w:name w:val="中等深浅网格 21"/>
    <w:qFormat/>
    <w:uiPriority w:val="1"/>
    <w:pPr>
      <w:widowControl w:val="0"/>
      <w:jc w:val="both"/>
    </w:pPr>
    <w:rPr>
      <w:kern w:val="2"/>
      <w:sz w:val="21"/>
      <w:szCs w:val="22"/>
      <w:lang w:val="en-US" w:eastAsia="zh-CN" w:bidi="ar-SA"/>
    </w:rPr>
  </w:style>
  <w:style w:type="paragraph" w:customStyle="1" w:styleId="200">
    <w:name w:val="pa-69"/>
    <w:basedOn w:val="1"/>
    <w:uiPriority w:val="0"/>
    <w:pPr>
      <w:widowControl/>
      <w:spacing w:line="330" w:lineRule="atLeast"/>
      <w:ind w:firstLine="3840"/>
      <w:jc w:val="left"/>
    </w:pPr>
    <w:rPr>
      <w:rFonts w:ascii="宋体" w:hAnsi="宋体" w:cs="宋体"/>
      <w:kern w:val="0"/>
      <w:sz w:val="24"/>
    </w:rPr>
  </w:style>
  <w:style w:type="paragraph" w:customStyle="1" w:styleId="20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20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203">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204">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05">
    <w:name w:val="正文 首行缩进2字符 Char Char"/>
    <w:basedOn w:val="1"/>
    <w:uiPriority w:val="0"/>
    <w:pPr>
      <w:spacing w:line="360" w:lineRule="auto"/>
      <w:ind w:firstLine="200" w:firstLineChars="200"/>
    </w:pPr>
    <w:rPr>
      <w:rFonts w:eastAsia="楷体_GB2312"/>
      <w:sz w:val="24"/>
    </w:rPr>
  </w:style>
  <w:style w:type="paragraph" w:customStyle="1" w:styleId="206">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207">
    <w:name w:val="段 1"/>
    <w:basedOn w:val="1"/>
    <w:uiPriority w:val="0"/>
    <w:pPr>
      <w:spacing w:line="360" w:lineRule="auto"/>
    </w:pPr>
    <w:rPr>
      <w:rFonts w:eastAsia="楷体_GB2312"/>
      <w:b/>
      <w:bCs/>
      <w:sz w:val="24"/>
    </w:rPr>
  </w:style>
  <w:style w:type="paragraph" w:customStyle="1" w:styleId="208">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209">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210">
    <w:name w:val="_Style 47"/>
    <w:basedOn w:val="1"/>
    <w:uiPriority w:val="0"/>
    <w:rPr>
      <w:rFonts w:ascii="仿宋_GB2312" w:eastAsia="仿宋_GB2312"/>
      <w:b/>
      <w:sz w:val="32"/>
      <w:szCs w:val="32"/>
    </w:rPr>
  </w:style>
  <w:style w:type="paragraph" w:customStyle="1" w:styleId="211">
    <w:name w:val="Char Char Char Char1"/>
    <w:basedOn w:val="1"/>
    <w:uiPriority w:val="0"/>
    <w:rPr>
      <w:szCs w:val="20"/>
    </w:rPr>
  </w:style>
  <w:style w:type="paragraph" w:customStyle="1" w:styleId="212">
    <w:name w:val="样式 标题 2H2h2Heading 2 HiddenHeading 2 CCBSl2heading 2I22n...1"/>
    <w:basedOn w:val="4"/>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13">
    <w:name w:val="标准小三"/>
    <w:basedOn w:val="1"/>
    <w:uiPriority w:val="0"/>
    <w:pPr>
      <w:widowControl/>
      <w:numPr>
        <w:ilvl w:val="0"/>
        <w:numId w:val="4"/>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21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15">
    <w:name w:val="中文标题 2"/>
    <w:basedOn w:val="31"/>
    <w:next w:val="31"/>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216">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17">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18">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19">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20">
    <w:name w:val="表格正文"/>
    <w:basedOn w:val="1"/>
    <w:uiPriority w:val="0"/>
    <w:pPr>
      <w:spacing w:line="360" w:lineRule="auto"/>
    </w:pPr>
    <w:rPr>
      <w:rFonts w:ascii="宋体" w:hAnsi="宋体" w:eastAsia="楷体_GB2312" w:cs="宋体"/>
      <w:sz w:val="24"/>
      <w:szCs w:val="20"/>
    </w:rPr>
  </w:style>
  <w:style w:type="paragraph" w:customStyle="1" w:styleId="221">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222">
    <w:name w:val="段 Char Char"/>
    <w:uiPriority w:val="0"/>
    <w:pPr>
      <w:autoSpaceDE w:val="0"/>
      <w:autoSpaceDN w:val="0"/>
      <w:ind w:firstLine="200" w:firstLineChars="200"/>
      <w:jc w:val="both"/>
    </w:pPr>
    <w:rPr>
      <w:rFonts w:ascii="宋体"/>
      <w:sz w:val="21"/>
      <w:lang w:val="en-US" w:eastAsia="zh-CN" w:bidi="ar-SA"/>
    </w:rPr>
  </w:style>
  <w:style w:type="paragraph" w:customStyle="1" w:styleId="223">
    <w:name w:val="符号 2"/>
    <w:basedOn w:val="224"/>
    <w:uiPriority w:val="0"/>
    <w:pPr>
      <w:tabs>
        <w:tab w:val="left" w:pos="1320"/>
      </w:tabs>
      <w:ind w:left="1320"/>
    </w:pPr>
  </w:style>
  <w:style w:type="paragraph" w:customStyle="1" w:styleId="224">
    <w:name w:val="符号 1"/>
    <w:basedOn w:val="31"/>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25">
    <w:name w:val="正文内"/>
    <w:basedOn w:val="1"/>
    <w:uiPriority w:val="0"/>
    <w:pPr>
      <w:spacing w:line="400" w:lineRule="exact"/>
      <w:ind w:firstLine="200" w:firstLineChars="200"/>
    </w:pPr>
    <w:rPr>
      <w:rFonts w:ascii="??" w:hAnsi="??" w:eastAsia="??" w:cs="宋体"/>
      <w:szCs w:val="28"/>
    </w:rPr>
  </w:style>
  <w:style w:type="paragraph" w:customStyle="1" w:styleId="226">
    <w:name w:val=" Char Char Char1 Char"/>
    <w:basedOn w:val="1"/>
    <w:uiPriority w:val="0"/>
    <w:rPr>
      <w:szCs w:val="20"/>
    </w:rPr>
  </w:style>
  <w:style w:type="paragraph" w:customStyle="1" w:styleId="227">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228">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29">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30">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31">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232">
    <w:name w:val="网格型1"/>
    <w:qFormat/>
    <w:uiPriority w:val="0"/>
    <w:rPr>
      <w:rFonts w:ascii="Cambria" w:hAnsi="Cambria" w:eastAsia="Cambria" w:cs="Cambria"/>
      <w:color w:val="000000"/>
      <w:sz w:val="24"/>
      <w:szCs w:val="24"/>
      <w:lang w:val="en-US" w:eastAsia="zh-CN" w:bidi="ar-SA"/>
    </w:rPr>
  </w:style>
  <w:style w:type="paragraph" w:customStyle="1" w:styleId="233">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3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35">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36">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237">
    <w:name w:val="样式 标题 3标题 3 Char第二层条h33Bold Headbh章标题1小标题level_3PIM 3..."/>
    <w:basedOn w:val="5"/>
    <w:uiPriority w:val="0"/>
    <w:pPr>
      <w:widowControl w:val="0"/>
      <w:numPr>
        <w:ilvl w:val="2"/>
        <w:numId w:val="0"/>
      </w:numPr>
      <w:adjustRightInd w:val="0"/>
      <w:snapToGrid w:val="0"/>
      <w:spacing w:before="0" w:after="0"/>
      <w:jc w:val="both"/>
    </w:pPr>
    <w:rPr>
      <w:rFonts w:ascii="黑体" w:hAnsi="宋体" w:eastAsia="黑体"/>
      <w:b w:val="0"/>
      <w:color w:val="000000"/>
      <w:sz w:val="28"/>
      <w:szCs w:val="20"/>
    </w:rPr>
  </w:style>
  <w:style w:type="paragraph" w:customStyle="1" w:styleId="238">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239">
    <w:name w:val=" Char Char1 Char Char Char Char Char Char"/>
    <w:basedOn w:val="1"/>
    <w:uiPriority w:val="0"/>
    <w:rPr>
      <w:rFonts w:ascii="仿宋_GB2312" w:eastAsia="仿宋_GB2312"/>
      <w:b/>
      <w:sz w:val="32"/>
      <w:szCs w:val="20"/>
    </w:rPr>
  </w:style>
  <w:style w:type="paragraph" w:customStyle="1" w:styleId="240">
    <w:name w:val="Normal_13"/>
    <w:qFormat/>
    <w:uiPriority w:val="0"/>
    <w:pPr>
      <w:spacing w:before="120" w:after="240"/>
      <w:jc w:val="both"/>
    </w:pPr>
    <w:rPr>
      <w:rFonts w:eastAsia="Calibri"/>
      <w:sz w:val="22"/>
      <w:szCs w:val="22"/>
      <w:lang w:val="ru-RU" w:eastAsia="en-US" w:bidi="ar-SA"/>
    </w:rPr>
  </w:style>
  <w:style w:type="paragraph" w:customStyle="1" w:styleId="241">
    <w:name w:val="二级条标题"/>
    <w:basedOn w:val="1"/>
    <w:next w:val="242"/>
    <w:uiPriority w:val="0"/>
    <w:pPr>
      <w:widowControl/>
      <w:jc w:val="left"/>
      <w:outlineLvl w:val="3"/>
    </w:pPr>
    <w:rPr>
      <w:rFonts w:ascii="黑体" w:eastAsia="黑体"/>
      <w:kern w:val="0"/>
      <w:sz w:val="24"/>
      <w:szCs w:val="20"/>
    </w:rPr>
  </w:style>
  <w:style w:type="paragraph" w:customStyle="1" w:styleId="242">
    <w:name w:val="段"/>
    <w:uiPriority w:val="0"/>
    <w:pPr>
      <w:autoSpaceDE w:val="0"/>
      <w:autoSpaceDN w:val="0"/>
      <w:ind w:firstLine="200" w:firstLineChars="200"/>
      <w:jc w:val="both"/>
    </w:pPr>
    <w:rPr>
      <w:rFonts w:ascii="宋体"/>
      <w:sz w:val="21"/>
      <w:lang w:val="en-US" w:eastAsia="zh-CN" w:bidi="ar-SA"/>
    </w:rPr>
  </w:style>
  <w:style w:type="paragraph" w:customStyle="1" w:styleId="243">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244">
    <w:name w:val="Char"/>
    <w:basedOn w:val="1"/>
    <w:uiPriority w:val="0"/>
    <w:rPr>
      <w:rFonts w:eastAsia="??_GB2312"/>
      <w:sz w:val="28"/>
    </w:rPr>
  </w:style>
  <w:style w:type="paragraph" w:customStyle="1" w:styleId="245">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246">
    <w:name w:val="符号》"/>
    <w:basedOn w:val="1"/>
    <w:uiPriority w:val="0"/>
    <w:pPr>
      <w:widowControl/>
      <w:numPr>
        <w:ilvl w:val="0"/>
        <w:numId w:val="5"/>
      </w:numPr>
      <w:spacing w:line="360" w:lineRule="auto"/>
      <w:jc w:val="left"/>
    </w:pPr>
    <w:rPr>
      <w:rFonts w:ascii="宋体" w:hAnsi="宋体" w:eastAsia="楷体_GB2312" w:cs="宋体"/>
      <w:kern w:val="0"/>
      <w:sz w:val="24"/>
    </w:rPr>
  </w:style>
  <w:style w:type="paragraph" w:customStyle="1" w:styleId="247">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48">
    <w:name w:val="_Style 40"/>
    <w:basedOn w:val="1"/>
    <w:uiPriority w:val="0"/>
    <w:rPr>
      <w:rFonts w:eastAsia="??"/>
      <w:szCs w:val="28"/>
    </w:rPr>
  </w:style>
  <w:style w:type="paragraph" w:customStyle="1" w:styleId="249">
    <w:name w:val=" Char2"/>
    <w:basedOn w:val="1"/>
    <w:uiPriority w:val="0"/>
    <w:rPr>
      <w:rFonts w:ascii="仿宋_GB2312" w:hAnsi="仿宋_GB2312" w:eastAsia="仿宋_GB2312" w:cs="Lucida Sans"/>
      <w:b/>
      <w:sz w:val="32"/>
      <w:szCs w:val="32"/>
    </w:rPr>
  </w:style>
  <w:style w:type="paragraph" w:customStyle="1" w:styleId="250">
    <w:name w:val="默认段落字体 Para Char"/>
    <w:basedOn w:val="1"/>
    <w:uiPriority w:val="0"/>
    <w:rPr>
      <w:rFonts w:ascii="Tahoma" w:hAnsi="Tahoma"/>
      <w:sz w:val="24"/>
      <w:szCs w:val="20"/>
    </w:rPr>
  </w:style>
  <w:style w:type="paragraph" w:customStyle="1" w:styleId="251">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52">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3">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54">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55">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56">
    <w:name w:val="正文规范1"/>
    <w:basedOn w:val="1"/>
    <w:uiPriority w:val="0"/>
    <w:pPr>
      <w:spacing w:line="360" w:lineRule="auto"/>
      <w:ind w:firstLine="480" w:firstLineChars="200"/>
    </w:pPr>
    <w:rPr>
      <w:sz w:val="24"/>
    </w:rPr>
  </w:style>
  <w:style w:type="paragraph" w:customStyle="1" w:styleId="257">
    <w:name w:val="正文1"/>
    <w:basedOn w:val="1"/>
    <w:next w:val="1"/>
    <w:uiPriority w:val="0"/>
    <w:pPr>
      <w:spacing w:before="156" w:line="360" w:lineRule="auto"/>
      <w:ind w:left="426"/>
    </w:pPr>
    <w:rPr>
      <w:sz w:val="24"/>
      <w:szCs w:val="20"/>
    </w:rPr>
  </w:style>
  <w:style w:type="paragraph" w:customStyle="1" w:styleId="258">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59">
    <w:name w:val=" Char Char Char Char Char Char Char"/>
    <w:basedOn w:val="1"/>
    <w:uiPriority w:val="0"/>
    <w:rPr>
      <w:rFonts w:ascii="仿宋_GB2312" w:eastAsia="仿宋_GB2312"/>
      <w:b/>
      <w:sz w:val="32"/>
      <w:szCs w:val="20"/>
    </w:rPr>
  </w:style>
  <w:style w:type="paragraph" w:customStyle="1" w:styleId="260">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261">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262">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63">
    <w:name w:val="样式"/>
    <w:basedOn w:val="1"/>
    <w:uiPriority w:val="0"/>
    <w:pPr>
      <w:autoSpaceDE w:val="0"/>
      <w:autoSpaceDN w:val="0"/>
      <w:snapToGrid w:val="0"/>
      <w:spacing w:before="120" w:after="120" w:line="360" w:lineRule="auto"/>
    </w:pPr>
    <w:rPr>
      <w:rFonts w:ascii="宋体"/>
      <w:sz w:val="24"/>
      <w:szCs w:val="20"/>
    </w:rPr>
  </w:style>
  <w:style w:type="paragraph" w:customStyle="1" w:styleId="264">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265">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266">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67">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268">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69">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270">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271">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272">
    <w:name w:val="带标题正文"/>
    <w:basedOn w:val="1"/>
    <w:uiPriority w:val="0"/>
    <w:pPr>
      <w:numPr>
        <w:ilvl w:val="0"/>
        <w:numId w:val="6"/>
      </w:numPr>
      <w:snapToGrid w:val="0"/>
      <w:spacing w:before="100" w:after="100"/>
      <w:ind w:firstLine="115"/>
    </w:pPr>
    <w:rPr>
      <w:rFonts w:ascii="楷体" w:eastAsia="楷体"/>
      <w:b/>
      <w:sz w:val="28"/>
      <w:szCs w:val="20"/>
    </w:rPr>
  </w:style>
  <w:style w:type="paragraph" w:customStyle="1" w:styleId="273">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274">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275">
    <w:name w:val="paragraph1"/>
    <w:basedOn w:val="1"/>
    <w:qFormat/>
    <w:uiPriority w:val="0"/>
    <w:pPr>
      <w:spacing w:beforeLines="20" w:afterLines="30" w:line="360" w:lineRule="auto"/>
      <w:ind w:firstLine="200" w:firstLineChars="200"/>
    </w:pPr>
    <w:rPr>
      <w:sz w:val="24"/>
    </w:rPr>
  </w:style>
  <w:style w:type="paragraph" w:customStyle="1" w:styleId="276">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77">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278">
    <w:name w:val="Char Char2"/>
    <w:basedOn w:val="1"/>
    <w:uiPriority w:val="0"/>
    <w:rPr>
      <w:rFonts w:ascii="Tahoma" w:hAnsi="Tahoma" w:eastAsia="??" w:cs="Tahoma"/>
      <w:sz w:val="24"/>
      <w:szCs w:val="28"/>
    </w:rPr>
  </w:style>
  <w:style w:type="paragraph" w:customStyle="1" w:styleId="279">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280">
    <w:name w:val="Test2"/>
    <w:basedOn w:val="4"/>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281">
    <w:name w:val="表格标题"/>
    <w:basedOn w:val="220"/>
    <w:uiPriority w:val="0"/>
    <w:pPr>
      <w:jc w:val="center"/>
    </w:pPr>
    <w:rPr>
      <w:b/>
    </w:rPr>
  </w:style>
  <w:style w:type="paragraph" w:customStyle="1" w:styleId="282">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83">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284">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285">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86">
    <w:name w:val="正文 首行缩进:  2 字符"/>
    <w:basedOn w:val="1"/>
    <w:uiPriority w:val="0"/>
    <w:pPr>
      <w:spacing w:line="360" w:lineRule="auto"/>
      <w:ind w:firstLine="480" w:firstLineChars="200"/>
    </w:pPr>
    <w:rPr>
      <w:rFonts w:eastAsia="楷体_GB2312" w:cs="宋体"/>
      <w:sz w:val="24"/>
      <w:szCs w:val="20"/>
    </w:rPr>
  </w:style>
  <w:style w:type="paragraph" w:customStyle="1" w:styleId="287">
    <w:name w:val="自由格式"/>
    <w:qFormat/>
    <w:uiPriority w:val="0"/>
    <w:rPr>
      <w:rFonts w:ascii="Cambria" w:hAnsi="Cambria" w:eastAsia="Cambria" w:cs="Cambria"/>
      <w:color w:val="000000"/>
      <w:sz w:val="24"/>
      <w:szCs w:val="24"/>
      <w:lang w:val="en-US" w:eastAsia="zh-CN" w:bidi="ar-SA"/>
    </w:rPr>
  </w:style>
  <w:style w:type="paragraph" w:customStyle="1" w:styleId="288">
    <w:name w:val="Char Char"/>
    <w:basedOn w:val="1"/>
    <w:uiPriority w:val="0"/>
    <w:pPr>
      <w:spacing w:line="360" w:lineRule="auto"/>
    </w:pPr>
    <w:rPr>
      <w:rFonts w:ascii="Tahoma" w:hAnsi="Tahoma" w:cs="Lucida Sans"/>
      <w:sz w:val="24"/>
      <w:szCs w:val="20"/>
    </w:rPr>
  </w:style>
  <w:style w:type="paragraph" w:customStyle="1" w:styleId="289">
    <w:name w:val="4"/>
    <w:basedOn w:val="1"/>
    <w:next w:val="46"/>
    <w:uiPriority w:val="0"/>
    <w:pPr>
      <w:spacing w:after="120" w:line="480" w:lineRule="auto"/>
      <w:ind w:left="420" w:leftChars="200"/>
    </w:pPr>
    <w:rPr>
      <w:sz w:val="24"/>
      <w:szCs w:val="20"/>
    </w:rPr>
  </w:style>
  <w:style w:type="paragraph" w:customStyle="1" w:styleId="290">
    <w:name w:val="正文6"/>
    <w:basedOn w:val="1"/>
    <w:uiPriority w:val="0"/>
    <w:pPr>
      <w:numPr>
        <w:ilvl w:val="0"/>
        <w:numId w:val="7"/>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291">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292">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293">
    <w:name w:val="编号 2"/>
    <w:basedOn w:val="294"/>
    <w:uiPriority w:val="0"/>
    <w:pPr>
      <w:tabs>
        <w:tab w:val="left" w:pos="1560"/>
      </w:tabs>
      <w:ind w:left="-80"/>
    </w:pPr>
    <w:rPr>
      <w:szCs w:val="20"/>
    </w:rPr>
  </w:style>
  <w:style w:type="paragraph" w:customStyle="1" w:styleId="294">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95">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96">
    <w:name w:val="a1"/>
    <w:basedOn w:val="1"/>
    <w:uiPriority w:val="0"/>
    <w:pPr>
      <w:widowControl/>
      <w:spacing w:line="300" w:lineRule="atLeast"/>
      <w:jc w:val="left"/>
    </w:pPr>
    <w:rPr>
      <w:rFonts w:ascii="宋体" w:hAnsi="宋体"/>
      <w:kern w:val="0"/>
      <w:sz w:val="18"/>
      <w:szCs w:val="20"/>
    </w:rPr>
  </w:style>
  <w:style w:type="paragraph" w:customStyle="1" w:styleId="297">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298">
    <w:name w:val=" Char Char1 Char Char Char"/>
    <w:basedOn w:val="1"/>
    <w:uiPriority w:val="0"/>
    <w:rPr>
      <w:rFonts w:ascii="仿宋_GB2312" w:eastAsia="仿宋_GB2312"/>
      <w:b/>
      <w:sz w:val="32"/>
      <w:szCs w:val="20"/>
    </w:rPr>
  </w:style>
  <w:style w:type="paragraph" w:customStyle="1" w:styleId="299">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300">
    <w:name w:val="条1"/>
    <w:basedOn w:val="1"/>
    <w:uiPriority w:val="0"/>
    <w:pPr>
      <w:tabs>
        <w:tab w:val="left" w:pos="900"/>
      </w:tabs>
      <w:spacing w:before="156" w:line="360" w:lineRule="auto"/>
      <w:ind w:left="900" w:hanging="420"/>
    </w:pPr>
    <w:rPr>
      <w:rFonts w:eastAsia="黑体"/>
      <w:sz w:val="24"/>
      <w:szCs w:val="20"/>
    </w:rPr>
  </w:style>
  <w:style w:type="paragraph" w:customStyle="1" w:styleId="301">
    <w:name w:val="样式 正文首行缩进 + 首行缩进:  1 字符"/>
    <w:basedOn w:val="74"/>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02">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303">
    <w:name w:val="功能列表"/>
    <w:basedOn w:val="1"/>
    <w:uiPriority w:val="0"/>
    <w:pPr>
      <w:tabs>
        <w:tab w:val="left" w:pos="0"/>
        <w:tab w:val="left" w:pos="900"/>
      </w:tabs>
      <w:spacing w:line="360" w:lineRule="auto"/>
      <w:ind w:firstLineChars="200"/>
    </w:pPr>
    <w:rPr>
      <w:sz w:val="24"/>
      <w:szCs w:val="20"/>
    </w:rPr>
  </w:style>
  <w:style w:type="paragraph" w:customStyle="1" w:styleId="304">
    <w:name w:val="列表段落"/>
    <w:basedOn w:val="1"/>
    <w:qFormat/>
    <w:uiPriority w:val="34"/>
    <w:pPr>
      <w:widowControl/>
      <w:ind w:firstLine="200" w:firstLineChars="200"/>
      <w:jc w:val="left"/>
    </w:pPr>
    <w:rPr>
      <w:rFonts w:ascii="??" w:hAnsi="??" w:eastAsia="??" w:cs="??"/>
      <w:kern w:val="0"/>
      <w:sz w:val="24"/>
    </w:rPr>
  </w:style>
  <w:style w:type="paragraph" w:customStyle="1" w:styleId="305">
    <w:name w:val="Normal_3"/>
    <w:qFormat/>
    <w:uiPriority w:val="0"/>
    <w:pPr>
      <w:spacing w:before="120" w:after="240"/>
      <w:jc w:val="both"/>
    </w:pPr>
    <w:rPr>
      <w:rFonts w:eastAsia="Calibri"/>
      <w:sz w:val="22"/>
      <w:szCs w:val="22"/>
      <w:lang w:val="ru-RU" w:eastAsia="en-US" w:bidi="ar-SA"/>
    </w:rPr>
  </w:style>
  <w:style w:type="paragraph" w:customStyle="1" w:styleId="306">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307">
    <w:name w:val="中文标题 1"/>
    <w:basedOn w:val="31"/>
    <w:next w:val="31"/>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308">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09">
    <w:name w:val="正文 居中"/>
    <w:basedOn w:val="1"/>
    <w:uiPriority w:val="0"/>
    <w:pPr>
      <w:spacing w:line="360" w:lineRule="auto"/>
      <w:jc w:val="center"/>
    </w:pPr>
    <w:rPr>
      <w:sz w:val="24"/>
      <w:szCs w:val="20"/>
    </w:rPr>
  </w:style>
  <w:style w:type="paragraph" w:customStyle="1" w:styleId="310">
    <w:name w:val="公文标题"/>
    <w:basedOn w:val="112"/>
    <w:next w:val="112"/>
    <w:uiPriority w:val="0"/>
    <w:pPr>
      <w:spacing w:before="0"/>
      <w:ind w:firstLine="0" w:firstLineChars="0"/>
      <w:jc w:val="center"/>
    </w:pPr>
    <w:rPr>
      <w:rFonts w:ascii="仿宋_GB2312" w:hAnsi="宋体" w:eastAsia="仿宋_GB2312" w:cs="Times New Roman"/>
      <w:b/>
      <w:bCs/>
      <w:kern w:val="28"/>
      <w:sz w:val="44"/>
    </w:rPr>
  </w:style>
  <w:style w:type="paragraph" w:customStyle="1" w:styleId="311">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12">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13">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314">
    <w:name w:val="0"/>
    <w:basedOn w:val="1"/>
    <w:uiPriority w:val="0"/>
    <w:pPr>
      <w:widowControl/>
    </w:pPr>
    <w:rPr>
      <w:kern w:val="0"/>
      <w:sz w:val="24"/>
      <w:szCs w:val="20"/>
    </w:rPr>
  </w:style>
  <w:style w:type="paragraph" w:styleId="315">
    <w:name w:val=""/>
    <w:basedOn w:val="1"/>
    <w:next w:val="1"/>
    <w:uiPriority w:val="0"/>
    <w:pPr>
      <w:pBdr>
        <w:bottom w:val="single" w:color="auto" w:sz="6" w:space="1"/>
      </w:pBdr>
      <w:jc w:val="center"/>
    </w:pPr>
    <w:rPr>
      <w:rFonts w:ascii="Arial" w:eastAsia="宋体"/>
      <w:vanish/>
      <w:sz w:val="16"/>
    </w:rPr>
  </w:style>
  <w:style w:type="paragraph" w:customStyle="1" w:styleId="316">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17">
    <w:name w:val="List Paragraph"/>
    <w:basedOn w:val="1"/>
    <w:uiPriority w:val="0"/>
    <w:pPr>
      <w:ind w:firstLine="420" w:firstLineChars="200"/>
    </w:pPr>
    <w:rPr>
      <w:szCs w:val="20"/>
    </w:rPr>
  </w:style>
  <w:style w:type="paragraph" w:customStyle="1" w:styleId="318">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19">
    <w:name w:val="标准小四"/>
    <w:basedOn w:val="1"/>
    <w:uiPriority w:val="0"/>
    <w:pPr>
      <w:spacing w:line="360" w:lineRule="auto"/>
      <w:ind w:firstLine="480" w:firstLineChars="200"/>
    </w:pPr>
    <w:rPr>
      <w:rFonts w:ascii="Arial" w:hAnsi="Arial"/>
      <w:sz w:val="24"/>
      <w:szCs w:val="20"/>
    </w:rPr>
  </w:style>
  <w:style w:type="paragraph" w:customStyle="1" w:styleId="320">
    <w:name w:val="正文 首行缩进2字符"/>
    <w:basedOn w:val="1"/>
    <w:uiPriority w:val="0"/>
    <w:pPr>
      <w:spacing w:line="360" w:lineRule="auto"/>
      <w:ind w:firstLine="200" w:firstLineChars="200"/>
    </w:pPr>
    <w:rPr>
      <w:rFonts w:eastAsia="楷体_GB2312"/>
      <w:sz w:val="24"/>
      <w:szCs w:val="20"/>
    </w:rPr>
  </w:style>
  <w:style w:type="paragraph" w:customStyle="1" w:styleId="321">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322">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23">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24">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325">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26">
    <w:name w:val="正文 首行缩进:  2 字符 Char Char Char Char"/>
    <w:basedOn w:val="1"/>
    <w:uiPriority w:val="0"/>
    <w:pPr>
      <w:spacing w:line="360" w:lineRule="auto"/>
      <w:ind w:firstLine="480"/>
    </w:pPr>
    <w:rPr>
      <w:rFonts w:eastAsia="楷体_GB2312" w:cs="宋体"/>
      <w:sz w:val="24"/>
    </w:rPr>
  </w:style>
  <w:style w:type="paragraph" w:customStyle="1" w:styleId="327">
    <w:name w:val="TOC 标题"/>
    <w:basedOn w:val="3"/>
    <w:next w:val="1"/>
    <w:qFormat/>
    <w:uiPriority w:val="0"/>
    <w:pPr>
      <w:keepLines/>
      <w:spacing w:before="480" w:line="276" w:lineRule="auto"/>
      <w:jc w:val="left"/>
      <w:outlineLvl w:val="9"/>
    </w:pPr>
    <w:rPr>
      <w:rFonts w:ascii="Cambria" w:hAnsi="Cambria"/>
      <w:bCs/>
      <w:color w:val="365F91"/>
      <w:kern w:val="0"/>
      <w:sz w:val="28"/>
    </w:rPr>
  </w:style>
  <w:style w:type="paragraph" w:customStyle="1" w:styleId="328">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329">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330">
    <w:name w:val="样式 标题 1H1标书1h1Level 1 Topic Heading1st levelSection Headl..."/>
    <w:basedOn w:val="3"/>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331">
    <w:name w:val="正文 首行缩进"/>
    <w:basedOn w:val="1"/>
    <w:uiPriority w:val="0"/>
    <w:pPr>
      <w:spacing w:line="360" w:lineRule="auto"/>
      <w:ind w:firstLine="200" w:firstLineChars="200"/>
    </w:pPr>
    <w:rPr>
      <w:rFonts w:eastAsia="楷体_GB2312"/>
      <w:sz w:val="28"/>
      <w:szCs w:val="20"/>
    </w:rPr>
  </w:style>
  <w:style w:type="paragraph" w:customStyle="1" w:styleId="332">
    <w:name w:val="首行缩进正文"/>
    <w:basedOn w:val="1"/>
    <w:uiPriority w:val="0"/>
    <w:pPr>
      <w:spacing w:line="360" w:lineRule="auto"/>
      <w:ind w:firstLine="480"/>
    </w:pPr>
    <w:rPr>
      <w:rFonts w:eastAsia="楷体_GB2312"/>
      <w:sz w:val="24"/>
      <w:szCs w:val="20"/>
    </w:rPr>
  </w:style>
  <w:style w:type="paragraph" w:customStyle="1" w:styleId="333">
    <w:name w:val="样式 正文文本缩进 + 左侧:  0.63 厘米 首行缩进:  0 厘米"/>
    <w:basedOn w:val="31"/>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334">
    <w:name w:val="No Spacing"/>
    <w:uiPriority w:val="0"/>
    <w:rPr>
      <w:rFonts w:eastAsia="??" w:cs="宋体"/>
      <w:sz w:val="22"/>
      <w:szCs w:val="22"/>
      <w:lang w:val="en-US" w:eastAsia="en-US" w:bidi="ar-SA"/>
    </w:rPr>
  </w:style>
  <w:style w:type="paragraph" w:customStyle="1" w:styleId="335">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36">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37">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338">
    <w:name w:val="无间隔1"/>
    <w:qFormat/>
    <w:uiPriority w:val="0"/>
    <w:rPr>
      <w:rFonts w:eastAsia="??" w:cs="宋体"/>
      <w:sz w:val="22"/>
      <w:szCs w:val="22"/>
      <w:lang w:val="en-US" w:eastAsia="en-US" w:bidi="ar-SA"/>
    </w:rPr>
  </w:style>
  <w:style w:type="paragraph" w:customStyle="1" w:styleId="339">
    <w:name w:val=" Char Char Char Char Char Char Char Char Char Char"/>
    <w:basedOn w:val="1"/>
    <w:uiPriority w:val="0"/>
    <w:rPr>
      <w:rFonts w:ascii="仿宋_GB2312" w:eastAsia="仿宋_GB2312"/>
      <w:b/>
      <w:sz w:val="32"/>
      <w:szCs w:val="20"/>
    </w:rPr>
  </w:style>
  <w:style w:type="paragraph" w:customStyle="1" w:styleId="340">
    <w:name w:val="样式 正文文本缩进 + 仿宋_GB2312 四号"/>
    <w:basedOn w:val="1"/>
    <w:next w:val="8"/>
    <w:uiPriority w:val="0"/>
    <w:pPr>
      <w:widowControl/>
      <w:spacing w:line="360" w:lineRule="auto"/>
      <w:jc w:val="left"/>
    </w:pPr>
    <w:rPr>
      <w:rFonts w:ascii="宋体" w:hAnsi="宋体" w:cs="宋体"/>
      <w:b/>
      <w:snapToGrid w:val="0"/>
      <w:kern w:val="0"/>
      <w:sz w:val="28"/>
      <w:szCs w:val="28"/>
    </w:rPr>
  </w:style>
  <w:style w:type="paragraph" w:customStyle="1" w:styleId="341">
    <w:name w:val=" Char Char2"/>
    <w:basedOn w:val="1"/>
    <w:uiPriority w:val="0"/>
    <w:rPr>
      <w:rFonts w:ascii="仿宋_GB2312" w:eastAsia="仿宋_GB2312"/>
      <w:b/>
      <w:sz w:val="32"/>
      <w:szCs w:val="32"/>
    </w:rPr>
  </w:style>
  <w:style w:type="paragraph" w:customStyle="1" w:styleId="342">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43">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44">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34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346">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47">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48">
    <w:name w:val="标题 ４"/>
    <w:basedOn w:val="5"/>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34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350">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351">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352">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53">
    <w:name w:val=" Char2 Char Char"/>
    <w:basedOn w:val="1"/>
    <w:uiPriority w:val="0"/>
    <w:rPr>
      <w:rFonts w:ascii="Tahoma" w:hAnsi="Tahoma"/>
      <w:sz w:val="24"/>
      <w:szCs w:val="20"/>
    </w:rPr>
  </w:style>
  <w:style w:type="paragraph" w:customStyle="1" w:styleId="354">
    <w:name w:val="样式4"/>
    <w:basedOn w:val="1"/>
    <w:uiPriority w:val="0"/>
    <w:pPr>
      <w:widowControl/>
      <w:spacing w:line="360" w:lineRule="auto"/>
      <w:ind w:firstLine="480"/>
      <w:jc w:val="left"/>
    </w:pPr>
    <w:rPr>
      <w:rFonts w:eastAsia="楷体_GB2312" w:cs="宋体"/>
      <w:color w:val="000000"/>
      <w:sz w:val="24"/>
    </w:rPr>
  </w:style>
  <w:style w:type="paragraph" w:customStyle="1" w:styleId="355">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356">
    <w:name w:val=" Char Char Char Char Char Char Char Char"/>
    <w:basedOn w:val="1"/>
    <w:uiPriority w:val="0"/>
    <w:pPr>
      <w:tabs>
        <w:tab w:val="left" w:pos="360"/>
      </w:tabs>
    </w:pPr>
    <w:rPr>
      <w:sz w:val="24"/>
      <w:szCs w:val="20"/>
    </w:rPr>
  </w:style>
  <w:style w:type="paragraph" w:customStyle="1" w:styleId="357">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58">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59">
    <w:name w:val="pa-67"/>
    <w:basedOn w:val="1"/>
    <w:uiPriority w:val="0"/>
    <w:pPr>
      <w:widowControl/>
      <w:spacing w:line="360" w:lineRule="atLeast"/>
      <w:ind w:firstLine="480"/>
      <w:jc w:val="center"/>
    </w:pPr>
    <w:rPr>
      <w:rFonts w:ascii="宋体" w:hAnsi="宋体" w:cs="宋体"/>
      <w:kern w:val="0"/>
      <w:sz w:val="24"/>
    </w:rPr>
  </w:style>
  <w:style w:type="paragraph" w:customStyle="1" w:styleId="360">
    <w:name w:val="标题4"/>
    <w:basedOn w:val="1"/>
    <w:uiPriority w:val="0"/>
    <w:rPr>
      <w:rFonts w:eastAsia="??_GB2312"/>
      <w:sz w:val="32"/>
      <w:szCs w:val="28"/>
    </w:rPr>
  </w:style>
  <w:style w:type="paragraph" w:customStyle="1" w:styleId="361">
    <w:name w:val=" Char Char Char Char"/>
    <w:basedOn w:val="1"/>
    <w:uiPriority w:val="0"/>
    <w:rPr>
      <w:rFonts w:ascii="Tahoma" w:hAnsi="Tahoma"/>
      <w:sz w:val="24"/>
      <w:szCs w:val="20"/>
    </w:rPr>
  </w:style>
  <w:style w:type="paragraph" w:customStyle="1" w:styleId="362">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363">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64">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365">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66">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67">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68">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9">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70">
    <w:name w:val="Normal_20"/>
    <w:qFormat/>
    <w:uiPriority w:val="0"/>
    <w:pPr>
      <w:spacing w:before="120" w:after="240"/>
      <w:jc w:val="both"/>
    </w:pPr>
    <w:rPr>
      <w:rFonts w:eastAsia="Calibri"/>
      <w:sz w:val="22"/>
      <w:szCs w:val="22"/>
      <w:lang w:val="ru-RU" w:eastAsia="en-US" w:bidi="ar-SA"/>
    </w:rPr>
  </w:style>
  <w:style w:type="paragraph" w:customStyle="1" w:styleId="371">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372">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373">
    <w:name w:val="p0"/>
    <w:basedOn w:val="1"/>
    <w:uiPriority w:val="0"/>
    <w:pPr>
      <w:widowControl/>
    </w:pPr>
    <w:rPr>
      <w:kern w:val="0"/>
      <w:szCs w:val="21"/>
    </w:rPr>
  </w:style>
  <w:style w:type="paragraph" w:customStyle="1" w:styleId="374">
    <w:name w:val="Char Char Char Char Char Char Char Char Char Char"/>
    <w:basedOn w:val="1"/>
    <w:uiPriority w:val="0"/>
    <w:rPr>
      <w:rFonts w:ascii="仿宋_GB2312" w:eastAsia="仿宋_GB2312"/>
      <w:b/>
      <w:sz w:val="32"/>
      <w:szCs w:val="20"/>
    </w:rPr>
  </w:style>
  <w:style w:type="paragraph" w:customStyle="1" w:styleId="375">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76">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377">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378">
    <w:name w:val="5 Char"/>
    <w:basedOn w:val="1"/>
    <w:uiPriority w:val="0"/>
    <w:rPr>
      <w:rFonts w:eastAsia="楷体_GB2312"/>
    </w:rPr>
  </w:style>
  <w:style w:type="paragraph" w:customStyle="1" w:styleId="379">
    <w:name w:val="修订"/>
    <w:semiHidden/>
    <w:uiPriority w:val="0"/>
    <w:rPr>
      <w:kern w:val="2"/>
      <w:sz w:val="21"/>
      <w:lang w:val="en-US" w:eastAsia="zh-CN" w:bidi="ar-SA"/>
    </w:rPr>
  </w:style>
  <w:style w:type="paragraph" w:customStyle="1" w:styleId="380">
    <w:name w:val="样式 正文缩进正文（首行缩进两字）表正文正文非缩进特点段1段1 Charno-step正文双线四号首行缩进..."/>
    <w:basedOn w:val="19"/>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81">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382">
    <w:name w:val="正文段"/>
    <w:basedOn w:val="1"/>
    <w:uiPriority w:val="0"/>
    <w:pPr>
      <w:widowControl/>
      <w:snapToGrid w:val="0"/>
      <w:spacing w:afterLines="50"/>
      <w:ind w:firstLine="200" w:firstLineChars="200"/>
    </w:pPr>
    <w:rPr>
      <w:rFonts w:eastAsia="??"/>
      <w:kern w:val="0"/>
      <w:sz w:val="24"/>
      <w:szCs w:val="28"/>
    </w:rPr>
  </w:style>
  <w:style w:type="paragraph" w:customStyle="1" w:styleId="383">
    <w:name w:val="正文缩进1"/>
    <w:basedOn w:val="1"/>
    <w:next w:val="31"/>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384">
    <w:name w:val=" Char Char12"/>
    <w:basedOn w:val="1"/>
    <w:uiPriority w:val="0"/>
  </w:style>
  <w:style w:type="paragraph" w:customStyle="1" w:styleId="385">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386">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87">
    <w:name w:val="公文标题 4"/>
    <w:basedOn w:val="388"/>
    <w:next w:val="112"/>
    <w:uiPriority w:val="0"/>
    <w:pPr>
      <w:outlineLvl w:val="9"/>
    </w:pPr>
  </w:style>
  <w:style w:type="paragraph" w:customStyle="1" w:styleId="388">
    <w:name w:val="公文标题 3"/>
    <w:basedOn w:val="389"/>
    <w:next w:val="112"/>
    <w:uiPriority w:val="0"/>
    <w:pPr>
      <w:outlineLvl w:val="2"/>
    </w:pPr>
  </w:style>
  <w:style w:type="paragraph" w:customStyle="1" w:styleId="389">
    <w:name w:val="公文标题 2"/>
    <w:basedOn w:val="390"/>
    <w:next w:val="112"/>
    <w:uiPriority w:val="0"/>
    <w:pPr>
      <w:ind w:firstLine="561"/>
      <w:outlineLvl w:val="1"/>
    </w:pPr>
    <w:rPr>
      <w:sz w:val="28"/>
      <w:lang w:val="en-US"/>
    </w:rPr>
  </w:style>
  <w:style w:type="paragraph" w:customStyle="1" w:styleId="390">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391">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92">
    <w:name w:val="Char Char1 Char Char Char"/>
    <w:basedOn w:val="1"/>
    <w:uiPriority w:val="0"/>
    <w:rPr>
      <w:rFonts w:ascii="仿宋_GB2312" w:eastAsia="仿宋_GB2312"/>
      <w:b/>
      <w:sz w:val="32"/>
      <w:szCs w:val="20"/>
    </w:rPr>
  </w:style>
  <w:style w:type="paragraph" w:customStyle="1" w:styleId="393">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394">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95">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396">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397">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98">
    <w:name w:val="列出段落2"/>
    <w:basedOn w:val="1"/>
    <w:uiPriority w:val="0"/>
    <w:pPr>
      <w:ind w:firstLine="420" w:firstLineChars="200"/>
    </w:pPr>
    <w:rPr>
      <w:rFonts w:ascii="Calibri" w:hAnsi="Calibri"/>
      <w:szCs w:val="22"/>
    </w:rPr>
  </w:style>
  <w:style w:type="paragraph" w:customStyle="1" w:styleId="399">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400">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401">
    <w:name w:val=" Char Char1 Char"/>
    <w:basedOn w:val="1"/>
    <w:uiPriority w:val="0"/>
    <w:rPr>
      <w:rFonts w:ascii="仿宋_GB2312" w:eastAsia="仿宋_GB2312"/>
      <w:b/>
      <w:sz w:val="32"/>
      <w:szCs w:val="32"/>
    </w:rPr>
  </w:style>
  <w:style w:type="paragraph" w:customStyle="1" w:styleId="402">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03">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404">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405">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06">
    <w:name w:val="Char Char Char1 Char Char Char1 Char"/>
    <w:basedOn w:val="1"/>
    <w:uiPriority w:val="0"/>
    <w:pPr>
      <w:tabs>
        <w:tab w:val="left" w:pos="360"/>
      </w:tabs>
    </w:pPr>
    <w:rPr>
      <w:sz w:val="24"/>
    </w:rPr>
  </w:style>
  <w:style w:type="paragraph" w:customStyle="1" w:styleId="407">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08">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409">
    <w:name w:val=" Char2 Char Char Char"/>
    <w:basedOn w:val="1"/>
    <w:uiPriority w:val="0"/>
    <w:rPr>
      <w:rFonts w:ascii="仿宋_GB2312" w:eastAsia="仿宋_GB2312"/>
      <w:b/>
      <w:sz w:val="32"/>
      <w:szCs w:val="32"/>
    </w:rPr>
  </w:style>
  <w:style w:type="paragraph" w:customStyle="1" w:styleId="410">
    <w:name w:val="默认段落字体 Para Char Char Char Char Char Char Char"/>
    <w:basedOn w:val="1"/>
    <w:uiPriority w:val="0"/>
    <w:rPr>
      <w:rFonts w:eastAsia="仿宋_GB2312"/>
      <w:sz w:val="28"/>
      <w:szCs w:val="20"/>
    </w:rPr>
  </w:style>
  <w:style w:type="paragraph" w:customStyle="1" w:styleId="411">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12">
    <w:name w:val=" Char Char1"/>
    <w:basedOn w:val="1"/>
    <w:uiPriority w:val="0"/>
    <w:pPr>
      <w:widowControl/>
      <w:spacing w:after="160" w:line="240" w:lineRule="exact"/>
      <w:jc w:val="left"/>
    </w:pPr>
    <w:rPr>
      <w:rFonts w:eastAsia="仿宋_GB2312"/>
      <w:sz w:val="28"/>
      <w:szCs w:val="20"/>
    </w:rPr>
  </w:style>
  <w:style w:type="paragraph" w:customStyle="1" w:styleId="413">
    <w:name w:val="正文 首行缩进:  2 字符 Char Char"/>
    <w:basedOn w:val="1"/>
    <w:uiPriority w:val="0"/>
    <w:pPr>
      <w:spacing w:line="360" w:lineRule="auto"/>
      <w:ind w:firstLine="480"/>
    </w:pPr>
    <w:rPr>
      <w:rFonts w:ascii="楷体_GB2312" w:eastAsia="楷体_GB2312"/>
      <w:bCs/>
      <w:sz w:val="24"/>
    </w:rPr>
  </w:style>
  <w:style w:type="paragraph" w:customStyle="1" w:styleId="414">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15">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16">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17">
    <w:name w:val="封面一致性程度标识"/>
    <w:uiPriority w:val="0"/>
    <w:pPr>
      <w:spacing w:before="440" w:line="400" w:lineRule="exact"/>
      <w:jc w:val="center"/>
    </w:pPr>
    <w:rPr>
      <w:rFonts w:ascii="宋体"/>
      <w:sz w:val="28"/>
      <w:lang w:val="en-US" w:eastAsia="zh-CN" w:bidi="ar-SA"/>
    </w:rPr>
  </w:style>
  <w:style w:type="paragraph" w:customStyle="1" w:styleId="418">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19">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420">
    <w:name w:val="正文文字表格居中"/>
    <w:basedOn w:val="1"/>
    <w:next w:val="67"/>
    <w:uiPriority w:val="0"/>
    <w:pPr>
      <w:snapToGrid w:val="0"/>
      <w:spacing w:line="360" w:lineRule="auto"/>
    </w:pPr>
    <w:rPr>
      <w:rFonts w:ascii="宋体"/>
      <w:b/>
      <w:sz w:val="24"/>
      <w:szCs w:val="20"/>
    </w:rPr>
  </w:style>
  <w:style w:type="paragraph" w:customStyle="1" w:styleId="421">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422">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23">
    <w:name w:val=" Char Char Char"/>
    <w:basedOn w:val="1"/>
    <w:uiPriority w:val="0"/>
    <w:rPr>
      <w:rFonts w:ascii="Tahoma" w:hAnsi="Tahoma"/>
      <w:sz w:val="24"/>
      <w:szCs w:val="20"/>
    </w:rPr>
  </w:style>
  <w:style w:type="paragraph" w:customStyle="1" w:styleId="424">
    <w:name w:val=" Char"/>
    <w:basedOn w:val="1"/>
    <w:uiPriority w:val="0"/>
    <w:rPr>
      <w:rFonts w:ascii="仿宋_GB2312" w:eastAsia="仿宋_GB2312"/>
      <w:b/>
      <w:sz w:val="32"/>
      <w:szCs w:val="32"/>
    </w:rPr>
  </w:style>
  <w:style w:type="paragraph" w:customStyle="1" w:styleId="425">
    <w:name w:val="普通段落"/>
    <w:basedOn w:val="1"/>
    <w:uiPriority w:val="0"/>
    <w:pPr>
      <w:adjustRightInd w:val="0"/>
      <w:snapToGrid w:val="0"/>
      <w:spacing w:line="360" w:lineRule="auto"/>
      <w:ind w:firstLine="480" w:firstLineChars="200"/>
    </w:pPr>
    <w:rPr>
      <w:sz w:val="24"/>
      <w:szCs w:val="20"/>
    </w:rPr>
  </w:style>
  <w:style w:type="paragraph" w:customStyle="1" w:styleId="426">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42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28">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29">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430">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431">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432">
    <w:name w:val="2"/>
    <w:basedOn w:val="1"/>
    <w:uiPriority w:val="0"/>
    <w:rPr>
      <w:rFonts w:ascii="Tahoma" w:hAnsi="Tahoma" w:eastAsia="??" w:cs="Tahoma"/>
      <w:sz w:val="24"/>
      <w:szCs w:val="28"/>
    </w:rPr>
  </w:style>
  <w:style w:type="paragraph" w:customStyle="1" w:styleId="433">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34">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435">
    <w:name w:val="彩色列表 - 强调文字颜色 11"/>
    <w:basedOn w:val="1"/>
    <w:qFormat/>
    <w:uiPriority w:val="34"/>
    <w:pPr>
      <w:ind w:firstLine="420" w:firstLineChars="200"/>
    </w:pPr>
  </w:style>
  <w:style w:type="paragraph" w:customStyle="1" w:styleId="436">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37">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438">
    <w:name w:val="中文标题 3"/>
    <w:basedOn w:val="31"/>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39">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440">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441">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42">
    <w:name w:val="pa-68"/>
    <w:basedOn w:val="1"/>
    <w:uiPriority w:val="0"/>
    <w:pPr>
      <w:widowControl/>
      <w:spacing w:line="330" w:lineRule="atLeast"/>
      <w:jc w:val="left"/>
    </w:pPr>
    <w:rPr>
      <w:rFonts w:ascii="宋体" w:hAnsi="宋体" w:cs="宋体"/>
      <w:kern w:val="0"/>
      <w:sz w:val="24"/>
    </w:rPr>
  </w:style>
  <w:style w:type="paragraph" w:customStyle="1" w:styleId="443">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444">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5">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46">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7">
    <w:name w:val=" Char1"/>
    <w:basedOn w:val="1"/>
    <w:uiPriority w:val="0"/>
    <w:rPr>
      <w:rFonts w:ascii="仿宋_GB2312" w:eastAsia="仿宋_GB2312"/>
      <w:b/>
      <w:sz w:val="32"/>
      <w:szCs w:val="20"/>
    </w:rPr>
  </w:style>
  <w:style w:type="paragraph" w:customStyle="1" w:styleId="448">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449">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50">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51">
    <w:name w:val=" Char1 Char Char Char"/>
    <w:basedOn w:val="1"/>
    <w:uiPriority w:val="0"/>
    <w:rPr>
      <w:rFonts w:ascii="仿宋_GB2312" w:hAnsi="仿宋_GB2312" w:eastAsia="仿宋_GB2312" w:cs="Lucida Sans"/>
      <w:b/>
      <w:sz w:val="32"/>
      <w:szCs w:val="32"/>
    </w:rPr>
  </w:style>
  <w:style w:type="paragraph" w:customStyle="1" w:styleId="452">
    <w:name w:val="中文标题 4"/>
    <w:basedOn w:val="31"/>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styleId="453">
    <w:name w:val=""/>
    <w:basedOn w:val="1"/>
    <w:next w:val="1"/>
    <w:uiPriority w:val="0"/>
    <w:pPr>
      <w:pBdr>
        <w:top w:val="single" w:color="auto" w:sz="6" w:space="1"/>
      </w:pBdr>
      <w:jc w:val="center"/>
    </w:pPr>
    <w:rPr>
      <w:rFonts w:ascii="Arial" w:eastAsia="宋体"/>
      <w:vanish/>
      <w:sz w:val="16"/>
    </w:rPr>
  </w:style>
  <w:style w:type="paragraph" w:customStyle="1" w:styleId="454">
    <w:name w:val="文档正文"/>
    <w:basedOn w:val="1"/>
    <w:uiPriority w:val="0"/>
    <w:pPr>
      <w:adjustRightInd w:val="0"/>
      <w:spacing w:line="480" w:lineRule="atLeast"/>
      <w:ind w:firstLine="567"/>
      <w:textAlignment w:val="baseline"/>
    </w:pPr>
    <w:rPr>
      <w:kern w:val="0"/>
      <w:sz w:val="24"/>
      <w:szCs w:val="20"/>
    </w:rPr>
  </w:style>
  <w:style w:type="paragraph" w:customStyle="1" w:styleId="455">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56">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57">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58">
    <w:name w:val="段 Char"/>
    <w:uiPriority w:val="0"/>
    <w:pPr>
      <w:autoSpaceDE w:val="0"/>
      <w:autoSpaceDN w:val="0"/>
      <w:ind w:firstLine="200" w:firstLineChars="200"/>
      <w:jc w:val="both"/>
    </w:pPr>
    <w:rPr>
      <w:rFonts w:ascii="宋体"/>
      <w:sz w:val="21"/>
      <w:lang w:val="en-US" w:eastAsia="zh-CN" w:bidi="ar-SA"/>
    </w:rPr>
  </w:style>
  <w:style w:type="paragraph" w:customStyle="1" w:styleId="459">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460">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61">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462">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463">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464">
    <w:name w:val="font9"/>
    <w:basedOn w:val="1"/>
    <w:uiPriority w:val="0"/>
    <w:pPr>
      <w:widowControl/>
      <w:spacing w:before="100" w:beforeAutospacing="1" w:after="100" w:afterAutospacing="1"/>
      <w:jc w:val="left"/>
    </w:pPr>
    <w:rPr>
      <w:kern w:val="0"/>
      <w:sz w:val="18"/>
      <w:szCs w:val="20"/>
    </w:rPr>
  </w:style>
  <w:style w:type="paragraph" w:customStyle="1" w:styleId="465">
    <w:name w:val="图"/>
    <w:basedOn w:val="1"/>
    <w:uiPriority w:val="0"/>
    <w:pPr>
      <w:spacing w:line="360" w:lineRule="auto"/>
      <w:jc w:val="center"/>
    </w:pPr>
    <w:rPr>
      <w:rFonts w:ascii="宋体" w:hAnsi="宋体" w:eastAsia="楷体_GB2312" w:cs="宋体"/>
      <w:sz w:val="24"/>
      <w:szCs w:val="20"/>
    </w:rPr>
  </w:style>
  <w:style w:type="paragraph" w:customStyle="1" w:styleId="466">
    <w:name w:val="正文 首行缩进:  2 字符 Char"/>
    <w:basedOn w:val="1"/>
    <w:uiPriority w:val="0"/>
    <w:pPr>
      <w:spacing w:line="360" w:lineRule="auto"/>
      <w:ind w:firstLine="480"/>
    </w:pPr>
    <w:rPr>
      <w:rFonts w:cs="宋体"/>
      <w:sz w:val="24"/>
      <w:szCs w:val="20"/>
    </w:rPr>
  </w:style>
  <w:style w:type="paragraph" w:customStyle="1" w:styleId="467">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68">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469">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470">
    <w:name w:val="模板普通正文"/>
    <w:basedOn w:val="31"/>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471">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72">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473">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474">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75">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476">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477">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478">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79">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80">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481">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82">
    <w:name w:val="标题 5l"/>
    <w:basedOn w:val="7"/>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483">
    <w:name w:val="默认段落字体 Para Char Char Char1 Char"/>
    <w:basedOn w:val="1"/>
    <w:next w:val="1"/>
    <w:uiPriority w:val="0"/>
    <w:pPr>
      <w:spacing w:line="240" w:lineRule="atLeast"/>
      <w:ind w:left="420" w:firstLine="420"/>
      <w:jc w:val="left"/>
    </w:pPr>
    <w:rPr>
      <w:kern w:val="0"/>
      <w:szCs w:val="21"/>
    </w:rPr>
  </w:style>
  <w:style w:type="paragraph" w:customStyle="1" w:styleId="484">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48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8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487">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488">
    <w:name w:val=" Char Char1 Char Char Char Char"/>
    <w:basedOn w:val="1"/>
    <w:uiPriority w:val="0"/>
    <w:pPr>
      <w:widowControl/>
      <w:spacing w:after="160" w:line="240" w:lineRule="exact"/>
      <w:jc w:val="left"/>
    </w:pPr>
    <w:rPr>
      <w:rFonts w:ascii="Verdana" w:hAnsi="Verdana"/>
      <w:kern w:val="0"/>
      <w:sz w:val="20"/>
      <w:szCs w:val="20"/>
      <w:lang w:eastAsia="en-US"/>
    </w:rPr>
  </w:style>
  <w:style w:type="table" w:customStyle="1" w:styleId="489">
    <w:name w:val="TableGrid"/>
    <w:qFormat/>
    <w:uiPriority w:val="0"/>
    <w:rPr>
      <w:rFonts w:ascii="等线" w:hAnsi="等线" w:eastAsia="等线"/>
      <w:lang w:val="en-US" w:eastAsia="zh-CN" w:bidi="ar-SA"/>
    </w:rPr>
    <w:tblPr>
      <w:tblStyle w:val="76"/>
      <w:tblCellMar>
        <w:top w:w="0" w:type="dxa"/>
        <w:left w:w="0" w:type="dxa"/>
        <w:bottom w:w="0" w:type="dxa"/>
        <w:right w:w="0" w:type="dxa"/>
      </w:tblCellMar>
    </w:tblPr>
  </w:style>
  <w:style w:type="table" w:customStyle="1" w:styleId="490">
    <w:name w:val="中等深浅网格 2 - 强调文字颜色 11"/>
    <w:basedOn w:val="76"/>
    <w:uiPriority w:val="68"/>
    <w:rPr>
      <w:rFonts w:ascii="Cambria" w:hAnsi="Cambria" w:eastAsia="宋体" w:cs="Times New Roman"/>
      <w:color w:val="000000"/>
    </w:rPr>
    <w:tblPr>
      <w:tblStyle w:val="7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6"/>
      </w:tblPr>
      <w:tcPr>
        <w:shd w:val="clear" w:color="auto" w:fill="EDF2F8"/>
      </w:tcPr>
    </w:tblStylePr>
    <w:tblStylePr w:type="lastRow">
      <w:rPr>
        <w:b/>
        <w:bCs/>
        <w:color w:val="000000"/>
      </w:rPr>
      <w:tblPr>
        <w:tblStyle w:val="76"/>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6"/>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6"/>
      </w:tblPr>
      <w:tcPr>
        <w:tcBorders>
          <w:top w:val="nil"/>
          <w:left w:val="nil"/>
          <w:bottom w:val="nil"/>
          <w:right w:val="nil"/>
          <w:insideH w:val="nil"/>
          <w:insideV w:val="nil"/>
          <w:tl2br w:val="nil"/>
          <w:tr2bl w:val="nil"/>
        </w:tcBorders>
        <w:shd w:val="clear" w:color="auto" w:fill="DBE5F1"/>
      </w:tcPr>
    </w:tblStylePr>
    <w:tblStylePr w:type="band1Vert">
      <w:tblPr>
        <w:tblStyle w:val="76"/>
      </w:tblPr>
      <w:tcPr>
        <w:shd w:val="clear" w:color="auto" w:fill="A7C0DE"/>
      </w:tcPr>
    </w:tblStylePr>
    <w:tblStylePr w:type="band1Horz">
      <w:tblPr>
        <w:tblStyle w:val="76"/>
      </w:tblPr>
      <w:tcPr>
        <w:shd w:val="clear" w:color="auto" w:fill="A7C0DE"/>
      </w:tcPr>
    </w:tblStylePr>
    <w:tblStylePr w:type="nwCell">
      <w:tblPr>
        <w:tblStyle w:val="76"/>
      </w:tblPr>
      <w:tcPr>
        <w:shd w:val="clear" w:color="auto" w:fill="FFFFFF"/>
      </w:tcPr>
    </w:tblStylePr>
  </w:style>
  <w:style w:type="table" w:customStyle="1" w:styleId="491">
    <w:name w:val="Table Normal1"/>
    <w:uiPriority w:val="0"/>
    <w:rPr>
      <w:lang w:val="en-US" w:eastAsia="zh-CN" w:bidi="ar-SA"/>
    </w:rPr>
    <w:tblPr>
      <w:tblStyle w:val="76"/>
      <w:tblCellMar>
        <w:top w:w="0" w:type="dxa"/>
        <w:left w:w="0" w:type="dxa"/>
        <w:bottom w:w="0" w:type="dxa"/>
        <w:right w:w="0" w:type="dxa"/>
      </w:tblCellMar>
    </w:tblPr>
  </w:style>
  <w:style w:type="table" w:customStyle="1" w:styleId="492">
    <w:name w:val="Table Normal2"/>
    <w:uiPriority w:val="0"/>
    <w:rPr>
      <w:lang w:val="en-US" w:eastAsia="zh-CN" w:bidi="ar-SA"/>
    </w:rPr>
    <w:tblPr>
      <w:tblStyle w:val="76"/>
      <w:tblCellMar>
        <w:top w:w="0" w:type="dxa"/>
        <w:left w:w="0" w:type="dxa"/>
        <w:bottom w:w="0" w:type="dxa"/>
        <w:right w:w="0" w:type="dxa"/>
      </w:tblCellMar>
    </w:tblPr>
  </w:style>
  <w:style w:type="table" w:customStyle="1" w:styleId="493">
    <w:name w:val="Table Normal"/>
    <w:qFormat/>
    <w:uiPriority w:val="0"/>
    <w:rPr>
      <w:lang w:val="en-US" w:eastAsia="zh-CN" w:bidi="ar-SA"/>
    </w:rPr>
    <w:tblPr>
      <w:tblStyle w:val="76"/>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4717</Words>
  <Characters>26887</Characters>
  <Lines>224</Lines>
  <Paragraphs>63</Paragraphs>
  <TotalTime>0</TotalTime>
  <ScaleCrop>false</ScaleCrop>
  <LinksUpToDate>false</LinksUpToDate>
  <CharactersWithSpaces>31541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2020-03-17T07:02:00Z</dcterms:created>
  <dc:creator>CBC</dc:creator>
  <cp:lastModifiedBy>WPS_1701756769</cp:lastModifiedBy>
  <cp:lastPrinted>2020-01-17T02:30:00Z</cp:lastPrinted>
  <dcterms:modified xsi:type="dcterms:W3CDTF">2024-02-22T08:03:00Z</dcterms:modified>
  <cp:revision>2</cp:revision>
  <dc:title>余杭街道太炎小学报告厅、合班教室（兼会议室）专用设备采购项目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39EA6AE464E54E4183A09B64AD63DD2C_13</vt:lpwstr>
  </property>
</Properties>
</file>