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0"/>
          <w:tab w:val="left" w:pos="2140"/>
          <w:tab w:val="center" w:pos="4753"/>
        </w:tabs>
        <w:snapToGrid w:val="0"/>
        <w:spacing w:line="360" w:lineRule="auto"/>
        <w:rPr>
          <w:rFonts w:hint="eastAsia" w:ascii="宋体" w:hAnsi="宋体" w:cs="宋体"/>
          <w:b/>
          <w:bCs/>
          <w:color w:val="000000"/>
          <w:sz w:val="24"/>
        </w:rPr>
      </w:pPr>
      <w:bookmarkStart w:id="199" w:name="_GoBack"/>
      <w:bookmarkEnd w:id="199"/>
    </w:p>
    <w:p>
      <w:pPr>
        <w:pStyle w:val="427"/>
        <w:spacing w:line="360" w:lineRule="auto"/>
        <w:jc w:val="center"/>
        <w:rPr>
          <w:rFonts w:hint="eastAsia" w:eastAsia="宋体" w:cs="宋体"/>
          <w:sz w:val="48"/>
          <w:szCs w:val="48"/>
          <w:lang w:val="en-US" w:eastAsia="zh-CN"/>
        </w:rPr>
      </w:pPr>
      <w:r>
        <w:rPr>
          <w:rFonts w:hint="eastAsia" w:cs="宋体"/>
          <w:b/>
          <w:bCs/>
          <w:sz w:val="48"/>
          <w:szCs w:val="48"/>
          <w:lang w:val="en-US" w:eastAsia="zh-CN"/>
        </w:rPr>
        <w:t>余杭经济技术开发区医疗器械通用检测设备采购项目</w:t>
      </w:r>
    </w:p>
    <w:p>
      <w:pPr>
        <w:shd w:val="clear" w:color="auto" w:fill="FFFFFF"/>
        <w:tabs>
          <w:tab w:val="left" w:pos="4500"/>
        </w:tabs>
        <w:snapToGrid w:val="0"/>
        <w:spacing w:line="360" w:lineRule="auto"/>
        <w:jc w:val="center"/>
        <w:textAlignment w:val="bottom"/>
        <w:rPr>
          <w:rFonts w:hint="eastAsia" w:ascii="宋体" w:hAnsi="宋体" w:cs="宋体"/>
          <w:b/>
          <w:bCs/>
          <w:color w:val="000000"/>
          <w:spacing w:val="6"/>
          <w:sz w:val="48"/>
          <w:szCs w:val="48"/>
        </w:rPr>
      </w:pPr>
    </w:p>
    <w:p>
      <w:pPr>
        <w:shd w:val="clear" w:color="auto" w:fill="FFFFFF"/>
        <w:tabs>
          <w:tab w:val="left" w:pos="4500"/>
        </w:tabs>
        <w:snapToGrid w:val="0"/>
        <w:spacing w:line="360" w:lineRule="auto"/>
        <w:jc w:val="center"/>
        <w:textAlignment w:val="bottom"/>
        <w:rPr>
          <w:rFonts w:ascii="宋体" w:hAnsi="宋体" w:cs="宋体"/>
          <w:b/>
          <w:bCs/>
          <w:color w:val="000000"/>
          <w:sz w:val="52"/>
          <w:szCs w:val="52"/>
        </w:rPr>
      </w:pPr>
      <w:r>
        <w:rPr>
          <w:rFonts w:hint="eastAsia" w:ascii="宋体" w:hAnsi="宋体" w:cs="宋体"/>
          <w:b/>
          <w:bCs/>
          <w:color w:val="000000"/>
          <w:spacing w:val="6"/>
          <w:sz w:val="48"/>
          <w:szCs w:val="48"/>
        </w:rPr>
        <w:t xml:space="preserve"> </w:t>
      </w:r>
    </w:p>
    <w:p>
      <w:pPr>
        <w:shd w:val="clear" w:color="auto" w:fill="FFFFFF"/>
        <w:tabs>
          <w:tab w:val="left" w:pos="4500"/>
        </w:tabs>
        <w:snapToGrid w:val="0"/>
        <w:jc w:val="center"/>
        <w:textAlignment w:val="bottom"/>
        <w:rPr>
          <w:rFonts w:hint="eastAsia" w:ascii="宋体" w:hAnsi="宋体" w:cs="宋体"/>
          <w:b/>
          <w:bCs/>
          <w:color w:val="000000"/>
          <w:sz w:val="72"/>
          <w:szCs w:val="72"/>
        </w:rPr>
      </w:pPr>
      <w:r>
        <w:rPr>
          <w:rFonts w:hint="eastAsia" w:ascii="宋体" w:hAnsi="宋体" w:cs="宋体"/>
          <w:b/>
          <w:bCs/>
          <w:color w:val="000000"/>
          <w:sz w:val="72"/>
          <w:szCs w:val="72"/>
        </w:rPr>
        <w:t>公 开 招 标 文 件</w:t>
      </w:r>
    </w:p>
    <w:p>
      <w:pPr>
        <w:widowControl/>
        <w:snapToGrid w:val="0"/>
        <w:jc w:val="center"/>
        <w:rPr>
          <w:rFonts w:hint="eastAsia" w:ascii="宋体" w:hAnsi="宋体" w:cs="宋体"/>
          <w:color w:val="000000"/>
        </w:rPr>
      </w:pPr>
    </w:p>
    <w:p>
      <w:pPr>
        <w:widowControl/>
        <w:ind w:right="-2"/>
        <w:jc w:val="center"/>
        <w:rPr>
          <w:rFonts w:hint="eastAsia" w:ascii="宋体" w:hAnsi="宋体" w:cs="宋体"/>
          <w:b/>
          <w:bCs/>
          <w:color w:val="000000"/>
          <w:sz w:val="36"/>
          <w:szCs w:val="36"/>
        </w:rPr>
      </w:pPr>
    </w:p>
    <w:p>
      <w:pPr>
        <w:widowControl/>
        <w:ind w:right="-2"/>
        <w:jc w:val="center"/>
        <w:rPr>
          <w:rFonts w:hint="eastAsia" w:ascii="宋体" w:hAnsi="宋体" w:eastAsia="宋体" w:cs="宋体"/>
          <w:b/>
          <w:bCs/>
          <w:color w:val="000000"/>
          <w:sz w:val="36"/>
          <w:szCs w:val="36"/>
          <w:lang w:eastAsia="zh-CN"/>
        </w:rPr>
      </w:pPr>
      <w:r>
        <w:rPr>
          <w:rFonts w:hint="eastAsia" w:ascii="宋体" w:hAnsi="宋体" w:cs="宋体"/>
          <w:b/>
          <w:bCs/>
          <w:color w:val="000000"/>
          <w:sz w:val="36"/>
          <w:szCs w:val="36"/>
        </w:rPr>
        <w:t>招标编号：</w:t>
      </w:r>
      <w:r>
        <w:rPr>
          <w:rFonts w:hint="eastAsia" w:ascii="宋体" w:hAnsi="宋体" w:cs="宋体"/>
          <w:b/>
          <w:bCs/>
          <w:color w:val="000000"/>
          <w:sz w:val="36"/>
          <w:szCs w:val="36"/>
          <w:lang w:eastAsia="zh-CN"/>
        </w:rPr>
        <w:t>ZCDL2020-039</w:t>
      </w:r>
    </w:p>
    <w:p>
      <w:pPr>
        <w:widowControl/>
        <w:ind w:right="-2"/>
        <w:jc w:val="center"/>
        <w:rPr>
          <w:rFonts w:hint="eastAsia" w:ascii="宋体" w:hAnsi="宋体" w:cs="宋体"/>
          <w:b/>
          <w:color w:val="000000"/>
          <w:sz w:val="36"/>
        </w:rPr>
      </w:pPr>
      <w:r>
        <w:rPr>
          <w:rFonts w:hint="eastAsia" w:ascii="宋体" w:hAnsi="宋体" w:cs="宋体"/>
          <w:b/>
          <w:color w:val="000000"/>
          <w:sz w:val="36"/>
        </w:rPr>
        <w:t>（线上电子招投标）</w:t>
      </w:r>
    </w:p>
    <w:p>
      <w:pPr>
        <w:shd w:val="clear" w:color="auto" w:fill="FFFFFF"/>
        <w:snapToGrid w:val="0"/>
        <w:spacing w:line="360" w:lineRule="auto"/>
        <w:jc w:val="center"/>
        <w:textAlignment w:val="bottom"/>
        <w:rPr>
          <w:rFonts w:hint="eastAsia" w:ascii="宋体" w:hAnsi="宋体" w:cs="宋体"/>
          <w:b/>
          <w:bCs/>
          <w:color w:val="000000"/>
          <w:sz w:val="48"/>
          <w:szCs w:val="48"/>
        </w:rPr>
      </w:pPr>
    </w:p>
    <w:p>
      <w:pPr>
        <w:shd w:val="clear" w:color="auto" w:fill="FFFFFF"/>
        <w:snapToGrid w:val="0"/>
        <w:spacing w:line="360" w:lineRule="auto"/>
        <w:textAlignment w:val="bottom"/>
        <w:rPr>
          <w:rFonts w:hint="eastAsia" w:ascii="宋体" w:hAnsi="宋体" w:cs="宋体"/>
          <w:b/>
          <w:bCs/>
          <w:color w:val="000000"/>
          <w:sz w:val="30"/>
          <w:szCs w:val="30"/>
        </w:rPr>
      </w:pPr>
      <w:r>
        <w:rPr>
          <w:rFonts w:hint="eastAsia" w:ascii="宋体" w:hAnsi="宋体" w:cs="宋体"/>
          <w:color w:val="000000"/>
          <w:sz w:val="48"/>
          <w:szCs w:val="48"/>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0"/>
                <wp:effectExtent l="0" t="4445" r="0" b="5080"/>
                <wp:wrapSquare wrapText="bothSides"/>
                <wp:docPr id="1" name="直线 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30pt;margin-top:5.75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iZML9QAAAAJ AQAADwAAAGRycy9kb3ducmV2LnhtbE2PzU7DMBCE70i8g7VIXCpqp4gIpXF6AHLjQiniuo23SUS8 TmP3B56eRRzguDOj2W/K1dkP6khT7ANbyOYGFHETXM+thc1rfXMPKiZkh0NgsvBJEVbV5UWJhQsn fqHjOrVKSjgWaKFLaSy0jk1HHuM8jMTi7cLkMck5tdpNeJJyP+iFMbn22LN86HCkh46aj/XBW4j1 G+3rr1kzM++3baDF/vH5Ca29vsrMElSic/oLww++oEMlTNtwYBfVYCHPjWxJYmR3oCQgQgZq+yvo qtT/F1TfUEsDBBQAAAAIAIdO4kDx25H94gEAANcDAAAOAAAAZHJzL2Uyb0RvYy54bWytU0uOEzEQ 3SNxB8t70knQjKCVziwIwwbBSMMcoOJPtyX/5HLSyVm4Bis2HGeuQdmdycCwyYJeuMvl8qt6r8qr m4OzbK8SmuA7vpjNOVNeBGl83/GHb7dv3nGGGbwEG7zq+FEhv1m/frUaY6uWYQhWqsQIxGM7xo4P Oce2aVAMygHOQlSeDnVIDjJtU9/IBCOhO9ss5/PrZgxJxhSEQiTvZjrkJ8R0CWDQ2gi1CWLnlM8T alIWMlHCwUTk61qt1krkr1qjysx2nJjmulISsrdlbdYraPsEcTDiVAJcUsILTg6Mp6RnqA1kYLtk /oFyRqSAQeeZCK6ZiFRFiMVi/kKb+wGiqlxIaoxn0fH/wYov+7vEjKRJ4MyDo4Y/fv/x+PMXWxZt xogthdzHu3TaIZmF6EEnV/5EgR2qnseznuqQmSDn9dsrzsSTv3m+FBPmTyo4VoyOW+MLTWhh/xkz JaLQp5Ditp6NHX9/tSxwQDOnqddkukh1o+/rXQzWyFtjbbmBqd9+sIntofS9foUO4f4VVpJsAIcp rh5NEzEokB+9ZPkYSRFPD4GXEpySnFlF76ZYBAhtBmMviaTU1lMFRdFJw2JtgzyS/ruYTD+QEota ZTmhftd6T7NZBurPfUV6fo/r31BLAwQKAAAAAACHTuJAAAAAAAAAAAAAAAAABgAAAF9yZWxzL1BL AwQUAAAACACHTuJAihRmPNEAAACUAQAACwAAAF9yZWxzLy5yZWxzpZDBasMwDIbvg72D0X1xmsMY o04vo9Br6R7A2IpjGltGMtn69vMOg2X0tqN+oe8T//7wmRa1IkukbGDX9aAwO/IxBwPvl+PTCyip Nnu7UEYDNxQ4jI8P+zMutrYjmWMR1ShZDMy1lletxc2YrHRUMLfNRJxsbSMHXay72oB66Ptnzb8Z MG6Y6uQN8MkPoC630sx/2Ck6JqGpdo6SpmmK7h5VB7Zlju7INuEbuUazHLAa8CwaB2pZ134EfV+/ +6fe00c+47rVfoeM649Xb7ocvwBQSwMEFAAAAAgAh07iQH7m5SD3AAAA4QEAABMAAABbQ29udGVu dF9UeXBlc10ueG1slZFBTsMwEEX3SNzB8hYlTrtACCXpgrRLQKgcYGRPEotkbHlMaG+Pk7YbRJFY 2jP/vye73BzGQUwY2Dqq5CovpEDSzljqKvm+32UPUnAEMjA4wkoekeWmvr0p90ePLFKauJJ9jP5R KdY9jsC580hp0rowQkzH0CkP+gM6VOuiuFfaUUSKWZw7ZF022MLnEMX2kK5PJgEHluLptDizKgne D1ZDTKZqIvODkp0JeUouO9xbz3dJQ6pfCfPkOuCce0lPE6xB8QohPsOYNJQJrIz7ooBT/nfJbDly 5trWasybwE2KveF0sbrWjmvXOP3f8u2SunSr5YPqb1BLAQIUABQAAAAIAIdO4kB+5uUg9wAAAOEB AAATAAAAAAAAAAEAIAAAAE8EAABbQ29udGVudF9UeXBlc10ueG1sUEsBAhQACgAAAAAAh07iQAAA AAAAAAAAAAAAAAYAAAAAAAAAAAAQAAAAMQMAAF9yZWxzL1BLAQIUABQAAAAIAIdO4kCKFGY80QAA AJQBAAALAAAAAAAAAAEAIAAAAFUDAABfcmVscy8ucmVsc1BLAQIUAAoAAAAAAIdO4kAAAAAAAAAA AAAAAAAEAAAAAAAAAAAAEAAAAAAAAABkcnMvUEsBAhQAFAAAAAgAh07iQDImTC/UAAAACQEAAA8A AAAAAAAAAQAgAAAAIgAAAGRycy9kb3ducmV2LnhtbFBLAQIUABQAAAAIAIdO4kDx25H94gEAANcD AAAOAAAAAAAAAAEAIAAAACMBAABkcnMvZTJvRG9jLnhtbFBLBQYAAAAABgAGAFkBAAB3BQAAAAA= ">
                <v:fill on="f" focussize="0,0"/>
                <v:stroke color="#000000" joinstyle="round"/>
                <v:imagedata o:title=""/>
                <o:lock v:ext="edit" aspectratio="f"/>
                <w10:wrap type="square"/>
              </v:line>
            </w:pict>
          </mc:Fallback>
        </mc:AlternateContent>
      </w:r>
    </w:p>
    <w:p>
      <w:pPr>
        <w:pStyle w:val="77"/>
        <w:ind w:firstLine="602"/>
        <w:rPr>
          <w:rFonts w:hint="eastAsia" w:ascii="宋体" w:hAnsi="宋体" w:cs="宋体"/>
          <w:b/>
          <w:bCs/>
          <w:color w:val="000000"/>
          <w:sz w:val="30"/>
          <w:szCs w:val="30"/>
        </w:rPr>
      </w:pPr>
    </w:p>
    <w:p>
      <w:pPr>
        <w:pStyle w:val="77"/>
        <w:ind w:firstLine="602"/>
        <w:rPr>
          <w:rFonts w:hint="eastAsia" w:ascii="宋体" w:hAnsi="宋体" w:cs="宋体"/>
          <w:b/>
          <w:bCs/>
          <w:color w:val="000000"/>
          <w:sz w:val="30"/>
          <w:szCs w:val="30"/>
        </w:rPr>
      </w:pPr>
    </w:p>
    <w:p>
      <w:pPr>
        <w:pStyle w:val="77"/>
        <w:ind w:firstLine="602"/>
        <w:rPr>
          <w:rFonts w:hint="eastAsia" w:ascii="宋体" w:hAnsi="宋体" w:cs="宋体"/>
          <w:b/>
          <w:bCs/>
          <w:color w:val="000000"/>
          <w:sz w:val="30"/>
          <w:szCs w:val="30"/>
        </w:rPr>
      </w:pPr>
    </w:p>
    <w:p>
      <w:pPr>
        <w:shd w:val="clear" w:color="auto" w:fill="FFFFFF"/>
        <w:snapToGrid w:val="0"/>
        <w:spacing w:line="480" w:lineRule="auto"/>
        <w:jc w:val="center"/>
        <w:textAlignment w:val="bottom"/>
        <w:rPr>
          <w:rFonts w:hint="eastAsia" w:ascii="宋体" w:hAnsi="宋体" w:cs="宋体"/>
          <w:b/>
          <w:bCs/>
          <w:color w:val="000000"/>
          <w:sz w:val="30"/>
          <w:szCs w:val="30"/>
        </w:rPr>
      </w:pPr>
    </w:p>
    <w:p>
      <w:pPr>
        <w:shd w:val="clear" w:color="auto" w:fill="FFFFFF"/>
        <w:snapToGrid w:val="0"/>
        <w:spacing w:line="480" w:lineRule="auto"/>
        <w:jc w:val="center"/>
        <w:textAlignment w:val="bottom"/>
        <w:rPr>
          <w:rFonts w:hint="eastAsia" w:ascii="宋体" w:hAnsi="宋体" w:cs="宋体"/>
          <w:b/>
          <w:bCs/>
          <w:color w:val="000000"/>
          <w:sz w:val="30"/>
          <w:szCs w:val="30"/>
        </w:rPr>
      </w:pPr>
      <w:r>
        <w:rPr>
          <w:rFonts w:hint="eastAsia" w:ascii="宋体" w:hAnsi="宋体" w:cs="宋体"/>
          <w:b/>
          <w:bCs/>
          <w:color w:val="000000"/>
          <w:sz w:val="30"/>
          <w:szCs w:val="30"/>
        </w:rPr>
        <w:t>招标人：杭州余杭经济技术开发区管理委员会</w:t>
      </w:r>
    </w:p>
    <w:p>
      <w:pPr>
        <w:shd w:val="clear" w:color="auto" w:fill="FFFFFF"/>
        <w:snapToGrid w:val="0"/>
        <w:spacing w:line="480" w:lineRule="auto"/>
        <w:jc w:val="center"/>
        <w:textAlignment w:val="bottom"/>
        <w:rPr>
          <w:rFonts w:hint="eastAsia" w:ascii="宋体" w:hAnsi="宋体" w:cs="宋体"/>
          <w:b/>
          <w:bCs/>
          <w:color w:val="000000"/>
          <w:sz w:val="30"/>
          <w:szCs w:val="30"/>
        </w:rPr>
      </w:pPr>
      <w:r>
        <w:rPr>
          <w:rFonts w:hint="eastAsia" w:ascii="宋体" w:hAnsi="宋体" w:cs="宋体"/>
          <w:b/>
          <w:bCs/>
          <w:color w:val="000000"/>
          <w:sz w:val="30"/>
          <w:szCs w:val="30"/>
        </w:rPr>
        <w:t>招标代理机构：杭州</w:t>
      </w:r>
      <w:r>
        <w:rPr>
          <w:rFonts w:hint="eastAsia" w:ascii="宋体" w:hAnsi="宋体" w:cs="宋体"/>
          <w:b/>
          <w:bCs/>
          <w:color w:val="000000"/>
          <w:sz w:val="30"/>
          <w:szCs w:val="30"/>
          <w:lang w:eastAsia="zh-CN"/>
        </w:rPr>
        <w:t>政采</w:t>
      </w:r>
      <w:r>
        <w:rPr>
          <w:rFonts w:hint="eastAsia" w:ascii="宋体" w:hAnsi="宋体" w:cs="宋体"/>
          <w:b/>
          <w:bCs/>
          <w:color w:val="000000"/>
          <w:sz w:val="30"/>
          <w:szCs w:val="30"/>
        </w:rPr>
        <w:t xml:space="preserve">工程咨询代理有限公司 </w:t>
      </w:r>
    </w:p>
    <w:p>
      <w:pPr>
        <w:shd w:val="clear" w:color="auto" w:fill="FFFFFF"/>
        <w:snapToGrid w:val="0"/>
        <w:spacing w:line="480" w:lineRule="auto"/>
        <w:ind w:firstLine="425"/>
        <w:jc w:val="center"/>
        <w:textAlignment w:val="bottom"/>
        <w:rPr>
          <w:rFonts w:hint="eastAsia" w:ascii="宋体" w:hAnsi="宋体" w:cs="宋体"/>
          <w:b/>
          <w:bCs/>
          <w:color w:val="000000"/>
          <w:sz w:val="30"/>
          <w:szCs w:val="30"/>
        </w:rPr>
      </w:pPr>
      <w:r>
        <w:rPr>
          <w:rFonts w:hint="eastAsia" w:ascii="宋体" w:hAnsi="宋体" w:cs="宋体"/>
          <w:b/>
          <w:bCs/>
          <w:color w:val="000000"/>
          <w:sz w:val="30"/>
          <w:szCs w:val="30"/>
        </w:rPr>
        <w:t xml:space="preserve">日    期：二O二O 年 </w:t>
      </w:r>
      <w:r>
        <w:rPr>
          <w:rFonts w:hint="eastAsia" w:ascii="宋体" w:hAnsi="宋体" w:cs="宋体"/>
          <w:b/>
          <w:bCs/>
          <w:color w:val="000000"/>
          <w:sz w:val="30"/>
          <w:szCs w:val="30"/>
          <w:lang w:val="en-US" w:eastAsia="zh-CN"/>
        </w:rPr>
        <w:t>十</w:t>
      </w:r>
      <w:r>
        <w:rPr>
          <w:rFonts w:hint="eastAsia" w:ascii="宋体" w:hAnsi="宋体" w:cs="宋体"/>
          <w:b/>
          <w:bCs/>
          <w:color w:val="000000"/>
          <w:sz w:val="30"/>
          <w:szCs w:val="30"/>
          <w:lang w:val="en-US" w:eastAsia="zh-CN"/>
        </w:rPr>
        <w:t>一</w:t>
      </w:r>
      <w:r>
        <w:rPr>
          <w:rFonts w:hint="eastAsia" w:ascii="宋体" w:hAnsi="宋体" w:cs="宋体"/>
          <w:b/>
          <w:bCs/>
          <w:color w:val="000000"/>
          <w:sz w:val="30"/>
          <w:szCs w:val="30"/>
        </w:rPr>
        <w:t xml:space="preserve"> 月</w:t>
      </w:r>
    </w:p>
    <w:p>
      <w:pPr>
        <w:shd w:val="clear" w:color="auto" w:fill="FFFFFF"/>
        <w:snapToGrid w:val="0"/>
        <w:spacing w:line="480" w:lineRule="auto"/>
        <w:ind w:firstLine="425"/>
        <w:jc w:val="center"/>
        <w:textAlignment w:val="bottom"/>
        <w:rPr>
          <w:rFonts w:hint="eastAsia" w:ascii="宋体" w:hAnsi="宋体" w:cs="宋体"/>
          <w:b/>
          <w:bCs/>
          <w:color w:val="000000"/>
          <w:sz w:val="32"/>
          <w:szCs w:val="32"/>
        </w:rPr>
      </w:pPr>
      <w:r>
        <w:rPr>
          <w:rFonts w:hint="eastAsia" w:ascii="宋体" w:hAnsi="宋体" w:cs="宋体"/>
          <w:b/>
          <w:bCs/>
          <w:color w:val="000000"/>
          <w:sz w:val="32"/>
          <w:szCs w:val="32"/>
        </w:rPr>
        <w:t>目  录</w:t>
      </w:r>
    </w:p>
    <w:p>
      <w:pPr>
        <w:pStyle w:val="332"/>
        <w:tabs>
          <w:tab w:val="right" w:leader="dot" w:pos="8958"/>
        </w:tabs>
        <w:rPr>
          <w:rFonts w:hint="eastAsia" w:ascii="宋体" w:hAnsi="宋体" w:cs="宋体"/>
          <w:b/>
          <w:sz w:val="28"/>
          <w:szCs w:val="28"/>
        </w:rPr>
      </w:pPr>
      <w:r>
        <w:rPr>
          <w:rFonts w:hint="eastAsia" w:ascii="宋体" w:hAnsi="宋体" w:cs="宋体"/>
          <w:b/>
          <w:caps/>
          <w:smallCaps/>
          <w:color w:val="000000"/>
          <w:sz w:val="24"/>
          <w:szCs w:val="24"/>
        </w:rPr>
        <w:fldChar w:fldCharType="begin"/>
      </w:r>
      <w:r>
        <w:rPr>
          <w:rFonts w:hint="eastAsia" w:ascii="宋体" w:hAnsi="宋体" w:cs="宋体"/>
          <w:b/>
          <w:caps/>
          <w:smallCaps/>
          <w:color w:val="000000"/>
          <w:sz w:val="24"/>
          <w:szCs w:val="24"/>
        </w:rPr>
        <w:instrText xml:space="preserve"> TOC \o "1-2" \h \z \u </w:instrText>
      </w:r>
      <w:r>
        <w:rPr>
          <w:rFonts w:hint="eastAsia" w:ascii="宋体" w:hAnsi="宋体" w:cs="宋体"/>
          <w:b/>
          <w:caps/>
          <w:smallCaps/>
          <w:color w:val="000000"/>
          <w:sz w:val="24"/>
          <w:szCs w:val="24"/>
        </w:rPr>
        <w:fldChar w:fldCharType="separate"/>
      </w:r>
      <w:r>
        <w:rPr>
          <w:rFonts w:hint="eastAsia" w:ascii="宋体" w:hAnsi="宋体" w:cs="宋体"/>
          <w:b/>
          <w:sz w:val="28"/>
          <w:szCs w:val="28"/>
        </w:rPr>
        <w:fldChar w:fldCharType="begin"/>
      </w:r>
      <w:r>
        <w:rPr>
          <w:rFonts w:hint="eastAsia" w:ascii="宋体" w:hAnsi="宋体" w:cs="宋体"/>
          <w:b/>
          <w:sz w:val="28"/>
          <w:szCs w:val="28"/>
        </w:rPr>
        <w:instrText xml:space="preserve"> HYPERLINK \l _Toc3481 </w:instrText>
      </w:r>
      <w:r>
        <w:rPr>
          <w:rFonts w:hint="eastAsia" w:ascii="宋体" w:hAnsi="宋体" w:cs="宋体"/>
          <w:b/>
          <w:sz w:val="28"/>
          <w:szCs w:val="28"/>
        </w:rPr>
        <w:fldChar w:fldCharType="separate"/>
      </w:r>
      <w:r>
        <w:rPr>
          <w:rFonts w:hint="eastAsia" w:ascii="宋体" w:hAnsi="宋体" w:cs="宋体"/>
          <w:b/>
          <w:bCs/>
          <w:sz w:val="28"/>
          <w:szCs w:val="28"/>
        </w:rPr>
        <w:t>第一部分 招标公告</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_Toc3481 </w:instrText>
      </w:r>
      <w:r>
        <w:rPr>
          <w:rFonts w:hint="eastAsia" w:ascii="宋体" w:hAnsi="宋体" w:cs="宋体"/>
          <w:b/>
          <w:sz w:val="28"/>
          <w:szCs w:val="28"/>
        </w:rPr>
        <w:fldChar w:fldCharType="separate"/>
      </w:r>
      <w:r>
        <w:rPr>
          <w:rFonts w:hint="eastAsia" w:ascii="宋体" w:hAnsi="宋体" w:cs="宋体"/>
          <w:b/>
          <w:sz w:val="28"/>
          <w:szCs w:val="28"/>
        </w:rPr>
        <w:t>4</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332"/>
        <w:tabs>
          <w:tab w:val="right" w:leader="dot" w:pos="8958"/>
        </w:tabs>
        <w:rPr>
          <w:rFonts w:hint="eastAsia" w:ascii="宋体" w:hAnsi="宋体" w:cs="宋体"/>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_Toc32171 </w:instrText>
      </w:r>
      <w:r>
        <w:rPr>
          <w:rFonts w:hint="eastAsia" w:ascii="宋体" w:hAnsi="宋体" w:cs="宋体"/>
          <w:b/>
          <w:sz w:val="28"/>
          <w:szCs w:val="28"/>
        </w:rPr>
        <w:fldChar w:fldCharType="separate"/>
      </w:r>
      <w:r>
        <w:rPr>
          <w:rFonts w:hint="eastAsia" w:ascii="宋体" w:hAnsi="宋体" w:cs="宋体"/>
          <w:b/>
          <w:bCs/>
          <w:sz w:val="28"/>
          <w:szCs w:val="28"/>
        </w:rPr>
        <w:t>第二部分 编制和提交投标文件须知</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_Toc32171 </w:instrText>
      </w:r>
      <w:r>
        <w:rPr>
          <w:rFonts w:hint="eastAsia" w:ascii="宋体" w:hAnsi="宋体" w:cs="宋体"/>
          <w:b/>
          <w:sz w:val="28"/>
          <w:szCs w:val="28"/>
        </w:rPr>
        <w:fldChar w:fldCharType="separate"/>
      </w:r>
      <w:r>
        <w:rPr>
          <w:rFonts w:hint="eastAsia" w:ascii="宋体" w:hAnsi="宋体" w:cs="宋体"/>
          <w:b/>
          <w:sz w:val="28"/>
          <w:szCs w:val="28"/>
        </w:rPr>
        <w:t>8</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332"/>
        <w:tabs>
          <w:tab w:val="right" w:leader="dot" w:pos="8958"/>
        </w:tabs>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_Toc26111 </w:instrText>
      </w:r>
      <w:r>
        <w:rPr>
          <w:rFonts w:hint="eastAsia" w:ascii="宋体" w:hAnsi="宋体" w:cs="宋体"/>
          <w:b/>
          <w:sz w:val="28"/>
          <w:szCs w:val="28"/>
        </w:rPr>
        <w:fldChar w:fldCharType="separate"/>
      </w:r>
      <w:r>
        <w:rPr>
          <w:rFonts w:hint="eastAsia" w:ascii="宋体" w:hAnsi="宋体" w:cs="宋体"/>
          <w:b/>
          <w:bCs/>
          <w:sz w:val="28"/>
          <w:szCs w:val="28"/>
        </w:rPr>
        <w:t>第三部分 项目技术规范和服务要求</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_Toc26111 </w:instrText>
      </w:r>
      <w:r>
        <w:rPr>
          <w:rFonts w:hint="eastAsia" w:ascii="宋体" w:hAnsi="宋体" w:cs="宋体"/>
          <w:b/>
          <w:sz w:val="28"/>
          <w:szCs w:val="28"/>
        </w:rPr>
        <w:fldChar w:fldCharType="separate"/>
      </w:r>
      <w:r>
        <w:rPr>
          <w:rFonts w:hint="eastAsia" w:ascii="宋体" w:hAnsi="宋体" w:cs="宋体"/>
          <w:b/>
          <w:sz w:val="28"/>
          <w:szCs w:val="28"/>
        </w:rPr>
        <w:t>30</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332"/>
        <w:tabs>
          <w:tab w:val="right" w:leader="dot" w:pos="8958"/>
        </w:tabs>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_Toc8772 </w:instrText>
      </w:r>
      <w:r>
        <w:rPr>
          <w:rFonts w:hint="eastAsia" w:ascii="宋体" w:hAnsi="宋体" w:cs="宋体"/>
          <w:b/>
          <w:sz w:val="28"/>
          <w:szCs w:val="28"/>
        </w:rPr>
        <w:fldChar w:fldCharType="separate"/>
      </w:r>
      <w:r>
        <w:rPr>
          <w:rFonts w:hint="eastAsia" w:ascii="宋体" w:hAnsi="宋体" w:cs="宋体"/>
          <w:b/>
          <w:bCs/>
          <w:sz w:val="28"/>
          <w:szCs w:val="28"/>
        </w:rPr>
        <w:t>第四部分 合同主要条款</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_Toc8772 </w:instrText>
      </w:r>
      <w:r>
        <w:rPr>
          <w:rFonts w:hint="eastAsia" w:ascii="宋体" w:hAnsi="宋体" w:cs="宋体"/>
          <w:b/>
          <w:sz w:val="28"/>
          <w:szCs w:val="28"/>
        </w:rPr>
        <w:fldChar w:fldCharType="separate"/>
      </w:r>
      <w:r>
        <w:rPr>
          <w:rFonts w:hint="eastAsia" w:ascii="宋体" w:hAnsi="宋体" w:cs="宋体"/>
          <w:b/>
          <w:sz w:val="28"/>
          <w:szCs w:val="28"/>
        </w:rPr>
        <w:t>32</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332"/>
        <w:tabs>
          <w:tab w:val="right" w:leader="dot" w:pos="8958"/>
        </w:tabs>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_Toc14272 </w:instrText>
      </w:r>
      <w:r>
        <w:rPr>
          <w:rFonts w:hint="eastAsia" w:ascii="宋体" w:hAnsi="宋体" w:cs="宋体"/>
          <w:b/>
          <w:sz w:val="28"/>
          <w:szCs w:val="28"/>
        </w:rPr>
        <w:fldChar w:fldCharType="separate"/>
      </w:r>
      <w:r>
        <w:rPr>
          <w:rFonts w:hint="eastAsia" w:ascii="宋体" w:hAnsi="宋体" w:cs="宋体"/>
          <w:b/>
          <w:bCs/>
          <w:sz w:val="28"/>
          <w:szCs w:val="28"/>
        </w:rPr>
        <w:t>第五部分 应提交的有关格式范例</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_Toc14272 </w:instrText>
      </w:r>
      <w:r>
        <w:rPr>
          <w:rFonts w:hint="eastAsia" w:ascii="宋体" w:hAnsi="宋体" w:cs="宋体"/>
          <w:b/>
          <w:sz w:val="28"/>
          <w:szCs w:val="28"/>
        </w:rPr>
        <w:fldChar w:fldCharType="separate"/>
      </w:r>
      <w:r>
        <w:rPr>
          <w:rFonts w:hint="eastAsia" w:ascii="宋体" w:hAnsi="宋体" w:cs="宋体"/>
          <w:b/>
          <w:sz w:val="28"/>
          <w:szCs w:val="28"/>
        </w:rPr>
        <w:t>35</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332"/>
        <w:tabs>
          <w:tab w:val="right" w:leader="dot" w:pos="8958"/>
        </w:tabs>
        <w:rPr>
          <w:rFonts w:hint="eastAsia" w:ascii="宋体" w:hAnsi="宋体" w:cs="宋体"/>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_Toc11308 </w:instrText>
      </w:r>
      <w:r>
        <w:rPr>
          <w:rFonts w:hint="eastAsia" w:ascii="宋体" w:hAnsi="宋体" w:cs="宋体"/>
          <w:b/>
          <w:sz w:val="28"/>
          <w:szCs w:val="28"/>
        </w:rPr>
        <w:fldChar w:fldCharType="separate"/>
      </w:r>
      <w:r>
        <w:rPr>
          <w:rFonts w:hint="eastAsia" w:ascii="宋体" w:hAnsi="宋体" w:cs="宋体"/>
          <w:b/>
          <w:sz w:val="28"/>
          <w:szCs w:val="28"/>
        </w:rPr>
        <w:t>资 格 文 件</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_Toc11308 </w:instrText>
      </w:r>
      <w:r>
        <w:rPr>
          <w:rFonts w:hint="eastAsia" w:ascii="宋体" w:hAnsi="宋体" w:cs="宋体"/>
          <w:b/>
          <w:sz w:val="28"/>
          <w:szCs w:val="28"/>
        </w:rPr>
        <w:fldChar w:fldCharType="separate"/>
      </w:r>
      <w:r>
        <w:rPr>
          <w:rFonts w:hint="eastAsia" w:ascii="宋体" w:hAnsi="宋体" w:cs="宋体"/>
          <w:b/>
          <w:sz w:val="28"/>
          <w:szCs w:val="28"/>
        </w:rPr>
        <w:t>37</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332"/>
        <w:tabs>
          <w:tab w:val="right" w:leader="dot" w:pos="8958"/>
        </w:tabs>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_Toc30064 </w:instrText>
      </w:r>
      <w:r>
        <w:rPr>
          <w:rFonts w:hint="eastAsia" w:ascii="宋体" w:hAnsi="宋体" w:cs="宋体"/>
          <w:b/>
          <w:sz w:val="28"/>
          <w:szCs w:val="28"/>
        </w:rPr>
        <w:fldChar w:fldCharType="separate"/>
      </w:r>
      <w:r>
        <w:rPr>
          <w:rFonts w:hint="eastAsia" w:ascii="宋体" w:hAnsi="宋体" w:cs="宋体"/>
          <w:b/>
          <w:sz w:val="28"/>
          <w:szCs w:val="28"/>
        </w:rPr>
        <w:t>报 价 文 件</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_Toc30064 </w:instrText>
      </w:r>
      <w:r>
        <w:rPr>
          <w:rFonts w:hint="eastAsia" w:ascii="宋体" w:hAnsi="宋体" w:cs="宋体"/>
          <w:b/>
          <w:sz w:val="28"/>
          <w:szCs w:val="28"/>
        </w:rPr>
        <w:fldChar w:fldCharType="separate"/>
      </w:r>
      <w:r>
        <w:rPr>
          <w:rFonts w:hint="eastAsia" w:ascii="宋体" w:hAnsi="宋体" w:cs="宋体"/>
          <w:b/>
          <w:sz w:val="28"/>
          <w:szCs w:val="28"/>
        </w:rPr>
        <w:t>43</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54"/>
        <w:tabs>
          <w:tab w:val="right" w:leader="dot" w:pos="8958"/>
        </w:tabs>
        <w:rPr>
          <w:rFonts w:hint="eastAsia" w:ascii="宋体" w:hAnsi="宋体" w:cs="宋体"/>
        </w:rPr>
      </w:pPr>
      <w:r>
        <w:rPr>
          <w:rFonts w:hint="eastAsia" w:ascii="宋体" w:hAnsi="宋体" w:cs="宋体"/>
          <w:sz w:val="28"/>
          <w:szCs w:val="28"/>
        </w:rPr>
        <w:fldChar w:fldCharType="begin"/>
      </w:r>
      <w:r>
        <w:rPr>
          <w:rFonts w:hint="eastAsia" w:ascii="宋体" w:hAnsi="宋体" w:cs="宋体"/>
          <w:sz w:val="28"/>
          <w:szCs w:val="28"/>
        </w:rPr>
        <w:instrText xml:space="preserve"> HYPERLINK \l _Toc13104 </w:instrText>
      </w:r>
      <w:r>
        <w:rPr>
          <w:rFonts w:hint="eastAsia" w:ascii="宋体" w:hAnsi="宋体" w:cs="宋体"/>
          <w:sz w:val="28"/>
          <w:szCs w:val="28"/>
        </w:rPr>
        <w:fldChar w:fldCharType="separate"/>
      </w:r>
      <w:r>
        <w:rPr>
          <w:rFonts w:hint="eastAsia" w:ascii="宋体" w:hAnsi="宋体" w:cs="宋体"/>
          <w:sz w:val="28"/>
          <w:szCs w:val="28"/>
        </w:rPr>
        <w:t>商务技术文件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_Toc13104 </w:instrText>
      </w:r>
      <w:r>
        <w:rPr>
          <w:rFonts w:hint="eastAsia" w:ascii="宋体" w:hAnsi="宋体" w:cs="宋体"/>
          <w:sz w:val="28"/>
          <w:szCs w:val="28"/>
        </w:rPr>
        <w:fldChar w:fldCharType="separate"/>
      </w:r>
      <w:r>
        <w:rPr>
          <w:rFonts w:hint="eastAsia" w:ascii="宋体" w:hAnsi="宋体" w:cs="宋体"/>
          <w:sz w:val="28"/>
          <w:szCs w:val="28"/>
        </w:rPr>
        <w:t>52</w:t>
      </w:r>
      <w:r>
        <w:rPr>
          <w:rFonts w:hint="eastAsia" w:ascii="宋体" w:hAnsi="宋体" w:cs="宋体"/>
          <w:sz w:val="28"/>
          <w:szCs w:val="28"/>
        </w:rPr>
        <w:fldChar w:fldCharType="end"/>
      </w:r>
      <w:r>
        <w:rPr>
          <w:rFonts w:hint="eastAsia" w:ascii="宋体" w:hAnsi="宋体" w:cs="宋体"/>
          <w:sz w:val="28"/>
          <w:szCs w:val="28"/>
        </w:rPr>
        <w:fldChar w:fldCharType="end"/>
      </w:r>
    </w:p>
    <w:p>
      <w:pPr>
        <w:pStyle w:val="67"/>
        <w:tabs>
          <w:tab w:val="right" w:leader="dot" w:pos="8958"/>
        </w:tabs>
        <w:snapToGrid w:val="0"/>
        <w:spacing w:line="360" w:lineRule="auto"/>
        <w:rPr>
          <w:rFonts w:hint="eastAsia" w:ascii="宋体" w:hAnsi="宋体" w:cs="宋体"/>
          <w:bCs/>
          <w:color w:val="000000"/>
          <w:sz w:val="24"/>
          <w:szCs w:val="24"/>
        </w:rPr>
      </w:pPr>
      <w:r>
        <w:rPr>
          <w:rFonts w:hint="eastAsia" w:ascii="宋体" w:hAnsi="宋体" w:cs="宋体"/>
          <w:bCs/>
          <w:color w:val="000000"/>
          <w:szCs w:val="24"/>
        </w:rPr>
        <w:fldChar w:fldCharType="end"/>
      </w:r>
    </w:p>
    <w:p>
      <w:pPr>
        <w:shd w:val="clear" w:color="auto" w:fill="FFFFFF"/>
        <w:tabs>
          <w:tab w:val="right" w:leader="dot" w:pos="8296"/>
        </w:tabs>
        <w:snapToGrid w:val="0"/>
        <w:spacing w:line="360" w:lineRule="auto"/>
        <w:jc w:val="center"/>
        <w:rPr>
          <w:rFonts w:hint="eastAsia" w:ascii="宋体" w:hAnsi="宋体" w:cs="宋体"/>
          <w:color w:val="000000"/>
          <w:sz w:val="24"/>
        </w:rPr>
      </w:pPr>
    </w:p>
    <w:p>
      <w:pPr>
        <w:pageBreakBefore/>
        <w:shd w:val="clear" w:color="auto" w:fill="FFFFFF"/>
        <w:snapToGrid w:val="0"/>
        <w:spacing w:line="360" w:lineRule="auto"/>
        <w:jc w:val="center"/>
        <w:outlineLvl w:val="0"/>
        <w:rPr>
          <w:rFonts w:hint="eastAsia" w:ascii="宋体" w:hAnsi="宋体" w:cs="宋体"/>
          <w:b/>
          <w:bCs/>
          <w:color w:val="000000"/>
          <w:sz w:val="32"/>
          <w:szCs w:val="32"/>
        </w:rPr>
      </w:pPr>
      <w:bookmarkStart w:id="0" w:name="_Toc354996693"/>
      <w:r>
        <w:rPr>
          <w:rFonts w:hint="eastAsia" w:ascii="宋体" w:hAnsi="宋体" w:cs="宋体"/>
          <w:b/>
          <w:bCs/>
          <w:color w:val="000000"/>
          <w:sz w:val="32"/>
          <w:szCs w:val="32"/>
        </w:rPr>
        <w:t xml:space="preserve">第一部分 </w:t>
      </w:r>
      <w:bookmarkStart w:id="1" w:name="_Toc21097"/>
      <w:r>
        <w:rPr>
          <w:rFonts w:hint="eastAsia" w:ascii="宋体" w:hAnsi="宋体" w:cs="宋体"/>
          <w:b/>
          <w:bCs/>
          <w:color w:val="000000"/>
          <w:sz w:val="32"/>
          <w:szCs w:val="32"/>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lang w:eastAsia="zh-CN"/>
        </w:rPr>
        <w:t>余杭经济技术开发区医疗器械通用检测设备采购项目</w:t>
      </w:r>
      <w:r>
        <w:rPr>
          <w:rFonts w:hint="eastAsia" w:ascii="仿宋" w:hAnsi="仿宋" w:eastAsia="仿宋"/>
          <w:sz w:val="28"/>
          <w:szCs w:val="28"/>
        </w:rPr>
        <w:t>招标项目的潜在投标人应在政采云平台（http://zfcg.czt.zj.gov.cn）获取招标文件，并于</w:t>
      </w:r>
      <w:r>
        <w:rPr>
          <w:rFonts w:hint="eastAsia" w:ascii="仿宋" w:hAnsi="仿宋" w:eastAsia="仿宋"/>
          <w:sz w:val="28"/>
          <w:szCs w:val="28"/>
          <w:u w:val="single"/>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w:t>
      </w:r>
      <w:r>
        <w:rPr>
          <w:rFonts w:hint="eastAsia" w:ascii="仿宋" w:hAnsi="仿宋" w:eastAsia="仿宋"/>
          <w:bCs/>
          <w:sz w:val="28"/>
          <w:szCs w:val="28"/>
          <w:u w:val="single"/>
          <w:lang w:val="en-US" w:eastAsia="zh-CN"/>
        </w:rPr>
        <w:t>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lang w:val="en-US" w:eastAsia="zh-CN"/>
        </w:rPr>
        <w:t>14</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lang w:val="en-US" w:eastAsia="zh-CN"/>
        </w:rPr>
        <w:t>13</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5"/>
        <w:numPr>
          <w:ilvl w:val="0"/>
          <w:numId w:val="0"/>
        </w:numPr>
        <w:ind w:left="560"/>
        <w:rPr>
          <w:rFonts w:ascii="黑体" w:hAnsi="黑体" w:cs="宋体"/>
          <w:b w:val="0"/>
          <w:sz w:val="28"/>
          <w:szCs w:val="28"/>
        </w:rPr>
      </w:pPr>
      <w:bookmarkStart w:id="2" w:name="_Toc35393790"/>
      <w:bookmarkStart w:id="3" w:name="_Toc28359079"/>
      <w:bookmarkStart w:id="4" w:name="_Toc28359002"/>
      <w:bookmarkStart w:id="5" w:name="_Toc35393621"/>
      <w:bookmarkStart w:id="6" w:name="_Hlk24379207"/>
      <w:r>
        <w:rPr>
          <w:rFonts w:hint="eastAsia" w:ascii="黑体" w:hAnsi="黑体" w:cs="宋体"/>
          <w:b w:val="0"/>
          <w:sz w:val="28"/>
          <w:szCs w:val="28"/>
        </w:rPr>
        <w:t>一、项目基本情况</w:t>
      </w:r>
      <w:bookmarkEnd w:id="2"/>
      <w:bookmarkEnd w:id="3"/>
      <w:bookmarkEnd w:id="4"/>
      <w:bookmarkEnd w:id="5"/>
    </w:p>
    <w:p>
      <w:pPr>
        <w:ind w:firstLine="560" w:firstLineChars="200"/>
        <w:rPr>
          <w:rFonts w:hint="eastAsia" w:ascii="仿宋" w:hAnsi="仿宋" w:eastAsia="仿宋"/>
          <w:color w:val="FF0000"/>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ZCDL2020-039</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余杭经济技术开发区医疗器械通用检测设备采购项目</w:t>
      </w:r>
    </w:p>
    <w:bookmarkEnd w:id="6"/>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1100</w:t>
      </w:r>
      <w:r>
        <w:rPr>
          <w:rFonts w:hint="eastAsia" w:ascii="仿宋" w:hAnsi="仿宋" w:eastAsia="仿宋"/>
          <w:sz w:val="28"/>
          <w:szCs w:val="28"/>
        </w:rPr>
        <w:t>万元</w:t>
      </w:r>
    </w:p>
    <w:p>
      <w:pPr>
        <w:ind w:firstLine="560" w:firstLineChars="200"/>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sz w:val="28"/>
          <w:szCs w:val="28"/>
          <w:lang w:val="en-US" w:eastAsia="zh-CN"/>
        </w:rPr>
        <w:t>1100</w:t>
      </w:r>
      <w:r>
        <w:rPr>
          <w:rFonts w:hint="eastAsia" w:ascii="仿宋" w:hAnsi="仿宋" w:eastAsia="仿宋"/>
          <w:sz w:val="28"/>
          <w:szCs w:val="28"/>
        </w:rPr>
        <w:t>万元</w:t>
      </w:r>
    </w:p>
    <w:p>
      <w:pPr>
        <w:ind w:firstLine="560" w:firstLineChars="200"/>
        <w:rPr>
          <w:rFonts w:ascii="仿宋" w:hAnsi="仿宋" w:eastAsia="仿宋"/>
          <w:sz w:val="28"/>
          <w:szCs w:val="28"/>
          <w:u w:val="single"/>
        </w:rPr>
      </w:pPr>
      <w:r>
        <w:rPr>
          <w:rFonts w:hint="eastAsia" w:ascii="仿宋" w:hAnsi="仿宋" w:eastAsia="仿宋"/>
          <w:sz w:val="28"/>
          <w:szCs w:val="28"/>
        </w:rPr>
        <w:t>采购需求：详见招标文件第三部分“项目技术规范和服务要求”</w:t>
      </w:r>
    </w:p>
    <w:p>
      <w:pPr>
        <w:ind w:firstLine="560" w:firstLineChars="200"/>
        <w:rPr>
          <w:rFonts w:ascii="仿宋" w:hAnsi="仿宋" w:eastAsia="仿宋"/>
          <w:sz w:val="28"/>
          <w:szCs w:val="28"/>
          <w:u w:val="single"/>
        </w:rPr>
      </w:pPr>
      <w:r>
        <w:rPr>
          <w:rFonts w:hint="eastAsia" w:ascii="仿宋" w:hAnsi="仿宋" w:eastAsia="仿宋"/>
          <w:sz w:val="28"/>
          <w:szCs w:val="28"/>
        </w:rPr>
        <w:t>合同履行期限：详见招标文件第三部分“项目技术规范和服务要求”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w:t>
      </w:r>
      <w:r>
        <w:rPr>
          <w:rFonts w:hint="eastAsia" w:ascii="仿宋" w:hAnsi="仿宋" w:eastAsia="仿宋" w:cs="仿宋"/>
          <w:sz w:val="28"/>
          <w:szCs w:val="28"/>
        </w:rPr>
        <w:t>项目（否）接受</w:t>
      </w:r>
      <w:r>
        <w:rPr>
          <w:rFonts w:hint="eastAsia" w:ascii="仿宋" w:hAnsi="仿宋" w:eastAsia="仿宋"/>
          <w:sz w:val="28"/>
          <w:szCs w:val="28"/>
        </w:rPr>
        <w:t>联合体投标。</w:t>
      </w:r>
    </w:p>
    <w:p>
      <w:pPr>
        <w:pStyle w:val="5"/>
        <w:numPr>
          <w:ilvl w:val="0"/>
          <w:numId w:val="0"/>
        </w:numPr>
        <w:ind w:left="560"/>
        <w:rPr>
          <w:rFonts w:ascii="黑体" w:hAnsi="黑体" w:cs="宋体"/>
          <w:b w:val="0"/>
          <w:sz w:val="28"/>
          <w:szCs w:val="28"/>
        </w:rPr>
      </w:pPr>
      <w:bookmarkStart w:id="7" w:name="_Toc28359003"/>
      <w:bookmarkStart w:id="8" w:name="_Toc35393622"/>
      <w:bookmarkStart w:id="9" w:name="_Toc28359080"/>
      <w:bookmarkStart w:id="10" w:name="_Toc35393791"/>
      <w:r>
        <w:rPr>
          <w:rFonts w:hint="eastAsia" w:ascii="黑体" w:hAnsi="黑体" w:cs="宋体"/>
          <w:b w:val="0"/>
          <w:sz w:val="28"/>
          <w:szCs w:val="28"/>
        </w:rPr>
        <w:t>二、申请人的资格要求：</w:t>
      </w:r>
      <w:bookmarkEnd w:id="7"/>
      <w:bookmarkEnd w:id="8"/>
      <w:bookmarkEnd w:id="9"/>
      <w:bookmarkEnd w:id="10"/>
    </w:p>
    <w:p>
      <w:pPr>
        <w:pStyle w:val="5"/>
        <w:numPr>
          <w:ilvl w:val="0"/>
          <w:numId w:val="0"/>
        </w:numPr>
        <w:ind w:left="560"/>
        <w:rPr>
          <w:rFonts w:hint="eastAsia" w:ascii="仿宋" w:hAnsi="仿宋" w:eastAsia="仿宋" w:cs="仿宋"/>
          <w:b w:val="0"/>
          <w:sz w:val="28"/>
          <w:szCs w:val="28"/>
        </w:rPr>
      </w:pPr>
      <w:bookmarkStart w:id="11" w:name="_Toc28359081"/>
      <w:bookmarkStart w:id="12" w:name="_Toc35393623"/>
      <w:bookmarkStart w:id="13" w:name="_Toc35393792"/>
      <w:bookmarkStart w:id="14" w:name="_Toc28359004"/>
      <w:r>
        <w:rPr>
          <w:rFonts w:hint="eastAsia" w:ascii="仿宋" w:hAnsi="仿宋" w:eastAsia="仿宋" w:cs="仿宋"/>
          <w:b w:val="0"/>
          <w:sz w:val="28"/>
          <w:szCs w:val="28"/>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5"/>
        <w:numPr>
          <w:ilvl w:val="0"/>
          <w:numId w:val="0"/>
        </w:numPr>
        <w:ind w:left="560"/>
        <w:rPr>
          <w:rFonts w:hint="eastAsia" w:ascii="仿宋" w:hAnsi="仿宋" w:eastAsia="仿宋" w:cs="仿宋"/>
          <w:b w:val="0"/>
          <w:sz w:val="28"/>
          <w:szCs w:val="28"/>
        </w:rPr>
      </w:pPr>
      <w:r>
        <w:rPr>
          <w:rFonts w:hint="eastAsia" w:ascii="仿宋" w:hAnsi="仿宋" w:eastAsia="仿宋" w:cs="仿宋"/>
          <w:b w:val="0"/>
          <w:sz w:val="28"/>
          <w:szCs w:val="28"/>
        </w:rPr>
        <w:t xml:space="preserve">2.落实政府采购政策需满足的资格要求：无 </w:t>
      </w:r>
    </w:p>
    <w:p>
      <w:pPr>
        <w:pStyle w:val="5"/>
        <w:numPr>
          <w:ilvl w:val="0"/>
          <w:numId w:val="0"/>
        </w:numPr>
        <w:ind w:left="560"/>
        <w:rPr>
          <w:rFonts w:hint="eastAsia" w:ascii="黑体" w:hAnsi="黑体" w:eastAsia="仿宋" w:cs="宋体"/>
          <w:b w:val="0"/>
          <w:sz w:val="28"/>
          <w:szCs w:val="28"/>
        </w:rPr>
      </w:pPr>
      <w:r>
        <w:rPr>
          <w:rFonts w:hint="eastAsia" w:ascii="仿宋" w:hAnsi="仿宋" w:eastAsia="仿宋" w:cs="仿宋"/>
          <w:b w:val="0"/>
          <w:sz w:val="28"/>
          <w:szCs w:val="28"/>
        </w:rPr>
        <w:t>3.本项目的特定资格要求：（1）单位负责人为同一人或者存在直接控股、管理关系的不同供应商，不得参加同一合同项下的政府采购活动承诺函；（2）投标供应商没有失信记录承诺函,（3）供应商未被列入失信被执行人名单、重大税收违法案件当事人名单、政府采购严重违法失信行为记录名单，信用信息以信用中国网站（www.creditchina.gov.cn）、中国政府采购网（www.ccgp.gov.cn）公布为准；(4)公益一类事业单位、使用事业编制且由财政拨款保障的群团组织，不作为政府购买服务的购买主体和承接主体。</w:t>
      </w:r>
    </w:p>
    <w:p>
      <w:pPr>
        <w:pStyle w:val="5"/>
        <w:numPr>
          <w:ilvl w:val="0"/>
          <w:numId w:val="0"/>
        </w:numPr>
        <w:ind w:left="560"/>
        <w:rPr>
          <w:rFonts w:ascii="黑体" w:hAnsi="黑体" w:cs="宋体"/>
          <w:b w:val="0"/>
          <w:sz w:val="28"/>
          <w:szCs w:val="28"/>
        </w:rPr>
      </w:pPr>
      <w:r>
        <w:rPr>
          <w:rFonts w:hint="eastAsia" w:ascii="黑体" w:hAnsi="黑体" w:cs="宋体"/>
          <w:b w:val="0"/>
          <w:sz w:val="28"/>
          <w:szCs w:val="28"/>
        </w:rPr>
        <w:t>三、获取招标文件</w:t>
      </w:r>
      <w:bookmarkEnd w:id="11"/>
      <w:bookmarkEnd w:id="12"/>
      <w:bookmarkEnd w:id="13"/>
      <w:bookmarkEnd w:id="14"/>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时间：至</w:t>
      </w:r>
      <w:r>
        <w:rPr>
          <w:rFonts w:hint="eastAsia" w:ascii="仿宋" w:hAnsi="仿宋" w:eastAsia="仿宋" w:cs="宋体"/>
          <w:sz w:val="28"/>
          <w:szCs w:val="28"/>
          <w:u w:val="single"/>
        </w:rPr>
        <w:t>2020年</w:t>
      </w:r>
      <w:r>
        <w:rPr>
          <w:rFonts w:hint="eastAsia" w:ascii="仿宋" w:hAnsi="仿宋" w:eastAsia="仿宋" w:cs="宋体"/>
          <w:sz w:val="28"/>
          <w:szCs w:val="28"/>
          <w:u w:val="single"/>
          <w:lang w:val="en-US" w:eastAsia="zh-CN"/>
        </w:rPr>
        <w:t xml:space="preserve"> 12</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14</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00:00</w:t>
      </w:r>
      <w:r>
        <w:rPr>
          <w:rFonts w:hint="eastAsia" w:ascii="仿宋" w:hAnsi="仿宋" w:eastAsia="仿宋" w:cs="宋体"/>
          <w:sz w:val="28"/>
          <w:szCs w:val="28"/>
        </w:rPr>
        <w:t>至</w:t>
      </w:r>
      <w:r>
        <w:rPr>
          <w:rFonts w:hint="eastAsia" w:ascii="仿宋" w:hAnsi="仿宋" w:eastAsia="仿宋" w:cs="宋体"/>
          <w:sz w:val="28"/>
          <w:szCs w:val="28"/>
          <w:u w:val="single"/>
        </w:rPr>
        <w:t>12:00</w:t>
      </w:r>
      <w:r>
        <w:rPr>
          <w:rFonts w:hint="eastAsia" w:ascii="仿宋" w:hAnsi="仿宋" w:eastAsia="仿宋" w:cs="宋体"/>
          <w:sz w:val="28"/>
          <w:szCs w:val="28"/>
        </w:rPr>
        <w:t>，下午</w:t>
      </w:r>
      <w:r>
        <w:rPr>
          <w:rFonts w:hint="eastAsia" w:ascii="仿宋" w:hAnsi="仿宋" w:eastAsia="仿宋" w:cs="宋体"/>
          <w:sz w:val="28"/>
          <w:szCs w:val="28"/>
          <w:u w:val="single"/>
        </w:rPr>
        <w:t>12:00</w:t>
      </w:r>
      <w:r>
        <w:rPr>
          <w:rFonts w:hint="eastAsia" w:ascii="仿宋" w:hAnsi="仿宋" w:eastAsia="仿宋" w:cs="宋体"/>
          <w:sz w:val="28"/>
          <w:szCs w:val="28"/>
        </w:rPr>
        <w:t>至</w:t>
      </w:r>
      <w:r>
        <w:rPr>
          <w:rFonts w:hint="eastAsia" w:ascii="仿宋" w:hAnsi="仿宋" w:eastAsia="仿宋" w:cs="宋体"/>
          <w:sz w:val="28"/>
          <w:szCs w:val="28"/>
          <w:u w:val="single"/>
        </w:rPr>
        <w:t>23:59</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地点：政采云平台（http://zfcg.czt.zj.gov.cn）</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方式：本项目招标文件实行“政府采购云平台”在线获取，不提供招标文件纸质版。供应商获取招标文件前应先完成“政府采购云平台”的账号注册。</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售价：0元</w:t>
      </w:r>
    </w:p>
    <w:p>
      <w:pPr>
        <w:pStyle w:val="5"/>
        <w:keepNext w:val="0"/>
        <w:keepLines w:val="0"/>
        <w:numPr>
          <w:ilvl w:val="0"/>
          <w:numId w:val="0"/>
        </w:numPr>
        <w:spacing w:line="240" w:lineRule="auto"/>
        <w:ind w:left="560"/>
        <w:rPr>
          <w:rFonts w:ascii="黑体" w:hAnsi="黑体" w:cs="宋体"/>
          <w:b w:val="0"/>
          <w:sz w:val="28"/>
          <w:szCs w:val="28"/>
        </w:rPr>
      </w:pPr>
      <w:bookmarkStart w:id="15" w:name="_Toc28359005"/>
      <w:bookmarkStart w:id="16" w:name="_Toc28359082"/>
      <w:bookmarkStart w:id="17" w:name="_Toc35393624"/>
      <w:bookmarkStart w:id="18" w:name="_Toc35393793"/>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提交投标文件截止时间：2020年</w:t>
      </w:r>
      <w:r>
        <w:rPr>
          <w:rFonts w:hint="eastAsia" w:ascii="仿宋" w:hAnsi="仿宋" w:eastAsia="仿宋" w:cs="仿宋"/>
          <w:bCs/>
          <w:sz w:val="28"/>
          <w:szCs w:val="28"/>
          <w:lang w:val="en-US" w:eastAsia="zh-CN"/>
        </w:rPr>
        <w:t>12</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 xml:space="preserve"> 14</w:t>
      </w:r>
      <w:r>
        <w:rPr>
          <w:rFonts w:hint="eastAsia" w:ascii="仿宋" w:hAnsi="仿宋" w:eastAsia="仿宋" w:cs="仿宋"/>
          <w:bCs/>
          <w:sz w:val="28"/>
          <w:szCs w:val="28"/>
        </w:rPr>
        <w:t>日</w:t>
      </w:r>
      <w:r>
        <w:rPr>
          <w:rFonts w:hint="eastAsia" w:ascii="仿宋" w:hAnsi="仿宋" w:eastAsia="仿宋" w:cs="仿宋"/>
          <w:bCs/>
          <w:sz w:val="28"/>
          <w:szCs w:val="28"/>
          <w:lang w:val="en-US" w:eastAsia="zh-CN"/>
        </w:rPr>
        <w:t xml:space="preserve"> 13</w:t>
      </w:r>
      <w:r>
        <w:rPr>
          <w:rFonts w:hint="eastAsia" w:ascii="仿宋" w:hAnsi="仿宋" w:eastAsia="仿宋" w:cs="仿宋"/>
          <w:bCs/>
          <w:sz w:val="28"/>
          <w:szCs w:val="28"/>
        </w:rPr>
        <w:t>点</w:t>
      </w:r>
      <w:r>
        <w:rPr>
          <w:rFonts w:hint="eastAsia" w:ascii="仿宋" w:hAnsi="仿宋" w:eastAsia="仿宋" w:cs="仿宋"/>
          <w:bCs/>
          <w:sz w:val="28"/>
          <w:szCs w:val="28"/>
          <w:lang w:val="en-US" w:eastAsia="zh-CN"/>
        </w:rPr>
        <w:t>30</w:t>
      </w:r>
      <w:r>
        <w:rPr>
          <w:rFonts w:hint="eastAsia" w:ascii="仿宋" w:hAnsi="仿宋" w:eastAsia="仿宋" w:cs="仿宋"/>
          <w:bCs/>
          <w:sz w:val="28"/>
          <w:szCs w:val="28"/>
        </w:rPr>
        <w:t>分</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（北京时间）</w:t>
      </w:r>
    </w:p>
    <w:p>
      <w:pPr>
        <w:rPr>
          <w:rFonts w:hint="eastAsia" w:ascii="仿宋" w:hAnsi="仿宋" w:eastAsia="仿宋" w:cs="仿宋"/>
          <w:bCs/>
          <w:sz w:val="28"/>
          <w:szCs w:val="28"/>
        </w:rPr>
      </w:pPr>
      <w:r>
        <w:rPr>
          <w:rFonts w:hint="eastAsia" w:ascii="仿宋" w:hAnsi="仿宋" w:eastAsia="仿宋" w:cs="仿宋"/>
          <w:bCs/>
          <w:sz w:val="28"/>
          <w:szCs w:val="28"/>
        </w:rPr>
        <w:t xml:space="preserve">    投标地点（网址）：组织机构线下开标地点：</w:t>
      </w:r>
      <w:r>
        <w:rPr>
          <w:rFonts w:hint="eastAsia" w:ascii="仿宋" w:hAnsi="仿宋" w:eastAsia="仿宋" w:cs="仿宋"/>
          <w:bCs/>
          <w:sz w:val="28"/>
          <w:szCs w:val="28"/>
          <w:lang w:val="en-US" w:eastAsia="zh-CN"/>
        </w:rPr>
        <w:t>杭州市余杭区星桥街道中丹大厦1108室</w:t>
      </w:r>
      <w:r>
        <w:rPr>
          <w:rFonts w:hint="eastAsia" w:ascii="仿宋" w:hAnsi="仿宋" w:eastAsia="仿宋" w:cs="仿宋"/>
          <w:bCs/>
          <w:sz w:val="28"/>
          <w:szCs w:val="28"/>
        </w:rPr>
        <w:t xml:space="preserve">。 供应商线上开标：“政府采购云平台（www.zcygov.cn）”本项目开标大厅。 </w:t>
      </w:r>
    </w:p>
    <w:p>
      <w:pPr>
        <w:rPr>
          <w:rFonts w:hint="eastAsia" w:ascii="仿宋" w:hAnsi="仿宋" w:eastAsia="仿宋" w:cs="仿宋"/>
          <w:bCs/>
          <w:sz w:val="28"/>
          <w:szCs w:val="28"/>
        </w:rPr>
      </w:pPr>
      <w:r>
        <w:rPr>
          <w:rFonts w:hint="eastAsia" w:ascii="仿宋" w:hAnsi="仿宋" w:eastAsia="仿宋" w:cs="仿宋"/>
          <w:bCs/>
          <w:sz w:val="28"/>
          <w:szCs w:val="28"/>
        </w:rPr>
        <w:t xml:space="preserve">    开标时间：</w:t>
      </w:r>
      <w:r>
        <w:rPr>
          <w:rFonts w:hint="eastAsia" w:ascii="仿宋" w:hAnsi="仿宋" w:eastAsia="仿宋" w:cs="仿宋"/>
          <w:bCs/>
          <w:sz w:val="28"/>
          <w:szCs w:val="28"/>
        </w:rPr>
        <w:t>2020年</w:t>
      </w:r>
      <w:r>
        <w:rPr>
          <w:rFonts w:hint="eastAsia" w:ascii="仿宋" w:hAnsi="仿宋" w:eastAsia="仿宋" w:cs="仿宋"/>
          <w:bCs/>
          <w:sz w:val="28"/>
          <w:szCs w:val="28"/>
          <w:lang w:val="en-US" w:eastAsia="zh-CN"/>
        </w:rPr>
        <w:t>12</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 xml:space="preserve"> 14</w:t>
      </w:r>
      <w:r>
        <w:rPr>
          <w:rFonts w:hint="eastAsia" w:ascii="仿宋" w:hAnsi="仿宋" w:eastAsia="仿宋" w:cs="仿宋"/>
          <w:bCs/>
          <w:sz w:val="28"/>
          <w:szCs w:val="28"/>
        </w:rPr>
        <w:t>日</w:t>
      </w:r>
      <w:r>
        <w:rPr>
          <w:rFonts w:hint="eastAsia" w:ascii="仿宋" w:hAnsi="仿宋" w:eastAsia="仿宋" w:cs="仿宋"/>
          <w:bCs/>
          <w:sz w:val="28"/>
          <w:szCs w:val="28"/>
          <w:lang w:val="en-US" w:eastAsia="zh-CN"/>
        </w:rPr>
        <w:t xml:space="preserve"> 13</w:t>
      </w:r>
      <w:r>
        <w:rPr>
          <w:rFonts w:hint="eastAsia" w:ascii="仿宋" w:hAnsi="仿宋" w:eastAsia="仿宋" w:cs="仿宋"/>
          <w:bCs/>
          <w:sz w:val="28"/>
          <w:szCs w:val="28"/>
        </w:rPr>
        <w:t>点</w:t>
      </w:r>
      <w:r>
        <w:rPr>
          <w:rFonts w:hint="eastAsia" w:ascii="仿宋" w:hAnsi="仿宋" w:eastAsia="仿宋" w:cs="仿宋"/>
          <w:bCs/>
          <w:sz w:val="28"/>
          <w:szCs w:val="28"/>
          <w:lang w:val="en-US" w:eastAsia="zh-CN"/>
        </w:rPr>
        <w:t>30</w:t>
      </w:r>
      <w:r>
        <w:rPr>
          <w:rFonts w:hint="eastAsia" w:ascii="仿宋" w:hAnsi="仿宋" w:eastAsia="仿宋" w:cs="仿宋"/>
          <w:bCs/>
          <w:sz w:val="28"/>
          <w:szCs w:val="28"/>
        </w:rPr>
        <w:t>分</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（北京时间）   </w:t>
      </w:r>
    </w:p>
    <w:p>
      <w:pPr>
        <w:rPr>
          <w:rFonts w:hint="eastAsia" w:ascii="仿宋" w:hAnsi="仿宋" w:eastAsia="仿宋" w:cs="仿宋"/>
          <w:bCs/>
          <w:sz w:val="28"/>
          <w:szCs w:val="28"/>
        </w:rPr>
      </w:pPr>
      <w:r>
        <w:rPr>
          <w:rFonts w:hint="eastAsia" w:ascii="仿宋" w:hAnsi="仿宋" w:eastAsia="仿宋" w:cs="仿宋"/>
          <w:bCs/>
          <w:sz w:val="28"/>
          <w:szCs w:val="28"/>
        </w:rPr>
        <w:t xml:space="preserve">    开标地点（网址）：登陆“政府采购云平台（www.zcygov.cn）”在线投标响应。</w:t>
      </w:r>
    </w:p>
    <w:p>
      <w:pPr>
        <w:pStyle w:val="5"/>
        <w:numPr>
          <w:ilvl w:val="0"/>
          <w:numId w:val="0"/>
        </w:numPr>
        <w:ind w:left="560"/>
        <w:rPr>
          <w:rFonts w:ascii="黑体" w:hAnsi="黑体" w:cs="宋体"/>
          <w:b w:val="0"/>
          <w:sz w:val="28"/>
          <w:szCs w:val="28"/>
        </w:rPr>
      </w:pPr>
      <w:bookmarkStart w:id="19" w:name="_Toc28359084"/>
      <w:bookmarkStart w:id="20" w:name="_Toc35393794"/>
      <w:bookmarkStart w:id="21" w:name="_Toc35393625"/>
      <w:bookmarkStart w:id="22" w:name="_Toc28359007"/>
      <w:r>
        <w:rPr>
          <w:rFonts w:hint="eastAsia" w:ascii="黑体" w:hAnsi="黑体" w:cs="宋体"/>
          <w:b w:val="0"/>
          <w:sz w:val="28"/>
          <w:szCs w:val="28"/>
        </w:rPr>
        <w:t>五、公告期限</w:t>
      </w:r>
      <w:bookmarkEnd w:id="19"/>
      <w:bookmarkEnd w:id="20"/>
      <w:bookmarkEnd w:id="21"/>
      <w:bookmarkEnd w:id="22"/>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5"/>
        <w:numPr>
          <w:ilvl w:val="0"/>
          <w:numId w:val="8"/>
        </w:numPr>
        <w:tabs>
          <w:tab w:val="clear" w:pos="706"/>
        </w:tabs>
        <w:rPr>
          <w:rFonts w:hint="eastAsia" w:ascii="黑体" w:hAnsi="黑体" w:cs="宋体"/>
          <w:b w:val="0"/>
          <w:sz w:val="28"/>
          <w:szCs w:val="28"/>
        </w:rPr>
      </w:pPr>
      <w:bookmarkStart w:id="23" w:name="_Toc35393795"/>
      <w:bookmarkStart w:id="24" w:name="_Toc35393626"/>
      <w:r>
        <w:rPr>
          <w:rFonts w:hint="eastAsia" w:ascii="黑体" w:hAnsi="黑体" w:cs="宋体"/>
          <w:b w:val="0"/>
          <w:sz w:val="28"/>
          <w:szCs w:val="28"/>
        </w:rPr>
        <w:t>其他补充事宜</w:t>
      </w:r>
      <w:bookmarkEnd w:id="23"/>
      <w:bookmarkEnd w:id="24"/>
    </w:p>
    <w:p>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 xml:space="preserve">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540"/>
      </w:pPr>
      <w:r>
        <w:rPr>
          <w:rFonts w:hint="eastAsia" w:ascii="仿宋" w:hAnsi="仿宋" w:eastAsia="仿宋" w:cs="宋体"/>
          <w:sz w:val="28"/>
          <w:szCs w:val="28"/>
        </w:rPr>
        <w:t xml:space="preserve">    2.其他事项：无</w:t>
      </w:r>
    </w:p>
    <w:p>
      <w:pPr>
        <w:pStyle w:val="5"/>
        <w:numPr>
          <w:ilvl w:val="0"/>
          <w:numId w:val="0"/>
        </w:numPr>
        <w:ind w:left="560"/>
        <w:rPr>
          <w:rFonts w:ascii="黑体" w:hAnsi="黑体" w:cs="宋体"/>
          <w:b w:val="0"/>
          <w:sz w:val="28"/>
          <w:szCs w:val="28"/>
        </w:rPr>
      </w:pPr>
      <w:bookmarkStart w:id="25" w:name="_Toc28359085"/>
      <w:bookmarkStart w:id="26" w:name="_Toc35393796"/>
      <w:bookmarkStart w:id="27" w:name="_Toc35393627"/>
      <w:bookmarkStart w:id="28" w:name="_Toc28359008"/>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firstLine="840" w:firstLineChars="300"/>
        <w:rPr>
          <w:rFonts w:hint="eastAsia" w:ascii="仿宋" w:hAnsi="仿宋" w:eastAsia="仿宋" w:cs="宋体"/>
          <w:sz w:val="28"/>
          <w:szCs w:val="28"/>
        </w:rPr>
      </w:pPr>
      <w:r>
        <w:rPr>
          <w:rFonts w:hint="eastAsia" w:ascii="仿宋" w:hAnsi="仿宋" w:eastAsia="仿宋"/>
          <w:sz w:val="28"/>
          <w:szCs w:val="28"/>
        </w:rPr>
        <w:t>名 称</w:t>
      </w:r>
      <w:r>
        <w:rPr>
          <w:rFonts w:hint="eastAsia" w:ascii="仿宋" w:hAnsi="仿宋" w:eastAsia="仿宋" w:cs="宋体"/>
          <w:sz w:val="28"/>
          <w:szCs w:val="28"/>
        </w:rPr>
        <w:t>：杭州余杭经济技术开发区管理委员会</w:t>
      </w:r>
    </w:p>
    <w:p>
      <w:pPr>
        <w:spacing w:line="360" w:lineRule="auto"/>
        <w:ind w:firstLine="840" w:firstLineChars="300"/>
        <w:rPr>
          <w:rFonts w:ascii="仿宋" w:hAnsi="仿宋" w:eastAsia="仿宋" w:cs="宋体"/>
          <w:sz w:val="28"/>
          <w:szCs w:val="28"/>
        </w:rPr>
      </w:pPr>
      <w:r>
        <w:rPr>
          <w:rFonts w:hint="eastAsia" w:ascii="仿宋" w:hAnsi="仿宋" w:eastAsia="仿宋" w:cs="宋体"/>
          <w:sz w:val="28"/>
          <w:szCs w:val="28"/>
        </w:rPr>
        <w:t>地 址：临平超峰东路2号</w:t>
      </w:r>
    </w:p>
    <w:p>
      <w:pPr>
        <w:spacing w:line="360" w:lineRule="auto"/>
        <w:ind w:firstLine="840" w:firstLineChars="300"/>
        <w:jc w:val="left"/>
        <w:rPr>
          <w:rFonts w:ascii="仿宋" w:hAnsi="仿宋" w:eastAsia="仿宋"/>
          <w:sz w:val="28"/>
          <w:szCs w:val="28"/>
        </w:rPr>
      </w:pPr>
      <w:r>
        <w:rPr>
          <w:rFonts w:hint="eastAsia" w:ascii="仿宋" w:hAnsi="仿宋" w:eastAsia="仿宋"/>
          <w:sz w:val="28"/>
          <w:szCs w:val="28"/>
        </w:rPr>
        <w:t>项目联系人：</w:t>
      </w:r>
      <w:bookmarkStart w:id="29" w:name="_Toc28359009"/>
      <w:bookmarkStart w:id="30" w:name="_Toc28359086"/>
      <w:r>
        <w:rPr>
          <w:rFonts w:hint="eastAsia" w:ascii="仿宋" w:hAnsi="仿宋" w:eastAsia="仿宋"/>
          <w:sz w:val="28"/>
          <w:szCs w:val="28"/>
        </w:rPr>
        <w:t xml:space="preserve">戚承杰         联系电话：13868077501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bookmarkEnd w:id="29"/>
      <w:bookmarkEnd w:id="30"/>
    </w:p>
    <w:p>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名 称：杭州</w:t>
      </w:r>
      <w:r>
        <w:rPr>
          <w:rFonts w:hint="eastAsia" w:ascii="仿宋" w:hAnsi="仿宋" w:eastAsia="仿宋"/>
          <w:sz w:val="28"/>
          <w:szCs w:val="28"/>
          <w:lang w:eastAsia="zh-CN"/>
        </w:rPr>
        <w:t>政采</w:t>
      </w:r>
      <w:r>
        <w:rPr>
          <w:rFonts w:hint="eastAsia" w:ascii="仿宋" w:hAnsi="仿宋" w:eastAsia="仿宋"/>
          <w:sz w:val="28"/>
          <w:szCs w:val="28"/>
        </w:rPr>
        <w:t>工程咨询代理有限公司</w:t>
      </w:r>
    </w:p>
    <w:p>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地 址：杭州市余杭区</w:t>
      </w:r>
      <w:r>
        <w:rPr>
          <w:rFonts w:hint="eastAsia" w:ascii="仿宋" w:hAnsi="仿宋" w:eastAsia="仿宋"/>
          <w:sz w:val="28"/>
          <w:szCs w:val="28"/>
          <w:lang w:val="en-US" w:eastAsia="zh-CN"/>
        </w:rPr>
        <w:t>星桥街道中丹大厦1108室</w:t>
      </w:r>
    </w:p>
    <w:p>
      <w:pPr>
        <w:spacing w:line="360" w:lineRule="auto"/>
        <w:ind w:firstLine="840" w:firstLineChars="300"/>
        <w:rPr>
          <w:rFonts w:hint="eastAsia" w:ascii="仿宋" w:hAnsi="仿宋" w:eastAsia="仿宋"/>
          <w:sz w:val="28"/>
          <w:szCs w:val="28"/>
        </w:rPr>
      </w:pPr>
      <w:bookmarkStart w:id="31" w:name="_Toc28359010"/>
      <w:bookmarkStart w:id="32" w:name="_Toc28359087"/>
      <w:r>
        <w:rPr>
          <w:rFonts w:hint="eastAsia" w:ascii="仿宋" w:hAnsi="仿宋" w:eastAsia="仿宋"/>
          <w:sz w:val="28"/>
          <w:szCs w:val="28"/>
        </w:rPr>
        <w:t>项目联系人：</w:t>
      </w:r>
      <w:r>
        <w:rPr>
          <w:rFonts w:hint="eastAsia" w:ascii="仿宋" w:hAnsi="仿宋" w:eastAsia="仿宋"/>
          <w:sz w:val="28"/>
          <w:szCs w:val="28"/>
          <w:lang w:val="en-US" w:eastAsia="zh-CN"/>
        </w:rPr>
        <w:t>姜云兰</w:t>
      </w:r>
      <w:r>
        <w:rPr>
          <w:rFonts w:hint="eastAsia" w:ascii="仿宋" w:hAnsi="仿宋" w:eastAsia="仿宋"/>
          <w:sz w:val="28"/>
          <w:szCs w:val="28"/>
        </w:rPr>
        <w:t xml:space="preserve">             </w:t>
      </w:r>
    </w:p>
    <w:p>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项目联系方式：</w:t>
      </w:r>
      <w:r>
        <w:rPr>
          <w:rFonts w:hint="eastAsia" w:ascii="仿宋" w:hAnsi="仿宋" w:eastAsia="仿宋"/>
          <w:sz w:val="28"/>
          <w:szCs w:val="28"/>
          <w:lang w:val="en-US" w:eastAsia="zh-CN"/>
        </w:rPr>
        <w:t>15058195339</w:t>
      </w:r>
    </w:p>
    <w:p>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质疑联系人：</w:t>
      </w:r>
      <w:r>
        <w:rPr>
          <w:rFonts w:hint="eastAsia" w:ascii="仿宋" w:hAnsi="仿宋" w:eastAsia="仿宋"/>
          <w:sz w:val="28"/>
          <w:szCs w:val="28"/>
          <w:lang w:val="en-US" w:eastAsia="zh-CN"/>
        </w:rPr>
        <w:t>李芬</w:t>
      </w:r>
      <w:r>
        <w:rPr>
          <w:rFonts w:hint="eastAsia" w:ascii="仿宋" w:hAnsi="仿宋" w:eastAsia="仿宋"/>
          <w:sz w:val="28"/>
          <w:szCs w:val="28"/>
        </w:rPr>
        <w:t xml:space="preserve">           </w:t>
      </w:r>
    </w:p>
    <w:p>
      <w:pPr>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质疑联系方式：</w:t>
      </w:r>
      <w:r>
        <w:rPr>
          <w:rFonts w:hint="eastAsia" w:ascii="仿宋" w:hAnsi="仿宋" w:eastAsia="仿宋"/>
          <w:sz w:val="28"/>
          <w:szCs w:val="28"/>
          <w:lang w:val="en-US" w:eastAsia="zh-CN"/>
        </w:rPr>
        <w:t>13656635994</w:t>
      </w:r>
    </w:p>
    <w:bookmarkEnd w:id="31"/>
    <w:bookmarkEnd w:id="32"/>
    <w:p>
      <w:pPr>
        <w:pStyle w:val="40"/>
        <w:spacing w:line="360" w:lineRule="auto"/>
        <w:ind w:firstLine="840" w:firstLineChars="300"/>
        <w:rPr>
          <w:rFonts w:hint="eastAsia" w:ascii="仿宋" w:hAnsi="仿宋" w:eastAsia="仿宋"/>
          <w:sz w:val="28"/>
          <w:szCs w:val="28"/>
        </w:rPr>
      </w:pPr>
      <w:r>
        <w:rPr>
          <w:rFonts w:hint="eastAsia" w:ascii="仿宋" w:hAnsi="仿宋" w:eastAsia="仿宋"/>
          <w:sz w:val="28"/>
          <w:szCs w:val="28"/>
        </w:rPr>
        <w:t xml:space="preserve">3.同级政府采购监督管理部门            </w:t>
      </w:r>
    </w:p>
    <w:p>
      <w:pPr>
        <w:pStyle w:val="40"/>
        <w:spacing w:line="360" w:lineRule="auto"/>
        <w:ind w:firstLine="840" w:firstLineChars="300"/>
        <w:rPr>
          <w:rFonts w:hint="eastAsia" w:ascii="仿宋" w:hAnsi="仿宋" w:eastAsia="仿宋"/>
          <w:sz w:val="28"/>
          <w:szCs w:val="28"/>
        </w:rPr>
      </w:pPr>
      <w:r>
        <w:rPr>
          <w:rFonts w:hint="eastAsia" w:ascii="仿宋" w:hAnsi="仿宋" w:eastAsia="仿宋"/>
          <w:sz w:val="28"/>
          <w:szCs w:val="28"/>
        </w:rPr>
        <w:t xml:space="preserve">名 称：余杭区政府采购办公室             </w:t>
      </w:r>
    </w:p>
    <w:p>
      <w:pPr>
        <w:pStyle w:val="40"/>
        <w:spacing w:line="360" w:lineRule="auto"/>
        <w:ind w:firstLine="840" w:firstLineChars="300"/>
        <w:rPr>
          <w:rFonts w:hint="eastAsia" w:ascii="仿宋" w:hAnsi="仿宋" w:eastAsia="仿宋"/>
          <w:sz w:val="28"/>
          <w:szCs w:val="28"/>
        </w:rPr>
      </w:pPr>
      <w:r>
        <w:rPr>
          <w:rFonts w:hint="eastAsia" w:ascii="仿宋" w:hAnsi="仿宋" w:eastAsia="仿宋"/>
          <w:sz w:val="28"/>
          <w:szCs w:val="28"/>
        </w:rPr>
        <w:t xml:space="preserve">地 址：杭州市余杭区临平东湖中路236号余杭财税大楼             </w:t>
      </w:r>
    </w:p>
    <w:p>
      <w:pPr>
        <w:pStyle w:val="40"/>
        <w:spacing w:line="360" w:lineRule="auto"/>
        <w:ind w:firstLine="840" w:firstLineChars="300"/>
        <w:rPr>
          <w:rFonts w:hint="eastAsia" w:ascii="仿宋" w:hAnsi="仿宋" w:eastAsia="仿宋"/>
          <w:sz w:val="28"/>
          <w:szCs w:val="28"/>
        </w:rPr>
      </w:pPr>
      <w:r>
        <w:rPr>
          <w:rFonts w:hint="eastAsia" w:ascii="仿宋" w:hAnsi="仿宋" w:eastAsia="仿宋"/>
          <w:sz w:val="28"/>
          <w:szCs w:val="28"/>
        </w:rPr>
        <w:t xml:space="preserve">传 真：0571-89180113             </w:t>
      </w:r>
    </w:p>
    <w:p>
      <w:pPr>
        <w:pStyle w:val="40"/>
        <w:spacing w:line="360" w:lineRule="auto"/>
        <w:ind w:firstLine="840" w:firstLineChars="300"/>
        <w:rPr>
          <w:rFonts w:hint="eastAsia" w:ascii="仿宋" w:hAnsi="仿宋" w:eastAsia="仿宋"/>
          <w:sz w:val="28"/>
          <w:szCs w:val="28"/>
        </w:rPr>
      </w:pPr>
      <w:r>
        <w:rPr>
          <w:rFonts w:hint="eastAsia" w:ascii="仿宋" w:hAnsi="仿宋" w:eastAsia="仿宋"/>
          <w:sz w:val="28"/>
          <w:szCs w:val="28"/>
        </w:rPr>
        <w:t xml:space="preserve">联系人 ：杜国强             </w:t>
      </w:r>
    </w:p>
    <w:p>
      <w:pPr>
        <w:pStyle w:val="40"/>
        <w:spacing w:line="360" w:lineRule="auto"/>
        <w:ind w:firstLine="840" w:firstLineChars="300"/>
        <w:rPr>
          <w:rFonts w:hint="eastAsia" w:ascii="仿宋" w:hAnsi="仿宋" w:eastAsia="仿宋"/>
          <w:sz w:val="28"/>
          <w:szCs w:val="28"/>
        </w:rPr>
      </w:pPr>
      <w:r>
        <w:rPr>
          <w:rFonts w:hint="eastAsia" w:ascii="仿宋" w:hAnsi="仿宋" w:eastAsia="仿宋"/>
          <w:sz w:val="28"/>
          <w:szCs w:val="28"/>
        </w:rPr>
        <w:t>监督投诉电话：0571-89180113</w:t>
      </w:r>
    </w:p>
    <w:p>
      <w:pPr>
        <w:pStyle w:val="40"/>
        <w:spacing w:line="360" w:lineRule="auto"/>
        <w:ind w:firstLine="840" w:firstLineChars="300"/>
        <w:rPr>
          <w:rFonts w:hint="eastAsia" w:ascii="仿宋" w:hAnsi="仿宋" w:eastAsia="仿宋"/>
          <w:sz w:val="28"/>
          <w:szCs w:val="28"/>
        </w:rPr>
      </w:pPr>
    </w:p>
    <w:p>
      <w:pPr>
        <w:widowControl/>
        <w:shd w:val="clear" w:color="auto" w:fill="FFFFFF"/>
        <w:spacing w:before="120" w:line="315" w:lineRule="atLeast"/>
        <w:ind w:firstLine="360" w:firstLineChars="200"/>
        <w:jc w:val="left"/>
        <w:rPr>
          <w:rFonts w:ascii="仿宋" w:hAnsi="仿宋" w:eastAsia="仿宋" w:cs="仿宋"/>
          <w:sz w:val="18"/>
          <w:szCs w:val="18"/>
        </w:rPr>
      </w:pPr>
      <w:r>
        <w:rPr>
          <w:rFonts w:hint="eastAsia" w:ascii="仿宋" w:hAnsi="仿宋" w:eastAsia="仿宋" w:cs="仿宋"/>
          <w:kern w:val="0"/>
          <w:sz w:val="18"/>
          <w:szCs w:val="18"/>
          <w:shd w:val="clear" w:color="auto" w:fill="FFFFFF"/>
          <w:lang w:bidi="ar"/>
        </w:rPr>
        <w:t>若对项目采购电子交易系统操作有疑问，可登录政采云（https://www.zcygov.cn/），点击右侧咨询小采，获取采小蜜智能服务管家帮助，或拨打政采云服务热线400-881-7190获取热线服务帮助。       </w:t>
      </w:r>
    </w:p>
    <w:p>
      <w:pPr>
        <w:pStyle w:val="427"/>
        <w:spacing w:line="360" w:lineRule="auto"/>
        <w:ind w:firstLine="360" w:firstLineChars="200"/>
        <w:jc w:val="both"/>
        <w:rPr>
          <w:rFonts w:hint="eastAsia"/>
        </w:rPr>
      </w:pPr>
      <w:r>
        <w:rPr>
          <w:rFonts w:hint="eastAsia" w:ascii="仿宋" w:hAnsi="仿宋" w:eastAsia="仿宋" w:cs="仿宋"/>
          <w:sz w:val="18"/>
          <w:szCs w:val="18"/>
          <w:shd w:val="clear" w:color="auto" w:fill="FFFFFF"/>
          <w:lang w:val="en-US" w:bidi="ar"/>
        </w:rPr>
        <w:t>CA问题联系电话（人工）：汇信CA 400-888-4636；天谷CA 400-087-8198。</w:t>
      </w:r>
    </w:p>
    <w:p>
      <w:pPr>
        <w:pageBreakBefore/>
        <w:shd w:val="clear" w:color="auto" w:fill="FFFFFF"/>
        <w:snapToGrid w:val="0"/>
        <w:spacing w:line="360" w:lineRule="auto"/>
        <w:jc w:val="center"/>
        <w:outlineLvl w:val="0"/>
        <w:rPr>
          <w:rFonts w:hint="eastAsia" w:ascii="宋体" w:hAnsi="宋体" w:cs="宋体"/>
          <w:b/>
          <w:bCs/>
          <w:color w:val="000000"/>
          <w:sz w:val="32"/>
          <w:szCs w:val="32"/>
        </w:rPr>
      </w:pPr>
      <w:bookmarkStart w:id="33" w:name="_Hlt74707423"/>
      <w:bookmarkEnd w:id="33"/>
      <w:bookmarkStart w:id="34" w:name="_Hlt74728647"/>
      <w:bookmarkEnd w:id="34"/>
      <w:bookmarkStart w:id="35" w:name="_Hlt74649545"/>
      <w:bookmarkEnd w:id="35"/>
      <w:bookmarkStart w:id="36" w:name="_Hlt74729822"/>
      <w:bookmarkEnd w:id="36"/>
      <w:bookmarkStart w:id="37" w:name="_Toc354996694"/>
      <w:bookmarkStart w:id="38" w:name="_Toc225840107"/>
      <w:r>
        <w:rPr>
          <w:rFonts w:hint="eastAsia" w:ascii="宋体" w:hAnsi="宋体" w:cs="宋体"/>
          <w:b/>
          <w:bCs/>
          <w:color w:val="000000"/>
          <w:sz w:val="32"/>
          <w:szCs w:val="32"/>
        </w:rPr>
        <w:t xml:space="preserve">第二部分  </w:t>
      </w:r>
      <w:bookmarkStart w:id="39" w:name="_Toc11201"/>
      <w:r>
        <w:rPr>
          <w:rFonts w:hint="eastAsia" w:ascii="宋体" w:hAnsi="宋体" w:cs="宋体"/>
          <w:b/>
          <w:bCs/>
          <w:color w:val="000000"/>
          <w:sz w:val="32"/>
          <w:szCs w:val="32"/>
        </w:rPr>
        <w:t>编制和提交投标文件须知</w:t>
      </w:r>
      <w:bookmarkEnd w:id="37"/>
      <w:bookmarkEnd w:id="39"/>
    </w:p>
    <w:p>
      <w:pPr>
        <w:spacing w:before="156" w:beforeLines="50" w:after="156" w:afterLines="50"/>
        <w:jc w:val="center"/>
        <w:rPr>
          <w:rFonts w:hint="eastAsia" w:ascii="宋体" w:hAnsi="宋体" w:cs="宋体"/>
          <w:b/>
          <w:bCs/>
          <w:sz w:val="28"/>
          <w:szCs w:val="28"/>
        </w:rPr>
      </w:pPr>
      <w:bookmarkStart w:id="40" w:name="_Toc24979"/>
      <w:bookmarkStart w:id="41" w:name="_Toc31314"/>
      <w:bookmarkStart w:id="42" w:name="_Toc233618971"/>
      <w:bookmarkStart w:id="43" w:name="_Toc354996695"/>
      <w:bookmarkStart w:id="44" w:name="_Toc26693"/>
      <w:r>
        <w:rPr>
          <w:rFonts w:hint="eastAsia" w:ascii="宋体" w:hAnsi="宋体" w:cs="宋体"/>
          <w:b/>
          <w:bCs/>
          <w:color w:val="000000"/>
          <w:sz w:val="24"/>
        </w:rPr>
        <w:t>前 附 表</w:t>
      </w:r>
      <w:bookmarkEnd w:id="40"/>
      <w:bookmarkEnd w:id="41"/>
      <w:bookmarkEnd w:id="42"/>
      <w:bookmarkEnd w:id="43"/>
      <w:bookmarkEnd w:id="44"/>
    </w:p>
    <w:tbl>
      <w:tblPr>
        <w:tblStyle w:val="78"/>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28" w:type="dxa"/>
        </w:tblCellMar>
      </w:tblPr>
      <w:tblGrid>
        <w:gridCol w:w="784"/>
        <w:gridCol w:w="1365"/>
        <w:gridCol w:w="7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tblHeader/>
          <w:jc w:val="center"/>
        </w:trPr>
        <w:tc>
          <w:tcPr>
            <w:tcW w:w="784" w:type="dxa"/>
            <w:tcBorders>
              <w:top w:val="single" w:color="000000" w:sz="8"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条款</w:t>
            </w:r>
          </w:p>
        </w:tc>
        <w:tc>
          <w:tcPr>
            <w:tcW w:w="8673" w:type="dxa"/>
            <w:gridSpan w:val="2"/>
            <w:tcBorders>
              <w:top w:val="single" w:color="000000" w:sz="8" w:space="0"/>
              <w:left w:val="single" w:color="000000" w:sz="2" w:space="0"/>
              <w:bottom w:val="single" w:color="000000" w:sz="2" w:space="0"/>
              <w:right w:val="single" w:color="000000" w:sz="8" w:space="0"/>
            </w:tcBorders>
            <w:noWrap w:val="0"/>
            <w:vAlign w:val="center"/>
          </w:tcPr>
          <w:p>
            <w:pPr>
              <w:jc w:val="center"/>
              <w:rPr>
                <w:rFonts w:hint="eastAsia" w:ascii="宋体" w:hAnsi="宋体" w:cs="宋体"/>
                <w:sz w:val="24"/>
              </w:rPr>
            </w:pPr>
            <w:r>
              <w:rPr>
                <w:rFonts w:hint="eastAsia" w:ascii="宋体" w:hAnsi="宋体" w:cs="宋体"/>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center"/>
              <w:rPr>
                <w:rFonts w:hint="eastAsia" w:ascii="宋体" w:hAnsi="宋体" w:cs="宋体"/>
                <w:sz w:val="24"/>
              </w:rPr>
            </w:pPr>
            <w:r>
              <w:rPr>
                <w:rFonts w:hint="eastAsia" w:ascii="宋体" w:hAnsi="宋体" w:cs="宋体"/>
                <w:sz w:val="24"/>
              </w:rPr>
              <w:t>项目说明</w:t>
            </w:r>
          </w:p>
          <w:p>
            <w:pPr>
              <w:spacing w:line="600" w:lineRule="exact"/>
              <w:jc w:val="left"/>
              <w:rPr>
                <w:rFonts w:hint="eastAsia" w:ascii="宋体" w:hAnsi="宋体" w:cs="宋体"/>
                <w:sz w:val="24"/>
              </w:rPr>
            </w:pPr>
            <w:r>
              <w:rPr>
                <w:rFonts w:hint="eastAsia" w:ascii="宋体" w:hAnsi="宋体" w:cs="宋体"/>
                <w:sz w:val="24"/>
              </w:rPr>
              <w:t>一、项目名称：</w:t>
            </w:r>
            <w:r>
              <w:rPr>
                <w:rFonts w:hint="eastAsia" w:ascii="宋体" w:hAnsi="宋体" w:cs="宋体"/>
                <w:sz w:val="24"/>
                <w:lang w:eastAsia="zh-CN"/>
              </w:rPr>
              <w:t>余杭经济技术开发区医疗器械通用检测设备采购项目</w:t>
            </w:r>
            <w:r>
              <w:rPr>
                <w:rFonts w:hint="eastAsia" w:ascii="宋体" w:hAnsi="宋体" w:cs="宋体"/>
                <w:sz w:val="24"/>
              </w:rPr>
              <w:t>。</w:t>
            </w:r>
          </w:p>
          <w:p>
            <w:pPr>
              <w:spacing w:line="600" w:lineRule="exact"/>
              <w:jc w:val="left"/>
              <w:rPr>
                <w:rFonts w:hint="eastAsia" w:ascii="宋体" w:hAnsi="宋体" w:cs="宋体"/>
                <w:sz w:val="24"/>
              </w:rPr>
            </w:pPr>
            <w:bookmarkStart w:id="45" w:name="_Hlt75139851"/>
            <w:bookmarkEnd w:id="45"/>
            <w:r>
              <w:rPr>
                <w:rFonts w:hint="eastAsia" w:ascii="宋体" w:hAnsi="宋体" w:cs="宋体"/>
                <w:sz w:val="24"/>
              </w:rPr>
              <w:t>二、采购内容：办公设备采购。</w:t>
            </w:r>
          </w:p>
          <w:p>
            <w:pPr>
              <w:spacing w:line="600" w:lineRule="exact"/>
              <w:jc w:val="left"/>
              <w:rPr>
                <w:rFonts w:hint="eastAsia" w:ascii="宋体" w:hAnsi="宋体" w:cs="宋体"/>
                <w:sz w:val="24"/>
              </w:rPr>
            </w:pPr>
            <w:r>
              <w:rPr>
                <w:rFonts w:hint="eastAsia" w:ascii="宋体" w:hAnsi="宋体" w:cs="宋体"/>
                <w:sz w:val="24"/>
              </w:rPr>
              <w:t>三、项目实施地点：余杭区范围内采购人指定地点。</w:t>
            </w:r>
          </w:p>
          <w:p>
            <w:pPr>
              <w:spacing w:line="600" w:lineRule="exact"/>
              <w:jc w:val="left"/>
              <w:rPr>
                <w:rFonts w:hint="eastAsia" w:ascii="宋体" w:hAnsi="宋体" w:cs="宋体"/>
                <w:sz w:val="24"/>
              </w:rPr>
            </w:pPr>
            <w:r>
              <w:rPr>
                <w:rFonts w:hint="eastAsia" w:ascii="宋体" w:hAnsi="宋体" w:cs="宋体"/>
                <w:sz w:val="24"/>
              </w:rPr>
              <w:t>四、主要功能和性能要求：详见“第三部分——项目技术规范和服务要求”。</w:t>
            </w:r>
          </w:p>
          <w:p>
            <w:pPr>
              <w:spacing w:line="600" w:lineRule="exact"/>
              <w:jc w:val="left"/>
              <w:rPr>
                <w:rFonts w:hint="eastAsia" w:ascii="宋体" w:hAnsi="宋体" w:cs="宋体"/>
                <w:sz w:val="24"/>
              </w:rPr>
            </w:pPr>
            <w:r>
              <w:rPr>
                <w:rFonts w:hint="eastAsia" w:ascii="宋体" w:hAnsi="宋体" w:cs="宋体"/>
                <w:sz w:val="24"/>
              </w:rPr>
              <w:t>五、服务期：</w:t>
            </w:r>
            <w:r>
              <w:rPr>
                <w:rFonts w:hint="eastAsia" w:ascii="宋体" w:hAnsi="宋体" w:cs="宋体"/>
                <w:color w:val="000000"/>
                <w:sz w:val="24"/>
              </w:rPr>
              <w:t>详见“第三部分——项目技术规范和服务要求”。</w:t>
            </w:r>
          </w:p>
          <w:p>
            <w:pPr>
              <w:spacing w:line="600" w:lineRule="exact"/>
              <w:jc w:val="left"/>
              <w:rPr>
                <w:rFonts w:hint="eastAsia" w:ascii="宋体" w:hAnsi="宋体" w:cs="宋体"/>
                <w:sz w:val="24"/>
              </w:rPr>
            </w:pPr>
            <w:r>
              <w:rPr>
                <w:rFonts w:hint="eastAsia" w:ascii="宋体" w:hAnsi="宋体" w:cs="宋体"/>
                <w:sz w:val="24"/>
              </w:rPr>
              <w:t>六、</w:t>
            </w:r>
            <w:r>
              <w:rPr>
                <w:rFonts w:hint="eastAsia" w:ascii="宋体" w:hAnsi="宋体" w:cs="宋体"/>
                <w:sz w:val="24"/>
                <w:lang w:val="zh-CN"/>
              </w:rPr>
              <w:t>采购预算：人民币</w:t>
            </w:r>
            <w:r>
              <w:rPr>
                <w:rFonts w:hint="eastAsia" w:ascii="宋体" w:hAnsi="宋体" w:cs="宋体"/>
                <w:sz w:val="24"/>
                <w:lang w:val="en-US" w:eastAsia="zh-CN"/>
              </w:rPr>
              <w:t>1100</w:t>
            </w:r>
            <w:r>
              <w:rPr>
                <w:rFonts w:hint="eastAsia" w:ascii="宋体" w:hAnsi="宋体" w:cs="宋体"/>
                <w:sz w:val="24"/>
                <w:lang w:val="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365"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合同名称</w:t>
            </w:r>
          </w:p>
        </w:tc>
        <w:tc>
          <w:tcPr>
            <w:tcW w:w="7308" w:type="dxa"/>
            <w:tcBorders>
              <w:top w:val="single" w:color="000000" w:sz="2" w:space="0"/>
              <w:left w:val="single" w:color="000000" w:sz="2" w:space="0"/>
              <w:bottom w:val="single" w:color="000000" w:sz="2" w:space="0"/>
              <w:right w:val="single" w:color="000000" w:sz="8" w:space="0"/>
            </w:tcBorders>
            <w:noWrap w:val="0"/>
            <w:vAlign w:val="center"/>
          </w:tcPr>
          <w:p>
            <w:pPr>
              <w:spacing w:line="600" w:lineRule="exact"/>
              <w:rPr>
                <w:rFonts w:hint="eastAsia" w:ascii="宋体" w:hAnsi="宋体" w:cs="宋体"/>
                <w:sz w:val="24"/>
              </w:rPr>
            </w:pPr>
            <w:r>
              <w:rPr>
                <w:rFonts w:hint="eastAsia" w:ascii="宋体" w:hAnsi="宋体" w:cs="宋体"/>
                <w:sz w:val="24"/>
              </w:rPr>
              <w:t>《</w:t>
            </w:r>
            <w:r>
              <w:rPr>
                <w:rFonts w:hint="eastAsia" w:ascii="宋体" w:hAnsi="宋体" w:cs="宋体"/>
                <w:sz w:val="24"/>
                <w:lang w:eastAsia="zh-CN"/>
              </w:rPr>
              <w:t>余杭经济技术开发区医疗器械通用检测设备采购项目</w:t>
            </w:r>
            <w:r>
              <w:rPr>
                <w:rFonts w:hint="eastAsia" w:ascii="宋体" w:hAnsi="宋体" w:cs="宋体"/>
                <w:sz w:val="24"/>
              </w:rPr>
              <w:t>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lang w:val="zh-CN"/>
              </w:rPr>
              <w:t>投标</w:t>
            </w:r>
            <w:r>
              <w:rPr>
                <w:rFonts w:hint="eastAsia" w:ascii="宋体" w:hAnsi="宋体" w:cs="宋体"/>
                <w:sz w:val="24"/>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rPr>
                <w:rFonts w:hint="eastAsia" w:ascii="宋体" w:hAnsi="宋体" w:cs="宋体"/>
                <w:b/>
                <w:bCs/>
                <w:color w:val="FF0000"/>
                <w:sz w:val="24"/>
              </w:rPr>
            </w:pPr>
            <w:r>
              <w:rPr>
                <w:rFonts w:hint="eastAsia" w:ascii="宋体" w:hAnsi="宋体" w:cs="宋体"/>
                <w:b/>
                <w:bCs/>
                <w:color w:val="FF0000"/>
                <w:sz w:val="24"/>
              </w:rPr>
              <w:t>本项目招标代理费由中标单位支付，中标单位在领取中标通知书前需向招标代理机构支付人民币</w:t>
            </w:r>
            <w:r>
              <w:rPr>
                <w:rFonts w:hint="eastAsia" w:ascii="宋体" w:hAnsi="宋体" w:cs="宋体"/>
                <w:b/>
                <w:bCs/>
                <w:color w:val="FF0000"/>
                <w:sz w:val="24"/>
                <w:lang w:val="en-US" w:eastAsia="zh-CN"/>
              </w:rPr>
              <w:t xml:space="preserve"> </w:t>
            </w:r>
            <w:r>
              <w:rPr>
                <w:rFonts w:hint="eastAsia" w:ascii="宋体" w:hAnsi="宋体" w:cs="宋体"/>
                <w:b/>
                <w:bCs/>
                <w:color w:val="FF0000"/>
                <w:sz w:val="24"/>
                <w:lang w:val="en-US" w:eastAsia="zh-CN"/>
              </w:rPr>
              <w:t>107000</w:t>
            </w:r>
            <w:r>
              <w:rPr>
                <w:rFonts w:hint="eastAsia" w:ascii="宋体" w:hAnsi="宋体" w:cs="宋体"/>
                <w:b/>
                <w:bCs/>
                <w:color w:val="FF0000"/>
                <w:sz w:val="24"/>
              </w:rPr>
              <w:t>元招标代理服务费。</w:t>
            </w:r>
          </w:p>
          <w:p>
            <w:pPr>
              <w:spacing w:line="600" w:lineRule="exact"/>
              <w:rPr>
                <w:rFonts w:hint="eastAsia" w:ascii="宋体" w:hAnsi="宋体" w:cs="宋体"/>
                <w:b/>
                <w:bCs/>
                <w:sz w:val="24"/>
              </w:rPr>
            </w:pPr>
            <w:r>
              <w:rPr>
                <w:rFonts w:hint="eastAsia" w:ascii="宋体" w:hAnsi="宋体" w:cs="宋体"/>
                <w:b/>
                <w:bCs/>
                <w:sz w:val="24"/>
              </w:rPr>
              <w:t>收款单位（户名）: 杭州</w:t>
            </w:r>
            <w:r>
              <w:rPr>
                <w:rFonts w:hint="eastAsia" w:ascii="宋体" w:hAnsi="宋体" w:cs="宋体"/>
                <w:b/>
                <w:bCs/>
                <w:sz w:val="24"/>
                <w:lang w:eastAsia="zh-CN"/>
              </w:rPr>
              <w:t>政采</w:t>
            </w:r>
            <w:r>
              <w:rPr>
                <w:rFonts w:hint="eastAsia" w:ascii="宋体" w:hAnsi="宋体" w:cs="宋体"/>
                <w:b/>
                <w:bCs/>
                <w:sz w:val="24"/>
              </w:rPr>
              <w:t>工程咨询代理有限公司；</w:t>
            </w:r>
          </w:p>
          <w:p>
            <w:pPr>
              <w:spacing w:line="600" w:lineRule="exact"/>
              <w:rPr>
                <w:rFonts w:hint="eastAsia"/>
              </w:rPr>
            </w:pPr>
            <w:r>
              <w:rPr>
                <w:rFonts w:hint="eastAsia" w:ascii="宋体" w:hAnsi="宋体" w:cs="宋体"/>
                <w:b/>
                <w:bCs/>
                <w:sz w:val="24"/>
              </w:rPr>
              <w:t>开户行名称：杭州银行余杭支行；帐号：</w:t>
            </w:r>
            <w:r>
              <w:rPr>
                <w:rFonts w:hint="eastAsia" w:ascii="宋体" w:hAnsi="宋体" w:cs="宋体"/>
                <w:b/>
                <w:bCs/>
                <w:sz w:val="24"/>
                <w:lang w:val="en-US" w:eastAsia="zh-CN"/>
              </w:rPr>
              <w:t>3301040160016597521</w:t>
            </w: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投标文件的组成：</w:t>
            </w:r>
            <w:r>
              <w:rPr>
                <w:rFonts w:hint="eastAsia" w:ascii="宋体" w:hAnsi="宋体" w:cs="宋体"/>
                <w:b/>
                <w:bCs/>
                <w:sz w:val="24"/>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7</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投标文件的编制：供应商应先安装“政采云电子交易客户端”，并按照本招标文件和“政府采购云平台”的要求，通过“政采云电子交易客户端”编制并加密投标文件。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8</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9</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b/>
                <w:bCs/>
                <w:sz w:val="24"/>
              </w:rPr>
            </w:pPr>
            <w:r>
              <w:rPr>
                <w:rFonts w:hint="eastAsia" w:ascii="宋体" w:hAnsi="宋体" w:cs="宋体"/>
                <w:sz w:val="24"/>
              </w:rPr>
              <w:t>投标文件的形式：</w:t>
            </w:r>
            <w:r>
              <w:rPr>
                <w:rFonts w:hint="eastAsia" w:ascii="宋体" w:hAnsi="宋体" w:cs="宋体"/>
                <w:b/>
                <w:bCs/>
                <w:sz w:val="24"/>
              </w:rPr>
              <w:t>☑电子投标文件（包括“电子加密投标文件”和“备份投标文件”，在投标文件编制完成后同时生成）；</w:t>
            </w:r>
          </w:p>
          <w:p>
            <w:pPr>
              <w:spacing w:line="600" w:lineRule="exact"/>
              <w:jc w:val="left"/>
              <w:rPr>
                <w:rFonts w:hint="eastAsia" w:ascii="宋体" w:hAnsi="宋体" w:cs="宋体"/>
                <w:b/>
                <w:bCs/>
                <w:sz w:val="24"/>
              </w:rPr>
            </w:pPr>
            <w:r>
              <w:rPr>
                <w:rFonts w:hint="eastAsia" w:ascii="宋体" w:hAnsi="宋体" w:cs="宋体"/>
                <w:b/>
                <w:bCs/>
                <w:sz w:val="24"/>
              </w:rPr>
              <w:t>（1）“电子加密投标文件”是指通过“政采云电子交易客户端”完成投标文件编制后生成并加密的数据电文形式的投标文件。</w:t>
            </w:r>
          </w:p>
          <w:p>
            <w:pPr>
              <w:spacing w:line="600" w:lineRule="exact"/>
              <w:jc w:val="left"/>
              <w:rPr>
                <w:rFonts w:hint="eastAsia" w:ascii="宋体" w:hAnsi="宋体" w:cs="宋体"/>
                <w:sz w:val="24"/>
              </w:rPr>
            </w:pPr>
            <w:r>
              <w:rPr>
                <w:rFonts w:hint="eastAsia" w:ascii="宋体" w:hAnsi="宋体" w:cs="宋体"/>
                <w:b/>
                <w:bCs/>
                <w:sz w:val="24"/>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10</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投标文件份数：</w:t>
            </w:r>
            <w:r>
              <w:rPr>
                <w:rFonts w:hint="eastAsia" w:ascii="宋体" w:hAnsi="宋体" w:cs="宋体"/>
                <w:b/>
                <w:bCs/>
                <w:sz w:val="24"/>
              </w:rPr>
              <w:t>（1）“电子加密投标文件”：在线上传递交、一份。（2）“备份投标文件”：密封包装后（EMS邮寄形式）投标截止时间前递交、一份（邮寄地址：杭州市余杭区）。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投标文件的上传和递交：</w:t>
            </w:r>
          </w:p>
          <w:p>
            <w:pPr>
              <w:spacing w:line="600" w:lineRule="exact"/>
              <w:jc w:val="left"/>
              <w:rPr>
                <w:rFonts w:hint="eastAsia" w:ascii="宋体" w:hAnsi="宋体" w:cs="宋体"/>
                <w:b/>
                <w:bCs/>
                <w:sz w:val="24"/>
              </w:rPr>
            </w:pPr>
            <w:r>
              <w:rPr>
                <w:rFonts w:hint="eastAsia" w:ascii="宋体" w:hAnsi="宋体" w:cs="宋体"/>
                <w:b/>
                <w:bCs/>
                <w:sz w:val="24"/>
              </w:rPr>
              <w:t>（1）“电子加密投标文件”的上传、递交：</w:t>
            </w:r>
          </w:p>
          <w:p>
            <w:pPr>
              <w:spacing w:line="600" w:lineRule="exact"/>
              <w:jc w:val="left"/>
              <w:rPr>
                <w:rFonts w:hint="eastAsia" w:ascii="宋体" w:hAnsi="宋体" w:cs="宋体"/>
                <w:b/>
                <w:bCs/>
                <w:sz w:val="24"/>
              </w:rPr>
            </w:pPr>
            <w:r>
              <w:rPr>
                <w:rFonts w:hint="eastAsia" w:ascii="宋体" w:hAnsi="宋体" w:cs="宋体"/>
                <w:b/>
                <w:bCs/>
                <w:sz w:val="24"/>
              </w:rPr>
              <w:t>a.投标供应商应在投标截止时间前将“电子加密投标文件”成功上传递交至“政府采购云平台”，否则投标无效。</w:t>
            </w:r>
          </w:p>
          <w:p>
            <w:pPr>
              <w:spacing w:line="600" w:lineRule="exact"/>
              <w:jc w:val="left"/>
              <w:rPr>
                <w:rFonts w:hint="eastAsia" w:ascii="宋体" w:hAnsi="宋体" w:cs="宋体"/>
                <w:b/>
                <w:bCs/>
                <w:sz w:val="24"/>
              </w:rPr>
            </w:pPr>
            <w:r>
              <w:rPr>
                <w:rFonts w:hint="eastAsia" w:ascii="宋体" w:hAnsi="宋体" w:cs="宋体"/>
                <w:b/>
                <w:bCs/>
                <w:sz w:val="24"/>
              </w:rPr>
              <w:t>b.“电子加密投标文件”成功上传递交后，供应商可自行打印投标文件接收回执。</w:t>
            </w:r>
          </w:p>
          <w:p>
            <w:pPr>
              <w:spacing w:line="600" w:lineRule="exact"/>
              <w:jc w:val="left"/>
              <w:rPr>
                <w:rFonts w:hint="eastAsia" w:ascii="宋体" w:hAnsi="宋体" w:cs="宋体"/>
                <w:b/>
                <w:bCs/>
                <w:sz w:val="24"/>
              </w:rPr>
            </w:pPr>
            <w:r>
              <w:rPr>
                <w:rFonts w:hint="eastAsia" w:ascii="宋体" w:hAnsi="宋体" w:cs="宋体"/>
                <w:b/>
                <w:bCs/>
                <w:sz w:val="24"/>
              </w:rPr>
              <w:t>（2）“备份投标文件”的密封包装、递交：</w:t>
            </w:r>
          </w:p>
          <w:p>
            <w:pPr>
              <w:spacing w:line="600" w:lineRule="exact"/>
              <w:jc w:val="left"/>
              <w:rPr>
                <w:rFonts w:hint="eastAsia" w:ascii="宋体" w:hAnsi="宋体" w:cs="宋体"/>
                <w:b/>
                <w:bCs/>
                <w:sz w:val="24"/>
              </w:rPr>
            </w:pPr>
            <w:r>
              <w:rPr>
                <w:rFonts w:hint="eastAsia" w:ascii="宋体" w:hAnsi="宋体" w:cs="宋体"/>
                <w:b/>
                <w:bCs/>
                <w:sz w:val="24"/>
              </w:rPr>
              <w:t>a.投标供应商在“政府采购云平台”完成“电子加密投标文件”的上传递交后，还可以（EMS邮寄形式）在投标截止时间前递交以介质（U盘）存储的 “备份投标文件”（一份）；</w:t>
            </w:r>
          </w:p>
          <w:p>
            <w:pPr>
              <w:spacing w:line="600" w:lineRule="exact"/>
              <w:jc w:val="left"/>
              <w:rPr>
                <w:rFonts w:hint="eastAsia" w:ascii="宋体" w:hAnsi="宋体" w:cs="宋体"/>
                <w:b/>
                <w:bCs/>
                <w:sz w:val="24"/>
              </w:rPr>
            </w:pPr>
            <w:r>
              <w:rPr>
                <w:rFonts w:hint="eastAsia" w:ascii="宋体" w:hAnsi="宋体" w:cs="宋体"/>
                <w:b/>
                <w:bCs/>
                <w:sz w:val="24"/>
              </w:rPr>
              <w:t>b.“备份投标文件”应当密封包装，并在包装上标注投标项目名称、投标单位名称并加盖公章。没有密封包装或者逾期邮寄送达至投标地点的“备份投标文件”将不予接收；</w:t>
            </w:r>
          </w:p>
          <w:p>
            <w:pPr>
              <w:spacing w:line="600" w:lineRule="exact"/>
              <w:jc w:val="left"/>
              <w:rPr>
                <w:rFonts w:hint="eastAsia" w:ascii="宋体" w:hAnsi="宋体" w:cs="宋体"/>
                <w:sz w:val="24"/>
              </w:rPr>
            </w:pPr>
            <w:r>
              <w:rPr>
                <w:rFonts w:hint="eastAsia" w:ascii="宋体" w:hAnsi="宋体" w:cs="宋体"/>
                <w:b/>
                <w:bCs/>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12</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电子加密投标文件的解密和异常情况处理：</w:t>
            </w:r>
          </w:p>
          <w:p>
            <w:pPr>
              <w:spacing w:line="600" w:lineRule="exact"/>
              <w:jc w:val="left"/>
              <w:rPr>
                <w:rFonts w:hint="eastAsia" w:ascii="宋体" w:hAnsi="宋体" w:cs="宋体"/>
                <w:sz w:val="24"/>
              </w:rPr>
            </w:pPr>
            <w:r>
              <w:rPr>
                <w:rFonts w:hint="eastAsia" w:ascii="宋体" w:hAnsi="宋体" w:cs="宋体"/>
                <w:sz w:val="24"/>
              </w:rPr>
              <w:t>（1）开标后，采购组织机构将向各投标供应商发出“电子加密投标文件”的解密通知，各投标供应商代表应当在接到解密通知后45分钟内自行完成“电子加密投标文件”的在线解密。</w:t>
            </w:r>
          </w:p>
          <w:p>
            <w:pPr>
              <w:spacing w:line="600" w:lineRule="exact"/>
              <w:jc w:val="left"/>
              <w:rPr>
                <w:rFonts w:hint="eastAsia" w:ascii="宋体" w:hAnsi="宋体" w:cs="宋体"/>
                <w:sz w:val="24"/>
              </w:rPr>
            </w:pPr>
            <w:r>
              <w:rPr>
                <w:rFonts w:hint="eastAsia" w:ascii="宋体" w:hAnsi="宋体" w:cs="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600" w:lineRule="exact"/>
              <w:jc w:val="left"/>
              <w:rPr>
                <w:rFonts w:hint="eastAsia" w:ascii="宋体" w:hAnsi="宋体" w:cs="宋体"/>
                <w:sz w:val="24"/>
              </w:rPr>
            </w:pPr>
            <w:r>
              <w:rPr>
                <w:rFonts w:hint="eastAsia" w:ascii="宋体" w:hAnsi="宋体" w:cs="宋体"/>
                <w:sz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13</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rPr>
                <w:rFonts w:hint="eastAsia" w:ascii="宋体" w:hAnsi="宋体" w:cs="宋体"/>
                <w:color w:val="FF0000"/>
                <w:sz w:val="24"/>
              </w:rPr>
            </w:pPr>
            <w:r>
              <w:rPr>
                <w:rFonts w:hint="eastAsia" w:ascii="宋体" w:hAnsi="宋体" w:cs="宋体"/>
                <w:sz w:val="24"/>
              </w:rPr>
              <w:t>投标截止时间：详见公告。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14</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color w:val="FF0000"/>
                <w:sz w:val="24"/>
              </w:rPr>
            </w:pPr>
            <w:r>
              <w:rPr>
                <w:rFonts w:hint="eastAsia" w:ascii="宋体" w:hAnsi="宋体" w:cs="宋体"/>
                <w:sz w:val="24"/>
              </w:rPr>
              <w:t>投标地点：详见公告。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15</w:t>
            </w:r>
          </w:p>
        </w:tc>
        <w:tc>
          <w:tcPr>
            <w:tcW w:w="8673" w:type="dxa"/>
            <w:gridSpan w:val="2"/>
            <w:tcBorders>
              <w:top w:val="single" w:color="000000" w:sz="2" w:space="0"/>
              <w:left w:val="single" w:color="000000" w:sz="2" w:space="0"/>
              <w:bottom w:val="single" w:color="auto" w:sz="4"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16</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17</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1、投标截止后，在投标有效期内，投标人不能撤销投标文件。投标人强行撤销投标文件的，应按预算金额的2%赔偿对招标代理机构造成的损失。</w:t>
            </w:r>
          </w:p>
          <w:p>
            <w:pPr>
              <w:spacing w:line="600" w:lineRule="exact"/>
              <w:jc w:val="left"/>
              <w:rPr>
                <w:rFonts w:hint="eastAsia" w:ascii="宋体" w:hAnsi="宋体" w:cs="宋体"/>
                <w:sz w:val="24"/>
              </w:rPr>
            </w:pPr>
            <w:r>
              <w:rPr>
                <w:rFonts w:hint="eastAsia" w:ascii="宋体" w:hAnsi="宋体" w:cs="宋体"/>
                <w:sz w:val="24"/>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pacing w:line="600" w:lineRule="exact"/>
              <w:jc w:val="left"/>
              <w:rPr>
                <w:rFonts w:hint="eastAsia" w:ascii="宋体" w:hAnsi="宋体" w:cs="宋体"/>
                <w:sz w:val="24"/>
              </w:rPr>
            </w:pPr>
            <w:r>
              <w:rPr>
                <w:rFonts w:hint="eastAsia" w:ascii="宋体" w:hAnsi="宋体" w:cs="宋体"/>
                <w:sz w:val="24"/>
              </w:rPr>
              <w:t>3、存在下列行为的，招标代理机构将其失信行为上报政府采购主管部门，由主管部门按有关规定对其违法失信行为记录进行公开：</w:t>
            </w:r>
          </w:p>
          <w:p>
            <w:pPr>
              <w:spacing w:line="600" w:lineRule="exact"/>
              <w:jc w:val="left"/>
              <w:rPr>
                <w:rFonts w:hint="eastAsia" w:ascii="宋体" w:hAnsi="宋体" w:cs="宋体"/>
                <w:sz w:val="24"/>
              </w:rPr>
            </w:pPr>
            <w:r>
              <w:rPr>
                <w:rFonts w:hint="eastAsia" w:ascii="宋体" w:hAnsi="宋体" w:cs="宋体"/>
                <w:sz w:val="24"/>
              </w:rPr>
              <w:t>（1）中标或者成交后，拒绝签订政府采购合同的；</w:t>
            </w:r>
          </w:p>
          <w:p>
            <w:pPr>
              <w:spacing w:line="600" w:lineRule="exact"/>
              <w:jc w:val="left"/>
              <w:rPr>
                <w:rFonts w:hint="eastAsia" w:ascii="宋体" w:hAnsi="宋体" w:cs="宋体"/>
                <w:sz w:val="24"/>
              </w:rPr>
            </w:pPr>
            <w:r>
              <w:rPr>
                <w:rFonts w:hint="eastAsia" w:ascii="宋体" w:hAnsi="宋体" w:cs="宋体"/>
                <w:sz w:val="24"/>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18</w:t>
            </w:r>
          </w:p>
        </w:tc>
        <w:tc>
          <w:tcPr>
            <w:tcW w:w="8673" w:type="dxa"/>
            <w:gridSpan w:val="2"/>
            <w:tcBorders>
              <w:top w:val="single" w:color="auto" w:sz="4" w:space="0"/>
              <w:left w:val="single" w:color="000000" w:sz="2" w:space="0"/>
              <w:bottom w:val="single" w:color="auto" w:sz="4"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19</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潜在供应商需在浙江政府采购网</w:t>
            </w:r>
            <w:r>
              <w:rPr>
                <w:rFonts w:hint="eastAsia" w:ascii="宋体" w:hAnsi="宋体" w:cs="宋体"/>
                <w:sz w:val="24"/>
              </w:rPr>
              <w:drawing>
                <wp:inline distT="0" distB="0" distL="114300" distR="114300">
                  <wp:extent cx="189865" cy="142240"/>
                  <wp:effectExtent l="0" t="0" r="635" b="1016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9"/>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sz w:val="24"/>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20</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1、本项目对符合财政扶持政策的中小企业（小型、微型）、监狱企业、残疾人福利性单位给予价格优惠扶持，价格优惠扶持见《第三章 评分办法》。</w:t>
            </w:r>
          </w:p>
          <w:p>
            <w:pPr>
              <w:spacing w:line="600" w:lineRule="exact"/>
              <w:jc w:val="left"/>
              <w:rPr>
                <w:rFonts w:hint="eastAsia" w:ascii="宋体" w:hAnsi="宋体" w:cs="宋体"/>
                <w:sz w:val="24"/>
              </w:rPr>
            </w:pPr>
            <w:r>
              <w:rPr>
                <w:rFonts w:hint="eastAsia" w:ascii="宋体" w:hAnsi="宋体" w:cs="宋体"/>
                <w:sz w:val="24"/>
              </w:rPr>
              <w:t>2、满足转发财政部 工业和信息化部关于印发《政府采购促进中小企业发展暂行办法》的通知（浙财采监[2012]11号）的规定的中小企业可享受优惠扶持。</w:t>
            </w:r>
          </w:p>
          <w:p>
            <w:pPr>
              <w:spacing w:line="600" w:lineRule="exact"/>
              <w:jc w:val="left"/>
              <w:rPr>
                <w:rFonts w:hint="eastAsia" w:ascii="宋体" w:hAnsi="宋体" w:cs="宋体"/>
                <w:sz w:val="24"/>
              </w:rPr>
            </w:pPr>
            <w:r>
              <w:rPr>
                <w:rFonts w:hint="eastAsia" w:ascii="宋体" w:hAnsi="宋体" w:cs="宋体"/>
                <w:sz w:val="24"/>
              </w:rPr>
              <w:t>满足关于政府采购支持监狱企业发展有关问题的通知（财库[2014]68号）的规定的供应商可享受优惠扶持。</w:t>
            </w:r>
          </w:p>
          <w:p>
            <w:pPr>
              <w:spacing w:line="600" w:lineRule="exact"/>
              <w:jc w:val="left"/>
              <w:rPr>
                <w:rFonts w:hint="eastAsia" w:ascii="宋体" w:hAnsi="宋体" w:cs="宋体"/>
                <w:sz w:val="24"/>
              </w:rPr>
            </w:pPr>
            <w:r>
              <w:rPr>
                <w:rFonts w:hint="eastAsia" w:ascii="宋体" w:hAnsi="宋体" w:cs="宋体"/>
                <w:sz w:val="24"/>
              </w:rPr>
              <w:t>满足关于促进残疾人就业政府采购政策的通知（财库[2017]141号）的规定的供应商可享受优惠扶持。</w:t>
            </w:r>
          </w:p>
          <w:p>
            <w:pPr>
              <w:spacing w:line="600" w:lineRule="exact"/>
              <w:jc w:val="left"/>
              <w:rPr>
                <w:rFonts w:hint="eastAsia" w:ascii="宋体" w:hAnsi="宋体" w:cs="宋体"/>
                <w:sz w:val="24"/>
              </w:rPr>
            </w:pPr>
            <w:r>
              <w:rPr>
                <w:rFonts w:hint="eastAsia" w:ascii="宋体" w:hAnsi="宋体" w:cs="宋体"/>
                <w:sz w:val="24"/>
              </w:rPr>
              <w:t>3、节能产品、环境标志产品的强制采购政策</w:t>
            </w:r>
          </w:p>
          <w:p>
            <w:pPr>
              <w:spacing w:line="600" w:lineRule="exact"/>
              <w:jc w:val="left"/>
              <w:rPr>
                <w:rFonts w:hint="eastAsia"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pacing w:line="600" w:lineRule="exact"/>
              <w:jc w:val="left"/>
              <w:rPr>
                <w:rFonts w:hint="eastAsia" w:ascii="宋体" w:hAnsi="宋体" w:cs="宋体"/>
                <w:sz w:val="24"/>
              </w:rPr>
            </w:pPr>
            <w:r>
              <w:rPr>
                <w:rFonts w:hint="eastAsia" w:ascii="宋体" w:hAnsi="宋体" w:cs="宋体"/>
                <w:sz w:val="24"/>
              </w:rPr>
              <w:t>4、节能产品、环境标志产品的优先采购政策</w:t>
            </w:r>
          </w:p>
          <w:p>
            <w:pPr>
              <w:spacing w:line="600" w:lineRule="exact"/>
              <w:jc w:val="left"/>
              <w:rPr>
                <w:rFonts w:hint="eastAsia"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21</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根据《关于在政府采购活动中查询及使用信用记录有关问题的通知》财库[2016]125号的规定：</w:t>
            </w:r>
          </w:p>
          <w:p>
            <w:pPr>
              <w:spacing w:line="600" w:lineRule="exact"/>
              <w:jc w:val="left"/>
              <w:rPr>
                <w:rFonts w:hint="eastAsia" w:ascii="宋体" w:hAnsi="宋体" w:cs="宋体"/>
                <w:sz w:val="24"/>
              </w:rPr>
            </w:pPr>
            <w:r>
              <w:rPr>
                <w:rFonts w:hint="eastAsia" w:ascii="宋体" w:hAnsi="宋体" w:cs="宋体"/>
                <w:sz w:val="24"/>
              </w:rPr>
              <w:t>（1）采购人或采购代理机构将对本项目供应商的信用记录进行查询。查询渠道为信用中国网站（www.creditchina.gov.cn）、中国政府采购网（www.ccgp.gov.cn）；</w:t>
            </w:r>
          </w:p>
          <w:p>
            <w:pPr>
              <w:spacing w:line="600" w:lineRule="exact"/>
              <w:jc w:val="left"/>
              <w:rPr>
                <w:rFonts w:hint="eastAsia" w:ascii="宋体" w:hAnsi="宋体" w:cs="宋体"/>
                <w:sz w:val="24"/>
              </w:rPr>
            </w:pPr>
            <w:r>
              <w:rPr>
                <w:rFonts w:hint="eastAsia" w:ascii="宋体" w:hAnsi="宋体" w:cs="宋体"/>
                <w:sz w:val="24"/>
              </w:rPr>
              <w:t>（2）截止时点：提交投标文件（响应文件）截止时间前3年内；</w:t>
            </w:r>
          </w:p>
          <w:p>
            <w:pPr>
              <w:spacing w:line="600" w:lineRule="exact"/>
              <w:jc w:val="left"/>
              <w:rPr>
                <w:rFonts w:hint="eastAsia" w:ascii="宋体" w:hAnsi="宋体" w:cs="宋体"/>
                <w:sz w:val="24"/>
              </w:rPr>
            </w:pPr>
            <w:r>
              <w:rPr>
                <w:rFonts w:hint="eastAsia" w:ascii="宋体" w:hAnsi="宋体" w:cs="宋体"/>
                <w:sz w:val="24"/>
              </w:rPr>
              <w:t>（3）查询记录和证据的留存：信用信息查询记录和证据以网页截图等方式留存。</w:t>
            </w:r>
          </w:p>
          <w:p>
            <w:pPr>
              <w:spacing w:line="600" w:lineRule="exact"/>
              <w:jc w:val="left"/>
              <w:rPr>
                <w:rFonts w:hint="eastAsia" w:ascii="宋体" w:hAnsi="宋体" w:cs="宋体"/>
                <w:sz w:val="24"/>
              </w:rPr>
            </w:pP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pPr>
              <w:spacing w:line="600" w:lineRule="exact"/>
              <w:jc w:val="left"/>
              <w:rPr>
                <w:rFonts w:hint="eastAsia" w:ascii="宋体" w:hAnsi="宋体" w:cs="宋体"/>
                <w:sz w:val="24"/>
              </w:rPr>
            </w:pPr>
            <w:r>
              <w:rPr>
                <w:rFonts w:hint="eastAsia" w:ascii="宋体" w:hAnsi="宋体" w:cs="宋体"/>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22</w:t>
            </w:r>
          </w:p>
        </w:tc>
        <w:tc>
          <w:tcPr>
            <w:tcW w:w="8673" w:type="dxa"/>
            <w:gridSpan w:val="2"/>
            <w:tcBorders>
              <w:top w:val="single" w:color="000000" w:sz="2" w:space="0"/>
              <w:left w:val="single" w:color="000000" w:sz="2" w:space="0"/>
              <w:bottom w:val="single" w:color="000000" w:sz="2" w:space="0"/>
              <w:right w:val="single" w:color="000000" w:sz="8" w:space="0"/>
            </w:tcBorders>
            <w:noWrap w:val="0"/>
            <w:vAlign w:val="center"/>
          </w:tcPr>
          <w:p>
            <w:pPr>
              <w:spacing w:line="600" w:lineRule="exact"/>
              <w:jc w:val="left"/>
              <w:rPr>
                <w:rFonts w:hint="eastAsia" w:ascii="宋体" w:hAnsi="宋体" w:cs="宋体"/>
                <w:sz w:val="24"/>
              </w:rPr>
            </w:pPr>
            <w:r>
              <w:rPr>
                <w:rFonts w:hint="eastAsia" w:ascii="宋体" w:hAnsi="宋体" w:cs="宋体"/>
                <w:sz w:val="24"/>
              </w:rPr>
              <w:t>中标单位在中标公示结束后再递交与电子加密投标文件内容一致的书面投标文件（正本一份，副本四份）。</w:t>
            </w:r>
          </w:p>
        </w:tc>
      </w:tr>
    </w:tbl>
    <w:p>
      <w:pPr>
        <w:shd w:val="clear" w:color="auto" w:fill="FFFFFF"/>
        <w:snapToGrid w:val="0"/>
        <w:spacing w:line="360" w:lineRule="auto"/>
        <w:jc w:val="center"/>
        <w:outlineLvl w:val="1"/>
        <w:rPr>
          <w:rFonts w:hint="eastAsia" w:ascii="宋体" w:hAnsi="宋体" w:cs="宋体"/>
          <w:b/>
          <w:bCs/>
          <w:color w:val="000000"/>
          <w:sz w:val="24"/>
        </w:rPr>
      </w:pPr>
      <w:r>
        <w:rPr>
          <w:rFonts w:hint="eastAsia" w:ascii="宋体" w:hAnsi="宋体" w:cs="宋体"/>
          <w:color w:val="000000"/>
          <w:kern w:val="0"/>
          <w:sz w:val="24"/>
        </w:rPr>
        <w:br w:type="page"/>
      </w:r>
      <w:bookmarkEnd w:id="38"/>
      <w:bookmarkStart w:id="46" w:name="_Toc233618972"/>
      <w:bookmarkStart w:id="47" w:name="_Toc5313"/>
      <w:bookmarkStart w:id="48" w:name="_Toc354996696"/>
      <w:bookmarkStart w:id="49" w:name="_Toc226106516"/>
      <w:bookmarkStart w:id="50" w:name="_Toc226521904"/>
      <w:bookmarkStart w:id="51" w:name="_Toc225840109"/>
      <w:bookmarkStart w:id="52" w:name="_Toc226106467"/>
      <w:r>
        <w:rPr>
          <w:rFonts w:hint="eastAsia" w:ascii="宋体" w:hAnsi="宋体" w:cs="宋体"/>
          <w:b/>
          <w:bCs/>
          <w:color w:val="000000"/>
          <w:sz w:val="24"/>
        </w:rPr>
        <w:t>一、总 则</w:t>
      </w:r>
      <w:bookmarkEnd w:id="46"/>
      <w:bookmarkEnd w:id="47"/>
      <w:bookmarkEnd w:id="48"/>
    </w:p>
    <w:p>
      <w:pPr>
        <w:snapToGrid w:val="0"/>
        <w:spacing w:line="360" w:lineRule="auto"/>
        <w:rPr>
          <w:rFonts w:hint="eastAsia" w:ascii="宋体" w:hAnsi="宋体" w:cs="宋体"/>
          <w:b/>
          <w:color w:val="000000"/>
          <w:sz w:val="24"/>
        </w:rPr>
      </w:pPr>
      <w:bookmarkStart w:id="53" w:name="_Toc91899872"/>
      <w:bookmarkStart w:id="54" w:name="_Hlt74730208"/>
      <w:bookmarkStart w:id="55" w:name="_Hlt74730112"/>
      <w:bookmarkStart w:id="56" w:name="_Toc233618973"/>
      <w:bookmarkStart w:id="57" w:name="_Toc354996697"/>
      <w:r>
        <w:rPr>
          <w:rFonts w:hint="eastAsia" w:ascii="宋体" w:hAnsi="宋体" w:cs="宋体"/>
          <w:b/>
          <w:color w:val="000000"/>
          <w:sz w:val="24"/>
        </w:rPr>
        <w:t>（一）项目说明</w:t>
      </w:r>
      <w:bookmarkEnd w:id="53"/>
    </w:p>
    <w:p>
      <w:pPr>
        <w:pStyle w:val="345"/>
        <w:snapToGrid w:val="0"/>
        <w:ind w:firstLine="480"/>
        <w:rPr>
          <w:rFonts w:hint="eastAsia"/>
          <w:color w:val="000000"/>
        </w:rPr>
      </w:pPr>
      <w:r>
        <w:rPr>
          <w:rFonts w:hint="eastAsia"/>
          <w:color w:val="000000"/>
        </w:rPr>
        <w:t>1、项目说明见投标须知前附表(以下称“前附表”)第1项所述。</w:t>
      </w:r>
    </w:p>
    <w:p>
      <w:pPr>
        <w:pStyle w:val="345"/>
        <w:tabs>
          <w:tab w:val="left" w:pos="6510"/>
        </w:tabs>
        <w:snapToGrid w:val="0"/>
        <w:ind w:firstLine="480"/>
        <w:rPr>
          <w:rFonts w:hint="eastAsia"/>
          <w:color w:val="000000"/>
        </w:rPr>
      </w:pPr>
      <w:r>
        <w:rPr>
          <w:rFonts w:hint="eastAsia"/>
          <w:color w:val="000000"/>
        </w:rPr>
        <w:t>2、采购单位</w:t>
      </w:r>
      <w:r>
        <w:rPr>
          <w:rFonts w:hint="eastAsia"/>
          <w:b/>
          <w:bCs/>
          <w:u w:val="single"/>
        </w:rPr>
        <w:t>杭州余杭经济技术开发区管理委员会</w:t>
      </w:r>
      <w:r>
        <w:rPr>
          <w:rFonts w:hint="eastAsia"/>
          <w:color w:val="000000"/>
        </w:rPr>
        <w:t>为本项目的招标人（合同中的甲方），</w:t>
      </w:r>
      <w:r>
        <w:rPr>
          <w:rFonts w:hint="eastAsia"/>
          <w:b/>
          <w:bCs/>
          <w:color w:val="000000"/>
          <w:u w:val="single"/>
        </w:rPr>
        <w:t>杭州</w:t>
      </w:r>
      <w:r>
        <w:rPr>
          <w:rFonts w:hint="eastAsia"/>
          <w:b/>
          <w:bCs/>
          <w:color w:val="000000"/>
          <w:u w:val="single"/>
          <w:lang w:eastAsia="zh-CN"/>
        </w:rPr>
        <w:t>政采</w:t>
      </w:r>
      <w:r>
        <w:rPr>
          <w:rFonts w:hint="eastAsia"/>
          <w:b/>
          <w:bCs/>
          <w:color w:val="000000"/>
          <w:u w:val="single"/>
        </w:rPr>
        <w:t>工程咨询代理有限公司</w:t>
      </w:r>
      <w:r>
        <w:rPr>
          <w:rFonts w:hint="eastAsia"/>
          <w:color w:val="000000"/>
        </w:rPr>
        <w:t>为招标代理机构，杭州市余杭区财政局为政府采购监督管理部门，自愿参加本次项目投标的法人、其他组织为投标人，经评审产生并经批准的投标人为中标人，签订合同后的中标人为供应商(合同中的乙方)。</w:t>
      </w:r>
    </w:p>
    <w:p>
      <w:pPr>
        <w:pStyle w:val="345"/>
        <w:snapToGrid w:val="0"/>
        <w:ind w:firstLine="480"/>
        <w:rPr>
          <w:rFonts w:hint="eastAsia"/>
          <w:color w:val="000000"/>
        </w:rPr>
      </w:pPr>
      <w:r>
        <w:rPr>
          <w:rFonts w:hint="eastAsia"/>
          <w:color w:val="000000"/>
        </w:rPr>
        <w:t>3、投标人一旦参与本次招标活动，即被视为接受了本招标文件的所有内容，如有任何异议，均已在答疑截止时间前提出。</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000000"/>
          <w:kern w:val="0"/>
          <w:sz w:val="24"/>
          <w:lang w:val="zh-CN"/>
        </w:rPr>
        <w:t>供应商</w:t>
      </w:r>
      <w:r>
        <w:rPr>
          <w:rFonts w:hint="eastAsia" w:ascii="宋体" w:hAnsi="宋体" w:cs="宋体"/>
          <w:color w:val="000000"/>
          <w:sz w:val="24"/>
        </w:rPr>
        <w:t>应承担相应后果，</w:t>
      </w:r>
      <w:r>
        <w:rPr>
          <w:rFonts w:hint="eastAsia" w:ascii="宋体" w:hAnsi="宋体" w:cs="宋体"/>
          <w:color w:val="000000"/>
          <w:kern w:val="0"/>
          <w:sz w:val="24"/>
          <w:lang w:val="zh-CN"/>
        </w:rPr>
        <w:t>并负责赔偿。</w:t>
      </w:r>
      <w:r>
        <w:rPr>
          <w:rFonts w:hint="eastAsia" w:ascii="宋体" w:hAnsi="宋体" w:cs="宋体"/>
          <w:color w:val="000000"/>
          <w:sz w:val="24"/>
        </w:rPr>
        <w:t>供应商为执行本项目合同而提供的技术资料等归招标人所有。</w:t>
      </w:r>
      <w:bookmarkStart w:id="58" w:name="_Toc91899873"/>
    </w:p>
    <w:p>
      <w:pPr>
        <w:tabs>
          <w:tab w:val="left" w:pos="3780"/>
        </w:tabs>
        <w:snapToGrid w:val="0"/>
        <w:spacing w:line="360" w:lineRule="auto"/>
        <w:rPr>
          <w:rFonts w:hint="eastAsia" w:ascii="宋体" w:hAnsi="宋体" w:cs="宋体"/>
          <w:b/>
          <w:color w:val="000000"/>
          <w:sz w:val="24"/>
        </w:rPr>
      </w:pPr>
      <w:r>
        <w:rPr>
          <w:rFonts w:hint="eastAsia" w:ascii="宋体" w:hAnsi="宋体" w:cs="宋体"/>
          <w:b/>
          <w:color w:val="000000"/>
          <w:sz w:val="24"/>
        </w:rPr>
        <w:t>（二）采购方式</w:t>
      </w:r>
      <w:bookmarkEnd w:id="58"/>
    </w:p>
    <w:p>
      <w:pPr>
        <w:pStyle w:val="345"/>
        <w:snapToGrid w:val="0"/>
        <w:ind w:firstLine="480"/>
        <w:rPr>
          <w:rFonts w:hint="eastAsia"/>
          <w:color w:val="000000"/>
        </w:rPr>
      </w:pPr>
      <w:r>
        <w:rPr>
          <w:rFonts w:hint="eastAsia"/>
          <w:color w:val="000000"/>
        </w:rPr>
        <w:t>公开招标。</w:t>
      </w:r>
      <w:bookmarkEnd w:id="54"/>
      <w:bookmarkEnd w:id="55"/>
      <w:bookmarkStart w:id="59" w:name="_Hlt74388212"/>
      <w:bookmarkEnd w:id="59"/>
      <w:bookmarkStart w:id="60" w:name="_Hlt68516771"/>
      <w:bookmarkEnd w:id="60"/>
    </w:p>
    <w:p>
      <w:pPr>
        <w:snapToGrid w:val="0"/>
        <w:spacing w:line="360" w:lineRule="auto"/>
        <w:rPr>
          <w:rFonts w:hint="eastAsia" w:ascii="宋体" w:hAnsi="宋体" w:cs="宋体"/>
          <w:b/>
          <w:color w:val="000000"/>
          <w:sz w:val="24"/>
        </w:rPr>
      </w:pPr>
      <w:bookmarkStart w:id="61" w:name="_Toc91899877"/>
      <w:bookmarkStart w:id="62" w:name="_Hlt74730303"/>
      <w:r>
        <w:rPr>
          <w:rFonts w:hint="eastAsia" w:ascii="宋体" w:hAnsi="宋体" w:cs="宋体"/>
          <w:b/>
          <w:color w:val="000000"/>
          <w:sz w:val="24"/>
        </w:rPr>
        <w:t>（三）</w:t>
      </w:r>
      <w:r>
        <w:rPr>
          <w:rFonts w:hint="eastAsia" w:ascii="宋体" w:hAnsi="宋体" w:cs="宋体"/>
          <w:b/>
          <w:color w:val="000000"/>
          <w:kern w:val="0"/>
          <w:sz w:val="24"/>
          <w:lang w:val="zh-CN"/>
        </w:rPr>
        <w:t>定义</w:t>
      </w:r>
    </w:p>
    <w:p>
      <w:pPr>
        <w:snapToGrid w:val="0"/>
        <w:spacing w:line="360" w:lineRule="auto"/>
        <w:ind w:firstLine="481"/>
        <w:rPr>
          <w:rFonts w:hint="eastAsia" w:ascii="宋体" w:hAnsi="宋体" w:cs="宋体"/>
          <w:color w:val="000000"/>
          <w:kern w:val="0"/>
          <w:sz w:val="24"/>
          <w:lang w:val="zh-CN"/>
        </w:rPr>
      </w:pPr>
      <w:r>
        <w:rPr>
          <w:rFonts w:hint="eastAsia" w:ascii="宋体" w:hAnsi="宋体" w:cs="宋体"/>
          <w:b/>
          <w:color w:val="000000"/>
          <w:kern w:val="0"/>
          <w:sz w:val="24"/>
          <w:lang w:val="zh-CN"/>
        </w:rPr>
        <w:t>1、合格的投标人应具备的资格要求，</w:t>
      </w:r>
      <w:r>
        <w:rPr>
          <w:rFonts w:hint="eastAsia" w:ascii="宋体" w:hAnsi="宋体" w:cs="宋体"/>
          <w:color w:val="000000"/>
          <w:kern w:val="0"/>
          <w:sz w:val="24"/>
          <w:lang w:val="zh-CN"/>
        </w:rPr>
        <w:t>见招标文件第一部分“招标公告”。</w:t>
      </w:r>
    </w:p>
    <w:p>
      <w:pPr>
        <w:tabs>
          <w:tab w:val="left" w:pos="0"/>
        </w:tabs>
        <w:autoSpaceDE w:val="0"/>
        <w:autoSpaceDN w:val="0"/>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2、内容</w:t>
      </w:r>
    </w:p>
    <w:p>
      <w:pPr>
        <w:spacing w:line="360" w:lineRule="auto"/>
        <w:ind w:firstLine="482" w:firstLineChars="200"/>
        <w:rPr>
          <w:rFonts w:hint="eastAsia" w:ascii="宋体" w:hAnsi="宋体" w:cs="宋体"/>
          <w:color w:val="000000"/>
          <w:sz w:val="24"/>
        </w:rPr>
      </w:pPr>
      <w:r>
        <w:rPr>
          <w:rFonts w:hint="eastAsia" w:ascii="宋体" w:hAnsi="宋体" w:cs="宋体"/>
          <w:b/>
          <w:bCs/>
          <w:sz w:val="24"/>
          <w:u w:val="single"/>
        </w:rPr>
        <w:t>杭州余杭经济技术开发区管理委员会</w:t>
      </w:r>
      <w:r>
        <w:rPr>
          <w:rFonts w:hint="eastAsia" w:ascii="宋体" w:hAnsi="宋体" w:cs="宋体"/>
          <w:color w:val="000000"/>
          <w:sz w:val="24"/>
        </w:rPr>
        <w:t>的</w:t>
      </w:r>
      <w:r>
        <w:rPr>
          <w:rFonts w:hint="eastAsia" w:ascii="宋体" w:hAnsi="宋体" w:cs="宋体"/>
          <w:b/>
          <w:bCs/>
          <w:sz w:val="24"/>
          <w:u w:val="single"/>
          <w:lang w:eastAsia="zh-CN"/>
        </w:rPr>
        <w:t>余杭经济技术开发区医疗器械通用检测设备采购项目</w:t>
      </w:r>
      <w:r>
        <w:rPr>
          <w:rFonts w:hint="eastAsia" w:ascii="宋体" w:hAnsi="宋体" w:cs="宋体"/>
          <w:color w:val="000000"/>
          <w:sz w:val="24"/>
        </w:rPr>
        <w:t>，具体详见“第三部分——项目技术规范和服务要求”。</w:t>
      </w:r>
    </w:p>
    <w:p>
      <w:pPr>
        <w:pStyle w:val="40"/>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（四）投标费用</w:t>
      </w:r>
    </w:p>
    <w:p>
      <w:pPr>
        <w:snapToGrid w:val="0"/>
        <w:spacing w:line="360" w:lineRule="auto"/>
        <w:ind w:firstLine="523" w:firstLineChars="218"/>
        <w:rPr>
          <w:rFonts w:hint="eastAsia" w:ascii="宋体" w:hAnsi="宋体" w:cs="宋体"/>
          <w:color w:val="000000"/>
          <w:sz w:val="24"/>
          <w:lang w:val="zh-CN"/>
        </w:rPr>
      </w:pPr>
      <w:r>
        <w:rPr>
          <w:rFonts w:hint="eastAsia" w:ascii="宋体" w:hAnsi="宋体" w:cs="宋体"/>
          <w:color w:val="000000"/>
          <w:sz w:val="24"/>
        </w:rPr>
        <w:t>投标人需自行承担涉及投标的一切税、费用</w:t>
      </w:r>
      <w:r>
        <w:rPr>
          <w:rFonts w:hint="eastAsia" w:ascii="宋体" w:hAnsi="宋体" w:cs="宋体"/>
          <w:color w:val="000000"/>
          <w:sz w:val="24"/>
          <w:lang w:val="zh-CN"/>
        </w:rPr>
        <w:t>。</w:t>
      </w:r>
      <w:bookmarkEnd w:id="61"/>
      <w:bookmarkEnd w:id="62"/>
    </w:p>
    <w:p>
      <w:pPr>
        <w:shd w:val="clear" w:color="auto" w:fill="FFFFFF"/>
        <w:snapToGrid w:val="0"/>
        <w:spacing w:line="360" w:lineRule="auto"/>
        <w:jc w:val="center"/>
        <w:outlineLvl w:val="1"/>
        <w:rPr>
          <w:rFonts w:hint="eastAsia" w:ascii="宋体" w:hAnsi="宋体" w:cs="宋体"/>
          <w:b/>
          <w:bCs/>
          <w:color w:val="000000"/>
          <w:sz w:val="24"/>
        </w:rPr>
      </w:pPr>
      <w:bookmarkStart w:id="63" w:name="_Toc1199"/>
      <w:bookmarkStart w:id="64" w:name="_Toc31909"/>
      <w:bookmarkStart w:id="65" w:name="_Toc22969"/>
      <w:r>
        <w:rPr>
          <w:rFonts w:hint="eastAsia" w:ascii="宋体" w:hAnsi="宋体" w:cs="宋体"/>
          <w:b/>
          <w:bCs/>
          <w:color w:val="000000"/>
          <w:sz w:val="24"/>
        </w:rPr>
        <w:t>二、招标文件</w:t>
      </w:r>
      <w:bookmarkEnd w:id="56"/>
      <w:bookmarkEnd w:id="57"/>
      <w:bookmarkEnd w:id="63"/>
      <w:bookmarkEnd w:id="64"/>
      <w:bookmarkEnd w:id="65"/>
    </w:p>
    <w:p>
      <w:pPr>
        <w:shd w:val="clear" w:color="auto" w:fill="FFFFFF"/>
        <w:snapToGrid w:val="0"/>
        <w:spacing w:line="360" w:lineRule="auto"/>
        <w:rPr>
          <w:rFonts w:hint="eastAsia" w:ascii="宋体" w:hAnsi="宋体" w:cs="宋体"/>
          <w:b/>
          <w:bCs/>
          <w:color w:val="000000"/>
          <w:sz w:val="24"/>
        </w:rPr>
      </w:pPr>
      <w:bookmarkStart w:id="66" w:name="_Toc91899880"/>
      <w:bookmarkStart w:id="67" w:name="_Hlt74730307"/>
      <w:r>
        <w:rPr>
          <w:rFonts w:hint="eastAsia" w:ascii="宋体" w:hAnsi="宋体" w:cs="宋体"/>
          <w:b/>
          <w:bCs/>
          <w:color w:val="000000"/>
          <w:sz w:val="24"/>
        </w:rPr>
        <w:t>（一）招标文件的构成</w:t>
      </w:r>
      <w:bookmarkEnd w:id="66"/>
    </w:p>
    <w:bookmarkEnd w:id="67"/>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1、招标文件包括下列文件及附件</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第一部分  招标公告</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第二部分  编制和提交投标文件须知</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第三部分  项目技术规范和服务要求</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第四部分  合同主要条款</w:t>
      </w:r>
    </w:p>
    <w:p>
      <w:pPr>
        <w:shd w:val="clear" w:color="auto" w:fill="FFFFFF"/>
        <w:snapToGrid w:val="0"/>
        <w:spacing w:line="360" w:lineRule="auto"/>
        <w:ind w:left="480"/>
        <w:rPr>
          <w:rFonts w:hint="eastAsia" w:ascii="宋体" w:hAnsi="宋体" w:cs="宋体"/>
          <w:color w:val="000000"/>
          <w:sz w:val="24"/>
        </w:rPr>
      </w:pPr>
      <w:r>
        <w:rPr>
          <w:rFonts w:hint="eastAsia" w:ascii="宋体" w:hAnsi="宋体" w:cs="宋体"/>
          <w:color w:val="000000"/>
          <w:sz w:val="24"/>
        </w:rPr>
        <w:t>第五部分  应提交的有关格式范例</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0"/>
        <w:snapToGrid w:val="0"/>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（二）招标文件的澄清</w:t>
      </w:r>
    </w:p>
    <w:p>
      <w:pPr>
        <w:tabs>
          <w:tab w:val="left" w:pos="3780"/>
        </w:tabs>
        <w:snapToGrid w:val="0"/>
        <w:spacing w:line="360" w:lineRule="auto"/>
        <w:ind w:firstLine="600" w:firstLineChars="250"/>
        <w:rPr>
          <w:rFonts w:hint="eastAsia" w:ascii="宋体" w:hAnsi="宋体" w:cs="宋体"/>
          <w:color w:val="000000"/>
          <w:sz w:val="24"/>
        </w:rPr>
      </w:pPr>
      <w:r>
        <w:rPr>
          <w:rFonts w:hint="eastAsia" w:ascii="宋体" w:hAnsi="宋体" w:cs="宋体"/>
          <w:color w:val="000000"/>
          <w:sz w:val="24"/>
        </w:rPr>
        <w:t>1、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tabs>
          <w:tab w:val="left" w:pos="3780"/>
        </w:tabs>
        <w:snapToGrid w:val="0"/>
        <w:spacing w:line="360" w:lineRule="auto"/>
        <w:ind w:firstLine="600" w:firstLineChars="250"/>
        <w:rPr>
          <w:rFonts w:hint="eastAsia" w:ascii="宋体" w:hAnsi="宋体" w:cs="宋体"/>
          <w:color w:val="000000"/>
          <w:sz w:val="24"/>
        </w:rPr>
      </w:pPr>
      <w:r>
        <w:rPr>
          <w:rFonts w:hint="eastAsia" w:ascii="宋体" w:hAnsi="宋体" w:cs="宋体"/>
          <w:color w:val="000000"/>
          <w:sz w:val="24"/>
        </w:rPr>
        <w:t>2、投标人一旦参与本次采购活动，即被视为接受了本招标文件的所有内容，如有任何异议，均已在答疑截止时间前提出。</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（三）招标文件的修改</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2、若有必要，招标代理机构将酌情延长递交投标文件的截止日期。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（四）投标报价</w:t>
      </w:r>
    </w:p>
    <w:p>
      <w:pPr>
        <w:pStyle w:val="100"/>
        <w:snapToGrid w:val="0"/>
        <w:spacing w:before="0"/>
        <w:ind w:firstLine="480"/>
        <w:rPr>
          <w:rFonts w:hint="eastAsia" w:ascii="宋体" w:hAnsi="宋体" w:eastAsia="宋体" w:cs="宋体"/>
          <w:color w:val="000000"/>
        </w:rPr>
      </w:pPr>
      <w:r>
        <w:rPr>
          <w:rFonts w:hint="eastAsia" w:ascii="宋体" w:hAnsi="宋体" w:eastAsia="宋体" w:cs="宋体"/>
          <w:color w:val="000000"/>
        </w:rPr>
        <w:t>1、报价</w:t>
      </w:r>
    </w:p>
    <w:p>
      <w:pPr>
        <w:pStyle w:val="100"/>
        <w:snapToGrid w:val="0"/>
        <w:spacing w:before="0"/>
        <w:ind w:firstLine="480"/>
        <w:rPr>
          <w:rFonts w:hint="eastAsia" w:ascii="宋体" w:hAnsi="宋体" w:eastAsia="宋体" w:cs="宋体"/>
          <w:color w:val="000000"/>
        </w:rPr>
      </w:pPr>
      <w:r>
        <w:rPr>
          <w:rFonts w:hint="eastAsia" w:ascii="宋体" w:hAnsi="宋体" w:eastAsia="宋体" w:cs="宋体"/>
          <w:color w:val="000000"/>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2、其它费用处理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3、投标货币</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cs="宋体"/>
          <w:color w:val="000000"/>
          <w:sz w:val="24"/>
        </w:rPr>
      </w:pPr>
      <w:r>
        <w:rPr>
          <w:rFonts w:hint="eastAsia" w:ascii="宋体" w:hAnsi="宋体" w:cs="宋体"/>
          <w:color w:val="000000"/>
          <w:sz w:val="24"/>
        </w:rPr>
        <w:t>4、投标人对在合同执行中，除上述费用及招标文件规定的由中标人负责的工作范围以外需要招标人协调或提供便利的工作应当在投标文件中说明。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5、其他注意事项：</w:t>
      </w:r>
      <w:r>
        <w:rPr>
          <w:rFonts w:hint="eastAsia" w:ascii="宋体" w:hAnsi="宋体" w:cs="宋体"/>
          <w:color w:val="000000"/>
          <w:sz w:val="24"/>
        </w:rPr>
        <w:br w:type="textWrapping"/>
      </w:r>
      <w:r>
        <w:rPr>
          <w:rFonts w:hint="eastAsia" w:ascii="宋体" w:hAnsi="宋体" w:cs="宋体"/>
          <w:color w:val="000000"/>
          <w:sz w:val="24"/>
        </w:rPr>
        <w:t xml:space="preserve">    投标人在投标活动中提供任何虚假材料，其投标无效，并上报监管部门。</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6、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360" w:lineRule="auto"/>
        <w:ind w:firstLine="532" w:firstLineChars="222"/>
        <w:rPr>
          <w:rFonts w:hint="eastAsia" w:ascii="宋体" w:hAnsi="宋体" w:cs="宋体"/>
          <w:color w:val="000000"/>
          <w:sz w:val="24"/>
        </w:rPr>
      </w:pPr>
      <w:r>
        <w:rPr>
          <w:rFonts w:hint="eastAsia" w:ascii="宋体" w:hAnsi="宋体" w:cs="宋体"/>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残疾人福利性单位：符合《财政部 民政部 中国残疾人联合会关于促进残疾人就业政府采购政策的通知》（财库（2017）141号）的规定单位。</w:t>
      </w:r>
    </w:p>
    <w:p>
      <w:pPr>
        <w:shd w:val="clear" w:color="auto" w:fill="FFFFFF"/>
        <w:snapToGrid w:val="0"/>
        <w:spacing w:line="360" w:lineRule="auto"/>
        <w:jc w:val="center"/>
        <w:outlineLvl w:val="1"/>
        <w:rPr>
          <w:rFonts w:hint="eastAsia" w:ascii="宋体" w:hAnsi="宋体" w:cs="宋体"/>
          <w:b/>
          <w:bCs/>
          <w:color w:val="000000"/>
          <w:sz w:val="24"/>
        </w:rPr>
      </w:pPr>
      <w:bookmarkStart w:id="68" w:name="_Toc10416"/>
      <w:bookmarkStart w:id="69" w:name="_Toc18768"/>
      <w:bookmarkStart w:id="70" w:name="_Toc9251"/>
      <w:r>
        <w:rPr>
          <w:rFonts w:hint="eastAsia" w:ascii="宋体" w:hAnsi="宋体" w:cs="宋体"/>
          <w:b/>
          <w:bCs/>
          <w:color w:val="000000"/>
          <w:sz w:val="24"/>
        </w:rPr>
        <w:t>三、</w:t>
      </w:r>
      <w:bookmarkStart w:id="71" w:name="_Hlt75236011"/>
      <w:bookmarkEnd w:id="71"/>
      <w:bookmarkStart w:id="72" w:name="_Toc233618974"/>
      <w:bookmarkStart w:id="73" w:name="_Toc354996698"/>
      <w:bookmarkStart w:id="74" w:name="_Toc91899884"/>
      <w:r>
        <w:rPr>
          <w:rFonts w:hint="eastAsia" w:ascii="宋体" w:hAnsi="宋体" w:cs="宋体"/>
          <w:b/>
          <w:bCs/>
          <w:color w:val="000000"/>
          <w:sz w:val="24"/>
        </w:rPr>
        <w:t>投标文件</w:t>
      </w:r>
      <w:bookmarkEnd w:id="68"/>
      <w:bookmarkEnd w:id="69"/>
      <w:bookmarkEnd w:id="70"/>
      <w:bookmarkEnd w:id="72"/>
      <w:bookmarkEnd w:id="73"/>
      <w:bookmarkEnd w:id="74"/>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（一）投标文件的语言</w:t>
      </w:r>
    </w:p>
    <w:p>
      <w:pPr>
        <w:shd w:val="clear" w:color="auto" w:fill="FFFFFF"/>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pPr>
        <w:pStyle w:val="6"/>
        <w:numPr>
          <w:ilvl w:val="2"/>
          <w:numId w:val="0"/>
        </w:numPr>
        <w:spacing w:before="0" w:after="0"/>
        <w:ind w:left="720" w:hanging="720"/>
        <w:jc w:val="both"/>
        <w:rPr>
          <w:rFonts w:hint="eastAsia" w:ascii="宋体" w:hAnsi="宋体" w:eastAsia="宋体" w:cs="宋体"/>
          <w:sz w:val="24"/>
          <w:szCs w:val="24"/>
        </w:rPr>
      </w:pPr>
      <w:bookmarkStart w:id="75" w:name="_Toc91899887"/>
      <w:r>
        <w:rPr>
          <w:rFonts w:hint="eastAsia" w:ascii="宋体" w:hAnsi="宋体" w:eastAsia="宋体" w:cs="宋体"/>
          <w:sz w:val="24"/>
          <w:szCs w:val="24"/>
        </w:rPr>
        <w:t>（二）投标文件的组成</w:t>
      </w:r>
    </w:p>
    <w:p>
      <w:pPr>
        <w:snapToGrid w:val="0"/>
        <w:spacing w:line="360" w:lineRule="auto"/>
        <w:ind w:firstLine="480" w:firstLineChars="200"/>
        <w:rPr>
          <w:rFonts w:hint="eastAsia" w:ascii="宋体" w:hAnsi="宋体" w:cs="宋体"/>
          <w:b/>
          <w:bCs/>
          <w:color w:val="000000"/>
          <w:kern w:val="0"/>
          <w:sz w:val="24"/>
          <w:lang w:val="zh-CN"/>
        </w:rPr>
      </w:pPr>
      <w:r>
        <w:rPr>
          <w:rFonts w:hint="eastAsia" w:ascii="宋体" w:hAnsi="宋体" w:cs="宋体"/>
          <w:color w:val="000000"/>
          <w:kern w:val="0"/>
          <w:sz w:val="24"/>
        </w:rPr>
        <w:t>投标</w:t>
      </w:r>
      <w:r>
        <w:rPr>
          <w:rFonts w:hint="eastAsia" w:ascii="宋体" w:hAnsi="宋体" w:cs="宋体"/>
          <w:color w:val="000000"/>
          <w:kern w:val="0"/>
          <w:sz w:val="24"/>
          <w:lang w:val="zh-CN"/>
        </w:rPr>
        <w:t>文件应当包括以下主要内容：</w:t>
      </w:r>
      <w:r>
        <w:rPr>
          <w:rFonts w:hint="eastAsia" w:ascii="宋体" w:hAnsi="宋体" w:cs="宋体"/>
          <w:b/>
          <w:bCs/>
          <w:color w:val="000000"/>
          <w:kern w:val="0"/>
          <w:sz w:val="24"/>
          <w:lang w:val="zh-CN"/>
        </w:rPr>
        <w:t>资格文件、报价文件、商务技术文件。</w:t>
      </w:r>
      <w:r>
        <w:rPr>
          <w:rFonts w:hint="eastAsia" w:ascii="宋体" w:hAnsi="宋体" w:cs="宋体"/>
          <w:b/>
          <w:bCs/>
          <w:color w:val="000000"/>
          <w:sz w:val="24"/>
          <w:szCs w:val="21"/>
        </w:rPr>
        <w:t>部分格式详见“第五部分 应提交的有关格式范例”，</w:t>
      </w:r>
      <w:r>
        <w:rPr>
          <w:rFonts w:hint="eastAsia" w:ascii="宋体" w:hAnsi="宋体" w:cs="宋体"/>
          <w:b/>
          <w:sz w:val="24"/>
        </w:rPr>
        <w:t>未提供参考格式的由投标人根据相关要求自行编制。</w:t>
      </w:r>
      <w:r>
        <w:rPr>
          <w:rFonts w:hint="eastAsia" w:ascii="宋体" w:hAnsi="宋体" w:cs="宋体"/>
          <w:b/>
          <w:bCs/>
          <w:color w:val="000000"/>
          <w:sz w:val="24"/>
          <w:szCs w:val="21"/>
        </w:rPr>
        <w:t>）</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lang w:val="zh-CN"/>
        </w:rPr>
        <w:t>1、投标人的</w:t>
      </w:r>
      <w:r>
        <w:rPr>
          <w:rFonts w:hint="eastAsia" w:ascii="宋体" w:hAnsi="宋体" w:cs="宋体"/>
          <w:b/>
          <w:bCs/>
          <w:color w:val="000000"/>
          <w:kern w:val="0"/>
          <w:sz w:val="24"/>
          <w:lang w:val="zh-CN"/>
        </w:rPr>
        <w:t>资格文件</w:t>
      </w:r>
      <w:r>
        <w:rPr>
          <w:rFonts w:hint="eastAsia" w:ascii="宋体" w:hAnsi="宋体" w:cs="宋体"/>
          <w:color w:val="000000"/>
          <w:sz w:val="24"/>
        </w:rPr>
        <w:t xml:space="preserve">至少应包括以下内容：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基本资格条件审查材料：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【即证明其符合《中华人民共和国政府采购法》规定的供应商基本条件的有关资格证明文件。】</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包括：</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b/>
          <w:color w:val="000000"/>
          <w:sz w:val="24"/>
          <w:szCs w:val="21"/>
        </w:rPr>
        <w:t>营业执照</w:t>
      </w:r>
      <w:r>
        <w:rPr>
          <w:rFonts w:hint="eastAsia" w:ascii="宋体" w:hAnsi="宋体" w:cs="宋体"/>
          <w:color w:val="000000"/>
          <w:sz w:val="24"/>
          <w:szCs w:val="21"/>
        </w:rPr>
        <w:t xml:space="preserve">(或事业法人登记证书或其它工商等登记证明材料；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（2）最近一年财务报表(可提供审计报告或资产负责表及利润表，新成立的公司提供情况说明)；</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（3）具有履行合同所必需的设备和专业技术能力的承诺函；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（4）依法缴纳税收和社会保障资金的承诺函；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（5）参加政府采购活动前3年内在经营活动中没有重大违法记录的声明函；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（6）单位负责人为同一人或者存在直接控股、管理关系的不同供应商，不得参加同一合同项下的政府采购活动承诺函；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（7）投标供应商没有失信记录承诺函；</w:t>
      </w:r>
    </w:p>
    <w:p>
      <w:pPr>
        <w:snapToGrid w:val="0"/>
        <w:spacing w:line="360" w:lineRule="auto"/>
        <w:ind w:left="105" w:leftChars="50" w:firstLine="480" w:firstLineChars="200"/>
        <w:rPr>
          <w:rFonts w:hint="eastAsia" w:ascii="宋体" w:hAnsi="宋体" w:cs="宋体"/>
          <w:b/>
          <w:bCs/>
          <w:color w:val="000000"/>
          <w:sz w:val="24"/>
          <w:szCs w:val="21"/>
        </w:rPr>
      </w:pPr>
      <w:r>
        <w:rPr>
          <w:rFonts w:hint="eastAsia" w:ascii="宋体" w:hAnsi="宋体" w:cs="宋体"/>
          <w:color w:val="000000"/>
          <w:sz w:val="24"/>
          <w:szCs w:val="21"/>
        </w:rPr>
        <w:t>（8）投标供应商不属于公益一类事业单位承诺函。</w:t>
      </w:r>
    </w:p>
    <w:p>
      <w:pPr>
        <w:snapToGrid w:val="0"/>
        <w:spacing w:line="360" w:lineRule="auto"/>
        <w:ind w:left="105" w:leftChars="50"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上述资格条件审查材料有一项不提供的，视为资格审查不通过。</w:t>
      </w:r>
    </w:p>
    <w:p>
      <w:pPr>
        <w:snapToGrid w:val="0"/>
        <w:spacing w:line="360" w:lineRule="auto"/>
        <w:ind w:firstLine="480" w:firstLineChars="200"/>
        <w:rPr>
          <w:rFonts w:hint="eastAsia" w:ascii="宋体" w:hAnsi="宋体" w:cs="宋体"/>
          <w:color w:val="000000"/>
          <w:sz w:val="24"/>
          <w:u w:val="single"/>
          <w:lang w:val="zh-CN"/>
        </w:rPr>
      </w:pPr>
      <w:bookmarkStart w:id="76" w:name="_Toc500208478"/>
      <w:r>
        <w:rPr>
          <w:rFonts w:hint="eastAsia" w:ascii="宋体" w:hAnsi="宋体" w:cs="宋体"/>
          <w:color w:val="000000"/>
          <w:kern w:val="0"/>
          <w:sz w:val="24"/>
          <w:lang w:val="zh-CN"/>
        </w:rPr>
        <w:t>2、</w:t>
      </w:r>
      <w:r>
        <w:rPr>
          <w:rFonts w:hint="eastAsia" w:ascii="宋体" w:hAnsi="宋体" w:cs="宋体"/>
          <w:color w:val="000000"/>
          <w:sz w:val="24"/>
        </w:rPr>
        <w:t>投标人的</w:t>
      </w:r>
      <w:r>
        <w:rPr>
          <w:rFonts w:hint="eastAsia" w:ascii="宋体" w:hAnsi="宋体" w:cs="宋体"/>
          <w:b/>
          <w:color w:val="000000"/>
          <w:sz w:val="24"/>
        </w:rPr>
        <w:t>报价文件</w:t>
      </w:r>
      <w:r>
        <w:rPr>
          <w:rFonts w:hint="eastAsia" w:ascii="宋体" w:hAnsi="宋体" w:cs="宋体"/>
          <w:color w:val="000000"/>
          <w:sz w:val="24"/>
        </w:rPr>
        <w:t xml:space="preserve">至少应包括以下内容：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投标响应函</w:t>
      </w:r>
      <w:r>
        <w:rPr>
          <w:rFonts w:hint="eastAsia" w:ascii="宋体" w:hAnsi="宋体" w:cs="宋体"/>
          <w:color w:val="000000"/>
          <w:sz w:val="24"/>
        </w:rPr>
        <w:t>；</w:t>
      </w:r>
    </w:p>
    <w:p>
      <w:pPr>
        <w:pStyle w:val="4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（2）开标一览表；</w:t>
      </w:r>
    </w:p>
    <w:p>
      <w:pPr>
        <w:pStyle w:val="40"/>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（3）报价明细清单；</w:t>
      </w:r>
    </w:p>
    <w:p>
      <w:pPr>
        <w:snapToGrid w:val="0"/>
        <w:spacing w:line="360" w:lineRule="auto"/>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（4）中小企业声明函及相应的http://xwqy.gsxt.gov.cn/小微企业名录网页截图；</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kern w:val="0"/>
          <w:sz w:val="24"/>
        </w:rPr>
        <w:t>（5）监狱企业、残疾人福利性单位及其他相关的充分的证明材料。</w:t>
      </w:r>
      <w:r>
        <w:rPr>
          <w:rFonts w:hint="eastAsia" w:ascii="宋体" w:hAnsi="宋体" w:cs="宋体"/>
          <w:b/>
          <w:bCs/>
          <w:color w:val="000000"/>
          <w:sz w:val="24"/>
        </w:rPr>
        <w:t xml:space="preserve"> </w:t>
      </w:r>
    </w:p>
    <w:p>
      <w:pPr>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3、投标人的</w:t>
      </w:r>
      <w:r>
        <w:rPr>
          <w:rFonts w:hint="eastAsia" w:ascii="宋体" w:hAnsi="宋体" w:cs="宋体"/>
          <w:b/>
          <w:bCs/>
          <w:color w:val="000000"/>
          <w:kern w:val="0"/>
          <w:sz w:val="24"/>
          <w:lang w:val="zh-CN"/>
        </w:rPr>
        <w:t>商务技术文件</w:t>
      </w:r>
      <w:r>
        <w:rPr>
          <w:rFonts w:hint="eastAsia" w:ascii="宋体" w:hAnsi="宋体" w:cs="宋体"/>
          <w:color w:val="000000"/>
          <w:kern w:val="0"/>
          <w:sz w:val="24"/>
          <w:lang w:val="zh-CN"/>
        </w:rPr>
        <w:t xml:space="preserve">至少应包括以下内容： </w:t>
      </w:r>
    </w:p>
    <w:bookmarkEnd w:id="76"/>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（1）法定代表人授权委托书；</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（2）法定代表人及授权委托人的身份证(复印件加盖公章)；</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u w:val="none" w:color="000000"/>
        </w:rPr>
        <w:t>资质文件（如有）；</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（4）公司介绍及同类项目业绩经验案例</w:t>
      </w:r>
      <w:r>
        <w:rPr>
          <w:rFonts w:hint="eastAsia" w:ascii="宋体" w:hAnsi="宋体" w:cs="宋体"/>
          <w:color w:val="000000"/>
          <w:sz w:val="24"/>
          <w:lang w:val="zh-CN"/>
        </w:rPr>
        <w:t>（需提供合同复印件并加盖公章）；</w:t>
      </w:r>
    </w:p>
    <w:p>
      <w:pPr>
        <w:pStyle w:val="40"/>
        <w:snapToGrid w:val="0"/>
        <w:spacing w:line="360" w:lineRule="auto"/>
        <w:ind w:firstLine="480" w:firstLineChars="200"/>
        <w:jc w:val="left"/>
        <w:rPr>
          <w:rFonts w:hint="eastAsia" w:ascii="宋体" w:hAnsi="宋体" w:eastAsia="宋体" w:cs="宋体"/>
          <w:color w:val="000000"/>
          <w:kern w:val="0"/>
          <w:sz w:val="24"/>
          <w:lang w:bidi="ar"/>
        </w:rPr>
      </w:pPr>
      <w:r>
        <w:rPr>
          <w:rFonts w:hint="eastAsia" w:ascii="宋体" w:hAnsi="宋体" w:eastAsia="宋体" w:cs="宋体"/>
          <w:color w:val="000000"/>
          <w:sz w:val="24"/>
        </w:rPr>
        <w:t>（5）</w:t>
      </w:r>
      <w:r>
        <w:rPr>
          <w:rFonts w:hint="eastAsia" w:ascii="宋体" w:hAnsi="宋体" w:eastAsia="宋体" w:cs="宋体"/>
          <w:color w:val="000000"/>
          <w:kern w:val="0"/>
          <w:sz w:val="24"/>
          <w:lang w:bidi="ar"/>
        </w:rPr>
        <w:t>针对本项目详细服务实施计划方案等；</w:t>
      </w:r>
    </w:p>
    <w:p>
      <w:pPr>
        <w:pStyle w:val="4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（6）服务承诺；</w:t>
      </w:r>
    </w:p>
    <w:p>
      <w:pPr>
        <w:pStyle w:val="40"/>
        <w:snapToGrid w:val="0"/>
        <w:spacing w:line="360" w:lineRule="auto"/>
        <w:ind w:firstLine="480" w:firstLineChars="200"/>
        <w:jc w:val="left"/>
        <w:rPr>
          <w:rFonts w:hint="eastAsia" w:ascii="宋体" w:hAnsi="宋体" w:eastAsia="宋体" w:cs="宋体"/>
          <w:color w:val="000000"/>
          <w:kern w:val="0"/>
          <w:sz w:val="24"/>
          <w:lang w:bidi="ar"/>
        </w:rPr>
      </w:pPr>
      <w:r>
        <w:rPr>
          <w:rFonts w:hint="eastAsia" w:ascii="宋体" w:hAnsi="宋体" w:eastAsia="宋体" w:cs="宋体"/>
          <w:color w:val="000000"/>
          <w:sz w:val="24"/>
        </w:rPr>
        <w:t>（7）</w:t>
      </w:r>
      <w:r>
        <w:rPr>
          <w:rFonts w:hint="eastAsia" w:ascii="宋体" w:hAnsi="宋体" w:eastAsia="宋体" w:cs="宋体"/>
          <w:color w:val="000000"/>
          <w:kern w:val="0"/>
          <w:sz w:val="24"/>
          <w:lang w:bidi="ar"/>
        </w:rPr>
        <w:t>商务技术偏离表；</w:t>
      </w:r>
    </w:p>
    <w:p>
      <w:pPr>
        <w:pStyle w:val="4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（8）其他必要提供的资料；</w:t>
      </w:r>
    </w:p>
    <w:p>
      <w:pPr>
        <w:pStyle w:val="4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（9）关于对招标文件中有关条款的拒绝声明（如果有的话）；</w:t>
      </w:r>
    </w:p>
    <w:p>
      <w:pPr>
        <w:pStyle w:val="40"/>
        <w:snapToGrid w:val="0"/>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（10）对应商务技术评分细则提供相关证明资料；</w:t>
      </w:r>
    </w:p>
    <w:p>
      <w:pPr>
        <w:pStyle w:val="4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（11）投标人认为需要提供的与本项目有关的其他文件和说明。</w:t>
      </w:r>
    </w:p>
    <w:p>
      <w:pPr>
        <w:pStyle w:val="40"/>
        <w:snapToGri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投标文件中所需的各种证书、证件、证明资料如是复印件，须在复印件上加盖有效公章。</w:t>
      </w:r>
    </w:p>
    <w:p>
      <w:pPr>
        <w:pStyle w:val="4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lang w:val="zh-CN"/>
        </w:rPr>
        <w:t>投标人的</w:t>
      </w:r>
      <w:r>
        <w:rPr>
          <w:rFonts w:hint="eastAsia" w:ascii="宋体" w:hAnsi="宋体" w:eastAsia="宋体" w:cs="宋体"/>
          <w:b/>
          <w:color w:val="000000"/>
          <w:sz w:val="24"/>
          <w:szCs w:val="24"/>
        </w:rPr>
        <w:t>投标文件必须按照招标文件要求制作并响应投标</w:t>
      </w:r>
      <w:r>
        <w:rPr>
          <w:rFonts w:hint="eastAsia" w:ascii="宋体" w:hAnsi="宋体" w:eastAsia="宋体" w:cs="宋体"/>
          <w:b/>
          <w:bCs/>
          <w:color w:val="000000"/>
          <w:sz w:val="24"/>
          <w:szCs w:val="24"/>
        </w:rPr>
        <w:t>。</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（三）投标有效期</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1、投标文件合格投递后，自投标截止日期起，至前附表所列的日期内有效。</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2、在原定投标有效期之前，如果出现特殊情况，招标代理机构可以以书面形式通知投标人延长投标有效期。</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（四）投标保证金</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无。</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（五）</w:t>
      </w:r>
      <w:bookmarkEnd w:id="75"/>
      <w:bookmarkStart w:id="77" w:name="_Hlt68403820"/>
      <w:bookmarkEnd w:id="77"/>
      <w:bookmarkStart w:id="78" w:name="_Hlt68072998"/>
      <w:bookmarkEnd w:id="78"/>
      <w:bookmarkStart w:id="79" w:name="_Hlt68073093"/>
      <w:bookmarkEnd w:id="79"/>
      <w:bookmarkStart w:id="80" w:name="_Toc233618975"/>
      <w:bookmarkStart w:id="81" w:name="_Toc86216991"/>
      <w:bookmarkStart w:id="82" w:name="_Toc91899892"/>
      <w:r>
        <w:rPr>
          <w:rFonts w:hint="eastAsia" w:ascii="宋体" w:hAnsi="宋体" w:eastAsia="宋体" w:cs="宋体"/>
          <w:sz w:val="24"/>
          <w:szCs w:val="24"/>
        </w:rPr>
        <w:t>投标文件编制</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kern w:val="0"/>
          <w:sz w:val="24"/>
        </w:rPr>
        <w:t>5.1</w:t>
      </w:r>
      <w:r>
        <w:rPr>
          <w:rFonts w:hint="eastAsia" w:ascii="宋体" w:hAnsi="宋体" w:cs="宋体"/>
          <w:b/>
          <w:color w:val="000000"/>
          <w:sz w:val="24"/>
        </w:rPr>
        <w:t>本项目通过“政府采购云平台（www.zcygov.cn）”实行在线投标响应（电子投标）。供应商应通过“政采云电子交易客户端”，并按照本招标文件和“政府采购云平台”的要求编制并加密投标文件。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cs="宋体"/>
          <w:b/>
          <w:color w:val="000000"/>
          <w:kern w:val="0"/>
          <w:sz w:val="24"/>
        </w:rPr>
      </w:pPr>
      <w:r>
        <w:rPr>
          <w:rFonts w:hint="eastAsia" w:ascii="宋体" w:hAnsi="宋体" w:cs="宋体"/>
          <w:b/>
          <w:color w:val="000000"/>
          <w:kern w:val="0"/>
          <w:sz w:val="24"/>
        </w:rPr>
        <w:t>5.2投标供应商应当按照本章节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2" w:firstLineChars="175"/>
        <w:rPr>
          <w:rFonts w:hint="eastAsia" w:ascii="宋体" w:hAnsi="宋体" w:cs="宋体"/>
          <w:b/>
          <w:color w:val="000000"/>
          <w:sz w:val="24"/>
        </w:rPr>
      </w:pPr>
      <w:r>
        <w:rPr>
          <w:rFonts w:hint="eastAsia" w:ascii="宋体" w:hAnsi="宋体" w:cs="宋体"/>
          <w:b/>
          <w:color w:val="000000"/>
          <w:sz w:val="24"/>
        </w:rPr>
        <w:t>5.3本文件《第五部分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应提交的有关格式范例》未提供格式的，请各投标单位自行拟定格式，并加盖单位公章并由法定代表人或其授权代表签署（签字或盖章），否则视为未提供。</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5.4《投标文件》内容不完整、编排混乱导致《投标文件》被误读、漏读或者查找不到相关内容的，是投标供应商的责任。</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5.5《投标文件》因字迹潦草或表达不清所引起的后果由投标供应商负责。</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5.6投标供应商没有按照本章节“投标文件组成”要求提供全部资料，或者没有仔细阅读招标文件，或者没有对招标文件在各方面的要求作出实质性响应是投标供应商的风险，由此造成的一切后果由投标供应商自行承担。</w:t>
      </w:r>
    </w:p>
    <w:p>
      <w:pPr>
        <w:pStyle w:val="426"/>
        <w:spacing w:line="360" w:lineRule="auto"/>
        <w:ind w:firstLine="482" w:firstLineChars="200"/>
        <w:rPr>
          <w:rFonts w:hint="eastAsia" w:ascii="宋体" w:hAnsi="宋体" w:cs="宋体"/>
          <w:b/>
          <w:bCs/>
        </w:rPr>
      </w:pPr>
      <w:r>
        <w:rPr>
          <w:rFonts w:hint="eastAsia" w:ascii="宋体" w:hAnsi="宋体" w:cs="宋体"/>
          <w:b/>
          <w:bCs/>
          <w:color w:val="000000"/>
          <w:kern w:val="0"/>
          <w:sz w:val="24"/>
        </w:rPr>
        <w:t>5.7</w:t>
      </w:r>
      <w:r>
        <w:rPr>
          <w:rFonts w:hint="eastAsia" w:ascii="宋体" w:hAnsi="宋体" w:cs="宋体"/>
          <w:b/>
          <w:bCs/>
          <w:sz w:val="24"/>
          <w:szCs w:val="24"/>
        </w:rPr>
        <w:t>如采用联合体投标的，须提供联合体协议。联合体各方应当签订共同投标协议，明确约定各方拟承但的工作和责任，同时协议内须明确牵头单位，并将共同投标协议联同投标文件一并提交给招标人，联合体中标的，联合体各方应当共同与招标人签订合同，就中标项目向招标人承担连带责任。</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（六）投标文件的签章</w:t>
      </w:r>
    </w:p>
    <w:p>
      <w:pPr>
        <w:spacing w:line="360" w:lineRule="auto"/>
        <w:ind w:firstLine="463" w:firstLineChars="192"/>
        <w:rPr>
          <w:rFonts w:hint="eastAsia" w:ascii="宋体" w:hAnsi="宋体" w:cs="宋体"/>
          <w:b/>
          <w:color w:val="000000"/>
          <w:kern w:val="0"/>
          <w:sz w:val="24"/>
        </w:rPr>
      </w:pPr>
      <w:r>
        <w:rPr>
          <w:rFonts w:hint="eastAsia" w:ascii="宋体" w:hAnsi="宋体" w:cs="宋体"/>
          <w:b/>
          <w:color w:val="000000"/>
          <w:kern w:val="0"/>
          <w:sz w:val="24"/>
        </w:rPr>
        <w:t>6.1《投标文件》的签章：</w:t>
      </w:r>
      <w:r>
        <w:rPr>
          <w:rFonts w:hint="eastAsia" w:ascii="宋体" w:hAnsi="宋体" w:cs="宋体"/>
          <w:b/>
          <w:color w:val="000000"/>
          <w:sz w:val="24"/>
        </w:rPr>
        <w:t>见《前附表》；</w:t>
      </w:r>
    </w:p>
    <w:p>
      <w:pPr>
        <w:spacing w:line="360" w:lineRule="auto"/>
        <w:ind w:firstLine="463" w:firstLineChars="192"/>
        <w:rPr>
          <w:rFonts w:hint="eastAsia" w:ascii="宋体" w:hAnsi="宋体" w:cs="宋体"/>
          <w:b/>
          <w:color w:val="000000"/>
          <w:kern w:val="0"/>
          <w:sz w:val="24"/>
        </w:rPr>
      </w:pPr>
      <w:r>
        <w:rPr>
          <w:rFonts w:hint="eastAsia" w:ascii="宋体" w:hAnsi="宋体" w:cs="宋体"/>
          <w:b/>
          <w:color w:val="000000"/>
          <w:kern w:val="0"/>
          <w:sz w:val="24"/>
        </w:rPr>
        <w:t>6.2《投标文件》应由投标供应商法定代表人或其授权代表签字（或盖章），并加盖投标供应商公章。</w:t>
      </w:r>
    </w:p>
    <w:p>
      <w:pPr>
        <w:spacing w:line="360" w:lineRule="auto"/>
        <w:ind w:firstLine="424" w:firstLineChars="176"/>
        <w:rPr>
          <w:rFonts w:hint="eastAsia" w:ascii="宋体" w:hAnsi="宋体" w:cs="宋体"/>
          <w:color w:val="000000"/>
          <w:sz w:val="24"/>
        </w:rPr>
      </w:pPr>
      <w:r>
        <w:rPr>
          <w:rFonts w:hint="eastAsia" w:ascii="宋体" w:hAnsi="宋体" w:cs="宋体"/>
          <w:b/>
          <w:color w:val="000000"/>
          <w:kern w:val="0"/>
          <w:sz w:val="24"/>
        </w:rPr>
        <w:t>6.3电子签章操作指南详见政采云平台</w:t>
      </w:r>
      <w:r>
        <w:rPr>
          <w:rFonts w:hint="eastAsia" w:ascii="宋体" w:hAnsi="宋体" w:cs="宋体"/>
          <w:b/>
          <w:color w:val="000000"/>
          <w:sz w:val="24"/>
        </w:rPr>
        <w:t>《供应商项目采购-电子招投标操作指南》</w:t>
      </w:r>
      <w:r>
        <w:rPr>
          <w:rFonts w:hint="eastAsia" w:ascii="宋体" w:hAnsi="宋体" w:cs="宋体"/>
          <w:color w:val="000000"/>
          <w:sz w:val="24"/>
        </w:rPr>
        <w:t>。</w:t>
      </w:r>
    </w:p>
    <w:p>
      <w:pPr>
        <w:spacing w:line="360" w:lineRule="auto"/>
        <w:ind w:firstLine="424" w:firstLineChars="176"/>
        <w:rPr>
          <w:rFonts w:hint="eastAsia" w:ascii="宋体" w:hAnsi="宋体" w:cs="宋体"/>
          <w:color w:val="000000"/>
          <w:sz w:val="24"/>
        </w:rPr>
      </w:pPr>
      <w:r>
        <w:rPr>
          <w:rFonts w:hint="eastAsia" w:ascii="宋体" w:hAnsi="宋体" w:cs="宋体"/>
          <w:b/>
          <w:color w:val="000000"/>
          <w:kern w:val="0"/>
          <w:sz w:val="24"/>
        </w:rPr>
        <w:t>6.4</w:t>
      </w:r>
      <w:r>
        <w:rPr>
          <w:rFonts w:hint="eastAsia" w:ascii="宋体" w:hAnsi="宋体" w:cs="宋体"/>
          <w:sz w:val="24"/>
        </w:rPr>
        <w:t>如采用联合体投标的，除投标文件中联合体各方的资格、资信、业绩等文件（如营业执照、荣誉证书、资质证书、人员证书、业绩等）由相应联合体成员加盖各自公章外，其余均由联合体牵头人及其法定代表人（或法定代表人的授权委托人）代表联合体各方签署投标文件。</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（七）投标文件的形式</w:t>
      </w:r>
    </w:p>
    <w:p>
      <w:pPr>
        <w:spacing w:line="360" w:lineRule="auto"/>
        <w:ind w:firstLine="424" w:firstLineChars="176"/>
        <w:rPr>
          <w:rFonts w:hint="eastAsia" w:ascii="宋体" w:hAnsi="宋体" w:cs="宋体"/>
          <w:color w:val="000000"/>
          <w:sz w:val="24"/>
        </w:rPr>
      </w:pPr>
      <w:r>
        <w:rPr>
          <w:rFonts w:hint="eastAsia" w:ascii="宋体" w:hAnsi="宋体" w:cs="宋体"/>
          <w:b/>
          <w:color w:val="000000"/>
          <w:sz w:val="24"/>
        </w:rPr>
        <w:t>7.1投标文件的形式：见《前附表》；</w:t>
      </w:r>
    </w:p>
    <w:p>
      <w:pPr>
        <w:spacing w:line="360" w:lineRule="auto"/>
        <w:ind w:firstLine="424" w:firstLineChars="176"/>
        <w:rPr>
          <w:rFonts w:hint="eastAsia" w:ascii="宋体" w:hAnsi="宋体" w:cs="宋体"/>
          <w:b/>
          <w:color w:val="000000"/>
          <w:sz w:val="24"/>
        </w:rPr>
      </w:pPr>
      <w:r>
        <w:rPr>
          <w:rFonts w:hint="eastAsia" w:ascii="宋体" w:hAnsi="宋体" w:cs="宋体"/>
          <w:b/>
          <w:color w:val="000000"/>
          <w:sz w:val="24"/>
        </w:rPr>
        <w:t>7.2“电子加密投标文件”：“电子加密投标文件”是指通过“政采云电子交易客户端”完成投标文件编制后生成并加密的数据电文形式的投标文件。</w:t>
      </w:r>
    </w:p>
    <w:p>
      <w:pPr>
        <w:spacing w:line="360" w:lineRule="auto"/>
        <w:ind w:firstLine="424" w:firstLineChars="176"/>
        <w:rPr>
          <w:rFonts w:hint="eastAsia" w:ascii="宋体" w:hAnsi="宋体" w:cs="宋体"/>
          <w:b/>
          <w:color w:val="000000"/>
          <w:sz w:val="24"/>
        </w:rPr>
      </w:pPr>
      <w:r>
        <w:rPr>
          <w:rFonts w:hint="eastAsia" w:ascii="宋体" w:hAnsi="宋体" w:cs="宋体"/>
          <w:b/>
          <w:color w:val="000000"/>
          <w:sz w:val="24"/>
        </w:rPr>
        <w:t>7.3“备份投标文件”：“备份投标文件”是指与“电子加密投标文件”同时生成的数据电文形式的电子文件（备份标书），其他方式编制的“备份投标文件”视为无效的“备份投标文件”。</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（八）投标文件的份数</w:t>
      </w:r>
    </w:p>
    <w:p>
      <w:pPr>
        <w:spacing w:line="360" w:lineRule="auto"/>
        <w:ind w:firstLine="424" w:firstLineChars="176"/>
        <w:rPr>
          <w:rFonts w:hint="eastAsia" w:ascii="宋体" w:hAnsi="宋体" w:cs="宋体"/>
          <w:b/>
          <w:color w:val="000000"/>
          <w:kern w:val="0"/>
          <w:sz w:val="24"/>
        </w:rPr>
      </w:pPr>
      <w:r>
        <w:rPr>
          <w:rFonts w:hint="eastAsia" w:ascii="宋体" w:hAnsi="宋体" w:cs="宋体"/>
          <w:b/>
          <w:color w:val="000000"/>
          <w:sz w:val="24"/>
        </w:rPr>
        <w:t>8.1投标文件的份数：见《前附表》。</w:t>
      </w:r>
    </w:p>
    <w:p>
      <w:pPr>
        <w:snapToGrid w:val="0"/>
        <w:spacing w:line="360" w:lineRule="auto"/>
        <w:jc w:val="center"/>
        <w:outlineLvl w:val="1"/>
        <w:rPr>
          <w:rFonts w:hint="eastAsia" w:ascii="宋体" w:hAnsi="宋体" w:cs="宋体"/>
          <w:b/>
          <w:color w:val="000000"/>
          <w:sz w:val="24"/>
        </w:rPr>
      </w:pPr>
      <w:bookmarkStart w:id="83" w:name="_Toc4652"/>
      <w:bookmarkStart w:id="84" w:name="_Toc5407"/>
      <w:bookmarkStart w:id="85" w:name="_Toc412730341"/>
      <w:bookmarkStart w:id="86" w:name="_Toc462229099"/>
      <w:bookmarkStart w:id="87" w:name="_Toc12606"/>
      <w:bookmarkStart w:id="88" w:name="_Toc354996699"/>
      <w:r>
        <w:rPr>
          <w:rFonts w:hint="eastAsia" w:ascii="宋体" w:hAnsi="宋体" w:cs="宋体"/>
          <w:b/>
          <w:color w:val="000000"/>
          <w:sz w:val="24"/>
        </w:rPr>
        <w:t>四、投标</w:t>
      </w:r>
      <w:bookmarkEnd w:id="83"/>
      <w:bookmarkEnd w:id="84"/>
      <w:bookmarkEnd w:id="85"/>
      <w:bookmarkEnd w:id="86"/>
      <w:bookmarkEnd w:id="87"/>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（一）投标文件的上传和递交</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kern w:val="0"/>
          <w:sz w:val="24"/>
        </w:rPr>
        <w:t>1.1“投标文件”的上传、递交：</w:t>
      </w:r>
      <w:r>
        <w:rPr>
          <w:rFonts w:hint="eastAsia" w:ascii="宋体" w:hAnsi="宋体" w:cs="宋体"/>
          <w:b/>
          <w:color w:val="000000"/>
          <w:sz w:val="24"/>
        </w:rPr>
        <w:t>见《前附表》。</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（二）“电子加密投标文件”解密和异常情况处理</w:t>
      </w:r>
    </w:p>
    <w:p>
      <w:pPr>
        <w:spacing w:line="360" w:lineRule="auto"/>
        <w:ind w:firstLine="426" w:firstLineChars="177"/>
        <w:rPr>
          <w:rFonts w:hint="eastAsia" w:ascii="宋体" w:hAnsi="宋体" w:cs="宋体"/>
          <w:color w:val="000000"/>
          <w:sz w:val="24"/>
        </w:rPr>
      </w:pPr>
      <w:r>
        <w:rPr>
          <w:rFonts w:hint="eastAsia" w:ascii="宋体" w:hAnsi="宋体" w:cs="宋体"/>
          <w:b/>
          <w:color w:val="000000"/>
          <w:kern w:val="0"/>
          <w:sz w:val="24"/>
        </w:rPr>
        <w:t>2.1“电子加密投标文件”解密：</w:t>
      </w:r>
      <w:r>
        <w:rPr>
          <w:rFonts w:hint="eastAsia" w:ascii="宋体" w:hAnsi="宋体" w:cs="宋体"/>
          <w:b/>
          <w:color w:val="000000"/>
          <w:sz w:val="24"/>
        </w:rPr>
        <w:t>见《前附表》。</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（三）投标文件的补充、修改或撤回</w:t>
      </w:r>
    </w:p>
    <w:p>
      <w:pPr>
        <w:spacing w:line="360" w:lineRule="auto"/>
        <w:ind w:firstLine="426" w:firstLineChars="177"/>
        <w:rPr>
          <w:rFonts w:hint="eastAsia" w:ascii="宋体" w:hAnsi="宋体" w:cs="宋体"/>
          <w:color w:val="000000"/>
          <w:kern w:val="0"/>
          <w:sz w:val="24"/>
        </w:rPr>
      </w:pPr>
      <w:r>
        <w:rPr>
          <w:rFonts w:hint="eastAsia" w:ascii="宋体" w:hAnsi="宋体" w:cs="宋体"/>
          <w:b/>
          <w:color w:val="000000"/>
          <w:kern w:val="0"/>
          <w:sz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hint="eastAsia" w:ascii="宋体" w:hAnsi="宋体" w:cs="宋体"/>
          <w:b/>
          <w:color w:val="000000"/>
          <w:kern w:val="0"/>
          <w:sz w:val="24"/>
        </w:rPr>
      </w:pPr>
      <w:r>
        <w:rPr>
          <w:rFonts w:hint="eastAsia" w:ascii="宋体" w:hAnsi="宋体" w:cs="宋体"/>
          <w:b/>
          <w:color w:val="000000"/>
          <w:kern w:val="0"/>
          <w:sz w:val="24"/>
        </w:rPr>
        <w:t>3.2投标截止时间后，投标供应商不得撤回、修改《投标文件》。</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（四）投标文件的备选方案</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sz w:val="24"/>
        </w:rPr>
        <w:t>4.1投标供应商不得递交任何的</w:t>
      </w:r>
      <w:r>
        <w:rPr>
          <w:rFonts w:hint="eastAsia" w:ascii="宋体" w:hAnsi="宋体" w:cs="宋体"/>
          <w:b/>
          <w:color w:val="000000"/>
          <w:kern w:val="0"/>
          <w:sz w:val="24"/>
        </w:rPr>
        <w:t>投标备选（替代）方案</w:t>
      </w:r>
      <w:r>
        <w:rPr>
          <w:rFonts w:hint="eastAsia" w:ascii="宋体" w:hAnsi="宋体" w:cs="宋体"/>
          <w:b/>
          <w:color w:val="000000"/>
          <w:sz w:val="24"/>
        </w:rPr>
        <w:t>，否则其投标文件将作无效标处理。与“电子加密投标文件”同时生成的“备份投标文件”不是投标备选（替代）方案。</w:t>
      </w:r>
    </w:p>
    <w:p>
      <w:pPr>
        <w:snapToGrid w:val="0"/>
        <w:spacing w:line="360" w:lineRule="auto"/>
        <w:jc w:val="center"/>
        <w:outlineLvl w:val="1"/>
        <w:rPr>
          <w:rFonts w:hint="eastAsia" w:ascii="宋体" w:hAnsi="宋体" w:cs="宋体"/>
          <w:b/>
          <w:color w:val="000000"/>
          <w:sz w:val="24"/>
        </w:rPr>
      </w:pPr>
      <w:bookmarkStart w:id="89" w:name="_Toc19031"/>
      <w:bookmarkStart w:id="90" w:name="_Toc6672"/>
      <w:bookmarkStart w:id="91" w:name="_Toc462229100"/>
      <w:bookmarkStart w:id="92" w:name="_Toc449"/>
      <w:r>
        <w:rPr>
          <w:rFonts w:hint="eastAsia" w:ascii="宋体" w:hAnsi="宋体" w:cs="宋体"/>
          <w:b/>
          <w:color w:val="000000"/>
          <w:sz w:val="24"/>
        </w:rPr>
        <w:t>五、开 标</w:t>
      </w:r>
      <w:bookmarkEnd w:id="89"/>
      <w:bookmarkEnd w:id="90"/>
      <w:bookmarkEnd w:id="91"/>
      <w:bookmarkEnd w:id="92"/>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（一）开标形式</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sz w:val="24"/>
        </w:rPr>
        <w:t>1.1 采购组织机构将按照招标文件规定的时间通过“政府采购云平台”组织开标、开启投标文件，所有供应商均应当准时在线参加。</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（二） 开标准备</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2.1开标的准备工作由采购组织机构负责落实；</w:t>
      </w:r>
    </w:p>
    <w:p>
      <w:pPr>
        <w:spacing w:line="360" w:lineRule="auto"/>
        <w:ind w:firstLine="422" w:firstLineChars="176"/>
        <w:rPr>
          <w:rFonts w:hint="eastAsia" w:ascii="宋体" w:hAnsi="宋体" w:cs="宋体"/>
          <w:b/>
          <w:color w:val="000000"/>
          <w:kern w:val="0"/>
          <w:sz w:val="24"/>
        </w:rPr>
      </w:pPr>
      <w:r>
        <w:rPr>
          <w:rFonts w:hint="eastAsia" w:ascii="宋体" w:hAnsi="宋体" w:cs="宋体"/>
          <w:color w:val="000000"/>
          <w:kern w:val="0"/>
          <w:sz w:val="24"/>
        </w:rPr>
        <w:t>2.2</w:t>
      </w:r>
      <w:r>
        <w:rPr>
          <w:rFonts w:hint="eastAsia" w:ascii="宋体" w:hAnsi="宋体" w:cs="宋体"/>
          <w:b/>
          <w:color w:val="000000"/>
          <w:sz w:val="24"/>
        </w:rPr>
        <w:t>采购组织机构将按照招标文件规定的时间通过“政府采购云平台”组织开标、开启投标文件，所有供应商均应当准时在线参加。</w:t>
      </w:r>
      <w:r>
        <w:rPr>
          <w:rFonts w:hint="eastAsia" w:ascii="宋体" w:hAnsi="宋体" w:cs="宋体"/>
          <w:b/>
          <w:color w:val="000000"/>
          <w:kern w:val="0"/>
          <w:sz w:val="24"/>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pacing w:line="360" w:lineRule="auto"/>
        <w:ind w:firstLine="422" w:firstLineChars="176"/>
        <w:rPr>
          <w:rFonts w:hint="eastAsia" w:ascii="宋体" w:hAnsi="宋体" w:cs="宋体"/>
          <w:b/>
          <w:bCs/>
          <w:color w:val="000000"/>
          <w:kern w:val="0"/>
          <w:sz w:val="24"/>
        </w:rPr>
      </w:pPr>
      <w:r>
        <w:rPr>
          <w:rFonts w:hint="eastAsia" w:ascii="宋体" w:hAnsi="宋体" w:cs="宋体"/>
          <w:color w:val="000000"/>
          <w:kern w:val="0"/>
          <w:sz w:val="24"/>
        </w:rPr>
        <w:t>2.3</w:t>
      </w:r>
      <w:r>
        <w:rPr>
          <w:rFonts w:hint="eastAsia" w:ascii="宋体" w:hAnsi="宋体" w:cs="宋体"/>
          <w:b/>
          <w:bCs/>
          <w:color w:val="000000"/>
          <w:kern w:val="0"/>
          <w:sz w:val="24"/>
        </w:rPr>
        <w:t>开标期间，投标人等交易主体应使用数字证书(CA)在各自的电脑终端上登录不见面开标大厅，并进行相关操作。各电脑终端上的所有操作均被视为各交易主体的行为，并各自承担相应的法律责任。</w:t>
      </w:r>
    </w:p>
    <w:p>
      <w:pPr>
        <w:pStyle w:val="77"/>
        <w:spacing w:line="360" w:lineRule="auto"/>
        <w:ind w:left="0" w:leftChars="0" w:firstLine="480"/>
        <w:rPr>
          <w:rFonts w:hint="eastAsia" w:ascii="宋体" w:hAnsi="宋体" w:cs="宋体"/>
        </w:rPr>
      </w:pPr>
      <w:r>
        <w:rPr>
          <w:rFonts w:hint="eastAsia" w:ascii="宋体" w:hAnsi="宋体" w:cs="宋体"/>
          <w:color w:val="000000"/>
          <w:kern w:val="0"/>
          <w:sz w:val="24"/>
        </w:rPr>
        <w:t>2.4</w:t>
      </w:r>
      <w:r>
        <w:rPr>
          <w:rFonts w:hint="eastAsia" w:ascii="宋体" w:hAnsi="宋体" w:cs="宋体"/>
          <w:b/>
          <w:bCs/>
          <w:color w:val="000000"/>
          <w:kern w:val="0"/>
          <w:sz w:val="24"/>
        </w:rPr>
        <w:t>投标人应在投标截止时间之前使用数字证书(CA)自行登录不见面开标大厅，在线等待开标，并在开标期间保持通讯畅通。</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（三）开标流程（两阶段）</w:t>
      </w:r>
    </w:p>
    <w:bookmarkEnd w:id="80"/>
    <w:bookmarkEnd w:id="81"/>
    <w:bookmarkEnd w:id="82"/>
    <w:bookmarkEnd w:id="88"/>
    <w:p>
      <w:pPr>
        <w:spacing w:line="360" w:lineRule="auto"/>
        <w:ind w:firstLine="426" w:firstLineChars="177"/>
        <w:jc w:val="left"/>
        <w:rPr>
          <w:rFonts w:hint="eastAsia" w:ascii="宋体" w:hAnsi="宋体" w:cs="宋体"/>
          <w:b/>
          <w:bCs/>
          <w:color w:val="000000"/>
          <w:kern w:val="0"/>
          <w:sz w:val="24"/>
        </w:rPr>
      </w:pPr>
      <w:bookmarkStart w:id="93" w:name="_Toc462229101"/>
      <w:bookmarkStart w:id="94" w:name="_Toc412730343"/>
      <w:bookmarkStart w:id="95" w:name="_Toc233618978"/>
      <w:bookmarkStart w:id="96" w:name="_Toc354996702"/>
      <w:bookmarkStart w:id="97" w:name="_Toc86216994"/>
      <w:r>
        <w:rPr>
          <w:rFonts w:hint="eastAsia" w:ascii="宋体" w:hAnsi="宋体" w:cs="宋体"/>
          <w:b/>
          <w:bCs/>
          <w:color w:val="000000"/>
          <w:kern w:val="0"/>
          <w:sz w:val="24"/>
        </w:rPr>
        <w:t>3.1开标第一阶段</w:t>
      </w:r>
    </w:p>
    <w:p>
      <w:pPr>
        <w:spacing w:line="360" w:lineRule="auto"/>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1）由招标代理机构登陆“政府采购云平台”在线向各投标供应商发出电子加密投标文件【开始解密】通知，由投标人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（2）投标文件解密结束，</w:t>
      </w:r>
      <w:r>
        <w:rPr>
          <w:rFonts w:hint="eastAsia" w:ascii="宋体" w:hAnsi="宋体" w:cs="宋体"/>
          <w:b/>
          <w:bCs/>
          <w:color w:val="000000"/>
          <w:kern w:val="0"/>
          <w:sz w:val="24"/>
        </w:rPr>
        <w:t>通过邮件形式</w:t>
      </w:r>
      <w:r>
        <w:rPr>
          <w:rFonts w:hint="eastAsia" w:ascii="宋体" w:hAnsi="宋体" w:cs="宋体"/>
          <w:color w:val="000000"/>
          <w:kern w:val="0"/>
          <w:sz w:val="24"/>
        </w:rPr>
        <w:t>发送各投标人组织签署《政府采购活动现场确认声明书》；</w:t>
      </w:r>
    </w:p>
    <w:p>
      <w:pPr>
        <w:spacing w:line="360" w:lineRule="auto"/>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（3）开启投标文件，进入资格审查；</w:t>
      </w:r>
    </w:p>
    <w:p>
      <w:pPr>
        <w:spacing w:line="360" w:lineRule="auto"/>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（4）开启资格审查通过的投标供应商的商务技术文件进入符合性审查、商务技术评审；</w:t>
      </w:r>
    </w:p>
    <w:p>
      <w:pPr>
        <w:spacing w:line="360" w:lineRule="auto"/>
        <w:ind w:firstLine="424" w:firstLineChars="177"/>
        <w:jc w:val="left"/>
        <w:rPr>
          <w:rFonts w:hint="eastAsia" w:ascii="宋体" w:hAnsi="宋体" w:cs="宋体"/>
          <w:color w:val="000000"/>
          <w:kern w:val="0"/>
          <w:sz w:val="24"/>
        </w:rPr>
      </w:pPr>
      <w:r>
        <w:rPr>
          <w:rFonts w:hint="eastAsia" w:ascii="宋体" w:hAnsi="宋体" w:cs="宋体"/>
          <w:color w:val="000000"/>
          <w:kern w:val="0"/>
          <w:sz w:val="24"/>
        </w:rPr>
        <w:t>（5）第一阶段开标结束。</w:t>
      </w:r>
    </w:p>
    <w:p>
      <w:pPr>
        <w:spacing w:line="360" w:lineRule="auto"/>
        <w:ind w:firstLine="426" w:firstLineChars="177"/>
        <w:jc w:val="left"/>
        <w:rPr>
          <w:rFonts w:hint="eastAsia" w:ascii="宋体" w:hAnsi="宋体" w:cs="宋体"/>
          <w:b/>
          <w:bCs/>
          <w:color w:val="000000"/>
          <w:kern w:val="0"/>
          <w:sz w:val="24"/>
        </w:rPr>
      </w:pPr>
      <w:r>
        <w:rPr>
          <w:rFonts w:hint="eastAsia" w:ascii="宋体" w:hAnsi="宋体" w:cs="宋体"/>
          <w:b/>
          <w:bCs/>
          <w:color w:val="000000"/>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ind w:firstLine="426" w:firstLineChars="177"/>
        <w:jc w:val="left"/>
        <w:rPr>
          <w:rFonts w:hint="eastAsia" w:ascii="宋体" w:hAnsi="宋体" w:cs="宋体"/>
          <w:b/>
          <w:bCs/>
          <w:color w:val="000000"/>
          <w:kern w:val="0"/>
          <w:sz w:val="24"/>
        </w:rPr>
      </w:pPr>
      <w:r>
        <w:rPr>
          <w:rFonts w:hint="eastAsia" w:ascii="宋体" w:hAnsi="宋体" w:cs="宋体"/>
          <w:b/>
          <w:bCs/>
          <w:color w:val="000000"/>
          <w:kern w:val="0"/>
          <w:sz w:val="24"/>
        </w:rPr>
        <w:t>3.2开标大会第二阶段</w:t>
      </w:r>
    </w:p>
    <w:p>
      <w:pPr>
        <w:spacing w:line="360" w:lineRule="auto"/>
        <w:ind w:firstLine="424" w:firstLineChars="177"/>
        <w:jc w:val="left"/>
        <w:rPr>
          <w:rFonts w:hint="eastAsia" w:ascii="宋体" w:hAnsi="宋体" w:cs="宋体"/>
          <w:kern w:val="0"/>
          <w:sz w:val="24"/>
        </w:rPr>
      </w:pPr>
      <w:r>
        <w:rPr>
          <w:rFonts w:hint="eastAsia" w:ascii="宋体" w:hAnsi="宋体" w:cs="宋体"/>
          <w:kern w:val="0"/>
          <w:sz w:val="24"/>
        </w:rPr>
        <w:t>（1）符合性审查、商务技术评审结束后，举行开标大会第二阶段会议。首先通过发送邮件形式公布符合性审查、商务技术评审无效供应商名称及理由（如有）；并在线</w:t>
      </w:r>
      <w:r>
        <w:rPr>
          <w:rFonts w:hint="eastAsia" w:ascii="宋体" w:hAnsi="宋体" w:cs="宋体"/>
          <w:b/>
          <w:bCs/>
          <w:kern w:val="0"/>
          <w:sz w:val="24"/>
        </w:rPr>
        <w:t>公布经商务技术评审后有效投标供应商的名单，同时通过</w:t>
      </w:r>
      <w:r>
        <w:rPr>
          <w:rFonts w:hint="eastAsia" w:ascii="宋体" w:hAnsi="宋体" w:cs="宋体"/>
          <w:b/>
          <w:bCs/>
          <w:color w:val="000000"/>
          <w:kern w:val="0"/>
          <w:sz w:val="24"/>
        </w:rPr>
        <w:t>“政府采购云平台”</w:t>
      </w:r>
      <w:r>
        <w:rPr>
          <w:rFonts w:hint="eastAsia" w:ascii="宋体" w:hAnsi="宋体" w:cs="宋体"/>
          <w:b/>
          <w:bCs/>
          <w:kern w:val="0"/>
          <w:sz w:val="24"/>
        </w:rPr>
        <w:t>在线公布其商务技术部分得分情况。</w:t>
      </w:r>
    </w:p>
    <w:p>
      <w:pPr>
        <w:spacing w:line="360" w:lineRule="auto"/>
        <w:ind w:firstLine="424" w:firstLineChars="177"/>
        <w:jc w:val="left"/>
        <w:rPr>
          <w:rFonts w:hint="eastAsia" w:ascii="宋体" w:hAnsi="宋体" w:cs="宋体"/>
          <w:kern w:val="0"/>
          <w:sz w:val="24"/>
        </w:rPr>
      </w:pPr>
      <w:r>
        <w:rPr>
          <w:rFonts w:hint="eastAsia" w:ascii="宋体" w:hAnsi="宋体" w:cs="宋体"/>
          <w:kern w:val="0"/>
          <w:sz w:val="24"/>
        </w:rPr>
        <w:t>（2）开启符合性审查、商务技术评审有效投标供应商的《报价文件》，</w:t>
      </w:r>
      <w:r>
        <w:rPr>
          <w:rFonts w:hint="eastAsia" w:ascii="宋体" w:hAnsi="宋体" w:cs="宋体"/>
          <w:color w:val="000000"/>
          <w:kern w:val="0"/>
          <w:sz w:val="24"/>
        </w:rPr>
        <w:t>由招标代理机构登陆“政府采购云平台”在线</w:t>
      </w:r>
      <w:r>
        <w:rPr>
          <w:rFonts w:hint="eastAsia" w:ascii="宋体" w:hAnsi="宋体" w:cs="宋体"/>
          <w:kern w:val="0"/>
          <w:sz w:val="24"/>
        </w:rPr>
        <w:t>公布开标一览表有关内容，同时制作开标记录表，发送各投标人在线开启签字确认（不予确认的应说明理由，否则视为无异议）。同时，由评标委员会对报价的合理性、准确性等进行审查核实。</w:t>
      </w:r>
    </w:p>
    <w:p>
      <w:pPr>
        <w:spacing w:line="360" w:lineRule="auto"/>
        <w:ind w:firstLine="424" w:firstLineChars="177"/>
        <w:jc w:val="left"/>
        <w:rPr>
          <w:rFonts w:hint="eastAsia" w:ascii="宋体" w:hAnsi="宋体" w:cs="宋体"/>
          <w:kern w:val="0"/>
          <w:sz w:val="24"/>
        </w:rPr>
      </w:pPr>
      <w:r>
        <w:rPr>
          <w:rFonts w:hint="eastAsia" w:ascii="宋体" w:hAnsi="宋体" w:cs="宋体"/>
          <w:kern w:val="0"/>
          <w:sz w:val="24"/>
        </w:rPr>
        <w:t>（3）评审结束后，</w:t>
      </w:r>
      <w:r>
        <w:rPr>
          <w:rFonts w:hint="eastAsia" w:ascii="宋体" w:hAnsi="宋体" w:cs="宋体"/>
          <w:b/>
          <w:bCs/>
          <w:kern w:val="0"/>
          <w:sz w:val="24"/>
        </w:rPr>
        <w:t>通过</w:t>
      </w:r>
      <w:r>
        <w:rPr>
          <w:rFonts w:hint="eastAsia" w:ascii="宋体" w:hAnsi="宋体" w:cs="宋体"/>
          <w:color w:val="000000"/>
          <w:kern w:val="0"/>
          <w:sz w:val="24"/>
        </w:rPr>
        <w:t>“政府采购云平台”</w:t>
      </w:r>
      <w:r>
        <w:rPr>
          <w:rFonts w:hint="eastAsia" w:ascii="宋体" w:hAnsi="宋体" w:cs="宋体"/>
          <w:kern w:val="0"/>
          <w:sz w:val="24"/>
        </w:rPr>
        <w:t>公布中标（成交）候选供应商名单，及采购人最终确定中标或成交供应商名单的时间和公告方式等。</w:t>
      </w:r>
    </w:p>
    <w:p>
      <w:pPr>
        <w:spacing w:line="360" w:lineRule="auto"/>
        <w:ind w:firstLine="426" w:firstLineChars="177"/>
        <w:jc w:val="left"/>
        <w:rPr>
          <w:rFonts w:hint="eastAsia" w:ascii="宋体" w:hAnsi="宋体" w:cs="宋体"/>
          <w:b/>
          <w:bCs/>
          <w:color w:val="000000"/>
          <w:kern w:val="0"/>
          <w:sz w:val="24"/>
        </w:rPr>
      </w:pPr>
      <w:r>
        <w:rPr>
          <w:rFonts w:hint="eastAsia" w:ascii="宋体" w:hAnsi="宋体" w:cs="宋体"/>
          <w:b/>
          <w:bCs/>
          <w:color w:val="000000"/>
          <w:kern w:val="0"/>
          <w:sz w:val="24"/>
        </w:rPr>
        <w:t>特别说明：如遇“政府采购云平台”电子化开标或评审程序调整的，按调整后程序执行。</w:t>
      </w:r>
    </w:p>
    <w:p>
      <w:pPr>
        <w:pStyle w:val="6"/>
        <w:numPr>
          <w:ilvl w:val="2"/>
          <w:numId w:val="0"/>
        </w:numPr>
        <w:spacing w:before="0" w:after="0"/>
        <w:ind w:left="720" w:hanging="720"/>
        <w:jc w:val="both"/>
        <w:rPr>
          <w:rFonts w:hint="eastAsia" w:ascii="宋体" w:hAnsi="宋体" w:eastAsia="宋体" w:cs="宋体"/>
          <w:sz w:val="24"/>
          <w:szCs w:val="24"/>
        </w:rPr>
      </w:pPr>
      <w:bookmarkStart w:id="98" w:name="_Toc24917"/>
      <w:bookmarkStart w:id="99" w:name="_Toc29116"/>
      <w:bookmarkStart w:id="100" w:name="_Toc18090"/>
      <w:bookmarkStart w:id="101" w:name="_Toc7250"/>
      <w:r>
        <w:rPr>
          <w:rFonts w:hint="eastAsia" w:ascii="宋体" w:hAnsi="宋体" w:eastAsia="宋体" w:cs="宋体"/>
          <w:sz w:val="24"/>
          <w:szCs w:val="24"/>
        </w:rPr>
        <w:t>（四）投标供应商资格审查</w:t>
      </w:r>
      <w:bookmarkEnd w:id="98"/>
      <w:bookmarkEnd w:id="99"/>
      <w:bookmarkEnd w:id="100"/>
      <w:bookmarkEnd w:id="101"/>
    </w:p>
    <w:p>
      <w:pPr>
        <w:spacing w:line="360" w:lineRule="auto"/>
        <w:ind w:firstLine="426" w:firstLineChars="177"/>
        <w:rPr>
          <w:rFonts w:hint="eastAsia" w:ascii="宋体" w:hAnsi="宋体" w:cs="宋体"/>
          <w:color w:val="000000"/>
          <w:sz w:val="24"/>
        </w:rPr>
      </w:pPr>
      <w:r>
        <w:rPr>
          <w:rFonts w:hint="eastAsia" w:ascii="宋体" w:hAnsi="宋体" w:cs="宋体"/>
          <w:b/>
          <w:bCs/>
          <w:color w:val="000000"/>
          <w:sz w:val="24"/>
        </w:rPr>
        <w:t>4.1开标大会第一阶段结束后，采购人或采购代理机构首先依法对各投标供应商的资格进行审查，审查各投标供应商的资格是否满足招标文件的要求。</w:t>
      </w:r>
      <w:r>
        <w:rPr>
          <w:rFonts w:hint="eastAsia" w:ascii="宋体" w:hAnsi="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360" w:lineRule="auto"/>
        <w:ind w:firstLine="426" w:firstLineChars="177"/>
        <w:rPr>
          <w:rFonts w:hint="eastAsia" w:ascii="宋体" w:hAnsi="宋体" w:cs="宋体"/>
          <w:b/>
          <w:bCs/>
          <w:color w:val="000000"/>
          <w:kern w:val="0"/>
          <w:sz w:val="24"/>
        </w:rPr>
      </w:pPr>
      <w:r>
        <w:rPr>
          <w:rFonts w:hint="eastAsia" w:ascii="宋体" w:hAnsi="宋体" w:cs="宋体"/>
          <w:b/>
          <w:bCs/>
          <w:color w:val="000000"/>
          <w:sz w:val="24"/>
        </w:rPr>
        <w:t>4.2投标供应商提交的资格证明材料无法证明其符合招标文件规定的“投标供应商资格要求”的，采购人或采购代理机构</w:t>
      </w:r>
      <w:r>
        <w:rPr>
          <w:rFonts w:hint="eastAsia" w:ascii="宋体" w:hAnsi="宋体" w:cs="宋体"/>
          <w:b/>
          <w:bCs/>
          <w:color w:val="000000"/>
          <w:kern w:val="0"/>
          <w:sz w:val="24"/>
        </w:rPr>
        <w:t>将对其作资格审查不通过处理（无效投标），并不再将其投标提交评标委员会进行后续评审。</w:t>
      </w:r>
    </w:p>
    <w:p>
      <w:pPr>
        <w:spacing w:line="360" w:lineRule="auto"/>
        <w:ind w:firstLine="426" w:firstLineChars="177"/>
        <w:rPr>
          <w:rFonts w:hint="eastAsia" w:ascii="宋体" w:hAnsi="宋体" w:cs="宋体"/>
          <w:b/>
          <w:bCs/>
          <w:color w:val="000000"/>
          <w:kern w:val="0"/>
          <w:sz w:val="24"/>
        </w:rPr>
      </w:pPr>
      <w:r>
        <w:rPr>
          <w:rFonts w:hint="eastAsia" w:ascii="宋体" w:hAnsi="宋体" w:cs="宋体"/>
          <w:b/>
          <w:bCs/>
          <w:color w:val="000000"/>
          <w:sz w:val="24"/>
        </w:rPr>
        <w:t>4</w:t>
      </w:r>
      <w:r>
        <w:rPr>
          <w:rFonts w:hint="eastAsia" w:ascii="宋体" w:hAnsi="宋体" w:cs="宋体"/>
          <w:b/>
          <w:bCs/>
          <w:color w:val="000000"/>
          <w:kern w:val="0"/>
          <w:sz w:val="24"/>
        </w:rPr>
        <w:t>.3单位负责人为同一人或者存在直接控股、管理关系的不同供应商参加同一合同项下的政府采购活动的，相关投标供应商均作资格无效处理。</w:t>
      </w:r>
    </w:p>
    <w:p>
      <w:pPr>
        <w:snapToGrid w:val="0"/>
        <w:spacing w:line="360" w:lineRule="auto"/>
        <w:jc w:val="center"/>
        <w:rPr>
          <w:rFonts w:hint="eastAsia" w:ascii="宋体" w:hAnsi="宋体" w:cs="宋体"/>
          <w:b/>
          <w:color w:val="000000"/>
          <w:sz w:val="24"/>
        </w:rPr>
      </w:pPr>
    </w:p>
    <w:p>
      <w:pPr>
        <w:snapToGrid w:val="0"/>
        <w:spacing w:line="360" w:lineRule="auto"/>
        <w:jc w:val="center"/>
        <w:outlineLvl w:val="1"/>
        <w:rPr>
          <w:rFonts w:hint="eastAsia" w:ascii="宋体" w:hAnsi="宋体" w:cs="宋体"/>
          <w:b/>
          <w:color w:val="000000"/>
          <w:sz w:val="24"/>
        </w:rPr>
      </w:pPr>
      <w:bookmarkStart w:id="102" w:name="_Toc24254"/>
      <w:bookmarkStart w:id="103" w:name="_Toc24657"/>
      <w:bookmarkStart w:id="104" w:name="_Toc11437"/>
      <w:r>
        <w:rPr>
          <w:rFonts w:hint="eastAsia" w:ascii="宋体" w:hAnsi="宋体" w:cs="宋体"/>
          <w:b/>
          <w:color w:val="000000"/>
          <w:sz w:val="24"/>
        </w:rPr>
        <w:t>六、评 标</w:t>
      </w:r>
      <w:bookmarkEnd w:id="93"/>
      <w:bookmarkEnd w:id="94"/>
      <w:bookmarkEnd w:id="102"/>
      <w:bookmarkEnd w:id="103"/>
      <w:bookmarkEnd w:id="104"/>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（一）评审工作的组织</w:t>
      </w:r>
    </w:p>
    <w:p>
      <w:pPr>
        <w:pStyle w:val="72"/>
        <w:spacing w:line="360" w:lineRule="auto"/>
        <w:ind w:firstLine="480" w:firstLineChars="200"/>
        <w:jc w:val="both"/>
        <w:rPr>
          <w:rFonts w:hint="eastAsia" w:ascii="宋体" w:hAnsi="宋体" w:eastAsia="宋体"/>
          <w:b/>
          <w:color w:val="000000"/>
        </w:rPr>
      </w:pPr>
      <w:r>
        <w:rPr>
          <w:rFonts w:hint="eastAsia" w:ascii="宋体" w:hAnsi="宋体" w:eastAsia="宋体"/>
          <w:color w:val="000000"/>
        </w:rPr>
        <w:t>1.1采购人或采购代理机构负责组织本项目的评审工作，并依据《政府采购货物和服务招标投标管理办法（财政部第87号令）》第四十五条的相关规定履行职责。</w:t>
      </w:r>
      <w:r>
        <w:rPr>
          <w:rFonts w:hint="eastAsia" w:ascii="宋体" w:hAnsi="宋体" w:eastAsia="宋体"/>
          <w:b/>
          <w:color w:val="000000"/>
        </w:rPr>
        <w:t>根据财政部令第87号</w:t>
      </w:r>
      <w:r>
        <w:rPr>
          <w:rFonts w:hint="eastAsia" w:ascii="宋体" w:hAnsi="宋体" w:eastAsia="宋体"/>
          <w:color w:val="000000"/>
          <w:sz w:val="22"/>
          <w:szCs w:val="22"/>
        </w:rPr>
        <w:t>　</w:t>
      </w:r>
      <w:r>
        <w:rPr>
          <w:rFonts w:hint="eastAsia" w:ascii="宋体" w:hAnsi="宋体" w:eastAsia="宋体"/>
          <w:b/>
          <w:color w:val="000000"/>
        </w:rPr>
        <w:t>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（二）评标委员会的组建</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2.1评标委员会由采购人或采购代理机构依法组建，成员包括采购人代表和评审专家，成员人数为五人或以上单数，其中评审专家不少于成员总数的三分之二。</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2.2评标委员会成员名单在评审结果（采购结果）公告前保密。</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（三）评标委员会的职责</w:t>
      </w:r>
    </w:p>
    <w:p>
      <w:pPr>
        <w:spacing w:line="360" w:lineRule="auto"/>
        <w:ind w:firstLine="424" w:firstLineChars="176"/>
        <w:rPr>
          <w:rFonts w:hint="eastAsia" w:ascii="宋体" w:hAnsi="宋体" w:cs="宋体"/>
          <w:b/>
          <w:color w:val="000000"/>
          <w:kern w:val="0"/>
          <w:sz w:val="24"/>
        </w:rPr>
      </w:pPr>
      <w:r>
        <w:rPr>
          <w:rFonts w:hint="eastAsia" w:ascii="宋体" w:hAnsi="宋体" w:cs="宋体"/>
          <w:b/>
          <w:color w:val="000000"/>
          <w:kern w:val="0"/>
          <w:sz w:val="24"/>
        </w:rPr>
        <w:t>3.1评标委员会负责具体评审事务，并独立履行下列职责：</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（1）审查、评价投标文件是否符合招标文件的商务、技术等实质性要求；</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（2）要求投标人对投标文件有关事项作出澄清或者说明；</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（3）对投标文件进行比较和评价；</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（4）确定中标候选人名单，以及根据采购人委托直接确定中标人；</w:t>
      </w:r>
    </w:p>
    <w:p>
      <w:pPr>
        <w:spacing w:line="360" w:lineRule="auto"/>
        <w:ind w:firstLine="422" w:firstLineChars="176"/>
        <w:rPr>
          <w:rFonts w:hint="eastAsia" w:ascii="宋体" w:hAnsi="宋体" w:cs="宋体"/>
          <w:color w:val="000000"/>
          <w:kern w:val="0"/>
          <w:sz w:val="24"/>
        </w:rPr>
      </w:pPr>
      <w:r>
        <w:rPr>
          <w:rFonts w:hint="eastAsia" w:ascii="宋体" w:hAnsi="宋体" w:cs="宋体"/>
          <w:color w:val="000000"/>
          <w:kern w:val="0"/>
          <w:sz w:val="24"/>
        </w:rPr>
        <w:t>（5）向采购人、采购代理机构或者有关部门报告评审中发现的违法行为。</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（四）评审原则</w:t>
      </w:r>
    </w:p>
    <w:p>
      <w:pPr>
        <w:spacing w:line="360" w:lineRule="auto"/>
        <w:ind w:firstLine="424" w:firstLineChars="177"/>
        <w:rPr>
          <w:rFonts w:hint="eastAsia" w:ascii="宋体" w:hAnsi="宋体" w:cs="宋体"/>
          <w:color w:val="000000"/>
          <w:sz w:val="24"/>
        </w:rPr>
      </w:pPr>
      <w:r>
        <w:rPr>
          <w:rFonts w:hint="eastAsia" w:ascii="宋体" w:hAnsi="宋体" w:cs="宋体"/>
          <w:color w:val="000000"/>
          <w:sz w:val="24"/>
        </w:rPr>
        <w:t>4.1评审原则：</w:t>
      </w:r>
      <w:r>
        <w:rPr>
          <w:rFonts w:hint="eastAsia" w:ascii="宋体" w:hAnsi="宋体" w:cs="宋体"/>
          <w:color w:val="000000"/>
          <w:kern w:val="0"/>
          <w:sz w:val="24"/>
        </w:rPr>
        <w:t>评标委员会</w:t>
      </w:r>
      <w:r>
        <w:rPr>
          <w:rFonts w:hint="eastAsia" w:ascii="宋体" w:hAnsi="宋体" w:cs="宋体"/>
          <w:color w:val="000000"/>
          <w:sz w:val="24"/>
        </w:rPr>
        <w:t>按照客观、公正、审慎、择优的原则，根据招标文件规定的评审程序、评审方法和评审标准进行独立评审。</w:t>
      </w:r>
    </w:p>
    <w:p>
      <w:pPr>
        <w:spacing w:line="360" w:lineRule="auto"/>
        <w:ind w:firstLine="424" w:firstLineChars="177"/>
        <w:rPr>
          <w:rFonts w:hint="eastAsia" w:ascii="宋体" w:hAnsi="宋体" w:cs="宋体"/>
          <w:color w:val="000000"/>
          <w:sz w:val="24"/>
        </w:rPr>
      </w:pPr>
      <w:r>
        <w:rPr>
          <w:rFonts w:hint="eastAsia" w:ascii="宋体" w:hAnsi="宋体" w:cs="宋体"/>
          <w:color w:val="000000"/>
          <w:sz w:val="24"/>
        </w:rPr>
        <w:t>4.2评审工作将依据</w:t>
      </w:r>
      <w:r>
        <w:rPr>
          <w:rFonts w:hint="eastAsia" w:ascii="宋体" w:hAnsi="宋体" w:cs="宋体"/>
          <w:color w:val="000000"/>
          <w:kern w:val="0"/>
          <w:sz w:val="24"/>
        </w:rPr>
        <w:t>招标文件、投标文件及招标文件中事先已列明的内容进行（如现场方案讲解、演示等）。</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（五）评审意见的争议处理</w:t>
      </w:r>
    </w:p>
    <w:p>
      <w:pPr>
        <w:spacing w:line="360" w:lineRule="auto"/>
        <w:ind w:firstLine="424" w:firstLineChars="177"/>
        <w:rPr>
          <w:rFonts w:hint="eastAsia" w:ascii="宋体" w:hAnsi="宋体" w:cs="宋体"/>
          <w:bCs/>
          <w:color w:val="000000"/>
          <w:sz w:val="24"/>
        </w:rPr>
      </w:pPr>
      <w:r>
        <w:rPr>
          <w:rFonts w:hint="eastAsia" w:ascii="宋体" w:hAnsi="宋体" w:cs="宋体"/>
          <w:bCs/>
          <w:color w:val="000000"/>
          <w:sz w:val="24"/>
        </w:rPr>
        <w:t>5.1评标委员会成员对需要共同认定的事项存在争议的，按照少数服从多数的原则作出结论。持不同意见的评标委员会成员应当在评审报告上签署不同意见及理由，否则视为同意评审报告。</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（六）评委纪律</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sz w:val="24"/>
        </w:rPr>
        <w:t>6.1评标委员会成员必须严格遵守保密规定，不得泄露评审的有关情况</w:t>
      </w:r>
      <w:r>
        <w:rPr>
          <w:rFonts w:hint="eastAsia" w:ascii="宋体" w:hAnsi="宋体" w:cs="宋体"/>
          <w:color w:val="000000"/>
          <w:kern w:val="0"/>
          <w:sz w:val="24"/>
        </w:rPr>
        <w:t>，任何单位和个人不得干扰、影响评标的正常进行，评标委员会成员不得私下与投标供应商接触，不得出现浙江省政府采购活动现场组织管理办法中规定的其他禁止行为。</w:t>
      </w:r>
    </w:p>
    <w:p>
      <w:pPr>
        <w:pStyle w:val="6"/>
        <w:numPr>
          <w:ilvl w:val="2"/>
          <w:numId w:val="0"/>
        </w:numPr>
        <w:spacing w:before="0" w:after="0"/>
        <w:ind w:left="720" w:hanging="720"/>
        <w:jc w:val="both"/>
        <w:rPr>
          <w:rFonts w:hint="eastAsia" w:ascii="宋体" w:hAnsi="宋体" w:eastAsia="宋体" w:cs="宋体"/>
          <w:sz w:val="24"/>
          <w:szCs w:val="24"/>
        </w:rPr>
      </w:pPr>
      <w:bookmarkStart w:id="105" w:name="_Toc24550043"/>
      <w:bookmarkStart w:id="106" w:name="_Toc9222"/>
      <w:bookmarkStart w:id="107" w:name="_Toc5549"/>
      <w:bookmarkStart w:id="108" w:name="_Toc33194395"/>
      <w:bookmarkStart w:id="109" w:name="_Toc20515"/>
      <w:bookmarkStart w:id="110" w:name="_Toc32209"/>
      <w:r>
        <w:rPr>
          <w:rFonts w:hint="eastAsia" w:ascii="宋体" w:hAnsi="宋体" w:eastAsia="宋体" w:cs="宋体"/>
          <w:sz w:val="24"/>
          <w:szCs w:val="24"/>
        </w:rPr>
        <w:t>（七）</w:t>
      </w:r>
      <w:bookmarkEnd w:id="105"/>
      <w:bookmarkStart w:id="111" w:name="_Toc24550044"/>
      <w:r>
        <w:rPr>
          <w:rFonts w:hint="eastAsia" w:ascii="宋体" w:hAnsi="宋体" w:eastAsia="宋体" w:cs="宋体"/>
          <w:sz w:val="24"/>
          <w:szCs w:val="24"/>
        </w:rPr>
        <w:t>评审流程及内容</w:t>
      </w:r>
      <w:bookmarkEnd w:id="106"/>
      <w:bookmarkEnd w:id="107"/>
      <w:bookmarkEnd w:id="108"/>
      <w:bookmarkEnd w:id="109"/>
      <w:bookmarkEnd w:id="110"/>
      <w:bookmarkEnd w:id="111"/>
    </w:p>
    <w:p>
      <w:pPr>
        <w:spacing w:line="360" w:lineRule="auto"/>
        <w:ind w:firstLine="424" w:firstLineChars="176"/>
        <w:rPr>
          <w:rFonts w:hint="eastAsia" w:ascii="宋体" w:hAnsi="宋体" w:cs="宋体"/>
          <w:color w:val="000000"/>
          <w:sz w:val="24"/>
        </w:rPr>
      </w:pPr>
      <w:r>
        <w:rPr>
          <w:rFonts w:hint="eastAsia" w:ascii="宋体" w:hAnsi="宋体" w:cs="宋体"/>
          <w:b/>
          <w:color w:val="000000"/>
          <w:kern w:val="0"/>
          <w:sz w:val="24"/>
        </w:rPr>
        <w:t>本项目具体的评审事务由评标委员会负责，评审流程及内容如下：</w:t>
      </w:r>
    </w:p>
    <w:p>
      <w:pPr>
        <w:pStyle w:val="7"/>
        <w:spacing w:line="360" w:lineRule="auto"/>
        <w:rPr>
          <w:rFonts w:hint="eastAsia" w:ascii="宋体" w:hAnsi="宋体" w:eastAsia="宋体" w:cs="宋体"/>
          <w:sz w:val="24"/>
          <w:szCs w:val="24"/>
        </w:rPr>
      </w:pPr>
      <w:r>
        <w:rPr>
          <w:rFonts w:hint="eastAsia" w:ascii="宋体" w:hAnsi="宋体" w:eastAsia="宋体" w:cs="宋体"/>
          <w:sz w:val="24"/>
          <w:szCs w:val="24"/>
        </w:rPr>
        <w:t>7.1 评审前准备</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7.1.1由评审专家推选评审小组组长，采购人代表不得担任评审小组组长。</w:t>
      </w:r>
    </w:p>
    <w:p>
      <w:pPr>
        <w:spacing w:line="360" w:lineRule="auto"/>
        <w:ind w:firstLine="424" w:firstLineChars="177"/>
        <w:rPr>
          <w:rFonts w:hint="eastAsia" w:ascii="宋体" w:hAnsi="宋体" w:cs="宋体"/>
          <w:b/>
          <w:color w:val="000000"/>
          <w:kern w:val="0"/>
          <w:sz w:val="24"/>
        </w:rPr>
      </w:pPr>
      <w:r>
        <w:rPr>
          <w:rFonts w:hint="eastAsia" w:ascii="宋体" w:hAnsi="宋体" w:cs="宋体"/>
          <w:color w:val="000000"/>
          <w:kern w:val="0"/>
          <w:sz w:val="24"/>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7"/>
        <w:spacing w:line="360" w:lineRule="auto"/>
        <w:rPr>
          <w:rFonts w:hint="eastAsia" w:ascii="宋体" w:hAnsi="宋体" w:eastAsia="宋体" w:cs="宋体"/>
          <w:sz w:val="24"/>
          <w:szCs w:val="24"/>
        </w:rPr>
      </w:pPr>
      <w:r>
        <w:rPr>
          <w:rFonts w:hint="eastAsia" w:ascii="宋体" w:hAnsi="宋体" w:eastAsia="宋体" w:cs="宋体"/>
          <w:sz w:val="24"/>
          <w:szCs w:val="24"/>
        </w:rPr>
        <w:t>7.2投标文件的初步审查、符合性审查</w:t>
      </w:r>
    </w:p>
    <w:p>
      <w:pPr>
        <w:spacing w:line="360" w:lineRule="auto"/>
        <w:ind w:firstLine="426" w:firstLineChars="177"/>
        <w:rPr>
          <w:rFonts w:hint="eastAsia" w:ascii="宋体" w:hAnsi="宋体" w:cs="宋体"/>
          <w:b/>
          <w:color w:val="000000"/>
          <w:kern w:val="0"/>
          <w:sz w:val="24"/>
        </w:rPr>
      </w:pPr>
      <w:r>
        <w:rPr>
          <w:rFonts w:hint="eastAsia" w:ascii="宋体" w:hAnsi="宋体" w:cs="宋体"/>
          <w:b/>
          <w:color w:val="000000"/>
          <w:kern w:val="0"/>
          <w:sz w:val="24"/>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cs="宋体"/>
          <w:color w:val="000000"/>
          <w:sz w:val="24"/>
        </w:rPr>
      </w:pPr>
      <w:r>
        <w:rPr>
          <w:rFonts w:hint="eastAsia" w:ascii="宋体" w:hAnsi="宋体" w:cs="宋体"/>
          <w:color w:val="000000"/>
          <w:sz w:val="24"/>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pPr>
        <w:pStyle w:val="7"/>
        <w:spacing w:line="360" w:lineRule="auto"/>
        <w:rPr>
          <w:rFonts w:hint="eastAsia" w:ascii="宋体" w:hAnsi="宋体" w:eastAsia="宋体" w:cs="宋体"/>
          <w:sz w:val="24"/>
          <w:szCs w:val="24"/>
        </w:rPr>
      </w:pPr>
      <w:r>
        <w:rPr>
          <w:rFonts w:hint="eastAsia" w:ascii="宋体" w:hAnsi="宋体" w:eastAsia="宋体" w:cs="宋体"/>
          <w:sz w:val="24"/>
          <w:szCs w:val="24"/>
        </w:rPr>
        <w:t>7.3 投标文件的澄清、说明或补正</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kern w:val="0"/>
          <w:sz w:val="24"/>
        </w:rPr>
        <w:t>7.3.1对于投标文件中含义不明确、同类问题表述不一致或者有明显文字和计算错误的内容，评标委员会将以书面形式</w:t>
      </w:r>
      <w:r>
        <w:rPr>
          <w:rFonts w:hint="eastAsia" w:ascii="宋体" w:hAnsi="宋体" w:cs="宋体"/>
          <w:b/>
          <w:bCs/>
          <w:color w:val="000000"/>
          <w:kern w:val="0"/>
          <w:sz w:val="24"/>
        </w:rPr>
        <w:t>（或通过“政府采购云平台”在线询标）</w:t>
      </w:r>
      <w:r>
        <w:rPr>
          <w:rFonts w:hint="eastAsia" w:ascii="宋体" w:hAnsi="宋体" w:cs="宋体"/>
          <w:color w:val="000000"/>
          <w:kern w:val="0"/>
          <w:sz w:val="24"/>
        </w:rPr>
        <w:t>的形式要求投标供应商在规定的时间内作出必要的澄清、说明或者补正，投标供应商澄清、说明或补正时间为30分钟。</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kern w:val="0"/>
          <w:sz w:val="24"/>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7"/>
        <w:spacing w:line="360" w:lineRule="auto"/>
        <w:rPr>
          <w:rFonts w:hint="eastAsia" w:ascii="宋体" w:hAnsi="宋体" w:eastAsia="宋体" w:cs="宋体"/>
          <w:sz w:val="24"/>
          <w:szCs w:val="24"/>
        </w:rPr>
      </w:pPr>
      <w:r>
        <w:rPr>
          <w:rFonts w:hint="eastAsia" w:ascii="宋体" w:hAnsi="宋体" w:eastAsia="宋体" w:cs="宋体"/>
          <w:sz w:val="24"/>
          <w:szCs w:val="24"/>
        </w:rPr>
        <w:t>7.4 投标文件的错误修正</w:t>
      </w:r>
    </w:p>
    <w:p>
      <w:pPr>
        <w:spacing w:line="360" w:lineRule="auto"/>
        <w:ind w:firstLine="422" w:firstLineChars="175"/>
        <w:rPr>
          <w:rFonts w:hint="eastAsia" w:ascii="宋体" w:hAnsi="宋体" w:cs="宋体"/>
          <w:b/>
          <w:color w:val="000000"/>
          <w:kern w:val="0"/>
          <w:sz w:val="24"/>
        </w:rPr>
      </w:pPr>
      <w:r>
        <w:rPr>
          <w:rFonts w:hint="eastAsia" w:ascii="宋体" w:hAnsi="宋体" w:cs="宋体"/>
          <w:b/>
          <w:color w:val="000000"/>
          <w:kern w:val="0"/>
          <w:sz w:val="24"/>
        </w:rPr>
        <w:t>7.4.1《投标文件》如果出现计算或表达上的错误，修正错误的原则如下：</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（1）投标文件中开标一览表（报价表）内容与投标文件中相应内容不一致的，以开标一览表（报价表）为准。</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（2）《投标文件》的大写金额和小写金额不一致的，以大写金额为准；</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（3）单价金额小数点或者百分比有明显错位的，应以开标一览表（报价表）的总价为准，并修改单价；</w:t>
      </w:r>
    </w:p>
    <w:p>
      <w:pPr>
        <w:spacing w:line="360" w:lineRule="auto"/>
        <w:ind w:firstLine="420" w:firstLineChars="175"/>
        <w:rPr>
          <w:rFonts w:hint="eastAsia" w:ascii="宋体" w:hAnsi="宋体" w:cs="宋体"/>
          <w:color w:val="000000"/>
          <w:kern w:val="0"/>
          <w:sz w:val="24"/>
        </w:rPr>
      </w:pPr>
      <w:r>
        <w:rPr>
          <w:rFonts w:hint="eastAsia" w:ascii="宋体" w:hAnsi="宋体" w:cs="宋体"/>
          <w:color w:val="000000"/>
          <w:kern w:val="0"/>
          <w:sz w:val="24"/>
        </w:rPr>
        <w:t>（4）总价金额与按单价汇总金额不一致的，以单价金额计算结果为准。</w:t>
      </w:r>
    </w:p>
    <w:p>
      <w:pPr>
        <w:spacing w:line="360" w:lineRule="auto"/>
        <w:ind w:firstLine="420" w:firstLineChars="175"/>
        <w:rPr>
          <w:rFonts w:hint="eastAsia" w:ascii="宋体" w:hAnsi="宋体" w:cs="宋体"/>
        </w:rPr>
      </w:pPr>
      <w:r>
        <w:rPr>
          <w:rFonts w:hint="eastAsia" w:ascii="宋体" w:hAnsi="宋体" w:cs="宋体"/>
          <w:color w:val="000000"/>
          <w:kern w:val="0"/>
          <w:sz w:val="24"/>
        </w:rPr>
        <w:t>7.4.2对不同文字文本《投标文件》的解释发生异议的，以中文文本为准。</w:t>
      </w:r>
    </w:p>
    <w:p>
      <w:pPr>
        <w:pStyle w:val="7"/>
        <w:spacing w:line="360" w:lineRule="auto"/>
        <w:rPr>
          <w:rFonts w:hint="eastAsia" w:ascii="宋体" w:hAnsi="宋体" w:eastAsia="宋体" w:cs="宋体"/>
          <w:sz w:val="24"/>
          <w:szCs w:val="24"/>
        </w:rPr>
      </w:pPr>
      <w:r>
        <w:rPr>
          <w:rFonts w:hint="eastAsia" w:ascii="宋体" w:hAnsi="宋体" w:eastAsia="宋体" w:cs="宋体"/>
          <w:sz w:val="24"/>
          <w:szCs w:val="24"/>
        </w:rPr>
        <w:t>（八）投标文件有下列情况之一者将视为无效：</w:t>
      </w:r>
    </w:p>
    <w:p>
      <w:pPr>
        <w:spacing w:line="360" w:lineRule="auto"/>
        <w:ind w:firstLine="424" w:firstLineChars="176"/>
        <w:rPr>
          <w:rFonts w:hint="eastAsia" w:ascii="宋体" w:hAnsi="宋体" w:cs="宋体"/>
          <w:b/>
          <w:color w:val="000000"/>
          <w:kern w:val="0"/>
          <w:sz w:val="24"/>
        </w:rPr>
      </w:pPr>
      <w:bookmarkStart w:id="112" w:name="_Hlk33211013"/>
      <w:r>
        <w:rPr>
          <w:rFonts w:hint="eastAsia" w:ascii="宋体" w:hAnsi="宋体" w:cs="宋体"/>
          <w:b/>
          <w:color w:val="000000"/>
          <w:kern w:val="0"/>
          <w:sz w:val="24"/>
        </w:rPr>
        <w:t>8.1商务、技术文件符合性审查中，存在下列情形之一的，经评标委员会认定后作无效标处理：</w:t>
      </w:r>
      <w:bookmarkStart w:id="113" w:name="_Toc10380"/>
      <w:bookmarkStart w:id="114" w:name="_Toc32574"/>
      <w:bookmarkStart w:id="115" w:name="_Toc33194396"/>
      <w:bookmarkStart w:id="116" w:name="_Toc25773"/>
      <w:bookmarkStart w:id="117" w:name="_Toc11810"/>
    </w:p>
    <w:p>
      <w:pPr>
        <w:spacing w:line="360" w:lineRule="auto"/>
        <w:ind w:firstLine="424" w:firstLineChars="176"/>
        <w:rPr>
          <w:rFonts w:hint="eastAsia" w:ascii="宋体" w:hAnsi="宋体" w:cs="宋体"/>
          <w:b/>
          <w:sz w:val="24"/>
        </w:rPr>
      </w:pPr>
      <w:r>
        <w:rPr>
          <w:rFonts w:hint="eastAsia" w:ascii="宋体" w:hAnsi="宋体" w:cs="宋体"/>
          <w:b/>
          <w:color w:val="000000"/>
          <w:sz w:val="24"/>
        </w:rPr>
        <w:t>（1）投标文件未有效授权，法定代表人授权委托书等填写不完整或有涂改的；</w:t>
      </w:r>
      <w:bookmarkEnd w:id="113"/>
      <w:bookmarkEnd w:id="114"/>
      <w:bookmarkEnd w:id="115"/>
      <w:bookmarkEnd w:id="116"/>
      <w:bookmarkEnd w:id="117"/>
    </w:p>
    <w:p>
      <w:pPr>
        <w:spacing w:line="360" w:lineRule="auto"/>
        <w:ind w:firstLine="426" w:firstLineChars="177"/>
        <w:rPr>
          <w:rFonts w:hint="eastAsia" w:ascii="宋体" w:hAnsi="宋体" w:cs="宋体"/>
          <w:b/>
          <w:sz w:val="24"/>
        </w:rPr>
      </w:pPr>
      <w:r>
        <w:rPr>
          <w:rFonts w:hint="eastAsia" w:ascii="宋体" w:hAnsi="宋体" w:cs="宋体"/>
          <w:b/>
          <w:sz w:val="24"/>
        </w:rPr>
        <w:t>（2）投标文件没有对本招标文件作出实质性响应的，或不满足（不响应）本招标文件中标注“▲”的实质性要求条款的，或存在招标文件中明确规定的其他无效标情形的；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cs="宋体"/>
          <w:b/>
          <w:sz w:val="24"/>
        </w:rPr>
      </w:pPr>
      <w:r>
        <w:rPr>
          <w:rFonts w:hint="eastAsia" w:ascii="宋体" w:hAnsi="宋体" w:cs="宋体"/>
          <w:b/>
          <w:sz w:val="24"/>
        </w:rPr>
        <w:t>（3）投标文件存在一个或一个以上备选（替代）投标方案的；</w:t>
      </w:r>
    </w:p>
    <w:p>
      <w:pPr>
        <w:spacing w:line="360" w:lineRule="auto"/>
        <w:ind w:firstLine="426" w:firstLineChars="177"/>
        <w:rPr>
          <w:rFonts w:hint="eastAsia" w:ascii="宋体" w:hAnsi="宋体" w:cs="宋体"/>
          <w:b/>
          <w:sz w:val="24"/>
        </w:rPr>
      </w:pPr>
      <w:r>
        <w:rPr>
          <w:rFonts w:hint="eastAsia" w:ascii="宋体" w:hAnsi="宋体" w:cs="宋体"/>
          <w:b/>
          <w:sz w:val="24"/>
        </w:rPr>
        <w:t>（4）仅提交“备份投标文件”的；</w:t>
      </w:r>
    </w:p>
    <w:p>
      <w:pPr>
        <w:spacing w:line="360" w:lineRule="auto"/>
        <w:ind w:firstLine="426" w:firstLineChars="177"/>
        <w:rPr>
          <w:rFonts w:hint="eastAsia" w:ascii="宋体" w:hAnsi="宋体" w:cs="宋体"/>
          <w:b/>
          <w:sz w:val="24"/>
        </w:rPr>
      </w:pPr>
      <w:r>
        <w:rPr>
          <w:rFonts w:hint="eastAsia" w:ascii="宋体" w:hAnsi="宋体" w:cs="宋体"/>
          <w:b/>
          <w:sz w:val="24"/>
        </w:rPr>
        <w:t>（5）文件组成内容不齐全，本招标文件规定必须提供而未提供的（属于资格审查范围的除外）；</w:t>
      </w:r>
    </w:p>
    <w:p>
      <w:pPr>
        <w:spacing w:line="360" w:lineRule="auto"/>
        <w:ind w:firstLine="426" w:firstLineChars="177"/>
        <w:rPr>
          <w:rFonts w:hint="eastAsia" w:ascii="宋体" w:hAnsi="宋体" w:cs="宋体"/>
          <w:b/>
          <w:sz w:val="24"/>
        </w:rPr>
      </w:pPr>
      <w:r>
        <w:rPr>
          <w:rFonts w:hint="eastAsia" w:ascii="宋体" w:hAnsi="宋体" w:cs="宋体"/>
          <w:b/>
          <w:sz w:val="24"/>
        </w:rPr>
        <w:t>（6）投标文件标注的响应或偏离情况与事实不符，或提供了虚假材料的；</w:t>
      </w:r>
    </w:p>
    <w:p>
      <w:pPr>
        <w:spacing w:line="360" w:lineRule="auto"/>
        <w:ind w:firstLine="426" w:firstLineChars="177"/>
        <w:rPr>
          <w:rFonts w:hint="eastAsia" w:ascii="宋体" w:hAnsi="宋体" w:cs="宋体"/>
          <w:b/>
          <w:sz w:val="24"/>
        </w:rPr>
      </w:pPr>
      <w:r>
        <w:rPr>
          <w:rFonts w:hint="eastAsia" w:ascii="宋体" w:hAnsi="宋体" w:cs="宋体"/>
          <w:b/>
          <w:sz w:val="24"/>
        </w:rPr>
        <w:t>（7）不响应或擅自改变本招标文件要求或投标文件有采购人不能接受的附加条件的；</w:t>
      </w:r>
    </w:p>
    <w:p>
      <w:pPr>
        <w:spacing w:line="360" w:lineRule="auto"/>
        <w:ind w:firstLine="426" w:firstLineChars="177"/>
        <w:rPr>
          <w:rFonts w:hint="eastAsia" w:ascii="宋体" w:hAnsi="宋体" w:cs="宋体"/>
          <w:b/>
          <w:sz w:val="24"/>
        </w:rPr>
      </w:pPr>
      <w:r>
        <w:rPr>
          <w:rFonts w:hint="eastAsia" w:ascii="宋体" w:hAnsi="宋体" w:cs="宋体"/>
          <w:b/>
          <w:sz w:val="24"/>
        </w:rPr>
        <w:t>（8）参加同一合同项下政府采购活动的不同供应商之间存在利害关系并且存在影响政府采购公平竞争行为的；</w:t>
      </w:r>
      <w:bookmarkStart w:id="118" w:name="_Toc33194397"/>
    </w:p>
    <w:p>
      <w:pPr>
        <w:spacing w:line="360" w:lineRule="auto"/>
        <w:ind w:firstLine="426" w:firstLineChars="177"/>
        <w:rPr>
          <w:rFonts w:hint="eastAsia" w:ascii="宋体" w:hAnsi="宋体" w:cs="宋体"/>
          <w:bCs/>
          <w:sz w:val="24"/>
        </w:rPr>
      </w:pPr>
      <w:r>
        <w:rPr>
          <w:rFonts w:hint="eastAsia" w:ascii="宋体" w:hAnsi="宋体" w:cs="宋体"/>
          <w:b/>
          <w:sz w:val="24"/>
        </w:rPr>
        <w:t>（9）</w:t>
      </w:r>
      <w:r>
        <w:rPr>
          <w:rFonts w:hint="eastAsia" w:ascii="宋体" w:hAnsi="宋体" w:cs="宋体"/>
          <w:b/>
          <w:color w:val="000000"/>
          <w:sz w:val="24"/>
        </w:rPr>
        <w:t>招标人拟采购的产品如属于品目清单范围内的强制采购品目的，投标人未</w:t>
      </w:r>
      <w:bookmarkEnd w:id="118"/>
      <w:bookmarkStart w:id="119" w:name="_Toc1556"/>
      <w:bookmarkStart w:id="120" w:name="_Toc7461"/>
      <w:bookmarkStart w:id="121" w:name="_Toc27126"/>
      <w:bookmarkStart w:id="122" w:name="_Toc33194398"/>
      <w:bookmarkStart w:id="123" w:name="_Toc18324"/>
      <w:r>
        <w:rPr>
          <w:rFonts w:hint="eastAsia" w:ascii="宋体" w:hAnsi="宋体" w:cs="宋体"/>
          <w:b/>
          <w:color w:val="000000"/>
          <w:sz w:val="24"/>
        </w:rPr>
        <w:t>能在响应文件中提供国家确定的认证机构出具的、处于有效期之内的该产品节能产品、环境标志产品认证证书；</w:t>
      </w:r>
      <w:bookmarkEnd w:id="119"/>
      <w:bookmarkEnd w:id="120"/>
      <w:bookmarkEnd w:id="121"/>
      <w:bookmarkEnd w:id="122"/>
      <w:bookmarkEnd w:id="123"/>
    </w:p>
    <w:p>
      <w:pPr>
        <w:spacing w:line="360" w:lineRule="auto"/>
        <w:ind w:firstLine="426" w:firstLineChars="177"/>
        <w:rPr>
          <w:rFonts w:hint="eastAsia" w:ascii="宋体" w:hAnsi="宋体" w:cs="宋体"/>
          <w:b/>
          <w:sz w:val="24"/>
        </w:rPr>
      </w:pPr>
      <w:r>
        <w:rPr>
          <w:rFonts w:hint="eastAsia" w:ascii="宋体" w:hAnsi="宋体" w:cs="宋体"/>
          <w:b/>
          <w:sz w:val="24"/>
        </w:rPr>
        <w:t>（10）违反国家或政府部门相关法律、法规、文件规定的。</w:t>
      </w:r>
    </w:p>
    <w:bookmarkEnd w:id="112"/>
    <w:p>
      <w:pPr>
        <w:spacing w:line="360" w:lineRule="auto"/>
        <w:ind w:firstLine="426" w:firstLineChars="177"/>
        <w:rPr>
          <w:rFonts w:hint="eastAsia" w:ascii="宋体" w:hAnsi="宋体" w:cs="宋体"/>
          <w:b/>
          <w:color w:val="000000"/>
          <w:kern w:val="0"/>
          <w:sz w:val="24"/>
        </w:rPr>
      </w:pPr>
      <w:r>
        <w:rPr>
          <w:rFonts w:hint="eastAsia" w:ascii="宋体" w:hAnsi="宋体" w:cs="宋体"/>
          <w:b/>
          <w:color w:val="000000"/>
          <w:kern w:val="0"/>
          <w:sz w:val="24"/>
        </w:rPr>
        <w:t>8.2报价文件符合性审查中，存在下列情形之一的，经评标委员会认定后作无效标处理：</w:t>
      </w:r>
    </w:p>
    <w:p>
      <w:pPr>
        <w:spacing w:line="360" w:lineRule="auto"/>
        <w:ind w:firstLine="426" w:firstLineChars="177"/>
        <w:rPr>
          <w:rFonts w:hint="eastAsia" w:ascii="宋体" w:hAnsi="宋体" w:cs="宋体"/>
          <w:b/>
          <w:sz w:val="24"/>
        </w:rPr>
      </w:pPr>
      <w:r>
        <w:rPr>
          <w:rFonts w:hint="eastAsia" w:ascii="宋体" w:hAnsi="宋体" w:cs="宋体"/>
          <w:b/>
          <w:sz w:val="24"/>
        </w:rPr>
        <w:t>（1）投标文件没有对本招标文件作出实质性响应的，或不满足（不响应）本招标文件中标注“▲”的实质性要求条款的，或存在招标文件中明确规定的其他无效标情形的；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cs="宋体"/>
          <w:b/>
          <w:sz w:val="24"/>
        </w:rPr>
      </w:pPr>
      <w:r>
        <w:rPr>
          <w:rFonts w:hint="eastAsia" w:ascii="宋体" w:hAnsi="宋体" w:cs="宋体"/>
          <w:b/>
          <w:sz w:val="24"/>
        </w:rPr>
        <w:t>（2）投标文件存在一个或一个以上备选（替代）投标方案的；</w:t>
      </w:r>
    </w:p>
    <w:p>
      <w:pPr>
        <w:spacing w:line="360" w:lineRule="auto"/>
        <w:ind w:firstLine="426" w:firstLineChars="177"/>
        <w:rPr>
          <w:rFonts w:hint="eastAsia" w:ascii="宋体" w:hAnsi="宋体" w:cs="宋体"/>
          <w:b/>
          <w:sz w:val="24"/>
        </w:rPr>
      </w:pPr>
      <w:r>
        <w:rPr>
          <w:rFonts w:hint="eastAsia" w:ascii="宋体" w:hAnsi="宋体" w:cs="宋体"/>
          <w:b/>
          <w:sz w:val="24"/>
        </w:rPr>
        <w:t>（3）未按照招标文件标明的币种报价的，或者投标报价涵盖的内容不符合招标文件要求的；</w:t>
      </w:r>
    </w:p>
    <w:p>
      <w:pPr>
        <w:spacing w:line="360" w:lineRule="auto"/>
        <w:ind w:firstLine="426" w:firstLineChars="177"/>
        <w:rPr>
          <w:rFonts w:hint="eastAsia" w:ascii="宋体" w:hAnsi="宋体" w:cs="宋体"/>
          <w:b/>
          <w:sz w:val="24"/>
        </w:rPr>
      </w:pPr>
      <w:r>
        <w:rPr>
          <w:rFonts w:hint="eastAsia" w:ascii="宋体" w:hAnsi="宋体" w:cs="宋体"/>
          <w:b/>
          <w:sz w:val="24"/>
        </w:rPr>
        <w:t>（4）《开标一览表》内容与《投标报价明细表》内容不一致且拒不接受修正的；</w:t>
      </w:r>
    </w:p>
    <w:p>
      <w:pPr>
        <w:spacing w:line="360" w:lineRule="auto"/>
        <w:ind w:firstLine="426" w:firstLineChars="177"/>
        <w:rPr>
          <w:rFonts w:hint="eastAsia" w:ascii="宋体" w:hAnsi="宋体" w:cs="宋体"/>
          <w:b/>
          <w:sz w:val="24"/>
        </w:rPr>
      </w:pPr>
      <w:r>
        <w:rPr>
          <w:rFonts w:hint="eastAsia" w:ascii="宋体" w:hAnsi="宋体" w:cs="宋体"/>
          <w:b/>
          <w:sz w:val="24"/>
        </w:rPr>
        <w:t>（5）投标报价具有选择性，唱标价格与《投标文件》承诺的优惠（折扣）后价格不一致的；</w:t>
      </w:r>
    </w:p>
    <w:p>
      <w:pPr>
        <w:spacing w:line="360" w:lineRule="auto"/>
        <w:ind w:firstLine="426" w:firstLineChars="177"/>
        <w:rPr>
          <w:rFonts w:hint="eastAsia" w:ascii="宋体" w:hAnsi="宋体" w:cs="宋体"/>
          <w:b/>
          <w:sz w:val="24"/>
        </w:rPr>
      </w:pPr>
      <w:r>
        <w:rPr>
          <w:rFonts w:hint="eastAsia" w:ascii="宋体" w:hAnsi="宋体" w:cs="宋体"/>
          <w:b/>
          <w:sz w:val="24"/>
        </w:rPr>
        <w:t>（6）投标报价超过采购预算（或最高限价）的；</w:t>
      </w:r>
    </w:p>
    <w:p>
      <w:pPr>
        <w:spacing w:line="360" w:lineRule="auto"/>
        <w:ind w:firstLine="426" w:firstLineChars="177"/>
        <w:rPr>
          <w:rFonts w:hint="eastAsia" w:ascii="宋体" w:hAnsi="宋体" w:cs="宋体"/>
          <w:b/>
          <w:sz w:val="24"/>
        </w:rPr>
      </w:pPr>
      <w:r>
        <w:rPr>
          <w:rFonts w:hint="eastAsia" w:ascii="宋体" w:hAnsi="宋体" w:cs="宋体"/>
          <w:b/>
          <w:sz w:val="24"/>
        </w:rPr>
        <w:t>（7）仅提交“备份投标文件”的；</w:t>
      </w:r>
    </w:p>
    <w:p>
      <w:pPr>
        <w:spacing w:line="360" w:lineRule="auto"/>
        <w:ind w:firstLine="426" w:firstLineChars="177"/>
        <w:rPr>
          <w:rFonts w:hint="eastAsia" w:ascii="宋体" w:hAnsi="宋体" w:cs="宋体"/>
          <w:b/>
          <w:sz w:val="24"/>
        </w:rPr>
      </w:pPr>
      <w:r>
        <w:rPr>
          <w:rFonts w:hint="eastAsia" w:ascii="宋体" w:hAnsi="宋体" w:cs="宋体"/>
          <w:b/>
          <w:sz w:val="24"/>
        </w:rPr>
        <w:t>（8）投标文件组成内容不齐全，本招标文件规定必须提供而未提供的（属于资格审查范围的除外）；</w:t>
      </w:r>
    </w:p>
    <w:p>
      <w:pPr>
        <w:spacing w:line="360" w:lineRule="auto"/>
        <w:ind w:firstLine="426" w:firstLineChars="177"/>
        <w:rPr>
          <w:rFonts w:hint="eastAsia" w:ascii="宋体" w:hAnsi="宋体" w:cs="宋体"/>
          <w:b/>
          <w:sz w:val="24"/>
        </w:rPr>
      </w:pPr>
      <w:r>
        <w:rPr>
          <w:rFonts w:hint="eastAsia" w:ascii="宋体" w:hAnsi="宋体" w:cs="宋体"/>
          <w:b/>
          <w:sz w:val="24"/>
        </w:rPr>
        <w:t>（9）投标文件标注的响应或偏离情况与事实不符，或提供了虚假材料的；</w:t>
      </w:r>
    </w:p>
    <w:p>
      <w:pPr>
        <w:spacing w:line="360" w:lineRule="auto"/>
        <w:ind w:firstLine="426" w:firstLineChars="177"/>
        <w:rPr>
          <w:rFonts w:hint="eastAsia" w:ascii="宋体" w:hAnsi="宋体" w:cs="宋体"/>
          <w:b/>
          <w:sz w:val="24"/>
        </w:rPr>
      </w:pPr>
      <w:r>
        <w:rPr>
          <w:rFonts w:hint="eastAsia" w:ascii="宋体" w:hAnsi="宋体" w:cs="宋体"/>
          <w:b/>
          <w:sz w:val="24"/>
        </w:rPr>
        <w:t>（10）不响应或擅自改变本招标文件要求或投标文件有采购人不能接受的附加条件的；</w:t>
      </w:r>
    </w:p>
    <w:p>
      <w:pPr>
        <w:spacing w:line="360" w:lineRule="auto"/>
        <w:ind w:firstLine="426" w:firstLineChars="177"/>
        <w:rPr>
          <w:rFonts w:hint="eastAsia" w:ascii="宋体" w:hAnsi="宋体" w:cs="宋体"/>
          <w:b/>
          <w:color w:val="000000"/>
          <w:sz w:val="24"/>
        </w:rPr>
      </w:pPr>
      <w:r>
        <w:rPr>
          <w:rFonts w:hint="eastAsia" w:ascii="宋体" w:hAnsi="宋体" w:cs="宋体"/>
          <w:b/>
          <w:sz w:val="24"/>
        </w:rPr>
        <w:t>（11）</w:t>
      </w:r>
      <w:r>
        <w:rPr>
          <w:rFonts w:hint="eastAsia" w:ascii="宋体" w:hAnsi="宋体" w:cs="宋体"/>
          <w:b/>
          <w:color w:val="000000"/>
          <w:sz w:val="24"/>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360" w:lineRule="auto"/>
        <w:ind w:firstLine="426" w:firstLineChars="177"/>
        <w:rPr>
          <w:rFonts w:hint="eastAsia" w:ascii="宋体" w:hAnsi="宋体" w:cs="宋体"/>
          <w:b/>
          <w:color w:val="000000"/>
          <w:kern w:val="0"/>
          <w:sz w:val="24"/>
        </w:rPr>
      </w:pPr>
      <w:r>
        <w:rPr>
          <w:rFonts w:hint="eastAsia" w:ascii="宋体" w:hAnsi="宋体" w:cs="宋体"/>
          <w:b/>
          <w:sz w:val="24"/>
        </w:rPr>
        <w:t>（12）违反国家或政府部门相关法律、法规、文件规定的。</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（八）投标文件的评估、比较、评分</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kern w:val="0"/>
          <w:sz w:val="24"/>
        </w:rPr>
        <w:t>8.1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十三款。</w:t>
      </w:r>
    </w:p>
    <w:p>
      <w:pPr>
        <w:spacing w:line="360" w:lineRule="auto"/>
        <w:ind w:firstLine="424" w:firstLineChars="177"/>
        <w:rPr>
          <w:rFonts w:hint="eastAsia" w:ascii="宋体" w:hAnsi="宋体" w:cs="宋体"/>
          <w:color w:val="000000"/>
          <w:kern w:val="0"/>
          <w:sz w:val="24"/>
        </w:rPr>
      </w:pPr>
      <w:r>
        <w:rPr>
          <w:rFonts w:hint="eastAsia" w:ascii="宋体" w:hAnsi="宋体" w:cs="宋体"/>
          <w:color w:val="000000"/>
          <w:kern w:val="0"/>
          <w:sz w:val="24"/>
        </w:rPr>
        <w:t>8.2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（九）修改评审结果</w:t>
      </w:r>
    </w:p>
    <w:p>
      <w:pPr>
        <w:spacing w:line="360" w:lineRule="auto"/>
        <w:ind w:firstLine="487" w:firstLineChars="202"/>
        <w:rPr>
          <w:rFonts w:hint="eastAsia" w:ascii="宋体" w:hAnsi="宋体" w:cs="宋体"/>
          <w:b/>
          <w:color w:val="000000"/>
          <w:sz w:val="24"/>
        </w:rPr>
      </w:pPr>
      <w:r>
        <w:rPr>
          <w:rFonts w:hint="eastAsia" w:ascii="宋体" w:hAnsi="宋体" w:cs="宋体"/>
          <w:b/>
          <w:color w:val="000000"/>
          <w:sz w:val="24"/>
        </w:rPr>
        <w:t>9.1评标结果汇总完成后，除下列情形外，任何人不得修改评标结果：</w:t>
      </w:r>
    </w:p>
    <w:p>
      <w:pPr>
        <w:spacing w:line="360" w:lineRule="auto"/>
        <w:ind w:firstLine="484" w:firstLineChars="202"/>
        <w:rPr>
          <w:rFonts w:hint="eastAsia" w:ascii="宋体" w:hAnsi="宋体" w:cs="宋体"/>
          <w:color w:val="000000"/>
          <w:sz w:val="24"/>
        </w:rPr>
      </w:pPr>
      <w:r>
        <w:rPr>
          <w:rFonts w:hint="eastAsia" w:ascii="宋体" w:hAnsi="宋体" w:cs="宋体"/>
          <w:color w:val="000000"/>
          <w:sz w:val="24"/>
        </w:rPr>
        <w:t>（1）分值汇总计算错误的；</w:t>
      </w:r>
    </w:p>
    <w:p>
      <w:pPr>
        <w:spacing w:line="360" w:lineRule="auto"/>
        <w:ind w:firstLine="484" w:firstLineChars="202"/>
        <w:rPr>
          <w:rFonts w:hint="eastAsia" w:ascii="宋体" w:hAnsi="宋体" w:cs="宋体"/>
          <w:color w:val="000000"/>
          <w:sz w:val="24"/>
        </w:rPr>
      </w:pPr>
      <w:r>
        <w:rPr>
          <w:rFonts w:hint="eastAsia" w:ascii="宋体" w:hAnsi="宋体" w:cs="宋体"/>
          <w:color w:val="000000"/>
          <w:sz w:val="24"/>
        </w:rPr>
        <w:t>（2）分项评分超出评分标准范围的；</w:t>
      </w:r>
    </w:p>
    <w:p>
      <w:pPr>
        <w:spacing w:line="360" w:lineRule="auto"/>
        <w:ind w:firstLine="484" w:firstLineChars="202"/>
        <w:rPr>
          <w:rFonts w:hint="eastAsia" w:ascii="宋体" w:hAnsi="宋体" w:cs="宋体"/>
          <w:color w:val="000000"/>
          <w:sz w:val="24"/>
        </w:rPr>
      </w:pPr>
      <w:r>
        <w:rPr>
          <w:rFonts w:hint="eastAsia" w:ascii="宋体" w:hAnsi="宋体" w:cs="宋体"/>
          <w:color w:val="000000"/>
          <w:sz w:val="24"/>
        </w:rPr>
        <w:t>（3）评标委员会成员对客观评审因素评分不一致的；</w:t>
      </w:r>
    </w:p>
    <w:p>
      <w:pPr>
        <w:spacing w:line="360" w:lineRule="auto"/>
        <w:ind w:firstLine="484" w:firstLineChars="202"/>
        <w:rPr>
          <w:rFonts w:hint="eastAsia" w:ascii="宋体" w:hAnsi="宋体" w:cs="宋体"/>
          <w:color w:val="000000"/>
          <w:sz w:val="24"/>
        </w:rPr>
      </w:pPr>
      <w:r>
        <w:rPr>
          <w:rFonts w:hint="eastAsia" w:ascii="宋体" w:hAnsi="宋体" w:cs="宋体"/>
          <w:color w:val="000000"/>
          <w:sz w:val="24"/>
        </w:rPr>
        <w:t>（4）经评标委员会认定评分畸高、畸低的。</w:t>
      </w:r>
    </w:p>
    <w:p>
      <w:pPr>
        <w:spacing w:line="360" w:lineRule="auto"/>
        <w:ind w:firstLine="487" w:firstLineChars="202"/>
        <w:rPr>
          <w:rFonts w:hint="eastAsia" w:ascii="宋体" w:hAnsi="宋体" w:cs="宋体"/>
          <w:b/>
          <w:color w:val="000000"/>
          <w:sz w:val="24"/>
        </w:rPr>
      </w:pPr>
      <w:r>
        <w:rPr>
          <w:rFonts w:hint="eastAsia" w:ascii="宋体" w:hAnsi="宋体" w:cs="宋体"/>
          <w:b/>
          <w:color w:val="000000"/>
          <w:sz w:val="24"/>
        </w:rPr>
        <w:t>9.2评标报告签署前，经复核发现存在以上情形之一的，评标委员会将当场修改评标结果，并在评标报告中记载。</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（十）供应商排序及推荐中标（成交）候选供应商</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sz w:val="24"/>
        </w:rPr>
        <w:t>评标委员会根据以下规定确定供应商排名并推荐中标（成交）候选供应商。</w:t>
      </w:r>
    </w:p>
    <w:p>
      <w:pPr>
        <w:spacing w:line="360" w:lineRule="auto"/>
        <w:ind w:firstLine="465" w:firstLineChars="193"/>
        <w:rPr>
          <w:rFonts w:hint="eastAsia" w:ascii="宋体" w:hAnsi="宋体" w:cs="宋体"/>
          <w:color w:val="000000"/>
          <w:kern w:val="0"/>
          <w:sz w:val="24"/>
        </w:rPr>
      </w:pPr>
      <w:r>
        <w:rPr>
          <w:rFonts w:hint="eastAsia" w:ascii="宋体" w:hAnsi="宋体" w:cs="宋体"/>
          <w:b/>
          <w:color w:val="000000"/>
          <w:sz w:val="24"/>
        </w:rPr>
        <w:t>10.1评标委员会根据各投标供应商的综合得分（商务技术分与报价得分之和）从高到低依次进行排名排序。特殊情形按以下原则处理：</w:t>
      </w:r>
    </w:p>
    <w:p>
      <w:pPr>
        <w:spacing w:line="360" w:lineRule="auto"/>
        <w:ind w:firstLine="463" w:firstLineChars="193"/>
        <w:rPr>
          <w:rFonts w:hint="eastAsia" w:ascii="宋体" w:hAnsi="宋体" w:cs="宋体"/>
          <w:color w:val="000000"/>
          <w:sz w:val="24"/>
        </w:rPr>
      </w:pPr>
      <w:r>
        <w:rPr>
          <w:rFonts w:hint="eastAsia" w:ascii="宋体" w:hAnsi="宋体" w:cs="宋体"/>
          <w:color w:val="000000"/>
          <w:sz w:val="24"/>
        </w:rPr>
        <w:t>（1）综合得分相同的，按投标报价低的优先原则确定排名；</w:t>
      </w:r>
    </w:p>
    <w:p>
      <w:pPr>
        <w:spacing w:line="360" w:lineRule="auto"/>
        <w:ind w:firstLine="463" w:firstLineChars="193"/>
        <w:rPr>
          <w:rFonts w:hint="eastAsia" w:ascii="宋体" w:hAnsi="宋体" w:cs="宋体"/>
          <w:color w:val="000000"/>
          <w:sz w:val="24"/>
        </w:rPr>
      </w:pPr>
      <w:r>
        <w:rPr>
          <w:rFonts w:hint="eastAsia" w:ascii="宋体" w:hAnsi="宋体" w:cs="宋体"/>
          <w:color w:val="000000"/>
          <w:sz w:val="24"/>
        </w:rPr>
        <w:t>（2）综合得分和投标报价均相同的，按商务技术得分从高到低确定排名；</w:t>
      </w:r>
    </w:p>
    <w:p>
      <w:pPr>
        <w:spacing w:line="360" w:lineRule="auto"/>
        <w:ind w:firstLine="463" w:firstLineChars="193"/>
        <w:rPr>
          <w:rFonts w:hint="eastAsia" w:ascii="宋体" w:hAnsi="宋体" w:cs="宋体"/>
          <w:color w:val="000000"/>
          <w:sz w:val="24"/>
        </w:rPr>
      </w:pPr>
      <w:r>
        <w:rPr>
          <w:rFonts w:hint="eastAsia" w:ascii="宋体" w:hAnsi="宋体" w:cs="宋体"/>
          <w:color w:val="000000"/>
          <w:sz w:val="24"/>
        </w:rPr>
        <w:t>（3）综合得分、投标报价和商务技术得分均相同的由评标委员会全体成员记名投票按少数服从多数的原则确定排名。</w:t>
      </w:r>
    </w:p>
    <w:p>
      <w:pPr>
        <w:spacing w:line="360" w:lineRule="auto"/>
        <w:ind w:firstLine="426" w:firstLineChars="177"/>
        <w:rPr>
          <w:rFonts w:hint="eastAsia" w:ascii="宋体" w:hAnsi="宋体" w:cs="宋体"/>
          <w:b/>
          <w:color w:val="000000"/>
          <w:sz w:val="24"/>
        </w:rPr>
      </w:pPr>
      <w:r>
        <w:rPr>
          <w:rFonts w:hint="eastAsia" w:ascii="宋体" w:hAnsi="宋体" w:cs="宋体"/>
          <w:b/>
          <w:color w:val="000000"/>
          <w:sz w:val="24"/>
        </w:rPr>
        <w:t>10.2根据最终得分排序，通过书面评审报告的形式，向采购人推荐</w:t>
      </w:r>
      <w:r>
        <w:rPr>
          <w:rFonts w:hint="eastAsia" w:ascii="宋体" w:hAnsi="宋体" w:cs="宋体"/>
          <w:b/>
          <w:color w:val="000000"/>
          <w:kern w:val="0"/>
          <w:sz w:val="24"/>
        </w:rPr>
        <w:t>排名第一的投标供应商为中标（成交）候选供应商</w:t>
      </w:r>
      <w:r>
        <w:rPr>
          <w:rFonts w:hint="eastAsia" w:ascii="宋体" w:hAnsi="宋体" w:cs="宋体"/>
          <w:b/>
          <w:color w:val="000000"/>
          <w:sz w:val="24"/>
        </w:rPr>
        <w:t>。</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（十一）起草、签署评审报告</w:t>
      </w:r>
    </w:p>
    <w:p>
      <w:pPr>
        <w:spacing w:line="360" w:lineRule="auto"/>
        <w:ind w:firstLine="463" w:firstLineChars="193"/>
        <w:rPr>
          <w:rFonts w:hint="eastAsia" w:ascii="宋体" w:hAnsi="宋体" w:cs="宋体"/>
          <w:color w:val="000000"/>
          <w:sz w:val="24"/>
        </w:rPr>
      </w:pPr>
      <w:r>
        <w:rPr>
          <w:rFonts w:hint="eastAsia" w:ascii="宋体" w:hAnsi="宋体" w:cs="宋体"/>
          <w:color w:val="000000"/>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6"/>
        <w:numPr>
          <w:ilvl w:val="2"/>
          <w:numId w:val="0"/>
        </w:numPr>
        <w:spacing w:before="0" w:after="0"/>
        <w:ind w:left="720" w:hanging="720"/>
        <w:jc w:val="both"/>
        <w:rPr>
          <w:rFonts w:hint="eastAsia" w:ascii="宋体" w:hAnsi="宋体" w:eastAsia="宋体" w:cs="宋体"/>
          <w:sz w:val="24"/>
          <w:szCs w:val="24"/>
        </w:rPr>
      </w:pPr>
      <w:bookmarkStart w:id="124" w:name="_Toc91899903"/>
      <w:r>
        <w:rPr>
          <w:rFonts w:hint="eastAsia" w:ascii="宋体" w:hAnsi="宋体" w:eastAsia="宋体" w:cs="宋体"/>
          <w:sz w:val="24"/>
          <w:szCs w:val="24"/>
        </w:rPr>
        <w:t>（十二）评标办法</w:t>
      </w:r>
    </w:p>
    <w:p>
      <w:pPr>
        <w:pStyle w:val="100"/>
        <w:spacing w:after="156" w:line="440" w:lineRule="exact"/>
        <w:ind w:firstLine="482"/>
        <w:rPr>
          <w:rFonts w:hint="eastAsia" w:ascii="宋体" w:hAnsi="宋体" w:eastAsia="宋体" w:cs="宋体"/>
        </w:rPr>
      </w:pPr>
      <w:r>
        <w:rPr>
          <w:rFonts w:hint="eastAsia" w:ascii="宋体" w:hAnsi="宋体" w:eastAsia="宋体" w:cs="宋体"/>
          <w:b/>
          <w:color w:val="000000"/>
        </w:rPr>
        <w:t>1、本项目采用综合评分法</w:t>
      </w:r>
      <w:r>
        <w:rPr>
          <w:rFonts w:hint="eastAsia" w:ascii="宋体" w:hAnsi="宋体" w:eastAsia="宋体" w:cs="宋体"/>
          <w:color w:val="000000"/>
        </w:rPr>
        <w:t>，总分为100分，其中商务技术70分，价格分30分。</w:t>
      </w:r>
      <w:r>
        <w:rPr>
          <w:rFonts w:hint="eastAsia" w:ascii="宋体" w:hAnsi="宋体" w:eastAsia="宋体" w:cs="宋体"/>
        </w:rPr>
        <w:t>将所有有效投标报价的最低投标价设为评标基准价，凡高于预算价评委会认定作无效标处理。</w:t>
      </w:r>
    </w:p>
    <w:p>
      <w:pPr>
        <w:adjustRightInd w:val="0"/>
        <w:snapToGrid w:val="0"/>
        <w:spacing w:line="400" w:lineRule="atLeast"/>
        <w:ind w:left="105" w:leftChars="50" w:firstLine="360" w:firstLineChars="150"/>
        <w:rPr>
          <w:rFonts w:hint="eastAsia" w:ascii="宋体" w:hAnsi="宋体" w:cs="宋体"/>
          <w:sz w:val="24"/>
          <w:szCs w:val="28"/>
        </w:rPr>
      </w:pPr>
      <w:r>
        <w:rPr>
          <w:rFonts w:hint="eastAsia" w:ascii="宋体" w:hAnsi="宋体" w:cs="宋体"/>
          <w:sz w:val="24"/>
          <w:szCs w:val="28"/>
        </w:rPr>
        <w:t>2、商务技术评标细则（70分）</w:t>
      </w:r>
    </w:p>
    <w:p>
      <w:pPr>
        <w:pStyle w:val="2"/>
        <w:rPr>
          <w:rFonts w:ascii="宋体" w:hAnsi="宋体"/>
          <w:b/>
          <w:color w:val="000000"/>
          <w:sz w:val="24"/>
        </w:rPr>
      </w:pPr>
    </w:p>
    <w:p>
      <w:pPr>
        <w:pStyle w:val="2"/>
        <w:rPr>
          <w:rFonts w:ascii="宋体" w:hAnsi="宋体"/>
          <w:b/>
          <w:color w:val="000000"/>
          <w:sz w:val="24"/>
        </w:rPr>
      </w:pPr>
    </w:p>
    <w:p>
      <w:pPr>
        <w:pStyle w:val="2"/>
        <w:rPr>
          <w:rFonts w:ascii="宋体" w:hAnsi="宋体"/>
          <w:b/>
          <w:color w:val="000000"/>
          <w:sz w:val="24"/>
        </w:rPr>
      </w:pPr>
    </w:p>
    <w:p>
      <w:pPr>
        <w:pStyle w:val="2"/>
        <w:rPr>
          <w:rFonts w:ascii="宋体" w:hAnsi="宋体"/>
          <w:b/>
          <w:color w:val="000000"/>
          <w:sz w:val="24"/>
        </w:rPr>
      </w:pPr>
    </w:p>
    <w:tbl>
      <w:tblPr>
        <w:tblStyle w:val="78"/>
        <w:tblW w:w="8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3"/>
        <w:gridCol w:w="6295"/>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400" w:lineRule="atLeast"/>
              <w:ind w:firstLine="0" w:firstLineChars="0"/>
              <w:jc w:val="center"/>
              <w:rPr>
                <w:rFonts w:hint="eastAsia" w:ascii="宋体" w:hAnsi="宋体" w:eastAsia="宋体" w:cs="宋体"/>
                <w:b/>
                <w:szCs w:val="24"/>
                <w:highlight w:val="none"/>
              </w:rPr>
            </w:pPr>
            <w:bookmarkStart w:id="125" w:name="scoringRules2"/>
            <w:bookmarkStart w:id="126" w:name="_Hlk52206019"/>
            <w:r>
              <w:rPr>
                <w:rFonts w:hint="eastAsia" w:ascii="宋体" w:hAnsi="宋体" w:eastAsia="宋体" w:cs="宋体"/>
                <w:b/>
                <w:szCs w:val="24"/>
                <w:highlight w:val="none"/>
              </w:rPr>
              <w:t>评分细则</w:t>
            </w:r>
          </w:p>
        </w:tc>
        <w:tc>
          <w:tcPr>
            <w:tcW w:w="6295"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400" w:lineRule="atLeast"/>
              <w:ind w:firstLine="0" w:firstLineChars="0"/>
              <w:jc w:val="center"/>
              <w:rPr>
                <w:rFonts w:hint="eastAsia" w:ascii="宋体" w:hAnsi="宋体" w:eastAsia="宋体" w:cs="宋体"/>
                <w:b/>
                <w:szCs w:val="24"/>
                <w:highlight w:val="none"/>
              </w:rPr>
            </w:pPr>
            <w:r>
              <w:rPr>
                <w:rFonts w:hint="eastAsia" w:ascii="宋体" w:hAnsi="宋体" w:eastAsia="宋体" w:cs="宋体"/>
                <w:b/>
                <w:szCs w:val="24"/>
                <w:highlight w:val="none"/>
              </w:rPr>
              <w:t>评分细则内容</w:t>
            </w:r>
          </w:p>
        </w:tc>
        <w:tc>
          <w:tcPr>
            <w:tcW w:w="855"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400" w:lineRule="atLeast"/>
              <w:ind w:firstLine="0" w:firstLineChars="0"/>
              <w:jc w:val="center"/>
              <w:rPr>
                <w:rFonts w:hint="eastAsia" w:ascii="宋体" w:hAnsi="宋体" w:eastAsia="宋体" w:cs="宋体"/>
                <w:b/>
                <w:szCs w:val="24"/>
                <w:highlight w:val="none"/>
              </w:rPr>
            </w:pPr>
            <w:r>
              <w:rPr>
                <w:rFonts w:hint="eastAsia" w:ascii="宋体" w:hAnsi="宋体" w:eastAsia="宋体" w:cs="宋体"/>
                <w:b/>
                <w:szCs w:val="24"/>
                <w:highlight w:val="none"/>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1763" w:type="dxa"/>
            <w:tcBorders>
              <w:top w:val="single" w:color="000000" w:sz="4" w:space="0"/>
              <w:left w:val="single" w:color="000000" w:sz="4" w:space="0"/>
              <w:right w:val="single" w:color="000000" w:sz="4" w:space="0"/>
            </w:tcBorders>
            <w:noWrap w:val="0"/>
            <w:vAlign w:val="top"/>
          </w:tcPr>
          <w:p>
            <w:pPr>
              <w:pStyle w:val="100"/>
              <w:spacing w:before="0" w:line="400" w:lineRule="atLeast"/>
              <w:ind w:firstLine="0" w:firstLineChars="0"/>
              <w:rPr>
                <w:rFonts w:hint="eastAsia" w:ascii="宋体" w:hAnsi="宋体" w:eastAsia="宋体" w:cs="宋体"/>
                <w:b/>
                <w:szCs w:val="24"/>
                <w:highlight w:val="none"/>
              </w:rPr>
            </w:pPr>
            <w:r>
              <w:rPr>
                <w:rFonts w:hint="eastAsia" w:ascii="宋体" w:hAnsi="宋体" w:eastAsia="宋体" w:cs="宋体"/>
                <w:szCs w:val="24"/>
                <w:highlight w:val="none"/>
              </w:rPr>
              <w:t>1．企业综合实力分</w:t>
            </w:r>
            <w:r>
              <w:rPr>
                <w:rFonts w:hint="eastAsia" w:ascii="宋体" w:hAnsi="宋体" w:eastAsia="宋体" w:cs="宋体"/>
                <w:bCs/>
                <w:szCs w:val="24"/>
                <w:highlight w:val="none"/>
              </w:rPr>
              <w:t>（</w:t>
            </w:r>
            <w:r>
              <w:rPr>
                <w:rFonts w:hint="eastAsia" w:ascii="宋体" w:hAnsi="宋体" w:eastAsia="宋体" w:cs="宋体"/>
                <w:bCs/>
                <w:szCs w:val="24"/>
                <w:highlight w:val="none"/>
                <w:lang w:val="en-US" w:eastAsia="zh-CN"/>
              </w:rPr>
              <w:t>6</w:t>
            </w:r>
            <w:r>
              <w:rPr>
                <w:rFonts w:hint="eastAsia" w:ascii="宋体" w:hAnsi="宋体" w:eastAsia="宋体" w:cs="宋体"/>
                <w:bCs/>
                <w:szCs w:val="24"/>
                <w:highlight w:val="none"/>
              </w:rPr>
              <w:t>分）</w:t>
            </w:r>
          </w:p>
        </w:tc>
        <w:tc>
          <w:tcPr>
            <w:tcW w:w="6295" w:type="dxa"/>
            <w:tcBorders>
              <w:top w:val="single" w:color="000000" w:sz="4" w:space="0"/>
              <w:left w:val="single" w:color="000000" w:sz="4" w:space="0"/>
              <w:bottom w:val="single" w:color="000000" w:sz="4" w:space="0"/>
              <w:right w:val="single" w:color="000000" w:sz="4" w:space="0"/>
            </w:tcBorders>
            <w:noWrap w:val="0"/>
            <w:vAlign w:val="top"/>
          </w:tcPr>
          <w:p>
            <w:pPr>
              <w:pStyle w:val="485"/>
              <w:spacing w:line="25" w:lineRule="atLeast"/>
              <w:ind w:firstLine="0" w:firstLineChars="0"/>
              <w:jc w:val="left"/>
              <w:rPr>
                <w:rFonts w:hint="eastAsia" w:ascii="宋体" w:hAnsi="宋体" w:eastAsia="宋体" w:cs="宋体"/>
                <w:sz w:val="24"/>
                <w:szCs w:val="24"/>
                <w:highlight w:val="none"/>
                <w:lang w:eastAsia="zh-CN"/>
              </w:rPr>
            </w:pPr>
            <w:r>
              <w:rPr>
                <w:rFonts w:hint="eastAsia" w:ascii="宋体" w:hAnsi="宋体" w:cs="宋体"/>
                <w:bCs/>
                <w:sz w:val="24"/>
                <w:szCs w:val="24"/>
                <w:highlight w:val="none"/>
              </w:rPr>
              <w:t>①投标人同时具有质量管理体系认证证书、环境体系认证证书、职业健康认证证书（在有效期内），认证范围包含</w:t>
            </w:r>
            <w:r>
              <w:rPr>
                <w:rFonts w:hint="eastAsia" w:ascii="宋体" w:hAnsi="宋体" w:cs="宋体"/>
                <w:bCs/>
                <w:sz w:val="24"/>
                <w:szCs w:val="24"/>
                <w:highlight w:val="none"/>
                <w:lang w:eastAsia="zh-CN"/>
              </w:rPr>
              <w:t>仪器仪表</w:t>
            </w:r>
            <w:r>
              <w:rPr>
                <w:rFonts w:hint="eastAsia" w:ascii="宋体" w:hAnsi="宋体" w:cs="宋体"/>
                <w:bCs/>
                <w:sz w:val="24"/>
                <w:szCs w:val="24"/>
                <w:highlight w:val="none"/>
              </w:rPr>
              <w:t>的每个</w:t>
            </w:r>
            <w:r>
              <w:rPr>
                <w:rFonts w:hint="eastAsia" w:ascii="宋体" w:hAnsi="宋体" w:cs="宋体"/>
                <w:bCs/>
                <w:sz w:val="24"/>
                <w:szCs w:val="24"/>
                <w:highlight w:val="none"/>
                <w:lang w:eastAsia="zh-CN"/>
              </w:rPr>
              <w:t>得</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分，满分</w:t>
            </w: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分，</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需提供相关</w:t>
            </w:r>
            <w:r>
              <w:rPr>
                <w:rFonts w:hint="eastAsia" w:ascii="宋体" w:hAnsi="宋体" w:cs="宋体"/>
                <w:bCs/>
                <w:sz w:val="24"/>
                <w:szCs w:val="24"/>
                <w:highlight w:val="none"/>
              </w:rPr>
              <w:t>证书复印件</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否则不得分</w:t>
            </w:r>
            <w:r>
              <w:rPr>
                <w:rFonts w:hint="eastAsia" w:ascii="宋体" w:hAnsi="宋体" w:cs="宋体"/>
                <w:bCs/>
                <w:sz w:val="24"/>
                <w:szCs w:val="24"/>
                <w:highlight w:val="none"/>
              </w:rPr>
              <w:t>。</w:t>
            </w:r>
            <w:r>
              <w:rPr>
                <w:rFonts w:hint="eastAsia" w:ascii="宋体" w:hAnsi="宋体" w:cs="宋体"/>
                <w:bCs/>
                <w:sz w:val="24"/>
                <w:szCs w:val="24"/>
                <w:highlight w:val="none"/>
                <w:lang w:eastAsia="zh-CN"/>
              </w:rPr>
              <w:t>）</w:t>
            </w:r>
          </w:p>
        </w:tc>
        <w:tc>
          <w:tcPr>
            <w:tcW w:w="855" w:type="dxa"/>
            <w:tcBorders>
              <w:top w:val="single" w:color="000000" w:sz="4" w:space="0"/>
              <w:left w:val="single" w:color="000000" w:sz="4" w:space="0"/>
              <w:right w:val="single" w:color="000000" w:sz="4" w:space="0"/>
            </w:tcBorders>
            <w:noWrap w:val="0"/>
            <w:vAlign w:val="center"/>
          </w:tcPr>
          <w:p>
            <w:pPr>
              <w:pStyle w:val="100"/>
              <w:spacing w:before="0" w:line="400" w:lineRule="atLeast"/>
              <w:ind w:firstLine="0" w:firstLineChars="0"/>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400" w:lineRule="atLeast"/>
              <w:ind w:firstLine="0" w:firstLineChars="0"/>
              <w:rPr>
                <w:rFonts w:hint="eastAsia" w:ascii="宋体" w:hAnsi="宋体" w:eastAsia="宋体" w:cs="宋体"/>
                <w:b/>
                <w:szCs w:val="24"/>
                <w:highlight w:val="none"/>
              </w:rPr>
            </w:pPr>
            <w:r>
              <w:rPr>
                <w:rFonts w:hint="eastAsia" w:ascii="宋体" w:hAnsi="宋体" w:eastAsia="宋体" w:cs="宋体"/>
                <w:bCs/>
                <w:szCs w:val="24"/>
                <w:highlight w:val="none"/>
              </w:rPr>
              <w:t>2．业绩（</w:t>
            </w:r>
            <w:r>
              <w:rPr>
                <w:rFonts w:hint="eastAsia" w:ascii="宋体" w:hAnsi="宋体" w:eastAsia="宋体" w:cs="宋体"/>
                <w:bCs/>
                <w:szCs w:val="24"/>
                <w:highlight w:val="none"/>
                <w:lang w:val="en-US" w:eastAsia="zh-CN"/>
              </w:rPr>
              <w:t>2</w:t>
            </w:r>
            <w:r>
              <w:rPr>
                <w:rFonts w:hint="eastAsia" w:ascii="宋体" w:hAnsi="宋体" w:eastAsia="宋体" w:cs="宋体"/>
                <w:bCs/>
                <w:szCs w:val="24"/>
                <w:highlight w:val="none"/>
              </w:rPr>
              <w:t>分）</w:t>
            </w:r>
          </w:p>
        </w:tc>
        <w:tc>
          <w:tcPr>
            <w:tcW w:w="6295"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25" w:lineRule="atLeast"/>
              <w:ind w:firstLine="0" w:firstLineChars="0"/>
              <w:jc w:val="left"/>
              <w:rPr>
                <w:rFonts w:hint="eastAsia" w:ascii="宋体" w:hAnsi="宋体" w:eastAsia="宋体" w:cs="宋体"/>
                <w:b/>
                <w:szCs w:val="24"/>
                <w:highlight w:val="none"/>
              </w:rPr>
            </w:pPr>
            <w:r>
              <w:rPr>
                <w:rFonts w:hint="eastAsia" w:ascii="宋体" w:hAnsi="宋体" w:eastAsia="宋体" w:cs="宋体"/>
                <w:b/>
                <w:szCs w:val="24"/>
                <w:highlight w:val="none"/>
              </w:rPr>
              <w:t>投标人提供201</w:t>
            </w:r>
            <w:r>
              <w:rPr>
                <w:rFonts w:hint="eastAsia" w:ascii="宋体" w:hAnsi="宋体" w:eastAsia="宋体" w:cs="宋体"/>
                <w:b/>
                <w:szCs w:val="24"/>
                <w:highlight w:val="none"/>
                <w:lang w:val="en-US" w:eastAsia="zh-CN"/>
              </w:rPr>
              <w:t>8</w:t>
            </w:r>
            <w:r>
              <w:rPr>
                <w:rFonts w:hint="eastAsia" w:ascii="宋体" w:hAnsi="宋体" w:eastAsia="宋体" w:cs="宋体"/>
                <w:b/>
                <w:szCs w:val="24"/>
                <w:highlight w:val="none"/>
              </w:rPr>
              <w:t>年1月1日以来的类似实验室业绩一份，每个得1分，最多得</w:t>
            </w:r>
            <w:r>
              <w:rPr>
                <w:rFonts w:hint="eastAsia" w:ascii="宋体" w:hAnsi="宋体" w:eastAsia="宋体" w:cs="宋体"/>
                <w:b/>
                <w:szCs w:val="24"/>
                <w:highlight w:val="none"/>
                <w:lang w:val="en-US" w:eastAsia="zh-CN"/>
              </w:rPr>
              <w:t>2</w:t>
            </w:r>
            <w:r>
              <w:rPr>
                <w:rFonts w:hint="eastAsia" w:ascii="宋体" w:hAnsi="宋体" w:eastAsia="宋体" w:cs="宋体"/>
                <w:b/>
                <w:szCs w:val="24"/>
                <w:highlight w:val="none"/>
              </w:rPr>
              <w:t>分。</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需提供相关合同</w:t>
            </w:r>
            <w:r>
              <w:rPr>
                <w:rFonts w:hint="eastAsia" w:ascii="宋体" w:hAnsi="宋体" w:cs="宋体"/>
                <w:bCs/>
                <w:sz w:val="24"/>
                <w:szCs w:val="24"/>
                <w:highlight w:val="none"/>
              </w:rPr>
              <w:t>复印件</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否则不得分</w:t>
            </w:r>
            <w:r>
              <w:rPr>
                <w:rFonts w:hint="eastAsia" w:ascii="宋体" w:hAnsi="宋体" w:cs="宋体"/>
                <w:bCs/>
                <w:sz w:val="24"/>
                <w:szCs w:val="24"/>
                <w:highlight w:val="none"/>
              </w:rPr>
              <w:t>。</w:t>
            </w:r>
            <w:r>
              <w:rPr>
                <w:rFonts w:hint="eastAsia" w:ascii="宋体" w:hAnsi="宋体" w:cs="宋体"/>
                <w:bCs/>
                <w:sz w:val="24"/>
                <w:szCs w:val="24"/>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pStyle w:val="100"/>
              <w:spacing w:before="0" w:line="400" w:lineRule="atLeast"/>
              <w:ind w:firstLine="0" w:firstLineChars="0"/>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400" w:lineRule="atLeast"/>
              <w:ind w:firstLine="0" w:firstLineChars="0"/>
              <w:rPr>
                <w:rFonts w:hint="eastAsia" w:ascii="宋体" w:hAnsi="宋体" w:eastAsia="宋体" w:cs="宋体"/>
                <w:szCs w:val="24"/>
                <w:highlight w:val="none"/>
              </w:rPr>
            </w:pPr>
            <w:r>
              <w:rPr>
                <w:rFonts w:hint="eastAsia" w:ascii="宋体" w:hAnsi="宋体" w:eastAsia="宋体" w:cs="宋体"/>
                <w:szCs w:val="24"/>
                <w:highlight w:val="none"/>
              </w:rPr>
              <w:t>3.项目拟派人员（</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分）</w:t>
            </w:r>
          </w:p>
        </w:tc>
        <w:tc>
          <w:tcPr>
            <w:tcW w:w="6295"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25" w:lineRule="atLeast"/>
              <w:ind w:firstLine="0" w:firstLineChars="0"/>
              <w:jc w:val="left"/>
              <w:rPr>
                <w:rFonts w:hint="eastAsia" w:ascii="宋体" w:hAnsi="宋体" w:eastAsia="宋体" w:cs="宋体"/>
                <w:szCs w:val="24"/>
                <w:highlight w:val="none"/>
              </w:rPr>
            </w:pPr>
            <w:r>
              <w:rPr>
                <w:rFonts w:hint="eastAsia" w:ascii="宋体" w:hAnsi="宋体" w:eastAsia="宋体" w:cs="宋体"/>
                <w:szCs w:val="24"/>
                <w:highlight w:val="none"/>
              </w:rPr>
              <w:t>投入本项目的人员的人数、经验、学历等情况</w:t>
            </w:r>
            <w:r>
              <w:rPr>
                <w:rFonts w:hint="eastAsia" w:ascii="宋体" w:hAnsi="宋体" w:eastAsia="宋体" w:cs="宋体"/>
                <w:szCs w:val="24"/>
                <w:highlight w:val="none"/>
                <w:lang w:val="en-US" w:eastAsia="zh-CN"/>
              </w:rPr>
              <w:t>酌情</w:t>
            </w:r>
            <w:r>
              <w:rPr>
                <w:rFonts w:hint="eastAsia" w:ascii="宋体" w:hAnsi="宋体" w:eastAsia="宋体" w:cs="宋体"/>
                <w:szCs w:val="24"/>
                <w:highlight w:val="none"/>
              </w:rPr>
              <w:t>打分；最高得</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分，</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需提供相关</w:t>
            </w:r>
            <w:r>
              <w:rPr>
                <w:rFonts w:hint="eastAsia" w:ascii="宋体" w:hAnsi="宋体" w:cs="宋体"/>
                <w:bCs/>
                <w:sz w:val="24"/>
                <w:szCs w:val="24"/>
                <w:highlight w:val="none"/>
              </w:rPr>
              <w:t>证书复印件</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否则不得分</w:t>
            </w:r>
            <w:r>
              <w:rPr>
                <w:rFonts w:hint="eastAsia" w:ascii="宋体" w:hAnsi="宋体" w:cs="宋体"/>
                <w:bCs/>
                <w:sz w:val="24"/>
                <w:szCs w:val="24"/>
                <w:highlight w:val="none"/>
              </w:rPr>
              <w:t>。</w:t>
            </w:r>
            <w:r>
              <w:rPr>
                <w:rFonts w:hint="eastAsia" w:ascii="宋体" w:hAnsi="宋体" w:cs="宋体"/>
                <w:bCs/>
                <w:sz w:val="24"/>
                <w:szCs w:val="24"/>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pStyle w:val="100"/>
              <w:spacing w:before="0" w:line="400" w:lineRule="atLeast"/>
              <w:ind w:firstLine="0" w:firstLineChars="0"/>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400" w:lineRule="atLeast"/>
              <w:ind w:firstLine="0" w:firstLineChars="0"/>
              <w:rPr>
                <w:rFonts w:hint="eastAsia" w:ascii="宋体" w:hAnsi="宋体" w:eastAsia="宋体" w:cs="宋体"/>
                <w:szCs w:val="24"/>
                <w:highlight w:val="none"/>
              </w:rPr>
            </w:pPr>
            <w:r>
              <w:rPr>
                <w:rFonts w:hint="eastAsia" w:ascii="宋体" w:hAnsi="宋体" w:eastAsia="宋体" w:cs="宋体"/>
                <w:szCs w:val="24"/>
                <w:highlight w:val="none"/>
              </w:rPr>
              <w:t>4.</w:t>
            </w:r>
            <w:r>
              <w:rPr>
                <w:rFonts w:hint="eastAsia" w:ascii="宋体" w:hAnsi="宋体" w:eastAsia="宋体" w:cs="宋体"/>
                <w:szCs w:val="24"/>
                <w:highlight w:val="none"/>
                <w:lang w:eastAsia="zh-CN"/>
              </w:rPr>
              <w:t>质保期</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rPr>
              <w:t>分）</w:t>
            </w:r>
          </w:p>
        </w:tc>
        <w:tc>
          <w:tcPr>
            <w:tcW w:w="6295"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25" w:lineRule="atLeast"/>
              <w:ind w:firstLine="0" w:firstLineChars="0"/>
              <w:jc w:val="left"/>
              <w:rPr>
                <w:rFonts w:hint="eastAsia" w:ascii="宋体" w:hAnsi="宋体" w:eastAsia="宋体" w:cs="宋体"/>
                <w:szCs w:val="24"/>
                <w:highlight w:val="none"/>
              </w:rPr>
            </w:pPr>
            <w:r>
              <w:rPr>
                <w:rFonts w:hint="eastAsia" w:ascii="宋体" w:hAnsi="宋体" w:eastAsia="宋体" w:cs="宋体"/>
                <w:bCs/>
                <w:szCs w:val="24"/>
                <w:highlight w:val="none"/>
              </w:rPr>
              <w:t>投标人在</w:t>
            </w:r>
            <w:r>
              <w:rPr>
                <w:rFonts w:hint="eastAsia" w:ascii="宋体" w:hAnsi="宋体" w:eastAsia="宋体" w:cs="宋体"/>
                <w:bCs/>
                <w:szCs w:val="24"/>
                <w:highlight w:val="none"/>
                <w:lang w:val="en-US" w:eastAsia="zh-CN"/>
              </w:rPr>
              <w:t>1</w:t>
            </w:r>
            <w:r>
              <w:rPr>
                <w:rFonts w:hint="eastAsia" w:ascii="宋体" w:hAnsi="宋体" w:eastAsia="宋体" w:cs="宋体"/>
                <w:bCs/>
                <w:szCs w:val="24"/>
                <w:highlight w:val="none"/>
              </w:rPr>
              <w:t>年免费质保期的基础上，每增加</w:t>
            </w:r>
            <w:r>
              <w:rPr>
                <w:rFonts w:hint="eastAsia" w:ascii="宋体" w:hAnsi="宋体" w:eastAsia="宋体" w:cs="宋体"/>
                <w:bCs/>
                <w:szCs w:val="24"/>
                <w:highlight w:val="none"/>
                <w:lang w:val="en-US" w:eastAsia="zh-CN"/>
              </w:rPr>
              <w:t>0</w:t>
            </w:r>
            <w:r>
              <w:rPr>
                <w:rFonts w:hint="eastAsia" w:ascii="宋体" w:hAnsi="宋体" w:eastAsia="宋体" w:cs="宋体"/>
                <w:bCs/>
                <w:szCs w:val="24"/>
                <w:highlight w:val="none"/>
                <w:lang w:val="en-US" w:eastAsia="zh-CN"/>
              </w:rPr>
              <w:t>.5</w:t>
            </w:r>
            <w:r>
              <w:rPr>
                <w:rFonts w:hint="eastAsia" w:ascii="宋体" w:hAnsi="宋体" w:eastAsia="宋体" w:cs="宋体"/>
                <w:bCs/>
                <w:szCs w:val="24"/>
                <w:highlight w:val="none"/>
              </w:rPr>
              <w:t>年的免费质保期服务得1分，满分</w:t>
            </w:r>
            <w:r>
              <w:rPr>
                <w:rFonts w:hint="eastAsia" w:ascii="宋体" w:hAnsi="宋体" w:eastAsia="宋体" w:cs="宋体"/>
                <w:bCs/>
                <w:szCs w:val="24"/>
                <w:highlight w:val="none"/>
                <w:lang w:val="en-US" w:eastAsia="zh-CN"/>
              </w:rPr>
              <w:t>4</w:t>
            </w:r>
            <w:r>
              <w:rPr>
                <w:rFonts w:hint="eastAsia" w:ascii="宋体" w:hAnsi="宋体" w:eastAsia="宋体" w:cs="宋体"/>
                <w:bCs/>
                <w:szCs w:val="24"/>
                <w:highlight w:val="none"/>
              </w:rPr>
              <w:t>分，</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需提供相关</w:t>
            </w:r>
            <w:r>
              <w:rPr>
                <w:rFonts w:hint="eastAsia" w:ascii="宋体" w:hAnsi="宋体" w:eastAsia="宋体" w:cs="宋体"/>
                <w:bCs/>
                <w:sz w:val="24"/>
                <w:szCs w:val="24"/>
                <w:highlight w:val="none"/>
                <w:lang w:val="en-US" w:eastAsia="zh-CN"/>
              </w:rPr>
              <w:t>承诺书</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否则不得分</w:t>
            </w:r>
            <w:r>
              <w:rPr>
                <w:rFonts w:hint="eastAsia" w:ascii="宋体" w:hAnsi="宋体" w:cs="宋体"/>
                <w:bCs/>
                <w:sz w:val="24"/>
                <w:szCs w:val="24"/>
                <w:highlight w:val="none"/>
              </w:rPr>
              <w:t>。</w:t>
            </w:r>
            <w:r>
              <w:rPr>
                <w:rFonts w:hint="eastAsia" w:ascii="宋体" w:hAnsi="宋体" w:cs="宋体"/>
                <w:bCs/>
                <w:sz w:val="24"/>
                <w:szCs w:val="24"/>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pStyle w:val="100"/>
              <w:spacing w:before="0" w:line="400" w:lineRule="atLeast"/>
              <w:ind w:firstLine="0" w:firstLineChars="0"/>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400" w:lineRule="atLeast"/>
              <w:ind w:firstLine="0" w:firstLineChars="0"/>
              <w:rPr>
                <w:rFonts w:hint="eastAsia" w:ascii="宋体" w:hAnsi="宋体" w:eastAsia="宋体" w:cs="宋体"/>
                <w:szCs w:val="24"/>
                <w:highlight w:val="none"/>
              </w:rPr>
            </w:pP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售后服务方案（</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分）</w:t>
            </w:r>
          </w:p>
        </w:tc>
        <w:tc>
          <w:tcPr>
            <w:tcW w:w="6295"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25" w:lineRule="atLeast"/>
              <w:ind w:firstLine="0" w:firstLineChars="0"/>
              <w:jc w:val="left"/>
              <w:rPr>
                <w:rFonts w:hint="eastAsia" w:ascii="宋体" w:hAnsi="宋体" w:eastAsia="宋体" w:cs="宋体"/>
                <w:bCs/>
                <w:szCs w:val="24"/>
                <w:highlight w:val="none"/>
                <w:lang w:eastAsia="zh-CN"/>
              </w:rPr>
            </w:pPr>
            <w:r>
              <w:rPr>
                <w:rFonts w:hint="eastAsia" w:ascii="宋体" w:hAnsi="宋体" w:eastAsia="宋体" w:cs="宋体"/>
                <w:bCs/>
                <w:szCs w:val="24"/>
                <w:highlight w:val="none"/>
              </w:rPr>
              <w:t>根据投标人提供</w:t>
            </w:r>
            <w:r>
              <w:rPr>
                <w:rFonts w:hint="eastAsia" w:ascii="宋体" w:hAnsi="宋体" w:eastAsia="宋体" w:cs="宋体"/>
                <w:bCs/>
                <w:szCs w:val="24"/>
                <w:highlight w:val="none"/>
              </w:rPr>
              <w:t>包括对售后服务承诺、免费维保期内发生各类故障的保修范围、故障响应修复时间、响应方式等</w:t>
            </w:r>
            <w:r>
              <w:rPr>
                <w:rFonts w:hint="eastAsia" w:ascii="宋体" w:hAnsi="宋体" w:eastAsia="宋体" w:cs="宋体"/>
                <w:bCs/>
                <w:szCs w:val="24"/>
                <w:highlight w:val="none"/>
                <w:lang w:val="en-US" w:eastAsia="zh-CN"/>
              </w:rPr>
              <w:t>酌情</w:t>
            </w:r>
            <w:r>
              <w:rPr>
                <w:rFonts w:hint="eastAsia" w:ascii="宋体" w:hAnsi="宋体" w:eastAsia="宋体" w:cs="宋体"/>
                <w:bCs/>
                <w:szCs w:val="24"/>
                <w:highlight w:val="none"/>
              </w:rPr>
              <w:t>打分；</w:t>
            </w:r>
            <w:r>
              <w:rPr>
                <w:rFonts w:hint="eastAsia" w:ascii="宋体" w:hAnsi="宋体" w:eastAsia="宋体" w:cs="宋体"/>
                <w:bCs/>
                <w:szCs w:val="24"/>
                <w:highlight w:val="none"/>
                <w:lang w:eastAsia="zh-CN"/>
              </w:rPr>
              <w:t>（</w:t>
            </w:r>
            <w:r>
              <w:rPr>
                <w:rFonts w:hint="eastAsia" w:ascii="宋体" w:hAnsi="宋体" w:eastAsia="宋体" w:cs="宋体"/>
                <w:bCs/>
                <w:szCs w:val="24"/>
                <w:highlight w:val="none"/>
                <w:lang w:val="en-US" w:eastAsia="zh-CN"/>
              </w:rPr>
              <w:t>0-5分</w:t>
            </w:r>
            <w:r>
              <w:rPr>
                <w:rFonts w:hint="eastAsia" w:ascii="宋体" w:hAnsi="宋体" w:eastAsia="宋体" w:cs="宋体"/>
                <w:bCs/>
                <w:szCs w:val="24"/>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pStyle w:val="100"/>
              <w:spacing w:before="0" w:line="400" w:lineRule="atLeast"/>
              <w:ind w:firstLine="0" w:firstLineChars="0"/>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400" w:lineRule="atLeast"/>
              <w:ind w:firstLine="0" w:firstLineChars="0"/>
              <w:rPr>
                <w:rFonts w:hint="default" w:ascii="宋体" w:hAnsi="宋体" w:eastAsia="宋体" w:cs="宋体"/>
                <w:szCs w:val="24"/>
                <w:highlight w:val="none"/>
                <w:lang w:val="en-US" w:eastAsia="zh-CN"/>
              </w:rPr>
            </w:pPr>
            <w:r>
              <w:rPr>
                <w:rFonts w:hint="eastAsia" w:ascii="宋体" w:hAnsi="宋体" w:eastAsia="宋体" w:cs="宋体"/>
                <w:szCs w:val="24"/>
                <w:highlight w:val="none"/>
                <w:lang w:val="en-US" w:eastAsia="zh-CN"/>
              </w:rPr>
              <w:t>6.、</w:t>
            </w:r>
            <w:r>
              <w:rPr>
                <w:rFonts w:hint="eastAsia" w:ascii="宋体" w:hAnsi="宋体" w:eastAsia="宋体" w:cs="宋体"/>
                <w:szCs w:val="24"/>
                <w:highlight w:val="none"/>
                <w:lang w:eastAsia="zh-CN"/>
              </w:rPr>
              <w:t>培训计划</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分）</w:t>
            </w:r>
          </w:p>
        </w:tc>
        <w:tc>
          <w:tcPr>
            <w:tcW w:w="6295"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25" w:lineRule="atLeast"/>
              <w:ind w:firstLine="0" w:firstLineChars="0"/>
              <w:jc w:val="left"/>
              <w:rPr>
                <w:rFonts w:hint="eastAsia" w:ascii="宋体" w:hAnsi="宋体" w:eastAsia="宋体" w:cs="宋体"/>
                <w:bCs/>
                <w:szCs w:val="24"/>
                <w:highlight w:val="none"/>
              </w:rPr>
            </w:pPr>
            <w:r>
              <w:rPr>
                <w:rFonts w:hint="eastAsia" w:ascii="宋体" w:hAnsi="宋体" w:eastAsia="宋体" w:cs="宋体"/>
                <w:bCs/>
                <w:szCs w:val="24"/>
                <w:highlight w:val="none"/>
              </w:rPr>
              <w:t>根据投标人提供</w:t>
            </w:r>
            <w:r>
              <w:rPr>
                <w:rFonts w:hint="eastAsia" w:ascii="宋体" w:hAnsi="宋体" w:eastAsia="宋体" w:cs="宋体"/>
                <w:bCs/>
                <w:szCs w:val="24"/>
                <w:highlight w:val="none"/>
                <w:lang w:val="en-US" w:eastAsia="zh-CN"/>
              </w:rPr>
              <w:t>的</w:t>
            </w:r>
            <w:r>
              <w:rPr>
                <w:rFonts w:hint="eastAsia" w:ascii="宋体" w:hAnsi="宋体" w:eastAsia="宋体" w:cs="宋体"/>
                <w:bCs/>
                <w:szCs w:val="24"/>
                <w:highlight w:val="none"/>
              </w:rPr>
              <w:t>一整套的培训方案、培训资料和培训计划的描述及完整性</w:t>
            </w:r>
            <w:r>
              <w:rPr>
                <w:rFonts w:hint="eastAsia" w:ascii="宋体" w:hAnsi="宋体" w:eastAsia="宋体" w:cs="宋体"/>
                <w:bCs/>
                <w:szCs w:val="24"/>
                <w:highlight w:val="none"/>
                <w:lang w:val="en-US" w:eastAsia="zh-CN"/>
              </w:rPr>
              <w:t>酌情打分</w:t>
            </w:r>
            <w:r>
              <w:rPr>
                <w:rFonts w:hint="eastAsia" w:ascii="宋体" w:hAnsi="宋体" w:eastAsia="宋体" w:cs="宋体"/>
                <w:bCs/>
                <w:szCs w:val="24"/>
                <w:highlight w:val="none"/>
              </w:rPr>
              <w:t>，最高得</w:t>
            </w:r>
            <w:r>
              <w:rPr>
                <w:rFonts w:hint="eastAsia" w:ascii="宋体" w:hAnsi="宋体" w:eastAsia="宋体" w:cs="宋体"/>
                <w:bCs/>
                <w:szCs w:val="24"/>
                <w:highlight w:val="none"/>
                <w:lang w:val="en-US" w:eastAsia="zh-CN"/>
              </w:rPr>
              <w:t>5</w:t>
            </w:r>
            <w:r>
              <w:rPr>
                <w:rFonts w:hint="eastAsia" w:ascii="宋体" w:hAnsi="宋体" w:eastAsia="宋体" w:cs="宋体"/>
                <w:bCs/>
                <w:szCs w:val="24"/>
                <w:highlight w:val="none"/>
              </w:rPr>
              <w:t>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pStyle w:val="100"/>
              <w:spacing w:before="0" w:line="400" w:lineRule="atLeast"/>
              <w:ind w:firstLine="0" w:firstLineChars="0"/>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400" w:lineRule="atLeast"/>
              <w:ind w:firstLine="0" w:firstLineChars="0"/>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7.</w:t>
            </w:r>
            <w:r>
              <w:rPr>
                <w:rFonts w:hint="eastAsia" w:ascii="宋体" w:hAnsi="宋体" w:eastAsia="宋体" w:cs="宋体"/>
                <w:szCs w:val="24"/>
                <w:highlight w:val="none"/>
                <w:lang w:eastAsia="zh-CN"/>
              </w:rPr>
              <w:t>项目实施方案</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rPr>
              <w:t>分）</w:t>
            </w:r>
          </w:p>
        </w:tc>
        <w:tc>
          <w:tcPr>
            <w:tcW w:w="6295"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25" w:lineRule="atLeast"/>
              <w:ind w:firstLine="0" w:firstLineChars="0"/>
              <w:jc w:val="left"/>
              <w:rPr>
                <w:rFonts w:hint="eastAsia" w:ascii="宋体" w:hAnsi="宋体" w:eastAsia="宋体" w:cs="宋体"/>
                <w:b/>
                <w:bCs w:val="0"/>
                <w:szCs w:val="24"/>
                <w:highlight w:val="none"/>
              </w:rPr>
            </w:pPr>
            <w:r>
              <w:rPr>
                <w:rFonts w:hint="eastAsia" w:ascii="宋体" w:hAnsi="宋体" w:eastAsia="宋体" w:cs="宋体"/>
                <w:bCs/>
                <w:szCs w:val="24"/>
                <w:highlight w:val="none"/>
              </w:rPr>
              <w:t>根据投标人提供</w:t>
            </w:r>
            <w:r>
              <w:rPr>
                <w:rFonts w:hint="eastAsia" w:ascii="宋体" w:hAnsi="宋体" w:eastAsia="宋体" w:cs="宋体"/>
                <w:bCs/>
                <w:szCs w:val="24"/>
                <w:highlight w:val="none"/>
                <w:lang w:val="en-US" w:eastAsia="zh-CN"/>
              </w:rPr>
              <w:t>的</w:t>
            </w:r>
            <w:r>
              <w:rPr>
                <w:rFonts w:hint="eastAsia" w:ascii="宋体" w:hAnsi="宋体" w:eastAsia="宋体" w:cs="宋体"/>
                <w:bCs/>
                <w:szCs w:val="24"/>
                <w:highlight w:val="none"/>
              </w:rPr>
              <w:t>实施方案的科学性、合理性、规范性和可操作性，包括系统集成、产品供货、验货、安装调试、试运行、测试、调优、系统管理培训、系统运行维护等内容</w:t>
            </w:r>
            <w:r>
              <w:rPr>
                <w:rFonts w:hint="eastAsia" w:ascii="宋体" w:hAnsi="宋体" w:eastAsia="宋体" w:cs="宋体"/>
                <w:bCs/>
                <w:szCs w:val="24"/>
                <w:highlight w:val="none"/>
                <w:lang w:val="en-US" w:eastAsia="zh-CN"/>
              </w:rPr>
              <w:t>酌情打分</w:t>
            </w:r>
            <w:r>
              <w:rPr>
                <w:rFonts w:hint="eastAsia" w:ascii="宋体" w:hAnsi="宋体" w:eastAsia="宋体" w:cs="宋体"/>
                <w:bCs/>
                <w:szCs w:val="24"/>
                <w:highlight w:val="none"/>
              </w:rPr>
              <w:t>，</w:t>
            </w:r>
            <w:r>
              <w:rPr>
                <w:rFonts w:hint="eastAsia" w:ascii="宋体" w:hAnsi="宋体" w:eastAsia="宋体" w:cs="宋体"/>
                <w:bCs/>
                <w:szCs w:val="24"/>
                <w:highlight w:val="none"/>
                <w:lang w:eastAsia="zh-CN"/>
              </w:rPr>
              <w:t>（</w:t>
            </w:r>
            <w:r>
              <w:rPr>
                <w:rFonts w:hint="eastAsia" w:ascii="宋体" w:hAnsi="宋体" w:eastAsia="宋体" w:cs="宋体"/>
                <w:bCs/>
                <w:szCs w:val="24"/>
                <w:highlight w:val="none"/>
                <w:lang w:val="en-US" w:eastAsia="zh-CN"/>
              </w:rPr>
              <w:t>0-4分</w:t>
            </w:r>
            <w:r>
              <w:rPr>
                <w:rFonts w:hint="eastAsia" w:ascii="宋体" w:hAnsi="宋体" w:eastAsia="宋体" w:cs="宋体"/>
                <w:bCs/>
                <w:szCs w:val="24"/>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pStyle w:val="100"/>
              <w:spacing w:before="0" w:line="400" w:lineRule="atLeast"/>
              <w:ind w:firstLine="0" w:firstLineChars="0"/>
              <w:jc w:val="center"/>
              <w:rPr>
                <w:rFonts w:hint="default" w:ascii="宋体" w:hAnsi="宋体" w:eastAsia="宋体" w:cs="宋体"/>
                <w:szCs w:val="24"/>
                <w:highlight w:val="none"/>
                <w:lang w:val="en-US" w:eastAsia="zh-CN"/>
              </w:rPr>
            </w:pPr>
            <w:r>
              <w:rPr>
                <w:rFonts w:hint="eastAsia" w:ascii="宋体" w:hAnsi="宋体" w:eastAsia="宋体" w:cs="宋体"/>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3"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400" w:lineRule="atLeast"/>
              <w:ind w:firstLine="0" w:firstLineChars="0"/>
              <w:rPr>
                <w:rFonts w:hint="default" w:ascii="宋体" w:hAnsi="宋体" w:eastAsia="宋体" w:cs="宋体"/>
                <w:szCs w:val="24"/>
                <w:highlight w:val="none"/>
                <w:lang w:val="en-US" w:eastAsia="zh-CN"/>
              </w:rPr>
            </w:pPr>
            <w:r>
              <w:rPr>
                <w:rFonts w:hint="eastAsia" w:ascii="宋体" w:hAnsi="宋体" w:eastAsia="宋体" w:cs="宋体"/>
                <w:szCs w:val="24"/>
                <w:highlight w:val="none"/>
                <w:lang w:val="en-US" w:eastAsia="zh-CN"/>
              </w:rPr>
              <w:t>8.项目组织进度计划（3）</w:t>
            </w:r>
          </w:p>
        </w:tc>
        <w:tc>
          <w:tcPr>
            <w:tcW w:w="6295"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25" w:lineRule="atLeast"/>
              <w:ind w:firstLine="0" w:firstLineChars="0"/>
              <w:jc w:val="left"/>
              <w:rPr>
                <w:rFonts w:hint="eastAsia" w:ascii="宋体" w:hAnsi="宋体" w:eastAsia="宋体" w:cs="宋体"/>
                <w:bCs/>
                <w:szCs w:val="24"/>
                <w:highlight w:val="none"/>
              </w:rPr>
            </w:pPr>
            <w:r>
              <w:rPr>
                <w:rFonts w:hint="eastAsia" w:ascii="宋体" w:hAnsi="宋体" w:eastAsia="宋体" w:cs="宋体"/>
                <w:bCs/>
                <w:szCs w:val="24"/>
                <w:highlight w:val="none"/>
              </w:rPr>
              <w:t>根据投标人提供</w:t>
            </w:r>
            <w:r>
              <w:rPr>
                <w:rFonts w:hint="eastAsia" w:ascii="宋体" w:hAnsi="宋体" w:eastAsia="宋体" w:cs="宋体"/>
                <w:bCs/>
                <w:szCs w:val="24"/>
                <w:highlight w:val="none"/>
                <w:lang w:val="en-US" w:eastAsia="zh-CN"/>
              </w:rPr>
              <w:t>的</w:t>
            </w:r>
            <w:r>
              <w:rPr>
                <w:rFonts w:hint="eastAsia" w:ascii="宋体" w:hAnsi="宋体" w:eastAsia="宋体" w:cs="宋体"/>
                <w:bCs/>
                <w:szCs w:val="24"/>
                <w:highlight w:val="none"/>
              </w:rPr>
              <w:t>组织机构、工作时间进度表、工作程序和步骤、管理和协调方法、关键步骤的思路和要点等</w:t>
            </w:r>
            <w:r>
              <w:rPr>
                <w:rFonts w:hint="eastAsia" w:ascii="宋体" w:hAnsi="宋体" w:eastAsia="宋体" w:cs="宋体"/>
                <w:bCs/>
                <w:szCs w:val="24"/>
                <w:highlight w:val="none"/>
                <w:lang w:val="en-US" w:eastAsia="zh-CN"/>
              </w:rPr>
              <w:t>酌情打分</w:t>
            </w:r>
            <w:r>
              <w:rPr>
                <w:rFonts w:hint="eastAsia" w:ascii="宋体" w:hAnsi="宋体" w:eastAsia="宋体" w:cs="宋体"/>
                <w:bCs/>
                <w:szCs w:val="24"/>
                <w:highlight w:val="none"/>
              </w:rPr>
              <w:t>，</w:t>
            </w:r>
            <w:r>
              <w:rPr>
                <w:rFonts w:hint="eastAsia" w:ascii="宋体" w:hAnsi="宋体" w:eastAsia="宋体" w:cs="宋体"/>
                <w:bCs/>
                <w:szCs w:val="24"/>
                <w:highlight w:val="none"/>
                <w:lang w:eastAsia="zh-CN"/>
              </w:rPr>
              <w:t>（</w:t>
            </w:r>
            <w:r>
              <w:rPr>
                <w:rFonts w:hint="eastAsia" w:ascii="宋体" w:hAnsi="宋体" w:eastAsia="宋体" w:cs="宋体"/>
                <w:bCs/>
                <w:szCs w:val="24"/>
                <w:highlight w:val="none"/>
                <w:lang w:val="en-US" w:eastAsia="zh-CN"/>
              </w:rPr>
              <w:t>0-3分</w:t>
            </w:r>
            <w:r>
              <w:rPr>
                <w:rFonts w:hint="eastAsia" w:ascii="宋体" w:hAnsi="宋体" w:eastAsia="宋体" w:cs="宋体"/>
                <w:bCs/>
                <w:szCs w:val="24"/>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pStyle w:val="100"/>
              <w:spacing w:before="0" w:line="400" w:lineRule="atLeast"/>
              <w:ind w:firstLine="0" w:firstLineChars="0"/>
              <w:jc w:val="center"/>
              <w:rPr>
                <w:rFonts w:hint="default" w:ascii="宋体" w:hAnsi="宋体" w:eastAsia="宋体" w:cs="宋体"/>
                <w:szCs w:val="24"/>
                <w:highlight w:val="none"/>
                <w:lang w:val="en-US" w:eastAsia="zh-CN"/>
              </w:rPr>
            </w:pPr>
            <w:r>
              <w:rPr>
                <w:rFonts w:hint="eastAsia" w:ascii="宋体" w:hAnsi="宋体" w:eastAsia="宋体" w:cs="宋体"/>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63" w:type="dxa"/>
            <w:tcBorders>
              <w:top w:val="single" w:color="000000" w:sz="4" w:space="0"/>
              <w:left w:val="single" w:color="000000" w:sz="4" w:space="0"/>
              <w:right w:val="single" w:color="000000" w:sz="4" w:space="0"/>
            </w:tcBorders>
            <w:noWrap w:val="0"/>
            <w:vAlign w:val="top"/>
          </w:tcPr>
          <w:p>
            <w:pPr>
              <w:pStyle w:val="100"/>
              <w:spacing w:before="0" w:line="400" w:lineRule="atLeast"/>
              <w:ind w:firstLine="0" w:firstLineChars="0"/>
              <w:rPr>
                <w:rFonts w:hint="eastAsia" w:ascii="宋体" w:hAnsi="宋体" w:eastAsia="宋体" w:cs="宋体"/>
                <w:szCs w:val="24"/>
                <w:highlight w:val="none"/>
              </w:rPr>
            </w:pPr>
            <w:r>
              <w:rPr>
                <w:rFonts w:hint="eastAsia" w:ascii="宋体" w:hAnsi="宋体" w:eastAsia="宋体" w:cs="宋体"/>
                <w:szCs w:val="24"/>
                <w:highlight w:val="none"/>
                <w:lang w:val="en-US" w:eastAsia="zh-CN"/>
              </w:rPr>
              <w:t>9</w:t>
            </w:r>
            <w:r>
              <w:rPr>
                <w:rFonts w:hint="eastAsia" w:ascii="宋体" w:hAnsi="宋体" w:eastAsia="宋体" w:cs="宋体"/>
                <w:szCs w:val="24"/>
                <w:highlight w:val="none"/>
              </w:rPr>
              <w:t>.技术需求部分（</w:t>
            </w:r>
            <w:r>
              <w:rPr>
                <w:rFonts w:hint="eastAsia" w:ascii="宋体" w:hAnsi="宋体" w:eastAsia="宋体" w:cs="宋体"/>
                <w:szCs w:val="24"/>
                <w:highlight w:val="none"/>
                <w:lang w:val="en-US" w:eastAsia="zh-CN"/>
              </w:rPr>
              <w:t>36分</w:t>
            </w:r>
            <w:r>
              <w:rPr>
                <w:rFonts w:hint="eastAsia" w:ascii="宋体" w:hAnsi="宋体" w:eastAsia="宋体" w:cs="宋体"/>
                <w:szCs w:val="24"/>
                <w:highlight w:val="none"/>
              </w:rPr>
              <w:t>）</w:t>
            </w:r>
          </w:p>
        </w:tc>
        <w:tc>
          <w:tcPr>
            <w:tcW w:w="6295" w:type="dxa"/>
            <w:tcBorders>
              <w:top w:val="single" w:color="000000" w:sz="4" w:space="0"/>
              <w:left w:val="single" w:color="000000" w:sz="4" w:space="0"/>
              <w:bottom w:val="single" w:color="000000" w:sz="4" w:space="0"/>
              <w:right w:val="single" w:color="000000" w:sz="4" w:space="0"/>
            </w:tcBorders>
            <w:noWrap w:val="0"/>
            <w:vAlign w:val="top"/>
          </w:tcPr>
          <w:p>
            <w:pPr>
              <w:pStyle w:val="100"/>
              <w:spacing w:before="0" w:line="25" w:lineRule="atLeast"/>
              <w:ind w:left="0" w:leftChars="0" w:firstLine="0" w:firstLineChars="0"/>
              <w:jc w:val="left"/>
              <w:rPr>
                <w:rFonts w:hint="eastAsia" w:ascii="宋体" w:hAnsi="宋体" w:eastAsia="宋体" w:cs="宋体"/>
                <w:szCs w:val="24"/>
                <w:highlight w:val="none"/>
              </w:rPr>
            </w:pPr>
            <w:r>
              <w:rPr>
                <w:rFonts w:hint="eastAsia" w:ascii="宋体" w:hAnsi="宋体" w:eastAsia="宋体" w:cs="宋体"/>
                <w:szCs w:val="24"/>
                <w:highlight w:val="none"/>
              </w:rPr>
              <w:t>所投产品具体配置表、技术参数及偏离情况：产品规格型号、参数配置等所有指标均满足的，得基本分</w:t>
            </w:r>
            <w:r>
              <w:rPr>
                <w:rFonts w:hint="eastAsia" w:ascii="宋体" w:hAnsi="宋体" w:eastAsia="宋体" w:cs="宋体"/>
                <w:szCs w:val="24"/>
                <w:highlight w:val="none"/>
                <w:lang w:val="en-US" w:eastAsia="zh-CN"/>
              </w:rPr>
              <w:t>36</w:t>
            </w:r>
            <w:r>
              <w:rPr>
                <w:rFonts w:hint="eastAsia" w:ascii="宋体" w:hAnsi="宋体" w:eastAsia="宋体" w:cs="宋体"/>
                <w:szCs w:val="24"/>
                <w:highlight w:val="none"/>
              </w:rPr>
              <w:t>分；用★标出的技术指标负偏离（或未响应）的每项扣4分，其余技术指标负偏离（或未响应）的每项扣1分，扣完为止。</w:t>
            </w:r>
          </w:p>
        </w:tc>
        <w:tc>
          <w:tcPr>
            <w:tcW w:w="855" w:type="dxa"/>
            <w:tcBorders>
              <w:top w:val="single" w:color="000000" w:sz="4" w:space="0"/>
              <w:left w:val="single" w:color="000000" w:sz="4" w:space="0"/>
              <w:right w:val="single" w:color="000000" w:sz="4" w:space="0"/>
            </w:tcBorders>
            <w:noWrap w:val="0"/>
            <w:vAlign w:val="center"/>
          </w:tcPr>
          <w:p>
            <w:pPr>
              <w:pStyle w:val="100"/>
              <w:spacing w:before="0" w:line="400" w:lineRule="atLeast"/>
              <w:ind w:firstLine="0" w:firstLineChars="0"/>
              <w:jc w:val="center"/>
              <w:rPr>
                <w:rFonts w:hint="default" w:ascii="宋体" w:hAnsi="宋体" w:eastAsia="宋体" w:cs="宋体"/>
                <w:szCs w:val="24"/>
                <w:highlight w:val="none"/>
                <w:lang w:val="en-US"/>
              </w:rPr>
            </w:pPr>
            <w:r>
              <w:rPr>
                <w:rFonts w:hint="eastAsia" w:ascii="宋体" w:hAnsi="宋体" w:eastAsia="宋体" w:cs="宋体"/>
                <w:szCs w:val="24"/>
                <w:highlight w:val="none"/>
                <w:lang w:val="en-US" w:eastAsia="zh-CN"/>
              </w:rPr>
              <w:t>36</w:t>
            </w:r>
          </w:p>
          <w:p>
            <w:pPr>
              <w:pStyle w:val="100"/>
              <w:spacing w:before="0" w:line="400" w:lineRule="atLeast"/>
              <w:ind w:firstLine="0" w:firstLineChars="0"/>
              <w:jc w:val="center"/>
              <w:rPr>
                <w:rFonts w:hint="eastAsia" w:ascii="宋体" w:hAnsi="宋体" w:eastAsia="宋体" w:cs="宋体"/>
                <w:szCs w:val="24"/>
                <w:highlight w:val="none"/>
              </w:rPr>
            </w:pPr>
          </w:p>
        </w:tc>
      </w:tr>
      <w:bookmarkEnd w:id="125"/>
      <w:bookmarkEnd w:id="126"/>
    </w:tbl>
    <w:p>
      <w:pPr>
        <w:pStyle w:val="100"/>
        <w:spacing w:before="0"/>
        <w:ind w:firstLine="0" w:firstLineChars="0"/>
        <w:rPr>
          <w:rFonts w:hint="eastAsia" w:ascii="宋体" w:hAnsi="宋体" w:eastAsia="宋体" w:cs="宋体"/>
          <w:color w:val="000000"/>
          <w:kern w:val="0"/>
          <w:szCs w:val="24"/>
        </w:rPr>
      </w:pPr>
      <w:r>
        <w:rPr>
          <w:rFonts w:hint="eastAsia" w:ascii="宋体" w:hAnsi="宋体" w:eastAsia="宋体" w:cs="宋体"/>
          <w:color w:val="000000"/>
          <w:kern w:val="0"/>
          <w:szCs w:val="24"/>
        </w:rPr>
        <w:t>注：以上评审内容制作进投标文件内，并按评审要求提供相关证明材料等。</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3、商务分+技术分=评标委员会所有成员评分合计数/评标委员会组成人员数（精确到小数点后二位）；</w:t>
      </w:r>
    </w:p>
    <w:p>
      <w:pPr>
        <w:snapToGrid w:val="0"/>
        <w:spacing w:line="360" w:lineRule="auto"/>
        <w:ind w:firstLine="482" w:firstLineChars="200"/>
        <w:rPr>
          <w:rFonts w:hint="eastAsia" w:ascii="宋体" w:hAnsi="宋体" w:cs="宋体"/>
          <w:color w:val="000000"/>
          <w:sz w:val="24"/>
        </w:rPr>
      </w:pPr>
      <w:r>
        <w:rPr>
          <w:rFonts w:hint="eastAsia" w:ascii="宋体" w:hAnsi="宋体" w:cs="宋体"/>
          <w:b/>
          <w:bCs/>
          <w:color w:val="000000"/>
          <w:sz w:val="24"/>
        </w:rPr>
        <w:t>4、价格分（30分）</w:t>
      </w:r>
      <w:r>
        <w:rPr>
          <w:rFonts w:hint="eastAsia" w:ascii="宋体" w:hAnsi="宋体" w:cs="宋体"/>
          <w:color w:val="000000"/>
          <w:sz w:val="24"/>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价格分=（评标基准价/投标报价）×30%×100（精确到小数点后二位）；</w:t>
      </w:r>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因落实政府采购政策进行价格调整的，以调整后的价格计算评标基准价和投标报价。</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5、投标人评标综合得分=价格分+商务分+技术分（精确到小数点后二位）；</w:t>
      </w:r>
    </w:p>
    <w:p>
      <w:pPr>
        <w:pStyle w:val="345"/>
        <w:snapToGrid w:val="0"/>
        <w:ind w:left="480" w:firstLine="0" w:firstLineChars="0"/>
        <w:rPr>
          <w:rFonts w:hint="eastAsia"/>
          <w:b/>
          <w:color w:val="000000"/>
        </w:rPr>
      </w:pPr>
      <w:r>
        <w:rPr>
          <w:rFonts w:hint="eastAsia"/>
          <w:b/>
          <w:color w:val="000000"/>
        </w:rPr>
        <w:t>注：以上所涉及的证明材料，需提供扫描件制作进投标响应文件内，未提供的不得分。</w:t>
      </w:r>
    </w:p>
    <w:p>
      <w:pPr>
        <w:snapToGrid w:val="0"/>
        <w:spacing w:line="360" w:lineRule="auto"/>
        <w:ind w:firstLine="472" w:firstLineChars="196"/>
        <w:rPr>
          <w:rFonts w:hint="eastAsia" w:ascii="宋体" w:hAnsi="宋体" w:cs="宋体"/>
          <w:b/>
          <w:color w:val="000000"/>
          <w:sz w:val="24"/>
        </w:rPr>
      </w:pPr>
      <w:r>
        <w:rPr>
          <w:rFonts w:hint="eastAsia" w:ascii="宋体" w:hAnsi="宋体" w:cs="宋体"/>
          <w:b/>
          <w:color w:val="000000"/>
          <w:sz w:val="24"/>
        </w:rPr>
        <w:t>报价是中标的一个重要因素，但最低报价不是中标的唯一依据。</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注：根据浙江省财政厅、浙江省中小企业局转发财政部、工业和信息化部关于印发《政府采购促进中小企业发展暂行办法》的通知（浙财采监[2012]11号），</w:t>
      </w:r>
      <w:r>
        <w:rPr>
          <w:rFonts w:hint="eastAsia" w:ascii="宋体" w:hAnsi="宋体" w:cs="宋体"/>
          <w:b/>
          <w:bCs/>
          <w:color w:val="000000"/>
          <w:sz w:val="24"/>
        </w:rPr>
        <w:t>对小型或微型企业</w:t>
      </w:r>
      <w:r>
        <w:rPr>
          <w:rFonts w:hint="eastAsia" w:ascii="宋体" w:hAnsi="宋体" w:cs="宋体"/>
          <w:color w:val="000000"/>
          <w:sz w:val="24"/>
        </w:rPr>
        <w:t>的投标报价给予</w:t>
      </w:r>
      <w:r>
        <w:rPr>
          <w:rFonts w:hint="eastAsia" w:ascii="宋体" w:hAnsi="宋体" w:cs="宋体"/>
          <w:b/>
          <w:bCs/>
          <w:color w:val="000000"/>
          <w:sz w:val="24"/>
          <w:u w:val="single"/>
        </w:rPr>
        <w:t>6%</w:t>
      </w:r>
      <w:r>
        <w:rPr>
          <w:rFonts w:hint="eastAsia" w:ascii="宋体" w:hAnsi="宋体" w:cs="宋体"/>
          <w:color w:val="000000"/>
          <w:sz w:val="24"/>
        </w:rPr>
        <w:t>的扣除，并用扣除后的价格计算价格评分（（</w:t>
      </w:r>
      <w:r>
        <w:rPr>
          <w:rFonts w:hint="eastAsia" w:ascii="宋体" w:hAnsi="宋体" w:cs="宋体"/>
          <w:sz w:val="24"/>
        </w:rPr>
        <w:t>价格扣除只用于评审过程，如中标，中标价格仍按照其投标价格进行公示））</w:t>
      </w:r>
      <w:r>
        <w:rPr>
          <w:rFonts w:hint="eastAsia" w:ascii="宋体" w:hAnsi="宋体" w:cs="宋体"/>
          <w:color w:val="000000"/>
          <w:sz w:val="24"/>
        </w:rPr>
        <w:t>。</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同时符合以下所有要求的投标人被认定为小型、微型企业：</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（2）投标人所投标项内产品均为小型、微型企业提供的服务【注：按《关于印发中小企业划型标准规定的通知》中“工业行业”规定提供制造商出具的《中小企业声明函》】。</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（3）联合体参加投标的，联合协议中约定，小型、微型企业的协议合同金额占到联合体协议合同总金额30%以上的，投标报价给予</w:t>
      </w:r>
      <w:r>
        <w:rPr>
          <w:rFonts w:hint="eastAsia" w:ascii="宋体" w:hAnsi="宋体" w:cs="宋体"/>
          <w:color w:val="000000"/>
          <w:sz w:val="24"/>
          <w:u w:val="single"/>
        </w:rPr>
        <w:t xml:space="preserve">2% </w:t>
      </w:r>
      <w:r>
        <w:rPr>
          <w:rFonts w:hint="eastAsia" w:ascii="宋体" w:hAnsi="宋体" w:cs="宋体"/>
          <w:color w:val="000000"/>
          <w:sz w:val="24"/>
        </w:rPr>
        <w:t>的扣除，并用扣除后的价格计算价格评分；如联合体各方均为小型、微型企业的，提供本企业生产的产品或提供其他小型、微型企业的产品的，投标报价给予</w:t>
      </w:r>
      <w:r>
        <w:rPr>
          <w:rFonts w:hint="eastAsia" w:ascii="宋体" w:hAnsi="宋体" w:cs="宋体"/>
          <w:color w:val="000000"/>
          <w:sz w:val="24"/>
          <w:u w:val="single"/>
        </w:rPr>
        <w:t xml:space="preserve">6% </w:t>
      </w:r>
      <w:r>
        <w:rPr>
          <w:rFonts w:hint="eastAsia" w:ascii="宋体" w:hAnsi="宋体" w:cs="宋体"/>
          <w:color w:val="000000"/>
          <w:sz w:val="24"/>
        </w:rPr>
        <w:t>的扣除，并用扣除后的价格计算价格评分。组成联合体的大中型企业和其他自然人、法人或者其他组织，与小型、微型企业之间不得存在投资关系，否则不予价格扣除。</w:t>
      </w:r>
    </w:p>
    <w:p>
      <w:pPr>
        <w:snapToGrid w:val="0"/>
        <w:spacing w:line="360" w:lineRule="auto"/>
        <w:ind w:left="105" w:leftChars="50" w:firstLine="480" w:firstLineChars="200"/>
        <w:rPr>
          <w:rFonts w:hint="eastAsia" w:ascii="宋体" w:hAnsi="宋体" w:cs="宋体"/>
          <w:color w:val="000000"/>
          <w:sz w:val="24"/>
        </w:rPr>
      </w:pPr>
      <w:r>
        <w:rPr>
          <w:rFonts w:hint="eastAsia" w:ascii="宋体" w:hAnsi="宋体" w:cs="宋体"/>
          <w:color w:val="000000"/>
          <w:sz w:val="24"/>
        </w:rPr>
        <w:t>监狱企业视同小微企业，参加本项目投标的，享受小微企业同等的价格扣除。【注：提供《监狱企业声明函》】。</w:t>
      </w:r>
    </w:p>
    <w:p>
      <w:pPr>
        <w:pStyle w:val="298"/>
        <w:spacing w:line="360" w:lineRule="auto"/>
        <w:ind w:left="360" w:firstLine="0" w:firstLineChars="0"/>
        <w:rPr>
          <w:rFonts w:hint="eastAsia" w:ascii="宋体" w:hAnsi="宋体" w:eastAsia="宋体" w:cs="宋体"/>
          <w:color w:val="000000"/>
          <w:szCs w:val="24"/>
        </w:rPr>
      </w:pPr>
      <w:r>
        <w:rPr>
          <w:rFonts w:hint="eastAsia" w:ascii="宋体" w:hAnsi="宋体" w:eastAsia="宋体" w:cs="宋体"/>
          <w:color w:val="000000"/>
          <w:szCs w:val="24"/>
        </w:rPr>
        <w:t>（4）残疾人福利性单位参加投标【提供《残疾人福利性单位声明函》】，视为小</w:t>
      </w:r>
    </w:p>
    <w:p>
      <w:pPr>
        <w:pStyle w:val="298"/>
        <w:spacing w:line="360" w:lineRule="auto"/>
        <w:ind w:firstLine="141" w:firstLineChars="59"/>
        <w:rPr>
          <w:rFonts w:hint="eastAsia" w:ascii="宋体" w:hAnsi="宋体" w:eastAsia="宋体" w:cs="宋体"/>
          <w:color w:val="000000"/>
          <w:szCs w:val="24"/>
        </w:rPr>
      </w:pPr>
      <w:r>
        <w:rPr>
          <w:rFonts w:hint="eastAsia" w:ascii="宋体" w:hAnsi="宋体" w:eastAsia="宋体" w:cs="宋体"/>
          <w:color w:val="000000"/>
          <w:szCs w:val="24"/>
        </w:rPr>
        <w:t>型、微型企业，享受小微企业政策扶持。</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（十三）评标内容的保密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1、公开开标后，直到宣布中标单位止，凡属于审查、澄清、评价和比较投标的所有资料，都不应向投标人或与评标无关的其他人泄露。</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2、在投标文件的审查、澄清、评价和比较以及确定中标人过程中，投标人对招标人、招标代理机构和评标委员会施加影响的任何行为，都将导致取消资格。</w:t>
      </w:r>
    </w:p>
    <w:bookmarkEnd w:id="124"/>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（十四）废标</w:t>
      </w:r>
    </w:p>
    <w:p>
      <w:pPr>
        <w:pStyle w:val="2"/>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在采购中，出现下列情形之一的，应予废标：</w:t>
      </w:r>
    </w:p>
    <w:p>
      <w:pPr>
        <w:pStyle w:val="2"/>
        <w:snapToGrid w:val="0"/>
        <w:spacing w:line="360" w:lineRule="auto"/>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(1)符合专业条件的供应商或者对招标文件作实质响应的供应商不足3家的；</w:t>
      </w:r>
    </w:p>
    <w:p>
      <w:pPr>
        <w:pStyle w:val="2"/>
        <w:snapToGrid w:val="0"/>
        <w:spacing w:line="360" w:lineRule="auto"/>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(2)出现影响采购公正的违法、违规行为的；</w:t>
      </w:r>
    </w:p>
    <w:p>
      <w:pPr>
        <w:pStyle w:val="2"/>
        <w:snapToGrid w:val="0"/>
        <w:spacing w:line="360" w:lineRule="auto"/>
        <w:ind w:firstLine="482"/>
        <w:rPr>
          <w:rFonts w:hint="eastAsia" w:ascii="宋体" w:hAnsi="宋体" w:eastAsia="宋体" w:cs="宋体"/>
          <w:b/>
          <w:color w:val="000000"/>
          <w:sz w:val="24"/>
          <w:szCs w:val="24"/>
        </w:rPr>
      </w:pPr>
      <w:r>
        <w:rPr>
          <w:rFonts w:hint="eastAsia" w:ascii="宋体" w:hAnsi="宋体" w:eastAsia="宋体" w:cs="宋体"/>
          <w:b/>
          <w:color w:val="000000"/>
          <w:sz w:val="24"/>
          <w:szCs w:val="24"/>
        </w:rPr>
        <w:t>(3)报价均超过预算，不能支付的；</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color w:val="000000"/>
          <w:sz w:val="24"/>
        </w:rPr>
        <w:t xml:space="preserve">    (4)因重大变故，采购任务取消的。</w:t>
      </w:r>
    </w:p>
    <w:p>
      <w:pPr>
        <w:pStyle w:val="6"/>
        <w:numPr>
          <w:ilvl w:val="2"/>
          <w:numId w:val="0"/>
        </w:numPr>
        <w:spacing w:before="0" w:after="0"/>
        <w:ind w:left="720" w:hanging="720"/>
        <w:jc w:val="both"/>
        <w:rPr>
          <w:rFonts w:hint="eastAsia" w:ascii="宋体" w:hAnsi="宋体" w:eastAsia="宋体" w:cs="宋体"/>
          <w:sz w:val="24"/>
          <w:szCs w:val="24"/>
        </w:rPr>
      </w:pPr>
      <w:r>
        <w:rPr>
          <w:rFonts w:hint="eastAsia" w:ascii="宋体" w:hAnsi="宋体" w:eastAsia="宋体" w:cs="宋体"/>
          <w:sz w:val="24"/>
          <w:szCs w:val="24"/>
        </w:rPr>
        <w:t>（十五）可中止电子交易活动的情形</w:t>
      </w:r>
    </w:p>
    <w:p>
      <w:pPr>
        <w:spacing w:line="360" w:lineRule="auto"/>
        <w:ind w:firstLine="424" w:firstLineChars="176"/>
        <w:rPr>
          <w:rFonts w:hint="eastAsia" w:ascii="宋体" w:hAnsi="宋体" w:cs="宋体"/>
          <w:color w:val="000000"/>
          <w:sz w:val="24"/>
        </w:rPr>
      </w:pPr>
      <w:r>
        <w:rPr>
          <w:rFonts w:hint="eastAsia" w:ascii="宋体" w:hAnsi="宋体" w:cs="宋体"/>
          <w:b/>
          <w:color w:val="000000"/>
          <w:sz w:val="24"/>
        </w:rPr>
        <w:t>采购过程中出现以下情形，导致电子交易平台无法正常运行，或者无法保证电子交易的公平、公正和安全时，采购组织机构可中止电子交易活动：</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1、电子交易平台发生故障而无法登录访问的；</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2、电子交易平台应用或数据库出现错误，不能进行正常操作的；</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3、电子交易平台发现严重安全漏洞，有潜在泄密危险的；</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4、病毒发作导致不能进行正常操作的；</w:t>
      </w:r>
    </w:p>
    <w:p>
      <w:pPr>
        <w:spacing w:line="360" w:lineRule="auto"/>
        <w:ind w:firstLine="422" w:firstLineChars="176"/>
        <w:rPr>
          <w:rFonts w:hint="eastAsia" w:ascii="宋体" w:hAnsi="宋体" w:cs="宋体"/>
          <w:color w:val="000000"/>
          <w:sz w:val="24"/>
        </w:rPr>
      </w:pPr>
      <w:r>
        <w:rPr>
          <w:rFonts w:hint="eastAsia" w:ascii="宋体" w:hAnsi="宋体" w:cs="宋体"/>
          <w:color w:val="000000"/>
          <w:sz w:val="24"/>
        </w:rPr>
        <w:t>5、其他无法保证电子交易的公平、公正和安全的情况。</w:t>
      </w:r>
    </w:p>
    <w:p>
      <w:pPr>
        <w:spacing w:line="360" w:lineRule="auto"/>
        <w:ind w:firstLine="424" w:firstLineChars="176"/>
        <w:rPr>
          <w:rFonts w:hint="eastAsia" w:ascii="宋体" w:hAnsi="宋体" w:cs="宋体"/>
          <w:color w:val="000000"/>
          <w:sz w:val="24"/>
        </w:rPr>
      </w:pPr>
      <w:r>
        <w:rPr>
          <w:rFonts w:hint="eastAsia" w:ascii="宋体" w:hAnsi="宋体" w:cs="宋体"/>
          <w:b/>
          <w:color w:val="000000"/>
          <w:sz w:val="24"/>
        </w:rPr>
        <w:t>出现前款规定情形，不影响采购公平、公正性的，采购组织机构可以待上述情形消除后继续组织电子交易活动；影响或可能影响采购公平、公正性的，应当重新采购。</w:t>
      </w:r>
    </w:p>
    <w:p>
      <w:pPr>
        <w:rPr>
          <w:rFonts w:hint="eastAsia" w:ascii="宋体" w:hAnsi="宋体" w:cs="宋体"/>
        </w:rPr>
      </w:pPr>
    </w:p>
    <w:bookmarkEnd w:id="95"/>
    <w:bookmarkEnd w:id="96"/>
    <w:bookmarkEnd w:id="97"/>
    <w:p>
      <w:pPr>
        <w:shd w:val="clear" w:color="auto" w:fill="FFFFFF"/>
        <w:snapToGrid w:val="0"/>
        <w:spacing w:line="360" w:lineRule="auto"/>
        <w:jc w:val="center"/>
        <w:outlineLvl w:val="1"/>
        <w:rPr>
          <w:rFonts w:hint="eastAsia" w:ascii="宋体" w:hAnsi="宋体" w:cs="宋体"/>
          <w:b/>
          <w:bCs/>
          <w:color w:val="000000"/>
          <w:sz w:val="24"/>
        </w:rPr>
      </w:pPr>
      <w:bookmarkStart w:id="127" w:name="_Toc86216995"/>
      <w:bookmarkStart w:id="128" w:name="_Toc354996703"/>
      <w:bookmarkStart w:id="129" w:name="_Toc31748"/>
      <w:bookmarkStart w:id="130" w:name="_Toc233618979"/>
      <w:bookmarkStart w:id="131" w:name="_Toc31551"/>
      <w:bookmarkStart w:id="132" w:name="_Toc9614"/>
      <w:bookmarkStart w:id="133" w:name="_Toc91899910"/>
      <w:r>
        <w:rPr>
          <w:rFonts w:hint="eastAsia" w:ascii="宋体" w:hAnsi="宋体" w:cs="宋体"/>
          <w:b/>
          <w:bCs/>
          <w:color w:val="000000"/>
          <w:sz w:val="24"/>
        </w:rPr>
        <w:t>七、</w:t>
      </w:r>
      <w:bookmarkEnd w:id="127"/>
      <w:r>
        <w:rPr>
          <w:rFonts w:hint="eastAsia" w:ascii="宋体" w:hAnsi="宋体" w:cs="宋体"/>
          <w:b/>
          <w:bCs/>
          <w:color w:val="000000"/>
          <w:sz w:val="24"/>
        </w:rPr>
        <w:t>合同签订及其他</w:t>
      </w:r>
      <w:bookmarkEnd w:id="128"/>
      <w:bookmarkEnd w:id="129"/>
      <w:bookmarkEnd w:id="130"/>
      <w:bookmarkEnd w:id="131"/>
      <w:bookmarkEnd w:id="132"/>
    </w:p>
    <w:bookmarkEnd w:id="133"/>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（一）中标通知书</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1、确定中标人后，招标代理机构将在发布招标公告的网站上公布评标结果。</w:t>
      </w:r>
    </w:p>
    <w:p>
      <w:pPr>
        <w:shd w:val="clear" w:color="auto" w:fill="FFFFFF"/>
        <w:tabs>
          <w:tab w:val="left" w:pos="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360" w:lineRule="auto"/>
        <w:ind w:firstLine="540"/>
        <w:rPr>
          <w:rFonts w:hint="eastAsia" w:ascii="宋体" w:hAnsi="宋体" w:cs="宋体"/>
          <w:color w:val="000000"/>
          <w:sz w:val="24"/>
        </w:rPr>
      </w:pPr>
      <w:r>
        <w:rPr>
          <w:rFonts w:hint="eastAsia" w:ascii="宋体" w:hAnsi="宋体" w:cs="宋体"/>
          <w:color w:val="000000"/>
          <w:sz w:val="24"/>
        </w:rPr>
        <w:t>3、如签订合同并生效后，供应商无故拒绝或延期，除按照合同条款处罚外，列入不良行为记录一次，并给予通报。</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（二）合同的签订</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中标人按规定的日期、时间、地点，由法定代表人或授权代表人与招标人代表签订合同。</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（三）履约保证金</w:t>
      </w:r>
    </w:p>
    <w:p>
      <w:pPr>
        <w:autoSpaceDE w:val="0"/>
        <w:autoSpaceDN w:val="0"/>
        <w:snapToGrid w:val="0"/>
        <w:spacing w:line="360" w:lineRule="auto"/>
        <w:ind w:firstLine="480" w:firstLineChars="200"/>
        <w:rPr>
          <w:rFonts w:hint="eastAsia" w:ascii="宋体" w:hAnsi="宋体" w:cs="宋体"/>
          <w:b/>
          <w:bCs/>
          <w:color w:val="000000"/>
          <w:sz w:val="24"/>
        </w:rPr>
      </w:pPr>
      <w:r>
        <w:rPr>
          <w:rFonts w:hint="eastAsia" w:ascii="宋体" w:hAnsi="宋体" w:cs="宋体"/>
          <w:color w:val="000000"/>
          <w:sz w:val="24"/>
        </w:rPr>
        <w:t>1、详见“第三部分——项目技术规范和服务要求”。</w:t>
      </w:r>
      <w:r>
        <w:rPr>
          <w:rFonts w:hint="eastAsia" w:ascii="宋体" w:hAnsi="宋体" w:cs="宋体"/>
          <w:b/>
          <w:bCs/>
          <w:color w:val="000000"/>
          <w:sz w:val="24"/>
        </w:rPr>
        <w:t xml:space="preserve">  </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2、中标人应以支票、汇票、本票或者金融机构、担保机构出具的保函等非现金形式，提交履约保证金。</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3、履约保证金在合同专用条款约定期间内或者货物质量保证期内不予退还或者应完全有效，待服务期满后，无质量、服务问题，由招标人向中标人无息退还</w:t>
      </w:r>
      <w:r>
        <w:rPr>
          <w:rFonts w:hint="eastAsia" w:ascii="宋体" w:hAnsi="宋体" w:cs="宋体"/>
          <w:color w:val="000000"/>
          <w:sz w:val="24"/>
          <w:lang w:val="zh-CN"/>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4、中标人如未按时交纳履约保证金，招标代理机构有权撤销其中标资格，并根据评标委员会推荐的中标候选人先后顺序，将下一顺序单位作为预中标公示单位，或由评标委员会提出重新组织采购等建议。</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（四）付款结算方式</w:t>
      </w:r>
    </w:p>
    <w:p>
      <w:pPr>
        <w:shd w:val="clear" w:color="auto" w:fill="FFFFFF"/>
        <w:snapToGrid w:val="0"/>
        <w:spacing w:line="360" w:lineRule="auto"/>
        <w:ind w:firstLine="480" w:firstLineChars="200"/>
        <w:rPr>
          <w:rFonts w:hint="eastAsia" w:ascii="宋体" w:hAnsi="宋体" w:cs="宋体"/>
          <w:b/>
          <w:bCs/>
          <w:color w:val="000000"/>
          <w:sz w:val="24"/>
        </w:rPr>
      </w:pPr>
      <w:r>
        <w:rPr>
          <w:rFonts w:hint="eastAsia" w:ascii="宋体" w:hAnsi="宋体" w:cs="宋体"/>
          <w:color w:val="000000"/>
          <w:sz w:val="24"/>
        </w:rPr>
        <w:t>详见“第三部分——项目技术规范和服务要求”。</w:t>
      </w:r>
    </w:p>
    <w:p>
      <w:pPr>
        <w:numPr>
          <w:ilvl w:val="0"/>
          <w:numId w:val="9"/>
        </w:num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服务期限</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详见“第三部分——项目技术规范和服务要求”。</w:t>
      </w:r>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b/>
          <w:bCs/>
          <w:color w:val="000000"/>
          <w:sz w:val="24"/>
        </w:rPr>
        <w:t>（六）采购方式改变</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000000"/>
          <w:sz w:val="24"/>
          <w:lang w:val="zh-CN"/>
        </w:rPr>
        <w:t>将根据《政府采购货物和服务招标投标管理办法》(财政部第</w:t>
      </w:r>
      <w:r>
        <w:rPr>
          <w:rFonts w:hint="eastAsia" w:ascii="宋体" w:hAnsi="宋体" w:cs="宋体"/>
          <w:color w:val="000000"/>
          <w:sz w:val="24"/>
        </w:rPr>
        <w:t>87</w:t>
      </w:r>
      <w:r>
        <w:rPr>
          <w:rFonts w:hint="eastAsia" w:ascii="宋体" w:hAnsi="宋体" w:cs="宋体"/>
          <w:color w:val="000000"/>
          <w:sz w:val="24"/>
          <w:lang w:val="zh-CN"/>
        </w:rPr>
        <w:t>号令)，</w:t>
      </w:r>
      <w:r>
        <w:rPr>
          <w:rFonts w:hint="eastAsia" w:ascii="宋体" w:hAnsi="宋体" w:cs="宋体"/>
          <w:color w:val="000000"/>
          <w:sz w:val="24"/>
        </w:rPr>
        <w:t>重新选择合适的方式进行采购。</w:t>
      </w:r>
    </w:p>
    <w:p>
      <w:pPr>
        <w:shd w:val="clear" w:color="auto" w:fill="FFFFFF"/>
        <w:tabs>
          <w:tab w:val="left" w:pos="0"/>
        </w:tabs>
        <w:snapToGrid w:val="0"/>
        <w:spacing w:line="336" w:lineRule="auto"/>
        <w:rPr>
          <w:rFonts w:hint="eastAsia" w:ascii="宋体" w:hAnsi="宋体" w:cs="宋体"/>
          <w:b/>
          <w:bCs/>
          <w:color w:val="000000"/>
          <w:sz w:val="24"/>
        </w:rPr>
      </w:pPr>
      <w:r>
        <w:rPr>
          <w:rFonts w:hint="eastAsia" w:ascii="宋体" w:hAnsi="宋体" w:cs="宋体"/>
          <w:b/>
          <w:bCs/>
          <w:color w:val="000000"/>
          <w:sz w:val="24"/>
        </w:rPr>
        <w:t>（七）售后服务考核</w:t>
      </w:r>
    </w:p>
    <w:p>
      <w:pPr>
        <w:shd w:val="clear" w:color="auto" w:fill="FFFFFF"/>
        <w:snapToGrid w:val="0"/>
        <w:spacing w:line="336" w:lineRule="auto"/>
        <w:ind w:firstLine="480" w:firstLineChars="200"/>
        <w:rPr>
          <w:rFonts w:hint="eastAsia" w:ascii="宋体" w:hAnsi="宋体" w:cs="宋体"/>
          <w:color w:val="000000"/>
          <w:sz w:val="24"/>
        </w:rPr>
      </w:pPr>
      <w:r>
        <w:rPr>
          <w:rFonts w:hint="eastAsia" w:ascii="宋体" w:hAnsi="宋体" w:cs="宋体"/>
          <w:color w:val="000000"/>
          <w:sz w:val="24"/>
        </w:rPr>
        <w:t>将按照《</w:t>
      </w:r>
      <w:r>
        <w:rPr>
          <w:rFonts w:hint="eastAsia" w:ascii="宋体" w:hAnsi="宋体" w:cs="宋体"/>
          <w:color w:val="000000"/>
          <w:sz w:val="24"/>
          <w:lang w:val="zh-CN"/>
        </w:rPr>
        <w:t>政府采购货物和服务招标投标管理办法</w:t>
      </w:r>
      <w:r>
        <w:rPr>
          <w:rFonts w:hint="eastAsia" w:ascii="宋体" w:hAnsi="宋体" w:cs="宋体"/>
          <w:color w:val="000000"/>
          <w:sz w:val="24"/>
        </w:rPr>
        <w:t>》(中华人民共和国财政部第87号令)和《杭州市政府采购履约验收暂行办法》（杭财采监〔2019〕10号 ），对供应商进行考核，发现弄虚作假，偷工减料，以次充好，达不到国家、行业有关标准和技术文件规定的，一经查实，招标代理机构将视情况终止合同，并上报采购监督管理部门。</w:t>
      </w:r>
    </w:p>
    <w:p>
      <w:pPr>
        <w:snapToGrid w:val="0"/>
        <w:spacing w:line="336" w:lineRule="auto"/>
        <w:rPr>
          <w:rFonts w:hint="eastAsia" w:ascii="宋体" w:hAnsi="宋体" w:cs="宋体"/>
          <w:b/>
          <w:color w:val="000000"/>
          <w:sz w:val="24"/>
        </w:rPr>
      </w:pPr>
      <w:r>
        <w:rPr>
          <w:rFonts w:hint="eastAsia" w:ascii="宋体" w:hAnsi="宋体" w:cs="宋体"/>
          <w:b/>
          <w:color w:val="000000"/>
          <w:sz w:val="24"/>
        </w:rPr>
        <w:t>（八）质疑和投诉</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 xml:space="preserve">1、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336" w:lineRule="auto"/>
        <w:ind w:firstLine="480" w:firstLineChars="200"/>
        <w:jc w:val="left"/>
        <w:rPr>
          <w:rFonts w:hint="eastAsia" w:ascii="宋体" w:hAnsi="宋体" w:cs="宋体"/>
          <w:color w:val="000000"/>
          <w:sz w:val="24"/>
        </w:rPr>
      </w:pPr>
      <w:r>
        <w:rPr>
          <w:rFonts w:hint="eastAsia" w:ascii="宋体" w:hAnsi="宋体" w:cs="宋体"/>
          <w:color w:val="000000"/>
          <w:sz w:val="24"/>
        </w:rPr>
        <w:t>（1）、投标人如认为招标公告信息使自身的合法权益受到损害的，应于自招标公告发布之日起七个工作日内以书面形式向采购代理机构提出质疑。</w:t>
      </w:r>
    </w:p>
    <w:p>
      <w:pPr>
        <w:snapToGrid w:val="0"/>
        <w:spacing w:line="336" w:lineRule="auto"/>
        <w:ind w:firstLine="480" w:firstLineChars="200"/>
        <w:jc w:val="left"/>
        <w:rPr>
          <w:rFonts w:hint="eastAsia" w:ascii="宋体" w:hAnsi="宋体" w:cs="宋体"/>
          <w:color w:val="000000"/>
          <w:sz w:val="24"/>
        </w:rPr>
      </w:pPr>
      <w:r>
        <w:rPr>
          <w:rFonts w:hint="eastAsia" w:ascii="宋体" w:hAnsi="宋体" w:cs="宋体"/>
          <w:color w:val="000000"/>
          <w:sz w:val="24"/>
        </w:rPr>
        <w:t>（2）、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snapToGrid w:val="0"/>
        <w:spacing w:line="336" w:lineRule="auto"/>
        <w:ind w:firstLine="480" w:firstLineChars="200"/>
        <w:jc w:val="left"/>
        <w:rPr>
          <w:rFonts w:hint="eastAsia" w:ascii="宋体" w:hAnsi="宋体" w:cs="宋体"/>
          <w:color w:val="000000"/>
          <w:sz w:val="24"/>
        </w:rPr>
      </w:pPr>
      <w:r>
        <w:rPr>
          <w:rFonts w:hint="eastAsia" w:ascii="宋体" w:hAnsi="宋体" w:cs="宋体"/>
          <w:color w:val="000000"/>
          <w:sz w:val="24"/>
        </w:rPr>
        <w:t>（3）、投标人如认为采购过程使自身的合法权益受到损害的，应于自各采购程序环节结束之日起七个工作日内，以书面形式向采购代理机构提出质疑。</w:t>
      </w:r>
    </w:p>
    <w:p>
      <w:pPr>
        <w:snapToGrid w:val="0"/>
        <w:spacing w:line="336" w:lineRule="auto"/>
        <w:ind w:firstLine="480" w:firstLineChars="200"/>
        <w:jc w:val="left"/>
        <w:rPr>
          <w:rFonts w:hint="eastAsia" w:ascii="宋体" w:hAnsi="宋体" w:cs="宋体"/>
          <w:color w:val="000000"/>
          <w:sz w:val="24"/>
        </w:rPr>
      </w:pPr>
      <w:r>
        <w:rPr>
          <w:rFonts w:hint="eastAsia" w:ascii="宋体" w:hAnsi="宋体" w:cs="宋体"/>
          <w:color w:val="000000"/>
          <w:sz w:val="24"/>
        </w:rPr>
        <w:t>（4）、投标人如认为中标结果使自身的合法权益受到损害的，应于自中标结果公告期限（公告期限为1个工作日）届满之日起七个工作日内，以书面形式向采购代理机构提出质疑。</w:t>
      </w:r>
    </w:p>
    <w:p>
      <w:pPr>
        <w:adjustRightInd w:val="0"/>
        <w:snapToGrid w:val="0"/>
        <w:spacing w:line="336" w:lineRule="auto"/>
        <w:ind w:firstLine="480" w:firstLineChars="200"/>
        <w:rPr>
          <w:rFonts w:hint="eastAsia" w:ascii="宋体" w:hAnsi="宋体" w:cs="宋体"/>
          <w:color w:val="000000"/>
          <w:sz w:val="24"/>
        </w:rPr>
      </w:pPr>
      <w:r>
        <w:rPr>
          <w:rFonts w:hint="eastAsia" w:ascii="宋体" w:hAnsi="宋体" w:cs="宋体"/>
          <w:color w:val="000000"/>
          <w:sz w:val="24"/>
        </w:rPr>
        <w:t>2、提出质疑的供应商应当是参与本项招标活动的投标人，在法定质疑期内应一次性提出针对同一采购程序环节的质疑。</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3、采购人或者采购代理机构应当在3个工作日内对供应商依法提出的询问作出答复。</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供应商提出的询问或者质疑超出采购人对采购代理机构委托授权范围的，采购代理机构应当告知供应商向采购人提出。</w:t>
      </w:r>
    </w:p>
    <w:p>
      <w:pPr>
        <w:snapToGrid w:val="0"/>
        <w:spacing w:line="336"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政府采购评审专家应当配合采购人或者采购代理机构答复供应商的询问和质疑。</w:t>
      </w:r>
    </w:p>
    <w:p>
      <w:pPr>
        <w:shd w:val="clear" w:color="auto" w:fill="FFFFFF"/>
        <w:snapToGrid w:val="0"/>
        <w:spacing w:line="336" w:lineRule="auto"/>
        <w:ind w:firstLine="480" w:firstLineChars="200"/>
        <w:rPr>
          <w:rFonts w:hint="eastAsia" w:ascii="宋体" w:hAnsi="宋体" w:cs="宋体"/>
          <w:color w:val="000000"/>
          <w:sz w:val="24"/>
        </w:rPr>
      </w:pPr>
      <w:r>
        <w:rPr>
          <w:rFonts w:hint="eastAsia" w:ascii="宋体" w:hAnsi="宋体" w:cs="宋体"/>
          <w:snapToGrid w:val="0"/>
          <w:color w:val="000000"/>
          <w:kern w:val="0"/>
          <w:sz w:val="24"/>
        </w:rPr>
        <w:t>4、</w:t>
      </w:r>
      <w:r>
        <w:rPr>
          <w:rFonts w:hint="eastAsia" w:ascii="宋体" w:hAnsi="宋体" w:cs="宋体"/>
          <w:color w:val="000000"/>
          <w:sz w:val="24"/>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336" w:lineRule="auto"/>
        <w:rPr>
          <w:rFonts w:hint="eastAsia" w:ascii="宋体" w:hAnsi="宋体" w:cs="宋体"/>
          <w:b/>
          <w:bCs/>
          <w:color w:val="000000"/>
          <w:sz w:val="24"/>
        </w:rPr>
      </w:pPr>
      <w:r>
        <w:rPr>
          <w:rFonts w:hint="eastAsia" w:ascii="宋体" w:hAnsi="宋体" w:cs="宋体"/>
          <w:b/>
          <w:bCs/>
          <w:color w:val="000000"/>
          <w:kern w:val="0"/>
          <w:sz w:val="24"/>
          <w:lang w:val="zh-CN"/>
        </w:rPr>
        <w:t>（九）</w:t>
      </w:r>
      <w:r>
        <w:rPr>
          <w:rFonts w:hint="eastAsia" w:ascii="宋体" w:hAnsi="宋体" w:cs="宋体"/>
          <w:b/>
          <w:bCs/>
          <w:color w:val="000000"/>
          <w:sz w:val="24"/>
        </w:rPr>
        <w:t>解释权</w:t>
      </w:r>
    </w:p>
    <w:p>
      <w:pPr>
        <w:shd w:val="clear" w:color="auto" w:fill="FFFFFF"/>
        <w:snapToGrid w:val="0"/>
        <w:spacing w:line="360" w:lineRule="auto"/>
        <w:ind w:firstLine="480" w:firstLineChars="200"/>
        <w:rPr>
          <w:rFonts w:hint="eastAsia" w:ascii="宋体" w:hAnsi="宋体" w:cs="宋体"/>
          <w:color w:val="000000"/>
          <w:spacing w:val="-11"/>
          <w:sz w:val="24"/>
        </w:rPr>
      </w:pPr>
      <w:r>
        <w:rPr>
          <w:rFonts w:hint="eastAsia" w:ascii="宋体" w:hAnsi="宋体" w:cs="宋体"/>
          <w:color w:val="000000"/>
          <w:sz w:val="24"/>
        </w:rPr>
        <w:t>招标文件的解释权均属于招标人和委托招标代理机构</w:t>
      </w:r>
      <w:r>
        <w:rPr>
          <w:rFonts w:hint="eastAsia" w:ascii="宋体" w:hAnsi="宋体" w:cs="宋体"/>
          <w:color w:val="000000"/>
          <w:spacing w:val="-11"/>
          <w:sz w:val="24"/>
        </w:rPr>
        <w:t>。</w:t>
      </w:r>
    </w:p>
    <w:p>
      <w:pPr>
        <w:pageBreakBefore/>
        <w:shd w:val="clear" w:color="auto" w:fill="FFFFFF"/>
        <w:snapToGrid w:val="0"/>
        <w:spacing w:line="360" w:lineRule="auto"/>
        <w:jc w:val="center"/>
        <w:outlineLvl w:val="0"/>
        <w:rPr>
          <w:rFonts w:hint="eastAsia" w:ascii="宋体" w:hAnsi="宋体" w:cs="宋体"/>
          <w:b/>
          <w:bCs/>
          <w:color w:val="000000"/>
          <w:sz w:val="32"/>
          <w:szCs w:val="32"/>
        </w:rPr>
      </w:pPr>
      <w:r>
        <w:rPr>
          <w:rFonts w:hint="eastAsia" w:ascii="宋体" w:hAnsi="宋体" w:cs="宋体"/>
          <w:b/>
          <w:bCs/>
          <w:color w:val="000000"/>
          <w:sz w:val="32"/>
          <w:szCs w:val="32"/>
        </w:rPr>
        <w:t xml:space="preserve">第三部分 </w:t>
      </w:r>
      <w:bookmarkStart w:id="134" w:name="_Toc20224"/>
      <w:r>
        <w:rPr>
          <w:rFonts w:hint="eastAsia" w:ascii="宋体" w:hAnsi="宋体" w:cs="宋体"/>
          <w:b/>
          <w:bCs/>
          <w:color w:val="000000"/>
          <w:sz w:val="32"/>
          <w:szCs w:val="32"/>
        </w:rPr>
        <w:t>项目技术规范和服务要求</w:t>
      </w:r>
      <w:bookmarkEnd w:id="134"/>
    </w:p>
    <w:p>
      <w:pPr>
        <w:adjustRightInd w:val="0"/>
        <w:snapToGrid w:val="0"/>
        <w:spacing w:line="400" w:lineRule="exact"/>
        <w:rPr>
          <w:rFonts w:hint="eastAsia" w:ascii="宋体" w:hAnsi="宋体" w:cs="宋体"/>
          <w:b/>
          <w:bCs/>
          <w:color w:val="000000"/>
          <w:sz w:val="24"/>
        </w:rPr>
      </w:pPr>
      <w:bookmarkStart w:id="135" w:name="_Toc354996706"/>
      <w:bookmarkStart w:id="136" w:name="_Toc86217003"/>
      <w:bookmarkStart w:id="137" w:name="_Toc233618986"/>
      <w:r>
        <w:rPr>
          <w:rFonts w:hint="eastAsia" w:ascii="宋体" w:hAnsi="宋体" w:cs="宋体"/>
          <w:b/>
          <w:bCs/>
          <w:color w:val="000000"/>
          <w:sz w:val="24"/>
        </w:rPr>
        <w:t>一、项目概述：</w:t>
      </w:r>
    </w:p>
    <w:p>
      <w:pPr>
        <w:spacing w:line="400" w:lineRule="exact"/>
        <w:ind w:firstLine="480" w:firstLineChars="200"/>
        <w:rPr>
          <w:rFonts w:hint="eastAsia" w:ascii="宋体" w:hAnsi="宋体" w:cs="宋体"/>
          <w:color w:val="000000"/>
          <w:sz w:val="24"/>
        </w:rPr>
      </w:pPr>
      <w:r>
        <w:rPr>
          <w:rFonts w:hint="eastAsia" w:ascii="宋体" w:hAnsi="宋体" w:cs="宋体"/>
          <w:sz w:val="24"/>
        </w:rPr>
        <w:t>本项目为“交钥匙”项目，采购内容包括采购清单中办公设备的采购、运输、安装、调试、培训和相关维护等。投标报价包括</w:t>
      </w:r>
      <w:r>
        <w:rPr>
          <w:rFonts w:hint="eastAsia" w:ascii="宋体" w:hAnsi="宋体" w:cs="宋体"/>
          <w:color w:val="000000"/>
          <w:sz w:val="24"/>
        </w:rPr>
        <w:t>设备费、样品费、材料费、保管费、安装调试费、培训、货物验收、税收、售后服务、招标代理费、采购需求中未提到但在实际采购和安装过程中需要配置的各种设备、材料及其他费用等须由投标人支付的所有费用。中标单位应派有经验的技术人员对安装现场进行实地勘察，对各种设备采购、制造、运输、安装、工期、安全、文明施工进行总承包，一切费用均由中标单位负责。</w:t>
      </w:r>
    </w:p>
    <w:p>
      <w:pPr>
        <w:numPr>
          <w:ilvl w:val="0"/>
          <w:numId w:val="10"/>
        </w:numPr>
        <w:adjustRightInd w:val="0"/>
        <w:snapToGrid w:val="0"/>
        <w:spacing w:line="400" w:lineRule="exact"/>
        <w:rPr>
          <w:rFonts w:hint="eastAsia" w:ascii="宋体" w:hAnsi="宋体" w:cs="宋体"/>
          <w:b/>
          <w:sz w:val="24"/>
        </w:rPr>
      </w:pPr>
      <w:r>
        <w:rPr>
          <w:rFonts w:hint="eastAsia" w:ascii="宋体" w:hAnsi="宋体" w:cs="宋体"/>
          <w:b/>
          <w:sz w:val="24"/>
        </w:rPr>
        <w:t>采购清单：</w:t>
      </w:r>
    </w:p>
    <w:tbl>
      <w:tblPr>
        <w:tblStyle w:val="78"/>
        <w:tblW w:w="8358" w:type="dxa"/>
        <w:tblInd w:w="0" w:type="dxa"/>
        <w:tblLayout w:type="fixed"/>
        <w:tblCellMar>
          <w:top w:w="0" w:type="dxa"/>
          <w:left w:w="0" w:type="dxa"/>
          <w:bottom w:w="0" w:type="dxa"/>
          <w:right w:w="0" w:type="dxa"/>
        </w:tblCellMar>
      </w:tblPr>
      <w:tblGrid>
        <w:gridCol w:w="714"/>
        <w:gridCol w:w="700"/>
        <w:gridCol w:w="1250"/>
        <w:gridCol w:w="660"/>
        <w:gridCol w:w="5034"/>
      </w:tblGrid>
      <w:tr>
        <w:trPr>
          <w:trHeight w:val="300" w:hRule="atLeast"/>
        </w:trPr>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分项</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货物名称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数量</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设备配置及参数</w:t>
            </w:r>
          </w:p>
        </w:tc>
      </w:tr>
      <w:tr>
        <w:tblPrEx>
          <w:tblCellMar>
            <w:top w:w="0" w:type="dxa"/>
            <w:left w:w="0" w:type="dxa"/>
            <w:bottom w:w="0" w:type="dxa"/>
            <w:right w:w="0" w:type="dxa"/>
          </w:tblCellMar>
        </w:tblPrEx>
        <w:trPr>
          <w:trHeight w:val="4696"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软件检测</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250" w:type="dxa"/>
            <w:tcBorders>
              <w:top w:val="single" w:color="000000" w:sz="4" w:space="0"/>
              <w:left w:val="nil"/>
              <w:bottom w:val="single" w:color="000000" w:sz="4" w:space="0"/>
              <w:right w:val="nil"/>
            </w:tcBorders>
            <w:shd w:val="clear" w:color="auto" w:fill="DBDBDB"/>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台式工作站</w:t>
            </w:r>
          </w:p>
        </w:tc>
        <w:tc>
          <w:tcPr>
            <w:tcW w:w="660" w:type="dxa"/>
            <w:tcBorders>
              <w:top w:val="single" w:color="000000" w:sz="4" w:space="0"/>
              <w:left w:val="single" w:color="000000" w:sz="4" w:space="0"/>
              <w:bottom w:val="single" w:color="000000" w:sz="4" w:space="0"/>
              <w:right w:val="single" w:color="000000" w:sz="4" w:space="0"/>
            </w:tcBorders>
            <w:shd w:val="clear" w:color="auto" w:fill="DBDBDB"/>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1.操作系统：原厂WIN10 64位专业版</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2.CPU：Core i9-9900 3.1G 8C</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3.内存：16GB DDR4 2666</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4.硬盘1：256GB SSD M.2 PCIe OPAL</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5.硬盘2：1TB HD 7200RPM 3.5"</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6.电源：250W 92%</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7.显卡：Quadro P620 2GB 4mDP</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8.前置接口：5个USB接口（至少1个USB Type-C）、二合一音频接口</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9.后置接口：4个USB接口、串口、音频接口、2个DP接口</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10.显示器尺寸：23.8寸液晶</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11.显示器分辨率：2K</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12.键鼠：USB键鼠</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250" w:type="dxa"/>
            <w:tcBorders>
              <w:top w:val="single" w:color="000000" w:sz="4" w:space="0"/>
              <w:left w:val="nil"/>
              <w:bottom w:val="single" w:color="000000" w:sz="4" w:space="0"/>
              <w:right w:val="nil"/>
            </w:tcBorders>
            <w:shd w:val="clear" w:color="auto" w:fill="DBDBDB"/>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移动工作站</w:t>
            </w:r>
          </w:p>
        </w:tc>
        <w:tc>
          <w:tcPr>
            <w:tcW w:w="660" w:type="dxa"/>
            <w:tcBorders>
              <w:top w:val="single" w:color="000000" w:sz="4" w:space="0"/>
              <w:left w:val="single" w:color="000000" w:sz="4" w:space="0"/>
              <w:bottom w:val="single" w:color="000000" w:sz="4" w:space="0"/>
              <w:right w:val="single" w:color="000000" w:sz="4" w:space="0"/>
            </w:tcBorders>
            <w:shd w:val="clear" w:color="auto" w:fill="DBDBDB"/>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1.操作系统：原厂Windows 10专业版64位</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 xml:space="preserve">2.CPU：Core i7-9750H 2.6G 6C </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3.内存：16GB(8+8) DDR4 2666 SoDIMM</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4.硬盘1：256GB M.2 2280 NVMe TLC OPAL</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5.硬盘2：1TB HD 5400RPM 2.5 7mm</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6.显示屏：15.6FHD(1920*1080) IPS AG 300尼特</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7.显卡：Quadro T1000 4G G5 128b</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8.摄像头：720p HD Camera w/Mic</w:t>
            </w:r>
          </w:p>
          <w:p>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9. 接口：2*USB 3.1接口、1个USB Type-C、2个雷电接口（兼容USB Type-C）、HDMI视频接口，麦克风&amp;耳机组合接口</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250" w:type="dxa"/>
            <w:tcBorders>
              <w:top w:val="single" w:color="000000" w:sz="4" w:space="0"/>
              <w:left w:val="nil"/>
              <w:bottom w:val="single" w:color="000000" w:sz="4" w:space="0"/>
              <w:right w:val="nil"/>
            </w:tcBorders>
            <w:shd w:val="clear" w:color="auto" w:fill="DBDBDB"/>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服务器</w:t>
            </w:r>
          </w:p>
        </w:tc>
        <w:tc>
          <w:tcPr>
            <w:tcW w:w="660" w:type="dxa"/>
            <w:tcBorders>
              <w:top w:val="single" w:color="000000" w:sz="4" w:space="0"/>
              <w:left w:val="single" w:color="000000" w:sz="4" w:space="0"/>
              <w:bottom w:val="single" w:color="000000" w:sz="4" w:space="0"/>
              <w:right w:val="single" w:color="000000" w:sz="4" w:space="0"/>
            </w:tcBorders>
            <w:shd w:val="clear" w:color="auto" w:fill="DBDBDB"/>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1、规格：2U机架式服务器；</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2、芯片组：Intel C624芯片组，支持 Intel 至强可扩展处理器家族金牌及铂金处理器产品；</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3、处理器： 1颗Intel Xeon Bronze 3204 6C 85W 1.9GHz 处理器，</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最大可支持至26核处理器；</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4、内存：配置1*32GB TruDDR4 2666MHz内存，</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最大支持≥1 TB内存扩展或最大支持16根内存插槽；</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5、硬盘：配置2块3.5 英寸 2TB 7.2K SATA 6Gb 热插拔硬盘；最大支持18个硬盘扩展，支持前置直连四个U.2 NVMe SSD硬盘。支持内置两个M.2 且支持RAID 0/1提供ANYBAY技术可切换SAS/SATA/U.2硬盘不用更换背板；</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6、RAID功能：配置RAID 530-8i PCIe 12Gb 适配器；</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7、网卡和HBA卡：配置2个千兆网口，1个独享的管理端口；</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8、配件：免工具滑动导轨套件；</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9、电源：电源输出功率≥550W 白金级热插拔冗余电源模块，支持240V高压直流；</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10、冷却系统：配置6个冗余（N+1）热插拔系统风扇，风扇具有优化控制系统控制散热风扇转速，降低噪音，提高散热效率；</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11、I/O扩展：最大支持≥7个PCIe 3.0插槽，配置前置USB口用以连接手机管理服务器（可提供移动应用中的与操作面板类似的功能），配置≥2个后置USB 3.0接口；</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12、能源管理工具：支持能源管理软件，可对数据中心内同一品牌的塔式、机架、刀片服务器以及超融合节点等提供实时电源能耗、健康状况以及温度等的监控和分析，可查看和控制服务器散热，提供优化的能源方案，提供官网软件下载链接并加盖原厂商公章。</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13.硬件管理软件：中文管理界面，需提供此系统管理软件的软件著作权登记证书复印件（或扫描件）和软件官方下载网址链接并加盖原厂公章；提供硬件集中式资源管理系统，可简化基础结构管理、加快响应和提高硬件系统可用性，可自动发现、清点、跟踪、监控和配置服务器、网络和存储硬件，提供硬件管理、远程开关机、硬件监控、远程安装操作系统、虚拟KVM、固件合规性管理等功能，支持移动APP管理：提供可支持Android和 IOS的移动APP，通过APP可以集中监控查看设备的状态、审计日志和报警信息，以及执行设备电源开关动作等，要求提供可用的移动APP软件下载网址链接并加盖原厂公章。</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14、软件支持服务：在拥有企业级硬件服务的同时，保证软硬件同时提供服务，需要硬件厂商提供操作系统、虚拟化、HA和数据库系统软件的原厂服务支持及技术方案（提供官网截图加盖厂商鲜章）包括 Windows Server、Linux、Vmware、SureHA、 Oracle DB、SQL Server、Exchange server 的电话、Email 及远程支持服务；</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15、厂商资质: 原厂商具备《信息安全服务资质》安全工程一级资质，提供证书复印件；原厂商服务中心具备“客户服务联络中心标准体系认证”（CCCS）钻石五星级认证，提供证书复印件或扫描件；原厂商具备数据拯救服务和对数据拯救过程中的镜像盘进行数据擦除的能力，并且原厂商具备的数据擦除的工具需经国家保密局科技测评中心评测，数据擦除工具具备《涉密信息系统产品检测证书》，提供证书复印件或扫描件。所有证书复印件或扫描件均需加盖原厂公章。</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16、可靠性：为保证设备的可靠性需提供可靠性检验样品平均无故障时间值不低于150000小时检验合格证书</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17、服务：提供原厂3年7x24 售后支持服务；4小时内响应；提供原厂基础安装服务，要求提供原厂针对本项目的授权原件和售后服务承诺函原件。</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18. 显示器尺寸：27寸</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19. 显示器分辨率：1920*1080</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20. 显示器接口：HDMI，VGA</w:t>
            </w:r>
          </w:p>
          <w:p>
            <w:pPr>
              <w:jc w:val="left"/>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21.键鼠：USB键鼠</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防火墙</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11"/>
              </w:numPr>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架构：采用非X86 64位多核高性能处理器和高速存储器; 内存≥4G；</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 外形：≥2U机架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性能：吞吐量≥8G，并发≥300W，新建≥12W；IPSec隧道≥2000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端口：≥16个千兆电口+8 千兆光口+2个业务扩展槽</w:t>
            </w:r>
          </w:p>
          <w:p>
            <w:pPr>
              <w:keepNext w:val="0"/>
              <w:keepLines w:val="0"/>
              <w:widowControl/>
              <w:numPr>
                <w:ilvl w:val="0"/>
                <w:numId w:val="0"/>
              </w:numPr>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 存储：实配≥500GB硬盘，可升级为1TB硬盘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 支持路由/NAT模式、透明模式、混合模式、DPI bypass（含手动bypass、CPU/内存门限Bypass、特征库升级时的bypass）4种运行模式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 支持NAT、支持静态路由、RIP v1/2、OSPF、ISIS、BGP、策略路由等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 支持应用审计、数据/文件过来、带宽管理、入侵防御（IPS）、应用协议识别规则数量≥3400条； DOS/DDOS攻击防范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 基于病毒特征进行检测，实现病毒库手动和自动升级，报文流处理模式，实现病毒日志和报表,自带一年杀毒license；</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 支持IPv6，支持虚拟防火墙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 实配双交流电源冗余保护</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支持链路负载均衡功能，支持智能DNS，支持加权轮转、随机、加权最小连接、源IP地址hash、源IP地址和端口hash、目的地址hash、带宽算法、最大带宽算法、ACL、动态就近性、基于优先级的调度算法、主备实服务器组12种调度算法，要求提供配置截图加盖厂商公章或项目授权专用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为保障网络可靠性：要求设备支持双机集群部署能力，融合后可统一管理配置并实现负载分担和业务备份，提升可靠性；为实现内网用户访问外网资源时候的对DNS解析的过程的优化，要求支持DNS透明代理功能：所有DNS请求不受到客户端填写DNS服务器地址的影响，由设备重新解析，以上功能需要提供设备配置截图，并加盖厂商公章或项目授权专用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为保证投标产品厂商在安全漏洞方面的整体研究水平和及时预防能力。具备网络安全漏洞统一收集验证、预警发布及应急处置体系，进而提高产品的安全性。产品生产厂商须成为国家信息安全漏洞共享平台（CNNVD）技术支撑单位和中国国家信息安全漏洞库（CNVD）技术组成员，要求提供证书复印件并加盖厂商公章或项目授权专用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15、考虑设备兼容性、项目实施、交付及售后服务，采用与核心交换机同一品牌；</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16、提供原厂的授权函和售后服务承诺书以及原厂商针对本项目投标设备满足参数要求的应标承诺书原件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17、网线：6类非屏蔽4对双绞线,长度300m,含理线架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路由器</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1、≥8GB内存，≥64GB flash；转发性能≥10Mbps，三层端口：≥8个千兆电口，≥2个千兆光口，≥4个业务扩展槽，≥1个硬盘槽；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2、支持模块化可插拔双电源冗余；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3、支持NAT、负载分担、限速等用户特性；具备计算、存储能力，开放架构，预装KVM（支持本地安装认证服务器、可安装NFV软件、可安装1-2个虚拟机用于承载客户IT业务）；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★4、支持无线AC功能（≥256个AP管理）；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5、支持IPv4/IPv6；支持静态路由RIPv1/v2、OSPFv2、BGP、IS-IS、路由迭代、路由策略、ECMP；支持L2TP，NAT/NAPT，PKI，RSA，SSH v1.5/2.0，SSL，URPF，GRE、ADVPN；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6、支持广域网优化特性（包括WAAS、Web-Cache、流量可视化等功能）；数据中心VXLAN、EVI、EVPN以太网虚拟化功能，ADWAN特性等；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7、支持3/4G扩展（全制式）；支持上网行为审计、应用识别控制，黑白名单过滤；</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8、支持零配置部署功能；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9、支持云平台管理及手机APP管理功能；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安全管理特性：支持广域网应用服务功能；IPS入侵防御系统、应用识别控制功能、上网行为审计；内置AC功能及分层AC功能；支持U盘部署，嵌入自动化，需提供中国泰尔实验室检测报告并加盖厂商公章或项目授权专用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 数据中心特性：支持Openflow功能测试、VXLAN、EVPN、EVI以太网虚拟化、流量可视化功能，需提供中国泰尔实验室检测报告并加盖厂商公章或项目授权专用章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12、网络可靠性：具备网络虚拟化特性，将物理上两台设备虚拟化成一台逻辑设备，需提供中国泰尔实验室检测报告并加盖厂商公章或项目授权专用章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13、考虑设备兼容性、项目实施、交付及售后服务，采用与核心交换机同一品牌；</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核心交换机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1.业务模块插槽数≥3 个，主控引擎槽≥2 个，支持电源和主控的冗余；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2.保证产品性能，交换容量≥45T，包转发率≥16500Mpps，提供官网截图或链接证明；</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3.支持多虚一、一虚多技术以及多虚一技术和一虚多技术的配合使用，最多可将4台设备虚拟化为一台，提供第三方权威机构检验报告证明；</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4.为提高机房空间利用率，节约空间成本，要求采用紧凑型机框设计，设备高度&lt;=4U，主控槽位与业务卡槽位,宽度相同的全宽槽位，提供更好的扩展性和可靠性,提供设备正面图片证明；</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5.MAC表项≥1M，IPV4的FIB≥3M，IPV6的FIB≥1M；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6.支持负载均衡插卡模块， IPS 业务模块、应用控制业务网关业务扩展模块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7.支持 RIP、 OSPF、 IS-IS、 OSPFv3、 IS-ISv6、 BGP4 等路由协议，支持策略路由；</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8.支持有线无线一体化功能， AC 虚拟化、统一认证特性；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9.支持802.1ae Macsec安全加密，实现MAC层安全加密，包括用户数据加密、数据帧完整性检查及数据源真实性校验；</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10、厂商通过QC 080000有害物质过程管理体系认证，提供证书复印件</w:t>
            </w:r>
          </w:p>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配置要求：配置冗余主控、冗余电源，配置不少于24个千兆以太网千兆电口，不少于24个千兆以太网千兆光口，配置万兆以太网光接口不少于8个；</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接入交换机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 xml:space="preserve">1. 性能：交换容量≥336Gbps；转发性能≥108Mpps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2. 端口形态：≥24千兆电口+ 4万兆SFP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表项：路由表≥4K，ARP≥2K,ACL≥3K，MAC≥16K，内存≥512M，FLASH≥256M;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最大堆叠台数≥9台，最大堆叠带宽≥80G，支持跨设备链路聚合，单一IP管理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VLAN特性：支持基于端口的VLAN、QinQ、Voice VLAN、协议VLAN、MAC VLAN、最大VLAN数(不是VLAN ID) ≥4094</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 路由协议：支持IPv4静态路由、RIP V1/V2、OSPF V1/V2/V3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 可靠性：支持Smartlink、支持RSTP功能、支持MSTP功能、支持PVST功能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 支持基于第二层、第三层和第四层的ACL；</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 安全特性：支持用户分级管理和口令保护、支持SSH2.0、支持端口隔离、支持 802.1X、支持端口安全、支持MAC地址认证、支持IP Source Guard</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 管理和维护：支持SNMP V1/V2/V3、RMON、SSHV2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 绿色节能：端口定时down功能,支持端口休眠，节省能源,智能风扇调速</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12.为简便客户运维工作，要求支持云平台交换机连接管理功能，可直接通过外网云平台进行管理查看设备状态，并直接telnet等功能，要求提供中国泰尔实验室检测报告并加盖厂商公章或项目授权专用章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 为保障设备安全及高可靠用性；要求支持零配置启动，可通过MicroUSB登录设备；支持ERPS、支持RRPP、支持BFD FOR VRRP；SAVI、CPU保护功能；要求提供中国泰尔实验室检测报告并加盖厂商公章或项目授权专用章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 考虑设备兼容性、项目实施、交付及售后服务，采用与核心交换机同一品牌；</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无线控制器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 外形：≥1U 19英寸机架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2. 接口：≥5 个千兆电口，≥1个USB接口，≥1个SD插槽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AP管理：实配最大管理AP数量≥60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存储：支持SD卡存储功能用于视频图片等；最大支持≥64GB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AP漫游：支持二层漫游、支持三层漫游</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 用户认证：支持微信连WIFI、MAC地址、Portal、内置QQ、内置邮箱认证。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 支持无线终端负载均衡、无线调优自学习、智能信道调整功能、无线链路层安全监控防御、支持无线定位；支持深度包检测；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 运维平台及APP功能：该产品厂家需提供云端维护平台，并提供手机APP管理软件；可以通过收集网络的各种关键指标，包括信道利用率情况，丢包率，时间延迟，包重传次数，漫游成功率，终端信号强度等，统计健康度得分，输出体检报告，并结合报告，给出优化建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为简化客户运维能力、适应场景化营销以及后续功能扩展、要求投标设备实配一套云运维管理平台；要求提供投标设备与该云平台的对接适配截图加盖厂商公章或项目授权专用章（保留后续测试权利）；并要求该云运维管理平台支持：①账号分级分权管理功能（自行创建子账号并授权相应的管理权限、包括全权子账户、监控子账户、设备运维子账户）；②无线设备监控功能（对AC、AP设备信息、AP总数、在线/离线AP数、被测设备AC的无线服务名称、SSID、安全、加密套件、认证位置）③无线定位功能，精度3m以内，现实终端分布、终端热力图、终端轨迹追踪等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以上云运维平台功能①②③要求提供中国泰尔实验室检测报告并加盖厂商公章或项目授权专用章</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无线接入点</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 架构：支持MU-MIMO，ware2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 支持≥3频6条流设计，满足高密高速率场景接入需求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性能：支持11AC；无线速率≥2Gbps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端口：≥1个千兆电口+1IoT口 +1 console口</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物联网扩展：可扩展多种标准的物联网模块，包括RFID，ZigBee，BLE模块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 内置7dbi增益全向天线，发射功率≥20dBm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 支持自动信道选择或手动信道选择、支持按百分比设置无线发射功率、支持无线接入客户列表显示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 频段自动导航技术，自动引导终端选择最优频段，提升整个无线网络的接入数和性能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 品牌：为保障网络兼容性和统一售后，要求无线产品同一品牌</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10、单设备支持200个用户视频点播无卡顿和打开网页流畅不卡顿，单用户极限性能不低于658Mbps，提供中国泰尔实验室检测报告并加盖厂商公章或项目授权专用章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11、单机情况下，三射频各自能够支持256个用户上线，整机总共可支持768个用户同时上线，提供中国泰尔实验室检测报告并加盖厂商公章或项目授权专用章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12、考虑设备兼容性、项目实施、交付及售后服务，采用与无线控制器同一品牌；</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POE供电交换机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1.固化千兆电接口≥8个，支持千兆 SFP 光接口≥2个；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2.交换容量≥3.3Tbps，包转发率≥102Mpps，支持802.3at/POE+供电标准，整机供电功率不少于125W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3.支持虚拟化技术（非堆叠技术），实现设备的多虚一功能；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4.支持VLAN 交换，支持基于 MAC/协议/IP 子网/策略/端口的 VLAN；支持QinQ；支持动态聚合、手工聚合以及跨设备聚合；</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5.支持IPv4 静态路由、 RIPv1/v2， IPv6 静态路由、RIPng，支持 OSPF；</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6.支持10KV业务端口防雷能力，使其在比较恶劣的工作环境中也能极大的降低雷击对设备的损坏率，提供官网截图证明；</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7.支持SDN/OpenFlow 1.3 技术,实现网络控制层和数据转发层的分离，简化网络的管理及维护难度, 实现网络流量的灵活控制；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8.支持ARP Detection 功能、 ARP 报文限速功能；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9.考虑设备兼容性、项目实施、交付及售后服务，采用与核心交换机同一品牌；</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机柜</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 通风网孔前门、后门1对；</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 包含4梁4柱框架1个、层板3块、重载角轮4支 、承重支脚4支 配件包镙钉40套 、顶盖一个；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带锁侧门板2个、钥匙  、垂直安装角规4个、宽600深600高2000（42U)；</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1250" w:type="dxa"/>
            <w:tcBorders>
              <w:top w:val="single" w:color="000000" w:sz="4" w:space="0"/>
              <w:left w:val="nil"/>
              <w:bottom w:val="single" w:color="000000" w:sz="4" w:space="0"/>
              <w:right w:val="nil"/>
            </w:tcBorders>
            <w:shd w:val="clear" w:color="auto" w:fill="DBDBDB"/>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VMware Workstation 15 Pro</w:t>
            </w:r>
          </w:p>
        </w:tc>
        <w:tc>
          <w:tcPr>
            <w:tcW w:w="660" w:type="dxa"/>
            <w:tcBorders>
              <w:top w:val="single" w:color="000000" w:sz="4" w:space="0"/>
              <w:left w:val="single" w:color="000000" w:sz="4" w:space="0"/>
              <w:bottom w:val="single" w:color="000000" w:sz="4" w:space="0"/>
              <w:right w:val="single" w:color="000000" w:sz="4" w:space="0"/>
            </w:tcBorders>
            <w:shd w:val="clear" w:color="auto" w:fill="DBDBDB"/>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2"/>
                <w:szCs w:val="22"/>
                <w:u w:val="none"/>
                <w:lang w:val="en-US" w:eastAsia="zh-CN" w:bidi="ar"/>
              </w:rPr>
              <w:t>正版VMware Workstation 15 Pro</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1250" w:type="dxa"/>
            <w:tcBorders>
              <w:top w:val="single" w:color="000000" w:sz="4" w:space="0"/>
              <w:left w:val="nil"/>
              <w:bottom w:val="single" w:color="000000" w:sz="4" w:space="0"/>
              <w:right w:val="nil"/>
            </w:tcBorders>
            <w:shd w:val="clear" w:color="auto" w:fill="DBDBDB"/>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Windows 10 Pro</w:t>
            </w:r>
          </w:p>
        </w:tc>
        <w:tc>
          <w:tcPr>
            <w:tcW w:w="660" w:type="dxa"/>
            <w:tcBorders>
              <w:top w:val="single" w:color="000000" w:sz="4" w:space="0"/>
              <w:left w:val="single" w:color="000000" w:sz="4" w:space="0"/>
              <w:bottom w:val="single" w:color="000000" w:sz="4" w:space="0"/>
              <w:right w:val="single" w:color="000000" w:sz="4" w:space="0"/>
            </w:tcBorders>
            <w:shd w:val="clear" w:color="auto" w:fill="DBDBDB"/>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2"/>
                <w:szCs w:val="22"/>
                <w:u w:val="none"/>
                <w:lang w:val="en-US" w:eastAsia="zh-CN" w:bidi="ar"/>
              </w:rPr>
              <w:t>正版Windows 10 Pro</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1250" w:type="dxa"/>
            <w:tcBorders>
              <w:top w:val="single" w:color="000000" w:sz="4" w:space="0"/>
              <w:left w:val="nil"/>
              <w:bottom w:val="single" w:color="000000" w:sz="4" w:space="0"/>
              <w:right w:val="nil"/>
            </w:tcBorders>
            <w:shd w:val="clear" w:color="auto" w:fill="DBDBDB"/>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Licensing Windows Server 2019 Datacenter</w:t>
            </w:r>
          </w:p>
        </w:tc>
        <w:tc>
          <w:tcPr>
            <w:tcW w:w="660" w:type="dxa"/>
            <w:tcBorders>
              <w:top w:val="single" w:color="000000" w:sz="4" w:space="0"/>
              <w:left w:val="single" w:color="000000" w:sz="4" w:space="0"/>
              <w:bottom w:val="single" w:color="000000" w:sz="4" w:space="0"/>
              <w:right w:val="single" w:color="000000" w:sz="4" w:space="0"/>
            </w:tcBorders>
            <w:shd w:val="clear" w:color="auto" w:fill="DBDBDB"/>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2"/>
                <w:szCs w:val="22"/>
                <w:u w:val="none"/>
                <w:lang w:val="en-US" w:eastAsia="zh-CN" w:bidi="ar"/>
              </w:rPr>
              <w:t>正版Licensing Windows Server 2019 Datacenter</w:t>
            </w:r>
          </w:p>
        </w:tc>
      </w:tr>
      <w:tr>
        <w:tblPrEx>
          <w:tblCellMar>
            <w:top w:w="0" w:type="dxa"/>
            <w:left w:w="0" w:type="dxa"/>
            <w:bottom w:w="0" w:type="dxa"/>
            <w:right w:w="0" w:type="dxa"/>
          </w:tblCellMar>
        </w:tblPrEx>
        <w:trPr>
          <w:trHeight w:val="300" w:hRule="atLeast"/>
        </w:trPr>
        <w:tc>
          <w:tcPr>
            <w:tcW w:w="7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呼吸麻醉设备</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*呼吸麻醉机质量分析仪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 双向测量压力、流量、容积、温度、湿度、氧浓度等，传感器为内置。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2.具有成人、小儿及高频通气检测模式，可用于检测各种呼吸机、麻醉机及流量仪表。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3.高流量量程：-300L/min - 300L/min；精度：读数的±1.75%或±0.1L/min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流量量程：-20L/min - 20L/min；精度：读数的±1.75%或±0.05L/min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4.低压量程：±15kPa(150mbar)；精度：读数的±0.75%或±0.01kPa(0.1mbar)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高压量程：0-1000kPa(10bar)；精度：读数的±1%或±1kPa(10 mbar)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5.氧浓度，内置氧浓度传感器：量程：0-100%，精度：±1%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6.温度：主机内置温度传感器，自动测量气道温度，自动修正流量精度，温度补偿。量程：0-50℃，精度：±0.5℃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★7.湿度：主机内置湿度传感器，自动测量气道湿度。量程：0-100%，精度：±3%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8.呼吸参数：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8.1 呼吸频率（Rate）：1-1000bpm,精度：±1bpm或±2.5%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8.2呼气时间、吸气时间（TI、TE）：0.05-60s，精度：±0.02s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8.3 吸呼比：1:300-300:1，精度：读数的±2.5%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★8.4呼气、吸气潮气量（Vti、Vte）：±10L，精度：读数的±1.75%或0.20mL</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★8.5分钟通气量(Vi、Ve)：0-300L，精度：读数的±2.5%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8.6 峰值压力Ppeak、平均压Pmean、呼气末正压PEEP、平台压Pplateau：0-150mbar， 精度：读数的±0.75%或0.1mbar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8.7呼气、吸气流速：±300L/min，精度：读数的±1.75%或0.1L/min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★9.具备专用测试软件及数据处理装置。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9.1具有波形显示功能：同时显示3组参数波形显示，显示类型支持参数-时间和参数-参数显示，支持波形冻结、放大、缩小，波形测量支持数值光标、时间光标、频率光标和差值光标。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9.2具有数值监测功能：同时支持20组参数监测，支持单位切换，设置理论值、低限、高限、颜色定义，统计最小值、最大值和平均值。</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9.3 趋势分析功能：同时支持10组参数进行趋势分析，记录间隔最低支持5毫秒，记录时间最大支持100小时。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9.4 测试报告功能：报告内容包括波形、数值和趋势内容，支持报告格式和徽标自定义。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10.专用麻醉机麻醉气体挥发罐检测附件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10.1与主机无缝连接，并具有软件支持，气流分析仪屏幕直接显示所有检测数据，显示7种麻醉气体的技术参数；快速响应，不需要额外的预热时间。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10.2  CO2: 0-10%，±（读数的±2%+0.2%）；10%-20%，±（读数的±4%+0.3%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10.3   N2O: 0-100%，±（读数的±2%+2%）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★10.4  HAL(氟烷)，ISO(异氟醚)，ENF(安氟醚)：0-8%，±（读数的±5%+0.15%）； 8%-12%，±（读数的±10%+0.2%）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10.5  SEV(七氟醚)：0-10%，±（读数的±5%+0.15%）；10%-15%，±（读数的±10%+0.2%）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★10.6  DES(地氟醚)：0-22%，±（读数的±5%+0.15%）；22%-25%，±（读数的±10%+0.2%）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 笔记本电脑：第九代智能英特尔® 酷睿 i5-9400H 处理器；Windows 10  64位；M.2 256GB PCIe NVMe Class 40 固态硬盘；英特尔® UHD 显卡 630 含 Thunderbolt™ 3 适用于英特尔 第9代智能酷睿 i5-9400H；内存8GB, 1x8GB, DDR4 非-ECC；14英寸 FHD (1920 x 1080) 防眩光非触控, 高清摄像头 &amp; 麦克风,WLAN/WWAN 支持；3 个第一代 USB 3.1 端口，其中一个端口支持 PowerShare 功能；1 个 HDMI 2.0 端口；1 个 RJ-45 端口；1 个 7.4 毫米直流电输入插头；1 个 uSD 读卡器；1 个 Noble 楔形锁插槽；4 芯 68瓦时 支持快速充电™ 电池；无线键盘鼠标套装。</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12.设备的数据输入输出接口协议可以免费开放给采购方</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*气体分析仪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★1.流量测量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1.1单通道全量程流量测量，无须手动调整高低流量通道，量程：±300 slpm，精度：±1.7% 或 ±0.04 slpm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1.2超低流量：量程：±0.750 slpm，精度：±1.7%或 ±0.01 slpm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1.3容量：量程：±100 sl，精度：±1.75%或 ±0.02 sl</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★2.压力测量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2.1高压：量程：-0.8 至 10 bar， 精度：±1% 或 ±0.007 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2.2低压差分：量程：±160 mbar，精度：±0.5% 或 ±0.1 mbar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2.3气道压力：量程：±160 mbar，精度：±0.5% 或 ±0.1 mbar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2.4大气压：量程：550 至1240 mbar，精度：±1%或±5mbar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2.5超低压力：量程：0 至10 mbar，精度: ±1% 或 ±0.01 mbar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3.呼吸参数测量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3.1吸气潮气量：量程：0-60sl，精度：±1.75% 或 ±0.02 sl</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3.2呼气潮气量：量程：0-60sl，精度：±1.75% 或 ±0.02 sl</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3.3分钟通气量：量程：0 至 100sl，精度：±1.75% 或  ±0.02 sl</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3.4呼吸频率：量程：1至 1500 bpm，精度：±1%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3.5吸气/呼气时间比（I:E）: 量程：1:300-300:1，精度：±2% or ±0.1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3.6吸气时间：量程：0 至60 s，精度：±0.02s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3.7吸气保持时间：量程：0 至60 s，精度：±1% 或  ±0.1 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3.8呼气时间：量程：0 至90 s，精度：±0.5% 或  ±0.01 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3.9呼气保持时间：量程：0 至90 s，精度：±0.02 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3.10吸气峰值压力：量程：±160 mbar，精度：±0.75% 或  ±0.1 mbar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3.11吸气停顿压力：量程：±160 mbar，精度：±0.75% 或  ±0.1 mbar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3.12平均气道压：量程：±160 mbar，精度：±0.75% 或  ±0.1 mbar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3.13呼气终末正压：量程：±160 mbar，精度：±0.75% 或  ±0.1 mbar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3.14峰值呼气流量：±300lpm，精度：±1.7% 或  ±0.04 slpm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3.15峰值吸气流量：±300lpm，精度：±1.7% 或  ±0.04 slpm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3.16肺顺应性：量程：0 至 1000 ml/mbar， 精度：3%或 1 ml/mbar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★4.温度测量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量程：0至50℃，精度：±0.5℃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5.湿度测量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量程：0 至 100% RH， 精度：±3% RH (20至 80% RH)，±5% RH (＜20% 或者 &gt;90% RH)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6.氧浓度测量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量程：0 至 100%， 精度：±1%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7.兼容气体类型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空气、氮气、一氧化二氮 (N2O)、二氧化碳 (CO2)、氧气 (O2)、氩气、氦氧混合气（ 21 % 氧气， 79% 氦气）、氧气/氮气、氧气/一氧化二氮、氧气/氦气。</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8.气体校准模式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ATP（环境温度/压力，实际湿度）、ATPD（环境温度/压力，干燥）、ATPS（环境温度/压力，饱和）、STP21（ 21 °C 温度/压力 760 mmHg，实际湿度）、STP20（ 20 °C 温度/压力 760 mmHg，实际湿度）、STPD0（ 0 °C 温度/压力 760 mmHg，干燥）、STPD20（ 20 °C 温度/压力 760 mmHg，干燥）、STP 或 STPD21（ 21 °C 温度/压力 760 mmHg，干燥）、BTPS（体温 37 °C/环境压力 760 mmHg，饱和）、BTPD（体温 37 °C/环境压力 760 mmHg，干燥）</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★9.可通过使用外部触发输入选择自己的触发点，更好地控制测试。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★10.采用 7 寸（ 17.8 厘米）彩色触摸屏，可一次性查看多个测量值，并快速访问菜单选项。</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11.配备大容量板载存储器，可短期和长期记录并存储测试数据。可通过 USB 将数据转移至计算机，并将生成的测试文件上传至您的电脑上进行简要报告。</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★12.具有交流 / 直流电源选项和 8 小时电池续航时间，非常适合可能无法使用交流电源但又需要高精度的临床和现场环境。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13.可创建自定义测试配置文件，简化测试程序、减少错误并缩短测试时间。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14.重量轻，重量≤1.6 千克 ，方便携带和存放，在进行不同的测试时无需额外的模块。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15.按照Molbloc-L 校准规范设计和测试，符合全球监管标准。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16.售后服务及其他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★16.1制造工厂通过ISO13485:2003医疗器械质量管理体系认证和ISO9001:2000质量体系认证。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★16.2 国内有原厂售后服务机构，服务机构具有ISO/IEC 17025:2005检测和校准实验室能力认证，并通过ISO9000的认证。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17.设备的数据输入输出接口协议可以免费开放给采购方。</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*高级主动模拟肺系统</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1.主动呼吸模拟器通过压力反馈回路，基于数字式伺服控制阀实现顺应性和阻抗的高级仿真模拟器。综合被动呼吸和主动呼吸模拟功能，可实现从新生儿到成人的单腔体和双腔体模拟。</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★2.主、被动兼具：能够模拟患者自主呼吸，进行流量触发(flow trigger)和压力触发(pressure trigger)，同时也可以被动与呼吸机响应。</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★3.常态、病态兼具：内部集成了各种临床常见的病态模拟，包括COPD、ARDS、间隙性呼吸暂停等呼吸系统疾病。</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4.单双肺兼具：可以根据使用需求选择单肺模拟(single compartment)和双肺模拟(dual compartment)。</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★5.运动方程的理想物理模型，控制阀响应压力变化，通过相应的运动实现肺顺应性和阻力的模拟。避免了通过弹簧和孔径调节参数带来的模拟误差，保证模拟的精度和准确性。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6.操作方模式：参数脚本程序模式、交互模式 (用户直接设置参数)、时变参数模式(通过预指定的方式随呼吸周期改变参数)、外部交互模式(通过用户编译的软件改变参数)、间歇模式 (用户自定义暂停状态)。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用户可以随心所欲编辑肺功能参数和胸壁功能参数；可以自行编辑脚本，实现所需模型的设计(如顺应性和气阻、触发特性等)；肺参数的线性和非线性：顺应性和阻力可进行线性和非线性的设置；参数的实时性：顺应性可根据需要设置成随时间或呼吸次数变化；可接受外部数据输入：直接从外部应用接受参数，定制脚本。</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★8.模型类型：被动型 (单腔体或 双腔体)、自主型、组合型（呼吸响应可调节）、流速波形发生器。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9.总容量：3.1 L</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10.潮气量：2 -2500 cm3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11.“FRC”设置可调节 (200 – 1500 cm3)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12.自主式呼吸频率： 0 -150 / min (婴儿 Vt)</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 峰值流速：270 L / min (t90Flow &lt; 50 ms)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14.阻抗设置：3 -500 cmH2O/ L/s(线性和抛物线阻抗类型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15.顺应性设置：0.5 -250 mL / cm H2O</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16.呼吸曲线：用户自定义压力数据文件 (呼吸曲线 )或参数-可选标准模式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17.小信号：带宽优于 15 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18.气道压力：不确定度 &lt; 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19.大气压：不确定度 &lt; 1% 或者1 kPa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★20.质控工作站：包括专用质控软件及数据处理系统，并提供路由器，可进行无线和有线两种测试方式。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PC接口：10/100Mbit/s以太网接口或者RS-232接口57.6kB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主机：LabVIEWTM软件环境，集成建模、模拟、数据分析应用。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21.专用测试软件，兼容Windows® XP Home操作系统</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21.1 波形显示：实时显示流量-时间、压力-时间、容积-时间波形，容积-流量、容积-压力环形曲线，以及潮气量柱状填充显示。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21.2 交互模式：运行过程中可实时更改气道阻力、顺应性、呼吸频率、暂停时间、吸气力、呼吸力、吸气/呼气上升时间、吸气/呼气保持时间、吸气/呼气释放时间。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21.3 实时分析功能：测量和分析参数包括触发响应时间（ms）、最大流量加速（L/s2）、触发期间最大压力下降、最小流量加速（L/s2）、患者呼气肌作工（mJ）、患者呼气作功（mJ）、患者吸气作功（mJ）等。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21.4运行后分析功能：模拟过程中可存储参数和波形数据用于运行后分析，以回顾方式完成每个呼吸周期参数测量和分析。</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21.5 数据格式转换功能：存储的数据文件可转换为分隔符文件，用于其他软件分析，例如Microsoft Excel等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22.模拟器旁路和泄漏阀模块(SBLVM)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为主动呼吸模拟肺的外接模块，具有两个功能：一个是在主动呼吸模拟肺关闭运行时， 此模块可以外接被动的模拟肺(如皮球或夹板肺)，并与呼吸机相接，实现被动式呼吸；另一个功能是它可以在三个水平上设置气路泄漏。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泄漏设置：approximately 4, 9, 15 L/min at 20 cm H2O, leak orifices exchangeable.</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23.快速氧浓度测量模块(FOM)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通过高精度的顺磁氧传感器可在呼吸模拟的同时快速测量气道内的氧气含量。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24.温度控制模块(CTC)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可实时检测内部活塞气缸的物理状态。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25.笔记本电脑：英特尔酷睿i7、 十代标压i7 、15.6英寸、i7-10750H 处理器、16G内存 、512GSSD、 P620 4G独显、内存可扩展、红外摄像头、支持WIFI6无线传输技术、支持快速充电，带有无线鼠标套装</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26.设备的数据输入输出接口协议可以免费开放给采购方。</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*婴幼儿可调模拟肺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1.零件可更换，并可以进行高温消毒。阻力、顺应性及泄漏可调。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2.阻力：0.5、2、5、20 kPa/(L.s-1)(可调)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3.顺应性：10、20、30、50 mL/ kPa(可调)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4.泄露模拟：0-10L/min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5.容量：0-200mL (0.5L气囊)</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*成人可调模拟肺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1.气道阻力、顺应性及泄漏可调。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2.顺应性：200mL/ kPa（@VT= 300mL），500 mL/ kPa（@VT= 500mL），25, 60, 75 mL/ mbar （@VT=1000mL）</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3.气道阻力：5, 20, 50, 200 mbar/L/s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4.容量：2L</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*顺应性可调模拟肺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1.气道阻力和顺应性可调、泄露模拟功能。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  1.2 L气囊覆盖新生儿、成人范围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3.气道阻力：0.5、2、5 kPa/L/s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4.顺应性：100、200、500 ml/kPa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5.容量：1.2 L</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*塞规和环规</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1组</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1.满足标准YY1040.1-2015附录A要求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 应含ISO 17025校准证书，校准证书中应显示最大端直径（精度为0.0001）、最小端直径（精度为0.0001）、总长度（精度为0.001）、台阶（精度为0.001）。</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*氧浓度、二氧化碳分析仪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1.非损耗型顺磁和红外测量技术，可保证设备随时投入使用；结果精确、可靠，特定的组分测量，所测量数值可信，不受背景干扰；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2.具有可充电式电池，便于移动使用；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★3.可按EN15267-3标准（自动测量系统认证）提供TUV和MCERTS认证；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氧气：顺磁技术，高精度类型，一般使用精确度为±0.05%O2，稳定环境精确度±0.02%O2，零点漂移（每周）：±0.02%O2，满刻度量程：0-100%，最小输出量程：0-1%O2，小数位数：2，响应时间（T90）＜15秒；二氧化碳：红外技术，一般使用精确度为±2%满量程，稳定环境精确度±1%满量程，零点漂移（每周）：±4%满量程，满刻度量程：10%，25%，50%，100%，最小输出量程：0-10%满量程，小数位数：量程＜10%，2位，＞10%，1位，响应时间（T90）＜10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5.支持无泵正压（7kPa~70kPa）和内置泵，内部带有0.7L/min气泵，带有可配置的定时器，样气排除口位于后面；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6.带有可更换的0.6μm玻璃纤维粒过滤器5个和O形圈；</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7.带有模拟输出，包括RS232输出和4-20mA输出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8.接口：进气口有带快接式倒刺管接头的5mm外径接口和1/8NPT转接头，排气口为5mm外径接口</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★9.带有流量控制装置，在无泵分析时可以将进气流量控制在大约每分钟1.5~6升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10.设备的数据输入输出接口协议可以免费开放给采购方</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23</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*激光氧分析仪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1.内部带有取样泵，将响应氧气水平的突然变化在秒级，泵采样速率为50-250ml/min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★2.带有温度和压力补偿功能，保证温度和压力变化不会导致错误报警或读数不准确；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3.在存在N2、He、Ar、CO2和其他气体时可以准确显示O2水平；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★4.测量范围： 5-100%氧气，精度为±0.5%（24小时），响应时间：在150ml/min时为1秒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5.用户可编程低和高警报级别；</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 RS-232/485数字输出，4-20mA输出；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7.设备的数据输入输出接口协议可以免费开放给采购方</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*流量计</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1.量程：0-500ml/min，精度±1% FS；重复性：±0.5% 满量程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2.带显示功能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温度系数：0.15% FS/°C，压力系数：0.01％FS/psi（0.07 bar），最大压降：50 psid，最小压降：1.1psid；</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响应时间：在25％~100％FS范围内，5秒处于设定流量的±2%范围内</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5.泄露率：对外界环境的最大泄漏率为1×10-7 cc/sec氦气</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6.接液材质：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铝制流量计：阳极氧化铝，316 SS，黄铜和**M O形圈</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不锈钢型号：316 SS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7.输出信号：</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线性0~5 Vdc：1000 Ω最小负载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4~20 mA：50~500 Ω 环路电阻，±20 mV 最大噪声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8.海拔灵敏度：水平流径，倾斜到20°，校准也不会发生偏移，气体相对湿度:0~70% RH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9.设备的数据输入输出接口协议可以免费开放给采购方</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*精密压力指示仪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1.压力范围：0-200mbar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★2.精度：IPS2最优精度 0.005% Rdg + 0.005% FS (25mbar：0.05% Rdg + 0.05% FS，70mbar：0.025% Rdg + 0.025%FS，200mbar：0.01% Rdg + 0.01% FS) 包括非线性、迟滞、重复性和温度影响，并假定稳态温度条件和定期清零。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3.显示面板：1/4VGA 4.3英寸宽频彩色LCD屏幕，配备一体式触摸屏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4.带有1个内部传感器，2个IDOS连接，G1/8外螺纹至1/8NPT内螺纹转接头，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★5.支持泄露测试和航空选项；</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6.通信更新速率：每秒8次，显示更新速率：每秒2次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7.标配：RS232、IEEE连接、以太网和USB接口、电源</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8.设备的数据输入输出接口协议可以免费开放给采购方。</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*注射器校准装置-10ml</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1.最小刻度：2ml  容积冲程：7.62cm  气缸内径：1.27cm；</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*注射器校准装置-100ml</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1.最小刻度：20ml  容积冲程：12.7cm  气缸内径：3.17cm；</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*注射器校准装置-1000ml</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1.最小刻度：50ml  容积冲程：31.45cm  气缸内径：6.35cm；</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*精密天平</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1.量程： 6200g，称量范围精度：0.01g；重复性：0.01g，稳定时间：1.5s；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★2.全金属机架可抵抗丙酮等化学试剂的腐蚀；</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★3.具有温度漂移和时间触发的全自动校准技术FACT，当周围环境变化影响称量结果的准确性时，FACT全自动校准自动检测到变化并调整天平适应周围环境；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4.具有抗过载保护，内置日期和时间功能；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★5.动态图形显示(SmartTrac)，直接显示天平已使用的称量范围，多达3个功能键(SmartKeys)，可直接调用预设的称量应用程序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菜单保护功能；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6.16个称量单位切换，可在全量程范围内去皮；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★7.内置多种称量应用程序：计件称量、百分比称量、动态称量、检重称量、自由因子、统计功能、配方称量、总和计算；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8.具有RS232、USB接口</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9.设备的数据输入输出接口协议可以免费开放给采购方</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*流量计</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1.流量测量气体类型：空气、O2、CO2、N2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★2.传感器采用铂金镀膜设计，具有4ms内双向流量响应功能。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★3.流量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测量范围： 0 至 ±300 Std L/min ，0 至 ±100 Std L/min (CO2)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4.精确度：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正向气流：读数的 1.7% 或 0.05 L/min；反向气流： 读数的 2% 或 0.05 L/min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5.响应时间：4 ms到满量程的 63%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6.体积测量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测量范围：0.004 至 99 L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精确度：读数的 2% 或 1 mL，以较大值为准，峰值流量大于 2.5 Std L/min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★7.温度测量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测量范围：-10 至 50°C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精确度：流量 &gt; 1 Std L/min 时为 ±1°C（仅正向气流）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响应时间：&lt;= 75 ms 至最终值的 63%（阶跃变化）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8.绝对压力测量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测量范围 ：50 至 200 kPa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精确度：±1 kPa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响应时间：&lt;= 4 ms 至最终值的 63%（阶跃变化）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9.低差/呼吸回路压力测量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测量范围：±150 cmH2O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精确度：读数的±0.5% 或 0.15 cmH2O，以较大值为准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响应时间：&lt;= 4 ms 至最终值的 63%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10.相对湿度测量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测量范围：10 至 90% RH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精确度：RH 的 ±3%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响应时间：&lt;= 3 s 至最终值的 63%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11.仪器使用压力范围 ：50 至 200 kPa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 2.8英寸彩色触摸 操作，可同时显示4个测量参数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13.数字量输出为USB，RS-232 串行，使用可选的 USB-A 至 RS232 转换器电缆 ；2.8 英寸彩色 LCD 触摸屏 ；1 GB内部存储器：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14.设备的数据输入输出接口协议可以免费开放给采购方</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*温度采集仪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★1.具有16通道热电偶输入模块，支持输入热电偶类型：K,J,T,R,S,N,E,C,U,B型，精度为±0.02%读数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2.每通道采样率最大100HZ,   24位AD；</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★3.配有16个1级K型热电偶；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配有主机专业版数据采集软件，包括系统总览，系统参数设置，有数字显示窗口，记录窗口，垂直显示窗口，示波窗口，多种触发形式，FFT分析，X-Y分析，光标读数，数据存储和导出，数据分析。可通过此软件进行记录仪硬件设置，数据记录和保存，采样率调整。文件可以多种格式输出：Text, Excel、Flexpro、Matlab等。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5.笔记本电脑： 英特尔酷睿i7、 十代标压i7 、15.6英寸、i7-10750H 处理器、16G内存 、512GSSD、 P620 4G独显、内存可扩展、红外摄像头、支持WIFI6无线传输技术、支持快速充电，带有无线鼠标套装</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6设备的数据输入输出接口协议可以免费开放给采购方</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空气压缩机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1.无油低噪音；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 220V配电，1600W*5，压力≥0.7Mpa，流量700ml/L，储气罐230L</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3.双放气阀，带有压力表和安全阀；</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4.带有电流监控，可以设置间隔时间，高低压保护</w:t>
            </w:r>
          </w:p>
        </w:tc>
      </w:tr>
      <w:tr>
        <w:tblPrEx>
          <w:tblCellMar>
            <w:top w:w="0" w:type="dxa"/>
            <w:left w:w="0" w:type="dxa"/>
            <w:bottom w:w="0" w:type="dxa"/>
            <w:right w:w="0" w:type="dxa"/>
          </w:tblCellMar>
        </w:tblPrEx>
        <w:trPr>
          <w:trHeight w:val="300" w:hRule="atLeast"/>
        </w:trPr>
        <w:tc>
          <w:tcPr>
            <w:tcW w:w="7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EMC辅助配套设备</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骚扰功率测试系统</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1.功率吸收钳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★频率范围：30MHz～1000MHz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输出阻抗：50Ω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吸收钳的钳因子   1.6dBpW/μV@30MHz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吸收钳的场地衰减 20.30Aact @ 1000MHz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吸收钳退偶 DF ＞ 21dB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吸收钳退偶因子 DR＞30dB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允许被测电缆直径：＜20mm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2.去耦钳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★频率范围：150kHz～230MHz；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有效频率范围：1MHz～230MHz；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衰减系数在有效频率范围内≤-14dB；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工作温度：-10℃ ～ +50℃；相对湿度：≤90%（25℃）；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3.导轨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★测试距离：6m；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高度：0.8m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材料：PVC+fiber glass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控制方式：手动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测试附件：包含测试电缆、射频电缆、衰减器等，以满足测试需求为准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4.其它要求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设备及附件应满足的标准: GB 4343.1、CISPR 14-1现行最新版本标准。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所有设备应与现有设备相互兼容，配合使用。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应提供测试系统的现场安装、系统设计、集成、培训。</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灯具测试系统</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1.信号发生器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★频率范围：不低于1μHz~10MHz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★通道数：不少于2通道</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输出范围：1mVpp~10mVpp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输出分辨率：0.1mVpp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总谐波失真：&lt;55dBc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输出阻抗：50欧姆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测试附件：包含测试电缆、射频电缆、衰减器等，以满足测试需求为准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2.转换器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★频率范围：150kHz~1.605MHz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满足GB17743要求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3.模拟灯组</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★满足GB 17743/CISPR15图4a/4b/4c/4d/4e/4f要求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4.其它要求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设备及附件应满足的标准:GB/T 17743、CISPR15现行最新版本标准。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所有设备应与现有设备相互兼容，配合使用。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应提供测试系统的现场安装、系统设计、集成、培训。</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三环天线及辅助设备</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1.三环天线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★频率范围：9kHz～30MHz；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三环天线可在X、Y、Z平面之间切换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确认因子：70～100dBΩ ；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输出阻抗：50Ω/N；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天线直径：2m；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三环确认因子：74.26 dB(Ω )@9kHz，91.45 dB(Ω )@30MHz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测试附件：包含测试电缆、射频电缆、衰减器等，以满足测试需求为准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2.耦合去耦网络</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★满足两线、三线测试需求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★频率范围：30MHz~300MHz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共模阻抗：150Ω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最大对地电压：400VDC，277VAC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最大电流：16A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3.其它要求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设备及附件应满足的标准: GB/T 17743、CISPR15现行最新版本标准。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所有设备应与现有设备相互兼容，配合使用。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应提供测试系统的现场安装、系统设计、集成、培训。</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提供三环天线的拆卸后的收纳支架或者载具。</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提供三环天线的每年一次拆装服务。</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梳状信号源</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1.用于传导骚扰测试系统验证具有噪声模式和梳妆信号模式。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★2.具有人工电源网络适配器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3.噪声模式指标：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★4.频率范围：9kHz-1GHz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5.环境温度下电平稳定度：＜±1dB，环境温度15℃-30℃；＜±2.5dB，环境温度5℃-40℃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6.时间稳定度：12个月内，电平变化＜1dB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7.梳状信号模式指标：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★8.频率范围：5kHz-1GHz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9.频率步进：10kHz/100kHz/1MHz/5MHz可选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10.环境温度下电平稳定度：＜0.5dB，环境温度15℃-30℃；＜1dB，环境温度5℃-40℃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11.频率变化：＜0.5ppm，12个月内，电平变化＜1dB，频率变化＜1ppm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12.信号输出接口：50欧姆N头</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梳状信号源</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1.用于辐射骚扰（18GHz）测试系统验证，提供稳定的梳状信号。</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★2.频率范围：50MHz-18GHz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★3.频率步进：80MHz/100MHz可选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4.环境温度稳定度：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5.1GHz-16GHz，电平＜0.5dB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6.100MHz-18GHz，电平＜2dB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7.12个月内电平变化，＜1dB</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高频天线及辅助设备</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1、18G接收天线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★频率测量范围：800 MHz to 18 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输入阻抗：50欧姆；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接口：N female；</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★VSWR：&lt; 2.0 (f ≥ 1.5 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最大输入功率：150 W CW@18GHz；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增益：5 dBi to 14 dBi (typ.)；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测试附件：包含测试电缆、射频电缆、衰减器、测试软件等，以满足测试需求为准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2、预放模块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★频率测量范围：1 GHz to 18 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增益：40dB(typ.)，43dB(max)；</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增益平坦度：±2.0 dB；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噪声系数：2.5 dB（typ.）；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输入VSWR：&lt; 2.5:1；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输出功率：+ 5 dBm(max)；</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3、其它要求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设备及附件应满足的标准: GB 4824 、CISPR 11现行最新版本标准。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所有设备应与现有设备相互兼容，配合使用。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应提供测试系统的现场安装、系统设计、集成、培训。</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频谱仪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★1.频率范围:9kHz~3.2GHz,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★2.分辨率带宽（-3dB）: 10Hz~1MHz，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3.视频带宽（-3dB）：1Hz至3MHz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4.最大输入电压：直流电压50V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5.温度稳定性＜0.5ppm,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6.单边带相位噪声＜-98dbc/Hz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7.射频输入VSWR，＜1.5（标称值）</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近场探头</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★1.可与采购的频谱仪配套使用。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★2.频率范围:30MHz~3GHz，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3.连接器：N（阳）-BNC（阴）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4.射频线缆：BNC（阳）-SMB（阴）型，1000mm</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温湿度计</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★1.测量参数：温度/湿度/绝对压力</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2.温度测量范围：（-10~+60）℃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3.湿度测量范围：（0~100）%RH（无凝结），</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4.绝对压力测量范围：（300~1200）hPa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5.分辨率:温度0.1℃,湿度0.1%RH,绝对压力0.1hPa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6.最大允许误差：温度±0.4℃；湿度℃2%RH（在25℃（10-90）%RH时）；绝对压力±3hPa</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EMS抗扰度分析仪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1.脉冲频率:1.2kHz，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2.频域幅值：60-100dBμV（30MHz-1GHz）,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3.脉冲电压范围：500-2000V</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43</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便携式网络分析仪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★1.频率测量范围：100 kHz to 8 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2.温漂（0 °C to +50 °C）：±1 × 10–6；</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3.起始校准精度：±5 × 10–7；</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4.端口输出功率：0 dBm to –40 dBm (nom.)，1 dB步径；</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5.测量带宽：100 Hz to 100 kHz；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★6.VSWR：&lt; 2 (nom.)@ 5 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7.触发源：free run, external rise, external fall；</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8.支持USB、LAN连接控制；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9.支持S参数测试，包括S11、S22、S21、S12；、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10带校准件及测试线缆；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应提供测试系统的现场安装、系统设计、集成、培训。</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44</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接收机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★1.频率测量范围：9 kHz~26.5 GHz，低频可扩展至10Hz；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★2.兼容EMI测试接收机模式和频谱分析仪模式；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3.频率分辨率：0.1Hz（接收机模式）；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4.初始校准精度：±5 × 10–7；</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5.接收机中频带宽：200Hz, 9kHz, 120kHz, 1MHz；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★6.分辨率带宽：10 Hz to 10 MHz，最高可达40MHz（频谱仪模式）；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7. 1dB压缩点：+10 dBm (nom.)@6GHz；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8.三阶截断点（TOI）：&gt; 15 dBm, 18 dBm (typ.)@20GHz；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9.显示平均噪声电平DANL：&lt; –141 dBm, –144 dBm (typ.)@20GHz；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★10.接收机模式下的扫描点数：4,000,000；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11.频谱仪模式下的扫描时间：16000 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12.接收机模式下检波器：max. peak, min. peak, RMS, average, quasi-peak, CISPR-average, RMS-average；</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13.带16个预选滤波器和7 GHz到26.5 GHz，30dB增益的前置放大器（可关闭和开启）；</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14.可通过添加选件实现基于FFT的时域扫描；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三年原厂保修；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★具有原厂授权书；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出故障时需在中国国内维修，且一周内提供备用机。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设备及附件应满足的标准: GB 4824 、CISPR 11现行最新版本标准。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所有设备应与现有设备相互兼容，配合使用。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应提供测试系统的现场安装、系统设计、集成、培训。</w:t>
            </w:r>
          </w:p>
        </w:tc>
      </w:tr>
      <w:tr>
        <w:tblPrEx>
          <w:tblCellMar>
            <w:top w:w="0" w:type="dxa"/>
            <w:left w:w="0" w:type="dxa"/>
            <w:bottom w:w="0" w:type="dxa"/>
            <w:right w:w="0" w:type="dxa"/>
          </w:tblCellMar>
        </w:tblPrEx>
        <w:trPr>
          <w:trHeight w:val="300" w:hRule="atLeast"/>
        </w:trPr>
        <w:tc>
          <w:tcPr>
            <w:tcW w:w="7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性能测试</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*激光粒度分析仪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1.技术要求：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1.符合GB/T19077-2016标准要求；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 准确性误差&lt;1%（国家标准样品D50值）；</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重复性误差&lt;1%（国家标准样品D50值）；</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★4.测量雾里直径范围：0.1-100μm；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5.半导体激光器：λ=650nm；p&gt;1mw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6.使用寿命：＞25000H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7.测试通道数：60个；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8.测试区长度：60mm；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9.全量程以米氏散射为原理，采用单光束平行光路和双镜头双阵列探测器技术；</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★10.设计有气流保护系统，可有效保护镜头，在测试过程中避免雾滴对镜头的污染；</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11.进样方式为开放式；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12.软件功能：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12.1 具有分析模式，可以对仪器工作状态进行自动监测：包括光路对中，样品窗洁净度，激光强度，冲洗效果，样品浓度自控。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12.2 提供数百种样品的光学模型，同时提供自定义光学模型的生成程序；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12.3 对多条测试结果统计比较，用户可对不同批次的样品、样品加工前后或加工不同时间的测试数据进行比较分析，有效指导产品质量和成本控制；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12.4 对测试数据进行智能化统计和处理，输出最有代表性的测试结果；</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12.5 可自定义输出D0-D100之间的任意特征粒径、大于或小于某一粒径的累计百分比、某一粒径区间的累计百分比等结果，以满足不同行业对粒度测试表征方式的不同要求；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12.6 输出结果为粒径典型值、区间粒度分布（即微分分布）数据和图形（直方图或曲线图）、累计粒度分布（即积分分布）数据和曲线等。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12.7 测试报告可导出Word、Excel、图片（.bmp） 、文本（.txt）等多种形式的文档；</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12.8 具有中文界面；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★12.9 对仪器工作状态进行自动监测：包括光路对中，样品窗洁净度，激光强度，冲洗效果，样品浓度自控。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13.配套电脑</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13.1 显示器：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13.1.1 26.9英寸；</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13.1.2 2K/QHD高清；</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13.1.3 144Hz刷新率；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13.1.4 1800R精妙曲面；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13.2 笔记本：</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13.2.1 AMD R7 PRO 4750U处理器；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13.2.2 32G 3200MHz板载双通道内存；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13.2.3 单风扇双热管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13.2.4 400nit 72%NTSC色域，带指纹，带背光键盘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13.2.5 1TB PCIe-NVMe固态硬盘；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13.2.6 BT5.0蓝牙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13.3 键盘：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13.3.1 德国Cherry茶轴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13.3.2 108键；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13.3.3 按键接口 USB2.0/Type-C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13.4 鼠标：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13.4.1 有线鼠标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13.4.2 6个可编程按键；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13.4.3 IPS：400IPS；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13.4.4 分辨率：100-16000DPI；</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13.4.5 报告速度：1000Hz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14.彩色激光打印机：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14.1具有无线连接、有线连接、高速彩打、自动双面打印功能；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14.2最高分辨率：600×600dpi；</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14.3黑白打印速度：21ppm；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14.4彩色打印速度：21ppm；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14.5内存：256MB NAND闪存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14.6最大打印幅面：A4</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*静音室</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★1.静音房设计标准符合ISO3745和GB6882-2008；</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★2.本底噪声：LPA≤15B(A)（在公司正常作业及厂区正常生产情况下，周围无异常干扰（如砸地、打桩、冲击和液压拖车滚动）且周围环境噪音低于50dB（A）时，）；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截止频率：≤ 450 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4.静音室测试空间尺寸：</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4.1 室外侧：L×W×H =6.9×6.9×2.7m；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4.2 室内侧：L×W×H =6m*6m*2 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消音室组件参数：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★5.1 吸声尖劈：采用双尖顶结构，法向吸声系数达到0.99；</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5.2 隔音门：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5.2.1门尺寸：800*1800mm（宽*高），双向外开，开门角度＞90°；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★5.2.2 内置填充优质防火硅酸铝陶瓷棉；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★5.2.3 隔音量不得低于55dB；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5.2.4防火等级：B1；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5.2.5 表面具有静电粉末喷涂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6.定制测试桌：3m*1.5m*1m，全橡木，原木色清漆，台面厚度5cm，三对桌脚，桌脚8*8cm；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7.金属接地板：3.2*1.7m，4mm厚，304不锈钢板，带接地固定螺帽；</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转速表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1.具有接触式和非接触式两种测速功能；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★2.光学（非接触式）测量量程：1 至 99999 转/分；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★3.接触式测量量程：1 至 19999 转/分；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★4.测试精度：± 0.02 % 读数 + 1 个字；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5.非接触式传感距离（光学）：500mm；</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千分表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1.测量范围：0-30mm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2.分辨率：0.001mm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★3.精度±0.005mm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4.显示：液晶显示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★5.传感器：玻璃栅位移传感器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★6.响应速度：1.5m/s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7.轴套直径：公制（ISO/GB型）：8mm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8.测杆移动速度：1.5m/s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9.测量头：M2.5*0.45螺纹硬质合金球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10.带数据采集记录功能</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百分表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1.测量范围：0-30mm；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2.分辨率：0.01mm；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★3.精度：±0.02mm；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4.显示：液晶显示；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★5.传感器：玻璃栅位移传感器；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★6.响应速度：1.5m/s；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7.轴套直径：公制（ISO/GB型）：8mm；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8.测杆移动速度：1.5m/s；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9.测量头：M2.5*0.45螺纹硬质合金球；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10.带数据采集记录功能</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扭矩测试仪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1.测量范围：0.1-10N.m;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★2.精确度：±0.5%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3.传感器方式：内置式高精度传感器；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4.测试方向：顺时针方向-逆时针方向（CW-CCW）；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5.显示方式：3 位半 LCD 显示 ；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6.分选功能：可设置测试上限值，指示灯及蜂鸣器自动声光报警；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★7.数字存储：机器可存组 10 组测试数据并可计算平均值；</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★8.调零方式：自动调零；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9.自动复位：可设置 0.5 秒～3 秒（0.5 秒步进）自动复位 时间设置成 0.0 秒为手动复位</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10.自动关机：5 分钟无操作记录自动关机</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*热切断器温度寿命试验台</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1.测试工位：1个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2.符合最新GB9706.1对于可复位的热断路器和过流释放器寿命测试要求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★3.采用中文PC端+自主编程软件控制，程控测试过程，智能判断测试状态，精准控制温度及电流输出。支持测试数据以EXCEL表格方式导出；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温度特性模式：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4.1 能通过程序控制，直接控制负载作用到试验样品上，进行负载寿命测试；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★4.2 温度测试范围：50～250℃；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★4.3 温度测试精度：±（0.5%读数+0.5℃）；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4.4 温度显示分辨率：0.1℃；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4.5 ★使用介质：铝合金发热块+接触式加热；</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4.6 冷却方式：强制风冷；</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★4.7 循环次数：1-9999次可调，次数到自动停机；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5.过流释放器寿命模式：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5.1 能通过程序控制，直接控制负载作用到试验样品上，进行负载寿命测试；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5.2 试验区的温度进行控制，温度测试范围：50～250℃；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5.3 温度测试精度：±（0.5%读数+0.5℃）；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5.4 温度显示分辨率：0.1℃；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5.5 试验电压范围：100V～250V可设定；</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5.6 实验电压显示精度1%；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★5.7 试验电流范围：1A～20A可设定；</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★5.6 实验电流显示精度1%；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5.8 电流调节精度：±0.5A；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★5.9 循环次数：1-9999次可调，次数到自动停机；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★6.系统保护功能：漏电、过载、超温、超时不动作（被测产品损坏）保护；</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7.配套笔记本电脑：</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7.1 10代i7-1065G7 四核 1.3GHz；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7.2 Windows 10 家庭中文版；</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7.3 2个ThunderBolt 3.0接口；</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7.4 屏幕：14.0英寸3840x2160超窄边4K超高清IPS全面屏；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7.5 16GB LPDDR4</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7.6 1TB SSD固态硬盘；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7.7 集成显卡；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7.8 2X2 AX无线局域网卡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7.9具有指纹识别功能；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8.配套显示器：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8.1 29.5英寸 21:9带鱼屏 VA面板 1800R曲率；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8.2 分辨率：2560*1080；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8.3 性能：60HZ刷新率+FreeSync技术</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8.4接口：DP+HDMI+DVI</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手持式温度记录仪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1.主机参数：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 显示单位：℃/℉；</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 显示模式：三显示区；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 数据存储：需要时256条+，记录模式下16000条；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1.4输入类型K/J/T/E/R/S/N型热电偶；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 输入数量：2个热电偶同时输入；</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1.6附带标配热电偶；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1.6.1 温度量程：0-260℃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1.6.2 测试精度：±2.2℃或0.75% 取大值；</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2.表面温度探头1参数：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 专门用于测量直径为 13</w:t>
            </w:r>
            <w:r>
              <w:rPr>
                <w:rFonts w:hint="default" w:ascii="Times New Roman" w:hAnsi="Times New Roman" w:eastAsia="宋体" w:cs="Times New Roman"/>
                <w:i w:val="0"/>
                <w:color w:val="auto"/>
                <w:kern w:val="0"/>
                <w:sz w:val="24"/>
                <w:szCs w:val="24"/>
                <w:u w:val="none"/>
                <w:lang w:val="en-US" w:eastAsia="zh-CN" w:bidi="ar"/>
              </w:rPr>
              <w:t>⁄</w:t>
            </w:r>
            <w:r>
              <w:rPr>
                <w:rStyle w:val="174"/>
                <w:color w:val="auto"/>
                <w:lang w:val="en-US" w:eastAsia="zh-CN" w:bidi="ar"/>
              </w:rPr>
              <w:t>16" 的管道表面；</w:t>
            </w:r>
            <w:r>
              <w:rPr>
                <w:rStyle w:val="174"/>
                <w:color w:val="auto"/>
                <w:lang w:val="en-US" w:eastAsia="zh-CN" w:bidi="ar"/>
              </w:rPr>
              <w:br w:type="textWrapping"/>
            </w:r>
            <w:r>
              <w:rPr>
                <w:rStyle w:val="174"/>
                <w:color w:val="auto"/>
                <w:lang w:val="en-US" w:eastAsia="zh-CN" w:bidi="ar"/>
              </w:rPr>
              <w:t>★2.2测试温度：0-250℃；</w:t>
            </w:r>
            <w:r>
              <w:rPr>
                <w:rStyle w:val="174"/>
                <w:color w:val="auto"/>
                <w:lang w:val="en-US" w:eastAsia="zh-CN" w:bidi="ar"/>
              </w:rPr>
              <w:br w:type="textWrapping"/>
            </w:r>
            <w:r>
              <w:rPr>
                <w:rStyle w:val="174"/>
                <w:color w:val="auto"/>
                <w:lang w:val="en-US" w:eastAsia="zh-CN" w:bidi="ar"/>
              </w:rPr>
              <w:t>★2.3 测试精度：±2.2℃或0.75% 取大值；</w:t>
            </w:r>
            <w:r>
              <w:rPr>
                <w:rStyle w:val="174"/>
                <w:color w:val="auto"/>
                <w:lang w:val="en-US" w:eastAsia="zh-CN" w:bidi="ar"/>
              </w:rPr>
              <w:br w:type="textWrapping"/>
            </w:r>
            <w:r>
              <w:rPr>
                <w:rStyle w:val="174"/>
                <w:color w:val="auto"/>
                <w:lang w:val="en-US" w:eastAsia="zh-CN" w:bidi="ar"/>
              </w:rPr>
              <w:t>3</w:t>
            </w:r>
            <w:r>
              <w:rPr>
                <w:rStyle w:val="174"/>
                <w:rFonts w:hint="eastAsia"/>
                <w:color w:val="auto"/>
                <w:lang w:val="en-US" w:eastAsia="zh-CN" w:bidi="ar"/>
              </w:rPr>
              <w:t>.</w:t>
            </w:r>
            <w:r>
              <w:rPr>
                <w:rStyle w:val="174"/>
                <w:color w:val="auto"/>
                <w:lang w:val="en-US" w:eastAsia="zh-CN" w:bidi="ar"/>
              </w:rPr>
              <w:t>表面温度探头2参数：</w:t>
            </w:r>
            <w:r>
              <w:rPr>
                <w:rStyle w:val="174"/>
                <w:color w:val="auto"/>
                <w:lang w:val="en-US" w:eastAsia="zh-CN" w:bidi="ar"/>
              </w:rPr>
              <w:br w:type="textWrapping"/>
            </w:r>
            <w:r>
              <w:rPr>
                <w:rStyle w:val="174"/>
                <w:color w:val="auto"/>
                <w:lang w:val="en-US" w:eastAsia="zh-CN" w:bidi="ar"/>
              </w:rPr>
              <w:t>3.1 探头形状为直角探头；</w:t>
            </w:r>
            <w:r>
              <w:rPr>
                <w:rStyle w:val="174"/>
                <w:color w:val="auto"/>
                <w:lang w:val="en-US" w:eastAsia="zh-CN" w:bidi="ar"/>
              </w:rPr>
              <w:br w:type="textWrapping"/>
            </w:r>
            <w:r>
              <w:rPr>
                <w:rStyle w:val="174"/>
                <w:color w:val="auto"/>
                <w:lang w:val="en-US" w:eastAsia="zh-CN" w:bidi="ar"/>
              </w:rPr>
              <w:t>★3.2 测试温度：0-760℃；</w:t>
            </w:r>
            <w:r>
              <w:rPr>
                <w:rStyle w:val="174"/>
                <w:color w:val="auto"/>
                <w:lang w:val="en-US" w:eastAsia="zh-CN" w:bidi="ar"/>
              </w:rPr>
              <w:br w:type="textWrapping"/>
            </w:r>
            <w:r>
              <w:rPr>
                <w:rStyle w:val="174"/>
                <w:color w:val="auto"/>
                <w:lang w:val="en-US" w:eastAsia="zh-CN" w:bidi="ar"/>
              </w:rPr>
              <w:t>★3.3 测试精度：±2.2℃或0.75% 取大值；</w:t>
            </w:r>
            <w:r>
              <w:rPr>
                <w:rStyle w:val="174"/>
                <w:color w:val="auto"/>
                <w:lang w:val="en-US" w:eastAsia="zh-CN" w:bidi="ar"/>
              </w:rPr>
              <w:br w:type="textWrapping"/>
            </w:r>
            <w:r>
              <w:rPr>
                <w:rStyle w:val="174"/>
                <w:color w:val="auto"/>
                <w:lang w:val="en-US" w:eastAsia="zh-CN" w:bidi="ar"/>
              </w:rPr>
              <w:t>3.4 护套长度：102 mm；</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53</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风速仪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1.风速测试：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1.1测试范围：0.01-50m/s；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 测试精度：±2%或0.015（取大值）；</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 分辨率：0.01-9.99m/s时0.01m/s；10-50m/s时0.1m/s；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2.温度测试：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 测试范围：-20℃-70℃；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2.2 测试精度：±0.5℃；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2.3 分辨率：0.1℃；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.湿度测试：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 测试范围：2-98%RH；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★3.2 测试精度：±2%RH；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3.3 分辨率：0.1%RH；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4.气压测试：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4.1 测试范围：-5kPa-5kPa；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★4.2 测试精度：±（3%读数+0.01）kPa；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4.3 分辨率：0.01kPa；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★5.具有数据存储输出功能；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★6.可以记录20000条记录；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7.液晶屏显示数据；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8.探头与主机之间具有软轴连接</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54</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*低温恒温槽</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★1.量程：– 40 ℃ 至 110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★2.稳定性：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  – 40 ℃（乙醇）时为 ± 0.002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2.2  25 ℃（水）时为 ± 0.0015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2.3  100 ℃（5012 油）时为 ± 0.003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★3.均匀性：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  – 40 ℃（乙醇）时为 ± 0.004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3.2  25 ℃（水）时为 ± 0.002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3.3  100 ℃（5012 油）时为 ± 0.004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4.温度设定为数字显示，数据按键输入；</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5.设定点分辨率：0.01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6.最高高分辨率模式下为 0.00007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7.显示分辨率：0.01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★8.数字设定精确度：± 1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★9.数字设定可重复性：± 0.01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★10.开口尺寸：不小于127 x 254 mm（5 x 10 英寸）；</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★11.浸湿部：304 不锈钢；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12.容积：不小于27 L (7.2 gal)；</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13.加热器功率：500W及1000W；</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*高温油槽</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 量程 ：40°C 到 300°C；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★2.均匀性：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 在  40°C（水）时为 ±0.001°C；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2.2  100 °C（5012 油）时为 ± 0.0034°C；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2.3  在 300°C（油 5017）时为 ±0.012°C；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3.温度设定为数字显示，数据按键输入</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4.设定点分辨率：0.01 °C；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5.高分辨率模式下为 0.00018 °C；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6.显示温度分辨率：0.01 °C；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★7.数字设定精确度：± 1 °C；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★8.数字设定可重复性 ：±0.02 °C；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★9.开口尺寸：不小于184 x 324 mm (7.25 x 12.75 英寸)；</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★10.浸湿部：304 不锈钢；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11.容积：不小于42 升（11.2 加仑）；</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12.自动化套件：包括了 Interface-it 软件和 RS-232 计算机接口，可通过远程计算机设置槽温度。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13.加热器：350W和1050W</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数显倾角尺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1.具有磁力吸附功能；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★2.液晶读数显示，带背光；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★3.分辨率：0.05°；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★4.精度：0.1°；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★5.长度小于152mm；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6.测试范围：4*90°（360°）</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数显万能角度尺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1.配有LCD显示屏；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★2.显示分辨率：30″；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3.测试范围：0-360°；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★4.精度：0.005°；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★5.具有双副尺测量功能；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6.副尺长度：150mm、300mm；</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*高精度多路测温仪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1.主机：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1.1测量热电偶，热电阻，热敏电阻，直流电压和电流，电阻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★1.2温度测量准确度：PRTs：± 0.005 ℃，热电偶：± 0.15 ℃，热敏电阻：±0.002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 40个通用输入通道，内置和外置接线模块灵活配置；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 扫描、监测、测量、数字表测量模式；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 可选扫描速度，最快10通道/秒；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 实时彩色曲线图形显示，同时最多4个通道；</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1.7 内存20MB或U盘数据存储，通过Excel 查看文件和数据；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1.8测温范围：PRTs：-200-1200℃，热电偶：-200-2315 ℃，热敏电阻：-200-400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1.9 显示分辨率：4 ½ ~ 6 ½ 位；</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★1.10 具有传感器自动校准功能，无需电脑或软件就可完成传感器的校准。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★2.配有外置连接模块，可具有20 路微型热电偶输入插口，10个4线专利的镀金微型按压插座用于连接热电阻和热敏电阻。无需工具快速安装和拆卸；</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★3.包含温湿度校准软件，符合《JJF1101-2019环境试验设备温度、湿度校准规范》，监测、记录数据，自动保存原始记录，趋势绘图，生成符合校准规范的报告。支持支持windows xp、win7、win10系统；</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4.包含一个通用电源模块为主机提供温湿度、压力等传感器的工作。</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5.包含专用便携箱带轮子，方便携带；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6.精密铂电阻探头：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6.1 精密铂电阻探头数量：5根；</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6.2 温度范围：-200℃到160℃；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6.3 标准电阻：100Ω；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★6.4 准确度：在0.01℃时为±0.04℃，在160℃时为±0.06℃；</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6.5护套长度：50mm，护套直径：3.1mm，引线长度：2.4m；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6.6引线类型：漆包铜线；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6.7 短期可重复性：在0.01℃时为±0.03℃，在160℃时为±0.04℃；</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★6.8 漂移：在0.01℃时为±0.03℃，在160℃时为±0.04℃；</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7.湿热热电偶探头：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7.1 湿热热电偶探头数量：10根；</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★7.2 精度等级：Ⅰ级；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7.3 外覆PFA防护层，PFA绝缘层，防水；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7.4 温度范围：-100℃到200℃；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7.5 探头精度：±0.5℃；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8.软件功能：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★8.1实时查看所有通道的数据，并同时绘制至少4个通道的曲线；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8.2可以至少存储带时标的75,000个扫描记录。数据和设置文件可以通过U盘或者LAN方便地传送到电脑。</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9. 配套笔记本电脑：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9.1第10代智能英特尔® 酷睿™ i5-10400H (4 核, 8M 缓存, 2.6GHz, 4.6GHz Turbo, 45W vPro™)；</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9.2显卡：GeForce MX250 独立显卡含 Thunderbolt 适用于英特尔第10代智能酷睿 i5-10400H；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9.3内存：8GB, 1x8GB, DDR4 非-ECC；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9.4硬盘：M.2 256GB PCIe NVMe Class 40 固态硬盘；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9.5显示屏：15.6" FHD WVA (1920 x 1080) 防眩光非触控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9.6其他：摄像头 &amp; 麦克风, 支持WLAN/WWAN，带摄像头遮挡片；英特尔双频 Wi-Fi 6 AX201 2x2 802.11ax 160MHz + 蓝牙 5.1；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US 英文双指点背光键盘 含 10 键 数字键盘；配双指点键盘 掌托 含指纹识别电源一体键, FIPS 接触式 + 感应式智能卡读卡器, NFC, TBT；4 芯 68瓦时 电池带快速充电技术；130W E5 Type C 电源适配器 (EPEAT)；</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9.7包含3年意外损坏服务；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 配套键盘和鼠标：无线键盘，无线鼠标；</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在线式二氧化碳气体检测仪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★1.采样精度：±3%F.S；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★2.重复性：±3%F.S；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3.测量范围：0-50000ppm；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4.检测原理：电化学原理；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5.波特率：9600；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★6.响应时间：＜30s；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7.工作气压：86kpa-106kpa；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★8.长期漂移：±3%F.S；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9.外壳材质：铝合金；</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10.外壳防护等级：IP65；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11.分辨率：0.1PPM/1PPM；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12.带电源适配器，可使用网电源通电工作</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*婴儿培养箱检测仪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1.符合标准GB11243-2008和JJF1260-2010要求；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2.具有电容触摸屏显示；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3.数据存储：带有至少2GB数据存储功能；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★4.声级计：30-130dB A/C加权二级声级计；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5.湿度特性：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5.1范围：0-100%RH；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5.2分辨率：0.1%RH；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★5.3误差±3%RH；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6.温度特性：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6.1具有5个温度传感器；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★6.2测量范围：5-80℃；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★6.3分辨率：0.01℃；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★6.4误差：±0.05℃；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★6.5测温介质：PT100；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★7.内置倾斜传感器，用于指示当前床板状态；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8.时间常数：10s；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★9.具有专用测试软件，可查看历史数据、选择显示参数、显示温湿度的曲线图表、根据测试数据导入并形成测试记录；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10.无线工作频率：2.4GHz；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11.无线通信距离：可视距离30m；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12.标配测试记录电脑(含测试软件)；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砝码</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1.精度等级：M1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2.配重1g砝码5个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3.配重2g砝码5个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4.配重5g砝码5个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5.配重10g砝码5个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6.配重20g砝码5个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7.配重50g砝码5个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8.配重100g砝码5个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9.配重200g砝码5个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10.配重500g砝码5个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11.配重1kg砝码2个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12.配重2kg砝码2个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13.配重3kg砝码2个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14.配重4kg砝码2个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15.配重5kg砝码2个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16.配重10kg砝码2个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17.材质：钢镀铬</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★符合国家CMA计量要求</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*超纯分光光谱辐射扫描测量系统</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 符合IEC/EN 62471/CIE S009, IEC/TR 62778, GB/T20145, GB/T 30117.2, IEC/EN 60432 : Incandescent Lamp UV radiation, GB7000.1,2005/32/EC 欧盟指令标准的测量要求。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 SPSR 在紫外波段，杂散光可控制在10-8 以内，满足光生物安全分析所需的高精度测量需求。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光谱范围:200nm-3000nm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波长准确度: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4.1  200≤λ≤300nm：±0.2 nm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4.2  300≤λ≤325nm：±0.1 nm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4.3  325＜λ≤600nm：±0.2 nm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4.4  600＜λ≤1400nm：±2nm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4.5  λ＞1400nm：±5nm；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带宽: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5.1  200≤λ≤400nm：≤2nm；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5.2  400＜λ≤600nm：≤8nm；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5.3  600＜λ≤1400nm：≤20nm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 光度线性:±0.3%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 带外杂散光A 光源法：紫外≤1*10-8；其他波段≤1*10-4；</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 紫外探测能力（特别是UVC 波段）:0.001mW/klm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9.光辐射标准装置及精密供电系统技术特性与指标：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9.1 UV 标准辐射源带有定标方向激光指示，光谱范围：200nm-380nm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★9.2 UV 标准辐射源光谱辐射照度数据可以溯源至美国国家标准与技术研究院NIST（含供方证书）；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9.3 UV 标准辐射源电源稳定度：0.03%；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9.4 UV 标准辐射源电参数测量准确度：0.5%；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★9.5 相对光谱标准值可以溯源美国NIST（含供方证书），光谱范围：380nm—3000nm；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9.6 标准供电稳压稳流电源满度时输出漂移：0.01%读数；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9.7 电源电压电流测量基本准确度：0.05%。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 软件功能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10.1软件具有参数分级功能，分级功能是对通用参数的分级选项（如电参数和色参数等），根据不同的分类测试，用户只需要事先编辑好分级文件；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10.2 软件可实现FIP光电变化分析测试；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10.3 软件可选择连接串行口、波长范围、测量模式(快速测试、精度测试)和电参数通讯参数；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10.4 可根据使用需求，软件进行扫描步长调节；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10.5 软件可在相对光谱曲线中显示AD值曲线；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10.6 软件可在同一个图中，比较测得的各个相对光谱曲线；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10.7 可直接导出列表数据Excel和PDF格式文件；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10.8 可测量200nm-400nm有效紫外辐射，760nm-1400nm红外辐射；</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11.配套电脑</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11.1显示器：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11.1.1 26.9英寸；</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11.1.2 2K/QHD高清；</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11.1.3 144Hz刷新率；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11.1.4 1800R精妙曲面；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11.2 笔记本：</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11.2.1 AMDR7PRO4750U处理器；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11.2.2 32G3200MHz板载双通道内存；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11.2.3 单风扇双热管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11.2.4 400nit72%NTSC色域，带指纹，带背光键盘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11.2.5 1TBPCIe-NVMe固态硬盘；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11.2.6 BT5.0蓝牙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11.3键盘：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11.3.1德国Cherry茶轴；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11.3.2108键；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11.3.3按键接口USB2.0/Type-C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11.4鼠标：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11.4.1有线鼠标；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11.4.26个可编程按键；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11.4.3IPS：400IPS；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11.4.4分辨率：100-16000DPI；</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11.4.5报告速度：1000Hz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 配套扫描仪：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12.1扫描元件CIS；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12.2像素深度：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12.2.1输入：10位 /像素；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12.2.2输出：8位 /像素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12.3光学分辨率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12.3.1自动文稿进纸器：600dpi×600dp；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12.3.2平板：1200dpi×1200dpi；</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12.4日扫描量：1500页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12.5扫描速度：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12.5.1 ADF 200dpi/300dpi(黑白/彩色)：25ppm/10ipm*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12.5.2平板 200/300dpi(黑白):6秒 / 页， 200/300dpi(彩色):7秒 / 页 </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63</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便携式辐射表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 1个检测器输入，最多4个模拟信号；</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2.输入范围：±4V，单量程（无需自动调整）；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分辨率：13μV@≤4V；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动态范围：2.6*10^6；</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精度：＜0.5％FS；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 非线性度：0.003％整体非线性度；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 温度系数：≤50ppm/°C；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 采样率：每秒3次；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 屏幕刷新率：每秒10次；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 探头参数：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★10.1 测试范围：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10.1.1无窗：200 mW/cm²；</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10.1.2有窗：800 mW/cm²；</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10.2显示分辨率：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10.2.1 无窗：0.1 mW/cm²；</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10.2.2 有窗：0.1 mW/cm²；</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★10.3视场角：20°；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★10.4 响应时间（95％）：18秒；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★10.5 非线性精度（100-1000 W /m²）：&lt;1.5％；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10.6 探测器类型：热电堆；</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64</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带通滤光片</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200个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1.透过率要求：760-1400nm  @Tave＞90%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 FWHM：710nm以内</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入射角：0度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截至波段：2000nm  @Tave＜1%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尺寸公差：±0.1mm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 厚度公差：±0.1mm</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蓝光辐照度计</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1.技术要求(400-550nm)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 数字液晶显示，带背光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 手动/自动量程切换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 数字输出接口（USB,冗余供电）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 低电量提醒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 自动延时关机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 有数字保持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1.7 轻触按键操作，蜂鸣提示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1.8波长范围：400-550nm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★1.9 辐照度测量范围（0.1～199.9×103）μW/cm2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★1.10 带外区杂光：＜0.2%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★1.11 相对示值误差：＜±6.0％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★1.12 余弦特性误差：＜4.0%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★1.13 非线性误差：＜±1.0%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★1.14 换档误差：＜±1.0%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★1.15 响应时间：&lt;1秒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2.技术要求(320-550nm)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 数字液晶显示，带背光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2.2 手动/自动量程切换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2.3 数字输出接口（USB,冗余供电）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2.4 低电量提醒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2.5 自动延时关机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2.6 有数字保持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2.7 轻触按键操作，蜂鸣提示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2.8 波长范围：320-550nm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★2.9 辐照度测量范围（0.1～199.9×103）μW/cm2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★2.10 带外区杂光：＜0.2%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★2.11 相对示值误差：＜±6.0％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★2.12 余弦特性误差：＜4.0%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★2.13 非线性误差：＜±1.0%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★2.14 换档误差：＜±1.0%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★2.15 响应时间：&lt;1秒</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光电转换器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★1.波长：400 - 1100 nm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2.探测器材质：硅</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3.带宽：2GHz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4.最大峰值功率：18mW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上升时间：150ps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 下降时间：150ps</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*声级计</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★1.执行标准：GB/T 3785.1-2010 /IEC61672-1:2013；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2.精度等级：1级；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★3.测量范围：25 dB(A)～140 dB(A)；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4.自生噪声：&lt;18 dB(A)；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5.频率计权：A、C、Z；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★6.频率范围：10 Hz～20kHz；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 时间计权：F、S、I；</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 显示器：128×64 LED点阵；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 输出接口：AC、DC、RS232、PWM；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10. 带有3.5mm耳机接口</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 主要测量指标：Lp、Lmax、Lpeak；</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流量计</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★1.介质种类：内置了 98 种气体，一台设备内置所有气体，用户可现场选择；</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2.量程比：200：1；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3.最大显示流量120% 满量程；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4.显示屏：带按键，标准为LCD显示屏；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★5.显示方式：同时显示质量流量、体积流量、压力、温度；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★6.精度：± (0.8% 读数 +0.2% 满量程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★7.重复性：± 0.2% 满量程；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★8.响应时间：10 ms 预热时间 &lt;1s；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9.标定工况：25 ℃ &amp; 100 KPa 绝压；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10.工作温度：-10 ～ +60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11.最大工作压力 ：1 MPa；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★12.最大进出口压差：0.5 MPa；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13.电气接口：DB9M；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14.数字输入：输出信号 RS232；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15.模拟输入：输出信号 0-5Vdc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16.量程：0-100SLPM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17.带电源适配器，可使用网电源通电工作</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★18.可使用软件进行数据记录</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流量控制器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1.量程0-50SLPM；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★2.介质种类：内置了 98 种气体，一台设备内置所有气体；</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3.量程比：00：1；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4.最大显示流量：120% 满量程；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5.显示屏：带按键，标准为 LCD 显示屏；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★6.显示方式：同时显示质量流量、体积流量、压力、温度；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★7.精度：± (0.8% 读数 +0.2% 满量程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★8.重复性：± 0.2% 满量程；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★9.响应时间：100 ms 预热时间 &lt;1s；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10.标定工况：25 ℃ &amp; 100 KPa 绝压；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11.工作温度：-10 ～ +60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12.最大工作压力：1 MPa 表压；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★13.最大进出口压差：0.5 MPa；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14.电气接口：DB9M；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15.数字输入：输出信号 RS232；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16.模拟输入：输出信号 0-5Vdc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17.可在量程范围内控制并调节流量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18.带电源适配器，可使用网电源通电工作</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★19.可使用软件进行数据记录</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无油真空泵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★1.真空度范围：0～-0.089MPa；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2.泵筒体积：30L；</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★3.采用全无油，非润滑油的活塞和气缸；</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★4.低噪声，具有降噪功能</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流量计</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★1.流量范围：0-25L/min；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2.阻尼：＜0.1kPa（流量25L/min时）；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★3.准确度：0.1%；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4.压力等级：4MPa；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5.温度范围：-50℃-125℃；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6.带电源适配器，可使用网电源通电工作</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*全自动桌面三维检测系统</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1.扫描区域：100*100*75mm；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2.扫描原理：结构光3D扫描；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★3.扫描精度：≤10μm；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★4.自动转轴方式：三轴联动；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5.空间点距：不低于0.05mm；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★6.相机分辨率：2x5.0MP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★7.相机像素：500W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8.拼接方式：转台拼接，特征拼接，标志点拼接</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★9.标定方式：全自动标定，无须人工参与，整个标定过程不超过三分钟</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 AI智能补扫功能：具备自动检测被扫物体数模的完整性，通过AI智能分析，智能规划补扫路径，同时兼具扫描路径存储功能，针对批量样品可以导入路径智能批量化扫描作业</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★11.全流程检测模块：一键式可轻松导出数据，可实现3D扫描至全尺寸三维检测的全流程作业</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12.操作系统：Windows 10，64位；</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13.光源：蓝光LED光源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14.配套笔记本电脑：</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14.1第十代智能英特尔® 酷睿™ i7-10510U 处理器，四核 1.8 GHz，最高频率 4.9 GHz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14.2 Windows 10 家庭单语言版, 64位 (简体中文)；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14.3 独立显卡：NVIDIA® GeForce® MX250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14.4 内存：16 GB LPDDR3 2133 MHz；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14.5 硬盘：512 GB / 1 TB NVMe PCIe 固态硬盘；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14.6 屏幕：13.9 英寸 LTPS 91%屏占比 分辨率：3000 x 2000，260 PPI；</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14.7 机身材质：铝合金；</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73</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玻璃温度表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1.材质：玻璃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2.长度：长度540mm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3.精度：0.05℃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★4.测试温度范围：25-50℃</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74</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粗糙度样块</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1.符合标准GB/T6060.2-2006；</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2.研磨：Ra0.1、0.05、0.025；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3.平磨：Ra0.8、0.4、0.2、0.1；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4.外磨：Ra0.8、0.4、0.2、0.1；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5.立铣：Ra6.3、3.2、1.6、0.8；</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6.平铣：Ra6.3、3.2、1.6、0.8；</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7.刨床：Ra6.3、3.2、1.6、0.8；</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8.车床：Ra6.3、3.2、1.6、0.8；</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9.镋床：Ra6.3、3.2、1.6、0.8；</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★10.符合国家CMA计量要求</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激光测距仪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★1.具有P2P功能；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★2.具有蓝牙连接功能；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★3.外壳防护等级IP65；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★4.精度：理想条件下的精度：1mm，不理想条件下的精度：2mm；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5.理想条件下的测程：0.05-150m；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6.不理想条件下的测程：0.05-80m；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7.显示的单位：0.1mm，1/32in；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8.激光等级：2；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9.激光类型：635 nm, &lt;1 mW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10.激光点|距离：6/30/60mm|10/50/100m；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★11.激光束倾斜测量公差：土0.2°；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★12.外壳倾斜测量公差：土0.2°；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★13.倾斜测量范围：360°；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14.自动关闭激光自动关闭：90秒后180秒后</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空气压缩气泵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 压缩机转速1380r/min；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 最大压力：0.7MPa；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3.排气量：120L/min；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储气罐容量：50L</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*全自动可燃液体自燃点测定仪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1.依据标准：GB/T 5332-2007、 GB/T 21860-2008</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2.10寸工业级彩色液晶触摸屏，全中文操作界面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★3.控制系统： 三菱PLC系统，内置16组控制程序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★4.控温范围： 80℃～800℃  精度±1℃  三段温度差≤1°C</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★5.检测精度： 符合标准要求，重 复 性 ≤10℃   再 现 性≤20℃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6.数据输入:  触摸屏数据输入，可以输入中文、英文、数字、标点、符号等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7.数据输出:  微型热敏打印机，自动打印，打印快速、清晰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8.存储数据:  自动储存100个测定结果，可随时查看或打印历史测试数据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★9.仪器自动化程度高，自动恒温、自动进样、自动计时、自动检测自燃点、自动清洗、自动打印结果。</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10.金属浴恒温，升温速度快，无噪音、无污染。</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11.精密注射泵自动加注样品，进样量精确，进样位置准确。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★12.每次加注试样后自动清洗烧瓶。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13.采用步进电机带动，具有精度高、运行可靠、使用时间长的特点。</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14.光电检测方式，自动检测自燃点，检测灵敏度高，重复性好。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15.内置微型热敏打印机，可自动报告检测结果。</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16.可预设16组测定参数，供测量不同样品时选用，便于测量操作。</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★17.预设参数具有可修改性，来满足测定特殊样品的要求。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18.设计制造符合国家标准，国家标准修订时，仪器程序可升级。</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*多通道信号分析仪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1.专为YY0709医用报警器听觉警报信号脉冲特征部分的测试而定，可以满足标准测试要求，实现自动化测试；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★2.各级脉冲频率f0，误差≤10Hz；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★3.各级谐波分量数，误差≤1；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★4.td、 tf 、tf检测误差≤10ms；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★5.脉冲群间隔时间检测误差≤10%；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★6.脉冲幅值检测误差≤±5%；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★7.脉冲上升时间，是持续时间的10%～20%；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8.1通过软件自动计算脉冲群周期tb，脉冲群中脉冲数，每个脉冲的脉冲上升时间tr、下降时间tf，脉冲有效持续时间td，相邻两个脉冲间隔ta，每个脉冲幅值，脉冲频率f,300Hz-4kHz之间的谐波分量数，谐频频率等技术指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8.2 报表功能：可自动生成测试报表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9.配套彩色激光打印机：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9.1具有无线连接、有线连接、高速彩打、自动双面打印功能；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9.2最高分辨率：600×600dpi；</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9.3黑白打印速度：21ppm；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9.4彩色打印速度：21ppm；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9.5内存：256MBNAND闪存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9.6最大打印幅面：A4</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10.配套笔记本电脑：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10.1 第十代智能英特尔® 酷睿™ i5-10300H (8MB 缓存,最高睿频 4.5 GHz, 4 核)；</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10.2 Windows 10 家庭单语言版, 64位 (简体中文)；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10.3 英特尔® UHD显卡；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10.4 8GB DDR4-2933MHz, 2x4G；</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10.5 512GB M.2 PCIe NVMe 固态硬盘；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10.6 15.6英寸 FHD+ (1920 x 1200) InfinityEdge 非触控防眩光 500-Nit 显示器；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 鼠标：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11.1无线鼠标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11.2 符合人体工学，可以折叠；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11.3 刷新率：动态可调4000FPS；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11.4 触摸板设计，支持水平垂直四项滑动；</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*压力释放器寿命试验仪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1.测试口径：≤DN20 螺纹式接口</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2.控制电压：24V/220V 电磁释放阀控制电压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3.测试对象包括弹簧阀和电磁阀</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★4.控制方式：计算机封闭控制、PC机直接数字调节控制试验台。采用基于美国Labview平台开发软件，具有动态显示和自动记录保存试验次数、压力试验波形的功能，方便查询和打印输出。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★5.试验次数：＞100000次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6.试验介质：压缩空气</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7.增压方式：气动高压泵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★8.测试压力：0.1-1.2mpa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9.配驱动气源，压力0.6-0.8MPa 流量不低于0.8m³/min</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*氧弹（空气弹）老化试验仪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1罐体容积：直径123×高325mm，容积为4000cm3；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★2.工作压力可调，最高工作压力：4MPa；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★3.温度偏差：±0.5℃；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★4.温度自控范围：0－200℃；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5.温度控制：数字显示智能控制；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★6.罐体材料：内为不锈钢，外为冷扎钢板静电喷涂；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7.依据标准GB9706.1-2020塑胶老化试验；</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智能数字压力校验仪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1.技术要求（-97～6900kPa）：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 量程：-97～6900kPa；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 分辨率：0.001bar；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 精度：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1.3.1正压±0.02%量程；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1.3.2负压±0.05%量程；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1.4爆裂压力：690bar；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1.5电流测试范围：0-24mA；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1.6电流分辨率：1μA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1.7电流精度：0.01 % ±2 LSD 满量程 ( 在 23 ℃±5℃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1.8电压测试范围：0 V 直流 -30 V 直流；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1.9电压分辨率：1mA；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1.10电压精度：0.01 % ±2 LSD 满量程 ( 在 23 ℃±5℃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1.11 IP 防护等级：IP54；</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1.12 跌落测试：1m 防摔保护；</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1.13 LCD 显示屏、中文操作界面、双插孔设计；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2.技术要求（-97～200kPa）：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★2.1量程：-97～200kPa；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2.2分辨率：0.0001bar；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★2.3精度：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2.3.1正压±0.02%量程；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2.3.2负压±0.05%量程；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2.4爆裂压力：6bar；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2.5电流测试范围：0-24mA；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2.6电流分辨率：1μA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2.7电流精度：0.01 % ±2 LSD 满量程 ( 在 23 ℃ ±5℃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2.8电压测试范围：0 V 直流 -30 V 直流；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2.9电压分辨率：1mA；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2.10电压精度：0.01 % ±2 LSD 满量程 ( 在 23 ℃ ±5  ℃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2.11 IP 防护等级：IP54</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2.12 跌落测试：1m 防摔保护</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2.13 LCD 显示屏、中文操作界面、双插孔设计；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3.技术要求（-80～2000kPa）：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★3.1量程：-80～2000kPa；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3.2分辨率：0.001bar；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★3.3精度：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3.3.1正压±0.02%量程；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3.3.2负压±0.05%量程；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3.4爆裂压力：14MPa；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3.5电流测试范围：0-24mA；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3.6电流分辨率：1μA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3.7电流精度：0.01 % ±2 LSD 满量程 ( 在 23 ℃ ±5℃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3.8电压测试范围：0 V 直流 -30 V 直流；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3.9电压分辨率：1mA；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3.10电压精度：0.01 % ±2 LSD 满量程 ( 在 23 ℃ ±5  ℃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3.11 IP 防护等级：IP54</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3.12 跌落测试：1m 防摔保护</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3.13 LCD 显示屏、中文操作界面、双插孔设计；</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天平</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★1.测量范围：0-6200g；</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★2.可读性精度：10mg；</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★3.非线性误差：20mg；</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★4.重复性误差：10mg；</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5.秤盘尺寸：180*180mm；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6.包含通用电源适配器；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★7.具有CMC型式批准证书（中国）；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8.具有数据传输功能，数据接口为RS232C 25-pin；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9.具有15mm字高白色背光高对比度显示器；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10.防盗锁装置：缆线或链条的锁定功能</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83</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*便携式快速露点仪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1.测量原理：超薄的氧化铝电容原理；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2.分辨率：0.1℃；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3.量程：-100℃～+20℃；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★4.准确度：±3℃；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★5.重复性：±0.5℃；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★6.显示：带背光的三位半液晶显示；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7.压力修正：可编程压力修正键；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8.响应时间：达到63%时用时90秒;达到90%时用时450秒；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9.控制：5个按键实现功能控制；传感器手动传动装置；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10.采样流速：100米/秒；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★11.外壳：氧化铝压制而成；</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★12.测试室：电抛光不锈钢材料；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13.工作压力：标准200Kpa;最大绝对值690Kpa；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14.气体连接：1/4"VCO输入和输出；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15.电气连接：9针插头用于模拟和RS232接口；</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84</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冰柜</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 容积：冷藏185L，冷冻97L</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2.温控：微电脑温控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★3.使用温度：2～8℃和-20～-30℃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报警方式：蜂鸣和灯闪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温度显示：数字温显</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绝缘电阻测试仪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1.交直流电压测试：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1.1测试范围：0-600V；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1.2分辨率：0.1V；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★1.3精度：±（2%读数+3最低有效位数字）；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1.4共模抑制比：＞60dB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1.5过载保护：600V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2.接地电阻测试：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2.1测试范围：0-20kΩ；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★2.2精度：±（2%+3）；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2.3过载保护：2V；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2.4开路电压：＞4V，＜8V；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2.5短路电流：＞200mA；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3.绝缘技术指标：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★3.1测量范围：0.01MΩ-10GΩ；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3.2测试电压：50V、100V、250V、500V、1000V；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★3.3测试电压准确度：+20%，-0%；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3.4短路电流：1mA；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★3.5自动放电：当C=1μF或更小时，放电时间＜0.5s；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3.6在进行初始化之前，如果检测到大于30V的电压，则禁止进行测试；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3.7最大容性负载；在高达1μF的负载下可工作；</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4.具有保存/调用功能，有19个存储单元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5.具有自动关闭功能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6.CAT IV 600 V 测量安全等级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具有磁性悬挂系统，解放双手从事其它工作</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数字接地电阻测试仪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 工作原理为由机内的DC/AC变换器将直流变为交流的低频恒流，经过辅助接地极C和被测物E组成回路，被测物上产生交流压降，经辅助接地极P送入交流放大器放大， 再经过检波送入表头显示；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 应用DC/AC变换技术，集三端钮、四端钮量方式为一体，使用电源可交、直流两用；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采用锁相同步跟踪检波方式，及开关电容滤波器，使抗干扰能力极强；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采用电池供电，不需人力做功；</w:t>
            </w:r>
            <w:r>
              <w:rPr>
                <w:rFonts w:hint="eastAsia" w:ascii="宋体" w:hAnsi="宋体" w:eastAsia="宋体" w:cs="宋体"/>
                <w:i w:val="0"/>
                <w:color w:val="auto"/>
                <w:kern w:val="0"/>
                <w:sz w:val="24"/>
                <w:szCs w:val="24"/>
                <w:u w:val="none"/>
                <w:lang w:val="en-US" w:eastAsia="zh-CN" w:bidi="ar"/>
              </w:rPr>
              <w:br w:type="textWrapping"/>
            </w:r>
            <w:r>
              <w:rPr>
                <w:rStyle w:val="179"/>
                <w:rFonts w:hint="eastAsia" w:eastAsia="宋体"/>
                <w:color w:val="auto"/>
                <w:lang w:val="en-US" w:eastAsia="zh-CN" w:bidi="ar"/>
              </w:rPr>
              <w:t>5.</w:t>
            </w:r>
            <w:r>
              <w:rPr>
                <w:rStyle w:val="174"/>
                <w:color w:val="auto"/>
                <w:lang w:val="en-US" w:eastAsia="zh-CN" w:bidi="ar"/>
              </w:rPr>
              <w:t xml:space="preserve"> LCD数字显示 </w:t>
            </w:r>
            <w:r>
              <w:rPr>
                <w:rStyle w:val="174"/>
                <w:color w:val="auto"/>
                <w:lang w:val="en-US" w:eastAsia="zh-CN" w:bidi="ar"/>
              </w:rPr>
              <w:br w:type="textWrapping"/>
            </w:r>
            <w:r>
              <w:rPr>
                <w:rStyle w:val="174"/>
                <w:color w:val="auto"/>
                <w:lang w:val="en-US" w:eastAsia="zh-CN" w:bidi="ar"/>
              </w:rPr>
              <w:t>★</w:t>
            </w:r>
            <w:r>
              <w:rPr>
                <w:rStyle w:val="174"/>
                <w:rFonts w:hint="eastAsia"/>
                <w:color w:val="auto"/>
                <w:lang w:val="en-US" w:eastAsia="zh-CN" w:bidi="ar"/>
              </w:rPr>
              <w:t>6.</w:t>
            </w:r>
            <w:r>
              <w:rPr>
                <w:rStyle w:val="174"/>
                <w:color w:val="auto"/>
                <w:lang w:val="en-US" w:eastAsia="zh-CN" w:bidi="ar"/>
              </w:rPr>
              <w:t xml:space="preserve"> 可以测试低压电阻导体电组值。土壤电组率以及交流地电压；</w:t>
            </w:r>
            <w:r>
              <w:rPr>
                <w:rStyle w:val="174"/>
                <w:color w:val="auto"/>
                <w:lang w:val="en-US" w:eastAsia="zh-CN" w:bidi="ar"/>
              </w:rPr>
              <w:br w:type="textWrapping"/>
            </w:r>
            <w:r>
              <w:rPr>
                <w:rStyle w:val="174"/>
                <w:color w:val="auto"/>
                <w:lang w:val="en-US" w:eastAsia="zh-CN" w:bidi="ar"/>
              </w:rPr>
              <w:t>★</w:t>
            </w:r>
            <w:r>
              <w:rPr>
                <w:rStyle w:val="174"/>
                <w:rFonts w:hint="eastAsia"/>
                <w:color w:val="auto"/>
                <w:lang w:val="en-US" w:eastAsia="zh-CN" w:bidi="ar"/>
              </w:rPr>
              <w:t>7.</w:t>
            </w:r>
            <w:r>
              <w:rPr>
                <w:rStyle w:val="174"/>
                <w:color w:val="auto"/>
                <w:lang w:val="en-US" w:eastAsia="zh-CN" w:bidi="ar"/>
              </w:rPr>
              <w:t xml:space="preserve"> 测试范围：</w:t>
            </w:r>
            <w:r>
              <w:rPr>
                <w:rStyle w:val="174"/>
                <w:color w:val="auto"/>
                <w:lang w:val="en-US" w:eastAsia="zh-CN" w:bidi="ar"/>
              </w:rPr>
              <w:br w:type="textWrapping"/>
            </w:r>
            <w:r>
              <w:rPr>
                <w:rStyle w:val="174"/>
                <w:color w:val="auto"/>
                <w:lang w:val="en-US" w:eastAsia="zh-CN" w:bidi="ar"/>
              </w:rPr>
              <w:t>7.1 测试范围：1-1.999Ω，分辨率：0.001Ω；</w:t>
            </w:r>
            <w:r>
              <w:rPr>
                <w:rStyle w:val="174"/>
                <w:color w:val="auto"/>
                <w:lang w:val="en-US" w:eastAsia="zh-CN" w:bidi="ar"/>
              </w:rPr>
              <w:br w:type="textWrapping"/>
            </w:r>
            <w:r>
              <w:rPr>
                <w:rStyle w:val="174"/>
                <w:color w:val="auto"/>
                <w:lang w:val="en-US" w:eastAsia="zh-CN" w:bidi="ar"/>
              </w:rPr>
              <w:t>7.2 测试范围：2-19.99Ω，分辨率：0.01Ω；</w:t>
            </w:r>
            <w:r>
              <w:rPr>
                <w:rStyle w:val="174"/>
                <w:color w:val="auto"/>
                <w:lang w:val="en-US" w:eastAsia="zh-CN" w:bidi="ar"/>
              </w:rPr>
              <w:br w:type="textWrapping"/>
            </w:r>
            <w:r>
              <w:rPr>
                <w:rStyle w:val="174"/>
                <w:color w:val="auto"/>
                <w:lang w:val="en-US" w:eastAsia="zh-CN" w:bidi="ar"/>
              </w:rPr>
              <w:t>7.3 测试范围：20-199.9Ω，分辨率：0.1Ω；</w:t>
            </w:r>
            <w:r>
              <w:rPr>
                <w:rStyle w:val="174"/>
                <w:color w:val="auto"/>
                <w:lang w:val="en-US" w:eastAsia="zh-CN" w:bidi="ar"/>
              </w:rPr>
              <w:br w:type="textWrapping"/>
            </w:r>
            <w:r>
              <w:rPr>
                <w:rStyle w:val="174"/>
                <w:color w:val="auto"/>
                <w:lang w:val="en-US" w:eastAsia="zh-CN" w:bidi="ar"/>
              </w:rPr>
              <w:t>7.4 测试范围：200-1999.9Ω，分辨率：1Ω；</w:t>
            </w:r>
            <w:r>
              <w:rPr>
                <w:rStyle w:val="174"/>
                <w:color w:val="auto"/>
                <w:lang w:val="en-US" w:eastAsia="zh-CN" w:bidi="ar"/>
              </w:rPr>
              <w:br w:type="textWrapping"/>
            </w:r>
            <w:r>
              <w:rPr>
                <w:rStyle w:val="174"/>
                <w:color w:val="auto"/>
                <w:lang w:val="en-US" w:eastAsia="zh-CN" w:bidi="ar"/>
              </w:rPr>
              <w:t>★</w:t>
            </w:r>
            <w:r>
              <w:rPr>
                <w:rStyle w:val="174"/>
                <w:rFonts w:hint="eastAsia"/>
                <w:color w:val="auto"/>
                <w:lang w:val="en-US" w:eastAsia="zh-CN" w:bidi="ar"/>
              </w:rPr>
              <w:t>8.</w:t>
            </w:r>
            <w:r>
              <w:rPr>
                <w:rStyle w:val="174"/>
                <w:color w:val="auto"/>
                <w:lang w:val="en-US" w:eastAsia="zh-CN" w:bidi="ar"/>
              </w:rPr>
              <w:t xml:space="preserve"> 测试精度：≤±(3%+2d)</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便携式PH计</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 测量范围: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 pH：0～14.00pH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 电压: 0～±2000mV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 温度:0～99.9℃</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2. 分辨率: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 pH：0.01pH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2.2电压: 0.1mV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2.3温度: 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3. 精确度: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 pH：±0.01pH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3.2 电压: ±0.1%(F.S)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3.3 温度: ±0.5℃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输入阻抗: ≥1012Ω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温度补偿范围:(手动或自动)0～99.9℃</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 pH校准温度：0至99.9℃</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 校准数据：全自动存储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 电极：E201-C塑壳pH复合电极及温度电极</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电导率测定仪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★1.自动温度补偿：-40℃-+80℃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2.响应时间：50ms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3.外壳等级：IP65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电极材料为不锈钢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测试精度：2-2000μs/cm±1μs/cm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 具有反接保护，过压保护，过流保护</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7.数据通讯：485通讯输出</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*沙尘试验箱</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1.符合标准GB2423.37-89《电工电子产品基本环境试验规程试验La2：砂尘试验方法》；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2.试验用尘：能通过筛孔为75μm、金属丝直径为50μm方筛孔的干燥滑石粉；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粉尘量：2-4kg/m3；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★4.气流速度：&lt;2m/s；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★5.抽气系统压力：真空度不超过20kpa；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6.试验环境温度：15～35℃；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★7.全封闭结构，振动泵采用气动振动泵，频率可通过调节气流无级可调，强力循环风机循环室内空气带动粉尘悬浮，风机风速可通过变频器调节；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★8.带玻璃窗密封门，配备除尘刷可便于观察室内状况；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9.不锈钢栅栏搁板放置测试样品；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10.真空系统配置：真空泵、流量计、真空负压表、调压阀、过滤器；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★11.内壁不锈钢内胆、外壁钢板喷漆；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★12.配置样品试验电源（内装防尘插座）、样品电源通断由本机控制，电源入口与本机分离；</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13.内空尺寸：W1000mmXD1000mmXH1000mm；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★14.控制界面为触摸屏操作，操作方便，程序参数设定后自动测试；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15.安全保护：满足国家电工安全标准，布线规范，各接线端口均有明确标注，无裸露，工作室与各电源绝对绝缘，安全可靠，接地保护装置，漏电/断路保护，过载熔断保护，声讯报警保护，超温保护；</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频闪测试仪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★1.闪速范围：40～35000RPM；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★2.精度：±0.01%；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3.分辨率：0.1RPM、0.2RPM、0.5RPM、0RPM多种分辨率；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4.显示更新时间：0.2s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5.寿命：1亿次；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★6.闪速周期：10～40μs；</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圆锥孔径规</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1.技术要求（1-6.5mm）：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1.1测量范围：1-6.5mm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★1.2精度：±0.04mm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1.3分辨率：0.1mm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1.4锥度1:10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1.5尺身长度：62mm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1.6总长度：120mm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2.技术要求（3-15mm）：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 测量范围：3-15mm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★2.2 精度：±0.04mm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2.3 分辨率：0.1mm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2.4 锥度1:10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2.5 尺身长度：129mm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2.6 总长度：182mm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3.技术要求（15-30mm）：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 测量范围：15-30mm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★3.2 精度：±0.04mm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3.3 分辨率：0.1mm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3.4尺身长度：169mm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3.5总长度：253mm</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数显拉力计</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 额定载荷：500N；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2.传感器：内置传感器；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准确度：0.2级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外壳：合金材料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分辨率：0.001kg</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 测量单位：kg .n .lbf 可切换.并自动换算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 显示方式：4位数液晶显示窗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 可抓取测试中的峰值.也可自动解除</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 RS-232C/USB串口输出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 攫取速率：1000次/每秒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11.定制：每套配有2套625mm2的测试平面和直径为30mm的圆形测试平面</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93</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带灯台式放大镜</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★1.放大倍数：15x；</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2.色温：6400k；</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★3.光照强度：1500LX；</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★4.灯身材质：ABS材质/优质不锈钢；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5.镜面直径：128mm；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★6.调光方式：无极调光</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94</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钢球跌落试验装置</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★1.设备符合GB 9706.1-2007标准，用于医疗设备的耐钢球冲击试验;</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2.依据GB4943.1-2011第4.2.5条款、GB7000.1、IEC60598.1及IEC60950.1等标准要求设计制造的专用检测仪器，适用于对设备外壳进行防跌落冲击性能试验</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3.设备可进行垂直跌落冲击及摆动水平冲击两种形式；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4.冲击钢球：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4.1横球Φ50mm带环，500±25g ，摆动长度1.3米；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4.2竖球Φ50mm带环，500±25g ，摆动长度1.4米；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5.跌落高度：0.5-1.5m可调；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★6.升降方式：电动；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★7.夹持释放方式：电控</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读数显微镜</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 20x显微镜技术要求：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 光学系统：有限远光学系统；</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 观察方法：单目镜筒；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 光学方式：反射光照明；</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 目镜倍率10x；</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 目镜线视场：8.5mm；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 目镜测微尺：0-8mm；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★1.7 目镜测微鼓轮最小分度值：0.01mm；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1.8 物镜倍率：2x；</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★1.9 测量范围：4mm；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★1.10 测量精确度：±0.01mm；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 40x显微镜技术要求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 光学系统：有限远光学系统</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2.2 观察方法：单目镜筒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2.3 光学方式：反射光照明</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2.4 目镜倍率10x</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★2.5 目镜线视场：8.5mm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★2.6 目镜测微尺：0-8mm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2.7 目镜测微鼓轮最小分度值：0.01mm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2.8 物镜倍率：4x</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★2.9 测量范围：2mm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★2.10测量精确度：±0.01mm</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标准耶格氏视力表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1.标准耶格氏视力表；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★2.含塑封包装</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usb测试仪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★1.电压显示精度：0.00001V；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★2.电流显示精度0.00001A；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★3.功率显示精度：0.00001W；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采样频率：100ms/次；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具有电压电流测量、动态曲线绘制、容量能量测量、快充触发、TF卡离线数据存储、数据线线阻测量、USB PD协议监听、快充转USB PD功能</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*智能照度计</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★1.测试功能 ：照度(lux)、照度差(lux)、照度比(%)、积分照度(lx·h)、平均照度(lx)；</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 传感器 ：硅光器件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V(λ)失配误差 ：f1'≤3.5%（标准级 standard class）or  f1'≤5%（一级 class 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测试范围 ：照度：0.01lx～300klx; 积分照度：0.01lx·h～999.99Mlx·h；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测试精度：4%（according to JJG245-2005）or 2%（according to JJG245-2005）；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 显示方式：5位背光液晶显示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 可以通过USB进行通讯和数据传输；</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 具有用户校正功能：CCF色彩修正系数功能、校零、定标；</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*标准试验指、试验针、无关节试验指、试验钩、试验棒、圆棒</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1.★符合GB9706.1，GB4793.1最新版标准要求；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2.★材料：不锈钢；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3.标准试验指：满足GB9706.1-2007中图7要求和GB4793.1-2007中附录B要求；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4.试验针：满足GB9706.1-2007中图8要求；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5.无关节试验指：尺寸和标准试验指相同；</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6.试验钩：满足GB9706.1-2007中图9要求；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7.试验棒：直径4mm，长度100mm；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8.圆棒：满足GB4793.1-2007要求，直径12mm，施力端为半球面；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★9.便携式安全箱包装，全新PP工程塑料，IP67防水防尘，抗震耐压； </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*弹簧冲击试验器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★1.符合GB9706.1最新版标准要求；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★2.冲击能量：0.5J±0.05J；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3.主体组件质量：1250g；</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4.冲击组件包括：锤头、锤柄轴和击发球形柄，总质量250g；</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5.锤头为聚酰胺制的半球形面，半径为10mm，洛氏硬度为HRC100；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6.锤头固定在锤柄轴上，锤头顶端在冲击件释放时与圆锥体前端面相距20mm；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7.圆锥体质量60g；</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8.释放冲击件时，锥体弹簧能施出20N力；</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9.锥体弹簧的行程与施力的乘积等于1000，压缩行程约为20mm；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★10.便携式安全箱包装，全新PP工程塑料，IP67防水防尘，抗震耐压；</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数字式温湿度大气压表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1.温度测试：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★1.1测试范围：-10℃-60℃；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★1.2测试精度：±0.4℃；</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1.3分辨率：0.1℃；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2.湿度测试：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★2.1测试范围：0-100%RH；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★2.2测试精度：1±（2%RH+1 Digit）（10%RH-90%RH）,±3%RH（其他范围）；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2.3 分辨率：0.1%RH；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3.大气压测试：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★3.1测试范围：300-1200hPa；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★3.2测试精度：±3hPa；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3.3分辨率：0.1hPa；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4.外壳材料：ABS；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5.外壳防护等级：IP30</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字式温湿度大气压表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36个</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1.温度测试：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★1.1测试范围：-30℃-70℃；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★1.2测试精度：±0.3℃；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2.湿度测试：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★2.1测试范围：0-100%RH；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★2.2测试精度：±3.0%RH；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3.大气压测试：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★3.1测试范围：300-1100hPa；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★3.2测试精度：±3hPa；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★4.外壳防护等级：IP67；</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5.具有温度、湿度、大气压记录功能，可设置记录间隔；</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6.具有Mini USB通讯接口；</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7.两行液晶显示屏；</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103</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混合信号数据采集系统</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1.包含8个模块：</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1.1.高速电压采集模块：电压输入范围不低于+/-10V，分辨率不低于14位，通道数不少于4个，通道间同步，采样率不低于20MS/s，在20MS/s采样下SNR不差于68dB</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★1.2.精确电压电流采集模块：电压输入范围不低于+/-10V，分辨率不低于24位，通道数不少于8个；电流输入范围不低于+/-20mA，分辨率不低于24位，通道数不少于8个；总采样率不低于500S/s，具有 50/60 Hz噪声抑制功能</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1.3.精确热电偶采集模块：可接各种标准的热电偶，包括J、K、T、E、N、B、R和S型；分辨率不低于24位，通道数不少于8个，J、K、T型热电偶的采集噪声&lt;=0.05℃，最高采样率不低于95S/s/ch同步，具有冷端补偿功能，具有50/60Hz噪声抑制功能；</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1.4.精确铂热电阻采集模块：可接PT100铂电阻，支持四线/三线制，分辨率不低于24位，通道数不少于4个，最高采样率不低于100S/s/ch同步，采集噪声&lt;=0.02℃，具有50/60Hz噪声抑制功能；</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噪声和振动采集模块：可接IEPE振动传感器或麦克风，IEPE激励电流不小于4mA，软件可选输出或不输出，采集电压范围不小于+/-30V，分辨率不低于24位，通道数不少于3个，采样率不低于102.4kS/s/ch，精度不差于±0.60%*读数 ±0.23%*量程</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1.5.工业电平输入输出模块：漏级数字输入通道不少于16个，输入电压范围不低于0～30VDC，最快采集时间不慢于7us；源级数字输出通道不少于16个，高电平输出电压范围不低于6～30 VDC，驱动能力100mA，最快更新时间不慢于500us；60V数字输入组到数字输出组隔离，60V通道对地隔离；</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1.6.脉冲频率采集模块：通道数不少于8个，兼容单端或差分输入，输入范围0 V～5 V 差分/0 V～24 V 单端，计数器位数不低于32位，最大输入速率不低于1MHz</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1.7.脉冲频率输出模块：通道数不少于8个，单端输出，输出范围0 V～5 V，最快更新速率不慢于100ns</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2.包含2个前置式接线盒附件，分别适用于 37针D-Sub模块和25针D-Sub模块。</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3.采集设备通过以太网接入PC，配有8槽以太网机箱，工作温度范围：-40° C~70° C，能承受5gRMS振动，电源输入范围兼容9~30VDC范围</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104</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高频电刀分析仪</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★1.符合国家GB9706.1-2007和GB9706.4-2009、JJF1217-2009相关要求。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2.包含ForceTriad选配件：200Ω可调无感负载，UFP适配接头，高频接头线缆等。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3.主要技术参数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★3.1测量参数：输出功率、功率分布曲线、高频漏电流、REM/ARM/CQM测试、电压峰值、有效值、波峰因子、电流等15个相关参数。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3.2 测量精度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频率响应范围：50KHz-10MHz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电流测量范围：2.0-700.0mA RMS(低范围)和20-7000mA RMS(高范围)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电流分辨率： 0.1 mA RMS (低)，1 mA RMS (高)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电流测量精确度：1% 读数+0.5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输出功率测量范围： 0 - 500 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分辨率：0.1W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精度：1%读数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波峰因子测量范围：1.4至500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分辨率：0.1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精度：1%读数+0.5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内部可变负载范围：0-6400Ω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类型：无感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步进：1Ω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精度：最高1%读数+0.5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3.3设备特征和功能要求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100%兼容Covidien/Valleylab Force Triad/Ligasure/Conmed系统5000电刀及其他所有传统的电刀</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DFA专利测量技术和行业标准的电流测量方法；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0到6400Ω的高精度无感负载，步进1Ω；同时支持外接负载测试 ；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输出功率、功率负载曲线、RF漏电流、CQM测试等多种功能；可同时显示超过15个测量参数；   </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*光学跟踪测量系统</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★1.测量范围及精度：</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测量范围：1~5m，空间20m3</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单点精度指标：</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2D系统测量误差≤5 μm + 5 μm/m，3D系统测量误差≤5 μm + 20 μm/m；</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空间精度指标：</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 xml:space="preserve">2D系统测量误差≤20 μm + 20 μm/m，3D系统测量误差≤20 μm + 30 μm/m； </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设备检验规范遵照ASME B89.4.22-2004标准执行。</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★2.相机系统采用红外线技术，不受环境光的影响，单相机分辨率≥800万像素。</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3.系统可以根据要求任意配置相机数目，可以双相机、三相机使用，亦可以任意多个相机组成测量矩阵，实现大范围、大尺寸监测；客户定制化非常强。</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4.系统在购买后具有可升级性，如果日后需要添加相机，可在不对设备本身做任何升级或改动情况下随意添加相机，并与原相机系统完美匹配。</w:t>
            </w:r>
          </w:p>
          <w:p>
            <w:pPr>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eastAsia="zh-CN"/>
              </w:rPr>
              <w:t>★</w:t>
            </w:r>
            <w:r>
              <w:rPr>
                <w:rFonts w:hint="eastAsia" w:ascii="宋体" w:hAnsi="宋体" w:eastAsia="宋体" w:cs="宋体"/>
                <w:i w:val="0"/>
                <w:color w:val="auto"/>
                <w:sz w:val="24"/>
                <w:szCs w:val="24"/>
                <w:u w:val="none"/>
              </w:rPr>
              <w:t>5.系统对于监测点数无限制，被动式监测技术，监测点为一般反光点，不能有电缆连接，可以同时进行无限个点的实时动态测量。</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★6.一机多用，可以实现动态监测，检测频率≥14Hz；也可以连接手持便携式测头，实现便携式测量。可以为采购方提供手术刀等工具个性化免费标定服务。</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7.系统可用来做实时6D监测测量；</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8.校准棒使用碳纤维材料制成，并通过DAkks认证</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★9.相机内需要配置主动测头温度控制系统，以保证更高的精度</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10.控制系统</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★10.1.单个控制器一次可以最多控制4个相机，可多个控制器联合使用</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10.2.高性能控制电脑，配置不低于：</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四核CPU 主频2.6GHz，32GB内存，4GB独立显卡，1TB硬盘，鼠标、键盘，USB2.0接口，64位windows10操作系统</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11.软件系统</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11.1.可以兼容使用POLYWORKS、SA、Metrolog, PowerInspect, Geomagic, BuildIt、PC-Dmis软件；</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11.2.坐标系可以自由切换，具有可视化操作界面，交互操作方便、友好，</w:t>
            </w:r>
            <w:r>
              <w:rPr>
                <w:rFonts w:hint="eastAsia" w:ascii="宋体" w:hAnsi="宋体" w:eastAsia="宋体" w:cs="宋体"/>
                <w:i w:val="0"/>
                <w:color w:val="auto"/>
                <w:sz w:val="24"/>
                <w:szCs w:val="24"/>
                <w:u w:val="none"/>
              </w:rPr>
              <w:tab/>
            </w:r>
            <w:r>
              <w:rPr>
                <w:rFonts w:hint="eastAsia" w:ascii="宋体" w:hAnsi="宋体" w:eastAsia="宋体" w:cs="宋体"/>
                <w:i w:val="0"/>
                <w:color w:val="auto"/>
                <w:sz w:val="24"/>
                <w:szCs w:val="24"/>
                <w:u w:val="none"/>
              </w:rPr>
              <w:t>软件的核心算法应得到PTB或其它权威机构认证。</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★12.制造商在中国境内必须设有直属售后服务机构（办事处或分公司）及常用备件库，具备能在中国境内长期提供培训和维修的条件。</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★13.支持后续升级手持便携式测头，测头手柄具有电子芯片，可以快换测头并能自动识别所更换的测头，手持测头无线缆、无机械部件连接，</w:t>
            </w:r>
          </w:p>
          <w:p>
            <w:pP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14.设备至少配有3种不同光学标记点，标记点最小支持4mm；</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脚踏寿命测试工装</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1台</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★1.符合YY1057医用脚踏开关通用技术条件最新版标准试验要求，用于脚踏开关寿命测试；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2.试验次数：0～999999次可设；</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3.试验速率：0～30次/分钟可设；</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4.驻留时间：0.0～2.0s可设；</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5.施力10N～50N可调；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6.力值精度：0.1N；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★7.采用进口知名品牌PLC控制，8点输入6点输出，内置16000步EEPROM（程序容量4000步），</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响应时间10ms,晶体管输出，通过CE认证，需提供制造商产品资料中佐证内容；</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★8.进口知名品牌7寸彩色触摸屏，分辨率800*480，通过CE认证，需提供制造商产品资料中佐证内容；</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9.脚踏开关启动力可通过压力传感器读取；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10.拉压力传感器精度0.03%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★11.力传感器与压板之间采用万向关节连接，需提供设备核心部件清单或设计图中佐证内容；</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★12.伺服电机，功率400W，扭矩1.27Nm，转速3000r/min；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13.工业铝材机架平台，外形尺寸不低于（长宽高）：1200X600X1800mm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★14.采用标准铝型材，铝材1.5mm厚，门板及封板使用1.5mm厚的冷轧钢板，烤漆工艺。</w:t>
            </w:r>
          </w:p>
        </w:tc>
      </w:tr>
      <w:tr>
        <w:tblPrEx>
          <w:tblCellMar>
            <w:top w:w="0" w:type="dxa"/>
            <w:left w:w="0" w:type="dxa"/>
            <w:bottom w:w="0" w:type="dxa"/>
            <w:right w:w="0" w:type="dxa"/>
          </w:tblCellMar>
        </w:tblPrEx>
        <w:trPr>
          <w:trHeight w:val="300" w:hRule="atLeast"/>
        </w:trPr>
        <w:tc>
          <w:tcPr>
            <w:tcW w:w="7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射线类测试</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X射线多功能检测仪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用于检测所有诊断用X光设备.包括一般的工频X线发生器和高档的变频X线高压发生器的X光机、拍片机、透视机、脉冲透视机、牙科机、全景牙科机、牙科CT机、低剂量CR机、DR机、小型便携式X光机、DSA（数字减影系统）、不同靶材的乳腺机、扫描乳腺机、CT机等医用X光机质量性能检测。具备测量光照度、散漏射线、mA/mAs、AEC/ABC模式下的剂量、剂量率的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★2.测量方式：带蓝牙遥测功能的彩色(≥4.3’’)触摸屏平板工作站以及专用质控软件.主机具有USB接口.电池供电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3.毫安秒探头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mAs量程0.001 – 9999 毫安秒.分辨率0.001 毫安秒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不确定度1 %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mA量程（峰值）0.1 – 1500 毫安.分辨率0.01 毫安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不确定度1 %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时间量程1 ms – 999 s.分辨率0.1 ms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带宽1 kHz.不确定度0.5 %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脉冲量程1 – 9999 个脉冲.分辨率1 个脉冲</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脉冲频率量程0.1 – 200 脉冲/秒.分辨率0.1 脉冲/秒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毫安秒/脉冲量程0.001 – 9999 毫安秒.分辨率0.001 毫安秒.不确定度1 %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波形分辨率125 μs×.带宽1 kHz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4.拍片透视功能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剂量量程1 nGy – 9999 Gy(0.1 μR – 9999 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不确定度5 % 或 5 nGy (0.5 μR)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剂量率量程1 nGy/s – 500 mGy/s（5 μR/min – 3400 R/min）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不确定度5 % 或 10 nGy/s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千伏峰值量程40 – 150 kVp 不确定度2 %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半价层量程1 – 14 mm Al不确定度10 %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总滤过量程1.5 – 35 mm Al不确定度10 % 或 0.3 mm Al</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曝光时间量程1 ms – 999 s分辨率0.1 ms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带宽4 Hz – 4 kHz×不确定度0.5 %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脉冲量程1 – 9999 个脉冲</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脉冲频率量程0.1 – 200 脉冲/秒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剂量/脉冲量程1 nGy/脉冲 – 999 Gy/脉冲</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波形分辨率62.5 μs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带宽 kV 0.1 – 0.4 kHz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带宽剂量率4 Hz – 4 kHz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5.乳腺功能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剂量/剂量率和半价层无需设定.</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Mo/Mo, Mo/Rh 20 – 40 kVp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Mo/Al, W/Rh, W/Ag, W/Al, Rh/Rh, Rh/Al 20 – 50 kVp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Mo/Cu, Rh/Cu, W/Cu 40 – 50 kVp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千伏峰值</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W/Ag20 – 40 kVp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W/Al20 – 50 kVp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Mo/Mo20 – 40 kVp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Mo/Rh 32 – 40kVp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剂量量程1 μGy – 9999 Gy(0.1 mR – 9999 R)</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不确定度5 %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剂量率量程10 μGy/s – 300 mGy/s(70 mR/min – 2000 R/min)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不确定度5 %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千伏峰值量程20 – 50 kVp×不确定度2 % 或 0.5 kV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半价层量程 0.2 – 3.6 mm Al不确定度5 % 高于 25 kV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时间量程1 ms – 999 s分辨率0.1 ms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带宽400 Hz不确定度0.5 %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脉冲量程1 – 9999 个脉冲</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脉冲频率量程0.1 – 200 脉冲/秒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剂量/脉冲量程1 μGy/脉冲 – 999 Gy/脉冲(0.1 mR/脉冲 – 999 R/脉冲)</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波形分辨率62.5 μs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千伏和剂量率带宽400 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6.光探头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级别DIN 5032 part 7 class 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亮度量程0.01 – 10 000 cd/m2.分辨率0.001 cd/m2.孔径角5°不确定度.照度A 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人眼 CIE 曲线最大误差(V(λ))&lt; 3 %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照度量程0.1 – 100 000 lux.分辨率0.01 lux 不确定度 照度A 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人眼 CIE 曲线最大误差(V(λ))&lt; 3 % .余弦角响应最大误差&lt; 3 %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7.CT 探头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能量响应&lt; 5 % 在70-150kV之间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主动环境补偿80 – 106 kPa, 15 – 35 °C (59 – 95 °F)</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剂量量程10 μGy – 999 Gy (1 mR – 999 R).不确定度5 %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剂量长度乘积量程100 μGycm – 9999 Gycm(10 mRcm – 9999 Rcm).不确定度5 %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剂量率量程10 μGy/s – 500 mGy/s(70 mR/min – 3400 R/min).不确定度5 %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时间量程10 ms – 999 s分辨率1 ms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8.散漏射探头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空气比释动能率量程范围 0 µGy/h – 100 mGy/h (0 mR/h – 10 R/h)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不确定度 5 % or 0.3 µGy/h (0.03 mR/h), RQA 50 – 150 kV 10% or 0.3 µGy/h (0.03 mR/h), N-series 40 – 150 kV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平均能量量程范围 30 – 120 keV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不确定度 10 %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最低剂量率 10 µSv/h or 10 µGy/h (1 mR/h)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定义标准 ISO 4037-1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时间 量程范围 0.1 – 9999 s 分辨力 0.01 s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带宽 1 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医用电气安全综合测试仪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1.具备交流高压.直流高压.绝缘阻抗.接地阻抗.接地连续性.泄露电流.电性能测试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2.交流耐压输出电压（KV AC）：0 - 5.00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3.分辨率：0.01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4.精确度：± (1.5% 读值) ≥ 500V.± (1.5% 读值 + 1 刻度) &lt; 500V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5.输出频率：50Hz / 60Hz ±0.1%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6.总漏电流(mA)：100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7.直流耐压输出电压（KVdc）：0 - 6.00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8.精确度：± (1.5% 读值) ≥ 500V.± (1.5% 读值 + 1 刻度) &lt; 500V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9.漏电流（μA）：20.00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10.绝缘阻抗（MΩ）：0.05 – 50000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11.交流接地阻抗（MΩ）：0 - 150 (30.1 - 40.00A).0 - 200 (10.01 - 30.00A).0 - 600 (1.00 - 10.00A)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12.导通阻抗（Ω）：10000</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胶片光密度计</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1.测量范围：0.0D至&gt; 5.0D</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2.测量区：2mm和3mm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3.可重复性：±0.01D（0至4.0D）2mm和3mm孔径</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±1%（4.0D至5.0D）3mm孔径</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4.预热时间：无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5.线性：±0.02D（0至4.0D）2mm和3mm孔径</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±2%（4.0D至5.0D）3mm孔径</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6.调零稳定性：±0.02D（0.01典型值）</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自动曝光衰减模体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1.材料：PMMA.表面做喷砂防刮处理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2.尺寸规格：450×450mm.尺寸误差：±0.5mm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3.厚度规格：20mm厚度9张,10mm厚度2张.厚度误差：±0.2mm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可调光阑</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1.光澜最大开口尺寸：150×150mm-0×0mm（可调）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2.光澜铅当量：4mmPB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铝衰减(99.9%铝纯度)</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1.铝纯度：99.9%（需提供纯度证书）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2.尺寸规格：150×150±0.1mm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3.厚度衰减规格：4mm.10mm.16mm.21mm.26mm.30mm.34mm.40mm.45mm各一块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4.厚度误差：±0.05mm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113</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散漏射线测试仪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1.检测体 塑料闪烁体(重金属混合物)：30×15 mm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2.环境剂量当量 ：10 nSv - 10 Sv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★3.连续辐射的环境剂量率当量 ：50 nSv/h - 10 Sv/h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短时辐射的环境剂量率当量 ：5 µSv/h-10 Sv/h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脉冲辐射的环境剂量率当量：0.1μv/h - 10 Sv/h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★4.最小脉冲时间：10ns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5.能量范围 ：0.015 –10MeV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6.137Cs能量响应灵敏度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from 15 keV to 60 keV ±30%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from 60 keV to 3 MeV ±25%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from 3 MeV to 10 MeV ±30%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7.137Cs灵敏度 70 cps/μSv h-1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8.伴随性β辐射灵敏度: 3·10-7 µSv/h-1·Bq-1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9.操作模式设置时间：1min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10.连续操作时间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交流电或直流电 不少于24h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内置蓄电池 不少于24h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11.操作温度范围 ： -30 - +50℃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12.操作温度范围内补偿误差 ±10%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13.相对湿度(+ 35°C) ≤95%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 可依据不同场景或平台手动选择不同的统计算法及自动记录.该算法可以编辑（PF.1-PF.8）。</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 测量过程中可以使用重滤过保护帽屏蔽可能存在的伴生β射线源。</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 测量过程中如果存的伴生β射线源可以使用标配的屏蔽帽进行屏蔽。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17.防护等级 IP54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18.放射干扰标准： CEI/IEC CISPR 22:1997</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19.根据实验室环境以及检测需求定制相应的检测支架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114</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远程控制器</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1.传输距离:25米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2.可兼容散漏射线测试仪进行远程控制操作</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防护水模</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1.尺寸规格：300×300×200mm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2.带有水深刻度线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半值层铝片(99.99%铝纯度)</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★1.铝箔纯度：99.99%（提供纯度证书）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2.尺寸规格：100×100mm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3.厚度规格：0.5mm厚度10片.0.1mm厚度10片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激光测距仪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1.测量距离：0.05～200M；(0.16ft～650ft)</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2.典型精度： ± 1.0 mm(± 0.04 in)</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剂量面积乘积仪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1.遵守以下标准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－IEC60580“医学电子设备－剂量面积乘积仪”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－IEC60601－1“医学电子设备－基本安全和主要性能一般要求”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－IEC 60601-2-43“医用电子设备-介入程序使用的X射线设备安全的特别要求”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－美国FDA1020节21CFR“电子产品：诊断用X射线系统和其主要部件的性能标准要求,最终准则”与欧盟医学法令“93/42/EEC关于医疗装备法令（1993）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2.能量依赖：DAP: ± 8 %.Dose: ± 10 %.千伏范围40 to 150 kV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3.剂量面积乘积率：最小: 0.01 μGym2/s.最大: 3 000.00 μGy m2/s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4.剂量面积乘积率分辨率：0.01 μGym2/s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5.剂量面积乘积率线性度：&lt; 1 μGym2/s  5%. ≥ 1 μGym2/s  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6.剂量面积乘积值范围： 0.1 μGym2- 99999999.99 μGym2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7.剂量面积乘积分辨率：0.01 μGym2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8.剂量面积乘积线性度：&lt; 10 μGym2 5%.≥ 10 μGym2 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数字牙科模体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1.高对比度分辨力：1.6-3.0lp/mm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2.低对比度分辨力：0.5-3.0直径</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3.含0.8mm铜滤过板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牙科专用测试卡</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1.线对范围：4.0-8.0lp/mm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2.铅厚度： 0.05mmpb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口内机牙科模体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1.对比度阶梯：8mmPTEF,16mmPTEF</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2.衰减：0.3mmCU</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灰度阶梯</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1.阶梯数量：6阶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2.阶梯厚度：2.5mm.3.5 mm. 4.75 mm.7.0 mm.8.0 mm. 9.0 mm</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123</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免洗胶片</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1.剂量范围：0.1cGy到20cGy</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2.能量范围：20KVp到200KVp</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124</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灰度等级测试卡</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1.满足YYT 0608标准要求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2.基板：不透明PMMA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3.灰度等级：10级（0-2.3mmCU阶梯）</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4.高亮度对比度：25×25×1mm铝材.中心孔10mm直径</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5.低亮度对比度：25×25×0.6mm铅板.中心叠加1mm铅板.直径10mm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低对比度测试模体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模体1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1.模体规格：直径250mm.厚度10mm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2.细节点分布：12组不同细节点.每组中有12个不同直径的</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细节点.直径从0.25m-11mm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3.对比度范围：144个细节点的对比度范围从0.0014到0.924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（在75kV&amp;1.5mmCU滤过）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4.对比度直径范围：11.1mm至0.25mm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根据实验室环境以及检测需求定制相应的检测支架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模体2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1.模体规格：直径100mm.厚度20mm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2.细节点分布：19个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3.对比度范围：16%-0.35%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线对卡</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1.高对比度检测范围：0.6lp/mm-15lp/mm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2.线对数：30组</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3.铅箔厚度：0.05mmPB</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乳腺衰减模体套装</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1.模体材料：PMMA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2.模体规格：240mm×180mm.误差：±0.5mm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3.厚度：10mm±0.1mm.10张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4.模体整体均匀.表面平整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压迫力检测仪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1.量程：0-500N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2.输出灵敏度：1N</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3.重复性：1%</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压迫力模拟橡胶块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1.尺寸：150mm×150mm×30mm.100mm×100mm×30mm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2.硬度：≤60</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乳腺屏片密着板</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1.密着板尺寸：310mm×250mm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2.密着板密度：40目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3.金属网格均匀.无断线</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光射野一致性检测板</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1.检测板长34cm.宽28cm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2.表面刻有横向纵向尺寸.单位cm.最小分度值2mm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3.中心刻有同心圆.与准直筒配合使用.用于垂直度检测（3°.2°.1°）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4.模体表面还刻有4个标记点.使用胶片光密度计或屏幕亮度计可检测影像均匀性</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准直筒</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1.准直筒高度：200mm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2.上下表面中心内嵌钢珠</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133</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CT性能模体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1.层厚：内嵌两组23°金属斜线(X方向、Y方向)内嵌四个密度不同的小圆柱体</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2.CT值线性：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特氟隆：高密度物质.用于模拟骨头.标准CT值：990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丙稀标准CT值：120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低密度聚乙稀标准CT值：-100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空气标准CT值：-1000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PMP标准CT值：-220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德尔林标准CT值：344</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BONE50%标准CT值：667</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3.高对比度分辨力：30组高密度线对结构.放射状分布.0-30lp/cm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4.低对比度分辨力：内外两组低密度孔径结构.放射状分布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5.内层孔阵：对比度0.3%、0.5%、1.0%；直径3、5、7、9mm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6.外层孔阵：对比度0.3%、0.5%、1.0%；直径2、3、4、5、6、7、8、9、15mm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134</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CT剂量模体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1.由固体丙烯酸树脂制成.厚度15cm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2.直径：头模：16cm.身躯模：32cm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3.头模和身躯模各有5个探针孔：1个位于模体中心.另4个沿周边分布.距边缘1cm.孔内径1.31cm。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4.带有9个丙烯酸树脂塞棒.用来塞模体上的孔</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CT水模体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1.外直径：200mm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2.总长度：130mm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3.内长度：90mm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4.注水口：2个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无线DSA模体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★1.无线远程控制DSA模体.可在屏蔽室外进行模体的自动复位</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2.动态铜阶梯：8阶（垂直于铝条方向）.其中7阶厚度范围0.2-1.4mm.附加有从1.4-0.2mm的阶梯来执行补偿试验</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3.PMMA滑块：4条模拟血管（铝.纯度99.5%）.厚度分别为0.05mm、0.1mm、0.2mm、0.4mm（5-10 mg/ml）</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4.PMMA衰减板：上下两层PMMA板.中间为PMMA滑块空槽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★5.滑块位置指示灯：“A”位置为黄色指示灯.“B”位置为蓝色指示灯.用于指示滑块当前位置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6.外层保护壳：硬质塑料材质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7.电源：9V电池供电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8.遥控器：15m有效接受范围.分为“A”键和“B”键.分别控制滑块移动到对应位置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附加铝滤过</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★1.铝纯度：99.9%（需提供纯度证书）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2.铝块尺寸;150mm×150mm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3.厚度规格：10mm.21mm.22.5mm.30mm.40mm各一块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钨刃边</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1.钨板规格：100mm×80mm×1mm标准厚度钨板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2.边沿表面平整度：±5μm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3.铅板规格：200mm×100mm×3mm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狭缝照相机</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1.狭缝材质：钨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2.狭缝宽度：0.01mm.长度：10mm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3.狭缝平整度：±5μm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4.直径;55mm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星卡</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1.2°星卡.45°分布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声级计</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1.适用标准：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IEC 61672-1：2002 Class 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ANSI S1.4-1983 Type 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ANSI S1.4-1985 Type 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ANSI S1.43-1997 Type 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JIS C 1509-1：2005 Class 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2.测量范围：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A-加权：25 dB～138 dB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C-加权：33 dB～138 dB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Z-加权：38 dB～138 dB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C-加权峰值声级：55 dB～141 dB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Z-加权峰值声级：60 dB～141 dB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3.频率范围：20 Hz～20 kHz</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4.采样周期：20.8μm(Lp、Leq、LE、Lmax、 Lmin 和Lpeak</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5.采样频率：48kHz)100ms(LN)</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推拉力计</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1.测量范围：0-500N（N）</w:t>
            </w:r>
            <w:r>
              <w:rPr>
                <w:rFonts w:hint="eastAsia" w:ascii="宋体" w:hAnsi="宋体" w:eastAsia="宋体" w:cs="宋体"/>
                <w:i w:val="0"/>
                <w:color w:val="auto"/>
                <w:kern w:val="0"/>
                <w:sz w:val="24"/>
                <w:szCs w:val="24"/>
                <w:u w:val="none"/>
                <w:lang w:val="en-US" w:eastAsia="zh-CN" w:bidi="ar"/>
              </w:rPr>
              <w:br w:type="textWrapping"/>
            </w:r>
            <w:r>
              <w:rPr>
                <w:rStyle w:val="174"/>
                <w:color w:val="auto"/>
                <w:lang w:val="en-US" w:eastAsia="zh-CN" w:bidi="ar"/>
              </w:rPr>
              <w:t>2.测量精度：0.2%F.S</w:t>
            </w:r>
            <w:r>
              <w:rPr>
                <w:rStyle w:val="174"/>
                <w:color w:val="auto"/>
                <w:lang w:val="en-US" w:eastAsia="zh-CN" w:bidi="ar"/>
              </w:rPr>
              <w:br w:type="textWrapping"/>
            </w:r>
            <w:r>
              <w:rPr>
                <w:rStyle w:val="174"/>
                <w:color w:val="auto"/>
                <w:lang w:val="en-US" w:eastAsia="zh-CN" w:bidi="ar"/>
              </w:rPr>
              <w:t>3.测量单位：N.（MN.KN）</w:t>
            </w:r>
            <w:r>
              <w:rPr>
                <w:rStyle w:val="174"/>
                <w:color w:val="auto"/>
                <w:lang w:val="en-US" w:eastAsia="zh-CN" w:bidi="ar"/>
              </w:rPr>
              <w:br w:type="textWrapping"/>
            </w:r>
            <w:r>
              <w:rPr>
                <w:rStyle w:val="174"/>
                <w:color w:val="auto"/>
                <w:lang w:val="en-US" w:eastAsia="zh-CN" w:bidi="ar"/>
              </w:rPr>
              <w:t>4.负载显示：4位标志</w:t>
            </w:r>
            <w:r>
              <w:rPr>
                <w:rStyle w:val="174"/>
                <w:color w:val="auto"/>
                <w:lang w:val="en-US" w:eastAsia="zh-CN" w:bidi="ar"/>
              </w:rPr>
              <w:br w:type="textWrapping"/>
            </w:r>
            <w:r>
              <w:rPr>
                <w:rStyle w:val="174"/>
                <w:color w:val="auto"/>
                <w:lang w:val="en-US" w:eastAsia="zh-CN" w:bidi="ar"/>
              </w:rPr>
              <w:t>5.显示更新：10次/秒</w:t>
            </w:r>
            <w:r>
              <w:rPr>
                <w:rStyle w:val="174"/>
                <w:color w:val="auto"/>
                <w:lang w:val="en-US" w:eastAsia="zh-CN" w:bidi="ar"/>
              </w:rPr>
              <w:br w:type="textWrapping"/>
            </w:r>
            <w:r>
              <w:rPr>
                <w:rStyle w:val="174"/>
                <w:color w:val="auto"/>
                <w:lang w:val="en-US" w:eastAsia="zh-CN" w:bidi="ar"/>
              </w:rPr>
              <w:t>6.采样率：2000次/秒</w:t>
            </w:r>
            <w:r>
              <w:rPr>
                <w:rStyle w:val="174"/>
                <w:color w:val="auto"/>
                <w:lang w:val="en-US" w:eastAsia="zh-CN" w:bidi="ar"/>
              </w:rPr>
              <w:br w:type="textWrapping"/>
            </w:r>
            <w:r>
              <w:rPr>
                <w:rStyle w:val="174"/>
                <w:color w:val="auto"/>
                <w:lang w:val="en-US" w:eastAsia="zh-CN" w:bidi="ar"/>
              </w:rPr>
              <w:t>7.过载值：约200％额定</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143</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视野及影像失真测试卡</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1.模体基板：环氧树脂.面板采用不透明PMMA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2.规格：300mm×300mm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3.刻度精度：0.5mm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4.圆形野直径：160mm.200mm.240mm.280mm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5.中心正方形：20mm×20mm.14mm×14mm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6.根据实验室环境以及检测需求配备相应模体的检测支架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7.根据实验室环境以及检测需求配备铅当量测试片—铅箔</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8.根据实验室环境以及检测需求配备铜当量测试片—铜箔</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144</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乳腺低对比度检测模体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1.0.5mm抛光铝(纯度99.5%)基座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2.PMMA封盖(规格为：长240 x 宽162 x 厚 3 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3.含4张PMMA板(厚度10mm.公差± 0.1 mm.表面抛光)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4.厚度范围：0.012μm 至 2.8 μm, 公差± 3% (平均值±2标准差)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5.直径范围: 0.08 mm 至2.0 mm, 公差± 0.005 mm (平均值± 2标准差)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6.图像格式：dicom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7.可在Windows 7®, 8® 及10®以上平台运行</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乳腺综合测试模体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1.模体组成：50%腺体.50%脂肪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2.线对细节：1-20 lp/mm 2组 水平方向与垂直方向布局</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3.碳酸钙病灶点：0.13.0.165.0.196.0.23.0.275.0.4.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0.23.0.196 .0.165.0.23 .0.196.0.165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4.尼龙纤维：1.25mm.0.83mm.0.71mm.0.53mm .0.3mm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腰椎骨密度模体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1.模体主体材料：水&amp;组织等效塑料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2.松质骨密度：50,100,200 HA(mg/cm3) 以定量CT(QCT)系统</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为基准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3.脊柱面积密度(AP位)：0.5, 1.0, 1.5 (g/cm2)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4.皮质结构及脊柱内羟基磷灰石(HA)含量：400, 800 HA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(mg/cm3)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5.准确性(公差)：指定值的3%左右；标准值的1%左右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手臂骨密度模体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1.模拟大.中.小骨骼模型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2.插入物的直径分别为28毫米.21毫米和14毫米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3.基础材料：等效水树脂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4.模体截面：60毫米x 40毫米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5.模体长度：100毫米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6.模体重量：140克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7.皮质骨：800毫克HA / cm 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8.小梁骨：第一节：200毫克HA / cm 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第二节：100毫克HA / cm 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第三节：50毫克HA / cm 3</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第四至第六节：等效水树脂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骨密度线性模体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1.基础材料：等效水树脂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2.长度：700mm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3.模体插入物直径：18mm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4.BMD：0,100,200,400,600,800mg HA/CM³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多功能检测模体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1.符合YYT-0744-2018 标准要求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2.模体总厚度 18.5mm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★3.动态阶梯：17 个.外径150mm内 径 110mm.阶梯 1 到 8 比基体铜板薄.阶梯 10 到 17 比基体铜板厚</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★4.动态阶梯厚度精度：±0.02mm（需提供厚度检测证书证明）</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5.PMMA（聚甲基丙烯酸甲酯）板上有 16 个直径为 4mm 深度为 2.5mm 的对比细节物体（用于评价铜楔形梯中每一级的对比度分辨力）</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6.中心十字线.为测试体的中心标记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7.8 个直径为 10mm 深度为 0.4~4mm 的细节对比度物体.用于判定当前工作 设置的对比度分辨力</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8.分辨力测试区：0.6~5.0lp/mm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9.附加通用检测量具一套.包括倒角规.塞尺.数显卡尺.100W钨丝灯泡.灯泡支架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自动光射野一致性检测尺</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1.测量范围：50mm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★2.最小分辨长度：1mm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3.显示方式：屏幕数字显示误差读数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4.开启方式：辐射自动触发</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5.电池寿命：4-5年</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衰减模体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1.材料：PMMA.表面做喷砂防刮处理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2.尺寸规格：450×450mm.尺寸误差：±0.5mm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3.厚度规格：20mm厚度9张,10mm厚度2张.厚度误差：±0.2mm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电能分析仪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1.电压：0-1000V.0.1V分辨率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2.精度：±(0.2% + 0.01%)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3.电流：0-1500A.1A分辨率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4.精度：±(1% + 0.02%)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5.频率：42.5 Hz 至 69 Hz.0.01 Hz分辨率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6.精度：±(0.1%)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7.电压 THD：1000%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8.2 至 50 次电压谐波：1000 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9.有功功率 P：PF ≥ 0.99</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10.视在功率 S：0 ≤ PF ≤ 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11.无功功率 Q：0 ≤ PF ≤ 1</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153</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多工能检测模体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1.符合YY/T 0741-2018 标准要求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2.低对比度分辨力检测孔深度（mm）：0.08.0.16.0.224.0.288.0.368.0.432.0.528.0.624.0.72.0.88.1.056.1.216</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★3.低对比度孔深精度：±0.01mm（需提供检测证书证明材料）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4.空间分辨力检测卡（线对卡）（内嵌） 1 0.6-5LP/mm.0.1mmPB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5.基体铜板：300×300×1.5mm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6.动态阶梯：17 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7.动态阶梯铜厚度（mm）：0.18.0.36.0.54.0.74.0.95.1.15.1.38.1.50.1.73.1.96.2.21.2.45.2.70.2.96.3.22.3.48</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★8.动态阶梯精度：±0.01mm（需提供厚度检测证书证明）</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★9.影像均匀性：13个 15×15mm 采样区.精度±0.005mm（需提供厚度检测证书证明）</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154</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附加滤过</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★1.铝衰减模体：25mm 厚.纯度不低于 99.5％ 附带支架（需出具纯度检测证书）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铅尺</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1.长度：1000mm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2.最小分辨力：1mm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3.尺寸精度：≤±0.5mm</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数显角度尺</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1.量程：4×90°（0-360°）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2.精度：0°和90°≤0.1°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3.重复性：≤0.1°</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铅盘</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1.直径：10mm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2.厚度：2mm</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影像综合测试卡</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1.模体基板：环氧树脂+PMMA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2.测试卡尺寸：430mm ×430mm.430mm ×350mm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3.灵敏度测试点：6个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4.视野测量标尺：X轴.Y轴.1cm/格</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5.影像均匀性测试点：5个.四周和测试板中间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阈值对比度测试模体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1.15个呈指数规律变化的深度和直径</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2.深度为0.3…8.0mm, ±0.02mm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3.直径为0.3…8.0 mm, ±0.02mm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4.模体总体厚度10mm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5.软件可自动、重复读取 CDCOM 的结果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6.确定测量曲线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7.检测不同直径的阈值厚度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8.图片格式：DICOM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9.支持 Window系统</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CBCT模体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1.模体共有3部分组成：模块载体、模块、载体盖；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2.几何畸变层：均匀分布直径为1mm的圆孔.间隔均为10mm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★3.高对比度分辨力（X/Y轴）：1.1.3.1.5.1.55.1.7.1.9.2.2.1.2.3.2.5.2.9.3.3 .4.2.5lp/mm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★4.高对比度分辨力（Z轴）：1.1.3.1.5.1.55.1.7.1.9.2.2.1.2.3.2.5.2.9.3.3 .4.2.5lp/mm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★5.高对比度分辨力精度：±0.01mm（需提供检测证书证明材料）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6.低对比度分辨力：内部垂直分布5个内径分别为1、2、3、4、5mm的圆柱体空腔</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★7.空腔填充材料：铝、PTEF、Delrin、空气、LDPE、PMMA（与模块本身材料分离）.PS,PMP。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8.CT值线性：嵌入直径10mm的8种材料.铝、PTEF、Delrin、空气、LDPE、PMMA（与模块本身材料分离）.PS,PMP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9.伪影模块（Ti）：内部嵌入3根直径5mm的钛合金圆柱。</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10.层厚：45°不锈钢线条内嵌</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儿童牙科模体</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1.模体材料：PMMA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2.模体规格：直径100mm,高度170mm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3.可兼容CBCT模体内置模块使用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图像质量量化评估体模</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1.测试参数：像素强度值线性度.噪声.载噪比(CNR).质性.伪影.MTF</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2.软组织当量; PMMA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3.骨当量; PVC-密度为1.30-1.45克/cm³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4.PMMA圆柱体.直径160mm.长度60mm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163</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个人剂量报警仪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1.探测器类型：硅平面探测器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2.个人剂量当量：1 µSv...10 Sv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3.个人剂量率：0.1 µSv/h...1 Sv/h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4.剂量固有相对误差（无β辐射）：最大±15%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★5.剂量率固有相对误差：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0.1 µSv/h...1µSv/h 最大±30%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 µSv/h...1 Sv/h 最大±15%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 Sv/h...5 Sv/h（AT3509C） 最大±（15+0.001Hp）%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6.137Cs校准误差：5%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7.能量范围：15keV...10MeV</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★8.能量灵敏度(662keV) Hp(10)：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15keV...1.5MeV ±25%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1.5keV...10MeV ±60%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9.报警阈值：1,2,...8（剂量率或剂量）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10.各向异性（±60°）：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137Cs.60Co：±20%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241Am：±50%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11.响应时间（剂量率测量）：5s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12.过量辐射：≤10 Sv/h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13.持续运行时间：≥500 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14工作环境温度范围：-10℃—+40℃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15.相对湿度：≤90%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16.防护等级：IP54</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164</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透光率仪</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1.光源：380nm-760nm全波长.符合CIE明视觉函数标准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2.测量精度：优于±1%（无色均匀透光物质）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3.样品测量厚度：&lt;100mm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样品测量直径：&gt; 10mm </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屏片接触密着度实验板</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1.密着板尺寸：440mm×370mm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2.密着板密度：16目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3.金属网格均匀.无断线</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观片灯箱</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1.双联规格</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2.最大功率：45W</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3.亮度：0-5000CD</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4.色温：5000K</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167</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变焦放大镜</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1.放大倍数：8X to 16X</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2.视野：20ф to 10ф</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多功能电子计时器秒表</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1.电池寿命：5年 计时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2.总测时间显示：9:59’59.999”</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3.分段时间显示：9:59‘59.999”</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透视成像系统测试模型套装</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1.阈值对比度：108个细节.对比度范围0.012到0.930@70kVp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2.对比度损失：19个细节.对比度范围0.007至0.16@70kVp</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3.GS2灰阶测试：十步楔子监控灰度调整.范围从黑色峰值到白色峰值.高光和低光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4.几何失真测试：10毫米间距的水平和垂直线.沿中心轴标记增量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5.高对比度分辨率：0.5-5.0 LP/mm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6.1.0 mm铜过滤器x 1</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7.0.5 mm铜过滤器x 2</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10%面积的对比度试验铅圆盘</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1.铅盘直径：6-25mm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2.厚度：3mmPB</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3.含形变保护壳</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定制38mm加厚铝滤过 衰减体模</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1.尺寸：160×160×38mm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2.铝纯度：99.5%</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 根据实验室环境以及检测需求定制相应的检测支架</w:t>
            </w:r>
          </w:p>
        </w:tc>
      </w:tr>
      <w:tr>
        <w:tblPrEx>
          <w:tblCellMar>
            <w:top w:w="0" w:type="dxa"/>
            <w:left w:w="0" w:type="dxa"/>
            <w:bottom w:w="0" w:type="dxa"/>
            <w:right w:w="0" w:type="dxa"/>
          </w:tblCellMar>
        </w:tblPrEx>
        <w:trPr>
          <w:trHeight w:val="300" w:hRule="atLeast"/>
        </w:trPr>
        <w:tc>
          <w:tcPr>
            <w:tcW w:w="7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4mm铅板</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1套</w:t>
            </w:r>
          </w:p>
        </w:tc>
        <w:tc>
          <w:tcPr>
            <w:tcW w:w="5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1.尺寸：150×150×4mm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2.含仿折弯保护层</w:t>
            </w:r>
          </w:p>
        </w:tc>
      </w:tr>
    </w:tbl>
    <w:p>
      <w:pPr>
        <w:spacing w:line="400" w:lineRule="exact"/>
        <w:rPr>
          <w:rFonts w:hint="eastAsia" w:ascii="宋体" w:hAnsi="宋体" w:cs="宋体"/>
          <w:b/>
          <w:color w:val="000000"/>
          <w:sz w:val="24"/>
        </w:rPr>
      </w:pPr>
    </w:p>
    <w:p>
      <w:pPr>
        <w:tabs>
          <w:tab w:val="left" w:pos="630"/>
        </w:tabs>
        <w:spacing w:line="400" w:lineRule="exact"/>
        <w:rPr>
          <w:rFonts w:hint="eastAsia" w:ascii="宋体" w:hAnsi="宋体" w:cs="宋体"/>
          <w:b/>
          <w:color w:val="000000"/>
          <w:sz w:val="24"/>
          <w:highlight w:val="none"/>
          <w:lang w:bidi="ar"/>
        </w:rPr>
      </w:pPr>
      <w:r>
        <w:rPr>
          <w:rFonts w:hint="eastAsia" w:ascii="宋体" w:hAnsi="宋体" w:cs="宋体"/>
          <w:b/>
          <w:bCs/>
          <w:sz w:val="24"/>
          <w:highlight w:val="none"/>
        </w:rPr>
        <w:t>●</w:t>
      </w:r>
      <w:r>
        <w:rPr>
          <w:rFonts w:hint="eastAsia" w:ascii="宋体" w:hAnsi="宋体" w:cs="宋体"/>
          <w:b/>
          <w:color w:val="000000"/>
          <w:sz w:val="24"/>
          <w:highlight w:val="none"/>
          <w:lang w:bidi="ar"/>
        </w:rPr>
        <w:t>三、项目实施要求：</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1、签订合同后，供应商按照其与采购人的事先约定将所供货物免费上门送货至采购人指定地点后拆箱，负责免费安装调试，正常运行后交用户单位并通过验收。</w:t>
      </w:r>
    </w:p>
    <w:p>
      <w:pPr>
        <w:spacing w:line="400" w:lineRule="exact"/>
        <w:ind w:firstLine="480" w:firstLineChars="200"/>
        <w:rPr>
          <w:rFonts w:hint="eastAsia" w:ascii="宋体" w:hAnsi="宋体" w:eastAsia="宋体" w:cs="宋体"/>
          <w:kern w:val="2"/>
          <w:sz w:val="24"/>
          <w:szCs w:val="28"/>
          <w:highlight w:val="none"/>
          <w:lang w:val="en-US" w:eastAsia="zh-CN" w:bidi="ar-SA"/>
        </w:rPr>
      </w:pPr>
      <w:r>
        <w:rPr>
          <w:rFonts w:hint="eastAsia" w:ascii="宋体" w:hAnsi="宋体" w:cs="宋体"/>
          <w:sz w:val="24"/>
          <w:highlight w:val="none"/>
        </w:rPr>
        <w:t>2、售后服务按国家和我省相关规定以及生产厂家或投标人的承诺执行，并提供上门免费服务。</w:t>
      </w:r>
    </w:p>
    <w:p>
      <w:pPr>
        <w:pStyle w:val="2"/>
        <w:rPr>
          <w:rFonts w:hint="eastAsia" w:ascii="宋体" w:hAnsi="宋体" w:eastAsia="宋体" w:cs="宋体"/>
          <w:kern w:val="2"/>
          <w:sz w:val="24"/>
          <w:szCs w:val="28"/>
          <w:highlight w:val="none"/>
          <w:lang w:val="en-US" w:eastAsia="zh-CN" w:bidi="ar-SA"/>
        </w:rPr>
      </w:pPr>
      <w:r>
        <w:rPr>
          <w:rFonts w:hint="eastAsia" w:ascii="宋体" w:hAnsi="宋体" w:eastAsia="宋体" w:cs="宋体"/>
          <w:kern w:val="2"/>
          <w:sz w:val="24"/>
          <w:szCs w:val="28"/>
          <w:highlight w:val="none"/>
          <w:lang w:val="en-US" w:eastAsia="zh-CN" w:bidi="ar-SA"/>
        </w:rPr>
        <w:t>3、中标人在完成供货后，需配合采购人做好打*产品的计量校准服务，并承担相应的计量校准费用。</w:t>
      </w:r>
    </w:p>
    <w:p>
      <w:pPr>
        <w:pStyle w:val="76"/>
        <w:rPr>
          <w:rFonts w:hint="eastAsia"/>
          <w:highlight w:val="none"/>
          <w:lang w:val="en-US"/>
        </w:rPr>
      </w:pPr>
    </w:p>
    <w:p>
      <w:pPr>
        <w:spacing w:line="400" w:lineRule="exact"/>
        <w:rPr>
          <w:rFonts w:hint="eastAsia" w:ascii="宋体" w:hAnsi="宋体" w:cs="宋体"/>
          <w:b/>
          <w:bCs/>
          <w:sz w:val="24"/>
          <w:highlight w:val="none"/>
        </w:rPr>
      </w:pPr>
      <w:r>
        <w:rPr>
          <w:rFonts w:hint="eastAsia" w:ascii="宋体" w:hAnsi="宋体" w:cs="宋体"/>
          <w:b/>
          <w:bCs/>
          <w:sz w:val="24"/>
          <w:highlight w:val="none"/>
        </w:rPr>
        <w:t>●四、质量标准要求：</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1、供方所供的货物必须为全新的，符合国家标准的合格产品；</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2、必所供货物不会侵犯任何第三方知识产权；</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3、送货地址：采购人指定地点。</w:t>
      </w:r>
    </w:p>
    <w:p>
      <w:pPr>
        <w:spacing w:line="400" w:lineRule="exact"/>
        <w:rPr>
          <w:rFonts w:hint="eastAsia" w:ascii="宋体" w:hAnsi="宋体" w:cs="宋体"/>
          <w:b/>
          <w:bCs/>
          <w:sz w:val="24"/>
          <w:highlight w:val="none"/>
        </w:rPr>
      </w:pPr>
      <w:r>
        <w:rPr>
          <w:rFonts w:hint="eastAsia" w:ascii="宋体" w:hAnsi="宋体" w:cs="宋体"/>
          <w:b/>
          <w:bCs/>
          <w:sz w:val="24"/>
          <w:highlight w:val="none"/>
        </w:rPr>
        <w:t>●五、售后服务要求：</w:t>
      </w:r>
    </w:p>
    <w:p>
      <w:pPr>
        <w:spacing w:line="400" w:lineRule="exact"/>
        <w:ind w:firstLine="482" w:firstLineChars="200"/>
        <w:rPr>
          <w:rFonts w:hint="eastAsia" w:ascii="宋体" w:hAnsi="宋体" w:cs="宋体"/>
          <w:b/>
          <w:bCs/>
          <w:sz w:val="24"/>
          <w:highlight w:val="none"/>
        </w:rPr>
      </w:pPr>
      <w:r>
        <w:rPr>
          <w:rFonts w:hint="eastAsia" w:ascii="宋体" w:hAnsi="宋体" w:cs="宋体"/>
          <w:b/>
          <w:bCs/>
          <w:sz w:val="24"/>
          <w:highlight w:val="none"/>
        </w:rPr>
        <w:t>1、质保期：从验收合格之日起</w:t>
      </w:r>
      <w:r>
        <w:rPr>
          <w:rFonts w:hint="eastAsia" w:ascii="宋体" w:hAnsi="宋体" w:cs="宋体"/>
          <w:b/>
          <w:bCs/>
          <w:sz w:val="24"/>
          <w:highlight w:val="none"/>
          <w:lang w:eastAsia="zh-CN"/>
        </w:rPr>
        <w:t>一</w:t>
      </w:r>
      <w:r>
        <w:rPr>
          <w:rFonts w:hint="eastAsia" w:ascii="宋体" w:hAnsi="宋体" w:cs="宋体"/>
          <w:b/>
          <w:bCs/>
          <w:sz w:val="24"/>
          <w:highlight w:val="none"/>
        </w:rPr>
        <w:t>年；质保期内的维修费用（包括材料）全部由中标单位负责；超过质保期的，维修时只收部件成本费；</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2、质保期内的维修费用（包括配件）全部由供货方负责；</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3、技术支持要求：质保期内出现问题，1小时内响应，2小时内到达现场，</w:t>
      </w:r>
      <w:r>
        <w:rPr>
          <w:rFonts w:hint="eastAsia" w:ascii="宋体" w:hAnsi="宋体" w:cs="宋体"/>
          <w:sz w:val="24"/>
          <w:highlight w:val="none"/>
          <w:lang w:val="en-US" w:eastAsia="zh-CN"/>
        </w:rPr>
        <w:t>24</w:t>
      </w:r>
      <w:r>
        <w:rPr>
          <w:rFonts w:hint="eastAsia" w:ascii="宋体" w:hAnsi="宋体" w:cs="宋体"/>
          <w:sz w:val="24"/>
          <w:highlight w:val="none"/>
        </w:rPr>
        <w:t>小时内解决问题，对于现场解决不了的故障，中标单位应提供采购人同型号、同规格的备用设备使用，直至故障设备修复；</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4、在保修期内供方必须不得以任何理由影响用户的正常使用。投标方必须对所供产品实行终身维修，配件按市场价格收取；</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5、中标单位在质保期内每年应（不少于一次）到使用单位进行设备保养、检修。</w:t>
      </w:r>
    </w:p>
    <w:p>
      <w:pPr>
        <w:spacing w:line="400" w:lineRule="exact"/>
        <w:rPr>
          <w:rFonts w:hint="eastAsia" w:ascii="宋体" w:hAnsi="宋体" w:cs="宋体"/>
          <w:b/>
          <w:bCs/>
          <w:sz w:val="24"/>
          <w:highlight w:val="none"/>
        </w:rPr>
      </w:pPr>
      <w:r>
        <w:rPr>
          <w:rFonts w:hint="eastAsia" w:ascii="宋体" w:hAnsi="宋体" w:cs="宋体"/>
          <w:b/>
          <w:bCs/>
          <w:sz w:val="24"/>
          <w:highlight w:val="none"/>
        </w:rPr>
        <w:t>六、培训要求：</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安装调试后，供应商须向使用方人员做好所供产品日常保养、使用、管理的现场实地培训，直至会熟练使用。</w:t>
      </w:r>
    </w:p>
    <w:p>
      <w:pPr>
        <w:spacing w:line="400" w:lineRule="exact"/>
        <w:rPr>
          <w:rFonts w:hint="eastAsia" w:ascii="宋体" w:hAnsi="宋体" w:cs="宋体"/>
          <w:b/>
          <w:bCs/>
          <w:sz w:val="24"/>
          <w:highlight w:val="none"/>
        </w:rPr>
      </w:pPr>
      <w:r>
        <w:rPr>
          <w:rFonts w:hint="eastAsia" w:ascii="宋体" w:hAnsi="宋体" w:cs="宋体"/>
          <w:b/>
          <w:bCs/>
          <w:sz w:val="24"/>
          <w:highlight w:val="none"/>
        </w:rPr>
        <w:t xml:space="preserve">●七、工期要求： </w:t>
      </w:r>
    </w:p>
    <w:p>
      <w:pPr>
        <w:spacing w:line="400" w:lineRule="exact"/>
        <w:ind w:firstLine="482" w:firstLineChars="200"/>
        <w:rPr>
          <w:rFonts w:hint="eastAsia" w:ascii="宋体" w:hAnsi="宋体" w:cs="宋体"/>
          <w:b/>
          <w:bCs/>
          <w:sz w:val="24"/>
          <w:highlight w:val="none"/>
        </w:rPr>
      </w:pPr>
      <w:r>
        <w:rPr>
          <w:rFonts w:hint="eastAsia" w:ascii="宋体" w:hAnsi="宋体" w:cs="宋体"/>
          <w:b/>
          <w:bCs/>
          <w:sz w:val="24"/>
          <w:highlight w:val="none"/>
        </w:rPr>
        <w:t>中标单位与采购人签订合同后120</w:t>
      </w:r>
      <w:r>
        <w:rPr>
          <w:rFonts w:hint="eastAsia" w:ascii="宋体" w:hAnsi="宋体" w:cs="宋体"/>
          <w:b/>
          <w:bCs/>
          <w:color w:val="FF0000"/>
          <w:sz w:val="24"/>
          <w:highlight w:val="none"/>
        </w:rPr>
        <w:t>日</w:t>
      </w:r>
      <w:r>
        <w:rPr>
          <w:rFonts w:hint="eastAsia" w:ascii="宋体" w:hAnsi="宋体" w:cs="宋体"/>
          <w:b/>
          <w:bCs/>
          <w:sz w:val="24"/>
          <w:highlight w:val="none"/>
        </w:rPr>
        <w:t>内送货并安装、调试完毕及使用方初步验收。</w:t>
      </w:r>
    </w:p>
    <w:p>
      <w:pPr>
        <w:spacing w:line="400" w:lineRule="exact"/>
        <w:rPr>
          <w:rFonts w:hint="eastAsia" w:ascii="宋体" w:hAnsi="宋体" w:cs="宋体"/>
          <w:sz w:val="24"/>
          <w:highlight w:val="none"/>
        </w:rPr>
      </w:pPr>
      <w:r>
        <w:rPr>
          <w:rFonts w:hint="eastAsia" w:ascii="宋体" w:hAnsi="宋体" w:cs="宋体"/>
          <w:b/>
          <w:bCs/>
          <w:sz w:val="24"/>
          <w:highlight w:val="none"/>
        </w:rPr>
        <w:t>八、履约保证金和质量保证金：</w:t>
      </w:r>
    </w:p>
    <w:p>
      <w:pPr>
        <w:spacing w:line="400" w:lineRule="exact"/>
        <w:ind w:firstLine="480" w:firstLineChars="200"/>
        <w:rPr>
          <w:rFonts w:hint="eastAsia" w:ascii="宋体" w:hAnsi="宋体" w:cs="宋体"/>
          <w:sz w:val="24"/>
          <w:highlight w:val="none"/>
        </w:rPr>
      </w:pPr>
      <w:r>
        <w:rPr>
          <w:rFonts w:hint="eastAsia" w:ascii="宋体" w:hAnsi="宋体" w:cs="宋体"/>
          <w:bCs/>
          <w:sz w:val="24"/>
          <w:highlight w:val="none"/>
        </w:rPr>
        <w:t>中标单位在合同签订后支付中标总额5 %的履约保证金（</w:t>
      </w:r>
      <w:r>
        <w:rPr>
          <w:rFonts w:hint="eastAsia" w:ascii="宋体" w:hAnsi="宋体" w:cs="宋体"/>
          <w:sz w:val="24"/>
          <w:highlight w:val="none"/>
        </w:rPr>
        <w:t>以支票、汇票、本票或者金融机构、担保机构出具的保函等非现金形式提交</w:t>
      </w:r>
      <w:r>
        <w:rPr>
          <w:rFonts w:hint="eastAsia" w:ascii="宋体" w:hAnsi="宋体" w:cs="宋体"/>
          <w:bCs/>
          <w:sz w:val="24"/>
          <w:highlight w:val="none"/>
        </w:rPr>
        <w:t>）。合同签订，并交货、安装验收完成后，履约保证金自动转为质量保证金，在无质量问题的情况下, 质量保证金将在质保期满后无息退还。</w:t>
      </w:r>
    </w:p>
    <w:p>
      <w:pPr>
        <w:spacing w:line="400" w:lineRule="exact"/>
        <w:rPr>
          <w:rFonts w:hint="eastAsia" w:ascii="宋体" w:hAnsi="宋体" w:cs="宋体"/>
          <w:b/>
          <w:bCs/>
          <w:sz w:val="24"/>
          <w:highlight w:val="none"/>
        </w:rPr>
      </w:pPr>
      <w:r>
        <w:rPr>
          <w:rFonts w:hint="eastAsia" w:ascii="宋体" w:hAnsi="宋体" w:cs="宋体"/>
          <w:b/>
          <w:bCs/>
          <w:sz w:val="24"/>
          <w:highlight w:val="none"/>
        </w:rPr>
        <w:t>九、货款支付：</w:t>
      </w:r>
    </w:p>
    <w:p>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1、合同签订后七日内，供应商提供发票按合同金额的</w:t>
      </w:r>
      <w:r>
        <w:rPr>
          <w:rFonts w:hint="eastAsia" w:ascii="宋体" w:hAnsi="宋体" w:cs="宋体"/>
          <w:bCs/>
          <w:sz w:val="24"/>
          <w:highlight w:val="none"/>
          <w:lang w:val="en-US" w:eastAsia="zh-CN"/>
        </w:rPr>
        <w:t>5</w:t>
      </w:r>
      <w:r>
        <w:rPr>
          <w:rFonts w:hint="eastAsia" w:ascii="宋体" w:hAnsi="宋体" w:cs="宋体"/>
          <w:bCs/>
          <w:sz w:val="24"/>
          <w:highlight w:val="none"/>
        </w:rPr>
        <w:t>0％支付预付款</w:t>
      </w:r>
    </w:p>
    <w:p>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2、货物到达指定地点后七日内，供应商提供发票按合同金额的30％支付进度款</w:t>
      </w:r>
    </w:p>
    <w:p>
      <w:pPr>
        <w:spacing w:line="400" w:lineRule="exact"/>
        <w:ind w:firstLine="480" w:firstLineChars="200"/>
        <w:rPr>
          <w:rFonts w:ascii="宋体" w:hAnsi="宋体" w:cs="宋体"/>
          <w:bCs/>
          <w:sz w:val="24"/>
          <w:highlight w:val="none"/>
        </w:rPr>
      </w:pPr>
      <w:r>
        <w:rPr>
          <w:rFonts w:hint="eastAsia" w:ascii="宋体" w:hAnsi="宋体" w:cs="宋体"/>
          <w:bCs/>
          <w:sz w:val="24"/>
          <w:highlight w:val="none"/>
        </w:rPr>
        <w:t>3、货物安装验收完成后七日内，供应商提供发票按合同金额的</w:t>
      </w:r>
      <w:r>
        <w:rPr>
          <w:rFonts w:hint="eastAsia" w:ascii="宋体" w:hAnsi="宋体" w:cs="宋体"/>
          <w:bCs/>
          <w:sz w:val="24"/>
          <w:highlight w:val="none"/>
          <w:lang w:val="en-US" w:eastAsia="zh-CN"/>
        </w:rPr>
        <w:t>2</w:t>
      </w:r>
      <w:r>
        <w:rPr>
          <w:rFonts w:hint="eastAsia" w:ascii="宋体" w:hAnsi="宋体" w:cs="宋体"/>
          <w:bCs/>
          <w:sz w:val="24"/>
          <w:highlight w:val="none"/>
        </w:rPr>
        <w:t>0％支付尾款</w:t>
      </w:r>
    </w:p>
    <w:p>
      <w:pPr>
        <w:spacing w:line="400" w:lineRule="exact"/>
        <w:rPr>
          <w:rFonts w:hint="eastAsia" w:ascii="宋体" w:hAnsi="宋体" w:cs="宋体"/>
          <w:b/>
          <w:bCs/>
          <w:sz w:val="24"/>
          <w:highlight w:val="none"/>
        </w:rPr>
      </w:pPr>
      <w:r>
        <w:rPr>
          <w:rFonts w:hint="eastAsia" w:ascii="宋体" w:hAnsi="宋体" w:cs="宋体"/>
          <w:b/>
          <w:bCs/>
          <w:sz w:val="24"/>
          <w:highlight w:val="none"/>
        </w:rPr>
        <w:t>十、验收要求：</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甲方委托质检余杭分局监测中心进行验收：</w:t>
      </w:r>
    </w:p>
    <w:p>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根据余财采〔2018〕5号《关于进一步规范政府采购验收工作的通知》要求，对于单次采购金额在30万元（含）以上的货物类采购项目，由质检余杭分局监测中心进行验收。质检余杭分局监测中心对中标单位提交的货物将依据投标样品（对照验收）、招标文件、投标文件及其补充变更文件上的技术规格要求和国家有关质量标准进行验收。</w:t>
      </w:r>
    </w:p>
    <w:p>
      <w:pPr>
        <w:spacing w:line="400" w:lineRule="exact"/>
        <w:ind w:firstLine="495"/>
        <w:rPr>
          <w:rFonts w:hint="eastAsia" w:ascii="宋体" w:hAnsi="宋体" w:cs="宋体"/>
          <w:sz w:val="24"/>
          <w:highlight w:val="none"/>
        </w:rPr>
      </w:pPr>
      <w:r>
        <w:rPr>
          <w:rFonts w:hint="eastAsia" w:ascii="宋体" w:hAnsi="宋体" w:cs="宋体"/>
          <w:sz w:val="24"/>
          <w:highlight w:val="none"/>
        </w:rPr>
        <w:t>2、经验收不合格且无法整改的，不付款不退货，所产生的所有损失由乙方承担。</w:t>
      </w:r>
    </w:p>
    <w:p>
      <w:pPr>
        <w:spacing w:line="400" w:lineRule="exact"/>
        <w:ind w:firstLine="495"/>
        <w:rPr>
          <w:rFonts w:hint="eastAsia" w:ascii="宋体" w:hAnsi="宋体" w:cs="宋体"/>
          <w:b/>
          <w:color w:val="000000"/>
          <w:kern w:val="0"/>
          <w:sz w:val="24"/>
          <w:highlight w:val="none"/>
          <w:lang w:bidi="ar"/>
        </w:rPr>
      </w:pPr>
      <w:r>
        <w:rPr>
          <w:rFonts w:ascii="宋体" w:hAnsi="宋体" w:cs="宋体"/>
          <w:b/>
          <w:color w:val="000000"/>
          <w:kern w:val="0"/>
          <w:sz w:val="24"/>
          <w:highlight w:val="none"/>
          <w:lang w:bidi="ar"/>
        </w:rPr>
        <w:t>采购需求中带“</w:t>
      </w:r>
      <w:r>
        <w:rPr>
          <w:rFonts w:hint="eastAsia" w:ascii="宋体" w:hAnsi="宋体" w:cs="宋体"/>
          <w:b/>
          <w:color w:val="000000"/>
          <w:kern w:val="0"/>
          <w:sz w:val="24"/>
          <w:highlight w:val="none"/>
          <w:lang w:val="zh-CN" w:bidi="ar"/>
        </w:rPr>
        <w:t>●</w:t>
      </w:r>
      <w:r>
        <w:rPr>
          <w:rFonts w:ascii="宋体" w:hAnsi="宋体" w:cs="宋体"/>
          <w:b/>
          <w:color w:val="000000"/>
          <w:kern w:val="0"/>
          <w:sz w:val="24"/>
          <w:highlight w:val="none"/>
          <w:lang w:bidi="ar"/>
        </w:rPr>
        <w:t>”条款为实质性内容，投标人须在投标文件中提供《采购需求实质性内容响应表》（格式见第五部分 投标文件），如有任意一条未响应或不满足，将被视为无效</w:t>
      </w:r>
      <w:r>
        <w:rPr>
          <w:rFonts w:hint="eastAsia" w:ascii="宋体" w:hAnsi="宋体" w:cs="宋体"/>
          <w:b/>
          <w:color w:val="000000"/>
          <w:kern w:val="0"/>
          <w:sz w:val="24"/>
          <w:highlight w:val="none"/>
          <w:lang w:bidi="ar"/>
        </w:rPr>
        <w:t>。</w:t>
      </w:r>
    </w:p>
    <w:p>
      <w:pPr>
        <w:pStyle w:val="76"/>
        <w:rPr>
          <w:rFonts w:hint="eastAsia" w:hAnsi="宋体" w:cs="宋体"/>
          <w:b/>
          <w:color w:val="000000"/>
          <w:kern w:val="0"/>
          <w:lang w:bidi="ar"/>
        </w:rPr>
      </w:pPr>
    </w:p>
    <w:p>
      <w:pPr>
        <w:tabs>
          <w:tab w:val="left" w:pos="630"/>
        </w:tabs>
        <w:spacing w:line="360" w:lineRule="auto"/>
        <w:rPr>
          <w:rFonts w:hint="eastAsia" w:ascii="宋体" w:hAnsi="宋体" w:cs="宋体"/>
          <w:b/>
          <w:color w:val="000000"/>
          <w:sz w:val="24"/>
        </w:rPr>
      </w:pPr>
    </w:p>
    <w:p>
      <w:pPr>
        <w:spacing w:line="360" w:lineRule="auto"/>
        <w:rPr>
          <w:rFonts w:hint="eastAsia" w:ascii="宋体" w:hAnsi="宋体" w:cs="宋体"/>
          <w:kern w:val="0"/>
          <w:sz w:val="24"/>
        </w:rPr>
        <w:sectPr>
          <w:pgSz w:w="11906" w:h="16838"/>
          <w:pgMar w:top="1440" w:right="1800" w:bottom="1440" w:left="1800" w:header="851" w:footer="992" w:gutter="0"/>
          <w:cols w:space="720" w:num="1"/>
          <w:docGrid w:type="lines" w:linePitch="312" w:charSpace="0"/>
        </w:sectPr>
      </w:pPr>
    </w:p>
    <w:p>
      <w:pPr>
        <w:spacing w:line="360" w:lineRule="auto"/>
        <w:ind w:firstLine="643" w:firstLineChars="200"/>
        <w:jc w:val="center"/>
        <w:rPr>
          <w:rFonts w:hint="eastAsia" w:ascii="宋体" w:hAnsi="宋体" w:cs="宋体"/>
          <w:b/>
          <w:color w:val="000000"/>
          <w:sz w:val="32"/>
          <w:szCs w:val="32"/>
        </w:rPr>
      </w:pPr>
      <w:r>
        <w:rPr>
          <w:rFonts w:hint="eastAsia" w:ascii="宋体" w:hAnsi="宋体" w:cs="宋体"/>
          <w:b/>
          <w:color w:val="000000"/>
          <w:sz w:val="32"/>
          <w:szCs w:val="32"/>
        </w:rPr>
        <w:t>第四部分  合同主要条款</w:t>
      </w:r>
    </w:p>
    <w:p>
      <w:pPr>
        <w:snapToGrid w:val="0"/>
        <w:spacing w:line="360" w:lineRule="auto"/>
        <w:ind w:firstLine="2570" w:firstLineChars="800"/>
        <w:rPr>
          <w:rFonts w:hint="eastAsia" w:ascii="宋体" w:hAnsi="宋体" w:cs="宋体"/>
          <w:b/>
          <w:color w:val="000000"/>
          <w:sz w:val="32"/>
          <w:szCs w:val="32"/>
        </w:rPr>
      </w:pPr>
      <w:r>
        <w:rPr>
          <w:rFonts w:hint="eastAsia" w:ascii="宋体" w:hAnsi="宋体" w:cs="宋体"/>
          <w:b/>
          <w:color w:val="000000"/>
          <w:sz w:val="32"/>
          <w:szCs w:val="32"/>
        </w:rPr>
        <w:t>（供参考，以最终合同为准）</w:t>
      </w:r>
    </w:p>
    <w:p>
      <w:pPr>
        <w:pStyle w:val="40"/>
        <w:snapToGrid w:val="0"/>
        <w:spacing w:line="400" w:lineRule="atLeast"/>
        <w:jc w:val="right"/>
        <w:rPr>
          <w:rFonts w:hint="eastAsia" w:ascii="宋体" w:hAnsi="宋体" w:eastAsia="宋体" w:cs="宋体"/>
          <w:b/>
          <w:sz w:val="28"/>
          <w:szCs w:val="28"/>
        </w:rPr>
      </w:pPr>
      <w:r>
        <w:rPr>
          <w:rFonts w:hint="eastAsia" w:ascii="宋体" w:hAnsi="宋体" w:eastAsia="宋体" w:cs="宋体"/>
          <w:sz w:val="24"/>
          <w:szCs w:val="24"/>
        </w:rPr>
        <w:t xml:space="preserve">合同编号：            </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甲方（买方）： </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乙方（卖方）：</w:t>
      </w:r>
    </w:p>
    <w:p>
      <w:pPr>
        <w:numPr>
          <w:ilvl w:val="0"/>
          <w:numId w:val="12"/>
        </w:numPr>
        <w:overflowPunct w:val="0"/>
        <w:autoSpaceDE w:val="0"/>
        <w:autoSpaceDN w:val="0"/>
        <w:adjustRightInd w:val="0"/>
        <w:snapToGrid w:val="0"/>
        <w:spacing w:line="600" w:lineRule="exact"/>
        <w:ind w:firstLine="480" w:firstLineChars="200"/>
        <w:jc w:val="left"/>
        <w:textAlignment w:val="baseline"/>
        <w:rPr>
          <w:rFonts w:hint="eastAsia" w:ascii="宋体" w:hAnsi="宋体" w:cs="宋体"/>
          <w:sz w:val="24"/>
        </w:rPr>
      </w:pPr>
      <w:r>
        <w:rPr>
          <w:rFonts w:hint="eastAsia" w:ascii="宋体" w:hAnsi="宋体" w:cs="宋体"/>
          <w:sz w:val="24"/>
        </w:rPr>
        <w:t>乙双方根据</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）公开招标的结果，签署本合同。</w:t>
      </w:r>
    </w:p>
    <w:p>
      <w:pPr>
        <w:pStyle w:val="2"/>
        <w:ind w:firstLine="0"/>
        <w:rPr>
          <w:rFonts w:hint="eastAsia" w:ascii="宋体" w:hAnsi="宋体" w:eastAsia="宋体" w:cs="宋体"/>
        </w:rPr>
      </w:pPr>
      <w:r>
        <w:rPr>
          <w:rFonts w:hint="eastAsia" w:ascii="宋体" w:hAnsi="宋体" w:eastAsia="宋体" w:cs="宋体"/>
          <w:b/>
          <w:sz w:val="24"/>
          <w:szCs w:val="24"/>
        </w:rPr>
        <w:t>一、货物名称、型号、规格、配置、技术参数、数量及合同价款</w:t>
      </w:r>
    </w:p>
    <w:tbl>
      <w:tblPr>
        <w:tblStyle w:val="78"/>
        <w:tblpPr w:leftFromText="180" w:rightFromText="180" w:vertAnchor="text" w:horzAnchor="page" w:tblpXSpec="center" w:tblpY="388"/>
        <w:tblOverlap w:val="never"/>
        <w:tblW w:w="0" w:type="auto"/>
        <w:jc w:val="center"/>
        <w:tblLayout w:type="fixed"/>
        <w:tblCellMar>
          <w:top w:w="0" w:type="dxa"/>
          <w:left w:w="108" w:type="dxa"/>
          <w:bottom w:w="0" w:type="dxa"/>
          <w:right w:w="108" w:type="dxa"/>
        </w:tblCellMar>
      </w:tblPr>
      <w:tblGrid>
        <w:gridCol w:w="764"/>
        <w:gridCol w:w="1596"/>
        <w:gridCol w:w="2377"/>
        <w:gridCol w:w="1131"/>
        <w:gridCol w:w="992"/>
        <w:gridCol w:w="1477"/>
        <w:gridCol w:w="1039"/>
      </w:tblGrid>
      <w:tr>
        <w:tblPrEx>
          <w:tblCellMar>
            <w:top w:w="0" w:type="dxa"/>
            <w:left w:w="108" w:type="dxa"/>
            <w:bottom w:w="0" w:type="dxa"/>
            <w:right w:w="108" w:type="dxa"/>
          </w:tblCellMar>
        </w:tblPrEx>
        <w:trPr>
          <w:trHeight w:val="738"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rPr>
            </w:pPr>
            <w:r>
              <w:rPr>
                <w:rFonts w:hint="eastAsia" w:ascii="宋体" w:hAnsi="宋体" w:cs="宋体"/>
                <w:kern w:val="0"/>
                <w:sz w:val="24"/>
              </w:rPr>
              <w:t>序号</w:t>
            </w:r>
          </w:p>
        </w:tc>
        <w:tc>
          <w:tcPr>
            <w:tcW w:w="1596"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rPr>
            </w:pPr>
            <w:r>
              <w:rPr>
                <w:rFonts w:hint="eastAsia" w:ascii="宋体" w:hAnsi="宋体" w:cs="宋体"/>
                <w:kern w:val="0"/>
                <w:sz w:val="24"/>
              </w:rPr>
              <w:t>货物名称</w:t>
            </w:r>
          </w:p>
        </w:tc>
        <w:tc>
          <w:tcPr>
            <w:tcW w:w="2377"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rPr>
            </w:pPr>
            <w:r>
              <w:rPr>
                <w:rFonts w:hint="eastAsia" w:ascii="宋体" w:hAnsi="宋体" w:cs="宋体"/>
                <w:kern w:val="0"/>
                <w:sz w:val="24"/>
              </w:rPr>
              <w:t>型号规格配置</w:t>
            </w:r>
          </w:p>
          <w:p>
            <w:pPr>
              <w:overflowPunct w:val="0"/>
              <w:autoSpaceDE w:val="0"/>
              <w:autoSpaceDN w:val="0"/>
              <w:adjustRightInd w:val="0"/>
              <w:spacing w:line="600" w:lineRule="exact"/>
              <w:jc w:val="center"/>
              <w:textAlignment w:val="baseline"/>
              <w:rPr>
                <w:rFonts w:hint="eastAsia" w:ascii="宋体" w:hAnsi="宋体" w:cs="宋体"/>
                <w:kern w:val="0"/>
                <w:sz w:val="24"/>
              </w:rPr>
            </w:pPr>
            <w:r>
              <w:rPr>
                <w:rFonts w:hint="eastAsia" w:ascii="宋体" w:hAnsi="宋体" w:cs="宋体"/>
                <w:kern w:val="0"/>
                <w:sz w:val="24"/>
              </w:rPr>
              <w:t>及技术参数</w:t>
            </w:r>
          </w:p>
        </w:tc>
        <w:tc>
          <w:tcPr>
            <w:tcW w:w="1131"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rPr>
            </w:pPr>
            <w:r>
              <w:rPr>
                <w:rFonts w:hint="eastAsia" w:ascii="宋体" w:hAnsi="宋体" w:cs="宋体"/>
                <w:kern w:val="0"/>
                <w:sz w:val="24"/>
              </w:rPr>
              <w:t>单价(元)</w:t>
            </w:r>
          </w:p>
        </w:tc>
        <w:tc>
          <w:tcPr>
            <w:tcW w:w="992"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rPr>
            </w:pPr>
            <w:r>
              <w:rPr>
                <w:rFonts w:hint="eastAsia" w:ascii="宋体" w:hAnsi="宋体" w:cs="宋体"/>
                <w:kern w:val="0"/>
                <w:sz w:val="24"/>
              </w:rPr>
              <w:t>数量（批）</w:t>
            </w:r>
          </w:p>
        </w:tc>
        <w:tc>
          <w:tcPr>
            <w:tcW w:w="1477"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rPr>
            </w:pPr>
            <w:r>
              <w:rPr>
                <w:rFonts w:hint="eastAsia" w:ascii="宋体" w:hAnsi="宋体" w:cs="宋体"/>
                <w:kern w:val="0"/>
                <w:sz w:val="24"/>
              </w:rPr>
              <w:t>合价(元)</w:t>
            </w:r>
          </w:p>
        </w:tc>
        <w:tc>
          <w:tcPr>
            <w:tcW w:w="1039"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cs="宋体"/>
                <w:sz w:val="24"/>
              </w:rPr>
            </w:pPr>
            <w:r>
              <w:rPr>
                <w:rFonts w:hint="eastAsia" w:ascii="宋体" w:hAnsi="宋体" w:cs="宋体"/>
                <w:sz w:val="24"/>
              </w:rPr>
              <w:t>1</w:t>
            </w:r>
          </w:p>
        </w:tc>
        <w:tc>
          <w:tcPr>
            <w:tcW w:w="1596"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rPr>
            </w:pPr>
          </w:p>
        </w:tc>
        <w:tc>
          <w:tcPr>
            <w:tcW w:w="2377"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rPr>
            </w:pPr>
          </w:p>
        </w:tc>
        <w:tc>
          <w:tcPr>
            <w:tcW w:w="1131"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textAlignment w:val="baseline"/>
              <w:rPr>
                <w:rFonts w:hint="eastAsia" w:ascii="宋体" w:hAnsi="宋体" w:cs="宋体"/>
                <w:kern w:val="0"/>
                <w:sz w:val="24"/>
              </w:rPr>
            </w:pPr>
          </w:p>
        </w:tc>
        <w:tc>
          <w:tcPr>
            <w:tcW w:w="992"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rPr>
            </w:pPr>
          </w:p>
        </w:tc>
        <w:tc>
          <w:tcPr>
            <w:tcW w:w="1477"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szCs w:val="22"/>
              </w:rPr>
            </w:pPr>
          </w:p>
        </w:tc>
        <w:tc>
          <w:tcPr>
            <w:tcW w:w="1039"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rPr>
            </w:pPr>
          </w:p>
        </w:tc>
      </w:tr>
      <w:tr>
        <w:tblPrEx>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cs="宋体"/>
                <w:sz w:val="24"/>
              </w:rPr>
            </w:pPr>
            <w:r>
              <w:rPr>
                <w:rFonts w:hint="eastAsia" w:ascii="宋体" w:hAnsi="宋体" w:cs="宋体"/>
                <w:sz w:val="24"/>
              </w:rPr>
              <w:t>2</w:t>
            </w:r>
          </w:p>
        </w:tc>
        <w:tc>
          <w:tcPr>
            <w:tcW w:w="1596"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rPr>
            </w:pPr>
          </w:p>
        </w:tc>
        <w:tc>
          <w:tcPr>
            <w:tcW w:w="2377"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rPr>
            </w:pPr>
          </w:p>
        </w:tc>
        <w:tc>
          <w:tcPr>
            <w:tcW w:w="1131"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textAlignment w:val="baseline"/>
              <w:rPr>
                <w:rFonts w:hint="eastAsia" w:ascii="宋体" w:hAnsi="宋体" w:cs="宋体"/>
                <w:kern w:val="0"/>
                <w:sz w:val="24"/>
              </w:rPr>
            </w:pPr>
          </w:p>
        </w:tc>
        <w:tc>
          <w:tcPr>
            <w:tcW w:w="992"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rPr>
            </w:pPr>
          </w:p>
        </w:tc>
        <w:tc>
          <w:tcPr>
            <w:tcW w:w="1477"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szCs w:val="22"/>
              </w:rPr>
            </w:pPr>
          </w:p>
        </w:tc>
        <w:tc>
          <w:tcPr>
            <w:tcW w:w="1039" w:type="dxa"/>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rPr>
            </w:pPr>
          </w:p>
        </w:tc>
      </w:tr>
      <w:tr>
        <w:tblPrEx>
          <w:tblCellMar>
            <w:top w:w="0" w:type="dxa"/>
            <w:left w:w="108" w:type="dxa"/>
            <w:bottom w:w="0" w:type="dxa"/>
            <w:right w:w="108" w:type="dxa"/>
          </w:tblCellMar>
        </w:tblPrEx>
        <w:trPr>
          <w:jc w:val="center"/>
        </w:trPr>
        <w:tc>
          <w:tcPr>
            <w:tcW w:w="5868" w:type="dxa"/>
            <w:gridSpan w:val="4"/>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600" w:lineRule="exact"/>
              <w:ind w:firstLine="600" w:firstLineChars="250"/>
              <w:jc w:val="center"/>
              <w:textAlignment w:val="baseline"/>
              <w:rPr>
                <w:rFonts w:hint="eastAsia" w:ascii="宋体" w:hAnsi="宋体" w:cs="宋体"/>
                <w:kern w:val="0"/>
                <w:sz w:val="24"/>
              </w:rPr>
            </w:pPr>
            <w:r>
              <w:rPr>
                <w:rFonts w:hint="eastAsia" w:ascii="宋体" w:hAnsi="宋体" w:cs="宋体"/>
                <w:kern w:val="0"/>
                <w:sz w:val="24"/>
              </w:rPr>
              <w:t>合计</w:t>
            </w:r>
          </w:p>
        </w:tc>
        <w:tc>
          <w:tcPr>
            <w:tcW w:w="3508" w:type="dxa"/>
            <w:gridSpan w:val="3"/>
            <w:tcBorders>
              <w:top w:val="single" w:color="auto" w:sz="4" w:space="0"/>
              <w:left w:val="nil"/>
              <w:bottom w:val="single" w:color="auto" w:sz="4" w:space="0"/>
              <w:right w:val="single" w:color="auto" w:sz="4" w:space="0"/>
            </w:tcBorders>
            <w:noWrap w:val="0"/>
            <w:vAlign w:val="center"/>
          </w:tcPr>
          <w:p>
            <w:pPr>
              <w:overflowPunct w:val="0"/>
              <w:autoSpaceDE w:val="0"/>
              <w:autoSpaceDN w:val="0"/>
              <w:adjustRightInd w:val="0"/>
              <w:spacing w:line="600" w:lineRule="exact"/>
              <w:jc w:val="center"/>
              <w:textAlignment w:val="baseline"/>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b/>
                <w:bCs/>
                <w:kern w:val="0"/>
                <w:sz w:val="24"/>
              </w:rPr>
              <w:t xml:space="preserve">   元</w:t>
            </w:r>
          </w:p>
        </w:tc>
      </w:tr>
      <w:tr>
        <w:tblPrEx>
          <w:tblCellMar>
            <w:top w:w="0" w:type="dxa"/>
            <w:left w:w="108" w:type="dxa"/>
            <w:bottom w:w="0" w:type="dxa"/>
            <w:right w:w="108" w:type="dxa"/>
          </w:tblCellMar>
        </w:tblPrEx>
        <w:trPr>
          <w:jc w:val="center"/>
        </w:trPr>
        <w:tc>
          <w:tcPr>
            <w:tcW w:w="9376" w:type="dxa"/>
            <w:gridSpan w:val="7"/>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adjustRightInd w:val="0"/>
              <w:spacing w:line="600" w:lineRule="exact"/>
              <w:textAlignment w:val="baseline"/>
              <w:rPr>
                <w:rFonts w:hint="eastAsia" w:ascii="宋体" w:hAnsi="宋体" w:cs="宋体"/>
                <w:kern w:val="0"/>
                <w:sz w:val="24"/>
              </w:rPr>
            </w:pPr>
            <w:r>
              <w:rPr>
                <w:rFonts w:hint="eastAsia" w:ascii="宋体" w:hAnsi="宋体" w:cs="宋体"/>
                <w:kern w:val="0"/>
                <w:sz w:val="24"/>
              </w:rPr>
              <w:t xml:space="preserve">   合同价款大写：</w:t>
            </w:r>
          </w:p>
        </w:tc>
      </w:tr>
    </w:tbl>
    <w:p>
      <w:pPr>
        <w:overflowPunct w:val="0"/>
        <w:autoSpaceDE w:val="0"/>
        <w:autoSpaceDN w:val="0"/>
        <w:adjustRightInd w:val="0"/>
        <w:snapToGrid w:val="0"/>
        <w:spacing w:line="600" w:lineRule="exact"/>
        <w:jc w:val="left"/>
        <w:textAlignment w:val="baseline"/>
        <w:rPr>
          <w:rFonts w:hint="eastAsia" w:ascii="宋体" w:hAnsi="宋体" w:cs="宋体"/>
          <w:kern w:val="0"/>
          <w:sz w:val="24"/>
        </w:rPr>
      </w:pPr>
      <w:r>
        <w:rPr>
          <w:rFonts w:hint="eastAsia" w:ascii="宋体" w:hAnsi="宋体" w:cs="宋体"/>
          <w:kern w:val="0"/>
          <w:sz w:val="24"/>
        </w:rPr>
        <w:t xml:space="preserve">    说明：</w:t>
      </w:r>
    </w:p>
    <w:p>
      <w:pPr>
        <w:numPr>
          <w:ilvl w:val="0"/>
          <w:numId w:val="13"/>
        </w:numPr>
        <w:overflowPunct w:val="0"/>
        <w:autoSpaceDE w:val="0"/>
        <w:autoSpaceDN w:val="0"/>
        <w:adjustRightInd w:val="0"/>
        <w:snapToGrid w:val="0"/>
        <w:spacing w:line="600" w:lineRule="exact"/>
        <w:ind w:firstLine="480" w:firstLineChars="200"/>
        <w:textAlignment w:val="baseline"/>
        <w:rPr>
          <w:rFonts w:hint="eastAsia" w:ascii="宋体" w:hAnsi="宋体" w:cs="宋体"/>
          <w:kern w:val="0"/>
          <w:sz w:val="24"/>
        </w:rPr>
      </w:pPr>
      <w:r>
        <w:rPr>
          <w:rFonts w:hint="eastAsia" w:ascii="宋体" w:hAnsi="宋体" w:cs="宋体"/>
          <w:kern w:val="0"/>
          <w:sz w:val="24"/>
        </w:rPr>
        <w:t>货物名称、型号、规格、配置、技术参数、数量、品牌等具体以招标文件为准，若乙方“技术文件”以及“报价文件”之“分项报价表”的标准更严格的则按照更严格的标准执行。</w:t>
      </w:r>
    </w:p>
    <w:p>
      <w:pPr>
        <w:numPr>
          <w:ilvl w:val="0"/>
          <w:numId w:val="13"/>
        </w:numPr>
        <w:overflowPunct w:val="0"/>
        <w:autoSpaceDE w:val="0"/>
        <w:autoSpaceDN w:val="0"/>
        <w:adjustRightInd w:val="0"/>
        <w:snapToGrid w:val="0"/>
        <w:spacing w:line="600" w:lineRule="exact"/>
        <w:ind w:firstLine="480" w:firstLineChars="200"/>
        <w:textAlignment w:val="baseline"/>
        <w:rPr>
          <w:rFonts w:hint="eastAsia" w:ascii="宋体" w:hAnsi="宋体" w:cs="宋体"/>
          <w:kern w:val="0"/>
          <w:sz w:val="24"/>
        </w:rPr>
      </w:pPr>
      <w:r>
        <w:rPr>
          <w:rFonts w:hint="eastAsia" w:ascii="宋体" w:hAnsi="宋体" w:cs="宋体"/>
          <w:kern w:val="0"/>
          <w:sz w:val="24"/>
        </w:rPr>
        <w:t>本项目为“交钥匙”项目，采购清单中包括货物供货、安装调试、货物验收、培训、质保期内的售后服务等。投标报价应包括设备费、产品演示产生的费用、材料费、保管费、运费、安装调试费、培训、货物验收、税收、售后服务、采购需求中未提到但在实际采购和安装过程中需要配置的各种设备、材料及其他费用等须由乙方支付的所有费用，甲方不再支付乙方其他任何费用。</w:t>
      </w:r>
    </w:p>
    <w:p>
      <w:pPr>
        <w:overflowPunct w:val="0"/>
        <w:autoSpaceDE w:val="0"/>
        <w:autoSpaceDN w:val="0"/>
        <w:adjustRightInd w:val="0"/>
        <w:snapToGrid w:val="0"/>
        <w:spacing w:line="600" w:lineRule="exact"/>
        <w:textAlignment w:val="baseline"/>
        <w:rPr>
          <w:rFonts w:hint="eastAsia" w:ascii="宋体" w:hAnsi="宋体" w:cs="宋体"/>
          <w:b/>
          <w:bCs/>
          <w:kern w:val="0"/>
          <w:sz w:val="24"/>
        </w:rPr>
      </w:pPr>
      <w:r>
        <w:rPr>
          <w:rFonts w:hint="eastAsia" w:ascii="宋体" w:hAnsi="宋体" w:cs="宋体"/>
          <w:b/>
          <w:bCs/>
          <w:kern w:val="0"/>
          <w:sz w:val="24"/>
        </w:rPr>
        <w:t>二、技术资料</w:t>
      </w:r>
    </w:p>
    <w:p>
      <w:pPr>
        <w:overflowPunct w:val="0"/>
        <w:autoSpaceDE w:val="0"/>
        <w:autoSpaceDN w:val="0"/>
        <w:adjustRightInd w:val="0"/>
        <w:snapToGrid w:val="0"/>
        <w:spacing w:line="600" w:lineRule="exact"/>
        <w:ind w:firstLine="480" w:firstLineChars="200"/>
        <w:textAlignment w:val="baseline"/>
        <w:rPr>
          <w:rFonts w:hint="eastAsia" w:ascii="宋体" w:hAnsi="宋体" w:cs="宋体"/>
          <w:kern w:val="0"/>
          <w:sz w:val="24"/>
        </w:rPr>
      </w:pPr>
      <w:r>
        <w:rPr>
          <w:rFonts w:hint="eastAsia" w:ascii="宋体" w:hAnsi="宋体" w:cs="宋体"/>
          <w:kern w:val="0"/>
          <w:sz w:val="24"/>
        </w:rPr>
        <w:t xml:space="preserve"> 1.乙方应按招标文件规定的时间向甲方提供使用货物的有关技术资料。</w:t>
      </w:r>
    </w:p>
    <w:p>
      <w:pPr>
        <w:overflowPunct w:val="0"/>
        <w:autoSpaceDE w:val="0"/>
        <w:autoSpaceDN w:val="0"/>
        <w:adjustRightInd w:val="0"/>
        <w:snapToGrid w:val="0"/>
        <w:spacing w:line="600" w:lineRule="exact"/>
        <w:ind w:firstLine="480" w:firstLineChars="200"/>
        <w:textAlignment w:val="baseline"/>
        <w:rPr>
          <w:rFonts w:hint="eastAsia" w:ascii="宋体" w:hAnsi="宋体" w:cs="宋体"/>
          <w:kern w:val="0"/>
          <w:sz w:val="24"/>
        </w:rPr>
      </w:pPr>
      <w:r>
        <w:rPr>
          <w:rFonts w:hint="eastAsia" w:ascii="宋体" w:hAnsi="宋体" w:cs="宋体"/>
          <w:kern w:val="0"/>
          <w:sz w:val="24"/>
        </w:rPr>
        <w:t xml:space="preserve"> 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overflowPunct w:val="0"/>
        <w:autoSpaceDE w:val="0"/>
        <w:autoSpaceDN w:val="0"/>
        <w:adjustRightInd w:val="0"/>
        <w:snapToGrid w:val="0"/>
        <w:spacing w:line="600" w:lineRule="exact"/>
        <w:textAlignment w:val="baseline"/>
        <w:rPr>
          <w:rFonts w:hint="eastAsia" w:ascii="宋体" w:hAnsi="宋体" w:cs="宋体"/>
          <w:b/>
          <w:bCs/>
          <w:kern w:val="0"/>
          <w:sz w:val="24"/>
        </w:rPr>
      </w:pPr>
      <w:r>
        <w:rPr>
          <w:rFonts w:hint="eastAsia" w:ascii="宋体" w:hAnsi="宋体" w:cs="宋体"/>
          <w:b/>
          <w:bCs/>
          <w:kern w:val="0"/>
          <w:sz w:val="24"/>
        </w:rPr>
        <w:t>三、权利担保</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1.乙方应保证所提供的货物或其任何一部分均不会侵犯任何第三方的知识产权。</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2.乙方保证所交付的货物的所有权完全属于乙方且无任何抵押、查封等产权瑕疵。</w:t>
      </w:r>
    </w:p>
    <w:p>
      <w:pPr>
        <w:adjustRightInd w:val="0"/>
        <w:snapToGrid w:val="0"/>
        <w:spacing w:line="600" w:lineRule="exact"/>
        <w:ind w:firstLine="480" w:firstLineChars="200"/>
        <w:rPr>
          <w:rFonts w:hint="eastAsia" w:ascii="宋体" w:hAnsi="宋体" w:cs="宋体"/>
          <w:bCs/>
          <w:sz w:val="24"/>
        </w:rPr>
      </w:pPr>
      <w:r>
        <w:rPr>
          <w:rFonts w:hint="eastAsia" w:ascii="宋体" w:hAnsi="宋体" w:cs="宋体"/>
          <w:bCs/>
          <w:sz w:val="24"/>
        </w:rPr>
        <w:t>3.若违反以上约定，所有的责任与损失由乙方承担。</w:t>
      </w:r>
    </w:p>
    <w:p>
      <w:pPr>
        <w:adjustRightInd w:val="0"/>
        <w:snapToGrid w:val="0"/>
        <w:spacing w:line="600" w:lineRule="exact"/>
        <w:rPr>
          <w:rFonts w:hint="eastAsia" w:ascii="宋体" w:hAnsi="宋体" w:cs="宋体"/>
          <w:b/>
          <w:bCs/>
          <w:kern w:val="0"/>
          <w:sz w:val="24"/>
        </w:rPr>
      </w:pPr>
      <w:r>
        <w:rPr>
          <w:rFonts w:hint="eastAsia" w:ascii="宋体" w:hAnsi="宋体" w:cs="宋体"/>
          <w:b/>
          <w:bCs/>
          <w:kern w:val="0"/>
          <w:sz w:val="24"/>
        </w:rPr>
        <w:t>四、履约保证金</w:t>
      </w:r>
    </w:p>
    <w:p>
      <w:pPr>
        <w:spacing w:line="600" w:lineRule="exact"/>
        <w:ind w:firstLine="480" w:firstLineChars="200"/>
        <w:rPr>
          <w:rFonts w:hint="eastAsia" w:ascii="宋体" w:hAnsi="宋体" w:cs="宋体"/>
          <w:sz w:val="24"/>
        </w:rPr>
      </w:pPr>
      <w:r>
        <w:rPr>
          <w:rFonts w:hint="eastAsia" w:ascii="宋体" w:hAnsi="宋体" w:cs="宋体"/>
          <w:sz w:val="24"/>
        </w:rPr>
        <w:t xml:space="preserve"> </w:t>
      </w:r>
    </w:p>
    <w:p>
      <w:pPr>
        <w:overflowPunct w:val="0"/>
        <w:autoSpaceDE w:val="0"/>
        <w:autoSpaceDN w:val="0"/>
        <w:adjustRightInd w:val="0"/>
        <w:snapToGrid w:val="0"/>
        <w:spacing w:line="600" w:lineRule="exact"/>
        <w:jc w:val="left"/>
        <w:textAlignment w:val="baseline"/>
        <w:rPr>
          <w:rFonts w:hint="eastAsia" w:ascii="宋体" w:hAnsi="宋体" w:cs="宋体"/>
          <w:b/>
          <w:bCs/>
          <w:kern w:val="0"/>
          <w:sz w:val="24"/>
        </w:rPr>
      </w:pPr>
      <w:r>
        <w:rPr>
          <w:rFonts w:hint="eastAsia" w:ascii="宋体" w:hAnsi="宋体" w:cs="宋体"/>
          <w:b/>
          <w:bCs/>
          <w:kern w:val="0"/>
          <w:sz w:val="24"/>
        </w:rPr>
        <w:t>五、转包或分包</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 1.本合同范围的货物，应由乙方直接供应，不得转让他人供应。</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 2.除非得到甲方的书面同意，乙方不得将本合同范围的货物全部或部分分包给他人供应。</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 3.如有转让和未经甲方同意的分包行为，甲方有权解除合同，没收履约保证金并追究乙方的违约责任。</w:t>
      </w:r>
    </w:p>
    <w:p>
      <w:pPr>
        <w:overflowPunct w:val="0"/>
        <w:autoSpaceDE w:val="0"/>
        <w:autoSpaceDN w:val="0"/>
        <w:adjustRightInd w:val="0"/>
        <w:snapToGrid w:val="0"/>
        <w:spacing w:line="600" w:lineRule="exact"/>
        <w:jc w:val="left"/>
        <w:textAlignment w:val="baseline"/>
        <w:rPr>
          <w:rFonts w:hint="eastAsia" w:ascii="宋体" w:hAnsi="宋体" w:cs="宋体"/>
          <w:kern w:val="0"/>
          <w:sz w:val="24"/>
        </w:rPr>
      </w:pPr>
      <w:r>
        <w:rPr>
          <w:rFonts w:hint="eastAsia" w:ascii="宋体" w:hAnsi="宋体" w:cs="宋体"/>
          <w:b/>
          <w:bCs/>
          <w:kern w:val="0"/>
          <w:sz w:val="24"/>
        </w:rPr>
        <w:t>六、质保期和质保金</w:t>
      </w:r>
    </w:p>
    <w:p>
      <w:pPr>
        <w:pStyle w:val="2"/>
        <w:spacing w:line="600" w:lineRule="exact"/>
        <w:ind w:firstLine="560" w:firstLineChars="200"/>
        <w:rPr>
          <w:rFonts w:hint="eastAsia" w:ascii="宋体" w:hAnsi="宋体" w:eastAsia="宋体" w:cs="宋体"/>
        </w:rPr>
      </w:pPr>
      <w:r>
        <w:rPr>
          <w:rFonts w:hint="eastAsia" w:ascii="宋体" w:hAnsi="宋体" w:eastAsia="宋体" w:cs="宋体"/>
        </w:rPr>
        <w:t xml:space="preserve"> </w:t>
      </w:r>
    </w:p>
    <w:p>
      <w:pPr>
        <w:overflowPunct w:val="0"/>
        <w:autoSpaceDE w:val="0"/>
        <w:autoSpaceDN w:val="0"/>
        <w:adjustRightInd w:val="0"/>
        <w:snapToGrid w:val="0"/>
        <w:spacing w:line="600" w:lineRule="exact"/>
        <w:textAlignment w:val="baseline"/>
        <w:rPr>
          <w:rFonts w:hint="eastAsia" w:ascii="宋体" w:hAnsi="宋体" w:cs="宋体"/>
          <w:b/>
          <w:bCs/>
          <w:kern w:val="0"/>
          <w:sz w:val="24"/>
        </w:rPr>
      </w:pPr>
      <w:r>
        <w:rPr>
          <w:rFonts w:hint="eastAsia" w:ascii="宋体" w:hAnsi="宋体" w:cs="宋体"/>
          <w:b/>
          <w:bCs/>
          <w:kern w:val="0"/>
          <w:sz w:val="24"/>
        </w:rPr>
        <w:t>七、交货期、交货方式、交货地点及供货要求</w:t>
      </w:r>
    </w:p>
    <w:p>
      <w:pPr>
        <w:autoSpaceDE w:val="0"/>
        <w:spacing w:line="600" w:lineRule="exact"/>
        <w:ind w:firstLine="480" w:firstLineChars="200"/>
        <w:rPr>
          <w:rFonts w:hint="eastAsia" w:ascii="宋体" w:hAnsi="宋体" w:cs="宋体"/>
          <w:sz w:val="24"/>
        </w:rPr>
      </w:pPr>
      <w:r>
        <w:rPr>
          <w:rFonts w:hint="eastAsia" w:ascii="宋体" w:hAnsi="宋体" w:cs="宋体"/>
          <w:kern w:val="0"/>
          <w:sz w:val="24"/>
        </w:rPr>
        <w:t xml:space="preserve"> </w:t>
      </w:r>
    </w:p>
    <w:p>
      <w:pPr>
        <w:overflowPunct w:val="0"/>
        <w:autoSpaceDE w:val="0"/>
        <w:autoSpaceDN w:val="0"/>
        <w:adjustRightInd w:val="0"/>
        <w:snapToGrid w:val="0"/>
        <w:spacing w:line="600" w:lineRule="exact"/>
        <w:jc w:val="left"/>
        <w:textAlignment w:val="baseline"/>
        <w:rPr>
          <w:rFonts w:hint="eastAsia" w:ascii="宋体" w:hAnsi="宋体" w:cs="宋体"/>
          <w:b/>
          <w:bCs/>
          <w:kern w:val="0"/>
          <w:sz w:val="24"/>
        </w:rPr>
      </w:pPr>
      <w:r>
        <w:rPr>
          <w:rFonts w:hint="eastAsia" w:ascii="宋体" w:hAnsi="宋体" w:cs="宋体"/>
          <w:b/>
          <w:bCs/>
          <w:kern w:val="0"/>
          <w:sz w:val="24"/>
        </w:rPr>
        <w:t>八、货款支付</w:t>
      </w:r>
    </w:p>
    <w:p>
      <w:pPr>
        <w:autoSpaceDE w:val="0"/>
        <w:spacing w:line="600" w:lineRule="exact"/>
        <w:ind w:firstLine="480" w:firstLineChars="200"/>
        <w:rPr>
          <w:rFonts w:hint="eastAsia" w:ascii="宋体" w:hAnsi="宋体" w:cs="宋体"/>
          <w:sz w:val="24"/>
        </w:rPr>
      </w:pPr>
      <w:r>
        <w:rPr>
          <w:rFonts w:hint="eastAsia" w:ascii="宋体" w:hAnsi="宋体" w:cs="宋体"/>
          <w:sz w:val="24"/>
        </w:rPr>
        <w:t xml:space="preserve"> </w:t>
      </w:r>
    </w:p>
    <w:p>
      <w:pPr>
        <w:autoSpaceDE w:val="0"/>
        <w:spacing w:line="600" w:lineRule="exact"/>
        <w:rPr>
          <w:rFonts w:hint="eastAsia" w:ascii="宋体" w:hAnsi="宋体" w:cs="宋体"/>
          <w:b/>
          <w:bCs/>
          <w:sz w:val="24"/>
        </w:rPr>
      </w:pPr>
      <w:r>
        <w:rPr>
          <w:rFonts w:hint="eastAsia" w:ascii="宋体" w:hAnsi="宋体" w:cs="宋体"/>
          <w:b/>
          <w:bCs/>
          <w:sz w:val="24"/>
        </w:rPr>
        <w:t>九、税费</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本合同执行中相关的一切税费均由乙方负担。</w:t>
      </w:r>
    </w:p>
    <w:p>
      <w:pPr>
        <w:overflowPunct w:val="0"/>
        <w:autoSpaceDE w:val="0"/>
        <w:autoSpaceDN w:val="0"/>
        <w:adjustRightInd w:val="0"/>
        <w:snapToGrid w:val="0"/>
        <w:spacing w:line="600" w:lineRule="exact"/>
        <w:jc w:val="left"/>
        <w:textAlignment w:val="baseline"/>
        <w:rPr>
          <w:rFonts w:hint="eastAsia" w:ascii="宋体" w:hAnsi="宋体" w:cs="宋体"/>
          <w:kern w:val="0"/>
          <w:sz w:val="24"/>
        </w:rPr>
      </w:pPr>
      <w:r>
        <w:rPr>
          <w:rFonts w:hint="eastAsia" w:ascii="宋体" w:hAnsi="宋体" w:cs="宋体"/>
          <w:b/>
          <w:bCs/>
          <w:kern w:val="0"/>
          <w:sz w:val="24"/>
        </w:rPr>
        <w:t>十、质量保证及售后服务</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1.乙方应按招标文件规定的货物性能、技术要求、质量标准向甲方提供未经使用的全新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2.乙方提供的货物在质保期内因货物本身的质量问题发生故障，乙方应按甲方要求予以处理，具体处理方式如下：</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⑴更换：由乙方承担所发生的全部费用。</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⑵贬值处理：由甲乙双方合议定价。</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⑶退货处理：乙方应退还甲方支付的合同款，同时应承担该货物的直接费用（运输、保险、检验、货款利息及银行手续费等）。</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3.如在质保期内发生质量问题，乙方在接到甲方通知后1小时响应，2小时内达到甲方现场，1小时内解决问题；对于现场解决不了的故障，乙方应立即提供采购人同型号、同规格的或不低于原设备性能的备用设备使用，直至故障设备修复。对无法使用的产品进行免费更换。</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4.在质保期内，乙方应兑现“投标文件”中“售后服务”的诸项相关承诺，并应对货物出现的质量及安全问题负责处理解决并承担一切费用。在质保期内乙方不得以任何理由影响用户的正常使用，乙方必须对所供产品实行终身维修。</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5.在质保期内乙方必须不得以任何理由影响用户的正常使用。乙方必须对所供产品实行终身维修，配件按市场价格收取。</w:t>
      </w:r>
    </w:p>
    <w:p>
      <w:pPr>
        <w:overflowPunct w:val="0"/>
        <w:autoSpaceDE w:val="0"/>
        <w:autoSpaceDN w:val="0"/>
        <w:adjustRightInd w:val="0"/>
        <w:snapToGrid w:val="0"/>
        <w:spacing w:line="600" w:lineRule="exact"/>
        <w:jc w:val="left"/>
        <w:textAlignment w:val="baseline"/>
        <w:rPr>
          <w:rFonts w:hint="eastAsia" w:ascii="宋体" w:hAnsi="宋体" w:cs="宋体"/>
          <w:b/>
          <w:bCs/>
          <w:kern w:val="0"/>
          <w:sz w:val="24"/>
        </w:rPr>
      </w:pPr>
      <w:r>
        <w:rPr>
          <w:rFonts w:hint="eastAsia" w:ascii="宋体" w:hAnsi="宋体" w:cs="宋体"/>
          <w:b/>
          <w:bCs/>
          <w:kern w:val="0"/>
          <w:sz w:val="24"/>
        </w:rPr>
        <w:t>十一、货物包装、发运及运输</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 1.乙方应在货物发运前对其进行满足运输距离、防潮、防震、防锈和防破损装卸等要求包装，以保证货物安全运达甲方指定地点。</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 2.使用说明书、质量检验证明书、随配附件和工具以及清单一并附于货物内，未提供的按乙方逾期交货处理。</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 3.乙方在货物发运手续办理完毕后24小时内或货到甲方48小时前通知甲方，以准备接货。</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 4.货物在交付甲方验收合格前发生的风险均由乙方负责。</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 xml:space="preserve"> 5.货物在规定的交付期限内由乙方送达甲方指定的地点安装调试，空气检测合格并经最终验收合格后视为交付，乙方同时需通知甲方货物已送达。安装调试过程中发生的事故导致人员伤亡或财物损失的责任皆由乙方承担。</w:t>
      </w:r>
    </w:p>
    <w:p>
      <w:pPr>
        <w:overflowPunct w:val="0"/>
        <w:autoSpaceDE w:val="0"/>
        <w:autoSpaceDN w:val="0"/>
        <w:adjustRightInd w:val="0"/>
        <w:snapToGrid w:val="0"/>
        <w:spacing w:line="600" w:lineRule="exact"/>
        <w:textAlignment w:val="baseline"/>
        <w:rPr>
          <w:rFonts w:hint="eastAsia" w:ascii="宋体" w:hAnsi="宋体" w:cs="宋体"/>
          <w:b/>
          <w:bCs/>
          <w:kern w:val="0"/>
          <w:sz w:val="24"/>
        </w:rPr>
      </w:pPr>
      <w:r>
        <w:rPr>
          <w:rFonts w:hint="eastAsia" w:ascii="宋体" w:hAnsi="宋体" w:cs="宋体"/>
          <w:b/>
          <w:bCs/>
          <w:kern w:val="0"/>
          <w:sz w:val="24"/>
        </w:rPr>
        <w:t>十二、调试和验收</w:t>
      </w:r>
    </w:p>
    <w:p>
      <w:pPr>
        <w:overflowPunct w:val="0"/>
        <w:autoSpaceDE w:val="0"/>
        <w:autoSpaceDN w:val="0"/>
        <w:adjustRightInd w:val="0"/>
        <w:snapToGrid w:val="0"/>
        <w:spacing w:line="600" w:lineRule="exact"/>
        <w:ind w:firstLine="482" w:firstLineChars="200"/>
        <w:textAlignment w:val="baseline"/>
        <w:rPr>
          <w:rFonts w:hint="eastAsia" w:ascii="宋体" w:hAnsi="宋体" w:cs="宋体"/>
          <w:b/>
          <w:bCs/>
          <w:kern w:val="0"/>
          <w:sz w:val="24"/>
        </w:rPr>
      </w:pPr>
      <w:r>
        <w:rPr>
          <w:rFonts w:hint="eastAsia" w:ascii="宋体" w:hAnsi="宋体" w:cs="宋体"/>
          <w:b/>
          <w:bCs/>
          <w:kern w:val="0"/>
          <w:sz w:val="24"/>
        </w:rPr>
        <w:t xml:space="preserve"> 甲方委托质检余杭分局监测中心进行验收：</w:t>
      </w:r>
    </w:p>
    <w:p>
      <w:pPr>
        <w:spacing w:line="600" w:lineRule="exact"/>
        <w:ind w:right="60" w:firstLine="480" w:firstLineChars="200"/>
        <w:rPr>
          <w:rFonts w:hint="eastAsia" w:ascii="宋体" w:hAnsi="宋体" w:cs="宋体"/>
          <w:sz w:val="24"/>
        </w:rPr>
      </w:pPr>
      <w:r>
        <w:rPr>
          <w:rFonts w:hint="eastAsia" w:ascii="宋体" w:hAnsi="宋体" w:cs="宋体"/>
          <w:sz w:val="24"/>
        </w:rPr>
        <w:t>1.根据余财采〔2018〕5号《关于进一步加强政府采购验收工作的意见》的通知，对于单次采购金额在三十万元以上的货物类采购项目（除国家规定应由专业机构强制检测或已聘请专业监理公司监理的采购项目），委托余杭区质量计量监测中心政府采购验收办公室进行验收。质检余杭分局监测中心对乙方提交的货物将依据招标文件、投标文件及其补充变更文件上的技术规格要求和国家有关质量标准进行验收。</w:t>
      </w:r>
    </w:p>
    <w:p>
      <w:pPr>
        <w:spacing w:line="600" w:lineRule="exact"/>
        <w:ind w:left="60" w:right="60" w:firstLine="480" w:firstLineChars="200"/>
        <w:rPr>
          <w:rFonts w:hint="eastAsia" w:ascii="宋体" w:hAnsi="宋体" w:cs="宋体"/>
          <w:sz w:val="24"/>
        </w:rPr>
      </w:pPr>
      <w:r>
        <w:rPr>
          <w:rFonts w:hint="eastAsia" w:ascii="宋体" w:hAnsi="宋体" w:cs="宋体"/>
          <w:sz w:val="24"/>
        </w:rPr>
        <w:t>2.经验收不合格且无法整改的，不付款不退货，所产生的所有损失由乙方承担。</w:t>
      </w:r>
    </w:p>
    <w:p>
      <w:pPr>
        <w:spacing w:line="600" w:lineRule="exact"/>
        <w:ind w:left="60" w:right="60" w:firstLine="480" w:firstLineChars="200"/>
        <w:rPr>
          <w:rFonts w:hint="eastAsia" w:ascii="宋体" w:hAnsi="宋体" w:cs="宋体"/>
          <w:sz w:val="24"/>
        </w:rPr>
      </w:pPr>
      <w:r>
        <w:rPr>
          <w:rFonts w:hint="eastAsia" w:ascii="宋体" w:hAnsi="宋体" w:cs="宋体"/>
          <w:sz w:val="24"/>
        </w:rPr>
        <w:t>3.货物质量验收以质检余杭分局监测中心为最终验收。</w:t>
      </w:r>
    </w:p>
    <w:p>
      <w:pPr>
        <w:overflowPunct w:val="0"/>
        <w:autoSpaceDE w:val="0"/>
        <w:autoSpaceDN w:val="0"/>
        <w:adjustRightInd w:val="0"/>
        <w:snapToGrid w:val="0"/>
        <w:spacing w:line="600" w:lineRule="exact"/>
        <w:jc w:val="left"/>
        <w:textAlignment w:val="baseline"/>
        <w:rPr>
          <w:rFonts w:hint="eastAsia" w:ascii="宋体" w:hAnsi="宋体" w:cs="宋体"/>
          <w:b/>
          <w:bCs/>
          <w:kern w:val="0"/>
          <w:sz w:val="24"/>
        </w:rPr>
      </w:pPr>
      <w:r>
        <w:rPr>
          <w:rFonts w:hint="eastAsia" w:ascii="宋体" w:hAnsi="宋体" w:cs="宋体"/>
          <w:b/>
          <w:bCs/>
          <w:kern w:val="0"/>
          <w:sz w:val="24"/>
        </w:rPr>
        <w:t>十三、违约责任</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1.甲方因自身原因无故拒收，经乙方书面通知后仍拒收货物的，每逾期一日，应按拒收货物价款银行同期贷款利息支付违约金。</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2.乙方逾期交付货物的，乙方应按逾期交货总额每日千分之一向甲方支付违约金，违约金由甲方从待付货款中扣除。逾期超过约定日期10日不能交货的，甲方可解除本合同，并提请有关部门列入供应商黑名单；如甲方选择继续履行合同的，乙方应按本条约定支付违约金至货到指定地点且最终验收合格之日止。</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3.乙方所交的货物品种、型号、规格、技术参数、质量不符合合同规定及招标文件规定标准的，甲方有权拒收该货物，乙方愿意更换货物但逾期交货的，按乙方逾期交货处理，由此增加的费用由乙方自行承担。乙方拒绝更换货物的，甲方可单方面解除合同，并提请有关部门列入供应商黑名单。</w:t>
      </w:r>
    </w:p>
    <w:p>
      <w:pPr>
        <w:widowControl/>
        <w:adjustRightInd w:val="0"/>
        <w:snapToGrid w:val="0"/>
        <w:spacing w:line="600" w:lineRule="exact"/>
        <w:ind w:firstLine="480" w:firstLineChars="200"/>
        <w:jc w:val="left"/>
        <w:rPr>
          <w:rFonts w:hint="eastAsia" w:ascii="宋体" w:hAnsi="宋体" w:cs="宋体"/>
          <w:kern w:val="0"/>
          <w:sz w:val="24"/>
        </w:rPr>
      </w:pPr>
      <w:r>
        <w:rPr>
          <w:rFonts w:hint="eastAsia" w:ascii="宋体" w:hAnsi="宋体" w:cs="宋体"/>
          <w:kern w:val="0"/>
          <w:sz w:val="24"/>
        </w:rPr>
        <w:t>4.甲方在使用过程中发现货物存在质量问题，乙方拒绝或逾期退换货的，乙方应按前述货物购置价四倍向甲方支付违约金，情节严重的，甲方有权提前有关部门列入供应商黑名单。</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5.乙方违反本合同和招投标文件约定的有关质量保证及售后服务等的，每发生一次，乙方应向甲方支付   元违约金。同时，甲方有权委托第三方进行维修，所产生的费用由乙方承担，且乙方不得以此为由拒绝履行后期保修义务。若因货物缺陷或乙方服务质量等问题造成甲方或任何人员人身、财产损害的，乙方应承担有关责任并作出相应赔偿。</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6.</w:t>
      </w:r>
      <w:r>
        <w:rPr>
          <w:rFonts w:hint="eastAsia" w:ascii="宋体" w:hAnsi="宋体" w:cs="宋体"/>
          <w:bCs/>
          <w:sz w:val="24"/>
        </w:rPr>
        <w:t>货物经验收不合格、空气检测不合格或者安装成果不符合本合同及招标文件要求的，甲方有权拒绝付款及退货，要求乙方采取更换货物等整改措施，乙方应无条件进行整改，所产生的所有损失由乙方承担。乙方无法整改的，甲方有权解除合同。</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b/>
          <w:bCs/>
          <w:kern w:val="0"/>
          <w:sz w:val="24"/>
        </w:rPr>
      </w:pPr>
      <w:r>
        <w:rPr>
          <w:rFonts w:hint="eastAsia" w:ascii="宋体" w:hAnsi="宋体" w:cs="宋体"/>
          <w:kern w:val="0"/>
          <w:sz w:val="24"/>
        </w:rPr>
        <w:t xml:space="preserve">7.乙方提前解除本合同或因乙方原因导致甲方解除合同的，没收履约保证金，乙方应向甲方支付合同总值20%的违约金，如造成甲方损失超过违约金的，超出部分由乙方继续承担赔偿责任，甲方为实现权利所支出的诉讼费、律师费等各项费用由乙方承担。 </w:t>
      </w:r>
    </w:p>
    <w:p>
      <w:pPr>
        <w:widowControl/>
        <w:overflowPunct w:val="0"/>
        <w:autoSpaceDE w:val="0"/>
        <w:autoSpaceDN w:val="0"/>
        <w:adjustRightInd w:val="0"/>
        <w:snapToGrid w:val="0"/>
        <w:spacing w:line="600" w:lineRule="exact"/>
        <w:jc w:val="left"/>
        <w:textAlignment w:val="baseline"/>
        <w:rPr>
          <w:rFonts w:hint="eastAsia" w:ascii="宋体" w:hAnsi="宋体" w:cs="宋体"/>
          <w:b/>
          <w:bCs/>
          <w:kern w:val="0"/>
          <w:sz w:val="24"/>
        </w:rPr>
      </w:pPr>
      <w:r>
        <w:rPr>
          <w:rFonts w:hint="eastAsia" w:ascii="宋体" w:hAnsi="宋体" w:cs="宋体"/>
          <w:b/>
          <w:bCs/>
          <w:kern w:val="0"/>
          <w:sz w:val="24"/>
        </w:rPr>
        <w:t>十四、不可抗力事件处理</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1.在合同有效期内，任何一方因不可抗力事件导致不能履行合同，则合同履行期可延长，其延长期与不可抗力影响期相同。</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2.不可抗力事件发生后，应立即通知对方，并寄送有关权威机构出具的证明。</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3.不可抗力事件延续120天以上，双方应通过友好协商，确定是否继续履行合同。</w:t>
      </w:r>
    </w:p>
    <w:p>
      <w:pPr>
        <w:overflowPunct w:val="0"/>
        <w:autoSpaceDE w:val="0"/>
        <w:autoSpaceDN w:val="0"/>
        <w:adjustRightInd w:val="0"/>
        <w:snapToGrid w:val="0"/>
        <w:spacing w:line="600" w:lineRule="exact"/>
        <w:jc w:val="left"/>
        <w:textAlignment w:val="baseline"/>
        <w:rPr>
          <w:rFonts w:hint="eastAsia" w:ascii="宋体" w:hAnsi="宋体" w:cs="宋体"/>
          <w:b/>
          <w:bCs/>
          <w:kern w:val="0"/>
          <w:sz w:val="24"/>
        </w:rPr>
      </w:pPr>
      <w:r>
        <w:rPr>
          <w:rFonts w:hint="eastAsia" w:ascii="宋体" w:hAnsi="宋体" w:cs="宋体"/>
          <w:b/>
          <w:bCs/>
          <w:kern w:val="0"/>
          <w:sz w:val="24"/>
        </w:rPr>
        <w:t>十五、诉讼</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双方在执行合同中所发生的一切争议，应通过协商解决。如协商不成，可向甲方所在地法院起诉。</w:t>
      </w:r>
    </w:p>
    <w:p>
      <w:pPr>
        <w:overflowPunct w:val="0"/>
        <w:autoSpaceDE w:val="0"/>
        <w:autoSpaceDN w:val="0"/>
        <w:adjustRightInd w:val="0"/>
        <w:snapToGrid w:val="0"/>
        <w:spacing w:line="600" w:lineRule="exact"/>
        <w:jc w:val="left"/>
        <w:textAlignment w:val="baseline"/>
        <w:rPr>
          <w:rFonts w:hint="eastAsia" w:ascii="宋体" w:hAnsi="宋体" w:cs="宋体"/>
          <w:b/>
          <w:bCs/>
          <w:kern w:val="0"/>
          <w:sz w:val="24"/>
        </w:rPr>
      </w:pPr>
      <w:r>
        <w:rPr>
          <w:rFonts w:hint="eastAsia" w:ascii="宋体" w:hAnsi="宋体" w:cs="宋体"/>
          <w:b/>
          <w:bCs/>
          <w:kern w:val="0"/>
          <w:sz w:val="24"/>
        </w:rPr>
        <w:t>十六、合同生效及其它</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1.招标文件、投标文件、更正公告、中标通知书、承诺函等均作为本合同组成部分，具有同等效力。</w:t>
      </w:r>
    </w:p>
    <w:p>
      <w:pPr>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2.合同经双方法定代表人或其授权代表签字并加盖单位公章后方可生效。</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3.合同执行中涉及采购资金和采购内容修改或补充的，须经财政部门审批，并签书面补充协议报政府采购监督管理部门备案，作为主合同不可分割的一部分。</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4.本合同未尽事宜，遵照《合同法》有关条文执行。</w:t>
      </w:r>
    </w:p>
    <w:p>
      <w:pPr>
        <w:widowControl/>
        <w:overflowPunct w:val="0"/>
        <w:autoSpaceDE w:val="0"/>
        <w:autoSpaceDN w:val="0"/>
        <w:adjustRightInd w:val="0"/>
        <w:snapToGrid w:val="0"/>
        <w:spacing w:line="60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5.本合同一式柒份，具有同等法律效力，甲乙双方各执贰份，余杭区财政局采购监管科、验收单位各执壹份，招标代理</w:t>
      </w:r>
      <w:r>
        <w:rPr>
          <w:rFonts w:hint="eastAsia" w:ascii="宋体" w:hAnsi="宋体" w:cs="宋体"/>
          <w:sz w:val="24"/>
        </w:rPr>
        <w:t>公司备案壹份。</w:t>
      </w:r>
      <w:r>
        <w:rPr>
          <w:rFonts w:hint="eastAsia" w:ascii="宋体" w:hAnsi="宋体" w:cs="宋体"/>
          <w:kern w:val="0"/>
          <w:sz w:val="24"/>
        </w:rPr>
        <w:t xml:space="preserve"> </w:t>
      </w:r>
    </w:p>
    <w:p>
      <w:pPr>
        <w:spacing w:line="600" w:lineRule="exact"/>
        <w:ind w:left="-420" w:leftChars="-200" w:right="-420" w:rightChars="-200" w:firstLine="480" w:firstLineChars="200"/>
        <w:jc w:val="left"/>
        <w:rPr>
          <w:rFonts w:hint="eastAsia" w:ascii="宋体" w:hAnsi="宋体" w:cs="宋体"/>
          <w:sz w:val="24"/>
        </w:rPr>
      </w:pPr>
      <w:r>
        <w:rPr>
          <w:rFonts w:hint="eastAsia" w:ascii="宋体" w:hAnsi="宋体" w:cs="宋体"/>
          <w:sz w:val="24"/>
        </w:rPr>
        <w:t xml:space="preserve">   （以下无正文）</w:t>
      </w:r>
    </w:p>
    <w:p>
      <w:pPr>
        <w:spacing w:line="312" w:lineRule="auto"/>
        <w:ind w:right="-420" w:rightChars="-200"/>
        <w:jc w:val="left"/>
        <w:rPr>
          <w:rFonts w:hint="eastAsia" w:ascii="宋体" w:hAnsi="宋体" w:cs="宋体"/>
          <w:szCs w:val="21"/>
        </w:rPr>
      </w:pPr>
      <w:r>
        <w:rPr>
          <w:rFonts w:hint="eastAsia" w:ascii="宋体" w:hAnsi="宋体" w:cs="宋体"/>
          <w:sz w:val="24"/>
        </w:rPr>
        <w:t xml:space="preserve">甲方（盖章）：                     </w:t>
      </w:r>
      <w:r>
        <w:rPr>
          <w:rFonts w:hint="eastAsia" w:ascii="宋体" w:hAnsi="宋体" w:cs="宋体"/>
          <w:szCs w:val="21"/>
        </w:rPr>
        <w:t xml:space="preserve">      </w:t>
      </w:r>
      <w:r>
        <w:rPr>
          <w:rFonts w:hint="eastAsia" w:ascii="宋体" w:hAnsi="宋体" w:cs="宋体"/>
          <w:sz w:val="24"/>
        </w:rPr>
        <w:t>乙方（盖章）：</w:t>
      </w:r>
    </w:p>
    <w:p>
      <w:pPr>
        <w:spacing w:line="312" w:lineRule="auto"/>
        <w:ind w:left="-420" w:leftChars="-200" w:right="-420" w:rightChars="-200" w:firstLine="480" w:firstLineChars="200"/>
        <w:rPr>
          <w:rFonts w:hint="eastAsia" w:ascii="宋体" w:hAnsi="宋体" w:cs="宋体"/>
          <w:sz w:val="24"/>
        </w:rPr>
      </w:pPr>
      <w:r>
        <w:rPr>
          <w:rFonts w:hint="eastAsia" w:ascii="宋体" w:hAnsi="宋体" w:cs="宋体"/>
          <w:sz w:val="24"/>
        </w:rPr>
        <w:t>法定代表人：                            法定代表人：</w:t>
      </w:r>
    </w:p>
    <w:p>
      <w:pPr>
        <w:spacing w:line="312" w:lineRule="auto"/>
        <w:ind w:left="-420" w:leftChars="-200" w:right="-420" w:rightChars="-200" w:firstLine="480" w:firstLineChars="200"/>
        <w:jc w:val="left"/>
        <w:rPr>
          <w:rFonts w:hint="eastAsia" w:ascii="宋体" w:hAnsi="宋体" w:cs="宋体"/>
          <w:sz w:val="24"/>
        </w:rPr>
      </w:pPr>
      <w:r>
        <w:rPr>
          <w:rFonts w:hint="eastAsia" w:ascii="宋体" w:hAnsi="宋体" w:cs="宋体"/>
          <w:sz w:val="24"/>
        </w:rPr>
        <w:t>或授权代表（签字）：                     或授权代表（签字）：</w:t>
      </w:r>
    </w:p>
    <w:p>
      <w:pPr>
        <w:spacing w:line="312" w:lineRule="auto"/>
        <w:ind w:left="-420" w:leftChars="-200" w:right="-420" w:rightChars="-200" w:firstLine="480" w:firstLineChars="200"/>
        <w:jc w:val="left"/>
        <w:rPr>
          <w:rFonts w:hint="eastAsia" w:ascii="宋体" w:hAnsi="宋体" w:cs="宋体"/>
          <w:sz w:val="24"/>
        </w:rPr>
      </w:pPr>
      <w:r>
        <w:rPr>
          <w:rFonts w:hint="eastAsia" w:ascii="宋体" w:hAnsi="宋体" w:cs="宋体"/>
          <w:sz w:val="24"/>
        </w:rPr>
        <w:t>地址：                                     地址：</w:t>
      </w:r>
    </w:p>
    <w:p>
      <w:pPr>
        <w:spacing w:line="312" w:lineRule="auto"/>
        <w:ind w:left="-420" w:leftChars="-200" w:right="-420" w:rightChars="-200" w:firstLine="480" w:firstLineChars="200"/>
        <w:jc w:val="left"/>
        <w:rPr>
          <w:rFonts w:hint="eastAsia" w:ascii="宋体" w:hAnsi="宋体" w:cs="宋体"/>
          <w:sz w:val="24"/>
        </w:rPr>
      </w:pPr>
      <w:r>
        <w:rPr>
          <w:rFonts w:hint="eastAsia" w:ascii="宋体" w:hAnsi="宋体" w:cs="宋体"/>
          <w:sz w:val="24"/>
        </w:rPr>
        <w:t>电话：                                  电话：</w:t>
      </w:r>
    </w:p>
    <w:p>
      <w:pPr>
        <w:spacing w:line="312" w:lineRule="auto"/>
        <w:ind w:left="-420" w:leftChars="-200" w:right="-420" w:rightChars="-200" w:firstLine="480" w:firstLineChars="200"/>
        <w:jc w:val="left"/>
        <w:rPr>
          <w:rFonts w:hint="eastAsia" w:ascii="宋体" w:hAnsi="宋体" w:cs="宋体"/>
          <w:sz w:val="24"/>
        </w:rPr>
      </w:pPr>
      <w:r>
        <w:rPr>
          <w:rFonts w:hint="eastAsia" w:ascii="宋体" w:hAnsi="宋体" w:cs="宋体"/>
          <w:sz w:val="24"/>
        </w:rPr>
        <w:t>传真：                                  传真：</w:t>
      </w:r>
    </w:p>
    <w:p>
      <w:pPr>
        <w:spacing w:line="312" w:lineRule="auto"/>
        <w:ind w:left="-420" w:leftChars="-200" w:right="-420" w:rightChars="-200" w:firstLine="480" w:firstLineChars="200"/>
        <w:jc w:val="left"/>
        <w:rPr>
          <w:rFonts w:hint="eastAsia" w:ascii="宋体" w:hAnsi="宋体" w:cs="宋体"/>
          <w:sz w:val="24"/>
        </w:rPr>
      </w:pPr>
      <w:r>
        <w:rPr>
          <w:rFonts w:hint="eastAsia" w:ascii="宋体" w:hAnsi="宋体" w:cs="宋体"/>
          <w:sz w:val="24"/>
        </w:rPr>
        <w:t>开户银行：                              开户银行：</w:t>
      </w:r>
    </w:p>
    <w:p>
      <w:pPr>
        <w:spacing w:line="312" w:lineRule="auto"/>
        <w:ind w:left="-420" w:leftChars="-200" w:right="-420" w:rightChars="-200" w:firstLine="480" w:firstLineChars="200"/>
        <w:jc w:val="left"/>
        <w:rPr>
          <w:rFonts w:hint="eastAsia" w:ascii="宋体" w:hAnsi="宋体" w:cs="宋体"/>
          <w:szCs w:val="21"/>
        </w:rPr>
      </w:pPr>
      <w:r>
        <w:rPr>
          <w:rFonts w:hint="eastAsia" w:ascii="宋体" w:hAnsi="宋体" w:cs="宋体"/>
          <w:sz w:val="24"/>
        </w:rPr>
        <w:t>帐号：                                  帐号：</w:t>
      </w:r>
    </w:p>
    <w:p>
      <w:pPr>
        <w:spacing w:line="312" w:lineRule="auto"/>
        <w:ind w:right="120" w:firstLine="480" w:firstLineChars="200"/>
        <w:rPr>
          <w:rFonts w:hint="eastAsia" w:ascii="宋体" w:hAnsi="宋体" w:cs="宋体"/>
          <w:sz w:val="24"/>
        </w:rPr>
      </w:pPr>
      <w:r>
        <w:rPr>
          <w:rFonts w:hint="eastAsia" w:ascii="宋体" w:hAnsi="宋体" w:cs="宋体"/>
          <w:kern w:val="0"/>
          <w:sz w:val="24"/>
        </w:rPr>
        <w:t xml:space="preserve"> </w:t>
      </w:r>
      <w:r>
        <w:rPr>
          <w:rFonts w:hint="eastAsia" w:ascii="宋体" w:hAnsi="宋体" w:cs="宋体"/>
          <w:sz w:val="24"/>
        </w:rPr>
        <w:t xml:space="preserve">                                   签约时间： 2020年   月   日</w:t>
      </w:r>
    </w:p>
    <w:p>
      <w:pPr>
        <w:spacing w:line="312" w:lineRule="auto"/>
        <w:ind w:firstLine="480" w:firstLineChars="200"/>
        <w:jc w:val="center"/>
        <w:rPr>
          <w:rFonts w:hint="eastAsia" w:ascii="宋体" w:hAnsi="宋体" w:cs="宋体"/>
          <w:sz w:val="24"/>
        </w:rPr>
      </w:pPr>
      <w:r>
        <w:rPr>
          <w:rFonts w:hint="eastAsia" w:ascii="宋体" w:hAnsi="宋体" w:cs="宋体"/>
          <w:sz w:val="24"/>
        </w:rPr>
        <w:t xml:space="preserve">           签约地点：                      </w:t>
      </w:r>
    </w:p>
    <w:p>
      <w:pPr>
        <w:numPr>
          <w:ilvl w:val="0"/>
          <w:numId w:val="14"/>
        </w:numPr>
        <w:spacing w:line="312" w:lineRule="auto"/>
        <w:jc w:val="center"/>
        <w:rPr>
          <w:rFonts w:hint="eastAsia" w:ascii="宋体" w:hAnsi="宋体" w:cs="宋体"/>
          <w:sz w:val="24"/>
        </w:rPr>
      </w:pPr>
      <w:bookmarkStart w:id="138" w:name="_Toc326765771"/>
      <w:bookmarkStart w:id="139" w:name="_Toc328381300"/>
      <w:bookmarkStart w:id="140" w:name="_Toc349721554"/>
      <w:bookmarkStart w:id="141" w:name="_Toc350327365"/>
      <w:bookmarkStart w:id="142" w:name="_Toc339872468"/>
      <w:r>
        <w:rPr>
          <w:rFonts w:hint="eastAsia" w:ascii="宋体" w:hAnsi="宋体" w:cs="宋体"/>
          <w:sz w:val="24"/>
        </w:rPr>
        <w:t>此仅为合同书样本，中标单位需根据实际情况和采购人签订相应的合同！</w:t>
      </w:r>
      <w:bookmarkEnd w:id="138"/>
      <w:bookmarkEnd w:id="139"/>
      <w:bookmarkEnd w:id="140"/>
      <w:bookmarkEnd w:id="141"/>
      <w:bookmarkEnd w:id="142"/>
    </w:p>
    <w:p>
      <w:pPr>
        <w:spacing w:line="312" w:lineRule="auto"/>
        <w:rPr>
          <w:rFonts w:hint="eastAsia" w:ascii="宋体" w:hAnsi="宋体" w:cs="宋体"/>
          <w:sz w:val="24"/>
        </w:rPr>
      </w:pPr>
    </w:p>
    <w:p>
      <w:pPr>
        <w:spacing w:line="312" w:lineRule="auto"/>
        <w:rPr>
          <w:rFonts w:hint="eastAsia" w:ascii="宋体" w:hAnsi="宋体" w:cs="宋体"/>
          <w:sz w:val="24"/>
        </w:rPr>
      </w:pPr>
    </w:p>
    <w:p>
      <w:pPr>
        <w:spacing w:line="312" w:lineRule="auto"/>
        <w:rPr>
          <w:rFonts w:hint="eastAsia" w:ascii="宋体" w:hAnsi="宋体" w:cs="宋体"/>
          <w:sz w:val="24"/>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第五部分  应提交的有关格式范例</w:t>
      </w:r>
    </w:p>
    <w:p>
      <w:pPr>
        <w:pStyle w:val="2"/>
        <w:rPr>
          <w:rFonts w:hint="eastAsia" w:ascii="宋体" w:hAnsi="宋体" w:eastAsia="宋体" w:cs="宋体"/>
        </w:rPr>
      </w:pPr>
    </w:p>
    <w:p>
      <w:pPr>
        <w:shd w:val="clear" w:color="auto" w:fill="FFFFFF"/>
        <w:snapToGrid w:val="0"/>
        <w:spacing w:line="600" w:lineRule="exact"/>
        <w:rPr>
          <w:rFonts w:hint="eastAsia" w:ascii="宋体" w:hAnsi="宋体" w:cs="宋体"/>
          <w:b/>
          <w:color w:val="000000"/>
          <w:sz w:val="24"/>
        </w:rPr>
      </w:pPr>
      <w:r>
        <w:rPr>
          <w:rFonts w:hint="eastAsia" w:ascii="宋体" w:hAnsi="宋体" w:cs="宋体"/>
          <w:b/>
          <w:bCs/>
          <w:color w:val="000000"/>
          <w:sz w:val="24"/>
        </w:rPr>
        <w:t> </w:t>
      </w:r>
      <w:r>
        <w:rPr>
          <w:rFonts w:hint="eastAsia" w:ascii="宋体" w:hAnsi="宋体" w:cs="宋体"/>
          <w:b/>
          <w:color w:val="000000"/>
          <w:sz w:val="24"/>
        </w:rPr>
        <w:t>一、投标人提交投标文件须知：</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2、所附表格中要求回答的全部问题和/或信息都必须正面回答。</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3、本声明书的签字人应保证全部声明和问题的回答是真实的和准确的。</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4、评标委员会将应用投标人提交的资料作出自己的判断。</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5、投标人提交的材料将在一定期限内被保密保存，但不退还。</w:t>
      </w:r>
    </w:p>
    <w:p>
      <w:pPr>
        <w:snapToGrid w:val="0"/>
        <w:spacing w:line="600" w:lineRule="exact"/>
        <w:ind w:firstLine="480" w:firstLineChars="200"/>
        <w:rPr>
          <w:rFonts w:hint="eastAsia"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rPr>
          <w:rFonts w:hint="eastAsia" w:ascii="宋体" w:hAnsi="宋体" w:cs="宋体"/>
          <w:color w:val="000000"/>
          <w:sz w:val="24"/>
        </w:r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资格文件</w:t>
      </w:r>
    </w:p>
    <w:p>
      <w:pPr>
        <w:shd w:val="clear" w:color="auto" w:fill="FFFFFF"/>
        <w:snapToGrid w:val="0"/>
        <w:spacing w:line="600" w:lineRule="exact"/>
        <w:jc w:val="center"/>
        <w:rPr>
          <w:rFonts w:hint="eastAsia" w:ascii="宋体" w:hAnsi="宋体" w:cs="宋体"/>
          <w:b/>
          <w:bCs/>
          <w:color w:val="000000"/>
          <w:kern w:val="0"/>
          <w:sz w:val="24"/>
        </w:rPr>
      </w:pPr>
      <w:r>
        <w:rPr>
          <w:rFonts w:hint="eastAsia" w:ascii="宋体" w:hAnsi="宋体" w:cs="宋体"/>
          <w:b/>
          <w:bCs/>
          <w:color w:val="000000"/>
          <w:kern w:val="0"/>
          <w:sz w:val="24"/>
        </w:rPr>
        <w:t>目录</w:t>
      </w:r>
    </w:p>
    <w:p>
      <w:pPr>
        <w:shd w:val="clear" w:color="auto" w:fill="FFFFFF"/>
        <w:snapToGrid w:val="0"/>
        <w:spacing w:line="600" w:lineRule="exact"/>
        <w:rPr>
          <w:rFonts w:hint="eastAsia" w:ascii="宋体" w:hAnsi="宋体" w:cs="宋体"/>
          <w:color w:val="000000"/>
          <w:kern w:val="0"/>
          <w:sz w:val="24"/>
        </w:rPr>
      </w:pPr>
      <w:bookmarkStart w:id="143" w:name="_Hlk33176655"/>
      <w:r>
        <w:rPr>
          <w:rFonts w:hint="eastAsia" w:ascii="宋体" w:hAnsi="宋体" w:cs="宋体"/>
          <w:color w:val="000000"/>
          <w:kern w:val="0"/>
          <w:sz w:val="24"/>
        </w:rPr>
        <w:t>（1）营业执照…………………………………………………………………………（页码）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（2）最近一年度财务报表……………………………………………………………（页码）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（3）具有履行合同所必需的场地、设备和专业技术能力的承诺函………………（页码）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（4）依法缴纳税收和社会保障资金的承诺函………………………………………（页码）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（5）参加政府采购活动前3年内在经营活动中没有重大违法记录的声明函……（页码）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（6）单位负责人为同一人或者存在直接控股、管理关系的不同供应商，不得参加同一合同项下的政府采购活动承诺函……………………………………………………（页码）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（7）投标供应商没有失信记录承诺函………………………………………………（页码）</w:t>
      </w:r>
    </w:p>
    <w:bookmarkEnd w:id="143"/>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napToGrid w:val="0"/>
        <w:spacing w:line="600" w:lineRule="exact"/>
        <w:jc w:val="center"/>
        <w:rPr>
          <w:rFonts w:hint="eastAsia" w:ascii="宋体" w:hAnsi="宋体" w:cs="宋体"/>
          <w:b/>
          <w:bCs/>
          <w:color w:val="000000"/>
          <w:sz w:val="28"/>
          <w:szCs w:val="28"/>
        </w:rPr>
        <w:sectPr>
          <w:headerReference r:id="rId3" w:type="default"/>
          <w:footerReference r:id="rId4" w:type="default"/>
          <w:pgSz w:w="11906" w:h="16838"/>
          <w:pgMar w:top="993" w:right="1474" w:bottom="1134" w:left="1474" w:header="851" w:footer="641" w:gutter="0"/>
          <w:cols w:space="720" w:num="1"/>
          <w:docGrid w:type="lines" w:linePitch="315" w:charSpace="0"/>
        </w:sectPr>
      </w:pPr>
      <w:bookmarkStart w:id="144" w:name="_Toc27479"/>
      <w:bookmarkStart w:id="145" w:name="_Toc5464"/>
      <w:bookmarkStart w:id="146" w:name="_Toc6616"/>
      <w:bookmarkStart w:id="147" w:name="_Toc5698"/>
      <w:bookmarkStart w:id="148" w:name="_Toc14356"/>
      <w:bookmarkStart w:id="149" w:name="_Toc27119252"/>
      <w:bookmarkStart w:id="150" w:name="_Toc14043"/>
      <w:bookmarkStart w:id="151" w:name="_Toc21301"/>
      <w:bookmarkStart w:id="152" w:name="_Toc20581"/>
      <w:bookmarkStart w:id="153" w:name="_Toc26100"/>
      <w:bookmarkStart w:id="154" w:name="_Toc20141"/>
      <w:bookmarkStart w:id="155" w:name="_Toc33194404"/>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一、营业执照</w:t>
      </w:r>
      <w:bookmarkEnd w:id="144"/>
      <w:bookmarkEnd w:id="145"/>
      <w:bookmarkEnd w:id="146"/>
      <w:bookmarkEnd w:id="147"/>
      <w:bookmarkEnd w:id="148"/>
      <w:bookmarkEnd w:id="149"/>
      <w:bookmarkEnd w:id="150"/>
      <w:bookmarkEnd w:id="151"/>
      <w:bookmarkEnd w:id="152"/>
      <w:bookmarkEnd w:id="153"/>
      <w:bookmarkEnd w:id="154"/>
      <w:r>
        <w:rPr>
          <w:rFonts w:hint="eastAsia" w:ascii="宋体" w:hAnsi="宋体" w:cs="宋体"/>
          <w:b/>
          <w:bCs/>
          <w:color w:val="000000"/>
          <w:sz w:val="28"/>
          <w:szCs w:val="28"/>
        </w:rPr>
        <w:t>（复印件）</w:t>
      </w:r>
      <w:bookmarkEnd w:id="155"/>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二、最近一年度财务报表（复印件，新成立的公司提供相关说明）</w:t>
      </w: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bookmarkStart w:id="156" w:name="_Toc27119254"/>
      <w:bookmarkStart w:id="157" w:name="_Toc33194405"/>
      <w:r>
        <w:rPr>
          <w:rFonts w:hint="eastAsia" w:ascii="宋体" w:hAnsi="宋体" w:cs="宋体"/>
          <w:b/>
          <w:bCs/>
          <w:color w:val="000000"/>
          <w:sz w:val="28"/>
          <w:szCs w:val="28"/>
        </w:rPr>
        <w:t>三、具有履行合同所必需的场地、设备和专业技术能力的承诺函</w:t>
      </w:r>
      <w:bookmarkEnd w:id="156"/>
      <w:bookmarkEnd w:id="157"/>
    </w:p>
    <w:p>
      <w:pPr>
        <w:snapToGrid w:val="0"/>
        <w:spacing w:line="600" w:lineRule="exact"/>
        <w:jc w:val="center"/>
        <w:rPr>
          <w:rFonts w:hint="eastAsia" w:ascii="宋体" w:hAnsi="宋体" w:cs="宋体"/>
          <w:color w:val="000000"/>
          <w:sz w:val="24"/>
        </w:rPr>
      </w:pPr>
    </w:p>
    <w:p>
      <w:pPr>
        <w:snapToGrid w:val="0"/>
        <w:spacing w:line="600" w:lineRule="exact"/>
        <w:rPr>
          <w:rFonts w:hint="eastAsia" w:ascii="宋体" w:hAnsi="宋体" w:cs="宋体"/>
          <w:color w:val="000000"/>
          <w:sz w:val="24"/>
        </w:rPr>
      </w:pP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 xml:space="preserve"> 杭州余杭经济技术开发区管理委员会、杭州</w:t>
      </w:r>
      <w:r>
        <w:rPr>
          <w:rFonts w:hint="eastAsia" w:ascii="宋体" w:hAnsi="宋体" w:cs="宋体"/>
          <w:color w:val="000000"/>
          <w:sz w:val="24"/>
          <w:lang w:eastAsia="zh-CN"/>
        </w:rPr>
        <w:t>政采</w:t>
      </w:r>
      <w:r>
        <w:rPr>
          <w:rFonts w:hint="eastAsia" w:ascii="宋体" w:hAnsi="宋体" w:cs="宋体"/>
          <w:color w:val="000000"/>
          <w:sz w:val="24"/>
        </w:rPr>
        <w:t xml:space="preserve">工程咨询代理有限公司 </w:t>
      </w:r>
      <w:r>
        <w:rPr>
          <w:rFonts w:hint="eastAsia" w:ascii="宋体" w:hAnsi="宋体" w:cs="宋体"/>
          <w:color w:val="000000"/>
          <w:kern w:val="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承诺具有履行合同所必需的场地、设备和专业技术能力。如有虚假，采购人可取消我方任何资格（投标/中标/签订合同），我方对此无任何异议。</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p>
    <w:p>
      <w:pPr>
        <w:snapToGrid w:val="0"/>
        <w:spacing w:line="600" w:lineRule="exact"/>
        <w:jc w:val="center"/>
        <w:rPr>
          <w:rFonts w:hint="eastAsia" w:ascii="宋体" w:hAnsi="宋体" w:cs="宋体"/>
          <w:b/>
          <w:bCs/>
          <w:color w:val="000000"/>
          <w:sz w:val="28"/>
          <w:szCs w:val="28"/>
        </w:rPr>
        <w:sectPr>
          <w:pgSz w:w="11906" w:h="16838"/>
          <w:pgMar w:top="993" w:right="1474" w:bottom="1134" w:left="1474" w:header="851" w:footer="641" w:gutter="0"/>
          <w:cols w:space="720" w:num="1"/>
          <w:docGrid w:type="lines" w:linePitch="315" w:charSpace="0"/>
        </w:sect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四、依法缴纳税收和社会保障资金的承诺函</w:t>
      </w:r>
    </w:p>
    <w:p>
      <w:pPr>
        <w:spacing w:line="600" w:lineRule="exact"/>
        <w:rPr>
          <w:rFonts w:hint="eastAsia" w:ascii="宋体" w:hAnsi="宋体" w:cs="宋体"/>
          <w:b/>
          <w:color w:val="000000"/>
          <w:kern w:val="0"/>
          <w:sz w:val="24"/>
          <w:u w:val="single"/>
        </w:rPr>
      </w:pP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 xml:space="preserve"> 杭州余杭经济技术开发区管理委员会、杭州</w:t>
      </w:r>
      <w:r>
        <w:rPr>
          <w:rFonts w:hint="eastAsia" w:ascii="宋体" w:hAnsi="宋体" w:cs="宋体"/>
          <w:color w:val="000000"/>
          <w:sz w:val="24"/>
          <w:lang w:eastAsia="zh-CN"/>
        </w:rPr>
        <w:t>政采</w:t>
      </w:r>
      <w:r>
        <w:rPr>
          <w:rFonts w:hint="eastAsia" w:ascii="宋体" w:hAnsi="宋体" w:cs="宋体"/>
          <w:color w:val="000000"/>
          <w:sz w:val="24"/>
        </w:rPr>
        <w:t xml:space="preserve">工程咨询代理有限公司 </w:t>
      </w:r>
      <w:r>
        <w:rPr>
          <w:rFonts w:hint="eastAsia" w:ascii="宋体" w:hAnsi="宋体" w:cs="宋体"/>
          <w:color w:val="000000"/>
          <w:kern w:val="0"/>
          <w:sz w:val="24"/>
        </w:rPr>
        <w:t>：</w:t>
      </w:r>
    </w:p>
    <w:p>
      <w:pPr>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我公司郑重声明，我公司严格依法缴纳税收和社会保障资金，本文件中所提供的相关材料均真实有效，不存在虚假、造假行为。如有违反，愿承担一切责任。</w:t>
      </w:r>
    </w:p>
    <w:p>
      <w:pPr>
        <w:spacing w:line="600" w:lineRule="exact"/>
        <w:ind w:firstLine="480" w:firstLineChars="200"/>
        <w:rPr>
          <w:rFonts w:hint="eastAsia" w:ascii="宋体" w:hAnsi="宋体" w:cs="宋体"/>
          <w:color w:val="000000"/>
          <w:kern w:val="0"/>
          <w:sz w:val="24"/>
        </w:rPr>
      </w:pPr>
    </w:p>
    <w:p>
      <w:pPr>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4"/>
        <w:snapToGrid w:val="0"/>
        <w:spacing w:line="600" w:lineRule="exact"/>
        <w:rPr>
          <w:rFonts w:hint="eastAsia" w:ascii="宋体" w:hAnsi="宋体" w:eastAsia="宋体"/>
          <w:bCs/>
          <w:color w:val="000000"/>
          <w:kern w:val="2"/>
          <w:sz w:val="28"/>
        </w:rPr>
        <w:sectPr>
          <w:pgSz w:w="11906" w:h="16838"/>
          <w:pgMar w:top="993" w:right="1474" w:bottom="1134" w:left="1474" w:header="851" w:footer="641" w:gutter="0"/>
          <w:cols w:space="720" w:num="1"/>
          <w:docGrid w:type="lines" w:linePitch="315" w:charSpace="0"/>
        </w:sectPr>
      </w:pPr>
      <w:bookmarkStart w:id="158" w:name="_Toc33194406"/>
      <w:bookmarkStart w:id="159" w:name="_Toc13669"/>
      <w:bookmarkStart w:id="160" w:name="_Toc31784"/>
      <w:bookmarkStart w:id="161" w:name="_Toc14988"/>
      <w:bookmarkStart w:id="162" w:name="_Toc18304"/>
      <w:bookmarkStart w:id="163" w:name="_Toc11360"/>
      <w:bookmarkStart w:id="164" w:name="_Toc10630"/>
      <w:bookmarkStart w:id="165" w:name="_Toc27119255"/>
      <w:bookmarkStart w:id="166" w:name="_Toc31544"/>
      <w:bookmarkStart w:id="167" w:name="_Toc6606"/>
      <w:bookmarkStart w:id="168" w:name="_Toc14589"/>
      <w:bookmarkStart w:id="169" w:name="_Toc28957"/>
    </w:p>
    <w:p>
      <w:pPr>
        <w:pStyle w:val="4"/>
        <w:snapToGrid w:val="0"/>
        <w:spacing w:line="600" w:lineRule="exact"/>
        <w:rPr>
          <w:rFonts w:hint="eastAsia" w:ascii="宋体" w:hAnsi="宋体" w:eastAsia="宋体"/>
          <w:bCs/>
          <w:color w:val="000000"/>
          <w:kern w:val="2"/>
          <w:sz w:val="28"/>
        </w:rPr>
      </w:pPr>
      <w:bookmarkStart w:id="170" w:name="_Toc20490"/>
      <w:r>
        <w:rPr>
          <w:rFonts w:hint="eastAsia" w:ascii="宋体" w:hAnsi="宋体" w:eastAsia="宋体"/>
          <w:bCs/>
          <w:color w:val="000000"/>
          <w:kern w:val="2"/>
          <w:sz w:val="28"/>
        </w:rPr>
        <w:t>五、参加政府采购活动前3年内在经营活动中没有重大违法记录的声明函</w:t>
      </w:r>
      <w:bookmarkEnd w:id="158"/>
      <w:bookmarkEnd w:id="159"/>
      <w:bookmarkEnd w:id="160"/>
      <w:bookmarkEnd w:id="161"/>
      <w:bookmarkEnd w:id="162"/>
      <w:bookmarkEnd w:id="163"/>
      <w:bookmarkEnd w:id="164"/>
      <w:bookmarkEnd w:id="165"/>
      <w:bookmarkEnd w:id="166"/>
      <w:bookmarkEnd w:id="167"/>
      <w:bookmarkEnd w:id="168"/>
      <w:bookmarkEnd w:id="169"/>
      <w:bookmarkEnd w:id="170"/>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 xml:space="preserve"> 杭州余杭经济技术开发区管理委员会、杭州</w:t>
      </w:r>
      <w:r>
        <w:rPr>
          <w:rFonts w:hint="eastAsia" w:ascii="宋体" w:hAnsi="宋体" w:cs="宋体"/>
          <w:color w:val="000000"/>
          <w:sz w:val="24"/>
          <w:lang w:eastAsia="zh-CN"/>
        </w:rPr>
        <w:t>政采</w:t>
      </w:r>
      <w:r>
        <w:rPr>
          <w:rFonts w:hint="eastAsia" w:ascii="宋体" w:hAnsi="宋体" w:cs="宋体"/>
          <w:color w:val="000000"/>
          <w:sz w:val="24"/>
        </w:rPr>
        <w:t xml:space="preserve">工程咨询代理有限公司 </w:t>
      </w:r>
      <w:r>
        <w:rPr>
          <w:rFonts w:hint="eastAsia" w:ascii="宋体" w:hAnsi="宋体" w:cs="宋体"/>
          <w:color w:val="000000"/>
          <w:kern w:val="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5"/>
        <w:numPr>
          <w:ilvl w:val="0"/>
          <w:numId w:val="0"/>
        </w:numPr>
        <w:spacing w:line="600" w:lineRule="exact"/>
        <w:ind w:left="106" w:firstLine="454"/>
        <w:rPr>
          <w:rFonts w:hint="eastAsia" w:ascii="宋体" w:hAnsi="宋体" w:eastAsia="宋体" w:cs="宋体"/>
          <w:sz w:val="24"/>
          <w:szCs w:val="24"/>
        </w:rPr>
      </w:pPr>
    </w:p>
    <w:p>
      <w:pPr>
        <w:pStyle w:val="4"/>
        <w:snapToGrid w:val="0"/>
        <w:spacing w:line="600" w:lineRule="exact"/>
        <w:rPr>
          <w:rFonts w:hint="eastAsia" w:ascii="宋体" w:hAnsi="宋体" w:eastAsia="宋体"/>
          <w:bCs/>
          <w:color w:val="000000"/>
          <w:kern w:val="2"/>
          <w:sz w:val="28"/>
        </w:rPr>
        <w:sectPr>
          <w:pgSz w:w="11906" w:h="16838"/>
          <w:pgMar w:top="993" w:right="1474" w:bottom="1134" w:left="1474" w:header="851" w:footer="641" w:gutter="0"/>
          <w:cols w:space="720" w:num="1"/>
          <w:docGrid w:type="lines" w:linePitch="315" w:charSpace="0"/>
        </w:sectPr>
      </w:pPr>
    </w:p>
    <w:p>
      <w:pPr>
        <w:pStyle w:val="4"/>
        <w:snapToGrid w:val="0"/>
        <w:spacing w:line="600" w:lineRule="exact"/>
        <w:rPr>
          <w:rFonts w:hint="eastAsia" w:ascii="宋体" w:hAnsi="宋体" w:eastAsia="宋体"/>
          <w:bCs/>
          <w:color w:val="000000"/>
          <w:kern w:val="2"/>
          <w:sz w:val="28"/>
        </w:rPr>
      </w:pPr>
      <w:bookmarkStart w:id="171" w:name="_Toc11375"/>
      <w:r>
        <w:rPr>
          <w:rFonts w:hint="eastAsia" w:ascii="宋体" w:hAnsi="宋体" w:eastAsia="宋体"/>
          <w:bCs/>
          <w:color w:val="000000"/>
          <w:kern w:val="2"/>
          <w:sz w:val="28"/>
        </w:rPr>
        <w:t>六、与参加本次项目同一合同项下政府采购活动的其他供应商不存在单位负责人为同一人或者直接控股、管理关系的承诺函</w:t>
      </w:r>
      <w:bookmarkEnd w:id="171"/>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 xml:space="preserve"> 杭州余杭经济技术开发区管理委员会、杭州</w:t>
      </w:r>
      <w:r>
        <w:rPr>
          <w:rFonts w:hint="eastAsia" w:ascii="宋体" w:hAnsi="宋体" w:cs="宋体"/>
          <w:color w:val="000000"/>
          <w:sz w:val="24"/>
          <w:lang w:eastAsia="zh-CN"/>
        </w:rPr>
        <w:t>政采</w:t>
      </w:r>
      <w:r>
        <w:rPr>
          <w:rFonts w:hint="eastAsia" w:ascii="宋体" w:hAnsi="宋体" w:cs="宋体"/>
          <w:color w:val="000000"/>
          <w:sz w:val="24"/>
        </w:rPr>
        <w:t xml:space="preserve">工程咨询代理有限公司 </w:t>
      </w:r>
      <w:r>
        <w:rPr>
          <w:rFonts w:hint="eastAsia" w:ascii="宋体" w:hAnsi="宋体" w:cs="宋体"/>
          <w:color w:val="000000"/>
          <w:kern w:val="0"/>
          <w:sz w:val="24"/>
        </w:rPr>
        <w:t>：</w:t>
      </w:r>
    </w:p>
    <w:p>
      <w:pPr>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我方郑重承诺，我方此次参加</w:t>
      </w:r>
      <w:r>
        <w:rPr>
          <w:rFonts w:hint="eastAsia" w:ascii="宋体" w:hAnsi="宋体" w:cs="宋体"/>
          <w:color w:val="000000"/>
          <w:kern w:val="0"/>
          <w:sz w:val="24"/>
          <w:lang w:eastAsia="zh-CN"/>
        </w:rPr>
        <w:t>余杭经济技术开发区医疗器械通用检测设备采购项目</w:t>
      </w:r>
      <w:r>
        <w:rPr>
          <w:rFonts w:hint="eastAsia" w:ascii="宋体" w:hAnsi="宋体" w:cs="宋体"/>
          <w:color w:val="000000"/>
          <w:kern w:val="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600" w:lineRule="exact"/>
        <w:jc w:val="center"/>
        <w:rPr>
          <w:rFonts w:hint="eastAsia" w:ascii="宋体" w:hAnsi="宋体" w:cs="宋体"/>
          <w:b/>
          <w:color w:val="000000"/>
          <w:kern w:val="36"/>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600" w:lineRule="exact"/>
        <w:ind w:firstLine="480" w:firstLineChars="200"/>
        <w:jc w:val="left"/>
        <w:rPr>
          <w:rFonts w:hint="eastAsia" w:ascii="宋体" w:hAnsi="宋体" w:cs="宋体"/>
          <w:color w:val="000000"/>
          <w:kern w:val="0"/>
          <w:sz w:val="24"/>
        </w:rPr>
      </w:pPr>
    </w:p>
    <w:p>
      <w:pPr>
        <w:widowControl/>
        <w:adjustRightInd w:val="0"/>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600" w:lineRule="exact"/>
        <w:rPr>
          <w:rFonts w:hint="eastAsia" w:ascii="宋体" w:hAnsi="宋体" w:cs="宋体"/>
          <w:color w:val="000000"/>
          <w:sz w:val="24"/>
        </w:rPr>
      </w:pPr>
    </w:p>
    <w:p>
      <w:pPr>
        <w:shd w:val="clear" w:color="auto" w:fill="FFFFFF"/>
        <w:snapToGrid w:val="0"/>
        <w:spacing w:line="600" w:lineRule="exact"/>
        <w:jc w:val="center"/>
        <w:rPr>
          <w:rFonts w:hint="eastAsia" w:ascii="宋体" w:hAnsi="宋体" w:cs="宋体"/>
          <w:color w:val="000000"/>
          <w:sz w:val="24"/>
        </w:rPr>
      </w:pPr>
    </w:p>
    <w:p>
      <w:pPr>
        <w:spacing w:line="600" w:lineRule="exact"/>
        <w:jc w:val="center"/>
        <w:rPr>
          <w:rFonts w:hint="eastAsia" w:ascii="宋体" w:hAnsi="宋体" w:cs="宋体"/>
          <w:b/>
          <w:color w:val="000000"/>
          <w:kern w:val="0"/>
          <w:sz w:val="24"/>
        </w:rPr>
        <w:sectPr>
          <w:pgSz w:w="11906" w:h="16838"/>
          <w:pgMar w:top="993" w:right="1474" w:bottom="1134" w:left="1474" w:header="851" w:footer="641" w:gutter="0"/>
          <w:cols w:space="720" w:num="1"/>
          <w:docGrid w:type="lines" w:linePitch="315" w:charSpace="0"/>
        </w:sectPr>
      </w:pPr>
    </w:p>
    <w:p>
      <w:pPr>
        <w:pStyle w:val="4"/>
        <w:snapToGrid w:val="0"/>
        <w:spacing w:line="600" w:lineRule="exact"/>
        <w:rPr>
          <w:rFonts w:hint="eastAsia" w:ascii="宋体" w:hAnsi="宋体" w:eastAsia="宋体"/>
          <w:bCs/>
          <w:color w:val="000000"/>
          <w:kern w:val="2"/>
          <w:sz w:val="28"/>
        </w:rPr>
      </w:pPr>
      <w:bookmarkStart w:id="172" w:name="_Toc4201"/>
      <w:r>
        <w:rPr>
          <w:rFonts w:hint="eastAsia" w:ascii="宋体" w:hAnsi="宋体" w:eastAsia="宋体"/>
          <w:bCs/>
          <w:color w:val="000000"/>
          <w:kern w:val="2"/>
          <w:sz w:val="28"/>
        </w:rPr>
        <w:t>七、投标供应商没有失信记录承诺函</w:t>
      </w:r>
      <w:bookmarkEnd w:id="172"/>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 xml:space="preserve"> 杭州余杭经济技术开发区管理委员会、杭州</w:t>
      </w:r>
      <w:r>
        <w:rPr>
          <w:rFonts w:hint="eastAsia" w:ascii="宋体" w:hAnsi="宋体" w:cs="宋体"/>
          <w:color w:val="000000"/>
          <w:sz w:val="24"/>
          <w:lang w:eastAsia="zh-CN"/>
        </w:rPr>
        <w:t>政采</w:t>
      </w:r>
      <w:r>
        <w:rPr>
          <w:rFonts w:hint="eastAsia" w:ascii="宋体" w:hAnsi="宋体" w:cs="宋体"/>
          <w:color w:val="000000"/>
          <w:sz w:val="24"/>
        </w:rPr>
        <w:t xml:space="preserve">工程咨询代理有限公司 </w:t>
      </w:r>
      <w:r>
        <w:rPr>
          <w:rFonts w:hint="eastAsia" w:ascii="宋体" w:hAnsi="宋体" w:cs="宋体"/>
          <w:color w:val="000000"/>
          <w:kern w:val="0"/>
          <w:sz w:val="24"/>
        </w:rPr>
        <w:t>：</w:t>
      </w:r>
    </w:p>
    <w:p>
      <w:pPr>
        <w:spacing w:line="600" w:lineRule="exact"/>
        <w:ind w:firstLine="484" w:firstLineChars="202"/>
        <w:jc w:val="left"/>
        <w:rPr>
          <w:rFonts w:hint="eastAsia" w:ascii="宋体" w:hAnsi="宋体" w:cs="宋体"/>
          <w:color w:val="000000"/>
          <w:kern w:val="0"/>
          <w:sz w:val="24"/>
        </w:rPr>
      </w:pPr>
      <w:r>
        <w:rPr>
          <w:rFonts w:hint="eastAsia" w:ascii="宋体" w:hAnsi="宋体" w:cs="宋体"/>
          <w:color w:val="000000"/>
          <w:kern w:val="0"/>
          <w:sz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600" w:lineRule="exact"/>
        <w:rPr>
          <w:rFonts w:hint="eastAsia" w:ascii="宋体" w:hAnsi="宋体" w:cs="宋体"/>
          <w:color w:val="00000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600" w:lineRule="exact"/>
        <w:ind w:firstLine="480" w:firstLineChars="200"/>
        <w:jc w:val="left"/>
        <w:rPr>
          <w:rFonts w:hint="eastAsia" w:ascii="宋体" w:hAnsi="宋体" w:cs="宋体"/>
          <w:color w:val="000000"/>
          <w:kern w:val="0"/>
          <w:sz w:val="24"/>
        </w:rPr>
      </w:pPr>
    </w:p>
    <w:p>
      <w:pPr>
        <w:widowControl/>
        <w:adjustRightInd w:val="0"/>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5"/>
        <w:numPr>
          <w:ilvl w:val="0"/>
          <w:numId w:val="0"/>
        </w:numPr>
        <w:spacing w:line="600" w:lineRule="exact"/>
        <w:rPr>
          <w:rFonts w:hint="eastAsia" w:ascii="宋体" w:hAnsi="宋体" w:eastAsia="宋体" w:cs="宋体"/>
          <w:sz w:val="24"/>
          <w:szCs w:val="24"/>
        </w:rPr>
      </w:pPr>
    </w:p>
    <w:p>
      <w:pPr>
        <w:pStyle w:val="5"/>
        <w:numPr>
          <w:ilvl w:val="0"/>
          <w:numId w:val="0"/>
        </w:numPr>
        <w:spacing w:line="600" w:lineRule="exact"/>
        <w:ind w:left="560"/>
        <w:rPr>
          <w:rFonts w:hint="eastAsia" w:ascii="宋体" w:hAnsi="宋体" w:eastAsia="宋体" w:cs="宋体"/>
          <w:sz w:val="24"/>
          <w:szCs w:val="24"/>
        </w:rPr>
      </w:pPr>
    </w:p>
    <w:p>
      <w:pPr>
        <w:shd w:val="clear" w:color="auto" w:fill="FFFFFF"/>
        <w:snapToGrid w:val="0"/>
        <w:spacing w:line="600" w:lineRule="exact"/>
        <w:jc w:val="center"/>
        <w:rPr>
          <w:rFonts w:hint="eastAsia" w:ascii="宋体" w:hAnsi="宋体" w:cs="宋体"/>
          <w:b/>
          <w:color w:val="000000"/>
          <w:kern w:val="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shd w:val="clear" w:color="auto" w:fill="FFFFFF"/>
        <w:snapToGrid w:val="0"/>
        <w:spacing w:line="600" w:lineRule="exact"/>
        <w:ind w:firstLine="480" w:firstLineChars="200"/>
        <w:rPr>
          <w:rFonts w:hint="eastAsia" w:ascii="宋体" w:hAnsi="宋体" w:cs="宋体"/>
          <w:color w:val="000000"/>
          <w:sz w:val="24"/>
        </w:rPr>
      </w:pPr>
    </w:p>
    <w:p>
      <w:pPr>
        <w:pStyle w:val="4"/>
        <w:snapToGrid w:val="0"/>
        <w:spacing w:line="600" w:lineRule="exact"/>
        <w:rPr>
          <w:rFonts w:hint="eastAsia" w:ascii="宋体" w:hAnsi="宋体" w:eastAsia="宋体"/>
          <w:bCs/>
          <w:color w:val="000000"/>
          <w:kern w:val="2"/>
          <w:sz w:val="28"/>
        </w:rPr>
        <w:sectPr>
          <w:pgSz w:w="11906" w:h="16838"/>
          <w:pgMar w:top="993" w:right="1474" w:bottom="1134" w:left="1474" w:header="851" w:footer="641" w:gutter="0"/>
          <w:cols w:space="720" w:num="1"/>
          <w:docGrid w:type="lines" w:linePitch="315" w:charSpace="0"/>
        </w:sectPr>
      </w:pPr>
      <w:bookmarkStart w:id="173" w:name="_Toc354996707"/>
      <w:bookmarkStart w:id="174" w:name="_Toc233618989"/>
    </w:p>
    <w:p>
      <w:pPr>
        <w:pStyle w:val="4"/>
        <w:snapToGrid w:val="0"/>
        <w:spacing w:line="600" w:lineRule="exact"/>
        <w:rPr>
          <w:rFonts w:hint="eastAsia" w:ascii="宋体" w:hAnsi="宋体" w:eastAsia="宋体"/>
          <w:bCs/>
          <w:color w:val="000000"/>
          <w:kern w:val="2"/>
          <w:sz w:val="28"/>
        </w:rPr>
      </w:pPr>
      <w:bookmarkStart w:id="175" w:name="_Toc29164"/>
      <w:r>
        <w:rPr>
          <w:rFonts w:hint="eastAsia" w:ascii="宋体" w:hAnsi="宋体" w:eastAsia="宋体"/>
          <w:bCs/>
          <w:color w:val="000000"/>
          <w:kern w:val="2"/>
          <w:sz w:val="28"/>
        </w:rPr>
        <w:t>报价文件</w:t>
      </w:r>
      <w:bookmarkEnd w:id="173"/>
      <w:bookmarkEnd w:id="175"/>
    </w:p>
    <w:p>
      <w:pPr>
        <w:shd w:val="clear" w:color="auto" w:fill="FFFFFF"/>
        <w:snapToGrid w:val="0"/>
        <w:spacing w:line="600" w:lineRule="exact"/>
        <w:jc w:val="center"/>
        <w:rPr>
          <w:rFonts w:hint="eastAsia" w:ascii="宋体" w:hAnsi="宋体" w:cs="宋体"/>
          <w:b/>
          <w:bCs/>
          <w:color w:val="000000"/>
          <w:kern w:val="0"/>
          <w:sz w:val="24"/>
        </w:rPr>
      </w:pPr>
      <w:r>
        <w:rPr>
          <w:rFonts w:hint="eastAsia" w:ascii="宋体" w:hAnsi="宋体" w:cs="宋体"/>
          <w:b/>
          <w:bCs/>
          <w:color w:val="000000"/>
          <w:kern w:val="0"/>
          <w:sz w:val="24"/>
        </w:rPr>
        <w:t> </w:t>
      </w:r>
    </w:p>
    <w:p>
      <w:pPr>
        <w:shd w:val="clear" w:color="auto" w:fill="FFFFFF"/>
        <w:snapToGrid w:val="0"/>
        <w:spacing w:line="600" w:lineRule="exact"/>
        <w:jc w:val="center"/>
        <w:rPr>
          <w:rFonts w:hint="eastAsia" w:ascii="宋体" w:hAnsi="宋体" w:cs="宋体"/>
          <w:b/>
          <w:bCs/>
          <w:color w:val="000000"/>
          <w:kern w:val="0"/>
          <w:sz w:val="24"/>
        </w:rPr>
      </w:pPr>
      <w:r>
        <w:rPr>
          <w:rFonts w:hint="eastAsia" w:ascii="宋体" w:hAnsi="宋体" w:cs="宋体"/>
          <w:b/>
          <w:bCs/>
          <w:color w:val="000000"/>
          <w:kern w:val="0"/>
          <w:sz w:val="24"/>
        </w:rPr>
        <w:t>目录</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（1）投标响应函…………………………………………………………………（页码）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（2）开标一览表…………………………………………………………………（页码）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b/>
          <w:bCs/>
          <w:color w:val="000000"/>
          <w:sz w:val="24"/>
        </w:rPr>
        <w:t>（</w:t>
      </w:r>
      <w:r>
        <w:rPr>
          <w:rFonts w:hint="eastAsia" w:ascii="宋体" w:hAnsi="宋体" w:cs="宋体"/>
          <w:color w:val="000000"/>
          <w:kern w:val="0"/>
          <w:sz w:val="24"/>
        </w:rPr>
        <w:t>3）报价明细清单………………………………………………………………（页码）</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rPr>
        <w:t>（4）中小企业声明函、监狱企业、残疾人福利性单位及其他相关的充分的证明材料…………………………………………………………………………………（页码）</w:t>
      </w:r>
    </w:p>
    <w:p>
      <w:pPr>
        <w:pStyle w:val="4"/>
        <w:snapToGrid w:val="0"/>
        <w:spacing w:line="600" w:lineRule="exact"/>
        <w:rPr>
          <w:rFonts w:hint="eastAsia" w:ascii="宋体" w:hAnsi="宋体" w:eastAsia="宋体"/>
          <w:bCs/>
          <w:color w:val="000000"/>
          <w:kern w:val="2"/>
          <w:sz w:val="28"/>
        </w:rPr>
        <w:sectPr>
          <w:pgSz w:w="11906" w:h="16838"/>
          <w:pgMar w:top="993" w:right="1474" w:bottom="1134" w:left="1474" w:header="851" w:footer="641" w:gutter="0"/>
          <w:cols w:space="720" w:num="1"/>
          <w:docGrid w:type="lines" w:linePitch="315" w:charSpace="0"/>
        </w:sectPr>
      </w:pPr>
      <w:bookmarkStart w:id="176" w:name="_Toc233618990"/>
    </w:p>
    <w:p>
      <w:pPr>
        <w:pStyle w:val="4"/>
        <w:snapToGrid w:val="0"/>
        <w:spacing w:line="600" w:lineRule="exact"/>
        <w:rPr>
          <w:rFonts w:hint="eastAsia" w:ascii="宋体" w:hAnsi="宋体" w:eastAsia="宋体"/>
          <w:bCs/>
          <w:color w:val="000000"/>
          <w:kern w:val="2"/>
          <w:sz w:val="28"/>
        </w:rPr>
      </w:pPr>
      <w:bookmarkStart w:id="177" w:name="_Toc31288"/>
      <w:r>
        <w:rPr>
          <w:rFonts w:hint="eastAsia" w:ascii="宋体" w:hAnsi="宋体" w:eastAsia="宋体"/>
          <w:bCs/>
          <w:color w:val="000000"/>
          <w:kern w:val="2"/>
          <w:sz w:val="28"/>
        </w:rPr>
        <w:t>一、投标响应函</w:t>
      </w:r>
      <w:bookmarkEnd w:id="176"/>
      <w:bookmarkEnd w:id="177"/>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 xml:space="preserve"> 杭州余杭经济技术开发区管理委员会 ：</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sz w:val="24"/>
        </w:rPr>
        <w:t>(投标人全称)授权</w:t>
      </w:r>
      <w:r>
        <w:rPr>
          <w:rFonts w:hint="eastAsia" w:ascii="宋体" w:hAnsi="宋体" w:cs="宋体"/>
          <w:color w:val="000000"/>
          <w:kern w:val="0"/>
          <w:sz w:val="24"/>
          <w:u w:val="single"/>
          <w:lang w:val="zh-CN"/>
        </w:rPr>
        <w:t xml:space="preserve">          </w:t>
      </w:r>
      <w:r>
        <w:rPr>
          <w:rFonts w:hint="eastAsia" w:ascii="宋体" w:hAnsi="宋体" w:cs="宋体"/>
          <w:color w:val="000000"/>
          <w:sz w:val="24"/>
        </w:rPr>
        <w:t>(全权代表姓名)</w:t>
      </w:r>
      <w:r>
        <w:rPr>
          <w:rFonts w:hint="eastAsia" w:ascii="宋体" w:hAnsi="宋体" w:cs="宋体"/>
          <w:color w:val="000000"/>
          <w:kern w:val="0"/>
          <w:sz w:val="24"/>
          <w:u w:val="single"/>
          <w:lang w:val="zh-CN"/>
        </w:rPr>
        <w:t xml:space="preserve">              </w:t>
      </w:r>
      <w:r>
        <w:rPr>
          <w:rFonts w:hint="eastAsia" w:ascii="宋体" w:hAnsi="宋体" w:cs="宋体"/>
          <w:color w:val="000000"/>
          <w:sz w:val="24"/>
        </w:rPr>
        <w:t>(职务、职称)为全权代表，参加贵方组织的</w:t>
      </w:r>
      <w:r>
        <w:rPr>
          <w:rFonts w:hint="eastAsia" w:ascii="宋体" w:hAnsi="宋体" w:cs="宋体"/>
          <w:color w:val="000000"/>
          <w:sz w:val="24"/>
          <w:u w:val="single"/>
          <w:lang w:eastAsia="zh-CN"/>
        </w:rPr>
        <w:t>余杭经济技术开发区医疗器械通用检测设备采购项目</w:t>
      </w:r>
      <w:r>
        <w:rPr>
          <w:rFonts w:hint="eastAsia" w:ascii="宋体" w:hAnsi="宋体" w:cs="宋体"/>
          <w:color w:val="000000"/>
          <w:sz w:val="24"/>
        </w:rPr>
        <w:t xml:space="preserve">(招标编号：        </w:t>
      </w:r>
      <w:r>
        <w:rPr>
          <w:rFonts w:hint="eastAsia" w:ascii="宋体" w:hAnsi="宋体" w:cs="宋体"/>
          <w:color w:val="000000"/>
          <w:kern w:val="0"/>
          <w:sz w:val="24"/>
          <w:lang w:val="zh-CN"/>
        </w:rPr>
        <w:t>)</w:t>
      </w:r>
      <w:r>
        <w:rPr>
          <w:rFonts w:hint="eastAsia" w:ascii="宋体" w:hAnsi="宋体" w:cs="宋体"/>
          <w:color w:val="000000"/>
          <w:sz w:val="24"/>
        </w:rPr>
        <w:t>招标的有关活动，并对此项目进行投标。为此：</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1、我方同意在投标人</w:t>
      </w:r>
      <w:r>
        <w:rPr>
          <w:rFonts w:hint="eastAsia" w:ascii="宋体" w:hAnsi="宋体" w:cs="宋体"/>
          <w:color w:val="000000"/>
          <w:kern w:val="44"/>
          <w:sz w:val="24"/>
        </w:rPr>
        <w:t>编制和提交投标文件须知</w:t>
      </w:r>
      <w:r>
        <w:rPr>
          <w:rFonts w:hint="eastAsia" w:ascii="宋体" w:hAnsi="宋体" w:cs="宋体"/>
          <w:color w:val="000000"/>
          <w:sz w:val="24"/>
        </w:rPr>
        <w:t>规定的开标日期起遵守本投标书中的承诺且在投标有效期满之前均具有约束力。</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2、我方承诺已经具备《中华人民共和国政府采购法》中规定的参加政府采购活动的供应商应当具备的条件：</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(2)遵守国家法律、行政法规，具有良好的信誉和商业道德；</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(3)具有履行合同的能力和良好的履行合同记录；</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(4)良好的资金、财务状况；</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(5)提供的产品和服务符合中国政府规定的相应标准和环保标准；</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(6)没有违反政府采购法规、政策的记录；</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(7)没有发生重大经济纠纷和走私犯罪记录。</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3、提供</w:t>
      </w:r>
      <w:r>
        <w:rPr>
          <w:rFonts w:hint="eastAsia" w:ascii="宋体" w:hAnsi="宋体" w:cs="宋体"/>
          <w:color w:val="000000"/>
          <w:kern w:val="44"/>
          <w:sz w:val="24"/>
        </w:rPr>
        <w:t>编制和提交投标文件须知</w:t>
      </w:r>
      <w:r>
        <w:rPr>
          <w:rFonts w:hint="eastAsia" w:ascii="宋体" w:hAnsi="宋体" w:cs="宋体"/>
          <w:color w:val="000000"/>
          <w:sz w:val="24"/>
        </w:rPr>
        <w:t>规定的全部投标文件，包括资格文件、报价文件、商务技术文件。具体内容为：</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(1)资格文件</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(2)报价文件；</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商务</w:t>
      </w:r>
      <w:r>
        <w:rPr>
          <w:rFonts w:hint="eastAsia" w:ascii="宋体" w:hAnsi="宋体" w:cs="宋体"/>
          <w:color w:val="000000"/>
          <w:kern w:val="0"/>
          <w:sz w:val="24"/>
          <w:lang w:val="zh-CN"/>
        </w:rPr>
        <w:t>技术文件</w:t>
      </w:r>
      <w:r>
        <w:rPr>
          <w:rFonts w:hint="eastAsia" w:ascii="宋体" w:hAnsi="宋体" w:cs="宋体"/>
          <w:color w:val="000000"/>
          <w:sz w:val="24"/>
        </w:rPr>
        <w:t>；</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44"/>
          <w:sz w:val="24"/>
        </w:rPr>
        <w:t>编制和提交投标文件须知</w:t>
      </w:r>
      <w:r>
        <w:rPr>
          <w:rFonts w:hint="eastAsia" w:ascii="宋体" w:hAnsi="宋体" w:cs="宋体"/>
          <w:color w:val="000000"/>
          <w:sz w:val="24"/>
        </w:rPr>
        <w:t>要求投标人提交的全部文件；</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(5)按招标文件要求提供和交付的货物和服务的投标报价详见开标一览表；</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(6)保证忠实地执行双方所签订的合同，并承担合同规定的责任和义务；</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(7)保证遵守招标文件中的其他有关规定。</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4、投标有效期内不撤销投标文件；强行撤销的，承诺按本项目预算金额的2%赔偿对招标代理机构造成的损失。</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5、我方完全理解贵方不一定要接受最低价的投标。</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7、如中标，按招标文件规定的招标代理服务费标准，承诺在签订合同前向招标代理机构支付招标代理服务费。</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8、我方愿意向贵方提供任何与该项投标有关的数据、情况和服务资料。若贵方需要，我方愿意提供我方作出的一切承诺的证明材料。</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(1)提供虚假材料谋取中标、成交的；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(2)采取不正当手段诋毁、排挤其他供应商的；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(3)与采购人、其它供应商或者招标代理机构恶意串通的；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(4)向采购人、招标代理机构行贿或者提供其他不正当利益的；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(5)在招标采购过程中与采购人进行协商谈判的；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(6)拒绝有关部门监督检查或提供虚假情况的。</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供应商有前款第(1)至(5)项情形之一的，中标、成交无效。</w:t>
      </w:r>
    </w:p>
    <w:p>
      <w:pPr>
        <w:shd w:val="clear" w:color="auto" w:fill="FFFFFF"/>
        <w:snapToGrid w:val="0"/>
        <w:spacing w:line="600" w:lineRule="exact"/>
        <w:rPr>
          <w:rFonts w:hint="eastAsia" w:ascii="宋体" w:hAnsi="宋体" w:cs="宋体"/>
          <w:color w:val="000000"/>
          <w:kern w:val="0"/>
          <w:sz w:val="24"/>
          <w:lang w:val="zh-CN"/>
        </w:rPr>
      </w:pPr>
    </w:p>
    <w:p>
      <w:pPr>
        <w:shd w:val="clear" w:color="auto" w:fill="FFFFFF"/>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p>
    <w:p>
      <w:pPr>
        <w:shd w:val="clear" w:color="auto" w:fill="FFFFFF"/>
        <w:snapToGrid w:val="0"/>
        <w:spacing w:line="600" w:lineRule="exact"/>
        <w:ind w:firstLine="480" w:firstLineChars="200"/>
        <w:rPr>
          <w:rFonts w:hint="eastAsia" w:ascii="宋体" w:hAnsi="宋体" w:cs="宋体"/>
          <w:color w:val="000000"/>
          <w:kern w:val="0"/>
          <w:sz w:val="24"/>
          <w:u w:val="single"/>
          <w:lang w:val="zh-CN"/>
        </w:rPr>
      </w:pPr>
      <w:r>
        <w:rPr>
          <w:rFonts w:hint="eastAsia" w:ascii="宋体" w:hAnsi="宋体" w:cs="宋体"/>
          <w:color w:val="000000"/>
          <w:kern w:val="0"/>
          <w:sz w:val="24"/>
          <w:lang w:val="zh-CN"/>
        </w:rPr>
        <w:t>投标人盖 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 xml:space="preserve">联系电话：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电子邮件：  </w:t>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联系地址：</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邮政编码：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传真号码：</w:t>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480" w:firstLineChars="200"/>
        <w:rPr>
          <w:rFonts w:hint="eastAsia" w:ascii="宋体" w:hAnsi="宋体" w:cs="宋体"/>
          <w:color w:val="000000"/>
          <w:kern w:val="0"/>
          <w:sz w:val="24"/>
          <w:u w:val="single"/>
        </w:rPr>
      </w:pPr>
      <w:r>
        <w:rPr>
          <w:rFonts w:hint="eastAsia" w:ascii="宋体" w:hAnsi="宋体" w:cs="宋体"/>
          <w:color w:val="000000"/>
          <w:kern w:val="0"/>
          <w:sz w:val="24"/>
          <w:lang w:val="zh-CN"/>
        </w:rPr>
        <w:t>日</w:t>
      </w:r>
      <w:r>
        <w:rPr>
          <w:rFonts w:hint="eastAsia" w:ascii="宋体" w:hAnsi="宋体" w:cs="宋体"/>
          <w:color w:val="000000"/>
          <w:kern w:val="0"/>
          <w:sz w:val="24"/>
        </w:rPr>
        <w:t xml:space="preserve">    </w:t>
      </w:r>
      <w:r>
        <w:rPr>
          <w:rFonts w:hint="eastAsia" w:ascii="宋体" w:hAnsi="宋体" w:cs="宋体"/>
          <w:color w:val="000000"/>
          <w:kern w:val="0"/>
          <w:sz w:val="24"/>
          <w:lang w:val="zh-CN"/>
        </w:rPr>
        <w:t>期</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年</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rPr>
        <w:tab/>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w:t>
      </w:r>
    </w:p>
    <w:p>
      <w:pPr>
        <w:shd w:val="clear" w:color="auto" w:fill="FFFFFF"/>
        <w:snapToGrid w:val="0"/>
        <w:spacing w:line="600" w:lineRule="exact"/>
        <w:rPr>
          <w:rFonts w:hint="eastAsia" w:ascii="宋体" w:hAnsi="宋体" w:cs="宋体"/>
          <w:b/>
          <w:bCs/>
          <w:color w:val="000000"/>
          <w:kern w:val="0"/>
          <w:sz w:val="24"/>
          <w:lang w:val="zh-CN"/>
        </w:rPr>
      </w:pPr>
      <w:r>
        <w:rPr>
          <w:rFonts w:hint="eastAsia" w:ascii="宋体" w:hAnsi="宋体" w:cs="宋体"/>
          <w:b/>
          <w:bCs/>
          <w:color w:val="000000"/>
          <w:kern w:val="0"/>
          <w:sz w:val="24"/>
          <w:lang w:val="zh-CN"/>
        </w:rPr>
        <w:t>注：未按照本投标响应函要求填报的将被视为非实质性响应，从而可能导致该投标文件被拒绝。</w:t>
      </w:r>
    </w:p>
    <w:p>
      <w:pPr>
        <w:pageBreakBefore/>
        <w:shd w:val="clear" w:color="auto" w:fill="FFFFFF"/>
        <w:snapToGrid w:val="0"/>
        <w:spacing w:line="600" w:lineRule="exact"/>
        <w:ind w:firstLine="562" w:firstLineChars="200"/>
        <w:jc w:val="center"/>
        <w:outlineLvl w:val="2"/>
        <w:rPr>
          <w:rFonts w:hint="eastAsia" w:ascii="宋体" w:hAnsi="宋体" w:cs="宋体"/>
          <w:b/>
          <w:bCs/>
          <w:color w:val="000000"/>
          <w:sz w:val="24"/>
        </w:rPr>
      </w:pPr>
      <w:bookmarkStart w:id="178" w:name="_Toc233618991"/>
      <w:bookmarkStart w:id="179" w:name="_Toc354859475"/>
      <w:bookmarkStart w:id="180" w:name="_Toc354859632"/>
      <w:bookmarkStart w:id="181" w:name="_Toc354859551"/>
      <w:r>
        <w:rPr>
          <w:rFonts w:hint="eastAsia" w:ascii="宋体" w:hAnsi="宋体" w:cs="宋体"/>
          <w:b/>
          <w:bCs/>
          <w:color w:val="000000"/>
          <w:sz w:val="28"/>
          <w:szCs w:val="28"/>
        </w:rPr>
        <w:t>二、开标一览表</w:t>
      </w:r>
      <w:bookmarkEnd w:id="178"/>
      <w:bookmarkEnd w:id="179"/>
      <w:bookmarkEnd w:id="180"/>
      <w:bookmarkEnd w:id="181"/>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 xml:space="preserve"> 杭州余杭经济技术开发区管理委员会：</w:t>
      </w:r>
    </w:p>
    <w:p>
      <w:pPr>
        <w:shd w:val="clear" w:color="auto" w:fill="FFFFFF"/>
        <w:snapToGrid w:val="0"/>
        <w:spacing w:line="6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按你方招标文件要求，我们，本投标文件签字方，谨此向你方发出要约如下：如你方接受本投标文件，我方承诺按照如下开标一览表的价格完成编号为</w:t>
      </w:r>
      <w:r>
        <w:rPr>
          <w:rFonts w:hint="eastAsia" w:ascii="宋体" w:hAnsi="宋体" w:cs="宋体"/>
          <w:color w:val="000000"/>
          <w:sz w:val="24"/>
          <w:u w:val="single"/>
        </w:rPr>
        <w:t xml:space="preserve">     </w:t>
      </w:r>
      <w:r>
        <w:rPr>
          <w:rFonts w:hint="eastAsia" w:ascii="宋体" w:hAnsi="宋体" w:cs="宋体"/>
          <w:color w:val="000000"/>
          <w:kern w:val="0"/>
          <w:sz w:val="24"/>
          <w:lang w:val="zh-CN"/>
        </w:rPr>
        <w:t>的招标文件[项目名称：</w:t>
      </w:r>
      <w:r>
        <w:rPr>
          <w:rFonts w:hint="eastAsia" w:ascii="宋体" w:hAnsi="宋体" w:cs="宋体"/>
          <w:color w:val="000000"/>
          <w:sz w:val="24"/>
          <w:u w:val="single"/>
        </w:rPr>
        <w:t xml:space="preserve">                         </w:t>
      </w:r>
      <w:r>
        <w:rPr>
          <w:rFonts w:hint="eastAsia" w:ascii="宋体" w:hAnsi="宋体" w:cs="宋体"/>
          <w:color w:val="000000"/>
          <w:sz w:val="24"/>
        </w:rPr>
        <w:t>采购项目</w:t>
      </w:r>
      <w:r>
        <w:rPr>
          <w:rFonts w:hint="eastAsia" w:ascii="宋体" w:hAnsi="宋体" w:cs="宋体"/>
          <w:color w:val="000000"/>
          <w:kern w:val="0"/>
          <w:sz w:val="24"/>
          <w:lang w:val="zh-CN"/>
        </w:rPr>
        <w:t>]实施。</w:t>
      </w:r>
    </w:p>
    <w:p>
      <w:pPr>
        <w:shd w:val="clear" w:color="auto" w:fill="FFFFFF"/>
        <w:snapToGrid w:val="0"/>
        <w:spacing w:line="600" w:lineRule="exact"/>
        <w:ind w:firstLine="3990" w:firstLineChars="1656"/>
        <w:rPr>
          <w:rFonts w:hint="eastAsia" w:ascii="宋体" w:hAnsi="宋体" w:cs="宋体"/>
          <w:b/>
          <w:bCs/>
          <w:color w:val="000000"/>
          <w:kern w:val="0"/>
          <w:sz w:val="24"/>
          <w:lang w:val="zh-CN"/>
        </w:rPr>
      </w:pPr>
      <w:r>
        <w:rPr>
          <w:rFonts w:hint="eastAsia" w:ascii="宋体" w:hAnsi="宋体" w:cs="宋体"/>
          <w:b/>
          <w:bCs/>
          <w:color w:val="000000"/>
          <w:kern w:val="0"/>
          <w:sz w:val="24"/>
          <w:lang w:val="zh-CN"/>
        </w:rPr>
        <w:t>开标一览表</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000000"/>
                <w:sz w:val="24"/>
                <w:lang w:val="en-GB"/>
              </w:rPr>
            </w:pPr>
            <w:r>
              <w:rPr>
                <w:rFonts w:hint="eastAsia" w:ascii="宋体" w:hAnsi="宋体" w:cs="宋体"/>
                <w:color w:val="000000"/>
                <w:sz w:val="24"/>
                <w:lang w:val="en-GB"/>
              </w:rPr>
              <w:t>项目名称</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工期</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000000"/>
                <w:sz w:val="24"/>
                <w:lang w:val="en-GB"/>
              </w:rPr>
            </w:pPr>
            <w:r>
              <w:rPr>
                <w:rFonts w:hint="eastAsia" w:ascii="宋体" w:hAnsi="宋体" w:cs="宋体"/>
                <w:color w:val="000000"/>
                <w:sz w:val="24"/>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000000"/>
                <w:sz w:val="24"/>
                <w:lang w:val="en-GB"/>
              </w:rPr>
            </w:pP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响应招标文件要求</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000000"/>
                <w:sz w:val="24"/>
                <w:lang w:val="en-GB"/>
              </w:rPr>
            </w:pPr>
            <w:r>
              <w:rPr>
                <w:rFonts w:hint="eastAsia" w:ascii="宋体" w:hAnsi="宋体" w:cs="宋体"/>
                <w:color w:val="000000"/>
                <w:sz w:val="24"/>
                <w:lang w:val="en-GB"/>
              </w:rPr>
              <w:t>总价</w:t>
            </w:r>
          </w:p>
        </w:tc>
        <w:tc>
          <w:tcPr>
            <w:tcW w:w="4732" w:type="dxa"/>
            <w:gridSpan w:val="2"/>
            <w:tcBorders>
              <w:left w:val="single" w:color="auto" w:sz="4" w:space="0"/>
            </w:tcBorders>
            <w:noWrap w:val="0"/>
            <w:vAlign w:val="center"/>
          </w:tcPr>
          <w:p>
            <w:pPr>
              <w:spacing w:line="600" w:lineRule="exact"/>
              <w:jc w:val="center"/>
              <w:rPr>
                <w:rFonts w:hint="eastAsia" w:ascii="宋体" w:hAnsi="宋体" w:cs="宋体"/>
                <w:color w:val="000000"/>
                <w:sz w:val="24"/>
              </w:rPr>
            </w:pPr>
            <w:r>
              <w:rPr>
                <w:rFonts w:hint="eastAsia" w:ascii="宋体" w:hAnsi="宋体" w:cs="宋体"/>
                <w:color w:val="000000"/>
                <w:sz w:val="24"/>
              </w:rPr>
              <w:t>（大写）</w:t>
            </w:r>
          </w:p>
        </w:tc>
      </w:tr>
    </w:tbl>
    <w:p>
      <w:pPr>
        <w:shd w:val="clear" w:color="auto" w:fill="FFFFFF"/>
        <w:snapToGrid w:val="0"/>
        <w:spacing w:line="600" w:lineRule="exact"/>
        <w:ind w:firstLine="480"/>
        <w:rPr>
          <w:rFonts w:hint="eastAsia"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、本投标文件及其所附文件涵盖了我方要约的全部内容。</w:t>
      </w:r>
    </w:p>
    <w:p>
      <w:pPr>
        <w:shd w:val="clear" w:color="auto" w:fill="FFFFFF"/>
        <w:snapToGrid w:val="0"/>
        <w:spacing w:line="600" w:lineRule="exact"/>
        <w:ind w:firstLine="480"/>
        <w:rPr>
          <w:rFonts w:hint="eastAsia" w:ascii="宋体" w:hAnsi="宋体" w:cs="宋体"/>
          <w:color w:val="000000"/>
          <w:kern w:val="0"/>
          <w:sz w:val="24"/>
        </w:rPr>
      </w:pPr>
      <w:r>
        <w:rPr>
          <w:rFonts w:hint="eastAsia" w:ascii="宋体" w:hAnsi="宋体" w:cs="宋体"/>
          <w:color w:val="000000"/>
          <w:kern w:val="0"/>
          <w:sz w:val="24"/>
          <w:lang w:val="zh-CN"/>
        </w:rPr>
        <w:t>(1)我方要约有效期为自投标截止；日起</w:t>
      </w:r>
      <w:r>
        <w:rPr>
          <w:rFonts w:hint="eastAsia" w:ascii="宋体" w:hAnsi="宋体" w:cs="宋体"/>
          <w:color w:val="000000"/>
          <w:kern w:val="0"/>
          <w:sz w:val="24"/>
        </w:rPr>
        <w:t>9</w:t>
      </w:r>
      <w:r>
        <w:rPr>
          <w:rFonts w:hint="eastAsia" w:ascii="宋体" w:hAnsi="宋体" w:cs="宋体"/>
          <w:color w:val="000000"/>
          <w:kern w:val="0"/>
          <w:sz w:val="24"/>
          <w:lang w:val="zh-CN"/>
        </w:rPr>
        <w:t>0天；</w:t>
      </w:r>
    </w:p>
    <w:p>
      <w:pPr>
        <w:shd w:val="clear" w:color="auto" w:fill="FFFFFF"/>
        <w:snapToGrid w:val="0"/>
        <w:spacing w:line="6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(2)在投标有效标期内，我方受投标文件之价目表上我方要约金额的约束。</w:t>
      </w:r>
    </w:p>
    <w:p>
      <w:pPr>
        <w:shd w:val="clear" w:color="auto" w:fill="FFFFFF"/>
        <w:snapToGrid w:val="0"/>
        <w:spacing w:line="600" w:lineRule="exact"/>
        <w:ind w:firstLine="480"/>
        <w:rPr>
          <w:rFonts w:hint="eastAsia" w:ascii="宋体" w:hAnsi="宋体" w:cs="宋体"/>
          <w:color w:val="000000"/>
          <w:kern w:val="0"/>
          <w:sz w:val="24"/>
          <w:lang w:val="zh-CN"/>
        </w:rPr>
      </w:pPr>
    </w:p>
    <w:p>
      <w:pPr>
        <w:shd w:val="clear" w:color="auto" w:fill="FFFFFF"/>
        <w:snapToGrid w:val="0"/>
        <w:spacing w:line="600" w:lineRule="exact"/>
        <w:ind w:firstLine="360" w:firstLineChars="150"/>
        <w:rPr>
          <w:rFonts w:hint="eastAsia" w:ascii="宋体" w:hAnsi="宋体" w:cs="宋体"/>
          <w:color w:val="000000"/>
          <w:kern w:val="0"/>
          <w:sz w:val="24"/>
          <w:u w:val="single"/>
          <w:lang w:val="zh-CN"/>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360" w:firstLineChars="150"/>
        <w:rPr>
          <w:rFonts w:hint="eastAsia" w:ascii="宋体" w:hAnsi="宋体" w:cs="宋体"/>
          <w:color w:val="000000"/>
          <w:kern w:val="0"/>
          <w:sz w:val="24"/>
        </w:rPr>
      </w:pPr>
      <w:r>
        <w:rPr>
          <w:rFonts w:hint="eastAsia" w:ascii="宋体" w:hAnsi="宋体" w:cs="宋体"/>
          <w:color w:val="000000"/>
          <w:kern w:val="0"/>
          <w:sz w:val="24"/>
        </w:rPr>
        <w:t>投标人名称（公章）:</w:t>
      </w:r>
      <w:r>
        <w:rPr>
          <w:rFonts w:hint="eastAsia" w:ascii="宋体" w:hAnsi="宋体" w:cs="宋体"/>
          <w:color w:val="000000"/>
          <w:kern w:val="0"/>
          <w:sz w:val="24"/>
          <w:u w:val="single"/>
          <w:lang w:val="zh-CN"/>
        </w:rPr>
        <w:t xml:space="preserve">                </w:t>
      </w:r>
    </w:p>
    <w:p>
      <w:pPr>
        <w:shd w:val="clear" w:color="auto" w:fill="FFFFFF"/>
        <w:snapToGrid w:val="0"/>
        <w:spacing w:line="600" w:lineRule="exact"/>
        <w:ind w:firstLine="360" w:firstLineChars="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u w:val="single"/>
          <w:lang w:val="zh-CN"/>
        </w:rPr>
        <w:t xml:space="preserve">                </w:t>
      </w:r>
    </w:p>
    <w:p>
      <w:pPr>
        <w:shd w:val="clear" w:color="auto" w:fill="FFFFFF"/>
        <w:snapToGrid w:val="0"/>
        <w:spacing w:line="600" w:lineRule="exact"/>
        <w:rPr>
          <w:rFonts w:hint="eastAsia" w:ascii="宋体" w:hAnsi="宋体" w:cs="宋体"/>
          <w:color w:val="000000"/>
          <w:sz w:val="24"/>
        </w:rPr>
      </w:pPr>
    </w:p>
    <w:p>
      <w:pPr>
        <w:shd w:val="clear" w:color="auto" w:fill="FFFFFF"/>
        <w:snapToGrid w:val="0"/>
        <w:spacing w:line="600" w:lineRule="exact"/>
        <w:rPr>
          <w:rFonts w:hint="eastAsia" w:ascii="宋体" w:hAnsi="宋体" w:cs="宋体"/>
          <w:color w:val="000000"/>
          <w:sz w:val="24"/>
        </w:rPr>
      </w:pPr>
    </w:p>
    <w:p>
      <w:pPr>
        <w:shd w:val="clear" w:color="auto" w:fill="FFFFFF"/>
        <w:snapToGrid w:val="0"/>
        <w:spacing w:line="600" w:lineRule="exact"/>
        <w:rPr>
          <w:rFonts w:hint="eastAsia" w:ascii="宋体" w:hAnsi="宋体" w:cs="宋体"/>
          <w:color w:val="000000"/>
          <w:sz w:val="24"/>
        </w:rPr>
      </w:pPr>
    </w:p>
    <w:p>
      <w:pPr>
        <w:spacing w:line="600" w:lineRule="exact"/>
        <w:rPr>
          <w:rFonts w:hint="eastAsia" w:ascii="宋体" w:hAnsi="宋体" w:cs="宋体"/>
          <w:color w:val="000000"/>
          <w:sz w:val="24"/>
        </w:rPr>
      </w:pPr>
    </w:p>
    <w:p>
      <w:pPr>
        <w:pageBreakBefore/>
        <w:shd w:val="clear" w:color="auto" w:fill="FFFFFF"/>
        <w:snapToGrid w:val="0"/>
        <w:spacing w:line="600" w:lineRule="exact"/>
        <w:ind w:firstLine="562" w:firstLineChars="200"/>
        <w:jc w:val="center"/>
        <w:outlineLvl w:val="2"/>
        <w:rPr>
          <w:rFonts w:hint="eastAsia" w:ascii="宋体" w:hAnsi="宋体" w:cs="宋体"/>
          <w:b/>
          <w:color w:val="000000"/>
          <w:sz w:val="24"/>
        </w:rPr>
      </w:pPr>
      <w:bookmarkStart w:id="182" w:name="_Toc233618992"/>
      <w:r>
        <w:rPr>
          <w:rFonts w:hint="eastAsia" w:ascii="宋体" w:hAnsi="宋体" w:cs="宋体"/>
          <w:b/>
          <w:bCs/>
          <w:color w:val="000000"/>
          <w:sz w:val="28"/>
          <w:szCs w:val="28"/>
        </w:rPr>
        <w:t>三、报价明细清单</w:t>
      </w:r>
      <w:bookmarkEnd w:id="182"/>
    </w:p>
    <w:p>
      <w:pPr>
        <w:snapToGrid w:val="0"/>
        <w:spacing w:line="600" w:lineRule="exact"/>
        <w:rPr>
          <w:rFonts w:hint="eastAsia" w:ascii="宋体" w:hAnsi="宋体" w:cs="宋体"/>
          <w:color w:val="000000"/>
          <w:sz w:val="24"/>
        </w:rPr>
      </w:pPr>
    </w:p>
    <w:tbl>
      <w:tblPr>
        <w:tblStyle w:val="78"/>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815"/>
        <w:gridCol w:w="1077"/>
        <w:gridCol w:w="359"/>
        <w:gridCol w:w="1450"/>
        <w:gridCol w:w="720"/>
        <w:gridCol w:w="720"/>
        <w:gridCol w:w="722"/>
        <w:gridCol w:w="1319"/>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jc w:val="center"/>
        </w:trPr>
        <w:tc>
          <w:tcPr>
            <w:tcW w:w="902" w:type="dxa"/>
            <w:tcBorders>
              <w:top w:val="single" w:color="auto" w:sz="8" w:space="0"/>
              <w:left w:val="single" w:color="auto" w:sz="8" w:space="0"/>
              <w:bottom w:val="single" w:color="auto" w:sz="2" w:space="0"/>
              <w:right w:val="single" w:color="auto" w:sz="2" w:space="0"/>
            </w:tcBorders>
            <w:noWrap w:val="0"/>
            <w:vAlign w:val="center"/>
          </w:tcPr>
          <w:p>
            <w:pPr>
              <w:snapToGrid w:val="0"/>
              <w:spacing w:line="600" w:lineRule="exact"/>
              <w:jc w:val="center"/>
              <w:rPr>
                <w:rFonts w:hint="eastAsia" w:ascii="宋体" w:hAnsi="宋体" w:cs="宋体"/>
                <w:color w:val="000000"/>
                <w:szCs w:val="21"/>
              </w:rPr>
            </w:pPr>
            <w:r>
              <w:rPr>
                <w:rFonts w:hint="eastAsia" w:ascii="宋体" w:hAnsi="宋体" w:cs="宋体"/>
                <w:color w:val="000000"/>
                <w:szCs w:val="21"/>
              </w:rPr>
              <w:t>序号</w:t>
            </w:r>
          </w:p>
        </w:tc>
        <w:tc>
          <w:tcPr>
            <w:tcW w:w="815" w:type="dxa"/>
            <w:tcBorders>
              <w:top w:val="single" w:color="auto" w:sz="8" w:space="0"/>
              <w:left w:val="single" w:color="auto" w:sz="2" w:space="0"/>
              <w:bottom w:val="single" w:color="auto" w:sz="2"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名称</w:t>
            </w:r>
          </w:p>
        </w:tc>
        <w:tc>
          <w:tcPr>
            <w:tcW w:w="1077" w:type="dxa"/>
            <w:tcBorders>
              <w:top w:val="single" w:color="auto" w:sz="8" w:space="0"/>
              <w:left w:val="single" w:color="auto" w:sz="4" w:space="0"/>
              <w:bottom w:val="single" w:color="auto" w:sz="2" w:space="0"/>
              <w:right w:val="single" w:color="auto" w:sz="2"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规格型号</w:t>
            </w:r>
          </w:p>
        </w:tc>
        <w:tc>
          <w:tcPr>
            <w:tcW w:w="1809" w:type="dxa"/>
            <w:gridSpan w:val="2"/>
            <w:tcBorders>
              <w:top w:val="single" w:color="auto" w:sz="8" w:space="0"/>
              <w:left w:val="single" w:color="auto" w:sz="4" w:space="0"/>
              <w:bottom w:val="single" w:color="auto" w:sz="2" w:space="0"/>
              <w:right w:val="single" w:color="auto" w:sz="2"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产地品牌、材料配置及技术参数</w:t>
            </w:r>
          </w:p>
        </w:tc>
        <w:tc>
          <w:tcPr>
            <w:tcW w:w="720" w:type="dxa"/>
            <w:tcBorders>
              <w:top w:val="single" w:color="auto" w:sz="8" w:space="0"/>
              <w:left w:val="single" w:color="auto" w:sz="4" w:space="0"/>
              <w:bottom w:val="single" w:color="auto" w:sz="2" w:space="0"/>
              <w:right w:val="single" w:color="auto" w:sz="2"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单位</w:t>
            </w:r>
          </w:p>
        </w:tc>
        <w:tc>
          <w:tcPr>
            <w:tcW w:w="720" w:type="dxa"/>
            <w:tcBorders>
              <w:top w:val="single" w:color="auto" w:sz="8" w:space="0"/>
              <w:left w:val="single" w:color="auto" w:sz="2" w:space="0"/>
              <w:bottom w:val="single" w:color="auto" w:sz="2"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数量</w:t>
            </w:r>
          </w:p>
        </w:tc>
        <w:tc>
          <w:tcPr>
            <w:tcW w:w="722" w:type="dxa"/>
            <w:tcBorders>
              <w:top w:val="single" w:color="auto" w:sz="8" w:space="0"/>
              <w:left w:val="single" w:color="auto" w:sz="4" w:space="0"/>
              <w:bottom w:val="single" w:color="auto" w:sz="2" w:space="0"/>
              <w:right w:val="single" w:color="auto" w:sz="4" w:space="0"/>
            </w:tcBorders>
            <w:noWrap w:val="0"/>
            <w:vAlign w:val="center"/>
          </w:tcPr>
          <w:p>
            <w:pPr>
              <w:snapToGrid w:val="0"/>
              <w:spacing w:line="600" w:lineRule="exact"/>
              <w:jc w:val="center"/>
              <w:rPr>
                <w:rFonts w:hint="eastAsia" w:ascii="宋体" w:hAnsi="宋体" w:cs="宋体"/>
                <w:color w:val="000000"/>
                <w:szCs w:val="21"/>
              </w:rPr>
            </w:pPr>
            <w:r>
              <w:rPr>
                <w:rFonts w:hint="eastAsia" w:ascii="宋体" w:hAnsi="宋体" w:cs="宋体"/>
                <w:color w:val="000000"/>
                <w:szCs w:val="21"/>
              </w:rPr>
              <w:t>单价</w:t>
            </w:r>
          </w:p>
        </w:tc>
        <w:tc>
          <w:tcPr>
            <w:tcW w:w="1319" w:type="dxa"/>
            <w:tcBorders>
              <w:top w:val="single" w:color="auto" w:sz="8" w:space="0"/>
              <w:left w:val="single" w:color="auto" w:sz="4" w:space="0"/>
              <w:bottom w:val="single" w:color="auto" w:sz="2" w:space="0"/>
              <w:right w:val="single" w:color="auto" w:sz="8" w:space="0"/>
            </w:tcBorders>
            <w:noWrap w:val="0"/>
            <w:vAlign w:val="center"/>
          </w:tcPr>
          <w:p>
            <w:pPr>
              <w:snapToGrid w:val="0"/>
              <w:spacing w:line="600" w:lineRule="exact"/>
              <w:jc w:val="center"/>
              <w:rPr>
                <w:rFonts w:hint="eastAsia" w:ascii="宋体" w:hAnsi="宋体" w:cs="宋体"/>
                <w:color w:val="000000"/>
                <w:szCs w:val="21"/>
              </w:rPr>
            </w:pPr>
            <w:r>
              <w:rPr>
                <w:rFonts w:hint="eastAsia" w:ascii="宋体" w:hAnsi="宋体" w:cs="宋体"/>
                <w:color w:val="000000"/>
                <w:szCs w:val="21"/>
              </w:rPr>
              <w:t>小计</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315" w:hRule="atLeast"/>
          <w:jc w:val="center"/>
        </w:trPr>
        <w:tc>
          <w:tcPr>
            <w:tcW w:w="902" w:type="dxa"/>
            <w:tcBorders>
              <w:top w:val="single" w:color="auto" w:sz="2"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000000"/>
                <w:szCs w:val="21"/>
              </w:rPr>
            </w:pPr>
            <w:r>
              <w:rPr>
                <w:rFonts w:hint="eastAsia" w:ascii="宋体" w:hAnsi="宋体" w:cs="宋体"/>
                <w:color w:val="000000"/>
                <w:szCs w:val="21"/>
              </w:rPr>
              <w:t>1</w:t>
            </w:r>
          </w:p>
        </w:tc>
        <w:tc>
          <w:tcPr>
            <w:tcW w:w="815" w:type="dxa"/>
            <w:tcBorders>
              <w:top w:val="single" w:color="auto" w:sz="2" w:space="0"/>
              <w:left w:val="single" w:color="auto" w:sz="2" w:space="0"/>
              <w:bottom w:val="single" w:color="auto" w:sz="4" w:space="0"/>
              <w:right w:val="single" w:color="auto" w:sz="4" w:space="0"/>
            </w:tcBorders>
            <w:noWrap w:val="0"/>
            <w:vAlign w:val="top"/>
          </w:tcPr>
          <w:p>
            <w:pPr>
              <w:snapToGrid w:val="0"/>
              <w:spacing w:line="600" w:lineRule="exact"/>
              <w:rPr>
                <w:rFonts w:hint="eastAsia" w:ascii="宋体" w:hAnsi="宋体" w:cs="宋体"/>
                <w:b/>
                <w:color w:val="000000"/>
                <w:szCs w:val="21"/>
              </w:rPr>
            </w:pPr>
          </w:p>
        </w:tc>
        <w:tc>
          <w:tcPr>
            <w:tcW w:w="1077" w:type="dxa"/>
            <w:tcBorders>
              <w:top w:val="single" w:color="auto" w:sz="2"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b/>
                <w:color w:val="000000"/>
                <w:szCs w:val="21"/>
              </w:rPr>
            </w:pPr>
          </w:p>
        </w:tc>
        <w:tc>
          <w:tcPr>
            <w:tcW w:w="1809" w:type="dxa"/>
            <w:gridSpan w:val="2"/>
            <w:tcBorders>
              <w:top w:val="single" w:color="auto" w:sz="2"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b/>
                <w:color w:val="000000"/>
                <w:szCs w:val="21"/>
              </w:rPr>
            </w:pPr>
          </w:p>
        </w:tc>
        <w:tc>
          <w:tcPr>
            <w:tcW w:w="720" w:type="dxa"/>
            <w:tcBorders>
              <w:top w:val="single" w:color="auto" w:sz="2"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b/>
                <w:color w:val="000000"/>
                <w:szCs w:val="21"/>
              </w:rPr>
            </w:pPr>
          </w:p>
        </w:tc>
        <w:tc>
          <w:tcPr>
            <w:tcW w:w="720" w:type="dxa"/>
            <w:tcBorders>
              <w:top w:val="single" w:color="auto" w:sz="2"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Cs w:val="21"/>
              </w:rPr>
            </w:pPr>
          </w:p>
        </w:tc>
        <w:tc>
          <w:tcPr>
            <w:tcW w:w="722" w:type="dxa"/>
            <w:tcBorders>
              <w:top w:val="single" w:color="auto" w:sz="2" w:space="0"/>
              <w:left w:val="single" w:color="auto" w:sz="4"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Cs w:val="21"/>
              </w:rPr>
            </w:pPr>
          </w:p>
        </w:tc>
        <w:tc>
          <w:tcPr>
            <w:tcW w:w="1319" w:type="dxa"/>
            <w:tcBorders>
              <w:top w:val="single" w:color="auto" w:sz="2"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27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000000"/>
                <w:szCs w:val="21"/>
              </w:rPr>
            </w:pPr>
            <w:r>
              <w:rPr>
                <w:rFonts w:hint="eastAsia" w:ascii="宋体" w:hAnsi="宋体" w:cs="宋体"/>
                <w:color w:val="000000"/>
                <w:szCs w:val="21"/>
              </w:rPr>
              <w:t>2</w:t>
            </w:r>
          </w:p>
        </w:tc>
        <w:tc>
          <w:tcPr>
            <w:tcW w:w="815" w:type="dxa"/>
            <w:tcBorders>
              <w:top w:val="single" w:color="auto" w:sz="4" w:space="0"/>
              <w:left w:val="single" w:color="auto" w:sz="2" w:space="0"/>
              <w:bottom w:val="single" w:color="auto" w:sz="4" w:space="0"/>
              <w:right w:val="single" w:color="auto" w:sz="4" w:space="0"/>
            </w:tcBorders>
            <w:noWrap w:val="0"/>
            <w:vAlign w:val="top"/>
          </w:tcPr>
          <w:p>
            <w:pPr>
              <w:snapToGrid w:val="0"/>
              <w:spacing w:line="600" w:lineRule="exact"/>
              <w:rPr>
                <w:rFonts w:hint="eastAsia" w:ascii="宋体" w:hAnsi="宋体" w:cs="宋体"/>
                <w:color w:val="000000"/>
                <w:szCs w:val="21"/>
              </w:rPr>
            </w:pPr>
          </w:p>
        </w:tc>
        <w:tc>
          <w:tcPr>
            <w:tcW w:w="1077" w:type="dxa"/>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Cs w:val="21"/>
              </w:rPr>
            </w:pPr>
          </w:p>
        </w:tc>
        <w:tc>
          <w:tcPr>
            <w:tcW w:w="1809"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Cs w:val="21"/>
              </w:rPr>
            </w:pPr>
          </w:p>
        </w:tc>
        <w:tc>
          <w:tcPr>
            <w:tcW w:w="720" w:type="dxa"/>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Cs w:val="21"/>
              </w:rPr>
            </w:pPr>
          </w:p>
        </w:tc>
        <w:tc>
          <w:tcPr>
            <w:tcW w:w="720"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Cs w:val="21"/>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Cs w:val="21"/>
              </w:rPr>
            </w:pPr>
          </w:p>
        </w:tc>
        <w:tc>
          <w:tcPr>
            <w:tcW w:w="1319"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000000"/>
                <w:szCs w:val="21"/>
              </w:rPr>
            </w:pPr>
            <w:r>
              <w:rPr>
                <w:rFonts w:hint="eastAsia" w:ascii="宋体" w:hAnsi="宋体" w:cs="宋体"/>
                <w:color w:val="000000"/>
                <w:szCs w:val="21"/>
              </w:rPr>
              <w:t>3</w:t>
            </w:r>
          </w:p>
        </w:tc>
        <w:tc>
          <w:tcPr>
            <w:tcW w:w="815" w:type="dxa"/>
            <w:tcBorders>
              <w:top w:val="single" w:color="auto" w:sz="4" w:space="0"/>
              <w:left w:val="single" w:color="auto" w:sz="2" w:space="0"/>
              <w:bottom w:val="single" w:color="auto" w:sz="4" w:space="0"/>
              <w:right w:val="single" w:color="auto" w:sz="4" w:space="0"/>
            </w:tcBorders>
            <w:noWrap w:val="0"/>
            <w:vAlign w:val="top"/>
          </w:tcPr>
          <w:p>
            <w:pPr>
              <w:snapToGrid w:val="0"/>
              <w:spacing w:line="600" w:lineRule="exact"/>
              <w:rPr>
                <w:rFonts w:hint="eastAsia" w:ascii="宋体" w:hAnsi="宋体" w:cs="宋体"/>
                <w:color w:val="000000"/>
                <w:szCs w:val="21"/>
              </w:rPr>
            </w:pPr>
          </w:p>
        </w:tc>
        <w:tc>
          <w:tcPr>
            <w:tcW w:w="1077" w:type="dxa"/>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Cs w:val="21"/>
              </w:rPr>
            </w:pPr>
          </w:p>
        </w:tc>
        <w:tc>
          <w:tcPr>
            <w:tcW w:w="1809"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Cs w:val="21"/>
              </w:rPr>
            </w:pPr>
          </w:p>
        </w:tc>
        <w:tc>
          <w:tcPr>
            <w:tcW w:w="720" w:type="dxa"/>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Cs w:val="21"/>
              </w:rPr>
            </w:pPr>
          </w:p>
        </w:tc>
        <w:tc>
          <w:tcPr>
            <w:tcW w:w="720"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Cs w:val="21"/>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Cs w:val="21"/>
              </w:rPr>
            </w:pPr>
          </w:p>
        </w:tc>
        <w:tc>
          <w:tcPr>
            <w:tcW w:w="1319"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000000"/>
                <w:szCs w:val="21"/>
              </w:rPr>
            </w:pPr>
            <w:r>
              <w:rPr>
                <w:rFonts w:hint="eastAsia" w:ascii="宋体" w:hAnsi="宋体" w:cs="宋体"/>
                <w:color w:val="000000"/>
                <w:szCs w:val="21"/>
              </w:rPr>
              <w:t>4</w:t>
            </w:r>
          </w:p>
        </w:tc>
        <w:tc>
          <w:tcPr>
            <w:tcW w:w="815" w:type="dxa"/>
            <w:tcBorders>
              <w:top w:val="single" w:color="auto" w:sz="4" w:space="0"/>
              <w:left w:val="single" w:color="auto" w:sz="2" w:space="0"/>
              <w:bottom w:val="single" w:color="auto" w:sz="4" w:space="0"/>
              <w:right w:val="single" w:color="auto" w:sz="4" w:space="0"/>
            </w:tcBorders>
            <w:noWrap w:val="0"/>
            <w:vAlign w:val="top"/>
          </w:tcPr>
          <w:p>
            <w:pPr>
              <w:snapToGrid w:val="0"/>
              <w:spacing w:line="600" w:lineRule="exact"/>
              <w:rPr>
                <w:rFonts w:hint="eastAsia" w:ascii="宋体" w:hAnsi="宋体" w:cs="宋体"/>
                <w:color w:val="000000"/>
                <w:szCs w:val="21"/>
              </w:rPr>
            </w:pPr>
          </w:p>
        </w:tc>
        <w:tc>
          <w:tcPr>
            <w:tcW w:w="1077" w:type="dxa"/>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Cs w:val="21"/>
              </w:rPr>
            </w:pPr>
          </w:p>
        </w:tc>
        <w:tc>
          <w:tcPr>
            <w:tcW w:w="1809"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Cs w:val="21"/>
              </w:rPr>
            </w:pPr>
          </w:p>
        </w:tc>
        <w:tc>
          <w:tcPr>
            <w:tcW w:w="720" w:type="dxa"/>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Cs w:val="21"/>
              </w:rPr>
            </w:pPr>
          </w:p>
        </w:tc>
        <w:tc>
          <w:tcPr>
            <w:tcW w:w="720"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Cs w:val="21"/>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Cs w:val="21"/>
              </w:rPr>
            </w:pPr>
          </w:p>
        </w:tc>
        <w:tc>
          <w:tcPr>
            <w:tcW w:w="1319"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600" w:lineRule="exact"/>
              <w:jc w:val="center"/>
              <w:rPr>
                <w:rFonts w:hint="eastAsia" w:ascii="宋体" w:hAnsi="宋体" w:cs="宋体"/>
                <w:color w:val="000000"/>
                <w:szCs w:val="21"/>
              </w:rPr>
            </w:pPr>
            <w:r>
              <w:rPr>
                <w:rFonts w:hint="eastAsia" w:ascii="宋体" w:hAnsi="宋体" w:cs="宋体"/>
                <w:color w:val="000000"/>
                <w:szCs w:val="21"/>
              </w:rPr>
              <w:t>5</w:t>
            </w:r>
          </w:p>
        </w:tc>
        <w:tc>
          <w:tcPr>
            <w:tcW w:w="815" w:type="dxa"/>
            <w:tcBorders>
              <w:top w:val="single" w:color="auto" w:sz="4" w:space="0"/>
              <w:left w:val="single" w:color="auto" w:sz="2" w:space="0"/>
              <w:bottom w:val="single" w:color="auto" w:sz="4" w:space="0"/>
              <w:right w:val="single" w:color="auto" w:sz="4" w:space="0"/>
            </w:tcBorders>
            <w:noWrap w:val="0"/>
            <w:vAlign w:val="top"/>
          </w:tcPr>
          <w:p>
            <w:pPr>
              <w:snapToGrid w:val="0"/>
              <w:spacing w:line="600" w:lineRule="exact"/>
              <w:rPr>
                <w:rFonts w:hint="eastAsia" w:ascii="宋体" w:hAnsi="宋体" w:cs="宋体"/>
                <w:color w:val="000000"/>
                <w:szCs w:val="21"/>
              </w:rPr>
            </w:pPr>
          </w:p>
        </w:tc>
        <w:tc>
          <w:tcPr>
            <w:tcW w:w="1077" w:type="dxa"/>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Cs w:val="21"/>
              </w:rPr>
            </w:pPr>
          </w:p>
        </w:tc>
        <w:tc>
          <w:tcPr>
            <w:tcW w:w="1809"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Cs w:val="21"/>
              </w:rPr>
            </w:pPr>
          </w:p>
        </w:tc>
        <w:tc>
          <w:tcPr>
            <w:tcW w:w="720" w:type="dxa"/>
            <w:tcBorders>
              <w:top w:val="single" w:color="auto" w:sz="4" w:space="0"/>
              <w:left w:val="single" w:color="auto" w:sz="4" w:space="0"/>
              <w:bottom w:val="single" w:color="auto" w:sz="4" w:space="0"/>
              <w:right w:val="single" w:color="auto" w:sz="2" w:space="0"/>
            </w:tcBorders>
            <w:noWrap w:val="0"/>
            <w:vAlign w:val="top"/>
          </w:tcPr>
          <w:p>
            <w:pPr>
              <w:snapToGrid w:val="0"/>
              <w:spacing w:line="600" w:lineRule="exact"/>
              <w:rPr>
                <w:rFonts w:hint="eastAsia" w:ascii="宋体" w:hAnsi="宋体" w:cs="宋体"/>
                <w:color w:val="000000"/>
                <w:szCs w:val="21"/>
              </w:rPr>
            </w:pPr>
          </w:p>
        </w:tc>
        <w:tc>
          <w:tcPr>
            <w:tcW w:w="720"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Cs w:val="21"/>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Cs w:val="21"/>
              </w:rPr>
            </w:pPr>
          </w:p>
        </w:tc>
        <w:tc>
          <w:tcPr>
            <w:tcW w:w="1319"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0" w:hRule="atLeast"/>
          <w:jc w:val="center"/>
        </w:trPr>
        <w:tc>
          <w:tcPr>
            <w:tcW w:w="902" w:type="dxa"/>
            <w:tcBorders>
              <w:top w:val="single" w:color="auto" w:sz="4" w:space="0"/>
              <w:left w:val="single" w:color="auto" w:sz="8" w:space="0"/>
              <w:right w:val="single" w:color="auto" w:sz="2" w:space="0"/>
            </w:tcBorders>
            <w:noWrap w:val="0"/>
            <w:vAlign w:val="center"/>
          </w:tcPr>
          <w:p>
            <w:pPr>
              <w:snapToGrid w:val="0"/>
              <w:spacing w:line="600" w:lineRule="exact"/>
              <w:jc w:val="center"/>
              <w:rPr>
                <w:rFonts w:hint="eastAsia" w:ascii="宋体" w:hAnsi="宋体" w:cs="宋体"/>
                <w:color w:val="000000"/>
                <w:szCs w:val="21"/>
              </w:rPr>
            </w:pPr>
          </w:p>
        </w:tc>
        <w:tc>
          <w:tcPr>
            <w:tcW w:w="815" w:type="dxa"/>
            <w:tcBorders>
              <w:top w:val="single" w:color="auto" w:sz="4" w:space="0"/>
              <w:left w:val="single" w:color="auto" w:sz="2" w:space="0"/>
              <w:bottom w:val="single" w:color="auto" w:sz="4" w:space="0"/>
              <w:right w:val="single" w:color="auto" w:sz="4" w:space="0"/>
            </w:tcBorders>
            <w:noWrap w:val="0"/>
            <w:vAlign w:val="center"/>
          </w:tcPr>
          <w:p>
            <w:pPr>
              <w:tabs>
                <w:tab w:val="left" w:pos="6135"/>
              </w:tabs>
              <w:snapToGrid w:val="0"/>
              <w:spacing w:line="600" w:lineRule="exact"/>
              <w:jc w:val="left"/>
              <w:rPr>
                <w:rFonts w:hint="eastAsia" w:ascii="宋体" w:hAnsi="宋体" w:cs="宋体"/>
                <w:color w:val="000000"/>
                <w:szCs w:val="21"/>
              </w:rPr>
            </w:pPr>
            <w:r>
              <w:rPr>
                <w:rFonts w:hint="eastAsia" w:ascii="宋体" w:hAnsi="宋体" w:cs="宋体"/>
                <w:color w:val="000000"/>
                <w:szCs w:val="21"/>
              </w:rPr>
              <w:t>……</w:t>
            </w:r>
          </w:p>
        </w:tc>
        <w:tc>
          <w:tcPr>
            <w:tcW w:w="1077" w:type="dxa"/>
            <w:tcBorders>
              <w:top w:val="single" w:color="auto" w:sz="4" w:space="0"/>
              <w:left w:val="single" w:color="auto" w:sz="4" w:space="0"/>
              <w:bottom w:val="single" w:color="auto" w:sz="4" w:space="0"/>
              <w:right w:val="single" w:color="auto" w:sz="2" w:space="0"/>
            </w:tcBorders>
            <w:noWrap w:val="0"/>
            <w:vAlign w:val="center"/>
          </w:tcPr>
          <w:p>
            <w:pPr>
              <w:tabs>
                <w:tab w:val="left" w:pos="6135"/>
              </w:tabs>
              <w:snapToGrid w:val="0"/>
              <w:spacing w:line="600" w:lineRule="exact"/>
              <w:jc w:val="left"/>
              <w:rPr>
                <w:rFonts w:hint="eastAsia" w:ascii="宋体" w:hAnsi="宋体" w:cs="宋体"/>
                <w:color w:val="000000"/>
                <w:szCs w:val="21"/>
              </w:rPr>
            </w:pPr>
          </w:p>
        </w:tc>
        <w:tc>
          <w:tcPr>
            <w:tcW w:w="1809" w:type="dxa"/>
            <w:gridSpan w:val="2"/>
            <w:tcBorders>
              <w:top w:val="single" w:color="auto" w:sz="4" w:space="0"/>
              <w:left w:val="single" w:color="auto" w:sz="4" w:space="0"/>
              <w:bottom w:val="single" w:color="auto" w:sz="4" w:space="0"/>
              <w:right w:val="single" w:color="auto" w:sz="2" w:space="0"/>
            </w:tcBorders>
            <w:noWrap w:val="0"/>
            <w:vAlign w:val="center"/>
          </w:tcPr>
          <w:p>
            <w:pPr>
              <w:tabs>
                <w:tab w:val="left" w:pos="6135"/>
              </w:tabs>
              <w:snapToGrid w:val="0"/>
              <w:spacing w:line="600" w:lineRule="exact"/>
              <w:jc w:val="left"/>
              <w:rPr>
                <w:rFonts w:hint="eastAsia" w:ascii="宋体" w:hAnsi="宋体" w:cs="宋体"/>
                <w:color w:val="000000"/>
                <w:szCs w:val="21"/>
              </w:rPr>
            </w:pPr>
          </w:p>
        </w:tc>
        <w:tc>
          <w:tcPr>
            <w:tcW w:w="720" w:type="dxa"/>
            <w:tcBorders>
              <w:top w:val="single" w:color="auto" w:sz="4" w:space="0"/>
              <w:left w:val="single" w:color="auto" w:sz="4" w:space="0"/>
              <w:bottom w:val="single" w:color="auto" w:sz="4" w:space="0"/>
              <w:right w:val="single" w:color="auto" w:sz="2" w:space="0"/>
            </w:tcBorders>
            <w:noWrap w:val="0"/>
            <w:vAlign w:val="center"/>
          </w:tcPr>
          <w:p>
            <w:pPr>
              <w:tabs>
                <w:tab w:val="left" w:pos="6135"/>
              </w:tabs>
              <w:snapToGrid w:val="0"/>
              <w:spacing w:line="600" w:lineRule="exact"/>
              <w:jc w:val="left"/>
              <w:rPr>
                <w:rFonts w:hint="eastAsia" w:ascii="宋体" w:hAnsi="宋体" w:cs="宋体"/>
                <w:color w:val="000000"/>
                <w:szCs w:val="21"/>
              </w:rPr>
            </w:pPr>
          </w:p>
        </w:tc>
        <w:tc>
          <w:tcPr>
            <w:tcW w:w="720" w:type="dxa"/>
            <w:tcBorders>
              <w:top w:val="single" w:color="auto" w:sz="4" w:space="0"/>
              <w:left w:val="single" w:color="auto" w:sz="2"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Cs w:val="21"/>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center"/>
              <w:rPr>
                <w:rFonts w:hint="eastAsia" w:ascii="宋体" w:hAnsi="宋体" w:cs="宋体"/>
                <w:color w:val="000000"/>
                <w:szCs w:val="21"/>
              </w:rPr>
            </w:pPr>
          </w:p>
        </w:tc>
        <w:tc>
          <w:tcPr>
            <w:tcW w:w="1319" w:type="dxa"/>
            <w:tcBorders>
              <w:top w:val="single" w:color="auto" w:sz="4" w:space="0"/>
              <w:left w:val="single" w:color="auto" w:sz="4" w:space="0"/>
              <w:bottom w:val="single" w:color="auto" w:sz="4" w:space="0"/>
              <w:right w:val="single" w:color="auto" w:sz="8" w:space="0"/>
            </w:tcBorders>
            <w:noWrap w:val="0"/>
            <w:vAlign w:val="center"/>
          </w:tcPr>
          <w:p>
            <w:pPr>
              <w:snapToGrid w:val="0"/>
              <w:spacing w:line="6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jc w:val="center"/>
        </w:trPr>
        <w:tc>
          <w:tcPr>
            <w:tcW w:w="1717" w:type="dxa"/>
            <w:gridSpan w:val="2"/>
            <w:vMerge w:val="restart"/>
            <w:tcBorders>
              <w:top w:val="single" w:color="auto" w:sz="2" w:space="0"/>
              <w:left w:val="single" w:color="auto" w:sz="8" w:space="0"/>
              <w:bottom w:val="single" w:color="auto" w:sz="8" w:space="0"/>
              <w:right w:val="single" w:color="auto" w:sz="4" w:space="0"/>
            </w:tcBorders>
            <w:noWrap w:val="0"/>
            <w:vAlign w:val="center"/>
          </w:tcPr>
          <w:p>
            <w:pPr>
              <w:snapToGrid w:val="0"/>
              <w:spacing w:line="600" w:lineRule="exact"/>
              <w:jc w:val="center"/>
              <w:rPr>
                <w:rFonts w:hint="eastAsia" w:ascii="宋体" w:hAnsi="宋体" w:cs="宋体"/>
                <w:color w:val="000000"/>
                <w:szCs w:val="21"/>
              </w:rPr>
            </w:pPr>
            <w:r>
              <w:rPr>
                <w:rFonts w:hint="eastAsia" w:ascii="宋体" w:hAnsi="宋体" w:cs="宋体"/>
                <w:color w:val="000000"/>
                <w:szCs w:val="21"/>
              </w:rPr>
              <w:t>总计</w:t>
            </w:r>
          </w:p>
        </w:tc>
        <w:tc>
          <w:tcPr>
            <w:tcW w:w="1436" w:type="dxa"/>
            <w:gridSpan w:val="2"/>
            <w:tcBorders>
              <w:top w:val="single" w:color="auto" w:sz="2" w:space="0"/>
              <w:left w:val="single" w:color="auto" w:sz="4" w:space="0"/>
              <w:bottom w:val="single" w:color="auto" w:sz="2" w:space="0"/>
              <w:right w:val="single" w:color="auto" w:sz="2" w:space="0"/>
            </w:tcBorders>
            <w:noWrap w:val="0"/>
            <w:vAlign w:val="center"/>
          </w:tcPr>
          <w:p>
            <w:pPr>
              <w:snapToGrid w:val="0"/>
              <w:spacing w:line="600" w:lineRule="exact"/>
              <w:jc w:val="center"/>
              <w:rPr>
                <w:rFonts w:hint="eastAsia" w:ascii="宋体" w:hAnsi="宋体" w:cs="宋体"/>
                <w:color w:val="000000"/>
                <w:szCs w:val="21"/>
              </w:rPr>
            </w:pPr>
            <w:r>
              <w:rPr>
                <w:rFonts w:hint="eastAsia" w:ascii="宋体" w:hAnsi="宋体" w:cs="宋体"/>
                <w:color w:val="000000"/>
                <w:szCs w:val="21"/>
              </w:rPr>
              <w:t>大写</w:t>
            </w:r>
          </w:p>
        </w:tc>
        <w:tc>
          <w:tcPr>
            <w:tcW w:w="4931" w:type="dxa"/>
            <w:gridSpan w:val="5"/>
            <w:tcBorders>
              <w:top w:val="single" w:color="auto" w:sz="2" w:space="0"/>
              <w:left w:val="single" w:color="auto" w:sz="4" w:space="0"/>
              <w:bottom w:val="single" w:color="auto" w:sz="2" w:space="0"/>
              <w:right w:val="single" w:color="auto" w:sz="8" w:space="0"/>
            </w:tcBorders>
            <w:noWrap w:val="0"/>
            <w:vAlign w:val="center"/>
          </w:tcPr>
          <w:p>
            <w:pPr>
              <w:snapToGrid w:val="0"/>
              <w:spacing w:line="6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dxa"/>
          <w:wAfter w:w="0" w:type="dxa"/>
          <w:jc w:val="center"/>
        </w:trPr>
        <w:tc>
          <w:tcPr>
            <w:tcW w:w="1717" w:type="dxa"/>
            <w:gridSpan w:val="2"/>
            <w:vMerge w:val="continue"/>
            <w:tcBorders>
              <w:top w:val="single" w:color="auto" w:sz="2" w:space="0"/>
              <w:left w:val="single" w:color="auto" w:sz="8" w:space="0"/>
              <w:bottom w:val="single" w:color="auto" w:sz="8" w:space="0"/>
              <w:right w:val="single" w:color="auto" w:sz="4" w:space="0"/>
            </w:tcBorders>
            <w:noWrap w:val="0"/>
            <w:vAlign w:val="center"/>
          </w:tcPr>
          <w:p>
            <w:pPr>
              <w:widowControl/>
              <w:snapToGrid w:val="0"/>
              <w:spacing w:line="600" w:lineRule="exact"/>
              <w:jc w:val="center"/>
              <w:rPr>
                <w:rFonts w:hint="eastAsia" w:ascii="宋体" w:hAnsi="宋体" w:cs="宋体"/>
                <w:color w:val="000000"/>
                <w:szCs w:val="21"/>
              </w:rPr>
            </w:pPr>
          </w:p>
        </w:tc>
        <w:tc>
          <w:tcPr>
            <w:tcW w:w="1436" w:type="dxa"/>
            <w:gridSpan w:val="2"/>
            <w:tcBorders>
              <w:top w:val="single" w:color="auto" w:sz="2" w:space="0"/>
              <w:left w:val="single" w:color="auto" w:sz="4" w:space="0"/>
              <w:bottom w:val="single" w:color="auto" w:sz="8" w:space="0"/>
              <w:right w:val="single" w:color="auto" w:sz="2" w:space="0"/>
            </w:tcBorders>
            <w:noWrap w:val="0"/>
            <w:vAlign w:val="center"/>
          </w:tcPr>
          <w:p>
            <w:pPr>
              <w:snapToGrid w:val="0"/>
              <w:spacing w:line="600" w:lineRule="exact"/>
              <w:jc w:val="center"/>
              <w:rPr>
                <w:rFonts w:hint="eastAsia" w:ascii="宋体" w:hAnsi="宋体" w:cs="宋体"/>
                <w:color w:val="000000"/>
                <w:szCs w:val="21"/>
              </w:rPr>
            </w:pPr>
            <w:r>
              <w:rPr>
                <w:rFonts w:hint="eastAsia" w:ascii="宋体" w:hAnsi="宋体" w:cs="宋体"/>
                <w:color w:val="000000"/>
                <w:szCs w:val="21"/>
              </w:rPr>
              <w:t>小写</w:t>
            </w:r>
          </w:p>
        </w:tc>
        <w:tc>
          <w:tcPr>
            <w:tcW w:w="4931" w:type="dxa"/>
            <w:gridSpan w:val="5"/>
            <w:tcBorders>
              <w:top w:val="single" w:color="auto" w:sz="2" w:space="0"/>
              <w:left w:val="single" w:color="auto" w:sz="4" w:space="0"/>
              <w:bottom w:val="single" w:color="auto" w:sz="8" w:space="0"/>
              <w:right w:val="single" w:color="auto" w:sz="8" w:space="0"/>
            </w:tcBorders>
            <w:noWrap w:val="0"/>
            <w:vAlign w:val="center"/>
          </w:tcPr>
          <w:p>
            <w:pPr>
              <w:snapToGrid w:val="0"/>
              <w:spacing w:line="600" w:lineRule="exact"/>
              <w:jc w:val="center"/>
              <w:rPr>
                <w:rFonts w:hint="eastAsia" w:ascii="宋体" w:hAnsi="宋体" w:cs="宋体"/>
                <w:color w:val="000000"/>
                <w:szCs w:val="21"/>
              </w:rPr>
            </w:pPr>
          </w:p>
        </w:tc>
      </w:tr>
    </w:tbl>
    <w:p>
      <w:pPr>
        <w:pStyle w:val="40"/>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注：</w:t>
      </w:r>
      <w:r>
        <w:rPr>
          <w:rFonts w:hint="eastAsia" w:ascii="宋体" w:hAnsi="宋体" w:eastAsia="宋体" w:cs="宋体"/>
          <w:color w:val="000000"/>
          <w:sz w:val="24"/>
          <w:szCs w:val="24"/>
        </w:rPr>
        <w:t>可根据具体情况调整报价明细清单格式，但应包括项目涉及的一切相关税、费等费用。</w:t>
      </w:r>
    </w:p>
    <w:p>
      <w:pPr>
        <w:pStyle w:val="40"/>
        <w:snapToGrid w:val="0"/>
        <w:spacing w:line="600" w:lineRule="exact"/>
        <w:rPr>
          <w:rFonts w:hint="eastAsia" w:ascii="宋体" w:hAnsi="宋体" w:eastAsia="宋体" w:cs="宋体"/>
          <w:color w:val="000000"/>
          <w:sz w:val="24"/>
          <w:szCs w:val="24"/>
        </w:rPr>
      </w:pPr>
    </w:p>
    <w:p>
      <w:pPr>
        <w:pStyle w:val="40"/>
        <w:snapToGrid w:val="0"/>
        <w:spacing w:line="600" w:lineRule="exact"/>
        <w:ind w:firstLine="600" w:firstLineChars="250"/>
        <w:rPr>
          <w:rFonts w:hint="eastAsia" w:ascii="宋体" w:hAnsi="宋体" w:eastAsia="宋体" w:cs="宋体"/>
          <w:color w:val="000000"/>
          <w:sz w:val="24"/>
          <w:szCs w:val="24"/>
        </w:rPr>
      </w:pPr>
    </w:p>
    <w:p>
      <w:pPr>
        <w:pStyle w:val="40"/>
        <w:snapToGrid w:val="0"/>
        <w:spacing w:line="600" w:lineRule="exact"/>
        <w:ind w:firstLine="600" w:firstLineChars="250"/>
        <w:rPr>
          <w:rFonts w:hint="eastAsia" w:ascii="宋体" w:hAnsi="宋体" w:eastAsia="宋体" w:cs="宋体"/>
          <w:color w:val="000000"/>
          <w:sz w:val="24"/>
          <w:szCs w:val="24"/>
        </w:rPr>
      </w:pP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投标人名称(公章)：</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授权代表人(签字)：</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日期：    年  月   日</w:t>
      </w:r>
    </w:p>
    <w:p>
      <w:pPr>
        <w:pageBreakBefore/>
        <w:shd w:val="clear" w:color="auto" w:fill="FFFFFF"/>
        <w:snapToGrid w:val="0"/>
        <w:spacing w:line="600" w:lineRule="exact"/>
        <w:jc w:val="center"/>
        <w:outlineLvl w:val="2"/>
        <w:rPr>
          <w:rFonts w:hint="eastAsia" w:ascii="宋体" w:hAnsi="宋体" w:cs="宋体"/>
          <w:b/>
          <w:color w:val="000000"/>
          <w:kern w:val="0"/>
          <w:sz w:val="24"/>
        </w:rPr>
      </w:pPr>
      <w:r>
        <w:rPr>
          <w:rFonts w:hint="eastAsia" w:ascii="宋体" w:hAnsi="宋体" w:cs="宋体"/>
          <w:b/>
          <w:bCs/>
          <w:color w:val="000000"/>
          <w:sz w:val="28"/>
          <w:szCs w:val="28"/>
        </w:rPr>
        <w:t>四、中小企业声明函、监狱企业、残疾人福利性单位及其他相关的充分的证明材料中小企业声明函及其相关的充分的证明材料</w:t>
      </w:r>
    </w:p>
    <w:p>
      <w:pPr>
        <w:jc w:val="center"/>
        <w:rPr>
          <w:rFonts w:hint="eastAsia" w:ascii="宋体" w:hAnsi="宋体" w:cs="宋体"/>
          <w:b/>
          <w:bCs/>
          <w:sz w:val="28"/>
          <w:szCs w:val="28"/>
        </w:rPr>
      </w:pPr>
    </w:p>
    <w:p>
      <w:pPr>
        <w:jc w:val="center"/>
        <w:rPr>
          <w:rFonts w:hint="eastAsia" w:ascii="宋体" w:hAnsi="宋体" w:cs="宋体"/>
        </w:rPr>
      </w:pPr>
      <w:r>
        <w:rPr>
          <w:rFonts w:hint="eastAsia" w:ascii="宋体" w:hAnsi="宋体" w:cs="宋体"/>
          <w:b/>
          <w:bCs/>
          <w:sz w:val="28"/>
          <w:szCs w:val="28"/>
        </w:rPr>
        <w:t>中小企业声明函</w:t>
      </w:r>
    </w:p>
    <w:p>
      <w:pPr>
        <w:widowControl/>
        <w:snapToGrid w:val="0"/>
        <w:spacing w:line="600" w:lineRule="exact"/>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【不属于中小企业的无需填写、递交】</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本公司郑重声明，根据《政府采购促进中小企业发展暂行办法》（财库[2011]181 号）的规定，本公司为的______（请填写：中型、小型、微型）企业。即，本公司同时满足以下条件：</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kern w:val="0"/>
          <w:sz w:val="24"/>
          <w:u w:val="single"/>
        </w:rPr>
        <w:t>______</w:t>
      </w:r>
      <w:r>
        <w:rPr>
          <w:rFonts w:hint="eastAsia" w:ascii="宋体" w:hAnsi="宋体" w:cs="宋体"/>
          <w:color w:val="000000"/>
          <w:kern w:val="0"/>
          <w:sz w:val="24"/>
        </w:rPr>
        <w:t>（请填写：中型、小型、微型）企业。</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本公司参加______（采购人）的______（项目名称）______（标项名称）采购活动提供本企业提供服务，或者提供其他______（请填写：中型、小型、微型）企业提供服务（制造商的中小企业声明函另附）。本条所称货物不包括使用大型企业注册商标的货物。</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pBdr>
          <w:bottom w:val="single" w:color="auto" w:sz="6" w:space="1"/>
        </w:pBdr>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填写说明：</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1）投标人为中型、小型、微型企业的提供此函；</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2）中型企业不享受价格扣除，小型、微型企业的行业类别由评审专家结合投标人出具的证明材料认定；经认定不符合小型、微型企业标准的，不享受价格扣除；</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3）所投标项内的产品如由多个企业制造的，在填写企业类型时，按产品生产企业中规模最大的企业类型填写；</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4）投标产品制造商投标，提供投标人出具的《中小企业声明函》及其相关的充分的证明材料；代理商投标，提供投标人及产品制造商出具的《中小企业声明函》及其相关的充分的证明材料； </w:t>
      </w:r>
    </w:p>
    <w:p>
      <w:pPr>
        <w:widowControl/>
        <w:snapToGrid w:val="0"/>
        <w:spacing w:line="600" w:lineRule="exact"/>
        <w:ind w:firstLine="480" w:firstLineChars="200"/>
        <w:jc w:val="left"/>
        <w:rPr>
          <w:rFonts w:hint="eastAsia" w:ascii="宋体" w:hAnsi="宋体" w:cs="宋体"/>
          <w:b/>
          <w:color w:val="000000"/>
          <w:kern w:val="0"/>
          <w:sz w:val="24"/>
        </w:rPr>
      </w:pPr>
      <w:r>
        <w:rPr>
          <w:rFonts w:hint="eastAsia" w:ascii="宋体" w:hAnsi="宋体" w:cs="宋体"/>
          <w:color w:val="000000"/>
          <w:kern w:val="0"/>
          <w:sz w:val="24"/>
        </w:rPr>
        <w:t>5）注：小型、微型企业参加政府采购活动时，应提供：a）《中小企业声明函》；上述证明材料提供不齐全的，不能享受价格扣除。</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▲投标人提供的中小企业声明函与实际情况不符的，视为投标人提供虚假材料投标的，投标无效。</w:t>
      </w:r>
    </w:p>
    <w:p>
      <w:pPr>
        <w:widowControl/>
        <w:snapToGrid w:val="0"/>
        <w:spacing w:line="600" w:lineRule="exact"/>
        <w:jc w:val="center"/>
        <w:rPr>
          <w:rFonts w:hint="eastAsia" w:ascii="宋体" w:hAnsi="宋体" w:cs="宋体"/>
          <w:b/>
          <w:color w:val="000000"/>
          <w:kern w:val="0"/>
          <w:sz w:val="24"/>
        </w:rPr>
        <w:sectPr>
          <w:pgSz w:w="11906" w:h="16838"/>
          <w:pgMar w:top="993" w:right="1474" w:bottom="1134" w:left="1474" w:header="851" w:footer="641" w:gutter="0"/>
          <w:cols w:space="720" w:num="1"/>
          <w:docGrid w:type="lines" w:linePitch="315" w:charSpace="0"/>
        </w:sectPr>
      </w:pPr>
    </w:p>
    <w:p>
      <w:pPr>
        <w:widowControl/>
        <w:snapToGrid w:val="0"/>
        <w:spacing w:line="600" w:lineRule="exact"/>
        <w:jc w:val="center"/>
        <w:rPr>
          <w:rFonts w:hint="eastAsia" w:ascii="宋体" w:hAnsi="宋体" w:cs="宋体"/>
          <w:b/>
          <w:color w:val="000000"/>
          <w:kern w:val="0"/>
          <w:sz w:val="24"/>
        </w:rPr>
      </w:pPr>
      <w:r>
        <w:rPr>
          <w:rFonts w:hint="eastAsia" w:ascii="宋体" w:hAnsi="宋体" w:cs="宋体"/>
          <w:b/>
          <w:bCs/>
          <w:sz w:val="28"/>
          <w:szCs w:val="28"/>
        </w:rPr>
        <w:t>监狱企业声明函</w:t>
      </w:r>
    </w:p>
    <w:p>
      <w:pPr>
        <w:widowControl/>
        <w:snapToGrid w:val="0"/>
        <w:spacing w:line="600" w:lineRule="exact"/>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【不属于监狱企业的无需填写、递交】</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本公司郑重声明，根据《关于政府采购支持监狱企业发展有关问题的通知》 （财库[2014]68 号）的规定，本公司为</w:t>
      </w:r>
      <w:r>
        <w:rPr>
          <w:rFonts w:hint="eastAsia" w:ascii="宋体" w:hAnsi="宋体" w:cs="宋体"/>
          <w:color w:val="000000"/>
          <w:kern w:val="0"/>
          <w:sz w:val="24"/>
          <w:u w:val="single"/>
        </w:rPr>
        <w:t>监狱企业</w:t>
      </w:r>
      <w:r>
        <w:rPr>
          <w:rFonts w:hint="eastAsia" w:ascii="宋体" w:hAnsi="宋体" w:cs="宋体"/>
          <w:color w:val="000000"/>
          <w:kern w:val="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根据上述标准，我公司属于监狱企业的理由为：</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本公司为参加（</w:t>
      </w:r>
      <w:r>
        <w:rPr>
          <w:rFonts w:hint="eastAsia" w:ascii="宋体" w:hAnsi="宋体" w:cs="宋体"/>
          <w:color w:val="000000"/>
          <w:kern w:val="0"/>
          <w:sz w:val="24"/>
          <w:u w:val="single"/>
        </w:rPr>
        <w:t xml:space="preserve">    项目名称    </w:t>
      </w:r>
      <w:r>
        <w:rPr>
          <w:rFonts w:hint="eastAsia" w:ascii="宋体" w:hAnsi="宋体" w:cs="宋体"/>
          <w:color w:val="000000"/>
          <w:kern w:val="0"/>
          <w:sz w:val="24"/>
        </w:rPr>
        <w:t>） （项目编号：</w:t>
      </w:r>
      <w:r>
        <w:rPr>
          <w:rFonts w:hint="eastAsia" w:ascii="宋体" w:hAnsi="宋体" w:cs="宋体"/>
          <w:color w:val="000000"/>
          <w:kern w:val="0"/>
          <w:sz w:val="24"/>
          <w:u w:val="single"/>
        </w:rPr>
        <w:t xml:space="preserve">      </w:t>
      </w:r>
      <w:r>
        <w:rPr>
          <w:rFonts w:hint="eastAsia" w:ascii="宋体" w:hAnsi="宋体" w:cs="宋体"/>
          <w:color w:val="000000"/>
          <w:kern w:val="0"/>
          <w:sz w:val="24"/>
        </w:rPr>
        <w:t>）采购活动提供本企业提供服务。</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600" w:lineRule="exact"/>
        <w:ind w:firstLine="480" w:firstLineChars="200"/>
        <w:jc w:val="left"/>
        <w:rPr>
          <w:rFonts w:hint="eastAsia" w:ascii="宋体" w:hAnsi="宋体" w:cs="宋体"/>
          <w:color w:val="000000"/>
          <w:kern w:val="0"/>
          <w:sz w:val="24"/>
        </w:rPr>
      </w:pP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6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napToGrid w:val="0"/>
        <w:spacing w:line="600" w:lineRule="exact"/>
        <w:rPr>
          <w:rFonts w:hint="eastAsia" w:ascii="宋体" w:hAnsi="宋体" w:cs="宋体"/>
          <w:b/>
          <w:color w:val="000000"/>
          <w:spacing w:val="6"/>
          <w:sz w:val="24"/>
        </w:rPr>
      </w:pPr>
      <w:bookmarkStart w:id="183" w:name="OLE_LINK14"/>
      <w:bookmarkStart w:id="184" w:name="OLE_LINK13"/>
    </w:p>
    <w:p>
      <w:pPr>
        <w:snapToGrid w:val="0"/>
        <w:spacing w:line="600" w:lineRule="exact"/>
        <w:rPr>
          <w:rFonts w:hint="eastAsia" w:ascii="宋体" w:hAnsi="宋体" w:cs="宋体"/>
          <w:b/>
          <w:color w:val="000000"/>
          <w:spacing w:val="6"/>
          <w:sz w:val="24"/>
        </w:rPr>
      </w:pPr>
    </w:p>
    <w:p>
      <w:pPr>
        <w:snapToGrid w:val="0"/>
        <w:spacing w:line="600" w:lineRule="exact"/>
        <w:rPr>
          <w:rFonts w:hint="eastAsia" w:ascii="宋体" w:hAnsi="宋体" w:cs="宋体"/>
          <w:b/>
          <w:color w:val="000000"/>
          <w:spacing w:val="6"/>
          <w:sz w:val="24"/>
        </w:rPr>
      </w:pPr>
    </w:p>
    <w:p>
      <w:pPr>
        <w:pageBreakBefore/>
        <w:snapToGrid w:val="0"/>
        <w:spacing w:line="600" w:lineRule="exact"/>
        <w:jc w:val="center"/>
        <w:rPr>
          <w:rFonts w:hint="eastAsia" w:ascii="宋体" w:hAnsi="宋体" w:cs="宋体"/>
          <w:b/>
          <w:color w:val="000000"/>
          <w:spacing w:val="6"/>
          <w:sz w:val="24"/>
        </w:rPr>
      </w:pPr>
      <w:r>
        <w:rPr>
          <w:rFonts w:hint="eastAsia" w:ascii="宋体" w:hAnsi="宋体" w:cs="宋体"/>
          <w:b/>
          <w:bCs/>
          <w:sz w:val="28"/>
          <w:szCs w:val="28"/>
        </w:rPr>
        <w:t>残疾人福利性单位声明函</w:t>
      </w:r>
      <w:bookmarkEnd w:id="183"/>
      <w:bookmarkEnd w:id="184"/>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本单位对上述声明的真实性负责。如有虚假，将依法承担相应责任。</w:t>
      </w:r>
    </w:p>
    <w:p>
      <w:pPr>
        <w:snapToGrid w:val="0"/>
        <w:spacing w:line="600" w:lineRule="exact"/>
        <w:ind w:firstLine="480" w:firstLineChars="200"/>
        <w:rPr>
          <w:rFonts w:hint="eastAsia" w:ascii="宋体" w:hAnsi="宋体" w:cs="宋体"/>
          <w:color w:val="000000"/>
          <w:sz w:val="24"/>
        </w:rPr>
      </w:pPr>
    </w:p>
    <w:p>
      <w:pPr>
        <w:snapToGrid w:val="0"/>
        <w:spacing w:line="600" w:lineRule="exact"/>
        <w:ind w:firstLine="480" w:firstLineChars="200"/>
        <w:rPr>
          <w:rFonts w:hint="eastAsia" w:ascii="宋体" w:hAnsi="宋体" w:cs="宋体"/>
          <w:color w:val="000000"/>
          <w:sz w:val="24"/>
        </w:rPr>
      </w:pPr>
    </w:p>
    <w:p>
      <w:pPr>
        <w:tabs>
          <w:tab w:val="left" w:pos="4860"/>
        </w:tabs>
        <w:snapToGrid w:val="0"/>
        <w:spacing w:line="600" w:lineRule="exact"/>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单位名称（盖章）：</w:t>
      </w:r>
    </w:p>
    <w:p>
      <w:pPr>
        <w:tabs>
          <w:tab w:val="left" w:pos="4860"/>
        </w:tabs>
        <w:snapToGrid w:val="0"/>
        <w:spacing w:line="600" w:lineRule="exact"/>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日  期：</w:t>
      </w:r>
    </w:p>
    <w:p>
      <w:pPr>
        <w:pStyle w:val="485"/>
        <w:snapToGrid w:val="0"/>
        <w:spacing w:line="600" w:lineRule="exact"/>
        <w:ind w:left="360" w:firstLine="0" w:firstLineChars="0"/>
        <w:rPr>
          <w:rFonts w:hint="eastAsia" w:ascii="宋体" w:hAnsi="宋体" w:cs="宋体"/>
          <w:color w:val="000000"/>
          <w:sz w:val="24"/>
          <w:szCs w:val="24"/>
        </w:rPr>
      </w:pPr>
      <w:r>
        <w:rPr>
          <w:rFonts w:hint="eastAsia" w:ascii="宋体" w:hAnsi="宋体" w:cs="宋体"/>
          <w:color w:val="000000"/>
          <w:sz w:val="24"/>
          <w:szCs w:val="24"/>
        </w:rPr>
        <w:t>扶持政策说明：</w:t>
      </w:r>
    </w:p>
    <w:p>
      <w:pPr>
        <w:pStyle w:val="485"/>
        <w:snapToGrid w:val="0"/>
        <w:spacing w:line="600" w:lineRule="exact"/>
        <w:ind w:firstLine="480"/>
        <w:rPr>
          <w:rFonts w:hint="eastAsia" w:ascii="宋体" w:hAnsi="宋体" w:cs="宋体"/>
          <w:color w:val="000000"/>
          <w:sz w:val="24"/>
          <w:szCs w:val="24"/>
        </w:rPr>
      </w:pPr>
      <w:r>
        <w:rPr>
          <w:rFonts w:hint="eastAsia" w:ascii="宋体" w:hAnsi="宋体" w:cs="宋体"/>
          <w:color w:val="000000"/>
          <w:sz w:val="24"/>
          <w:szCs w:val="24"/>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cs="宋体"/>
          <w:color w:val="000000"/>
          <w:sz w:val="24"/>
          <w:szCs w:val="24"/>
          <w:u w:val="single"/>
        </w:rPr>
        <w:t>6%</w:t>
      </w:r>
      <w:r>
        <w:rPr>
          <w:rFonts w:hint="eastAsia" w:ascii="宋体" w:hAnsi="宋体" w:cs="宋体"/>
          <w:color w:val="000000"/>
          <w:sz w:val="24"/>
          <w:szCs w:val="24"/>
        </w:rPr>
        <w:t>的扣除，并用扣除后的价格计算价格评分。</w:t>
      </w:r>
    </w:p>
    <w:p>
      <w:pPr>
        <w:snapToGrid w:val="0"/>
        <w:spacing w:line="600" w:lineRule="exact"/>
        <w:ind w:firstLine="240" w:firstLineChars="100"/>
        <w:rPr>
          <w:rFonts w:hint="eastAsia" w:ascii="宋体" w:hAnsi="宋体" w:cs="宋体"/>
          <w:color w:val="000000"/>
          <w:sz w:val="24"/>
        </w:rPr>
      </w:pPr>
      <w:r>
        <w:rPr>
          <w:rFonts w:hint="eastAsia" w:ascii="宋体" w:hAnsi="宋体" w:cs="宋体"/>
          <w:color w:val="000000"/>
          <w:sz w:val="24"/>
        </w:rPr>
        <w:t>2、监狱企业视同小微企业，参加本项目投标的，享受小微企业同等的价格扣除。【注：提供《监狱企业声明函》及其相关的充分的证明材料】。</w:t>
      </w:r>
    </w:p>
    <w:p>
      <w:pPr>
        <w:pStyle w:val="485"/>
        <w:snapToGrid w:val="0"/>
        <w:spacing w:line="600" w:lineRule="exact"/>
        <w:ind w:firstLine="240" w:firstLineChars="100"/>
        <w:jc w:val="left"/>
        <w:rPr>
          <w:rFonts w:hint="eastAsia" w:ascii="宋体" w:hAnsi="宋体" w:cs="宋体"/>
          <w:color w:val="000000"/>
          <w:sz w:val="24"/>
          <w:szCs w:val="24"/>
        </w:rPr>
      </w:pPr>
      <w:r>
        <w:rPr>
          <w:rFonts w:hint="eastAsia" w:ascii="宋体" w:hAnsi="宋体" w:cs="宋体"/>
          <w:color w:val="000000"/>
          <w:sz w:val="24"/>
          <w:szCs w:val="24"/>
        </w:rPr>
        <w:t>3、残疾人福利性单位参加投标【提供《残疾人福利性单位声明函》】，视为小型、微型企业，享受小微企业政策扶持。</w:t>
      </w:r>
    </w:p>
    <w:p>
      <w:pPr>
        <w:pStyle w:val="485"/>
        <w:snapToGrid w:val="0"/>
        <w:spacing w:line="600" w:lineRule="exact"/>
        <w:ind w:left="360" w:firstLine="240" w:firstLineChars="100"/>
        <w:jc w:val="center"/>
        <w:rPr>
          <w:rFonts w:hint="eastAsia" w:ascii="宋体" w:hAnsi="宋体" w:cs="宋体"/>
          <w:color w:val="000000"/>
          <w:sz w:val="24"/>
          <w:szCs w:val="24"/>
        </w:rPr>
      </w:pPr>
    </w:p>
    <w:p>
      <w:pPr>
        <w:pStyle w:val="4"/>
        <w:snapToGrid w:val="0"/>
        <w:spacing w:line="600" w:lineRule="exact"/>
        <w:rPr>
          <w:rFonts w:hint="eastAsia" w:ascii="宋体" w:hAnsi="宋体" w:eastAsia="宋体"/>
          <w:color w:val="000000"/>
          <w:sz w:val="24"/>
          <w:szCs w:val="24"/>
        </w:rPr>
      </w:pPr>
      <w:r>
        <w:rPr>
          <w:rFonts w:hint="eastAsia" w:ascii="宋体" w:hAnsi="宋体" w:eastAsia="宋体"/>
          <w:color w:val="000000"/>
          <w:kern w:val="0"/>
          <w:sz w:val="24"/>
          <w:szCs w:val="24"/>
        </w:rPr>
        <w:br w:type="page"/>
      </w:r>
      <w:bookmarkStart w:id="185" w:name="_Toc354996708"/>
      <w:bookmarkStart w:id="186" w:name="_Toc6980"/>
      <w:r>
        <w:rPr>
          <w:rFonts w:hint="eastAsia" w:ascii="宋体" w:hAnsi="宋体" w:eastAsia="宋体"/>
          <w:color w:val="000000"/>
          <w:sz w:val="24"/>
          <w:szCs w:val="24"/>
        </w:rPr>
        <w:t>商务</w:t>
      </w:r>
      <w:bookmarkEnd w:id="185"/>
      <w:bookmarkStart w:id="187" w:name="_Toc354996709"/>
      <w:r>
        <w:rPr>
          <w:rFonts w:hint="eastAsia" w:ascii="宋体" w:hAnsi="宋体" w:eastAsia="宋体"/>
          <w:color w:val="000000"/>
          <w:sz w:val="24"/>
          <w:szCs w:val="24"/>
        </w:rPr>
        <w:t>技术文件</w:t>
      </w:r>
      <w:bookmarkEnd w:id="186"/>
    </w:p>
    <w:p>
      <w:pPr>
        <w:shd w:val="clear" w:color="auto" w:fill="FFFFFF"/>
        <w:snapToGrid w:val="0"/>
        <w:spacing w:line="600" w:lineRule="exact"/>
        <w:jc w:val="center"/>
        <w:rPr>
          <w:rFonts w:hint="eastAsia" w:ascii="宋体" w:hAnsi="宋体" w:cs="宋体"/>
          <w:b/>
          <w:color w:val="000000"/>
          <w:kern w:val="0"/>
          <w:sz w:val="24"/>
        </w:rPr>
      </w:pPr>
      <w:bookmarkStart w:id="188" w:name="_Toc27129"/>
      <w:bookmarkStart w:id="189" w:name="_Toc13349"/>
      <w:bookmarkStart w:id="190" w:name="_Toc31837"/>
      <w:bookmarkStart w:id="191" w:name="_Toc3604"/>
      <w:bookmarkStart w:id="192" w:name="_Toc20650"/>
      <w:bookmarkStart w:id="193" w:name="_Toc13194"/>
      <w:bookmarkStart w:id="194" w:name="_Toc20721"/>
      <w:bookmarkStart w:id="195" w:name="_Toc10347"/>
      <w:bookmarkStart w:id="196" w:name="_Toc7803"/>
      <w:bookmarkStart w:id="197" w:name="_Toc25554"/>
      <w:bookmarkStart w:id="198" w:name="_Toc7049"/>
      <w:r>
        <w:rPr>
          <w:rFonts w:hint="eastAsia" w:ascii="宋体" w:hAnsi="宋体" w:cs="宋体"/>
          <w:b/>
          <w:color w:val="000000"/>
          <w:kern w:val="0"/>
          <w:sz w:val="24"/>
        </w:rPr>
        <w:t>目录</w:t>
      </w:r>
      <w:bookmarkEnd w:id="188"/>
      <w:bookmarkEnd w:id="189"/>
      <w:bookmarkEnd w:id="190"/>
      <w:bookmarkEnd w:id="191"/>
      <w:bookmarkEnd w:id="192"/>
      <w:bookmarkEnd w:id="193"/>
      <w:bookmarkEnd w:id="194"/>
      <w:bookmarkEnd w:id="195"/>
      <w:bookmarkEnd w:id="196"/>
      <w:bookmarkEnd w:id="197"/>
      <w:bookmarkEnd w:id="198"/>
    </w:p>
    <w:p>
      <w:pPr>
        <w:shd w:val="clear" w:color="auto" w:fill="FFFFFF"/>
        <w:snapToGrid w:val="0"/>
        <w:spacing w:line="600" w:lineRule="exact"/>
        <w:jc w:val="left"/>
        <w:rPr>
          <w:rFonts w:hint="eastAsia" w:ascii="宋体" w:hAnsi="宋体" w:cs="宋体"/>
          <w:color w:val="000000"/>
          <w:kern w:val="0"/>
          <w:sz w:val="24"/>
        </w:rPr>
      </w:pPr>
      <w:r>
        <w:rPr>
          <w:rFonts w:hint="eastAsia" w:ascii="宋体" w:hAnsi="宋体" w:cs="宋体"/>
          <w:color w:val="000000"/>
          <w:kern w:val="0"/>
          <w:sz w:val="24"/>
        </w:rPr>
        <w:t>（1）法定代表人授权委托书…………………………………………………………（页码）</w:t>
      </w:r>
    </w:p>
    <w:p>
      <w:pPr>
        <w:shd w:val="clear" w:color="auto" w:fill="FFFFFF"/>
        <w:snapToGrid w:val="0"/>
        <w:spacing w:line="600" w:lineRule="exact"/>
        <w:jc w:val="left"/>
        <w:rPr>
          <w:rFonts w:hint="eastAsia" w:ascii="宋体" w:hAnsi="宋体" w:cs="宋体"/>
          <w:color w:val="000000"/>
          <w:kern w:val="0"/>
          <w:sz w:val="24"/>
        </w:rPr>
      </w:pPr>
      <w:r>
        <w:rPr>
          <w:rFonts w:hint="eastAsia" w:ascii="宋体" w:hAnsi="宋体" w:cs="宋体"/>
          <w:color w:val="000000"/>
          <w:kern w:val="0"/>
          <w:sz w:val="24"/>
        </w:rPr>
        <w:t>（2）法定代表人及授权代表人的身份证……………………………………………（页码）</w:t>
      </w:r>
    </w:p>
    <w:p>
      <w:pPr>
        <w:shd w:val="clear" w:color="auto" w:fill="FFFFFF"/>
        <w:snapToGrid w:val="0"/>
        <w:spacing w:line="600" w:lineRule="exact"/>
        <w:jc w:val="left"/>
        <w:rPr>
          <w:rFonts w:hint="eastAsia" w:ascii="宋体" w:hAnsi="宋体" w:cs="宋体"/>
          <w:color w:val="000000"/>
          <w:kern w:val="0"/>
          <w:sz w:val="24"/>
        </w:rPr>
      </w:pPr>
      <w:r>
        <w:rPr>
          <w:rFonts w:hint="eastAsia" w:ascii="宋体" w:hAnsi="宋体" w:cs="宋体"/>
          <w:color w:val="000000"/>
          <w:kern w:val="0"/>
          <w:sz w:val="24"/>
        </w:rPr>
        <w:t>（3）技术偏离表………………………………………………………………………（页码）</w:t>
      </w:r>
    </w:p>
    <w:p>
      <w:pPr>
        <w:shd w:val="clear" w:color="auto" w:fill="FFFFFF"/>
        <w:snapToGrid w:val="0"/>
        <w:spacing w:line="600" w:lineRule="exact"/>
        <w:jc w:val="left"/>
        <w:rPr>
          <w:rFonts w:hint="eastAsia" w:ascii="宋体" w:hAnsi="宋体" w:cs="宋体"/>
          <w:color w:val="000000"/>
          <w:sz w:val="24"/>
        </w:rPr>
      </w:pPr>
      <w:r>
        <w:rPr>
          <w:rFonts w:hint="eastAsia" w:ascii="宋体" w:hAnsi="宋体" w:cs="宋体"/>
        </w:rPr>
        <w:t>（</w:t>
      </w:r>
      <w:r>
        <w:rPr>
          <w:rFonts w:hint="eastAsia" w:ascii="宋体" w:hAnsi="宋体" w:cs="宋体"/>
          <w:color w:val="000000"/>
          <w:kern w:val="0"/>
          <w:sz w:val="24"/>
        </w:rPr>
        <w:t>4）对于评分细则提供相关证明材料………………………………………………（页码）</w:t>
      </w:r>
      <w:r>
        <w:rPr>
          <w:rFonts w:hint="eastAsia" w:ascii="宋体" w:hAnsi="宋体" w:cs="宋体"/>
          <w:color w:val="000000"/>
          <w:sz w:val="24"/>
        </w:rPr>
        <w:t>注：以上目录是编制投标技术文件的基本格式要求，各投标人可根据自身情况进一步细化。</w:t>
      </w:r>
    </w:p>
    <w:p>
      <w:pPr>
        <w:pStyle w:val="40"/>
        <w:snapToGrid w:val="0"/>
        <w:spacing w:line="600" w:lineRule="exact"/>
        <w:ind w:firstLine="480" w:firstLineChars="200"/>
        <w:jc w:val="center"/>
        <w:outlineLvl w:val="2"/>
        <w:rPr>
          <w:rFonts w:hint="eastAsia" w:ascii="宋体" w:hAnsi="宋体" w:eastAsia="宋体" w:cs="宋体"/>
          <w:b/>
          <w:color w:val="000000"/>
          <w:sz w:val="28"/>
          <w:szCs w:val="28"/>
          <w:lang w:val="zh-CN"/>
        </w:rPr>
      </w:pPr>
      <w:r>
        <w:rPr>
          <w:rFonts w:hint="eastAsia" w:ascii="宋体" w:hAnsi="宋体" w:eastAsia="宋体" w:cs="宋体"/>
          <w:color w:val="000000"/>
          <w:sz w:val="24"/>
          <w:szCs w:val="24"/>
        </w:rPr>
        <w:br w:type="page"/>
      </w:r>
      <w:bookmarkEnd w:id="187"/>
      <w:r>
        <w:rPr>
          <w:rFonts w:hint="eastAsia" w:ascii="宋体" w:hAnsi="宋体" w:eastAsia="宋体" w:cs="宋体"/>
          <w:b/>
          <w:color w:val="000000"/>
          <w:sz w:val="28"/>
          <w:szCs w:val="28"/>
          <w:lang w:val="zh-CN"/>
        </w:rPr>
        <w:t>一、法定代表人授权委托书</w:t>
      </w:r>
    </w:p>
    <w:p>
      <w:pPr>
        <w:shd w:val="clear" w:color="auto" w:fill="FFFFFF"/>
        <w:snapToGrid w:val="0"/>
        <w:spacing w:line="600" w:lineRule="exact"/>
        <w:rPr>
          <w:rFonts w:hint="eastAsia" w:ascii="宋体" w:hAnsi="宋体" w:cs="宋体"/>
          <w:color w:val="000000"/>
          <w:sz w:val="24"/>
        </w:rPr>
      </w:pPr>
      <w:r>
        <w:rPr>
          <w:rFonts w:hint="eastAsia" w:ascii="宋体" w:hAnsi="宋体" w:cs="宋体"/>
          <w:color w:val="000000"/>
          <w:sz w:val="24"/>
        </w:rPr>
        <w:t xml:space="preserve"> 杭州余杭经济技术开发区管理委员会：</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kern w:val="0"/>
          <w:sz w:val="24"/>
          <w:lang w:val="zh-CN"/>
        </w:rPr>
        <w:t>兹委派我公司</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先生/女士(其在本公司的职务是：</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，联系电话：</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)，代表我公司全权处理</w:t>
      </w:r>
      <w:r>
        <w:rPr>
          <w:rFonts w:hint="eastAsia" w:ascii="宋体" w:hAnsi="宋体" w:cs="宋体"/>
          <w:color w:val="000000"/>
          <w:sz w:val="24"/>
          <w:u w:val="single"/>
          <w:lang w:eastAsia="zh-CN"/>
        </w:rPr>
        <w:t>余杭经济技术开发区医疗器械通用检测设备采购项目</w:t>
      </w:r>
      <w:r>
        <w:rPr>
          <w:rFonts w:hint="eastAsia" w:ascii="宋体" w:hAnsi="宋体" w:cs="宋体"/>
          <w:color w:val="000000"/>
          <w:sz w:val="24"/>
        </w:rPr>
        <w:t>(编号：         )政府采购投标的一切事项，若中标则全权代表本公司签订相关合同，</w:t>
      </w:r>
      <w:r>
        <w:rPr>
          <w:rFonts w:hint="eastAsia" w:ascii="宋体" w:hAnsi="宋体" w:cs="宋体"/>
          <w:color w:val="000000"/>
          <w:kern w:val="0"/>
          <w:sz w:val="24"/>
          <w:lang w:val="zh-CN"/>
        </w:rPr>
        <w:t>并负责处理合同履行等事宜。</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lang w:val="zh-CN"/>
        </w:rPr>
        <w:t xml:space="preserve">    特此告知。</w:t>
      </w:r>
    </w:p>
    <w:p>
      <w:pPr>
        <w:shd w:val="clear" w:color="auto" w:fill="FFFFFF"/>
        <w:snapToGrid w:val="0"/>
        <w:spacing w:line="600" w:lineRule="exact"/>
        <w:rPr>
          <w:rFonts w:hint="eastAsia" w:ascii="宋体" w:hAnsi="宋体" w:cs="宋体"/>
          <w:color w:val="000000"/>
          <w:kern w:val="0"/>
          <w:sz w:val="24"/>
        </w:rPr>
      </w:pP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600" w:lineRule="exact"/>
        <w:rPr>
          <w:rFonts w:hint="eastAsia" w:ascii="宋体" w:hAnsi="宋体" w:cs="宋体"/>
          <w:color w:val="000000"/>
          <w:kern w:val="0"/>
          <w:sz w:val="24"/>
        </w:rPr>
      </w:pPr>
      <w:r>
        <w:rPr>
          <w:rFonts w:hint="eastAsia" w:ascii="宋体" w:hAnsi="宋体" w:cs="宋体"/>
          <w:color w:val="000000"/>
          <w:kern w:val="0"/>
          <w:sz w:val="24"/>
          <w:lang w:val="zh-CN"/>
        </w:rPr>
        <w:t xml:space="preserve">                                           法定代表人(签字或盖章)：</w:t>
      </w:r>
    </w:p>
    <w:p>
      <w:pPr>
        <w:shd w:val="clear" w:color="auto" w:fill="FFFFFF"/>
        <w:snapToGrid w:val="0"/>
        <w:spacing w:line="600" w:lineRule="exact"/>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600" w:lineRule="exact"/>
        <w:ind w:right="480"/>
        <w:jc w:val="center"/>
        <w:rPr>
          <w:rFonts w:hint="eastAsia" w:ascii="宋体" w:hAnsi="宋体" w:cs="宋体"/>
          <w:b/>
          <w:bCs/>
          <w:color w:val="000000"/>
          <w:kern w:val="0"/>
          <w:sz w:val="24"/>
          <w:lang w:val="zh-CN"/>
        </w:rPr>
      </w:pPr>
    </w:p>
    <w:p>
      <w:pPr>
        <w:shd w:val="clear" w:color="auto" w:fill="FFFFFF"/>
        <w:snapToGrid w:val="0"/>
        <w:spacing w:line="600" w:lineRule="exact"/>
        <w:ind w:firstLine="482" w:firstLineChars="200"/>
        <w:rPr>
          <w:rFonts w:hint="eastAsia" w:ascii="宋体" w:hAnsi="宋体" w:cs="宋体"/>
          <w:b/>
          <w:bCs/>
          <w:color w:val="000000"/>
          <w:kern w:val="0"/>
          <w:sz w:val="24"/>
          <w:lang w:val="zh-CN"/>
        </w:rPr>
      </w:pPr>
    </w:p>
    <w:p>
      <w:pPr>
        <w:pStyle w:val="40"/>
        <w:snapToGrid w:val="0"/>
        <w:spacing w:line="600" w:lineRule="exact"/>
        <w:ind w:firstLine="482" w:firstLineChars="200"/>
        <w:jc w:val="center"/>
        <w:outlineLvl w:val="2"/>
        <w:rPr>
          <w:rFonts w:hint="eastAsia" w:ascii="宋体" w:hAnsi="宋体" w:eastAsia="宋体" w:cs="宋体"/>
          <w:b/>
          <w:color w:val="000000"/>
          <w:sz w:val="24"/>
          <w:szCs w:val="24"/>
          <w:lang w:val="zh-CN"/>
        </w:rPr>
        <w:sectPr>
          <w:pgSz w:w="11906" w:h="16838"/>
          <w:pgMar w:top="993" w:right="1474" w:bottom="1134" w:left="1474" w:header="851" w:footer="641" w:gutter="0"/>
          <w:cols w:space="720" w:num="1"/>
          <w:docGrid w:type="lines" w:linePitch="315" w:charSpace="0"/>
        </w:sect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二、法定代表人及授权代表人的身份证 (复印件加盖公章)</w:t>
      </w:r>
    </w:p>
    <w:p>
      <w:pPr>
        <w:shd w:val="clear" w:color="auto" w:fill="FFFFFF"/>
        <w:snapToGrid w:val="0"/>
        <w:spacing w:line="600" w:lineRule="exact"/>
        <w:ind w:right="480"/>
        <w:jc w:val="center"/>
        <w:rPr>
          <w:rFonts w:hint="eastAsia" w:ascii="宋体" w:hAnsi="宋体" w:cs="宋体"/>
          <w:b/>
          <w:bCs/>
          <w:color w:val="000000"/>
          <w:kern w:val="0"/>
          <w:sz w:val="24"/>
          <w:lang w:val="zh-CN"/>
        </w:rPr>
      </w:pPr>
    </w:p>
    <w:p>
      <w:pPr>
        <w:pStyle w:val="2"/>
        <w:snapToGrid w:val="0"/>
        <w:spacing w:line="600" w:lineRule="exact"/>
        <w:ind w:firstLine="480"/>
        <w:jc w:val="center"/>
        <w:rPr>
          <w:rFonts w:hint="eastAsia" w:ascii="宋体" w:hAnsi="宋体" w:eastAsia="宋体" w:cs="宋体"/>
          <w:color w:val="000000"/>
          <w:sz w:val="24"/>
          <w:szCs w:val="24"/>
        </w:rPr>
      </w:pPr>
    </w:p>
    <w:p>
      <w:pPr>
        <w:pStyle w:val="2"/>
        <w:snapToGrid w:val="0"/>
        <w:spacing w:line="600" w:lineRule="exact"/>
        <w:ind w:firstLine="480"/>
        <w:jc w:val="center"/>
        <w:rPr>
          <w:rFonts w:hint="eastAsia" w:ascii="宋体" w:hAnsi="宋体" w:eastAsia="宋体" w:cs="宋体"/>
          <w:color w:val="000000"/>
          <w:sz w:val="24"/>
          <w:szCs w:val="24"/>
        </w:rPr>
      </w:pPr>
    </w:p>
    <w:p>
      <w:pPr>
        <w:snapToGrid w:val="0"/>
        <w:spacing w:line="600" w:lineRule="exact"/>
        <w:jc w:val="center"/>
        <w:outlineLvl w:val="2"/>
        <w:rPr>
          <w:rFonts w:hint="eastAsia" w:ascii="宋体" w:hAnsi="宋体" w:cs="宋体"/>
          <w:b/>
          <w:color w:val="000000"/>
          <w:sz w:val="24"/>
        </w:rPr>
      </w:pPr>
    </w:p>
    <w:p>
      <w:pPr>
        <w:snapToGrid w:val="0"/>
        <w:spacing w:line="600" w:lineRule="exact"/>
        <w:jc w:val="center"/>
        <w:outlineLvl w:val="2"/>
        <w:rPr>
          <w:rFonts w:hint="eastAsia" w:ascii="宋体" w:hAnsi="宋体" w:cs="宋体"/>
          <w:b/>
          <w:color w:val="000000"/>
          <w:sz w:val="28"/>
          <w:szCs w:val="28"/>
          <w:lang w:val="zh-CN"/>
        </w:rPr>
      </w:pPr>
      <w:r>
        <w:rPr>
          <w:rFonts w:hint="eastAsia" w:ascii="宋体" w:hAnsi="宋体" w:cs="宋体"/>
          <w:b/>
          <w:color w:val="000000"/>
          <w:sz w:val="28"/>
          <w:szCs w:val="28"/>
        </w:rPr>
        <w:t>三、</w:t>
      </w:r>
      <w:r>
        <w:rPr>
          <w:rFonts w:hint="eastAsia" w:ascii="宋体" w:hAnsi="宋体" w:cs="宋体"/>
          <w:b/>
          <w:color w:val="000000"/>
          <w:sz w:val="28"/>
          <w:szCs w:val="28"/>
          <w:lang w:val="zh-CN"/>
        </w:rPr>
        <w:t>技术偏离表</w:t>
      </w:r>
    </w:p>
    <w:p>
      <w:pPr>
        <w:autoSpaceDE w:val="0"/>
        <w:autoSpaceDN w:val="0"/>
        <w:adjustRightInd w:val="0"/>
        <w:spacing w:line="440" w:lineRule="exact"/>
        <w:ind w:firstLine="361" w:firstLineChars="150"/>
        <w:rPr>
          <w:rFonts w:hint="eastAsia" w:ascii="宋体" w:hAnsi="宋体" w:cs="宋体"/>
          <w:b/>
          <w:kern w:val="0"/>
          <w:sz w:val="24"/>
        </w:rPr>
      </w:pPr>
      <w:r>
        <w:rPr>
          <w:rFonts w:hint="eastAsia" w:ascii="宋体" w:hAnsi="宋体" w:cs="宋体"/>
          <w:b/>
          <w:kern w:val="0"/>
          <w:sz w:val="24"/>
        </w:rPr>
        <w:t xml:space="preserve">项目编号： </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序号</w:t>
            </w:r>
          </w:p>
        </w:tc>
        <w:tc>
          <w:tcPr>
            <w:tcW w:w="1855" w:type="dxa"/>
            <w:tcBorders>
              <w:bottom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内  容</w:t>
            </w:r>
          </w:p>
        </w:tc>
        <w:tc>
          <w:tcPr>
            <w:tcW w:w="1957" w:type="dxa"/>
            <w:tcBorders>
              <w:bottom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招标文件</w:t>
            </w:r>
          </w:p>
          <w:p>
            <w:pPr>
              <w:jc w:val="center"/>
              <w:rPr>
                <w:rFonts w:hint="eastAsia" w:ascii="宋体" w:hAnsi="宋体" w:cs="宋体"/>
                <w:b/>
                <w:sz w:val="24"/>
              </w:rPr>
            </w:pPr>
            <w:r>
              <w:rPr>
                <w:rFonts w:hint="eastAsia" w:ascii="宋体" w:hAnsi="宋体" w:cs="宋体"/>
                <w:b/>
                <w:sz w:val="24"/>
              </w:rPr>
              <w:t>规范要求</w:t>
            </w:r>
          </w:p>
        </w:tc>
        <w:tc>
          <w:tcPr>
            <w:tcW w:w="1620" w:type="dxa"/>
            <w:tcBorders>
              <w:bottom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投标文件</w:t>
            </w:r>
          </w:p>
          <w:p>
            <w:pPr>
              <w:jc w:val="center"/>
              <w:rPr>
                <w:rFonts w:hint="eastAsia" w:ascii="宋体" w:hAnsi="宋体" w:cs="宋体"/>
                <w:b/>
                <w:sz w:val="24"/>
              </w:rPr>
            </w:pPr>
            <w:r>
              <w:rPr>
                <w:rFonts w:hint="eastAsia" w:ascii="宋体" w:hAnsi="宋体" w:cs="宋体"/>
                <w:b/>
                <w:sz w:val="24"/>
              </w:rPr>
              <w:t>对应规范</w:t>
            </w:r>
          </w:p>
        </w:tc>
        <w:tc>
          <w:tcPr>
            <w:tcW w:w="2524" w:type="dxa"/>
            <w:tcBorders>
              <w:bottom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jc w:val="center"/>
              <w:rPr>
                <w:rFonts w:hint="eastAsia" w:ascii="宋体" w:hAnsi="宋体" w:cs="宋体"/>
                <w:sz w:val="24"/>
              </w:rPr>
            </w:pPr>
          </w:p>
        </w:tc>
        <w:tc>
          <w:tcPr>
            <w:tcW w:w="1855" w:type="dxa"/>
            <w:noWrap w:val="0"/>
            <w:vAlign w:val="top"/>
          </w:tcPr>
          <w:p>
            <w:pPr>
              <w:spacing w:line="360" w:lineRule="auto"/>
              <w:rPr>
                <w:rFonts w:hint="eastAsia" w:ascii="宋体" w:hAnsi="宋体" w:cs="宋体"/>
                <w:sz w:val="24"/>
              </w:rPr>
            </w:pPr>
          </w:p>
        </w:tc>
        <w:tc>
          <w:tcPr>
            <w:tcW w:w="1957" w:type="dxa"/>
            <w:noWrap w:val="0"/>
            <w:vAlign w:val="top"/>
          </w:tcPr>
          <w:p>
            <w:pPr>
              <w:spacing w:line="360" w:lineRule="auto"/>
              <w:rPr>
                <w:rFonts w:hint="eastAsia" w:ascii="宋体" w:hAnsi="宋体" w:cs="宋体"/>
                <w:sz w:val="24"/>
              </w:rPr>
            </w:pPr>
          </w:p>
        </w:tc>
        <w:tc>
          <w:tcPr>
            <w:tcW w:w="1620" w:type="dxa"/>
            <w:noWrap w:val="0"/>
            <w:vAlign w:val="top"/>
          </w:tcPr>
          <w:p>
            <w:pPr>
              <w:spacing w:line="360" w:lineRule="auto"/>
              <w:rPr>
                <w:rFonts w:hint="eastAsia" w:ascii="宋体" w:hAnsi="宋体" w:cs="宋体"/>
                <w:sz w:val="24"/>
              </w:rPr>
            </w:pPr>
          </w:p>
        </w:tc>
        <w:tc>
          <w:tcPr>
            <w:tcW w:w="2524"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rPr>
                <w:rFonts w:hint="eastAsia" w:ascii="宋体" w:hAnsi="宋体" w:cs="宋体"/>
                <w:sz w:val="24"/>
              </w:rPr>
            </w:pPr>
          </w:p>
        </w:tc>
        <w:tc>
          <w:tcPr>
            <w:tcW w:w="1855" w:type="dxa"/>
            <w:noWrap w:val="0"/>
            <w:vAlign w:val="top"/>
          </w:tcPr>
          <w:p>
            <w:pPr>
              <w:spacing w:line="360" w:lineRule="auto"/>
              <w:rPr>
                <w:rFonts w:hint="eastAsia" w:ascii="宋体" w:hAnsi="宋体" w:cs="宋体"/>
                <w:sz w:val="24"/>
              </w:rPr>
            </w:pPr>
          </w:p>
        </w:tc>
        <w:tc>
          <w:tcPr>
            <w:tcW w:w="1957" w:type="dxa"/>
            <w:noWrap w:val="0"/>
            <w:vAlign w:val="top"/>
          </w:tcPr>
          <w:p>
            <w:pPr>
              <w:spacing w:line="360" w:lineRule="auto"/>
              <w:rPr>
                <w:rFonts w:hint="eastAsia" w:ascii="宋体" w:hAnsi="宋体" w:cs="宋体"/>
                <w:sz w:val="24"/>
              </w:rPr>
            </w:pPr>
          </w:p>
        </w:tc>
        <w:tc>
          <w:tcPr>
            <w:tcW w:w="1620" w:type="dxa"/>
            <w:noWrap w:val="0"/>
            <w:vAlign w:val="top"/>
          </w:tcPr>
          <w:p>
            <w:pPr>
              <w:spacing w:line="360" w:lineRule="auto"/>
              <w:rPr>
                <w:rFonts w:hint="eastAsia" w:ascii="宋体" w:hAnsi="宋体" w:cs="宋体"/>
                <w:sz w:val="24"/>
              </w:rPr>
            </w:pPr>
          </w:p>
        </w:tc>
        <w:tc>
          <w:tcPr>
            <w:tcW w:w="2524"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rPr>
                <w:rFonts w:hint="eastAsia" w:ascii="宋体" w:hAnsi="宋体" w:cs="宋体"/>
                <w:sz w:val="24"/>
              </w:rPr>
            </w:pPr>
          </w:p>
        </w:tc>
        <w:tc>
          <w:tcPr>
            <w:tcW w:w="1855" w:type="dxa"/>
            <w:noWrap w:val="0"/>
            <w:vAlign w:val="top"/>
          </w:tcPr>
          <w:p>
            <w:pPr>
              <w:spacing w:line="360" w:lineRule="auto"/>
              <w:rPr>
                <w:rFonts w:hint="eastAsia" w:ascii="宋体" w:hAnsi="宋体" w:cs="宋体"/>
                <w:sz w:val="24"/>
              </w:rPr>
            </w:pPr>
          </w:p>
        </w:tc>
        <w:tc>
          <w:tcPr>
            <w:tcW w:w="1957" w:type="dxa"/>
            <w:noWrap w:val="0"/>
            <w:vAlign w:val="top"/>
          </w:tcPr>
          <w:p>
            <w:pPr>
              <w:spacing w:line="360" w:lineRule="auto"/>
              <w:rPr>
                <w:rFonts w:hint="eastAsia" w:ascii="宋体" w:hAnsi="宋体" w:cs="宋体"/>
                <w:sz w:val="24"/>
              </w:rPr>
            </w:pPr>
          </w:p>
        </w:tc>
        <w:tc>
          <w:tcPr>
            <w:tcW w:w="1620" w:type="dxa"/>
            <w:noWrap w:val="0"/>
            <w:vAlign w:val="top"/>
          </w:tcPr>
          <w:p>
            <w:pPr>
              <w:spacing w:line="360" w:lineRule="auto"/>
              <w:rPr>
                <w:rFonts w:hint="eastAsia" w:ascii="宋体" w:hAnsi="宋体" w:cs="宋体"/>
                <w:sz w:val="24"/>
              </w:rPr>
            </w:pPr>
          </w:p>
        </w:tc>
        <w:tc>
          <w:tcPr>
            <w:tcW w:w="2524"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pPr>
              <w:spacing w:line="360" w:lineRule="auto"/>
              <w:rPr>
                <w:rFonts w:hint="eastAsia" w:ascii="宋体" w:hAnsi="宋体" w:cs="宋体"/>
                <w:sz w:val="24"/>
              </w:rPr>
            </w:pPr>
          </w:p>
        </w:tc>
        <w:tc>
          <w:tcPr>
            <w:tcW w:w="1855" w:type="dxa"/>
            <w:noWrap w:val="0"/>
            <w:vAlign w:val="top"/>
          </w:tcPr>
          <w:p>
            <w:pPr>
              <w:spacing w:line="360" w:lineRule="auto"/>
              <w:rPr>
                <w:rFonts w:hint="eastAsia" w:ascii="宋体" w:hAnsi="宋体" w:cs="宋体"/>
                <w:sz w:val="24"/>
              </w:rPr>
            </w:pPr>
          </w:p>
        </w:tc>
        <w:tc>
          <w:tcPr>
            <w:tcW w:w="1957" w:type="dxa"/>
            <w:noWrap w:val="0"/>
            <w:vAlign w:val="top"/>
          </w:tcPr>
          <w:p>
            <w:pPr>
              <w:spacing w:line="360" w:lineRule="auto"/>
              <w:rPr>
                <w:rFonts w:hint="eastAsia" w:ascii="宋体" w:hAnsi="宋体" w:cs="宋体"/>
                <w:sz w:val="24"/>
              </w:rPr>
            </w:pPr>
          </w:p>
        </w:tc>
        <w:tc>
          <w:tcPr>
            <w:tcW w:w="1620" w:type="dxa"/>
            <w:noWrap w:val="0"/>
            <w:vAlign w:val="top"/>
          </w:tcPr>
          <w:p>
            <w:pPr>
              <w:spacing w:line="360" w:lineRule="auto"/>
              <w:rPr>
                <w:rFonts w:hint="eastAsia" w:ascii="宋体" w:hAnsi="宋体" w:cs="宋体"/>
                <w:sz w:val="24"/>
              </w:rPr>
            </w:pPr>
          </w:p>
        </w:tc>
        <w:tc>
          <w:tcPr>
            <w:tcW w:w="2524" w:type="dxa"/>
            <w:noWrap w:val="0"/>
            <w:vAlign w:val="top"/>
          </w:tcPr>
          <w:p>
            <w:pPr>
              <w:spacing w:line="360" w:lineRule="auto"/>
              <w:rPr>
                <w:rFonts w:hint="eastAsia" w:ascii="宋体" w:hAnsi="宋体" w:cs="宋体"/>
                <w:sz w:val="24"/>
              </w:rPr>
            </w:pPr>
          </w:p>
        </w:tc>
      </w:tr>
    </w:tbl>
    <w:p>
      <w:pPr>
        <w:autoSpaceDE w:val="0"/>
        <w:autoSpaceDN w:val="0"/>
        <w:adjustRightInd w:val="0"/>
        <w:spacing w:line="440" w:lineRule="exact"/>
        <w:rPr>
          <w:rFonts w:hint="eastAsia" w:ascii="宋体" w:hAnsi="宋体" w:cs="宋体"/>
          <w:kern w:val="0"/>
          <w:sz w:val="24"/>
        </w:rPr>
      </w:pPr>
      <w:r>
        <w:rPr>
          <w:rFonts w:hint="eastAsia" w:ascii="宋体" w:hAnsi="宋体" w:cs="宋体"/>
          <w:kern w:val="0"/>
          <w:sz w:val="24"/>
        </w:rPr>
        <w:t>备注：投标人应根据投标设备的性能指标、对照招标文件要求在“偏离情况”栏注明“正偏离”、“负偏离”或“无偏离”。</w:t>
      </w:r>
    </w:p>
    <w:p>
      <w:pPr>
        <w:wordWrap w:val="0"/>
        <w:autoSpaceDE w:val="0"/>
        <w:autoSpaceDN w:val="0"/>
        <w:adjustRightInd w:val="0"/>
        <w:spacing w:line="440" w:lineRule="exact"/>
        <w:jc w:val="right"/>
        <w:rPr>
          <w:rFonts w:hint="eastAsia" w:ascii="宋体" w:hAnsi="宋体" w:cs="宋体"/>
          <w:color w:val="000000"/>
          <w:sz w:val="24"/>
        </w:rPr>
      </w:pPr>
      <w:r>
        <w:rPr>
          <w:rFonts w:hint="eastAsia" w:ascii="宋体" w:hAnsi="宋体" w:cs="宋体"/>
          <w:kern w:val="0"/>
          <w:sz w:val="24"/>
          <w:lang w:val="zh-CN"/>
        </w:rPr>
        <w:t xml:space="preserve">        </w:t>
      </w:r>
    </w:p>
    <w:p>
      <w:pPr>
        <w:snapToGrid w:val="0"/>
        <w:spacing w:line="600" w:lineRule="exact"/>
        <w:ind w:firstLine="240" w:firstLineChars="100"/>
        <w:rPr>
          <w:rFonts w:hint="eastAsia" w:ascii="宋体" w:hAnsi="宋体" w:cs="宋体"/>
          <w:color w:val="000000"/>
          <w:sz w:val="24"/>
        </w:rPr>
      </w:pPr>
    </w:p>
    <w:p>
      <w:pPr>
        <w:snapToGrid w:val="0"/>
        <w:spacing w:line="600" w:lineRule="exact"/>
        <w:ind w:firstLine="240" w:firstLineChars="100"/>
        <w:rPr>
          <w:rFonts w:hint="eastAsia" w:ascii="宋体" w:hAnsi="宋体" w:cs="宋体"/>
          <w:color w:val="000000"/>
          <w:sz w:val="24"/>
        </w:rPr>
      </w:pPr>
    </w:p>
    <w:p>
      <w:pPr>
        <w:snapToGrid w:val="0"/>
        <w:spacing w:line="600" w:lineRule="exact"/>
        <w:ind w:firstLine="240" w:firstLineChars="100"/>
        <w:rPr>
          <w:rFonts w:hint="eastAsia" w:ascii="宋体" w:hAnsi="宋体" w:cs="宋体"/>
          <w:color w:val="000000"/>
          <w:sz w:val="24"/>
        </w:rPr>
      </w:pPr>
    </w:p>
    <w:p>
      <w:pPr>
        <w:snapToGrid w:val="0"/>
        <w:spacing w:line="600" w:lineRule="exact"/>
        <w:ind w:firstLine="241" w:firstLineChars="100"/>
        <w:rPr>
          <w:rFonts w:hint="eastAsia" w:ascii="宋体" w:hAnsi="宋体" w:cs="宋体"/>
          <w:b/>
          <w:bCs/>
          <w:color w:val="000000"/>
          <w:sz w:val="24"/>
        </w:rPr>
      </w:pPr>
    </w:p>
    <w:p>
      <w:pPr>
        <w:autoSpaceDE w:val="0"/>
        <w:autoSpaceDN w:val="0"/>
        <w:snapToGrid w:val="0"/>
        <w:spacing w:line="600" w:lineRule="exact"/>
        <w:ind w:firstLine="5160" w:firstLineChars="2150"/>
        <w:rPr>
          <w:rFonts w:hint="eastAsia" w:ascii="宋体" w:hAnsi="宋体" w:cs="宋体"/>
          <w:color w:val="000000"/>
          <w:kern w:val="0"/>
          <w:sz w:val="24"/>
          <w:lang w:val="zh-CN"/>
        </w:rPr>
      </w:pPr>
    </w:p>
    <w:p>
      <w:pPr>
        <w:autoSpaceDE w:val="0"/>
        <w:autoSpaceDN w:val="0"/>
        <w:snapToGrid w:val="0"/>
        <w:spacing w:line="600" w:lineRule="exact"/>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autoSpaceDE w:val="0"/>
        <w:autoSpaceDN w:val="0"/>
        <w:snapToGrid w:val="0"/>
        <w:spacing w:line="6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授权代表人（签字）：</w:t>
      </w:r>
    </w:p>
    <w:p>
      <w:pPr>
        <w:autoSpaceDE w:val="0"/>
        <w:autoSpaceDN w:val="0"/>
        <w:snapToGrid w:val="0"/>
        <w:spacing w:line="600" w:lineRule="exact"/>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autoSpaceDE w:val="0"/>
        <w:autoSpaceDN w:val="0"/>
        <w:snapToGrid w:val="0"/>
        <w:spacing w:line="600" w:lineRule="exact"/>
        <w:ind w:firstLine="5160" w:firstLineChars="2150"/>
        <w:rPr>
          <w:rFonts w:hint="eastAsia" w:ascii="宋体" w:hAnsi="宋体" w:cs="宋体"/>
          <w:color w:val="000000"/>
          <w:kern w:val="0"/>
          <w:sz w:val="24"/>
          <w:lang w:val="zh-CN"/>
        </w:rPr>
      </w:pPr>
    </w:p>
    <w:p>
      <w:pPr>
        <w:snapToGrid w:val="0"/>
        <w:spacing w:line="600" w:lineRule="exact"/>
        <w:ind w:firstLine="241" w:firstLineChars="100"/>
        <w:rPr>
          <w:rFonts w:hint="eastAsia" w:ascii="宋体" w:hAnsi="宋体" w:cs="宋体"/>
          <w:b/>
          <w:bCs/>
          <w:color w:val="000000"/>
          <w:sz w:val="24"/>
        </w:r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pStyle w:val="40"/>
        <w:snapToGrid w:val="0"/>
        <w:spacing w:line="600" w:lineRule="exact"/>
        <w:ind w:firstLine="562" w:firstLineChars="200"/>
        <w:jc w:val="center"/>
        <w:outlineLvl w:val="2"/>
        <w:rPr>
          <w:rFonts w:hint="eastAsia" w:ascii="宋体" w:hAnsi="宋体" w:eastAsia="宋体" w:cs="宋体"/>
          <w:b/>
          <w:color w:val="000000"/>
          <w:sz w:val="24"/>
          <w:szCs w:val="24"/>
          <w:lang w:val="zh-CN"/>
        </w:rPr>
      </w:pPr>
      <w:r>
        <w:rPr>
          <w:rFonts w:hint="eastAsia" w:ascii="宋体" w:hAnsi="宋体" w:eastAsia="宋体" w:cs="宋体"/>
          <w:b/>
          <w:color w:val="000000"/>
          <w:sz w:val="28"/>
          <w:szCs w:val="28"/>
          <w:lang w:val="zh-CN"/>
        </w:rPr>
        <w:t>四、对于评分细则提供相关证明材料</w:t>
      </w:r>
    </w:p>
    <w:p>
      <w:pPr>
        <w:shd w:val="clear" w:color="auto" w:fill="FFFFFF"/>
        <w:snapToGrid w:val="0"/>
        <w:spacing w:line="600" w:lineRule="exact"/>
        <w:jc w:val="center"/>
        <w:rPr>
          <w:rFonts w:hint="eastAsia" w:ascii="宋体" w:hAnsi="宋体" w:cs="宋体"/>
          <w:b/>
          <w:bCs/>
          <w:color w:val="000000"/>
          <w:sz w:val="24"/>
        </w:rPr>
      </w:pPr>
    </w:p>
    <w:p>
      <w:pPr>
        <w:shd w:val="clear" w:color="auto" w:fill="FFFFFF"/>
        <w:snapToGrid w:val="0"/>
        <w:spacing w:line="600" w:lineRule="exact"/>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shd w:val="clear" w:color="auto" w:fill="FFFFFF"/>
        <w:snapToGrid w:val="0"/>
        <w:spacing w:line="6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授权代表人（签字）：</w:t>
      </w:r>
    </w:p>
    <w:p>
      <w:pPr>
        <w:shd w:val="clear" w:color="auto" w:fill="FFFFFF"/>
        <w:snapToGrid w:val="0"/>
        <w:spacing w:line="600" w:lineRule="exact"/>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27"/>
        <w:rPr>
          <w:rFonts w:hint="eastAsia" w:cs="宋体"/>
          <w:color w:val="000000"/>
        </w:r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autoSpaceDE w:val="0"/>
        <w:autoSpaceDN w:val="0"/>
        <w:adjustRightInd w:val="0"/>
        <w:spacing w:line="400" w:lineRule="atLeast"/>
        <w:jc w:val="center"/>
        <w:rPr>
          <w:rFonts w:hint="eastAsia" w:ascii="宋体" w:hAnsi="宋体" w:cs="宋体"/>
          <w:b/>
          <w:color w:val="000000"/>
          <w:kern w:val="0"/>
          <w:sz w:val="32"/>
          <w:szCs w:val="32"/>
        </w:rPr>
      </w:pPr>
      <w:r>
        <w:rPr>
          <w:rFonts w:hint="eastAsia" w:ascii="宋体" w:hAnsi="宋体" w:cs="宋体"/>
          <w:b/>
          <w:color w:val="000000"/>
          <w:kern w:val="0"/>
          <w:sz w:val="32"/>
          <w:szCs w:val="32"/>
        </w:rPr>
        <w:t>五</w:t>
      </w:r>
      <w:r>
        <w:rPr>
          <w:rFonts w:hint="eastAsia" w:ascii="宋体" w:hAnsi="宋体" w:cs="宋体"/>
          <w:b/>
          <w:color w:val="000000"/>
          <w:kern w:val="0"/>
          <w:sz w:val="32"/>
          <w:szCs w:val="32"/>
          <w:lang w:val="zh-CN"/>
        </w:rPr>
        <w:t>、</w:t>
      </w:r>
      <w:r>
        <w:rPr>
          <w:rFonts w:hint="eastAsia" w:ascii="宋体" w:hAnsi="宋体" w:cs="宋体"/>
          <w:b/>
          <w:color w:val="000000"/>
          <w:kern w:val="0"/>
          <w:sz w:val="32"/>
          <w:szCs w:val="32"/>
        </w:rPr>
        <w:t>采购需求实质性内容响应表</w:t>
      </w:r>
    </w:p>
    <w:p>
      <w:pPr>
        <w:autoSpaceDE w:val="0"/>
        <w:autoSpaceDN w:val="0"/>
        <w:adjustRightInd w:val="0"/>
        <w:spacing w:line="360" w:lineRule="auto"/>
        <w:jc w:val="center"/>
        <w:rPr>
          <w:rFonts w:hint="eastAsia" w:ascii="宋体" w:hAnsi="宋体" w:cs="宋体"/>
          <w:b/>
          <w:color w:val="000000"/>
          <w:kern w:val="0"/>
          <w:sz w:val="32"/>
          <w:szCs w:val="32"/>
        </w:rPr>
      </w:pPr>
    </w:p>
    <w:p>
      <w:pPr>
        <w:autoSpaceDE w:val="0"/>
        <w:autoSpaceDN w:val="0"/>
        <w:adjustRightInd w:val="0"/>
        <w:spacing w:line="360" w:lineRule="auto"/>
        <w:ind w:firstLine="360" w:firstLineChars="150"/>
        <w:rPr>
          <w:rFonts w:hint="eastAsia" w:ascii="宋体" w:hAnsi="宋体" w:cs="宋体"/>
          <w:color w:val="000000"/>
          <w:kern w:val="0"/>
          <w:sz w:val="24"/>
        </w:rPr>
      </w:pPr>
      <w:r>
        <w:rPr>
          <w:rFonts w:hint="eastAsia" w:ascii="宋体" w:hAnsi="宋体" w:cs="宋体"/>
          <w:color w:val="000000"/>
          <w:kern w:val="0"/>
          <w:sz w:val="24"/>
        </w:rPr>
        <w:t xml:space="preserve">项目名称：                                   项目编号： </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92"/>
        <w:gridCol w:w="1843"/>
        <w:gridCol w:w="2091"/>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noWrap w:val="0"/>
            <w:vAlign w:val="center"/>
          </w:tcPr>
          <w:p>
            <w:pPr>
              <w:spacing w:line="360" w:lineRule="auto"/>
              <w:jc w:val="center"/>
              <w:rPr>
                <w:rFonts w:hint="eastAsia" w:ascii="宋体" w:hAnsi="宋体" w:cs="宋体"/>
                <w:b/>
                <w:color w:val="000000"/>
                <w:sz w:val="24"/>
              </w:rPr>
            </w:pPr>
            <w:r>
              <w:rPr>
                <w:rFonts w:hint="eastAsia" w:ascii="宋体" w:hAnsi="宋体" w:cs="宋体"/>
                <w:b/>
                <w:color w:val="000000"/>
                <w:sz w:val="24"/>
              </w:rPr>
              <w:t>序号</w:t>
            </w:r>
          </w:p>
        </w:tc>
        <w:tc>
          <w:tcPr>
            <w:tcW w:w="2292" w:type="dxa"/>
            <w:noWrap w:val="0"/>
            <w:vAlign w:val="center"/>
          </w:tcPr>
          <w:p>
            <w:pPr>
              <w:spacing w:line="360" w:lineRule="auto"/>
              <w:jc w:val="center"/>
              <w:rPr>
                <w:rFonts w:hint="eastAsia" w:ascii="宋体" w:hAnsi="宋体" w:cs="宋体"/>
                <w:b/>
                <w:color w:val="000000"/>
                <w:sz w:val="24"/>
              </w:rPr>
            </w:pPr>
            <w:r>
              <w:rPr>
                <w:rFonts w:hint="eastAsia" w:ascii="宋体" w:hAnsi="宋体" w:cs="宋体"/>
                <w:b/>
                <w:color w:val="000000"/>
                <w:sz w:val="24"/>
              </w:rPr>
              <w:t>实质性条款</w:t>
            </w:r>
          </w:p>
        </w:tc>
        <w:tc>
          <w:tcPr>
            <w:tcW w:w="1843" w:type="dxa"/>
            <w:noWrap w:val="0"/>
            <w:vAlign w:val="center"/>
          </w:tcPr>
          <w:p>
            <w:pPr>
              <w:spacing w:line="360" w:lineRule="auto"/>
              <w:jc w:val="center"/>
              <w:rPr>
                <w:rFonts w:hint="eastAsia" w:ascii="宋体" w:hAnsi="宋体" w:cs="宋体"/>
                <w:b/>
                <w:color w:val="000000"/>
                <w:sz w:val="24"/>
              </w:rPr>
            </w:pPr>
            <w:r>
              <w:rPr>
                <w:rFonts w:hint="eastAsia" w:ascii="宋体" w:hAnsi="宋体" w:cs="宋体"/>
                <w:b/>
                <w:color w:val="000000"/>
                <w:sz w:val="24"/>
              </w:rPr>
              <w:t>招标文件要求</w:t>
            </w:r>
          </w:p>
        </w:tc>
        <w:tc>
          <w:tcPr>
            <w:tcW w:w="2091" w:type="dxa"/>
            <w:noWrap w:val="0"/>
            <w:vAlign w:val="center"/>
          </w:tcPr>
          <w:p>
            <w:pPr>
              <w:spacing w:line="360" w:lineRule="auto"/>
              <w:rPr>
                <w:rFonts w:hint="eastAsia" w:ascii="宋体" w:hAnsi="宋体" w:cs="宋体"/>
                <w:b/>
                <w:color w:val="000000"/>
                <w:sz w:val="24"/>
              </w:rPr>
            </w:pPr>
            <w:r>
              <w:rPr>
                <w:rFonts w:hint="eastAsia" w:ascii="宋体" w:hAnsi="宋体" w:cs="宋体"/>
                <w:b/>
                <w:color w:val="000000"/>
                <w:sz w:val="24"/>
              </w:rPr>
              <w:t>投标承诺或说明</w:t>
            </w:r>
          </w:p>
        </w:tc>
        <w:tc>
          <w:tcPr>
            <w:tcW w:w="1730" w:type="dxa"/>
            <w:noWrap w:val="0"/>
            <w:vAlign w:val="center"/>
          </w:tcPr>
          <w:p>
            <w:pPr>
              <w:spacing w:line="360" w:lineRule="auto"/>
              <w:jc w:val="center"/>
              <w:rPr>
                <w:rFonts w:hint="eastAsia" w:ascii="宋体" w:hAnsi="宋体" w:cs="宋体"/>
                <w:b/>
                <w:color w:val="000000"/>
                <w:sz w:val="24"/>
              </w:rPr>
            </w:pPr>
            <w:r>
              <w:rPr>
                <w:rFonts w:hint="eastAsia" w:ascii="宋体" w:hAnsi="宋体" w:cs="宋体"/>
                <w:b/>
                <w:color w:val="000000"/>
                <w:sz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2292" w:type="dxa"/>
            <w:noWrap w:val="0"/>
            <w:vAlign w:val="top"/>
          </w:tcPr>
          <w:p>
            <w:pPr>
              <w:adjustRightInd w:val="0"/>
              <w:snapToGrid w:val="0"/>
              <w:spacing w:line="360" w:lineRule="auto"/>
              <w:rPr>
                <w:rFonts w:hint="eastAsia" w:ascii="宋体" w:hAnsi="宋体" w:cs="宋体"/>
                <w:b/>
                <w:bCs/>
                <w:sz w:val="24"/>
              </w:rPr>
            </w:pPr>
          </w:p>
        </w:tc>
        <w:tc>
          <w:tcPr>
            <w:tcW w:w="1843" w:type="dxa"/>
            <w:noWrap w:val="0"/>
            <w:vAlign w:val="top"/>
          </w:tcPr>
          <w:p>
            <w:pPr>
              <w:spacing w:line="360" w:lineRule="auto"/>
              <w:rPr>
                <w:rFonts w:hint="eastAsia" w:ascii="宋体" w:hAnsi="宋体" w:cs="宋体"/>
                <w:color w:val="000000"/>
                <w:sz w:val="24"/>
              </w:rPr>
            </w:pPr>
          </w:p>
        </w:tc>
        <w:tc>
          <w:tcPr>
            <w:tcW w:w="2091" w:type="dxa"/>
            <w:noWrap w:val="0"/>
            <w:vAlign w:val="top"/>
          </w:tcPr>
          <w:p>
            <w:pPr>
              <w:spacing w:line="360" w:lineRule="auto"/>
              <w:rPr>
                <w:rFonts w:hint="eastAsia" w:ascii="宋体" w:hAnsi="宋体" w:cs="宋体"/>
                <w:color w:val="000000"/>
                <w:sz w:val="24"/>
              </w:rPr>
            </w:pPr>
          </w:p>
        </w:tc>
        <w:tc>
          <w:tcPr>
            <w:tcW w:w="1730" w:type="dxa"/>
            <w:noWrap w:val="0"/>
            <w:vAlign w:val="top"/>
          </w:tcPr>
          <w:p>
            <w:pPr>
              <w:spacing w:line="360" w:lineRule="auto"/>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2292" w:type="dxa"/>
            <w:noWrap w:val="0"/>
            <w:vAlign w:val="top"/>
          </w:tcPr>
          <w:p>
            <w:pPr>
              <w:spacing w:line="360" w:lineRule="auto"/>
              <w:rPr>
                <w:rFonts w:hint="eastAsia" w:ascii="宋体" w:hAnsi="宋体" w:cs="宋体"/>
                <w:b/>
                <w:bCs/>
                <w:sz w:val="24"/>
                <w:highlight w:val="yellow"/>
              </w:rPr>
            </w:pPr>
          </w:p>
        </w:tc>
        <w:tc>
          <w:tcPr>
            <w:tcW w:w="1843" w:type="dxa"/>
            <w:noWrap w:val="0"/>
            <w:vAlign w:val="top"/>
          </w:tcPr>
          <w:p>
            <w:pPr>
              <w:spacing w:line="360" w:lineRule="auto"/>
              <w:rPr>
                <w:rFonts w:hint="eastAsia" w:ascii="宋体" w:hAnsi="宋体" w:cs="宋体"/>
                <w:color w:val="000000"/>
                <w:sz w:val="24"/>
              </w:rPr>
            </w:pPr>
          </w:p>
        </w:tc>
        <w:tc>
          <w:tcPr>
            <w:tcW w:w="2091" w:type="dxa"/>
            <w:noWrap w:val="0"/>
            <w:vAlign w:val="top"/>
          </w:tcPr>
          <w:p>
            <w:pPr>
              <w:spacing w:line="360" w:lineRule="auto"/>
              <w:rPr>
                <w:rFonts w:hint="eastAsia" w:ascii="宋体" w:hAnsi="宋体" w:cs="宋体"/>
                <w:color w:val="000000"/>
                <w:sz w:val="24"/>
              </w:rPr>
            </w:pPr>
          </w:p>
        </w:tc>
        <w:tc>
          <w:tcPr>
            <w:tcW w:w="1730" w:type="dxa"/>
            <w:noWrap w:val="0"/>
            <w:vAlign w:val="top"/>
          </w:tcPr>
          <w:p>
            <w:pPr>
              <w:spacing w:line="360" w:lineRule="auto"/>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3</w:t>
            </w:r>
          </w:p>
        </w:tc>
        <w:tc>
          <w:tcPr>
            <w:tcW w:w="2292" w:type="dxa"/>
            <w:noWrap w:val="0"/>
            <w:vAlign w:val="top"/>
          </w:tcPr>
          <w:p>
            <w:pPr>
              <w:spacing w:line="360" w:lineRule="auto"/>
              <w:rPr>
                <w:rFonts w:hint="eastAsia" w:ascii="宋体" w:hAnsi="宋体" w:cs="宋体"/>
                <w:b/>
                <w:sz w:val="24"/>
              </w:rPr>
            </w:pPr>
          </w:p>
        </w:tc>
        <w:tc>
          <w:tcPr>
            <w:tcW w:w="1843" w:type="dxa"/>
            <w:noWrap w:val="0"/>
            <w:vAlign w:val="top"/>
          </w:tcPr>
          <w:p>
            <w:pPr>
              <w:spacing w:line="360" w:lineRule="auto"/>
              <w:rPr>
                <w:rFonts w:hint="eastAsia" w:ascii="宋体" w:hAnsi="宋体" w:cs="宋体"/>
                <w:color w:val="000000"/>
                <w:sz w:val="24"/>
              </w:rPr>
            </w:pPr>
          </w:p>
        </w:tc>
        <w:tc>
          <w:tcPr>
            <w:tcW w:w="2091" w:type="dxa"/>
            <w:noWrap w:val="0"/>
            <w:vAlign w:val="top"/>
          </w:tcPr>
          <w:p>
            <w:pPr>
              <w:spacing w:line="360" w:lineRule="auto"/>
              <w:rPr>
                <w:rFonts w:hint="eastAsia" w:ascii="宋体" w:hAnsi="宋体" w:cs="宋体"/>
                <w:color w:val="000000"/>
                <w:sz w:val="24"/>
              </w:rPr>
            </w:pPr>
          </w:p>
        </w:tc>
        <w:tc>
          <w:tcPr>
            <w:tcW w:w="1730" w:type="dxa"/>
            <w:noWrap w:val="0"/>
            <w:vAlign w:val="top"/>
          </w:tcPr>
          <w:p>
            <w:pPr>
              <w:spacing w:line="360" w:lineRule="auto"/>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4</w:t>
            </w:r>
          </w:p>
        </w:tc>
        <w:tc>
          <w:tcPr>
            <w:tcW w:w="2292" w:type="dxa"/>
            <w:noWrap w:val="0"/>
            <w:vAlign w:val="top"/>
          </w:tcPr>
          <w:p>
            <w:pPr>
              <w:pStyle w:val="40"/>
              <w:snapToGrid w:val="0"/>
              <w:spacing w:line="360" w:lineRule="auto"/>
              <w:rPr>
                <w:rFonts w:hint="eastAsia" w:ascii="宋体" w:hAnsi="宋体" w:eastAsia="宋体" w:cs="宋体"/>
                <w:b/>
                <w:snapToGrid w:val="0"/>
                <w:sz w:val="24"/>
                <w:szCs w:val="24"/>
              </w:rPr>
            </w:pPr>
          </w:p>
        </w:tc>
        <w:tc>
          <w:tcPr>
            <w:tcW w:w="1843" w:type="dxa"/>
            <w:noWrap w:val="0"/>
            <w:vAlign w:val="top"/>
          </w:tcPr>
          <w:p>
            <w:pPr>
              <w:spacing w:line="360" w:lineRule="auto"/>
              <w:rPr>
                <w:rFonts w:hint="eastAsia" w:ascii="宋体" w:hAnsi="宋体" w:cs="宋体"/>
                <w:color w:val="000000"/>
                <w:sz w:val="24"/>
              </w:rPr>
            </w:pPr>
          </w:p>
        </w:tc>
        <w:tc>
          <w:tcPr>
            <w:tcW w:w="2091" w:type="dxa"/>
            <w:noWrap w:val="0"/>
            <w:vAlign w:val="top"/>
          </w:tcPr>
          <w:p>
            <w:pPr>
              <w:spacing w:line="360" w:lineRule="auto"/>
              <w:rPr>
                <w:rFonts w:hint="eastAsia" w:ascii="宋体" w:hAnsi="宋体" w:cs="宋体"/>
                <w:color w:val="000000"/>
                <w:sz w:val="24"/>
              </w:rPr>
            </w:pPr>
          </w:p>
        </w:tc>
        <w:tc>
          <w:tcPr>
            <w:tcW w:w="1730" w:type="dxa"/>
            <w:noWrap w:val="0"/>
            <w:vAlign w:val="top"/>
          </w:tcPr>
          <w:p>
            <w:pPr>
              <w:spacing w:line="360" w:lineRule="auto"/>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5</w:t>
            </w:r>
          </w:p>
        </w:tc>
        <w:tc>
          <w:tcPr>
            <w:tcW w:w="2292" w:type="dxa"/>
            <w:noWrap w:val="0"/>
            <w:vAlign w:val="top"/>
          </w:tcPr>
          <w:p>
            <w:pPr>
              <w:adjustRightInd w:val="0"/>
              <w:snapToGrid w:val="0"/>
              <w:spacing w:line="360" w:lineRule="auto"/>
              <w:rPr>
                <w:rFonts w:hint="eastAsia" w:ascii="宋体" w:hAnsi="宋体" w:cs="宋体"/>
                <w:sz w:val="24"/>
                <w:highlight w:val="yellow"/>
              </w:rPr>
            </w:pPr>
          </w:p>
        </w:tc>
        <w:tc>
          <w:tcPr>
            <w:tcW w:w="1843" w:type="dxa"/>
            <w:noWrap w:val="0"/>
            <w:vAlign w:val="top"/>
          </w:tcPr>
          <w:p>
            <w:pPr>
              <w:spacing w:line="360" w:lineRule="auto"/>
              <w:rPr>
                <w:rFonts w:hint="eastAsia" w:ascii="宋体" w:hAnsi="宋体" w:cs="宋体"/>
                <w:color w:val="000000"/>
                <w:sz w:val="24"/>
              </w:rPr>
            </w:pPr>
          </w:p>
        </w:tc>
        <w:tc>
          <w:tcPr>
            <w:tcW w:w="2091" w:type="dxa"/>
            <w:noWrap w:val="0"/>
            <w:vAlign w:val="top"/>
          </w:tcPr>
          <w:p>
            <w:pPr>
              <w:spacing w:line="360" w:lineRule="auto"/>
              <w:rPr>
                <w:rFonts w:hint="eastAsia" w:ascii="宋体" w:hAnsi="宋体" w:cs="宋体"/>
                <w:color w:val="000000"/>
                <w:sz w:val="24"/>
              </w:rPr>
            </w:pPr>
          </w:p>
        </w:tc>
        <w:tc>
          <w:tcPr>
            <w:tcW w:w="1730" w:type="dxa"/>
            <w:noWrap w:val="0"/>
            <w:vAlign w:val="top"/>
          </w:tcPr>
          <w:p>
            <w:pPr>
              <w:spacing w:line="360" w:lineRule="auto"/>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pPr>
              <w:spacing w:line="360" w:lineRule="auto"/>
              <w:rPr>
                <w:rFonts w:hint="eastAsia" w:ascii="宋体" w:hAnsi="宋体" w:cs="宋体"/>
                <w:color w:val="000000"/>
                <w:sz w:val="24"/>
              </w:rPr>
            </w:pPr>
          </w:p>
        </w:tc>
        <w:tc>
          <w:tcPr>
            <w:tcW w:w="2292" w:type="dxa"/>
            <w:noWrap w:val="0"/>
            <w:vAlign w:val="top"/>
          </w:tcPr>
          <w:p>
            <w:pPr>
              <w:spacing w:line="360" w:lineRule="auto"/>
              <w:rPr>
                <w:rFonts w:hint="eastAsia" w:ascii="宋体" w:hAnsi="宋体" w:cs="宋体"/>
                <w:color w:val="000000"/>
              </w:rPr>
            </w:pPr>
            <w:r>
              <w:rPr>
                <w:rFonts w:hint="eastAsia" w:ascii="宋体" w:hAnsi="宋体" w:cs="宋体"/>
                <w:color w:val="000000"/>
                <w:sz w:val="24"/>
              </w:rPr>
              <w:t>……</w:t>
            </w:r>
          </w:p>
        </w:tc>
        <w:tc>
          <w:tcPr>
            <w:tcW w:w="1843" w:type="dxa"/>
            <w:noWrap w:val="0"/>
            <w:vAlign w:val="top"/>
          </w:tcPr>
          <w:p>
            <w:pPr>
              <w:spacing w:line="360" w:lineRule="auto"/>
              <w:rPr>
                <w:rFonts w:hint="eastAsia" w:ascii="宋体" w:hAnsi="宋体" w:cs="宋体"/>
                <w:color w:val="000000"/>
                <w:sz w:val="24"/>
              </w:rPr>
            </w:pPr>
          </w:p>
        </w:tc>
        <w:tc>
          <w:tcPr>
            <w:tcW w:w="2091" w:type="dxa"/>
            <w:noWrap w:val="0"/>
            <w:vAlign w:val="top"/>
          </w:tcPr>
          <w:p>
            <w:pPr>
              <w:spacing w:line="360" w:lineRule="auto"/>
              <w:rPr>
                <w:rFonts w:hint="eastAsia" w:ascii="宋体" w:hAnsi="宋体" w:cs="宋体"/>
                <w:color w:val="000000"/>
                <w:sz w:val="24"/>
              </w:rPr>
            </w:pPr>
          </w:p>
        </w:tc>
        <w:tc>
          <w:tcPr>
            <w:tcW w:w="1730" w:type="dxa"/>
            <w:noWrap w:val="0"/>
            <w:vAlign w:val="top"/>
          </w:tcPr>
          <w:p>
            <w:pPr>
              <w:spacing w:line="360" w:lineRule="auto"/>
              <w:rPr>
                <w:rFonts w:hint="eastAsia" w:ascii="宋体" w:hAnsi="宋体" w:cs="宋体"/>
                <w:color w:val="000000"/>
                <w:sz w:val="24"/>
              </w:rPr>
            </w:pPr>
          </w:p>
        </w:tc>
      </w:tr>
    </w:tbl>
    <w:p>
      <w:pPr>
        <w:adjustRightInd w:val="0"/>
        <w:snapToGrid w:val="0"/>
        <w:spacing w:line="400" w:lineRule="exact"/>
        <w:rPr>
          <w:rFonts w:hint="eastAsia" w:ascii="宋体" w:hAnsi="宋体" w:cs="宋体"/>
          <w:color w:val="000000"/>
          <w:kern w:val="0"/>
          <w:sz w:val="24"/>
        </w:rPr>
      </w:pPr>
      <w:r>
        <w:rPr>
          <w:rFonts w:hint="eastAsia" w:ascii="宋体" w:hAnsi="宋体" w:cs="宋体"/>
          <w:color w:val="000000"/>
          <w:kern w:val="0"/>
          <w:sz w:val="24"/>
        </w:rPr>
        <w:t>填表说明：</w:t>
      </w:r>
    </w:p>
    <w:p>
      <w:pPr>
        <w:adjustRightInd w:val="0"/>
        <w:snapToGri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“实质性条款”详见“第三部分采购需求”中带“●”条款，本表中所列条款仅供参考；</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2、</w:t>
      </w:r>
      <w:r>
        <w:rPr>
          <w:rFonts w:hint="eastAsia" w:ascii="宋体" w:hAnsi="宋体" w:cs="宋体"/>
          <w:color w:val="000000"/>
          <w:kern w:val="0"/>
          <w:sz w:val="24"/>
        </w:rPr>
        <w:t>投标人应根据投标承诺或说明、对照招标文件要求在“满足情况”栏注明“满足”或“不满足”；</w:t>
      </w:r>
    </w:p>
    <w:p>
      <w:pPr>
        <w:adjustRightInd w:val="0"/>
        <w:snapToGri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本项目“第三部分采购需求”中所有带“●”条款，投标人必须作出实质性响应，如有任意一条未响应或不满足，将被视为无效。</w:t>
      </w:r>
    </w:p>
    <w:p>
      <w:pPr>
        <w:autoSpaceDE w:val="0"/>
        <w:autoSpaceDN w:val="0"/>
        <w:adjustRightInd w:val="0"/>
        <w:spacing w:line="360" w:lineRule="auto"/>
        <w:ind w:right="480" w:firstLine="5880" w:firstLineChars="2450"/>
        <w:rPr>
          <w:rFonts w:hint="eastAsia" w:ascii="宋体" w:hAnsi="宋体" w:cs="宋体"/>
          <w:color w:val="000000"/>
          <w:kern w:val="0"/>
          <w:sz w:val="24"/>
          <w:lang w:val="zh-CN"/>
        </w:rPr>
      </w:pPr>
    </w:p>
    <w:p>
      <w:pPr>
        <w:autoSpaceDE w:val="0"/>
        <w:autoSpaceDN w:val="0"/>
        <w:adjustRightInd w:val="0"/>
        <w:spacing w:line="360" w:lineRule="auto"/>
        <w:ind w:right="480" w:firstLine="5880" w:firstLineChars="2450"/>
        <w:rPr>
          <w:rFonts w:hint="eastAsia" w:ascii="宋体" w:hAnsi="宋体" w:cs="宋体"/>
          <w:color w:val="000000"/>
          <w:kern w:val="0"/>
          <w:sz w:val="24"/>
          <w:lang w:val="zh-CN"/>
        </w:rPr>
      </w:pPr>
      <w:r>
        <w:rPr>
          <w:rFonts w:hint="eastAsia" w:ascii="宋体" w:hAnsi="宋体" w:cs="宋体"/>
          <w:color w:val="000000"/>
          <w:kern w:val="0"/>
          <w:sz w:val="24"/>
          <w:lang w:val="zh-CN"/>
        </w:rPr>
        <w:t>投标人（公章）：</w:t>
      </w:r>
    </w:p>
    <w:p>
      <w:pPr>
        <w:autoSpaceDE w:val="0"/>
        <w:autoSpaceDN w:val="0"/>
        <w:adjustRightInd w:val="0"/>
        <w:spacing w:line="360" w:lineRule="auto"/>
        <w:jc w:val="right"/>
        <w:rPr>
          <w:rFonts w:hint="eastAsia" w:ascii="宋体" w:hAnsi="宋体" w:cs="宋体"/>
          <w:color w:val="000000"/>
          <w:kern w:val="0"/>
          <w:sz w:val="24"/>
          <w:lang w:val="zh-CN"/>
        </w:rPr>
      </w:pPr>
      <w:r>
        <w:rPr>
          <w:rFonts w:hint="eastAsia" w:ascii="宋体" w:hAnsi="宋体" w:cs="宋体"/>
          <w:color w:val="000000"/>
          <w:kern w:val="0"/>
          <w:sz w:val="24"/>
          <w:lang w:val="zh-CN"/>
        </w:rPr>
        <w:t>法定代表人或负责人或授权代表（签字）：</w:t>
      </w:r>
    </w:p>
    <w:p>
      <w:pPr>
        <w:autoSpaceDE w:val="0"/>
        <w:autoSpaceDN w:val="0"/>
        <w:adjustRightInd w:val="0"/>
        <w:spacing w:line="360" w:lineRule="auto"/>
        <w:jc w:val="center"/>
        <w:rPr>
          <w:rFonts w:hint="eastAsia" w:ascii="宋体" w:hAnsi="宋体" w:cs="宋体"/>
          <w:color w:val="000000"/>
          <w:kern w:val="0"/>
          <w:sz w:val="24"/>
          <w:lang w:val="zh-CN"/>
        </w:rPr>
      </w:pPr>
      <w:r>
        <w:rPr>
          <w:rFonts w:hint="eastAsia" w:ascii="宋体" w:hAnsi="宋体" w:cs="宋体"/>
          <w:color w:val="000000"/>
          <w:kern w:val="0"/>
          <w:sz w:val="24"/>
          <w:lang w:val="zh-CN"/>
        </w:rPr>
        <w:t xml:space="preserve">                                           日期：    年   月   日</w:t>
      </w:r>
    </w:p>
    <w:p>
      <w:pPr>
        <w:pStyle w:val="40"/>
        <w:snapToGrid w:val="0"/>
        <w:spacing w:line="600" w:lineRule="exact"/>
        <w:ind w:firstLine="562" w:firstLineChars="200"/>
        <w:jc w:val="center"/>
        <w:outlineLvl w:val="2"/>
        <w:rPr>
          <w:rFonts w:hint="eastAsia" w:ascii="宋体" w:hAnsi="宋体" w:eastAsia="宋体" w:cs="宋体"/>
          <w:b/>
          <w:color w:val="000000"/>
          <w:sz w:val="28"/>
          <w:szCs w:val="28"/>
          <w:lang w:val="zh-CN"/>
        </w:rPr>
      </w:pPr>
    </w:p>
    <w:p>
      <w:pPr>
        <w:rPr>
          <w:rFonts w:hint="eastAsia" w:ascii="宋体" w:hAnsi="宋体" w:cs="宋体"/>
          <w:lang w:val="zh-CN"/>
        </w:rPr>
      </w:pPr>
    </w:p>
    <w:p>
      <w:pPr>
        <w:pageBreakBefore/>
        <w:shd w:val="clear" w:color="auto" w:fill="FFFFFF"/>
        <w:snapToGrid w:val="0"/>
        <w:spacing w:line="600" w:lineRule="exact"/>
        <w:jc w:val="center"/>
        <w:outlineLvl w:val="2"/>
        <w:rPr>
          <w:rFonts w:hint="eastAsia" w:ascii="宋体" w:hAnsi="宋体" w:cs="宋体"/>
          <w:b/>
          <w:bCs/>
          <w:color w:val="000000"/>
          <w:sz w:val="32"/>
          <w:szCs w:val="32"/>
        </w:rPr>
      </w:pPr>
      <w:r>
        <w:rPr>
          <w:rFonts w:hint="eastAsia" w:ascii="宋体" w:hAnsi="宋体" w:cs="宋体"/>
          <w:b/>
          <w:bCs/>
          <w:color w:val="000000"/>
          <w:sz w:val="32"/>
          <w:szCs w:val="32"/>
        </w:rPr>
        <w:t>投标文件封面</w:t>
      </w:r>
    </w:p>
    <w:p>
      <w:pPr>
        <w:shd w:val="clear" w:color="auto" w:fill="FFFFFF"/>
        <w:snapToGrid w:val="0"/>
        <w:spacing w:line="600" w:lineRule="exact"/>
        <w:jc w:val="center"/>
        <w:rPr>
          <w:rFonts w:hint="eastAsia" w:ascii="宋体" w:hAnsi="宋体" w:cs="宋体"/>
          <w:b/>
          <w:bCs/>
          <w:color w:val="000000"/>
          <w:spacing w:val="-17"/>
          <w:sz w:val="32"/>
          <w:szCs w:val="32"/>
        </w:rPr>
      </w:pPr>
    </w:p>
    <w:p>
      <w:pPr>
        <w:shd w:val="clear" w:color="auto" w:fill="FFFFFF"/>
        <w:snapToGrid w:val="0"/>
        <w:spacing w:line="480" w:lineRule="auto"/>
        <w:jc w:val="center"/>
        <w:rPr>
          <w:rFonts w:hint="eastAsia" w:ascii="宋体" w:hAnsi="宋体" w:eastAsia="宋体" w:cs="宋体"/>
          <w:b/>
          <w:bCs/>
          <w:color w:val="000000"/>
          <w:sz w:val="36"/>
          <w:szCs w:val="36"/>
          <w:lang w:eastAsia="zh-CN"/>
        </w:rPr>
      </w:pPr>
      <w:r>
        <w:rPr>
          <w:rFonts w:hint="eastAsia" w:ascii="宋体" w:hAnsi="宋体" w:cs="宋体"/>
          <w:b/>
          <w:bCs/>
          <w:color w:val="000000"/>
          <w:spacing w:val="-17"/>
          <w:sz w:val="36"/>
          <w:szCs w:val="36"/>
          <w:lang w:eastAsia="zh-CN"/>
        </w:rPr>
        <w:t>余杭经济技术开发区医疗器械通用检测设备采购项目</w:t>
      </w:r>
    </w:p>
    <w:p>
      <w:pPr>
        <w:shd w:val="clear" w:color="auto" w:fill="FFFFFF"/>
        <w:snapToGrid w:val="0"/>
        <w:spacing w:line="480" w:lineRule="auto"/>
        <w:jc w:val="center"/>
        <w:rPr>
          <w:rFonts w:hint="eastAsia" w:ascii="宋体" w:hAnsi="宋体" w:cs="宋体"/>
          <w:b/>
          <w:bCs/>
          <w:color w:val="000000"/>
          <w:sz w:val="36"/>
          <w:szCs w:val="36"/>
        </w:rPr>
      </w:pPr>
      <w:r>
        <w:rPr>
          <w:rFonts w:hint="eastAsia" w:ascii="宋体" w:hAnsi="宋体" w:cs="宋体"/>
          <w:b/>
          <w:bCs/>
          <w:color w:val="000000"/>
          <w:sz w:val="36"/>
          <w:szCs w:val="36"/>
        </w:rPr>
        <w:t xml:space="preserve"> （资格文件/报价文件/商务技术文件）</w:t>
      </w:r>
    </w:p>
    <w:p>
      <w:pPr>
        <w:pStyle w:val="2"/>
        <w:ind w:firstLine="482"/>
        <w:rPr>
          <w:rFonts w:hint="eastAsia" w:ascii="宋体" w:hAnsi="宋体" w:eastAsia="宋体" w:cs="宋体"/>
          <w:b/>
          <w:bCs/>
          <w:color w:val="000000"/>
          <w:sz w:val="24"/>
          <w:szCs w:val="24"/>
        </w:rPr>
      </w:pPr>
    </w:p>
    <w:p>
      <w:pPr>
        <w:pStyle w:val="2"/>
        <w:ind w:firstLine="482"/>
        <w:rPr>
          <w:rFonts w:hint="eastAsia" w:ascii="宋体" w:hAnsi="宋体" w:eastAsia="宋体" w:cs="宋体"/>
          <w:b/>
          <w:bCs/>
          <w:color w:val="000000"/>
          <w:sz w:val="24"/>
          <w:szCs w:val="24"/>
        </w:rPr>
      </w:pPr>
    </w:p>
    <w:p>
      <w:pPr>
        <w:shd w:val="clear" w:color="auto" w:fill="FFFFFF"/>
        <w:snapToGrid w:val="0"/>
        <w:spacing w:line="600" w:lineRule="exact"/>
        <w:ind w:firstLine="3614" w:firstLineChars="1000"/>
        <w:rPr>
          <w:rFonts w:hint="eastAsia" w:ascii="宋体" w:hAnsi="宋体" w:cs="宋体"/>
          <w:b/>
          <w:bCs/>
          <w:color w:val="000000"/>
          <w:sz w:val="36"/>
          <w:szCs w:val="36"/>
        </w:rPr>
      </w:pPr>
      <w:r>
        <w:rPr>
          <w:rFonts w:hint="eastAsia" w:ascii="宋体" w:hAnsi="宋体" w:cs="宋体"/>
          <w:b/>
          <w:bCs/>
          <w:color w:val="000000"/>
          <w:sz w:val="36"/>
          <w:szCs w:val="36"/>
        </w:rPr>
        <w:t>项目编号：</w:t>
      </w:r>
    </w:p>
    <w:p>
      <w:pPr>
        <w:pStyle w:val="2"/>
        <w:ind w:firstLine="482"/>
        <w:rPr>
          <w:rFonts w:hint="eastAsia" w:ascii="宋体" w:hAnsi="宋体" w:eastAsia="宋体" w:cs="宋体"/>
          <w:b/>
          <w:bCs/>
          <w:color w:val="000000"/>
          <w:sz w:val="24"/>
          <w:szCs w:val="24"/>
        </w:rPr>
      </w:pPr>
    </w:p>
    <w:p>
      <w:pPr>
        <w:pStyle w:val="2"/>
        <w:ind w:firstLine="0"/>
        <w:rPr>
          <w:rFonts w:hint="eastAsia" w:ascii="宋体" w:hAnsi="宋体" w:eastAsia="宋体" w:cs="宋体"/>
          <w:b/>
          <w:bCs/>
          <w:color w:val="000000"/>
          <w:sz w:val="24"/>
          <w:szCs w:val="24"/>
        </w:rPr>
      </w:pPr>
    </w:p>
    <w:p>
      <w:pPr>
        <w:pStyle w:val="2"/>
        <w:ind w:firstLine="883"/>
        <w:rPr>
          <w:rFonts w:hint="eastAsia" w:ascii="宋体" w:hAnsi="宋体" w:eastAsia="宋体" w:cs="宋体"/>
          <w:b/>
          <w:bCs/>
          <w:color w:val="000000"/>
          <w:sz w:val="44"/>
          <w:szCs w:val="44"/>
        </w:rPr>
      </w:pPr>
    </w:p>
    <w:bookmarkEnd w:id="174"/>
    <w:p>
      <w:pPr>
        <w:snapToGrid w:val="0"/>
        <w:spacing w:line="600" w:lineRule="exact"/>
        <w:jc w:val="center"/>
        <w:rPr>
          <w:rFonts w:hint="eastAsia" w:ascii="宋体" w:hAnsi="宋体" w:cs="宋体"/>
          <w:color w:val="000000"/>
          <w:sz w:val="44"/>
          <w:szCs w:val="44"/>
        </w:rPr>
      </w:pPr>
      <w:r>
        <w:rPr>
          <w:rFonts w:hint="eastAsia" w:ascii="宋体" w:hAnsi="宋体" w:cs="宋体"/>
          <w:color w:val="000000"/>
          <w:sz w:val="44"/>
          <w:szCs w:val="44"/>
        </w:rPr>
        <w:t>投</w:t>
      </w:r>
    </w:p>
    <w:p>
      <w:pPr>
        <w:pStyle w:val="2"/>
        <w:ind w:firstLine="480"/>
        <w:rPr>
          <w:rFonts w:hint="eastAsia" w:ascii="宋体" w:hAnsi="宋体" w:eastAsia="宋体" w:cs="宋体"/>
        </w:rPr>
      </w:pPr>
    </w:p>
    <w:p>
      <w:pPr>
        <w:snapToGrid w:val="0"/>
        <w:spacing w:line="600" w:lineRule="exact"/>
        <w:jc w:val="center"/>
        <w:rPr>
          <w:rFonts w:hint="eastAsia" w:ascii="宋体" w:hAnsi="宋体" w:cs="宋体"/>
          <w:color w:val="000000"/>
          <w:sz w:val="44"/>
          <w:szCs w:val="44"/>
        </w:rPr>
      </w:pPr>
      <w:r>
        <w:rPr>
          <w:rFonts w:hint="eastAsia" w:ascii="宋体" w:hAnsi="宋体" w:cs="宋体"/>
          <w:color w:val="000000"/>
          <w:sz w:val="44"/>
          <w:szCs w:val="44"/>
        </w:rPr>
        <w:t>标</w:t>
      </w:r>
    </w:p>
    <w:p>
      <w:pPr>
        <w:pStyle w:val="2"/>
        <w:ind w:firstLine="480"/>
        <w:rPr>
          <w:rFonts w:hint="eastAsia" w:ascii="宋体" w:hAnsi="宋体" w:eastAsia="宋体" w:cs="宋体"/>
        </w:rPr>
      </w:pPr>
    </w:p>
    <w:p>
      <w:pPr>
        <w:snapToGrid w:val="0"/>
        <w:spacing w:line="600" w:lineRule="exact"/>
        <w:jc w:val="center"/>
        <w:rPr>
          <w:rFonts w:hint="eastAsia" w:ascii="宋体" w:hAnsi="宋体" w:cs="宋体"/>
          <w:color w:val="000000"/>
          <w:sz w:val="44"/>
          <w:szCs w:val="44"/>
        </w:rPr>
      </w:pPr>
      <w:r>
        <w:rPr>
          <w:rFonts w:hint="eastAsia" w:ascii="宋体" w:hAnsi="宋体" w:cs="宋体"/>
          <w:color w:val="000000"/>
          <w:sz w:val="44"/>
          <w:szCs w:val="44"/>
        </w:rPr>
        <w:t>文</w:t>
      </w:r>
    </w:p>
    <w:p>
      <w:pPr>
        <w:pStyle w:val="2"/>
        <w:ind w:firstLine="0"/>
        <w:rPr>
          <w:rFonts w:hint="eastAsia" w:ascii="宋体" w:hAnsi="宋体" w:eastAsia="宋体" w:cs="宋体"/>
          <w:color w:val="000000"/>
          <w:sz w:val="44"/>
          <w:szCs w:val="44"/>
        </w:rPr>
      </w:pPr>
    </w:p>
    <w:p>
      <w:pPr>
        <w:snapToGrid w:val="0"/>
        <w:spacing w:line="600" w:lineRule="exact"/>
        <w:jc w:val="center"/>
        <w:rPr>
          <w:rFonts w:hint="eastAsia" w:ascii="宋体" w:hAnsi="宋体" w:cs="宋体"/>
          <w:color w:val="000000"/>
          <w:sz w:val="24"/>
        </w:rPr>
      </w:pPr>
      <w:r>
        <w:rPr>
          <w:rFonts w:hint="eastAsia" w:ascii="宋体" w:hAnsi="宋体" w:cs="宋体"/>
          <w:color w:val="000000"/>
          <w:sz w:val="44"/>
          <w:szCs w:val="44"/>
        </w:rPr>
        <w:t>件</w:t>
      </w:r>
    </w:p>
    <w:p>
      <w:pPr>
        <w:pStyle w:val="2"/>
        <w:ind w:firstLine="480"/>
        <w:rPr>
          <w:rFonts w:hint="eastAsia" w:ascii="宋体" w:hAnsi="宋体" w:eastAsia="宋体" w:cs="宋体"/>
          <w:color w:val="000000"/>
          <w:sz w:val="24"/>
          <w:szCs w:val="24"/>
        </w:rPr>
      </w:pPr>
    </w:p>
    <w:p>
      <w:pPr>
        <w:pStyle w:val="2"/>
        <w:ind w:firstLine="0"/>
        <w:rPr>
          <w:rFonts w:hint="eastAsia" w:ascii="宋体" w:hAnsi="宋体" w:eastAsia="宋体" w:cs="宋体"/>
          <w:color w:val="000000"/>
          <w:sz w:val="24"/>
          <w:szCs w:val="24"/>
        </w:rPr>
      </w:pPr>
    </w:p>
    <w:p>
      <w:pPr>
        <w:snapToGrid w:val="0"/>
        <w:spacing w:line="600" w:lineRule="exact"/>
        <w:jc w:val="center"/>
        <w:rPr>
          <w:rFonts w:hint="eastAsia" w:ascii="宋体" w:hAnsi="宋体" w:cs="宋体"/>
          <w:color w:val="000000"/>
          <w:sz w:val="30"/>
          <w:szCs w:val="30"/>
        </w:rPr>
      </w:pPr>
      <w:r>
        <w:rPr>
          <w:rFonts w:hint="eastAsia" w:ascii="宋体" w:hAnsi="宋体" w:cs="宋体"/>
          <w:color w:val="000000"/>
          <w:sz w:val="30"/>
          <w:szCs w:val="30"/>
        </w:rPr>
        <w:t>投标人全称：（加盖单位公章）</w:t>
      </w:r>
    </w:p>
    <w:p>
      <w:pPr>
        <w:pStyle w:val="2"/>
        <w:ind w:firstLine="480"/>
        <w:rPr>
          <w:rFonts w:hint="eastAsia" w:ascii="宋体" w:hAnsi="宋体" w:eastAsia="宋体" w:cs="宋体"/>
        </w:rPr>
      </w:pPr>
    </w:p>
    <w:p>
      <w:pPr>
        <w:snapToGrid w:val="0"/>
        <w:spacing w:line="600" w:lineRule="exact"/>
        <w:jc w:val="center"/>
        <w:rPr>
          <w:rFonts w:hint="eastAsia" w:ascii="宋体" w:hAnsi="宋体" w:cs="宋体"/>
          <w:color w:val="000000"/>
          <w:sz w:val="30"/>
          <w:szCs w:val="30"/>
        </w:rPr>
      </w:pPr>
      <w:r>
        <w:rPr>
          <w:rFonts w:hint="eastAsia" w:ascii="宋体" w:hAnsi="宋体" w:cs="宋体"/>
          <w:color w:val="000000"/>
          <w:sz w:val="30"/>
          <w:szCs w:val="30"/>
        </w:rPr>
        <w:t>年   月   日</w:t>
      </w:r>
    </w:p>
    <w:p>
      <w:pPr>
        <w:spacing w:line="600" w:lineRule="exact"/>
        <w:rPr>
          <w:rFonts w:hint="eastAsia" w:ascii="宋体" w:hAnsi="宋体" w:cs="宋体"/>
          <w:color w:val="000000"/>
          <w:sz w:val="24"/>
        </w:rPr>
      </w:pPr>
    </w:p>
    <w:bookmarkEnd w:id="49"/>
    <w:bookmarkEnd w:id="50"/>
    <w:bookmarkEnd w:id="51"/>
    <w:bookmarkEnd w:id="52"/>
    <w:bookmarkEnd w:id="135"/>
    <w:bookmarkEnd w:id="136"/>
    <w:bookmarkEnd w:id="137"/>
    <w:p>
      <w:pPr>
        <w:pStyle w:val="2"/>
        <w:rPr>
          <w:rFonts w:hint="eastAsia" w:ascii="宋体" w:hAnsi="宋体" w:eastAsia="宋体" w:cs="宋体"/>
        </w:rPr>
      </w:pPr>
    </w:p>
    <w:sectPr>
      <w:headerReference r:id="rId5" w:type="default"/>
      <w:footerReference r:id="rId6" w:type="default"/>
      <w:footerReference r:id="rId7" w:type="even"/>
      <w:pgSz w:w="11906" w:h="16838"/>
      <w:pgMar w:top="993" w:right="1474" w:bottom="1134" w:left="1474" w:header="851" w:footer="641"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3"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Lucida Sans">
    <w:panose1 w:val="020B0602030504020204"/>
    <w:charset w:val="00"/>
    <w:family w:val="swiss"/>
    <w:pitch w:val="default"/>
    <w:sig w:usb0="00000003" w:usb1="00000000" w:usb2="00000000" w:usb3="00000000" w:csb0="20000001"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30204"/>
    <w:charset w:val="00"/>
    <w:family w:val="swiss"/>
    <w:pitch w:val="default"/>
    <w:sig w:usb0="00000007" w:usb1="00000000" w:usb2="00000000" w:usb3="00000000" w:csb0="00000093" w:csb1="00000000"/>
  </w:font>
  <w:font w:name="Arial Unicode MS">
    <w:altName w:val="宋体"/>
    <w:panose1 w:val="020B0604020202020204"/>
    <w:charset w:val="86"/>
    <w:family w:val="swiss"/>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100003" w:usb1="00000000" w:usb2="00000000" w:usb3="00000000" w:csb0="00000001" w:csb1="00000000"/>
  </w:font>
  <w:font w:name="Helvetica Neue">
    <w:altName w:val="Segoe UI"/>
    <w:panose1 w:val="00000000000000000000"/>
    <w:charset w:val="00"/>
    <w:family w:val="roman"/>
    <w:pitch w:val="default"/>
    <w:sig w:usb0="00000000" w:usb1="00000000" w:usb2="00000000" w:usb3="00000000" w:csb0="00040001" w:csb1="00000000"/>
  </w:font>
  <w:font w:name="Baskerville">
    <w:altName w:val="Cambria Math"/>
    <w:panose1 w:val="02020502070401020303"/>
    <w:charset w:val="00"/>
    <w:family w:val="roman"/>
    <w:pitch w:val="default"/>
    <w:sig w:usb0="00000001" w:usb1="02000000" w:usb2="00000000" w:usb3="00000000" w:csb0="0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4" name="文本框 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5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95</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21.95pt;width:9.15pt;mso-position-horizontal:center;mso-position-horizontal-relative:margin;mso-wrap-style:none;z-index:251660288;mso-width-relative:page;mso-height-relative:page;" filled="f" stroked="f" coordsize="21600,21600" o:gfxdata="UEsDBAoAAAAAAIdO4kAAAAAAAAAAAAAAAAAEAAAAZHJzL1BLAwQUAAAACACHTuJAW42PWdEAAAAD AQAADwAAAGRycy9kb3ducmV2LnhtbE2PwU7DMBBE70j8g7WVuFGnFEEIcXqoxIUbBVXito23cVR7 Hdlumvw9Lhe4rDSa0czbejM5K0YKsfesYLUsQBC3XvfcKfj6fLsvQcSErNF6JgUzRdg0tzc1Vtpf +IPGXepELuFYoQKT0lBJGVtDDuPSD8TZO/rgMGUZOqkDXnK5s/KhKJ6kw57zgsGBtoba0+7sFDxP e09DpC19H8c2mH4u7fus1N1iVbyCSDSlvzBc8TM6NJnp4M+so7AK8iPp9169cg3ioOBx/QKyqeV/ 9uYHUEsDBBQAAAAIAIdO4kAEV0KBzgEAAJcDAAAOAAAAZHJzL2Uyb0RvYy54bWytU0tu2zAQ3Rfo HQjua8lG4wSC5aCFkSBA0RZIcgCaIi0C/IFDW/IF2ht01U33PZfP0SElOWm6yaIbajgzfDPvzWh1 3RtNDiKAcram81lJibDcNcruavr4cPPuihKIzDZMOytqehRAr9dv36w6X4mFa51uRCAIYqHqfE3b GH1VFMBbYRjMnBcWg9IFwyJew65oAusQ3ehiUZbLonOh8cFxAYDezRCkI2J4DaCTUnGxcXxvhI0D ahCaRaQErfJA17lbKQWPX6QEEYmuKTKN+cQiaG/TWaxXrNoF5lvFxxbYa1p4wckwZbHoGWrDIiP7 oP6BMooHB07GGXemGIhkRZDFvHyhzX3LvMhcUGrwZ9Hh/8Hyz4evgaimpu8psczgwE8/vp9+/j79 +kaWSZ7OQ4VZ9x7zYv/R9bg0kx/QmVj3Mpj0RT4E4yju8Syu6CPh6dF8uSgvKOEYWlxeXS4vEkrx 9NgHiLfCGZKMmgacXZaUHT5BHFKnlFTLuhuldZ6ftn85EDN5itT50GGyYr/tRzpb1xyRTYdjr6nF LadE31lUNW3IZITJ2E7G3ge1a/MKpXrgP+wjNpF7SxUG2LEwziuzG3crLcTze856+p/WfwB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BbjY9Z0QAAAAMBAAAPAAAAAAAAAAEAIAAAACIAAABkcnMvZG93 bnJldi54bWxQSwECFAAUAAAACACHTuJABFdCgc4BAACXAwAADgAAAAAAAAABACAAAAAgAQAAZHJz L2Uyb0RvYy54bWxQSwUGAAAAAAYABgBZAQAAYAUAAAAA ">
              <v:fill on="f" focussize="0,0"/>
              <v:stroke on="f"/>
              <v:imagedata o:title=""/>
              <o:lock v:ext="edit" aspectratio="f"/>
              <v:textbox inset="0mm,0mm,0mm,0mm" style="mso-fit-shape-to-text:t;">
                <w:txbxContent>
                  <w:p>
                    <w:pPr>
                      <w:pStyle w:val="5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95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color w:val="0000FF"/>
        <w:u w:val="thick"/>
      </w:rPr>
    </w:pPr>
    <w:r>
      <w:rPr>
        <w:color w:val="0000FF"/>
        <w:u w:val="thick"/>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399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3990" cy="278765"/>
                      </a:xfrm>
                      <a:prstGeom prst="rect">
                        <a:avLst/>
                      </a:prstGeom>
                      <a:noFill/>
                      <a:ln>
                        <a:noFill/>
                      </a:ln>
                    </wps:spPr>
                    <wps:txbx>
                      <w:txbxContent>
                        <w:p>
                          <w:pPr>
                            <w:pStyle w:val="51"/>
                            <w:jc w:val="center"/>
                            <w:rPr>
                              <w:rStyle w:val="82"/>
                            </w:rPr>
                          </w:pPr>
                          <w:r>
                            <w:fldChar w:fldCharType="begin"/>
                          </w:r>
                          <w:r>
                            <w:rPr>
                              <w:rStyle w:val="82"/>
                            </w:rPr>
                            <w:instrText xml:space="preserve">PAGE  </w:instrText>
                          </w:r>
                          <w:r>
                            <w:fldChar w:fldCharType="separate"/>
                          </w:r>
                          <w:r>
                            <w:rPr>
                              <w:rStyle w:val="82"/>
                              <w:lang/>
                            </w:rPr>
                            <w:t>99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13.7pt;mso-position-horizontal:center;mso-position-horizontal-relative:margin;mso-wrap-style:none;z-index:251659264;mso-width-relative:page;mso-height-relative:page;" filled="f" stroked="f" coordsize="21600,21600" o:gfxdata="UEsDBAoAAAAAAIdO4kAAAAAAAAAAAAAAAAAEAAAAZHJzL1BLAwQUAAAACACHTuJACrv0J9IAAAAD AQAADwAAAGRycy9kb3ducmV2LnhtbE2PwU7DMBBE70j9B2uRuFGnpaIlxOmhUi/cWhASt228jSPs dWS7afL3uFzgstJoRjNvq+3orBgoxM6zgsW8AEHceN1xq+Djff+4ARETskbrmRRMFGFbz+4qLLW/ 8oGGY2pFLuFYogKTUl9KGRtDDuPc98TZO/vgMGUZWqkDXnO5s3JZFM/SYcd5wWBPO0PN9/HiFKzH T099pB19nYcmmG7a2LdJqYf7RfEKItGY/sJww8/oUGemk7+wjsIqyI+k35u95XoF4qRg9fQCsq7k f/b6B1BLAwQUAAAACACHTuJA7pAxXc0BAACXAwAADgAAAGRycy9lMm9Eb2MueG1srVNLbtswEN0X yB0I7mM5NhInguWghZGgQNEWSHsAmiItAvyBQ1vyBdobdNVN9z2Xz5EhJTmfbrLohhrODN/MezNa 3nZGk70IoJyt6MVkSomw3NXKbiv6/dvd+TUlEJmtmXZWVPQggN6uzt4tW1+KmWucrkUgCGKhbH1F mxh9WRTAG2EYTJwXFoPSBcMiXsO2qANrEd3oYjadXhWtC7UPjgsA9K77IB0Qw1sAnZSKi7XjOyNs 7FGD0CwiJWiUB7rK3UopePwiJYhIdEWRacwnFkF7k85itWTlNjDfKD60wN7SwitOhimLRU9QaxYZ 2QX1D5RRPDhwMk64M0VPJCuCLC6mr7R5aJgXmQtKDf4kOvw/WP55/zUQVVd0TollBgd+/PXz+Pvv 8c8PMk/ytB5KzHrwmBe7D67DpRn9gM7EupPBpC/yIRhHcQ8ncUUXCU+PFvObG4xwDM0W14ury4RS PD32AeK9cIYko6IBZ5clZftPEPvUMSXVsu5OaZ3np+0LB2ImT5E67ztMVuw23UBn4+oDsmlx7BW1 uOWU6I8WVU0bMhphNDajsfNBbZu8Qqke+Pe7iE3k3lKFHnYojPPK7IbdSgvx/J6znv6n1SN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AKu/Qn0gAAAAMBAAAPAAAAAAAAAAEAIAAAACIAAABkcnMvZG93 bnJldi54bWxQSwECFAAUAAAACACHTuJA7pAxXc0BAACXAwAADgAAAAAAAAABACAAAAAhAQAAZHJz L2Uyb0RvYy54bWxQSwUGAAAAAAYABgBZAQAAYAUAAAAA ">
              <v:fill on="f" focussize="0,0"/>
              <v:stroke on="f"/>
              <v:imagedata o:title=""/>
              <o:lock v:ext="edit" aspectratio="f"/>
              <v:textbox inset="0mm,0mm,0mm,0mm" style="mso-fit-shape-to-text:t;">
                <w:txbxContent>
                  <w:p>
                    <w:pPr>
                      <w:pStyle w:val="51"/>
                      <w:jc w:val="center"/>
                      <w:rPr>
                        <w:rStyle w:val="82"/>
                      </w:rPr>
                    </w:pPr>
                    <w:r>
                      <w:fldChar w:fldCharType="begin"/>
                    </w:r>
                    <w:r>
                      <w:rPr>
                        <w:rStyle w:val="82"/>
                      </w:rPr>
                      <w:instrText xml:space="preserve">PAGE  </w:instrText>
                    </w:r>
                    <w:r>
                      <w:fldChar w:fldCharType="separate"/>
                    </w:r>
                    <w:r>
                      <w:rPr>
                        <w:rStyle w:val="82"/>
                        <w:lang/>
                      </w:rPr>
                      <w:t>99</w:t>
                    </w:r>
                    <w:r>
                      <w:fldChar w:fldCharType="end"/>
                    </w:r>
                  </w:p>
                </w:txbxContent>
              </v:textbox>
            </v:shape>
          </w:pict>
        </mc:Fallback>
      </mc:AlternateContent>
    </w:r>
    <w:r>
      <w:rPr>
        <w:rFonts w:hint="eastAsia" w:eastAsia="宋体"/>
        <w:color w:val="0000FF"/>
      </w:rPr>
      <w:t xml:space="preserve">                      </w:t>
    </w:r>
    <w:r>
      <w:rPr>
        <w:rFonts w:hint="eastAsia" w:eastAsia="宋体"/>
        <w:color w:val="0000FF"/>
        <w:u w:val="thick"/>
      </w:rPr>
      <w:t xml:space="preserve">                                                                             </w:t>
    </w:r>
    <w:r>
      <w:rPr>
        <w:rFonts w:hint="eastAsia" w:eastAsia="宋体"/>
        <w:color w:val="0000FF"/>
      </w:rPr>
      <w:t xml:space="preserve">     </w:t>
    </w:r>
    <w:r>
      <w:rPr>
        <w:rFonts w:hint="eastAsia" w:eastAsia="宋体"/>
        <w:color w:val="0000FF"/>
        <w:u w:val="thick"/>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rPr>
        <w:rStyle w:val="82"/>
      </w:rPr>
    </w:pPr>
    <w:r>
      <w:fldChar w:fldCharType="begin"/>
    </w:r>
    <w:r>
      <w:rPr>
        <w:rStyle w:val="82"/>
      </w:rPr>
      <w:instrText xml:space="preserve">PAGE  </w:instrText>
    </w:r>
    <w:r>
      <w:fldChar w:fldCharType="end"/>
    </w:r>
  </w:p>
  <w:p>
    <w:pPr>
      <w:pStyle w:val="5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right"/>
      <w:rPr>
        <w:rFonts w:hint="eastAsia" w:eastAsia="宋体"/>
      </w:rPr>
    </w:pPr>
    <w:r>
      <w:rPr>
        <w:rFonts w:hint="eastAsia" w:eastAsia="宋体"/>
        <w:i/>
        <w:iCs/>
      </w:rPr>
      <w:t>杭州</w:t>
    </w:r>
    <w:r>
      <w:rPr>
        <w:rFonts w:hint="eastAsia" w:eastAsia="宋体"/>
        <w:i/>
        <w:iCs/>
        <w:lang w:eastAsia="zh-CN"/>
      </w:rPr>
      <w:t>政采</w:t>
    </w:r>
    <w:r>
      <w:rPr>
        <w:rFonts w:hint="eastAsia" w:eastAsia="宋体"/>
        <w:i/>
        <w:iCs/>
      </w:rPr>
      <w:t>工程咨询代理有限公司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jc w:val="both"/>
      <w:rPr>
        <w:rFonts w:hint="eastAsia" w:eastAsia="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A0083"/>
    <w:multiLevelType w:val="singleLevel"/>
    <w:tmpl w:val="9C2A0083"/>
    <w:lvl w:ilvl="0" w:tentative="0">
      <w:start w:val="5"/>
      <w:numFmt w:val="chineseCounting"/>
      <w:suff w:val="nothing"/>
      <w:lvlText w:val="（%1）"/>
      <w:lvlJc w:val="left"/>
      <w:rPr>
        <w:rFonts w:hint="eastAsia"/>
      </w:rPr>
    </w:lvl>
  </w:abstractNum>
  <w:abstractNum w:abstractNumId="1">
    <w:nsid w:val="BF78D33C"/>
    <w:multiLevelType w:val="singleLevel"/>
    <w:tmpl w:val="BF78D33C"/>
    <w:lvl w:ilvl="0" w:tentative="0">
      <w:start w:val="1"/>
      <w:numFmt w:val="decimal"/>
      <w:suff w:val="space"/>
      <w:lvlText w:val="%1."/>
      <w:lvlJc w:val="left"/>
    </w:lvl>
  </w:abstractNum>
  <w:abstractNum w:abstractNumId="2">
    <w:nsid w:val="0D407D28"/>
    <w:multiLevelType w:val="multilevel"/>
    <w:tmpl w:val="0D407D28"/>
    <w:lvl w:ilvl="0" w:tentative="0">
      <w:start w:val="1"/>
      <w:numFmt w:val="bullet"/>
      <w:pStyle w:val="374"/>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3">
    <w:nsid w:val="0FB26183"/>
    <w:multiLevelType w:val="multilevel"/>
    <w:tmpl w:val="0FB26183"/>
    <w:lvl w:ilvl="0" w:tentative="0">
      <w:start w:val="1"/>
      <w:numFmt w:val="bullet"/>
      <w:pStyle w:val="1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E07AE"/>
    <w:multiLevelType w:val="multilevel"/>
    <w:tmpl w:val="2F3E07A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CC71D91"/>
    <w:multiLevelType w:val="singleLevel"/>
    <w:tmpl w:val="4CC71D91"/>
    <w:lvl w:ilvl="0" w:tentative="0">
      <w:start w:val="6"/>
      <w:numFmt w:val="chineseCounting"/>
      <w:suff w:val="nothing"/>
      <w:lvlText w:val="%1、"/>
      <w:lvlJc w:val="left"/>
      <w:rPr>
        <w:rFonts w:hint="eastAsia"/>
      </w:rPr>
    </w:lvl>
  </w:abstractNum>
  <w:abstractNum w:abstractNumId="6">
    <w:nsid w:val="58AAA7A6"/>
    <w:multiLevelType w:val="singleLevel"/>
    <w:tmpl w:val="58AAA7A6"/>
    <w:lvl w:ilvl="0" w:tentative="0">
      <w:start w:val="2"/>
      <w:numFmt w:val="chineseCounting"/>
      <w:suff w:val="nothing"/>
      <w:lvlText w:val="%1、"/>
      <w:lvlJc w:val="left"/>
    </w:lvl>
  </w:abstractNum>
  <w:abstractNum w:abstractNumId="7">
    <w:nsid w:val="5BCF60D9"/>
    <w:multiLevelType w:val="singleLevel"/>
    <w:tmpl w:val="5BCF60D9"/>
    <w:lvl w:ilvl="0" w:tentative="0">
      <w:start w:val="1"/>
      <w:numFmt w:val="bullet"/>
      <w:pStyle w:val="293"/>
      <w:lvlText w:val=""/>
      <w:lvlJc w:val="left"/>
      <w:pPr>
        <w:tabs>
          <w:tab w:val="left" w:pos="425"/>
        </w:tabs>
        <w:ind w:left="425" w:hanging="425"/>
      </w:pPr>
      <w:rPr>
        <w:rFonts w:hint="default" w:ascii="Wingdings" w:hAnsi="Wingdings"/>
      </w:rPr>
    </w:lvl>
  </w:abstractNum>
  <w:abstractNum w:abstractNumId="8">
    <w:nsid w:val="60AE39CC"/>
    <w:multiLevelType w:val="multilevel"/>
    <w:tmpl w:val="60AE39CC"/>
    <w:lvl w:ilvl="0" w:tentative="0">
      <w:start w:val="1"/>
      <w:numFmt w:val="chineseCountingThousand"/>
      <w:pStyle w:val="156"/>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9"/>
      <w:lvlText w:val="           "/>
      <w:lvlJc w:val="left"/>
      <w:pPr>
        <w:tabs>
          <w:tab w:val="left" w:pos="1440"/>
        </w:tabs>
        <w:ind w:left="1152" w:hanging="1152"/>
      </w:pPr>
    </w:lvl>
    <w:lvl w:ilvl="6" w:tentative="0">
      <w:start w:val="1"/>
      <w:numFmt w:val="decimal"/>
      <w:pStyle w:val="10"/>
      <w:lvlText w:val="%1.%2.%3.%4.%5.%6.%7"/>
      <w:lvlJc w:val="left"/>
      <w:pPr>
        <w:tabs>
          <w:tab w:val="left" w:pos="2520"/>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9">
    <w:nsid w:val="621D3DF3"/>
    <w:multiLevelType w:val="multilevel"/>
    <w:tmpl w:val="621D3DF3"/>
    <w:lvl w:ilvl="0" w:tentative="0">
      <w:start w:val="1"/>
      <w:numFmt w:val="bullet"/>
      <w:pStyle w:val="269"/>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D9CF307"/>
    <w:multiLevelType w:val="singleLevel"/>
    <w:tmpl w:val="6D9CF307"/>
    <w:lvl w:ilvl="0" w:tentative="0">
      <w:start w:val="1"/>
      <w:numFmt w:val="ideographTraditional"/>
      <w:suff w:val="nothing"/>
      <w:lvlText w:val="%1、"/>
      <w:lvlJc w:val="left"/>
      <w:rPr>
        <w:rFonts w:hint="eastAsia"/>
      </w:rPr>
    </w:lvl>
  </w:abstractNum>
  <w:abstractNum w:abstractNumId="11">
    <w:nsid w:val="762658F6"/>
    <w:multiLevelType w:val="multilevel"/>
    <w:tmpl w:val="762658F6"/>
    <w:lvl w:ilvl="0" w:tentative="0">
      <w:start w:val="5"/>
      <w:numFmt w:val="bullet"/>
      <w:lvlText w:val="★"/>
      <w:lvlJc w:val="left"/>
      <w:pPr>
        <w:tabs>
          <w:tab w:val="left" w:pos="360"/>
        </w:tabs>
        <w:ind w:left="360" w:hanging="360"/>
      </w:pPr>
      <w:rPr>
        <w:rFonts w:hint="eastAsia"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765316F3"/>
    <w:multiLevelType w:val="multilevel"/>
    <w:tmpl w:val="765316F3"/>
    <w:lvl w:ilvl="0" w:tentative="0">
      <w:start w:val="1"/>
      <w:numFmt w:val="chineseCountingThousand"/>
      <w:pStyle w:val="5"/>
      <w:lvlText w:val="%1、"/>
      <w:lvlJc w:val="left"/>
      <w:pPr>
        <w:tabs>
          <w:tab w:val="left" w:pos="1110"/>
        </w:tabs>
        <w:ind w:left="106" w:firstLine="454"/>
      </w:pPr>
      <w:rPr>
        <w:rFonts w:hint="default" w:ascii="??" w:hAnsi="??" w:eastAsia="??"/>
        <w:b/>
        <w:i w:val="0"/>
        <w:iCs w:val="0"/>
        <w:caps w:val="0"/>
        <w:smallCaps w:val="0"/>
        <w:strike w:val="0"/>
        <w:dstrike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3">
    <w:nsid w:val="79EB7B22"/>
    <w:multiLevelType w:val="multilevel"/>
    <w:tmpl w:val="79EB7B22"/>
    <w:lvl w:ilvl="0" w:tentative="0">
      <w:start w:val="1"/>
      <w:numFmt w:val="bullet"/>
      <w:pStyle w:val="431"/>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12"/>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7"/>
  </w:num>
  <w:num w:numId="6">
    <w:abstractNumId w:val="2"/>
  </w:num>
  <w:num w:numId="7">
    <w:abstractNumId w:val="13"/>
  </w:num>
  <w:num w:numId="8">
    <w:abstractNumId w:val="5"/>
  </w:num>
  <w:num w:numId="9">
    <w:abstractNumId w:val="0"/>
  </w:num>
  <w:num w:numId="10">
    <w:abstractNumId w:val="6"/>
  </w:num>
  <w:num w:numId="11">
    <w:abstractNumId w:val="1"/>
  </w:num>
  <w:num w:numId="12">
    <w:abstractNumId w:val="10"/>
  </w:num>
  <w:num w:numId="13">
    <w:abstractNumId w:val="4"/>
    <w:lvlOverride w:ilvl="0">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97"/>
    <w:rsid w:val="00002643"/>
    <w:rsid w:val="0000282A"/>
    <w:rsid w:val="00004E47"/>
    <w:rsid w:val="000107B1"/>
    <w:rsid w:val="00012442"/>
    <w:rsid w:val="00012D7C"/>
    <w:rsid w:val="00014366"/>
    <w:rsid w:val="00014AAD"/>
    <w:rsid w:val="000151AB"/>
    <w:rsid w:val="00016A50"/>
    <w:rsid w:val="00016EFE"/>
    <w:rsid w:val="000204DE"/>
    <w:rsid w:val="00021A6C"/>
    <w:rsid w:val="00021F8A"/>
    <w:rsid w:val="00027FE8"/>
    <w:rsid w:val="000309C5"/>
    <w:rsid w:val="0003345D"/>
    <w:rsid w:val="00035520"/>
    <w:rsid w:val="00035599"/>
    <w:rsid w:val="00035E30"/>
    <w:rsid w:val="00035F17"/>
    <w:rsid w:val="00037BD3"/>
    <w:rsid w:val="0004192E"/>
    <w:rsid w:val="000446F6"/>
    <w:rsid w:val="0004700C"/>
    <w:rsid w:val="00047C00"/>
    <w:rsid w:val="0005137E"/>
    <w:rsid w:val="00051C07"/>
    <w:rsid w:val="00052314"/>
    <w:rsid w:val="000530E1"/>
    <w:rsid w:val="00054058"/>
    <w:rsid w:val="00054724"/>
    <w:rsid w:val="0005617B"/>
    <w:rsid w:val="0005626E"/>
    <w:rsid w:val="00056DFC"/>
    <w:rsid w:val="00057D8F"/>
    <w:rsid w:val="000607F4"/>
    <w:rsid w:val="000618C3"/>
    <w:rsid w:val="00062A83"/>
    <w:rsid w:val="0006385B"/>
    <w:rsid w:val="000648A1"/>
    <w:rsid w:val="000660ED"/>
    <w:rsid w:val="00067CF5"/>
    <w:rsid w:val="00070FB5"/>
    <w:rsid w:val="00073C8D"/>
    <w:rsid w:val="00074029"/>
    <w:rsid w:val="00076141"/>
    <w:rsid w:val="00077434"/>
    <w:rsid w:val="00077570"/>
    <w:rsid w:val="00080A6A"/>
    <w:rsid w:val="000812E5"/>
    <w:rsid w:val="00082827"/>
    <w:rsid w:val="000844B5"/>
    <w:rsid w:val="000851F5"/>
    <w:rsid w:val="00092737"/>
    <w:rsid w:val="000935FD"/>
    <w:rsid w:val="000A5010"/>
    <w:rsid w:val="000B2120"/>
    <w:rsid w:val="000B2178"/>
    <w:rsid w:val="000B339B"/>
    <w:rsid w:val="000B4324"/>
    <w:rsid w:val="000B50E5"/>
    <w:rsid w:val="000B6B43"/>
    <w:rsid w:val="000C2E28"/>
    <w:rsid w:val="000C5C3D"/>
    <w:rsid w:val="000C62A5"/>
    <w:rsid w:val="000D0532"/>
    <w:rsid w:val="000D34BB"/>
    <w:rsid w:val="000D353A"/>
    <w:rsid w:val="000D3C9F"/>
    <w:rsid w:val="000E02E5"/>
    <w:rsid w:val="000E18EA"/>
    <w:rsid w:val="000E259E"/>
    <w:rsid w:val="000E2E75"/>
    <w:rsid w:val="000E3079"/>
    <w:rsid w:val="000E60D3"/>
    <w:rsid w:val="000E627E"/>
    <w:rsid w:val="000E678D"/>
    <w:rsid w:val="000E6894"/>
    <w:rsid w:val="000E72DD"/>
    <w:rsid w:val="000F0206"/>
    <w:rsid w:val="000F0337"/>
    <w:rsid w:val="000F06D0"/>
    <w:rsid w:val="000F15D4"/>
    <w:rsid w:val="000F21CE"/>
    <w:rsid w:val="000F28F9"/>
    <w:rsid w:val="000F6F52"/>
    <w:rsid w:val="000F78B3"/>
    <w:rsid w:val="000F78E2"/>
    <w:rsid w:val="0010081E"/>
    <w:rsid w:val="00100EFC"/>
    <w:rsid w:val="00102F93"/>
    <w:rsid w:val="0010472C"/>
    <w:rsid w:val="00107F09"/>
    <w:rsid w:val="00111535"/>
    <w:rsid w:val="001124F2"/>
    <w:rsid w:val="001125F4"/>
    <w:rsid w:val="001135A8"/>
    <w:rsid w:val="00114B5E"/>
    <w:rsid w:val="001219BA"/>
    <w:rsid w:val="00123EB7"/>
    <w:rsid w:val="00126CF3"/>
    <w:rsid w:val="00127579"/>
    <w:rsid w:val="001337E3"/>
    <w:rsid w:val="00135386"/>
    <w:rsid w:val="0013617B"/>
    <w:rsid w:val="00136BCA"/>
    <w:rsid w:val="00136BF9"/>
    <w:rsid w:val="001372F7"/>
    <w:rsid w:val="00140B75"/>
    <w:rsid w:val="00141C35"/>
    <w:rsid w:val="00143934"/>
    <w:rsid w:val="001470F3"/>
    <w:rsid w:val="0015111D"/>
    <w:rsid w:val="001526DB"/>
    <w:rsid w:val="001531D5"/>
    <w:rsid w:val="0015456E"/>
    <w:rsid w:val="00160D6E"/>
    <w:rsid w:val="00163965"/>
    <w:rsid w:val="00163FC5"/>
    <w:rsid w:val="00164596"/>
    <w:rsid w:val="00166B64"/>
    <w:rsid w:val="001675A1"/>
    <w:rsid w:val="00167A82"/>
    <w:rsid w:val="00172613"/>
    <w:rsid w:val="00174AD9"/>
    <w:rsid w:val="00182875"/>
    <w:rsid w:val="00184B37"/>
    <w:rsid w:val="00184F02"/>
    <w:rsid w:val="00184F2D"/>
    <w:rsid w:val="00185231"/>
    <w:rsid w:val="00185961"/>
    <w:rsid w:val="00187DB0"/>
    <w:rsid w:val="00191BE9"/>
    <w:rsid w:val="00194027"/>
    <w:rsid w:val="00196B08"/>
    <w:rsid w:val="00196C4E"/>
    <w:rsid w:val="00196E80"/>
    <w:rsid w:val="00197AA5"/>
    <w:rsid w:val="001A5043"/>
    <w:rsid w:val="001B5734"/>
    <w:rsid w:val="001B580D"/>
    <w:rsid w:val="001B59C3"/>
    <w:rsid w:val="001C3AFE"/>
    <w:rsid w:val="001C4F32"/>
    <w:rsid w:val="001D29AC"/>
    <w:rsid w:val="001D5213"/>
    <w:rsid w:val="001D79FC"/>
    <w:rsid w:val="001E1DAF"/>
    <w:rsid w:val="001E1E79"/>
    <w:rsid w:val="001E34A3"/>
    <w:rsid w:val="001E394A"/>
    <w:rsid w:val="001E4F1B"/>
    <w:rsid w:val="001F0A8E"/>
    <w:rsid w:val="001F2C53"/>
    <w:rsid w:val="001F31FE"/>
    <w:rsid w:val="001F38FB"/>
    <w:rsid w:val="001F3B2E"/>
    <w:rsid w:val="001F7650"/>
    <w:rsid w:val="00200AA3"/>
    <w:rsid w:val="00200ACD"/>
    <w:rsid w:val="00203490"/>
    <w:rsid w:val="00203701"/>
    <w:rsid w:val="00203B60"/>
    <w:rsid w:val="00203D36"/>
    <w:rsid w:val="00205A55"/>
    <w:rsid w:val="00205AD1"/>
    <w:rsid w:val="00206BB9"/>
    <w:rsid w:val="00206C60"/>
    <w:rsid w:val="0020701C"/>
    <w:rsid w:val="0020701D"/>
    <w:rsid w:val="002075BD"/>
    <w:rsid w:val="002116FD"/>
    <w:rsid w:val="00211ED7"/>
    <w:rsid w:val="00212738"/>
    <w:rsid w:val="002150E4"/>
    <w:rsid w:val="0021732D"/>
    <w:rsid w:val="00217C72"/>
    <w:rsid w:val="00220040"/>
    <w:rsid w:val="00220EB5"/>
    <w:rsid w:val="0022671F"/>
    <w:rsid w:val="00232A60"/>
    <w:rsid w:val="00234313"/>
    <w:rsid w:val="002348B5"/>
    <w:rsid w:val="0023705B"/>
    <w:rsid w:val="002373CC"/>
    <w:rsid w:val="002379C0"/>
    <w:rsid w:val="00240508"/>
    <w:rsid w:val="002405EF"/>
    <w:rsid w:val="00240603"/>
    <w:rsid w:val="002417B5"/>
    <w:rsid w:val="00242D52"/>
    <w:rsid w:val="002465B1"/>
    <w:rsid w:val="00246C46"/>
    <w:rsid w:val="002519A6"/>
    <w:rsid w:val="00253A44"/>
    <w:rsid w:val="00253C6A"/>
    <w:rsid w:val="00256E7A"/>
    <w:rsid w:val="00261514"/>
    <w:rsid w:val="002616AC"/>
    <w:rsid w:val="00262035"/>
    <w:rsid w:val="00262292"/>
    <w:rsid w:val="00264B8C"/>
    <w:rsid w:val="00264B90"/>
    <w:rsid w:val="002652E2"/>
    <w:rsid w:val="00271E8C"/>
    <w:rsid w:val="00272DB1"/>
    <w:rsid w:val="00281B57"/>
    <w:rsid w:val="002833DF"/>
    <w:rsid w:val="00283722"/>
    <w:rsid w:val="002844EF"/>
    <w:rsid w:val="002859CC"/>
    <w:rsid w:val="00286E9C"/>
    <w:rsid w:val="002913BB"/>
    <w:rsid w:val="00292946"/>
    <w:rsid w:val="00292EA6"/>
    <w:rsid w:val="002931FE"/>
    <w:rsid w:val="00293F66"/>
    <w:rsid w:val="0029400F"/>
    <w:rsid w:val="00297024"/>
    <w:rsid w:val="0029787A"/>
    <w:rsid w:val="00297DE5"/>
    <w:rsid w:val="002A2975"/>
    <w:rsid w:val="002A3134"/>
    <w:rsid w:val="002A3AA3"/>
    <w:rsid w:val="002A3E5D"/>
    <w:rsid w:val="002A45BB"/>
    <w:rsid w:val="002A4DA4"/>
    <w:rsid w:val="002A5B70"/>
    <w:rsid w:val="002A69C6"/>
    <w:rsid w:val="002A73C9"/>
    <w:rsid w:val="002A7BD8"/>
    <w:rsid w:val="002B0378"/>
    <w:rsid w:val="002B1D9D"/>
    <w:rsid w:val="002B2761"/>
    <w:rsid w:val="002B5B58"/>
    <w:rsid w:val="002B6A2B"/>
    <w:rsid w:val="002B6BED"/>
    <w:rsid w:val="002C1467"/>
    <w:rsid w:val="002C5E7F"/>
    <w:rsid w:val="002D1D0B"/>
    <w:rsid w:val="002D1EC8"/>
    <w:rsid w:val="002D36AD"/>
    <w:rsid w:val="002E1E56"/>
    <w:rsid w:val="002E271C"/>
    <w:rsid w:val="002E4BBB"/>
    <w:rsid w:val="002E62DC"/>
    <w:rsid w:val="002E7954"/>
    <w:rsid w:val="002E7CB4"/>
    <w:rsid w:val="002F07FE"/>
    <w:rsid w:val="002F132E"/>
    <w:rsid w:val="002F38B7"/>
    <w:rsid w:val="002F6BA9"/>
    <w:rsid w:val="003016CD"/>
    <w:rsid w:val="00304332"/>
    <w:rsid w:val="0030537F"/>
    <w:rsid w:val="00305C03"/>
    <w:rsid w:val="00307542"/>
    <w:rsid w:val="00307EC9"/>
    <w:rsid w:val="00310230"/>
    <w:rsid w:val="00311D86"/>
    <w:rsid w:val="003121A6"/>
    <w:rsid w:val="00313FA8"/>
    <w:rsid w:val="00315B4B"/>
    <w:rsid w:val="00316398"/>
    <w:rsid w:val="00317A11"/>
    <w:rsid w:val="00320953"/>
    <w:rsid w:val="00321E94"/>
    <w:rsid w:val="00323F0C"/>
    <w:rsid w:val="00326100"/>
    <w:rsid w:val="00326DB1"/>
    <w:rsid w:val="00331293"/>
    <w:rsid w:val="00332FAF"/>
    <w:rsid w:val="00334039"/>
    <w:rsid w:val="00334E12"/>
    <w:rsid w:val="00334EC2"/>
    <w:rsid w:val="0033597A"/>
    <w:rsid w:val="003366AF"/>
    <w:rsid w:val="003378D6"/>
    <w:rsid w:val="00337D84"/>
    <w:rsid w:val="00340B07"/>
    <w:rsid w:val="003425E2"/>
    <w:rsid w:val="00342926"/>
    <w:rsid w:val="0034428F"/>
    <w:rsid w:val="003453F2"/>
    <w:rsid w:val="00347607"/>
    <w:rsid w:val="00347995"/>
    <w:rsid w:val="0035022A"/>
    <w:rsid w:val="0035272E"/>
    <w:rsid w:val="003541B9"/>
    <w:rsid w:val="003547C4"/>
    <w:rsid w:val="00355517"/>
    <w:rsid w:val="003573AC"/>
    <w:rsid w:val="003574BA"/>
    <w:rsid w:val="00366F88"/>
    <w:rsid w:val="00370043"/>
    <w:rsid w:val="0037086E"/>
    <w:rsid w:val="00370AA5"/>
    <w:rsid w:val="00370CBD"/>
    <w:rsid w:val="0037155D"/>
    <w:rsid w:val="00371A94"/>
    <w:rsid w:val="00375563"/>
    <w:rsid w:val="00380B88"/>
    <w:rsid w:val="00380C50"/>
    <w:rsid w:val="003839D6"/>
    <w:rsid w:val="003841D6"/>
    <w:rsid w:val="003849D8"/>
    <w:rsid w:val="00384A4B"/>
    <w:rsid w:val="00385AC7"/>
    <w:rsid w:val="003873C1"/>
    <w:rsid w:val="00392496"/>
    <w:rsid w:val="00395D04"/>
    <w:rsid w:val="00395FA3"/>
    <w:rsid w:val="003963A5"/>
    <w:rsid w:val="00396B13"/>
    <w:rsid w:val="003A07BB"/>
    <w:rsid w:val="003A1A0F"/>
    <w:rsid w:val="003A2794"/>
    <w:rsid w:val="003A42BB"/>
    <w:rsid w:val="003A53F1"/>
    <w:rsid w:val="003A5CE7"/>
    <w:rsid w:val="003A6CEF"/>
    <w:rsid w:val="003A7270"/>
    <w:rsid w:val="003B00F7"/>
    <w:rsid w:val="003B1AF4"/>
    <w:rsid w:val="003B3061"/>
    <w:rsid w:val="003B3A0C"/>
    <w:rsid w:val="003B5DAF"/>
    <w:rsid w:val="003B7157"/>
    <w:rsid w:val="003C30DC"/>
    <w:rsid w:val="003C5FB2"/>
    <w:rsid w:val="003C676E"/>
    <w:rsid w:val="003C6C07"/>
    <w:rsid w:val="003D28E0"/>
    <w:rsid w:val="003D4927"/>
    <w:rsid w:val="003D6731"/>
    <w:rsid w:val="003D693C"/>
    <w:rsid w:val="003D7BDA"/>
    <w:rsid w:val="003E1519"/>
    <w:rsid w:val="003E1D3A"/>
    <w:rsid w:val="003E1EA6"/>
    <w:rsid w:val="003E27E3"/>
    <w:rsid w:val="003E439A"/>
    <w:rsid w:val="003E650B"/>
    <w:rsid w:val="003E6ADA"/>
    <w:rsid w:val="003F120E"/>
    <w:rsid w:val="003F1E86"/>
    <w:rsid w:val="003F2A4D"/>
    <w:rsid w:val="003F3381"/>
    <w:rsid w:val="003F34B5"/>
    <w:rsid w:val="003F7415"/>
    <w:rsid w:val="003F7AF2"/>
    <w:rsid w:val="00400A03"/>
    <w:rsid w:val="00402399"/>
    <w:rsid w:val="00402432"/>
    <w:rsid w:val="00403724"/>
    <w:rsid w:val="00403DEB"/>
    <w:rsid w:val="00404CF6"/>
    <w:rsid w:val="00405A49"/>
    <w:rsid w:val="0040715F"/>
    <w:rsid w:val="004072E8"/>
    <w:rsid w:val="0041255A"/>
    <w:rsid w:val="00412995"/>
    <w:rsid w:val="00413715"/>
    <w:rsid w:val="00413FE9"/>
    <w:rsid w:val="00415734"/>
    <w:rsid w:val="00415FDB"/>
    <w:rsid w:val="00416152"/>
    <w:rsid w:val="00417320"/>
    <w:rsid w:val="00417EA5"/>
    <w:rsid w:val="00420C8D"/>
    <w:rsid w:val="004239DA"/>
    <w:rsid w:val="00424AE5"/>
    <w:rsid w:val="004256C9"/>
    <w:rsid w:val="00426D86"/>
    <w:rsid w:val="00427393"/>
    <w:rsid w:val="004312E5"/>
    <w:rsid w:val="004337B8"/>
    <w:rsid w:val="004342D5"/>
    <w:rsid w:val="004342E2"/>
    <w:rsid w:val="004346C0"/>
    <w:rsid w:val="00444AF2"/>
    <w:rsid w:val="00445197"/>
    <w:rsid w:val="00447484"/>
    <w:rsid w:val="00450652"/>
    <w:rsid w:val="0045067D"/>
    <w:rsid w:val="0045098F"/>
    <w:rsid w:val="00450F4C"/>
    <w:rsid w:val="0045288E"/>
    <w:rsid w:val="004531DB"/>
    <w:rsid w:val="00453F3C"/>
    <w:rsid w:val="00455939"/>
    <w:rsid w:val="00461770"/>
    <w:rsid w:val="004619CE"/>
    <w:rsid w:val="004650FC"/>
    <w:rsid w:val="00465BFB"/>
    <w:rsid w:val="0046766B"/>
    <w:rsid w:val="0047101C"/>
    <w:rsid w:val="00473670"/>
    <w:rsid w:val="00475A2C"/>
    <w:rsid w:val="00476772"/>
    <w:rsid w:val="00476BD6"/>
    <w:rsid w:val="004776BF"/>
    <w:rsid w:val="00482B7C"/>
    <w:rsid w:val="00484B3F"/>
    <w:rsid w:val="004857F6"/>
    <w:rsid w:val="00487FE7"/>
    <w:rsid w:val="00491B8C"/>
    <w:rsid w:val="00491C05"/>
    <w:rsid w:val="00494150"/>
    <w:rsid w:val="00494F17"/>
    <w:rsid w:val="0049569F"/>
    <w:rsid w:val="004958DA"/>
    <w:rsid w:val="00497898"/>
    <w:rsid w:val="004A1CFB"/>
    <w:rsid w:val="004A59DA"/>
    <w:rsid w:val="004A59E9"/>
    <w:rsid w:val="004A6E3A"/>
    <w:rsid w:val="004A77B6"/>
    <w:rsid w:val="004B0E39"/>
    <w:rsid w:val="004B1024"/>
    <w:rsid w:val="004B1E59"/>
    <w:rsid w:val="004B2051"/>
    <w:rsid w:val="004B2541"/>
    <w:rsid w:val="004B2DC5"/>
    <w:rsid w:val="004B5A87"/>
    <w:rsid w:val="004B66ED"/>
    <w:rsid w:val="004B6718"/>
    <w:rsid w:val="004B6948"/>
    <w:rsid w:val="004B7209"/>
    <w:rsid w:val="004C3023"/>
    <w:rsid w:val="004C3661"/>
    <w:rsid w:val="004C37F5"/>
    <w:rsid w:val="004C400B"/>
    <w:rsid w:val="004C5B5B"/>
    <w:rsid w:val="004C7FE3"/>
    <w:rsid w:val="004D0F50"/>
    <w:rsid w:val="004D5B1A"/>
    <w:rsid w:val="004D63E2"/>
    <w:rsid w:val="004D7F69"/>
    <w:rsid w:val="004E047B"/>
    <w:rsid w:val="004E1BC7"/>
    <w:rsid w:val="004E1C17"/>
    <w:rsid w:val="004E3610"/>
    <w:rsid w:val="004E3FBF"/>
    <w:rsid w:val="004E4874"/>
    <w:rsid w:val="004F00B1"/>
    <w:rsid w:val="004F1B07"/>
    <w:rsid w:val="004F1FB8"/>
    <w:rsid w:val="004F2FE6"/>
    <w:rsid w:val="004F39DE"/>
    <w:rsid w:val="004F45D9"/>
    <w:rsid w:val="004F567A"/>
    <w:rsid w:val="004F6A19"/>
    <w:rsid w:val="004F769C"/>
    <w:rsid w:val="004F7752"/>
    <w:rsid w:val="00500AED"/>
    <w:rsid w:val="005012C2"/>
    <w:rsid w:val="005052A3"/>
    <w:rsid w:val="005129B8"/>
    <w:rsid w:val="005133AF"/>
    <w:rsid w:val="0051505F"/>
    <w:rsid w:val="0051558B"/>
    <w:rsid w:val="00516C3D"/>
    <w:rsid w:val="00516F5C"/>
    <w:rsid w:val="005173BD"/>
    <w:rsid w:val="00517C40"/>
    <w:rsid w:val="005230F0"/>
    <w:rsid w:val="0052320B"/>
    <w:rsid w:val="00523C3D"/>
    <w:rsid w:val="00525073"/>
    <w:rsid w:val="0052704D"/>
    <w:rsid w:val="00527B45"/>
    <w:rsid w:val="0053019E"/>
    <w:rsid w:val="00531211"/>
    <w:rsid w:val="00531A93"/>
    <w:rsid w:val="00531B55"/>
    <w:rsid w:val="00532052"/>
    <w:rsid w:val="0053332C"/>
    <w:rsid w:val="00534DC1"/>
    <w:rsid w:val="005374DB"/>
    <w:rsid w:val="00537A3F"/>
    <w:rsid w:val="0054182B"/>
    <w:rsid w:val="00543218"/>
    <w:rsid w:val="005435BE"/>
    <w:rsid w:val="00545945"/>
    <w:rsid w:val="0054758F"/>
    <w:rsid w:val="00551F3D"/>
    <w:rsid w:val="0055321F"/>
    <w:rsid w:val="00553225"/>
    <w:rsid w:val="00553883"/>
    <w:rsid w:val="00553D3E"/>
    <w:rsid w:val="00554798"/>
    <w:rsid w:val="00557BD9"/>
    <w:rsid w:val="00557F2A"/>
    <w:rsid w:val="005634F0"/>
    <w:rsid w:val="005674DF"/>
    <w:rsid w:val="005677F5"/>
    <w:rsid w:val="005700AF"/>
    <w:rsid w:val="0057047D"/>
    <w:rsid w:val="0057509C"/>
    <w:rsid w:val="00575376"/>
    <w:rsid w:val="00576885"/>
    <w:rsid w:val="005864B7"/>
    <w:rsid w:val="00587087"/>
    <w:rsid w:val="00587329"/>
    <w:rsid w:val="005921F0"/>
    <w:rsid w:val="00595B3D"/>
    <w:rsid w:val="0059607D"/>
    <w:rsid w:val="00596922"/>
    <w:rsid w:val="00597829"/>
    <w:rsid w:val="00597B7E"/>
    <w:rsid w:val="00597C6D"/>
    <w:rsid w:val="005A2271"/>
    <w:rsid w:val="005A4D77"/>
    <w:rsid w:val="005B1907"/>
    <w:rsid w:val="005B1E57"/>
    <w:rsid w:val="005B2DEE"/>
    <w:rsid w:val="005B3E8E"/>
    <w:rsid w:val="005B41AB"/>
    <w:rsid w:val="005B46D1"/>
    <w:rsid w:val="005B4DAE"/>
    <w:rsid w:val="005B59CB"/>
    <w:rsid w:val="005B65BC"/>
    <w:rsid w:val="005B7BDD"/>
    <w:rsid w:val="005C1638"/>
    <w:rsid w:val="005C1838"/>
    <w:rsid w:val="005C19BF"/>
    <w:rsid w:val="005C3200"/>
    <w:rsid w:val="005C428E"/>
    <w:rsid w:val="005C5FCC"/>
    <w:rsid w:val="005D11E5"/>
    <w:rsid w:val="005D5E19"/>
    <w:rsid w:val="005D7EFA"/>
    <w:rsid w:val="005D7FB5"/>
    <w:rsid w:val="005E0632"/>
    <w:rsid w:val="005E105C"/>
    <w:rsid w:val="005E1B8D"/>
    <w:rsid w:val="005E2267"/>
    <w:rsid w:val="005E37D8"/>
    <w:rsid w:val="005E3859"/>
    <w:rsid w:val="005E5B5A"/>
    <w:rsid w:val="005E5EFD"/>
    <w:rsid w:val="005E66EA"/>
    <w:rsid w:val="005E6904"/>
    <w:rsid w:val="005F0C79"/>
    <w:rsid w:val="005F0EFE"/>
    <w:rsid w:val="005F1764"/>
    <w:rsid w:val="005F7719"/>
    <w:rsid w:val="005F7D98"/>
    <w:rsid w:val="00603F3E"/>
    <w:rsid w:val="0060407C"/>
    <w:rsid w:val="006042D6"/>
    <w:rsid w:val="006048BF"/>
    <w:rsid w:val="00605223"/>
    <w:rsid w:val="00606E86"/>
    <w:rsid w:val="006146A5"/>
    <w:rsid w:val="00615AEA"/>
    <w:rsid w:val="00617E60"/>
    <w:rsid w:val="00620131"/>
    <w:rsid w:val="00621E44"/>
    <w:rsid w:val="00624240"/>
    <w:rsid w:val="00626FB9"/>
    <w:rsid w:val="0063085F"/>
    <w:rsid w:val="00634747"/>
    <w:rsid w:val="0063507E"/>
    <w:rsid w:val="00637B97"/>
    <w:rsid w:val="006461B6"/>
    <w:rsid w:val="00646950"/>
    <w:rsid w:val="00646D66"/>
    <w:rsid w:val="00647383"/>
    <w:rsid w:val="00650215"/>
    <w:rsid w:val="006510A8"/>
    <w:rsid w:val="006514FE"/>
    <w:rsid w:val="00651B33"/>
    <w:rsid w:val="006532CF"/>
    <w:rsid w:val="006536A1"/>
    <w:rsid w:val="00654829"/>
    <w:rsid w:val="00654AF9"/>
    <w:rsid w:val="006550E9"/>
    <w:rsid w:val="00657CE5"/>
    <w:rsid w:val="006627E3"/>
    <w:rsid w:val="006646C8"/>
    <w:rsid w:val="00664E2E"/>
    <w:rsid w:val="00666A8B"/>
    <w:rsid w:val="00667983"/>
    <w:rsid w:val="006719BA"/>
    <w:rsid w:val="00673542"/>
    <w:rsid w:val="006739B8"/>
    <w:rsid w:val="006744D9"/>
    <w:rsid w:val="0067458A"/>
    <w:rsid w:val="0067470E"/>
    <w:rsid w:val="0067485D"/>
    <w:rsid w:val="0068186D"/>
    <w:rsid w:val="006825A5"/>
    <w:rsid w:val="00684839"/>
    <w:rsid w:val="0068503C"/>
    <w:rsid w:val="00685488"/>
    <w:rsid w:val="00686276"/>
    <w:rsid w:val="00686EFC"/>
    <w:rsid w:val="0068716E"/>
    <w:rsid w:val="006900C3"/>
    <w:rsid w:val="00692B74"/>
    <w:rsid w:val="0069570E"/>
    <w:rsid w:val="00696FEF"/>
    <w:rsid w:val="006972CC"/>
    <w:rsid w:val="006A01FD"/>
    <w:rsid w:val="006A068F"/>
    <w:rsid w:val="006A13EE"/>
    <w:rsid w:val="006A218D"/>
    <w:rsid w:val="006A3843"/>
    <w:rsid w:val="006A7F64"/>
    <w:rsid w:val="006B5C65"/>
    <w:rsid w:val="006B61F3"/>
    <w:rsid w:val="006C1ECB"/>
    <w:rsid w:val="006C3C33"/>
    <w:rsid w:val="006C785B"/>
    <w:rsid w:val="006D092A"/>
    <w:rsid w:val="006D34C5"/>
    <w:rsid w:val="006D6827"/>
    <w:rsid w:val="006E1487"/>
    <w:rsid w:val="006E215D"/>
    <w:rsid w:val="006E23BC"/>
    <w:rsid w:val="006E5FB9"/>
    <w:rsid w:val="006E7CFA"/>
    <w:rsid w:val="006F0F00"/>
    <w:rsid w:val="006F2886"/>
    <w:rsid w:val="006F3DFA"/>
    <w:rsid w:val="006F76AB"/>
    <w:rsid w:val="00700308"/>
    <w:rsid w:val="00700C91"/>
    <w:rsid w:val="00704E0E"/>
    <w:rsid w:val="007053CF"/>
    <w:rsid w:val="00707C4E"/>
    <w:rsid w:val="007106C1"/>
    <w:rsid w:val="007106F3"/>
    <w:rsid w:val="0071088B"/>
    <w:rsid w:val="0071148F"/>
    <w:rsid w:val="00712E41"/>
    <w:rsid w:val="00714126"/>
    <w:rsid w:val="00722E6F"/>
    <w:rsid w:val="00723349"/>
    <w:rsid w:val="00724F3D"/>
    <w:rsid w:val="00725202"/>
    <w:rsid w:val="00727632"/>
    <w:rsid w:val="00730D10"/>
    <w:rsid w:val="00730D14"/>
    <w:rsid w:val="007311F3"/>
    <w:rsid w:val="00731BB6"/>
    <w:rsid w:val="007326B0"/>
    <w:rsid w:val="00732A34"/>
    <w:rsid w:val="00732C44"/>
    <w:rsid w:val="00733B40"/>
    <w:rsid w:val="00733BE3"/>
    <w:rsid w:val="00735A4B"/>
    <w:rsid w:val="00735AB6"/>
    <w:rsid w:val="00735E1F"/>
    <w:rsid w:val="0074163D"/>
    <w:rsid w:val="00741C1F"/>
    <w:rsid w:val="007423EE"/>
    <w:rsid w:val="00742B33"/>
    <w:rsid w:val="007431F6"/>
    <w:rsid w:val="00743A0F"/>
    <w:rsid w:val="00743D87"/>
    <w:rsid w:val="00743F91"/>
    <w:rsid w:val="00745894"/>
    <w:rsid w:val="00745983"/>
    <w:rsid w:val="0074790A"/>
    <w:rsid w:val="00750183"/>
    <w:rsid w:val="0075092D"/>
    <w:rsid w:val="00751056"/>
    <w:rsid w:val="007520EC"/>
    <w:rsid w:val="0075280F"/>
    <w:rsid w:val="00752C92"/>
    <w:rsid w:val="0075311E"/>
    <w:rsid w:val="00754160"/>
    <w:rsid w:val="00757B15"/>
    <w:rsid w:val="00757DCD"/>
    <w:rsid w:val="00763A64"/>
    <w:rsid w:val="00767CCD"/>
    <w:rsid w:val="0077036F"/>
    <w:rsid w:val="007709A4"/>
    <w:rsid w:val="00771134"/>
    <w:rsid w:val="007727B5"/>
    <w:rsid w:val="00772BEF"/>
    <w:rsid w:val="00774469"/>
    <w:rsid w:val="00775B40"/>
    <w:rsid w:val="00775CB5"/>
    <w:rsid w:val="0078049E"/>
    <w:rsid w:val="0078135D"/>
    <w:rsid w:val="00786066"/>
    <w:rsid w:val="0078671C"/>
    <w:rsid w:val="00786859"/>
    <w:rsid w:val="0078760E"/>
    <w:rsid w:val="0079045C"/>
    <w:rsid w:val="00793C0C"/>
    <w:rsid w:val="00793E41"/>
    <w:rsid w:val="00795521"/>
    <w:rsid w:val="007955BE"/>
    <w:rsid w:val="007970BD"/>
    <w:rsid w:val="007A259A"/>
    <w:rsid w:val="007A5FAD"/>
    <w:rsid w:val="007A7348"/>
    <w:rsid w:val="007A7AEB"/>
    <w:rsid w:val="007B08FD"/>
    <w:rsid w:val="007B2E4C"/>
    <w:rsid w:val="007B3CC2"/>
    <w:rsid w:val="007B42DB"/>
    <w:rsid w:val="007B449A"/>
    <w:rsid w:val="007B4C65"/>
    <w:rsid w:val="007B7E4B"/>
    <w:rsid w:val="007C026F"/>
    <w:rsid w:val="007C18DC"/>
    <w:rsid w:val="007C2DD5"/>
    <w:rsid w:val="007C31BF"/>
    <w:rsid w:val="007C47E7"/>
    <w:rsid w:val="007C5A0D"/>
    <w:rsid w:val="007C62C8"/>
    <w:rsid w:val="007C65E6"/>
    <w:rsid w:val="007D3C1C"/>
    <w:rsid w:val="007D42BF"/>
    <w:rsid w:val="007D788E"/>
    <w:rsid w:val="007E21D3"/>
    <w:rsid w:val="007F078C"/>
    <w:rsid w:val="007F5BBD"/>
    <w:rsid w:val="008025DD"/>
    <w:rsid w:val="00803A6B"/>
    <w:rsid w:val="00803C1D"/>
    <w:rsid w:val="00804F36"/>
    <w:rsid w:val="00807F37"/>
    <w:rsid w:val="00811770"/>
    <w:rsid w:val="008124CF"/>
    <w:rsid w:val="00812BF7"/>
    <w:rsid w:val="00816FE6"/>
    <w:rsid w:val="00822033"/>
    <w:rsid w:val="00822B55"/>
    <w:rsid w:val="0082399C"/>
    <w:rsid w:val="00823F7A"/>
    <w:rsid w:val="008241D3"/>
    <w:rsid w:val="00825003"/>
    <w:rsid w:val="008275FD"/>
    <w:rsid w:val="00830E0E"/>
    <w:rsid w:val="00830FAE"/>
    <w:rsid w:val="008317CA"/>
    <w:rsid w:val="00831B3A"/>
    <w:rsid w:val="00837F01"/>
    <w:rsid w:val="00842AB5"/>
    <w:rsid w:val="0084494F"/>
    <w:rsid w:val="0084700F"/>
    <w:rsid w:val="00847EBD"/>
    <w:rsid w:val="0085104D"/>
    <w:rsid w:val="008512BB"/>
    <w:rsid w:val="00852CA4"/>
    <w:rsid w:val="008542D0"/>
    <w:rsid w:val="0085663E"/>
    <w:rsid w:val="00856A94"/>
    <w:rsid w:val="00860037"/>
    <w:rsid w:val="008602E1"/>
    <w:rsid w:val="0086110F"/>
    <w:rsid w:val="00863F2D"/>
    <w:rsid w:val="0086451A"/>
    <w:rsid w:val="00865142"/>
    <w:rsid w:val="0086757D"/>
    <w:rsid w:val="00867757"/>
    <w:rsid w:val="00870486"/>
    <w:rsid w:val="008713F8"/>
    <w:rsid w:val="00872F4E"/>
    <w:rsid w:val="00874B96"/>
    <w:rsid w:val="00875698"/>
    <w:rsid w:val="00877006"/>
    <w:rsid w:val="00881128"/>
    <w:rsid w:val="008814F2"/>
    <w:rsid w:val="00883254"/>
    <w:rsid w:val="00883909"/>
    <w:rsid w:val="00883F95"/>
    <w:rsid w:val="008852B6"/>
    <w:rsid w:val="00885F12"/>
    <w:rsid w:val="008863FF"/>
    <w:rsid w:val="00886BB9"/>
    <w:rsid w:val="008913ED"/>
    <w:rsid w:val="00892125"/>
    <w:rsid w:val="008928AA"/>
    <w:rsid w:val="008942D9"/>
    <w:rsid w:val="00896A66"/>
    <w:rsid w:val="008A0D4D"/>
    <w:rsid w:val="008A2928"/>
    <w:rsid w:val="008A2DCA"/>
    <w:rsid w:val="008A4014"/>
    <w:rsid w:val="008A4461"/>
    <w:rsid w:val="008A4717"/>
    <w:rsid w:val="008A478E"/>
    <w:rsid w:val="008A4E0E"/>
    <w:rsid w:val="008A6D63"/>
    <w:rsid w:val="008A7AF2"/>
    <w:rsid w:val="008B08AA"/>
    <w:rsid w:val="008B2491"/>
    <w:rsid w:val="008B36EF"/>
    <w:rsid w:val="008B74EC"/>
    <w:rsid w:val="008B7935"/>
    <w:rsid w:val="008C010B"/>
    <w:rsid w:val="008C02E3"/>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3D42"/>
    <w:rsid w:val="008E4F5C"/>
    <w:rsid w:val="008E5C01"/>
    <w:rsid w:val="008E5CC4"/>
    <w:rsid w:val="008E6A15"/>
    <w:rsid w:val="008E7CB0"/>
    <w:rsid w:val="008F49EF"/>
    <w:rsid w:val="008F69AE"/>
    <w:rsid w:val="008F7EB7"/>
    <w:rsid w:val="00900145"/>
    <w:rsid w:val="0090071D"/>
    <w:rsid w:val="00901058"/>
    <w:rsid w:val="009012E4"/>
    <w:rsid w:val="0090159F"/>
    <w:rsid w:val="00902173"/>
    <w:rsid w:val="0090232B"/>
    <w:rsid w:val="00903B95"/>
    <w:rsid w:val="00903D6D"/>
    <w:rsid w:val="009075BA"/>
    <w:rsid w:val="00911F3B"/>
    <w:rsid w:val="0091241A"/>
    <w:rsid w:val="009124FC"/>
    <w:rsid w:val="00913309"/>
    <w:rsid w:val="00914E62"/>
    <w:rsid w:val="00915909"/>
    <w:rsid w:val="00915FEE"/>
    <w:rsid w:val="0092136A"/>
    <w:rsid w:val="00924810"/>
    <w:rsid w:val="0092567F"/>
    <w:rsid w:val="0092727D"/>
    <w:rsid w:val="00930501"/>
    <w:rsid w:val="00932205"/>
    <w:rsid w:val="00933841"/>
    <w:rsid w:val="009338C5"/>
    <w:rsid w:val="00935EFA"/>
    <w:rsid w:val="00935F0D"/>
    <w:rsid w:val="009361BF"/>
    <w:rsid w:val="0093717C"/>
    <w:rsid w:val="00937273"/>
    <w:rsid w:val="00941651"/>
    <w:rsid w:val="009418DE"/>
    <w:rsid w:val="00941CF7"/>
    <w:rsid w:val="009433A4"/>
    <w:rsid w:val="00944E26"/>
    <w:rsid w:val="00945D11"/>
    <w:rsid w:val="0094718C"/>
    <w:rsid w:val="00950310"/>
    <w:rsid w:val="00950BF3"/>
    <w:rsid w:val="00955657"/>
    <w:rsid w:val="009569D1"/>
    <w:rsid w:val="00956A73"/>
    <w:rsid w:val="009612A8"/>
    <w:rsid w:val="009626D7"/>
    <w:rsid w:val="00965D90"/>
    <w:rsid w:val="00970DDB"/>
    <w:rsid w:val="00971DBF"/>
    <w:rsid w:val="0097296A"/>
    <w:rsid w:val="0097381C"/>
    <w:rsid w:val="009759CA"/>
    <w:rsid w:val="00976B33"/>
    <w:rsid w:val="00976F72"/>
    <w:rsid w:val="0098194E"/>
    <w:rsid w:val="0098729D"/>
    <w:rsid w:val="009906E0"/>
    <w:rsid w:val="00991FC9"/>
    <w:rsid w:val="00994FB2"/>
    <w:rsid w:val="00995D50"/>
    <w:rsid w:val="0099687B"/>
    <w:rsid w:val="00997DF8"/>
    <w:rsid w:val="009A2873"/>
    <w:rsid w:val="009A2924"/>
    <w:rsid w:val="009A3746"/>
    <w:rsid w:val="009A3DBB"/>
    <w:rsid w:val="009A4F09"/>
    <w:rsid w:val="009A7864"/>
    <w:rsid w:val="009B092D"/>
    <w:rsid w:val="009B0CE1"/>
    <w:rsid w:val="009B26BC"/>
    <w:rsid w:val="009B31BA"/>
    <w:rsid w:val="009B353C"/>
    <w:rsid w:val="009B3AD5"/>
    <w:rsid w:val="009B3CA0"/>
    <w:rsid w:val="009B4293"/>
    <w:rsid w:val="009B471D"/>
    <w:rsid w:val="009B6A27"/>
    <w:rsid w:val="009B76CE"/>
    <w:rsid w:val="009C16D1"/>
    <w:rsid w:val="009C320E"/>
    <w:rsid w:val="009C5388"/>
    <w:rsid w:val="009C6322"/>
    <w:rsid w:val="009C7A89"/>
    <w:rsid w:val="009D02AB"/>
    <w:rsid w:val="009D02E6"/>
    <w:rsid w:val="009D0708"/>
    <w:rsid w:val="009D23F9"/>
    <w:rsid w:val="009D32DB"/>
    <w:rsid w:val="009D7F01"/>
    <w:rsid w:val="009E1B35"/>
    <w:rsid w:val="009E1D8E"/>
    <w:rsid w:val="009E2422"/>
    <w:rsid w:val="009E2F6A"/>
    <w:rsid w:val="009E3233"/>
    <w:rsid w:val="009E469F"/>
    <w:rsid w:val="009E4BC5"/>
    <w:rsid w:val="009E608D"/>
    <w:rsid w:val="009E6F08"/>
    <w:rsid w:val="009E75EC"/>
    <w:rsid w:val="009F05FB"/>
    <w:rsid w:val="009F246B"/>
    <w:rsid w:val="009F2A33"/>
    <w:rsid w:val="009F2F0D"/>
    <w:rsid w:val="009F3D52"/>
    <w:rsid w:val="009F5147"/>
    <w:rsid w:val="009F58DE"/>
    <w:rsid w:val="009F5932"/>
    <w:rsid w:val="009F7C61"/>
    <w:rsid w:val="00A00E15"/>
    <w:rsid w:val="00A013D2"/>
    <w:rsid w:val="00A01B51"/>
    <w:rsid w:val="00A01B91"/>
    <w:rsid w:val="00A03561"/>
    <w:rsid w:val="00A05523"/>
    <w:rsid w:val="00A05A7E"/>
    <w:rsid w:val="00A05C26"/>
    <w:rsid w:val="00A05D8F"/>
    <w:rsid w:val="00A06B6C"/>
    <w:rsid w:val="00A071FF"/>
    <w:rsid w:val="00A07259"/>
    <w:rsid w:val="00A123D7"/>
    <w:rsid w:val="00A145CE"/>
    <w:rsid w:val="00A146A1"/>
    <w:rsid w:val="00A1551B"/>
    <w:rsid w:val="00A160A1"/>
    <w:rsid w:val="00A17CD6"/>
    <w:rsid w:val="00A20105"/>
    <w:rsid w:val="00A22FEF"/>
    <w:rsid w:val="00A257AB"/>
    <w:rsid w:val="00A270F8"/>
    <w:rsid w:val="00A27460"/>
    <w:rsid w:val="00A27985"/>
    <w:rsid w:val="00A27A69"/>
    <w:rsid w:val="00A304F3"/>
    <w:rsid w:val="00A31890"/>
    <w:rsid w:val="00A31D25"/>
    <w:rsid w:val="00A377E2"/>
    <w:rsid w:val="00A405E2"/>
    <w:rsid w:val="00A40980"/>
    <w:rsid w:val="00A424DD"/>
    <w:rsid w:val="00A42A76"/>
    <w:rsid w:val="00A43D95"/>
    <w:rsid w:val="00A43FE7"/>
    <w:rsid w:val="00A4455C"/>
    <w:rsid w:val="00A537EA"/>
    <w:rsid w:val="00A53C30"/>
    <w:rsid w:val="00A548C5"/>
    <w:rsid w:val="00A55AD8"/>
    <w:rsid w:val="00A61F7C"/>
    <w:rsid w:val="00A6401D"/>
    <w:rsid w:val="00A66763"/>
    <w:rsid w:val="00A66B82"/>
    <w:rsid w:val="00A66DFD"/>
    <w:rsid w:val="00A71E18"/>
    <w:rsid w:val="00A72C9B"/>
    <w:rsid w:val="00A754B9"/>
    <w:rsid w:val="00A76DDF"/>
    <w:rsid w:val="00A77B75"/>
    <w:rsid w:val="00A8059A"/>
    <w:rsid w:val="00A806BB"/>
    <w:rsid w:val="00A806ED"/>
    <w:rsid w:val="00A80853"/>
    <w:rsid w:val="00A80AFA"/>
    <w:rsid w:val="00A80C35"/>
    <w:rsid w:val="00A82D52"/>
    <w:rsid w:val="00A8659F"/>
    <w:rsid w:val="00A9173D"/>
    <w:rsid w:val="00A91F30"/>
    <w:rsid w:val="00A920DE"/>
    <w:rsid w:val="00A95B27"/>
    <w:rsid w:val="00A95C22"/>
    <w:rsid w:val="00A95CEB"/>
    <w:rsid w:val="00AA16DD"/>
    <w:rsid w:val="00AA3B27"/>
    <w:rsid w:val="00AA4B3B"/>
    <w:rsid w:val="00AA5AC9"/>
    <w:rsid w:val="00AA63E3"/>
    <w:rsid w:val="00AA6D57"/>
    <w:rsid w:val="00AB00C3"/>
    <w:rsid w:val="00AB22FB"/>
    <w:rsid w:val="00AB472A"/>
    <w:rsid w:val="00AB68BC"/>
    <w:rsid w:val="00AC0E67"/>
    <w:rsid w:val="00AC0F6C"/>
    <w:rsid w:val="00AC2F2B"/>
    <w:rsid w:val="00AC7031"/>
    <w:rsid w:val="00AD019E"/>
    <w:rsid w:val="00AD09FB"/>
    <w:rsid w:val="00AD10C2"/>
    <w:rsid w:val="00AD343F"/>
    <w:rsid w:val="00AD38CB"/>
    <w:rsid w:val="00AD65BE"/>
    <w:rsid w:val="00AD6F9A"/>
    <w:rsid w:val="00AE0046"/>
    <w:rsid w:val="00AE312B"/>
    <w:rsid w:val="00AE4668"/>
    <w:rsid w:val="00AE60E7"/>
    <w:rsid w:val="00AE6D0C"/>
    <w:rsid w:val="00AE7269"/>
    <w:rsid w:val="00AE795C"/>
    <w:rsid w:val="00AE7995"/>
    <w:rsid w:val="00AE7F43"/>
    <w:rsid w:val="00AF013D"/>
    <w:rsid w:val="00AF0B0C"/>
    <w:rsid w:val="00AF1BCF"/>
    <w:rsid w:val="00AF1CD5"/>
    <w:rsid w:val="00AF1F16"/>
    <w:rsid w:val="00AF55CE"/>
    <w:rsid w:val="00AF67D5"/>
    <w:rsid w:val="00AF7C99"/>
    <w:rsid w:val="00B00209"/>
    <w:rsid w:val="00B00F73"/>
    <w:rsid w:val="00B028B9"/>
    <w:rsid w:val="00B02987"/>
    <w:rsid w:val="00B0535C"/>
    <w:rsid w:val="00B05E5C"/>
    <w:rsid w:val="00B060E6"/>
    <w:rsid w:val="00B067BE"/>
    <w:rsid w:val="00B06EAF"/>
    <w:rsid w:val="00B112E8"/>
    <w:rsid w:val="00B14042"/>
    <w:rsid w:val="00B14141"/>
    <w:rsid w:val="00B1621B"/>
    <w:rsid w:val="00B20E01"/>
    <w:rsid w:val="00B220DD"/>
    <w:rsid w:val="00B22234"/>
    <w:rsid w:val="00B24066"/>
    <w:rsid w:val="00B24A5E"/>
    <w:rsid w:val="00B2562E"/>
    <w:rsid w:val="00B2688C"/>
    <w:rsid w:val="00B26C46"/>
    <w:rsid w:val="00B27511"/>
    <w:rsid w:val="00B2784C"/>
    <w:rsid w:val="00B31DC1"/>
    <w:rsid w:val="00B32F7E"/>
    <w:rsid w:val="00B33A29"/>
    <w:rsid w:val="00B33BC0"/>
    <w:rsid w:val="00B35D6A"/>
    <w:rsid w:val="00B35DE1"/>
    <w:rsid w:val="00B37227"/>
    <w:rsid w:val="00B3738C"/>
    <w:rsid w:val="00B41CF8"/>
    <w:rsid w:val="00B42022"/>
    <w:rsid w:val="00B51C64"/>
    <w:rsid w:val="00B52DEF"/>
    <w:rsid w:val="00B53152"/>
    <w:rsid w:val="00B53CC7"/>
    <w:rsid w:val="00B55C07"/>
    <w:rsid w:val="00B56BF2"/>
    <w:rsid w:val="00B578A1"/>
    <w:rsid w:val="00B60053"/>
    <w:rsid w:val="00B60DA2"/>
    <w:rsid w:val="00B64D34"/>
    <w:rsid w:val="00B653D3"/>
    <w:rsid w:val="00B66D12"/>
    <w:rsid w:val="00B7319B"/>
    <w:rsid w:val="00B73A3F"/>
    <w:rsid w:val="00B743A2"/>
    <w:rsid w:val="00B749F3"/>
    <w:rsid w:val="00B74A24"/>
    <w:rsid w:val="00B74A5E"/>
    <w:rsid w:val="00B74BF9"/>
    <w:rsid w:val="00B852CE"/>
    <w:rsid w:val="00B85E1A"/>
    <w:rsid w:val="00B86373"/>
    <w:rsid w:val="00B9023F"/>
    <w:rsid w:val="00B91B99"/>
    <w:rsid w:val="00B94C4D"/>
    <w:rsid w:val="00B95D82"/>
    <w:rsid w:val="00B97FD6"/>
    <w:rsid w:val="00BA3C73"/>
    <w:rsid w:val="00BA4027"/>
    <w:rsid w:val="00BB2509"/>
    <w:rsid w:val="00BB2C4F"/>
    <w:rsid w:val="00BB3A35"/>
    <w:rsid w:val="00BB4F9D"/>
    <w:rsid w:val="00BB6576"/>
    <w:rsid w:val="00BB6E9C"/>
    <w:rsid w:val="00BC0BED"/>
    <w:rsid w:val="00BC312C"/>
    <w:rsid w:val="00BC3FBC"/>
    <w:rsid w:val="00BC4A7F"/>
    <w:rsid w:val="00BC70B6"/>
    <w:rsid w:val="00BC77FA"/>
    <w:rsid w:val="00BC77FD"/>
    <w:rsid w:val="00BD002F"/>
    <w:rsid w:val="00BD34C3"/>
    <w:rsid w:val="00BD3F37"/>
    <w:rsid w:val="00BD58EC"/>
    <w:rsid w:val="00BD5A65"/>
    <w:rsid w:val="00BD5AC6"/>
    <w:rsid w:val="00BD7FEE"/>
    <w:rsid w:val="00BE17B7"/>
    <w:rsid w:val="00BE3013"/>
    <w:rsid w:val="00BE3470"/>
    <w:rsid w:val="00BE4396"/>
    <w:rsid w:val="00BF1F71"/>
    <w:rsid w:val="00BF405F"/>
    <w:rsid w:val="00BF6486"/>
    <w:rsid w:val="00C00042"/>
    <w:rsid w:val="00C0157C"/>
    <w:rsid w:val="00C01E17"/>
    <w:rsid w:val="00C03C5D"/>
    <w:rsid w:val="00C042E5"/>
    <w:rsid w:val="00C064B9"/>
    <w:rsid w:val="00C06D75"/>
    <w:rsid w:val="00C075EE"/>
    <w:rsid w:val="00C10BD5"/>
    <w:rsid w:val="00C112B2"/>
    <w:rsid w:val="00C11EB6"/>
    <w:rsid w:val="00C130B2"/>
    <w:rsid w:val="00C139A0"/>
    <w:rsid w:val="00C144B2"/>
    <w:rsid w:val="00C147A7"/>
    <w:rsid w:val="00C151D8"/>
    <w:rsid w:val="00C20C0C"/>
    <w:rsid w:val="00C23D79"/>
    <w:rsid w:val="00C24A79"/>
    <w:rsid w:val="00C24CDD"/>
    <w:rsid w:val="00C251D5"/>
    <w:rsid w:val="00C26F73"/>
    <w:rsid w:val="00C27879"/>
    <w:rsid w:val="00C31EB3"/>
    <w:rsid w:val="00C32AB4"/>
    <w:rsid w:val="00C34835"/>
    <w:rsid w:val="00C3595C"/>
    <w:rsid w:val="00C36B15"/>
    <w:rsid w:val="00C37ADD"/>
    <w:rsid w:val="00C420B3"/>
    <w:rsid w:val="00C42E33"/>
    <w:rsid w:val="00C4424B"/>
    <w:rsid w:val="00C460A5"/>
    <w:rsid w:val="00C461A1"/>
    <w:rsid w:val="00C46BF9"/>
    <w:rsid w:val="00C4775A"/>
    <w:rsid w:val="00C479F0"/>
    <w:rsid w:val="00C47A14"/>
    <w:rsid w:val="00C504CE"/>
    <w:rsid w:val="00C513E9"/>
    <w:rsid w:val="00C527FC"/>
    <w:rsid w:val="00C54524"/>
    <w:rsid w:val="00C54993"/>
    <w:rsid w:val="00C55125"/>
    <w:rsid w:val="00C57115"/>
    <w:rsid w:val="00C57F13"/>
    <w:rsid w:val="00C63FA1"/>
    <w:rsid w:val="00C65158"/>
    <w:rsid w:val="00C6549F"/>
    <w:rsid w:val="00C67168"/>
    <w:rsid w:val="00C70F0A"/>
    <w:rsid w:val="00C711DA"/>
    <w:rsid w:val="00C75914"/>
    <w:rsid w:val="00C76A00"/>
    <w:rsid w:val="00C77893"/>
    <w:rsid w:val="00C80E83"/>
    <w:rsid w:val="00C80FAA"/>
    <w:rsid w:val="00C8188D"/>
    <w:rsid w:val="00C820C1"/>
    <w:rsid w:val="00C82445"/>
    <w:rsid w:val="00C8548E"/>
    <w:rsid w:val="00C85809"/>
    <w:rsid w:val="00C85ED5"/>
    <w:rsid w:val="00C8649F"/>
    <w:rsid w:val="00C872F4"/>
    <w:rsid w:val="00C87EA6"/>
    <w:rsid w:val="00C9342F"/>
    <w:rsid w:val="00C96D64"/>
    <w:rsid w:val="00C974B6"/>
    <w:rsid w:val="00CA09B6"/>
    <w:rsid w:val="00CA581F"/>
    <w:rsid w:val="00CB15F4"/>
    <w:rsid w:val="00CB2BF0"/>
    <w:rsid w:val="00CB56BE"/>
    <w:rsid w:val="00CB73E9"/>
    <w:rsid w:val="00CB7479"/>
    <w:rsid w:val="00CC03D4"/>
    <w:rsid w:val="00CC19C1"/>
    <w:rsid w:val="00CC1BA4"/>
    <w:rsid w:val="00CC1CB0"/>
    <w:rsid w:val="00CC34DB"/>
    <w:rsid w:val="00CC4572"/>
    <w:rsid w:val="00CC7062"/>
    <w:rsid w:val="00CC77C8"/>
    <w:rsid w:val="00CD005F"/>
    <w:rsid w:val="00CD1705"/>
    <w:rsid w:val="00CD223F"/>
    <w:rsid w:val="00CD2E79"/>
    <w:rsid w:val="00CD3469"/>
    <w:rsid w:val="00CD36F4"/>
    <w:rsid w:val="00CD3B7B"/>
    <w:rsid w:val="00CD3B88"/>
    <w:rsid w:val="00CD4503"/>
    <w:rsid w:val="00CD5E49"/>
    <w:rsid w:val="00CE120F"/>
    <w:rsid w:val="00CE3297"/>
    <w:rsid w:val="00CF0312"/>
    <w:rsid w:val="00CF1C8E"/>
    <w:rsid w:val="00CF1D41"/>
    <w:rsid w:val="00CF2180"/>
    <w:rsid w:val="00CF265C"/>
    <w:rsid w:val="00CF31FA"/>
    <w:rsid w:val="00CF331B"/>
    <w:rsid w:val="00CF3625"/>
    <w:rsid w:val="00CF4DD3"/>
    <w:rsid w:val="00CF501E"/>
    <w:rsid w:val="00CF6D65"/>
    <w:rsid w:val="00CF7FF3"/>
    <w:rsid w:val="00D020AD"/>
    <w:rsid w:val="00D03F46"/>
    <w:rsid w:val="00D046EC"/>
    <w:rsid w:val="00D047DA"/>
    <w:rsid w:val="00D05386"/>
    <w:rsid w:val="00D065EE"/>
    <w:rsid w:val="00D07731"/>
    <w:rsid w:val="00D07CB9"/>
    <w:rsid w:val="00D11315"/>
    <w:rsid w:val="00D11A16"/>
    <w:rsid w:val="00D1276F"/>
    <w:rsid w:val="00D14404"/>
    <w:rsid w:val="00D15909"/>
    <w:rsid w:val="00D15A51"/>
    <w:rsid w:val="00D16ECD"/>
    <w:rsid w:val="00D21857"/>
    <w:rsid w:val="00D21D89"/>
    <w:rsid w:val="00D22BCB"/>
    <w:rsid w:val="00D241F3"/>
    <w:rsid w:val="00D24868"/>
    <w:rsid w:val="00D31F3A"/>
    <w:rsid w:val="00D33613"/>
    <w:rsid w:val="00D40AAD"/>
    <w:rsid w:val="00D43532"/>
    <w:rsid w:val="00D43660"/>
    <w:rsid w:val="00D441CB"/>
    <w:rsid w:val="00D44A18"/>
    <w:rsid w:val="00D455A1"/>
    <w:rsid w:val="00D47142"/>
    <w:rsid w:val="00D523E8"/>
    <w:rsid w:val="00D53617"/>
    <w:rsid w:val="00D5449F"/>
    <w:rsid w:val="00D61193"/>
    <w:rsid w:val="00D61870"/>
    <w:rsid w:val="00D62C16"/>
    <w:rsid w:val="00D630BD"/>
    <w:rsid w:val="00D7172C"/>
    <w:rsid w:val="00D72BA8"/>
    <w:rsid w:val="00D746E5"/>
    <w:rsid w:val="00D74A6F"/>
    <w:rsid w:val="00D75919"/>
    <w:rsid w:val="00D75BA2"/>
    <w:rsid w:val="00D75E73"/>
    <w:rsid w:val="00D7664F"/>
    <w:rsid w:val="00D76A66"/>
    <w:rsid w:val="00D77B9D"/>
    <w:rsid w:val="00D81068"/>
    <w:rsid w:val="00D814A3"/>
    <w:rsid w:val="00D815A1"/>
    <w:rsid w:val="00D836AD"/>
    <w:rsid w:val="00D85462"/>
    <w:rsid w:val="00D85C89"/>
    <w:rsid w:val="00D8689A"/>
    <w:rsid w:val="00D90D74"/>
    <w:rsid w:val="00D92B86"/>
    <w:rsid w:val="00D938D7"/>
    <w:rsid w:val="00D94EEE"/>
    <w:rsid w:val="00D95FD2"/>
    <w:rsid w:val="00D968CE"/>
    <w:rsid w:val="00D96CFD"/>
    <w:rsid w:val="00D9794E"/>
    <w:rsid w:val="00D97D41"/>
    <w:rsid w:val="00DA09EF"/>
    <w:rsid w:val="00DA2396"/>
    <w:rsid w:val="00DA51DD"/>
    <w:rsid w:val="00DA5227"/>
    <w:rsid w:val="00DA5A4A"/>
    <w:rsid w:val="00DA715D"/>
    <w:rsid w:val="00DA750B"/>
    <w:rsid w:val="00DB031E"/>
    <w:rsid w:val="00DB1EA5"/>
    <w:rsid w:val="00DB5CEE"/>
    <w:rsid w:val="00DB7547"/>
    <w:rsid w:val="00DC2862"/>
    <w:rsid w:val="00DC2903"/>
    <w:rsid w:val="00DC548A"/>
    <w:rsid w:val="00DC5738"/>
    <w:rsid w:val="00DC5F81"/>
    <w:rsid w:val="00DC6A08"/>
    <w:rsid w:val="00DD06E5"/>
    <w:rsid w:val="00DD0887"/>
    <w:rsid w:val="00DD1A37"/>
    <w:rsid w:val="00DE0E12"/>
    <w:rsid w:val="00DE1D3A"/>
    <w:rsid w:val="00DE20B1"/>
    <w:rsid w:val="00DE2306"/>
    <w:rsid w:val="00DE2400"/>
    <w:rsid w:val="00DE495E"/>
    <w:rsid w:val="00DE54AD"/>
    <w:rsid w:val="00DE6A4D"/>
    <w:rsid w:val="00DE744D"/>
    <w:rsid w:val="00DF4503"/>
    <w:rsid w:val="00DF61E8"/>
    <w:rsid w:val="00DF6705"/>
    <w:rsid w:val="00DF6921"/>
    <w:rsid w:val="00DF757E"/>
    <w:rsid w:val="00DF7DEC"/>
    <w:rsid w:val="00E0384E"/>
    <w:rsid w:val="00E04B5D"/>
    <w:rsid w:val="00E04E2B"/>
    <w:rsid w:val="00E05378"/>
    <w:rsid w:val="00E071CC"/>
    <w:rsid w:val="00E07B68"/>
    <w:rsid w:val="00E11014"/>
    <w:rsid w:val="00E13D69"/>
    <w:rsid w:val="00E16384"/>
    <w:rsid w:val="00E168AC"/>
    <w:rsid w:val="00E17056"/>
    <w:rsid w:val="00E17539"/>
    <w:rsid w:val="00E179FD"/>
    <w:rsid w:val="00E212A9"/>
    <w:rsid w:val="00E244FD"/>
    <w:rsid w:val="00E25C6F"/>
    <w:rsid w:val="00E303E1"/>
    <w:rsid w:val="00E313EB"/>
    <w:rsid w:val="00E316B3"/>
    <w:rsid w:val="00E3287C"/>
    <w:rsid w:val="00E32CA8"/>
    <w:rsid w:val="00E33F06"/>
    <w:rsid w:val="00E35F09"/>
    <w:rsid w:val="00E36DD7"/>
    <w:rsid w:val="00E37F6F"/>
    <w:rsid w:val="00E44542"/>
    <w:rsid w:val="00E4479D"/>
    <w:rsid w:val="00E4550A"/>
    <w:rsid w:val="00E45A14"/>
    <w:rsid w:val="00E5094F"/>
    <w:rsid w:val="00E53147"/>
    <w:rsid w:val="00E53E8D"/>
    <w:rsid w:val="00E5480E"/>
    <w:rsid w:val="00E56EFC"/>
    <w:rsid w:val="00E6150B"/>
    <w:rsid w:val="00E63E57"/>
    <w:rsid w:val="00E63F57"/>
    <w:rsid w:val="00E65741"/>
    <w:rsid w:val="00E67CF5"/>
    <w:rsid w:val="00E7082E"/>
    <w:rsid w:val="00E72523"/>
    <w:rsid w:val="00E7436B"/>
    <w:rsid w:val="00E75DC5"/>
    <w:rsid w:val="00E76666"/>
    <w:rsid w:val="00E767B7"/>
    <w:rsid w:val="00E77308"/>
    <w:rsid w:val="00E8116C"/>
    <w:rsid w:val="00E81A2B"/>
    <w:rsid w:val="00E83D29"/>
    <w:rsid w:val="00E857A9"/>
    <w:rsid w:val="00E873EF"/>
    <w:rsid w:val="00E87AB9"/>
    <w:rsid w:val="00E93296"/>
    <w:rsid w:val="00E936E0"/>
    <w:rsid w:val="00E93D5D"/>
    <w:rsid w:val="00E941A3"/>
    <w:rsid w:val="00E9461C"/>
    <w:rsid w:val="00E949BF"/>
    <w:rsid w:val="00E94C83"/>
    <w:rsid w:val="00EA104D"/>
    <w:rsid w:val="00EA3458"/>
    <w:rsid w:val="00EA3796"/>
    <w:rsid w:val="00EA38C8"/>
    <w:rsid w:val="00EA402F"/>
    <w:rsid w:val="00EA4B47"/>
    <w:rsid w:val="00EA60AF"/>
    <w:rsid w:val="00EB2766"/>
    <w:rsid w:val="00EB2925"/>
    <w:rsid w:val="00EB3BC2"/>
    <w:rsid w:val="00EB4B5E"/>
    <w:rsid w:val="00EB5034"/>
    <w:rsid w:val="00EB5039"/>
    <w:rsid w:val="00EB6B2F"/>
    <w:rsid w:val="00EB7134"/>
    <w:rsid w:val="00EB76FC"/>
    <w:rsid w:val="00EC07CD"/>
    <w:rsid w:val="00EC16D5"/>
    <w:rsid w:val="00EC213C"/>
    <w:rsid w:val="00EC2A77"/>
    <w:rsid w:val="00EC2B67"/>
    <w:rsid w:val="00EC41E5"/>
    <w:rsid w:val="00EC56DD"/>
    <w:rsid w:val="00EC5928"/>
    <w:rsid w:val="00EC766C"/>
    <w:rsid w:val="00EC7B39"/>
    <w:rsid w:val="00EC7CE6"/>
    <w:rsid w:val="00ED0D58"/>
    <w:rsid w:val="00ED0DB8"/>
    <w:rsid w:val="00ED1096"/>
    <w:rsid w:val="00ED1843"/>
    <w:rsid w:val="00ED297C"/>
    <w:rsid w:val="00ED7EEF"/>
    <w:rsid w:val="00EE0956"/>
    <w:rsid w:val="00EE22E2"/>
    <w:rsid w:val="00EE2FF2"/>
    <w:rsid w:val="00EE4191"/>
    <w:rsid w:val="00EE42AD"/>
    <w:rsid w:val="00EE686F"/>
    <w:rsid w:val="00EE6D02"/>
    <w:rsid w:val="00EF0C20"/>
    <w:rsid w:val="00EF268A"/>
    <w:rsid w:val="00EF2A03"/>
    <w:rsid w:val="00EF39EA"/>
    <w:rsid w:val="00EF4195"/>
    <w:rsid w:val="00EF4B19"/>
    <w:rsid w:val="00EF6699"/>
    <w:rsid w:val="00F00690"/>
    <w:rsid w:val="00F0164B"/>
    <w:rsid w:val="00F02B30"/>
    <w:rsid w:val="00F036AC"/>
    <w:rsid w:val="00F045FF"/>
    <w:rsid w:val="00F06CA9"/>
    <w:rsid w:val="00F10434"/>
    <w:rsid w:val="00F11321"/>
    <w:rsid w:val="00F11A57"/>
    <w:rsid w:val="00F14461"/>
    <w:rsid w:val="00F14ED1"/>
    <w:rsid w:val="00F152B6"/>
    <w:rsid w:val="00F15354"/>
    <w:rsid w:val="00F20369"/>
    <w:rsid w:val="00F20630"/>
    <w:rsid w:val="00F21147"/>
    <w:rsid w:val="00F2119D"/>
    <w:rsid w:val="00F22293"/>
    <w:rsid w:val="00F24EE2"/>
    <w:rsid w:val="00F25F66"/>
    <w:rsid w:val="00F26D18"/>
    <w:rsid w:val="00F31BD5"/>
    <w:rsid w:val="00F321D5"/>
    <w:rsid w:val="00F32BB7"/>
    <w:rsid w:val="00F33A1D"/>
    <w:rsid w:val="00F33CB0"/>
    <w:rsid w:val="00F33E1C"/>
    <w:rsid w:val="00F33F06"/>
    <w:rsid w:val="00F40839"/>
    <w:rsid w:val="00F43144"/>
    <w:rsid w:val="00F47EA9"/>
    <w:rsid w:val="00F50110"/>
    <w:rsid w:val="00F530D0"/>
    <w:rsid w:val="00F53E25"/>
    <w:rsid w:val="00F57C35"/>
    <w:rsid w:val="00F63C8E"/>
    <w:rsid w:val="00F6454A"/>
    <w:rsid w:val="00F653FC"/>
    <w:rsid w:val="00F65B08"/>
    <w:rsid w:val="00F66649"/>
    <w:rsid w:val="00F70A3F"/>
    <w:rsid w:val="00F70D1C"/>
    <w:rsid w:val="00F72979"/>
    <w:rsid w:val="00F812ED"/>
    <w:rsid w:val="00F813CB"/>
    <w:rsid w:val="00F81E98"/>
    <w:rsid w:val="00F81FEB"/>
    <w:rsid w:val="00F8220D"/>
    <w:rsid w:val="00F8265B"/>
    <w:rsid w:val="00F8335E"/>
    <w:rsid w:val="00F8523D"/>
    <w:rsid w:val="00F85E45"/>
    <w:rsid w:val="00F87114"/>
    <w:rsid w:val="00F875F6"/>
    <w:rsid w:val="00F91B5F"/>
    <w:rsid w:val="00F9219E"/>
    <w:rsid w:val="00F9235C"/>
    <w:rsid w:val="00F976A3"/>
    <w:rsid w:val="00F97855"/>
    <w:rsid w:val="00FA0F81"/>
    <w:rsid w:val="00FA10B0"/>
    <w:rsid w:val="00FA1765"/>
    <w:rsid w:val="00FA25D2"/>
    <w:rsid w:val="00FA64AB"/>
    <w:rsid w:val="00FB272F"/>
    <w:rsid w:val="00FB3D87"/>
    <w:rsid w:val="00FB54D6"/>
    <w:rsid w:val="00FC27CF"/>
    <w:rsid w:val="00FC399F"/>
    <w:rsid w:val="00FC40CD"/>
    <w:rsid w:val="00FC524A"/>
    <w:rsid w:val="00FC74B4"/>
    <w:rsid w:val="00FC75A5"/>
    <w:rsid w:val="00FD0423"/>
    <w:rsid w:val="00FD23D4"/>
    <w:rsid w:val="00FD54C5"/>
    <w:rsid w:val="00FD67FE"/>
    <w:rsid w:val="00FD77C0"/>
    <w:rsid w:val="00FE075B"/>
    <w:rsid w:val="00FE150D"/>
    <w:rsid w:val="00FE5E93"/>
    <w:rsid w:val="00FE644C"/>
    <w:rsid w:val="00FE6F1F"/>
    <w:rsid w:val="00FF03B0"/>
    <w:rsid w:val="00FF207D"/>
    <w:rsid w:val="00FF28BC"/>
    <w:rsid w:val="00FF301E"/>
    <w:rsid w:val="00FF321C"/>
    <w:rsid w:val="00FF4998"/>
    <w:rsid w:val="00FF59A4"/>
    <w:rsid w:val="00FF5DFC"/>
    <w:rsid w:val="00FF5FB2"/>
    <w:rsid w:val="01186B66"/>
    <w:rsid w:val="014E5781"/>
    <w:rsid w:val="019B6FA8"/>
    <w:rsid w:val="01BB5180"/>
    <w:rsid w:val="01C103F8"/>
    <w:rsid w:val="01FA07B0"/>
    <w:rsid w:val="02231556"/>
    <w:rsid w:val="02313F2A"/>
    <w:rsid w:val="0275404D"/>
    <w:rsid w:val="02865CCB"/>
    <w:rsid w:val="029B2508"/>
    <w:rsid w:val="02E01568"/>
    <w:rsid w:val="03046375"/>
    <w:rsid w:val="03700089"/>
    <w:rsid w:val="03CF5D5C"/>
    <w:rsid w:val="03DB2498"/>
    <w:rsid w:val="041C5514"/>
    <w:rsid w:val="0429205A"/>
    <w:rsid w:val="043625FE"/>
    <w:rsid w:val="045F2F2F"/>
    <w:rsid w:val="04733514"/>
    <w:rsid w:val="04924634"/>
    <w:rsid w:val="04A2167D"/>
    <w:rsid w:val="04AA764B"/>
    <w:rsid w:val="04E935C6"/>
    <w:rsid w:val="055968D9"/>
    <w:rsid w:val="05706921"/>
    <w:rsid w:val="05846550"/>
    <w:rsid w:val="05CA327E"/>
    <w:rsid w:val="05DA7960"/>
    <w:rsid w:val="06774985"/>
    <w:rsid w:val="069E11BE"/>
    <w:rsid w:val="06B11AD3"/>
    <w:rsid w:val="06BF1F63"/>
    <w:rsid w:val="06E239EF"/>
    <w:rsid w:val="06EF4B87"/>
    <w:rsid w:val="07291206"/>
    <w:rsid w:val="073923B4"/>
    <w:rsid w:val="073C47BA"/>
    <w:rsid w:val="07C0082E"/>
    <w:rsid w:val="07C3125D"/>
    <w:rsid w:val="07CA44D6"/>
    <w:rsid w:val="07CF7EA2"/>
    <w:rsid w:val="07D81DD9"/>
    <w:rsid w:val="07E00638"/>
    <w:rsid w:val="07F551F5"/>
    <w:rsid w:val="08370E8F"/>
    <w:rsid w:val="084556CF"/>
    <w:rsid w:val="08A9717D"/>
    <w:rsid w:val="08D341D1"/>
    <w:rsid w:val="08DD4CB6"/>
    <w:rsid w:val="08E34101"/>
    <w:rsid w:val="09162BC5"/>
    <w:rsid w:val="092335EB"/>
    <w:rsid w:val="092B4F51"/>
    <w:rsid w:val="096E46D5"/>
    <w:rsid w:val="097D29DA"/>
    <w:rsid w:val="098F4396"/>
    <w:rsid w:val="09934557"/>
    <w:rsid w:val="0A296F97"/>
    <w:rsid w:val="0A5E71AF"/>
    <w:rsid w:val="0A6B261E"/>
    <w:rsid w:val="0AB51F5E"/>
    <w:rsid w:val="0AE32174"/>
    <w:rsid w:val="0AED2B4D"/>
    <w:rsid w:val="0B433477"/>
    <w:rsid w:val="0B4642FB"/>
    <w:rsid w:val="0B514F31"/>
    <w:rsid w:val="0B8278DF"/>
    <w:rsid w:val="0BAD4EA6"/>
    <w:rsid w:val="0BD20695"/>
    <w:rsid w:val="0C8F7597"/>
    <w:rsid w:val="0CC35432"/>
    <w:rsid w:val="0CF6223E"/>
    <w:rsid w:val="0D1348B8"/>
    <w:rsid w:val="0D4B1615"/>
    <w:rsid w:val="0D55787D"/>
    <w:rsid w:val="0D762D89"/>
    <w:rsid w:val="0DBF4CE3"/>
    <w:rsid w:val="0E174BA7"/>
    <w:rsid w:val="0E491E5D"/>
    <w:rsid w:val="0EFF256E"/>
    <w:rsid w:val="0F0D25C9"/>
    <w:rsid w:val="0F2910C0"/>
    <w:rsid w:val="0FA135A1"/>
    <w:rsid w:val="0FE65096"/>
    <w:rsid w:val="0FEF3A91"/>
    <w:rsid w:val="10032189"/>
    <w:rsid w:val="104657AB"/>
    <w:rsid w:val="1073306D"/>
    <w:rsid w:val="1077029D"/>
    <w:rsid w:val="10C46FC7"/>
    <w:rsid w:val="10ED777A"/>
    <w:rsid w:val="10F03FA8"/>
    <w:rsid w:val="11413E7B"/>
    <w:rsid w:val="114C321C"/>
    <w:rsid w:val="11551DB0"/>
    <w:rsid w:val="11607970"/>
    <w:rsid w:val="11776175"/>
    <w:rsid w:val="11DA7D9A"/>
    <w:rsid w:val="121C1A71"/>
    <w:rsid w:val="12640C27"/>
    <w:rsid w:val="1294794D"/>
    <w:rsid w:val="12966AF3"/>
    <w:rsid w:val="12A124B6"/>
    <w:rsid w:val="12B954F2"/>
    <w:rsid w:val="12EE0A78"/>
    <w:rsid w:val="12FE0FC0"/>
    <w:rsid w:val="12FE519E"/>
    <w:rsid w:val="131E56C0"/>
    <w:rsid w:val="1335146C"/>
    <w:rsid w:val="13A83249"/>
    <w:rsid w:val="13DE5B82"/>
    <w:rsid w:val="143C3D3B"/>
    <w:rsid w:val="146C4654"/>
    <w:rsid w:val="14C1457B"/>
    <w:rsid w:val="15162C30"/>
    <w:rsid w:val="153C6916"/>
    <w:rsid w:val="15702B4E"/>
    <w:rsid w:val="15944F85"/>
    <w:rsid w:val="15C37959"/>
    <w:rsid w:val="162576D4"/>
    <w:rsid w:val="16A82188"/>
    <w:rsid w:val="16E858FC"/>
    <w:rsid w:val="16FB6522"/>
    <w:rsid w:val="17323BCF"/>
    <w:rsid w:val="175E174E"/>
    <w:rsid w:val="178E5E27"/>
    <w:rsid w:val="17C4317A"/>
    <w:rsid w:val="180C188B"/>
    <w:rsid w:val="1812648F"/>
    <w:rsid w:val="18622C45"/>
    <w:rsid w:val="18890248"/>
    <w:rsid w:val="189A7EB6"/>
    <w:rsid w:val="18DF5F25"/>
    <w:rsid w:val="18EA1D61"/>
    <w:rsid w:val="190F396D"/>
    <w:rsid w:val="191E46DC"/>
    <w:rsid w:val="1934514E"/>
    <w:rsid w:val="196D749E"/>
    <w:rsid w:val="199A349F"/>
    <w:rsid w:val="199C6440"/>
    <w:rsid w:val="19AC5014"/>
    <w:rsid w:val="19C80C5B"/>
    <w:rsid w:val="19D92B69"/>
    <w:rsid w:val="19EC6237"/>
    <w:rsid w:val="1A681199"/>
    <w:rsid w:val="1AB167CC"/>
    <w:rsid w:val="1ADF1A19"/>
    <w:rsid w:val="1B534665"/>
    <w:rsid w:val="1B684B17"/>
    <w:rsid w:val="1BEC3E7A"/>
    <w:rsid w:val="1C000C8E"/>
    <w:rsid w:val="1C0E7896"/>
    <w:rsid w:val="1C1076DE"/>
    <w:rsid w:val="1C4C269E"/>
    <w:rsid w:val="1C761A98"/>
    <w:rsid w:val="1C8403CB"/>
    <w:rsid w:val="1C9A5CFD"/>
    <w:rsid w:val="1D2F40BA"/>
    <w:rsid w:val="1D7B5175"/>
    <w:rsid w:val="1DC01261"/>
    <w:rsid w:val="1DC45E9A"/>
    <w:rsid w:val="1E0F5267"/>
    <w:rsid w:val="1E154927"/>
    <w:rsid w:val="1E9654AF"/>
    <w:rsid w:val="1E9A0AF3"/>
    <w:rsid w:val="1EFC3FD6"/>
    <w:rsid w:val="1F306E32"/>
    <w:rsid w:val="1F520AD4"/>
    <w:rsid w:val="1FEF0D28"/>
    <w:rsid w:val="20075BF3"/>
    <w:rsid w:val="20426910"/>
    <w:rsid w:val="205677C5"/>
    <w:rsid w:val="20EC2DA8"/>
    <w:rsid w:val="210E7827"/>
    <w:rsid w:val="21393E6A"/>
    <w:rsid w:val="2168444E"/>
    <w:rsid w:val="22012B7C"/>
    <w:rsid w:val="220B144C"/>
    <w:rsid w:val="222804E0"/>
    <w:rsid w:val="225F5E54"/>
    <w:rsid w:val="226B6AA6"/>
    <w:rsid w:val="227E4289"/>
    <w:rsid w:val="22A33518"/>
    <w:rsid w:val="22C26C24"/>
    <w:rsid w:val="22CE2D0F"/>
    <w:rsid w:val="22F10A77"/>
    <w:rsid w:val="2314403B"/>
    <w:rsid w:val="23327BB2"/>
    <w:rsid w:val="23872EDF"/>
    <w:rsid w:val="23AB3DF5"/>
    <w:rsid w:val="23B12939"/>
    <w:rsid w:val="23E359D2"/>
    <w:rsid w:val="23EF6A65"/>
    <w:rsid w:val="23F36DD6"/>
    <w:rsid w:val="24D25AC6"/>
    <w:rsid w:val="24F54FAD"/>
    <w:rsid w:val="250C1CDD"/>
    <w:rsid w:val="251116B1"/>
    <w:rsid w:val="251C1489"/>
    <w:rsid w:val="252C7720"/>
    <w:rsid w:val="25421B0C"/>
    <w:rsid w:val="25786F5B"/>
    <w:rsid w:val="259524DA"/>
    <w:rsid w:val="259C79F3"/>
    <w:rsid w:val="25A651A9"/>
    <w:rsid w:val="25C835CF"/>
    <w:rsid w:val="262C55EE"/>
    <w:rsid w:val="2666350C"/>
    <w:rsid w:val="266F38DE"/>
    <w:rsid w:val="26871406"/>
    <w:rsid w:val="26A967F0"/>
    <w:rsid w:val="276E4F09"/>
    <w:rsid w:val="277B7B66"/>
    <w:rsid w:val="27A34CED"/>
    <w:rsid w:val="27A75B21"/>
    <w:rsid w:val="27BF7063"/>
    <w:rsid w:val="27D9356C"/>
    <w:rsid w:val="288F6F25"/>
    <w:rsid w:val="28B86420"/>
    <w:rsid w:val="28C3168F"/>
    <w:rsid w:val="28EC6CD8"/>
    <w:rsid w:val="28FA09F6"/>
    <w:rsid w:val="292146E1"/>
    <w:rsid w:val="29A37A01"/>
    <w:rsid w:val="29B13A13"/>
    <w:rsid w:val="29DF21B0"/>
    <w:rsid w:val="29E57EBF"/>
    <w:rsid w:val="2A575538"/>
    <w:rsid w:val="2A610A4B"/>
    <w:rsid w:val="2A633308"/>
    <w:rsid w:val="2A7A5F47"/>
    <w:rsid w:val="2A987773"/>
    <w:rsid w:val="2A9F1722"/>
    <w:rsid w:val="2AF1429C"/>
    <w:rsid w:val="2BC714CB"/>
    <w:rsid w:val="2C247C7C"/>
    <w:rsid w:val="2C470A2A"/>
    <w:rsid w:val="2C5043FD"/>
    <w:rsid w:val="2C5134AF"/>
    <w:rsid w:val="2C865673"/>
    <w:rsid w:val="2D203581"/>
    <w:rsid w:val="2D355FA7"/>
    <w:rsid w:val="2D643327"/>
    <w:rsid w:val="2D82209B"/>
    <w:rsid w:val="2D8861A8"/>
    <w:rsid w:val="2E3E78ED"/>
    <w:rsid w:val="2E6D4479"/>
    <w:rsid w:val="2ECA3698"/>
    <w:rsid w:val="2F070570"/>
    <w:rsid w:val="2F4859CC"/>
    <w:rsid w:val="2FA92733"/>
    <w:rsid w:val="2FF5479D"/>
    <w:rsid w:val="30164626"/>
    <w:rsid w:val="305169A8"/>
    <w:rsid w:val="309019B5"/>
    <w:rsid w:val="31245E6F"/>
    <w:rsid w:val="320F23C2"/>
    <w:rsid w:val="32594630"/>
    <w:rsid w:val="32A83749"/>
    <w:rsid w:val="32DB717D"/>
    <w:rsid w:val="33296423"/>
    <w:rsid w:val="3352679E"/>
    <w:rsid w:val="337B1F07"/>
    <w:rsid w:val="33C164FA"/>
    <w:rsid w:val="33EC718C"/>
    <w:rsid w:val="33F569AA"/>
    <w:rsid w:val="34036C9A"/>
    <w:rsid w:val="343E22E2"/>
    <w:rsid w:val="349D2033"/>
    <w:rsid w:val="34AB4F22"/>
    <w:rsid w:val="34AD0603"/>
    <w:rsid w:val="357F063D"/>
    <w:rsid w:val="35AF2F3A"/>
    <w:rsid w:val="35C94004"/>
    <w:rsid w:val="361C77CB"/>
    <w:rsid w:val="36203A46"/>
    <w:rsid w:val="3640288A"/>
    <w:rsid w:val="36E17279"/>
    <w:rsid w:val="3713763E"/>
    <w:rsid w:val="372A204B"/>
    <w:rsid w:val="372F4F5A"/>
    <w:rsid w:val="37EB36C4"/>
    <w:rsid w:val="380B1AC9"/>
    <w:rsid w:val="38240AC5"/>
    <w:rsid w:val="382563C7"/>
    <w:rsid w:val="3832671F"/>
    <w:rsid w:val="3838185E"/>
    <w:rsid w:val="384A0F7C"/>
    <w:rsid w:val="388A0841"/>
    <w:rsid w:val="389F1247"/>
    <w:rsid w:val="38B10BC3"/>
    <w:rsid w:val="38E33B21"/>
    <w:rsid w:val="390A2C48"/>
    <w:rsid w:val="392213F1"/>
    <w:rsid w:val="395077F0"/>
    <w:rsid w:val="397200C0"/>
    <w:rsid w:val="3977253A"/>
    <w:rsid w:val="397F146D"/>
    <w:rsid w:val="3994237E"/>
    <w:rsid w:val="39A41479"/>
    <w:rsid w:val="39CA6372"/>
    <w:rsid w:val="39D42F61"/>
    <w:rsid w:val="39F52BBB"/>
    <w:rsid w:val="3A1566B1"/>
    <w:rsid w:val="3A25387D"/>
    <w:rsid w:val="3A904555"/>
    <w:rsid w:val="3A936424"/>
    <w:rsid w:val="3AA5567A"/>
    <w:rsid w:val="3AB17F39"/>
    <w:rsid w:val="3AE825EA"/>
    <w:rsid w:val="3B0875A8"/>
    <w:rsid w:val="3B426652"/>
    <w:rsid w:val="3B8A1AFA"/>
    <w:rsid w:val="3BDB4034"/>
    <w:rsid w:val="3C270C6E"/>
    <w:rsid w:val="3C6C1EF2"/>
    <w:rsid w:val="3CE609A9"/>
    <w:rsid w:val="3CF94FF9"/>
    <w:rsid w:val="3D3C14BA"/>
    <w:rsid w:val="3D622DCF"/>
    <w:rsid w:val="3D651B10"/>
    <w:rsid w:val="3DE4134A"/>
    <w:rsid w:val="3DFF76B9"/>
    <w:rsid w:val="3E130551"/>
    <w:rsid w:val="3E1D3A7C"/>
    <w:rsid w:val="3EAE71F2"/>
    <w:rsid w:val="3EB63546"/>
    <w:rsid w:val="3EBF1C19"/>
    <w:rsid w:val="3EF268B1"/>
    <w:rsid w:val="3F031E9D"/>
    <w:rsid w:val="3F2F49DC"/>
    <w:rsid w:val="3F3C090C"/>
    <w:rsid w:val="3F442945"/>
    <w:rsid w:val="3F7E27E2"/>
    <w:rsid w:val="3F9F6207"/>
    <w:rsid w:val="3FBA49C9"/>
    <w:rsid w:val="3FE96941"/>
    <w:rsid w:val="3FF81320"/>
    <w:rsid w:val="40200E8D"/>
    <w:rsid w:val="40210A98"/>
    <w:rsid w:val="4063109C"/>
    <w:rsid w:val="406E430C"/>
    <w:rsid w:val="4094020B"/>
    <w:rsid w:val="40A55546"/>
    <w:rsid w:val="41295026"/>
    <w:rsid w:val="41685545"/>
    <w:rsid w:val="41830E20"/>
    <w:rsid w:val="41A2496E"/>
    <w:rsid w:val="41DD49A0"/>
    <w:rsid w:val="420F4C19"/>
    <w:rsid w:val="42DA5A81"/>
    <w:rsid w:val="42E40AD2"/>
    <w:rsid w:val="43C474DF"/>
    <w:rsid w:val="43EB0BC6"/>
    <w:rsid w:val="44451124"/>
    <w:rsid w:val="445D346B"/>
    <w:rsid w:val="449378AD"/>
    <w:rsid w:val="44A344A3"/>
    <w:rsid w:val="44FB2E63"/>
    <w:rsid w:val="451E605E"/>
    <w:rsid w:val="45A31E69"/>
    <w:rsid w:val="461D64BE"/>
    <w:rsid w:val="462936F8"/>
    <w:rsid w:val="467C599A"/>
    <w:rsid w:val="47083695"/>
    <w:rsid w:val="4760077B"/>
    <w:rsid w:val="476F2295"/>
    <w:rsid w:val="479445B2"/>
    <w:rsid w:val="47A23A66"/>
    <w:rsid w:val="47A44642"/>
    <w:rsid w:val="47DB2A2D"/>
    <w:rsid w:val="47FE67F6"/>
    <w:rsid w:val="48120002"/>
    <w:rsid w:val="48EA48AC"/>
    <w:rsid w:val="49030118"/>
    <w:rsid w:val="4917106F"/>
    <w:rsid w:val="49466AE9"/>
    <w:rsid w:val="498C15B9"/>
    <w:rsid w:val="499C1EB2"/>
    <w:rsid w:val="49AA3180"/>
    <w:rsid w:val="4A123A9E"/>
    <w:rsid w:val="4A1914E6"/>
    <w:rsid w:val="4A2C2C73"/>
    <w:rsid w:val="4A347A18"/>
    <w:rsid w:val="4A5D5949"/>
    <w:rsid w:val="4A7C087B"/>
    <w:rsid w:val="4AA45BE1"/>
    <w:rsid w:val="4AA65B3B"/>
    <w:rsid w:val="4AE37101"/>
    <w:rsid w:val="4AFC74DF"/>
    <w:rsid w:val="4B833213"/>
    <w:rsid w:val="4BB6393F"/>
    <w:rsid w:val="4BF503F4"/>
    <w:rsid w:val="4C377209"/>
    <w:rsid w:val="4C3C1AA8"/>
    <w:rsid w:val="4C8463EE"/>
    <w:rsid w:val="4C953EF3"/>
    <w:rsid w:val="4CC06BFB"/>
    <w:rsid w:val="4D4F113F"/>
    <w:rsid w:val="4DA14C8D"/>
    <w:rsid w:val="4DDA1A4C"/>
    <w:rsid w:val="4DE27D37"/>
    <w:rsid w:val="4DE87042"/>
    <w:rsid w:val="4E1A5C09"/>
    <w:rsid w:val="4E2F2359"/>
    <w:rsid w:val="4E431849"/>
    <w:rsid w:val="4EBB5959"/>
    <w:rsid w:val="4EF14F49"/>
    <w:rsid w:val="4EF6050D"/>
    <w:rsid w:val="4F1A59BF"/>
    <w:rsid w:val="4F8365F3"/>
    <w:rsid w:val="50123891"/>
    <w:rsid w:val="502A4A4C"/>
    <w:rsid w:val="507A0ADC"/>
    <w:rsid w:val="50BE404A"/>
    <w:rsid w:val="50D83106"/>
    <w:rsid w:val="51652482"/>
    <w:rsid w:val="51884B5E"/>
    <w:rsid w:val="518D3779"/>
    <w:rsid w:val="51BE5D1D"/>
    <w:rsid w:val="51D050D1"/>
    <w:rsid w:val="51D7211E"/>
    <w:rsid w:val="520B3B8F"/>
    <w:rsid w:val="52505661"/>
    <w:rsid w:val="5257610A"/>
    <w:rsid w:val="526E5CB5"/>
    <w:rsid w:val="53157900"/>
    <w:rsid w:val="531843D2"/>
    <w:rsid w:val="53865274"/>
    <w:rsid w:val="53B021F9"/>
    <w:rsid w:val="54272FB7"/>
    <w:rsid w:val="542E1C7D"/>
    <w:rsid w:val="54683D67"/>
    <w:rsid w:val="54A21BB2"/>
    <w:rsid w:val="54A32459"/>
    <w:rsid w:val="54C254CA"/>
    <w:rsid w:val="54FB0113"/>
    <w:rsid w:val="54FC1185"/>
    <w:rsid w:val="55591489"/>
    <w:rsid w:val="5592352A"/>
    <w:rsid w:val="55B95A64"/>
    <w:rsid w:val="55DD2479"/>
    <w:rsid w:val="55FF5737"/>
    <w:rsid w:val="56022458"/>
    <w:rsid w:val="561D267A"/>
    <w:rsid w:val="56400CAD"/>
    <w:rsid w:val="56CC7D61"/>
    <w:rsid w:val="573F2B47"/>
    <w:rsid w:val="575710A5"/>
    <w:rsid w:val="57D74231"/>
    <w:rsid w:val="57F7496D"/>
    <w:rsid w:val="58144CE6"/>
    <w:rsid w:val="585B0093"/>
    <w:rsid w:val="586E3918"/>
    <w:rsid w:val="58D858C7"/>
    <w:rsid w:val="59186B24"/>
    <w:rsid w:val="592C2178"/>
    <w:rsid w:val="593E3AF5"/>
    <w:rsid w:val="5980115E"/>
    <w:rsid w:val="59B40DDE"/>
    <w:rsid w:val="5A764AEA"/>
    <w:rsid w:val="5A7C6794"/>
    <w:rsid w:val="5A8051AD"/>
    <w:rsid w:val="5ACF0B14"/>
    <w:rsid w:val="5AD97D44"/>
    <w:rsid w:val="5AFE2B3E"/>
    <w:rsid w:val="5B22024B"/>
    <w:rsid w:val="5B463DF9"/>
    <w:rsid w:val="5B835103"/>
    <w:rsid w:val="5BAF2355"/>
    <w:rsid w:val="5BF60B78"/>
    <w:rsid w:val="5C0A3D46"/>
    <w:rsid w:val="5C1668CF"/>
    <w:rsid w:val="5C2448DF"/>
    <w:rsid w:val="5C281A1F"/>
    <w:rsid w:val="5C3259AF"/>
    <w:rsid w:val="5C7E749C"/>
    <w:rsid w:val="5C800C68"/>
    <w:rsid w:val="5C8671F7"/>
    <w:rsid w:val="5CEC08E8"/>
    <w:rsid w:val="5D05202B"/>
    <w:rsid w:val="5D6947DB"/>
    <w:rsid w:val="5D7A6017"/>
    <w:rsid w:val="5DB27F4B"/>
    <w:rsid w:val="5E052F60"/>
    <w:rsid w:val="5E145B26"/>
    <w:rsid w:val="5E484D06"/>
    <w:rsid w:val="5E995CB6"/>
    <w:rsid w:val="5EBD054E"/>
    <w:rsid w:val="5EFA51DB"/>
    <w:rsid w:val="5F4B0427"/>
    <w:rsid w:val="5F4B4928"/>
    <w:rsid w:val="5F6D1766"/>
    <w:rsid w:val="5F7119BB"/>
    <w:rsid w:val="5FA06C93"/>
    <w:rsid w:val="602E4FFB"/>
    <w:rsid w:val="60723A03"/>
    <w:rsid w:val="60787DEF"/>
    <w:rsid w:val="60B97D7B"/>
    <w:rsid w:val="60C471C8"/>
    <w:rsid w:val="60CC20E8"/>
    <w:rsid w:val="60E450C8"/>
    <w:rsid w:val="60F0127D"/>
    <w:rsid w:val="610229C7"/>
    <w:rsid w:val="61575DB9"/>
    <w:rsid w:val="615D62A4"/>
    <w:rsid w:val="615F434F"/>
    <w:rsid w:val="6183562C"/>
    <w:rsid w:val="61A9603A"/>
    <w:rsid w:val="61DE7C20"/>
    <w:rsid w:val="62282029"/>
    <w:rsid w:val="622B7960"/>
    <w:rsid w:val="624D13D2"/>
    <w:rsid w:val="62952C26"/>
    <w:rsid w:val="62E03330"/>
    <w:rsid w:val="63661CC6"/>
    <w:rsid w:val="639844F4"/>
    <w:rsid w:val="64043AB5"/>
    <w:rsid w:val="640C4D66"/>
    <w:rsid w:val="643D6AEA"/>
    <w:rsid w:val="644704AA"/>
    <w:rsid w:val="64512008"/>
    <w:rsid w:val="647F4E68"/>
    <w:rsid w:val="64836A7E"/>
    <w:rsid w:val="64F37D8E"/>
    <w:rsid w:val="65177A81"/>
    <w:rsid w:val="651D7D2C"/>
    <w:rsid w:val="65344221"/>
    <w:rsid w:val="65593354"/>
    <w:rsid w:val="65710185"/>
    <w:rsid w:val="658C1862"/>
    <w:rsid w:val="65C014DD"/>
    <w:rsid w:val="66334E81"/>
    <w:rsid w:val="66693D7A"/>
    <w:rsid w:val="66932504"/>
    <w:rsid w:val="66AB2CB8"/>
    <w:rsid w:val="66C53576"/>
    <w:rsid w:val="66CE181A"/>
    <w:rsid w:val="66EF434C"/>
    <w:rsid w:val="67085112"/>
    <w:rsid w:val="6716631D"/>
    <w:rsid w:val="6727355B"/>
    <w:rsid w:val="677B7505"/>
    <w:rsid w:val="688C494F"/>
    <w:rsid w:val="68B26A44"/>
    <w:rsid w:val="68B34444"/>
    <w:rsid w:val="68E52730"/>
    <w:rsid w:val="69013A3D"/>
    <w:rsid w:val="69031495"/>
    <w:rsid w:val="697D10D3"/>
    <w:rsid w:val="69882C1F"/>
    <w:rsid w:val="6A2D4E91"/>
    <w:rsid w:val="6A3645BE"/>
    <w:rsid w:val="6A9937FB"/>
    <w:rsid w:val="6A9959FE"/>
    <w:rsid w:val="6B0E6819"/>
    <w:rsid w:val="6B546F7E"/>
    <w:rsid w:val="6B600CFC"/>
    <w:rsid w:val="6B815528"/>
    <w:rsid w:val="6BC25B93"/>
    <w:rsid w:val="6BD85097"/>
    <w:rsid w:val="6C2F2D0A"/>
    <w:rsid w:val="6C913258"/>
    <w:rsid w:val="6CA759AD"/>
    <w:rsid w:val="6CE14C19"/>
    <w:rsid w:val="6D323DEB"/>
    <w:rsid w:val="6D7B5101"/>
    <w:rsid w:val="6E5F749D"/>
    <w:rsid w:val="6E9D4317"/>
    <w:rsid w:val="6EA43E65"/>
    <w:rsid w:val="6ED215D0"/>
    <w:rsid w:val="6EF233A8"/>
    <w:rsid w:val="6F11121C"/>
    <w:rsid w:val="6F446672"/>
    <w:rsid w:val="6F4B5643"/>
    <w:rsid w:val="6F804137"/>
    <w:rsid w:val="6F8D629E"/>
    <w:rsid w:val="6FCF4936"/>
    <w:rsid w:val="70101720"/>
    <w:rsid w:val="70281C68"/>
    <w:rsid w:val="703377EA"/>
    <w:rsid w:val="70B10776"/>
    <w:rsid w:val="71286C42"/>
    <w:rsid w:val="717A34AC"/>
    <w:rsid w:val="72253032"/>
    <w:rsid w:val="72645099"/>
    <w:rsid w:val="726D1F0A"/>
    <w:rsid w:val="73BD7D1D"/>
    <w:rsid w:val="74741F55"/>
    <w:rsid w:val="74816CD1"/>
    <w:rsid w:val="74D4090E"/>
    <w:rsid w:val="7514080C"/>
    <w:rsid w:val="751C1E37"/>
    <w:rsid w:val="75325822"/>
    <w:rsid w:val="754001E3"/>
    <w:rsid w:val="757310D2"/>
    <w:rsid w:val="75A03CD1"/>
    <w:rsid w:val="75A7741F"/>
    <w:rsid w:val="75D97917"/>
    <w:rsid w:val="76134F53"/>
    <w:rsid w:val="76515436"/>
    <w:rsid w:val="76850C11"/>
    <w:rsid w:val="769E1EB6"/>
    <w:rsid w:val="76D95C71"/>
    <w:rsid w:val="77074DCA"/>
    <w:rsid w:val="772A2634"/>
    <w:rsid w:val="77883EA5"/>
    <w:rsid w:val="77BE4B43"/>
    <w:rsid w:val="7906300B"/>
    <w:rsid w:val="790F01DA"/>
    <w:rsid w:val="796B05A5"/>
    <w:rsid w:val="79775F17"/>
    <w:rsid w:val="79A43FE1"/>
    <w:rsid w:val="79B57CC2"/>
    <w:rsid w:val="79EC655B"/>
    <w:rsid w:val="79F70A30"/>
    <w:rsid w:val="79FE5382"/>
    <w:rsid w:val="79FF2965"/>
    <w:rsid w:val="7A3913E2"/>
    <w:rsid w:val="7A721D3D"/>
    <w:rsid w:val="7ADD7225"/>
    <w:rsid w:val="7B0E5AAD"/>
    <w:rsid w:val="7B5F7FD9"/>
    <w:rsid w:val="7B9D24D3"/>
    <w:rsid w:val="7B9F5675"/>
    <w:rsid w:val="7BCC03DD"/>
    <w:rsid w:val="7BD132F1"/>
    <w:rsid w:val="7BF6281D"/>
    <w:rsid w:val="7C2F6A6C"/>
    <w:rsid w:val="7C677BE9"/>
    <w:rsid w:val="7C81697F"/>
    <w:rsid w:val="7C883222"/>
    <w:rsid w:val="7D170593"/>
    <w:rsid w:val="7D4F5F80"/>
    <w:rsid w:val="7D5354FA"/>
    <w:rsid w:val="7E4C4664"/>
    <w:rsid w:val="7E7D31F2"/>
    <w:rsid w:val="7EAD764E"/>
    <w:rsid w:val="7EB47327"/>
    <w:rsid w:val="7EB57BDC"/>
    <w:rsid w:val="7ECB089F"/>
    <w:rsid w:val="7EF1751C"/>
    <w:rsid w:val="7F0511FB"/>
    <w:rsid w:val="7F3A1A28"/>
    <w:rsid w:val="7F4A38E4"/>
    <w:rsid w:val="7F66543F"/>
    <w:rsid w:val="7FE55D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kern w:val="2"/>
      <w:sz w:val="21"/>
      <w:szCs w:val="24"/>
      <w:lang w:val="en-US" w:eastAsia="zh-CN" w:bidi="ar-SA"/>
    </w:rPr>
  </w:style>
  <w:style w:type="paragraph" w:styleId="4">
    <w:name w:val="heading 1"/>
    <w:basedOn w:val="1"/>
    <w:next w:val="1"/>
    <w:link w:val="119"/>
    <w:qFormat/>
    <w:uiPriority w:val="0"/>
    <w:pPr>
      <w:keepNext/>
      <w:widowControl/>
      <w:spacing w:line="360" w:lineRule="auto"/>
      <w:jc w:val="center"/>
      <w:outlineLvl w:val="0"/>
    </w:pPr>
    <w:rPr>
      <w:rFonts w:ascii="??" w:hAnsi="??" w:eastAsia="??" w:cs="宋体"/>
      <w:b/>
      <w:kern w:val="36"/>
      <w:sz w:val="32"/>
      <w:szCs w:val="28"/>
    </w:rPr>
  </w:style>
  <w:style w:type="paragraph" w:styleId="5">
    <w:name w:val="heading 2"/>
    <w:basedOn w:val="1"/>
    <w:next w:val="1"/>
    <w:link w:val="112"/>
    <w:qFormat/>
    <w:uiPriority w:val="0"/>
    <w:pPr>
      <w:keepNext/>
      <w:keepLines/>
      <w:numPr>
        <w:ilvl w:val="0"/>
        <w:numId w:val="1"/>
      </w:numPr>
      <w:tabs>
        <w:tab w:val="left" w:pos="706"/>
      </w:tabs>
      <w:spacing w:line="360" w:lineRule="auto"/>
      <w:outlineLvl w:val="1"/>
    </w:pPr>
    <w:rPr>
      <w:rFonts w:ascii="Arial" w:hAnsi="Arial" w:eastAsia="??" w:cs="Arial"/>
      <w:b/>
      <w:bCs/>
      <w:szCs w:val="32"/>
    </w:rPr>
  </w:style>
  <w:style w:type="paragraph" w:styleId="6">
    <w:name w:val="heading 3"/>
    <w:basedOn w:val="1"/>
    <w:next w:val="1"/>
    <w:link w:val="118"/>
    <w:qFormat/>
    <w:uiPriority w:val="0"/>
    <w:pPr>
      <w:keepNext/>
      <w:keepLines/>
      <w:widowControl/>
      <w:numPr>
        <w:ilvl w:val="2"/>
        <w:numId w:val="2"/>
      </w:numPr>
      <w:spacing w:before="120" w:after="120" w:line="360" w:lineRule="auto"/>
      <w:jc w:val="center"/>
      <w:outlineLvl w:val="2"/>
    </w:pPr>
    <w:rPr>
      <w:rFonts w:ascii="Calibri" w:hAnsi="Calibri" w:eastAsia="??"/>
      <w:b/>
      <w:kern w:val="0"/>
      <w:sz w:val="32"/>
      <w:szCs w:val="28"/>
    </w:rPr>
  </w:style>
  <w:style w:type="paragraph" w:styleId="7">
    <w:name w:val="heading 4"/>
    <w:basedOn w:val="1"/>
    <w:next w:val="1"/>
    <w:link w:val="171"/>
    <w:qFormat/>
    <w:uiPriority w:val="0"/>
    <w:pPr>
      <w:keepNext/>
      <w:keepLines/>
      <w:spacing w:before="280" w:after="290" w:line="376" w:lineRule="auto"/>
      <w:outlineLvl w:val="3"/>
    </w:pPr>
    <w:rPr>
      <w:rFonts w:ascii="Arial" w:hAnsi="Arial" w:eastAsia="??" w:cs="Arial"/>
      <w:b/>
      <w:bCs/>
      <w:sz w:val="28"/>
      <w:szCs w:val="28"/>
    </w:rPr>
  </w:style>
  <w:style w:type="paragraph" w:styleId="8">
    <w:name w:val="heading 5"/>
    <w:basedOn w:val="1"/>
    <w:next w:val="1"/>
    <w:link w:val="164"/>
    <w:qFormat/>
    <w:uiPriority w:val="0"/>
    <w:pPr>
      <w:keepNext/>
      <w:keepLines/>
      <w:spacing w:before="280" w:after="290" w:line="376" w:lineRule="auto"/>
      <w:outlineLvl w:val="4"/>
    </w:pPr>
    <w:rPr>
      <w:rFonts w:ascii="Calibri" w:hAnsi="Calibri" w:eastAsia="??"/>
      <w:b/>
      <w:bCs/>
      <w:sz w:val="28"/>
      <w:szCs w:val="28"/>
    </w:rPr>
  </w:style>
  <w:style w:type="paragraph" w:styleId="9">
    <w:name w:val="heading 6"/>
    <w:basedOn w:val="8"/>
    <w:next w:val="1"/>
    <w:link w:val="161"/>
    <w:qFormat/>
    <w:uiPriority w:val="0"/>
    <w:pPr>
      <w:keepNext/>
      <w:keepLines/>
      <w:widowControl/>
      <w:numPr>
        <w:ilvl w:val="5"/>
        <w:numId w:val="2"/>
      </w:numPr>
      <w:spacing w:before="240" w:after="64" w:line="319" w:lineRule="auto"/>
      <w:jc w:val="left"/>
      <w:outlineLvl w:val="5"/>
    </w:pPr>
    <w:rPr>
      <w:rFonts w:ascii="Arial" w:hAnsi="Arial" w:cs="Arial"/>
      <w:kern w:val="0"/>
      <w:sz w:val="24"/>
    </w:rPr>
  </w:style>
  <w:style w:type="paragraph" w:styleId="10">
    <w:name w:val="heading 7"/>
    <w:basedOn w:val="1"/>
    <w:next w:val="1"/>
    <w:link w:val="158"/>
    <w:qFormat/>
    <w:uiPriority w:val="0"/>
    <w:pPr>
      <w:keepNext/>
      <w:keepLines/>
      <w:widowControl/>
      <w:numPr>
        <w:ilvl w:val="6"/>
        <w:numId w:val="2"/>
      </w:numPr>
      <w:spacing w:before="240" w:after="64" w:line="319" w:lineRule="auto"/>
      <w:jc w:val="left"/>
      <w:outlineLvl w:val="6"/>
    </w:pPr>
    <w:rPr>
      <w:rFonts w:ascii="Calibri" w:hAnsi="Calibri" w:eastAsia="??"/>
      <w:b/>
      <w:bCs/>
      <w:kern w:val="0"/>
      <w:sz w:val="24"/>
      <w:szCs w:val="28"/>
    </w:rPr>
  </w:style>
  <w:style w:type="paragraph" w:styleId="11">
    <w:name w:val="heading 8"/>
    <w:basedOn w:val="1"/>
    <w:next w:val="1"/>
    <w:link w:val="140"/>
    <w:qFormat/>
    <w:uiPriority w:val="0"/>
    <w:pPr>
      <w:keepNext/>
      <w:keepLines/>
      <w:widowControl/>
      <w:numPr>
        <w:ilvl w:val="7"/>
        <w:numId w:val="2"/>
      </w:numPr>
      <w:spacing w:before="240" w:after="64" w:line="319" w:lineRule="auto"/>
      <w:jc w:val="left"/>
      <w:outlineLvl w:val="7"/>
    </w:pPr>
    <w:rPr>
      <w:rFonts w:ascii="Arial" w:hAnsi="Arial" w:eastAsia="??" w:cs="Arial"/>
      <w:kern w:val="0"/>
      <w:sz w:val="24"/>
      <w:szCs w:val="28"/>
    </w:rPr>
  </w:style>
  <w:style w:type="paragraph" w:styleId="12">
    <w:name w:val="heading 9"/>
    <w:basedOn w:val="1"/>
    <w:next w:val="1"/>
    <w:link w:val="127"/>
    <w:qFormat/>
    <w:uiPriority w:val="0"/>
    <w:pPr>
      <w:keepNext/>
      <w:keepLines/>
      <w:widowControl/>
      <w:numPr>
        <w:ilvl w:val="8"/>
        <w:numId w:val="2"/>
      </w:numPr>
      <w:spacing w:before="240" w:after="64" w:line="319" w:lineRule="auto"/>
      <w:jc w:val="left"/>
      <w:outlineLvl w:val="8"/>
    </w:pPr>
    <w:rPr>
      <w:rFonts w:ascii="Arial" w:hAnsi="Arial" w:eastAsia="??" w:cs="Arial"/>
      <w:kern w:val="0"/>
      <w:szCs w:val="21"/>
    </w:rPr>
  </w:style>
  <w:style w:type="character" w:default="1" w:styleId="80">
    <w:name w:val="Default Paragraph Font"/>
    <w:semiHidden/>
    <w:uiPriority w:val="0"/>
  </w:style>
  <w:style w:type="table" w:default="1" w:styleId="78">
    <w:name w:val="Normal Table"/>
    <w:semiHidden/>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Style w:val="78"/>
      <w:tblCellMar>
        <w:top w:w="0" w:type="dxa"/>
        <w:left w:w="108" w:type="dxa"/>
        <w:bottom w:w="0" w:type="dxa"/>
        <w:right w:w="108" w:type="dxa"/>
      </w:tblCellMar>
    </w:tblPr>
  </w:style>
  <w:style w:type="paragraph" w:styleId="2">
    <w:name w:val="Body Text Indent"/>
    <w:basedOn w:val="1"/>
    <w:link w:val="93"/>
    <w:uiPriority w:val="0"/>
    <w:pPr>
      <w:spacing w:line="480" w:lineRule="atLeast"/>
      <w:ind w:firstLine="570"/>
    </w:pPr>
    <w:rPr>
      <w:rFonts w:ascii="??" w:hAnsi="??" w:eastAsia="??"/>
      <w:sz w:val="28"/>
      <w:szCs w:val="28"/>
    </w:rPr>
  </w:style>
  <w:style w:type="paragraph" w:styleId="3">
    <w:name w:val="macro"/>
    <w:link w:val="128"/>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3">
    <w:name w:val="toc 7"/>
    <w:basedOn w:val="1"/>
    <w:next w:val="1"/>
    <w:uiPriority w:val="0"/>
    <w:pPr>
      <w:ind w:left="1260"/>
      <w:jc w:val="left"/>
    </w:pPr>
    <w:rPr>
      <w:sz w:val="18"/>
      <w:szCs w:val="18"/>
    </w:rPr>
  </w:style>
  <w:style w:type="paragraph" w:styleId="14">
    <w:name w:val="List Number 2"/>
    <w:basedOn w:val="1"/>
    <w:uiPriority w:val="0"/>
    <w:pPr>
      <w:numPr>
        <w:ilvl w:val="0"/>
        <w:numId w:val="3"/>
      </w:numPr>
      <w:spacing w:line="360" w:lineRule="auto"/>
    </w:pPr>
    <w:rPr>
      <w:sz w:val="24"/>
    </w:rPr>
  </w:style>
  <w:style w:type="paragraph" w:styleId="15">
    <w:name w:val="table of authorities"/>
    <w:basedOn w:val="1"/>
    <w:next w:val="1"/>
    <w:uiPriority w:val="0"/>
    <w:pPr>
      <w:spacing w:line="360" w:lineRule="auto"/>
      <w:ind w:left="420" w:leftChars="200"/>
    </w:pPr>
    <w:rPr>
      <w:rFonts w:eastAsia="楷体_GB2312"/>
      <w:sz w:val="24"/>
    </w:rPr>
  </w:style>
  <w:style w:type="paragraph" w:styleId="16">
    <w:name w:val="List Bullet 4"/>
    <w:basedOn w:val="1"/>
    <w:uiPriority w:val="0"/>
    <w:pPr>
      <w:tabs>
        <w:tab w:val="left" w:pos="1620"/>
      </w:tabs>
      <w:spacing w:line="360" w:lineRule="auto"/>
      <w:ind w:left="1620" w:leftChars="600" w:hanging="360" w:hangingChars="200"/>
    </w:pPr>
    <w:rPr>
      <w:rFonts w:eastAsia="楷体_GB2312"/>
      <w:sz w:val="24"/>
    </w:rPr>
  </w:style>
  <w:style w:type="paragraph" w:styleId="17">
    <w:name w:val="index 8"/>
    <w:basedOn w:val="1"/>
    <w:next w:val="1"/>
    <w:uiPriority w:val="0"/>
    <w:pPr>
      <w:spacing w:line="360" w:lineRule="auto"/>
      <w:ind w:left="1400" w:leftChars="1400"/>
    </w:pPr>
    <w:rPr>
      <w:rFonts w:eastAsia="楷体_GB2312"/>
      <w:sz w:val="24"/>
    </w:rPr>
  </w:style>
  <w:style w:type="paragraph" w:styleId="18">
    <w:name w:val="E-mail Signature"/>
    <w:basedOn w:val="1"/>
    <w:link w:val="94"/>
    <w:uiPriority w:val="0"/>
    <w:pPr>
      <w:spacing w:line="360" w:lineRule="auto"/>
    </w:pPr>
    <w:rPr>
      <w:rFonts w:ascii="Calibri" w:hAnsi="Calibri" w:eastAsia="楷体_GB2312"/>
      <w:sz w:val="24"/>
    </w:rPr>
  </w:style>
  <w:style w:type="paragraph" w:styleId="19">
    <w:name w:val="List Number"/>
    <w:basedOn w:val="1"/>
    <w:uiPriority w:val="0"/>
    <w:pPr>
      <w:tabs>
        <w:tab w:val="left" w:pos="360"/>
      </w:tabs>
      <w:spacing w:line="360" w:lineRule="auto"/>
      <w:ind w:left="360" w:hanging="360" w:hangingChars="200"/>
    </w:pPr>
    <w:rPr>
      <w:rFonts w:eastAsia="楷体_GB2312"/>
      <w:sz w:val="24"/>
    </w:rPr>
  </w:style>
  <w:style w:type="paragraph" w:styleId="20">
    <w:name w:val="Normal Indent"/>
    <w:basedOn w:val="1"/>
    <w:link w:val="187"/>
    <w:uiPriority w:val="0"/>
    <w:pPr>
      <w:widowControl/>
      <w:ind w:firstLine="420"/>
      <w:jc w:val="left"/>
    </w:pPr>
    <w:rPr>
      <w:rFonts w:ascii="Calibri" w:hAnsi="Calibri" w:eastAsia="??"/>
      <w:kern w:val="0"/>
      <w:sz w:val="24"/>
    </w:rPr>
  </w:style>
  <w:style w:type="paragraph" w:styleId="21">
    <w:name w:val="caption"/>
    <w:basedOn w:val="1"/>
    <w:next w:val="1"/>
    <w:qFormat/>
    <w:uiPriority w:val="0"/>
    <w:pPr>
      <w:spacing w:before="152" w:after="160" w:line="360" w:lineRule="auto"/>
    </w:pPr>
    <w:rPr>
      <w:rFonts w:ascii="Arial" w:hAnsi="Arial" w:eastAsia="黑体" w:cs="Arial"/>
      <w:sz w:val="20"/>
      <w:szCs w:val="20"/>
    </w:rPr>
  </w:style>
  <w:style w:type="paragraph" w:styleId="22">
    <w:name w:val="index 5"/>
    <w:basedOn w:val="1"/>
    <w:next w:val="1"/>
    <w:uiPriority w:val="0"/>
    <w:pPr>
      <w:spacing w:line="360" w:lineRule="auto"/>
      <w:ind w:left="800" w:leftChars="800"/>
    </w:pPr>
    <w:rPr>
      <w:rFonts w:eastAsia="楷体_GB2312"/>
      <w:sz w:val="24"/>
    </w:rPr>
  </w:style>
  <w:style w:type="paragraph" w:styleId="23">
    <w:name w:val="List Bullet"/>
    <w:basedOn w:val="1"/>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4">
    <w:name w:val="Document Map"/>
    <w:basedOn w:val="1"/>
    <w:uiPriority w:val="0"/>
    <w:pPr>
      <w:shd w:val="clear" w:color="auto" w:fill="000080"/>
    </w:pPr>
    <w:rPr>
      <w:rFonts w:eastAsia="??"/>
      <w:sz w:val="28"/>
      <w:szCs w:val="28"/>
    </w:rPr>
  </w:style>
  <w:style w:type="paragraph" w:styleId="25">
    <w:name w:val="toa heading"/>
    <w:basedOn w:val="1"/>
    <w:next w:val="1"/>
    <w:uiPriority w:val="0"/>
    <w:pPr>
      <w:spacing w:before="120" w:line="360" w:lineRule="auto"/>
    </w:pPr>
    <w:rPr>
      <w:rFonts w:ascii="Arial" w:hAnsi="Arial" w:eastAsia="楷体_GB2312" w:cs="Arial"/>
      <w:sz w:val="24"/>
    </w:rPr>
  </w:style>
  <w:style w:type="paragraph" w:styleId="26">
    <w:name w:val="annotation text"/>
    <w:basedOn w:val="1"/>
    <w:link w:val="143"/>
    <w:uiPriority w:val="0"/>
    <w:pPr>
      <w:jc w:val="left"/>
    </w:pPr>
    <w:rPr>
      <w:rFonts w:ascii="Calibri" w:hAnsi="Calibri" w:cs="Lucida Sans"/>
      <w:szCs w:val="20"/>
    </w:rPr>
  </w:style>
  <w:style w:type="paragraph" w:styleId="27">
    <w:name w:val="index 6"/>
    <w:basedOn w:val="1"/>
    <w:next w:val="1"/>
    <w:uiPriority w:val="0"/>
    <w:pPr>
      <w:spacing w:line="360" w:lineRule="auto"/>
      <w:ind w:left="1000" w:leftChars="1000"/>
    </w:pPr>
    <w:rPr>
      <w:rFonts w:eastAsia="楷体_GB2312"/>
      <w:sz w:val="24"/>
    </w:rPr>
  </w:style>
  <w:style w:type="paragraph" w:styleId="28">
    <w:name w:val="Salutation"/>
    <w:basedOn w:val="1"/>
    <w:next w:val="1"/>
    <w:link w:val="88"/>
    <w:uiPriority w:val="0"/>
    <w:rPr>
      <w:rFonts w:ascii="仿宋_GB2312" w:hAnsi="Calibri" w:eastAsia="仿宋_GB2312"/>
      <w:sz w:val="28"/>
      <w:szCs w:val="20"/>
    </w:rPr>
  </w:style>
  <w:style w:type="paragraph" w:styleId="29">
    <w:name w:val="Body Text 3"/>
    <w:basedOn w:val="1"/>
    <w:link w:val="195"/>
    <w:uiPriority w:val="0"/>
    <w:pPr>
      <w:jc w:val="center"/>
    </w:pPr>
    <w:rPr>
      <w:rFonts w:ascii="Calibri" w:hAnsi="Calibri"/>
      <w:szCs w:val="20"/>
    </w:rPr>
  </w:style>
  <w:style w:type="paragraph" w:styleId="30">
    <w:name w:val="List Bullet 3"/>
    <w:basedOn w:val="1"/>
    <w:uiPriority w:val="0"/>
    <w:pPr>
      <w:tabs>
        <w:tab w:val="left" w:pos="1200"/>
      </w:tabs>
      <w:spacing w:line="360" w:lineRule="auto"/>
      <w:ind w:left="1200" w:leftChars="400" w:hanging="360" w:hangingChars="200"/>
    </w:pPr>
    <w:rPr>
      <w:rFonts w:eastAsia="楷体_GB2312"/>
      <w:sz w:val="24"/>
    </w:rPr>
  </w:style>
  <w:style w:type="paragraph" w:styleId="31">
    <w:name w:val="Body Text"/>
    <w:basedOn w:val="1"/>
    <w:next w:val="1"/>
    <w:uiPriority w:val="0"/>
    <w:rPr>
      <w:rFonts w:eastAsia="??"/>
      <w:sz w:val="24"/>
      <w:szCs w:val="28"/>
    </w:rPr>
  </w:style>
  <w:style w:type="paragraph" w:styleId="32">
    <w:name w:val="List Number 3"/>
    <w:basedOn w:val="1"/>
    <w:uiPriority w:val="0"/>
    <w:pPr>
      <w:tabs>
        <w:tab w:val="left" w:pos="1200"/>
      </w:tabs>
      <w:spacing w:line="360" w:lineRule="auto"/>
      <w:ind w:left="1200" w:leftChars="400" w:hanging="360" w:hangingChars="200"/>
    </w:pPr>
    <w:rPr>
      <w:rFonts w:eastAsia="楷体_GB2312"/>
      <w:sz w:val="24"/>
    </w:rPr>
  </w:style>
  <w:style w:type="paragraph" w:styleId="33">
    <w:name w:val="List 2"/>
    <w:basedOn w:val="1"/>
    <w:unhideWhenUsed/>
    <w:uiPriority w:val="0"/>
    <w:pPr>
      <w:spacing w:line="360" w:lineRule="auto"/>
      <w:ind w:left="100" w:leftChars="200" w:hanging="200" w:hangingChars="200"/>
      <w:contextualSpacing/>
    </w:pPr>
    <w:rPr>
      <w:sz w:val="24"/>
    </w:rPr>
  </w:style>
  <w:style w:type="paragraph" w:styleId="34">
    <w:name w:val="List Continue"/>
    <w:basedOn w:val="1"/>
    <w:uiPriority w:val="0"/>
    <w:pPr>
      <w:spacing w:after="120" w:line="360" w:lineRule="auto"/>
      <w:ind w:left="420" w:leftChars="200"/>
    </w:pPr>
    <w:rPr>
      <w:rFonts w:eastAsia="楷体_GB2312"/>
      <w:sz w:val="24"/>
    </w:rPr>
  </w:style>
  <w:style w:type="paragraph" w:styleId="35">
    <w:name w:val="Block Text"/>
    <w:basedOn w:val="1"/>
    <w:uiPriority w:val="0"/>
    <w:pPr>
      <w:widowControl/>
      <w:spacing w:line="360" w:lineRule="auto"/>
      <w:ind w:left="720" w:right="-240"/>
      <w:jc w:val="left"/>
    </w:pPr>
    <w:rPr>
      <w:rFonts w:eastAsia="楷体_GB2312"/>
      <w:kern w:val="0"/>
      <w:sz w:val="24"/>
      <w:szCs w:val="20"/>
      <w:lang w:bidi="he-IL"/>
    </w:rPr>
  </w:style>
  <w:style w:type="paragraph" w:styleId="36">
    <w:name w:val="List Bullet 2"/>
    <w:basedOn w:val="1"/>
    <w:uiPriority w:val="0"/>
    <w:pPr>
      <w:tabs>
        <w:tab w:val="left" w:pos="780"/>
      </w:tabs>
      <w:spacing w:line="360" w:lineRule="auto"/>
      <w:ind w:left="780" w:leftChars="200" w:hanging="360" w:hangingChars="200"/>
    </w:pPr>
    <w:rPr>
      <w:rFonts w:eastAsia="楷体_GB2312"/>
      <w:sz w:val="24"/>
    </w:rPr>
  </w:style>
  <w:style w:type="paragraph" w:styleId="37">
    <w:name w:val="index 4"/>
    <w:basedOn w:val="1"/>
    <w:next w:val="1"/>
    <w:uiPriority w:val="0"/>
    <w:pPr>
      <w:spacing w:line="360" w:lineRule="auto"/>
      <w:ind w:left="600" w:leftChars="600"/>
    </w:pPr>
    <w:rPr>
      <w:rFonts w:eastAsia="楷体_GB2312"/>
      <w:sz w:val="24"/>
    </w:rPr>
  </w:style>
  <w:style w:type="paragraph" w:styleId="38">
    <w:name w:val="toc 5"/>
    <w:basedOn w:val="1"/>
    <w:next w:val="1"/>
    <w:uiPriority w:val="0"/>
    <w:pPr>
      <w:ind w:left="840"/>
      <w:jc w:val="left"/>
    </w:pPr>
    <w:rPr>
      <w:sz w:val="18"/>
      <w:szCs w:val="18"/>
    </w:rPr>
  </w:style>
  <w:style w:type="paragraph" w:styleId="39">
    <w:name w:val="toc 3"/>
    <w:basedOn w:val="1"/>
    <w:next w:val="1"/>
    <w:uiPriority w:val="0"/>
    <w:pPr>
      <w:ind w:left="420"/>
      <w:jc w:val="left"/>
    </w:pPr>
    <w:rPr>
      <w:i/>
      <w:iCs/>
      <w:sz w:val="20"/>
      <w:szCs w:val="20"/>
    </w:rPr>
  </w:style>
  <w:style w:type="paragraph" w:styleId="40">
    <w:name w:val="Plain Text"/>
    <w:basedOn w:val="1"/>
    <w:next w:val="1"/>
    <w:link w:val="135"/>
    <w:qFormat/>
    <w:uiPriority w:val="0"/>
    <w:rPr>
      <w:rFonts w:ascii="??" w:hAnsi="??" w:eastAsia="??"/>
      <w:szCs w:val="21"/>
    </w:rPr>
  </w:style>
  <w:style w:type="paragraph" w:styleId="41">
    <w:name w:val="List Bullet 5"/>
    <w:basedOn w:val="1"/>
    <w:uiPriority w:val="0"/>
    <w:pPr>
      <w:tabs>
        <w:tab w:val="left" w:pos="2040"/>
      </w:tabs>
      <w:spacing w:line="360" w:lineRule="auto"/>
      <w:ind w:left="2040" w:leftChars="800" w:hanging="360" w:hangingChars="200"/>
    </w:pPr>
    <w:rPr>
      <w:rFonts w:eastAsia="楷体_GB2312"/>
      <w:sz w:val="24"/>
    </w:rPr>
  </w:style>
  <w:style w:type="paragraph" w:styleId="42">
    <w:name w:val="List Number 4"/>
    <w:basedOn w:val="1"/>
    <w:uiPriority w:val="0"/>
    <w:pPr>
      <w:tabs>
        <w:tab w:val="left" w:pos="1620"/>
      </w:tabs>
      <w:spacing w:line="360" w:lineRule="auto"/>
      <w:ind w:left="1620" w:leftChars="600" w:hanging="360" w:hangingChars="200"/>
    </w:pPr>
    <w:rPr>
      <w:rFonts w:eastAsia="楷体_GB2312"/>
      <w:sz w:val="24"/>
    </w:rPr>
  </w:style>
  <w:style w:type="paragraph" w:styleId="43">
    <w:name w:val="toc 8"/>
    <w:basedOn w:val="1"/>
    <w:next w:val="1"/>
    <w:uiPriority w:val="0"/>
    <w:pPr>
      <w:ind w:left="1470"/>
      <w:jc w:val="left"/>
    </w:pPr>
    <w:rPr>
      <w:sz w:val="18"/>
      <w:szCs w:val="18"/>
    </w:rPr>
  </w:style>
  <w:style w:type="paragraph" w:styleId="44">
    <w:name w:val="index 3"/>
    <w:basedOn w:val="1"/>
    <w:next w:val="1"/>
    <w:uiPriority w:val="0"/>
    <w:pPr>
      <w:spacing w:line="360" w:lineRule="auto"/>
      <w:ind w:left="400" w:leftChars="400"/>
    </w:pPr>
    <w:rPr>
      <w:rFonts w:eastAsia="楷体_GB2312"/>
      <w:sz w:val="24"/>
    </w:rPr>
  </w:style>
  <w:style w:type="paragraph" w:styleId="45">
    <w:name w:val="Date"/>
    <w:basedOn w:val="1"/>
    <w:next w:val="1"/>
    <w:link w:val="91"/>
    <w:uiPriority w:val="0"/>
    <w:pPr>
      <w:adjustRightInd w:val="0"/>
      <w:jc w:val="right"/>
      <w:textAlignment w:val="baseline"/>
    </w:pPr>
    <w:rPr>
      <w:rFonts w:ascii="Calibri" w:hAnsi="Calibri" w:eastAsia="??_GB2312"/>
      <w:b/>
      <w:kern w:val="0"/>
      <w:sz w:val="28"/>
      <w:szCs w:val="28"/>
    </w:rPr>
  </w:style>
  <w:style w:type="paragraph" w:styleId="46">
    <w:name w:val="Body Text Indent 2"/>
    <w:basedOn w:val="1"/>
    <w:next w:val="47"/>
    <w:link w:val="123"/>
    <w:uiPriority w:val="0"/>
    <w:pPr>
      <w:spacing w:line="520" w:lineRule="exact"/>
      <w:ind w:firstLine="303" w:firstLineChars="303"/>
    </w:pPr>
    <w:rPr>
      <w:rFonts w:ascii="??" w:hAnsi="??" w:eastAsia="??" w:cs="宋体"/>
      <w:sz w:val="28"/>
      <w:szCs w:val="28"/>
    </w:rPr>
  </w:style>
  <w:style w:type="paragraph" w:customStyle="1" w:styleId="47">
    <w:name w:val="目录 22"/>
    <w:next w:val="1"/>
    <w:qFormat/>
    <w:uiPriority w:val="0"/>
    <w:pPr>
      <w:wordWrap w:val="0"/>
      <w:jc w:val="both"/>
    </w:pPr>
    <w:rPr>
      <w:sz w:val="21"/>
      <w:lang w:val="en-US" w:eastAsia="zh-CN" w:bidi="ar-SA"/>
    </w:rPr>
  </w:style>
  <w:style w:type="paragraph" w:styleId="48">
    <w:name w:val="endnote text"/>
    <w:basedOn w:val="1"/>
    <w:link w:val="176"/>
    <w:uiPriority w:val="0"/>
    <w:pPr>
      <w:snapToGrid w:val="0"/>
      <w:spacing w:line="360" w:lineRule="auto"/>
      <w:jc w:val="left"/>
    </w:pPr>
    <w:rPr>
      <w:rFonts w:ascii="Calibri" w:hAnsi="Calibri" w:eastAsia="楷体_GB2312"/>
      <w:sz w:val="24"/>
    </w:rPr>
  </w:style>
  <w:style w:type="paragraph" w:styleId="49">
    <w:name w:val="List Continue 5"/>
    <w:basedOn w:val="1"/>
    <w:uiPriority w:val="0"/>
    <w:pPr>
      <w:spacing w:after="120" w:line="360" w:lineRule="auto"/>
      <w:ind w:left="2100" w:leftChars="1000"/>
    </w:pPr>
    <w:rPr>
      <w:rFonts w:eastAsia="楷体_GB2312"/>
      <w:sz w:val="24"/>
    </w:rPr>
  </w:style>
  <w:style w:type="paragraph" w:styleId="50">
    <w:name w:val="Balloon Text"/>
    <w:basedOn w:val="1"/>
    <w:link w:val="92"/>
    <w:uiPriority w:val="0"/>
    <w:rPr>
      <w:rFonts w:ascii="Calibri" w:hAnsi="Calibri" w:eastAsia="??"/>
      <w:sz w:val="18"/>
      <w:szCs w:val="18"/>
    </w:rPr>
  </w:style>
  <w:style w:type="paragraph" w:styleId="51">
    <w:name w:val="footer"/>
    <w:basedOn w:val="1"/>
    <w:link w:val="116"/>
    <w:uiPriority w:val="0"/>
    <w:pPr>
      <w:tabs>
        <w:tab w:val="center" w:pos="4153"/>
        <w:tab w:val="right" w:pos="8306"/>
      </w:tabs>
      <w:snapToGrid w:val="0"/>
      <w:jc w:val="left"/>
    </w:pPr>
    <w:rPr>
      <w:rFonts w:ascii="Calibri" w:hAnsi="Calibri" w:eastAsia="??"/>
      <w:sz w:val="18"/>
      <w:szCs w:val="28"/>
    </w:rPr>
  </w:style>
  <w:style w:type="paragraph" w:styleId="52">
    <w:name w:val="header"/>
    <w:basedOn w:val="1"/>
    <w:link w:val="183"/>
    <w:uiPriority w:val="0"/>
    <w:pPr>
      <w:pBdr>
        <w:bottom w:val="single" w:color="auto" w:sz="6" w:space="1"/>
      </w:pBdr>
      <w:tabs>
        <w:tab w:val="center" w:pos="4153"/>
        <w:tab w:val="right" w:pos="8306"/>
      </w:tabs>
      <w:snapToGrid w:val="0"/>
      <w:jc w:val="center"/>
    </w:pPr>
    <w:rPr>
      <w:rFonts w:ascii="Calibri" w:hAnsi="Calibri" w:eastAsia="??"/>
      <w:sz w:val="18"/>
      <w:szCs w:val="28"/>
    </w:rPr>
  </w:style>
  <w:style w:type="paragraph" w:styleId="53">
    <w:name w:val="Signature"/>
    <w:basedOn w:val="1"/>
    <w:link w:val="157"/>
    <w:uiPriority w:val="0"/>
    <w:pPr>
      <w:adjustRightInd w:val="0"/>
      <w:spacing w:after="600" w:line="312" w:lineRule="atLeast"/>
      <w:jc w:val="center"/>
      <w:textAlignment w:val="baseline"/>
    </w:pPr>
    <w:rPr>
      <w:rFonts w:ascii="Calibri" w:hAnsi="Calibri" w:eastAsia="仿宋_GB2312"/>
      <w:kern w:val="0"/>
      <w:sz w:val="24"/>
      <w:szCs w:val="20"/>
    </w:rPr>
  </w:style>
  <w:style w:type="paragraph" w:styleId="54">
    <w:name w:val="toc 1"/>
    <w:basedOn w:val="1"/>
    <w:next w:val="1"/>
    <w:uiPriority w:val="39"/>
    <w:pPr>
      <w:spacing w:before="120" w:after="120"/>
      <w:jc w:val="left"/>
    </w:pPr>
    <w:rPr>
      <w:b/>
      <w:bCs/>
      <w:caps/>
      <w:sz w:val="20"/>
      <w:szCs w:val="20"/>
    </w:rPr>
  </w:style>
  <w:style w:type="paragraph" w:styleId="55">
    <w:name w:val="List Continue 4"/>
    <w:basedOn w:val="1"/>
    <w:uiPriority w:val="0"/>
    <w:pPr>
      <w:spacing w:after="120" w:line="360" w:lineRule="auto"/>
      <w:ind w:left="1680" w:leftChars="800"/>
    </w:pPr>
    <w:rPr>
      <w:rFonts w:eastAsia="楷体_GB2312"/>
      <w:sz w:val="24"/>
    </w:rPr>
  </w:style>
  <w:style w:type="paragraph" w:styleId="56">
    <w:name w:val="toc 4"/>
    <w:basedOn w:val="1"/>
    <w:next w:val="1"/>
    <w:uiPriority w:val="0"/>
    <w:pPr>
      <w:ind w:left="630"/>
      <w:jc w:val="left"/>
    </w:pPr>
    <w:rPr>
      <w:sz w:val="18"/>
      <w:szCs w:val="18"/>
    </w:rPr>
  </w:style>
  <w:style w:type="paragraph" w:styleId="57">
    <w:name w:val="index heading"/>
    <w:basedOn w:val="1"/>
    <w:next w:val="58"/>
    <w:uiPriority w:val="0"/>
    <w:pPr>
      <w:spacing w:line="360" w:lineRule="auto"/>
    </w:pPr>
    <w:rPr>
      <w:rFonts w:ascii="Arial" w:hAnsi="Arial" w:eastAsia="楷体_GB2312" w:cs="Arial"/>
      <w:b/>
      <w:bCs/>
      <w:sz w:val="24"/>
    </w:rPr>
  </w:style>
  <w:style w:type="paragraph" w:styleId="58">
    <w:name w:val="index 1"/>
    <w:basedOn w:val="1"/>
    <w:next w:val="1"/>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59">
    <w:name w:val="List Number 5"/>
    <w:basedOn w:val="1"/>
    <w:uiPriority w:val="0"/>
    <w:pPr>
      <w:tabs>
        <w:tab w:val="left" w:pos="2040"/>
      </w:tabs>
      <w:spacing w:line="360" w:lineRule="auto"/>
      <w:ind w:left="2040" w:leftChars="800" w:hanging="360" w:hangingChars="200"/>
    </w:pPr>
    <w:rPr>
      <w:rFonts w:eastAsia="楷体_GB2312"/>
      <w:sz w:val="24"/>
    </w:rPr>
  </w:style>
  <w:style w:type="paragraph" w:styleId="60">
    <w:name w:val="footnote text"/>
    <w:basedOn w:val="1"/>
    <w:link w:val="102"/>
    <w:uiPriority w:val="0"/>
    <w:pPr>
      <w:snapToGrid w:val="0"/>
      <w:spacing w:line="360" w:lineRule="auto"/>
      <w:jc w:val="left"/>
    </w:pPr>
    <w:rPr>
      <w:rFonts w:ascii="Calibri" w:hAnsi="Calibri" w:eastAsia="楷体_GB2312"/>
      <w:sz w:val="18"/>
      <w:szCs w:val="18"/>
    </w:rPr>
  </w:style>
  <w:style w:type="paragraph" w:styleId="61">
    <w:name w:val="toc 6"/>
    <w:basedOn w:val="1"/>
    <w:next w:val="1"/>
    <w:uiPriority w:val="0"/>
    <w:pPr>
      <w:ind w:left="1050"/>
      <w:jc w:val="left"/>
    </w:pPr>
    <w:rPr>
      <w:sz w:val="18"/>
      <w:szCs w:val="18"/>
    </w:rPr>
  </w:style>
  <w:style w:type="paragraph" w:styleId="62">
    <w:name w:val="Body Text Indent 3"/>
    <w:basedOn w:val="1"/>
    <w:next w:val="63"/>
    <w:link w:val="177"/>
    <w:uiPriority w:val="0"/>
    <w:pPr>
      <w:spacing w:line="520" w:lineRule="exact"/>
      <w:ind w:firstLine="547"/>
    </w:pPr>
    <w:rPr>
      <w:rFonts w:ascii="Calibri" w:hAnsi="Calibri" w:eastAsia="??"/>
      <w:sz w:val="28"/>
      <w:szCs w:val="28"/>
    </w:rPr>
  </w:style>
  <w:style w:type="paragraph" w:customStyle="1" w:styleId="63">
    <w:name w:val="目录 92"/>
    <w:next w:val="1"/>
    <w:qFormat/>
    <w:uiPriority w:val="0"/>
    <w:pPr>
      <w:wordWrap w:val="0"/>
      <w:ind w:left="2975"/>
      <w:jc w:val="both"/>
    </w:pPr>
    <w:rPr>
      <w:sz w:val="21"/>
      <w:lang w:val="en-US" w:eastAsia="zh-CN" w:bidi="ar-SA"/>
    </w:rPr>
  </w:style>
  <w:style w:type="paragraph" w:styleId="64">
    <w:name w:val="index 7"/>
    <w:basedOn w:val="1"/>
    <w:next w:val="1"/>
    <w:uiPriority w:val="0"/>
    <w:pPr>
      <w:spacing w:line="360" w:lineRule="auto"/>
      <w:ind w:left="1200" w:leftChars="1200"/>
    </w:pPr>
    <w:rPr>
      <w:rFonts w:eastAsia="楷体_GB2312"/>
      <w:sz w:val="24"/>
    </w:rPr>
  </w:style>
  <w:style w:type="paragraph" w:styleId="65">
    <w:name w:val="index 9"/>
    <w:basedOn w:val="1"/>
    <w:next w:val="1"/>
    <w:uiPriority w:val="0"/>
    <w:pPr>
      <w:spacing w:line="360" w:lineRule="auto"/>
      <w:ind w:left="1600" w:leftChars="1600"/>
    </w:pPr>
    <w:rPr>
      <w:rFonts w:eastAsia="楷体_GB2312"/>
      <w:sz w:val="24"/>
    </w:rPr>
  </w:style>
  <w:style w:type="paragraph" w:styleId="66">
    <w:name w:val="table of figures"/>
    <w:basedOn w:val="1"/>
    <w:next w:val="1"/>
    <w:uiPriority w:val="0"/>
    <w:pPr>
      <w:ind w:left="560" w:hanging="560"/>
      <w:jc w:val="left"/>
    </w:pPr>
    <w:rPr>
      <w:rFonts w:ascii="Calibri" w:hAnsi="Calibri" w:eastAsia="??" w:cs="宋体"/>
      <w:smallCaps/>
      <w:sz w:val="20"/>
      <w:szCs w:val="28"/>
    </w:rPr>
  </w:style>
  <w:style w:type="paragraph" w:styleId="67">
    <w:name w:val="toc 2"/>
    <w:basedOn w:val="1"/>
    <w:next w:val="1"/>
    <w:uiPriority w:val="39"/>
    <w:pPr>
      <w:ind w:left="210"/>
      <w:jc w:val="left"/>
    </w:pPr>
    <w:rPr>
      <w:smallCaps/>
      <w:sz w:val="20"/>
      <w:szCs w:val="20"/>
    </w:rPr>
  </w:style>
  <w:style w:type="paragraph" w:styleId="68">
    <w:name w:val="toc 9"/>
    <w:basedOn w:val="1"/>
    <w:next w:val="1"/>
    <w:uiPriority w:val="0"/>
    <w:pPr>
      <w:ind w:left="1680"/>
      <w:jc w:val="left"/>
    </w:pPr>
    <w:rPr>
      <w:sz w:val="18"/>
      <w:szCs w:val="18"/>
    </w:rPr>
  </w:style>
  <w:style w:type="paragraph" w:styleId="69">
    <w:name w:val="Body Text 2"/>
    <w:basedOn w:val="1"/>
    <w:link w:val="111"/>
    <w:uiPriority w:val="0"/>
    <w:pPr>
      <w:spacing w:after="120" w:line="480" w:lineRule="auto"/>
    </w:pPr>
    <w:rPr>
      <w:rFonts w:ascii="Calibri" w:hAnsi="Calibri"/>
      <w:szCs w:val="20"/>
    </w:rPr>
  </w:style>
  <w:style w:type="paragraph" w:styleId="70">
    <w:name w:val="List Continue 2"/>
    <w:basedOn w:val="1"/>
    <w:uiPriority w:val="0"/>
    <w:pPr>
      <w:spacing w:after="120" w:line="360" w:lineRule="auto"/>
      <w:ind w:left="840" w:leftChars="400"/>
    </w:pPr>
    <w:rPr>
      <w:rFonts w:eastAsia="楷体_GB2312"/>
      <w:sz w:val="24"/>
    </w:rPr>
  </w:style>
  <w:style w:type="paragraph" w:styleId="71">
    <w:name w:val="HTML Preformatted"/>
    <w:basedOn w:val="1"/>
    <w:link w:val="10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2">
    <w:name w:val="Normal (Web)"/>
    <w:basedOn w:val="1"/>
    <w:uiPriority w:val="0"/>
    <w:pPr>
      <w:widowControl/>
      <w:spacing w:before="100" w:beforeAutospacing="1" w:after="100" w:afterAutospacing="1"/>
      <w:jc w:val="left"/>
    </w:pPr>
    <w:rPr>
      <w:rFonts w:ascii="??" w:hAnsi="??" w:eastAsia="??" w:cs="宋体"/>
      <w:kern w:val="0"/>
      <w:sz w:val="24"/>
    </w:rPr>
  </w:style>
  <w:style w:type="paragraph" w:styleId="73">
    <w:name w:val="index 2"/>
    <w:basedOn w:val="1"/>
    <w:next w:val="1"/>
    <w:uiPriority w:val="0"/>
    <w:pPr>
      <w:spacing w:line="360" w:lineRule="auto"/>
      <w:ind w:left="200" w:leftChars="200"/>
    </w:pPr>
    <w:rPr>
      <w:rFonts w:eastAsia="楷体_GB2312"/>
      <w:sz w:val="24"/>
    </w:rPr>
  </w:style>
  <w:style w:type="paragraph" w:styleId="74">
    <w:name w:val="Title"/>
    <w:basedOn w:val="1"/>
    <w:next w:val="1"/>
    <w:link w:val="120"/>
    <w:qFormat/>
    <w:uiPriority w:val="0"/>
    <w:pPr>
      <w:widowControl/>
      <w:overflowPunct w:val="0"/>
      <w:autoSpaceDE w:val="0"/>
      <w:autoSpaceDN w:val="0"/>
      <w:adjustRightInd w:val="0"/>
      <w:jc w:val="center"/>
      <w:textAlignment w:val="baseline"/>
    </w:pPr>
    <w:rPr>
      <w:rFonts w:ascii="Calibri" w:hAnsi="Calibri" w:eastAsia="??"/>
      <w:b/>
      <w:kern w:val="0"/>
      <w:sz w:val="24"/>
      <w:szCs w:val="28"/>
      <w:lang w:val="en-GB"/>
    </w:rPr>
  </w:style>
  <w:style w:type="paragraph" w:styleId="75">
    <w:name w:val="annotation subject"/>
    <w:basedOn w:val="26"/>
    <w:next w:val="26"/>
    <w:link w:val="97"/>
    <w:uiPriority w:val="0"/>
    <w:rPr>
      <w:rFonts w:cs="Times New Roman"/>
      <w:b/>
    </w:rPr>
  </w:style>
  <w:style w:type="paragraph" w:styleId="76">
    <w:name w:val="Body Text First Indent"/>
    <w:basedOn w:val="31"/>
    <w:link w:val="98"/>
    <w:uiPriority w:val="0"/>
    <w:pPr>
      <w:autoSpaceDE w:val="0"/>
      <w:autoSpaceDN w:val="0"/>
      <w:adjustRightInd w:val="0"/>
      <w:spacing w:line="360" w:lineRule="auto"/>
      <w:ind w:firstLine="420"/>
    </w:pPr>
    <w:rPr>
      <w:rFonts w:ascii="宋体" w:hAnsi="Calibri" w:eastAsia="宋体"/>
      <w:szCs w:val="20"/>
      <w:lang w:val="zh-CN"/>
    </w:rPr>
  </w:style>
  <w:style w:type="paragraph" w:styleId="77">
    <w:name w:val="Body Text First Indent 2"/>
    <w:basedOn w:val="2"/>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79">
    <w:name w:val="Table Grid"/>
    <w:basedOn w:val="78"/>
    <w:qFormat/>
    <w:uiPriority w:val="0"/>
    <w:tblPr>
      <w:tblStyle w:val="7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1">
    <w:name w:val="Strong"/>
    <w:qFormat/>
    <w:uiPriority w:val="0"/>
    <w:rPr>
      <w:b/>
    </w:rPr>
  </w:style>
  <w:style w:type="character" w:styleId="82">
    <w:name w:val="page number"/>
    <w:uiPriority w:val="0"/>
  </w:style>
  <w:style w:type="character" w:styleId="83">
    <w:name w:val="FollowedHyperlink"/>
    <w:uiPriority w:val="0"/>
    <w:rPr>
      <w:color w:val="800080"/>
      <w:u w:val="single"/>
    </w:rPr>
  </w:style>
  <w:style w:type="character" w:styleId="84">
    <w:name w:val="Emphasis"/>
    <w:qFormat/>
    <w:uiPriority w:val="0"/>
    <w:rPr>
      <w:i/>
    </w:rPr>
  </w:style>
  <w:style w:type="character" w:styleId="85">
    <w:name w:val="line number"/>
    <w:basedOn w:val="80"/>
    <w:uiPriority w:val="0"/>
  </w:style>
  <w:style w:type="character" w:styleId="86">
    <w:name w:val="Hyperlink"/>
    <w:uiPriority w:val="99"/>
    <w:rPr>
      <w:color w:val="0000FF"/>
      <w:u w:val="single"/>
    </w:rPr>
  </w:style>
  <w:style w:type="character" w:styleId="87">
    <w:name w:val="annotation reference"/>
    <w:uiPriority w:val="0"/>
    <w:rPr>
      <w:sz w:val="21"/>
    </w:rPr>
  </w:style>
  <w:style w:type="character" w:customStyle="1" w:styleId="88">
    <w:name w:val=" Char Char10"/>
    <w:link w:val="28"/>
    <w:uiPriority w:val="0"/>
    <w:rPr>
      <w:rFonts w:ascii="仿宋_GB2312" w:eastAsia="仿宋_GB2312"/>
      <w:kern w:val="2"/>
      <w:sz w:val="28"/>
      <w:lang w:bidi="ar-SA"/>
    </w:rPr>
  </w:style>
  <w:style w:type="character" w:customStyle="1" w:styleId="89">
    <w:name w:val="FA正文 Char Char"/>
    <w:link w:val="90"/>
    <w:uiPriority w:val="0"/>
    <w:rPr>
      <w:rFonts w:hAnsi="宋体"/>
      <w:kern w:val="2"/>
      <w:sz w:val="24"/>
      <w:lang w:bidi="ar-SA"/>
    </w:rPr>
  </w:style>
  <w:style w:type="paragraph" w:customStyle="1" w:styleId="90">
    <w:name w:val="FA正文"/>
    <w:basedOn w:val="1"/>
    <w:link w:val="89"/>
    <w:uiPriority w:val="0"/>
    <w:pPr>
      <w:spacing w:line="360" w:lineRule="auto"/>
      <w:ind w:firstLine="480" w:firstLineChars="200"/>
    </w:pPr>
    <w:rPr>
      <w:rFonts w:ascii="Calibri" w:hAnsi="宋体"/>
      <w:sz w:val="24"/>
      <w:szCs w:val="20"/>
    </w:rPr>
  </w:style>
  <w:style w:type="character" w:customStyle="1" w:styleId="91">
    <w:name w:val=" Char Char24"/>
    <w:link w:val="45"/>
    <w:uiPriority w:val="0"/>
    <w:rPr>
      <w:rFonts w:eastAsia="??_GB2312"/>
      <w:b/>
      <w:sz w:val="28"/>
      <w:szCs w:val="28"/>
      <w:lang w:val="en-US" w:eastAsia="zh-CN" w:bidi="ar-SA"/>
    </w:rPr>
  </w:style>
  <w:style w:type="character" w:customStyle="1" w:styleId="92">
    <w:name w:val=" Char Char11"/>
    <w:link w:val="50"/>
    <w:uiPriority w:val="0"/>
    <w:rPr>
      <w:rFonts w:eastAsia="??"/>
      <w:kern w:val="2"/>
      <w:sz w:val="18"/>
      <w:szCs w:val="18"/>
      <w:lang w:val="en-US" w:eastAsia="zh-CN" w:bidi="ar-SA"/>
    </w:rPr>
  </w:style>
  <w:style w:type="character" w:customStyle="1" w:styleId="93">
    <w:name w:val=" Char Char29"/>
    <w:link w:val="2"/>
    <w:uiPriority w:val="0"/>
    <w:rPr>
      <w:rFonts w:ascii="??" w:hAnsi="??" w:eastAsia="??" w:cs="宋体"/>
      <w:kern w:val="2"/>
      <w:sz w:val="28"/>
      <w:szCs w:val="28"/>
    </w:rPr>
  </w:style>
  <w:style w:type="character" w:customStyle="1" w:styleId="94">
    <w:name w:val=" Char Char26"/>
    <w:link w:val="18"/>
    <w:uiPriority w:val="0"/>
    <w:rPr>
      <w:rFonts w:eastAsia="楷体_GB2312"/>
      <w:kern w:val="2"/>
      <w:sz w:val="24"/>
      <w:szCs w:val="24"/>
      <w:lang w:bidi="ar-SA"/>
    </w:rPr>
  </w:style>
  <w:style w:type="character" w:customStyle="1" w:styleId="95">
    <w:name w:val="正文缩 Char"/>
    <w:link w:val="96"/>
    <w:uiPriority w:val="0"/>
    <w:rPr>
      <w:rFonts w:eastAsia="楷体_GB2312"/>
      <w:kern w:val="2"/>
      <w:sz w:val="24"/>
      <w:szCs w:val="24"/>
      <w:lang w:bidi="ar-SA"/>
    </w:rPr>
  </w:style>
  <w:style w:type="paragraph" w:customStyle="1" w:styleId="96">
    <w:name w:val="正文缩"/>
    <w:basedOn w:val="1"/>
    <w:link w:val="95"/>
    <w:uiPriority w:val="0"/>
    <w:pPr>
      <w:spacing w:line="360" w:lineRule="auto"/>
      <w:ind w:firstLine="200" w:firstLineChars="200"/>
    </w:pPr>
    <w:rPr>
      <w:rFonts w:ascii="Calibri" w:hAnsi="Calibri" w:eastAsia="楷体_GB2312"/>
      <w:sz w:val="24"/>
    </w:rPr>
  </w:style>
  <w:style w:type="character" w:customStyle="1" w:styleId="97">
    <w:name w:val=" Char Char22"/>
    <w:link w:val="75"/>
    <w:uiPriority w:val="0"/>
    <w:rPr>
      <w:rFonts w:eastAsia="宋体"/>
      <w:b/>
      <w:kern w:val="2"/>
      <w:sz w:val="21"/>
      <w:lang w:bidi="ar-SA"/>
    </w:rPr>
  </w:style>
  <w:style w:type="character" w:customStyle="1" w:styleId="98">
    <w:name w:val=" Char Char18"/>
    <w:link w:val="76"/>
    <w:uiPriority w:val="0"/>
    <w:rPr>
      <w:rFonts w:ascii="宋体" w:eastAsia="宋体"/>
      <w:kern w:val="2"/>
      <w:sz w:val="24"/>
      <w:lang w:val="zh-CN" w:eastAsia="zh-CN" w:bidi="ar-SA"/>
    </w:rPr>
  </w:style>
  <w:style w:type="character" w:customStyle="1" w:styleId="99">
    <w:name w:val="正文2 Char"/>
    <w:link w:val="100"/>
    <w:locked/>
    <w:uiPriority w:val="0"/>
    <w:rPr>
      <w:rFonts w:eastAsia="??"/>
      <w:kern w:val="2"/>
      <w:sz w:val="24"/>
      <w:szCs w:val="28"/>
    </w:rPr>
  </w:style>
  <w:style w:type="paragraph" w:customStyle="1" w:styleId="100">
    <w:name w:val="正文2"/>
    <w:basedOn w:val="1"/>
    <w:link w:val="99"/>
    <w:uiPriority w:val="0"/>
    <w:pPr>
      <w:spacing w:before="156" w:line="360" w:lineRule="auto"/>
      <w:ind w:firstLine="200" w:firstLineChars="200"/>
    </w:pPr>
    <w:rPr>
      <w:rFonts w:ascii="Calibri" w:hAnsi="Calibri" w:eastAsia="??"/>
      <w:sz w:val="24"/>
      <w:szCs w:val="28"/>
    </w:rPr>
  </w:style>
  <w:style w:type="character" w:customStyle="1" w:styleId="101">
    <w:name w:val="font51"/>
    <w:qFormat/>
    <w:uiPriority w:val="0"/>
    <w:rPr>
      <w:rFonts w:hint="eastAsia" w:ascii="华文细黑" w:hAnsi="华文细黑" w:eastAsia="华文细黑" w:cs="华文细黑"/>
      <w:color w:val="FF0000"/>
      <w:sz w:val="18"/>
      <w:szCs w:val="18"/>
      <w:u w:val="none"/>
    </w:rPr>
  </w:style>
  <w:style w:type="character" w:customStyle="1" w:styleId="102">
    <w:name w:val=" Char Char20"/>
    <w:link w:val="60"/>
    <w:uiPriority w:val="0"/>
    <w:rPr>
      <w:rFonts w:eastAsia="楷体_GB2312"/>
      <w:kern w:val="2"/>
      <w:sz w:val="18"/>
      <w:szCs w:val="18"/>
      <w:lang w:bidi="ar-SA"/>
    </w:rPr>
  </w:style>
  <w:style w:type="character" w:customStyle="1" w:styleId="103">
    <w:name w:val="title141"/>
    <w:uiPriority w:val="0"/>
    <w:rPr>
      <w:sz w:val="25"/>
      <w:szCs w:val="25"/>
    </w:rPr>
  </w:style>
  <w:style w:type="character" w:customStyle="1" w:styleId="104">
    <w:name w:val=" Char Char5"/>
    <w:link w:val="71"/>
    <w:uiPriority w:val="0"/>
    <w:rPr>
      <w:rFonts w:ascii="??" w:hAnsi="??" w:eastAsia="??" w:cs="Courier New"/>
      <w:szCs w:val="28"/>
      <w:lang w:val="en-US" w:eastAsia="zh-CN" w:bidi="ar-SA"/>
    </w:rPr>
  </w:style>
  <w:style w:type="character" w:customStyle="1" w:styleId="105">
    <w:name w:val="样式4 Char Char"/>
    <w:uiPriority w:val="0"/>
    <w:rPr>
      <w:rFonts w:eastAsia="宋体" w:cs="宋体"/>
      <w:color w:val="000000"/>
      <w:sz w:val="24"/>
      <w:szCs w:val="24"/>
      <w:lang w:val="en-US" w:eastAsia="zh-CN" w:bidi="ar-SA"/>
    </w:rPr>
  </w:style>
  <w:style w:type="character" w:customStyle="1" w:styleId="106">
    <w:name w:val="style161"/>
    <w:uiPriority w:val="0"/>
    <w:rPr>
      <w:sz w:val="20"/>
      <w:szCs w:val="20"/>
    </w:rPr>
  </w:style>
  <w:style w:type="character" w:customStyle="1" w:styleId="107">
    <w:name w:val="正文 首行缩进:  2 字符 Char Char Char"/>
    <w:uiPriority w:val="0"/>
    <w:rPr>
      <w:rFonts w:eastAsia="宋体" w:cs="宋体"/>
      <w:kern w:val="2"/>
      <w:sz w:val="24"/>
      <w:lang w:val="en-US" w:eastAsia="zh-CN" w:bidi="ar-SA"/>
    </w:rPr>
  </w:style>
  <w:style w:type="character" w:customStyle="1" w:styleId="108">
    <w:name w:val=" Char Char15"/>
    <w:uiPriority w:val="0"/>
    <w:rPr>
      <w:rFonts w:ascii="Times New Roman" w:hAnsi="Times New Roman"/>
      <w:sz w:val="18"/>
    </w:rPr>
  </w:style>
  <w:style w:type="character" w:customStyle="1" w:styleId="109">
    <w:name w:val="无间隔 字符"/>
    <w:link w:val="110"/>
    <w:uiPriority w:val="0"/>
    <w:rPr>
      <w:rFonts w:eastAsia="楷体_GB2312" w:cs="Lucida Sans"/>
      <w:kern w:val="2"/>
      <w:sz w:val="24"/>
      <w:szCs w:val="24"/>
      <w:lang w:val="en-US" w:eastAsia="zh-CN" w:bidi="ar-SA"/>
    </w:rPr>
  </w:style>
  <w:style w:type="paragraph" w:customStyle="1" w:styleId="110">
    <w:name w:val="无间隔"/>
    <w:link w:val="109"/>
    <w:qFormat/>
    <w:uiPriority w:val="0"/>
    <w:pPr>
      <w:widowControl w:val="0"/>
      <w:jc w:val="both"/>
    </w:pPr>
    <w:rPr>
      <w:rFonts w:eastAsia="楷体_GB2312" w:cs="Lucida Sans"/>
      <w:kern w:val="2"/>
      <w:sz w:val="24"/>
      <w:szCs w:val="24"/>
      <w:lang w:val="en-US" w:eastAsia="zh-CN" w:bidi="ar-SA"/>
    </w:rPr>
  </w:style>
  <w:style w:type="character" w:customStyle="1" w:styleId="111">
    <w:name w:val=" Char Char23"/>
    <w:link w:val="69"/>
    <w:uiPriority w:val="0"/>
    <w:rPr>
      <w:rFonts w:eastAsia="宋体"/>
      <w:kern w:val="2"/>
      <w:sz w:val="21"/>
      <w:lang w:bidi="ar-SA"/>
    </w:rPr>
  </w:style>
  <w:style w:type="character" w:customStyle="1" w:styleId="112">
    <w:name w:val=" Char Char38"/>
    <w:link w:val="5"/>
    <w:uiPriority w:val="0"/>
    <w:rPr>
      <w:rFonts w:ascii="Arial" w:hAnsi="Arial" w:eastAsia="??" w:cs="Arial"/>
      <w:b/>
      <w:bCs/>
      <w:kern w:val="2"/>
      <w:sz w:val="21"/>
      <w:szCs w:val="32"/>
      <w:lang w:val="en-US" w:eastAsia="zh-CN" w:bidi="ar-SA"/>
    </w:rPr>
  </w:style>
  <w:style w:type="character" w:customStyle="1" w:styleId="113">
    <w:name w:val="t_tag"/>
    <w:basedOn w:val="80"/>
    <w:uiPriority w:val="0"/>
  </w:style>
  <w:style w:type="character" w:customStyle="1" w:styleId="114">
    <w:name w:val="dectext1"/>
    <w:uiPriority w:val="0"/>
    <w:rPr>
      <w:rFonts w:ascii="宋体" w:hAnsi="宋体" w:eastAsia="宋体"/>
      <w:color w:val="333333"/>
      <w:sz w:val="21"/>
      <w:u w:val="none"/>
    </w:rPr>
  </w:style>
  <w:style w:type="character" w:customStyle="1" w:styleId="115">
    <w:name w:val="ca-41"/>
    <w:uiPriority w:val="0"/>
    <w:rPr>
      <w:rFonts w:hint="eastAsia" w:ascii="仿宋_GB2312" w:eastAsia="仿宋_GB2312"/>
      <w:sz w:val="24"/>
      <w:szCs w:val="24"/>
    </w:rPr>
  </w:style>
  <w:style w:type="character" w:customStyle="1" w:styleId="116">
    <w:name w:val=" Char Char9"/>
    <w:link w:val="51"/>
    <w:uiPriority w:val="0"/>
    <w:rPr>
      <w:rFonts w:eastAsia="??"/>
      <w:kern w:val="2"/>
      <w:sz w:val="18"/>
      <w:szCs w:val="28"/>
      <w:lang w:val="en-US" w:eastAsia="zh-CN" w:bidi="ar-SA"/>
    </w:rPr>
  </w:style>
  <w:style w:type="character" w:customStyle="1" w:styleId="117">
    <w:name w:val="param_td12"/>
    <w:uiPriority w:val="0"/>
  </w:style>
  <w:style w:type="character" w:customStyle="1" w:styleId="118">
    <w:name w:val=" Char Char37"/>
    <w:link w:val="6"/>
    <w:uiPriority w:val="0"/>
    <w:rPr>
      <w:rFonts w:eastAsia="??"/>
      <w:b/>
      <w:sz w:val="32"/>
      <w:szCs w:val="28"/>
      <w:lang w:val="en-US" w:eastAsia="zh-CN" w:bidi="ar-SA"/>
    </w:rPr>
  </w:style>
  <w:style w:type="character" w:customStyle="1" w:styleId="119">
    <w:name w:val=" Char Char39"/>
    <w:link w:val="4"/>
    <w:uiPriority w:val="0"/>
    <w:rPr>
      <w:rFonts w:ascii="??" w:hAnsi="??" w:eastAsia="??" w:cs="宋体"/>
      <w:b/>
      <w:kern w:val="36"/>
      <w:sz w:val="32"/>
      <w:szCs w:val="28"/>
      <w:lang w:val="en-US" w:eastAsia="zh-CN" w:bidi="ar-SA"/>
    </w:rPr>
  </w:style>
  <w:style w:type="character" w:customStyle="1" w:styleId="120">
    <w:name w:val=" Char Char"/>
    <w:link w:val="74"/>
    <w:uiPriority w:val="0"/>
    <w:rPr>
      <w:rFonts w:eastAsia="??"/>
      <w:b/>
      <w:sz w:val="24"/>
      <w:szCs w:val="28"/>
      <w:lang w:val="en-GB" w:eastAsia="zh-CN" w:bidi="ar-SA"/>
    </w:rPr>
  </w:style>
  <w:style w:type="character" w:customStyle="1" w:styleId="121">
    <w:name w:val="DN-正文 Char Char"/>
    <w:link w:val="122"/>
    <w:uiPriority w:val="0"/>
    <w:rPr>
      <w:kern w:val="2"/>
      <w:sz w:val="21"/>
      <w:szCs w:val="24"/>
      <w:lang w:bidi="ar-SA"/>
    </w:rPr>
  </w:style>
  <w:style w:type="paragraph" w:customStyle="1" w:styleId="122">
    <w:name w:val="DN-正文"/>
    <w:basedOn w:val="20"/>
    <w:link w:val="121"/>
    <w:uiPriority w:val="0"/>
    <w:pPr>
      <w:widowControl w:val="0"/>
      <w:spacing w:line="400" w:lineRule="exact"/>
      <w:ind w:firstLine="200" w:firstLineChars="200"/>
      <w:jc w:val="both"/>
    </w:pPr>
    <w:rPr>
      <w:rFonts w:eastAsia="宋体"/>
      <w:kern w:val="2"/>
      <w:sz w:val="21"/>
    </w:rPr>
  </w:style>
  <w:style w:type="character" w:customStyle="1" w:styleId="123">
    <w:name w:val=" Char Char4"/>
    <w:link w:val="46"/>
    <w:uiPriority w:val="0"/>
    <w:rPr>
      <w:rFonts w:ascii="??" w:hAnsi="??" w:eastAsia="??" w:cs="宋体"/>
      <w:kern w:val="2"/>
      <w:sz w:val="28"/>
      <w:szCs w:val="28"/>
      <w:lang w:val="en-US" w:eastAsia="zh-CN" w:bidi="ar-SA"/>
    </w:rPr>
  </w:style>
  <w:style w:type="character" w:customStyle="1" w:styleId="124">
    <w:name w:val="占位符文本"/>
    <w:semiHidden/>
    <w:uiPriority w:val="0"/>
    <w:rPr>
      <w:color w:val="808080"/>
    </w:rPr>
  </w:style>
  <w:style w:type="character" w:customStyle="1" w:styleId="125">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126">
    <w:name w:val="段 Char Char Char"/>
    <w:uiPriority w:val="0"/>
    <w:rPr>
      <w:rFonts w:ascii="宋体" w:eastAsia="宋体"/>
      <w:sz w:val="21"/>
      <w:lang w:val="en-US" w:eastAsia="zh-CN" w:bidi="ar-SA"/>
    </w:rPr>
  </w:style>
  <w:style w:type="character" w:customStyle="1" w:styleId="127">
    <w:name w:val=" Char Char31"/>
    <w:link w:val="12"/>
    <w:uiPriority w:val="0"/>
    <w:rPr>
      <w:rFonts w:ascii="Arial" w:hAnsi="Arial" w:eastAsia="??" w:cs="Arial"/>
      <w:sz w:val="21"/>
      <w:szCs w:val="21"/>
      <w:lang w:val="en-US" w:eastAsia="zh-CN" w:bidi="ar-SA"/>
    </w:rPr>
  </w:style>
  <w:style w:type="character" w:customStyle="1" w:styleId="128">
    <w:name w:val=" Char Char13"/>
    <w:link w:val="3"/>
    <w:uiPriority w:val="0"/>
    <w:rPr>
      <w:rFonts w:ascii="Courier New" w:hAnsi="Courier New" w:cs="Courier New"/>
      <w:kern w:val="2"/>
      <w:sz w:val="24"/>
      <w:szCs w:val="24"/>
      <w:lang w:val="en-US" w:eastAsia="zh-CN" w:bidi="ar-SA"/>
    </w:rPr>
  </w:style>
  <w:style w:type="character" w:customStyle="1" w:styleId="129">
    <w:name w:val=" Char Char16"/>
    <w:uiPriority w:val="0"/>
    <w:rPr>
      <w:rFonts w:ascii="宋体" w:hAnsi="宋体" w:eastAsia="宋体" w:cs="Lucida Sans"/>
    </w:rPr>
  </w:style>
  <w:style w:type="character" w:customStyle="1" w:styleId="130">
    <w:name w:val="纯文本 Char1"/>
    <w:uiPriority w:val="0"/>
    <w:rPr>
      <w:rFonts w:ascii="宋体" w:hAnsi="Courier New"/>
    </w:rPr>
  </w:style>
  <w:style w:type="character" w:customStyle="1" w:styleId="131">
    <w:name w:val="ih151"/>
    <w:uiPriority w:val="0"/>
    <w:rPr>
      <w:color w:val="666666"/>
      <w:sz w:val="18"/>
      <w:szCs w:val="18"/>
      <w:u w:val="none"/>
    </w:rPr>
  </w:style>
  <w:style w:type="character" w:customStyle="1" w:styleId="132">
    <w:name w:val="哈哈改 Char"/>
    <w:link w:val="133"/>
    <w:uiPriority w:val="0"/>
    <w:rPr>
      <w:rFonts w:ascii="宋体" w:hAnsi="宋体" w:eastAsia="宋体"/>
      <w:b/>
      <w:kern w:val="2"/>
      <w:sz w:val="24"/>
      <w:szCs w:val="24"/>
      <w:lang w:bidi="ar-SA"/>
    </w:rPr>
  </w:style>
  <w:style w:type="paragraph" w:customStyle="1" w:styleId="133">
    <w:name w:val="哈哈改"/>
    <w:basedOn w:val="134"/>
    <w:link w:val="132"/>
    <w:uiPriority w:val="0"/>
    <w:pPr>
      <w:ind w:firstLine="480"/>
    </w:pPr>
    <w:rPr>
      <w:b/>
      <w:szCs w:val="24"/>
    </w:rPr>
  </w:style>
  <w:style w:type="paragraph" w:customStyle="1" w:styleId="134">
    <w:name w:val="哈哈正文"/>
    <w:basedOn w:val="1"/>
    <w:link w:val="193"/>
    <w:uiPriority w:val="0"/>
    <w:pPr>
      <w:spacing w:line="360" w:lineRule="auto"/>
      <w:ind w:firstLine="200" w:firstLineChars="200"/>
    </w:pPr>
    <w:rPr>
      <w:rFonts w:ascii="宋体" w:hAnsi="宋体"/>
      <w:sz w:val="24"/>
      <w:szCs w:val="20"/>
    </w:rPr>
  </w:style>
  <w:style w:type="character" w:customStyle="1" w:styleId="135">
    <w:name w:val=" Char Char8"/>
    <w:link w:val="40"/>
    <w:uiPriority w:val="0"/>
    <w:rPr>
      <w:rFonts w:ascii="??" w:hAnsi="??" w:eastAsia="??" w:cs="宋体"/>
      <w:kern w:val="2"/>
      <w:sz w:val="21"/>
      <w:szCs w:val="21"/>
    </w:rPr>
  </w:style>
  <w:style w:type="character" w:customStyle="1" w:styleId="136">
    <w:name w:val="unnamed11"/>
    <w:uiPriority w:val="0"/>
    <w:rPr>
      <w:sz w:val="20"/>
    </w:rPr>
  </w:style>
  <w:style w:type="character" w:customStyle="1" w:styleId="137">
    <w:name w:val=" Char Char7"/>
    <w:uiPriority w:val="0"/>
    <w:rPr>
      <w:rFonts w:ascii="宋体" w:eastAsia="宋体"/>
      <w:snapToGrid w:val="0"/>
      <w:color w:val="000000"/>
      <w:kern w:val="28"/>
      <w:sz w:val="28"/>
      <w:lang w:val="en-US" w:eastAsia="zh-CN"/>
    </w:rPr>
  </w:style>
  <w:style w:type="character" w:customStyle="1" w:styleId="138">
    <w:name w:val=" Char12"/>
    <w:semiHidden/>
    <w:uiPriority w:val="0"/>
    <w:rPr>
      <w:rFonts w:eastAsia="宋体"/>
      <w:kern w:val="2"/>
      <w:sz w:val="24"/>
      <w:szCs w:val="24"/>
      <w:lang w:val="en-US" w:eastAsia="zh-CN" w:bidi="ar-SA"/>
    </w:rPr>
  </w:style>
  <w:style w:type="character" w:customStyle="1" w:styleId="139">
    <w:name w:val="样式 样式4 + 加粗 首行缩进: Char Char Char Char"/>
    <w:uiPriority w:val="0"/>
    <w:rPr>
      <w:rFonts w:eastAsia="宋体" w:cs="宋体"/>
      <w:b/>
      <w:bCs/>
      <w:color w:val="000000"/>
      <w:kern w:val="2"/>
      <w:sz w:val="24"/>
      <w:szCs w:val="24"/>
      <w:lang w:val="en-US" w:eastAsia="zh-CN" w:bidi="ar-SA"/>
    </w:rPr>
  </w:style>
  <w:style w:type="character" w:customStyle="1" w:styleId="140">
    <w:name w:val=" Char Char32"/>
    <w:link w:val="11"/>
    <w:uiPriority w:val="0"/>
    <w:rPr>
      <w:rFonts w:ascii="Arial" w:hAnsi="Arial" w:eastAsia="??" w:cs="Arial"/>
      <w:sz w:val="24"/>
      <w:szCs w:val="28"/>
      <w:lang w:val="en-US" w:eastAsia="zh-CN" w:bidi="ar-SA"/>
    </w:rPr>
  </w:style>
  <w:style w:type="character" w:customStyle="1" w:styleId="141">
    <w:name w:val="普通文字 Char Char"/>
    <w:aliases w:val="纯文本 Char Char Char,普通文字 Char1,纯文本 Char Char1,普通文字 Char Char Char Char Char,普通文字 Char Char Char Char1,纯文本 Char Char Char Char Char Char Char Char Char Char Char Char Char Char,小 Char,普通文字1 Char,普通文字2 Char,普通文字3 Char,普通文字4 Char,普通文字5 Char"/>
    <w:uiPriority w:val="0"/>
    <w:rPr>
      <w:rFonts w:ascii="宋体" w:hAnsi="Courier New" w:eastAsia="宋体"/>
      <w:kern w:val="2"/>
      <w:sz w:val="21"/>
      <w:szCs w:val="21"/>
      <w:lang w:bidi="ar-SA"/>
    </w:rPr>
  </w:style>
  <w:style w:type="character" w:customStyle="1" w:styleId="142">
    <w:name w:val="font-121"/>
    <w:uiPriority w:val="0"/>
    <w:rPr>
      <w:color w:val="666666"/>
      <w:sz w:val="18"/>
      <w:szCs w:val="18"/>
      <w:u w:val="none"/>
    </w:rPr>
  </w:style>
  <w:style w:type="character" w:customStyle="1" w:styleId="143">
    <w:name w:val=" Char Char27"/>
    <w:link w:val="26"/>
    <w:uiPriority w:val="0"/>
    <w:rPr>
      <w:rFonts w:eastAsia="宋体" w:cs="Lucida Sans"/>
      <w:kern w:val="2"/>
      <w:sz w:val="21"/>
      <w:lang w:val="en-US" w:eastAsia="zh-CN" w:bidi="ar-SA"/>
    </w:rPr>
  </w:style>
  <w:style w:type="character" w:customStyle="1" w:styleId="144">
    <w:name w:val="标题 5 Char Char Char Char Char Char Char Char Char Char Char Char Char"/>
    <w:uiPriority w:val="0"/>
    <w:rPr>
      <w:rFonts w:eastAsia="宋体"/>
      <w:b/>
      <w:bCs/>
      <w:kern w:val="2"/>
      <w:sz w:val="28"/>
      <w:szCs w:val="28"/>
      <w:lang w:val="en-US" w:eastAsia="zh-CN" w:bidi="ar-SA"/>
    </w:rPr>
  </w:style>
  <w:style w:type="character" w:customStyle="1" w:styleId="145">
    <w:name w:val="纯文本 Char2"/>
    <w:uiPriority w:val="0"/>
    <w:rPr>
      <w:rFonts w:ascii="??" w:hAnsi="??" w:eastAsia="??" w:cs="宋体"/>
      <w:kern w:val="2"/>
      <w:sz w:val="21"/>
      <w:szCs w:val="21"/>
    </w:rPr>
  </w:style>
  <w:style w:type="character" w:customStyle="1" w:styleId="146">
    <w:name w:val="页脚 Char"/>
    <w:uiPriority w:val="0"/>
    <w:rPr>
      <w:rFonts w:eastAsia="Calibri"/>
      <w:sz w:val="21"/>
    </w:rPr>
  </w:style>
  <w:style w:type="character" w:customStyle="1" w:styleId="147">
    <w:name w:val=" Char Char6"/>
    <w:uiPriority w:val="0"/>
    <w:rPr>
      <w:rFonts w:ascii="Times New Roman" w:hAnsi="Times New Roman"/>
      <w:kern w:val="28"/>
      <w:sz w:val="24"/>
      <w:szCs w:val="24"/>
    </w:rPr>
  </w:style>
  <w:style w:type="character" w:customStyle="1" w:styleId="148">
    <w:name w:val="样式 样式 标书正文 + 首行缩进:  0.01 字符 + 首行缩进:  0.01 字符 Char"/>
    <w:link w:val="149"/>
    <w:uiPriority w:val="0"/>
    <w:rPr>
      <w:rFonts w:ascii="宋体" w:hAnsi="宋体" w:eastAsia="宋体" w:cs="宋体"/>
      <w:sz w:val="28"/>
      <w:lang w:val="en-US" w:eastAsia="zh-CN" w:bidi="ar-SA"/>
    </w:rPr>
  </w:style>
  <w:style w:type="paragraph" w:customStyle="1" w:styleId="149">
    <w:name w:val="样式 样式 标书正文 + 首行缩进:  0.01 字符 + 首行缩进:  0.01 字符"/>
    <w:basedOn w:val="1"/>
    <w:link w:val="148"/>
    <w:uiPriority w:val="0"/>
    <w:pPr>
      <w:widowControl/>
      <w:adjustRightInd w:val="0"/>
      <w:snapToGrid w:val="0"/>
      <w:spacing w:after="50" w:afterLines="50" w:line="360" w:lineRule="auto"/>
      <w:ind w:left="-2" w:leftChars="-2" w:firstLine="200" w:firstLineChars="200"/>
      <w:jc w:val="left"/>
    </w:pPr>
    <w:rPr>
      <w:rFonts w:ascii="宋体" w:hAnsi="宋体" w:cs="宋体"/>
      <w:kern w:val="0"/>
      <w:sz w:val="28"/>
      <w:szCs w:val="20"/>
    </w:rPr>
  </w:style>
  <w:style w:type="character" w:customStyle="1" w:styleId="150">
    <w:name w:val="ca-61"/>
    <w:uiPriority w:val="0"/>
    <w:rPr>
      <w:rFonts w:hint="eastAsia" w:ascii="仿宋_GB2312" w:eastAsia="仿宋_GB2312"/>
      <w:b/>
      <w:bCs/>
      <w:spacing w:val="-20"/>
      <w:sz w:val="24"/>
      <w:szCs w:val="24"/>
    </w:rPr>
  </w:style>
  <w:style w:type="character" w:customStyle="1" w:styleId="151">
    <w:name w:val="sony121"/>
    <w:uiPriority w:val="0"/>
    <w:rPr>
      <w:rFonts w:hint="eastAsia" w:ascii="宋体" w:hAnsi="宋体" w:eastAsia="宋体"/>
      <w:sz w:val="18"/>
      <w:szCs w:val="18"/>
    </w:rPr>
  </w:style>
  <w:style w:type="character" w:customStyle="1" w:styleId="152">
    <w:name w:val=" Char Char19"/>
    <w:uiPriority w:val="0"/>
    <w:rPr>
      <w:kern w:val="2"/>
      <w:sz w:val="18"/>
    </w:rPr>
  </w:style>
  <w:style w:type="character" w:customStyle="1" w:styleId="153">
    <w:name w:val="正文首行缩进两字 Char"/>
    <w:link w:val="154"/>
    <w:uiPriority w:val="0"/>
    <w:rPr>
      <w:sz w:val="24"/>
      <w:szCs w:val="24"/>
      <w:lang w:val="en-US" w:eastAsia="zh-CN" w:bidi="ar-SA"/>
    </w:rPr>
  </w:style>
  <w:style w:type="paragraph" w:customStyle="1" w:styleId="154">
    <w:name w:val="正文首行缩进两字"/>
    <w:link w:val="153"/>
    <w:uiPriority w:val="0"/>
    <w:pPr>
      <w:spacing w:after="163" w:afterLines="50" w:line="300" w:lineRule="auto"/>
      <w:ind w:firstLine="480" w:firstLineChars="200"/>
    </w:pPr>
    <w:rPr>
      <w:sz w:val="24"/>
      <w:szCs w:val="24"/>
      <w:lang w:val="en-US" w:eastAsia="zh-CN" w:bidi="ar-SA"/>
    </w:rPr>
  </w:style>
  <w:style w:type="character" w:customStyle="1" w:styleId="155">
    <w:name w:val="样式1 Char Char"/>
    <w:link w:val="156"/>
    <w:qFormat/>
    <w:uiPriority w:val="0"/>
    <w:rPr>
      <w:rFonts w:ascii="??" w:hAnsi="??" w:eastAsia="??" w:cs="宋体"/>
      <w:b/>
      <w:sz w:val="32"/>
      <w:szCs w:val="28"/>
    </w:rPr>
  </w:style>
  <w:style w:type="paragraph" w:customStyle="1" w:styleId="156">
    <w:name w:val="样式1"/>
    <w:basedOn w:val="4"/>
    <w:link w:val="155"/>
    <w:qFormat/>
    <w:uiPriority w:val="0"/>
    <w:pPr>
      <w:numPr>
        <w:ilvl w:val="0"/>
        <w:numId w:val="2"/>
      </w:numPr>
    </w:pPr>
    <w:rPr>
      <w:kern w:val="0"/>
    </w:rPr>
  </w:style>
  <w:style w:type="character" w:customStyle="1" w:styleId="157">
    <w:name w:val=" Char Char30"/>
    <w:link w:val="53"/>
    <w:uiPriority w:val="0"/>
    <w:rPr>
      <w:rFonts w:eastAsia="仿宋_GB2312"/>
      <w:sz w:val="24"/>
      <w:lang w:bidi="ar-SA"/>
    </w:rPr>
  </w:style>
  <w:style w:type="character" w:customStyle="1" w:styleId="158">
    <w:name w:val=" Char Char33"/>
    <w:link w:val="10"/>
    <w:uiPriority w:val="0"/>
    <w:rPr>
      <w:rFonts w:eastAsia="??"/>
      <w:b/>
      <w:bCs/>
      <w:sz w:val="24"/>
      <w:szCs w:val="28"/>
      <w:lang w:val="en-US" w:eastAsia="zh-CN" w:bidi="ar-SA"/>
    </w:rPr>
  </w:style>
  <w:style w:type="character" w:customStyle="1" w:styleId="159">
    <w:name w:val="标题 2 Char1"/>
    <w:aliases w:val="h2 Char,H2 Char,h21 Char,h22 Char,H21 Char,h23 Char,H22 Char,Heading2 Char,list2 Char,H2-Heading 2 Char,2 Char,Header 2 Char,l2 Char,Header 2 Char,h24 Char,Header2 Char,22 Char,heading2 Char,heading 2 Char,2 2 Char,heading 2 Char,H23 Char"/>
    <w:uiPriority w:val="0"/>
    <w:rPr>
      <w:rFonts w:ascii="宋体" w:hAnsi="宋体" w:eastAsia="黑体"/>
      <w:bCs/>
      <w:kern w:val="2"/>
      <w:sz w:val="32"/>
      <w:szCs w:val="32"/>
    </w:rPr>
  </w:style>
  <w:style w:type="character" w:customStyle="1" w:styleId="160">
    <w:name w:val="fonts11"/>
    <w:uiPriority w:val="0"/>
    <w:rPr>
      <w:sz w:val="18"/>
      <w:szCs w:val="18"/>
    </w:rPr>
  </w:style>
  <w:style w:type="character" w:customStyle="1" w:styleId="161">
    <w:name w:val=" Char Char34"/>
    <w:link w:val="9"/>
    <w:uiPriority w:val="0"/>
    <w:rPr>
      <w:rFonts w:ascii="Arial" w:hAnsi="Arial" w:eastAsia="??" w:cs="Arial"/>
      <w:b/>
      <w:bCs/>
      <w:sz w:val="24"/>
      <w:szCs w:val="28"/>
      <w:lang w:val="en-US" w:eastAsia="zh-CN" w:bidi="ar-SA"/>
    </w:rPr>
  </w:style>
  <w:style w:type="character" w:customStyle="1" w:styleId="162">
    <w:name w:val="正文 首行缩进2字符 Char Char Char"/>
    <w:uiPriority w:val="0"/>
    <w:rPr>
      <w:rFonts w:eastAsia="宋体"/>
      <w:kern w:val="2"/>
      <w:sz w:val="24"/>
      <w:szCs w:val="24"/>
      <w:lang w:val="en-US" w:eastAsia="zh-CN" w:bidi="ar-SA"/>
    </w:rPr>
  </w:style>
  <w:style w:type="character" w:customStyle="1" w:styleId="163">
    <w:name w:val="正文1 Char"/>
    <w:uiPriority w:val="0"/>
    <w:rPr>
      <w:rFonts w:ascii="宋体" w:eastAsia="宋体"/>
      <w:snapToGrid w:val="0"/>
      <w:color w:val="000000"/>
      <w:kern w:val="28"/>
      <w:sz w:val="28"/>
      <w:lang w:val="en-US" w:eastAsia="zh-CN" w:bidi="ar-SA"/>
    </w:rPr>
  </w:style>
  <w:style w:type="character" w:customStyle="1" w:styleId="164">
    <w:name w:val=" Char Char35"/>
    <w:link w:val="8"/>
    <w:uiPriority w:val="0"/>
    <w:rPr>
      <w:rFonts w:eastAsia="??"/>
      <w:b/>
      <w:bCs/>
      <w:kern w:val="2"/>
      <w:sz w:val="28"/>
      <w:szCs w:val="28"/>
      <w:lang w:val="en-US" w:eastAsia="zh-CN" w:bidi="ar-SA"/>
    </w:rPr>
  </w:style>
  <w:style w:type="character" w:customStyle="1" w:styleId="165">
    <w:name w:val="正文4 Char"/>
    <w:link w:val="166"/>
    <w:uiPriority w:val="0"/>
    <w:rPr>
      <w:rFonts w:eastAsia="楷体_GB2312"/>
      <w:kern w:val="2"/>
      <w:sz w:val="24"/>
      <w:szCs w:val="24"/>
      <w:lang w:bidi="ar-SA"/>
    </w:rPr>
  </w:style>
  <w:style w:type="paragraph" w:customStyle="1" w:styleId="166">
    <w:name w:val="正文4"/>
    <w:basedOn w:val="1"/>
    <w:link w:val="165"/>
    <w:uiPriority w:val="0"/>
    <w:pPr>
      <w:spacing w:before="60" w:after="60" w:line="360" w:lineRule="auto"/>
    </w:pPr>
    <w:rPr>
      <w:rFonts w:ascii="Calibri" w:hAnsi="Calibri" w:eastAsia="楷体_GB2312"/>
      <w:sz w:val="24"/>
    </w:rPr>
  </w:style>
  <w:style w:type="character" w:customStyle="1" w:styleId="167">
    <w:name w:val="font21"/>
    <w:uiPriority w:val="0"/>
    <w:rPr>
      <w:rFonts w:hint="eastAsia" w:ascii="宋体" w:hAnsi="宋体" w:eastAsia="宋体"/>
      <w:kern w:val="2"/>
      <w:sz w:val="28"/>
      <w:szCs w:val="28"/>
      <w:lang w:val="en-US" w:eastAsia="zh-CN" w:bidi="ar-SA"/>
    </w:rPr>
  </w:style>
  <w:style w:type="character" w:customStyle="1" w:styleId="168">
    <w:name w:val="纯文本 Char"/>
    <w:uiPriority w:val="0"/>
    <w:rPr>
      <w:rFonts w:ascii="??" w:hAnsi="??" w:eastAsia="??" w:cs="宋体"/>
      <w:kern w:val="2"/>
      <w:sz w:val="21"/>
      <w:szCs w:val="21"/>
    </w:rPr>
  </w:style>
  <w:style w:type="character" w:customStyle="1" w:styleId="169">
    <w:name w:val="公文正文 Char"/>
    <w:link w:val="170"/>
    <w:uiPriority w:val="0"/>
    <w:rPr>
      <w:rFonts w:ascii="??_GB2312" w:hAnsi="??_GB2312" w:eastAsia="??_GB2312" w:cs="宋体"/>
      <w:kern w:val="2"/>
      <w:sz w:val="24"/>
      <w:szCs w:val="24"/>
      <w:lang w:val="en-US" w:eastAsia="zh-CN" w:bidi="ar-SA"/>
    </w:rPr>
  </w:style>
  <w:style w:type="paragraph" w:customStyle="1" w:styleId="170">
    <w:name w:val="公文正文"/>
    <w:basedOn w:val="1"/>
    <w:link w:val="169"/>
    <w:uiPriority w:val="0"/>
    <w:pPr>
      <w:spacing w:before="156" w:line="360" w:lineRule="auto"/>
      <w:ind w:firstLine="200" w:firstLineChars="200"/>
    </w:pPr>
    <w:rPr>
      <w:rFonts w:ascii="??_GB2312" w:hAnsi="??_GB2312" w:eastAsia="??_GB2312" w:cs="宋体"/>
      <w:sz w:val="24"/>
    </w:rPr>
  </w:style>
  <w:style w:type="character" w:customStyle="1" w:styleId="171">
    <w:name w:val=" Char Char36"/>
    <w:link w:val="7"/>
    <w:uiPriority w:val="0"/>
    <w:rPr>
      <w:rFonts w:ascii="Arial" w:hAnsi="Arial" w:eastAsia="??" w:cs="Arial"/>
      <w:b/>
      <w:bCs/>
      <w:kern w:val="2"/>
      <w:sz w:val="28"/>
      <w:szCs w:val="28"/>
      <w:lang w:val="en-US" w:eastAsia="zh-CN" w:bidi="ar-SA"/>
    </w:rPr>
  </w:style>
  <w:style w:type="character" w:customStyle="1" w:styleId="172">
    <w:name w:val="gf正文1 Char"/>
    <w:link w:val="173"/>
    <w:uiPriority w:val="0"/>
    <w:rPr>
      <w:rFonts w:ascii="宋体" w:hAnsi="宋体" w:eastAsia="宋体"/>
      <w:kern w:val="2"/>
      <w:sz w:val="24"/>
      <w:lang w:val="en-US" w:eastAsia="zh-CN" w:bidi="ar-SA"/>
    </w:rPr>
  </w:style>
  <w:style w:type="paragraph" w:customStyle="1" w:styleId="173">
    <w:name w:val="gf正文1"/>
    <w:basedOn w:val="1"/>
    <w:link w:val="172"/>
    <w:uiPriority w:val="0"/>
    <w:pPr>
      <w:adjustRightInd w:val="0"/>
      <w:snapToGrid w:val="0"/>
      <w:spacing w:before="156" w:beforeLines="50" w:line="360" w:lineRule="auto"/>
      <w:ind w:firstLine="480" w:firstLineChars="200"/>
    </w:pPr>
    <w:rPr>
      <w:rFonts w:ascii="宋体" w:hAnsi="宋体"/>
      <w:sz w:val="24"/>
      <w:szCs w:val="20"/>
    </w:rPr>
  </w:style>
  <w:style w:type="character" w:customStyle="1" w:styleId="174">
    <w:name w:val="font01"/>
    <w:basedOn w:val="80"/>
    <w:uiPriority w:val="0"/>
    <w:rPr>
      <w:rFonts w:hint="eastAsia" w:ascii="宋体" w:hAnsi="宋体" w:eastAsia="宋体" w:cs="宋体"/>
      <w:color w:val="000000"/>
      <w:sz w:val="24"/>
      <w:szCs w:val="24"/>
      <w:u w:val="none"/>
    </w:rPr>
  </w:style>
  <w:style w:type="character" w:customStyle="1" w:styleId="175">
    <w:name w:val="subtitle1"/>
    <w:uiPriority w:val="0"/>
    <w:rPr>
      <w:rFonts w:hint="default" w:ascii="Georgia" w:hAnsi="Georgia"/>
      <w:b/>
      <w:bCs/>
      <w:color w:val="666666"/>
      <w:sz w:val="18"/>
      <w:szCs w:val="18"/>
    </w:rPr>
  </w:style>
  <w:style w:type="character" w:customStyle="1" w:styleId="176">
    <w:name w:val=" Char Char28"/>
    <w:link w:val="48"/>
    <w:uiPriority w:val="0"/>
    <w:rPr>
      <w:rFonts w:eastAsia="楷体_GB2312"/>
      <w:kern w:val="2"/>
      <w:sz w:val="24"/>
      <w:szCs w:val="24"/>
      <w:lang w:bidi="ar-SA"/>
    </w:rPr>
  </w:style>
  <w:style w:type="character" w:customStyle="1" w:styleId="177">
    <w:name w:val=" Char Char21"/>
    <w:link w:val="62"/>
    <w:uiPriority w:val="0"/>
    <w:rPr>
      <w:rFonts w:eastAsia="??"/>
      <w:kern w:val="2"/>
      <w:sz w:val="28"/>
      <w:szCs w:val="28"/>
      <w:lang w:val="en-US" w:eastAsia="zh-CN" w:bidi="ar-SA"/>
    </w:rPr>
  </w:style>
  <w:style w:type="character" w:customStyle="1" w:styleId="178">
    <w:name w:val="md"/>
    <w:basedOn w:val="80"/>
    <w:uiPriority w:val="0"/>
  </w:style>
  <w:style w:type="character" w:customStyle="1" w:styleId="179">
    <w:name w:val="font41"/>
    <w:basedOn w:val="80"/>
    <w:uiPriority w:val="0"/>
    <w:rPr>
      <w:rFonts w:ascii="Symbol" w:hAnsi="Symbol" w:cs="Symbol"/>
      <w:color w:val="000000"/>
      <w:sz w:val="24"/>
      <w:szCs w:val="24"/>
      <w:u w:val="none"/>
    </w:rPr>
  </w:style>
  <w:style w:type="character" w:customStyle="1" w:styleId="180">
    <w:name w:val="00文章正文 字符"/>
    <w:link w:val="181"/>
    <w:locked/>
    <w:uiPriority w:val="0"/>
    <w:rPr>
      <w:rFonts w:ascii="宋体" w:eastAsia="宋体"/>
      <w:kern w:val="2"/>
      <w:sz w:val="28"/>
      <w:lang w:bidi="ar-SA"/>
    </w:rPr>
  </w:style>
  <w:style w:type="paragraph" w:customStyle="1" w:styleId="181">
    <w:name w:val="00文章正文"/>
    <w:basedOn w:val="1"/>
    <w:link w:val="180"/>
    <w:uiPriority w:val="0"/>
    <w:pPr>
      <w:spacing w:line="360" w:lineRule="auto"/>
      <w:ind w:firstLine="200" w:firstLineChars="200"/>
    </w:pPr>
    <w:rPr>
      <w:rFonts w:ascii="宋体" w:hAnsi="Times New Roman"/>
      <w:sz w:val="28"/>
      <w:szCs w:val="20"/>
      <w:lang/>
    </w:rPr>
  </w:style>
  <w:style w:type="character" w:customStyle="1" w:styleId="182">
    <w:name w:val="纯文本 字符"/>
    <w:uiPriority w:val="0"/>
    <w:rPr>
      <w:rFonts w:ascii="??" w:hAnsi="??" w:eastAsia="??" w:cs="宋体"/>
      <w:kern w:val="2"/>
      <w:sz w:val="21"/>
      <w:szCs w:val="21"/>
    </w:rPr>
  </w:style>
  <w:style w:type="character" w:customStyle="1" w:styleId="183">
    <w:name w:val=" Char Char25"/>
    <w:link w:val="52"/>
    <w:uiPriority w:val="0"/>
    <w:rPr>
      <w:rFonts w:eastAsia="??"/>
      <w:kern w:val="2"/>
      <w:sz w:val="18"/>
      <w:szCs w:val="28"/>
      <w:lang w:val="en-US" w:eastAsia="zh-CN" w:bidi="ar-SA"/>
    </w:rPr>
  </w:style>
  <w:style w:type="character" w:customStyle="1" w:styleId="184">
    <w:name w:val="pword"/>
    <w:uiPriority w:val="0"/>
  </w:style>
  <w:style w:type="character" w:customStyle="1" w:styleId="185">
    <w:name w:val="表格正文 Char"/>
    <w:link w:val="186"/>
    <w:locked/>
    <w:uiPriority w:val="0"/>
    <w:rPr>
      <w:rFonts w:ascii="宋体" w:hAnsi="宋体" w:eastAsia="楷体_GB2312" w:cs="宋体"/>
      <w:kern w:val="2"/>
      <w:sz w:val="24"/>
      <w:lang w:val="en-US" w:eastAsia="zh-CN" w:bidi="ar-SA"/>
    </w:rPr>
  </w:style>
  <w:style w:type="paragraph" w:customStyle="1" w:styleId="186">
    <w:name w:val="表格正文"/>
    <w:basedOn w:val="1"/>
    <w:link w:val="185"/>
    <w:uiPriority w:val="0"/>
    <w:pPr>
      <w:spacing w:line="360" w:lineRule="auto"/>
    </w:pPr>
    <w:rPr>
      <w:rFonts w:ascii="宋体" w:hAnsi="宋体" w:eastAsia="楷体_GB2312" w:cs="宋体"/>
      <w:sz w:val="24"/>
      <w:szCs w:val="20"/>
    </w:rPr>
  </w:style>
  <w:style w:type="character" w:customStyle="1" w:styleId="187">
    <w:name w:val=" Char Char3"/>
    <w:link w:val="20"/>
    <w:uiPriority w:val="0"/>
    <w:rPr>
      <w:rFonts w:eastAsia="??"/>
      <w:sz w:val="24"/>
      <w:szCs w:val="24"/>
      <w:lang w:val="en-US" w:eastAsia="zh-CN" w:bidi="ar-SA"/>
    </w:rPr>
  </w:style>
  <w:style w:type="character" w:customStyle="1" w:styleId="188">
    <w:name w:val="标准正文 Char"/>
    <w:link w:val="189"/>
    <w:locked/>
    <w:uiPriority w:val="0"/>
    <w:rPr>
      <w:sz w:val="24"/>
      <w:lang w:bidi="ar-SA"/>
    </w:rPr>
  </w:style>
  <w:style w:type="paragraph" w:customStyle="1" w:styleId="189">
    <w:name w:val="标准正文"/>
    <w:basedOn w:val="1"/>
    <w:link w:val="188"/>
    <w:uiPriority w:val="0"/>
    <w:pPr>
      <w:spacing w:line="360" w:lineRule="auto"/>
      <w:ind w:firstLine="480" w:firstLineChars="200"/>
    </w:pPr>
    <w:rPr>
      <w:rFonts w:ascii="Calibri" w:hAnsi="Calibri"/>
      <w:kern w:val="0"/>
      <w:sz w:val="24"/>
      <w:szCs w:val="20"/>
    </w:rPr>
  </w:style>
  <w:style w:type="character" w:customStyle="1" w:styleId="190">
    <w:name w:val="shadow11"/>
    <w:uiPriority w:val="0"/>
    <w:rPr>
      <w:color w:val="000000"/>
      <w:sz w:val="21"/>
    </w:rPr>
  </w:style>
  <w:style w:type="character" w:customStyle="1" w:styleId="191">
    <w:name w:val=" Char Char14"/>
    <w:uiPriority w:val="0"/>
    <w:rPr>
      <w:kern w:val="2"/>
      <w:sz w:val="21"/>
    </w:rPr>
  </w:style>
  <w:style w:type="character" w:customStyle="1" w:styleId="192">
    <w:name w:val="normalfont1"/>
    <w:uiPriority w:val="0"/>
    <w:rPr>
      <w:rFonts w:hint="default" w:ascii="ˎ̥" w:hAnsi="ˎ̥"/>
      <w:sz w:val="18"/>
      <w:szCs w:val="18"/>
      <w:u w:val="none"/>
    </w:rPr>
  </w:style>
  <w:style w:type="character" w:customStyle="1" w:styleId="193">
    <w:name w:val="哈哈正文 Char"/>
    <w:link w:val="134"/>
    <w:uiPriority w:val="0"/>
    <w:rPr>
      <w:rFonts w:ascii="宋体" w:hAnsi="宋体" w:eastAsia="宋体"/>
      <w:kern w:val="2"/>
      <w:sz w:val="24"/>
      <w:lang w:bidi="ar-SA"/>
    </w:rPr>
  </w:style>
  <w:style w:type="character" w:customStyle="1" w:styleId="194">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val="en-US" w:eastAsia="zh-CN" w:bidi="ar-SA"/>
    </w:rPr>
  </w:style>
  <w:style w:type="character" w:customStyle="1" w:styleId="195">
    <w:name w:val=" Char Char17"/>
    <w:link w:val="29"/>
    <w:uiPriority w:val="0"/>
    <w:rPr>
      <w:rFonts w:eastAsia="宋体"/>
      <w:kern w:val="2"/>
      <w:sz w:val="21"/>
      <w:lang w:bidi="ar-SA"/>
    </w:rPr>
  </w:style>
  <w:style w:type="character" w:customStyle="1" w:styleId="196">
    <w:name w:val="font61"/>
    <w:qFormat/>
    <w:uiPriority w:val="0"/>
    <w:rPr>
      <w:rFonts w:hint="eastAsia" w:ascii="华文细黑" w:hAnsi="华文细黑" w:eastAsia="华文细黑" w:cs="华文细黑"/>
      <w:color w:val="000000"/>
      <w:sz w:val="18"/>
      <w:szCs w:val="18"/>
      <w:u w:val="none"/>
    </w:rPr>
  </w:style>
  <w:style w:type="character" w:customStyle="1" w:styleId="197">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 w:eastAsia="??"/>
      <w:snapToGrid w:val="0"/>
      <w:color w:val="000000"/>
      <w:kern w:val="28"/>
      <w:sz w:val="28"/>
      <w:lang w:val="en-US" w:eastAsia="zh-CN" w:bidi="ar-SA"/>
    </w:rPr>
  </w:style>
  <w:style w:type="character" w:customStyle="1" w:styleId="198">
    <w:name w:val="正文2 Char Char"/>
    <w:uiPriority w:val="0"/>
    <w:rPr>
      <w:rFonts w:eastAsia="??"/>
      <w:kern w:val="2"/>
      <w:sz w:val="24"/>
      <w:szCs w:val="28"/>
      <w:lang w:val="en-US" w:eastAsia="zh-CN" w:bidi="ar-SA"/>
    </w:rPr>
  </w:style>
  <w:style w:type="paragraph" w:customStyle="1" w:styleId="199">
    <w:name w:val="pa-68"/>
    <w:basedOn w:val="1"/>
    <w:uiPriority w:val="0"/>
    <w:pPr>
      <w:widowControl/>
      <w:spacing w:line="330" w:lineRule="atLeast"/>
      <w:jc w:val="left"/>
    </w:pPr>
    <w:rPr>
      <w:rFonts w:ascii="宋体" w:hAnsi="宋体" w:cs="宋体"/>
      <w:kern w:val="0"/>
      <w:sz w:val="24"/>
    </w:rPr>
  </w:style>
  <w:style w:type="paragraph" w:customStyle="1" w:styleId="200">
    <w:name w:val="xl74"/>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201">
    <w:name w:val="Normal_13"/>
    <w:qFormat/>
    <w:uiPriority w:val="0"/>
    <w:pPr>
      <w:spacing w:before="120" w:after="240"/>
      <w:jc w:val="both"/>
    </w:pPr>
    <w:rPr>
      <w:rFonts w:eastAsia="Calibri"/>
      <w:sz w:val="22"/>
      <w:szCs w:val="22"/>
      <w:lang w:val="ru-RU" w:eastAsia="en-US" w:bidi="ar-SA"/>
    </w:rPr>
  </w:style>
  <w:style w:type="paragraph" w:customStyle="1" w:styleId="202">
    <w:name w:val="xl14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203">
    <w:name w:val="编号 2"/>
    <w:basedOn w:val="204"/>
    <w:uiPriority w:val="0"/>
    <w:pPr>
      <w:tabs>
        <w:tab w:val="left" w:pos="1560"/>
      </w:tabs>
      <w:ind w:left="-80"/>
    </w:pPr>
    <w:rPr>
      <w:szCs w:val="20"/>
    </w:rPr>
  </w:style>
  <w:style w:type="paragraph" w:customStyle="1" w:styleId="204">
    <w:name w:val="编号 1"/>
    <w:basedOn w:val="1"/>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205">
    <w:name w:val="xl101"/>
    <w:basedOn w:val="1"/>
    <w:uiPriority w:val="0"/>
    <w:pPr>
      <w:widowControl/>
      <w:spacing w:before="100" w:beforeAutospacing="1" w:after="100" w:afterAutospacing="1"/>
      <w:jc w:val="center"/>
    </w:pPr>
    <w:rPr>
      <w:rFonts w:ascii="Arial" w:hAnsi="Arial"/>
      <w:kern w:val="0"/>
      <w:sz w:val="18"/>
      <w:szCs w:val="20"/>
    </w:rPr>
  </w:style>
  <w:style w:type="paragraph" w:customStyle="1" w:styleId="206">
    <w:name w:val="word"/>
    <w:basedOn w:val="1"/>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207">
    <w:name w:val="正文 首行缩进:  2 字符 Char Char Char Char"/>
    <w:basedOn w:val="1"/>
    <w:uiPriority w:val="0"/>
    <w:pPr>
      <w:spacing w:line="360" w:lineRule="auto"/>
      <w:ind w:firstLine="480"/>
    </w:pPr>
    <w:rPr>
      <w:rFonts w:eastAsia="楷体_GB2312" w:cs="宋体"/>
      <w:sz w:val="24"/>
    </w:rPr>
  </w:style>
  <w:style w:type="paragraph" w:customStyle="1" w:styleId="208">
    <w:name w:val="4"/>
    <w:basedOn w:val="1"/>
    <w:next w:val="46"/>
    <w:uiPriority w:val="0"/>
    <w:pPr>
      <w:spacing w:after="120" w:line="480" w:lineRule="auto"/>
      <w:ind w:left="420" w:leftChars="200"/>
    </w:pPr>
    <w:rPr>
      <w:sz w:val="24"/>
      <w:szCs w:val="20"/>
    </w:rPr>
  </w:style>
  <w:style w:type="paragraph" w:customStyle="1" w:styleId="209">
    <w:name w:val="功能列表"/>
    <w:basedOn w:val="1"/>
    <w:uiPriority w:val="0"/>
    <w:pPr>
      <w:tabs>
        <w:tab w:val="left" w:pos="0"/>
        <w:tab w:val="left" w:pos="900"/>
      </w:tabs>
      <w:spacing w:line="360" w:lineRule="auto"/>
      <w:ind w:firstLineChars="200"/>
    </w:pPr>
    <w:rPr>
      <w:sz w:val="24"/>
      <w:szCs w:val="20"/>
    </w:rPr>
  </w:style>
  <w:style w:type="paragraph" w:customStyle="1" w:styleId="210">
    <w:name w:val="正文文字表格居中"/>
    <w:basedOn w:val="1"/>
    <w:next w:val="69"/>
    <w:uiPriority w:val="0"/>
    <w:pPr>
      <w:snapToGrid w:val="0"/>
      <w:spacing w:line="360" w:lineRule="auto"/>
    </w:pPr>
    <w:rPr>
      <w:rFonts w:ascii="宋体"/>
      <w:b/>
      <w:sz w:val="24"/>
      <w:szCs w:val="20"/>
    </w:rPr>
  </w:style>
  <w:style w:type="paragraph" w:customStyle="1" w:styleId="211">
    <w:name w:val="xl99"/>
    <w:basedOn w:val="1"/>
    <w:uiPriority w:val="0"/>
    <w:pPr>
      <w:widowControl/>
      <w:spacing w:before="100" w:beforeAutospacing="1" w:after="100" w:afterAutospacing="1"/>
      <w:jc w:val="left"/>
    </w:pPr>
    <w:rPr>
      <w:rFonts w:ascii="宋体" w:hAnsi="宋体"/>
      <w:kern w:val="0"/>
      <w:sz w:val="24"/>
      <w:szCs w:val="20"/>
    </w:rPr>
  </w:style>
  <w:style w:type="paragraph" w:customStyle="1" w:styleId="212">
    <w:name w:val="内文正文"/>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213">
    <w:name w:val="样式 标题 3标题 3 Char第二层条h33Bold Headbh章标题1小标题level_3PIM 3..."/>
    <w:basedOn w:val="6"/>
    <w:uiPriority w:val="0"/>
    <w:pPr>
      <w:widowControl w:val="0"/>
      <w:numPr>
        <w:ilvl w:val="0"/>
        <w:numId w:val="0"/>
      </w:numPr>
      <w:adjustRightInd w:val="0"/>
      <w:snapToGrid w:val="0"/>
      <w:spacing w:before="0" w:after="0"/>
      <w:jc w:val="both"/>
    </w:pPr>
    <w:rPr>
      <w:rFonts w:ascii="黑体" w:hAnsi="宋体" w:eastAsia="黑体"/>
      <w:b w:val="0"/>
      <w:color w:val="000000"/>
      <w:sz w:val="28"/>
      <w:szCs w:val="20"/>
    </w:rPr>
  </w:style>
  <w:style w:type="paragraph" w:customStyle="1" w:styleId="214">
    <w:name w:val="样式 首行缩进:  2 字符"/>
    <w:basedOn w:val="1"/>
    <w:uiPriority w:val="0"/>
    <w:pPr>
      <w:snapToGrid w:val="0"/>
      <w:spacing w:line="360" w:lineRule="auto"/>
    </w:pPr>
    <w:rPr>
      <w:rFonts w:ascii="仿宋_GB2312" w:hAnsi="宋体" w:eastAsia="仿宋_GB2312"/>
      <w:color w:val="000000"/>
      <w:kern w:val="0"/>
      <w:sz w:val="28"/>
      <w:szCs w:val="20"/>
    </w:rPr>
  </w:style>
  <w:style w:type="paragraph" w:customStyle="1" w:styleId="215">
    <w:name w:val="段 Char"/>
    <w:uiPriority w:val="0"/>
    <w:pPr>
      <w:autoSpaceDE w:val="0"/>
      <w:autoSpaceDN w:val="0"/>
      <w:ind w:firstLine="200" w:firstLineChars="200"/>
      <w:jc w:val="both"/>
    </w:pPr>
    <w:rPr>
      <w:rFonts w:ascii="宋体"/>
      <w:sz w:val="21"/>
      <w:lang w:val="en-US" w:eastAsia="zh-CN" w:bidi="ar-SA"/>
    </w:rPr>
  </w:style>
  <w:style w:type="paragraph" w:customStyle="1" w:styleId="216">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217">
    <w:name w:val="xl126"/>
    <w:basedOn w:val="1"/>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218">
    <w:name w:val="段 1"/>
    <w:basedOn w:val="1"/>
    <w:uiPriority w:val="0"/>
    <w:pPr>
      <w:spacing w:line="360" w:lineRule="auto"/>
    </w:pPr>
    <w:rPr>
      <w:rFonts w:eastAsia="楷体_GB2312"/>
      <w:b/>
      <w:bCs/>
      <w:sz w:val="24"/>
    </w:rPr>
  </w:style>
  <w:style w:type="paragraph" w:customStyle="1" w:styleId="219">
    <w:name w:val="样式 正文文本缩进 + 左侧:  0.63 厘米 首行缩进:  0 厘米"/>
    <w:basedOn w:val="2"/>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220">
    <w:name w:val="xl10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221">
    <w:name w:val="符号 1"/>
    <w:basedOn w:val="2"/>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222">
    <w:name w:val="样式 样式 我的正文首行缩进 + 首行缩进:  2 字符 + 首行缩进:  2 字符 Char Char Char Char Char Char Char Char Char Char Char Char"/>
    <w:basedOn w:val="1"/>
    <w:uiPriority w:val="0"/>
    <w:pPr>
      <w:widowControl/>
      <w:spacing w:after="120"/>
      <w:ind w:firstLine="200" w:firstLineChars="200"/>
      <w:jc w:val="left"/>
    </w:pPr>
    <w:rPr>
      <w:rFonts w:eastAsia="华文细黑"/>
      <w:kern w:val="0"/>
      <w:sz w:val="24"/>
    </w:rPr>
  </w:style>
  <w:style w:type="paragraph" w:customStyle="1" w:styleId="223">
    <w:name w:val="二级条标题"/>
    <w:basedOn w:val="1"/>
    <w:next w:val="224"/>
    <w:uiPriority w:val="0"/>
    <w:pPr>
      <w:widowControl/>
      <w:jc w:val="left"/>
      <w:outlineLvl w:val="3"/>
    </w:pPr>
    <w:rPr>
      <w:rFonts w:ascii="黑体" w:eastAsia="黑体"/>
      <w:kern w:val="0"/>
      <w:sz w:val="24"/>
      <w:szCs w:val="20"/>
    </w:rPr>
  </w:style>
  <w:style w:type="paragraph" w:customStyle="1" w:styleId="224">
    <w:name w:val="段"/>
    <w:uiPriority w:val="0"/>
    <w:pPr>
      <w:autoSpaceDE w:val="0"/>
      <w:autoSpaceDN w:val="0"/>
      <w:ind w:firstLine="200" w:firstLineChars="200"/>
      <w:jc w:val="both"/>
    </w:pPr>
    <w:rPr>
      <w:rFonts w:ascii="宋体"/>
      <w:sz w:val="21"/>
      <w:lang w:val="en-US" w:eastAsia="zh-CN" w:bidi="ar-SA"/>
    </w:rPr>
  </w:style>
  <w:style w:type="paragraph" w:customStyle="1" w:styleId="225">
    <w:name w:val="xl11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226">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27">
    <w:name w:val="公文标题"/>
    <w:basedOn w:val="170"/>
    <w:next w:val="170"/>
    <w:uiPriority w:val="0"/>
    <w:pPr>
      <w:spacing w:before="0"/>
      <w:ind w:firstLine="0" w:firstLineChars="0"/>
      <w:jc w:val="center"/>
    </w:pPr>
    <w:rPr>
      <w:rFonts w:ascii="仿宋_GB2312" w:hAnsi="宋体" w:eastAsia="仿宋_GB2312" w:cs="Times New Roman"/>
      <w:b/>
      <w:bCs/>
      <w:kern w:val="28"/>
      <w:sz w:val="44"/>
    </w:rPr>
  </w:style>
  <w:style w:type="paragraph" w:customStyle="1" w:styleId="228">
    <w:name w:val="符号 2"/>
    <w:basedOn w:val="221"/>
    <w:uiPriority w:val="0"/>
    <w:pPr>
      <w:tabs>
        <w:tab w:val="left" w:pos="1320"/>
        <w:tab w:val="clear" w:pos="900"/>
      </w:tabs>
      <w:ind w:left="1320"/>
    </w:pPr>
  </w:style>
  <w:style w:type="paragraph" w:customStyle="1" w:styleId="229">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230">
    <w:name w:val="正文 首行缩进"/>
    <w:basedOn w:val="1"/>
    <w:uiPriority w:val="0"/>
    <w:pPr>
      <w:spacing w:line="360" w:lineRule="auto"/>
      <w:ind w:firstLine="200" w:firstLineChars="200"/>
    </w:pPr>
    <w:rPr>
      <w:rFonts w:eastAsia="楷体_GB2312"/>
      <w:sz w:val="28"/>
      <w:szCs w:val="20"/>
    </w:rPr>
  </w:style>
  <w:style w:type="paragraph" w:customStyle="1" w:styleId="231">
    <w:name w:val="xl11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232">
    <w:name w:val="中等深浅网格 21"/>
    <w:qFormat/>
    <w:uiPriority w:val="1"/>
    <w:pPr>
      <w:widowControl w:val="0"/>
      <w:jc w:val="both"/>
    </w:pPr>
    <w:rPr>
      <w:kern w:val="2"/>
      <w:sz w:val="21"/>
      <w:szCs w:val="22"/>
      <w:lang w:val="en-US" w:eastAsia="zh-CN" w:bidi="ar-SA"/>
    </w:rPr>
  </w:style>
  <w:style w:type="paragraph" w:customStyle="1" w:styleId="233">
    <w:name w:val="xl13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234">
    <w:name w:val="正文 居中"/>
    <w:basedOn w:val="1"/>
    <w:uiPriority w:val="0"/>
    <w:pPr>
      <w:spacing w:line="360" w:lineRule="auto"/>
      <w:jc w:val="center"/>
    </w:pPr>
    <w:rPr>
      <w:sz w:val="24"/>
      <w:szCs w:val="20"/>
    </w:rPr>
  </w:style>
  <w:style w:type="paragraph" w:customStyle="1" w:styleId="235">
    <w:name w:val="Char Char Char Char Char Char Char Char Char Char"/>
    <w:basedOn w:val="1"/>
    <w:uiPriority w:val="0"/>
    <w:rPr>
      <w:rFonts w:ascii="仿宋_GB2312" w:eastAsia="仿宋_GB2312"/>
      <w:b/>
      <w:sz w:val="32"/>
      <w:szCs w:val="20"/>
    </w:rPr>
  </w:style>
  <w:style w:type="paragraph" w:customStyle="1" w:styleId="236">
    <w:name w:val="修订"/>
    <w:semiHidden/>
    <w:uiPriority w:val="0"/>
    <w:rPr>
      <w:kern w:val="2"/>
      <w:sz w:val="21"/>
      <w:lang w:val="en-US" w:eastAsia="zh-CN" w:bidi="ar-SA"/>
    </w:rPr>
  </w:style>
  <w:style w:type="paragraph" w:customStyle="1" w:styleId="237">
    <w:name w:val="正文段"/>
    <w:basedOn w:val="1"/>
    <w:uiPriority w:val="0"/>
    <w:pPr>
      <w:widowControl/>
      <w:snapToGrid w:val="0"/>
      <w:spacing w:afterLines="50"/>
      <w:ind w:firstLine="200" w:firstLineChars="200"/>
    </w:pPr>
    <w:rPr>
      <w:rFonts w:eastAsia="??"/>
      <w:kern w:val="0"/>
      <w:sz w:val="24"/>
      <w:szCs w:val="28"/>
    </w:rPr>
  </w:style>
  <w:style w:type="paragraph" w:customStyle="1" w:styleId="238">
    <w:name w:val="标题 5l"/>
    <w:basedOn w:val="8"/>
    <w:uiPriority w:val="0"/>
    <w:pPr>
      <w:numPr>
        <w:ilvl w:val="4"/>
        <w:numId w:val="0"/>
      </w:numPr>
      <w:tabs>
        <w:tab w:val="left" w:pos="0"/>
      </w:tabs>
      <w:adjustRightInd w:val="0"/>
      <w:spacing w:line="376" w:lineRule="atLeast"/>
      <w:textAlignment w:val="baseline"/>
    </w:pPr>
    <w:rPr>
      <w:rFonts w:eastAsia="楷体_GB2312"/>
      <w:kern w:val="0"/>
    </w:rPr>
  </w:style>
  <w:style w:type="paragraph" w:customStyle="1" w:styleId="239">
    <w:name w:val="xl8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240">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41">
    <w:name w:val="正文文字缩进 3"/>
    <w:basedOn w:val="1"/>
    <w:uiPriority w:val="0"/>
    <w:pPr>
      <w:suppressAutoHyphens/>
      <w:spacing w:line="360" w:lineRule="auto"/>
      <w:ind w:left="481" w:firstLine="480"/>
    </w:pPr>
    <w:rPr>
      <w:rFonts w:eastAsia="楷体_GB2312"/>
      <w:kern w:val="1"/>
      <w:sz w:val="24"/>
      <w:szCs w:val="20"/>
      <w:lang w:eastAsia="ar-SA"/>
    </w:rPr>
  </w:style>
  <w:style w:type="paragraph" w:customStyle="1" w:styleId="242">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243">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244">
    <w:name w:val="UserStyle_94"/>
    <w:basedOn w:val="1"/>
    <w:qFormat/>
    <w:uiPriority w:val="0"/>
    <w:pPr>
      <w:widowControl/>
      <w:spacing w:before="156" w:line="360" w:lineRule="auto"/>
      <w:ind w:firstLine="200" w:firstLineChars="200"/>
    </w:pPr>
    <w:rPr>
      <w:rFonts w:ascii="Times New Roman" w:hAnsi="Times New Roman" w:eastAsia="Times New Roman"/>
      <w:kern w:val="0"/>
      <w:sz w:val="28"/>
      <w:szCs w:val="20"/>
    </w:rPr>
  </w:style>
  <w:style w:type="paragraph" w:customStyle="1" w:styleId="245">
    <w:name w:val="xl76"/>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246">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47">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48">
    <w:name w:val="xl142"/>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49">
    <w:name w:val="font10"/>
    <w:basedOn w:val="1"/>
    <w:uiPriority w:val="0"/>
    <w:pPr>
      <w:widowControl/>
      <w:spacing w:before="100" w:beforeAutospacing="1" w:after="100" w:afterAutospacing="1"/>
      <w:jc w:val="left"/>
    </w:pPr>
    <w:rPr>
      <w:rFonts w:ascii="Arial" w:hAnsi="Arial"/>
      <w:kern w:val="0"/>
      <w:sz w:val="18"/>
      <w:szCs w:val="20"/>
    </w:rPr>
  </w:style>
  <w:style w:type="paragraph" w:customStyle="1" w:styleId="250">
    <w:name w:val="xl7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251">
    <w:name w:val="列出段落"/>
    <w:basedOn w:val="1"/>
    <w:qFormat/>
    <w:uiPriority w:val="0"/>
    <w:pPr>
      <w:ind w:firstLine="420" w:firstLineChars="200"/>
    </w:pPr>
  </w:style>
  <w:style w:type="paragraph" w:customStyle="1" w:styleId="252">
    <w:name w:val=" Char Char1"/>
    <w:basedOn w:val="1"/>
    <w:uiPriority w:val="0"/>
    <w:pPr>
      <w:widowControl/>
      <w:spacing w:after="160" w:line="240" w:lineRule="exact"/>
      <w:jc w:val="left"/>
    </w:pPr>
    <w:rPr>
      <w:rFonts w:eastAsia="仿宋_GB2312"/>
      <w:sz w:val="28"/>
      <w:szCs w:val="20"/>
    </w:rPr>
  </w:style>
  <w:style w:type="paragraph" w:customStyle="1" w:styleId="253">
    <w:name w:val="xl9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254">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255">
    <w:name w:val="xl9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256">
    <w:name w:val="正文 首行缩进:  2 字符 Char"/>
    <w:basedOn w:val="1"/>
    <w:uiPriority w:val="0"/>
    <w:pPr>
      <w:spacing w:line="360" w:lineRule="auto"/>
      <w:ind w:firstLine="480"/>
    </w:pPr>
    <w:rPr>
      <w:rFonts w:cs="宋体"/>
      <w:sz w:val="24"/>
      <w:szCs w:val="20"/>
    </w:rPr>
  </w:style>
  <w:style w:type="paragraph" w:customStyle="1" w:styleId="257">
    <w:name w:val=" Char Char12"/>
    <w:basedOn w:val="1"/>
    <w:uiPriority w:val="0"/>
  </w:style>
  <w:style w:type="paragraph" w:customStyle="1" w:styleId="258">
    <w:name w:val="文档正文"/>
    <w:basedOn w:val="1"/>
    <w:uiPriority w:val="0"/>
    <w:pPr>
      <w:adjustRightInd w:val="0"/>
      <w:spacing w:line="480" w:lineRule="atLeast"/>
      <w:ind w:firstLine="567"/>
      <w:textAlignment w:val="baseline"/>
    </w:pPr>
    <w:rPr>
      <w:kern w:val="0"/>
      <w:sz w:val="24"/>
      <w:szCs w:val="20"/>
    </w:rPr>
  </w:style>
  <w:style w:type="paragraph" w:styleId="259">
    <w:name w:val=""/>
    <w:basedOn w:val="1"/>
    <w:next w:val="1"/>
    <w:uiPriority w:val="0"/>
    <w:pPr>
      <w:pBdr>
        <w:bottom w:val="single" w:color="auto" w:sz="6" w:space="1"/>
      </w:pBdr>
      <w:jc w:val="center"/>
    </w:pPr>
    <w:rPr>
      <w:rFonts w:ascii="Arial" w:eastAsia="宋体"/>
      <w:vanish/>
      <w:sz w:val="16"/>
    </w:rPr>
  </w:style>
  <w:style w:type="paragraph" w:customStyle="1" w:styleId="260">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61">
    <w:name w:val="中文标题 4"/>
    <w:basedOn w:val="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262">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263">
    <w:name w:val="0"/>
    <w:basedOn w:val="1"/>
    <w:uiPriority w:val="0"/>
    <w:pPr>
      <w:widowControl/>
    </w:pPr>
    <w:rPr>
      <w:kern w:val="0"/>
      <w:sz w:val="24"/>
      <w:szCs w:val="20"/>
    </w:rPr>
  </w:style>
  <w:style w:type="paragraph" w:customStyle="1" w:styleId="264">
    <w:name w:val="xl5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265">
    <w:name w:val="font13"/>
    <w:basedOn w:val="1"/>
    <w:uiPriority w:val="0"/>
    <w:pPr>
      <w:widowControl/>
      <w:spacing w:before="100" w:beforeAutospacing="1" w:after="100" w:afterAutospacing="1"/>
      <w:jc w:val="left"/>
    </w:pPr>
    <w:rPr>
      <w:rFonts w:ascii="Arial" w:hAnsi="Arial"/>
      <w:kern w:val="0"/>
      <w:sz w:val="24"/>
      <w:szCs w:val="20"/>
    </w:rPr>
  </w:style>
  <w:style w:type="paragraph" w:customStyle="1" w:styleId="266">
    <w:name w:val="No Spacing"/>
    <w:uiPriority w:val="0"/>
    <w:rPr>
      <w:rFonts w:eastAsia="??" w:cs="宋体"/>
      <w:sz w:val="22"/>
      <w:szCs w:val="22"/>
      <w:lang w:val="en-US" w:eastAsia="en-US" w:bidi="ar-SA"/>
    </w:rPr>
  </w:style>
  <w:style w:type="paragraph" w:customStyle="1" w:styleId="267">
    <w:name w:val="xl49"/>
    <w:basedOn w:val="1"/>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68">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269">
    <w:name w:val="正文6"/>
    <w:basedOn w:val="1"/>
    <w:uiPriority w:val="0"/>
    <w:pPr>
      <w:numPr>
        <w:ilvl w:val="0"/>
        <w:numId w:val="4"/>
      </w:numPr>
      <w:tabs>
        <w:tab w:val="left" w:pos="900"/>
        <w:tab w:val="clear" w:pos="720"/>
      </w:tabs>
      <w:spacing w:before="156" w:beforeLines="50" w:after="156" w:afterLines="50" w:line="360" w:lineRule="auto"/>
      <w:ind w:left="1290" w:leftChars="500" w:hanging="240" w:hangingChars="100"/>
    </w:pPr>
    <w:rPr>
      <w:rFonts w:ascii="Book Antiqua" w:hAnsi="Book Antiqua" w:eastAsia="楷体_GB2312"/>
      <w:sz w:val="24"/>
      <w:szCs w:val="21"/>
    </w:rPr>
  </w:style>
  <w:style w:type="paragraph" w:customStyle="1" w:styleId="270">
    <w:name w:val="样式"/>
    <w:basedOn w:val="1"/>
    <w:uiPriority w:val="0"/>
    <w:pPr>
      <w:autoSpaceDE w:val="0"/>
      <w:autoSpaceDN w:val="0"/>
      <w:snapToGrid w:val="0"/>
      <w:spacing w:before="120" w:after="120" w:line="360" w:lineRule="auto"/>
    </w:pPr>
    <w:rPr>
      <w:rFonts w:ascii="宋体"/>
      <w:sz w:val="24"/>
      <w:szCs w:val="20"/>
    </w:rPr>
  </w:style>
  <w:style w:type="paragraph" w:customStyle="1" w:styleId="271">
    <w:name w:val="xl7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72">
    <w:name w:val="pa-69"/>
    <w:basedOn w:val="1"/>
    <w:uiPriority w:val="0"/>
    <w:pPr>
      <w:widowControl/>
      <w:spacing w:line="330" w:lineRule="atLeast"/>
      <w:ind w:firstLine="3840"/>
      <w:jc w:val="left"/>
    </w:pPr>
    <w:rPr>
      <w:rFonts w:ascii="宋体" w:hAnsi="宋体" w:cs="宋体"/>
      <w:kern w:val="0"/>
      <w:sz w:val="24"/>
    </w:rPr>
  </w:style>
  <w:style w:type="paragraph" w:customStyle="1" w:styleId="273">
    <w:name w:val="xl33"/>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74">
    <w:name w:val="Char Char Char Char"/>
    <w:basedOn w:val="1"/>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275">
    <w:name w:val="自由格式"/>
    <w:qFormat/>
    <w:uiPriority w:val="0"/>
    <w:rPr>
      <w:rFonts w:ascii="Cambria" w:hAnsi="Cambria" w:eastAsia="Cambria" w:cs="Cambria"/>
      <w:color w:val="000000"/>
      <w:sz w:val="24"/>
      <w:szCs w:val="24"/>
      <w:lang w:val="en-US" w:eastAsia="zh-CN" w:bidi="ar-SA"/>
    </w:rPr>
  </w:style>
  <w:style w:type="paragraph" w:customStyle="1" w:styleId="276">
    <w:name w:val=" Char Char1 Char Char Char"/>
    <w:basedOn w:val="1"/>
    <w:uiPriority w:val="0"/>
    <w:rPr>
      <w:rFonts w:ascii="仿宋_GB2312" w:eastAsia="仿宋_GB2312"/>
      <w:b/>
      <w:sz w:val="32"/>
      <w:szCs w:val="20"/>
    </w:rPr>
  </w:style>
  <w:style w:type="paragraph" w:customStyle="1" w:styleId="277">
    <w:name w:val="_Style 40"/>
    <w:basedOn w:val="1"/>
    <w:uiPriority w:val="0"/>
    <w:rPr>
      <w:rFonts w:eastAsia="??"/>
      <w:szCs w:val="28"/>
    </w:rPr>
  </w:style>
  <w:style w:type="paragraph" w:customStyle="1" w:styleId="278">
    <w:name w:val=" Char Char1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79">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280">
    <w:name w:val="样式 标题 1H1标书1h1Level 1 Topic Heading1st levelSection Headl..."/>
    <w:basedOn w:val="4"/>
    <w:uiPriority w:val="0"/>
    <w:pPr>
      <w:keepNext w:val="0"/>
      <w:keepLines/>
      <w:widowControl w:val="0"/>
      <w:tabs>
        <w:tab w:val="left" w:pos="432"/>
        <w:tab w:val="left" w:pos="780"/>
      </w:tabs>
      <w:spacing w:before="340" w:beforeLines="50" w:after="33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281">
    <w:name w:val="xl13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282">
    <w:name w:val=" Char2"/>
    <w:basedOn w:val="1"/>
    <w:uiPriority w:val="0"/>
    <w:rPr>
      <w:rFonts w:ascii="仿宋_GB2312" w:hAnsi="仿宋_GB2312" w:eastAsia="仿宋_GB2312" w:cs="Lucida Sans"/>
      <w:b/>
      <w:sz w:val="32"/>
      <w:szCs w:val="32"/>
    </w:rPr>
  </w:style>
  <w:style w:type="paragraph" w:customStyle="1" w:styleId="283">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284">
    <w:name w:val="首行缩进正文"/>
    <w:basedOn w:val="1"/>
    <w:uiPriority w:val="0"/>
    <w:pPr>
      <w:spacing w:line="360" w:lineRule="auto"/>
      <w:ind w:firstLine="480"/>
    </w:pPr>
    <w:rPr>
      <w:rFonts w:eastAsia="楷体_GB2312"/>
      <w:sz w:val="24"/>
      <w:szCs w:val="20"/>
    </w:rPr>
  </w:style>
  <w:style w:type="paragraph" w:customStyle="1" w:styleId="285">
    <w:name w:val="模板普通正文"/>
    <w:basedOn w:val="2"/>
    <w:uiPriority w:val="0"/>
    <w:pPr>
      <w:spacing w:before="156"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286">
    <w:name w:val="标题1"/>
    <w:basedOn w:val="1"/>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287">
    <w:name w:val="xl7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88">
    <w:name w:val=" Char Char Char1 Char"/>
    <w:basedOn w:val="1"/>
    <w:uiPriority w:val="0"/>
    <w:rPr>
      <w:szCs w:val="20"/>
    </w:rPr>
  </w:style>
  <w:style w:type="paragraph" w:customStyle="1" w:styleId="289">
    <w:name w:val="xl63"/>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90">
    <w:name w:val=" 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91">
    <w:name w:val="xl1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292">
    <w:name w:val="正文 首行缩进:  2 字符 Char Char"/>
    <w:basedOn w:val="1"/>
    <w:uiPriority w:val="0"/>
    <w:pPr>
      <w:spacing w:line="360" w:lineRule="auto"/>
      <w:ind w:firstLine="480"/>
    </w:pPr>
    <w:rPr>
      <w:rFonts w:ascii="楷体_GB2312" w:eastAsia="楷体_GB2312"/>
      <w:bCs/>
      <w:sz w:val="24"/>
    </w:rPr>
  </w:style>
  <w:style w:type="paragraph" w:customStyle="1" w:styleId="293">
    <w:name w:val="带标题正文"/>
    <w:basedOn w:val="1"/>
    <w:uiPriority w:val="0"/>
    <w:pPr>
      <w:numPr>
        <w:ilvl w:val="0"/>
        <w:numId w:val="5"/>
      </w:numPr>
      <w:snapToGrid w:val="0"/>
      <w:spacing w:before="100" w:after="100"/>
      <w:ind w:firstLine="115"/>
    </w:pPr>
    <w:rPr>
      <w:rFonts w:ascii="楷体" w:eastAsia="楷体"/>
      <w:b/>
      <w:sz w:val="28"/>
      <w:szCs w:val="20"/>
    </w:rPr>
  </w:style>
  <w:style w:type="paragraph" w:customStyle="1" w:styleId="294">
    <w:name w:val="xl87"/>
    <w:basedOn w:val="1"/>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295">
    <w:name w:val="样式 正文文本缩进 + 仿宋_GB2312 四号"/>
    <w:basedOn w:val="1"/>
    <w:next w:val="9"/>
    <w:uiPriority w:val="0"/>
    <w:pPr>
      <w:widowControl/>
      <w:spacing w:line="360" w:lineRule="auto"/>
      <w:jc w:val="left"/>
    </w:pPr>
    <w:rPr>
      <w:rFonts w:ascii="宋体" w:hAnsi="宋体" w:cs="宋体"/>
      <w:b/>
      <w:snapToGrid w:val="0"/>
      <w:kern w:val="0"/>
      <w:sz w:val="28"/>
      <w:szCs w:val="28"/>
    </w:rPr>
  </w:style>
  <w:style w:type="paragraph" w:customStyle="1" w:styleId="296">
    <w:name w:val="xl11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297">
    <w:name w:val="aspnumfaautoadjustrightr"/>
    <w:uiPriority w:val="0"/>
    <w:pPr>
      <w:widowControl w:val="0"/>
      <w:autoSpaceDE w:val="0"/>
      <w:autoSpaceDN w:val="0"/>
      <w:adjustRightInd w:val="0"/>
      <w:ind w:firstLine="720"/>
      <w:jc w:val="both"/>
    </w:pPr>
    <w:rPr>
      <w:rFonts w:eastAsia="??"/>
      <w:szCs w:val="28"/>
      <w:lang w:val="en-US" w:eastAsia="zh-CN" w:bidi="ar-SA"/>
    </w:rPr>
  </w:style>
  <w:style w:type="paragraph" w:customStyle="1" w:styleId="298">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299">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300">
    <w:name w:val="Char Char Char1 Char Char Char1 Char"/>
    <w:basedOn w:val="1"/>
    <w:uiPriority w:val="0"/>
    <w:pPr>
      <w:tabs>
        <w:tab w:val="left" w:pos="360"/>
      </w:tabs>
    </w:pPr>
    <w:rPr>
      <w:sz w:val="24"/>
    </w:rPr>
  </w:style>
  <w:style w:type="paragraph" w:customStyle="1" w:styleId="301">
    <w:name w:val="样式 正文文本缩进 2 + 仿宋_GB2312 黑色 行距: 1.5 倍行距"/>
    <w:basedOn w:val="46"/>
    <w:uiPriority w:val="0"/>
    <w:pPr>
      <w:spacing w:line="360" w:lineRule="auto"/>
      <w:ind w:firstLine="560" w:firstLineChars="200"/>
    </w:pPr>
    <w:rPr>
      <w:rFonts w:ascii="宋体" w:hAnsi="宋体" w:eastAsia="宋体"/>
      <w:color w:val="000000"/>
      <w:sz w:val="24"/>
      <w:szCs w:val="20"/>
    </w:rPr>
  </w:style>
  <w:style w:type="paragraph" w:customStyle="1" w:styleId="302">
    <w:name w:val="pa-67"/>
    <w:basedOn w:val="1"/>
    <w:uiPriority w:val="0"/>
    <w:pPr>
      <w:widowControl/>
      <w:spacing w:line="360" w:lineRule="atLeast"/>
      <w:ind w:firstLine="480"/>
      <w:jc w:val="center"/>
    </w:pPr>
    <w:rPr>
      <w:rFonts w:ascii="宋体" w:hAnsi="宋体" w:cs="宋体"/>
      <w:kern w:val="0"/>
      <w:sz w:val="24"/>
    </w:rPr>
  </w:style>
  <w:style w:type="paragraph" w:customStyle="1" w:styleId="303">
    <w:name w:val="xl13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304">
    <w:name w:val="中文标题 3"/>
    <w:basedOn w:val="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305">
    <w:name w:val="样式 正文缩进 + 首行缩进:  2 字符"/>
    <w:basedOn w:val="20"/>
    <w:uiPriority w:val="0"/>
    <w:pPr>
      <w:widowControl w:val="0"/>
      <w:spacing w:line="360" w:lineRule="auto"/>
      <w:ind w:firstLine="200" w:firstLineChars="200"/>
      <w:jc w:val="both"/>
    </w:pPr>
    <w:rPr>
      <w:rFonts w:eastAsia="宋体" w:cs="宋体"/>
      <w:kern w:val="2"/>
      <w:szCs w:val="20"/>
    </w:rPr>
  </w:style>
  <w:style w:type="paragraph" w:customStyle="1" w:styleId="306">
    <w:name w:val="大标题"/>
    <w:basedOn w:val="1"/>
    <w:next w:val="1"/>
    <w:uiPriority w:val="0"/>
    <w:pPr>
      <w:pageBreakBefore/>
      <w:tabs>
        <w:tab w:val="left" w:pos="900"/>
      </w:tabs>
      <w:spacing w:line="360" w:lineRule="auto"/>
      <w:ind w:hanging="420" w:firstLineChars="200"/>
      <w:outlineLvl w:val="0"/>
    </w:pPr>
    <w:rPr>
      <w:b/>
      <w:iCs/>
      <w:sz w:val="44"/>
    </w:rPr>
  </w:style>
  <w:style w:type="paragraph" w:customStyle="1" w:styleId="307">
    <w:name w:val="xl11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08">
    <w:name w:val="样式 样式 样式 我的正文首行缩进 + 首行缩进:  2 字符 + 首行缩进:  2 字符 + 首行缩进:  2 字符1"/>
    <w:basedOn w:val="1"/>
    <w:uiPriority w:val="0"/>
    <w:pPr>
      <w:widowControl/>
      <w:spacing w:after="120"/>
      <w:ind w:firstLine="200" w:firstLineChars="200"/>
      <w:jc w:val="left"/>
    </w:pPr>
    <w:rPr>
      <w:rFonts w:eastAsia="华文细黑"/>
      <w:sz w:val="24"/>
    </w:rPr>
  </w:style>
  <w:style w:type="paragraph" w:customStyle="1" w:styleId="309">
    <w:name w:val="font11"/>
    <w:basedOn w:val="1"/>
    <w:uiPriority w:val="0"/>
    <w:pPr>
      <w:widowControl/>
      <w:spacing w:before="100" w:beforeAutospacing="1" w:after="100" w:afterAutospacing="1"/>
      <w:jc w:val="left"/>
    </w:pPr>
    <w:rPr>
      <w:rFonts w:ascii="宋体" w:hAnsi="宋体"/>
      <w:color w:val="FF0000"/>
      <w:kern w:val="0"/>
      <w:sz w:val="18"/>
      <w:szCs w:val="20"/>
    </w:rPr>
  </w:style>
  <w:style w:type="paragraph" w:customStyle="1" w:styleId="310">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311">
    <w:name w:val="页眉与页脚"/>
    <w:unhideWhenUsed/>
    <w:uiPriority w:val="99"/>
    <w:pPr>
      <w:tabs>
        <w:tab w:val="right" w:pos="9020"/>
      </w:tabs>
    </w:pPr>
    <w:rPr>
      <w:rFonts w:hint="eastAsia" w:ascii="Helvetica" w:hAnsi="Arial Unicode MS" w:eastAsia="Times New Roman"/>
      <w:color w:val="000000"/>
      <w:sz w:val="24"/>
      <w:szCs w:val="22"/>
      <w:lang w:val="en-US" w:eastAsia="zh-CN" w:bidi="ar-SA"/>
    </w:rPr>
  </w:style>
  <w:style w:type="paragraph" w:customStyle="1" w:styleId="312">
    <w:name w:val="WPSOffice手动目录 2"/>
    <w:uiPriority w:val="0"/>
    <w:pPr>
      <w:ind w:leftChars="200"/>
    </w:pPr>
    <w:rPr>
      <w:lang w:val="en-US" w:eastAsia="zh-CN" w:bidi="ar-SA"/>
    </w:rPr>
  </w:style>
  <w:style w:type="paragraph" w:customStyle="1" w:styleId="313">
    <w:name w:val="xl62"/>
    <w:basedOn w:val="1"/>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14">
    <w:name w:val="样式 正文首行缩进 + 首行缩进:  1 字符"/>
    <w:basedOn w:val="76"/>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customStyle="1" w:styleId="315">
    <w:name w:val=" Char"/>
    <w:basedOn w:val="1"/>
    <w:uiPriority w:val="0"/>
    <w:rPr>
      <w:rFonts w:ascii="仿宋_GB2312" w:eastAsia="仿宋_GB2312"/>
      <w:b/>
      <w:sz w:val="32"/>
      <w:szCs w:val="32"/>
    </w:rPr>
  </w:style>
  <w:style w:type="paragraph" w:customStyle="1" w:styleId="316">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317">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318">
    <w:name w:val="2"/>
    <w:basedOn w:val="1"/>
    <w:uiPriority w:val="0"/>
    <w:rPr>
      <w:rFonts w:ascii="Tahoma" w:hAnsi="Tahoma" w:eastAsia="??" w:cs="Tahoma"/>
      <w:sz w:val="24"/>
      <w:szCs w:val="28"/>
    </w:rPr>
  </w:style>
  <w:style w:type="paragraph" w:customStyle="1" w:styleId="319">
    <w:name w:val="常用正文"/>
    <w:uiPriority w:val="0"/>
    <w:pPr>
      <w:widowControl w:val="0"/>
      <w:spacing w:line="360" w:lineRule="auto"/>
      <w:ind w:firstLine="200"/>
      <w:textAlignment w:val="bottom"/>
    </w:pPr>
    <w:rPr>
      <w:rFonts w:ascii="Arial" w:hAnsi="Arial" w:eastAsia="楷体_GB2312"/>
      <w:sz w:val="28"/>
      <w:lang w:val="en-US" w:eastAsia="zh-CN" w:bidi="ar-SA"/>
    </w:rPr>
  </w:style>
  <w:style w:type="paragraph" w:customStyle="1" w:styleId="320">
    <w:name w:val="样式4 Char"/>
    <w:basedOn w:val="1"/>
    <w:uiPriority w:val="0"/>
    <w:pPr>
      <w:widowControl/>
      <w:spacing w:line="360" w:lineRule="auto"/>
      <w:ind w:firstLine="480"/>
      <w:jc w:val="left"/>
    </w:pPr>
    <w:rPr>
      <w:rFonts w:eastAsia="楷体_GB2312" w:cs="宋体"/>
      <w:color w:val="000000"/>
      <w:kern w:val="0"/>
      <w:sz w:val="24"/>
    </w:rPr>
  </w:style>
  <w:style w:type="paragraph" w:customStyle="1" w:styleId="321">
    <w:name w:val="font6"/>
    <w:basedOn w:val="1"/>
    <w:uiPriority w:val="0"/>
    <w:pPr>
      <w:widowControl/>
      <w:spacing w:before="100" w:beforeAutospacing="1" w:after="100" w:afterAutospacing="1"/>
      <w:jc w:val="left"/>
    </w:pPr>
    <w:rPr>
      <w:rFonts w:ascii="宋体" w:hAnsi="宋体"/>
      <w:kern w:val="0"/>
      <w:sz w:val="18"/>
      <w:szCs w:val="20"/>
    </w:rPr>
  </w:style>
  <w:style w:type="paragraph" w:customStyle="1" w:styleId="322">
    <w:name w:val="xl127"/>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323">
    <w:name w:val="xl110"/>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324">
    <w:name w:val="样式4"/>
    <w:basedOn w:val="1"/>
    <w:uiPriority w:val="0"/>
    <w:pPr>
      <w:widowControl/>
      <w:spacing w:line="360" w:lineRule="auto"/>
      <w:ind w:firstLine="480"/>
      <w:jc w:val="left"/>
    </w:pPr>
    <w:rPr>
      <w:rFonts w:eastAsia="楷体_GB2312" w:cs="宋体"/>
      <w:color w:val="000000"/>
      <w:sz w:val="24"/>
    </w:rPr>
  </w:style>
  <w:style w:type="paragraph" w:customStyle="1" w:styleId="325">
    <w:name w:val="xl100"/>
    <w:basedOn w:val="1"/>
    <w:uiPriority w:val="0"/>
    <w:pPr>
      <w:widowControl/>
      <w:spacing w:before="100" w:beforeAutospacing="1" w:after="100" w:afterAutospacing="1"/>
      <w:jc w:val="left"/>
    </w:pPr>
    <w:rPr>
      <w:rFonts w:ascii="Arial" w:hAnsi="Arial"/>
      <w:kern w:val="0"/>
      <w:sz w:val="24"/>
      <w:szCs w:val="20"/>
    </w:rPr>
  </w:style>
  <w:style w:type="paragraph" w:customStyle="1" w:styleId="326">
    <w:name w:val="样式 标题 2H2h2Heading 2 HiddenHeading 2 CCBSl2heading 2I22n...1"/>
    <w:basedOn w:val="5"/>
    <w:uiPriority w:val="0"/>
    <w:pPr>
      <w:numPr>
        <w:ilvl w:val="1"/>
        <w:numId w:val="0"/>
      </w:numPr>
      <w:tabs>
        <w:tab w:val="left" w:pos="1560"/>
        <w:tab w:val="clear" w:pos="706"/>
        <w:tab w:val="clear" w:pos="1110"/>
      </w:tabs>
      <w:spacing w:before="260" w:after="260" w:line="416" w:lineRule="auto"/>
      <w:ind w:left="1560" w:hanging="420"/>
    </w:pPr>
    <w:rPr>
      <w:rFonts w:ascii="Times New Roman" w:hAnsi="Times New Roman" w:eastAsia="黑体" w:cs="Times New Roman"/>
      <w:b w:val="0"/>
      <w:sz w:val="24"/>
    </w:rPr>
  </w:style>
  <w:style w:type="paragraph" w:customStyle="1" w:styleId="327">
    <w:name w:val="_Style 2"/>
    <w:qFormat/>
    <w:uiPriority w:val="0"/>
    <w:pPr>
      <w:widowControl w:val="0"/>
      <w:jc w:val="both"/>
    </w:pPr>
    <w:rPr>
      <w:rFonts w:ascii="Calibri" w:hAnsi="Calibri"/>
      <w:kern w:val="2"/>
      <w:sz w:val="21"/>
      <w:szCs w:val="22"/>
      <w:lang w:val="en-US" w:eastAsia="zh-CN" w:bidi="ar-SA"/>
    </w:rPr>
  </w:style>
  <w:style w:type="paragraph" w:customStyle="1" w:styleId="328">
    <w:name w:val="xl8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29">
    <w:name w:val="表格文字"/>
    <w:basedOn w:val="1"/>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330">
    <w:name w:val="xl9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31">
    <w:name w:val="部分1"/>
    <w:basedOn w:val="1"/>
    <w:uiPriority w:val="0"/>
    <w:pPr>
      <w:keepNext/>
      <w:pageBreakBefore/>
      <w:tabs>
        <w:tab w:val="left" w:pos="720"/>
      </w:tabs>
      <w:spacing w:line="360" w:lineRule="auto"/>
      <w:jc w:val="center"/>
      <w:outlineLvl w:val="0"/>
    </w:pPr>
    <w:rPr>
      <w:rFonts w:eastAsia="??"/>
      <w:b/>
      <w:kern w:val="44"/>
      <w:sz w:val="36"/>
      <w:szCs w:val="28"/>
    </w:rPr>
  </w:style>
  <w:style w:type="paragraph" w:customStyle="1" w:styleId="332">
    <w:name w:val="WPSOffice手动目录 1"/>
    <w:uiPriority w:val="0"/>
    <w:rPr>
      <w:lang w:val="en-US" w:eastAsia="zh-CN" w:bidi="ar-SA"/>
    </w:rPr>
  </w:style>
  <w:style w:type="paragraph" w:customStyle="1" w:styleId="333">
    <w:name w:val="Code"/>
    <w:basedOn w:val="1"/>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334">
    <w:name w:val="列出段落2"/>
    <w:basedOn w:val="1"/>
    <w:uiPriority w:val="0"/>
    <w:pPr>
      <w:ind w:firstLine="420" w:firstLineChars="200"/>
    </w:pPr>
    <w:rPr>
      <w:rFonts w:ascii="Calibri" w:hAnsi="Calibri"/>
      <w:szCs w:val="22"/>
    </w:rPr>
  </w:style>
  <w:style w:type="paragraph" w:customStyle="1" w:styleId="335">
    <w:name w:val="xl128"/>
    <w:basedOn w:val="1"/>
    <w:uiPriority w:val="0"/>
    <w:pPr>
      <w:widowControl/>
      <w:spacing w:before="100" w:beforeAutospacing="1" w:after="100" w:afterAutospacing="1"/>
      <w:jc w:val="center"/>
    </w:pPr>
    <w:rPr>
      <w:rFonts w:ascii="Arial" w:hAnsi="Arial"/>
      <w:kern w:val="0"/>
      <w:sz w:val="24"/>
      <w:szCs w:val="20"/>
    </w:rPr>
  </w:style>
  <w:style w:type="paragraph" w:customStyle="1" w:styleId="336">
    <w:name w:val="xl68"/>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37">
    <w:name w:val=" Char Char Char Char Char Char Char Char Char Char"/>
    <w:basedOn w:val="1"/>
    <w:uiPriority w:val="0"/>
    <w:rPr>
      <w:rFonts w:ascii="仿宋_GB2312" w:eastAsia="仿宋_GB2312"/>
      <w:b/>
      <w:sz w:val="32"/>
      <w:szCs w:val="20"/>
    </w:rPr>
  </w:style>
  <w:style w:type="paragraph" w:customStyle="1" w:styleId="338">
    <w:name w:val="正文（首行缩进2字符）"/>
    <w:basedOn w:val="1"/>
    <w:qFormat/>
    <w:uiPriority w:val="0"/>
    <w:pPr>
      <w:spacing w:line="360" w:lineRule="auto"/>
      <w:ind w:firstLine="420" w:firstLineChars="200"/>
    </w:pPr>
    <w:rPr>
      <w:rFonts w:ascii="Calibri" w:hAnsi="Calibri"/>
      <w:szCs w:val="21"/>
    </w:rPr>
  </w:style>
  <w:style w:type="paragraph" w:customStyle="1" w:styleId="339">
    <w:name w:val=" Char Char Char Char Char Char Char"/>
    <w:basedOn w:val="1"/>
    <w:uiPriority w:val="0"/>
    <w:rPr>
      <w:rFonts w:ascii="仿宋_GB2312" w:eastAsia="仿宋_GB2312"/>
      <w:b/>
      <w:sz w:val="32"/>
      <w:szCs w:val="20"/>
    </w:rPr>
  </w:style>
  <w:style w:type="paragraph" w:customStyle="1" w:styleId="340">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341">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342">
    <w:name w:val="公文标题 1"/>
    <w:basedOn w:val="1"/>
    <w:next w:val="1"/>
    <w:uiPriority w:val="0"/>
    <w:pPr>
      <w:spacing w:line="360" w:lineRule="auto"/>
      <w:outlineLvl w:val="0"/>
    </w:pPr>
    <w:rPr>
      <w:rFonts w:ascii="仿宋_GB2312" w:hAnsi="宋体" w:eastAsia="仿宋_GB2312"/>
      <w:kern w:val="28"/>
      <w:sz w:val="24"/>
      <w:lang w:val="zh-CN"/>
    </w:rPr>
  </w:style>
  <w:style w:type="paragraph" w:customStyle="1" w:styleId="343">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44">
    <w:name w:val="条1"/>
    <w:basedOn w:val="1"/>
    <w:uiPriority w:val="0"/>
    <w:pPr>
      <w:tabs>
        <w:tab w:val="left" w:pos="900"/>
      </w:tabs>
      <w:spacing w:before="156" w:line="360" w:lineRule="auto"/>
      <w:ind w:left="900" w:hanging="420"/>
    </w:pPr>
    <w:rPr>
      <w:rFonts w:eastAsia="黑体"/>
      <w:sz w:val="24"/>
      <w:szCs w:val="20"/>
    </w:rPr>
  </w:style>
  <w:style w:type="paragraph" w:customStyle="1" w:styleId="345">
    <w:name w:val="样式 宋体 小四 行距: 1.5 倍行距 首行缩进:  2 字符"/>
    <w:basedOn w:val="1"/>
    <w:uiPriority w:val="0"/>
    <w:pPr>
      <w:spacing w:line="360" w:lineRule="auto"/>
      <w:ind w:firstLine="200" w:firstLineChars="200"/>
    </w:pPr>
    <w:rPr>
      <w:rFonts w:ascii="宋体" w:hAnsi="宋体" w:cs="宋体"/>
      <w:sz w:val="24"/>
    </w:rPr>
  </w:style>
  <w:style w:type="paragraph" w:customStyle="1" w:styleId="346">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347">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348">
    <w:name w:val="xl11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349">
    <w:name w:val="Char Char1 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0">
    <w:name w:val="xl12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51">
    <w:name w:val="正文 首行缩进2字符 Char Char"/>
    <w:basedOn w:val="1"/>
    <w:uiPriority w:val="0"/>
    <w:pPr>
      <w:spacing w:line="360" w:lineRule="auto"/>
      <w:ind w:firstLine="200" w:firstLineChars="200"/>
    </w:pPr>
    <w:rPr>
      <w:rFonts w:eastAsia="楷体_GB2312"/>
      <w:sz w:val="24"/>
    </w:rPr>
  </w:style>
  <w:style w:type="paragraph" w:customStyle="1" w:styleId="352">
    <w:name w:val="p0"/>
    <w:basedOn w:val="1"/>
    <w:uiPriority w:val="0"/>
    <w:pPr>
      <w:widowControl/>
    </w:pPr>
    <w:rPr>
      <w:kern w:val="0"/>
      <w:szCs w:val="21"/>
    </w:rPr>
  </w:style>
  <w:style w:type="paragraph" w:customStyle="1" w:styleId="353">
    <w:name w:val="xl69"/>
    <w:basedOn w:val="1"/>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54">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355">
    <w:name w:val="公文标题 3"/>
    <w:basedOn w:val="356"/>
    <w:next w:val="170"/>
    <w:uiPriority w:val="0"/>
    <w:pPr>
      <w:outlineLvl w:val="2"/>
    </w:pPr>
  </w:style>
  <w:style w:type="paragraph" w:customStyle="1" w:styleId="356">
    <w:name w:val="公文标题 2"/>
    <w:basedOn w:val="342"/>
    <w:next w:val="170"/>
    <w:uiPriority w:val="0"/>
    <w:pPr>
      <w:ind w:firstLine="561"/>
      <w:outlineLvl w:val="1"/>
    </w:pPr>
    <w:rPr>
      <w:sz w:val="28"/>
      <w:lang w:val="en-US"/>
    </w:rPr>
  </w:style>
  <w:style w:type="paragraph" w:customStyle="1" w:styleId="357">
    <w:name w:val="_Style 4"/>
    <w:basedOn w:val="1"/>
    <w:next w:val="1"/>
    <w:uiPriority w:val="0"/>
    <w:pPr>
      <w:pBdr>
        <w:top w:val="single" w:color="auto" w:sz="6" w:space="1"/>
      </w:pBdr>
      <w:jc w:val="center"/>
    </w:pPr>
    <w:rPr>
      <w:rFonts w:ascii="Arial" w:eastAsia="宋体"/>
      <w:vanish/>
      <w:sz w:val="16"/>
    </w:rPr>
  </w:style>
  <w:style w:type="paragraph" w:customStyle="1" w:styleId="358">
    <w:name w:val="样式 样式 样式 我的正文首行缩进 + 首行缩进:  2 字符 + 首行缩进:  2 字符 + 首行缩进:  2 字符"/>
    <w:basedOn w:val="1"/>
    <w:uiPriority w:val="0"/>
    <w:pPr>
      <w:widowControl/>
      <w:tabs>
        <w:tab w:val="left" w:pos="840"/>
      </w:tabs>
      <w:spacing w:after="120" w:line="300" w:lineRule="auto"/>
      <w:ind w:left="840" w:hanging="360"/>
      <w:jc w:val="left"/>
    </w:pPr>
    <w:rPr>
      <w:rFonts w:eastAsia="华文细黑"/>
      <w:kern w:val="0"/>
      <w:sz w:val="24"/>
    </w:rPr>
  </w:style>
  <w:style w:type="paragraph" w:customStyle="1" w:styleId="359">
    <w:name w:val="规范正文"/>
    <w:basedOn w:val="1"/>
    <w:uiPriority w:val="0"/>
    <w:pPr>
      <w:tabs>
        <w:tab w:val="left" w:pos="900"/>
      </w:tabs>
      <w:adjustRightInd w:val="0"/>
      <w:spacing w:before="156" w:beforeLines="50" w:line="360" w:lineRule="auto"/>
      <w:ind w:left="900" w:hanging="420"/>
      <w:textAlignment w:val="baseline"/>
    </w:pPr>
    <w:rPr>
      <w:szCs w:val="20"/>
    </w:rPr>
  </w:style>
  <w:style w:type="paragraph" w:customStyle="1" w:styleId="360">
    <w:name w:val="xl14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361">
    <w:name w:val="xl10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62">
    <w:name w:val="xl1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363">
    <w:name w:val="xl144"/>
    <w:basedOn w:val="1"/>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364">
    <w:name w:val=" Char Char2"/>
    <w:basedOn w:val="1"/>
    <w:uiPriority w:val="0"/>
    <w:rPr>
      <w:rFonts w:ascii="仿宋_GB2312" w:eastAsia="仿宋_GB2312"/>
      <w:b/>
      <w:sz w:val="32"/>
      <w:szCs w:val="32"/>
    </w:rPr>
  </w:style>
  <w:style w:type="paragraph" w:customStyle="1" w:styleId="365">
    <w:name w:val="font5"/>
    <w:basedOn w:val="1"/>
    <w:uiPriority w:val="0"/>
    <w:pPr>
      <w:widowControl/>
      <w:spacing w:before="100" w:beforeAutospacing="1" w:after="100" w:afterAutospacing="1"/>
      <w:jc w:val="left"/>
    </w:pPr>
    <w:rPr>
      <w:rFonts w:ascii="宋体" w:hAnsi="宋体"/>
      <w:kern w:val="0"/>
      <w:sz w:val="24"/>
      <w:szCs w:val="20"/>
    </w:rPr>
  </w:style>
  <w:style w:type="paragraph" w:customStyle="1" w:styleId="366">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67">
    <w:name w:val="标准小四"/>
    <w:basedOn w:val="1"/>
    <w:uiPriority w:val="0"/>
    <w:pPr>
      <w:spacing w:line="360" w:lineRule="auto"/>
      <w:ind w:firstLine="480" w:firstLineChars="200"/>
    </w:pPr>
    <w:rPr>
      <w:rFonts w:ascii="Arial" w:hAnsi="Arial"/>
      <w:sz w:val="24"/>
      <w:szCs w:val="20"/>
    </w:rPr>
  </w:style>
  <w:style w:type="paragraph" w:customStyle="1" w:styleId="368">
    <w:name w:val="Char Char Char Char Char Char Char"/>
    <w:basedOn w:val="1"/>
    <w:semiHidden/>
    <w:uiPriority w:val="0"/>
    <w:pPr>
      <w:spacing w:line="360" w:lineRule="auto"/>
      <w:ind w:firstLine="480" w:firstLineChars="200"/>
    </w:pPr>
    <w:rPr>
      <w:rFonts w:ascii="Tahoma" w:hAnsi="Tahoma" w:cs="宋体"/>
      <w:sz w:val="24"/>
      <w:szCs w:val="20"/>
    </w:rPr>
  </w:style>
  <w:style w:type="paragraph" w:customStyle="1" w:styleId="369">
    <w:name w:val="Char Char"/>
    <w:basedOn w:val="1"/>
    <w:uiPriority w:val="0"/>
    <w:pPr>
      <w:spacing w:line="360" w:lineRule="auto"/>
    </w:pPr>
    <w:rPr>
      <w:rFonts w:ascii="Tahoma" w:hAnsi="Tahoma" w:cs="Lucida Sans"/>
      <w:sz w:val="24"/>
      <w:szCs w:val="20"/>
    </w:rPr>
  </w:style>
  <w:style w:type="paragraph" w:customStyle="1" w:styleId="370">
    <w:name w:val="xl94"/>
    <w:basedOn w:val="1"/>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71">
    <w:name w:val="样式 正文缩进正文（首行缩进两字）表正文正文非缩进特点段1段1 Charno-step正文双线四号首行缩进..."/>
    <w:basedOn w:val="20"/>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372">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73">
    <w:name w:val="paragraph1"/>
    <w:basedOn w:val="1"/>
    <w:qFormat/>
    <w:uiPriority w:val="0"/>
    <w:pPr>
      <w:spacing w:beforeLines="20" w:afterLines="30" w:line="360" w:lineRule="auto"/>
      <w:ind w:firstLine="200" w:firstLineChars="200"/>
    </w:pPr>
    <w:rPr>
      <w:sz w:val="24"/>
    </w:rPr>
  </w:style>
  <w:style w:type="paragraph" w:customStyle="1" w:styleId="374">
    <w:name w:val="符号》"/>
    <w:basedOn w:val="1"/>
    <w:uiPriority w:val="0"/>
    <w:pPr>
      <w:widowControl/>
      <w:numPr>
        <w:ilvl w:val="0"/>
        <w:numId w:val="6"/>
      </w:numPr>
      <w:spacing w:line="360" w:lineRule="auto"/>
      <w:jc w:val="left"/>
    </w:pPr>
    <w:rPr>
      <w:rFonts w:ascii="宋体" w:hAnsi="宋体" w:eastAsia="楷体_GB2312" w:cs="宋体"/>
      <w:kern w:val="0"/>
      <w:sz w:val="24"/>
    </w:rPr>
  </w:style>
  <w:style w:type="paragraph" w:customStyle="1" w:styleId="375">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376">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77">
    <w:name w:val="xl7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378">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379">
    <w:name w:val="样式 Arial 左侧:  0.43 厘米 段前: 1.4 磅 段后: 2.8 磅"/>
    <w:basedOn w:val="1"/>
    <w:uiPriority w:val="0"/>
    <w:pPr>
      <w:spacing w:before="28" w:after="56" w:line="360" w:lineRule="auto"/>
      <w:ind w:left="244" w:firstLine="540" w:firstLineChars="225"/>
    </w:pPr>
    <w:rPr>
      <w:rFonts w:ascii="Arial" w:hAnsi="Arial" w:eastAsia="楷体_GB2312" w:cs="宋体"/>
      <w:sz w:val="24"/>
    </w:rPr>
  </w:style>
  <w:style w:type="paragraph" w:customStyle="1" w:styleId="380">
    <w:name w:val="正文1"/>
    <w:basedOn w:val="1"/>
    <w:next w:val="1"/>
    <w:uiPriority w:val="0"/>
    <w:pPr>
      <w:spacing w:before="156" w:line="360" w:lineRule="auto"/>
      <w:ind w:left="426"/>
    </w:pPr>
    <w:rPr>
      <w:sz w:val="24"/>
      <w:szCs w:val="20"/>
    </w:rPr>
  </w:style>
  <w:style w:type="paragraph" w:customStyle="1" w:styleId="381">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82">
    <w:name w:val="font12"/>
    <w:basedOn w:val="1"/>
    <w:uiPriority w:val="0"/>
    <w:pPr>
      <w:widowControl/>
      <w:spacing w:before="100" w:beforeAutospacing="1" w:after="100" w:afterAutospacing="1"/>
      <w:jc w:val="left"/>
    </w:pPr>
    <w:rPr>
      <w:rFonts w:ascii="Arial" w:hAnsi="Arial"/>
      <w:color w:val="FF0000"/>
      <w:kern w:val="0"/>
      <w:sz w:val="18"/>
      <w:szCs w:val="20"/>
    </w:rPr>
  </w:style>
  <w:style w:type="paragraph" w:customStyle="1" w:styleId="383">
    <w:name w:val="正文3"/>
    <w:basedOn w:val="1"/>
    <w:uiPriority w:val="0"/>
    <w:pPr>
      <w:spacing w:beforeLines="50" w:afterLines="50" w:line="360" w:lineRule="auto"/>
      <w:outlineLvl w:val="8"/>
    </w:pPr>
    <w:rPr>
      <w:rFonts w:ascii="Segoe UI" w:hAnsi="宋体" w:eastAsia="楷体_GB2312" w:cs="Latha"/>
      <w:sz w:val="24"/>
      <w:szCs w:val="21"/>
    </w:rPr>
  </w:style>
  <w:style w:type="paragraph" w:customStyle="1" w:styleId="384">
    <w:name w:val=" Char Char Char"/>
    <w:basedOn w:val="1"/>
    <w:uiPriority w:val="0"/>
    <w:rPr>
      <w:rFonts w:ascii="Tahoma" w:hAnsi="Tahoma"/>
      <w:sz w:val="24"/>
      <w:szCs w:val="20"/>
    </w:rPr>
  </w:style>
  <w:style w:type="paragraph" w:customStyle="1" w:styleId="385">
    <w:name w:val="图"/>
    <w:basedOn w:val="1"/>
    <w:uiPriority w:val="0"/>
    <w:pPr>
      <w:spacing w:line="360" w:lineRule="auto"/>
      <w:jc w:val="center"/>
    </w:pPr>
    <w:rPr>
      <w:rFonts w:ascii="宋体" w:hAnsi="宋体" w:eastAsia="楷体_GB2312" w:cs="宋体"/>
      <w:sz w:val="24"/>
      <w:szCs w:val="20"/>
    </w:rPr>
  </w:style>
  <w:style w:type="paragraph" w:customStyle="1" w:styleId="386">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387">
    <w:name w:val="公文标题 4"/>
    <w:basedOn w:val="355"/>
    <w:next w:val="170"/>
    <w:uiPriority w:val="0"/>
    <w:pPr>
      <w:outlineLvl w:val="9"/>
    </w:pPr>
  </w:style>
  <w:style w:type="paragraph" w:customStyle="1" w:styleId="388">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89">
    <w:name w:val="正文内"/>
    <w:basedOn w:val="1"/>
    <w:uiPriority w:val="0"/>
    <w:pPr>
      <w:spacing w:line="400" w:lineRule="exact"/>
      <w:ind w:firstLine="200" w:firstLineChars="200"/>
    </w:pPr>
    <w:rPr>
      <w:rFonts w:ascii="??" w:hAnsi="??" w:eastAsia="??" w:cs="宋体"/>
      <w:szCs w:val="28"/>
    </w:rPr>
  </w:style>
  <w:style w:type="paragraph" w:customStyle="1" w:styleId="390">
    <w:name w:val="默认段落字体 Para Char Char Char1 Char"/>
    <w:basedOn w:val="1"/>
    <w:next w:val="1"/>
    <w:uiPriority w:val="0"/>
    <w:pPr>
      <w:spacing w:line="240" w:lineRule="atLeast"/>
      <w:ind w:left="420" w:firstLine="420"/>
      <w:jc w:val="left"/>
    </w:pPr>
    <w:rPr>
      <w:kern w:val="0"/>
      <w:szCs w:val="21"/>
    </w:rPr>
  </w:style>
  <w:style w:type="paragraph" w:customStyle="1" w:styleId="391">
    <w:name w:val="网格型1"/>
    <w:qFormat/>
    <w:uiPriority w:val="0"/>
    <w:rPr>
      <w:rFonts w:ascii="Cambria" w:hAnsi="Cambria" w:eastAsia="Cambria" w:cs="Cambria"/>
      <w:color w:val="000000"/>
      <w:sz w:val="24"/>
      <w:szCs w:val="24"/>
      <w:lang w:val="en-US" w:eastAsia="zh-CN" w:bidi="ar-SA"/>
    </w:rPr>
  </w:style>
  <w:style w:type="paragraph" w:customStyle="1" w:styleId="392">
    <w:name w:val="font9"/>
    <w:basedOn w:val="1"/>
    <w:uiPriority w:val="0"/>
    <w:pPr>
      <w:widowControl/>
      <w:spacing w:before="100" w:beforeAutospacing="1" w:after="100" w:afterAutospacing="1"/>
      <w:jc w:val="left"/>
    </w:pPr>
    <w:rPr>
      <w:kern w:val="0"/>
      <w:sz w:val="18"/>
      <w:szCs w:val="20"/>
    </w:rPr>
  </w:style>
  <w:style w:type="paragraph" w:customStyle="1" w:styleId="393">
    <w:name w:val="Normal_3"/>
    <w:qFormat/>
    <w:uiPriority w:val="0"/>
    <w:pPr>
      <w:spacing w:before="120" w:after="240"/>
      <w:jc w:val="both"/>
    </w:pPr>
    <w:rPr>
      <w:rFonts w:eastAsia="Calibri"/>
      <w:sz w:val="22"/>
      <w:szCs w:val="22"/>
      <w:lang w:val="ru-RU" w:eastAsia="en-US" w:bidi="ar-SA"/>
    </w:rPr>
  </w:style>
  <w:style w:type="paragraph" w:customStyle="1" w:styleId="394">
    <w:name w:val="_Style 47"/>
    <w:basedOn w:val="1"/>
    <w:uiPriority w:val="0"/>
    <w:rPr>
      <w:rFonts w:ascii="仿宋_GB2312" w:eastAsia="仿宋_GB2312"/>
      <w:b/>
      <w:sz w:val="32"/>
      <w:szCs w:val="32"/>
    </w:rPr>
  </w:style>
  <w:style w:type="paragraph" w:customStyle="1" w:styleId="395">
    <w:name w:val="xl10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396">
    <w:name w:val="xl116"/>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397">
    <w:name w:val="font7"/>
    <w:basedOn w:val="1"/>
    <w:uiPriority w:val="0"/>
    <w:pPr>
      <w:widowControl/>
      <w:spacing w:before="100" w:beforeAutospacing="1" w:after="100" w:afterAutospacing="1"/>
      <w:jc w:val="left"/>
    </w:pPr>
    <w:rPr>
      <w:rFonts w:ascii="Arial" w:hAnsi="Arial"/>
      <w:kern w:val="0"/>
      <w:sz w:val="20"/>
      <w:szCs w:val="20"/>
    </w:rPr>
  </w:style>
  <w:style w:type="paragraph" w:customStyle="1" w:styleId="398">
    <w:name w:val="Char1"/>
    <w:basedOn w:val="1"/>
    <w:uiPriority w:val="0"/>
    <w:rPr>
      <w:rFonts w:ascii="??_GB2312" w:hAnsi="??_GB2312" w:eastAsia="??_GB2312" w:cs="宋体"/>
      <w:b/>
      <w:sz w:val="32"/>
      <w:szCs w:val="32"/>
    </w:rPr>
  </w:style>
  <w:style w:type="paragraph" w:customStyle="1" w:styleId="399">
    <w:name w:val="xl1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400">
    <w:name w:val="xl9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401">
    <w:name w:val="xl86"/>
    <w:basedOn w:val="1"/>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02">
    <w:name w:val="表格标题"/>
    <w:basedOn w:val="186"/>
    <w:uiPriority w:val="0"/>
    <w:pPr>
      <w:jc w:val="center"/>
    </w:pPr>
    <w:rPr>
      <w:b/>
    </w:rPr>
  </w:style>
  <w:style w:type="paragraph" w:customStyle="1" w:styleId="403">
    <w:name w:val="样式 仿宋_GB2312 三号"/>
    <w:basedOn w:val="1"/>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404">
    <w:name w:val="xl96"/>
    <w:basedOn w:val="1"/>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05">
    <w:name w:val="正文规范1"/>
    <w:basedOn w:val="1"/>
    <w:uiPriority w:val="0"/>
    <w:pPr>
      <w:spacing w:line="360" w:lineRule="auto"/>
      <w:ind w:firstLine="480" w:firstLineChars="200"/>
    </w:pPr>
    <w:rPr>
      <w:sz w:val="24"/>
    </w:rPr>
  </w:style>
  <w:style w:type="paragraph" w:customStyle="1" w:styleId="406">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407">
    <w:name w:val="Char Char Char Char1"/>
    <w:basedOn w:val="1"/>
    <w:uiPriority w:val="0"/>
    <w:rPr>
      <w:szCs w:val="20"/>
    </w:rPr>
  </w:style>
  <w:style w:type="paragraph" w:customStyle="1" w:styleId="408">
    <w:name w:val=" Char1 Char Char Char"/>
    <w:basedOn w:val="1"/>
    <w:uiPriority w:val="0"/>
    <w:rPr>
      <w:rFonts w:ascii="仿宋_GB2312" w:hAnsi="仿宋_GB2312" w:eastAsia="仿宋_GB2312" w:cs="Lucida Sans"/>
      <w:b/>
      <w:sz w:val="32"/>
      <w:szCs w:val="32"/>
    </w:rPr>
  </w:style>
  <w:style w:type="paragraph" w:customStyle="1" w:styleId="409">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410">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411">
    <w:name w:val="默认段落字体 Para Char"/>
    <w:basedOn w:val="1"/>
    <w:uiPriority w:val="0"/>
    <w:rPr>
      <w:rFonts w:ascii="Tahoma" w:hAnsi="Tahoma"/>
      <w:sz w:val="24"/>
      <w:szCs w:val="20"/>
    </w:rPr>
  </w:style>
  <w:style w:type="paragraph" w:customStyle="1" w:styleId="412">
    <w:name w:val="p1"/>
    <w:uiPriority w:val="0"/>
    <w:pPr>
      <w:spacing w:line="320" w:lineRule="atLeast"/>
    </w:pPr>
    <w:rPr>
      <w:rFonts w:ascii="Helvetica Neue" w:hAnsi="Helvetica Neue" w:eastAsia="Helvetica Neue"/>
      <w:color w:val="000000"/>
      <w:sz w:val="22"/>
      <w:szCs w:val="22"/>
      <w:lang w:val="en-US" w:eastAsia="zh-CN" w:bidi="ar-SA"/>
    </w:rPr>
  </w:style>
  <w:style w:type="paragraph" w:customStyle="1" w:styleId="413">
    <w:name w:val="xl6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414">
    <w:name w:val=" Char1"/>
    <w:basedOn w:val="1"/>
    <w:uiPriority w:val="0"/>
    <w:rPr>
      <w:rFonts w:ascii="仿宋_GB2312" w:eastAsia="仿宋_GB2312"/>
      <w:b/>
      <w:sz w:val="32"/>
      <w:szCs w:val="20"/>
    </w:rPr>
  </w:style>
  <w:style w:type="paragraph" w:customStyle="1" w:styleId="415">
    <w:name w:val="正文 首行缩进:  2 字符"/>
    <w:basedOn w:val="1"/>
    <w:uiPriority w:val="0"/>
    <w:pPr>
      <w:spacing w:line="360" w:lineRule="auto"/>
      <w:ind w:firstLine="480" w:firstLineChars="200"/>
    </w:pPr>
    <w:rPr>
      <w:rFonts w:eastAsia="楷体_GB2312" w:cs="宋体"/>
      <w:sz w:val="24"/>
      <w:szCs w:val="20"/>
    </w:rPr>
  </w:style>
  <w:style w:type="paragraph" w:customStyle="1" w:styleId="416">
    <w:name w:val="默认段落字体 Para Char Char Char Char Char Char Char"/>
    <w:basedOn w:val="1"/>
    <w:uiPriority w:val="0"/>
    <w:rPr>
      <w:rFonts w:eastAsia="仿宋_GB2312"/>
      <w:sz w:val="28"/>
      <w:szCs w:val="20"/>
    </w:rPr>
  </w:style>
  <w:style w:type="paragraph" w:customStyle="1" w:styleId="417">
    <w:name w:val=" Char2 Char Char"/>
    <w:basedOn w:val="1"/>
    <w:uiPriority w:val="0"/>
    <w:rPr>
      <w:rFonts w:ascii="Tahoma" w:hAnsi="Tahoma"/>
      <w:sz w:val="24"/>
      <w:szCs w:val="20"/>
    </w:rPr>
  </w:style>
  <w:style w:type="paragraph" w:customStyle="1" w:styleId="418">
    <w:name w:val="xl10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419">
    <w:name w:val="xl5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420">
    <w:name w:val="正文 首行缩进2字符"/>
    <w:basedOn w:val="1"/>
    <w:uiPriority w:val="0"/>
    <w:pPr>
      <w:spacing w:line="360" w:lineRule="auto"/>
      <w:ind w:firstLine="200" w:firstLineChars="200"/>
    </w:pPr>
    <w:rPr>
      <w:rFonts w:eastAsia="楷体_GB2312"/>
      <w:sz w:val="24"/>
      <w:szCs w:val="20"/>
    </w:rPr>
  </w:style>
  <w:style w:type="paragraph" w:customStyle="1" w:styleId="421">
    <w:name w:val="xl8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422">
    <w:name w:val="xl138"/>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423">
    <w:name w:val="TOC 标题"/>
    <w:basedOn w:val="4"/>
    <w:next w:val="1"/>
    <w:qFormat/>
    <w:uiPriority w:val="0"/>
    <w:pPr>
      <w:keepLines/>
      <w:spacing w:before="480" w:line="276" w:lineRule="auto"/>
      <w:jc w:val="left"/>
      <w:outlineLvl w:val="9"/>
    </w:pPr>
    <w:rPr>
      <w:rFonts w:ascii="Cambria" w:hAnsi="Cambria"/>
      <w:bCs/>
      <w:color w:val="365F91"/>
      <w:kern w:val="0"/>
      <w:sz w:val="28"/>
    </w:rPr>
  </w:style>
  <w:style w:type="paragraph" w:customStyle="1" w:styleId="424">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425">
    <w:name w:val="xl12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426">
    <w:name w:val="_Style 3"/>
    <w:next w:val="1"/>
    <w:qFormat/>
    <w:uiPriority w:val="1"/>
    <w:pPr>
      <w:widowControl w:val="0"/>
      <w:jc w:val="both"/>
    </w:pPr>
    <w:rPr>
      <w:kern w:val="2"/>
      <w:sz w:val="21"/>
      <w:szCs w:val="22"/>
      <w:lang w:val="en-US" w:eastAsia="zh-CN" w:bidi="ar-SA"/>
    </w:rPr>
  </w:style>
  <w:style w:type="paragraph" w:customStyle="1" w:styleId="427">
    <w:name w:val="[Normal]"/>
    <w:qFormat/>
    <w:uiPriority w:val="0"/>
    <w:rPr>
      <w:rFonts w:ascii="宋体" w:hAnsi="宋体"/>
      <w:sz w:val="24"/>
      <w:szCs w:val="22"/>
      <w:lang w:val="zh-CN" w:eastAsia="zh-CN" w:bidi="ar-SA"/>
    </w:rPr>
  </w:style>
  <w:style w:type="paragraph" w:customStyle="1" w:styleId="428">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429">
    <w:name w:val=" Char Char Char Char Char Char Char Char"/>
    <w:basedOn w:val="1"/>
    <w:uiPriority w:val="0"/>
    <w:pPr>
      <w:tabs>
        <w:tab w:val="left" w:pos="360"/>
      </w:tabs>
    </w:pPr>
    <w:rPr>
      <w:sz w:val="24"/>
      <w:szCs w:val="20"/>
    </w:rPr>
  </w:style>
  <w:style w:type="paragraph" w:customStyle="1" w:styleId="430">
    <w:name w:val=" Char2 Char Char Char"/>
    <w:basedOn w:val="1"/>
    <w:uiPriority w:val="0"/>
    <w:rPr>
      <w:rFonts w:ascii="仿宋_GB2312" w:eastAsia="仿宋_GB2312"/>
      <w:b/>
      <w:sz w:val="32"/>
      <w:szCs w:val="32"/>
    </w:rPr>
  </w:style>
  <w:style w:type="paragraph" w:customStyle="1" w:styleId="431">
    <w:name w:val="标准小三"/>
    <w:basedOn w:val="1"/>
    <w:uiPriority w:val="0"/>
    <w:pPr>
      <w:widowControl/>
      <w:numPr>
        <w:ilvl w:val="0"/>
        <w:numId w:val="7"/>
      </w:numPr>
      <w:tabs>
        <w:tab w:val="clear" w:pos="700"/>
      </w:tabs>
      <w:spacing w:line="700" w:lineRule="exact"/>
      <w:ind w:left="0" w:firstLine="200" w:firstLineChars="200"/>
      <w:jc w:val="left"/>
    </w:pPr>
    <w:rPr>
      <w:rFonts w:ascii="宋体" w:hAnsi="Arial" w:eastAsia="仿宋_GB2312" w:cs="宋体"/>
      <w:snapToGrid w:val="0"/>
      <w:kern w:val="0"/>
      <w:sz w:val="30"/>
      <w:szCs w:val="32"/>
    </w:rPr>
  </w:style>
  <w:style w:type="paragraph" w:styleId="432">
    <w:name w:val=""/>
    <w:basedOn w:val="1"/>
    <w:next w:val="1"/>
    <w:uiPriority w:val="0"/>
    <w:pPr>
      <w:pBdr>
        <w:top w:val="single" w:color="auto" w:sz="6" w:space="1"/>
      </w:pBdr>
      <w:jc w:val="center"/>
    </w:pPr>
    <w:rPr>
      <w:rFonts w:ascii="Arial" w:eastAsia="宋体"/>
      <w:vanish/>
      <w:sz w:val="16"/>
    </w:rPr>
  </w:style>
  <w:style w:type="paragraph" w:customStyle="1" w:styleId="433">
    <w:name w:val="xl13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434">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35">
    <w:name w:val="普通段落"/>
    <w:basedOn w:val="1"/>
    <w:uiPriority w:val="0"/>
    <w:pPr>
      <w:adjustRightInd w:val="0"/>
      <w:snapToGrid w:val="0"/>
      <w:spacing w:line="360" w:lineRule="auto"/>
      <w:ind w:firstLine="480" w:firstLineChars="200"/>
    </w:pPr>
    <w:rPr>
      <w:sz w:val="24"/>
      <w:szCs w:val="20"/>
    </w:rPr>
  </w:style>
  <w:style w:type="paragraph" w:customStyle="1" w:styleId="436">
    <w:name w:val="封面一致性程度标识"/>
    <w:uiPriority w:val="0"/>
    <w:pPr>
      <w:spacing w:before="440" w:line="400" w:lineRule="exact"/>
      <w:jc w:val="center"/>
    </w:pPr>
    <w:rPr>
      <w:rFonts w:ascii="宋体"/>
      <w:sz w:val="28"/>
      <w:lang w:val="en-US" w:eastAsia="zh-CN" w:bidi="ar-SA"/>
    </w:rPr>
  </w:style>
  <w:style w:type="paragraph" w:customStyle="1" w:styleId="437">
    <w:name w:val="button"/>
    <w:basedOn w:val="1"/>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438">
    <w:name w:val="font8"/>
    <w:basedOn w:val="1"/>
    <w:uiPriority w:val="0"/>
    <w:pPr>
      <w:widowControl/>
      <w:spacing w:before="100" w:beforeAutospacing="1" w:after="100" w:afterAutospacing="1"/>
      <w:jc w:val="left"/>
    </w:pPr>
    <w:rPr>
      <w:rFonts w:ascii="宋体" w:hAnsi="宋体"/>
      <w:kern w:val="0"/>
      <w:sz w:val="20"/>
      <w:szCs w:val="20"/>
    </w:rPr>
  </w:style>
  <w:style w:type="paragraph" w:customStyle="1" w:styleId="439">
    <w:name w:val="表格内容"/>
    <w:basedOn w:val="1"/>
    <w:uiPriority w:val="0"/>
    <w:pPr>
      <w:widowControl/>
      <w:autoSpaceDE w:val="0"/>
      <w:autoSpaceDN w:val="0"/>
      <w:adjustRightInd w:val="0"/>
      <w:spacing w:before="60" w:line="300" w:lineRule="auto"/>
      <w:jc w:val="center"/>
      <w:textAlignment w:val="bottom"/>
    </w:pPr>
    <w:rPr>
      <w:kern w:val="0"/>
      <w:szCs w:val="20"/>
    </w:rPr>
  </w:style>
  <w:style w:type="paragraph" w:customStyle="1" w:styleId="440">
    <w:name w:val="xl140"/>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441">
    <w:name w:val="无间隔1"/>
    <w:qFormat/>
    <w:uiPriority w:val="0"/>
    <w:rPr>
      <w:rFonts w:eastAsia="??" w:cs="宋体"/>
      <w:sz w:val="22"/>
      <w:szCs w:val="22"/>
      <w:lang w:val="en-US" w:eastAsia="en-US" w:bidi="ar-SA"/>
    </w:rPr>
  </w:style>
  <w:style w:type="paragraph" w:customStyle="1" w:styleId="442">
    <w:name w:val="样式 样式 首行缩进:  0.74 厘米 行距: 1.5 倍行距 + 段后: 0.5 行"/>
    <w:basedOn w:val="1"/>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443">
    <w:name w:val="xl12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444">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445">
    <w:name w:val="Char Char Char"/>
    <w:basedOn w:val="1"/>
    <w:uiPriority w:val="0"/>
    <w:pPr>
      <w:adjustRightInd w:val="0"/>
      <w:spacing w:line="312" w:lineRule="atLeast"/>
      <w:textAlignment w:val="baseline"/>
    </w:pPr>
    <w:rPr>
      <w:rFonts w:ascii="Tahoma" w:hAnsi="Tahoma"/>
      <w:b/>
      <w:kern w:val="0"/>
      <w:sz w:val="28"/>
      <w:szCs w:val="20"/>
    </w:rPr>
  </w:style>
  <w:style w:type="paragraph" w:customStyle="1" w:styleId="446">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447">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48">
    <w:name w:val="xl31"/>
    <w:basedOn w:val="1"/>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449">
    <w:name w:val="xl66"/>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450">
    <w:name w:val="Char Char2"/>
    <w:basedOn w:val="1"/>
    <w:uiPriority w:val="0"/>
    <w:rPr>
      <w:rFonts w:ascii="Tahoma" w:hAnsi="Tahoma" w:eastAsia="??" w:cs="Tahoma"/>
      <w:sz w:val="24"/>
      <w:szCs w:val="28"/>
    </w:rPr>
  </w:style>
  <w:style w:type="paragraph" w:customStyle="1" w:styleId="451">
    <w:name w:val="Blockquote"/>
    <w:basedOn w:val="1"/>
    <w:uiPriority w:val="0"/>
    <w:pPr>
      <w:autoSpaceDE w:val="0"/>
      <w:autoSpaceDN w:val="0"/>
      <w:adjustRightInd w:val="0"/>
      <w:spacing w:before="100" w:after="100"/>
      <w:ind w:left="360" w:right="360"/>
      <w:jc w:val="left"/>
    </w:pPr>
    <w:rPr>
      <w:rFonts w:eastAsia="??"/>
      <w:kern w:val="0"/>
      <w:sz w:val="24"/>
      <w:szCs w:val="28"/>
    </w:rPr>
  </w:style>
  <w:style w:type="paragraph" w:customStyle="1" w:styleId="452">
    <w:name w:val="列出段落3"/>
    <w:basedOn w:val="1"/>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453">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54">
    <w:name w:val="5 Char"/>
    <w:basedOn w:val="1"/>
    <w:uiPriority w:val="0"/>
    <w:rPr>
      <w:rFonts w:eastAsia="楷体_GB2312"/>
    </w:rPr>
  </w:style>
  <w:style w:type="paragraph" w:customStyle="1" w:styleId="455">
    <w:name w:val="编号 3"/>
    <w:basedOn w:val="1"/>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456">
    <w:name w:val=" Char Char Char Char"/>
    <w:basedOn w:val="1"/>
    <w:uiPriority w:val="0"/>
    <w:rPr>
      <w:rFonts w:ascii="Tahoma" w:hAnsi="Tahoma"/>
      <w:sz w:val="24"/>
      <w:szCs w:val="20"/>
    </w:rPr>
  </w:style>
  <w:style w:type="paragraph" w:customStyle="1" w:styleId="457">
    <w:name w:val="Table Paragraph"/>
    <w:basedOn w:val="1"/>
    <w:qFormat/>
    <w:uiPriority w:val="1"/>
  </w:style>
  <w:style w:type="paragraph" w:customStyle="1" w:styleId="458">
    <w:name w:val="中文标题 1"/>
    <w:basedOn w:val="2"/>
    <w:next w:val="2"/>
    <w:uiPriority w:val="0"/>
    <w:pPr>
      <w:keepNext/>
      <w:spacing w:before="156"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459">
    <w:name w:val="xl145"/>
    <w:basedOn w:val="1"/>
    <w:uiPriority w:val="0"/>
    <w:pPr>
      <w:widowControl/>
      <w:spacing w:before="100" w:beforeAutospacing="1" w:after="100" w:afterAutospacing="1"/>
      <w:jc w:val="left"/>
    </w:pPr>
    <w:rPr>
      <w:rFonts w:ascii="宋体" w:hAnsi="宋体" w:cs="宋体"/>
      <w:kern w:val="0"/>
      <w:sz w:val="24"/>
    </w:rPr>
  </w:style>
  <w:style w:type="paragraph" w:customStyle="1" w:styleId="460">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461">
    <w:name w:val="xl61"/>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462">
    <w:name w:val="xl38"/>
    <w:basedOn w:val="1"/>
    <w:uiPriority w:val="0"/>
    <w:pPr>
      <w:widowControl/>
      <w:spacing w:before="100" w:beforeAutospacing="1" w:after="100" w:afterAutospacing="1"/>
      <w:jc w:val="center"/>
    </w:pPr>
    <w:rPr>
      <w:rFonts w:ascii="Arial" w:hAnsi="Arial"/>
      <w:kern w:val="0"/>
      <w:sz w:val="20"/>
      <w:szCs w:val="20"/>
    </w:rPr>
  </w:style>
  <w:style w:type="paragraph" w:customStyle="1" w:styleId="463">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464">
    <w:name w:val="标题 ４"/>
    <w:basedOn w:val="6"/>
    <w:uiPriority w:val="0"/>
    <w:pPr>
      <w:widowControl w:val="0"/>
      <w:numPr>
        <w:ilvl w:val="2"/>
        <w:numId w:val="0"/>
      </w:numPr>
      <w:tabs>
        <w:tab w:val="left" w:pos="993"/>
        <w:tab w:val="left" w:pos="1980"/>
      </w:tabs>
      <w:spacing w:before="260" w:after="260" w:line="416" w:lineRule="auto"/>
      <w:ind w:left="1980" w:hanging="420"/>
      <w:jc w:val="both"/>
    </w:pPr>
    <w:rPr>
      <w:rFonts w:eastAsia="宋体"/>
      <w:bCs/>
      <w:kern w:val="2"/>
      <w:szCs w:val="32"/>
    </w:rPr>
  </w:style>
  <w:style w:type="paragraph" w:customStyle="1" w:styleId="465">
    <w:name w:val="正文 + 首行缩进:  2 字符"/>
    <w:basedOn w:val="1"/>
    <w:qFormat/>
    <w:uiPriority w:val="0"/>
    <w:pPr>
      <w:spacing w:line="360" w:lineRule="auto"/>
      <w:ind w:left="-34" w:firstLine="482"/>
    </w:pPr>
    <w:rPr>
      <w:rFonts w:ascii="宋体" w:hAnsi="宋体" w:eastAsia="宋体" w:cs="Times New Roman"/>
      <w:bCs/>
      <w:sz w:val="24"/>
      <w:szCs w:val="20"/>
    </w:rPr>
  </w:style>
  <w:style w:type="paragraph" w:customStyle="1" w:styleId="466">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67">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468">
    <w:name w:val="xl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69">
    <w:name w:val="标题4"/>
    <w:basedOn w:val="1"/>
    <w:uiPriority w:val="0"/>
    <w:rPr>
      <w:rFonts w:eastAsia="??_GB2312"/>
      <w:sz w:val="32"/>
      <w:szCs w:val="28"/>
    </w:rPr>
  </w:style>
  <w:style w:type="paragraph" w:customStyle="1" w:styleId="470">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71">
    <w:name w:val="xl6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72">
    <w:name w:val="a1"/>
    <w:basedOn w:val="1"/>
    <w:uiPriority w:val="0"/>
    <w:pPr>
      <w:widowControl/>
      <w:spacing w:line="300" w:lineRule="atLeast"/>
      <w:jc w:val="left"/>
    </w:pPr>
    <w:rPr>
      <w:rFonts w:ascii="宋体" w:hAnsi="宋体"/>
      <w:kern w:val="0"/>
      <w:sz w:val="18"/>
      <w:szCs w:val="20"/>
    </w:rPr>
  </w:style>
  <w:style w:type="paragraph" w:customStyle="1" w:styleId="473">
    <w:name w:val="中文标题 2"/>
    <w:basedOn w:val="2"/>
    <w:next w:val="2"/>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474">
    <w:name w:val="xl11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475">
    <w:name w:val=" Char3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76">
    <w:name w:val="xl10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477">
    <w:name w:val="Char Char1 Char Char Char"/>
    <w:basedOn w:val="1"/>
    <w:uiPriority w:val="0"/>
    <w:rPr>
      <w:rFonts w:ascii="仿宋_GB2312" w:eastAsia="仿宋_GB2312"/>
      <w:b/>
      <w:sz w:val="32"/>
      <w:szCs w:val="20"/>
    </w:rPr>
  </w:style>
  <w:style w:type="paragraph" w:customStyle="1" w:styleId="478">
    <w:name w:val="xl98"/>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479">
    <w:name w:val="段 Char Char"/>
    <w:uiPriority w:val="0"/>
    <w:pPr>
      <w:autoSpaceDE w:val="0"/>
      <w:autoSpaceDN w:val="0"/>
      <w:ind w:firstLine="200" w:firstLineChars="200"/>
      <w:jc w:val="both"/>
    </w:pPr>
    <w:rPr>
      <w:rFonts w:ascii="宋体"/>
      <w:sz w:val="21"/>
      <w:lang w:val="en-US" w:eastAsia="zh-CN" w:bidi="ar-SA"/>
    </w:rPr>
  </w:style>
  <w:style w:type="paragraph" w:customStyle="1" w:styleId="480">
    <w:name w:val="正文 A"/>
    <w:unhideWhenUsed/>
    <w:qFormat/>
    <w:uiPriority w:val="99"/>
    <w:pPr>
      <w:widowControl w:val="0"/>
      <w:jc w:val="both"/>
    </w:pPr>
    <w:rPr>
      <w:rFonts w:hint="eastAsia" w:ascii="Arial Unicode MS" w:hAnsi="Arial Unicode MS"/>
      <w:color w:val="000000"/>
      <w:kern w:val="2"/>
      <w:sz w:val="21"/>
      <w:szCs w:val="22"/>
      <w:u w:val="none" w:color="000000"/>
      <w:lang w:val="en-US" w:eastAsia="zh-CN" w:bidi="ar-SA"/>
    </w:rPr>
  </w:style>
  <w:style w:type="paragraph" w:customStyle="1" w:styleId="481">
    <w:name w:val="正文蓝"/>
    <w:basedOn w:val="1"/>
    <w:uiPriority w:val="0"/>
    <w:pPr>
      <w:spacing w:before="156" w:line="360" w:lineRule="auto"/>
      <w:ind w:firstLine="360" w:firstLineChars="200"/>
    </w:pPr>
    <w:rPr>
      <w:rFonts w:ascii="仿宋_GB2312" w:eastAsia="仿宋_GB2312"/>
      <w:color w:val="000080"/>
      <w:sz w:val="24"/>
      <w:szCs w:val="20"/>
    </w:rPr>
  </w:style>
  <w:style w:type="paragraph" w:customStyle="1" w:styleId="482">
    <w:name w:val="Normal_20"/>
    <w:qFormat/>
    <w:uiPriority w:val="0"/>
    <w:pPr>
      <w:spacing w:before="120" w:after="240"/>
      <w:jc w:val="both"/>
    </w:pPr>
    <w:rPr>
      <w:rFonts w:eastAsia="Calibri"/>
      <w:sz w:val="22"/>
      <w:szCs w:val="22"/>
      <w:lang w:val="ru-RU" w:eastAsia="en-US" w:bidi="ar-SA"/>
    </w:rPr>
  </w:style>
  <w:style w:type="paragraph" w:customStyle="1" w:styleId="483">
    <w:name w:val=" Char Char1 Char"/>
    <w:basedOn w:val="1"/>
    <w:uiPriority w:val="0"/>
    <w:rPr>
      <w:rFonts w:ascii="仿宋_GB2312" w:eastAsia="仿宋_GB2312"/>
      <w:b/>
      <w:sz w:val="32"/>
      <w:szCs w:val="32"/>
    </w:rPr>
  </w:style>
  <w:style w:type="paragraph" w:customStyle="1" w:styleId="484">
    <w:name w:val="列表段落"/>
    <w:basedOn w:val="1"/>
    <w:qFormat/>
    <w:uiPriority w:val="34"/>
    <w:pPr>
      <w:widowControl/>
      <w:ind w:firstLine="200" w:firstLineChars="200"/>
      <w:jc w:val="left"/>
    </w:pPr>
    <w:rPr>
      <w:rFonts w:ascii="??" w:hAnsi="??" w:eastAsia="??" w:cs="??"/>
      <w:kern w:val="0"/>
      <w:sz w:val="24"/>
    </w:rPr>
  </w:style>
  <w:style w:type="paragraph" w:customStyle="1" w:styleId="485">
    <w:name w:val="List Paragraph"/>
    <w:basedOn w:val="1"/>
    <w:uiPriority w:val="0"/>
    <w:pPr>
      <w:ind w:firstLine="420" w:firstLineChars="200"/>
    </w:pPr>
    <w:rPr>
      <w:szCs w:val="20"/>
    </w:rPr>
  </w:style>
  <w:style w:type="paragraph" w:customStyle="1" w:styleId="486">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87">
    <w:name w:val="xl7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488">
    <w:name w:val="xl7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489">
    <w:name w:val="xl7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490">
    <w:name w:val="正文缩进1"/>
    <w:basedOn w:val="1"/>
    <w:next w:val="2"/>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491">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492">
    <w:name w:val="Test2"/>
    <w:basedOn w:val="5"/>
    <w:uiPriority w:val="0"/>
    <w:pPr>
      <w:widowControl/>
      <w:numPr>
        <w:ilvl w:val="0"/>
        <w:numId w:val="0"/>
      </w:numPr>
      <w:tabs>
        <w:tab w:val="clear" w:pos="706"/>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493">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94">
    <w:name w:val="af17cgridlangnp1033langf"/>
    <w:uiPriority w:val="0"/>
    <w:pPr>
      <w:widowControl w:val="0"/>
      <w:autoSpaceDE w:val="0"/>
      <w:autoSpaceDN w:val="0"/>
      <w:adjustRightInd w:val="0"/>
      <w:spacing w:before="156" w:line="360" w:lineRule="atLeast"/>
      <w:ind w:left="567" w:firstLine="510"/>
      <w:jc w:val="both"/>
    </w:pPr>
    <w:rPr>
      <w:rFonts w:eastAsia="??"/>
      <w:szCs w:val="28"/>
      <w:lang w:val="en-US" w:eastAsia="zh-CN" w:bidi="ar-SA"/>
    </w:rPr>
  </w:style>
  <w:style w:type="paragraph" w:customStyle="1" w:styleId="495">
    <w:name w:val="Char"/>
    <w:basedOn w:val="1"/>
    <w:uiPriority w:val="0"/>
    <w:rPr>
      <w:rFonts w:eastAsia="??_GB2312"/>
      <w:sz w:val="28"/>
    </w:rPr>
  </w:style>
  <w:style w:type="paragraph" w:customStyle="1" w:styleId="496">
    <w:name w:val="彩色列表 - 强调文字颜色 11"/>
    <w:basedOn w:val="1"/>
    <w:qFormat/>
    <w:uiPriority w:val="34"/>
    <w:pPr>
      <w:ind w:firstLine="420" w:firstLineChars="200"/>
    </w:pPr>
  </w:style>
  <w:style w:type="paragraph" w:customStyle="1" w:styleId="497">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498">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499">
    <w:name w:val="xl124"/>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500">
    <w:name w:val=" Char Char1 Char Char Char Char Char Char"/>
    <w:basedOn w:val="1"/>
    <w:uiPriority w:val="0"/>
    <w:rPr>
      <w:rFonts w:ascii="仿宋_GB2312" w:eastAsia="仿宋_GB2312"/>
      <w:b/>
      <w:sz w:val="32"/>
      <w:szCs w:val="20"/>
    </w:rPr>
  </w:style>
  <w:style w:type="paragraph" w:customStyle="1" w:styleId="501">
    <w:name w:val="图样式"/>
    <w:basedOn w:val="1"/>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table" w:customStyle="1" w:styleId="502">
    <w:name w:val="Table Normal1"/>
    <w:uiPriority w:val="0"/>
    <w:rPr>
      <w:lang w:val="en-US" w:eastAsia="zh-CN" w:bidi="ar-SA"/>
    </w:rPr>
    <w:tblPr>
      <w:tblStyle w:val="78"/>
      <w:tblCellMar>
        <w:top w:w="0" w:type="dxa"/>
        <w:left w:w="0" w:type="dxa"/>
        <w:bottom w:w="0" w:type="dxa"/>
        <w:right w:w="0" w:type="dxa"/>
      </w:tblCellMar>
    </w:tblPr>
  </w:style>
  <w:style w:type="table" w:customStyle="1" w:styleId="503">
    <w:name w:val="中等深浅网格 2 - 强调文字颜色 11"/>
    <w:basedOn w:val="78"/>
    <w:uiPriority w:val="68"/>
    <w:rPr>
      <w:rFonts w:ascii="Cambria" w:hAnsi="Cambria" w:eastAsia="宋体" w:cs="Times New Roman"/>
      <w:color w:val="000000"/>
    </w:rPr>
    <w:tblPr>
      <w:tblStyle w:val="78"/>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blPr>
        <w:tblStyle w:val="78"/>
      </w:tblPr>
      <w:tcPr>
        <w:shd w:val="clear" w:color="auto" w:fill="EDF2F8"/>
      </w:tcPr>
    </w:tblStylePr>
    <w:tblStylePr w:type="lastRow">
      <w:rPr>
        <w:b/>
        <w:bCs/>
        <w:color w:val="000000"/>
      </w:rPr>
      <w:tblPr>
        <w:tblStyle w:val="78"/>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blStyle w:val="78"/>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blStyle w:val="78"/>
      </w:tblPr>
      <w:tcPr>
        <w:tcBorders>
          <w:top w:val="nil"/>
          <w:left w:val="nil"/>
          <w:bottom w:val="nil"/>
          <w:right w:val="nil"/>
          <w:insideH w:val="nil"/>
          <w:insideV w:val="nil"/>
          <w:tl2br w:val="nil"/>
          <w:tr2bl w:val="nil"/>
        </w:tcBorders>
        <w:shd w:val="clear" w:color="auto" w:fill="DBE5F1"/>
      </w:tcPr>
    </w:tblStylePr>
    <w:tblStylePr w:type="band1Vert">
      <w:tblPr>
        <w:tblStyle w:val="78"/>
      </w:tblPr>
      <w:tcPr>
        <w:shd w:val="clear" w:color="auto" w:fill="A7C0DE"/>
      </w:tcPr>
    </w:tblStylePr>
    <w:tblStylePr w:type="band1Horz">
      <w:tblPr>
        <w:tblStyle w:val="78"/>
      </w:tblPr>
      <w:tcPr>
        <w:shd w:val="clear" w:color="auto" w:fill="A7C0DE"/>
      </w:tcPr>
    </w:tblStylePr>
    <w:tblStylePr w:type="nwCell">
      <w:tblPr>
        <w:tblStyle w:val="78"/>
      </w:tblPr>
      <w:tcPr>
        <w:shd w:val="clear" w:color="auto" w:fill="FFFFFF"/>
      </w:tcPr>
    </w:tblStylePr>
  </w:style>
  <w:style w:type="table" w:customStyle="1" w:styleId="504">
    <w:name w:val="TableGrid"/>
    <w:qFormat/>
    <w:uiPriority w:val="0"/>
    <w:rPr>
      <w:rFonts w:ascii="等线" w:hAnsi="等线" w:eastAsia="等线"/>
      <w:lang w:val="en-US" w:eastAsia="zh-CN" w:bidi="ar-SA"/>
    </w:rPr>
    <w:tblPr>
      <w:tblStyle w:val="78"/>
      <w:tblCellMar>
        <w:top w:w="0" w:type="dxa"/>
        <w:left w:w="0" w:type="dxa"/>
        <w:bottom w:w="0" w:type="dxa"/>
        <w:right w:w="0" w:type="dxa"/>
      </w:tblCellMar>
    </w:tblPr>
  </w:style>
  <w:style w:type="table" w:customStyle="1" w:styleId="505">
    <w:name w:val="Table Normal"/>
    <w:qFormat/>
    <w:uiPriority w:val="0"/>
    <w:rPr>
      <w:lang w:val="en-US" w:eastAsia="zh-CN" w:bidi="ar-SA"/>
    </w:rPr>
    <w:tblPr>
      <w:tblStyle w:val="78"/>
      <w:tblCellMar>
        <w:top w:w="0" w:type="dxa"/>
        <w:left w:w="0" w:type="dxa"/>
        <w:bottom w:w="0" w:type="dxa"/>
        <w:right w:w="0" w:type="dxa"/>
      </w:tblCellMar>
    </w:tblPr>
  </w:style>
  <w:style w:type="table" w:customStyle="1" w:styleId="506">
    <w:name w:val="Table Normal2"/>
    <w:uiPriority w:val="0"/>
    <w:rPr>
      <w:lang w:val="en-US" w:eastAsia="zh-CN" w:bidi="ar-SA"/>
    </w:rPr>
    <w:tblPr>
      <w:tblStyle w:val="78"/>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9606</Words>
  <Characters>54759</Characters>
  <Lines>456</Lines>
  <Paragraphs>128</Paragraphs>
  <TotalTime>0</TotalTime>
  <ScaleCrop>false</ScaleCrop>
  <LinksUpToDate>false</LinksUpToDate>
  <CharactersWithSpaces>64237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2020-09-28T09:23:00Z</dcterms:created>
  <dc:creator>111</dc:creator>
  <cp:lastModifiedBy>WPS_1701756769</cp:lastModifiedBy>
  <cp:lastPrinted>2020-03-30T01:09:00Z</cp:lastPrinted>
  <dcterms:modified xsi:type="dcterms:W3CDTF">2024-01-30T09:29:04Z</dcterms:modified>
  <cp:revision>6</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E4F224A4364D43959CF9265AD308D8EF_13</vt:lpwstr>
  </property>
</Properties>
</file>