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hint="eastAsia" w:ascii="仿宋" w:hAnsi="仿宋" w:eastAsia="仿宋" w:cs="仿宋"/>
          <w:b/>
          <w:color w:val="auto"/>
          <w:sz w:val="24"/>
        </w:rPr>
      </w:pPr>
    </w:p>
    <w:p>
      <w:pPr>
        <w:adjustRightInd/>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b/>
          <w:color w:val="auto"/>
          <w:sz w:val="44"/>
          <w:szCs w:val="44"/>
        </w:rPr>
      </w:pPr>
    </w:p>
    <w:p>
      <w:pPr>
        <w:adjustRightInd/>
        <w:spacing w:line="360" w:lineRule="auto"/>
        <w:jc w:val="center"/>
        <w:rPr>
          <w:rFonts w:hint="eastAsia" w:ascii="仿宋" w:hAnsi="仿宋" w:eastAsia="仿宋" w:cs="仿宋"/>
          <w:b/>
          <w:color w:val="auto"/>
          <w:sz w:val="48"/>
          <w:szCs w:val="48"/>
        </w:rPr>
      </w:pP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highlight w:val="none"/>
          <w:lang w:eastAsia="zh-CN"/>
        </w:rPr>
        <w:t>临安区详规编制指引与详规成果整合</w:t>
      </w:r>
    </w:p>
    <w:p>
      <w:pPr>
        <w:adjustRightInd/>
        <w:spacing w:line="360" w:lineRule="auto"/>
        <w:jc w:val="center"/>
        <w:rPr>
          <w:rFonts w:hint="eastAsia" w:ascii="仿宋" w:hAnsi="仿宋" w:eastAsia="仿宋" w:cs="仿宋"/>
          <w:color w:val="auto"/>
          <w:sz w:val="48"/>
          <w:szCs w:val="48"/>
        </w:rPr>
      </w:pPr>
      <w:r>
        <w:rPr>
          <w:rFonts w:hint="eastAsia" w:ascii="仿宋" w:hAnsi="仿宋" w:eastAsia="仿宋" w:cs="仿宋"/>
          <w:color w:val="auto"/>
          <w:sz w:val="48"/>
          <w:szCs w:val="48"/>
        </w:rPr>
        <w:t xml:space="preserve">招标文件 </w:t>
      </w:r>
    </w:p>
    <w:p>
      <w:pPr>
        <w:adjustRightInd/>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（电子招投标）</w:t>
      </w:r>
    </w:p>
    <w:p>
      <w:pPr>
        <w:snapToGrid w:val="0"/>
        <w:spacing w:line="360" w:lineRule="auto"/>
        <w:jc w:val="center"/>
        <w:rPr>
          <w:rFonts w:hint="eastAsia" w:ascii="仿宋" w:hAnsi="仿宋" w:eastAsia="仿宋" w:cs="仿宋"/>
          <w:color w:val="auto"/>
          <w:sz w:val="30"/>
          <w:szCs w:val="30"/>
        </w:rPr>
      </w:pPr>
      <w:r>
        <w:rPr>
          <w:rFonts w:hint="eastAsia" w:ascii="仿宋" w:hAnsi="仿宋" w:eastAsia="仿宋" w:cs="仿宋"/>
          <w:color w:val="auto"/>
          <w:sz w:val="30"/>
          <w:szCs w:val="30"/>
        </w:rPr>
        <w:t>编号:临[2023]25</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号</w:t>
      </w:r>
    </w:p>
    <w:p>
      <w:pPr>
        <w:adjustRightInd/>
        <w:spacing w:line="360" w:lineRule="auto"/>
        <w:rPr>
          <w:rFonts w:hint="eastAsia" w:ascii="仿宋" w:hAnsi="仿宋" w:eastAsia="仿宋" w:cs="仿宋"/>
          <w:color w:val="auto"/>
          <w:sz w:val="28"/>
          <w:szCs w:val="20"/>
        </w:rPr>
      </w:pPr>
    </w:p>
    <w:p>
      <w:pPr>
        <w:spacing w:line="360" w:lineRule="auto"/>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 xml:space="preserve"> </w:t>
      </w:r>
    </w:p>
    <w:p>
      <w:pPr>
        <w:spacing w:line="360" w:lineRule="auto"/>
        <w:jc w:val="center"/>
        <w:rPr>
          <w:rFonts w:hint="eastAsia" w:ascii="仿宋" w:hAnsi="仿宋" w:eastAsia="仿宋" w:cs="仿宋"/>
          <w:b/>
          <w:color w:val="auto"/>
          <w:sz w:val="44"/>
          <w:szCs w:val="44"/>
        </w:rPr>
      </w:pPr>
    </w:p>
    <w:p>
      <w:pPr>
        <w:spacing w:line="360" w:lineRule="auto"/>
        <w:jc w:val="center"/>
        <w:rPr>
          <w:rFonts w:hint="eastAsia" w:ascii="仿宋" w:hAnsi="仿宋" w:eastAsia="仿宋" w:cs="仿宋"/>
          <w:color w:val="auto"/>
          <w:sz w:val="24"/>
        </w:rPr>
      </w:pPr>
    </w:p>
    <w:p>
      <w:pPr>
        <w:spacing w:line="360" w:lineRule="auto"/>
        <w:jc w:val="center"/>
        <w:rPr>
          <w:rFonts w:hint="eastAsia" w:ascii="仿宋" w:hAnsi="仿宋" w:eastAsia="仿宋" w:cs="仿宋"/>
          <w:color w:val="auto"/>
          <w:sz w:val="24"/>
        </w:rPr>
      </w:pPr>
    </w:p>
    <w:p>
      <w:pPr>
        <w:spacing w:line="360" w:lineRule="auto"/>
        <w:rPr>
          <w:rFonts w:hint="eastAsia" w:ascii="仿宋" w:hAnsi="仿宋" w:eastAsia="仿宋" w:cs="仿宋"/>
          <w:color w:val="auto"/>
          <w:sz w:val="32"/>
          <w:szCs w:val="32"/>
        </w:rPr>
      </w:pPr>
    </w:p>
    <w:p>
      <w:pPr>
        <w:snapToGrid w:val="0"/>
        <w:spacing w:line="360" w:lineRule="auto"/>
        <w:jc w:val="center"/>
        <w:rPr>
          <w:rFonts w:hint="eastAsia" w:ascii="仿宋" w:hAnsi="仿宋" w:eastAsia="仿宋" w:cs="仿宋"/>
          <w:color w:val="auto"/>
          <w:sz w:val="32"/>
          <w:szCs w:val="32"/>
        </w:rPr>
      </w:pPr>
      <w:r>
        <w:rPr>
          <w:rFonts w:hint="eastAsia" w:ascii="仿宋" w:hAnsi="仿宋" w:eastAsia="仿宋" w:cs="仿宋"/>
          <w:color w:val="auto"/>
          <w:sz w:val="32"/>
          <w:szCs w:val="32"/>
          <w:highlight w:val="none"/>
          <w:lang w:val="en-US" w:eastAsia="zh-CN"/>
        </w:rPr>
        <w:t>采购人：杭州市规划和自然资源局临安分局</w:t>
      </w:r>
    </w:p>
    <w:p>
      <w:pPr>
        <w:spacing w:line="360" w:lineRule="auto"/>
        <w:jc w:val="center"/>
        <w:rPr>
          <w:rFonts w:hint="eastAsia" w:ascii="仿宋" w:hAnsi="仿宋" w:eastAsia="仿宋" w:cs="仿宋"/>
          <w:bCs/>
          <w:color w:val="auto"/>
          <w:sz w:val="32"/>
          <w:szCs w:val="32"/>
        </w:rPr>
      </w:pPr>
      <w:r>
        <w:rPr>
          <w:rFonts w:hint="eastAsia" w:ascii="仿宋" w:hAnsi="仿宋" w:eastAsia="仿宋" w:cs="仿宋"/>
          <w:color w:val="auto"/>
          <w:sz w:val="32"/>
          <w:szCs w:val="32"/>
          <w:highlight w:val="none"/>
        </w:rPr>
        <w:t>采购代理机构：浙江科佳工程咨询有限公司</w:t>
      </w:r>
    </w:p>
    <w:p>
      <w:pPr>
        <w:snapToGrid w:val="0"/>
        <w:spacing w:line="360" w:lineRule="auto"/>
        <w:jc w:val="center"/>
        <w:rPr>
          <w:rFonts w:hint="eastAsia" w:ascii="仿宋" w:hAnsi="仿宋" w:eastAsia="仿宋" w:cs="仿宋"/>
          <w:bCs/>
          <w:color w:val="auto"/>
          <w:sz w:val="32"/>
          <w:szCs w:val="32"/>
        </w:rPr>
      </w:pPr>
      <w:r>
        <w:rPr>
          <w:rFonts w:hint="eastAsia" w:ascii="仿宋" w:hAnsi="仿宋" w:eastAsia="仿宋" w:cs="仿宋"/>
          <w:bCs/>
          <w:color w:val="auto"/>
          <w:sz w:val="32"/>
          <w:szCs w:val="32"/>
          <w:highlight w:val="none"/>
        </w:rPr>
        <w:t>二〇二</w:t>
      </w:r>
      <w:r>
        <w:rPr>
          <w:rFonts w:hint="eastAsia" w:ascii="仿宋" w:hAnsi="仿宋" w:eastAsia="仿宋" w:cs="仿宋"/>
          <w:bCs/>
          <w:color w:val="auto"/>
          <w:sz w:val="32"/>
          <w:szCs w:val="32"/>
          <w:highlight w:val="none"/>
          <w:lang w:eastAsia="zh-CN"/>
        </w:rPr>
        <w:t>三</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eastAsia="zh-CN"/>
        </w:rPr>
        <w:t>三</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六</w:t>
      </w:r>
      <w:r>
        <w:rPr>
          <w:rFonts w:hint="eastAsia" w:ascii="仿宋" w:hAnsi="仿宋" w:eastAsia="仿宋" w:cs="仿宋"/>
          <w:bCs/>
          <w:color w:val="auto"/>
          <w:sz w:val="32"/>
          <w:szCs w:val="32"/>
          <w:highlight w:val="none"/>
        </w:rPr>
        <w:t>日</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br w:type="page"/>
      </w:r>
      <w:bookmarkStart w:id="0" w:name="_Hlt67893495"/>
      <w:bookmarkEnd w:id="0"/>
    </w:p>
    <w:p>
      <w:pPr>
        <w:pStyle w:val="634"/>
        <w:spacing w:line="360" w:lineRule="auto"/>
        <w:rPr>
          <w:rFonts w:hint="eastAsia" w:ascii="仿宋" w:hAnsi="仿宋" w:eastAsia="仿宋" w:cs="仿宋"/>
          <w:color w:val="auto"/>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第一部分      招标公告</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第二部分      投标人须知</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第三部分      采购需求</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第四部分      评标办法</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第五部分      拟签订的合同文本</w:t>
      </w:r>
    </w:p>
    <w:p>
      <w:pPr>
        <w:spacing w:line="360" w:lineRule="auto"/>
        <w:ind w:firstLine="1280" w:firstLineChars="400"/>
        <w:rPr>
          <w:rFonts w:hint="eastAsia" w:ascii="仿宋" w:hAnsi="仿宋" w:eastAsia="仿宋" w:cs="仿宋"/>
          <w:color w:val="auto"/>
          <w:sz w:val="32"/>
          <w:szCs w:val="32"/>
        </w:rPr>
      </w:pPr>
      <w:r>
        <w:rPr>
          <w:rFonts w:hint="eastAsia" w:ascii="仿宋" w:hAnsi="仿宋" w:eastAsia="仿宋" w:cs="仿宋"/>
          <w:color w:val="auto"/>
          <w:sz w:val="32"/>
          <w:szCs w:val="32"/>
        </w:rPr>
        <w:t>第六部分      应提交的有关格式范例</w:t>
      </w:r>
    </w:p>
    <w:p>
      <w:pPr>
        <w:spacing w:line="360" w:lineRule="auto"/>
        <w:ind w:firstLine="549" w:firstLineChars="229"/>
        <w:rPr>
          <w:rFonts w:hint="eastAsia" w:ascii="仿宋" w:hAnsi="仿宋" w:eastAsia="仿宋" w:cs="仿宋"/>
          <w:color w:val="auto"/>
          <w:sz w:val="24"/>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rPr>
          <w:rFonts w:hint="eastAsia" w:ascii="仿宋" w:hAnsi="仿宋" w:eastAsia="仿宋" w:cs="仿宋"/>
          <w:color w:val="auto"/>
          <w:sz w:val="24"/>
        </w:rPr>
      </w:pPr>
    </w:p>
    <w:p>
      <w:pPr>
        <w:adjustRightInd/>
        <w:spacing w:line="360" w:lineRule="auto"/>
        <w:jc w:val="center"/>
        <w:outlineLvl w:val="0"/>
        <w:rPr>
          <w:rFonts w:hint="eastAsia" w:ascii="仿宋" w:hAnsi="仿宋" w:eastAsia="仿宋" w:cs="仿宋"/>
          <w:b/>
          <w:color w:val="auto"/>
          <w:sz w:val="36"/>
          <w:szCs w:val="20"/>
        </w:rPr>
      </w:pPr>
      <w:bookmarkStart w:id="3" w:name="第一部分"/>
      <w:r>
        <w:rPr>
          <w:rFonts w:hint="eastAsia" w:ascii="仿宋" w:hAnsi="仿宋" w:eastAsia="仿宋" w:cs="仿宋"/>
          <w:b/>
          <w:color w:val="auto"/>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highlight w:val="none"/>
          <w:u w:val="single"/>
          <w:lang w:eastAsia="zh-CN"/>
        </w:rPr>
        <w:t>临安区详规编制指引与详规成果整合</w:t>
      </w:r>
      <w:r>
        <w:rPr>
          <w:rFonts w:hint="eastAsia" w:ascii="仿宋" w:hAnsi="仿宋" w:eastAsia="仿宋" w:cs="仿宋"/>
          <w:color w:val="auto"/>
          <w:sz w:val="24"/>
        </w:rPr>
        <w:t>招标项目的潜在投标人应在政采云平台（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"https://www.zcygov.cn/）获取（下载）招标文件，并于202%20年%20月%20日%20点%20分00秒" </w:instrText>
      </w:r>
      <w:r>
        <w:rPr>
          <w:rFonts w:hint="eastAsia" w:ascii="仿宋" w:hAnsi="仿宋" w:eastAsia="仿宋" w:cs="仿宋"/>
          <w:color w:val="auto"/>
        </w:rPr>
        <w:fldChar w:fldCharType="separate"/>
      </w:r>
      <w:r>
        <w:rPr>
          <w:rStyle w:val="76"/>
          <w:rFonts w:hint="eastAsia" w:ascii="仿宋" w:hAnsi="仿宋" w:eastAsia="仿宋" w:cs="仿宋"/>
          <w:snapToGrid/>
          <w:color w:val="auto"/>
          <w:kern w:val="2"/>
          <w:sz w:val="24"/>
          <w:szCs w:val="24"/>
        </w:rPr>
        <w:t>https://www.zcygov.cn/）获取（下载）招标文件，并于</w:t>
      </w:r>
      <w:r>
        <w:rPr>
          <w:rStyle w:val="76"/>
          <w:rFonts w:hint="eastAsia" w:ascii="仿宋" w:hAnsi="仿宋" w:eastAsia="仿宋" w:cs="仿宋"/>
          <w:snapToGrid/>
          <w:color w:val="auto"/>
          <w:kern w:val="2"/>
          <w:sz w:val="24"/>
          <w:szCs w:val="24"/>
          <w:u w:val="single"/>
        </w:rPr>
        <w:t>202</w:t>
      </w:r>
      <w:r>
        <w:rPr>
          <w:rStyle w:val="76"/>
          <w:rFonts w:hint="eastAsia" w:ascii="仿宋" w:hAnsi="仿宋" w:eastAsia="仿宋" w:cs="仿宋"/>
          <w:snapToGrid/>
          <w:color w:val="auto"/>
          <w:kern w:val="2"/>
          <w:sz w:val="24"/>
          <w:szCs w:val="24"/>
          <w:u w:val="single"/>
          <w:lang w:val="en-US" w:eastAsia="zh-CN"/>
        </w:rPr>
        <w:t>3</w:t>
      </w:r>
      <w:r>
        <w:rPr>
          <w:rStyle w:val="76"/>
          <w:rFonts w:hint="eastAsia" w:ascii="仿宋" w:hAnsi="仿宋" w:eastAsia="仿宋" w:cs="仿宋"/>
          <w:snapToGrid/>
          <w:color w:val="auto"/>
          <w:kern w:val="2"/>
          <w:sz w:val="24"/>
          <w:szCs w:val="24"/>
          <w:u w:val="single"/>
        </w:rPr>
        <w:t>年</w:t>
      </w:r>
      <w:r>
        <w:rPr>
          <w:rStyle w:val="76"/>
          <w:rFonts w:hint="eastAsia" w:ascii="仿宋" w:hAnsi="仿宋" w:eastAsia="仿宋" w:cs="仿宋"/>
          <w:snapToGrid/>
          <w:color w:val="auto"/>
          <w:kern w:val="2"/>
          <w:sz w:val="24"/>
          <w:szCs w:val="24"/>
          <w:u w:val="single"/>
          <w:lang w:val="en-US" w:eastAsia="zh-CN"/>
        </w:rPr>
        <w:t>3</w:t>
      </w:r>
      <w:r>
        <w:rPr>
          <w:rStyle w:val="76"/>
          <w:rFonts w:hint="eastAsia" w:ascii="仿宋" w:hAnsi="仿宋" w:eastAsia="仿宋" w:cs="仿宋"/>
          <w:snapToGrid/>
          <w:color w:val="auto"/>
          <w:kern w:val="2"/>
          <w:sz w:val="24"/>
          <w:szCs w:val="24"/>
          <w:u w:val="single"/>
        </w:rPr>
        <w:t>月</w:t>
      </w:r>
      <w:r>
        <w:rPr>
          <w:rStyle w:val="76"/>
          <w:rFonts w:hint="eastAsia" w:ascii="仿宋" w:hAnsi="仿宋" w:eastAsia="仿宋" w:cs="仿宋"/>
          <w:snapToGrid/>
          <w:color w:val="auto"/>
          <w:kern w:val="2"/>
          <w:sz w:val="24"/>
          <w:szCs w:val="24"/>
          <w:u w:val="single"/>
          <w:lang w:val="en-US" w:eastAsia="zh-CN"/>
        </w:rPr>
        <w:t>27</w:t>
      </w:r>
      <w:r>
        <w:rPr>
          <w:rStyle w:val="76"/>
          <w:rFonts w:hint="eastAsia" w:ascii="仿宋" w:hAnsi="仿宋" w:eastAsia="仿宋" w:cs="仿宋"/>
          <w:snapToGrid/>
          <w:color w:val="auto"/>
          <w:kern w:val="2"/>
          <w:sz w:val="24"/>
          <w:szCs w:val="24"/>
          <w:u w:val="single"/>
        </w:rPr>
        <w:t>日</w:t>
      </w:r>
      <w:r>
        <w:rPr>
          <w:rStyle w:val="76"/>
          <w:rFonts w:hint="eastAsia" w:ascii="仿宋" w:hAnsi="仿宋" w:eastAsia="仿宋" w:cs="仿宋"/>
          <w:snapToGrid/>
          <w:color w:val="auto"/>
          <w:kern w:val="2"/>
          <w:sz w:val="24"/>
          <w:szCs w:val="24"/>
          <w:u w:val="single"/>
          <w:lang w:val="en-US" w:eastAsia="zh-CN"/>
        </w:rPr>
        <w:t>14</w:t>
      </w:r>
      <w:r>
        <w:rPr>
          <w:rStyle w:val="76"/>
          <w:rFonts w:hint="eastAsia" w:ascii="仿宋" w:hAnsi="仿宋" w:eastAsia="仿宋" w:cs="仿宋"/>
          <w:snapToGrid/>
          <w:color w:val="auto"/>
          <w:kern w:val="2"/>
          <w:sz w:val="24"/>
          <w:szCs w:val="24"/>
          <w:u w:val="single"/>
        </w:rPr>
        <w:t>点</w:t>
      </w:r>
      <w:r>
        <w:rPr>
          <w:rStyle w:val="76"/>
          <w:rFonts w:hint="eastAsia" w:ascii="仿宋" w:hAnsi="仿宋" w:eastAsia="仿宋" w:cs="仿宋"/>
          <w:snapToGrid/>
          <w:color w:val="auto"/>
          <w:kern w:val="2"/>
          <w:sz w:val="24"/>
          <w:szCs w:val="24"/>
          <w:u w:val="single"/>
          <w:lang w:val="en-US" w:eastAsia="zh-CN"/>
        </w:rPr>
        <w:t>00</w:t>
      </w:r>
      <w:r>
        <w:rPr>
          <w:rStyle w:val="76"/>
          <w:rFonts w:hint="eastAsia" w:ascii="仿宋" w:hAnsi="仿宋" w:eastAsia="仿宋" w:cs="仿宋"/>
          <w:snapToGrid/>
          <w:color w:val="auto"/>
          <w:kern w:val="2"/>
          <w:sz w:val="24"/>
          <w:szCs w:val="24"/>
          <w:u w:val="single"/>
        </w:rPr>
        <w:t>分</w:t>
      </w:r>
      <w:r>
        <w:rPr>
          <w:rStyle w:val="76"/>
          <w:rFonts w:hint="eastAsia" w:ascii="仿宋" w:hAnsi="仿宋" w:eastAsia="仿宋" w:cs="仿宋"/>
          <w:bCs/>
          <w:snapToGrid/>
          <w:color w:val="auto"/>
          <w:kern w:val="2"/>
          <w:sz w:val="24"/>
          <w:szCs w:val="24"/>
          <w:u w:val="single"/>
        </w:rPr>
        <w:t>00秒</w:t>
      </w:r>
      <w:r>
        <w:rPr>
          <w:rStyle w:val="76"/>
          <w:rFonts w:hint="eastAsia" w:ascii="仿宋" w:hAnsi="仿宋" w:eastAsia="仿宋" w:cs="仿宋"/>
          <w:bCs/>
          <w:snapToGrid/>
          <w:color w:val="auto"/>
          <w:kern w:val="2"/>
          <w:sz w:val="24"/>
          <w:szCs w:val="24"/>
        </w:rPr>
        <w:fldChar w:fldCharType="end"/>
      </w:r>
      <w:r>
        <w:rPr>
          <w:rFonts w:hint="eastAsia" w:ascii="仿宋" w:hAnsi="仿宋" w:eastAsia="仿宋" w:cs="仿宋"/>
          <w:bCs/>
          <w:color w:val="auto"/>
          <w:sz w:val="24"/>
        </w:rPr>
        <w:t>（北京时间）前</w:t>
      </w:r>
      <w:r>
        <w:rPr>
          <w:rFonts w:hint="eastAsia" w:ascii="仿宋" w:hAnsi="仿宋" w:eastAsia="仿宋" w:cs="仿宋"/>
          <w:color w:val="auto"/>
          <w:sz w:val="24"/>
        </w:rPr>
        <w:t>递交（上传）投标文件。</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一、项目基本情况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项目编号：</w:t>
      </w:r>
      <w:r>
        <w:rPr>
          <w:rFonts w:hint="eastAsia" w:ascii="仿宋" w:hAnsi="仿宋" w:eastAsia="仿宋" w:cs="仿宋"/>
          <w:color w:val="auto"/>
          <w:sz w:val="24"/>
        </w:rPr>
        <w:t>临[2023]258号</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项目名称：</w:t>
      </w:r>
      <w:r>
        <w:rPr>
          <w:rFonts w:hint="eastAsia" w:ascii="仿宋" w:hAnsi="仿宋" w:eastAsia="仿宋" w:cs="仿宋"/>
          <w:b/>
          <w:color w:val="auto"/>
          <w:sz w:val="24"/>
          <w:highlight w:val="none"/>
          <w:lang w:eastAsia="zh-CN"/>
        </w:rPr>
        <w:t>临安区详规编制指引与详规成果整合</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b/>
          <w:color w:val="auto"/>
          <w:sz w:val="24"/>
        </w:rPr>
        <w:t xml:space="preserve"> 预算金额（元）：</w:t>
      </w:r>
      <w:r>
        <w:rPr>
          <w:rFonts w:hint="eastAsia" w:ascii="仿宋" w:hAnsi="仿宋" w:eastAsia="仿宋" w:cs="仿宋"/>
          <w:color w:val="auto"/>
          <w:sz w:val="24"/>
        </w:rPr>
        <w:t xml:space="preserve"> </w:t>
      </w:r>
      <w:r>
        <w:rPr>
          <w:rFonts w:hint="eastAsia" w:ascii="仿宋" w:hAnsi="仿宋" w:eastAsia="仿宋" w:cs="仿宋"/>
          <w:b/>
          <w:color w:val="auto"/>
          <w:sz w:val="24"/>
          <w:highlight w:val="none"/>
          <w:lang w:val="en-US" w:eastAsia="zh-CN"/>
        </w:rPr>
        <w:t>1900000</w:t>
      </w:r>
    </w:p>
    <w:p>
      <w:pPr>
        <w:spacing w:line="360" w:lineRule="auto"/>
        <w:ind w:firstLine="480"/>
        <w:rPr>
          <w:rFonts w:hint="eastAsia" w:ascii="仿宋" w:hAnsi="仿宋" w:eastAsia="仿宋" w:cs="仿宋"/>
          <w:color w:val="auto"/>
          <w:sz w:val="24"/>
        </w:rPr>
      </w:pPr>
      <w:r>
        <w:rPr>
          <w:rFonts w:hint="eastAsia" w:ascii="仿宋" w:hAnsi="仿宋" w:eastAsia="仿宋" w:cs="仿宋"/>
          <w:b/>
          <w:color w:val="auto"/>
          <w:sz w:val="24"/>
        </w:rPr>
        <w:t>最高限价（元）：</w:t>
      </w:r>
      <w:r>
        <w:rPr>
          <w:rFonts w:hint="eastAsia" w:ascii="仿宋" w:hAnsi="仿宋" w:eastAsia="仿宋" w:cs="仿宋"/>
          <w:color w:val="auto"/>
          <w:sz w:val="24"/>
        </w:rPr>
        <w:t xml:space="preserve"> </w:t>
      </w:r>
      <w:r>
        <w:rPr>
          <w:rFonts w:hint="eastAsia" w:ascii="仿宋" w:hAnsi="仿宋" w:eastAsia="仿宋" w:cs="仿宋"/>
          <w:b/>
          <w:color w:val="auto"/>
          <w:sz w:val="24"/>
          <w:highlight w:val="none"/>
          <w:lang w:val="en-US" w:eastAsia="zh-CN"/>
        </w:rPr>
        <w:t>1900000</w:t>
      </w:r>
    </w:p>
    <w:p>
      <w:pPr>
        <w:pStyle w:val="6"/>
        <w:spacing w:line="360" w:lineRule="auto"/>
        <w:ind w:firstLine="480"/>
        <w:rPr>
          <w:rFonts w:hint="eastAsia" w:ascii="仿宋" w:hAnsi="仿宋" w:eastAsia="仿宋" w:cs="仿宋"/>
          <w:bCs/>
          <w:snapToGrid/>
          <w:color w:val="auto"/>
          <w:kern w:val="2"/>
          <w:sz w:val="24"/>
          <w:szCs w:val="24"/>
        </w:rPr>
      </w:pPr>
      <w:r>
        <w:rPr>
          <w:rFonts w:hint="eastAsia" w:ascii="仿宋" w:hAnsi="仿宋" w:eastAsia="仿宋" w:cs="仿宋"/>
          <w:b/>
          <w:color w:val="auto"/>
          <w:sz w:val="24"/>
        </w:rPr>
        <w:t>采购需求：</w:t>
      </w:r>
      <w:r>
        <w:rPr>
          <w:rFonts w:hint="eastAsia" w:ascii="仿宋" w:hAnsi="仿宋" w:eastAsia="仿宋" w:cs="仿宋"/>
          <w:b/>
          <w:color w:val="auto"/>
          <w:sz w:val="24"/>
          <w:highlight w:val="none"/>
          <w:lang w:eastAsia="zh-CN"/>
        </w:rPr>
        <w:t>临安区详规编制指引与详规成果整合</w:t>
      </w:r>
      <w:r>
        <w:rPr>
          <w:rFonts w:hint="eastAsia" w:ascii="仿宋" w:hAnsi="仿宋" w:eastAsia="仿宋" w:cs="仿宋"/>
          <w:bCs/>
          <w:snapToGrid/>
          <w:color w:val="auto"/>
          <w:kern w:val="2"/>
          <w:sz w:val="24"/>
          <w:szCs w:val="24"/>
        </w:rPr>
        <w:t>主要内容：</w:t>
      </w:r>
      <w:r>
        <w:rPr>
          <w:rFonts w:hint="eastAsia" w:ascii="仿宋" w:hAnsi="仿宋" w:eastAsia="仿宋" w:cs="仿宋"/>
          <w:b w:val="0"/>
          <w:bCs/>
          <w:color w:val="auto"/>
          <w:sz w:val="24"/>
          <w:highlight w:val="none"/>
        </w:rPr>
        <w:t>为贯彻杭州市规划和自然资源局专题讨论研究全市规划编制攻坚年工作会议精神，落实高标准编制控制性详细规划编制的要求，特此启动《临安区详规编制指引与详规成果整合》项目，加强国土空间总体规划的底线约束和精准传导，实现山水林田湖草等全要素覆盖，创新编制方法和技术路线，为编制科学管用的控制性详细规划提供科学指引与技术支撑。</w:t>
      </w:r>
      <w:r>
        <w:rPr>
          <w:rFonts w:hint="eastAsia" w:ascii="仿宋" w:hAnsi="仿宋" w:eastAsia="仿宋" w:cs="仿宋"/>
          <w:color w:val="auto"/>
          <w:sz w:val="24"/>
          <w:highlight w:val="none"/>
          <w:lang w:eastAsia="zh-CN"/>
        </w:rPr>
        <w:t>现</w:t>
      </w:r>
      <w:r>
        <w:rPr>
          <w:rFonts w:hint="eastAsia" w:ascii="仿宋" w:hAnsi="仿宋" w:eastAsia="仿宋" w:cs="仿宋"/>
          <w:snapToGrid/>
          <w:color w:val="auto"/>
          <w:kern w:val="2"/>
          <w:sz w:val="24"/>
          <w:szCs w:val="24"/>
          <w:highlight w:val="none"/>
          <w:lang w:val="en-US" w:eastAsia="zh-CN" w:bidi="ar-SA"/>
        </w:rPr>
        <w:t>通过公开招标方式，确定第三方服务机构。</w:t>
      </w:r>
      <w:r>
        <w:rPr>
          <w:rFonts w:hint="eastAsia" w:ascii="仿宋" w:hAnsi="仿宋" w:eastAsia="仿宋" w:cs="仿宋"/>
          <w:snapToGrid/>
          <w:color w:val="auto"/>
          <w:kern w:val="2"/>
          <w:sz w:val="24"/>
          <w:szCs w:val="24"/>
        </w:rPr>
        <w:t>具体以招标文件第三部分采购需求为准，供应商可点击本公告下方“浏览采购文件”查看采购需求。</w:t>
      </w:r>
    </w:p>
    <w:p>
      <w:pPr>
        <w:pStyle w:val="128"/>
        <w:spacing w:line="360" w:lineRule="auto"/>
        <w:ind w:firstLine="482"/>
        <w:outlineLvl w:val="2"/>
        <w:rPr>
          <w:rFonts w:hint="eastAsia" w:ascii="仿宋" w:hAnsi="仿宋" w:eastAsia="仿宋" w:cs="仿宋"/>
          <w:color w:val="auto"/>
        </w:rPr>
      </w:pPr>
      <w:r>
        <w:rPr>
          <w:rFonts w:hint="eastAsia" w:ascii="仿宋" w:hAnsi="仿宋" w:eastAsia="仿宋" w:cs="仿宋"/>
          <w:b/>
          <w:color w:val="auto"/>
        </w:rPr>
        <w:t>合同履约期限：</w:t>
      </w:r>
      <w:r>
        <w:rPr>
          <w:rFonts w:hint="eastAsia" w:ascii="仿宋" w:hAnsi="仿宋" w:eastAsia="仿宋" w:cs="仿宋"/>
          <w:b/>
          <w:bCs w:val="0"/>
          <w:color w:val="auto"/>
          <w:sz w:val="24"/>
          <w:szCs w:val="24"/>
          <w:lang w:eastAsia="zh-CN"/>
        </w:rPr>
        <w:t>自合同签订之日起至</w:t>
      </w:r>
      <w:r>
        <w:rPr>
          <w:rFonts w:hint="eastAsia" w:ascii="仿宋" w:hAnsi="仿宋" w:eastAsia="仿宋" w:cs="仿宋"/>
          <w:b/>
          <w:bCs w:val="0"/>
          <w:color w:val="auto"/>
          <w:sz w:val="24"/>
          <w:szCs w:val="24"/>
        </w:rPr>
        <w:t>2023年12月</w:t>
      </w:r>
      <w:r>
        <w:rPr>
          <w:rFonts w:hint="eastAsia" w:ascii="仿宋" w:hAnsi="仿宋" w:eastAsia="仿宋" w:cs="仿宋"/>
          <w:b/>
          <w:bCs w:val="0"/>
          <w:color w:val="auto"/>
          <w:sz w:val="24"/>
          <w:szCs w:val="24"/>
          <w:lang w:val="en-US" w:eastAsia="zh-CN"/>
        </w:rPr>
        <w:t>31日。</w:t>
      </w:r>
    </w:p>
    <w:p>
      <w:pPr>
        <w:pStyle w:val="6"/>
        <w:spacing w:line="360" w:lineRule="auto"/>
        <w:ind w:firstLine="480"/>
        <w:rPr>
          <w:rFonts w:hint="eastAsia"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t xml:space="preserve"> </w:t>
      </w:r>
      <w:sdt>
        <w:sdtPr>
          <w:rPr>
            <w:rFonts w:hint="eastAsia" w:ascii="仿宋" w:hAnsi="仿宋" w:eastAsia="仿宋" w:cs="仿宋"/>
            <w:color w:val="auto"/>
            <w:kern w:val="0"/>
            <w:sz w:val="24"/>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snapToGrid w:val="0"/>
              <w:color w:val="auto"/>
              <w:kern w:val="0"/>
              <w:sz w:val="24"/>
              <w:szCs w:val="20"/>
              <w:lang w:val="en-US" w:eastAsia="zh-CN" w:bidi="ar-SA"/>
            </w:rPr>
            <w:t>þ</w:t>
          </w:r>
        </w:sdtContent>
      </w:sdt>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MS Gothic" w:hAnsi="MS Gothic" w:eastAsia="仿宋" w:cs="仿宋"/>
              <w:snapToGrid w:val="0"/>
              <w:color w:val="auto"/>
              <w:kern w:val="0"/>
              <w:sz w:val="24"/>
              <w:szCs w:val="20"/>
              <w:lang w:val="en-US" w:eastAsia="zh-CN" w:bidi="ar-SA"/>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二、申请人的资格要求：</w:t>
      </w:r>
    </w:p>
    <w:p>
      <w:pPr>
        <w:spacing w:line="360"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28616923"/>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无</w:t>
      </w:r>
      <w:r>
        <w:rPr>
          <w:rFonts w:hint="eastAsia" w:ascii="仿宋" w:hAnsi="仿宋" w:eastAsia="仿宋" w:cs="仿宋"/>
          <w:snapToGrid w:val="0"/>
          <w:color w:val="auto"/>
          <w:kern w:val="28"/>
          <w:sz w:val="24"/>
          <w:szCs w:val="20"/>
        </w:rPr>
        <w:t>（注：不得限制大中型企业与小微企业组成联合体参与投标）；</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02470430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333685401"/>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rPr>
      </w:pPr>
      <w:sdt>
        <w:sdtPr>
          <w:rPr>
            <w:rFonts w:hint="eastAsia" w:ascii="仿宋" w:hAnsi="仿宋" w:eastAsia="仿宋" w:cs="仿宋"/>
            <w:color w:val="auto"/>
            <w:kern w:val="0"/>
            <w:sz w:val="24"/>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服务全部由符合政策要求的小微企业承接，提供中小企业声明函；</w:t>
      </w:r>
    </w:p>
    <w:p>
      <w:pPr>
        <w:spacing w:line="360" w:lineRule="auto"/>
        <w:rPr>
          <w:rFonts w:hint="eastAsia" w:ascii="仿宋" w:hAnsi="仿宋" w:eastAsia="仿宋" w:cs="仿宋"/>
          <w:color w:val="auto"/>
        </w:rPr>
      </w:pP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sdt>
        <w:sdtPr>
          <w:rPr>
            <w:rFonts w:hint="eastAsia" w:ascii="仿宋" w:hAnsi="仿宋" w:eastAsia="仿宋" w:cs="仿宋"/>
            <w:color w:val="auto"/>
            <w:kern w:val="0"/>
            <w:sz w:val="24"/>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要求合同分包，提供分包意向协议和中小企业声明函，分包意向协议中中小企业合同金额应当达到达到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4.本项目的特定资格要求：无；</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 xml:space="preserve">三、获取招标文件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4"/>
        </w:rPr>
        <w:t>/至</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27</w:t>
      </w:r>
      <w:r>
        <w:rPr>
          <w:rFonts w:hint="eastAsia" w:ascii="仿宋" w:hAnsi="仿宋" w:eastAsia="仿宋" w:cs="仿宋"/>
          <w:color w:val="auto"/>
          <w:sz w:val="24"/>
          <w:u w:val="singl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方式：</w:t>
      </w:r>
      <w:r>
        <w:rPr>
          <w:rFonts w:hint="eastAsia" w:ascii="仿宋" w:hAnsi="仿宋" w:eastAsia="仿宋" w:cs="仿宋"/>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售价（元）：</w:t>
      </w:r>
      <w:r>
        <w:rPr>
          <w:rFonts w:hint="eastAsia" w:ascii="仿宋" w:hAnsi="仿宋" w:eastAsia="仿宋" w:cs="仿宋"/>
          <w:color w:val="auto"/>
          <w:sz w:val="24"/>
        </w:rPr>
        <w:t xml:space="preserve">0 </w:t>
      </w:r>
      <w:r>
        <w:rPr>
          <w:rFonts w:hint="eastAsia" w:ascii="仿宋" w:hAnsi="仿宋" w:eastAsia="仿宋" w:cs="仿宋"/>
          <w:color w:val="auto"/>
          <w:sz w:val="24"/>
        </w:rPr>
        <w:tab/>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四、提交投标文件截止时间、开标时间和地点</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提交投标文件截止时间：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（北京时间）</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投标地点（网址）：</w:t>
      </w:r>
      <w:r>
        <w:rPr>
          <w:rFonts w:hint="eastAsia" w:ascii="仿宋" w:hAnsi="仿宋" w:eastAsia="仿宋" w:cs="仿宋"/>
          <w:color w:val="auto"/>
          <w:sz w:val="24"/>
        </w:rPr>
        <w:t xml:space="preserve">政采云平台（https://www.zcygov.cn/） </w:t>
      </w:r>
    </w:p>
    <w:p>
      <w:pPr>
        <w:spacing w:line="360" w:lineRule="auto"/>
        <w:ind w:firstLine="482" w:firstLineChars="200"/>
        <w:rPr>
          <w:rFonts w:hint="eastAsia" w:ascii="仿宋" w:hAnsi="仿宋" w:eastAsia="仿宋" w:cs="仿宋"/>
          <w:bCs/>
          <w:color w:val="auto"/>
          <w:sz w:val="24"/>
          <w:u w:val="single"/>
        </w:rPr>
      </w:pPr>
      <w:r>
        <w:rPr>
          <w:rFonts w:hint="eastAsia" w:ascii="仿宋" w:hAnsi="仿宋" w:eastAsia="仿宋" w:cs="仿宋"/>
          <w:b/>
          <w:color w:val="auto"/>
          <w:sz w:val="24"/>
        </w:rPr>
        <w:t>开标时间：</w:t>
      </w:r>
      <w:r>
        <w:rPr>
          <w:rFonts w:hint="eastAsia" w:ascii="仿宋" w:hAnsi="仿宋" w:eastAsia="仿宋" w:cs="仿宋"/>
          <w:color w:val="auto"/>
          <w:sz w:val="24"/>
          <w:u w:val="single"/>
        </w:rPr>
        <w:t>202</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年</w:t>
      </w:r>
      <w:r>
        <w:rPr>
          <w:rFonts w:hint="eastAsia" w:ascii="仿宋" w:hAnsi="仿宋" w:eastAsia="仿宋" w:cs="仿宋"/>
          <w:color w:val="auto"/>
          <w:sz w:val="24"/>
          <w:u w:val="single"/>
          <w:lang w:val="en-US" w:eastAsia="zh-CN"/>
        </w:rPr>
        <w:t>3</w:t>
      </w:r>
      <w:r>
        <w:rPr>
          <w:rFonts w:hint="eastAsia" w:ascii="仿宋" w:hAnsi="仿宋" w:eastAsia="仿宋" w:cs="仿宋"/>
          <w:color w:val="auto"/>
          <w:sz w:val="24"/>
          <w:u w:val="single"/>
        </w:rPr>
        <w:t>月</w:t>
      </w:r>
      <w:r>
        <w:rPr>
          <w:rFonts w:hint="eastAsia" w:ascii="仿宋" w:hAnsi="仿宋" w:eastAsia="仿宋" w:cs="仿宋"/>
          <w:color w:val="auto"/>
          <w:sz w:val="24"/>
          <w:u w:val="single"/>
          <w:lang w:val="en-US" w:eastAsia="zh-CN"/>
        </w:rPr>
        <w:t>27</w:t>
      </w:r>
      <w:r>
        <w:rPr>
          <w:rFonts w:hint="eastAsia" w:ascii="仿宋" w:hAnsi="仿宋" w:eastAsia="仿宋" w:cs="仿宋"/>
          <w:color w:val="auto"/>
          <w:sz w:val="24"/>
          <w:u w:val="single"/>
        </w:rPr>
        <w:t>日</w:t>
      </w:r>
      <w:r>
        <w:rPr>
          <w:rFonts w:hint="eastAsia" w:ascii="仿宋" w:hAnsi="仿宋" w:eastAsia="仿宋" w:cs="仿宋"/>
          <w:color w:val="auto"/>
          <w:sz w:val="24"/>
          <w:u w:val="single"/>
          <w:lang w:val="en-US" w:eastAsia="zh-CN"/>
        </w:rPr>
        <w:t>14</w:t>
      </w:r>
      <w:r>
        <w:rPr>
          <w:rFonts w:hint="eastAsia" w:ascii="仿宋" w:hAnsi="仿宋" w:eastAsia="仿宋" w:cs="仿宋"/>
          <w:color w:val="auto"/>
          <w:sz w:val="24"/>
          <w:u w:val="single"/>
        </w:rPr>
        <w:t>点</w:t>
      </w:r>
      <w:r>
        <w:rPr>
          <w:rFonts w:hint="eastAsia" w:ascii="仿宋" w:hAnsi="仿宋" w:eastAsia="仿宋" w:cs="仿宋"/>
          <w:color w:val="auto"/>
          <w:sz w:val="24"/>
          <w:u w:val="single"/>
          <w:lang w:val="en-US" w:eastAsia="zh-CN"/>
        </w:rPr>
        <w:t>00</w:t>
      </w:r>
      <w:r>
        <w:rPr>
          <w:rFonts w:hint="eastAsia" w:ascii="仿宋" w:hAnsi="仿宋" w:eastAsia="仿宋" w:cs="仿宋"/>
          <w:color w:val="auto"/>
          <w:sz w:val="24"/>
          <w:u w:val="single"/>
        </w:rPr>
        <w:t>分00秒</w:t>
      </w:r>
      <w:r>
        <w:rPr>
          <w:rFonts w:hint="eastAsia" w:ascii="仿宋" w:hAnsi="仿宋" w:eastAsia="仿宋" w:cs="仿宋"/>
          <w:bCs/>
          <w:color w:val="auto"/>
          <w:sz w:val="24"/>
          <w:u w:val="single"/>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开标地点（网址）：</w:t>
      </w:r>
      <w:r>
        <w:rPr>
          <w:rFonts w:hint="eastAsia" w:ascii="仿宋" w:hAnsi="仿宋" w:eastAsia="仿宋" w:cs="仿宋"/>
          <w:color w:val="auto"/>
          <w:sz w:val="24"/>
        </w:rPr>
        <w:t>政采云平台（https://www.zcygov.cn/）</w:t>
      </w:r>
    </w:p>
    <w:p>
      <w:pPr>
        <w:spacing w:line="360" w:lineRule="auto"/>
        <w:rPr>
          <w:rFonts w:hint="eastAsia" w:ascii="仿宋" w:hAnsi="仿宋" w:eastAsia="仿宋" w:cs="仿宋"/>
          <w:color w:val="auto"/>
          <w:sz w:val="24"/>
        </w:rPr>
      </w:pPr>
      <w:r>
        <w:rPr>
          <w:rFonts w:hint="eastAsia" w:ascii="仿宋" w:hAnsi="仿宋" w:eastAsia="仿宋" w:cs="仿宋"/>
          <w:b/>
          <w:color w:val="auto"/>
          <w:sz w:val="24"/>
        </w:rPr>
        <w:t xml:space="preserve">五、公告期限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自本公告发布之日起5个工作日。</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六、其他补充事宜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七、对本次采购提出询问、质疑、投诉，请按以下方式联系</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1.采购人信息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highlight w:val="none"/>
          <w:lang w:eastAsia="zh-CN"/>
        </w:rPr>
        <w:t>杭州市规划和自然资源局临安分局</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w:t>
      </w:r>
      <w:r>
        <w:rPr>
          <w:rFonts w:hint="eastAsia" w:ascii="仿宋" w:hAnsi="仿宋" w:eastAsia="仿宋" w:cs="仿宋"/>
          <w:color w:val="auto"/>
          <w:sz w:val="24"/>
          <w:highlight w:val="none"/>
        </w:rPr>
        <w:t>临安区市民中心3号楼</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传    真：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项目联系人（询问）：</w:t>
      </w:r>
      <w:r>
        <w:rPr>
          <w:rFonts w:hint="eastAsia" w:ascii="仿宋" w:hAnsi="仿宋" w:eastAsia="仿宋" w:cs="仿宋"/>
          <w:color w:val="auto"/>
          <w:sz w:val="24"/>
          <w:highlight w:val="none"/>
          <w:lang w:eastAsia="zh-CN"/>
        </w:rPr>
        <w:t>梁晨</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highlight w:val="none"/>
          <w:lang w:val="en-US" w:eastAsia="zh-CN"/>
        </w:rPr>
        <w:t>0571-61081555</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w:t>
      </w:r>
      <w:r>
        <w:rPr>
          <w:rFonts w:hint="eastAsia" w:ascii="仿宋" w:hAnsi="仿宋" w:eastAsia="仿宋" w:cs="仿宋"/>
          <w:color w:val="auto"/>
          <w:sz w:val="24"/>
          <w:highlight w:val="none"/>
          <w:lang w:val="en-US" w:eastAsia="zh-CN"/>
        </w:rPr>
        <w:t>王伊可</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w:t>
      </w:r>
      <w:r>
        <w:rPr>
          <w:rFonts w:hint="eastAsia" w:ascii="仿宋" w:hAnsi="仿宋" w:eastAsia="仿宋" w:cs="仿宋"/>
          <w:color w:val="auto"/>
          <w:sz w:val="24"/>
          <w:highlight w:val="none"/>
          <w:lang w:eastAsia="zh-CN"/>
        </w:rPr>
        <w:t>0571-63722217</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2.采购代理机构信息            </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名    称：</w:t>
      </w:r>
      <w:r>
        <w:rPr>
          <w:rFonts w:hint="eastAsia" w:ascii="仿宋" w:hAnsi="仿宋" w:eastAsia="仿宋" w:cs="仿宋"/>
          <w:color w:val="auto"/>
          <w:sz w:val="24"/>
          <w:highlight w:val="none"/>
        </w:rPr>
        <w:t>浙江科佳工程咨询有限公司</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w:t>
      </w:r>
      <w:r>
        <w:rPr>
          <w:rFonts w:hint="eastAsia" w:ascii="仿宋" w:hAnsi="仿宋" w:eastAsia="仿宋" w:cs="仿宋"/>
          <w:color w:val="auto"/>
          <w:sz w:val="24"/>
          <w:highlight w:val="none"/>
        </w:rPr>
        <w:t>杭州市临安区锦城街道苕溪南路6号鸿硕集团三楼</w:t>
      </w:r>
    </w:p>
    <w:p>
      <w:pPr>
        <w:spacing w:line="360" w:lineRule="auto"/>
        <w:rPr>
          <w:rFonts w:hint="eastAsia" w:ascii="仿宋" w:hAnsi="仿宋" w:eastAsia="仿宋" w:cs="仿宋"/>
          <w:color w:val="auto"/>
          <w:sz w:val="24"/>
          <w:lang w:val="en-US" w:eastAsia="zh-CN"/>
        </w:rPr>
      </w:pPr>
      <w:r>
        <w:rPr>
          <w:rFonts w:hint="eastAsia" w:ascii="仿宋" w:hAnsi="仿宋" w:eastAsia="仿宋" w:cs="仿宋"/>
          <w:color w:val="auto"/>
          <w:sz w:val="24"/>
        </w:rPr>
        <w:t xml:space="preserve">    传    真： </w:t>
      </w:r>
      <w:r>
        <w:rPr>
          <w:rFonts w:hint="eastAsia" w:ascii="仿宋" w:hAnsi="仿宋" w:eastAsia="仿宋" w:cs="仿宋"/>
          <w:color w:val="auto"/>
          <w:sz w:val="24"/>
          <w:lang w:val="en-US" w:eastAsia="zh-CN"/>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项目联系人（询问）：</w:t>
      </w:r>
      <w:r>
        <w:rPr>
          <w:rFonts w:hint="eastAsia" w:ascii="仿宋" w:hAnsi="仿宋" w:eastAsia="仿宋" w:cs="仿宋"/>
          <w:color w:val="auto"/>
          <w:sz w:val="24"/>
          <w:highlight w:val="none"/>
        </w:rPr>
        <w:t>唐燕萍</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项目联系方式（询问）：</w:t>
      </w:r>
      <w:r>
        <w:rPr>
          <w:rFonts w:hint="eastAsia" w:ascii="仿宋" w:hAnsi="仿宋" w:eastAsia="仿宋" w:cs="仿宋"/>
          <w:color w:val="auto"/>
          <w:sz w:val="24"/>
          <w:highlight w:val="none"/>
        </w:rPr>
        <w:t>0571-63858336</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质疑联系人： </w:t>
      </w:r>
      <w:r>
        <w:rPr>
          <w:rFonts w:hint="eastAsia" w:ascii="仿宋" w:hAnsi="仿宋" w:eastAsia="仿宋" w:cs="仿宋"/>
          <w:color w:val="auto"/>
          <w:sz w:val="24"/>
          <w:highlight w:val="none"/>
        </w:rPr>
        <w:t>马  兰</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质疑联系方式：</w:t>
      </w:r>
      <w:r>
        <w:rPr>
          <w:rFonts w:hint="eastAsia" w:ascii="仿宋" w:hAnsi="仿宋" w:eastAsia="仿宋" w:cs="仿宋"/>
          <w:color w:val="auto"/>
          <w:sz w:val="24"/>
          <w:highlight w:val="none"/>
        </w:rPr>
        <w:t>0571-63858336</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3.同级政府采购监督管理部门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名    称：</w:t>
      </w:r>
      <w:r>
        <w:rPr>
          <w:rFonts w:hint="eastAsia" w:ascii="仿宋" w:hAnsi="仿宋" w:eastAsia="仿宋" w:cs="仿宋"/>
          <w:color w:val="auto"/>
          <w:sz w:val="24"/>
          <w:highlight w:val="none"/>
        </w:rPr>
        <w:t>杭州市临安区财政局政府采购监督管理科</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地    址：</w:t>
      </w:r>
      <w:r>
        <w:rPr>
          <w:rFonts w:hint="eastAsia" w:ascii="仿宋" w:hAnsi="仿宋" w:eastAsia="仿宋" w:cs="仿宋"/>
          <w:color w:val="auto"/>
          <w:sz w:val="24"/>
          <w:highlight w:val="none"/>
        </w:rPr>
        <w:t>杭州市临安区锦北街道科技大道4398号市民中心4号楼B座1129</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传    真： </w:t>
      </w:r>
      <w:r>
        <w:rPr>
          <w:rFonts w:hint="eastAsia" w:ascii="仿宋" w:hAnsi="仿宋" w:eastAsia="仿宋" w:cs="仿宋"/>
          <w:color w:val="auto"/>
          <w:sz w:val="24"/>
          <w:highlight w:val="none"/>
        </w:rPr>
        <w:t>0571-89541600</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联系人 ：</w:t>
      </w:r>
      <w:r>
        <w:rPr>
          <w:rFonts w:hint="eastAsia" w:ascii="仿宋" w:hAnsi="仿宋" w:eastAsia="仿宋" w:cs="仿宋"/>
          <w:color w:val="auto"/>
          <w:sz w:val="24"/>
          <w:highlight w:val="none"/>
        </w:rPr>
        <w:t>喻</w:t>
      </w:r>
      <w:r>
        <w:rPr>
          <w:rFonts w:hint="eastAsia" w:ascii="仿宋" w:hAnsi="仿宋" w:eastAsia="仿宋" w:cs="仿宋"/>
          <w:color w:val="auto"/>
          <w:sz w:val="24"/>
          <w:highlight w:val="none"/>
          <w:lang w:eastAsia="zh-CN"/>
        </w:rPr>
        <w:t>先生</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监督投诉电话：</w:t>
      </w:r>
      <w:r>
        <w:rPr>
          <w:rFonts w:hint="eastAsia" w:ascii="仿宋" w:hAnsi="仿宋" w:eastAsia="仿宋" w:cs="仿宋"/>
          <w:color w:val="auto"/>
          <w:sz w:val="24"/>
          <w:highlight w:val="none"/>
        </w:rPr>
        <w:t>0571-89541696、89541691</w:t>
      </w:r>
      <w:r>
        <w:rPr>
          <w:rFonts w:hint="eastAsia" w:ascii="仿宋" w:hAnsi="仿宋" w:eastAsia="仿宋" w:cs="仿宋"/>
          <w:color w:val="auto"/>
          <w:sz w:val="24"/>
        </w:rPr>
        <w:t xml:space="preserve"> </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政策咨询：</w:t>
      </w:r>
      <w:r>
        <w:rPr>
          <w:rFonts w:hint="eastAsia" w:ascii="仿宋" w:hAnsi="仿宋" w:eastAsia="仿宋" w:cs="仿宋"/>
          <w:color w:val="auto"/>
          <w:sz w:val="24"/>
          <w:highlight w:val="none"/>
        </w:rPr>
        <w:t>喻</w:t>
      </w:r>
      <w:r>
        <w:rPr>
          <w:rFonts w:hint="eastAsia" w:ascii="仿宋" w:hAnsi="仿宋" w:eastAsia="仿宋" w:cs="仿宋"/>
          <w:color w:val="auto"/>
          <w:sz w:val="24"/>
          <w:highlight w:val="none"/>
          <w:lang w:eastAsia="zh-CN"/>
        </w:rPr>
        <w:t>先生</w:t>
      </w:r>
      <w:r>
        <w:rPr>
          <w:rFonts w:hint="eastAsia" w:ascii="仿宋" w:hAnsi="仿宋" w:eastAsia="仿宋" w:cs="仿宋"/>
          <w:color w:val="auto"/>
          <w:sz w:val="24"/>
          <w:lang w:val="en-US" w:eastAsia="zh-CN"/>
        </w:rPr>
        <w:t>，</w:t>
      </w:r>
      <w:r>
        <w:rPr>
          <w:rFonts w:hint="eastAsia" w:ascii="仿宋" w:hAnsi="仿宋" w:eastAsia="仿宋" w:cs="仿宋"/>
          <w:color w:val="auto"/>
          <w:sz w:val="24"/>
          <w:highlight w:val="none"/>
        </w:rPr>
        <w:t>0571-89541696、89541691</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widowControl/>
        <w:adjustRightInd/>
        <w:spacing w:line="360" w:lineRule="auto"/>
        <w:jc w:val="left"/>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p>
    <w:p>
      <w:pPr>
        <w:adjustRightInd/>
        <w:spacing w:line="360"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8"/>
      <w:r>
        <w:rPr>
          <w:rFonts w:hint="eastAsia" w:ascii="仿宋" w:hAnsi="仿宋" w:eastAsia="仿宋" w:cs="仿宋"/>
          <w:b/>
          <w:color w:val="auto"/>
          <w:sz w:val="36"/>
          <w:szCs w:val="20"/>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lang w:val="en-US"/>
              </w:rPr>
            </w:pPr>
            <w:r>
              <w:rPr>
                <w:rFonts w:hint="eastAsia" w:ascii="仿宋" w:hAnsi="仿宋" w:eastAsia="仿宋" w:cs="仿宋"/>
                <w:color w:val="auto"/>
                <w:kern w:val="0"/>
                <w:sz w:val="24"/>
              </w:rPr>
              <w:t>标的：</w:t>
            </w:r>
            <w:r>
              <w:rPr>
                <w:rFonts w:hint="eastAsia" w:ascii="仿宋" w:hAnsi="仿宋" w:eastAsia="仿宋" w:cs="仿宋"/>
                <w:color w:val="auto"/>
                <w:kern w:val="0"/>
                <w:sz w:val="24"/>
                <w:highlight w:val="none"/>
                <w:u w:val="single"/>
              </w:rPr>
              <w:t>详规编制指引与详规成果整合</w:t>
            </w:r>
            <w:r>
              <w:rPr>
                <w:rFonts w:hint="eastAsia" w:ascii="仿宋" w:hAnsi="仿宋" w:eastAsia="仿宋" w:cs="仿宋"/>
                <w:color w:val="auto"/>
                <w:kern w:val="0"/>
                <w:sz w:val="24"/>
              </w:rPr>
              <w:t>，属于</w:t>
            </w:r>
            <w:r>
              <w:rPr>
                <w:rFonts w:hint="eastAsia" w:ascii="仿宋" w:hAnsi="仿宋" w:eastAsia="仿宋" w:cs="仿宋"/>
                <w:color w:val="auto"/>
                <w:kern w:val="0"/>
                <w:sz w:val="24"/>
                <w:highlight w:val="none"/>
                <w:u w:val="single"/>
                <w:lang w:eastAsia="zh-CN"/>
              </w:rPr>
              <w:t>其他未列明</w:t>
            </w:r>
            <w:r>
              <w:rPr>
                <w:rFonts w:hint="eastAsia" w:ascii="仿宋" w:hAnsi="仿宋" w:eastAsia="仿宋" w:cs="仿宋"/>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color w:val="auto"/>
                <w:kern w:val="0"/>
                <w:sz w:val="24"/>
              </w:rPr>
              <w:t>本项目不允许采购进口产品。</w:t>
            </w:r>
          </w:p>
          <w:p>
            <w:pPr>
              <w:spacing w:line="360" w:lineRule="auto"/>
              <w:rPr>
                <w:rFonts w:hint="eastAsia" w:ascii="仿宋" w:hAnsi="仿宋" w:eastAsia="仿宋" w:cs="仿宋"/>
                <w:color w:val="auto"/>
              </w:rPr>
            </w:pPr>
            <w:sdt>
              <w:sdtPr>
                <w:rPr>
                  <w:rFonts w:hint="eastAsia" w:ascii="仿宋" w:hAnsi="仿宋" w:eastAsia="仿宋" w:cs="仿宋"/>
                  <w:color w:val="auto"/>
                  <w:kern w:val="0"/>
                  <w:sz w:val="24"/>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可以就</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477286927"/>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szCs w:val="24"/>
                    <w:lang w:val="en-US" w:eastAsia="zh-CN" w:bidi="ar-SA"/>
                  </w:rPr>
                  <w:t>☐</w:t>
                </w:r>
              </w:sdtContent>
            </w:sdt>
            <w:r>
              <w:rPr>
                <w:rFonts w:hint="eastAsia" w:ascii="仿宋" w:hAnsi="仿宋" w:eastAsia="仿宋" w:cs="仿宋"/>
                <w:color w:val="auto"/>
                <w:kern w:val="0"/>
                <w:sz w:val="24"/>
              </w:rPr>
              <w:t xml:space="preserve"> A</w:t>
            </w:r>
            <w:r>
              <w:rPr>
                <w:rFonts w:hint="eastAsia" w:ascii="仿宋" w:hAnsi="仿宋" w:eastAsia="仿宋" w:cs="仿宋"/>
                <w:color w:val="auto"/>
                <w:sz w:val="24"/>
              </w:rPr>
              <w:t>同意将非主体、非关键性的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工作分包。</w:t>
            </w:r>
            <w:sdt>
              <w:sdtPr>
                <w:rPr>
                  <w:rFonts w:hint="eastAsia" w:ascii="仿宋" w:hAnsi="仿宋" w:eastAsia="仿宋" w:cs="仿宋"/>
                  <w:color w:val="auto"/>
                  <w:kern w:val="0"/>
                  <w:sz w:val="24"/>
                </w:rPr>
                <w:id w:val="-1276331357"/>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 xml:space="preserve"> B</w:t>
            </w:r>
            <w:r>
              <w:rPr>
                <w:rFonts w:hint="eastAsia" w:ascii="仿宋" w:hAnsi="仿宋" w:eastAsia="仿宋" w:cs="仿宋"/>
                <w:color w:val="auto"/>
                <w:sz w:val="24"/>
              </w:rPr>
              <w:t>不同意分包。</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sz w:val="24"/>
                <w:szCs w:val="20"/>
              </w:rPr>
            </w:pPr>
            <w:sdt>
              <w:sdtPr>
                <w:rPr>
                  <w:rFonts w:hint="eastAsia" w:ascii="仿宋" w:hAnsi="仿宋" w:eastAsia="仿宋" w:cs="仿宋"/>
                  <w:color w:val="auto"/>
                  <w:kern w:val="0"/>
                  <w:sz w:val="24"/>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r>
              <w:rPr>
                <w:rFonts w:hint="eastAsia" w:ascii="仿宋" w:hAnsi="仿宋" w:eastAsia="仿宋" w:cs="仿宋"/>
                <w:color w:val="auto"/>
                <w:sz w:val="24"/>
              </w:rPr>
              <w:t>时间：</w:t>
            </w:r>
            <w:r>
              <w:rPr>
                <w:rFonts w:hint="eastAsia" w:ascii="仿宋" w:hAnsi="仿宋" w:eastAsia="仿宋" w:cs="仿宋"/>
                <w:color w:val="auto"/>
                <w:sz w:val="24"/>
                <w:u w:val="single"/>
              </w:rPr>
              <w:t xml:space="preserve">      </w:t>
            </w:r>
            <w:r>
              <w:rPr>
                <w:rFonts w:hint="eastAsia" w:ascii="仿宋" w:hAnsi="仿宋" w:eastAsia="仿宋" w:cs="仿宋"/>
                <w:color w:val="auto"/>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，联系方式：</w:t>
            </w:r>
            <w:r>
              <w:rPr>
                <w:rFonts w:hint="eastAsia" w:ascii="仿宋" w:hAnsi="仿宋" w:eastAsia="仿宋" w:cs="仿宋"/>
                <w:color w:val="auto"/>
                <w:sz w:val="24"/>
                <w:u w:val="single"/>
              </w:rPr>
              <w:t xml:space="preserve">      </w:t>
            </w:r>
            <w:r>
              <w:rPr>
                <w:rFonts w:hint="eastAsia" w:ascii="仿宋" w:hAnsi="仿宋" w:eastAsia="仿宋" w:cs="仿宋"/>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A</w:t>
            </w:r>
            <w:r>
              <w:rPr>
                <w:rFonts w:hint="eastAsia" w:ascii="仿宋" w:hAnsi="仿宋" w:eastAsia="仿宋" w:cs="仿宋"/>
                <w:color w:val="auto"/>
                <w:sz w:val="24"/>
              </w:rPr>
              <w:t>不要求提供。</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B要求提供，</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w:t>
            </w:r>
            <w:r>
              <w:rPr>
                <w:rFonts w:hint="eastAsia" w:ascii="仿宋" w:hAnsi="仿宋" w:eastAsia="仿宋" w:cs="仿宋"/>
                <w:snapToGrid w:val="0"/>
                <w:color w:val="auto"/>
                <w:kern w:val="28"/>
                <w:sz w:val="24"/>
              </w:rPr>
              <w:t>样品：</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w:t>
            </w:r>
            <w:r>
              <w:rPr>
                <w:rFonts w:hint="eastAsia" w:ascii="仿宋" w:hAnsi="仿宋" w:eastAsia="仿宋" w:cs="仿宋"/>
                <w:snapToGrid w:val="0"/>
                <w:color w:val="auto"/>
                <w:kern w:val="28"/>
                <w:sz w:val="24"/>
              </w:rPr>
              <w:t>样品制作的标准和要求：</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（3）样品的评审方法以及评审标准</w:t>
            </w:r>
            <w:r>
              <w:rPr>
                <w:rFonts w:hint="eastAsia" w:ascii="仿宋" w:hAnsi="仿宋" w:eastAsia="仿宋" w:cs="仿宋"/>
                <w:snapToGrid w:val="0"/>
                <w:color w:val="auto"/>
                <w:kern w:val="28"/>
                <w:sz w:val="24"/>
              </w:rPr>
              <w:t>：详见</w:t>
            </w:r>
            <w:r>
              <w:rPr>
                <w:rFonts w:hint="eastAsia" w:ascii="仿宋" w:hAnsi="仿宋" w:eastAsia="仿宋" w:cs="仿宋"/>
                <w:color w:val="auto"/>
                <w:sz w:val="24"/>
                <w:u w:val="single"/>
              </w:rPr>
              <w:t>评标办法</w:t>
            </w:r>
            <w:r>
              <w:rPr>
                <w:rFonts w:hint="eastAsia" w:ascii="仿宋" w:hAnsi="仿宋" w:eastAsia="仿宋" w:cs="仿宋"/>
                <w:color w:val="auto"/>
                <w:kern w:val="0"/>
                <w:sz w:val="24"/>
              </w:rPr>
              <w:t>；</w:t>
            </w:r>
          </w:p>
          <w:p>
            <w:pPr>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（4）是否需要随样品提交检测报告：</w:t>
            </w:r>
            <w:sdt>
              <w:sdtPr>
                <w:rPr>
                  <w:rFonts w:hint="eastAsia" w:ascii="仿宋" w:hAnsi="仿宋" w:eastAsia="仿宋" w:cs="仿宋"/>
                  <w:color w:val="auto"/>
                  <w:kern w:val="0"/>
                  <w:sz w:val="24"/>
                </w:rPr>
                <w:id w:val="1303421454"/>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否；</w:t>
            </w:r>
            <w:sdt>
              <w:sdtPr>
                <w:rPr>
                  <w:rFonts w:hint="eastAsia" w:ascii="仿宋" w:hAnsi="仿宋" w:eastAsia="仿宋" w:cs="仿宋"/>
                  <w:color w:val="auto"/>
                  <w:kern w:val="0"/>
                  <w:sz w:val="24"/>
                </w:rPr>
                <w:id w:val="162172843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是，检测机构的要求</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；检测内容</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（5）提供样品的时间：</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；地点：</w:t>
            </w:r>
            <w:r>
              <w:rPr>
                <w:rFonts w:hint="eastAsia" w:ascii="仿宋" w:hAnsi="仿宋" w:eastAsia="仿宋" w:cs="仿宋"/>
                <w:color w:val="auto"/>
                <w:sz w:val="24"/>
                <w:u w:val="single"/>
              </w:rPr>
              <w:t xml:space="preserve">    </w:t>
            </w:r>
            <w:r>
              <w:rPr>
                <w:rFonts w:hint="eastAsia" w:ascii="仿宋" w:hAnsi="仿宋" w:eastAsia="仿宋" w:cs="仿宋"/>
                <w:color w:val="auto"/>
                <w:kern w:val="0"/>
                <w:sz w:val="24"/>
              </w:rPr>
              <w:t>；联系人</w:t>
            </w:r>
            <w:r>
              <w:rPr>
                <w:rFonts w:hint="eastAsia" w:ascii="仿宋" w:hAnsi="仿宋" w:eastAsia="仿宋" w:cs="仿宋"/>
                <w:color w:val="auto"/>
                <w:sz w:val="24"/>
              </w:rPr>
              <w:t>：</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28"/>
                <w:sz w:val="24"/>
              </w:rPr>
              <w:t>联系电话：</w:t>
            </w:r>
            <w:r>
              <w:rPr>
                <w:rFonts w:hint="eastAsia" w:ascii="仿宋" w:hAnsi="仿宋" w:eastAsia="仿宋" w:cs="仿宋"/>
                <w:color w:val="auto"/>
                <w:sz w:val="24"/>
                <w:u w:val="single"/>
              </w:rPr>
              <w:t xml:space="preserve">    </w:t>
            </w:r>
            <w:r>
              <w:rPr>
                <w:rFonts w:hint="eastAsia" w:ascii="仿宋" w:hAnsi="仿宋" w:eastAsia="仿宋" w:cs="仿宋"/>
                <w:color w:val="auto"/>
                <w:sz w:val="24"/>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(6)采购活动结束后，对于未中标人提供的样品，采购人、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将通知未中标人在规定的时间内取回，逾期未取回的，采购人、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不负保管义务；对于中标人提供的样品，采购人将进行保管、封存，并作为履约验收的参考。</w:t>
            </w:r>
          </w:p>
          <w:p>
            <w:pPr>
              <w:spacing w:line="360" w:lineRule="auto"/>
              <w:rPr>
                <w:rFonts w:hint="eastAsia" w:ascii="仿宋" w:hAnsi="仿宋" w:eastAsia="仿宋" w:cs="仿宋"/>
                <w:b/>
                <w:color w:val="auto"/>
                <w:sz w:val="24"/>
              </w:rPr>
            </w:pPr>
            <w:r>
              <w:rPr>
                <w:rFonts w:hint="eastAsia" w:ascii="仿宋" w:hAnsi="仿宋" w:eastAsia="仿宋" w:cs="仿宋"/>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color w:val="auto"/>
                <w:sz w:val="24"/>
              </w:rPr>
            </w:pPr>
            <w:r>
              <w:rPr>
                <w:rFonts w:hint="eastAsia" w:ascii="仿宋" w:hAnsi="仿宋" w:eastAsia="仿宋" w:cs="仿宋"/>
                <w:b/>
                <w:color w:val="auto"/>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sdt>
              <w:sdtPr>
                <w:rPr>
                  <w:rFonts w:hint="eastAsia" w:ascii="仿宋" w:hAnsi="仿宋" w:eastAsia="仿宋" w:cs="仿宋"/>
                  <w:color w:val="auto"/>
                  <w:kern w:val="0"/>
                  <w:sz w:val="24"/>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kern w:val="0"/>
                <w:sz w:val="24"/>
              </w:rPr>
              <w:t>A</w:t>
            </w:r>
            <w:r>
              <w:rPr>
                <w:rFonts w:hint="eastAsia" w:ascii="仿宋" w:hAnsi="仿宋" w:eastAsia="仿宋" w:cs="仿宋"/>
                <w:color w:val="auto"/>
                <w:sz w:val="24"/>
              </w:rPr>
              <w:t>不组织。</w:t>
            </w:r>
          </w:p>
          <w:p>
            <w:pPr>
              <w:spacing w:line="360" w:lineRule="auto"/>
              <w:rPr>
                <w:rFonts w:hint="eastAsia" w:ascii="仿宋" w:hAnsi="仿宋" w:eastAsia="仿宋" w:cs="仿宋"/>
                <w:color w:val="auto"/>
                <w:kern w:val="0"/>
                <w:sz w:val="24"/>
              </w:rPr>
            </w:pPr>
            <w:sdt>
              <w:sdtPr>
                <w:rPr>
                  <w:rFonts w:hint="eastAsia" w:ascii="仿宋" w:hAnsi="仿宋" w:eastAsia="仿宋" w:cs="仿宋"/>
                  <w:color w:val="auto"/>
                  <w:kern w:val="0"/>
                  <w:sz w:val="24"/>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kern w:val="0"/>
                <w:sz w:val="24"/>
              </w:rPr>
              <w:t>B组织。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（1）在评标时安排每个投标人进行方案讲解演示。每个投标人时间不超过</w:t>
            </w:r>
            <w:r>
              <w:rPr>
                <w:rFonts w:hint="eastAsia" w:ascii="仿宋" w:hAnsi="仿宋" w:eastAsia="仿宋" w:cs="仿宋"/>
                <w:color w:val="auto"/>
                <w:kern w:val="0"/>
                <w:sz w:val="24"/>
                <w:u w:val="single"/>
                <w:lang w:val="en-US" w:eastAsia="zh-CN"/>
              </w:rPr>
              <w:t>15</w:t>
            </w:r>
            <w:r>
              <w:rPr>
                <w:rFonts w:hint="eastAsia" w:ascii="仿宋" w:hAnsi="仿宋" w:eastAsia="仿宋" w:cs="仿宋"/>
                <w:color w:val="auto"/>
                <w:kern w:val="0"/>
                <w:sz w:val="24"/>
              </w:rPr>
              <w:t>分钟，讲解次序以投标文件解密时间先后次序为准，讲解演示人员不超过</w:t>
            </w:r>
            <w:r>
              <w:rPr>
                <w:rFonts w:hint="eastAsia" w:ascii="仿宋" w:hAnsi="仿宋" w:eastAsia="仿宋" w:cs="仿宋"/>
                <w:color w:val="auto"/>
                <w:kern w:val="0"/>
                <w:sz w:val="24"/>
                <w:u w:val="single"/>
                <w:lang w:val="en-US" w:eastAsia="zh-CN"/>
              </w:rPr>
              <w:t>1</w:t>
            </w:r>
            <w:r>
              <w:rPr>
                <w:rFonts w:hint="eastAsia" w:ascii="仿宋" w:hAnsi="仿宋" w:eastAsia="仿宋" w:cs="仿宋"/>
                <w:color w:val="auto"/>
                <w:kern w:val="0"/>
                <w:sz w:val="24"/>
              </w:rPr>
              <w:t>人。讲解演示结束后按要求解答评标委员会提问。</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（2）方案讲解演示可选择以下其中一种方式：</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方式二：</w:t>
            </w:r>
            <w:r>
              <w:rPr>
                <w:rFonts w:hint="eastAsia" w:ascii="仿宋" w:hAnsi="仿宋" w:eastAsia="仿宋" w:cs="仿宋"/>
                <w:color w:val="auto"/>
                <w:kern w:val="0"/>
                <w:sz w:val="24"/>
                <w:highlight w:val="none"/>
                <w:lang w:eastAsia="zh-CN"/>
              </w:rPr>
              <w:t>代理公司</w:t>
            </w:r>
            <w:r>
              <w:rPr>
                <w:rFonts w:hint="eastAsia" w:ascii="仿宋" w:hAnsi="仿宋" w:eastAsia="仿宋" w:cs="仿宋"/>
                <w:color w:val="auto"/>
                <w:kern w:val="0"/>
                <w:sz w:val="24"/>
              </w:rPr>
              <w:t>现场讲解演示。现场讲解地点为</w:t>
            </w:r>
            <w:r>
              <w:rPr>
                <w:rFonts w:hint="eastAsia" w:ascii="仿宋" w:hAnsi="仿宋" w:eastAsia="仿宋" w:cs="仿宋"/>
                <w:color w:val="auto"/>
                <w:sz w:val="24"/>
                <w:highlight w:val="none"/>
                <w:u w:val="single"/>
                <w:lang w:eastAsia="zh-CN"/>
              </w:rPr>
              <w:t>杭州市临安区锦城街道苕溪南路6号鸿硕集团三楼</w:t>
            </w:r>
            <w:r>
              <w:rPr>
                <w:rFonts w:hint="eastAsia" w:ascii="仿宋" w:hAnsi="仿宋" w:eastAsia="仿宋" w:cs="仿宋"/>
                <w:color w:val="auto"/>
                <w:kern w:val="0"/>
                <w:sz w:val="24"/>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仿宋" w:hAnsi="仿宋" w:eastAsia="仿宋" w:cs="仿宋"/>
                <w:b/>
                <w:color w:val="auto"/>
                <w:kern w:val="0"/>
                <w:sz w:val="24"/>
                <w:lang w:val="zh-CN"/>
              </w:rPr>
            </w:pPr>
            <w:r>
              <w:rPr>
                <w:rFonts w:hint="eastAsia" w:ascii="仿宋" w:hAnsi="仿宋" w:eastAsia="仿宋" w:cs="仿宋"/>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（1）资格证明文件：见招标文件第二部分11.1。</w:t>
            </w:r>
          </w:p>
          <w:p>
            <w:pPr>
              <w:spacing w:line="360" w:lineRule="auto"/>
              <w:rPr>
                <w:rFonts w:hint="eastAsia" w:ascii="仿宋" w:hAnsi="仿宋" w:eastAsia="仿宋" w:cs="仿宋"/>
                <w:snapToGrid w:val="0"/>
                <w:color w:val="auto"/>
                <w:kern w:val="0"/>
                <w:szCs w:val="21"/>
              </w:rPr>
            </w:pPr>
            <w:r>
              <w:rPr>
                <w:rFonts w:hint="eastAsia" w:ascii="仿宋" w:hAnsi="仿宋" w:eastAsia="仿宋" w:cs="仿宋"/>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color w:val="auto"/>
              </w:rPr>
            </w:pPr>
            <w:r>
              <w:rPr>
                <w:rFonts w:hint="eastAsia" w:ascii="仿宋" w:hAnsi="仿宋" w:eastAsia="仿宋" w:cs="仿宋"/>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有关本项目实施所需的所有费用（含税费）均计入报价。</w:t>
            </w:r>
            <w:r>
              <w:rPr>
                <w:rFonts w:hint="eastAsia" w:ascii="仿宋" w:hAnsi="仿宋" w:eastAsia="仿宋" w:cs="仿宋"/>
                <w:b/>
                <w:bCs/>
                <w:color w:val="auto"/>
                <w:kern w:val="0"/>
                <w:sz w:val="24"/>
                <w:lang w:val="zh-CN"/>
              </w:rPr>
              <w:t>投标文件</w:t>
            </w:r>
            <w:r>
              <w:rPr>
                <w:rFonts w:hint="eastAsia" w:ascii="仿宋" w:hAnsi="仿宋" w:eastAsia="仿宋" w:cs="仿宋"/>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lang w:val="zh-CN"/>
              </w:rPr>
              <w:t>投标文件中价格全部采用人民币报价。招标文件未列明，而投标人认为必需的费用也需列入报价。</w:t>
            </w:r>
            <w:r>
              <w:rPr>
                <w:rFonts w:hint="eastAsia" w:ascii="仿宋" w:hAnsi="仿宋" w:eastAsia="仿宋" w:cs="仿宋"/>
                <w:b/>
                <w:color w:val="auto"/>
                <w:kern w:val="0"/>
                <w:sz w:val="24"/>
                <w:lang w:val="zh-CN"/>
              </w:rPr>
              <w:t>提醒：验收时检测费用由采购人承担，不包含在投标总价中。</w:t>
            </w:r>
          </w:p>
          <w:p>
            <w:pPr>
              <w:snapToGrid w:val="0"/>
              <w:spacing w:line="360" w:lineRule="auto"/>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投标报价出现下列情形的，投标无效：</w:t>
            </w:r>
          </w:p>
          <w:p>
            <w:pPr>
              <w:snapToGrid w:val="0"/>
              <w:spacing w:line="360" w:lineRule="auto"/>
              <w:ind w:firstLine="241" w:firstLineChars="100"/>
              <w:jc w:val="left"/>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投标报价超过招标文件中规定的预算金额或者最高限价的;</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1"/>
              </w:rPr>
              <w:t>;</w:t>
            </w:r>
          </w:p>
          <w:p>
            <w:pPr>
              <w:spacing w:line="360" w:lineRule="auto"/>
              <w:ind w:firstLine="241" w:firstLineChars="100"/>
              <w:rPr>
                <w:rFonts w:hint="eastAsia" w:ascii="仿宋" w:hAnsi="仿宋" w:eastAsia="仿宋" w:cs="仿宋"/>
                <w:color w:val="auto"/>
                <w:sz w:val="24"/>
              </w:rPr>
            </w:pPr>
            <w:r>
              <w:rPr>
                <w:rFonts w:hint="eastAsia" w:ascii="仿宋" w:hAnsi="仿宋" w:eastAsia="仿宋" w:cs="仿宋"/>
                <w:b/>
                <w:color w:val="auto"/>
                <w:kern w:val="0"/>
                <w:sz w:val="24"/>
              </w:rPr>
              <w:t>投标人对根据修正原则修正后的报价不确认的</w:t>
            </w:r>
            <w:r>
              <w:rPr>
                <w:rFonts w:hint="eastAsia" w:ascii="仿宋" w:hAnsi="仿宋" w:eastAsia="仿宋" w:cs="仿宋"/>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仿宋" w:hAnsi="仿宋" w:eastAsia="仿宋" w:cs="仿宋"/>
                <w:color w:val="auto"/>
                <w:sz w:val="24"/>
              </w:rPr>
            </w:pPr>
            <w:r>
              <w:rPr>
                <w:rFonts w:hint="eastAsia" w:ascii="仿宋" w:hAnsi="仿宋" w:eastAsia="仿宋" w:cs="仿宋"/>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仿宋" w:hAnsi="仿宋" w:eastAsia="仿宋" w:cs="仿宋"/>
                <w:color w:val="auto"/>
                <w:kern w:val="28"/>
                <w:sz w:val="24"/>
              </w:rPr>
            </w:pPr>
            <w:r>
              <w:rPr>
                <w:rFonts w:hint="eastAsia" w:ascii="仿宋" w:hAnsi="仿宋" w:eastAsia="仿宋" w:cs="仿宋"/>
                <w:color w:val="auto"/>
                <w:kern w:val="28"/>
                <w:sz w:val="24"/>
                <w:szCs w:val="24"/>
              </w:rPr>
              <w:t>备份投标文件送达地点：</w:t>
            </w:r>
            <w:r>
              <w:rPr>
                <w:rFonts w:hint="eastAsia" w:ascii="仿宋" w:hAnsi="仿宋" w:eastAsia="仿宋" w:cs="仿宋"/>
                <w:color w:val="auto"/>
                <w:sz w:val="24"/>
                <w:u w:val="single"/>
              </w:rPr>
              <w:t xml:space="preserve"> </w:t>
            </w:r>
            <w:r>
              <w:rPr>
                <w:rFonts w:hint="eastAsia" w:ascii="仿宋" w:hAnsi="仿宋" w:eastAsia="仿宋" w:cs="仿宋"/>
                <w:color w:val="auto"/>
                <w:sz w:val="24"/>
                <w:highlight w:val="none"/>
                <w:u w:val="single"/>
              </w:rPr>
              <w:t>杭州市临安区锦城街道苕溪南路6号鸿硕集团</w:t>
            </w:r>
            <w:r>
              <w:rPr>
                <w:rFonts w:hint="eastAsia" w:ascii="仿宋" w:hAnsi="仿宋" w:eastAsia="仿宋" w:cs="仿宋"/>
                <w:color w:val="auto"/>
                <w:sz w:val="24"/>
                <w:highlight w:val="none"/>
                <w:u w:val="single"/>
                <w:lang w:eastAsia="zh-CN"/>
              </w:rPr>
              <w:t>三</w:t>
            </w:r>
            <w:r>
              <w:rPr>
                <w:rFonts w:hint="eastAsia" w:ascii="仿宋" w:hAnsi="仿宋" w:eastAsia="仿宋" w:cs="仿宋"/>
                <w:color w:val="auto"/>
                <w:sz w:val="24"/>
                <w:highlight w:val="none"/>
                <w:u w:val="single"/>
              </w:rPr>
              <w:t>楼</w:t>
            </w:r>
            <w:r>
              <w:rPr>
                <w:rFonts w:hint="eastAsia" w:ascii="仿宋" w:hAnsi="仿宋" w:eastAsia="仿宋" w:cs="仿宋"/>
                <w:color w:val="auto"/>
                <w:sz w:val="24"/>
                <w:highlight w:val="none"/>
                <w:u w:val="single"/>
                <w:lang w:eastAsia="zh-CN"/>
              </w:rPr>
              <w:t>科佳咨询代理部</w:t>
            </w:r>
            <w:r>
              <w:rPr>
                <w:rFonts w:hint="eastAsia" w:ascii="仿宋" w:hAnsi="仿宋" w:eastAsia="仿宋" w:cs="仿宋"/>
                <w:color w:val="auto"/>
                <w:kern w:val="28"/>
                <w:sz w:val="24"/>
                <w:szCs w:val="24"/>
              </w:rPr>
              <w:t>；备份投标文件签收人员联系电话：</w:t>
            </w:r>
            <w:r>
              <w:rPr>
                <w:rFonts w:hint="eastAsia" w:ascii="仿宋" w:hAnsi="仿宋" w:eastAsia="仿宋" w:cs="仿宋"/>
                <w:color w:val="auto"/>
                <w:sz w:val="24"/>
                <w:highlight w:val="none"/>
                <w:u w:val="single"/>
              </w:rPr>
              <w:t>0571-63858336</w:t>
            </w:r>
            <w:r>
              <w:rPr>
                <w:rFonts w:hint="eastAsia" w:ascii="仿宋" w:hAnsi="仿宋" w:eastAsia="仿宋" w:cs="仿宋"/>
                <w:color w:val="auto"/>
                <w:sz w:val="24"/>
                <w:szCs w:val="24"/>
              </w:rPr>
              <w:t>。</w:t>
            </w:r>
            <w:r>
              <w:rPr>
                <w:rFonts w:hint="eastAsia" w:ascii="仿宋" w:hAnsi="仿宋" w:eastAsia="仿宋" w:cs="仿宋"/>
                <w:b/>
                <w:color w:val="auto"/>
                <w:sz w:val="24"/>
                <w:szCs w:val="24"/>
              </w:rPr>
              <w:t>采购人、</w:t>
            </w:r>
            <w:r>
              <w:rPr>
                <w:rFonts w:hint="eastAsia" w:ascii="仿宋" w:hAnsi="仿宋" w:eastAsia="仿宋" w:cs="仿宋"/>
                <w:b/>
                <w:color w:val="auto"/>
                <w:sz w:val="24"/>
                <w:szCs w:val="24"/>
                <w:lang w:eastAsia="zh-CN"/>
              </w:rPr>
              <w:t>采购代理机构</w:t>
            </w:r>
            <w:r>
              <w:rPr>
                <w:rFonts w:hint="eastAsia" w:ascii="仿宋" w:hAnsi="仿宋" w:eastAsia="仿宋" w:cs="仿宋"/>
                <w:b/>
                <w:color w:val="auto"/>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1816336663"/>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snapToGrid w:val="0"/>
                <w:color w:val="auto"/>
                <w:kern w:val="28"/>
                <w:sz w:val="24"/>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color w:val="auto"/>
                <w:kern w:val="28"/>
                <w:sz w:val="24"/>
              </w:rPr>
            </w:pPr>
            <w:sdt>
              <w:sdtPr>
                <w:rPr>
                  <w:rFonts w:hint="eastAsia" w:ascii="仿宋" w:hAnsi="仿宋" w:eastAsia="仿宋" w:cs="仿宋"/>
                  <w:color w:val="auto"/>
                  <w:kern w:val="0"/>
                  <w:sz w:val="24"/>
                </w:rPr>
                <w:id w:val="-232311894"/>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sym w:font="Wingdings" w:char="F0FE"/>
                </w:r>
              </w:sdtContent>
            </w:sdt>
            <w:r>
              <w:rPr>
                <w:rFonts w:hint="eastAsia" w:ascii="仿宋" w:hAnsi="仿宋" w:eastAsia="仿宋" w:cs="仿宋"/>
                <w:snapToGrid w:val="0"/>
                <w:color w:val="auto"/>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color w:val="auto"/>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仿宋" w:hAnsi="仿宋" w:eastAsia="仿宋" w:cs="仿宋"/>
                <w:b/>
                <w:color w:val="auto"/>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color w:val="auto"/>
                <w:kern w:val="0"/>
                <w:sz w:val="24"/>
              </w:rPr>
            </w:pPr>
            <w:r>
              <w:rPr>
                <w:rFonts w:hint="eastAsia" w:ascii="仿宋" w:hAnsi="仿宋" w:eastAsia="仿宋" w:cs="仿宋"/>
                <w:snapToGrid w:val="0"/>
                <w:kern w:val="28"/>
                <w:sz w:val="24"/>
                <w:highlight w:val="none"/>
              </w:rPr>
              <w:t>中标单位在领取中标通知书时须提供与电子投标文件一致的纸质投标文件一正</w:t>
            </w:r>
            <w:r>
              <w:rPr>
                <w:rFonts w:hint="eastAsia" w:ascii="仿宋" w:hAnsi="仿宋" w:eastAsia="仿宋" w:cs="仿宋"/>
                <w:snapToGrid w:val="0"/>
                <w:kern w:val="28"/>
                <w:sz w:val="24"/>
                <w:highlight w:val="none"/>
                <w:lang w:eastAsia="zh-CN"/>
              </w:rPr>
              <w:t>三</w:t>
            </w:r>
            <w:r>
              <w:rPr>
                <w:rFonts w:hint="eastAsia" w:ascii="仿宋" w:hAnsi="仿宋" w:eastAsia="仿宋" w:cs="仿宋"/>
                <w:snapToGrid w:val="0"/>
                <w:kern w:val="28"/>
                <w:sz w:val="24"/>
                <w:highlight w:val="none"/>
              </w:rPr>
              <w:t>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sz w:val="24"/>
                <w:highlight w:val="none"/>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bCs/>
                <w:snapToGrid w:val="0"/>
                <w:kern w:val="28"/>
                <w:sz w:val="24"/>
                <w:szCs w:val="24"/>
                <w:highlight w:val="none"/>
                <w:lang w:val="en-US" w:eastAsia="zh-CN" w:bidi="ar-SA"/>
              </w:rPr>
              <w:t>招标代理费</w:t>
            </w:r>
          </w:p>
        </w:tc>
        <w:tc>
          <w:tcPr>
            <w:tcW w:w="6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由中标人支付。根据《关于规范政府采购相关付费范围及标准的有关通知》（临财发〔2021〕61号）收费标准执行。收费价格=收费标准*折扣。代理服务费参照发改价格〔2011〕534号文件、国家发改委计价格〔2002〕1980号文件规定收费标准收取。单个采购项目代理服务费不足肆仟元按肆仟元收取。领取中标通知书前支付。</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 xml:space="preserve">收款单位（户名）: 浙江科佳工程咨询有限公司临安分公司 </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开户银行：浙江临安农村商业银行股份有限公司营业部</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银行账号: 201000168242058</w:t>
            </w:r>
          </w:p>
          <w:p>
            <w:pPr>
              <w:keepNext w:val="0"/>
              <w:keepLines w:val="0"/>
              <w:pageBreakBefore w:val="0"/>
              <w:widowControl w:val="0"/>
              <w:kinsoku/>
              <w:wordWrap/>
              <w:overflowPunct/>
              <w:topLinePunct w:val="0"/>
              <w:autoSpaceDE/>
              <w:autoSpaceDN/>
              <w:bidi w:val="0"/>
              <w:snapToGrid w:val="0"/>
              <w:spacing w:line="360" w:lineRule="auto"/>
              <w:jc w:val="left"/>
              <w:textAlignment w:val="auto"/>
              <w:rPr>
                <w:rFonts w:hint="eastAsia" w:ascii="仿宋_GB2312" w:hAnsi="仿宋" w:eastAsia="仿宋_GB2312" w:cs="Times New Roman"/>
                <w:b w:val="0"/>
                <w:bCs w:val="0"/>
                <w:snapToGrid w:val="0"/>
                <w:kern w:val="28"/>
                <w:sz w:val="24"/>
                <w:szCs w:val="24"/>
                <w:highlight w:val="none"/>
                <w:lang w:val="en-US" w:eastAsia="zh-CN" w:bidi="ar-SA"/>
              </w:rPr>
            </w:pPr>
            <w:r>
              <w:rPr>
                <w:rFonts w:hint="eastAsia" w:ascii="仿宋_GB2312" w:hAnsi="仿宋" w:eastAsia="仿宋_GB2312" w:cs="Times New Roman"/>
                <w:b w:val="0"/>
                <w:bCs w:val="0"/>
                <w:snapToGrid w:val="0"/>
                <w:kern w:val="28"/>
                <w:sz w:val="24"/>
                <w:szCs w:val="24"/>
                <w:highlight w:val="none"/>
                <w:lang w:val="en-US" w:eastAsia="zh-CN" w:bidi="ar-SA"/>
              </w:rPr>
              <w:t>银行行号：402331005011</w:t>
            </w:r>
          </w:p>
          <w:p>
            <w:pPr>
              <w:spacing w:line="360" w:lineRule="auto"/>
              <w:rPr>
                <w:rFonts w:hint="eastAsia" w:ascii="仿宋" w:hAnsi="仿宋" w:eastAsia="仿宋" w:cs="仿宋"/>
                <w:snapToGrid w:val="0"/>
                <w:kern w:val="28"/>
                <w:sz w:val="24"/>
                <w:highlight w:val="none"/>
              </w:rPr>
            </w:pPr>
            <w:r>
              <w:rPr>
                <w:rFonts w:hint="eastAsia" w:ascii="仿宋_GB2312" w:hAnsi="仿宋" w:eastAsia="仿宋_GB2312" w:cs="Times New Roman"/>
                <w:b w:val="0"/>
                <w:bCs w:val="0"/>
                <w:snapToGrid w:val="0"/>
                <w:kern w:val="28"/>
                <w:sz w:val="24"/>
                <w:szCs w:val="24"/>
                <w:highlight w:val="none"/>
                <w:lang w:val="en-US" w:eastAsia="zh-CN" w:bidi="ar-SA"/>
              </w:rPr>
              <w:t>备注：放弃中标（成交）资格的供应商，须承担本项目招标代理费和专家评审费等费用。</w:t>
            </w:r>
          </w:p>
        </w:tc>
      </w:tr>
    </w:tbl>
    <w:p>
      <w:pPr>
        <w:snapToGrid w:val="0"/>
        <w:spacing w:line="360" w:lineRule="auto"/>
        <w:jc w:val="center"/>
        <w:rPr>
          <w:rFonts w:hint="eastAsia" w:ascii="仿宋" w:hAnsi="仿宋" w:eastAsia="仿宋" w:cs="仿宋"/>
          <w:b/>
          <w:color w:val="auto"/>
          <w:sz w:val="32"/>
          <w:szCs w:val="20"/>
        </w:rPr>
      </w:pPr>
    </w:p>
    <w:bookmarkEnd w:id="10"/>
    <w:p>
      <w:pPr>
        <w:spacing w:line="360" w:lineRule="auto"/>
        <w:rPr>
          <w:rFonts w:hint="eastAsia" w:ascii="仿宋" w:hAnsi="仿宋" w:eastAsia="仿宋" w:cs="仿宋"/>
          <w:b/>
          <w:color w:val="auto"/>
          <w:sz w:val="32"/>
          <w:szCs w:val="20"/>
        </w:rPr>
      </w:pPr>
      <w:bookmarkStart w:id="11" w:name="第三部分"/>
      <w:bookmarkStart w:id="12" w:name="_Toc164416483"/>
      <w:r>
        <w:rPr>
          <w:rFonts w:hint="eastAsia" w:ascii="仿宋" w:hAnsi="仿宋" w:eastAsia="仿宋" w:cs="仿宋"/>
          <w:b/>
          <w:color w:val="auto"/>
          <w:sz w:val="32"/>
          <w:szCs w:val="20"/>
        </w:rPr>
        <w:br w:type="page"/>
      </w:r>
    </w:p>
    <w:p>
      <w:pPr>
        <w:adjustRightInd/>
        <w:spacing w:line="360"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60" w:lineRule="auto"/>
        <w:ind w:firstLine="361" w:firstLineChars="150"/>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rPr>
      </w:pPr>
      <w:r>
        <w:rPr>
          <w:rFonts w:hint="eastAsia" w:ascii="仿宋" w:hAnsi="仿宋" w:eastAsia="仿宋" w:cs="仿宋"/>
          <w:b/>
          <w:color w:val="auto"/>
          <w:sz w:val="24"/>
        </w:rPr>
        <w:t xml:space="preserve">   2.定义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“采购人”系指招标公告中载明的本项目的采购人。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”系指招标公告中载明的本项目的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2.6“电子交易平台”</w:t>
      </w:r>
      <w:r>
        <w:rPr>
          <w:rFonts w:hint="eastAsia" w:ascii="仿宋" w:hAnsi="仿宋" w:eastAsia="仿宋" w:cs="仿宋"/>
          <w:color w:val="auto"/>
          <w:sz w:val="24"/>
          <w:lang w:val="en-US" w:eastAsia="zh-CN"/>
        </w:rPr>
        <w:t>系</w:t>
      </w:r>
      <w:r>
        <w:rPr>
          <w:rFonts w:hint="eastAsia" w:ascii="仿宋" w:hAnsi="仿宋" w:eastAsia="仿宋" w:cs="仿宋"/>
          <w:color w:val="auto"/>
          <w:sz w:val="24"/>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 “▲” 系指实质性要求条款，“</w:t>
      </w:r>
      <w:sdt>
        <w:sdtPr>
          <w:rPr>
            <w:rFonts w:hint="eastAsia" w:ascii="仿宋" w:hAnsi="仿宋" w:eastAsia="仿宋" w:cs="仿宋"/>
            <w:color w:val="auto"/>
            <w:kern w:val="0"/>
            <w:sz w:val="24"/>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Wingdings" w:hAnsi="Wingdings" w:eastAsia="仿宋" w:cs="仿宋"/>
              <w:color w:val="auto"/>
              <w:kern w:val="0"/>
              <w:sz w:val="24"/>
              <w:szCs w:val="24"/>
              <w:lang w:val="en-US" w:eastAsia="zh-CN" w:bidi="ar-SA"/>
            </w:rPr>
            <w:t>þ</w:t>
          </w:r>
        </w:sdtContent>
      </w:sdt>
      <w:r>
        <w:rPr>
          <w:rFonts w:hint="eastAsia" w:ascii="仿宋" w:hAnsi="仿宋" w:eastAsia="仿宋" w:cs="仿宋"/>
          <w:color w:val="auto"/>
          <w:sz w:val="24"/>
        </w:rPr>
        <w:t>” 系指适用本项目的要求，“</w:t>
      </w:r>
      <w:sdt>
        <w:sdtPr>
          <w:rPr>
            <w:rFonts w:hint="eastAsia" w:ascii="仿宋" w:hAnsi="仿宋" w:eastAsia="仿宋" w:cs="仿宋"/>
            <w:color w:val="auto"/>
            <w:kern w:val="0"/>
            <w:sz w:val="24"/>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color w:val="auto"/>
          <w:sz w:val="24"/>
        </w:rPr>
        <w:t>” 系指不适用本项目的要求。</w:t>
      </w:r>
    </w:p>
    <w:p>
      <w:pPr>
        <w:spacing w:line="360" w:lineRule="auto"/>
        <w:ind w:firstLine="241" w:firstLineChars="100"/>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不会对其加以限制，仍将按照公平竞争原则实施采购）；</w:t>
      </w:r>
      <w:r>
        <w:rPr>
          <w:rFonts w:hint="eastAsia" w:ascii="仿宋" w:hAnsi="仿宋" w:eastAsia="仿宋" w:cs="仿宋"/>
          <w:color w:val="auto"/>
          <w:kern w:val="0"/>
          <w:sz w:val="24"/>
        </w:rPr>
        <w:t>优先采购向我国企业转让技术、与我国企业签订消化吸收再创新方案的供应商的进口产品</w:t>
      </w:r>
      <w:r>
        <w:rPr>
          <w:rFonts w:hint="eastAsia" w:ascii="仿宋" w:hAnsi="仿宋" w:eastAsia="仿宋" w:cs="仿宋"/>
          <w:color w:val="auto"/>
          <w:sz w:val="24"/>
        </w:rPr>
        <w:t>。</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仿宋" w:hAnsi="仿宋" w:eastAsia="仿宋" w:cs="仿宋"/>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3.3支持中小企业发展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bCs/>
          <w:color w:val="auto"/>
          <w:sz w:val="24"/>
        </w:rPr>
        <w:t>3.3.2</w:t>
      </w:r>
      <w:r>
        <w:rPr>
          <w:rFonts w:hint="eastAsia" w:ascii="仿宋" w:hAnsi="仿宋" w:eastAsia="仿宋" w:cs="仿宋"/>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val="0"/>
        <w:snapToGrid/>
        <w:spacing w:line="360" w:lineRule="auto"/>
        <w:ind w:firstLine="240" w:firstLineChars="100"/>
        <w:textAlignment w:val="auto"/>
        <w:rPr>
          <w:rFonts w:hint="eastAsia"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pacing w:line="360" w:lineRule="auto"/>
        <w:ind w:firstLine="240" w:firstLineChars="100"/>
        <w:rPr>
          <w:rFonts w:hint="eastAsia" w:ascii="仿宋" w:hAnsi="仿宋" w:eastAsia="仿宋" w:cs="仿宋"/>
          <w:b/>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r>
        <w:rPr>
          <w:rFonts w:hint="eastAsia" w:ascii="仿宋" w:hAnsi="仿宋" w:eastAsia="仿宋" w:cs="仿宋"/>
          <w:color w:val="auto"/>
          <w:sz w:val="24"/>
        </w:rPr>
        <w:cr/>
      </w:r>
      <w:r>
        <w:rPr>
          <w:rFonts w:hint="eastAsia" w:ascii="仿宋" w:hAnsi="仿宋" w:eastAsia="仿宋" w:cs="仿宋"/>
          <w:b/>
          <w:color w:val="auto"/>
          <w:sz w:val="24"/>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4.3供应商质疑</w:t>
      </w:r>
    </w:p>
    <w:p>
      <w:pPr>
        <w:pStyle w:val="32"/>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4.3</w:t>
      </w:r>
      <w:r>
        <w:rPr>
          <w:rFonts w:hint="eastAsia" w:ascii="仿宋" w:hAnsi="仿宋" w:eastAsia="仿宋" w:cs="仿宋"/>
          <w:color w:val="auto"/>
          <w:sz w:val="24"/>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提出质疑，否则，采购人或者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不予受理：</w:t>
      </w:r>
    </w:p>
    <w:p>
      <w:pPr>
        <w:pStyle w:val="6"/>
        <w:spacing w:line="360" w:lineRule="auto"/>
        <w:ind w:firstLine="480" w:firstLineChars="200"/>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int="eastAsia" w:ascii="仿宋" w:hAnsi="仿宋" w:eastAsia="仿宋" w:cs="仿宋"/>
          <w:color w:val="auto"/>
          <w:sz w:val="24"/>
        </w:rPr>
      </w:pPr>
      <w:r>
        <w:rPr>
          <w:rFonts w:hint="eastAsia" w:ascii="仿宋" w:hAnsi="仿宋" w:eastAsia="仿宋" w:cs="仿宋"/>
          <w:color w:val="auto"/>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w:t>
      </w:r>
      <w:r>
        <w:rPr>
          <w:rFonts w:hint="eastAsia" w:ascii="仿宋" w:hAnsi="仿宋" w:eastAsia="仿宋" w:cs="仿宋"/>
          <w:color w:val="auto"/>
          <w:sz w:val="24"/>
        </w:rPr>
        <w:t>供应商提出质疑应当提交质疑函和必要的证明材料。质疑函应当包括下列内容：</w:t>
      </w:r>
    </w:p>
    <w:p>
      <w:pPr>
        <w:pStyle w:val="3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4.3.3.1供应商的姓名或者名称、地址、邮编、联系人及联系电话；</w:t>
      </w:r>
    </w:p>
    <w:p>
      <w:pPr>
        <w:pStyle w:val="3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4.3.3.2质疑项目的名称、编号；</w:t>
      </w:r>
    </w:p>
    <w:p>
      <w:pPr>
        <w:pStyle w:val="3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4.3.3.3具体、明确的质疑事项和与质疑事项相关的请求；</w:t>
      </w:r>
    </w:p>
    <w:p>
      <w:pPr>
        <w:pStyle w:val="3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4.3.3.4事实依据；</w:t>
      </w:r>
    </w:p>
    <w:p>
      <w:pPr>
        <w:pStyle w:val="32"/>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4.3.3.5必要的法律依据；</w:t>
      </w:r>
    </w:p>
    <w:p>
      <w:pPr>
        <w:pStyle w:val="32"/>
        <w:spacing w:line="360" w:lineRule="auto"/>
        <w:ind w:firstLine="960" w:firstLineChars="4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.5采购人或者</w:t>
      </w:r>
      <w:r>
        <w:rPr>
          <w:rFonts w:hint="eastAsia" w:ascii="仿宋" w:hAnsi="仿宋" w:eastAsia="仿宋" w:cs="仿宋"/>
          <w:color w:val="auto"/>
          <w:lang w:eastAsia="zh-CN"/>
        </w:rPr>
        <w:t>采购代理机构</w:t>
      </w:r>
      <w:r>
        <w:rPr>
          <w:rFonts w:hint="eastAsia" w:ascii="仿宋" w:hAnsi="仿宋" w:eastAsia="仿宋" w:cs="仿宋"/>
          <w:color w:val="auto"/>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lang w:eastAsia="zh-CN"/>
        </w:rPr>
        <w:t>采购代理机构</w:t>
      </w:r>
      <w:r>
        <w:rPr>
          <w:rFonts w:hint="eastAsia" w:ascii="仿宋" w:hAnsi="仿宋" w:eastAsia="仿宋" w:cs="仿宋"/>
          <w:color w:val="auto"/>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lang w:val="zh-CN"/>
        </w:rPr>
        <w:t>4.3</w:t>
      </w:r>
      <w:r>
        <w:rPr>
          <w:rFonts w:hint="eastAsia" w:ascii="仿宋" w:hAnsi="仿宋" w:eastAsia="仿宋" w:cs="仿宋"/>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color w:val="auto"/>
          <w:lang w:val="zh-CN"/>
        </w:rPr>
      </w:pPr>
      <w:r>
        <w:rPr>
          <w:rFonts w:hint="eastAsia" w:ascii="仿宋" w:hAnsi="仿宋" w:eastAsia="仿宋" w:cs="仿宋"/>
          <w:color w:val="auto"/>
          <w:lang w:val="zh-CN"/>
        </w:rPr>
        <w:t>4.4供应商投诉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rPr>
      </w:pPr>
      <w:r>
        <w:rPr>
          <w:rFonts w:hint="eastAsia" w:ascii="仿宋" w:hAnsi="仿宋" w:eastAsia="仿宋" w:cs="仿宋"/>
          <w:color w:val="auto"/>
        </w:rPr>
        <w:t>4.4.1质疑供应商对采购人、</w:t>
      </w:r>
      <w:r>
        <w:rPr>
          <w:rFonts w:hint="eastAsia" w:ascii="仿宋" w:hAnsi="仿宋" w:eastAsia="仿宋" w:cs="仿宋"/>
          <w:color w:val="auto"/>
          <w:lang w:eastAsia="zh-CN"/>
        </w:rPr>
        <w:t>采购代理机构</w:t>
      </w:r>
      <w:r>
        <w:rPr>
          <w:rFonts w:hint="eastAsia" w:ascii="仿宋" w:hAnsi="仿宋" w:eastAsia="仿宋" w:cs="仿宋"/>
          <w:color w:val="auto"/>
        </w:rPr>
        <w:t>的答复不满意或者采购人、</w:t>
      </w:r>
      <w:r>
        <w:rPr>
          <w:rFonts w:hint="eastAsia" w:ascii="仿宋" w:hAnsi="仿宋" w:eastAsia="仿宋" w:cs="仿宋"/>
          <w:color w:val="auto"/>
          <w:lang w:eastAsia="zh-CN"/>
        </w:rPr>
        <w:t>采购代理机构</w:t>
      </w:r>
      <w:r>
        <w:rPr>
          <w:rFonts w:hint="eastAsia" w:ascii="仿宋" w:hAnsi="仿宋" w:eastAsia="仿宋" w:cs="仿宋"/>
          <w:color w:val="auto"/>
        </w:rPr>
        <w:t>未在规定的时间内作出答复的，可以在答复期满后十五个工作日内向同级政府采购监督管理部门提出投诉。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rPr>
      </w:pPr>
      <w:r>
        <w:rPr>
          <w:rFonts w:hint="eastAsia" w:ascii="仿宋" w:hAnsi="仿宋" w:eastAsia="仿宋" w:cs="仿宋"/>
          <w:color w:val="auto"/>
        </w:rPr>
        <w:t>4.4.</w:t>
      </w:r>
      <w:r>
        <w:rPr>
          <w:rFonts w:hint="eastAsia" w:ascii="仿宋" w:hAnsi="仿宋" w:eastAsia="仿宋" w:cs="仿宋"/>
          <w:color w:val="auto"/>
          <w:lang w:val="zh-CN"/>
        </w:rPr>
        <w:t>2</w:t>
      </w:r>
      <w:r>
        <w:rPr>
          <w:rFonts w:hint="eastAsia" w:ascii="仿宋" w:hAnsi="仿宋" w:eastAsia="仿宋" w:cs="仿宋"/>
          <w:color w:val="auto"/>
        </w:rPr>
        <w:t>供应商投诉的事项不得超出已质疑事项的范围，基于质疑答复内容提出的投诉事项除外。</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rPr>
      </w:pPr>
      <w:r>
        <w:rPr>
          <w:rFonts w:hint="eastAsia" w:ascii="仿宋" w:hAnsi="仿宋" w:eastAsia="仿宋" w:cs="仿宋"/>
          <w:color w:val="auto"/>
        </w:rPr>
        <w:t>4.4.3供应商投诉应当有明确的请求和必要的证明材料。</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rPr>
      </w:pPr>
      <w:r>
        <w:rPr>
          <w:rFonts w:hint="eastAsia" w:ascii="仿宋" w:hAnsi="仿宋" w:eastAsia="仿宋" w:cs="仿宋"/>
          <w:color w:val="auto"/>
        </w:rPr>
        <w:t>4.4.4以联合体形式参加政府采购活动的，其投诉应当由组成联合体的所有供应商共同提出。</w:t>
      </w:r>
    </w:p>
    <w:p>
      <w:pPr>
        <w:pStyle w:val="886"/>
        <w:keepNext w:val="0"/>
        <w:keepLines w:val="0"/>
        <w:pageBreakBefore w:val="0"/>
        <w:widowControl/>
        <w:shd w:val="clear" w:color="auto" w:fill="FFFFFF"/>
        <w:kinsoku/>
        <w:wordWrap/>
        <w:overflowPunct/>
        <w:topLinePunct w:val="0"/>
        <w:autoSpaceDE/>
        <w:autoSpaceDN/>
        <w:bidi w:val="0"/>
        <w:adjustRightInd/>
        <w:snapToGrid w:val="0"/>
        <w:spacing w:after="240" w:afterAutospacing="0" w:line="360" w:lineRule="auto"/>
        <w:ind w:firstLine="480" w:firstLineChars="200"/>
        <w:contextualSpacing/>
        <w:textAlignment w:val="auto"/>
        <w:rPr>
          <w:rFonts w:hint="eastAsia" w:ascii="仿宋" w:hAnsi="仿宋" w:eastAsia="仿宋" w:cs="仿宋"/>
          <w:color w:val="auto"/>
        </w:rPr>
      </w:pPr>
      <w:r>
        <w:rPr>
          <w:rFonts w:hint="eastAsia" w:ascii="仿宋" w:hAnsi="仿宋" w:eastAsia="仿宋" w:cs="仿宋"/>
          <w:color w:val="auto"/>
        </w:rPr>
        <w:t>4.4.5</w:t>
      </w:r>
      <w:r>
        <w:rPr>
          <w:rFonts w:hint="eastAsia" w:ascii="仿宋" w:hAnsi="仿宋" w:eastAsia="仿宋" w:cs="仿宋"/>
          <w:color w:val="auto"/>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hint="eastAsia" w:ascii="仿宋" w:hAnsi="仿宋" w:eastAsia="仿宋" w:cs="仿宋"/>
          <w:color w:val="auto"/>
        </w:rPr>
      </w:pPr>
      <w:r>
        <w:rPr>
          <w:rFonts w:hint="eastAsia" w:ascii="仿宋" w:hAnsi="仿宋" w:eastAsia="仿宋" w:cs="仿宋"/>
          <w:color w:val="auto"/>
        </w:rPr>
        <w:t>投诉书范本及制作说明详见附件3。</w:t>
      </w:r>
    </w:p>
    <w:p>
      <w:pPr>
        <w:pStyle w:val="128"/>
        <w:snapToGrid w:val="0"/>
        <w:spacing w:before="0" w:line="360" w:lineRule="auto"/>
        <w:ind w:firstLine="360"/>
        <w:rPr>
          <w:rFonts w:hint="eastAsia" w:ascii="仿宋" w:hAnsi="仿宋" w:eastAsia="仿宋" w:cs="仿宋"/>
          <w:color w:val="auto"/>
          <w:sz w:val="18"/>
          <w:szCs w:val="18"/>
        </w:rPr>
      </w:pPr>
    </w:p>
    <w:p>
      <w:pPr>
        <w:adjustRightInd/>
        <w:spacing w:line="360"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 xml:space="preserve">      二、招标文件的构成、澄清、修改</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5．招标文件的构成</w:t>
      </w:r>
    </w:p>
    <w:p>
      <w:pPr>
        <w:pStyle w:val="3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5.1 招标文件包括下列文件及附件：</w:t>
      </w:r>
    </w:p>
    <w:p>
      <w:pPr>
        <w:pStyle w:val="3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5.1.1招标公告；</w:t>
      </w:r>
    </w:p>
    <w:p>
      <w:pPr>
        <w:pStyle w:val="3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5.1.2投标人须知；</w:t>
      </w:r>
    </w:p>
    <w:p>
      <w:pPr>
        <w:pStyle w:val="3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5.1.3采购需求；</w:t>
      </w:r>
    </w:p>
    <w:p>
      <w:pPr>
        <w:pStyle w:val="3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5.1.4评标办法；</w:t>
      </w:r>
    </w:p>
    <w:p>
      <w:pPr>
        <w:pStyle w:val="3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szCs w:val="24"/>
        </w:rPr>
        <w:t>5.1.5拟签订的合同文本；</w:t>
      </w:r>
    </w:p>
    <w:p>
      <w:pPr>
        <w:pStyle w:val="32"/>
        <w:tabs>
          <w:tab w:val="left" w:pos="840"/>
        </w:tabs>
        <w:spacing w:line="360" w:lineRule="auto"/>
        <w:ind w:firstLine="960" w:firstLineChars="400"/>
        <w:rPr>
          <w:rFonts w:hint="eastAsia" w:ascii="仿宋" w:hAnsi="仿宋" w:eastAsia="仿宋" w:cs="仿宋"/>
          <w:color w:val="auto"/>
          <w:sz w:val="24"/>
          <w:szCs w:val="24"/>
        </w:rPr>
      </w:pPr>
      <w:r>
        <w:rPr>
          <w:rFonts w:hint="eastAsia" w:ascii="仿宋" w:hAnsi="仿宋" w:eastAsia="仿宋" w:cs="仿宋"/>
          <w:color w:val="auto"/>
          <w:sz w:val="24"/>
        </w:rPr>
        <w:t>5.1.6</w:t>
      </w:r>
      <w:r>
        <w:rPr>
          <w:rFonts w:hint="eastAsia" w:ascii="仿宋" w:hAnsi="仿宋" w:eastAsia="仿宋" w:cs="仿宋"/>
          <w:color w:val="auto"/>
          <w:sz w:val="24"/>
          <w:szCs w:val="24"/>
        </w:rPr>
        <w:t>应提交的有关格式范例。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5.2与本项目有关的</w:t>
      </w:r>
      <w:r>
        <w:rPr>
          <w:rFonts w:hint="eastAsia" w:ascii="仿宋" w:hAnsi="仿宋" w:eastAsia="仿宋" w:cs="仿宋"/>
          <w:bCs/>
          <w:color w:val="auto"/>
          <w:sz w:val="24"/>
        </w:rPr>
        <w:t>澄清或者修改的内容为招标文件的组成部分</w:t>
      </w:r>
      <w:r>
        <w:rPr>
          <w:rFonts w:hint="eastAsia" w:ascii="仿宋" w:hAnsi="仿宋" w:eastAsia="仿宋" w:cs="仿宋"/>
          <w:color w:val="auto"/>
          <w:sz w:val="24"/>
        </w:rPr>
        <w:t>。</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6. 招标文件的澄清、修改</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6.1已获取招标文件的潜在投标人，若有问题需要澄清，应于投标截止时间前，以书面形式向</w:t>
      </w:r>
      <w:r>
        <w:rPr>
          <w:rFonts w:hint="eastAsia" w:ascii="仿宋" w:hAnsi="仿宋" w:eastAsia="仿宋" w:cs="仿宋"/>
          <w:color w:val="auto"/>
          <w:lang w:eastAsia="zh-CN"/>
        </w:rPr>
        <w:t>采购代理机构</w:t>
      </w:r>
      <w:r>
        <w:rPr>
          <w:rFonts w:hint="eastAsia" w:ascii="仿宋" w:hAnsi="仿宋" w:eastAsia="仿宋" w:cs="仿宋"/>
          <w:color w:val="auto"/>
        </w:rPr>
        <w:t>提出。</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 xml:space="preserve">6.2 </w:t>
      </w:r>
      <w:r>
        <w:rPr>
          <w:rFonts w:hint="eastAsia" w:ascii="仿宋" w:hAnsi="仿宋" w:eastAsia="仿宋" w:cs="仿宋"/>
          <w:color w:val="auto"/>
          <w:lang w:eastAsia="zh-CN"/>
        </w:rPr>
        <w:t>采购代理机构</w:t>
      </w:r>
      <w:r>
        <w:rPr>
          <w:rFonts w:hint="eastAsia" w:ascii="仿宋" w:hAnsi="仿宋" w:eastAsia="仿宋" w:cs="仿宋"/>
          <w:color w:val="auto"/>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spacing w:line="360" w:lineRule="auto"/>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60" w:lineRule="auto"/>
        <w:jc w:val="center"/>
        <w:outlineLvl w:val="0"/>
        <w:rPr>
          <w:rFonts w:hint="eastAsia" w:ascii="仿宋" w:hAnsi="仿宋" w:eastAsia="仿宋" w:cs="仿宋"/>
          <w:b/>
          <w:color w:val="auto"/>
          <w:sz w:val="30"/>
          <w:szCs w:val="20"/>
        </w:rPr>
      </w:pPr>
      <w:r>
        <w:rPr>
          <w:rFonts w:hint="eastAsia" w:ascii="仿宋" w:hAnsi="仿宋" w:eastAsia="仿宋" w:cs="仿宋"/>
          <w:b/>
          <w:color w:val="auto"/>
          <w:sz w:val="30"/>
          <w:szCs w:val="20"/>
        </w:rPr>
        <w:t>三、投标</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7. 招标文件的获取</w:t>
      </w:r>
    </w:p>
    <w:p>
      <w:pPr>
        <w:spacing w:line="360" w:lineRule="auto"/>
        <w:ind w:firstLine="480" w:firstLineChars="200"/>
        <w:rPr>
          <w:rFonts w:hint="eastAsia" w:ascii="仿宋" w:hAnsi="仿宋" w:eastAsia="仿宋" w:cs="仿宋"/>
          <w:snapToGrid w:val="0"/>
          <w:color w:val="auto"/>
          <w:kern w:val="28"/>
          <w:sz w:val="24"/>
        </w:rPr>
      </w:pPr>
      <w:r>
        <w:rPr>
          <w:rFonts w:hint="eastAsia" w:ascii="仿宋" w:hAnsi="仿宋" w:eastAsia="仿宋" w:cs="仿宋"/>
          <w:snapToGrid w:val="0"/>
          <w:color w:val="auto"/>
          <w:kern w:val="28"/>
          <w:sz w:val="24"/>
        </w:rPr>
        <w:t>详见招标公告中获取招标文件的时间期限、地点、方式及招标文件售价。</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8.开标前答疑会或现场考察</w:t>
      </w:r>
    </w:p>
    <w:p>
      <w:pPr>
        <w:pStyle w:val="3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int="eastAsia" w:ascii="仿宋" w:hAnsi="仿宋" w:eastAsia="仿宋" w:cs="仿宋"/>
          <w:b/>
          <w:color w:val="auto"/>
          <w:szCs w:val="24"/>
        </w:rPr>
      </w:pPr>
      <w:r>
        <w:rPr>
          <w:rFonts w:hint="eastAsia" w:ascii="仿宋" w:hAnsi="仿宋" w:eastAsia="仿宋" w:cs="仿宋"/>
          <w:b/>
          <w:color w:val="auto"/>
          <w:kern w:val="28"/>
          <w:sz w:val="24"/>
          <w:szCs w:val="24"/>
        </w:rPr>
        <w:t>9.投标保证金</w:t>
      </w:r>
    </w:p>
    <w:p>
      <w:pPr>
        <w:pStyle w:val="6"/>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10. 投标文件的语言</w:t>
      </w:r>
    </w:p>
    <w:p>
      <w:pPr>
        <w:autoSpaceDE w:val="0"/>
        <w:autoSpaceDN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投标文件及投标人与采购有关的来往通知、函件和文件均应使用中文。</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11. 投标文件的组成</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w:t>
      </w:r>
      <w:r>
        <w:rPr>
          <w:rFonts w:hint="eastAsia" w:ascii="仿宋" w:hAnsi="仿宋" w:eastAsia="仿宋" w:cs="仿宋"/>
          <w:b/>
          <w:color w:val="auto"/>
          <w:sz w:val="24"/>
        </w:rPr>
        <w:t>资格文件</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11.1.2</w:t>
      </w:r>
      <w:r>
        <w:rPr>
          <w:rFonts w:hint="eastAsia" w:ascii="仿宋" w:hAnsi="仿宋" w:eastAsia="仿宋" w:cs="仿宋"/>
          <w:snapToGrid w:val="0"/>
          <w:color w:val="auto"/>
          <w:kern w:val="28"/>
          <w:sz w:val="24"/>
          <w:szCs w:val="20"/>
        </w:rPr>
        <w:t>联合协议（如果有)；</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11.1.3落实政府采购政策需满足的资格要求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11.1.4本项目的特定资格要求</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480" w:firstLineChars="2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11.2.1投标函；</w:t>
      </w:r>
      <w:r>
        <w:rPr>
          <w:rFonts w:hint="eastAsia" w:ascii="仿宋" w:hAnsi="仿宋" w:eastAsia="仿宋" w:cs="仿宋"/>
          <w:color w:val="auto"/>
          <w:sz w:val="24"/>
          <w:lang w:val="zh-CN"/>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11.2.3分包意向协议</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11.2.6投标标的清单；</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11.2.7商务技术偏离表；</w:t>
      </w:r>
    </w:p>
    <w:p>
      <w:pPr>
        <w:snapToGrid w:val="0"/>
        <w:spacing w:line="360" w:lineRule="auto"/>
        <w:ind w:firstLine="960" w:firstLineChars="400"/>
        <w:rPr>
          <w:rFonts w:hint="eastAsia" w:ascii="仿宋" w:hAnsi="仿宋" w:eastAsia="仿宋" w:cs="仿宋"/>
          <w:color w:val="auto"/>
          <w:sz w:val="24"/>
          <w:lang w:val="zh-CN"/>
        </w:rPr>
      </w:pPr>
      <w:r>
        <w:rPr>
          <w:rFonts w:hint="eastAsia" w:ascii="仿宋" w:hAnsi="仿宋" w:eastAsia="仿宋" w:cs="仿宋"/>
          <w:color w:val="auto"/>
          <w:sz w:val="24"/>
          <w:lang w:val="zh-CN"/>
        </w:rPr>
        <w:t>11.</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firstLine="480" w:firstLineChars="200"/>
        <w:rPr>
          <w:rFonts w:hint="eastAsia" w:ascii="仿宋" w:hAnsi="仿宋" w:eastAsia="仿宋" w:cs="仿宋"/>
          <w:color w:val="auto"/>
          <w:sz w:val="24"/>
          <w:u w:val="single"/>
          <w:lang w:val="zh-CN"/>
        </w:rPr>
      </w:pPr>
      <w:r>
        <w:rPr>
          <w:rFonts w:hint="eastAsia" w:ascii="仿宋" w:hAnsi="仿宋" w:eastAsia="仿宋" w:cs="仿宋"/>
          <w:color w:val="auto"/>
          <w:kern w:val="0"/>
          <w:sz w:val="24"/>
          <w:lang w:val="zh-CN"/>
        </w:rPr>
        <w:t>11.</w:t>
      </w:r>
      <w:r>
        <w:rPr>
          <w:rFonts w:hint="eastAsia" w:ascii="仿宋" w:hAnsi="仿宋" w:eastAsia="仿宋" w:cs="仿宋"/>
          <w:color w:val="auto"/>
          <w:kern w:val="0"/>
          <w:sz w:val="24"/>
        </w:rPr>
        <w:t>3</w:t>
      </w:r>
      <w:r>
        <w:rPr>
          <w:rFonts w:hint="eastAsia" w:ascii="仿宋" w:hAnsi="仿宋" w:eastAsia="仿宋" w:cs="仿宋"/>
          <w:b/>
          <w:color w:val="auto"/>
          <w:sz w:val="24"/>
        </w:rPr>
        <w:t>报价文件：</w:t>
      </w:r>
      <w:r>
        <w:rPr>
          <w:rFonts w:hint="eastAsia" w:ascii="仿宋" w:hAnsi="仿宋" w:eastAsia="仿宋" w:cs="仿宋"/>
          <w:color w:val="auto"/>
          <w:sz w:val="24"/>
        </w:rPr>
        <w:t xml:space="preserve"> </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11.3.1开标一览表（报价表）；</w:t>
      </w:r>
    </w:p>
    <w:p>
      <w:pPr>
        <w:snapToGrid w:val="0"/>
        <w:spacing w:line="360" w:lineRule="auto"/>
        <w:ind w:firstLine="960" w:firstLineChars="400"/>
        <w:rPr>
          <w:rFonts w:hint="eastAsia" w:ascii="仿宋" w:hAnsi="仿宋" w:eastAsia="仿宋" w:cs="仿宋"/>
          <w:color w:val="auto"/>
          <w:sz w:val="24"/>
        </w:rPr>
      </w:pPr>
      <w:r>
        <w:rPr>
          <w:rFonts w:hint="eastAsia" w:ascii="仿宋" w:hAnsi="仿宋" w:eastAsia="仿宋" w:cs="仿宋"/>
          <w:color w:val="auto"/>
          <w:sz w:val="24"/>
        </w:rPr>
        <w:t>11.3.2中小企业声明函。</w:t>
      </w:r>
    </w:p>
    <w:p>
      <w:pPr>
        <w:spacing w:line="360" w:lineRule="auto"/>
        <w:ind w:firstLine="723" w:firstLineChars="300"/>
        <w:rPr>
          <w:rFonts w:hint="eastAsia" w:ascii="仿宋" w:hAnsi="仿宋" w:eastAsia="仿宋" w:cs="仿宋"/>
          <w:b/>
          <w:color w:val="auto"/>
          <w:sz w:val="24"/>
        </w:rPr>
      </w:pPr>
      <w:r>
        <w:rPr>
          <w:rFonts w:hint="eastAsia" w:ascii="仿宋" w:hAnsi="仿宋" w:eastAsia="仿宋" w:cs="仿宋"/>
          <w:b/>
          <w:color w:val="auto"/>
          <w:sz w:val="24"/>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rPr>
      </w:pPr>
      <w:r>
        <w:rPr>
          <w:rFonts w:hint="eastAsia" w:ascii="仿宋" w:hAnsi="仿宋" w:eastAsia="仿宋" w:cs="仿宋"/>
          <w:b/>
          <w:color w:val="auto"/>
          <w:sz w:val="24"/>
        </w:rPr>
        <w:t>投标人提供虚假材料投标的，投标无效。</w:t>
      </w:r>
    </w:p>
    <w:p>
      <w:pPr>
        <w:pStyle w:val="128"/>
        <w:snapToGrid w:val="0"/>
        <w:spacing w:before="0" w:line="360" w:lineRule="auto"/>
        <w:ind w:firstLine="0" w:firstLineChars="0"/>
        <w:outlineLvl w:val="0"/>
        <w:rPr>
          <w:rFonts w:hint="eastAsia" w:ascii="仿宋" w:hAnsi="仿宋" w:eastAsia="仿宋" w:cs="仿宋"/>
          <w:b/>
          <w:color w:val="auto"/>
          <w:szCs w:val="24"/>
        </w:rPr>
      </w:pPr>
      <w:r>
        <w:rPr>
          <w:rFonts w:hint="eastAsia" w:ascii="仿宋" w:hAnsi="仿宋" w:eastAsia="仿宋" w:cs="仿宋"/>
          <w:b/>
          <w:color w:val="auto"/>
          <w:szCs w:val="24"/>
        </w:rPr>
        <w:t>12</w:t>
      </w:r>
      <w:r>
        <w:rPr>
          <w:rFonts w:hint="eastAsia" w:ascii="仿宋" w:hAnsi="仿宋" w:eastAsia="仿宋" w:cs="仿宋"/>
          <w:b/>
          <w:color w:val="auto"/>
          <w:kern w:val="0"/>
          <w:szCs w:val="24"/>
          <w:lang w:val="zh-CN"/>
        </w:rPr>
        <w:t xml:space="preserve">. </w:t>
      </w:r>
      <w:r>
        <w:rPr>
          <w:rFonts w:hint="eastAsia" w:ascii="仿宋" w:hAnsi="仿宋" w:eastAsia="仿宋" w:cs="仿宋"/>
          <w:b/>
          <w:color w:val="auto"/>
          <w:szCs w:val="24"/>
        </w:rPr>
        <w:t>投标文件的编制</w:t>
      </w:r>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rPr>
      </w:pPr>
      <w:r>
        <w:rPr>
          <w:rFonts w:hint="eastAsia" w:ascii="仿宋" w:hAnsi="仿宋" w:eastAsia="仿宋" w:cs="仿宋"/>
          <w:b/>
          <w:color w:val="auto"/>
          <w:sz w:val="24"/>
        </w:rPr>
        <w:t>13.投标文件的签署、盖章</w:t>
      </w:r>
    </w:p>
    <w:p>
      <w:pPr>
        <w:pStyle w:val="128"/>
        <w:snapToGrid w:val="0"/>
        <w:spacing w:before="0" w:line="360" w:lineRule="auto"/>
        <w:ind w:firstLine="480"/>
        <w:rPr>
          <w:rFonts w:hint="eastAsia" w:ascii="仿宋" w:hAnsi="仿宋" w:eastAsia="仿宋" w:cs="仿宋"/>
          <w:b/>
          <w:color w:val="auto"/>
        </w:rPr>
      </w:pPr>
      <w:r>
        <w:rPr>
          <w:rFonts w:hint="eastAsia" w:ascii="仿宋" w:hAnsi="仿宋" w:eastAsia="仿宋" w:cs="仿宋"/>
          <w:color w:val="auto"/>
          <w:szCs w:val="24"/>
        </w:rPr>
        <w:t>13.1投标文件按照招标文件第六部分格式要</w:t>
      </w:r>
      <w:r>
        <w:rPr>
          <w:rFonts w:hint="eastAsia" w:ascii="仿宋" w:hAnsi="仿宋" w:eastAsia="仿宋" w:cs="仿宋"/>
          <w:color w:val="auto"/>
        </w:rPr>
        <w:t>求进行签署、盖章。</w:t>
      </w:r>
      <w:r>
        <w:rPr>
          <w:rFonts w:hint="eastAsia" w:ascii="仿宋" w:hAnsi="仿宋" w:eastAsia="仿宋" w:cs="仿宋"/>
          <w:b/>
          <w:color w:val="auto"/>
        </w:rPr>
        <w:t>▲投标人的投标文件未按照招标文件要求签署、盖章的，其投标无效</w:t>
      </w:r>
      <w:r>
        <w:rPr>
          <w:rFonts w:hint="eastAsia" w:ascii="仿宋" w:hAnsi="仿宋" w:eastAsia="仿宋" w:cs="仿宋"/>
          <w:color w:val="auto"/>
          <w:szCs w:val="24"/>
        </w:rPr>
        <w:t>。</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line="360" w:lineRule="auto"/>
        <w:ind w:firstLine="480"/>
        <w:rPr>
          <w:rFonts w:hint="eastAsia" w:ascii="仿宋" w:hAnsi="仿宋" w:eastAsia="仿宋" w:cs="仿宋"/>
          <w:color w:val="auto"/>
          <w:szCs w:val="24"/>
        </w:rPr>
      </w:pPr>
      <w:r>
        <w:rPr>
          <w:rFonts w:hint="eastAsia" w:ascii="仿宋" w:hAnsi="仿宋" w:eastAsia="仿宋" w:cs="仿宋"/>
          <w:color w:val="auto"/>
        </w:rPr>
        <w:t>13.3招标文件对投标文件签署、盖章的要求适用于电子签名。</w:t>
      </w:r>
    </w:p>
    <w:p>
      <w:pPr>
        <w:pStyle w:val="128"/>
        <w:spacing w:before="0" w:line="36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14. 投标文件的提交、补充、修改、撤回</w:t>
      </w:r>
    </w:p>
    <w:p>
      <w:pPr>
        <w:pStyle w:val="128"/>
        <w:spacing w:line="360" w:lineRule="auto"/>
        <w:ind w:firstLine="480"/>
        <w:rPr>
          <w:rFonts w:hint="eastAsia" w:ascii="仿宋" w:hAnsi="仿宋" w:eastAsia="仿宋" w:cs="仿宋"/>
          <w:color w:val="auto"/>
          <w:szCs w:val="24"/>
        </w:rPr>
      </w:pPr>
      <w:r>
        <w:rPr>
          <w:rFonts w:hint="eastAsia" w:ascii="仿宋" w:hAnsi="仿宋" w:eastAsia="仿宋" w:cs="仿宋"/>
          <w:color w:val="auto"/>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line="360" w:lineRule="auto"/>
        <w:ind w:firstLine="480"/>
        <w:rPr>
          <w:rFonts w:hint="eastAsia" w:ascii="仿宋" w:hAnsi="仿宋" w:eastAsia="仿宋" w:cs="仿宋"/>
          <w:color w:val="auto"/>
          <w:szCs w:val="24"/>
        </w:rPr>
      </w:pPr>
      <w:r>
        <w:rPr>
          <w:rFonts w:hint="eastAsia" w:ascii="仿宋" w:hAnsi="仿宋" w:eastAsia="仿宋" w:cs="仿宋"/>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line="360" w:lineRule="auto"/>
        <w:ind w:firstLine="480"/>
        <w:rPr>
          <w:rFonts w:hint="eastAsia" w:ascii="仿宋" w:hAnsi="仿宋" w:eastAsia="仿宋" w:cs="仿宋"/>
          <w:color w:val="auto"/>
          <w:szCs w:val="24"/>
        </w:rPr>
      </w:pPr>
      <w:r>
        <w:rPr>
          <w:rFonts w:hint="eastAsia" w:ascii="仿宋" w:hAnsi="仿宋" w:eastAsia="仿宋" w:cs="仿宋"/>
          <w:color w:val="auto"/>
          <w:szCs w:val="24"/>
        </w:rPr>
        <w:t>14.3采购人、</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可以视情况延长投标文件提交的截止时间。在上述情况下，</w:t>
      </w:r>
      <w:r>
        <w:rPr>
          <w:rFonts w:hint="eastAsia" w:ascii="仿宋" w:hAnsi="仿宋" w:eastAsia="仿宋" w:cs="仿宋"/>
          <w:color w:val="auto"/>
          <w:szCs w:val="24"/>
          <w:lang w:eastAsia="zh-CN"/>
        </w:rPr>
        <w:t>采购代理机构</w:t>
      </w:r>
      <w:r>
        <w:rPr>
          <w:rFonts w:hint="eastAsia" w:ascii="仿宋" w:hAnsi="仿宋" w:eastAsia="仿宋" w:cs="仿宋"/>
          <w:color w:val="auto"/>
          <w:szCs w:val="24"/>
        </w:rPr>
        <w:t>与投标人以前在投标截止期方面的全部权利、责任和义务，将适用于延长至新的投标截止期。</w:t>
      </w:r>
    </w:p>
    <w:p>
      <w:pPr>
        <w:pStyle w:val="32"/>
        <w:spacing w:line="360" w:lineRule="auto"/>
        <w:rPr>
          <w:rFonts w:hint="eastAsia" w:ascii="仿宋" w:hAnsi="仿宋" w:eastAsia="仿宋" w:cs="仿宋"/>
          <w:b/>
          <w:color w:val="auto"/>
          <w:sz w:val="24"/>
          <w:szCs w:val="24"/>
        </w:rPr>
      </w:pPr>
      <w:r>
        <w:rPr>
          <w:rFonts w:hint="eastAsia" w:ascii="仿宋" w:hAnsi="仿宋" w:eastAsia="仿宋" w:cs="仿宋"/>
          <w:b/>
          <w:color w:val="auto"/>
          <w:sz w:val="24"/>
          <w:szCs w:val="24"/>
        </w:rPr>
        <w:t>15.备份投标文件</w:t>
      </w:r>
    </w:p>
    <w:p>
      <w:pPr>
        <w:pStyle w:val="32"/>
        <w:spacing w:line="360" w:lineRule="auto"/>
        <w:ind w:firstLine="360" w:firstLineChars="150"/>
        <w:rPr>
          <w:rFonts w:hint="eastAsia" w:ascii="仿宋" w:hAnsi="仿宋" w:eastAsia="仿宋" w:cs="仿宋"/>
          <w:b/>
          <w:color w:val="auto"/>
          <w:sz w:val="24"/>
          <w:szCs w:val="24"/>
        </w:rPr>
      </w:pPr>
      <w:r>
        <w:rPr>
          <w:rFonts w:hint="eastAsia" w:ascii="仿宋" w:hAnsi="仿宋" w:eastAsia="仿宋" w:cs="仿宋"/>
          <w:color w:val="auto"/>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rPr>
        <w:t>但采购人、</w:t>
      </w:r>
      <w:r>
        <w:rPr>
          <w:rFonts w:hint="eastAsia" w:ascii="仿宋" w:hAnsi="仿宋" w:eastAsia="仿宋" w:cs="仿宋"/>
          <w:b/>
          <w:color w:val="auto"/>
          <w:sz w:val="24"/>
          <w:szCs w:val="24"/>
          <w:lang w:eastAsia="zh-CN"/>
        </w:rPr>
        <w:t>采购代理机构</w:t>
      </w:r>
      <w:r>
        <w:rPr>
          <w:rFonts w:hint="eastAsia" w:ascii="仿宋" w:hAnsi="仿宋" w:eastAsia="仿宋" w:cs="仿宋"/>
          <w:b/>
          <w:color w:val="auto"/>
          <w:sz w:val="24"/>
          <w:szCs w:val="24"/>
        </w:rPr>
        <w:t>不强制或变相强制投标人提交备份投标文件。</w:t>
      </w:r>
    </w:p>
    <w:p>
      <w:pPr>
        <w:pStyle w:val="32"/>
        <w:spacing w:line="360" w:lineRule="auto"/>
        <w:ind w:firstLine="480" w:firstLineChars="200"/>
        <w:rPr>
          <w:rFonts w:hint="eastAsia" w:ascii="仿宋" w:hAnsi="仿宋" w:eastAsia="仿宋" w:cs="仿宋"/>
          <w:b/>
          <w:color w:val="auto"/>
          <w:sz w:val="24"/>
          <w:szCs w:val="24"/>
        </w:rPr>
      </w:pPr>
      <w:r>
        <w:rPr>
          <w:rFonts w:hint="eastAsia" w:ascii="仿宋" w:hAnsi="仿宋" w:eastAsia="仿宋" w:cs="仿宋"/>
          <w:color w:val="auto"/>
          <w:sz w:val="24"/>
          <w:szCs w:val="24"/>
        </w:rPr>
        <w:t>15.2备份投标文件须在“政采云投标客户端”制作生成，并储存在</w:t>
      </w:r>
      <w:r>
        <w:rPr>
          <w:rFonts w:hint="eastAsia" w:ascii="仿宋" w:hAnsi="仿宋" w:eastAsia="仿宋" w:cs="仿宋"/>
          <w:color w:val="auto"/>
          <w:sz w:val="24"/>
        </w:rPr>
        <w:t>DVD光盘</w:t>
      </w:r>
      <w:r>
        <w:rPr>
          <w:rFonts w:hint="eastAsia" w:ascii="仿宋" w:hAnsi="仿宋" w:eastAsia="仿宋" w:cs="仿宋"/>
          <w:color w:val="auto"/>
          <w:sz w:val="24"/>
          <w:lang w:val="en-US" w:eastAsia="zh-CN"/>
        </w:rPr>
        <w:t>等存储介质</w:t>
      </w:r>
      <w:r>
        <w:rPr>
          <w:rFonts w:hint="eastAsia" w:ascii="仿宋" w:hAnsi="仿宋" w:eastAsia="仿宋" w:cs="仿宋"/>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rPr>
        <w:t>不符合上述制作、</w:t>
      </w:r>
      <w:r>
        <w:rPr>
          <w:rFonts w:hint="eastAsia" w:ascii="仿宋" w:hAnsi="仿宋" w:eastAsia="仿宋" w:cs="仿宋"/>
          <w:b/>
          <w:color w:val="auto"/>
          <w:sz w:val="24"/>
          <w:szCs w:val="24"/>
        </w:rPr>
        <w:t>存储、密封规定的备份投标文件将被视为无效或者被拒绝接收。</w:t>
      </w:r>
    </w:p>
    <w:p>
      <w:pPr>
        <w:pStyle w:val="3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15.3直接提交备份投标文件的，投标人应于投标截止时间前在招标公告中载明的开标地点将备份投标文件提交给</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w:t>
      </w:r>
    </w:p>
    <w:p>
      <w:pPr>
        <w:pStyle w:val="32"/>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rPr>
        <w:t>招标文件第二部分投标人须知前附表规定的备份投标文件送达地点；</w:t>
      </w:r>
      <w:r>
        <w:rPr>
          <w:rFonts w:hint="eastAsia" w:ascii="仿宋" w:hAnsi="仿宋" w:eastAsia="仿宋" w:cs="仿宋"/>
          <w:color w:val="auto"/>
          <w:sz w:val="24"/>
          <w:szCs w:val="24"/>
        </w:rPr>
        <w:t>送达时间以签收人签收时间为准。</w:t>
      </w:r>
      <w:r>
        <w:rPr>
          <w:rFonts w:hint="eastAsia" w:ascii="仿宋" w:hAnsi="仿宋" w:eastAsia="仿宋" w:cs="仿宋"/>
          <w:color w:val="auto"/>
          <w:sz w:val="24"/>
          <w:szCs w:val="24"/>
          <w:lang w:eastAsia="zh-CN"/>
        </w:rPr>
        <w:t>采购代理机构</w:t>
      </w:r>
      <w:r>
        <w:rPr>
          <w:rFonts w:hint="eastAsia" w:ascii="仿宋" w:hAnsi="仿宋" w:eastAsia="仿宋" w:cs="仿宋"/>
          <w:color w:val="auto"/>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int="eastAsia" w:ascii="仿宋" w:hAnsi="仿宋" w:eastAsia="仿宋" w:cs="仿宋"/>
          <w:b/>
          <w:color w:val="auto"/>
          <w:sz w:val="24"/>
          <w:szCs w:val="24"/>
        </w:rPr>
      </w:pPr>
      <w:r>
        <w:rPr>
          <w:rFonts w:hint="eastAsia" w:ascii="仿宋" w:hAnsi="仿宋" w:eastAsia="仿宋" w:cs="仿宋"/>
          <w:b/>
          <w:color w:val="auto"/>
          <w:sz w:val="24"/>
          <w:szCs w:val="24"/>
        </w:rPr>
        <w:t>15.5投标人仅提交备份投标文件，未在电子交易平台传输递交投标文件的，投标无效。</w:t>
      </w:r>
    </w:p>
    <w:p>
      <w:pPr>
        <w:pStyle w:val="128"/>
        <w:spacing w:before="0" w:line="36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16.投标文件的无效处理</w:t>
      </w:r>
    </w:p>
    <w:p>
      <w:pPr>
        <w:pStyle w:val="2"/>
        <w:spacing w:line="360" w:lineRule="auto"/>
        <w:ind w:firstLine="360" w:firstLineChars="150"/>
        <w:rPr>
          <w:rFonts w:hint="eastAsia" w:ascii="仿宋" w:hAnsi="仿宋" w:eastAsia="仿宋" w:cs="仿宋"/>
          <w:color w:val="auto"/>
          <w:szCs w:val="21"/>
          <w:lang w:eastAsia="zh-CN"/>
        </w:rPr>
      </w:pPr>
      <w:r>
        <w:rPr>
          <w:rFonts w:hint="eastAsia" w:ascii="仿宋" w:hAnsi="仿宋" w:eastAsia="仿宋" w:cs="仿宋"/>
          <w:color w:val="auto"/>
          <w:szCs w:val="21"/>
        </w:rPr>
        <w:t>有招标文件第四部分4.2规定的情形之一的，投标无效</w:t>
      </w:r>
      <w:r>
        <w:rPr>
          <w:rFonts w:hint="eastAsia" w:ascii="仿宋" w:hAnsi="仿宋" w:eastAsia="仿宋" w:cs="仿宋"/>
          <w:color w:val="auto"/>
          <w:szCs w:val="21"/>
          <w:lang w:eastAsia="zh-CN"/>
        </w:rPr>
        <w:t>。</w:t>
      </w:r>
    </w:p>
    <w:p>
      <w:pPr>
        <w:pStyle w:val="128"/>
        <w:spacing w:before="0" w:line="360"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17.投标有效期</w:t>
      </w:r>
    </w:p>
    <w:p>
      <w:pPr>
        <w:spacing w:line="360" w:lineRule="auto"/>
        <w:ind w:firstLine="480" w:firstLineChars="200"/>
        <w:rPr>
          <w:rFonts w:hint="eastAsia" w:ascii="仿宋" w:hAnsi="仿宋" w:eastAsia="仿宋" w:cs="仿宋"/>
          <w:b/>
          <w:color w:val="auto"/>
          <w:sz w:val="24"/>
          <w:szCs w:val="21"/>
        </w:rPr>
      </w:pPr>
      <w:r>
        <w:rPr>
          <w:rFonts w:hint="eastAsia" w:ascii="仿宋" w:hAnsi="仿宋" w:eastAsia="仿宋" w:cs="仿宋"/>
          <w:color w:val="auto"/>
          <w:sz w:val="24"/>
          <w:szCs w:val="20"/>
        </w:rPr>
        <w:t>17.1投标有效期为从提交投标文件的截止之日起90天。▲</w:t>
      </w:r>
      <w:r>
        <w:rPr>
          <w:rFonts w:hint="eastAsia" w:ascii="仿宋" w:hAnsi="仿宋" w:eastAsia="仿宋" w:cs="仿宋"/>
          <w:b/>
          <w:color w:val="auto"/>
          <w:sz w:val="24"/>
          <w:szCs w:val="20"/>
        </w:rPr>
        <w:t>投标人的投标文件中承</w:t>
      </w:r>
      <w:r>
        <w:rPr>
          <w:rFonts w:hint="eastAsia" w:ascii="仿宋" w:hAnsi="仿宋" w:eastAsia="仿宋" w:cs="仿宋"/>
          <w:b/>
          <w:color w:val="auto"/>
          <w:sz w:val="24"/>
          <w:szCs w:val="21"/>
        </w:rPr>
        <w:t>诺的投标有效期少于招标文件中载明的投标有效期的，投标无效。</w:t>
      </w:r>
    </w:p>
    <w:p>
      <w:pPr>
        <w:pStyle w:val="128"/>
        <w:spacing w:before="0" w:line="360" w:lineRule="auto"/>
        <w:ind w:firstLine="480"/>
        <w:rPr>
          <w:rFonts w:hint="eastAsia" w:ascii="仿宋" w:hAnsi="仿宋" w:eastAsia="仿宋" w:cs="仿宋"/>
          <w:color w:val="auto"/>
        </w:rPr>
      </w:pPr>
      <w:r>
        <w:rPr>
          <w:rFonts w:hint="eastAsia" w:ascii="仿宋" w:hAnsi="仿宋" w:eastAsia="仿宋" w:cs="仿宋"/>
          <w:color w:val="auto"/>
        </w:rPr>
        <w:t>17.2投标文件合格投递后，自投标截止日期起，在投标有效期内有效。</w:t>
      </w:r>
    </w:p>
    <w:p>
      <w:pPr>
        <w:pStyle w:val="128"/>
        <w:spacing w:before="0" w:line="360" w:lineRule="auto"/>
        <w:ind w:firstLine="480"/>
        <w:rPr>
          <w:rFonts w:hint="eastAsia" w:ascii="仿宋" w:hAnsi="仿宋" w:eastAsia="仿宋" w:cs="仿宋"/>
          <w:color w:val="auto"/>
        </w:rPr>
      </w:pPr>
      <w:r>
        <w:rPr>
          <w:rFonts w:hint="eastAsia" w:ascii="仿宋" w:hAnsi="仿宋" w:eastAsia="仿宋" w:cs="仿宋"/>
          <w:color w:val="auto"/>
        </w:rPr>
        <w:t>17.3在原定投标有效期满之前，如果出现特殊情况，</w:t>
      </w:r>
      <w:r>
        <w:rPr>
          <w:rFonts w:hint="eastAsia" w:ascii="仿宋" w:hAnsi="仿宋" w:eastAsia="仿宋" w:cs="仿宋"/>
          <w:color w:val="auto"/>
          <w:lang w:eastAsia="zh-CN"/>
        </w:rPr>
        <w:t>采购代理机构</w:t>
      </w:r>
      <w:r>
        <w:rPr>
          <w:rFonts w:hint="eastAsia" w:ascii="仿宋" w:hAnsi="仿宋" w:eastAsia="仿宋" w:cs="仿宋"/>
          <w:color w:val="auto"/>
        </w:rPr>
        <w:t>可以以书面形式通知投标人延长投标有效期。投标人同意延长的，不得要求或被允许修改其投标文件，投标人拒绝延长的，其投标无效。</w:t>
      </w:r>
    </w:p>
    <w:p>
      <w:pPr>
        <w:pStyle w:val="128"/>
        <w:spacing w:before="0" w:line="360" w:lineRule="auto"/>
        <w:ind w:firstLine="643"/>
        <w:rPr>
          <w:rFonts w:hint="eastAsia" w:ascii="仿宋" w:hAnsi="仿宋" w:eastAsia="仿宋" w:cs="仿宋"/>
          <w:b/>
          <w:color w:val="auto"/>
          <w:sz w:val="32"/>
        </w:rPr>
      </w:pPr>
    </w:p>
    <w:p>
      <w:pPr>
        <w:pStyle w:val="128"/>
        <w:spacing w:before="0" w:line="360" w:lineRule="auto"/>
        <w:ind w:firstLine="1928" w:firstLineChars="600"/>
        <w:rPr>
          <w:rFonts w:hint="eastAsia" w:ascii="仿宋" w:hAnsi="仿宋" w:eastAsia="仿宋" w:cs="仿宋"/>
          <w:b/>
          <w:color w:val="auto"/>
          <w:sz w:val="32"/>
        </w:rPr>
      </w:pPr>
      <w:r>
        <w:rPr>
          <w:rFonts w:hint="eastAsia" w:ascii="仿宋" w:hAnsi="仿宋" w:eastAsia="仿宋" w:cs="仿宋"/>
          <w:b/>
          <w:color w:val="auto"/>
          <w:sz w:val="32"/>
        </w:rPr>
        <w:t>四、开标、资格审查与信用信息查询</w:t>
      </w:r>
    </w:p>
    <w:p>
      <w:pPr>
        <w:pStyle w:val="554"/>
        <w:spacing w:before="0" w:line="360" w:lineRule="auto"/>
        <w:ind w:left="0" w:firstLine="241" w:firstLineChars="100"/>
        <w:contextualSpacing/>
        <w:rPr>
          <w:rFonts w:hint="eastAsia" w:ascii="仿宋" w:hAnsi="仿宋" w:eastAsia="仿宋" w:cs="仿宋"/>
          <w:color w:val="auto"/>
          <w:sz w:val="24"/>
        </w:rPr>
      </w:pPr>
      <w:r>
        <w:rPr>
          <w:rFonts w:hint="eastAsia" w:ascii="仿宋" w:hAnsi="仿宋" w:eastAsia="仿宋" w:cs="仿宋"/>
          <w:b/>
          <w:color w:val="auto"/>
          <w:sz w:val="24"/>
          <w:szCs w:val="24"/>
        </w:rPr>
        <w:t>18.开标</w:t>
      </w:r>
      <w:r>
        <w:rPr>
          <w:rFonts w:hint="eastAsia" w:ascii="仿宋" w:hAnsi="仿宋" w:eastAsia="仿宋" w:cs="仿宋"/>
          <w:color w:val="auto"/>
          <w:sz w:val="24"/>
        </w:rPr>
        <w:t xml:space="preserve"> </w:t>
      </w:r>
    </w:p>
    <w:p>
      <w:pPr>
        <w:pStyle w:val="554"/>
        <w:spacing w:before="0" w:line="360" w:lineRule="auto"/>
        <w:ind w:left="0" w:firstLine="480" w:firstLineChars="200"/>
        <w:contextualSpacing/>
        <w:rPr>
          <w:rFonts w:hint="eastAsia" w:ascii="仿宋" w:hAnsi="仿宋" w:eastAsia="仿宋" w:cs="仿宋"/>
          <w:color w:val="auto"/>
          <w:sz w:val="24"/>
        </w:rPr>
      </w:pPr>
      <w:r>
        <w:rPr>
          <w:rFonts w:hint="eastAsia" w:ascii="仿宋" w:hAnsi="仿宋" w:eastAsia="仿宋" w:cs="仿宋"/>
          <w:color w:val="auto"/>
          <w:sz w:val="24"/>
        </w:rPr>
        <w:t>18.1</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hint="eastAsia" w:ascii="仿宋" w:hAnsi="仿宋" w:eastAsia="仿宋" w:cs="仿宋"/>
          <w:color w:val="auto"/>
          <w:sz w:val="24"/>
        </w:rPr>
      </w:pPr>
      <w:r>
        <w:rPr>
          <w:rFonts w:hint="eastAsia" w:ascii="仿宋" w:hAnsi="仿宋" w:eastAsia="仿宋" w:cs="仿宋"/>
          <w:color w:val="auto"/>
          <w:sz w:val="24"/>
        </w:rPr>
        <w:t>　18.2开标时，电子交易平台按开标时间自动提取所有投标文件。</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hint="eastAsia" w:ascii="仿宋" w:hAnsi="仿宋" w:eastAsia="仿宋" w:cs="仿宋"/>
          <w:b/>
          <w:color w:val="auto"/>
          <w:sz w:val="24"/>
        </w:rPr>
      </w:pPr>
      <w:r>
        <w:rPr>
          <w:rFonts w:hint="eastAsia" w:ascii="仿宋" w:hAnsi="仿宋" w:eastAsia="仿宋" w:cs="仿宋"/>
          <w:color w:val="auto"/>
          <w:sz w:val="24"/>
        </w:rPr>
        <w:t>　18.3</w:t>
      </w:r>
      <w:r>
        <w:rPr>
          <w:rFonts w:hint="eastAsia" w:ascii="仿宋" w:hAnsi="仿宋" w:eastAsia="仿宋" w:cs="仿宋"/>
          <w:b/>
          <w:color w:val="auto"/>
          <w:sz w:val="24"/>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autoSpaceDE/>
        <w:autoSpaceDN/>
        <w:bidi w:val="0"/>
        <w:adjustRightInd w:val="0"/>
        <w:snapToGrid/>
        <w:spacing w:beforeAutospacing="0" w:line="360" w:lineRule="auto"/>
        <w:jc w:val="left"/>
        <w:textAlignment w:val="auto"/>
        <w:rPr>
          <w:rFonts w:hint="eastAsia" w:ascii="仿宋" w:hAnsi="仿宋" w:eastAsia="仿宋" w:cs="仿宋"/>
          <w:b/>
          <w:color w:val="auto"/>
          <w:sz w:val="24"/>
          <w:szCs w:val="20"/>
        </w:rPr>
      </w:pPr>
      <w:r>
        <w:rPr>
          <w:rFonts w:hint="eastAsia" w:ascii="仿宋" w:hAnsi="仿宋" w:eastAsia="仿宋" w:cs="仿宋"/>
          <w:b/>
          <w:color w:val="auto"/>
          <w:sz w:val="24"/>
          <w:szCs w:val="20"/>
        </w:rPr>
        <w:t>　19、资格审查</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19.</w:t>
      </w:r>
      <w:r>
        <w:rPr>
          <w:rFonts w:hint="eastAsia" w:ascii="仿宋" w:hAnsi="仿宋" w:eastAsia="仿宋" w:cs="仿宋"/>
          <w:color w:val="auto"/>
          <w:kern w:val="0"/>
          <w:sz w:val="24"/>
          <w:lang w:val="en-US" w:eastAsia="zh-CN"/>
        </w:rPr>
        <w:t>1</w:t>
      </w:r>
      <w:r>
        <w:rPr>
          <w:rFonts w:hint="eastAsia" w:ascii="仿宋" w:hAnsi="仿宋" w:eastAsia="仿宋" w:cs="仿宋"/>
          <w:color w:val="auto"/>
          <w:sz w:val="24"/>
        </w:rPr>
        <w:t>采购人或</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依据法律法规和招标文件的规定，对投标人的资格进行审查。</w:t>
      </w:r>
    </w:p>
    <w:p>
      <w:pPr>
        <w:pStyle w:val="128"/>
        <w:spacing w:before="0" w:line="36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kern w:val="0"/>
          <w:szCs w:val="24"/>
          <w:lang w:val="en-US" w:eastAsia="zh-CN"/>
        </w:rPr>
        <w:t>2</w:t>
      </w:r>
      <w:r>
        <w:rPr>
          <w:rFonts w:hint="eastAsia" w:ascii="仿宋" w:hAnsi="仿宋" w:eastAsia="仿宋" w:cs="仿宋"/>
          <w:color w:val="auto"/>
          <w:kern w:val="0"/>
          <w:szCs w:val="24"/>
        </w:rPr>
        <w:t>投标人未按照招标文件要求提供与</w:t>
      </w:r>
      <w:r>
        <w:rPr>
          <w:rFonts w:hint="eastAsia" w:ascii="仿宋" w:hAnsi="仿宋" w:eastAsia="仿宋" w:cs="仿宋"/>
          <w:color w:val="auto"/>
        </w:rPr>
        <w:t>资格条件相应的</w:t>
      </w:r>
      <w:r>
        <w:rPr>
          <w:rFonts w:hint="eastAsia" w:ascii="仿宋" w:hAnsi="仿宋" w:eastAsia="仿宋" w:cs="仿宋"/>
          <w:color w:val="auto"/>
          <w:kern w:val="0"/>
          <w:szCs w:val="24"/>
        </w:rPr>
        <w:t>有效资格证明材料的，视为</w:t>
      </w:r>
      <w:r>
        <w:rPr>
          <w:rFonts w:hint="eastAsia" w:ascii="仿宋" w:hAnsi="仿宋" w:eastAsia="仿宋" w:cs="仿宋"/>
          <w:color w:val="auto"/>
        </w:rPr>
        <w:t>投标人不具备招标文件中规定的资格要求，其投标无效。</w:t>
      </w:r>
    </w:p>
    <w:p>
      <w:pPr>
        <w:pStyle w:val="128"/>
        <w:spacing w:before="0" w:line="36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3</w:t>
      </w:r>
      <w:r>
        <w:rPr>
          <w:rFonts w:hint="eastAsia" w:ascii="仿宋" w:hAnsi="仿宋" w:eastAsia="仿宋" w:cs="仿宋"/>
          <w:color w:val="auto"/>
        </w:rPr>
        <w:t>对未通过资格审查的投标人，采购人或</w:t>
      </w:r>
      <w:r>
        <w:rPr>
          <w:rFonts w:hint="eastAsia" w:ascii="仿宋" w:hAnsi="仿宋" w:eastAsia="仿宋" w:cs="仿宋"/>
          <w:color w:val="auto"/>
          <w:lang w:eastAsia="zh-CN"/>
        </w:rPr>
        <w:t>采购代理机构</w:t>
      </w:r>
      <w:r>
        <w:rPr>
          <w:rFonts w:hint="eastAsia" w:ascii="仿宋" w:hAnsi="仿宋" w:eastAsia="仿宋" w:cs="仿宋"/>
          <w:color w:val="auto"/>
        </w:rPr>
        <w:t>告知其未通过的原因。</w:t>
      </w:r>
    </w:p>
    <w:p>
      <w:pPr>
        <w:pStyle w:val="128"/>
        <w:spacing w:before="0" w:line="360" w:lineRule="auto"/>
        <w:ind w:firstLine="480"/>
        <w:rPr>
          <w:rFonts w:hint="eastAsia" w:ascii="仿宋" w:hAnsi="仿宋" w:eastAsia="仿宋" w:cs="仿宋"/>
          <w:color w:val="auto"/>
        </w:rPr>
      </w:pPr>
      <w:r>
        <w:rPr>
          <w:rFonts w:hint="eastAsia" w:ascii="仿宋" w:hAnsi="仿宋" w:eastAsia="仿宋" w:cs="仿宋"/>
          <w:color w:val="auto"/>
          <w:kern w:val="0"/>
          <w:szCs w:val="24"/>
        </w:rPr>
        <w:t>19.</w:t>
      </w:r>
      <w:r>
        <w:rPr>
          <w:rFonts w:hint="eastAsia" w:ascii="仿宋" w:hAnsi="仿宋" w:eastAsia="仿宋" w:cs="仿宋"/>
          <w:color w:val="auto"/>
          <w:lang w:val="en-US" w:eastAsia="zh-CN"/>
        </w:rPr>
        <w:t>4</w:t>
      </w:r>
      <w:r>
        <w:rPr>
          <w:rFonts w:hint="eastAsia" w:ascii="仿宋" w:hAnsi="仿宋" w:eastAsia="仿宋" w:cs="仿宋"/>
          <w:color w:val="auto"/>
        </w:rPr>
        <w:t>合格投标人不足3家的，不再评标。</w:t>
      </w:r>
    </w:p>
    <w:p>
      <w:pPr>
        <w:pStyle w:val="128"/>
        <w:spacing w:before="0" w:line="360" w:lineRule="auto"/>
        <w:ind w:firstLine="241" w:firstLineChars="100"/>
        <w:rPr>
          <w:rFonts w:hint="eastAsia" w:ascii="仿宋" w:hAnsi="仿宋" w:eastAsia="仿宋" w:cs="仿宋"/>
          <w:b/>
          <w:color w:val="auto"/>
          <w:szCs w:val="24"/>
        </w:rPr>
      </w:pPr>
      <w:r>
        <w:rPr>
          <w:rFonts w:hint="eastAsia" w:ascii="仿宋" w:hAnsi="仿宋" w:eastAsia="仿宋" w:cs="仿宋"/>
          <w:b/>
          <w:color w:val="auto"/>
          <w:szCs w:val="24"/>
        </w:rPr>
        <w:t>20、信用信息查询</w:t>
      </w:r>
    </w:p>
    <w:p>
      <w:pPr>
        <w:pStyle w:val="128"/>
        <w:spacing w:before="0" w:line="36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20.1信用信息查询渠道及截止时间：</w:t>
      </w:r>
      <w:r>
        <w:rPr>
          <w:rFonts w:hint="eastAsia" w:ascii="仿宋" w:hAnsi="仿宋" w:eastAsia="仿宋" w:cs="仿宋"/>
          <w:color w:val="auto"/>
          <w:kern w:val="0"/>
          <w:szCs w:val="24"/>
          <w:lang w:eastAsia="zh-CN"/>
        </w:rPr>
        <w:t>采购代理机构</w:t>
      </w:r>
      <w:r>
        <w:rPr>
          <w:rFonts w:hint="eastAsia" w:ascii="仿宋" w:hAnsi="仿宋" w:eastAsia="仿宋" w:cs="仿宋"/>
          <w:color w:val="auto"/>
          <w:kern w:val="0"/>
          <w:szCs w:val="24"/>
        </w:rPr>
        <w:t>将在资格审查时通过“信用中国”网站(www.creditchina.gov.cn)、中国政府采购网(www.ccgp.gov.cn)渠道查询投标人接受资格时的信用记录。</w:t>
      </w:r>
    </w:p>
    <w:p>
      <w:pPr>
        <w:pStyle w:val="128"/>
        <w:spacing w:before="0" w:line="36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20.2信用信息查询记录和证据留存的具体方式：现场查询的投标人的信用记录、查询结果经确认后将与采购文件一起存档。</w:t>
      </w:r>
    </w:p>
    <w:p>
      <w:pPr>
        <w:pStyle w:val="128"/>
        <w:spacing w:before="0" w:line="360" w:lineRule="auto"/>
        <w:ind w:firstLine="495" w:firstLineChars="0"/>
        <w:rPr>
          <w:rFonts w:hint="eastAsia" w:ascii="仿宋" w:hAnsi="仿宋" w:eastAsia="仿宋" w:cs="仿宋"/>
          <w:color w:val="auto"/>
          <w:kern w:val="0"/>
          <w:szCs w:val="24"/>
        </w:rPr>
      </w:pPr>
      <w:r>
        <w:rPr>
          <w:rFonts w:hint="eastAsia" w:ascii="仿宋" w:hAnsi="仿宋" w:eastAsia="仿宋" w:cs="仿宋"/>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line="360" w:lineRule="auto"/>
        <w:ind w:firstLine="480"/>
        <w:rPr>
          <w:rFonts w:hint="eastAsia" w:ascii="仿宋" w:hAnsi="仿宋" w:eastAsia="仿宋" w:cs="仿宋"/>
          <w:color w:val="auto"/>
        </w:rPr>
      </w:pPr>
      <w:r>
        <w:rPr>
          <w:rFonts w:hint="eastAsia" w:ascii="仿宋" w:hAnsi="仿宋" w:eastAsia="仿宋" w:cs="仿宋"/>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rPr>
        <w:t>。</w:t>
      </w:r>
    </w:p>
    <w:p>
      <w:pPr>
        <w:pStyle w:val="128"/>
        <w:spacing w:before="0" w:line="360" w:lineRule="auto"/>
        <w:ind w:firstLine="0" w:firstLineChars="0"/>
        <w:rPr>
          <w:rFonts w:hint="eastAsia" w:ascii="仿宋" w:hAnsi="仿宋" w:eastAsia="仿宋" w:cs="仿宋"/>
          <w:color w:val="auto"/>
          <w:kern w:val="0"/>
          <w:szCs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五、评标</w:t>
      </w:r>
    </w:p>
    <w:p>
      <w:pPr>
        <w:spacing w:line="360" w:lineRule="auto"/>
        <w:ind w:firstLine="241" w:firstLineChars="100"/>
        <w:rPr>
          <w:rFonts w:hint="eastAsia" w:ascii="仿宋" w:hAnsi="仿宋" w:eastAsia="仿宋" w:cs="仿宋"/>
          <w:b/>
          <w:color w:val="auto"/>
          <w:sz w:val="24"/>
        </w:rPr>
      </w:pPr>
      <w:bookmarkStart w:id="13" w:name="_Toc91899903"/>
      <w:r>
        <w:rPr>
          <w:rFonts w:hint="eastAsia" w:ascii="仿宋" w:hAnsi="仿宋" w:eastAsia="仿宋" w:cs="仿宋"/>
          <w:b/>
          <w:color w:val="auto"/>
          <w:sz w:val="24"/>
        </w:rPr>
        <w:t>21.</w:t>
      </w:r>
      <w:r>
        <w:rPr>
          <w:rFonts w:hint="eastAsia" w:ascii="仿宋" w:hAnsi="仿宋" w:eastAsia="仿宋" w:cs="仿宋"/>
          <w:color w:val="auto"/>
        </w:rPr>
        <w:t xml:space="preserve"> </w:t>
      </w:r>
      <w:r>
        <w:rPr>
          <w:rFonts w:hint="eastAsia" w:ascii="仿宋" w:hAnsi="仿宋" w:eastAsia="仿宋" w:cs="仿宋"/>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rPr>
        <w:t>详见招标文件第四部分评标办法。</w:t>
      </w:r>
    </w:p>
    <w:p>
      <w:pPr>
        <w:spacing w:line="360" w:lineRule="auto"/>
        <w:rPr>
          <w:rFonts w:hint="eastAsia" w:ascii="仿宋" w:hAnsi="仿宋" w:eastAsia="仿宋" w:cs="仿宋"/>
          <w:b/>
          <w:color w:val="auto"/>
          <w:sz w:val="24"/>
        </w:rPr>
      </w:pPr>
    </w:p>
    <w:p>
      <w:pPr>
        <w:snapToGrid w:val="0"/>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六、定 标</w:t>
      </w:r>
    </w:p>
    <w:p>
      <w:pPr>
        <w:pStyle w:val="2"/>
        <w:spacing w:line="360" w:lineRule="auto"/>
        <w:ind w:left="478" w:leftChars="114" w:hanging="239" w:hangingChars="99"/>
        <w:rPr>
          <w:rFonts w:hint="eastAsia" w:ascii="仿宋" w:hAnsi="仿宋" w:eastAsia="仿宋" w:cs="仿宋"/>
          <w:b/>
          <w:color w:val="auto"/>
        </w:rPr>
      </w:pPr>
      <w:r>
        <w:rPr>
          <w:rFonts w:hint="eastAsia" w:ascii="仿宋" w:hAnsi="仿宋" w:eastAsia="仿宋" w:cs="仿宋"/>
          <w:b/>
          <w:color w:val="auto"/>
        </w:rPr>
        <w:t>22. 确定中标供应商</w:t>
      </w:r>
    </w:p>
    <w:p>
      <w:pPr>
        <w:pStyle w:val="128"/>
        <w:snapToGrid w:val="0"/>
        <w:spacing w:before="0" w:line="360" w:lineRule="auto"/>
        <w:ind w:firstLine="480"/>
        <w:rPr>
          <w:rFonts w:hint="eastAsia" w:ascii="仿宋" w:hAnsi="仿宋" w:eastAsia="仿宋" w:cs="仿宋"/>
          <w:b/>
          <w:color w:val="auto"/>
          <w:szCs w:val="24"/>
        </w:rPr>
      </w:pPr>
      <w:r>
        <w:rPr>
          <w:rFonts w:hint="eastAsia" w:ascii="仿宋" w:hAnsi="仿宋" w:eastAsia="仿宋" w:cs="仿宋"/>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line="360" w:lineRule="auto"/>
        <w:ind w:firstLine="241" w:firstLineChars="100"/>
        <w:rPr>
          <w:rFonts w:hint="eastAsia" w:ascii="仿宋" w:hAnsi="仿宋" w:eastAsia="仿宋" w:cs="仿宋"/>
          <w:b/>
          <w:color w:val="auto"/>
          <w:szCs w:val="24"/>
        </w:rPr>
      </w:pPr>
      <w:r>
        <w:rPr>
          <w:rFonts w:hint="eastAsia" w:ascii="仿宋" w:hAnsi="仿宋" w:eastAsia="仿宋" w:cs="仿宋"/>
          <w:b/>
          <w:color w:val="auto"/>
          <w:szCs w:val="24"/>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23.1自中标人确定之日起2个工作日内，</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通过电子交易平台向中标人发出中标通知书，同时编制发布采购结果公告。</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23.2中标结果公告内容包括采购人及其委托的</w:t>
      </w:r>
      <w:r>
        <w:rPr>
          <w:rFonts w:hint="eastAsia" w:ascii="仿宋" w:hAnsi="仿宋" w:eastAsia="仿宋" w:cs="仿宋"/>
          <w:color w:val="auto"/>
          <w:sz w:val="24"/>
          <w:lang w:eastAsia="zh-CN"/>
        </w:rPr>
        <w:t>采购代理机构</w:t>
      </w:r>
      <w:r>
        <w:rPr>
          <w:rFonts w:hint="eastAsia" w:ascii="仿宋" w:hAnsi="仿宋" w:eastAsia="仿宋" w:cs="仿宋"/>
          <w:color w:val="auto"/>
          <w:sz w:val="24"/>
        </w:rPr>
        <w:t>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color w:val="auto"/>
          <w:sz w:val="24"/>
        </w:rPr>
        <w:t>资格审查情况、评审专家抽取规则、符合性审查情况、</w:t>
      </w:r>
      <w:bookmarkEnd w:id="14"/>
      <w:r>
        <w:rPr>
          <w:rFonts w:hint="eastAsia" w:ascii="仿宋" w:hAnsi="仿宋" w:eastAsia="仿宋" w:cs="仿宋"/>
          <w:color w:val="auto"/>
          <w:sz w:val="24"/>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rPr>
      </w:pPr>
      <w:r>
        <w:rPr>
          <w:rFonts w:hint="eastAsia" w:ascii="仿宋" w:hAnsi="仿宋" w:eastAsia="仿宋" w:cs="仿宋"/>
          <w:color w:val="auto"/>
          <w:sz w:val="24"/>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七、合同授予</w:t>
      </w:r>
    </w:p>
    <w:p>
      <w:pPr>
        <w:pStyle w:val="2"/>
        <w:spacing w:line="360" w:lineRule="auto"/>
        <w:ind w:left="478" w:leftChars="114" w:hanging="239" w:hangingChars="99"/>
        <w:rPr>
          <w:rFonts w:hint="eastAsia" w:ascii="仿宋" w:hAnsi="仿宋" w:eastAsia="仿宋" w:cs="仿宋"/>
          <w:b/>
          <w:color w:val="auto"/>
        </w:rPr>
      </w:pPr>
      <w:r>
        <w:rPr>
          <w:rFonts w:hint="eastAsia" w:ascii="仿宋" w:hAnsi="仿宋" w:eastAsia="仿宋" w:cs="仿宋"/>
          <w:b/>
          <w:color w:val="auto"/>
        </w:rPr>
        <w:t xml:space="preserve">24. </w:t>
      </w:r>
      <w:r>
        <w:rPr>
          <w:rFonts w:hint="eastAsia" w:ascii="仿宋" w:hAnsi="仿宋" w:eastAsia="仿宋" w:cs="仿宋"/>
          <w:color w:val="auto"/>
        </w:rPr>
        <w:t>合同主要条款详见第五部分拟签订的合同文本。</w:t>
      </w:r>
    </w:p>
    <w:p>
      <w:pPr>
        <w:pStyle w:val="2"/>
        <w:spacing w:line="360" w:lineRule="auto"/>
        <w:ind w:left="478" w:leftChars="114" w:hanging="239" w:hangingChars="99"/>
        <w:rPr>
          <w:rFonts w:hint="eastAsia" w:ascii="仿宋" w:hAnsi="仿宋" w:eastAsia="仿宋" w:cs="仿宋"/>
          <w:b/>
          <w:color w:val="auto"/>
        </w:rPr>
      </w:pPr>
      <w:r>
        <w:rPr>
          <w:rFonts w:hint="eastAsia" w:ascii="仿宋" w:hAnsi="仿宋" w:eastAsia="仿宋" w:cs="仿宋"/>
          <w:b/>
          <w:color w:val="auto"/>
        </w:rPr>
        <w:t>25. 合同的签订</w:t>
      </w:r>
    </w:p>
    <w:p>
      <w:pPr>
        <w:widowControl/>
        <w:shd w:val="clear" w:color="auto" w:fill="FFFFFF"/>
        <w:spacing w:line="360" w:lineRule="auto"/>
        <w:ind w:firstLine="480"/>
        <w:jc w:val="left"/>
        <w:rPr>
          <w:rFonts w:hint="eastAsia" w:ascii="仿宋" w:hAnsi="仿宋" w:eastAsia="仿宋" w:cs="仿宋"/>
          <w:color w:val="auto"/>
          <w:kern w:val="0"/>
          <w:sz w:val="24"/>
        </w:rPr>
      </w:pPr>
      <w:r>
        <w:rPr>
          <w:rFonts w:hint="eastAsia" w:ascii="仿宋" w:hAnsi="仿宋" w:eastAsia="仿宋" w:cs="仿宋"/>
          <w:color w:val="auto"/>
          <w:sz w:val="24"/>
        </w:rPr>
        <w:t>25.1</w:t>
      </w:r>
      <w:r>
        <w:rPr>
          <w:rFonts w:hint="eastAsia" w:ascii="仿宋" w:hAnsi="仿宋" w:eastAsia="仿宋" w:cs="仿宋"/>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line="360" w:lineRule="auto"/>
        <w:ind w:firstLine="480"/>
        <w:rPr>
          <w:rFonts w:hint="eastAsia" w:ascii="仿宋" w:hAnsi="仿宋" w:eastAsia="仿宋" w:cs="仿宋"/>
          <w:color w:val="auto"/>
          <w:kern w:val="0"/>
        </w:rPr>
      </w:pPr>
      <w:r>
        <w:rPr>
          <w:rFonts w:hint="eastAsia" w:ascii="仿宋" w:hAnsi="仿宋" w:eastAsia="仿宋" w:cs="仿宋"/>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25.3如签订合同并生效后，供应商无故拒绝或延期，除按照合同条款处理外，列入不良行为记录一次，并给予通报。</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line="360" w:lineRule="auto"/>
        <w:ind w:firstLine="480"/>
        <w:rPr>
          <w:rFonts w:hint="eastAsia" w:ascii="仿宋" w:hAnsi="仿宋" w:eastAsia="仿宋" w:cs="仿宋"/>
          <w:color w:val="auto"/>
        </w:rPr>
      </w:pPr>
      <w:r>
        <w:rPr>
          <w:rFonts w:hint="eastAsia" w:ascii="仿宋" w:hAnsi="仿宋" w:eastAsia="仿宋" w:cs="仿宋"/>
          <w:color w:val="auto"/>
        </w:rPr>
        <w:t>25.5采购合同由采购人与中标供应商根据招标文件、投标文件等内容通过政府采购电子交易平台在线签订，自动备案。</w:t>
      </w:r>
    </w:p>
    <w:p>
      <w:pPr>
        <w:pStyle w:val="2"/>
        <w:spacing w:line="360" w:lineRule="auto"/>
        <w:ind w:left="478" w:leftChars="114" w:hanging="239" w:hangingChars="99"/>
        <w:rPr>
          <w:rFonts w:hint="eastAsia" w:ascii="仿宋" w:hAnsi="仿宋" w:eastAsia="仿宋" w:cs="仿宋"/>
          <w:b/>
          <w:color w:val="auto"/>
        </w:rPr>
      </w:pPr>
      <w:r>
        <w:rPr>
          <w:rFonts w:hint="eastAsia" w:ascii="仿宋" w:hAnsi="仿宋" w:eastAsia="仿宋" w:cs="仿宋"/>
          <w:b/>
          <w:color w:val="auto"/>
        </w:rPr>
        <w:t>26. 履约保证金</w:t>
      </w:r>
    </w:p>
    <w:p>
      <w:pPr>
        <w:tabs>
          <w:tab w:val="left" w:pos="0"/>
        </w:tabs>
        <w:spacing w:line="360" w:lineRule="auto"/>
        <w:ind w:firstLine="482"/>
        <w:rPr>
          <w:rFonts w:hint="eastAsia" w:ascii="仿宋" w:hAnsi="仿宋" w:eastAsia="仿宋" w:cs="仿宋"/>
          <w:color w:val="auto"/>
          <w:sz w:val="24"/>
        </w:rPr>
      </w:pPr>
      <w:r>
        <w:rPr>
          <w:rFonts w:hint="eastAsia" w:ascii="仿宋" w:hAnsi="仿宋" w:eastAsia="仿宋" w:cs="仿宋"/>
          <w:color w:val="auto"/>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rPr>
        <w:t>。履约保证金的数额不得超过政府采购合同金额的1%</w:t>
      </w:r>
      <w:r>
        <w:rPr>
          <w:rFonts w:hint="eastAsia" w:ascii="仿宋" w:hAnsi="仿宋" w:eastAsia="仿宋" w:cs="仿宋"/>
          <w:color w:val="auto"/>
          <w:sz w:val="24"/>
          <w:highlight w:val="none"/>
        </w:rPr>
        <w:t>，鼓励根据项目特点、供应商诚信等因素免收履约保证金或降低缴纳比例</w:t>
      </w:r>
      <w:r>
        <w:rPr>
          <w:rFonts w:hint="eastAsia" w:ascii="仿宋" w:hAnsi="仿宋" w:eastAsia="仿宋" w:cs="仿宋"/>
          <w:color w:val="auto"/>
          <w:sz w:val="24"/>
        </w:rPr>
        <w:t>。鼓励和支持供应商以银行、保险公司出具的保函形式提供履约保证金。采购人不得拒收履约保函，项目验收结束后应及时退还，延迟退还的，应当按照合同约定和法律规定承担相应的赔偿责任。</w:t>
      </w:r>
    </w:p>
    <w:p>
      <w:pPr>
        <w:pStyle w:val="4"/>
        <w:spacing w:line="360" w:lineRule="auto"/>
        <w:ind w:left="0" w:firstLine="480" w:firstLineChars="200"/>
        <w:rPr>
          <w:rFonts w:hint="eastAsia" w:ascii="仿宋" w:hAnsi="仿宋" w:eastAsia="仿宋" w:cs="仿宋"/>
          <w:b w:val="0"/>
          <w:bCs w:val="0"/>
          <w:snapToGrid w:val="0"/>
          <w:color w:val="auto"/>
          <w:kern w:val="28"/>
          <w:sz w:val="24"/>
        </w:rPr>
      </w:pPr>
      <w:r>
        <w:rPr>
          <w:rFonts w:hint="eastAsia" w:ascii="仿宋" w:hAnsi="仿宋" w:eastAsia="仿宋" w:cs="仿宋"/>
          <w:b w:val="0"/>
          <w:bCs w:val="0"/>
          <w:snapToGrid w:val="0"/>
          <w:color w:val="auto"/>
          <w:kern w:val="28"/>
          <w:sz w:val="24"/>
        </w:rPr>
        <w:t>供应商</w:t>
      </w:r>
      <w:r>
        <w:rPr>
          <w:rFonts w:hint="eastAsia" w:ascii="仿宋" w:hAnsi="仿宋" w:eastAsia="仿宋" w:cs="仿宋"/>
          <w:b w:val="0"/>
          <w:bCs w:val="0"/>
          <w:snapToGrid w:val="0"/>
          <w:color w:val="auto"/>
          <w:kern w:val="28"/>
          <w:sz w:val="24"/>
          <w:lang w:val="en-US"/>
        </w:rPr>
        <w:t>可</w:t>
      </w:r>
      <w:r>
        <w:rPr>
          <w:rFonts w:hint="eastAsia" w:ascii="仿宋" w:hAnsi="仿宋" w:eastAsia="仿宋" w:cs="仿宋"/>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spacing w:line="360" w:lineRule="auto"/>
        <w:ind w:left="438" w:leftChars="88" w:hanging="253" w:hangingChars="105"/>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w:t>
      </w:r>
      <w:r>
        <w:rPr>
          <w:rFonts w:hint="eastAsia" w:ascii="仿宋" w:hAnsi="仿宋" w:eastAsia="仿宋" w:cs="仿宋"/>
          <w:color w:val="auto"/>
          <w:sz w:val="24"/>
        </w:rPr>
        <w:t>不低于</w:t>
      </w:r>
      <w:r>
        <w:rPr>
          <w:rFonts w:hint="eastAsia" w:ascii="仿宋" w:hAnsi="仿宋" w:eastAsia="仿宋" w:cs="仿宋"/>
          <w:color w:val="auto"/>
          <w:sz w:val="24"/>
          <w:highlight w:val="none"/>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360" w:lineRule="auto"/>
        <w:rPr>
          <w:rFonts w:hint="eastAsia" w:ascii="仿宋" w:hAnsi="仿宋" w:eastAsia="仿宋" w:cs="仿宋"/>
          <w:color w:val="auto"/>
        </w:rPr>
      </w:pPr>
    </w:p>
    <w:p>
      <w:pPr>
        <w:snapToGrid w:val="0"/>
        <w:spacing w:line="360" w:lineRule="auto"/>
        <w:ind w:firstLine="3357" w:firstLineChars="1045"/>
        <w:rPr>
          <w:rFonts w:hint="eastAsia" w:ascii="仿宋" w:hAnsi="仿宋" w:eastAsia="仿宋" w:cs="仿宋"/>
          <w:b/>
          <w:color w:val="auto"/>
          <w:sz w:val="32"/>
        </w:rPr>
      </w:pPr>
    </w:p>
    <w:p>
      <w:pPr>
        <w:snapToGrid w:val="0"/>
        <w:spacing w:line="360" w:lineRule="auto"/>
        <w:ind w:firstLine="3357" w:firstLineChars="1045"/>
        <w:rPr>
          <w:rFonts w:hint="eastAsia" w:ascii="仿宋" w:hAnsi="仿宋" w:eastAsia="仿宋" w:cs="仿宋"/>
          <w:b/>
          <w:color w:val="auto"/>
          <w:sz w:val="24"/>
        </w:rPr>
      </w:pPr>
      <w:r>
        <w:rPr>
          <w:rFonts w:hint="eastAsia" w:ascii="仿宋" w:hAnsi="仿宋" w:eastAsia="仿宋" w:cs="仿宋"/>
          <w:b/>
          <w:color w:val="auto"/>
          <w:sz w:val="32"/>
        </w:rPr>
        <w:t>八、电子交易活动的中止</w:t>
      </w:r>
    </w:p>
    <w:p>
      <w:pPr>
        <w:pStyle w:val="128"/>
        <w:snapToGrid w:val="0"/>
        <w:spacing w:before="0" w:line="360" w:lineRule="auto"/>
        <w:ind w:firstLine="241" w:firstLineChars="100"/>
        <w:rPr>
          <w:rFonts w:hint="eastAsia" w:ascii="仿宋" w:hAnsi="仿宋" w:eastAsia="仿宋" w:cs="仿宋"/>
          <w:color w:val="auto"/>
        </w:rPr>
      </w:pPr>
      <w:r>
        <w:rPr>
          <w:rFonts w:hint="eastAsia" w:ascii="仿宋" w:hAnsi="仿宋" w:eastAsia="仿宋" w:cs="仿宋"/>
          <w:b/>
          <w:bCs/>
          <w:color w:val="auto"/>
          <w:sz w:val="24"/>
          <w:szCs w:val="20"/>
        </w:rPr>
        <w:t>2</w:t>
      </w:r>
      <w:r>
        <w:rPr>
          <w:rFonts w:hint="eastAsia" w:ascii="仿宋" w:hAnsi="仿宋" w:eastAsia="仿宋" w:cs="仿宋"/>
          <w:b/>
          <w:bCs/>
          <w:color w:val="auto"/>
          <w:sz w:val="24"/>
          <w:szCs w:val="24"/>
        </w:rPr>
        <w:t>8</w:t>
      </w:r>
      <w:r>
        <w:rPr>
          <w:rFonts w:hint="eastAsia" w:ascii="仿宋" w:hAnsi="仿宋" w:eastAsia="仿宋" w:cs="仿宋"/>
          <w:b/>
          <w:color w:val="auto"/>
          <w:szCs w:val="24"/>
        </w:rPr>
        <w:t>. 电子交易活动的中止。</w:t>
      </w:r>
      <w:r>
        <w:rPr>
          <w:rFonts w:hint="eastAsia" w:ascii="仿宋" w:hAnsi="仿宋" w:eastAsia="仿宋" w:cs="仿宋"/>
          <w:color w:val="auto"/>
        </w:rPr>
        <w:t>采购过程中出现以下情形，导致电子交易平台无法正常运行，或者无法保证电子交易的公平、公正和安全时，</w:t>
      </w:r>
      <w:r>
        <w:rPr>
          <w:rFonts w:hint="eastAsia" w:ascii="仿宋" w:hAnsi="仿宋" w:eastAsia="仿宋" w:cs="仿宋"/>
          <w:color w:val="auto"/>
          <w:lang w:eastAsia="zh-CN"/>
        </w:rPr>
        <w:t>采购代理机构</w:t>
      </w:r>
      <w:r>
        <w:rPr>
          <w:rFonts w:hint="eastAsia" w:ascii="仿宋" w:hAnsi="仿宋" w:eastAsia="仿宋" w:cs="仿宋"/>
          <w:color w:val="auto"/>
        </w:rPr>
        <w:t>可中止电子交易活动：</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 xml:space="preserve">28.1电子交易平台发生故障而无法登录访问的； </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28.2电子交易平台应用或数据库出现错误，不能进行正常操作的；</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28.3电子交易平台发现严重安全漏洞，有潜在泄密危险的；</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 xml:space="preserve">28.4病毒发作导致不能进行正常操作的； </w:t>
      </w:r>
    </w:p>
    <w:p>
      <w:pPr>
        <w:pStyle w:val="128"/>
        <w:snapToGrid w:val="0"/>
        <w:spacing w:before="0" w:line="360" w:lineRule="auto"/>
        <w:ind w:firstLine="480"/>
        <w:rPr>
          <w:rFonts w:hint="eastAsia" w:ascii="仿宋" w:hAnsi="仿宋" w:eastAsia="仿宋" w:cs="仿宋"/>
          <w:color w:val="auto"/>
        </w:rPr>
      </w:pPr>
      <w:r>
        <w:rPr>
          <w:rFonts w:hint="eastAsia" w:ascii="仿宋" w:hAnsi="仿宋" w:eastAsia="仿宋" w:cs="仿宋"/>
          <w:color w:val="auto"/>
        </w:rPr>
        <w:t>28.5其他无法保证电子交易的公平、公正和安全的情况。</w:t>
      </w:r>
    </w:p>
    <w:p>
      <w:pPr>
        <w:pStyle w:val="128"/>
        <w:snapToGrid w:val="0"/>
        <w:spacing w:before="0" w:line="360" w:lineRule="auto"/>
        <w:ind w:firstLine="0" w:firstLineChars="0"/>
        <w:rPr>
          <w:rFonts w:hint="eastAsia" w:ascii="仿宋" w:hAnsi="仿宋" w:eastAsia="仿宋" w:cs="仿宋"/>
          <w:color w:val="auto"/>
        </w:rPr>
      </w:pPr>
      <w:r>
        <w:rPr>
          <w:rFonts w:hint="eastAsia" w:ascii="仿宋" w:hAnsi="仿宋" w:eastAsia="仿宋" w:cs="仿宋"/>
          <w:color w:val="auto"/>
        </w:rPr>
        <w:t xml:space="preserve"> </w:t>
      </w:r>
      <w:r>
        <w:rPr>
          <w:rFonts w:hint="eastAsia" w:ascii="仿宋" w:hAnsi="仿宋" w:eastAsia="仿宋" w:cs="仿宋"/>
          <w:color w:val="auto"/>
          <w:lang w:val="en-US" w:eastAsia="zh-CN"/>
        </w:rPr>
        <w:t xml:space="preserve"> </w:t>
      </w:r>
      <w:r>
        <w:rPr>
          <w:rFonts w:hint="eastAsia" w:ascii="仿宋" w:hAnsi="仿宋" w:eastAsia="仿宋" w:cs="仿宋"/>
          <w:color w:val="auto"/>
        </w:rPr>
        <w:t>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rPr>
      </w:pPr>
    </w:p>
    <w:p>
      <w:pPr>
        <w:snapToGrid w:val="0"/>
        <w:spacing w:line="360" w:lineRule="auto"/>
        <w:ind w:left="120" w:leftChars="57" w:firstLine="482" w:firstLineChars="150"/>
        <w:jc w:val="center"/>
        <w:rPr>
          <w:rFonts w:hint="eastAsia" w:ascii="仿宋" w:hAnsi="仿宋" w:eastAsia="仿宋" w:cs="仿宋"/>
          <w:b/>
          <w:color w:val="auto"/>
          <w:sz w:val="32"/>
        </w:rPr>
      </w:pPr>
      <w:r>
        <w:rPr>
          <w:rFonts w:hint="eastAsia" w:ascii="仿宋" w:hAnsi="仿宋" w:eastAsia="仿宋" w:cs="仿宋"/>
          <w:b/>
          <w:color w:val="auto"/>
          <w:sz w:val="32"/>
        </w:rPr>
        <w:t>九、验收</w:t>
      </w:r>
    </w:p>
    <w:p>
      <w:pPr>
        <w:pStyle w:val="2"/>
        <w:spacing w:line="360" w:lineRule="auto"/>
        <w:ind w:firstLine="241" w:firstLineChars="100"/>
        <w:rPr>
          <w:rFonts w:hint="eastAsia" w:ascii="仿宋" w:hAnsi="仿宋" w:eastAsia="仿宋" w:cs="仿宋"/>
          <w:b/>
          <w:color w:val="auto"/>
        </w:rPr>
      </w:pPr>
      <w:r>
        <w:rPr>
          <w:rFonts w:hint="eastAsia" w:ascii="仿宋" w:hAnsi="仿宋" w:eastAsia="仿宋" w:cs="仿宋"/>
          <w:b/>
          <w:color w:val="auto"/>
        </w:rPr>
        <w:t>30.验收</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rPr>
      </w:pPr>
      <w:r>
        <w:rPr>
          <w:rFonts w:hint="eastAsia" w:ascii="仿宋" w:hAnsi="仿宋" w:eastAsia="仿宋" w:cs="仿宋"/>
          <w:color w:val="auto"/>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rPr>
      </w:pPr>
      <w:r>
        <w:rPr>
          <w:rFonts w:hint="eastAsia" w:ascii="仿宋" w:hAnsi="仿宋" w:eastAsia="仿宋" w:cs="仿宋"/>
          <w:color w:val="auto"/>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74729768"/>
      <w:bookmarkEnd w:id="16"/>
      <w:bookmarkStart w:id="17" w:name="_Hlt68057669"/>
      <w:bookmarkEnd w:id="17"/>
      <w:bookmarkStart w:id="18" w:name="_Hlt68073093"/>
      <w:bookmarkEnd w:id="18"/>
      <w:bookmarkStart w:id="19" w:name="_Hlt75236290"/>
      <w:bookmarkEnd w:id="19"/>
      <w:bookmarkStart w:id="20" w:name="_Hlt74714665"/>
      <w:bookmarkEnd w:id="20"/>
      <w:bookmarkStart w:id="21" w:name="_Hlt68403820"/>
      <w:bookmarkEnd w:id="21"/>
      <w:bookmarkStart w:id="22" w:name="_Hlt74730295"/>
      <w:bookmarkEnd w:id="22"/>
      <w:bookmarkStart w:id="23" w:name="_Hlt75236101"/>
      <w:bookmarkEnd w:id="23"/>
      <w:bookmarkStart w:id="24" w:name="_Hlt68072998"/>
      <w:bookmarkEnd w:id="24"/>
      <w:bookmarkStart w:id="25" w:name="_Hlt74707468"/>
      <w:bookmarkEnd w:id="25"/>
      <w:bookmarkStart w:id="26" w:name="_Hlt68072990"/>
      <w:bookmarkEnd w:id="26"/>
    </w:p>
    <w:bookmarkEnd w:id="11"/>
    <w:bookmarkEnd w:id="12"/>
    <w:p>
      <w:pPr>
        <w:spacing w:line="360" w:lineRule="auto"/>
        <w:jc w:val="center"/>
        <w:outlineLvl w:val="0"/>
        <w:rPr>
          <w:rFonts w:hint="eastAsia" w:ascii="仿宋" w:hAnsi="仿宋" w:eastAsia="仿宋" w:cs="仿宋"/>
          <w:b/>
          <w:color w:val="auto"/>
          <w:sz w:val="36"/>
          <w:szCs w:val="36"/>
        </w:rPr>
      </w:pPr>
      <w:bookmarkStart w:id="27" w:name="第四部分"/>
      <w:r>
        <w:rPr>
          <w:rFonts w:hint="eastAsia" w:ascii="仿宋" w:hAnsi="仿宋" w:eastAsia="仿宋" w:cs="仿宋"/>
          <w:b/>
          <w:color w:val="auto"/>
          <w:sz w:val="36"/>
          <w:szCs w:val="36"/>
        </w:rPr>
        <w:t>第三部分   采购需求</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bookmarkStart w:id="28" w:name="_Toc48647436"/>
      <w:r>
        <w:rPr>
          <w:rFonts w:hint="eastAsia" w:ascii="仿宋" w:hAnsi="仿宋" w:eastAsia="仿宋" w:cs="仿宋"/>
          <w:b/>
          <w:bCs/>
          <w:color w:val="auto"/>
          <w:sz w:val="32"/>
          <w:szCs w:val="32"/>
        </w:rPr>
        <w:t>一、项目背景及必要性</w:t>
      </w:r>
      <w:bookmarkEnd w:id="28"/>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rPr>
        <w:t>为贯彻杭州市规划和自然资源局专题讨论研究全市规划编制攻坚年工作会议精神，落实高标准编制控制性详细规划编制的要求，特此启动《临安区详规编制指引与详规成果整合》项目，加强国土空间总体规划的底线约束和精准传导，实现山水林田湖草等全要素覆盖，创新编制方法和技术路线，为编制科学管用的控制性详细规划提供科学指引与技术支撑。</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bookmarkStart w:id="29" w:name="_Toc48647437"/>
      <w:r>
        <w:rPr>
          <w:rFonts w:hint="eastAsia" w:ascii="仿宋" w:hAnsi="仿宋" w:eastAsia="仿宋" w:cs="仿宋"/>
          <w:b/>
          <w:bCs/>
          <w:color w:val="auto"/>
          <w:sz w:val="32"/>
          <w:szCs w:val="32"/>
        </w:rPr>
        <w:t>二、规划范围</w:t>
      </w:r>
      <w:bookmarkEnd w:id="29"/>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规划范围：临安区行政边界范围，共计25个详规单元，其中功能单元2个，城镇单元4个，乡村单元19个。</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bookmarkStart w:id="30" w:name="_Toc48647438"/>
      <w:r>
        <w:rPr>
          <w:rFonts w:hint="eastAsia" w:ascii="仿宋" w:hAnsi="仿宋" w:eastAsia="仿宋" w:cs="仿宋"/>
          <w:b/>
          <w:bCs/>
          <w:color w:val="auto"/>
          <w:sz w:val="32"/>
          <w:szCs w:val="32"/>
        </w:rPr>
        <w:t>三、规划依据</w:t>
      </w:r>
      <w:bookmarkEnd w:id="30"/>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1、相关规划衔接</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（1）临安区国土空间分区规划</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（2）临安区中心城区总体城市设计</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（3）临安区乡镇级国土空间总体规划</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（4）各类控制性详细规划及相关资料</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（5）各类专项规划</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（6）其他相关规划</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2、相关数据衔接</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（1）第三次国土调查数据（2020年变更调查）</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（2）1：500地形图</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（3）地籍数据（宗地信息）</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（4）审批数据、不动产确权数据</w:t>
      </w:r>
    </w:p>
    <w:p>
      <w:pPr>
        <w:pStyle w:val="6"/>
        <w:keepNext w:val="0"/>
        <w:keepLines w:val="0"/>
        <w:pageBreakBefore w:val="0"/>
        <w:kinsoku/>
        <w:wordWrap/>
        <w:overflowPunct/>
        <w:topLinePunct w:val="0"/>
        <w:autoSpaceDE/>
        <w:autoSpaceDN/>
        <w:bidi w:val="0"/>
        <w:adjustRightInd w:val="0"/>
        <w:snapToGrid w:val="0"/>
        <w:spacing w:line="360" w:lineRule="auto"/>
        <w:ind w:firstLine="480"/>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（5）临安区存量建设用地情况</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bookmarkStart w:id="31" w:name="_Toc48647439"/>
      <w:r>
        <w:rPr>
          <w:rFonts w:hint="eastAsia" w:ascii="仿宋" w:hAnsi="仿宋" w:eastAsia="仿宋" w:cs="仿宋"/>
          <w:b/>
          <w:bCs/>
          <w:color w:val="auto"/>
          <w:sz w:val="32"/>
          <w:szCs w:val="32"/>
        </w:rPr>
        <w:t>四、技术内容及要点</w:t>
      </w:r>
      <w:bookmarkEnd w:id="31"/>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color w:val="auto"/>
          <w:sz w:val="24"/>
          <w:szCs w:val="24"/>
        </w:rPr>
      </w:pPr>
      <w:bookmarkStart w:id="32" w:name="_Toc48647442"/>
      <w:r>
        <w:rPr>
          <w:rFonts w:hint="eastAsia" w:ascii="仿宋" w:hAnsi="仿宋" w:eastAsia="仿宋" w:cs="仿宋"/>
          <w:b/>
          <w:bCs/>
          <w:color w:val="auto"/>
          <w:sz w:val="24"/>
          <w:szCs w:val="24"/>
        </w:rPr>
        <w:t>第一阶段前期技术服务与详规编制指引</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整合梳理相关规划要求。对临安区已编和在编的各类规划（战略规划、国土空间规划、专项规划、详规等）进行收集整理，明确需传导至详细规划的相关内容。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制定详规编制指引。从功能定位引导、空间指标统筹、产业创新空间、公共服务配套、景观风貌引导、综合交通网络、市政设施支撑等方面，提出对详规编制的指引要求。统筹各详规单元应落实的强制性要素和刚性管控要求。因地制宜对各详规单元提出城市设计范围、层次、内容及深度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控规技术要求及基础资料库编制。结合编制指引的要求，提供控规编制任务书和基础数据资料库，其中任务书包括控规编制指引内容和控规编制成果中关键部分的深度要求；基础数据资料库包括控规编制指引的矢量文件、现状相关数据。</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4、统一数字化技术标准。按照市规划资源局“一张图”空间智治平台入库要求和详规成果体系，统一临安区详规编制指引、详规成果、城市设计模型成果的入库技术标准。</w:t>
      </w:r>
    </w:p>
    <w:p>
      <w:pPr>
        <w:keepNext w:val="0"/>
        <w:keepLines w:val="0"/>
        <w:pageBreakBefore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第二阶段详规成果整合</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过程统筹协调。在编制过程中，对不同单元之间技术的统一、内容的衔接进行统筹协调。尤其是针对各详规编制过程中，涉及单元间基础设施联通、市政容量与公共服务设施平衡等。提供伴随式答疑服务，进行全过程规划技术服务和咨询。</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2、阶段成果收集汇总。加强中间过程的技术管控，对控规阶段性成果和城市设计成果进行汇总梳理。成果汇总后，将主要汇总内容、指引符合状况、数据平台等关键内容进行统筹分析，过程中做好服务保障。</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highlight w:val="yellow"/>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、合规性前置审查。对成果是否符合指引传导要求，进行指标符合性和空间布局符合性等方面的技术审查。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数据入库审查。统一控规成果和城市设计入库成果深度及文件格式要求，进行完整性、规范性等方面入库质检，并及时反馈给编制单位。对城市设计的成果加强过程衔接和指导，把关内容深度、展示效果和成果格式。</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五、主要成果</w:t>
      </w:r>
      <w:bookmarkEnd w:id="32"/>
    </w:p>
    <w:p>
      <w:pPr>
        <w:pStyle w:val="255"/>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outlineLvl w:val="0"/>
        <w:rPr>
          <w:rFonts w:hint="eastAsia" w:ascii="仿宋" w:hAnsi="仿宋" w:eastAsia="仿宋" w:cs="仿宋"/>
          <w:color w:val="auto"/>
          <w:sz w:val="24"/>
          <w:szCs w:val="24"/>
        </w:rPr>
      </w:pPr>
      <w:bookmarkStart w:id="33" w:name="_Toc48647443"/>
      <w:r>
        <w:rPr>
          <w:rFonts w:hint="eastAsia" w:ascii="仿宋" w:hAnsi="仿宋" w:eastAsia="仿宋" w:cs="仿宋"/>
          <w:color w:val="auto"/>
          <w:sz w:val="24"/>
          <w:szCs w:val="24"/>
        </w:rPr>
        <w:t>1、最终成果应包括：文本、图集、现状资料汇编及相关数据库内容。</w:t>
      </w:r>
    </w:p>
    <w:p>
      <w:pPr>
        <w:pStyle w:val="255"/>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2、规划成果包括中审稿、送审稿、报批稿和成果稿四个阶段成果</w:t>
      </w:r>
      <w:r>
        <w:rPr>
          <w:rFonts w:hint="eastAsia" w:ascii="仿宋" w:hAnsi="仿宋" w:eastAsia="仿宋" w:cs="仿宋"/>
          <w:color w:val="auto"/>
          <w:sz w:val="24"/>
          <w:szCs w:val="24"/>
          <w:highlight w:val="none"/>
        </w:rPr>
        <w:t>。中间成果提</w:t>
      </w:r>
      <w:r>
        <w:rPr>
          <w:rFonts w:hint="eastAsia" w:ascii="仿宋" w:hAnsi="仿宋" w:eastAsia="仿宋" w:cs="仿宋"/>
          <w:color w:val="auto"/>
          <w:sz w:val="24"/>
          <w:szCs w:val="24"/>
        </w:rPr>
        <w:t>交 25套，电子文档（光盘）2 套；送审成果提交 25 套，电子文档（光盘）2套；报批稿 6套，电子文档（光盘）6套；最终成果提交 6套，电子文档（光盘）6套，（具体数量根据实际需求有所变动）。</w:t>
      </w:r>
    </w:p>
    <w:p>
      <w:pPr>
        <w:pStyle w:val="255"/>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3、电子文档：包括文本电子文档（doc、pdf、ppt 等）以及图纸电子文档（含 dwg、 jpg 等）。涉及空间位置的电子文件须以 ArcGIS 格式提交,包括规划的 GIS 形式成果，更新国土空间规划“一张图”。</w:t>
      </w:r>
    </w:p>
    <w:p>
      <w:pPr>
        <w:pStyle w:val="255"/>
        <w:keepNext w:val="0"/>
        <w:keepLines w:val="0"/>
        <w:pageBreakBefore w:val="0"/>
        <w:widowControl w:val="0"/>
        <w:kinsoku/>
        <w:wordWrap/>
        <w:overflowPunct/>
        <w:topLinePunct w:val="0"/>
        <w:autoSpaceDE/>
        <w:autoSpaceDN/>
        <w:bidi w:val="0"/>
        <w:adjustRightInd w:val="0"/>
        <w:snapToGrid w:val="0"/>
        <w:spacing w:line="360" w:lineRule="auto"/>
        <w:ind w:firstLine="64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4、成果验收时，投标人提交的成果须满足本项所有要求。</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六、进度计划安排</w:t>
      </w:r>
      <w:bookmarkEnd w:id="33"/>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2023年6月1日之前完成中间成果，2023年12月31日之前按照相关规定完成审查。</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进度安排表如下：</w:t>
      </w:r>
    </w:p>
    <w:tbl>
      <w:tblPr>
        <w:tblStyle w:val="6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214"/>
        <w:gridCol w:w="50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时间节点</w:t>
            </w:r>
          </w:p>
        </w:tc>
        <w:tc>
          <w:tcPr>
            <w:tcW w:w="5082" w:type="dxa"/>
            <w:vAlign w:val="center"/>
          </w:tcPr>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准备和调研阶段</w:t>
            </w:r>
          </w:p>
        </w:tc>
        <w:tc>
          <w:tcPr>
            <w:tcW w:w="508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制定规划编制工作方案，现场调研，收集基础资料。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整理基础资料阶段</w:t>
            </w:r>
          </w:p>
        </w:tc>
        <w:tc>
          <w:tcPr>
            <w:tcW w:w="508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对现状资料进行整理，编制基础资料汇编，形成初步方案。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规划方案编制阶段</w:t>
            </w:r>
          </w:p>
        </w:tc>
        <w:tc>
          <w:tcPr>
            <w:tcW w:w="508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编制规划方案。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调整完善规划成果阶段</w:t>
            </w:r>
          </w:p>
        </w:tc>
        <w:tc>
          <w:tcPr>
            <w:tcW w:w="508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组织有关专家对专项规划进行审查，经修改补充和完善后，形成正式规划成果，评审后的修改补充工作由投标人负责修改。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jc w:val="center"/>
        </w:trPr>
        <w:tc>
          <w:tcPr>
            <w:tcW w:w="3214"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规划批复与成果稿制作</w:t>
            </w:r>
          </w:p>
        </w:tc>
        <w:tc>
          <w:tcPr>
            <w:tcW w:w="5082"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正式规划成果按照规定程序审批后，由投标人印刷制作。</w:t>
            </w:r>
          </w:p>
        </w:tc>
      </w:tr>
    </w:tbl>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bookmarkStart w:id="34" w:name="_Toc48647444"/>
      <w:r>
        <w:rPr>
          <w:rFonts w:hint="eastAsia" w:ascii="仿宋" w:hAnsi="仿宋" w:eastAsia="仿宋" w:cs="仿宋"/>
          <w:b/>
          <w:bCs/>
          <w:color w:val="auto"/>
          <w:sz w:val="32"/>
          <w:szCs w:val="32"/>
        </w:rPr>
        <w:t>七、拟采购标的的商务要求</w:t>
      </w:r>
    </w:p>
    <w:p>
      <w:pPr>
        <w:keepNext w:val="0"/>
        <w:keepLines w:val="0"/>
        <w:pageBreakBefore w:val="0"/>
        <w:kinsoku/>
        <w:wordWrap/>
        <w:overflowPunct/>
        <w:topLinePunct w:val="0"/>
        <w:autoSpaceDE/>
        <w:autoSpaceDN/>
        <w:bidi w:val="0"/>
        <w:adjustRightInd w:val="0"/>
        <w:snapToGrid w:val="0"/>
        <w:spacing w:line="360" w:lineRule="auto"/>
        <w:ind w:left="210" w:leftChars="1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1、付款条件（进度和方式）</w:t>
      </w:r>
    </w:p>
    <w:tbl>
      <w:tblPr>
        <w:tblStyle w:val="62"/>
        <w:tblW w:w="4998"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1060"/>
        <w:gridCol w:w="2033"/>
        <w:gridCol w:w="539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trPr>
        <w:tc>
          <w:tcPr>
            <w:tcW w:w="624"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197"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付款比例（%）</w:t>
            </w:r>
          </w:p>
        </w:tc>
        <w:tc>
          <w:tcPr>
            <w:tcW w:w="3178"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624"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197"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w:t>
            </w:r>
          </w:p>
        </w:tc>
        <w:tc>
          <w:tcPr>
            <w:tcW w:w="3178" w:type="pct"/>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合同签订以及具备实施条件后,</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自收到发票后</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个工作日内向</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支付40%的合同款（在签订合同时,中标方明确表示无需预付款或者主动要求降低预付款比例的,采购方可不适用前述规定）。</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624"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197"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3178" w:type="pct"/>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2023年6月1日前</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完成中间成果审查并经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验收合格，采购人自收到发票后7个工作日内向</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支付30%的合同款。</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624"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197" w:type="pct"/>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w:t>
            </w:r>
          </w:p>
        </w:tc>
        <w:tc>
          <w:tcPr>
            <w:tcW w:w="3178" w:type="pct"/>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完成送审成果审查并经</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采购履约验收合格</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rPr>
              <w:t>自收到发票后7个工作日内向</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rPr>
              <w:t>支付剩余30%合同款。</w:t>
            </w:r>
          </w:p>
        </w:tc>
      </w:tr>
    </w:tbl>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备注：</w:t>
      </w: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val="en-US" w:eastAsia="zh-CN"/>
        </w:rPr>
        <w:t>付款前，</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lang w:val="en-US" w:eastAsia="zh-CN"/>
        </w:rPr>
        <w:t>应按</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en-US" w:eastAsia="zh-CN"/>
        </w:rPr>
        <w:t>要求出具等额合法有效税务发票，否则</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en-US" w:eastAsia="zh-CN"/>
        </w:rPr>
        <w:t>可延迟付款且</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en-US" w:eastAsia="zh-CN"/>
        </w:rPr>
        <w:t>对此不承担违约责任。但</w:t>
      </w:r>
      <w:r>
        <w:rPr>
          <w:rFonts w:hint="eastAsia" w:ascii="仿宋" w:hAnsi="仿宋" w:eastAsia="仿宋" w:cs="仿宋"/>
          <w:color w:val="auto"/>
          <w:sz w:val="24"/>
          <w:szCs w:val="24"/>
          <w:highlight w:val="none"/>
          <w:lang w:eastAsia="zh-CN"/>
        </w:rPr>
        <w:t>中标供应商</w:t>
      </w:r>
      <w:r>
        <w:rPr>
          <w:rFonts w:hint="eastAsia" w:ascii="仿宋" w:hAnsi="仿宋" w:eastAsia="仿宋" w:cs="仿宋"/>
          <w:color w:val="auto"/>
          <w:sz w:val="24"/>
          <w:szCs w:val="24"/>
          <w:highlight w:val="none"/>
          <w:lang w:val="en-US" w:eastAsia="zh-CN"/>
        </w:rPr>
        <w:t>仍应按合同约定履行义务。如遇到财政决算期，</w:t>
      </w:r>
      <w:r>
        <w:rPr>
          <w:rFonts w:hint="eastAsia" w:ascii="仿宋" w:hAnsi="仿宋" w:eastAsia="仿宋" w:cs="仿宋"/>
          <w:color w:val="auto"/>
          <w:sz w:val="24"/>
          <w:szCs w:val="24"/>
          <w:highlight w:val="none"/>
          <w:lang w:eastAsia="zh-CN"/>
        </w:rPr>
        <w:t>采购人</w:t>
      </w:r>
      <w:r>
        <w:rPr>
          <w:rFonts w:hint="eastAsia" w:ascii="仿宋" w:hAnsi="仿宋" w:eastAsia="仿宋" w:cs="仿宋"/>
          <w:color w:val="auto"/>
          <w:sz w:val="24"/>
          <w:szCs w:val="24"/>
          <w:highlight w:val="none"/>
          <w:lang w:val="en-US" w:eastAsia="zh-CN"/>
        </w:rPr>
        <w:t>支出作相应顺延。</w:t>
      </w:r>
    </w:p>
    <w:p>
      <w:pPr>
        <w:keepNext w:val="0"/>
        <w:keepLines w:val="0"/>
        <w:pageBreakBefore w:val="0"/>
        <w:kinsoku/>
        <w:wordWrap/>
        <w:overflowPunct/>
        <w:topLinePunct w:val="0"/>
        <w:autoSpaceDE/>
        <w:autoSpaceDN/>
        <w:bidi w:val="0"/>
        <w:adjustRightInd w:val="0"/>
        <w:snapToGrid w:val="0"/>
        <w:spacing w:line="360" w:lineRule="auto"/>
        <w:ind w:left="210" w:leftChars="1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2、售后服务要求</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供应商售后服务包括协助召开专家技术评审会，同时按相关程序协助落实控规的修改、报批、发布等。成果报批、发布后，积极、及时响应</w:t>
      </w:r>
      <w:r>
        <w:rPr>
          <w:rFonts w:hint="eastAsia" w:ascii="仿宋" w:hAnsi="仿宋" w:eastAsia="仿宋" w:cs="仿宋"/>
          <w:color w:val="auto"/>
          <w:sz w:val="24"/>
          <w:szCs w:val="24"/>
          <w:lang w:eastAsia="zh-CN"/>
        </w:rPr>
        <w:t>采购人</w:t>
      </w:r>
      <w:r>
        <w:rPr>
          <w:rFonts w:hint="eastAsia" w:ascii="仿宋" w:hAnsi="仿宋" w:eastAsia="仿宋" w:cs="仿宋"/>
          <w:color w:val="auto"/>
          <w:sz w:val="24"/>
          <w:szCs w:val="24"/>
        </w:rPr>
        <w:t>信息统筹、成果使用等工作需求。</w:t>
      </w:r>
    </w:p>
    <w:p>
      <w:pPr>
        <w:pStyle w:val="255"/>
        <w:keepNext w:val="0"/>
        <w:keepLines w:val="0"/>
        <w:pageBreakBefore w:val="0"/>
        <w:kinsoku/>
        <w:wordWrap/>
        <w:overflowPunct/>
        <w:topLinePunct w:val="0"/>
        <w:autoSpaceDE/>
        <w:autoSpaceDN/>
        <w:bidi w:val="0"/>
        <w:adjustRightInd w:val="0"/>
        <w:snapToGrid w:val="0"/>
        <w:spacing w:line="360" w:lineRule="auto"/>
        <w:ind w:left="0" w:leftChars="0" w:firstLine="0" w:firstLineChars="0"/>
        <w:textAlignment w:val="auto"/>
        <w:outlineLvl w:val="0"/>
        <w:rPr>
          <w:rFonts w:hint="eastAsia" w:ascii="仿宋" w:hAnsi="仿宋" w:eastAsia="仿宋" w:cs="仿宋"/>
          <w:b/>
          <w:bCs/>
          <w:color w:val="auto"/>
          <w:sz w:val="32"/>
          <w:szCs w:val="32"/>
        </w:rPr>
      </w:pPr>
      <w:r>
        <w:rPr>
          <w:rFonts w:hint="eastAsia" w:ascii="仿宋" w:hAnsi="仿宋" w:eastAsia="仿宋" w:cs="仿宋"/>
          <w:b/>
          <w:bCs/>
          <w:color w:val="auto"/>
          <w:sz w:val="32"/>
          <w:szCs w:val="32"/>
        </w:rPr>
        <w:t>八、其他要求</w:t>
      </w:r>
      <w:bookmarkEnd w:id="34"/>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1、按时按要求提交阶段成果，接受市空间智治平台的技术审核以及单元属地、部门、专家的各阶段审查。</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2、积极回应数字化改革要求，探索规划智编智审，创新控规和城市设计编制方法。以临安国土空间一张图平台为依托，做好各阶段数据成果审查及入库。</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Cs/>
          <w:color w:val="auto"/>
          <w:sz w:val="24"/>
          <w:szCs w:val="24"/>
          <w:lang w:bidi="ar"/>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rPr>
        <w:t>为规范我区规划设计业务流程，设计团队需根据实地踏勘、调研、座谈、汇报情况，如实填写工作日志，并作为附件与规划设计说明一同装订。工作日志模板如下：</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建设类规划编制工作日志</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496"/>
        <w:gridCol w:w="2052"/>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项目名称</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牵头单位</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编制单位</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时间</w:t>
            </w:r>
          </w:p>
        </w:tc>
        <w:tc>
          <w:tcPr>
            <w:tcW w:w="24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p>
        </w:tc>
        <w:tc>
          <w:tcPr>
            <w:tcW w:w="2052"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地点</w:t>
            </w:r>
          </w:p>
        </w:tc>
        <w:tc>
          <w:tcPr>
            <w:tcW w:w="2052"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事项</w:t>
            </w:r>
          </w:p>
        </w:tc>
        <w:tc>
          <w:tcPr>
            <w:tcW w:w="6600" w:type="dxa"/>
            <w:gridSpan w:val="3"/>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□座谈  □调研  □汇报  □驻点办公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c>
        <w:tc>
          <w:tcPr>
            <w:tcW w:w="24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4104" w:type="dxa"/>
            <w:gridSpan w:val="2"/>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auto"/>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参加人员</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69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内容纪要</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69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阶段进展</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69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下一步</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工作安排</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696"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落实反馈</w:t>
            </w:r>
          </w:p>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情况</w:t>
            </w:r>
          </w:p>
        </w:tc>
        <w:tc>
          <w:tcPr>
            <w:tcW w:w="6600" w:type="dxa"/>
            <w:gridSpan w:val="3"/>
            <w:shd w:val="clear" w:color="auto" w:fill="auto"/>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bCs/>
                <w:color w:val="auto"/>
                <w:sz w:val="24"/>
                <w:szCs w:val="24"/>
              </w:rPr>
            </w:pPr>
          </w:p>
        </w:tc>
      </w:tr>
    </w:tbl>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*表格可根据需求适当调整</w:t>
      </w:r>
    </w:p>
    <w:p>
      <w:pPr>
        <w:bidi w:val="0"/>
        <w:spacing w:line="360" w:lineRule="auto"/>
        <w:rPr>
          <w:rFonts w:hint="eastAsia" w:ascii="仿宋" w:hAnsi="仿宋" w:eastAsia="仿宋" w:cs="仿宋"/>
          <w:color w:val="auto"/>
          <w:lang w:eastAsia="zh-CN"/>
        </w:rPr>
      </w:pPr>
    </w:p>
    <w:p>
      <w:pPr>
        <w:spacing w:line="360" w:lineRule="auto"/>
        <w:ind w:firstLine="181" w:firstLineChars="50"/>
        <w:rPr>
          <w:rFonts w:hint="eastAsia" w:ascii="仿宋" w:hAnsi="仿宋" w:eastAsia="仿宋" w:cs="仿宋"/>
          <w:b/>
          <w:color w:val="auto"/>
          <w:sz w:val="36"/>
          <w:szCs w:val="36"/>
        </w:rPr>
      </w:pPr>
    </w:p>
    <w:p>
      <w:pPr>
        <w:spacing w:line="360" w:lineRule="auto"/>
        <w:rPr>
          <w:rFonts w:hint="eastAsia" w:ascii="仿宋" w:hAnsi="仿宋" w:eastAsia="仿宋" w:cs="仿宋"/>
          <w:color w:val="auto"/>
          <w:sz w:val="24"/>
        </w:rPr>
      </w:pPr>
    </w:p>
    <w:p>
      <w:pPr>
        <w:widowControl/>
        <w:spacing w:line="360" w:lineRule="auto"/>
        <w:ind w:firstLine="720" w:firstLineChars="300"/>
        <w:jc w:val="left"/>
        <w:rPr>
          <w:rFonts w:hint="eastAsia" w:ascii="仿宋" w:hAnsi="仿宋" w:eastAsia="仿宋" w:cs="仿宋"/>
          <w:bCs/>
          <w:color w:val="auto"/>
          <w:sz w:val="24"/>
        </w:rPr>
      </w:pPr>
    </w:p>
    <w:p>
      <w:pPr>
        <w:spacing w:line="360" w:lineRule="auto"/>
        <w:rPr>
          <w:rFonts w:hint="eastAsia" w:ascii="仿宋" w:hAnsi="仿宋" w:eastAsia="仿宋" w:cs="仿宋"/>
          <w:snapToGrid w:val="0"/>
          <w:color w:val="auto"/>
          <w:kern w:val="0"/>
          <w:sz w:val="24"/>
        </w:rPr>
      </w:pPr>
    </w:p>
    <w:p>
      <w:pPr>
        <w:spacing w:line="360"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24"/>
        </w:rPr>
        <w:br w:type="page"/>
      </w:r>
      <w:r>
        <w:rPr>
          <w:rFonts w:hint="eastAsia" w:ascii="仿宋" w:hAnsi="仿宋" w:eastAsia="仿宋" w:cs="仿宋"/>
          <w:b/>
          <w:color w:val="auto"/>
          <w:sz w:val="36"/>
          <w:szCs w:val="36"/>
        </w:rPr>
        <w:t xml:space="preserve">第四部分   </w:t>
      </w:r>
      <w:bookmarkStart w:id="35" w:name="_Toc184314462"/>
      <w:bookmarkEnd w:id="35"/>
      <w:bookmarkStart w:id="36" w:name="_Toc184313299"/>
      <w:bookmarkEnd w:id="36"/>
      <w:bookmarkStart w:id="37" w:name="_Toc184310276"/>
      <w:bookmarkEnd w:id="37"/>
      <w:bookmarkStart w:id="38" w:name="_Toc184310286"/>
      <w:bookmarkEnd w:id="38"/>
      <w:bookmarkStart w:id="39" w:name="_Toc184314465"/>
      <w:bookmarkEnd w:id="39"/>
      <w:bookmarkStart w:id="40" w:name="_Toc184312087"/>
      <w:bookmarkEnd w:id="40"/>
      <w:bookmarkStart w:id="41" w:name="_Toc184312083"/>
      <w:bookmarkEnd w:id="41"/>
      <w:bookmarkStart w:id="42" w:name="_Toc184312070"/>
      <w:bookmarkEnd w:id="42"/>
      <w:bookmarkStart w:id="43" w:name="_Toc184310301"/>
      <w:bookmarkEnd w:id="43"/>
      <w:bookmarkStart w:id="44" w:name="_Toc184308055"/>
      <w:bookmarkEnd w:id="44"/>
      <w:bookmarkStart w:id="45" w:name="_Toc184312074"/>
      <w:bookmarkEnd w:id="45"/>
      <w:bookmarkStart w:id="46" w:name="_Toc184312103"/>
      <w:bookmarkEnd w:id="46"/>
      <w:bookmarkStart w:id="47" w:name="_Toc184312089"/>
      <w:bookmarkEnd w:id="47"/>
      <w:bookmarkStart w:id="48" w:name="_Toc184313287"/>
      <w:bookmarkEnd w:id="48"/>
      <w:bookmarkStart w:id="49" w:name="_Toc184310289"/>
      <w:bookmarkEnd w:id="49"/>
      <w:bookmarkStart w:id="50" w:name="_Toc184312073"/>
      <w:bookmarkEnd w:id="50"/>
      <w:bookmarkStart w:id="51" w:name="_Toc184313260"/>
      <w:bookmarkEnd w:id="51"/>
      <w:bookmarkStart w:id="52" w:name="_Toc184312102"/>
      <w:bookmarkEnd w:id="52"/>
      <w:bookmarkStart w:id="53" w:name="_Toc184312081"/>
      <w:bookmarkEnd w:id="53"/>
      <w:bookmarkStart w:id="54" w:name="_Toc184308056"/>
      <w:bookmarkEnd w:id="54"/>
      <w:bookmarkStart w:id="55" w:name="_Toc184314417"/>
      <w:bookmarkEnd w:id="55"/>
      <w:bookmarkStart w:id="56" w:name="_Toc184310291"/>
      <w:bookmarkEnd w:id="56"/>
      <w:bookmarkStart w:id="57" w:name="_Toc184310292"/>
      <w:bookmarkEnd w:id="57"/>
      <w:bookmarkStart w:id="58" w:name="_Toc184313272"/>
      <w:bookmarkEnd w:id="58"/>
      <w:bookmarkStart w:id="59" w:name="_Toc184313294"/>
      <w:bookmarkEnd w:id="59"/>
      <w:bookmarkStart w:id="60" w:name="_Toc184312097"/>
      <w:bookmarkEnd w:id="60"/>
      <w:bookmarkStart w:id="61" w:name="_Toc184314477"/>
      <w:bookmarkEnd w:id="61"/>
      <w:bookmarkStart w:id="62" w:name="_Toc184310318"/>
      <w:bookmarkEnd w:id="62"/>
      <w:bookmarkStart w:id="63" w:name="_Toc184312106"/>
      <w:bookmarkEnd w:id="63"/>
      <w:bookmarkStart w:id="64" w:name="_Toc184314447"/>
      <w:bookmarkEnd w:id="64"/>
      <w:bookmarkStart w:id="65" w:name="_Toc184308048"/>
      <w:bookmarkEnd w:id="65"/>
      <w:bookmarkStart w:id="66" w:name="_Toc184308104"/>
      <w:bookmarkEnd w:id="66"/>
      <w:bookmarkStart w:id="67" w:name="_Toc184310321"/>
      <w:bookmarkEnd w:id="67"/>
      <w:bookmarkStart w:id="68" w:name="_Toc184312100"/>
      <w:bookmarkEnd w:id="68"/>
      <w:bookmarkStart w:id="69" w:name="_Toc184312092"/>
      <w:bookmarkEnd w:id="69"/>
      <w:bookmarkStart w:id="70" w:name="_Toc184312082"/>
      <w:bookmarkEnd w:id="70"/>
      <w:bookmarkStart w:id="71" w:name="_Toc184313254"/>
      <w:bookmarkEnd w:id="71"/>
      <w:bookmarkStart w:id="72" w:name="_Toc184314457"/>
      <w:bookmarkEnd w:id="72"/>
      <w:bookmarkStart w:id="73" w:name="_Toc184312096"/>
      <w:bookmarkEnd w:id="73"/>
      <w:bookmarkStart w:id="74" w:name="_Toc184313279"/>
      <w:bookmarkEnd w:id="74"/>
      <w:bookmarkStart w:id="75" w:name="_Toc184312133"/>
      <w:bookmarkEnd w:id="75"/>
      <w:bookmarkStart w:id="76" w:name="_Toc184308066"/>
      <w:bookmarkEnd w:id="76"/>
      <w:bookmarkStart w:id="77" w:name="_Toc184314439"/>
      <w:bookmarkEnd w:id="77"/>
      <w:bookmarkStart w:id="78" w:name="_Toc184310277"/>
      <w:bookmarkEnd w:id="78"/>
      <w:bookmarkStart w:id="79" w:name="_Toc184313304"/>
      <w:bookmarkEnd w:id="79"/>
      <w:bookmarkStart w:id="80" w:name="_Toc184310299"/>
      <w:bookmarkEnd w:id="80"/>
      <w:bookmarkStart w:id="81" w:name="_Toc184314479"/>
      <w:bookmarkEnd w:id="81"/>
      <w:bookmarkStart w:id="82" w:name="_Toc184313264"/>
      <w:bookmarkEnd w:id="82"/>
      <w:bookmarkStart w:id="83" w:name="_Toc184308106"/>
      <w:bookmarkEnd w:id="83"/>
      <w:bookmarkStart w:id="84" w:name="_Toc184308051"/>
      <w:bookmarkEnd w:id="84"/>
      <w:bookmarkStart w:id="85" w:name="_Toc184314431"/>
      <w:bookmarkEnd w:id="85"/>
      <w:bookmarkStart w:id="86" w:name="_Toc184310297"/>
      <w:bookmarkEnd w:id="86"/>
      <w:bookmarkStart w:id="87" w:name="_Toc184308103"/>
      <w:bookmarkEnd w:id="87"/>
      <w:bookmarkStart w:id="88" w:name="_Toc184308083"/>
      <w:bookmarkEnd w:id="88"/>
      <w:bookmarkStart w:id="89" w:name="_Toc184314443"/>
      <w:bookmarkEnd w:id="89"/>
      <w:bookmarkStart w:id="90" w:name="_Toc184312107"/>
      <w:bookmarkEnd w:id="90"/>
      <w:bookmarkStart w:id="91" w:name="_Toc184313274"/>
      <w:bookmarkEnd w:id="91"/>
      <w:bookmarkStart w:id="92" w:name="_Toc184310300"/>
      <w:bookmarkEnd w:id="92"/>
      <w:bookmarkStart w:id="93" w:name="_Toc184314449"/>
      <w:bookmarkEnd w:id="93"/>
      <w:bookmarkStart w:id="94" w:name="_Toc184313241"/>
      <w:bookmarkEnd w:id="94"/>
      <w:bookmarkStart w:id="95" w:name="_Toc184313261"/>
      <w:bookmarkEnd w:id="95"/>
      <w:bookmarkStart w:id="96" w:name="_Toc184312118"/>
      <w:bookmarkEnd w:id="96"/>
      <w:bookmarkStart w:id="97" w:name="_Toc184313273"/>
      <w:bookmarkEnd w:id="97"/>
      <w:bookmarkStart w:id="98" w:name="_Toc184314433"/>
      <w:bookmarkEnd w:id="98"/>
      <w:bookmarkStart w:id="99" w:name="_Toc184314469"/>
      <w:bookmarkEnd w:id="99"/>
      <w:bookmarkStart w:id="100" w:name="_Toc184308057"/>
      <w:bookmarkEnd w:id="100"/>
      <w:bookmarkStart w:id="101" w:name="_Toc184308107"/>
      <w:bookmarkEnd w:id="101"/>
      <w:bookmarkStart w:id="102" w:name="_Toc184312111"/>
      <w:bookmarkEnd w:id="102"/>
      <w:bookmarkStart w:id="103" w:name="_Toc184314466"/>
      <w:bookmarkEnd w:id="103"/>
      <w:bookmarkStart w:id="104" w:name="_Toc184312120"/>
      <w:bookmarkEnd w:id="104"/>
      <w:bookmarkStart w:id="105" w:name="_Toc184314468"/>
      <w:bookmarkEnd w:id="105"/>
      <w:bookmarkStart w:id="106" w:name="_Toc184314474"/>
      <w:bookmarkEnd w:id="106"/>
      <w:bookmarkStart w:id="107" w:name="_Toc184308069"/>
      <w:bookmarkEnd w:id="107"/>
      <w:bookmarkStart w:id="108" w:name="_Toc184314482"/>
      <w:bookmarkEnd w:id="108"/>
      <w:bookmarkStart w:id="109" w:name="_Toc184314448"/>
      <w:bookmarkEnd w:id="109"/>
      <w:bookmarkStart w:id="110" w:name="_Toc184312085"/>
      <w:bookmarkEnd w:id="110"/>
      <w:bookmarkStart w:id="111" w:name="_Toc184314455"/>
      <w:bookmarkEnd w:id="111"/>
      <w:bookmarkStart w:id="112" w:name="_Toc184313301"/>
      <w:bookmarkEnd w:id="112"/>
      <w:bookmarkStart w:id="113" w:name="_Toc184314473"/>
      <w:bookmarkEnd w:id="113"/>
      <w:bookmarkStart w:id="114" w:name="_Toc184310343"/>
      <w:bookmarkEnd w:id="114"/>
      <w:bookmarkStart w:id="115" w:name="_Toc184308096"/>
      <w:bookmarkEnd w:id="115"/>
      <w:bookmarkStart w:id="116" w:name="_Toc184313238"/>
      <w:bookmarkEnd w:id="116"/>
      <w:bookmarkStart w:id="117" w:name="_Toc184312076"/>
      <w:bookmarkEnd w:id="117"/>
      <w:bookmarkStart w:id="118" w:name="_Toc184308086"/>
      <w:bookmarkEnd w:id="118"/>
      <w:bookmarkStart w:id="119" w:name="_Toc184314442"/>
      <w:bookmarkEnd w:id="119"/>
      <w:bookmarkStart w:id="120" w:name="_Toc184308037"/>
      <w:bookmarkEnd w:id="120"/>
      <w:bookmarkStart w:id="121" w:name="_Toc184308045"/>
      <w:bookmarkEnd w:id="121"/>
      <w:bookmarkStart w:id="122" w:name="_Toc184312127"/>
      <w:bookmarkEnd w:id="122"/>
      <w:bookmarkStart w:id="123" w:name="_Toc184308049"/>
      <w:bookmarkEnd w:id="123"/>
      <w:bookmarkStart w:id="124" w:name="_Toc184312071"/>
      <w:bookmarkEnd w:id="124"/>
      <w:bookmarkStart w:id="125" w:name="_Toc184308065"/>
      <w:bookmarkEnd w:id="125"/>
      <w:bookmarkStart w:id="126" w:name="_Toc184308094"/>
      <w:bookmarkEnd w:id="126"/>
      <w:bookmarkStart w:id="127" w:name="_Toc184313270"/>
      <w:bookmarkEnd w:id="127"/>
      <w:bookmarkStart w:id="128" w:name="_Toc184308064"/>
      <w:bookmarkEnd w:id="128"/>
      <w:bookmarkStart w:id="129" w:name="_Toc184310311"/>
      <w:bookmarkEnd w:id="129"/>
      <w:bookmarkStart w:id="130" w:name="_Toc184313259"/>
      <w:bookmarkEnd w:id="130"/>
      <w:bookmarkStart w:id="131" w:name="_Toc184314459"/>
      <w:bookmarkEnd w:id="131"/>
      <w:bookmarkStart w:id="132" w:name="_Toc184314458"/>
      <w:bookmarkEnd w:id="132"/>
      <w:bookmarkStart w:id="133" w:name="_Toc184310279"/>
      <w:bookmarkEnd w:id="133"/>
      <w:bookmarkStart w:id="134" w:name="_Toc184308043"/>
      <w:bookmarkEnd w:id="134"/>
      <w:bookmarkStart w:id="135" w:name="_Toc184312108"/>
      <w:bookmarkEnd w:id="135"/>
      <w:bookmarkStart w:id="136" w:name="_Toc184312112"/>
      <w:bookmarkEnd w:id="136"/>
      <w:bookmarkStart w:id="137" w:name="_Toc184312130"/>
      <w:bookmarkEnd w:id="137"/>
      <w:bookmarkStart w:id="138" w:name="_Toc184310306"/>
      <w:bookmarkEnd w:id="138"/>
      <w:bookmarkStart w:id="139" w:name="_Toc184313303"/>
      <w:bookmarkEnd w:id="139"/>
      <w:bookmarkStart w:id="140" w:name="_Toc184310338"/>
      <w:bookmarkEnd w:id="140"/>
      <w:bookmarkStart w:id="141" w:name="_Toc184312136"/>
      <w:bookmarkEnd w:id="141"/>
      <w:bookmarkStart w:id="142" w:name="_Toc184312086"/>
      <w:bookmarkEnd w:id="142"/>
      <w:bookmarkStart w:id="143" w:name="_Toc184312104"/>
      <w:bookmarkEnd w:id="143"/>
      <w:bookmarkStart w:id="144" w:name="_Toc184313293"/>
      <w:bookmarkEnd w:id="144"/>
      <w:bookmarkStart w:id="145" w:name="_Toc184308095"/>
      <w:bookmarkEnd w:id="145"/>
      <w:bookmarkStart w:id="146" w:name="_Toc184312090"/>
      <w:bookmarkEnd w:id="146"/>
      <w:bookmarkStart w:id="147" w:name="_Toc184314450"/>
      <w:bookmarkEnd w:id="147"/>
      <w:bookmarkStart w:id="148" w:name="_Toc184314460"/>
      <w:bookmarkEnd w:id="148"/>
      <w:bookmarkStart w:id="149" w:name="_Toc184310304"/>
      <w:bookmarkEnd w:id="149"/>
      <w:bookmarkStart w:id="150" w:name="_Toc184310275"/>
      <w:bookmarkEnd w:id="150"/>
      <w:bookmarkStart w:id="151" w:name="_Toc184310334"/>
      <w:bookmarkEnd w:id="151"/>
      <w:bookmarkStart w:id="152" w:name="_Toc184310312"/>
      <w:bookmarkEnd w:id="152"/>
      <w:bookmarkStart w:id="153" w:name="_Toc184314415"/>
      <w:bookmarkEnd w:id="153"/>
      <w:bookmarkStart w:id="154" w:name="_Toc184310317"/>
      <w:bookmarkEnd w:id="154"/>
      <w:bookmarkStart w:id="155" w:name="_Toc184313302"/>
      <w:bookmarkEnd w:id="155"/>
      <w:bookmarkStart w:id="156" w:name="_Toc184312110"/>
      <w:bookmarkEnd w:id="156"/>
      <w:bookmarkStart w:id="157" w:name="_Toc184308054"/>
      <w:bookmarkEnd w:id="157"/>
      <w:bookmarkStart w:id="158" w:name="_Toc184308074"/>
      <w:bookmarkEnd w:id="158"/>
      <w:bookmarkStart w:id="159" w:name="_Toc184312105"/>
      <w:bookmarkEnd w:id="159"/>
      <w:bookmarkStart w:id="160" w:name="_Toc184308072"/>
      <w:bookmarkEnd w:id="160"/>
      <w:bookmarkStart w:id="161" w:name="_Toc184310310"/>
      <w:bookmarkEnd w:id="161"/>
      <w:bookmarkStart w:id="162" w:name="_Toc184310323"/>
      <w:bookmarkEnd w:id="162"/>
      <w:bookmarkStart w:id="163" w:name="_Toc184313309"/>
      <w:bookmarkEnd w:id="163"/>
      <w:bookmarkStart w:id="164" w:name="_Toc184313283"/>
      <w:bookmarkEnd w:id="164"/>
      <w:bookmarkStart w:id="165" w:name="_Toc184312124"/>
      <w:bookmarkEnd w:id="165"/>
      <w:bookmarkStart w:id="166" w:name="_Toc184313268"/>
      <w:bookmarkEnd w:id="166"/>
      <w:bookmarkStart w:id="167" w:name="_Toc184314422"/>
      <w:bookmarkEnd w:id="167"/>
      <w:bookmarkStart w:id="168" w:name="_Toc184313250"/>
      <w:bookmarkEnd w:id="168"/>
      <w:bookmarkStart w:id="169" w:name="_Toc184312139"/>
      <w:bookmarkEnd w:id="169"/>
      <w:bookmarkStart w:id="170" w:name="_Toc184308050"/>
      <w:bookmarkEnd w:id="170"/>
      <w:bookmarkStart w:id="171" w:name="_Toc184310293"/>
      <w:bookmarkEnd w:id="171"/>
      <w:bookmarkStart w:id="172" w:name="_Toc184310272"/>
      <w:bookmarkEnd w:id="172"/>
      <w:bookmarkStart w:id="173" w:name="_Toc184314471"/>
      <w:bookmarkEnd w:id="173"/>
      <w:bookmarkStart w:id="174" w:name="_Toc184313249"/>
      <w:bookmarkEnd w:id="174"/>
      <w:bookmarkStart w:id="175" w:name="_Toc184308088"/>
      <w:bookmarkEnd w:id="175"/>
      <w:bookmarkStart w:id="176" w:name="_Toc184313277"/>
      <w:bookmarkEnd w:id="176"/>
      <w:bookmarkStart w:id="177" w:name="_Toc184308100"/>
      <w:bookmarkEnd w:id="177"/>
      <w:bookmarkStart w:id="178" w:name="_Toc184313240"/>
      <w:bookmarkEnd w:id="178"/>
      <w:bookmarkStart w:id="179" w:name="_Toc184308101"/>
      <w:bookmarkEnd w:id="179"/>
      <w:bookmarkStart w:id="180" w:name="_Toc184308053"/>
      <w:bookmarkEnd w:id="180"/>
      <w:bookmarkStart w:id="181" w:name="_Toc184314421"/>
      <w:bookmarkEnd w:id="181"/>
      <w:bookmarkStart w:id="182" w:name="_Toc184312099"/>
      <w:bookmarkEnd w:id="182"/>
      <w:bookmarkStart w:id="183" w:name="_Toc184312137"/>
      <w:bookmarkEnd w:id="183"/>
      <w:bookmarkStart w:id="184" w:name="_Toc184313292"/>
      <w:bookmarkEnd w:id="184"/>
      <w:bookmarkStart w:id="185" w:name="_Toc184313244"/>
      <w:bookmarkEnd w:id="185"/>
      <w:bookmarkStart w:id="186" w:name="_Toc184314453"/>
      <w:bookmarkEnd w:id="186"/>
      <w:bookmarkStart w:id="187" w:name="_Toc184310325"/>
      <w:bookmarkEnd w:id="187"/>
      <w:bookmarkStart w:id="188" w:name="_Toc184312091"/>
      <w:bookmarkEnd w:id="188"/>
      <w:bookmarkStart w:id="189" w:name="_Toc184314410"/>
      <w:bookmarkEnd w:id="189"/>
      <w:bookmarkStart w:id="190" w:name="_Toc184310273"/>
      <w:bookmarkEnd w:id="190"/>
      <w:bookmarkStart w:id="191" w:name="_Toc184312078"/>
      <w:bookmarkEnd w:id="191"/>
      <w:bookmarkStart w:id="192" w:name="_Toc184310308"/>
      <w:bookmarkEnd w:id="192"/>
      <w:bookmarkStart w:id="193" w:name="_Toc184310295"/>
      <w:bookmarkEnd w:id="193"/>
      <w:bookmarkStart w:id="194" w:name="_Toc184310285"/>
      <w:bookmarkEnd w:id="194"/>
      <w:bookmarkStart w:id="195" w:name="_Toc184314427"/>
      <w:bookmarkEnd w:id="195"/>
      <w:bookmarkStart w:id="196" w:name="_Toc184312116"/>
      <w:bookmarkEnd w:id="196"/>
      <w:bookmarkStart w:id="197" w:name="_Toc184314476"/>
      <w:bookmarkEnd w:id="197"/>
      <w:bookmarkStart w:id="198" w:name="_Toc184313258"/>
      <w:bookmarkEnd w:id="198"/>
      <w:bookmarkStart w:id="199" w:name="_Toc184313252"/>
      <w:bookmarkEnd w:id="199"/>
      <w:bookmarkStart w:id="200" w:name="_Toc184310282"/>
      <w:bookmarkEnd w:id="200"/>
      <w:bookmarkStart w:id="201" w:name="_Toc184313253"/>
      <w:bookmarkEnd w:id="201"/>
      <w:bookmarkStart w:id="202" w:name="_Toc184313284"/>
      <w:bookmarkEnd w:id="202"/>
      <w:bookmarkStart w:id="203" w:name="_Toc184310313"/>
      <w:bookmarkEnd w:id="203"/>
      <w:bookmarkStart w:id="204" w:name="_Toc184312128"/>
      <w:bookmarkEnd w:id="204"/>
      <w:bookmarkStart w:id="205" w:name="_Toc184308097"/>
      <w:bookmarkEnd w:id="205"/>
      <w:bookmarkStart w:id="206" w:name="_Toc184314451"/>
      <w:bookmarkEnd w:id="206"/>
      <w:bookmarkStart w:id="207" w:name="_Toc184308060"/>
      <w:bookmarkEnd w:id="207"/>
      <w:bookmarkStart w:id="208" w:name="_Toc184310315"/>
      <w:bookmarkEnd w:id="208"/>
      <w:bookmarkStart w:id="209" w:name="_Toc184313288"/>
      <w:bookmarkEnd w:id="209"/>
      <w:bookmarkStart w:id="210" w:name="_Toc184314444"/>
      <w:bookmarkEnd w:id="210"/>
      <w:bookmarkStart w:id="211" w:name="_Toc184308080"/>
      <w:bookmarkEnd w:id="211"/>
      <w:bookmarkStart w:id="212" w:name="_Toc184308040"/>
      <w:bookmarkEnd w:id="212"/>
      <w:bookmarkStart w:id="213" w:name="_Toc184308108"/>
      <w:bookmarkEnd w:id="213"/>
      <w:bookmarkStart w:id="214" w:name="_Toc184312095"/>
      <w:bookmarkEnd w:id="214"/>
      <w:bookmarkStart w:id="215" w:name="_Toc184312109"/>
      <w:bookmarkEnd w:id="215"/>
      <w:bookmarkStart w:id="216" w:name="_Toc184310328"/>
      <w:bookmarkEnd w:id="216"/>
      <w:bookmarkStart w:id="217" w:name="_Toc184308077"/>
      <w:bookmarkEnd w:id="217"/>
      <w:bookmarkStart w:id="218" w:name="_Toc184314464"/>
      <w:bookmarkEnd w:id="218"/>
      <w:bookmarkStart w:id="219" w:name="_Toc184314456"/>
      <w:bookmarkEnd w:id="219"/>
      <w:bookmarkStart w:id="220" w:name="_Toc184312117"/>
      <w:bookmarkEnd w:id="220"/>
      <w:bookmarkStart w:id="221" w:name="_Toc184310336"/>
      <w:bookmarkEnd w:id="221"/>
      <w:bookmarkStart w:id="222" w:name="_Toc184313280"/>
      <w:bookmarkEnd w:id="222"/>
      <w:bookmarkStart w:id="223" w:name="_Toc184310298"/>
      <w:bookmarkEnd w:id="223"/>
      <w:bookmarkStart w:id="224" w:name="_Toc184308092"/>
      <w:bookmarkEnd w:id="224"/>
      <w:bookmarkStart w:id="225" w:name="_Toc184310303"/>
      <w:bookmarkEnd w:id="225"/>
      <w:bookmarkStart w:id="226" w:name="_Toc184313281"/>
      <w:bookmarkEnd w:id="226"/>
      <w:bookmarkStart w:id="227" w:name="_Toc184312094"/>
      <w:bookmarkEnd w:id="227"/>
      <w:bookmarkStart w:id="228" w:name="_Toc184308099"/>
      <w:bookmarkEnd w:id="228"/>
      <w:bookmarkStart w:id="229" w:name="_Toc184310288"/>
      <w:bookmarkEnd w:id="229"/>
      <w:bookmarkStart w:id="230" w:name="_Toc184312138"/>
      <w:bookmarkEnd w:id="230"/>
      <w:bookmarkStart w:id="231" w:name="_Toc184312114"/>
      <w:bookmarkEnd w:id="231"/>
      <w:bookmarkStart w:id="232" w:name="_Toc184308084"/>
      <w:bookmarkEnd w:id="232"/>
      <w:bookmarkStart w:id="233" w:name="_Toc184308070"/>
      <w:bookmarkEnd w:id="233"/>
      <w:bookmarkStart w:id="234" w:name="_Toc184310340"/>
      <w:bookmarkEnd w:id="234"/>
      <w:bookmarkStart w:id="235" w:name="_Toc184308039"/>
      <w:bookmarkEnd w:id="235"/>
      <w:bookmarkStart w:id="236" w:name="_Toc184312093"/>
      <w:bookmarkEnd w:id="236"/>
      <w:bookmarkStart w:id="237" w:name="_Toc184308036"/>
      <w:bookmarkEnd w:id="237"/>
      <w:bookmarkStart w:id="238" w:name="_Toc184313295"/>
      <w:bookmarkEnd w:id="238"/>
      <w:bookmarkStart w:id="239" w:name="_Toc184313285"/>
      <w:bookmarkEnd w:id="239"/>
      <w:bookmarkStart w:id="240" w:name="_Toc184314414"/>
      <w:bookmarkEnd w:id="240"/>
      <w:bookmarkStart w:id="241" w:name="_Toc184313271"/>
      <w:bookmarkEnd w:id="241"/>
      <w:bookmarkStart w:id="242" w:name="_Toc184313282"/>
      <w:bookmarkEnd w:id="242"/>
      <w:bookmarkStart w:id="243" w:name="_Toc184308076"/>
      <w:bookmarkEnd w:id="243"/>
      <w:bookmarkStart w:id="244" w:name="_Toc184314437"/>
      <w:bookmarkEnd w:id="244"/>
      <w:bookmarkStart w:id="245" w:name="_Toc184313255"/>
      <w:bookmarkEnd w:id="245"/>
      <w:bookmarkStart w:id="246" w:name="_Toc184313248"/>
      <w:bookmarkEnd w:id="246"/>
      <w:bookmarkStart w:id="247" w:name="_Toc184310333"/>
      <w:bookmarkEnd w:id="247"/>
      <w:bookmarkStart w:id="248" w:name="_Toc184313242"/>
      <w:bookmarkEnd w:id="248"/>
      <w:bookmarkStart w:id="249" w:name="_Toc184310337"/>
      <w:bookmarkEnd w:id="249"/>
      <w:bookmarkStart w:id="250" w:name="_Toc184308041"/>
      <w:bookmarkEnd w:id="250"/>
      <w:bookmarkStart w:id="251" w:name="_Toc184313296"/>
      <w:bookmarkEnd w:id="251"/>
      <w:bookmarkStart w:id="252" w:name="_Toc184313307"/>
      <w:bookmarkEnd w:id="252"/>
      <w:bookmarkStart w:id="253" w:name="_Toc184314480"/>
      <w:bookmarkEnd w:id="253"/>
      <w:bookmarkStart w:id="254" w:name="_Toc184314435"/>
      <w:bookmarkEnd w:id="254"/>
      <w:bookmarkStart w:id="255" w:name="_Toc184310319"/>
      <w:bookmarkEnd w:id="255"/>
      <w:bookmarkStart w:id="256" w:name="_Toc184308071"/>
      <w:bookmarkEnd w:id="256"/>
      <w:bookmarkStart w:id="257" w:name="_Toc184313267"/>
      <w:bookmarkEnd w:id="257"/>
      <w:bookmarkStart w:id="258" w:name="_Toc184312119"/>
      <w:bookmarkEnd w:id="258"/>
      <w:bookmarkStart w:id="259" w:name="_Toc184313298"/>
      <w:bookmarkEnd w:id="259"/>
      <w:bookmarkStart w:id="260" w:name="_Toc184310302"/>
      <w:bookmarkEnd w:id="260"/>
      <w:bookmarkStart w:id="261" w:name="_Toc184313310"/>
      <w:bookmarkEnd w:id="261"/>
      <w:bookmarkStart w:id="262" w:name="_Toc184312134"/>
      <w:bookmarkEnd w:id="262"/>
      <w:bookmarkStart w:id="263" w:name="_Toc184308068"/>
      <w:bookmarkEnd w:id="263"/>
      <w:bookmarkStart w:id="264" w:name="_Toc184308044"/>
      <w:bookmarkEnd w:id="264"/>
      <w:bookmarkStart w:id="265" w:name="_Toc184313286"/>
      <w:bookmarkEnd w:id="265"/>
      <w:bookmarkStart w:id="266" w:name="_Toc184312113"/>
      <w:bookmarkEnd w:id="266"/>
      <w:bookmarkStart w:id="267" w:name="_Toc184308073"/>
      <w:bookmarkEnd w:id="267"/>
      <w:bookmarkStart w:id="268" w:name="_Toc184308067"/>
      <w:bookmarkEnd w:id="268"/>
      <w:bookmarkStart w:id="269" w:name="_Toc184313290"/>
      <w:bookmarkEnd w:id="269"/>
      <w:bookmarkStart w:id="270" w:name="_Toc184308059"/>
      <w:bookmarkEnd w:id="270"/>
      <w:bookmarkStart w:id="271" w:name="_Toc184312067"/>
      <w:bookmarkEnd w:id="271"/>
      <w:bookmarkStart w:id="272" w:name="_Toc184314445"/>
      <w:bookmarkEnd w:id="272"/>
      <w:bookmarkStart w:id="273" w:name="_Toc184310274"/>
      <w:bookmarkEnd w:id="273"/>
      <w:bookmarkStart w:id="274" w:name="_Toc184308042"/>
      <w:bookmarkEnd w:id="274"/>
      <w:bookmarkStart w:id="275" w:name="_Toc184310283"/>
      <w:bookmarkEnd w:id="275"/>
      <w:bookmarkStart w:id="276" w:name="_Toc184312131"/>
      <w:bookmarkEnd w:id="276"/>
      <w:bookmarkStart w:id="277" w:name="_Toc184308089"/>
      <w:bookmarkEnd w:id="277"/>
      <w:bookmarkStart w:id="278" w:name="_Toc184313275"/>
      <w:bookmarkEnd w:id="278"/>
      <w:bookmarkStart w:id="279" w:name="_Toc184313247"/>
      <w:bookmarkEnd w:id="279"/>
      <w:bookmarkStart w:id="280" w:name="_Toc184308079"/>
      <w:bookmarkEnd w:id="280"/>
      <w:bookmarkStart w:id="281" w:name="_Toc184313305"/>
      <w:bookmarkEnd w:id="281"/>
      <w:bookmarkStart w:id="282" w:name="_Toc184310326"/>
      <w:bookmarkEnd w:id="282"/>
      <w:bookmarkStart w:id="283" w:name="_Toc184313263"/>
      <w:bookmarkEnd w:id="283"/>
      <w:bookmarkStart w:id="284" w:name="_Toc184314418"/>
      <w:bookmarkEnd w:id="284"/>
      <w:bookmarkStart w:id="285" w:name="_Toc184308062"/>
      <w:bookmarkEnd w:id="285"/>
      <w:bookmarkStart w:id="286" w:name="_Toc184314475"/>
      <w:bookmarkEnd w:id="286"/>
      <w:bookmarkStart w:id="287" w:name="_Toc184308075"/>
      <w:bookmarkEnd w:id="287"/>
      <w:bookmarkStart w:id="288" w:name="_Toc184312126"/>
      <w:bookmarkEnd w:id="288"/>
      <w:bookmarkStart w:id="289" w:name="_Toc184314426"/>
      <w:bookmarkEnd w:id="289"/>
      <w:bookmarkStart w:id="290" w:name="_Toc184308063"/>
      <w:bookmarkEnd w:id="290"/>
      <w:bookmarkStart w:id="291" w:name="_Toc184310342"/>
      <w:bookmarkEnd w:id="291"/>
      <w:bookmarkStart w:id="292" w:name="_Toc184313246"/>
      <w:bookmarkEnd w:id="292"/>
      <w:bookmarkStart w:id="293" w:name="_Toc184314454"/>
      <w:bookmarkEnd w:id="293"/>
      <w:bookmarkStart w:id="294" w:name="_Toc184314446"/>
      <w:bookmarkEnd w:id="294"/>
      <w:bookmarkStart w:id="295" w:name="_Toc184313291"/>
      <w:bookmarkEnd w:id="295"/>
      <w:bookmarkStart w:id="296" w:name="_Toc184310327"/>
      <w:bookmarkEnd w:id="296"/>
      <w:bookmarkStart w:id="297" w:name="_Toc184310287"/>
      <w:bookmarkEnd w:id="297"/>
      <w:bookmarkStart w:id="298" w:name="_Toc184308078"/>
      <w:bookmarkEnd w:id="298"/>
      <w:bookmarkStart w:id="299" w:name="_Toc184310320"/>
      <w:bookmarkEnd w:id="299"/>
      <w:bookmarkStart w:id="300" w:name="_Toc184310329"/>
      <w:bookmarkEnd w:id="300"/>
      <w:bookmarkStart w:id="301" w:name="_Toc184313251"/>
      <w:bookmarkEnd w:id="301"/>
      <w:bookmarkStart w:id="302" w:name="_Toc184313308"/>
      <w:bookmarkEnd w:id="302"/>
      <w:bookmarkStart w:id="303" w:name="_Toc184313306"/>
      <w:bookmarkEnd w:id="303"/>
      <w:bookmarkStart w:id="304" w:name="_Toc184308087"/>
      <w:bookmarkEnd w:id="304"/>
      <w:bookmarkStart w:id="305" w:name="_Toc184313256"/>
      <w:bookmarkEnd w:id="305"/>
      <w:bookmarkStart w:id="306" w:name="_Toc184312132"/>
      <w:bookmarkEnd w:id="306"/>
      <w:bookmarkStart w:id="307" w:name="_Toc184314432"/>
      <w:bookmarkEnd w:id="307"/>
      <w:bookmarkStart w:id="308" w:name="_Toc184314452"/>
      <w:bookmarkEnd w:id="308"/>
      <w:bookmarkStart w:id="309" w:name="_Toc184314478"/>
      <w:bookmarkEnd w:id="309"/>
      <w:bookmarkStart w:id="310" w:name="_Toc184314467"/>
      <w:bookmarkEnd w:id="310"/>
      <w:bookmarkStart w:id="311" w:name="_Toc184308098"/>
      <w:bookmarkEnd w:id="311"/>
      <w:bookmarkStart w:id="312" w:name="_Toc184314424"/>
      <w:bookmarkEnd w:id="312"/>
      <w:bookmarkStart w:id="313" w:name="_Toc184308046"/>
      <w:bookmarkEnd w:id="313"/>
      <w:bookmarkStart w:id="314" w:name="_Toc184312075"/>
      <w:bookmarkEnd w:id="314"/>
      <w:bookmarkStart w:id="315" w:name="_Toc184312123"/>
      <w:bookmarkEnd w:id="315"/>
      <w:bookmarkStart w:id="316" w:name="_Toc184308085"/>
      <w:bookmarkEnd w:id="316"/>
      <w:bookmarkStart w:id="317" w:name="_Toc184314423"/>
      <w:bookmarkEnd w:id="317"/>
      <w:bookmarkStart w:id="318" w:name="_Toc184314430"/>
      <w:bookmarkEnd w:id="318"/>
      <w:bookmarkStart w:id="319" w:name="_Toc184310332"/>
      <w:bookmarkEnd w:id="319"/>
      <w:bookmarkStart w:id="320" w:name="_Toc184314416"/>
      <w:bookmarkEnd w:id="320"/>
      <w:bookmarkStart w:id="321" w:name="_Toc184308081"/>
      <w:bookmarkEnd w:id="321"/>
      <w:bookmarkStart w:id="322" w:name="_Toc184312077"/>
      <w:bookmarkEnd w:id="322"/>
      <w:bookmarkStart w:id="323" w:name="_Toc184314461"/>
      <w:bookmarkEnd w:id="323"/>
      <w:bookmarkStart w:id="324" w:name="_Toc184313269"/>
      <w:bookmarkEnd w:id="324"/>
      <w:bookmarkStart w:id="325" w:name="_Toc184312088"/>
      <w:bookmarkEnd w:id="325"/>
      <w:bookmarkStart w:id="326" w:name="_Toc184314428"/>
      <w:bookmarkEnd w:id="326"/>
      <w:bookmarkStart w:id="327" w:name="_Toc184314440"/>
      <w:bookmarkEnd w:id="327"/>
      <w:bookmarkStart w:id="328" w:name="_Toc184314420"/>
      <w:bookmarkEnd w:id="328"/>
      <w:bookmarkStart w:id="329" w:name="_Toc184314419"/>
      <w:bookmarkEnd w:id="329"/>
      <w:bookmarkStart w:id="330" w:name="_Toc184314429"/>
      <w:bookmarkEnd w:id="330"/>
      <w:bookmarkStart w:id="331" w:name="_Toc184308047"/>
      <w:bookmarkEnd w:id="331"/>
      <w:bookmarkStart w:id="332" w:name="_Toc184310324"/>
      <w:bookmarkEnd w:id="332"/>
      <w:bookmarkStart w:id="333" w:name="_Toc184314434"/>
      <w:bookmarkEnd w:id="333"/>
      <w:bookmarkStart w:id="334" w:name="_Toc184310316"/>
      <w:bookmarkEnd w:id="334"/>
      <w:bookmarkStart w:id="335" w:name="_Toc184310335"/>
      <w:bookmarkEnd w:id="335"/>
      <w:bookmarkStart w:id="336" w:name="_Toc184312080"/>
      <w:bookmarkEnd w:id="336"/>
      <w:bookmarkStart w:id="337" w:name="_Toc184312084"/>
      <w:bookmarkEnd w:id="337"/>
      <w:bookmarkStart w:id="338" w:name="_Toc184312098"/>
      <w:bookmarkEnd w:id="338"/>
      <w:bookmarkStart w:id="339" w:name="_Toc184313278"/>
      <w:bookmarkEnd w:id="339"/>
      <w:bookmarkStart w:id="340" w:name="_Toc184310280"/>
      <w:bookmarkEnd w:id="340"/>
      <w:bookmarkStart w:id="341" w:name="_Toc184310284"/>
      <w:bookmarkEnd w:id="341"/>
      <w:bookmarkStart w:id="342" w:name="_Toc184312129"/>
      <w:bookmarkEnd w:id="342"/>
      <w:bookmarkStart w:id="343" w:name="_Toc184310314"/>
      <w:bookmarkEnd w:id="343"/>
      <w:bookmarkStart w:id="344" w:name="_Toc184314413"/>
      <w:bookmarkEnd w:id="344"/>
      <w:bookmarkStart w:id="345" w:name="_Toc184314472"/>
      <w:bookmarkEnd w:id="345"/>
      <w:bookmarkStart w:id="346" w:name="_Toc184314411"/>
      <w:bookmarkEnd w:id="346"/>
      <w:bookmarkStart w:id="347" w:name="_Toc184308052"/>
      <w:bookmarkEnd w:id="347"/>
      <w:bookmarkStart w:id="348" w:name="_Toc184312101"/>
      <w:bookmarkEnd w:id="348"/>
      <w:bookmarkStart w:id="349" w:name="_Toc184308090"/>
      <w:bookmarkEnd w:id="349"/>
      <w:bookmarkStart w:id="350" w:name="_Toc184313265"/>
      <w:bookmarkEnd w:id="350"/>
      <w:bookmarkStart w:id="351" w:name="_Toc184312079"/>
      <w:bookmarkEnd w:id="351"/>
      <w:bookmarkStart w:id="352" w:name="_Toc184310322"/>
      <w:bookmarkEnd w:id="352"/>
      <w:bookmarkStart w:id="353" w:name="_Toc184313276"/>
      <w:bookmarkEnd w:id="353"/>
      <w:bookmarkStart w:id="354" w:name="_Toc184310290"/>
      <w:bookmarkEnd w:id="354"/>
      <w:bookmarkStart w:id="355" w:name="_Toc184308058"/>
      <w:bookmarkEnd w:id="355"/>
      <w:bookmarkStart w:id="356" w:name="_Toc184314438"/>
      <w:bookmarkEnd w:id="356"/>
      <w:bookmarkStart w:id="357" w:name="_Toc184308061"/>
      <w:bookmarkEnd w:id="357"/>
      <w:bookmarkStart w:id="358" w:name="_Toc184312115"/>
      <w:bookmarkEnd w:id="358"/>
      <w:bookmarkStart w:id="359" w:name="_Toc184314436"/>
      <w:bookmarkEnd w:id="359"/>
      <w:bookmarkStart w:id="360" w:name="_Toc184308093"/>
      <w:bookmarkEnd w:id="360"/>
      <w:bookmarkStart w:id="361" w:name="_Toc184308082"/>
      <w:bookmarkEnd w:id="361"/>
      <w:bookmarkStart w:id="362" w:name="_Toc184314463"/>
      <w:bookmarkEnd w:id="362"/>
      <w:bookmarkStart w:id="363" w:name="_Toc184314470"/>
      <w:bookmarkEnd w:id="363"/>
      <w:bookmarkStart w:id="364" w:name="_Toc184313300"/>
      <w:bookmarkEnd w:id="364"/>
      <w:bookmarkStart w:id="365" w:name="_Toc184310344"/>
      <w:bookmarkEnd w:id="365"/>
      <w:bookmarkStart w:id="366" w:name="_Toc184312072"/>
      <w:bookmarkEnd w:id="366"/>
      <w:bookmarkStart w:id="367" w:name="_Toc184308091"/>
      <w:bookmarkEnd w:id="367"/>
      <w:bookmarkStart w:id="368" w:name="_Toc184310294"/>
      <w:bookmarkEnd w:id="368"/>
      <w:bookmarkStart w:id="369" w:name="_Toc184313239"/>
      <w:bookmarkEnd w:id="369"/>
      <w:bookmarkStart w:id="370" w:name="_Toc184313289"/>
      <w:bookmarkEnd w:id="370"/>
      <w:bookmarkStart w:id="371" w:name="_Toc184312122"/>
      <w:bookmarkEnd w:id="371"/>
      <w:bookmarkStart w:id="372" w:name="_Toc184310341"/>
      <w:bookmarkEnd w:id="372"/>
      <w:bookmarkStart w:id="373" w:name="_Toc184312125"/>
      <w:bookmarkEnd w:id="373"/>
      <w:bookmarkStart w:id="374" w:name="_Toc184310307"/>
      <w:bookmarkEnd w:id="374"/>
      <w:bookmarkStart w:id="375" w:name="_Toc184313245"/>
      <w:bookmarkEnd w:id="375"/>
      <w:bookmarkStart w:id="376" w:name="_Toc184314425"/>
      <w:bookmarkEnd w:id="376"/>
      <w:bookmarkStart w:id="377" w:name="_Toc184314441"/>
      <w:bookmarkEnd w:id="377"/>
      <w:bookmarkStart w:id="378" w:name="_Toc184313262"/>
      <w:bookmarkEnd w:id="378"/>
      <w:bookmarkStart w:id="379" w:name="_Toc184312135"/>
      <w:bookmarkEnd w:id="379"/>
      <w:bookmarkStart w:id="380" w:name="_Toc184308038"/>
      <w:bookmarkEnd w:id="380"/>
      <w:bookmarkStart w:id="381" w:name="_Toc184308102"/>
      <w:bookmarkEnd w:id="381"/>
      <w:bookmarkStart w:id="382" w:name="_Toc184310309"/>
      <w:bookmarkEnd w:id="382"/>
      <w:bookmarkStart w:id="383" w:name="_Toc184313266"/>
      <w:bookmarkEnd w:id="383"/>
      <w:bookmarkStart w:id="384" w:name="_Toc184314412"/>
      <w:bookmarkEnd w:id="384"/>
      <w:bookmarkStart w:id="385" w:name="_Toc184312068"/>
      <w:bookmarkEnd w:id="385"/>
      <w:bookmarkStart w:id="386" w:name="_Toc184314481"/>
      <w:bookmarkEnd w:id="386"/>
      <w:bookmarkStart w:id="387" w:name="_Toc184310305"/>
      <w:bookmarkEnd w:id="387"/>
      <w:bookmarkStart w:id="388" w:name="_Toc184313297"/>
      <w:bookmarkEnd w:id="388"/>
      <w:bookmarkStart w:id="389" w:name="_Toc184310278"/>
      <w:bookmarkEnd w:id="389"/>
      <w:bookmarkStart w:id="390" w:name="_Toc184310296"/>
      <w:bookmarkEnd w:id="390"/>
      <w:bookmarkStart w:id="391" w:name="_Toc184310330"/>
      <w:bookmarkEnd w:id="391"/>
      <w:bookmarkStart w:id="392" w:name="_Toc184310331"/>
      <w:bookmarkEnd w:id="392"/>
      <w:bookmarkStart w:id="393" w:name="_Toc184313257"/>
      <w:bookmarkEnd w:id="393"/>
      <w:bookmarkStart w:id="394" w:name="_Toc184312069"/>
      <w:bookmarkEnd w:id="394"/>
      <w:bookmarkStart w:id="395" w:name="_Toc184310281"/>
      <w:bookmarkEnd w:id="395"/>
      <w:bookmarkStart w:id="396" w:name="_Toc184313243"/>
      <w:bookmarkEnd w:id="396"/>
      <w:bookmarkStart w:id="397" w:name="_Toc184312121"/>
      <w:bookmarkEnd w:id="397"/>
      <w:bookmarkStart w:id="398" w:name="_Toc184310339"/>
      <w:bookmarkEnd w:id="398"/>
      <w:bookmarkStart w:id="399" w:name="_Toc184308105"/>
      <w:bookmarkEnd w:id="399"/>
      <w:r>
        <w:rPr>
          <w:rFonts w:hint="eastAsia" w:ascii="仿宋" w:hAnsi="仿宋" w:eastAsia="仿宋" w:cs="仿宋"/>
          <w:b/>
          <w:color w:val="auto"/>
          <w:sz w:val="36"/>
          <w:szCs w:val="36"/>
        </w:rPr>
        <w:t>评标办法</w:t>
      </w:r>
    </w:p>
    <w:p>
      <w:pPr>
        <w:snapToGrid w:val="0"/>
        <w:spacing w:line="360" w:lineRule="auto"/>
        <w:jc w:val="center"/>
        <w:rPr>
          <w:rFonts w:hint="eastAsia" w:ascii="仿宋" w:hAnsi="仿宋" w:eastAsia="仿宋" w:cs="仿宋"/>
          <w:b/>
          <w:color w:val="auto"/>
          <w:sz w:val="32"/>
          <w:szCs w:val="20"/>
        </w:rPr>
      </w:pPr>
      <w:r>
        <w:rPr>
          <w:rFonts w:hint="eastAsia" w:ascii="仿宋" w:hAnsi="仿宋" w:eastAsia="仿宋" w:cs="仿宋"/>
          <w:b/>
          <w:color w:val="auto"/>
          <w:sz w:val="32"/>
          <w:szCs w:val="20"/>
        </w:rPr>
        <w:t>评标办法前附表</w:t>
      </w:r>
    </w:p>
    <w:tbl>
      <w:tblPr>
        <w:tblStyle w:val="63"/>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102"/>
        <w:gridCol w:w="898"/>
        <w:gridCol w:w="101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5102"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评标标准</w:t>
            </w:r>
          </w:p>
        </w:tc>
        <w:tc>
          <w:tcPr>
            <w:tcW w:w="898"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权重</w:t>
            </w:r>
          </w:p>
        </w:tc>
        <w:tc>
          <w:tcPr>
            <w:tcW w:w="1013" w:type="dxa"/>
            <w:vAlign w:val="center"/>
          </w:tcPr>
          <w:p>
            <w:pPr>
              <w:snapToGrid w:val="0"/>
              <w:spacing w:line="36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主观分/客观分属性</w:t>
            </w:r>
          </w:p>
        </w:tc>
        <w:tc>
          <w:tcPr>
            <w:tcW w:w="1701" w:type="dxa"/>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highlight w:val="none"/>
              </w:rPr>
              <w:t>1</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类似业绩（0-</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投标人自2019年1月1日以来（以签订的合同为准）承担过控制性详细规划类项目的每个得</w:t>
            </w:r>
            <w:r>
              <w:rPr>
                <w:rFonts w:hint="eastAsia" w:ascii="仿宋" w:hAnsi="仿宋" w:eastAsia="仿宋" w:cs="仿宋"/>
                <w:bCs/>
                <w:color w:val="auto"/>
                <w:sz w:val="24"/>
                <w:szCs w:val="24"/>
                <w:highlight w:val="none"/>
                <w:lang w:val="en-US" w:eastAsia="zh-CN"/>
              </w:rPr>
              <w:t>0.5</w:t>
            </w:r>
            <w:r>
              <w:rPr>
                <w:rFonts w:hint="eastAsia" w:ascii="仿宋" w:hAnsi="仿宋" w:eastAsia="仿宋" w:cs="仿宋"/>
                <w:bCs/>
                <w:color w:val="auto"/>
                <w:sz w:val="24"/>
                <w:szCs w:val="24"/>
                <w:highlight w:val="none"/>
              </w:rPr>
              <w:t>分，最高得</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sz w:val="24"/>
                <w:szCs w:val="24"/>
              </w:rPr>
            </w:pP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须提供合同原件扫描件（至少包括首页、盖章页，并须能体现相关评审因素），未提供不得分</w:t>
            </w:r>
            <w:r>
              <w:rPr>
                <w:rFonts w:hint="eastAsia" w:ascii="仿宋" w:hAnsi="仿宋" w:eastAsia="仿宋" w:cs="仿宋"/>
                <w:bCs/>
                <w:color w:val="auto"/>
                <w:sz w:val="24"/>
                <w:szCs w:val="24"/>
                <w:highlight w:val="none"/>
                <w:lang w:eastAsia="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一、</w:t>
            </w:r>
            <w:r>
              <w:rPr>
                <w:rFonts w:hint="eastAsia" w:ascii="仿宋" w:hAnsi="仿宋" w:eastAsia="仿宋" w:cs="仿宋"/>
                <w:bCs/>
                <w:color w:val="auto"/>
                <w:sz w:val="24"/>
                <w:szCs w:val="24"/>
                <w:highlight w:val="none"/>
              </w:rPr>
              <w:t>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highlight w:val="none"/>
              </w:rPr>
              <w:t>2</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权威认证（0-</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w:t>
            </w:r>
          </w:p>
          <w:p>
            <w:pPr>
              <w:pStyle w:val="859"/>
              <w:keepNext w:val="0"/>
              <w:keepLines w:val="0"/>
              <w:pageBreakBefore w:val="0"/>
              <w:widowControl w:val="0"/>
              <w:kinsoku/>
              <w:wordWrap/>
              <w:overflowPunct/>
              <w:topLinePunct w:val="0"/>
              <w:autoSpaceDE/>
              <w:autoSpaceDN/>
              <w:bidi w:val="0"/>
              <w:spacing w:line="360" w:lineRule="auto"/>
              <w:ind w:firstLine="0" w:firstLineChars="0"/>
              <w:jc w:val="left"/>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投标人具有有效的认证范围至少包含城乡规划编制</w:t>
            </w:r>
            <w:r>
              <w:rPr>
                <w:rFonts w:hint="eastAsia" w:ascii="仿宋" w:hAnsi="仿宋" w:eastAsia="仿宋" w:cs="仿宋"/>
                <w:bCs/>
                <w:color w:val="auto"/>
                <w:sz w:val="24"/>
                <w:szCs w:val="24"/>
                <w:highlight w:val="none"/>
                <w:lang w:eastAsia="zh-CN"/>
              </w:rPr>
              <w:t>的</w:t>
            </w:r>
            <w:r>
              <w:rPr>
                <w:rFonts w:hint="eastAsia" w:ascii="仿宋" w:hAnsi="仿宋" w:eastAsia="仿宋" w:cs="仿宋"/>
                <w:bCs/>
                <w:color w:val="auto"/>
                <w:sz w:val="24"/>
                <w:szCs w:val="24"/>
                <w:highlight w:val="none"/>
              </w:rPr>
              <w:t>质量管理体系认证证书、环境管理体系认证证书、职业健康安全管理体系认证证书的每个得1分，最高得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w:t>
            </w: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highlight w:val="none"/>
              </w:rPr>
              <w:t>（须提供有效期内的证书原件扫描件，未提供不得分）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二、权威认证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3</w:t>
            </w:r>
          </w:p>
        </w:tc>
        <w:tc>
          <w:tcPr>
            <w:tcW w:w="5102" w:type="dxa"/>
            <w:vAlign w:val="center"/>
          </w:tcPr>
          <w:p>
            <w:pPr>
              <w:pStyle w:val="859"/>
              <w:keepNext w:val="0"/>
              <w:keepLines w:val="0"/>
              <w:pageBreakBefore w:val="0"/>
              <w:widowControl w:val="0"/>
              <w:kinsoku/>
              <w:wordWrap/>
              <w:overflowPunct/>
              <w:topLinePunct w:val="0"/>
              <w:autoSpaceDE/>
              <w:autoSpaceDN/>
              <w:bidi w:val="0"/>
              <w:spacing w:line="360" w:lineRule="auto"/>
              <w:ind w:firstLine="0" w:firstLineChars="0"/>
              <w:jc w:val="left"/>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eastAsia="zh-CN"/>
              </w:rPr>
              <w:t>企业荣誉</w:t>
            </w:r>
            <w:r>
              <w:rPr>
                <w:rFonts w:hint="eastAsia" w:ascii="仿宋" w:hAnsi="仿宋" w:eastAsia="仿宋" w:cs="仿宋"/>
                <w:bCs/>
                <w:color w:val="auto"/>
                <w:sz w:val="24"/>
                <w:szCs w:val="24"/>
                <w:highlight w:val="none"/>
              </w:rPr>
              <w:t>（0-3分）：</w:t>
            </w:r>
          </w:p>
          <w:p>
            <w:pPr>
              <w:pStyle w:val="859"/>
              <w:keepNext w:val="0"/>
              <w:keepLines w:val="0"/>
              <w:pageBreakBefore w:val="0"/>
              <w:widowControl w:val="0"/>
              <w:kinsoku/>
              <w:wordWrap/>
              <w:overflowPunct/>
              <w:topLinePunct w:val="0"/>
              <w:autoSpaceDE/>
              <w:autoSpaceDN/>
              <w:bidi w:val="0"/>
              <w:spacing w:line="360" w:lineRule="auto"/>
              <w:ind w:firstLine="0" w:firstLineChars="0"/>
              <w:jc w:val="left"/>
              <w:textAlignment w:val="auto"/>
              <w:outlineLvl w:val="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w:t>
            </w:r>
            <w:r>
              <w:rPr>
                <w:rFonts w:hint="eastAsia" w:ascii="仿宋" w:hAnsi="仿宋" w:eastAsia="仿宋" w:cs="仿宋"/>
                <w:bCs/>
                <w:color w:val="auto"/>
                <w:sz w:val="24"/>
                <w:szCs w:val="24"/>
                <w:highlight w:val="none"/>
                <w:lang w:eastAsia="zh-CN"/>
              </w:rPr>
              <w:t>自2019年1月1日以来编制的规划，获得过国家级（不含除中国城市规划协会和学会以外的行业学会或协会）荣誉、奖项的，</w:t>
            </w:r>
            <w:r>
              <w:rPr>
                <w:rFonts w:hint="eastAsia" w:ascii="仿宋" w:hAnsi="仿宋" w:eastAsia="仿宋" w:cs="仿宋"/>
                <w:bCs/>
                <w:color w:val="auto"/>
                <w:sz w:val="24"/>
                <w:szCs w:val="24"/>
                <w:highlight w:val="none"/>
              </w:rPr>
              <w:t>一等奖每个得1.5分，二等奖每个得1分</w:t>
            </w:r>
            <w:r>
              <w:rPr>
                <w:rFonts w:hint="eastAsia" w:ascii="仿宋" w:hAnsi="仿宋" w:eastAsia="仿宋" w:cs="仿宋"/>
                <w:bCs/>
                <w:color w:val="auto"/>
                <w:sz w:val="24"/>
                <w:szCs w:val="24"/>
                <w:highlight w:val="none"/>
                <w:lang w:eastAsia="zh-CN"/>
              </w:rPr>
              <w:t>，</w:t>
            </w:r>
            <w:r>
              <w:rPr>
                <w:rFonts w:hint="eastAsia" w:ascii="仿宋" w:hAnsi="仿宋" w:eastAsia="仿宋" w:cs="仿宋"/>
                <w:bCs/>
                <w:color w:val="auto"/>
                <w:sz w:val="24"/>
                <w:szCs w:val="24"/>
                <w:highlight w:val="none"/>
              </w:rPr>
              <w:t>最高得3分。</w:t>
            </w:r>
          </w:p>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highlight w:val="none"/>
              </w:rPr>
              <w:t>（</w:t>
            </w:r>
            <w:r>
              <w:rPr>
                <w:rFonts w:hint="eastAsia" w:ascii="仿宋" w:hAnsi="仿宋" w:eastAsia="仿宋" w:cs="仿宋"/>
                <w:b w:val="0"/>
                <w:bCs w:val="0"/>
                <w:color w:val="auto"/>
                <w:sz w:val="24"/>
                <w:szCs w:val="24"/>
                <w:highlight w:val="none"/>
                <w:lang w:val="en-US" w:eastAsia="zh-CN"/>
              </w:rPr>
              <w:t>相同项目不重复计算得分，须提供</w:t>
            </w:r>
            <w:r>
              <w:rPr>
                <w:rFonts w:hint="eastAsia" w:ascii="仿宋" w:hAnsi="仿宋" w:eastAsia="仿宋" w:cs="仿宋"/>
                <w:b w:val="0"/>
                <w:bCs w:val="0"/>
                <w:color w:val="auto"/>
                <w:sz w:val="24"/>
                <w:szCs w:val="24"/>
                <w:highlight w:val="none"/>
                <w:lang w:val="zh-TW" w:eastAsia="zh-CN"/>
              </w:rPr>
              <w:t>证明</w:t>
            </w:r>
            <w:r>
              <w:rPr>
                <w:rFonts w:hint="eastAsia" w:ascii="仿宋" w:hAnsi="仿宋" w:eastAsia="仿宋" w:cs="仿宋"/>
                <w:b w:val="0"/>
                <w:bCs w:val="0"/>
                <w:color w:val="auto"/>
                <w:sz w:val="24"/>
                <w:szCs w:val="24"/>
                <w:highlight w:val="none"/>
                <w:lang w:val="en-US" w:eastAsia="zh-CN"/>
              </w:rPr>
              <w:t>材料原件扫描件，未提供不得分</w:t>
            </w:r>
            <w:r>
              <w:rPr>
                <w:rFonts w:hint="eastAsia" w:ascii="仿宋" w:hAnsi="仿宋" w:eastAsia="仿宋" w:cs="仿宋"/>
                <w:bCs/>
                <w:color w:val="auto"/>
                <w:sz w:val="24"/>
                <w:szCs w:val="24"/>
                <w:highlight w:val="none"/>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客观分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三、企业荣誉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4</w:t>
            </w:r>
          </w:p>
        </w:tc>
        <w:tc>
          <w:tcPr>
            <w:tcW w:w="5102" w:type="dxa"/>
            <w:vAlign w:val="center"/>
          </w:tcPr>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编制背景和项目特性的理解（0-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color w:val="auto"/>
                <w:sz w:val="24"/>
                <w:szCs w:val="24"/>
              </w:rPr>
            </w:pPr>
            <w:r>
              <w:rPr>
                <w:rFonts w:hint="eastAsia" w:ascii="仿宋" w:hAnsi="仿宋" w:eastAsia="仿宋" w:cs="仿宋"/>
                <w:bCs/>
                <w:color w:val="auto"/>
                <w:sz w:val="24"/>
                <w:szCs w:val="24"/>
                <w:highlight w:val="none"/>
                <w:lang w:val="en-US" w:eastAsia="zh-CN"/>
              </w:rPr>
              <w:t>根据投标人</w:t>
            </w:r>
            <w:r>
              <w:rPr>
                <w:rFonts w:hint="eastAsia" w:ascii="仿宋" w:hAnsi="仿宋" w:eastAsia="仿宋" w:cs="仿宋"/>
                <w:bCs/>
                <w:color w:val="auto"/>
                <w:sz w:val="24"/>
                <w:szCs w:val="24"/>
                <w:highlight w:val="none"/>
                <w:lang w:eastAsia="zh-CN"/>
              </w:rPr>
              <w:t>对编制背景和项目特性的理解进行综合比较打分，包括对杭州控制性详细规划的编制管理及发展历程理解，对规划编制提出建设性指导、准确把握方向目标，充分结合地区特色和发展要求，准确把握本项目的主要目标。理解</w:t>
            </w:r>
            <w:r>
              <w:rPr>
                <w:rFonts w:hint="eastAsia" w:ascii="仿宋" w:hAnsi="仿宋" w:eastAsia="仿宋" w:cs="仿宋"/>
                <w:bCs/>
                <w:color w:val="auto"/>
                <w:sz w:val="24"/>
                <w:szCs w:val="24"/>
                <w:highlight w:val="none"/>
                <w:lang w:val="zh-CN" w:eastAsia="zh-CN"/>
              </w:rPr>
              <w:t>合理、全面、到位的得</w:t>
            </w:r>
            <w:r>
              <w:rPr>
                <w:rFonts w:hint="eastAsia" w:ascii="仿宋" w:hAnsi="仿宋" w:eastAsia="仿宋" w:cs="仿宋"/>
                <w:bCs/>
                <w:color w:val="auto"/>
                <w:sz w:val="24"/>
                <w:szCs w:val="24"/>
                <w:highlight w:val="none"/>
                <w:lang w:eastAsia="zh-CN"/>
              </w:rPr>
              <w:t>5</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理解</w:t>
            </w:r>
            <w:r>
              <w:rPr>
                <w:rFonts w:hint="eastAsia" w:ascii="仿宋" w:hAnsi="仿宋" w:eastAsia="仿宋" w:cs="仿宋"/>
                <w:bCs/>
                <w:color w:val="auto"/>
                <w:sz w:val="24"/>
                <w:szCs w:val="24"/>
                <w:highlight w:val="none"/>
                <w:lang w:val="zh-CN" w:eastAsia="zh-CN"/>
              </w:rPr>
              <w:t>基本合理、全面、到位的得</w:t>
            </w:r>
            <w:r>
              <w:rPr>
                <w:rFonts w:hint="eastAsia" w:ascii="仿宋" w:hAnsi="仿宋" w:eastAsia="仿宋" w:cs="仿宋"/>
                <w:bCs/>
                <w:color w:val="auto"/>
                <w:sz w:val="24"/>
                <w:szCs w:val="24"/>
                <w:highlight w:val="none"/>
                <w:lang w:eastAsia="zh-CN"/>
              </w:rPr>
              <w:t>3</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理解</w:t>
            </w:r>
            <w:r>
              <w:rPr>
                <w:rFonts w:hint="eastAsia" w:ascii="仿宋" w:hAnsi="仿宋" w:eastAsia="仿宋" w:cs="仿宋"/>
                <w:bCs/>
                <w:color w:val="auto"/>
                <w:sz w:val="24"/>
                <w:szCs w:val="24"/>
                <w:highlight w:val="none"/>
                <w:lang w:val="zh-CN" w:eastAsia="zh-CN"/>
              </w:rPr>
              <w:t>较为简单或存在缺漏的得</w:t>
            </w:r>
            <w:r>
              <w:rPr>
                <w:rFonts w:hint="eastAsia" w:ascii="仿宋" w:hAnsi="仿宋" w:eastAsia="仿宋" w:cs="仿宋"/>
                <w:bCs/>
                <w:color w:val="auto"/>
                <w:sz w:val="24"/>
                <w:szCs w:val="24"/>
                <w:highlight w:val="none"/>
                <w:lang w:eastAsia="zh-CN"/>
              </w:rPr>
              <w:t>1</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，未提供不得分</w:t>
            </w:r>
            <w:r>
              <w:rPr>
                <w:rFonts w:hint="eastAsia" w:ascii="仿宋" w:hAnsi="仿宋" w:eastAsia="仿宋" w:cs="仿宋"/>
                <w:bCs/>
                <w:color w:val="auto"/>
                <w:sz w:val="24"/>
                <w:szCs w:val="24"/>
                <w:highlight w:val="none"/>
                <w:lang w:val="zh-CN" w:eastAsia="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sz w:val="24"/>
                <w:szCs w:val="24"/>
              </w:rPr>
            </w:pPr>
            <w:r>
              <w:rPr>
                <w:rFonts w:hint="eastAsia" w:ascii="仿宋" w:hAnsi="仿宋" w:eastAsia="仿宋" w:cs="仿宋"/>
                <w:bCs/>
                <w:color w:val="auto"/>
                <w:sz w:val="24"/>
                <w:szCs w:val="24"/>
                <w:highlight w:val="none"/>
              </w:rPr>
              <w:t>5分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四、</w:t>
            </w:r>
            <w:r>
              <w:rPr>
                <w:rFonts w:hint="eastAsia" w:ascii="仿宋" w:hAnsi="仿宋" w:eastAsia="仿宋" w:cs="仿宋"/>
                <w:bCs/>
                <w:color w:val="auto"/>
                <w:sz w:val="24"/>
                <w:szCs w:val="24"/>
                <w:highlight w:val="none"/>
                <w:lang w:eastAsia="zh-CN"/>
              </w:rPr>
              <w:t>编制背景和项目特性的理解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5</w:t>
            </w:r>
          </w:p>
        </w:tc>
        <w:tc>
          <w:tcPr>
            <w:tcW w:w="5102" w:type="dxa"/>
            <w:vAlign w:val="center"/>
          </w:tcPr>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空间及自然资源现状分析（0-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根据投标人</w:t>
            </w:r>
            <w:r>
              <w:rPr>
                <w:rFonts w:hint="eastAsia" w:ascii="仿宋" w:hAnsi="仿宋" w:eastAsia="仿宋" w:cs="仿宋"/>
                <w:bCs/>
                <w:color w:val="auto"/>
                <w:sz w:val="24"/>
                <w:szCs w:val="24"/>
                <w:highlight w:val="none"/>
                <w:lang w:eastAsia="zh-CN"/>
              </w:rPr>
              <w:t>对空间及自然资源现状分析进行综合比较打分，包括对现状情况资料收集，对地区的研究，分析方法是否科学合理，现状特征把握是否精准。分析</w:t>
            </w:r>
            <w:r>
              <w:rPr>
                <w:rFonts w:hint="eastAsia" w:ascii="仿宋" w:hAnsi="仿宋" w:eastAsia="仿宋" w:cs="仿宋"/>
                <w:bCs/>
                <w:color w:val="auto"/>
                <w:sz w:val="24"/>
                <w:szCs w:val="24"/>
                <w:highlight w:val="none"/>
                <w:lang w:val="zh-CN" w:eastAsia="zh-CN"/>
              </w:rPr>
              <w:t>合理、全面、到位的得</w:t>
            </w:r>
            <w:r>
              <w:rPr>
                <w:rFonts w:hint="eastAsia" w:ascii="仿宋" w:hAnsi="仿宋" w:eastAsia="仿宋" w:cs="仿宋"/>
                <w:bCs/>
                <w:color w:val="auto"/>
                <w:sz w:val="24"/>
                <w:szCs w:val="24"/>
                <w:highlight w:val="none"/>
                <w:lang w:eastAsia="zh-CN"/>
              </w:rPr>
              <w:t>5</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分析</w:t>
            </w:r>
            <w:r>
              <w:rPr>
                <w:rFonts w:hint="eastAsia" w:ascii="仿宋" w:hAnsi="仿宋" w:eastAsia="仿宋" w:cs="仿宋"/>
                <w:bCs/>
                <w:color w:val="auto"/>
                <w:sz w:val="24"/>
                <w:szCs w:val="24"/>
                <w:highlight w:val="none"/>
                <w:lang w:val="zh-CN" w:eastAsia="zh-CN"/>
              </w:rPr>
              <w:t>基本合理、全面、到位的得</w:t>
            </w:r>
            <w:r>
              <w:rPr>
                <w:rFonts w:hint="eastAsia" w:ascii="仿宋" w:hAnsi="仿宋" w:eastAsia="仿宋" w:cs="仿宋"/>
                <w:bCs/>
                <w:color w:val="auto"/>
                <w:sz w:val="24"/>
                <w:szCs w:val="24"/>
                <w:highlight w:val="none"/>
                <w:lang w:eastAsia="zh-CN"/>
              </w:rPr>
              <w:t>3</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分析</w:t>
            </w:r>
            <w:r>
              <w:rPr>
                <w:rFonts w:hint="eastAsia" w:ascii="仿宋" w:hAnsi="仿宋" w:eastAsia="仿宋" w:cs="仿宋"/>
                <w:bCs/>
                <w:color w:val="auto"/>
                <w:sz w:val="24"/>
                <w:szCs w:val="24"/>
                <w:highlight w:val="none"/>
                <w:lang w:val="zh-CN" w:eastAsia="zh-CN"/>
              </w:rPr>
              <w:t>较为简单或存在缺漏的得</w:t>
            </w:r>
            <w:r>
              <w:rPr>
                <w:rFonts w:hint="eastAsia" w:ascii="仿宋" w:hAnsi="仿宋" w:eastAsia="仿宋" w:cs="仿宋"/>
                <w:bCs/>
                <w:color w:val="auto"/>
                <w:sz w:val="24"/>
                <w:szCs w:val="24"/>
                <w:highlight w:val="none"/>
                <w:lang w:eastAsia="zh-CN"/>
              </w:rPr>
              <w:t>1</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，未提供不得分</w:t>
            </w:r>
            <w:r>
              <w:rPr>
                <w:rFonts w:hint="eastAsia" w:ascii="仿宋" w:hAnsi="仿宋" w:eastAsia="仿宋" w:cs="仿宋"/>
                <w:bCs/>
                <w:color w:val="auto"/>
                <w:sz w:val="24"/>
                <w:szCs w:val="24"/>
                <w:highlight w:val="none"/>
                <w:lang w:val="zh-CN" w:eastAsia="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五、空间及自然资源现状分析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lang w:eastAsia="zh-CN"/>
              </w:rPr>
              <w:t>上位及相关规划分析（0-</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kern w:val="2"/>
                <w:sz w:val="24"/>
                <w:szCs w:val="24"/>
                <w:highlight w:val="none"/>
                <w:lang w:val="zh-CN" w:eastAsia="zh-CN" w:bidi="ar-SA"/>
              </w:rPr>
            </w:pPr>
            <w:r>
              <w:rPr>
                <w:rFonts w:hint="eastAsia" w:ascii="仿宋" w:hAnsi="仿宋" w:eastAsia="仿宋" w:cs="仿宋"/>
                <w:bCs/>
                <w:color w:val="auto"/>
                <w:sz w:val="24"/>
                <w:szCs w:val="24"/>
                <w:highlight w:val="none"/>
                <w:lang w:val="en-US" w:eastAsia="zh-CN"/>
              </w:rPr>
              <w:t>根据投标人</w:t>
            </w:r>
            <w:r>
              <w:rPr>
                <w:rFonts w:hint="eastAsia" w:ascii="仿宋" w:hAnsi="仿宋" w:eastAsia="仿宋" w:cs="仿宋"/>
                <w:bCs/>
                <w:color w:val="auto"/>
                <w:sz w:val="24"/>
                <w:szCs w:val="24"/>
                <w:highlight w:val="none"/>
                <w:lang w:eastAsia="zh-CN"/>
              </w:rPr>
              <w:t>对上位及相关规划分析进行综合比较打分，</w:t>
            </w:r>
            <w:r>
              <w:rPr>
                <w:rFonts w:hint="eastAsia" w:ascii="仿宋" w:hAnsi="仿宋" w:eastAsia="仿宋" w:cs="仿宋"/>
                <w:bCs/>
                <w:color w:val="auto"/>
                <w:sz w:val="24"/>
                <w:szCs w:val="24"/>
                <w:highlight w:val="none"/>
                <w:lang w:val="zh-CN" w:eastAsia="zh-CN"/>
              </w:rPr>
              <w:t>包括对在当前新背景新要求下详细规划传导实施体系的理解，上位规划传导是否梳理清晰，对相关规划衔接以及其他规划的协调重点是否清晰明确。</w:t>
            </w:r>
            <w:r>
              <w:rPr>
                <w:rFonts w:hint="eastAsia" w:ascii="仿宋" w:hAnsi="仿宋" w:eastAsia="仿宋" w:cs="仿宋"/>
                <w:bCs/>
                <w:color w:val="auto"/>
                <w:sz w:val="24"/>
                <w:szCs w:val="24"/>
                <w:highlight w:val="none"/>
                <w:lang w:eastAsia="zh-CN"/>
              </w:rPr>
              <w:t>分析</w:t>
            </w:r>
            <w:r>
              <w:rPr>
                <w:rFonts w:hint="eastAsia" w:ascii="仿宋" w:hAnsi="仿宋" w:eastAsia="仿宋" w:cs="仿宋"/>
                <w:bCs/>
                <w:color w:val="auto"/>
                <w:sz w:val="24"/>
                <w:szCs w:val="24"/>
                <w:highlight w:val="none"/>
                <w:lang w:val="zh-CN" w:eastAsia="zh-CN"/>
              </w:rPr>
              <w:t>合理、全面、到位的得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分析</w:t>
            </w:r>
            <w:r>
              <w:rPr>
                <w:rFonts w:hint="eastAsia" w:ascii="仿宋" w:hAnsi="仿宋" w:eastAsia="仿宋" w:cs="仿宋"/>
                <w:bCs/>
                <w:color w:val="auto"/>
                <w:sz w:val="24"/>
                <w:szCs w:val="24"/>
                <w:highlight w:val="none"/>
                <w:lang w:val="zh-CN" w:eastAsia="zh-CN"/>
              </w:rPr>
              <w:t>基本合理、全面、到位的得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分析</w:t>
            </w:r>
            <w:r>
              <w:rPr>
                <w:rFonts w:hint="eastAsia" w:ascii="仿宋" w:hAnsi="仿宋" w:eastAsia="仿宋" w:cs="仿宋"/>
                <w:bCs/>
                <w:color w:val="auto"/>
                <w:sz w:val="24"/>
                <w:szCs w:val="24"/>
                <w:highlight w:val="none"/>
                <w:lang w:val="zh-CN" w:eastAsia="zh-CN"/>
              </w:rPr>
              <w:t>较为简单或存在缺漏的得</w:t>
            </w:r>
            <w:r>
              <w:rPr>
                <w:rFonts w:hint="eastAsia" w:ascii="仿宋" w:hAnsi="仿宋" w:eastAsia="仿宋" w:cs="仿宋"/>
                <w:bCs/>
                <w:color w:val="auto"/>
                <w:sz w:val="24"/>
                <w:szCs w:val="24"/>
                <w:highlight w:val="none"/>
                <w:lang w:eastAsia="zh-CN"/>
              </w:rPr>
              <w:t>1</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eastAsia="zh-CN"/>
              </w:rPr>
              <w:t>，未提供不得分</w:t>
            </w:r>
            <w:r>
              <w:rPr>
                <w:rFonts w:hint="eastAsia" w:ascii="仿宋" w:hAnsi="仿宋" w:eastAsia="仿宋" w:cs="仿宋"/>
                <w:bCs/>
                <w:color w:val="auto"/>
                <w:sz w:val="24"/>
                <w:szCs w:val="24"/>
                <w:highlight w:val="none"/>
                <w:lang w:val="zh-CN" w:eastAsia="zh-CN"/>
              </w:rPr>
              <w:t>。</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六、上位及相关规划分析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详细规划编制存在问题分析（0-</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w:t>
            </w:r>
            <w:r>
              <w:rPr>
                <w:rFonts w:hint="eastAsia" w:ascii="仿宋" w:hAnsi="仿宋" w:eastAsia="仿宋" w:cs="仿宋"/>
                <w:bCs/>
                <w:color w:val="auto"/>
                <w:sz w:val="24"/>
                <w:szCs w:val="24"/>
                <w:highlight w:val="none"/>
                <w:lang w:val="zh-CN" w:eastAsia="zh-CN"/>
              </w:rPr>
              <w:t>对详细规划编制存在问题分析进行综合比较打分，包括对详细规划编制存在问题的分析，技术方法是否科学合理，问题总结是否精准到位。分析合理、全面、到位的得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分；分析基本合理、全面、到位的得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zh-CN" w:eastAsia="zh-CN"/>
              </w:rPr>
              <w:t>分；分析较为简单或存在缺漏的得1分，未提供不得分。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七、</w:t>
            </w:r>
            <w:r>
              <w:rPr>
                <w:rFonts w:hint="eastAsia" w:ascii="仿宋" w:hAnsi="仿宋" w:eastAsia="仿宋" w:cs="仿宋"/>
                <w:bCs/>
                <w:color w:val="auto"/>
                <w:sz w:val="24"/>
                <w:szCs w:val="24"/>
                <w:highlight w:val="none"/>
                <w:lang w:val="zh-CN" w:eastAsia="zh-CN"/>
              </w:rPr>
              <w:t>详细规划编制存在问题分析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8</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编制思路（0-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根据投标人提供的编制思路</w:t>
            </w:r>
            <w:r>
              <w:rPr>
                <w:rFonts w:hint="eastAsia" w:ascii="仿宋" w:hAnsi="仿宋" w:eastAsia="仿宋" w:cs="仿宋"/>
                <w:bCs/>
                <w:color w:val="auto"/>
                <w:sz w:val="24"/>
                <w:szCs w:val="24"/>
                <w:highlight w:val="none"/>
                <w:lang w:val="zh-CN" w:eastAsia="zh-CN"/>
              </w:rPr>
              <w:t>进行综合比较打分，包括规划编制思路是否清晰、内容完整，是否结合地区实际诉求，彰显地区特色、体现项目特性。思路清晰、全面、到位的得</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分；思路基本清晰、全面、到位的得</w:t>
            </w:r>
            <w:r>
              <w:rPr>
                <w:rFonts w:hint="eastAsia" w:ascii="仿宋" w:hAnsi="仿宋" w:eastAsia="仿宋" w:cs="仿宋"/>
                <w:bCs/>
                <w:color w:val="auto"/>
                <w:sz w:val="24"/>
                <w:szCs w:val="24"/>
                <w:highlight w:val="none"/>
                <w:lang w:val="en-US" w:eastAsia="zh-CN"/>
              </w:rPr>
              <w:t>3</w:t>
            </w:r>
            <w:r>
              <w:rPr>
                <w:rFonts w:hint="eastAsia" w:ascii="仿宋" w:hAnsi="仿宋" w:eastAsia="仿宋" w:cs="仿宋"/>
                <w:bCs/>
                <w:color w:val="auto"/>
                <w:sz w:val="24"/>
                <w:szCs w:val="24"/>
                <w:highlight w:val="none"/>
                <w:lang w:val="zh-CN" w:eastAsia="zh-CN"/>
              </w:rPr>
              <w:t>分；思路较为简单或存在缺漏的得1分，未提供不得分析分。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八、</w:t>
            </w:r>
            <w:r>
              <w:rPr>
                <w:rFonts w:hint="eastAsia" w:ascii="仿宋" w:hAnsi="仿宋" w:eastAsia="仿宋" w:cs="仿宋"/>
                <w:bCs/>
                <w:color w:val="auto"/>
                <w:sz w:val="24"/>
                <w:szCs w:val="24"/>
                <w:highlight w:val="none"/>
                <w:lang w:val="zh-CN" w:eastAsia="zh-CN"/>
              </w:rPr>
              <w:t>编制思路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规划编制重点（0-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根据投标人提供的规划编制重点</w:t>
            </w:r>
            <w:r>
              <w:rPr>
                <w:rFonts w:hint="eastAsia" w:ascii="仿宋" w:hAnsi="仿宋" w:eastAsia="仿宋" w:cs="仿宋"/>
                <w:bCs/>
                <w:color w:val="auto"/>
                <w:sz w:val="24"/>
                <w:szCs w:val="24"/>
                <w:highlight w:val="none"/>
                <w:lang w:val="zh-CN" w:eastAsia="zh-CN"/>
              </w:rPr>
              <w:t>进行综合比较打分，包括规划编制重点是否明确、符合地区特色和未来发展需求，技术手段是否富有前瞻性、并符合当前相关政策导向。</w:t>
            </w:r>
            <w:r>
              <w:rPr>
                <w:rFonts w:hint="eastAsia" w:ascii="仿宋" w:hAnsi="仿宋" w:eastAsia="仿宋" w:cs="仿宋"/>
                <w:bCs/>
                <w:color w:val="auto"/>
                <w:sz w:val="24"/>
                <w:szCs w:val="24"/>
                <w:highlight w:val="none"/>
                <w:lang w:val="en-US" w:eastAsia="zh-CN"/>
              </w:rPr>
              <w:t>重点明确、</w:t>
            </w:r>
            <w:r>
              <w:rPr>
                <w:rFonts w:hint="eastAsia" w:ascii="仿宋" w:hAnsi="仿宋" w:eastAsia="仿宋" w:cs="仿宋"/>
                <w:bCs/>
                <w:color w:val="auto"/>
                <w:sz w:val="24"/>
                <w:szCs w:val="24"/>
                <w:highlight w:val="none"/>
                <w:lang w:val="zh-CN" w:eastAsia="zh-CN"/>
              </w:rPr>
              <w:t>到位且技术手段富有前瞻性、符合政策导向的得5分；</w:t>
            </w:r>
            <w:r>
              <w:rPr>
                <w:rFonts w:hint="eastAsia" w:ascii="仿宋" w:hAnsi="仿宋" w:eastAsia="仿宋" w:cs="仿宋"/>
                <w:bCs/>
                <w:color w:val="auto"/>
                <w:sz w:val="24"/>
                <w:szCs w:val="24"/>
                <w:highlight w:val="none"/>
                <w:lang w:val="en-US" w:eastAsia="zh-CN"/>
              </w:rPr>
              <w:t>重点基本明确、</w:t>
            </w:r>
            <w:r>
              <w:rPr>
                <w:rFonts w:hint="eastAsia" w:ascii="仿宋" w:hAnsi="仿宋" w:eastAsia="仿宋" w:cs="仿宋"/>
                <w:bCs/>
                <w:color w:val="auto"/>
                <w:sz w:val="24"/>
                <w:szCs w:val="24"/>
                <w:highlight w:val="none"/>
                <w:lang w:val="zh-CN" w:eastAsia="zh-CN"/>
              </w:rPr>
              <w:t>到位且技术手段基本具有前瞻性、符合政策导向的得3分；</w:t>
            </w:r>
            <w:r>
              <w:rPr>
                <w:rFonts w:hint="eastAsia" w:ascii="仿宋" w:hAnsi="仿宋" w:eastAsia="仿宋" w:cs="仿宋"/>
                <w:bCs/>
                <w:color w:val="auto"/>
                <w:sz w:val="24"/>
                <w:szCs w:val="24"/>
                <w:highlight w:val="none"/>
                <w:lang w:val="en-US" w:eastAsia="zh-CN"/>
              </w:rPr>
              <w:t>重点及技术手段</w:t>
            </w:r>
            <w:r>
              <w:rPr>
                <w:rFonts w:hint="eastAsia" w:ascii="仿宋" w:hAnsi="仿宋" w:eastAsia="仿宋" w:cs="仿宋"/>
                <w:bCs/>
                <w:color w:val="auto"/>
                <w:sz w:val="24"/>
                <w:szCs w:val="24"/>
                <w:highlight w:val="none"/>
                <w:lang w:val="zh-CN" w:eastAsia="zh-CN"/>
              </w:rPr>
              <w:t>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九、规划编制重点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10</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技术路线及管控体系（0-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根据投标人提供的技术路线及管控体系</w:t>
            </w:r>
            <w:r>
              <w:rPr>
                <w:rFonts w:hint="eastAsia" w:ascii="仿宋" w:hAnsi="仿宋" w:eastAsia="仿宋" w:cs="仿宋"/>
                <w:bCs/>
                <w:color w:val="auto"/>
                <w:sz w:val="24"/>
                <w:szCs w:val="24"/>
                <w:highlight w:val="none"/>
                <w:lang w:val="zh-CN" w:eastAsia="zh-CN"/>
              </w:rPr>
              <w:t>进行综合比较打分，包括是否充分结合地区特色和详细规划新要求，技术路线和管控体系是否科学合理，体现详细规划的核心管控要求。体系科学合理、全面、到位的得5分；体系基本科学合理、全面、到位的得3分；体系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十、技术路线及管控体系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三区三线和规模指标管控（0-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根据投标人对</w:t>
            </w:r>
            <w:r>
              <w:rPr>
                <w:rFonts w:hint="eastAsia" w:ascii="仿宋" w:hAnsi="仿宋" w:eastAsia="仿宋" w:cs="仿宋"/>
                <w:bCs/>
                <w:color w:val="auto"/>
                <w:sz w:val="24"/>
                <w:szCs w:val="24"/>
                <w:highlight w:val="none"/>
                <w:lang w:val="zh-CN" w:eastAsia="zh-CN"/>
              </w:rPr>
              <w:t>三区三线和规模指标管控方案进行综合比较打分，包括是否深刻理解相关政策要求和精神，是否充分衔接上位规划，严格落实各项刚性管控要求，是否结合地区实际情况，合理预测范围内的建筑、人口等规模指标，不可突破地区的生态环境承载力以及交通、市政等设施的容量规模。管控方案科学合理、全面、到位的得5分；管控方案基本科学合理、全面、到位的得3分；管控方案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十一、三区三线和规模指标管控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公共服务和人居环境优化（0-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根据投标人对</w:t>
            </w:r>
            <w:r>
              <w:rPr>
                <w:rFonts w:hint="eastAsia" w:ascii="仿宋" w:hAnsi="仿宋" w:eastAsia="仿宋" w:cs="仿宋"/>
                <w:bCs/>
                <w:color w:val="auto"/>
                <w:sz w:val="24"/>
                <w:szCs w:val="24"/>
                <w:highlight w:val="none"/>
                <w:lang w:val="zh-CN" w:eastAsia="zh-CN"/>
              </w:rPr>
              <w:t>公共服务和人居环境优化方案进行综合比较打分，包括是否充分衔接杭州市相关技术标准和专项规划，是否结合地区问题特征，提出各项公共服务设施和住房配置的优化思路，是否提出景观体系的管控思路。优化方案科学合理、全面、到位的得5分；优化方案基本科学合理、全面、到位的得3分；优化方案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eastAsia="zh-CN"/>
              </w:rPr>
              <w:t>十二、公共服务和人居环境优化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交通市政基础设施提升（0-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根据投标人对交通市政基础设施提升</w:t>
            </w:r>
            <w:r>
              <w:rPr>
                <w:rFonts w:hint="eastAsia" w:ascii="仿宋" w:hAnsi="仿宋" w:eastAsia="仿宋" w:cs="仿宋"/>
                <w:bCs/>
                <w:color w:val="auto"/>
                <w:sz w:val="24"/>
                <w:szCs w:val="24"/>
                <w:highlight w:val="none"/>
                <w:lang w:val="zh-CN" w:eastAsia="zh-CN"/>
              </w:rPr>
              <w:t>方案进行综合比较打分，包括是否充分衔接杭州市相关技术标准和专项规划，是否落实上位规划刚性要求，是否加强重大交通市政设施的廊道、边界、标准等管控。</w:t>
            </w:r>
            <w:r>
              <w:rPr>
                <w:rFonts w:hint="eastAsia" w:ascii="仿宋" w:hAnsi="仿宋" w:eastAsia="仿宋" w:cs="仿宋"/>
                <w:bCs/>
                <w:color w:val="auto"/>
                <w:sz w:val="24"/>
                <w:szCs w:val="24"/>
                <w:highlight w:val="none"/>
                <w:lang w:val="en-US" w:eastAsia="zh-CN"/>
              </w:rPr>
              <w:t>提升</w:t>
            </w:r>
            <w:r>
              <w:rPr>
                <w:rFonts w:hint="eastAsia" w:ascii="仿宋" w:hAnsi="仿宋" w:eastAsia="仿宋" w:cs="仿宋"/>
                <w:bCs/>
                <w:color w:val="auto"/>
                <w:sz w:val="24"/>
                <w:szCs w:val="24"/>
                <w:highlight w:val="none"/>
                <w:lang w:val="zh-CN" w:eastAsia="zh-CN"/>
              </w:rPr>
              <w:t>方案科学合理、全面、到位的得5分；</w:t>
            </w:r>
            <w:r>
              <w:rPr>
                <w:rFonts w:hint="eastAsia" w:ascii="仿宋" w:hAnsi="仿宋" w:eastAsia="仿宋" w:cs="仿宋"/>
                <w:bCs/>
                <w:color w:val="auto"/>
                <w:sz w:val="24"/>
                <w:szCs w:val="24"/>
                <w:highlight w:val="none"/>
                <w:lang w:val="en-US" w:eastAsia="zh-CN"/>
              </w:rPr>
              <w:t>提升</w:t>
            </w:r>
            <w:r>
              <w:rPr>
                <w:rFonts w:hint="eastAsia" w:ascii="仿宋" w:hAnsi="仿宋" w:eastAsia="仿宋" w:cs="仿宋"/>
                <w:bCs/>
                <w:color w:val="auto"/>
                <w:sz w:val="24"/>
                <w:szCs w:val="24"/>
                <w:highlight w:val="none"/>
                <w:lang w:val="zh-CN" w:eastAsia="zh-CN"/>
              </w:rPr>
              <w:t>方案基本科学合理、全面、到位的得3分；</w:t>
            </w:r>
            <w:r>
              <w:rPr>
                <w:rFonts w:hint="eastAsia" w:ascii="仿宋" w:hAnsi="仿宋" w:eastAsia="仿宋" w:cs="仿宋"/>
                <w:bCs/>
                <w:color w:val="auto"/>
                <w:sz w:val="24"/>
                <w:szCs w:val="24"/>
                <w:highlight w:val="none"/>
                <w:lang w:val="en-US" w:eastAsia="zh-CN"/>
              </w:rPr>
              <w:t>提升</w:t>
            </w:r>
            <w:r>
              <w:rPr>
                <w:rFonts w:hint="eastAsia" w:ascii="仿宋" w:hAnsi="仿宋" w:eastAsia="仿宋" w:cs="仿宋"/>
                <w:bCs/>
                <w:color w:val="auto"/>
                <w:sz w:val="24"/>
                <w:szCs w:val="24"/>
                <w:highlight w:val="none"/>
                <w:lang w:val="zh-CN" w:eastAsia="zh-CN"/>
              </w:rPr>
              <w:t>方案较为简单或存在缺漏的得1分，未提供不得分。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十三、交通市政基础设施提升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color w:val="auto"/>
                <w:sz w:val="24"/>
                <w:szCs w:val="24"/>
                <w:highlight w:val="none"/>
                <w:lang w:eastAsia="zh-CN"/>
              </w:rPr>
              <w:t>生态农业空间保护</w:t>
            </w:r>
            <w:r>
              <w:rPr>
                <w:rFonts w:hint="eastAsia" w:ascii="仿宋" w:hAnsi="仿宋" w:eastAsia="仿宋" w:cs="仿宋"/>
                <w:bCs/>
                <w:color w:val="auto"/>
                <w:sz w:val="24"/>
                <w:szCs w:val="24"/>
                <w:highlight w:val="none"/>
                <w:lang w:val="zh-CN" w:eastAsia="zh-CN"/>
              </w:rPr>
              <w:t>（0-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kern w:val="2"/>
                <w:sz w:val="24"/>
                <w:szCs w:val="24"/>
                <w:highlight w:val="none"/>
                <w:lang w:val="zh-CN" w:eastAsia="zh-CN" w:bidi="ar-SA"/>
              </w:rPr>
            </w:pPr>
            <w:r>
              <w:rPr>
                <w:rFonts w:hint="eastAsia" w:ascii="仿宋" w:hAnsi="仿宋" w:eastAsia="仿宋" w:cs="仿宋"/>
                <w:bCs/>
                <w:color w:val="auto"/>
                <w:sz w:val="24"/>
                <w:szCs w:val="24"/>
                <w:highlight w:val="none"/>
                <w:lang w:val="en-US" w:eastAsia="zh-CN"/>
              </w:rPr>
              <w:t>根据投标人对</w:t>
            </w:r>
            <w:r>
              <w:rPr>
                <w:rFonts w:hint="eastAsia" w:ascii="仿宋" w:hAnsi="仿宋" w:eastAsia="仿宋" w:cs="仿宋"/>
                <w:color w:val="auto"/>
                <w:sz w:val="24"/>
                <w:szCs w:val="24"/>
                <w:highlight w:val="none"/>
                <w:lang w:eastAsia="zh-CN"/>
              </w:rPr>
              <w:t>生态农业空间保护</w:t>
            </w:r>
            <w:r>
              <w:rPr>
                <w:rFonts w:hint="eastAsia" w:ascii="仿宋" w:hAnsi="仿宋" w:eastAsia="仿宋" w:cs="仿宋"/>
                <w:bCs/>
                <w:color w:val="auto"/>
                <w:sz w:val="24"/>
                <w:szCs w:val="24"/>
                <w:highlight w:val="none"/>
                <w:lang w:val="zh-CN" w:eastAsia="zh-CN"/>
              </w:rPr>
              <w:t>方案进行综合比较打分，包括是否落实刚性管控要求，是否加强生态空间和耕地保护、提升地区生态品质，是否衔接乡村地区详细规划编制的相关技术要求，是否明确详细规划中的各项管控内容。</w:t>
            </w:r>
            <w:r>
              <w:rPr>
                <w:rFonts w:hint="eastAsia" w:ascii="仿宋" w:hAnsi="仿宋" w:eastAsia="仿宋" w:cs="仿宋"/>
                <w:color w:val="auto"/>
                <w:sz w:val="24"/>
                <w:szCs w:val="24"/>
                <w:highlight w:val="none"/>
                <w:lang w:eastAsia="zh-CN"/>
              </w:rPr>
              <w:t>保护</w:t>
            </w:r>
            <w:r>
              <w:rPr>
                <w:rFonts w:hint="eastAsia" w:ascii="仿宋" w:hAnsi="仿宋" w:eastAsia="仿宋" w:cs="仿宋"/>
                <w:bCs/>
                <w:color w:val="auto"/>
                <w:sz w:val="24"/>
                <w:szCs w:val="24"/>
                <w:highlight w:val="none"/>
                <w:lang w:val="zh-CN" w:eastAsia="zh-CN"/>
              </w:rPr>
              <w:t>方案科学合理、全面、到位的得5分；</w:t>
            </w:r>
            <w:r>
              <w:rPr>
                <w:rFonts w:hint="eastAsia" w:ascii="仿宋" w:hAnsi="仿宋" w:eastAsia="仿宋" w:cs="仿宋"/>
                <w:color w:val="auto"/>
                <w:sz w:val="24"/>
                <w:szCs w:val="24"/>
                <w:highlight w:val="none"/>
                <w:lang w:eastAsia="zh-CN"/>
              </w:rPr>
              <w:t>保护</w:t>
            </w:r>
            <w:r>
              <w:rPr>
                <w:rFonts w:hint="eastAsia" w:ascii="仿宋" w:hAnsi="仿宋" w:eastAsia="仿宋" w:cs="仿宋"/>
                <w:bCs/>
                <w:color w:val="auto"/>
                <w:sz w:val="24"/>
                <w:szCs w:val="24"/>
                <w:highlight w:val="none"/>
                <w:lang w:val="zh-CN" w:eastAsia="zh-CN"/>
              </w:rPr>
              <w:t>方案基本科学合理、全面、到位的得3分；</w:t>
            </w:r>
            <w:r>
              <w:rPr>
                <w:rFonts w:hint="eastAsia" w:ascii="仿宋" w:hAnsi="仿宋" w:eastAsia="仿宋" w:cs="仿宋"/>
                <w:color w:val="auto"/>
                <w:sz w:val="24"/>
                <w:szCs w:val="24"/>
                <w:highlight w:val="none"/>
                <w:lang w:eastAsia="zh-CN"/>
              </w:rPr>
              <w:t>保护</w:t>
            </w:r>
            <w:r>
              <w:rPr>
                <w:rFonts w:hint="eastAsia" w:ascii="仿宋" w:hAnsi="仿宋" w:eastAsia="仿宋" w:cs="仿宋"/>
                <w:bCs/>
                <w:color w:val="auto"/>
                <w:sz w:val="24"/>
                <w:szCs w:val="24"/>
                <w:highlight w:val="none"/>
                <w:lang w:val="zh-CN" w:eastAsia="zh-CN"/>
              </w:rPr>
              <w:t>方案较为简单或存在缺漏的得1分，未提供不得分。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十四、生态农业空间保护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15</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color w:val="auto"/>
                <w:sz w:val="24"/>
                <w:szCs w:val="24"/>
                <w:highlight w:val="none"/>
                <w:lang w:eastAsia="zh-CN"/>
              </w:rPr>
              <w:t>城市设计管控体系</w:t>
            </w:r>
            <w:r>
              <w:rPr>
                <w:rFonts w:hint="eastAsia" w:ascii="仿宋" w:hAnsi="仿宋" w:eastAsia="仿宋" w:cs="仿宋"/>
                <w:bCs/>
                <w:color w:val="auto"/>
                <w:sz w:val="24"/>
                <w:szCs w:val="24"/>
                <w:highlight w:val="none"/>
                <w:lang w:val="zh-CN" w:eastAsia="zh-CN"/>
              </w:rPr>
              <w:t>（0-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根据投标人对</w:t>
            </w:r>
            <w:r>
              <w:rPr>
                <w:rFonts w:hint="eastAsia" w:ascii="仿宋" w:hAnsi="仿宋" w:eastAsia="仿宋" w:cs="仿宋"/>
                <w:color w:val="auto"/>
                <w:sz w:val="24"/>
                <w:szCs w:val="24"/>
                <w:highlight w:val="none"/>
                <w:lang w:eastAsia="zh-CN"/>
              </w:rPr>
              <w:t>城市设计管控体系</w:t>
            </w:r>
            <w:r>
              <w:rPr>
                <w:rFonts w:hint="eastAsia" w:ascii="仿宋" w:hAnsi="仿宋" w:eastAsia="仿宋" w:cs="仿宋"/>
                <w:bCs/>
                <w:color w:val="auto"/>
                <w:sz w:val="24"/>
                <w:szCs w:val="24"/>
                <w:highlight w:val="none"/>
                <w:lang w:val="zh-CN" w:eastAsia="zh-CN"/>
              </w:rPr>
              <w:t>进行综合比较打分，包括是否衔接落实杭州市相关技术标准和管控要求，是否提出地区总体空间管控引导思路，明确重点地区的设计引导要求，是否结合临安特色和本地实际需要，明确城市设计的工作重点，加强城市设计成果在详细规划中的融合，提升规划编制水平。体系科学合理、全面、到位的得5分；体系基本科学合理、全面、到位的得3分；体系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十五、城市设计管控体系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工作过程的统筹和协调（0-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根据投标人对工作过程的统筹和协调方案</w:t>
            </w:r>
            <w:r>
              <w:rPr>
                <w:rFonts w:hint="eastAsia" w:ascii="仿宋" w:hAnsi="仿宋" w:eastAsia="仿宋" w:cs="仿宋"/>
                <w:bCs/>
                <w:color w:val="auto"/>
                <w:sz w:val="24"/>
                <w:szCs w:val="24"/>
                <w:highlight w:val="none"/>
                <w:lang w:val="zh-CN" w:eastAsia="zh-CN"/>
              </w:rPr>
              <w:t>进行综合比较打分，包括项目服务期间是否结合规划指引的相关管控要求，做好各个单元的总体统筹和协调，加强技术衔接和协调反馈，保障规划编制有序开展，确保规划编制质量。</w:t>
            </w:r>
            <w:r>
              <w:rPr>
                <w:rFonts w:hint="eastAsia" w:ascii="仿宋" w:hAnsi="仿宋" w:eastAsia="仿宋" w:cs="仿宋"/>
                <w:bCs/>
                <w:color w:val="auto"/>
                <w:sz w:val="24"/>
                <w:szCs w:val="24"/>
                <w:highlight w:val="none"/>
                <w:lang w:val="en-US" w:eastAsia="zh-CN"/>
              </w:rPr>
              <w:t>协调方案</w:t>
            </w:r>
            <w:r>
              <w:rPr>
                <w:rFonts w:hint="eastAsia" w:ascii="仿宋" w:hAnsi="仿宋" w:eastAsia="仿宋" w:cs="仿宋"/>
                <w:bCs/>
                <w:color w:val="auto"/>
                <w:sz w:val="24"/>
                <w:szCs w:val="24"/>
                <w:highlight w:val="none"/>
                <w:lang w:val="zh-CN" w:eastAsia="zh-CN"/>
              </w:rPr>
              <w:t>科学合理、全面、到位的得5分；</w:t>
            </w:r>
            <w:r>
              <w:rPr>
                <w:rFonts w:hint="eastAsia" w:ascii="仿宋" w:hAnsi="仿宋" w:eastAsia="仿宋" w:cs="仿宋"/>
                <w:bCs/>
                <w:color w:val="auto"/>
                <w:sz w:val="24"/>
                <w:szCs w:val="24"/>
                <w:highlight w:val="none"/>
                <w:lang w:val="en-US" w:eastAsia="zh-CN"/>
              </w:rPr>
              <w:t>协调方案</w:t>
            </w:r>
            <w:r>
              <w:rPr>
                <w:rFonts w:hint="eastAsia" w:ascii="仿宋" w:hAnsi="仿宋" w:eastAsia="仿宋" w:cs="仿宋"/>
                <w:bCs/>
                <w:color w:val="auto"/>
                <w:sz w:val="24"/>
                <w:szCs w:val="24"/>
                <w:highlight w:val="none"/>
                <w:lang w:val="zh-CN" w:eastAsia="zh-CN"/>
              </w:rPr>
              <w:t>基本科学合理、全面、到位的得3分；</w:t>
            </w:r>
            <w:r>
              <w:rPr>
                <w:rFonts w:hint="eastAsia" w:ascii="仿宋" w:hAnsi="仿宋" w:eastAsia="仿宋" w:cs="仿宋"/>
                <w:bCs/>
                <w:color w:val="auto"/>
                <w:sz w:val="24"/>
                <w:szCs w:val="24"/>
                <w:highlight w:val="none"/>
                <w:lang w:val="en-US" w:eastAsia="zh-CN"/>
              </w:rPr>
              <w:t>协调方案</w:t>
            </w:r>
            <w:r>
              <w:rPr>
                <w:rFonts w:hint="eastAsia" w:ascii="仿宋" w:hAnsi="仿宋" w:eastAsia="仿宋" w:cs="仿宋"/>
                <w:bCs/>
                <w:color w:val="auto"/>
                <w:sz w:val="24"/>
                <w:szCs w:val="24"/>
                <w:highlight w:val="none"/>
                <w:lang w:val="zh-CN" w:eastAsia="zh-CN"/>
              </w:rPr>
              <w:t>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十六、工作过程的统筹和协调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数字化技术应用（0-</w:t>
            </w: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根据投标人对数字化技术应用方案</w:t>
            </w:r>
            <w:r>
              <w:rPr>
                <w:rFonts w:hint="eastAsia" w:ascii="仿宋" w:hAnsi="仿宋" w:eastAsia="仿宋" w:cs="仿宋"/>
                <w:bCs/>
                <w:color w:val="auto"/>
                <w:sz w:val="24"/>
                <w:szCs w:val="24"/>
                <w:highlight w:val="none"/>
                <w:lang w:val="zh-CN" w:eastAsia="zh-CN"/>
              </w:rPr>
              <w:t>进行综合比较打分，包括是否根据浙江省和杭州市空间数字平台构建要求，加强数字化平台应用，提升规划成果应用水平。应用</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科学合理、全面、到位的得5分；应用</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基本科学合理、全面、到位的得3分；应用</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较为简单或存在缺漏的得1分，未提供不得分。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5</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十七、数字化技术应用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18</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公众参与（0-</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根据投标人对</w:t>
            </w:r>
            <w:r>
              <w:rPr>
                <w:rFonts w:hint="eastAsia" w:ascii="仿宋" w:hAnsi="仿宋" w:eastAsia="仿宋" w:cs="仿宋"/>
                <w:bCs/>
                <w:color w:val="auto"/>
                <w:sz w:val="24"/>
                <w:szCs w:val="24"/>
                <w:highlight w:val="none"/>
                <w:lang w:val="zh-CN" w:eastAsia="zh-CN"/>
              </w:rPr>
              <w:t>公众参与</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进行综合比较打分，包括是否落实阳光规划要求，采用多元化方式和手段，做好规划各个阶段的意见征询和收集。参与</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科学合理、全面、到位的得</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分；参与</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基本科学合理、全面、到位的得</w:t>
            </w:r>
            <w:r>
              <w:rPr>
                <w:rFonts w:hint="eastAsia" w:ascii="仿宋" w:hAnsi="仿宋" w:eastAsia="仿宋" w:cs="仿宋"/>
                <w:bCs/>
                <w:color w:val="auto"/>
                <w:sz w:val="24"/>
                <w:szCs w:val="24"/>
                <w:highlight w:val="none"/>
                <w:lang w:val="en-US" w:eastAsia="zh-CN"/>
              </w:rPr>
              <w:t>0.5</w:t>
            </w:r>
            <w:r>
              <w:rPr>
                <w:rFonts w:hint="eastAsia" w:ascii="仿宋" w:hAnsi="仿宋" w:eastAsia="仿宋" w:cs="仿宋"/>
                <w:bCs/>
                <w:color w:val="auto"/>
                <w:sz w:val="24"/>
                <w:szCs w:val="24"/>
                <w:highlight w:val="none"/>
                <w:lang w:val="zh-CN" w:eastAsia="zh-CN"/>
              </w:rPr>
              <w:t>分；参与</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较为简单或存在缺漏或未提供不得分。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十八、公众参与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项目负责人参与情况（0-</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en-US" w:eastAsia="zh-CN"/>
              </w:rPr>
              <w:t>根据投标人拟派的</w:t>
            </w:r>
            <w:r>
              <w:rPr>
                <w:rFonts w:hint="eastAsia" w:ascii="仿宋" w:hAnsi="仿宋" w:eastAsia="仿宋" w:cs="仿宋"/>
                <w:bCs/>
                <w:color w:val="auto"/>
                <w:sz w:val="24"/>
                <w:szCs w:val="24"/>
                <w:highlight w:val="none"/>
                <w:lang w:val="zh-CN" w:eastAsia="zh-CN"/>
              </w:rPr>
              <w:t>项目负责人参与情况进行综合比较打分，包括项目负责人是否全过程参与，尤其针对重大事项的讨论，参加重要会议的汇报、参与情况。对以上所有要求能够全面落实的，得</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分；以上要求难以保障的，得</w:t>
            </w:r>
            <w:r>
              <w:rPr>
                <w:rFonts w:hint="eastAsia" w:ascii="仿宋" w:hAnsi="仿宋" w:eastAsia="仿宋" w:cs="仿宋"/>
                <w:bCs/>
                <w:color w:val="auto"/>
                <w:sz w:val="24"/>
                <w:szCs w:val="24"/>
                <w:highlight w:val="none"/>
                <w:lang w:val="en-US" w:eastAsia="zh-CN"/>
              </w:rPr>
              <w:t>0.5</w:t>
            </w:r>
            <w:r>
              <w:rPr>
                <w:rFonts w:hint="eastAsia" w:ascii="仿宋" w:hAnsi="仿宋" w:eastAsia="仿宋" w:cs="仿宋"/>
                <w:bCs/>
                <w:color w:val="auto"/>
                <w:sz w:val="24"/>
                <w:szCs w:val="24"/>
                <w:highlight w:val="none"/>
                <w:lang w:val="zh-CN" w:eastAsia="zh-CN"/>
              </w:rPr>
              <w:t>分，未提供不得分。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zh-CN" w:eastAsia="zh-CN"/>
              </w:rPr>
              <w:t>（提供全面落实的方案或承诺函，未提供不得分）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客</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十九、项目负责人参与情况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质量保证（0-</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根据投标人提供的质量保证方案</w:t>
            </w:r>
            <w:r>
              <w:rPr>
                <w:rFonts w:hint="eastAsia" w:ascii="仿宋" w:hAnsi="仿宋" w:eastAsia="仿宋" w:cs="仿宋"/>
                <w:bCs/>
                <w:color w:val="auto"/>
                <w:sz w:val="24"/>
                <w:szCs w:val="24"/>
                <w:highlight w:val="none"/>
                <w:lang w:val="zh-CN" w:eastAsia="zh-CN"/>
              </w:rPr>
              <w:t>进行综合比较打分，包括是否加强各项成果的质量管理，是否加强对详细规划控现状一张图、规划一张图以及城市设计方案的入库标准质量把关。</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科学合理、全面、到位的得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基本科学合理、全面、到位的得</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较为简单或存在缺漏的得</w:t>
            </w:r>
            <w:r>
              <w:rPr>
                <w:rFonts w:hint="eastAsia" w:ascii="仿宋" w:hAnsi="仿宋" w:eastAsia="仿宋" w:cs="仿宋"/>
                <w:bCs/>
                <w:color w:val="auto"/>
                <w:sz w:val="24"/>
                <w:szCs w:val="24"/>
                <w:highlight w:val="none"/>
                <w:lang w:val="en-US" w:eastAsia="zh-CN"/>
              </w:rPr>
              <w:t>0.5</w:t>
            </w:r>
            <w:r>
              <w:rPr>
                <w:rFonts w:hint="eastAsia" w:ascii="仿宋" w:hAnsi="仿宋" w:eastAsia="仿宋" w:cs="仿宋"/>
                <w:bCs/>
                <w:color w:val="auto"/>
                <w:sz w:val="24"/>
                <w:szCs w:val="24"/>
                <w:highlight w:val="none"/>
                <w:lang w:val="zh-CN" w:eastAsia="zh-CN"/>
              </w:rPr>
              <w:t>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二十、</w:t>
            </w:r>
            <w:r>
              <w:rPr>
                <w:rFonts w:hint="eastAsia" w:ascii="仿宋" w:hAnsi="仿宋" w:eastAsia="仿宋" w:cs="仿宋"/>
                <w:bCs/>
                <w:color w:val="auto"/>
                <w:sz w:val="24"/>
                <w:szCs w:val="24"/>
                <w:highlight w:val="none"/>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21</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en-US" w:eastAsia="zh-CN"/>
              </w:rPr>
              <w:t>后续及相关服务</w:t>
            </w:r>
            <w:r>
              <w:rPr>
                <w:rFonts w:hint="eastAsia" w:ascii="仿宋" w:hAnsi="仿宋" w:eastAsia="仿宋" w:cs="仿宋"/>
                <w:bCs/>
                <w:color w:val="auto"/>
                <w:sz w:val="24"/>
                <w:szCs w:val="24"/>
                <w:highlight w:val="none"/>
                <w:lang w:val="zh-CN" w:eastAsia="zh-CN"/>
              </w:rPr>
              <w:t>（0-</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color w:val="auto"/>
                <w:kern w:val="2"/>
                <w:sz w:val="24"/>
                <w:szCs w:val="24"/>
                <w:lang w:val="en-US" w:eastAsia="zh-CN" w:bidi="ar-SA"/>
              </w:rPr>
            </w:pPr>
            <w:r>
              <w:rPr>
                <w:rFonts w:hint="eastAsia" w:ascii="仿宋" w:hAnsi="仿宋" w:eastAsia="仿宋" w:cs="仿宋"/>
                <w:bCs/>
                <w:color w:val="auto"/>
                <w:sz w:val="24"/>
                <w:szCs w:val="24"/>
                <w:highlight w:val="none"/>
                <w:lang w:val="en-US" w:eastAsia="zh-CN"/>
              </w:rPr>
              <w:t>根据投标人提供的后续及相关服务方案</w:t>
            </w:r>
            <w:r>
              <w:rPr>
                <w:rFonts w:hint="eastAsia" w:ascii="仿宋" w:hAnsi="仿宋" w:eastAsia="仿宋" w:cs="仿宋"/>
                <w:bCs/>
                <w:color w:val="auto"/>
                <w:sz w:val="24"/>
                <w:szCs w:val="24"/>
                <w:highlight w:val="none"/>
                <w:lang w:val="zh-CN" w:eastAsia="zh-CN"/>
              </w:rPr>
              <w:t>进行综合比较打分，包括是否</w:t>
            </w:r>
            <w:r>
              <w:rPr>
                <w:rFonts w:hint="eastAsia" w:ascii="仿宋" w:hAnsi="仿宋" w:eastAsia="仿宋" w:cs="仿宋"/>
                <w:bCs/>
                <w:color w:val="auto"/>
                <w:sz w:val="24"/>
                <w:szCs w:val="24"/>
                <w:highlight w:val="none"/>
                <w:lang w:val="en-US" w:eastAsia="zh-CN"/>
              </w:rPr>
              <w:t>能够积极配合项目需要，</w:t>
            </w:r>
            <w:r>
              <w:rPr>
                <w:rFonts w:hint="eastAsia" w:ascii="仿宋" w:hAnsi="仿宋" w:eastAsia="仿宋" w:cs="仿宋"/>
                <w:bCs/>
                <w:color w:val="auto"/>
                <w:sz w:val="24"/>
                <w:szCs w:val="24"/>
                <w:highlight w:val="none"/>
                <w:lang w:val="zh-CN" w:eastAsia="zh-CN"/>
              </w:rPr>
              <w:t>是否</w:t>
            </w:r>
            <w:r>
              <w:rPr>
                <w:rFonts w:hint="eastAsia" w:ascii="仿宋" w:hAnsi="仿宋" w:eastAsia="仿宋" w:cs="仿宋"/>
                <w:bCs/>
                <w:color w:val="auto"/>
                <w:sz w:val="24"/>
                <w:szCs w:val="24"/>
                <w:highlight w:val="none"/>
                <w:lang w:val="en-US" w:eastAsia="zh-CN"/>
              </w:rPr>
              <w:t>具备良好的服务基础和快速的服务响应能力，</w:t>
            </w:r>
            <w:r>
              <w:rPr>
                <w:rFonts w:hint="eastAsia" w:ascii="仿宋" w:hAnsi="仿宋" w:eastAsia="仿宋" w:cs="仿宋"/>
                <w:bCs/>
                <w:color w:val="auto"/>
                <w:sz w:val="24"/>
                <w:szCs w:val="24"/>
                <w:highlight w:val="none"/>
                <w:lang w:val="zh-CN" w:eastAsia="zh-CN"/>
              </w:rPr>
              <w:t>是否</w:t>
            </w:r>
            <w:r>
              <w:rPr>
                <w:rFonts w:hint="eastAsia" w:ascii="仿宋" w:hAnsi="仿宋" w:eastAsia="仿宋" w:cs="仿宋"/>
                <w:bCs/>
                <w:color w:val="auto"/>
                <w:sz w:val="24"/>
                <w:szCs w:val="24"/>
                <w:highlight w:val="none"/>
                <w:lang w:val="en-US" w:eastAsia="zh-CN"/>
              </w:rPr>
              <w:t>做好跟踪维护和各项服务保障。方案</w:t>
            </w:r>
            <w:r>
              <w:rPr>
                <w:rFonts w:hint="eastAsia" w:ascii="仿宋" w:hAnsi="仿宋" w:eastAsia="仿宋" w:cs="仿宋"/>
                <w:bCs/>
                <w:color w:val="auto"/>
                <w:sz w:val="24"/>
                <w:szCs w:val="24"/>
                <w:highlight w:val="none"/>
                <w:lang w:val="zh-CN" w:eastAsia="zh-CN"/>
              </w:rPr>
              <w:t>科学合理、全面、到位的得</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基本科学合理、全面、到位的得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zh-CN" w:eastAsia="zh-CN"/>
              </w:rPr>
              <w:t>分；</w:t>
            </w:r>
            <w:r>
              <w:rPr>
                <w:rFonts w:hint="eastAsia" w:ascii="仿宋" w:hAnsi="仿宋" w:eastAsia="仿宋" w:cs="仿宋"/>
                <w:bCs/>
                <w:color w:val="auto"/>
                <w:sz w:val="24"/>
                <w:szCs w:val="24"/>
                <w:highlight w:val="none"/>
                <w:lang w:val="en-US" w:eastAsia="zh-CN"/>
              </w:rPr>
              <w:t>方案</w:t>
            </w:r>
            <w:r>
              <w:rPr>
                <w:rFonts w:hint="eastAsia" w:ascii="仿宋" w:hAnsi="仿宋" w:eastAsia="仿宋" w:cs="仿宋"/>
                <w:bCs/>
                <w:color w:val="auto"/>
                <w:sz w:val="24"/>
                <w:szCs w:val="24"/>
                <w:highlight w:val="none"/>
                <w:lang w:val="zh-CN" w:eastAsia="zh-CN"/>
              </w:rPr>
              <w:t>较为简单或存在缺漏的得</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分，未提供不得分。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lang w:eastAsia="zh-CN"/>
              </w:rPr>
              <w:t>主</w:t>
            </w:r>
            <w:r>
              <w:rPr>
                <w:rFonts w:hint="eastAsia" w:ascii="仿宋" w:hAnsi="仿宋" w:eastAsia="仿宋" w:cs="仿宋"/>
                <w:bCs/>
                <w:color w:val="auto"/>
                <w:sz w:val="24"/>
                <w:szCs w:val="24"/>
              </w:rPr>
              <w:t>观分</w:t>
            </w:r>
          </w:p>
        </w:tc>
        <w:tc>
          <w:tcPr>
            <w:tcW w:w="1701"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二十一、后续及相关服务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22</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lang w:val="en-US" w:eastAsia="zh-CN"/>
              </w:rPr>
              <w:t>项目负责人</w:t>
            </w:r>
            <w:r>
              <w:rPr>
                <w:rFonts w:hint="eastAsia" w:ascii="仿宋" w:hAnsi="仿宋" w:eastAsia="仿宋" w:cs="仿宋"/>
                <w:bCs/>
                <w:color w:val="auto"/>
                <w:sz w:val="24"/>
                <w:szCs w:val="24"/>
                <w:highlight w:val="none"/>
                <w:lang w:val="zh-CN" w:eastAsia="zh-CN"/>
              </w:rPr>
              <w:t>（0-</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en-US" w:eastAsia="zh-CN"/>
              </w:rPr>
              <w:t>投标人</w:t>
            </w:r>
            <w:r>
              <w:rPr>
                <w:rFonts w:hint="eastAsia" w:ascii="仿宋" w:hAnsi="仿宋" w:eastAsia="仿宋" w:cs="仿宋"/>
                <w:bCs/>
                <w:color w:val="auto"/>
                <w:sz w:val="24"/>
                <w:szCs w:val="24"/>
                <w:highlight w:val="none"/>
                <w:lang w:val="zh-CN" w:eastAsia="zh-CN"/>
              </w:rPr>
              <w:t>拟派的项目负责人具有教授级高级工程师职称的得2分，具有高级工程师职称得1分；具有注册城乡规划师职业资格证书的得</w:t>
            </w:r>
            <w:r>
              <w:rPr>
                <w:rFonts w:hint="eastAsia" w:ascii="仿宋" w:hAnsi="仿宋" w:eastAsia="仿宋" w:cs="仿宋"/>
                <w:bCs/>
                <w:color w:val="auto"/>
                <w:sz w:val="24"/>
                <w:szCs w:val="24"/>
                <w:highlight w:val="none"/>
                <w:lang w:val="en-US" w:eastAsia="zh-CN"/>
              </w:rPr>
              <w:t>2</w:t>
            </w:r>
            <w:r>
              <w:rPr>
                <w:rFonts w:hint="eastAsia" w:ascii="仿宋" w:hAnsi="仿宋" w:eastAsia="仿宋" w:cs="仿宋"/>
                <w:bCs/>
                <w:color w:val="auto"/>
                <w:sz w:val="24"/>
                <w:szCs w:val="24"/>
                <w:highlight w:val="none"/>
                <w:lang w:val="zh-CN" w:eastAsia="zh-CN"/>
              </w:rPr>
              <w:t>分，本项最高得4分。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zh-CN" w:eastAsia="zh-CN"/>
              </w:rPr>
              <w:t>（须提供人员证书原件扫描件及投标人为其缴纳的最近六个月内任意一个月社保缴纳证明，未提供或提供不全不得分。）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客观分</w:t>
            </w:r>
          </w:p>
        </w:tc>
        <w:tc>
          <w:tcPr>
            <w:tcW w:w="1701" w:type="dxa"/>
            <w:vAlign w:val="center"/>
          </w:tcPr>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二十二、项目负责人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23</w:t>
            </w:r>
          </w:p>
        </w:tc>
        <w:tc>
          <w:tcPr>
            <w:tcW w:w="5102" w:type="dxa"/>
            <w:vAlign w:val="center"/>
          </w:tcPr>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项目组成员（0-</w:t>
            </w: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en-US" w:eastAsia="zh-CN"/>
              </w:rPr>
              <w:t>1、投标人</w:t>
            </w:r>
            <w:r>
              <w:rPr>
                <w:rFonts w:hint="eastAsia" w:ascii="仿宋" w:hAnsi="仿宋" w:eastAsia="仿宋" w:cs="仿宋"/>
                <w:bCs/>
                <w:color w:val="auto"/>
                <w:sz w:val="24"/>
                <w:szCs w:val="24"/>
                <w:highlight w:val="none"/>
                <w:lang w:val="zh-CN" w:eastAsia="zh-CN"/>
              </w:rPr>
              <w:t>拟派的项目组成员（项目负责人除外）中具有正高级职称的，每个得</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分；具有副高级职称的，每个得</w:t>
            </w:r>
            <w:r>
              <w:rPr>
                <w:rFonts w:hint="eastAsia" w:ascii="仿宋" w:hAnsi="仿宋" w:eastAsia="仿宋" w:cs="仿宋"/>
                <w:bCs/>
                <w:color w:val="auto"/>
                <w:sz w:val="24"/>
                <w:szCs w:val="24"/>
                <w:highlight w:val="none"/>
                <w:lang w:val="en-US" w:eastAsia="zh-CN"/>
              </w:rPr>
              <w:t>0.5</w:t>
            </w:r>
            <w:r>
              <w:rPr>
                <w:rFonts w:hint="eastAsia" w:ascii="仿宋" w:hAnsi="仿宋" w:eastAsia="仿宋" w:cs="仿宋"/>
                <w:bCs/>
                <w:color w:val="auto"/>
                <w:sz w:val="24"/>
                <w:szCs w:val="24"/>
                <w:highlight w:val="none"/>
                <w:lang w:val="zh-CN" w:eastAsia="zh-CN"/>
              </w:rPr>
              <w:t>分。本项最高得</w:t>
            </w:r>
            <w:r>
              <w:rPr>
                <w:rFonts w:hint="eastAsia" w:ascii="仿宋" w:hAnsi="仿宋" w:eastAsia="仿宋" w:cs="仿宋"/>
                <w:bCs/>
                <w:color w:val="auto"/>
                <w:sz w:val="24"/>
                <w:szCs w:val="24"/>
                <w:highlight w:val="none"/>
                <w:lang w:val="en-US" w:eastAsia="zh-CN"/>
              </w:rPr>
              <w:t>1.5</w:t>
            </w:r>
            <w:r>
              <w:rPr>
                <w:rFonts w:hint="eastAsia" w:ascii="仿宋" w:hAnsi="仿宋" w:eastAsia="仿宋" w:cs="仿宋"/>
                <w:bCs/>
                <w:color w:val="auto"/>
                <w:sz w:val="24"/>
                <w:szCs w:val="24"/>
                <w:highlight w:val="none"/>
                <w:lang w:val="zh-CN" w:eastAsia="zh-CN"/>
              </w:rPr>
              <w:t>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en-US" w:eastAsia="zh-CN"/>
              </w:rPr>
              <w:t>2、投标人</w:t>
            </w:r>
            <w:r>
              <w:rPr>
                <w:rFonts w:hint="eastAsia" w:ascii="仿宋" w:hAnsi="仿宋" w:eastAsia="仿宋" w:cs="仿宋"/>
                <w:bCs/>
                <w:color w:val="auto"/>
                <w:sz w:val="24"/>
                <w:szCs w:val="24"/>
                <w:highlight w:val="none"/>
                <w:lang w:val="zh-CN" w:eastAsia="zh-CN"/>
              </w:rPr>
              <w:t>拟派的项目组成员（项目负责人除外）须包含城乡规划、建筑、市政、交通、土地、计算机等专业人员至少各</w:t>
            </w:r>
            <w:r>
              <w:rPr>
                <w:rFonts w:hint="eastAsia" w:ascii="仿宋" w:hAnsi="仿宋" w:eastAsia="仿宋" w:cs="仿宋"/>
                <w:bCs/>
                <w:color w:val="auto"/>
                <w:sz w:val="24"/>
                <w:szCs w:val="24"/>
                <w:highlight w:val="none"/>
                <w:lang w:val="en-US" w:eastAsia="zh-CN"/>
              </w:rPr>
              <w:t>1</w:t>
            </w:r>
            <w:r>
              <w:rPr>
                <w:rFonts w:hint="eastAsia" w:ascii="仿宋" w:hAnsi="仿宋" w:eastAsia="仿宋" w:cs="仿宋"/>
                <w:bCs/>
                <w:color w:val="auto"/>
                <w:sz w:val="24"/>
                <w:szCs w:val="24"/>
                <w:highlight w:val="none"/>
                <w:lang w:val="zh-CN" w:eastAsia="zh-CN"/>
              </w:rPr>
              <w:t>人，并具有中级及以上技术职称，全部满足得</w:t>
            </w:r>
            <w:r>
              <w:rPr>
                <w:rFonts w:hint="eastAsia" w:ascii="仿宋" w:hAnsi="仿宋" w:eastAsia="仿宋" w:cs="仿宋"/>
                <w:bCs/>
                <w:color w:val="auto"/>
                <w:sz w:val="24"/>
                <w:szCs w:val="24"/>
                <w:highlight w:val="none"/>
                <w:lang w:val="en-US" w:eastAsia="zh-CN"/>
              </w:rPr>
              <w:t>2.5</w:t>
            </w:r>
            <w:r>
              <w:rPr>
                <w:rFonts w:hint="eastAsia" w:ascii="仿宋" w:hAnsi="仿宋" w:eastAsia="仿宋" w:cs="仿宋"/>
                <w:bCs/>
                <w:color w:val="auto"/>
                <w:sz w:val="24"/>
                <w:szCs w:val="24"/>
                <w:highlight w:val="none"/>
                <w:lang w:val="zh-CN" w:eastAsia="zh-CN"/>
              </w:rPr>
              <w:t>分，否则不得分。</w:t>
            </w:r>
          </w:p>
          <w:p>
            <w:pPr>
              <w:keepNext w:val="0"/>
              <w:keepLines w:val="0"/>
              <w:pageBreakBefore w:val="0"/>
              <w:widowControl w:val="0"/>
              <w:kinsoku/>
              <w:wordWrap/>
              <w:overflowPunct/>
              <w:topLinePunct w:val="0"/>
              <w:autoSpaceDE/>
              <w:autoSpaceDN/>
              <w:bidi w:val="0"/>
              <w:spacing w:line="360" w:lineRule="auto"/>
              <w:jc w:val="left"/>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zh-CN" w:eastAsia="zh-CN"/>
              </w:rPr>
              <w:t>（须提供相关人员证书原件扫描件及投标人为其缴纳的最近六个月内任意一个月社保缴纳证明，未提供或提供不全不得分）</w:t>
            </w:r>
          </w:p>
        </w:tc>
        <w:tc>
          <w:tcPr>
            <w:tcW w:w="898" w:type="dxa"/>
            <w:vAlign w:val="center"/>
          </w:tcPr>
          <w:p>
            <w:pPr>
              <w:keepNext w:val="0"/>
              <w:keepLines w:val="0"/>
              <w:pageBreakBefore w:val="0"/>
              <w:widowControl w:val="0"/>
              <w:kinsoku/>
              <w:wordWrap/>
              <w:overflowPunct/>
              <w:topLinePunct w:val="0"/>
              <w:autoSpaceDE/>
              <w:autoSpaceDN/>
              <w:bidi w:val="0"/>
              <w:spacing w:line="360" w:lineRule="auto"/>
              <w:jc w:val="center"/>
              <w:textAlignment w:val="auto"/>
              <w:outlineLvl w:val="0"/>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Cs/>
                <w:color w:val="auto"/>
                <w:sz w:val="24"/>
                <w:szCs w:val="24"/>
                <w:highlight w:val="none"/>
                <w:lang w:val="en-US" w:eastAsia="zh-CN"/>
              </w:rPr>
              <w:t>4</w:t>
            </w:r>
            <w:r>
              <w:rPr>
                <w:rFonts w:hint="eastAsia" w:ascii="仿宋" w:hAnsi="仿宋" w:eastAsia="仿宋" w:cs="仿宋"/>
                <w:bCs/>
                <w:color w:val="auto"/>
                <w:sz w:val="24"/>
                <w:szCs w:val="24"/>
                <w:highlight w:val="none"/>
                <w:lang w:eastAsia="zh-CN"/>
              </w:rPr>
              <w:t>分</w:t>
            </w:r>
          </w:p>
        </w:tc>
        <w:tc>
          <w:tcPr>
            <w:tcW w:w="1013" w:type="dxa"/>
            <w:vAlign w:val="center"/>
          </w:tcPr>
          <w:p>
            <w:pPr>
              <w:snapToGrid w:val="0"/>
              <w:spacing w:line="360" w:lineRule="auto"/>
              <w:jc w:val="center"/>
              <w:rPr>
                <w:rFonts w:hint="eastAsia" w:ascii="仿宋" w:hAnsi="仿宋" w:eastAsia="仿宋" w:cs="仿宋"/>
                <w:color w:val="auto"/>
                <w:sz w:val="24"/>
                <w:szCs w:val="24"/>
              </w:rPr>
            </w:pPr>
            <w:r>
              <w:rPr>
                <w:rFonts w:hint="eastAsia" w:ascii="仿宋" w:hAnsi="仿宋" w:eastAsia="仿宋" w:cs="仿宋"/>
                <w:bCs/>
                <w:color w:val="auto"/>
                <w:sz w:val="24"/>
                <w:szCs w:val="24"/>
              </w:rPr>
              <w:t>客观分</w:t>
            </w:r>
          </w:p>
        </w:tc>
        <w:tc>
          <w:tcPr>
            <w:tcW w:w="1701" w:type="dxa"/>
            <w:vAlign w:val="center"/>
          </w:tcPr>
          <w:p>
            <w:pPr>
              <w:pStyle w:val="2"/>
              <w:keepNext w:val="0"/>
              <w:keepLines w:val="0"/>
              <w:pageBreakBefore w:val="0"/>
              <w:widowControl w:val="0"/>
              <w:tabs>
                <w:tab w:val="left" w:pos="5355"/>
              </w:tabs>
              <w:kinsoku/>
              <w:wordWrap/>
              <w:overflowPunct/>
              <w:topLinePunct w:val="0"/>
              <w:autoSpaceDE/>
              <w:autoSpaceDN/>
              <w:bidi w:val="0"/>
              <w:spacing w:line="360" w:lineRule="auto"/>
              <w:ind w:left="0" w:leftChars="0" w:firstLine="0" w:firstLine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二十三、项目组成员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napToGrid w:val="0"/>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24</w:t>
            </w:r>
          </w:p>
        </w:tc>
        <w:tc>
          <w:tcPr>
            <w:tcW w:w="5102" w:type="dxa"/>
          </w:tcPr>
          <w:p>
            <w:pPr>
              <w:spacing w:line="360" w:lineRule="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有效投标报价的最低价作为评标基准价，其最低报价为满分；按［投标报价得分=（评标基准价/投标报价）*</w:t>
            </w:r>
            <w:r>
              <w:rPr>
                <w:rFonts w:hint="eastAsia" w:ascii="仿宋" w:hAnsi="仿宋" w:eastAsia="仿宋" w:cs="仿宋"/>
                <w:color w:val="auto"/>
                <w:sz w:val="24"/>
                <w:szCs w:val="24"/>
                <w:lang w:val="en-US" w:eastAsia="zh-CN"/>
              </w:rPr>
              <w:t>权重</w:t>
            </w:r>
            <w:bookmarkStart w:id="526" w:name="_GoBack"/>
            <w:bookmarkEnd w:id="526"/>
            <w:r>
              <w:rPr>
                <w:rFonts w:hint="eastAsia" w:ascii="仿宋" w:hAnsi="仿宋" w:eastAsia="仿宋" w:cs="仿宋"/>
                <w:color w:val="auto"/>
                <w:sz w:val="24"/>
                <w:szCs w:val="24"/>
              </w:rPr>
              <w:t>］的计算公式计算。</w:t>
            </w:r>
          </w:p>
          <w:p>
            <w:pPr>
              <w:widowControl/>
              <w:shd w:val="clear" w:color="auto" w:fill="FFFFFF"/>
              <w:adjustRightInd/>
              <w:spacing w:after="225" w:line="360" w:lineRule="auto"/>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评标过程中，不得去掉报价中的最高报价和最低报价。</w:t>
            </w:r>
          </w:p>
          <w:p>
            <w:pPr>
              <w:widowControl/>
              <w:shd w:val="clear" w:color="auto" w:fill="FFFFFF"/>
              <w:adjustRightInd/>
              <w:spacing w:after="225" w:line="360" w:lineRule="auto"/>
              <w:ind w:firstLine="420"/>
              <w:jc w:val="left"/>
              <w:rPr>
                <w:rFonts w:hint="eastAsia" w:ascii="仿宋" w:hAnsi="仿宋" w:eastAsia="仿宋" w:cs="仿宋"/>
                <w:color w:val="auto"/>
                <w:sz w:val="24"/>
                <w:szCs w:val="24"/>
              </w:rPr>
            </w:pPr>
            <w:r>
              <w:rPr>
                <w:rFonts w:hint="eastAsia" w:ascii="仿宋" w:hAnsi="仿宋" w:eastAsia="仿宋" w:cs="仿宋"/>
                <w:color w:val="auto"/>
                <w:sz w:val="24"/>
                <w:szCs w:val="24"/>
              </w:rPr>
              <w:t>对于未预留份额专门面向中小企业的政府采购服务项目，以及预留份额政府采购服务项目中的非预留部分标项，对小型和微型企业的投标报价给予</w:t>
            </w:r>
            <w:r>
              <w:rPr>
                <w:rFonts w:hint="eastAsia" w:ascii="仿宋" w:hAnsi="仿宋" w:eastAsia="仿宋" w:cs="仿宋"/>
                <w:color w:val="auto"/>
                <w:sz w:val="24"/>
                <w:szCs w:val="24"/>
                <w:lang w:val="en-US" w:eastAsia="zh-CN"/>
              </w:rPr>
              <w:t>10</w:t>
            </w:r>
            <w:r>
              <w:rPr>
                <w:rFonts w:hint="eastAsia" w:ascii="仿宋" w:hAnsi="仿宋" w:eastAsia="仿宋" w:cs="仿宋"/>
                <w:color w:val="auto"/>
                <w:sz w:val="24"/>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%的扣除，用扣除后的价格参加评审。</w:t>
            </w:r>
          </w:p>
        </w:tc>
        <w:tc>
          <w:tcPr>
            <w:tcW w:w="898" w:type="dxa"/>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lang w:eastAsia="zh-CN"/>
              </w:rPr>
              <w:t>分</w:t>
            </w:r>
          </w:p>
        </w:tc>
        <w:tc>
          <w:tcPr>
            <w:tcW w:w="1013" w:type="dxa"/>
            <w:vAlign w:val="center"/>
          </w:tcPr>
          <w:p>
            <w:pPr>
              <w:spacing w:line="360" w:lineRule="auto"/>
              <w:jc w:val="center"/>
              <w:outlineLvl w:val="0"/>
              <w:rPr>
                <w:rFonts w:hint="eastAsia" w:ascii="仿宋" w:hAnsi="仿宋" w:eastAsia="仿宋" w:cs="仿宋"/>
                <w:color w:val="auto"/>
                <w:sz w:val="24"/>
                <w:szCs w:val="24"/>
              </w:rPr>
            </w:pPr>
          </w:p>
        </w:tc>
        <w:tc>
          <w:tcPr>
            <w:tcW w:w="1701" w:type="dxa"/>
            <w:vAlign w:val="center"/>
          </w:tcPr>
          <w:p>
            <w:pPr>
              <w:spacing w:line="360" w:lineRule="auto"/>
              <w:jc w:val="center"/>
              <w:outlineLvl w:val="0"/>
              <w:rPr>
                <w:rFonts w:hint="eastAsia" w:ascii="仿宋" w:hAnsi="仿宋" w:eastAsia="仿宋" w:cs="仿宋"/>
                <w:color w:val="auto"/>
                <w:sz w:val="24"/>
                <w:szCs w:val="24"/>
              </w:rPr>
            </w:pPr>
            <w:r>
              <w:rPr>
                <w:rFonts w:hint="eastAsia" w:ascii="仿宋" w:hAnsi="仿宋" w:eastAsia="仿宋" w:cs="仿宋"/>
                <w:color w:val="auto"/>
                <w:sz w:val="24"/>
                <w:szCs w:val="24"/>
              </w:rPr>
              <w:t>/</w:t>
            </w:r>
          </w:p>
        </w:tc>
      </w:tr>
    </w:tbl>
    <w:p>
      <w:pPr>
        <w:spacing w:line="360" w:lineRule="auto"/>
        <w:rPr>
          <w:rFonts w:hint="eastAsia" w:ascii="仿宋" w:hAnsi="仿宋" w:eastAsia="仿宋" w:cs="仿宋"/>
          <w:color w:val="auto"/>
        </w:rPr>
      </w:pPr>
    </w:p>
    <w:p>
      <w:pPr>
        <w:snapToGrid w:val="0"/>
        <w:spacing w:line="360" w:lineRule="auto"/>
        <w:rPr>
          <w:rFonts w:hint="eastAsia" w:ascii="仿宋" w:hAnsi="仿宋" w:eastAsia="仿宋" w:cs="仿宋"/>
          <w:b/>
          <w:color w:val="auto"/>
          <w:sz w:val="24"/>
        </w:rPr>
      </w:pPr>
      <w:r>
        <w:rPr>
          <w:rFonts w:hint="eastAsia" w:ascii="仿宋" w:hAnsi="仿宋" w:eastAsia="仿宋" w:cs="仿宋"/>
          <w:color w:val="auto"/>
          <w:sz w:val="20"/>
          <w:szCs w:val="20"/>
          <w:shd w:val="clear" w:color="auto" w:fill="FFFFFF"/>
        </w:rPr>
        <w:t> *</w:t>
      </w:r>
      <w:r>
        <w:rPr>
          <w:rFonts w:hint="eastAsia" w:ascii="仿宋" w:hAnsi="仿宋" w:eastAsia="仿宋" w:cs="仿宋"/>
          <w:b/>
          <w:color w:val="auto"/>
          <w:sz w:val="24"/>
        </w:rPr>
        <w:t>备注：</w:t>
      </w:r>
      <w:r>
        <w:rPr>
          <w:rFonts w:hint="eastAsia" w:ascii="仿宋" w:hAnsi="仿宋" w:eastAsia="仿宋" w:cs="仿宋"/>
          <w:color w:val="auto"/>
          <w:sz w:val="24"/>
        </w:rPr>
        <w:t>投标人编制投标文件（商务技术文件部分）时，建议按此目录（序号和内容）提供评标标准相应的商务技术资料。 </w:t>
      </w:r>
    </w:p>
    <w:p>
      <w:pPr>
        <w:snapToGrid w:val="0"/>
        <w:spacing w:line="360" w:lineRule="auto"/>
        <w:rPr>
          <w:rFonts w:hint="eastAsia" w:ascii="仿宋" w:hAnsi="仿宋" w:eastAsia="仿宋" w:cs="仿宋"/>
          <w:b/>
          <w:color w:val="auto"/>
          <w:sz w:val="28"/>
          <w:szCs w:val="28"/>
        </w:rPr>
      </w:pPr>
      <w:r>
        <w:rPr>
          <w:rFonts w:hint="eastAsia" w:ascii="仿宋" w:hAnsi="仿宋" w:eastAsia="仿宋" w:cs="仿宋"/>
          <w:b/>
          <w:color w:val="auto"/>
          <w:sz w:val="32"/>
        </w:rPr>
        <w:t>一、评标方法</w:t>
      </w:r>
    </w:p>
    <w:p>
      <w:pPr>
        <w:adjustRightInd/>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1.本项目采用综合评分法。</w:t>
      </w:r>
      <w:r>
        <w:rPr>
          <w:rFonts w:hint="eastAsia" w:ascii="仿宋" w:hAnsi="仿宋" w:eastAsia="仿宋" w:cs="仿宋"/>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rPr>
      </w:pPr>
      <w:r>
        <w:rPr>
          <w:rFonts w:hint="eastAsia" w:ascii="仿宋" w:hAnsi="仿宋" w:eastAsia="仿宋" w:cs="仿宋"/>
          <w:b/>
          <w:color w:val="auto"/>
          <w:sz w:val="32"/>
        </w:rPr>
        <w:t>二、评标标准</w:t>
      </w:r>
    </w:p>
    <w:p>
      <w:pPr>
        <w:spacing w:line="360" w:lineRule="auto"/>
        <w:ind w:firstLine="472" w:firstLineChars="196"/>
        <w:rPr>
          <w:rFonts w:hint="eastAsia" w:ascii="仿宋" w:hAnsi="仿宋" w:eastAsia="仿宋" w:cs="仿宋"/>
          <w:b/>
          <w:color w:val="auto"/>
          <w:sz w:val="24"/>
        </w:rPr>
      </w:pPr>
      <w:r>
        <w:rPr>
          <w:rFonts w:hint="eastAsia" w:ascii="仿宋" w:hAnsi="仿宋" w:eastAsia="仿宋" w:cs="仿宋"/>
          <w:b/>
          <w:color w:val="auto"/>
          <w:sz w:val="24"/>
        </w:rPr>
        <w:t>2.</w:t>
      </w:r>
      <w:r>
        <w:rPr>
          <w:rFonts w:hint="eastAsia" w:ascii="仿宋" w:hAnsi="仿宋" w:eastAsia="仿宋" w:cs="仿宋"/>
          <w:color w:val="auto"/>
        </w:rPr>
        <w:t xml:space="preserve"> </w:t>
      </w:r>
      <w:r>
        <w:rPr>
          <w:rFonts w:hint="eastAsia" w:ascii="仿宋" w:hAnsi="仿宋" w:eastAsia="仿宋" w:cs="仿宋"/>
          <w:b/>
          <w:color w:val="auto"/>
          <w:sz w:val="24"/>
        </w:rPr>
        <w:t>评标标准：</w:t>
      </w:r>
      <w:r>
        <w:rPr>
          <w:rFonts w:hint="eastAsia" w:ascii="仿宋" w:hAnsi="仿宋" w:eastAsia="仿宋" w:cs="仿宋"/>
          <w:color w:val="auto"/>
          <w:kern w:val="0"/>
          <w:sz w:val="24"/>
        </w:rPr>
        <w:t>见评标办法前附表。</w:t>
      </w:r>
    </w:p>
    <w:p>
      <w:pPr>
        <w:spacing w:line="360" w:lineRule="auto"/>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三、评标程序</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3.1符合性审查。</w:t>
      </w:r>
      <w:r>
        <w:rPr>
          <w:rFonts w:hint="eastAsia" w:ascii="仿宋" w:hAnsi="仿宋" w:eastAsia="仿宋" w:cs="仿宋"/>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3.2 比较与评价。</w:t>
      </w:r>
      <w:r>
        <w:rPr>
          <w:rFonts w:hint="eastAsia" w:ascii="仿宋" w:hAnsi="仿宋" w:eastAsia="仿宋" w:cs="仿宋"/>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3.3汇总商务技术得分。</w:t>
      </w:r>
      <w:r>
        <w:rPr>
          <w:rFonts w:hint="eastAsia" w:ascii="仿宋" w:hAnsi="仿宋" w:eastAsia="仿宋" w:cs="仿宋"/>
          <w:color w:val="auto"/>
          <w:kern w:val="0"/>
          <w:sz w:val="24"/>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rPr>
      </w:pPr>
      <w:r>
        <w:rPr>
          <w:rFonts w:hint="eastAsia" w:ascii="仿宋" w:hAnsi="仿宋" w:eastAsia="仿宋" w:cs="仿宋"/>
          <w:b/>
          <w:color w:val="auto"/>
          <w:kern w:val="0"/>
          <w:sz w:val="24"/>
        </w:rPr>
        <w:t>3.4报价评审。</w:t>
      </w:r>
    </w:p>
    <w:p>
      <w:pPr>
        <w:pStyle w:val="128"/>
        <w:spacing w:before="0" w:line="360" w:lineRule="auto"/>
        <w:ind w:firstLine="508" w:firstLineChars="212"/>
        <w:rPr>
          <w:rFonts w:hint="eastAsia" w:ascii="仿宋" w:hAnsi="仿宋" w:eastAsia="仿宋" w:cs="仿宋"/>
          <w:color w:val="auto"/>
          <w:kern w:val="0"/>
        </w:rPr>
      </w:pPr>
      <w:r>
        <w:rPr>
          <w:rFonts w:hint="eastAsia" w:ascii="仿宋" w:hAnsi="仿宋" w:eastAsia="仿宋" w:cs="仿宋"/>
          <w:color w:val="auto"/>
          <w:kern w:val="0"/>
        </w:rPr>
        <w:t>3.4.1投标文件报价出现前后不一致的，按照下列规定修正：</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3.4.1.1投标文件中开标一览表(报价表)内容与投标文件中相应内容不一致的，以开标一览表(报价表)为准;</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3.4.1.2大写金额和小写金额不一致的，以大写金额为准;</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3.4.1.3单价金额小数点或者百分比有明显错位的，以开标一览表的总价为准，并修改单价;</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3.4.1.4总价金额与按单价汇总金额不一致的，以单价金额计算结果为准。</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kern w:val="0"/>
          <w:sz w:val="24"/>
        </w:rPr>
        <w:t>3.4.3投标报价超过招标文件中规定的预算金额或者最高限价的，投标无效。</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line="360" w:lineRule="auto"/>
        <w:ind w:firstLine="480"/>
        <w:rPr>
          <w:rFonts w:hint="eastAsia" w:ascii="仿宋" w:hAnsi="仿宋" w:eastAsia="仿宋" w:cs="仿宋"/>
          <w:color w:val="auto"/>
          <w:kern w:val="0"/>
          <w:szCs w:val="24"/>
        </w:rPr>
      </w:pPr>
      <w:r>
        <w:rPr>
          <w:rFonts w:hint="eastAsia" w:ascii="仿宋" w:hAnsi="仿宋" w:eastAsia="仿宋" w:cs="仿宋"/>
          <w:color w:val="auto"/>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rPr>
      </w:pPr>
      <w:r>
        <w:rPr>
          <w:rFonts w:hint="eastAsia" w:ascii="仿宋" w:hAnsi="仿宋" w:eastAsia="仿宋" w:cs="仿宋"/>
          <w:b/>
          <w:color w:val="auto"/>
          <w:kern w:val="0"/>
          <w:sz w:val="24"/>
        </w:rPr>
        <w:t>3.5排序与推荐。</w:t>
      </w:r>
      <w:r>
        <w:rPr>
          <w:rFonts w:hint="eastAsia" w:ascii="仿宋" w:hAnsi="仿宋" w:eastAsia="仿宋" w:cs="仿宋"/>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rPr>
      </w:pPr>
      <w:r>
        <w:rPr>
          <w:rFonts w:hint="eastAsia" w:ascii="仿宋" w:hAnsi="仿宋" w:eastAsia="仿宋" w:cs="仿宋"/>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rPr>
      </w:pPr>
      <w:r>
        <w:rPr>
          <w:rFonts w:hint="eastAsia" w:ascii="仿宋" w:hAnsi="仿宋" w:eastAsia="仿宋" w:cs="仿宋"/>
          <w:b/>
          <w:color w:val="auto"/>
          <w:kern w:val="0"/>
          <w:sz w:val="24"/>
        </w:rPr>
        <w:t>3.6编写评标报告。</w:t>
      </w:r>
      <w:r>
        <w:rPr>
          <w:rFonts w:hint="eastAsia" w:ascii="仿宋" w:hAnsi="仿宋" w:eastAsia="仿宋" w:cs="仿宋"/>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hint="eastAsia" w:ascii="仿宋" w:hAnsi="仿宋" w:eastAsia="仿宋" w:cs="仿宋"/>
          <w:b/>
          <w:color w:val="auto"/>
          <w:sz w:val="32"/>
        </w:rPr>
      </w:pPr>
      <w:r>
        <w:rPr>
          <w:rFonts w:hint="eastAsia" w:ascii="仿宋" w:hAnsi="仿宋" w:eastAsia="仿宋" w:cs="仿宋"/>
          <w:b/>
          <w:color w:val="auto"/>
          <w:sz w:val="32"/>
        </w:rPr>
        <w:t>四、评标中的其他事项</w:t>
      </w:r>
    </w:p>
    <w:p>
      <w:pPr>
        <w:pStyle w:val="128"/>
        <w:spacing w:before="0" w:line="360" w:lineRule="auto"/>
        <w:ind w:firstLine="472" w:firstLineChars="196"/>
        <w:rPr>
          <w:rFonts w:hint="eastAsia" w:ascii="仿宋" w:hAnsi="仿宋" w:eastAsia="仿宋" w:cs="仿宋"/>
          <w:color w:val="auto"/>
          <w:kern w:val="0"/>
          <w:szCs w:val="24"/>
        </w:rPr>
      </w:pPr>
      <w:r>
        <w:rPr>
          <w:rFonts w:hint="eastAsia" w:ascii="仿宋" w:hAnsi="仿宋" w:eastAsia="仿宋" w:cs="仿宋"/>
          <w:b/>
          <w:color w:val="auto"/>
          <w:kern w:val="0"/>
          <w:szCs w:val="24"/>
        </w:rPr>
        <w:t>4.1投标人澄清、说明或者补正。</w:t>
      </w:r>
      <w:r>
        <w:rPr>
          <w:rFonts w:hint="eastAsia" w:ascii="仿宋" w:hAnsi="仿宋" w:eastAsia="仿宋" w:cs="仿宋"/>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hint="eastAsia" w:ascii="仿宋" w:hAnsi="仿宋" w:eastAsia="仿宋" w:cs="仿宋"/>
          <w:color w:val="auto"/>
          <w:szCs w:val="21"/>
        </w:rPr>
      </w:pPr>
      <w:r>
        <w:rPr>
          <w:rFonts w:hint="eastAsia" w:ascii="仿宋" w:hAnsi="仿宋" w:eastAsia="仿宋" w:cs="仿宋"/>
          <w:b/>
          <w:color w:val="auto"/>
          <w:kern w:val="0"/>
        </w:rPr>
        <w:t>4.2投标无效。</w:t>
      </w:r>
      <w:r>
        <w:rPr>
          <w:rFonts w:hint="eastAsia" w:ascii="仿宋" w:hAnsi="仿宋" w:eastAsia="仿宋" w:cs="仿宋"/>
          <w:color w:val="auto"/>
          <w:szCs w:val="21"/>
        </w:rPr>
        <w:t>有下列情形之一的，投标无效：</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4.2.2投标文件未按照招标文件要求签署、盖章的；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4.2.4投标文件含有采购人不能接受的附加条件的；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rPr>
      </w:pPr>
      <w:r>
        <w:rPr>
          <w:rFonts w:hint="eastAsia" w:ascii="仿宋" w:hAnsi="仿宋" w:eastAsia="仿宋" w:cs="仿宋"/>
          <w:color w:val="auto"/>
          <w:kern w:val="0"/>
          <w:sz w:val="24"/>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4.2.9投标人对根据修正原则修正后的报价不确认的；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4.2.10投标人提供虚假材料投标的；</w:t>
      </w:r>
    </w:p>
    <w:p>
      <w:pPr>
        <w:spacing w:line="360" w:lineRule="auto"/>
        <w:ind w:firstLine="240" w:firstLineChars="100"/>
        <w:rPr>
          <w:rFonts w:hint="eastAsia" w:ascii="仿宋" w:hAnsi="仿宋" w:eastAsia="仿宋" w:cs="仿宋"/>
          <w:color w:val="auto"/>
          <w:kern w:val="0"/>
          <w:sz w:val="24"/>
        </w:rPr>
      </w:pPr>
      <w:r>
        <w:rPr>
          <w:rFonts w:hint="eastAsia" w:ascii="仿宋" w:hAnsi="仿宋" w:eastAsia="仿宋" w:cs="仿宋"/>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4.2.12投标人仅提交备份投标文件，未在电子交易平台传输递交投标文件的，投标无效；</w:t>
      </w:r>
    </w:p>
    <w:p>
      <w:pPr>
        <w:pStyle w:val="4"/>
        <w:spacing w:line="360" w:lineRule="auto"/>
        <w:ind w:left="862" w:leftChars="205"/>
        <w:rPr>
          <w:rFonts w:hint="eastAsia" w:ascii="仿宋" w:hAnsi="仿宋" w:eastAsia="仿宋" w:cs="仿宋"/>
          <w:b w:val="0"/>
          <w:bCs w:val="0"/>
          <w:color w:val="auto"/>
          <w:kern w:val="0"/>
          <w:sz w:val="24"/>
          <w:szCs w:val="24"/>
          <w:lang w:val="en-US"/>
        </w:rPr>
      </w:pPr>
      <w:r>
        <w:rPr>
          <w:rFonts w:hint="eastAsia" w:ascii="仿宋" w:hAnsi="仿宋" w:eastAsia="仿宋" w:cs="仿宋"/>
          <w:b w:val="0"/>
          <w:bCs w:val="0"/>
          <w:color w:val="auto"/>
          <w:kern w:val="0"/>
          <w:sz w:val="24"/>
          <w:szCs w:val="24"/>
          <w:lang w:val="en-US"/>
        </w:rPr>
        <w:t>4.2.13 投标文件不满足招标文件的其它实质性要求的；</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4.2.14法律、法规、规章（适用本市的）及省级以上规范性文件（适用本市的）规定的其他无效情形。</w:t>
      </w:r>
    </w:p>
    <w:p>
      <w:pPr>
        <w:pStyle w:val="2"/>
        <w:snapToGrid w:val="0"/>
        <w:spacing w:line="360" w:lineRule="auto"/>
        <w:ind w:firstLine="472" w:firstLineChars="196"/>
        <w:rPr>
          <w:rFonts w:hint="eastAsia" w:ascii="仿宋" w:hAnsi="仿宋" w:eastAsia="仿宋" w:cs="仿宋"/>
          <w:color w:val="auto"/>
        </w:rPr>
      </w:pPr>
      <w:r>
        <w:rPr>
          <w:rFonts w:hint="eastAsia" w:ascii="仿宋" w:hAnsi="仿宋" w:eastAsia="仿宋" w:cs="仿宋"/>
          <w:b/>
          <w:color w:val="auto"/>
        </w:rPr>
        <w:t>5.废标。</w:t>
      </w:r>
      <w:r>
        <w:rPr>
          <w:rFonts w:hint="eastAsia" w:ascii="仿宋" w:hAnsi="仿宋" w:eastAsia="仿宋" w:cs="仿宋"/>
          <w:color w:val="auto"/>
        </w:rPr>
        <w:t>根据《中华人民共和国政府采购法》第三十六条之规定，在采购中，出现下列情形之一的，应予废标：</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5.1符合专业条件的供应商或者对招标文件作实质响应的供应商不足3家的；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5.2出现影响采购公正的违法、违规行为的；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5.3投标人的报价均超过了采购预算，采购人不能支付的；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5.4因重大变故，采购任务取消的。</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废标后，</w:t>
      </w:r>
      <w:r>
        <w:rPr>
          <w:rFonts w:hint="eastAsia" w:ascii="仿宋" w:hAnsi="仿宋" w:eastAsia="仿宋" w:cs="仿宋"/>
          <w:color w:val="auto"/>
          <w:lang w:eastAsia="zh-CN"/>
        </w:rPr>
        <w:t>采购代理机构</w:t>
      </w:r>
      <w:r>
        <w:rPr>
          <w:rFonts w:hint="eastAsia" w:ascii="仿宋" w:hAnsi="仿宋" w:eastAsia="仿宋" w:cs="仿宋"/>
          <w:color w:val="auto"/>
        </w:rPr>
        <w:t>应当将废标理由通知所有投标人。</w:t>
      </w:r>
    </w:p>
    <w:p>
      <w:pPr>
        <w:pStyle w:val="2"/>
        <w:snapToGrid w:val="0"/>
        <w:spacing w:line="360" w:lineRule="auto"/>
        <w:ind w:firstLine="590" w:firstLineChars="245"/>
        <w:rPr>
          <w:rFonts w:hint="eastAsia" w:ascii="仿宋" w:hAnsi="仿宋" w:eastAsia="仿宋" w:cs="仿宋"/>
          <w:color w:val="auto"/>
        </w:rPr>
      </w:pPr>
      <w:r>
        <w:rPr>
          <w:rFonts w:hint="eastAsia" w:ascii="仿宋" w:hAnsi="仿宋" w:eastAsia="仿宋" w:cs="仿宋"/>
          <w:b/>
          <w:color w:val="auto"/>
        </w:rPr>
        <w:t>6.修改招标文件，重新组织采购活动。</w:t>
      </w:r>
      <w:r>
        <w:rPr>
          <w:rFonts w:hint="eastAsia" w:ascii="仿宋" w:hAnsi="仿宋" w:eastAsia="仿宋" w:cs="仿宋"/>
          <w:color w:val="auto"/>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lang w:eastAsia="zh-CN"/>
        </w:rPr>
        <w:t>采购代理机构</w:t>
      </w:r>
      <w:r>
        <w:rPr>
          <w:rFonts w:hint="eastAsia" w:ascii="仿宋" w:hAnsi="仿宋" w:eastAsia="仿宋" w:cs="仿宋"/>
          <w:color w:val="auto"/>
        </w:rPr>
        <w:t>沟通并作书面记录。采购人、</w:t>
      </w:r>
      <w:r>
        <w:rPr>
          <w:rFonts w:hint="eastAsia" w:ascii="仿宋" w:hAnsi="仿宋" w:eastAsia="仿宋" w:cs="仿宋"/>
          <w:color w:val="auto"/>
          <w:lang w:eastAsia="zh-CN"/>
        </w:rPr>
        <w:t>采购代理机构</w:t>
      </w:r>
      <w:r>
        <w:rPr>
          <w:rFonts w:hint="eastAsia" w:ascii="仿宋" w:hAnsi="仿宋" w:eastAsia="仿宋" w:cs="仿宋"/>
          <w:color w:val="auto"/>
        </w:rPr>
        <w:t>确认后，将修改招标文件，重新组织采购活动。</w:t>
      </w:r>
    </w:p>
    <w:p>
      <w:pPr>
        <w:pStyle w:val="2"/>
        <w:snapToGrid w:val="0"/>
        <w:spacing w:line="360" w:lineRule="auto"/>
        <w:ind w:firstLine="482"/>
        <w:rPr>
          <w:rFonts w:hint="eastAsia" w:ascii="仿宋" w:hAnsi="仿宋" w:eastAsia="仿宋" w:cs="仿宋"/>
          <w:color w:val="auto"/>
        </w:rPr>
      </w:pPr>
      <w:r>
        <w:rPr>
          <w:rFonts w:hint="eastAsia" w:ascii="仿宋" w:hAnsi="仿宋" w:eastAsia="仿宋" w:cs="仿宋"/>
          <w:b/>
          <w:color w:val="auto"/>
          <w:kern w:val="0"/>
        </w:rPr>
        <w:t>7.重新开展采购。</w:t>
      </w:r>
      <w:r>
        <w:rPr>
          <w:rFonts w:hint="eastAsia" w:ascii="仿宋" w:hAnsi="仿宋" w:eastAsia="仿宋" w:cs="仿宋"/>
          <w:color w:val="auto"/>
        </w:rPr>
        <w:t>有政府采购法第七十一条、第七十二条规定的违法行为之一，影响或者可能影响中标结果的，依照下列规定处理：</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7.1未确定中标供应商的，终止本次政府采购活动，重新开展政府采购活动。</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7.4政府采购合同已经履行，给采购人、供应商造成损失的，由责任人承担赔偿责任。</w:t>
      </w:r>
    </w:p>
    <w:p>
      <w:pPr>
        <w:pStyle w:val="2"/>
        <w:snapToGrid w:val="0"/>
        <w:spacing w:line="360" w:lineRule="auto"/>
        <w:rPr>
          <w:rFonts w:hint="eastAsia" w:ascii="仿宋" w:hAnsi="仿宋" w:eastAsia="仿宋" w:cs="仿宋"/>
          <w:color w:val="auto"/>
        </w:rPr>
      </w:pPr>
      <w:r>
        <w:rPr>
          <w:rFonts w:hint="eastAsia" w:ascii="仿宋" w:hAnsi="仿宋" w:eastAsia="仿宋" w:cs="仿宋"/>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hint="eastAsia" w:ascii="仿宋" w:hAnsi="仿宋" w:eastAsia="仿宋" w:cs="仿宋"/>
          <w:color w:val="auto"/>
        </w:rPr>
      </w:pPr>
    </w:p>
    <w:bookmarkEnd w:id="27"/>
    <w:p>
      <w:pPr>
        <w:spacing w:line="360" w:lineRule="auto"/>
        <w:ind w:left="720" w:leftChars="343" w:firstLine="1084" w:firstLineChars="300"/>
        <w:outlineLvl w:val="0"/>
        <w:rPr>
          <w:rFonts w:hint="eastAsia" w:ascii="仿宋" w:hAnsi="仿宋" w:eastAsia="仿宋" w:cs="仿宋"/>
          <w:b/>
          <w:color w:val="auto"/>
          <w:sz w:val="36"/>
          <w:szCs w:val="36"/>
        </w:rPr>
      </w:pPr>
      <w:bookmarkStart w:id="400" w:name="第五部分"/>
      <w:bookmarkStart w:id="401" w:name="_Toc86217003"/>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    </w:t>
      </w: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p>
    <w:p>
      <w:pPr>
        <w:spacing w:line="360" w:lineRule="auto"/>
        <w:ind w:left="720" w:leftChars="343" w:firstLine="1084" w:firstLineChars="300"/>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第五部分 拟签订的合同文本</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合同编号：</w:t>
      </w:r>
      <w:r>
        <w:rPr>
          <w:rFonts w:hint="eastAsia" w:ascii="仿宋" w:hAnsi="仿宋" w:eastAsia="仿宋" w:cs="仿宋"/>
          <w:color w:val="auto"/>
          <w:sz w:val="24"/>
          <w:u w:val="single"/>
        </w:rPr>
        <w:t xml:space="preserve">           </w:t>
      </w:r>
    </w:p>
    <w:p>
      <w:pPr>
        <w:spacing w:line="360" w:lineRule="auto"/>
        <w:jc w:val="center"/>
        <w:rPr>
          <w:rFonts w:hint="eastAsia" w:ascii="仿宋" w:hAnsi="仿宋" w:eastAsia="仿宋" w:cs="仿宋"/>
          <w:b/>
          <w:color w:val="auto"/>
          <w:sz w:val="28"/>
          <w:szCs w:val="28"/>
        </w:rPr>
      </w:pP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政府采购合同参考范本</w:t>
      </w:r>
    </w:p>
    <w:p>
      <w:pPr>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（服务类）</w:t>
      </w:r>
    </w:p>
    <w:p>
      <w:pPr>
        <w:pStyle w:val="699"/>
        <w:spacing w:line="360" w:lineRule="auto"/>
        <w:ind w:firstLine="2843" w:firstLineChars="1180"/>
        <w:rPr>
          <w:rFonts w:hint="eastAsia" w:ascii="仿宋" w:hAnsi="仿宋" w:eastAsia="仿宋" w:cs="仿宋"/>
          <w:b/>
          <w:color w:val="auto"/>
          <w:szCs w:val="24"/>
        </w:rPr>
      </w:pPr>
      <w:r>
        <w:rPr>
          <w:rFonts w:hint="eastAsia" w:ascii="仿宋" w:hAnsi="仿宋" w:eastAsia="仿宋" w:cs="仿宋"/>
          <w:b/>
          <w:color w:val="auto"/>
          <w:szCs w:val="24"/>
        </w:rPr>
        <w:t>第一部分 合同书</w:t>
      </w:r>
    </w:p>
    <w:p>
      <w:pPr>
        <w:spacing w:before="120" w:line="360" w:lineRule="auto"/>
        <w:rPr>
          <w:rFonts w:hint="eastAsia" w:ascii="仿宋" w:hAnsi="仿宋" w:eastAsia="仿宋" w:cs="仿宋"/>
          <w:color w:val="auto"/>
          <w:sz w:val="24"/>
        </w:rPr>
      </w:pPr>
    </w:p>
    <w:p>
      <w:pPr>
        <w:pStyle w:val="4"/>
        <w:spacing w:line="360" w:lineRule="auto"/>
        <w:rPr>
          <w:rFonts w:hint="eastAsia" w:ascii="仿宋" w:hAnsi="仿宋" w:eastAsia="仿宋" w:cs="仿宋"/>
          <w:color w:val="auto"/>
        </w:rPr>
      </w:pPr>
    </w:p>
    <w:p>
      <w:pPr>
        <w:spacing w:before="120" w:line="360" w:lineRule="auto"/>
        <w:ind w:left="960"/>
        <w:rPr>
          <w:rFonts w:hint="eastAsia" w:ascii="仿宋" w:hAnsi="仿宋" w:eastAsia="仿宋" w:cs="仿宋"/>
          <w:color w:val="auto"/>
          <w:sz w:val="24"/>
        </w:rPr>
      </w:pPr>
      <w:r>
        <w:rPr>
          <w:rFonts w:hint="eastAsia" w:ascii="仿宋" w:hAnsi="仿宋" w:eastAsia="仿宋" w:cs="仿宋"/>
          <w:color w:val="auto"/>
          <w:sz w:val="24"/>
        </w:rPr>
        <w:t>项目名称：</w:t>
      </w:r>
      <w:r>
        <w:rPr>
          <w:rFonts w:hint="eastAsia" w:ascii="仿宋" w:hAnsi="仿宋" w:eastAsia="仿宋" w:cs="仿宋"/>
          <w:color w:val="auto"/>
          <w:sz w:val="24"/>
          <w:u w:val="single"/>
        </w:rPr>
        <w:t xml:space="preserve">                                   </w:t>
      </w:r>
    </w:p>
    <w:p>
      <w:pPr>
        <w:pStyle w:val="596"/>
        <w:spacing w:before="120" w:line="360" w:lineRule="auto"/>
        <w:rPr>
          <w:rFonts w:hint="eastAsia" w:ascii="仿宋" w:hAnsi="仿宋" w:eastAsia="仿宋" w:cs="仿宋"/>
          <w:color w:val="auto"/>
          <w:szCs w:val="24"/>
        </w:rPr>
      </w:pPr>
    </w:p>
    <w:p>
      <w:pPr>
        <w:pStyle w:val="596"/>
        <w:spacing w:before="120" w:line="360" w:lineRule="auto"/>
        <w:rPr>
          <w:rFonts w:hint="eastAsia" w:ascii="仿宋" w:hAnsi="仿宋" w:eastAsia="仿宋" w:cs="仿宋"/>
          <w:color w:val="auto"/>
          <w:szCs w:val="24"/>
        </w:rPr>
      </w:pPr>
    </w:p>
    <w:p>
      <w:pPr>
        <w:spacing w:line="360" w:lineRule="auto"/>
        <w:rPr>
          <w:rFonts w:hint="eastAsia" w:ascii="仿宋" w:hAnsi="仿宋" w:eastAsia="仿宋" w:cs="仿宋"/>
          <w:color w:val="auto"/>
          <w:sz w:val="24"/>
        </w:rPr>
      </w:pPr>
    </w:p>
    <w:p>
      <w:pPr>
        <w:spacing w:before="120" w:line="360" w:lineRule="auto"/>
        <w:ind w:left="960"/>
        <w:rPr>
          <w:rFonts w:hint="eastAsia" w:ascii="仿宋" w:hAnsi="仿宋" w:eastAsia="仿宋" w:cs="仿宋"/>
          <w:color w:val="auto"/>
          <w:sz w:val="24"/>
          <w:u w:val="single"/>
        </w:rPr>
      </w:pPr>
      <w:r>
        <w:rPr>
          <w:rFonts w:hint="eastAsia" w:ascii="仿宋" w:hAnsi="仿宋" w:eastAsia="仿宋" w:cs="仿宋"/>
          <w:color w:val="auto"/>
          <w:sz w:val="24"/>
        </w:rPr>
        <w:t>甲方：</w:t>
      </w:r>
      <w:r>
        <w:rPr>
          <w:rFonts w:hint="eastAsia" w:ascii="仿宋" w:hAnsi="仿宋" w:eastAsia="仿宋" w:cs="仿宋"/>
          <w:color w:val="auto"/>
          <w:sz w:val="24"/>
          <w:u w:val="single"/>
        </w:rPr>
        <w:t xml:space="preserve">                                       </w:t>
      </w:r>
    </w:p>
    <w:p>
      <w:pPr>
        <w:spacing w:before="120" w:line="360" w:lineRule="auto"/>
        <w:rPr>
          <w:rFonts w:hint="eastAsia" w:ascii="仿宋" w:hAnsi="仿宋" w:eastAsia="仿宋" w:cs="仿宋"/>
          <w:color w:val="auto"/>
          <w:sz w:val="24"/>
        </w:rPr>
      </w:pPr>
    </w:p>
    <w:p>
      <w:pPr>
        <w:spacing w:before="120" w:line="360" w:lineRule="auto"/>
        <w:ind w:left="960"/>
        <w:rPr>
          <w:rFonts w:hint="eastAsia" w:ascii="仿宋" w:hAnsi="仿宋" w:eastAsia="仿宋" w:cs="仿宋"/>
          <w:color w:val="auto"/>
          <w:sz w:val="24"/>
          <w:u w:val="single"/>
        </w:rPr>
      </w:pPr>
      <w:r>
        <w:rPr>
          <w:rFonts w:hint="eastAsia" w:ascii="仿宋" w:hAnsi="仿宋" w:eastAsia="仿宋" w:cs="仿宋"/>
          <w:color w:val="auto"/>
          <w:sz w:val="24"/>
        </w:rPr>
        <w:t>乙方：</w:t>
      </w:r>
      <w:r>
        <w:rPr>
          <w:rFonts w:hint="eastAsia" w:ascii="仿宋" w:hAnsi="仿宋" w:eastAsia="仿宋" w:cs="仿宋"/>
          <w:color w:val="auto"/>
          <w:sz w:val="24"/>
          <w:u w:val="single"/>
        </w:rPr>
        <w:t xml:space="preserve">                                       </w:t>
      </w:r>
    </w:p>
    <w:p>
      <w:pPr>
        <w:spacing w:before="120" w:line="360" w:lineRule="auto"/>
        <w:rPr>
          <w:rFonts w:hint="eastAsia" w:ascii="仿宋" w:hAnsi="仿宋" w:eastAsia="仿宋" w:cs="仿宋"/>
          <w:color w:val="auto"/>
          <w:sz w:val="24"/>
        </w:rPr>
      </w:pPr>
    </w:p>
    <w:p>
      <w:pPr>
        <w:spacing w:before="120" w:line="360" w:lineRule="auto"/>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签订地：</w:t>
      </w:r>
      <w:r>
        <w:rPr>
          <w:rFonts w:hint="eastAsia" w:ascii="仿宋" w:hAnsi="仿宋" w:eastAsia="仿宋" w:cs="仿宋"/>
          <w:color w:val="auto"/>
          <w:sz w:val="24"/>
          <w:u w:val="single"/>
        </w:rPr>
        <w:t xml:space="preserve">                                     </w:t>
      </w:r>
    </w:p>
    <w:p>
      <w:pPr>
        <w:spacing w:before="120" w:line="360" w:lineRule="auto"/>
        <w:rPr>
          <w:rFonts w:hint="eastAsia" w:ascii="仿宋" w:hAnsi="仿宋" w:eastAsia="仿宋" w:cs="仿宋"/>
          <w:color w:val="auto"/>
          <w:sz w:val="24"/>
        </w:rPr>
      </w:pPr>
    </w:p>
    <w:p>
      <w:pPr>
        <w:spacing w:before="120" w:line="360" w:lineRule="auto"/>
        <w:ind w:firstLine="960" w:firstLineChars="400"/>
        <w:rPr>
          <w:rFonts w:hint="eastAsia" w:ascii="仿宋" w:hAnsi="仿宋" w:eastAsia="仿宋" w:cs="仿宋"/>
          <w:color w:val="auto"/>
          <w:sz w:val="24"/>
          <w:u w:val="single"/>
        </w:rPr>
      </w:pPr>
      <w:r>
        <w:rPr>
          <w:rFonts w:hint="eastAsia" w:ascii="仿宋" w:hAnsi="仿宋" w:eastAsia="仿宋" w:cs="仿宋"/>
          <w:color w:val="auto"/>
          <w:sz w:val="24"/>
        </w:rPr>
        <w:t>签订日期：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w:t>
      </w:r>
    </w:p>
    <w:p>
      <w:pPr>
        <w:widowControl/>
        <w:spacing w:line="360" w:lineRule="auto"/>
        <w:jc w:val="left"/>
        <w:rPr>
          <w:rFonts w:hint="eastAsia" w:ascii="仿宋" w:hAnsi="仿宋" w:eastAsia="仿宋" w:cs="仿宋"/>
          <w:color w:val="auto"/>
          <w:kern w:val="0"/>
          <w:sz w:val="24"/>
        </w:rPr>
        <w:sectPr>
          <w:pgSz w:w="11907" w:h="16840"/>
          <w:pgMar w:top="1474" w:right="1814" w:bottom="1474" w:left="1814" w:header="851" w:footer="851" w:gutter="0"/>
          <w:cols w:space="720" w:num="1"/>
        </w:sectPr>
      </w:pPr>
    </w:p>
    <w:p>
      <w:pPr>
        <w:spacing w:line="360" w:lineRule="auto"/>
        <w:rPr>
          <w:rFonts w:hint="eastAsia" w:ascii="仿宋" w:hAnsi="仿宋" w:eastAsia="仿宋" w:cs="仿宋"/>
          <w:b/>
          <w:color w:val="auto"/>
          <w:sz w:val="24"/>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年</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月</w:t>
      </w:r>
      <w:r>
        <w:rPr>
          <w:rFonts w:hint="eastAsia" w:ascii="仿宋" w:hAnsi="仿宋" w:eastAsia="仿宋" w:cs="仿宋"/>
          <w:color w:val="auto"/>
          <w:sz w:val="24"/>
          <w:u w:val="single"/>
          <w:lang w:val="zh-CN"/>
        </w:rPr>
        <w:t xml:space="preserve">    </w:t>
      </w:r>
      <w:r>
        <w:rPr>
          <w:rFonts w:hint="eastAsia" w:ascii="仿宋" w:hAnsi="仿宋" w:eastAsia="仿宋" w:cs="仿宋"/>
          <w:color w:val="auto"/>
          <w:sz w:val="24"/>
          <w:lang w:val="zh-CN"/>
        </w:rPr>
        <w:t>日</w:t>
      </w:r>
      <w:r>
        <w:rPr>
          <w:rFonts w:hint="eastAsia" w:ascii="仿宋" w:hAnsi="仿宋" w:eastAsia="仿宋" w:cs="仿宋"/>
          <w:color w:val="auto"/>
          <w:sz w:val="24"/>
        </w:rPr>
        <w:t>，</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以</w:t>
      </w:r>
      <w:r>
        <w:rPr>
          <w:rFonts w:hint="eastAsia" w:ascii="仿宋" w:hAnsi="仿宋" w:eastAsia="仿宋" w:cs="仿宋"/>
          <w:color w:val="auto"/>
          <w:sz w:val="24"/>
          <w:u w:val="single"/>
        </w:rPr>
        <w:t xml:space="preserve">   （政府采购方式）  </w:t>
      </w:r>
      <w:r>
        <w:rPr>
          <w:rFonts w:hint="eastAsia" w:ascii="仿宋" w:hAnsi="仿宋" w:eastAsia="仿宋" w:cs="仿宋"/>
          <w:color w:val="auto"/>
          <w:sz w:val="24"/>
        </w:rPr>
        <w:t>对</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项目进行了采购。经</w:t>
      </w:r>
      <w:r>
        <w:rPr>
          <w:rFonts w:hint="eastAsia" w:ascii="仿宋" w:hAnsi="仿宋" w:eastAsia="仿宋" w:cs="仿宋"/>
          <w:color w:val="auto"/>
          <w:sz w:val="24"/>
          <w:u w:val="single"/>
        </w:rPr>
        <w:t xml:space="preserve">   （相关评定主体名称）   </w:t>
      </w:r>
      <w:r>
        <w:rPr>
          <w:rFonts w:hint="eastAsia" w:ascii="仿宋" w:hAnsi="仿宋" w:eastAsia="仿宋" w:cs="仿宋"/>
          <w:color w:val="auto"/>
          <w:sz w:val="24"/>
        </w:rPr>
        <w:t>评定，</w:t>
      </w:r>
      <w:r>
        <w:rPr>
          <w:rFonts w:hint="eastAsia" w:ascii="仿宋" w:hAnsi="仿宋" w:eastAsia="仿宋" w:cs="仿宋"/>
          <w:color w:val="auto"/>
          <w:sz w:val="24"/>
          <w:u w:val="single"/>
        </w:rPr>
        <w:t xml:space="preserve">   （中标或者成交供应商名称） </w:t>
      </w:r>
      <w:r>
        <w:rPr>
          <w:rFonts w:hint="eastAsia" w:ascii="仿宋" w:hAnsi="仿宋" w:eastAsia="仿宋" w:cs="仿宋"/>
          <w:color w:val="auto"/>
          <w:sz w:val="24"/>
        </w:rPr>
        <w:t>为该项目中标或者成交供应商。现于中标或者成交通知书发出之日起10个工作日内，按照采购文件确定的事项签订本合同。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lang w:val="zh-CN"/>
        </w:rPr>
        <w:t>(以下简称：甲方)和</w:t>
      </w:r>
      <w:r>
        <w:rPr>
          <w:rFonts w:hint="eastAsia" w:ascii="仿宋" w:hAnsi="仿宋" w:eastAsia="仿宋" w:cs="仿宋"/>
          <w:color w:val="auto"/>
          <w:sz w:val="24"/>
          <w:u w:val="single"/>
        </w:rPr>
        <w:t xml:space="preserve">   （中标或者成交标供应商名称）   </w:t>
      </w:r>
      <w:r>
        <w:rPr>
          <w:rFonts w:hint="eastAsia" w:ascii="仿宋" w:hAnsi="仿宋" w:eastAsia="仿宋" w:cs="仿宋"/>
          <w:color w:val="auto"/>
          <w:sz w:val="24"/>
          <w:lang w:val="zh-CN"/>
        </w:rPr>
        <w:t>(以下简称：乙方)协商一致，约定以下合同</w:t>
      </w:r>
      <w:r>
        <w:rPr>
          <w:rFonts w:hint="eastAsia" w:ascii="仿宋" w:hAnsi="仿宋" w:eastAsia="仿宋" w:cs="仿宋"/>
          <w:color w:val="auto"/>
          <w:sz w:val="24"/>
        </w:rPr>
        <w:t>条款，以兹共同遵守、全面履行。</w:t>
      </w:r>
    </w:p>
    <w:p>
      <w:pPr>
        <w:spacing w:line="360" w:lineRule="auto"/>
        <w:ind w:firstLine="482" w:firstLineChars="200"/>
        <w:outlineLvl w:val="0"/>
        <w:rPr>
          <w:rFonts w:hint="eastAsia" w:ascii="仿宋" w:hAnsi="仿宋" w:eastAsia="仿宋" w:cs="仿宋"/>
          <w:color w:val="auto"/>
          <w:sz w:val="24"/>
        </w:rPr>
      </w:pPr>
      <w:bookmarkStart w:id="402" w:name="_Toc22967"/>
      <w:bookmarkStart w:id="403" w:name="_Toc15367"/>
      <w:bookmarkStart w:id="404" w:name="_Toc28855"/>
      <w:bookmarkStart w:id="405" w:name="_Toc19273"/>
      <w:bookmarkStart w:id="406" w:name="_Toc20421"/>
      <w:r>
        <w:rPr>
          <w:rFonts w:hint="eastAsia" w:ascii="仿宋" w:hAnsi="仿宋" w:eastAsia="仿宋" w:cs="仿宋"/>
          <w:b/>
          <w:color w:val="auto"/>
          <w:sz w:val="24"/>
        </w:rPr>
        <w:t>1.1 合同组成部分</w:t>
      </w:r>
      <w:bookmarkEnd w:id="402"/>
      <w:bookmarkEnd w:id="403"/>
      <w:bookmarkEnd w:id="404"/>
      <w:bookmarkEnd w:id="405"/>
      <w:bookmarkEnd w:id="406"/>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1.1.1 本合同及其补充合同、变更协议；</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1.1.2 中标或者成交通知书；</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1.1.3 投标或者响应文件（含澄清或者说明文件）；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1.1.4 采购文件（含澄清或者修改文件）；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1.1.5 其他相关采购文件。</w:t>
      </w:r>
    </w:p>
    <w:p>
      <w:pPr>
        <w:spacing w:line="360" w:lineRule="auto"/>
        <w:ind w:firstLine="482" w:firstLineChars="200"/>
        <w:outlineLvl w:val="0"/>
        <w:rPr>
          <w:rFonts w:hint="eastAsia" w:ascii="仿宋" w:hAnsi="仿宋" w:eastAsia="仿宋" w:cs="仿宋"/>
          <w:b/>
          <w:color w:val="auto"/>
          <w:sz w:val="24"/>
        </w:rPr>
      </w:pPr>
      <w:bookmarkStart w:id="407" w:name="_Toc18585"/>
      <w:bookmarkStart w:id="408" w:name="_Toc6773"/>
      <w:bookmarkStart w:id="409" w:name="_Toc22185"/>
      <w:bookmarkStart w:id="410" w:name="_Toc2918"/>
      <w:bookmarkStart w:id="411" w:name="_Toc6311"/>
      <w:r>
        <w:rPr>
          <w:rFonts w:hint="eastAsia" w:ascii="仿宋" w:hAnsi="仿宋" w:eastAsia="仿宋" w:cs="仿宋"/>
          <w:b/>
          <w:color w:val="auto"/>
          <w:sz w:val="24"/>
        </w:rPr>
        <w:t>1.2 标的</w:t>
      </w:r>
      <w:bookmarkEnd w:id="407"/>
      <w:bookmarkEnd w:id="408"/>
      <w:bookmarkEnd w:id="409"/>
      <w:bookmarkEnd w:id="410"/>
      <w:bookmarkEnd w:id="411"/>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1.2.1 服务内容：</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1.2.2 服务标准：</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1.2.3 技术保障：</w:t>
      </w:r>
      <w:r>
        <w:rPr>
          <w:rFonts w:hint="eastAsia" w:ascii="仿宋" w:hAnsi="仿宋" w:eastAsia="仿宋" w:cs="仿宋"/>
          <w:color w:val="auto"/>
          <w:sz w:val="24"/>
          <w:u w:val="single"/>
        </w:rPr>
        <w:t>　　　　　　　　　                      　      ；</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1.2.4 服务人员组成：</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1.2.5合同</w:t>
      </w:r>
      <w:r>
        <w:rPr>
          <w:rFonts w:hint="eastAsia" w:ascii="仿宋" w:hAnsi="仿宋" w:eastAsia="仿宋" w:cs="仿宋"/>
          <w:color w:val="auto"/>
          <w:u w:val="single"/>
        </w:rPr>
        <w:t xml:space="preserve">     </w:t>
      </w:r>
      <w:r>
        <w:rPr>
          <w:rFonts w:hint="eastAsia" w:ascii="仿宋" w:hAnsi="仿宋" w:eastAsia="仿宋" w:cs="仿宋"/>
          <w:color w:val="auto"/>
        </w:rPr>
        <w:t>（是/否）涉及货物。若涉及货物的的，则：</w:t>
      </w:r>
    </w:p>
    <w:p>
      <w:pPr>
        <w:spacing w:line="360" w:lineRule="auto"/>
        <w:ind w:firstLine="480" w:firstLineChars="200"/>
        <w:rPr>
          <w:rFonts w:hint="eastAsia" w:ascii="仿宋" w:hAnsi="仿宋" w:eastAsia="仿宋" w:cs="仿宋"/>
          <w:color w:val="auto"/>
          <w:sz w:val="24"/>
          <w:u w:val="single"/>
        </w:rPr>
      </w:pPr>
      <w:bookmarkStart w:id="412" w:name="_Toc4929"/>
      <w:bookmarkStart w:id="413" w:name="_Toc21124"/>
      <w:bookmarkStart w:id="414" w:name="_Toc5635"/>
      <w:bookmarkStart w:id="415" w:name="_Toc13918"/>
      <w:bookmarkStart w:id="416" w:name="_Toc1386"/>
      <w:r>
        <w:rPr>
          <w:rFonts w:hint="eastAsia" w:ascii="仿宋" w:hAnsi="仿宋" w:eastAsia="仿宋" w:cs="仿宋"/>
          <w:color w:val="auto"/>
          <w:sz w:val="24"/>
        </w:rPr>
        <w:t>1.2.5.1 货物名称、品牌、规格型号、花色：</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1.2.5.2 货物数量：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1.2.5.3 货物质量：</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1.3 价款</w:t>
      </w:r>
      <w:bookmarkEnd w:id="412"/>
      <w:bookmarkEnd w:id="413"/>
      <w:bookmarkEnd w:id="414"/>
      <w:bookmarkEnd w:id="415"/>
      <w:bookmarkEnd w:id="416"/>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本项目采用以下第</w:t>
      </w:r>
      <w:r>
        <w:rPr>
          <w:rFonts w:hint="eastAsia" w:ascii="仿宋" w:hAnsi="仿宋" w:eastAsia="仿宋" w:cs="仿宋"/>
          <w:color w:val="auto"/>
          <w:sz w:val="24"/>
          <w:u w:val="single"/>
        </w:rPr>
        <w:t xml:space="preserve">     </w:t>
      </w:r>
      <w:r>
        <w:rPr>
          <w:rFonts w:hint="eastAsia" w:ascii="仿宋" w:hAnsi="仿宋" w:eastAsia="仿宋" w:cs="仿宋"/>
          <w:color w:val="auto"/>
          <w:sz w:val="24"/>
        </w:rPr>
        <w:t>条款规定的计价方式计价。</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1.3.1总价合同，本合同总价（含税）为：￥</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序号</w:t>
            </w:r>
          </w:p>
        </w:tc>
        <w:tc>
          <w:tcPr>
            <w:tcW w:w="3402" w:type="dxa"/>
            <w:vAlign w:val="center"/>
          </w:tcPr>
          <w:p>
            <w:pPr>
              <w:pStyle w:val="317"/>
              <w:spacing w:line="360" w:lineRule="auto"/>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分项名称</w:t>
            </w:r>
          </w:p>
        </w:tc>
        <w:tc>
          <w:tcPr>
            <w:tcW w:w="2552" w:type="dxa"/>
            <w:vAlign w:val="center"/>
          </w:tcPr>
          <w:p>
            <w:pPr>
              <w:pStyle w:val="317"/>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360" w:lineRule="auto"/>
              <w:ind w:firstLine="200"/>
              <w:jc w:val="center"/>
              <w:rPr>
                <w:rFonts w:hint="eastAsia" w:ascii="仿宋" w:hAnsi="仿宋" w:eastAsia="仿宋" w:cs="仿宋"/>
                <w:color w:val="auto"/>
                <w:sz w:val="24"/>
                <w:szCs w:val="24"/>
              </w:rPr>
            </w:pPr>
          </w:p>
        </w:tc>
        <w:tc>
          <w:tcPr>
            <w:tcW w:w="3402" w:type="dxa"/>
            <w:vAlign w:val="center"/>
          </w:tcPr>
          <w:p>
            <w:pPr>
              <w:pStyle w:val="317"/>
              <w:spacing w:line="360" w:lineRule="auto"/>
              <w:ind w:firstLine="200"/>
              <w:jc w:val="center"/>
              <w:rPr>
                <w:rFonts w:hint="eastAsia" w:ascii="仿宋" w:hAnsi="仿宋" w:eastAsia="仿宋" w:cs="仿宋"/>
                <w:color w:val="auto"/>
                <w:sz w:val="24"/>
                <w:szCs w:val="24"/>
              </w:rPr>
            </w:pPr>
          </w:p>
        </w:tc>
        <w:tc>
          <w:tcPr>
            <w:tcW w:w="2552" w:type="dxa"/>
            <w:vAlign w:val="center"/>
          </w:tcPr>
          <w:p>
            <w:pPr>
              <w:pStyle w:val="317"/>
              <w:spacing w:line="360" w:lineRule="auto"/>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360" w:lineRule="auto"/>
              <w:ind w:firstLine="200"/>
              <w:jc w:val="center"/>
              <w:rPr>
                <w:rFonts w:hint="eastAsia" w:ascii="仿宋" w:hAnsi="仿宋" w:eastAsia="仿宋" w:cs="仿宋"/>
                <w:color w:val="auto"/>
                <w:sz w:val="24"/>
                <w:szCs w:val="24"/>
              </w:rPr>
            </w:pPr>
          </w:p>
        </w:tc>
        <w:tc>
          <w:tcPr>
            <w:tcW w:w="3402" w:type="dxa"/>
            <w:vAlign w:val="center"/>
          </w:tcPr>
          <w:p>
            <w:pPr>
              <w:pStyle w:val="317"/>
              <w:spacing w:line="360" w:lineRule="auto"/>
              <w:ind w:firstLine="200"/>
              <w:jc w:val="center"/>
              <w:rPr>
                <w:rFonts w:hint="eastAsia" w:ascii="仿宋" w:hAnsi="仿宋" w:eastAsia="仿宋" w:cs="仿宋"/>
                <w:color w:val="auto"/>
                <w:sz w:val="24"/>
                <w:szCs w:val="24"/>
              </w:rPr>
            </w:pPr>
          </w:p>
        </w:tc>
        <w:tc>
          <w:tcPr>
            <w:tcW w:w="2552" w:type="dxa"/>
            <w:vAlign w:val="center"/>
          </w:tcPr>
          <w:p>
            <w:pPr>
              <w:pStyle w:val="317"/>
              <w:spacing w:line="360" w:lineRule="auto"/>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360" w:lineRule="auto"/>
              <w:ind w:firstLine="200"/>
              <w:jc w:val="center"/>
              <w:rPr>
                <w:rFonts w:hint="eastAsia" w:ascii="仿宋" w:hAnsi="仿宋" w:eastAsia="仿宋" w:cs="仿宋"/>
                <w:color w:val="auto"/>
                <w:sz w:val="24"/>
                <w:szCs w:val="24"/>
              </w:rPr>
            </w:pPr>
          </w:p>
        </w:tc>
        <w:tc>
          <w:tcPr>
            <w:tcW w:w="3402" w:type="dxa"/>
            <w:vAlign w:val="center"/>
          </w:tcPr>
          <w:p>
            <w:pPr>
              <w:pStyle w:val="317"/>
              <w:spacing w:line="360" w:lineRule="auto"/>
              <w:ind w:firstLine="200"/>
              <w:jc w:val="center"/>
              <w:rPr>
                <w:rFonts w:hint="eastAsia" w:ascii="仿宋" w:hAnsi="仿宋" w:eastAsia="仿宋" w:cs="仿宋"/>
                <w:color w:val="auto"/>
                <w:sz w:val="24"/>
                <w:szCs w:val="24"/>
              </w:rPr>
            </w:pPr>
          </w:p>
        </w:tc>
        <w:tc>
          <w:tcPr>
            <w:tcW w:w="2552" w:type="dxa"/>
            <w:vAlign w:val="center"/>
          </w:tcPr>
          <w:p>
            <w:pPr>
              <w:pStyle w:val="317"/>
              <w:spacing w:line="360" w:lineRule="auto"/>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360" w:lineRule="auto"/>
              <w:ind w:firstLine="200"/>
              <w:jc w:val="center"/>
              <w:rPr>
                <w:rFonts w:hint="eastAsia" w:ascii="仿宋" w:hAnsi="仿宋" w:eastAsia="仿宋" w:cs="仿宋"/>
                <w:color w:val="auto"/>
                <w:sz w:val="24"/>
                <w:szCs w:val="24"/>
              </w:rPr>
            </w:pPr>
          </w:p>
        </w:tc>
        <w:tc>
          <w:tcPr>
            <w:tcW w:w="3402" w:type="dxa"/>
            <w:vAlign w:val="center"/>
          </w:tcPr>
          <w:p>
            <w:pPr>
              <w:pStyle w:val="317"/>
              <w:spacing w:line="360" w:lineRule="auto"/>
              <w:ind w:firstLine="200"/>
              <w:jc w:val="center"/>
              <w:rPr>
                <w:rFonts w:hint="eastAsia" w:ascii="仿宋" w:hAnsi="仿宋" w:eastAsia="仿宋" w:cs="仿宋"/>
                <w:color w:val="auto"/>
                <w:sz w:val="24"/>
                <w:szCs w:val="24"/>
              </w:rPr>
            </w:pPr>
          </w:p>
        </w:tc>
        <w:tc>
          <w:tcPr>
            <w:tcW w:w="2552" w:type="dxa"/>
            <w:vAlign w:val="center"/>
          </w:tcPr>
          <w:p>
            <w:pPr>
              <w:pStyle w:val="317"/>
              <w:spacing w:line="360" w:lineRule="auto"/>
              <w:ind w:firstLine="20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360" w:lineRule="auto"/>
              <w:ind w:firstLine="200"/>
              <w:jc w:val="center"/>
              <w:rPr>
                <w:rFonts w:hint="eastAsia" w:ascii="仿宋" w:hAnsi="仿宋" w:eastAsia="仿宋" w:cs="仿宋"/>
                <w:color w:val="auto"/>
                <w:sz w:val="24"/>
                <w:szCs w:val="24"/>
              </w:rPr>
            </w:pPr>
            <w:r>
              <w:rPr>
                <w:rFonts w:hint="eastAsia" w:ascii="仿宋" w:hAnsi="仿宋" w:eastAsia="仿宋" w:cs="仿宋"/>
                <w:color w:val="auto"/>
                <w:sz w:val="24"/>
                <w:szCs w:val="24"/>
              </w:rPr>
              <w:t>总价</w:t>
            </w:r>
          </w:p>
        </w:tc>
        <w:tc>
          <w:tcPr>
            <w:tcW w:w="2552" w:type="dxa"/>
            <w:vAlign w:val="center"/>
          </w:tcPr>
          <w:p>
            <w:pPr>
              <w:pStyle w:val="317"/>
              <w:spacing w:line="360" w:lineRule="auto"/>
              <w:ind w:firstLine="200"/>
              <w:jc w:val="center"/>
              <w:rPr>
                <w:rFonts w:hint="eastAsia" w:ascii="仿宋" w:hAnsi="仿宋" w:eastAsia="仿宋" w:cs="仿宋"/>
                <w:color w:val="auto"/>
                <w:sz w:val="24"/>
                <w:szCs w:val="24"/>
              </w:rPr>
            </w:pPr>
          </w:p>
        </w:tc>
      </w:tr>
    </w:tbl>
    <w:p>
      <w:pPr>
        <w:spacing w:line="360" w:lineRule="auto"/>
        <w:ind w:firstLine="480" w:firstLineChars="200"/>
        <w:rPr>
          <w:rFonts w:hint="eastAsia" w:ascii="仿宋" w:hAnsi="仿宋" w:eastAsia="仿宋" w:cs="仿宋"/>
          <w:color w:val="auto"/>
          <w:sz w:val="24"/>
        </w:rPr>
      </w:pPr>
      <w:bookmarkStart w:id="417" w:name="_Toc26916"/>
      <w:bookmarkStart w:id="418" w:name="_Toc14993"/>
      <w:bookmarkStart w:id="419" w:name="_Toc30506"/>
      <w:bookmarkStart w:id="420" w:name="_Toc3654"/>
      <w:bookmarkStart w:id="421" w:name="_Toc30158"/>
      <w:r>
        <w:rPr>
          <w:rFonts w:hint="eastAsia" w:ascii="仿宋" w:hAnsi="仿宋" w:eastAsia="仿宋" w:cs="仿宋"/>
          <w:bCs/>
          <w:color w:val="auto"/>
          <w:sz w:val="24"/>
        </w:rPr>
        <w:t>1.3.2单价合同，本合同单价（含税）标准为：</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。服务工作量的计量方式为：</w:t>
      </w:r>
      <w:r>
        <w:rPr>
          <w:rFonts w:hint="eastAsia" w:ascii="仿宋" w:hAnsi="仿宋" w:eastAsia="仿宋" w:cs="仿宋"/>
          <w:bCs/>
          <w:color w:val="auto"/>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bCs/>
          <w:color w:val="auto"/>
          <w:sz w:val="24"/>
          <w:u w:val="single"/>
        </w:rPr>
        <w:t xml:space="preserve">     </w:t>
      </w:r>
      <w:r>
        <w:rPr>
          <w:rFonts w:hint="eastAsia" w:ascii="仿宋" w:hAnsi="仿宋" w:eastAsia="仿宋" w:cs="仿宋"/>
          <w:color w:val="auto"/>
          <w:sz w:val="24"/>
        </w:rPr>
        <w:t>。单价合同，在合同履行期间内，根据实际完成的工作量据实结算，但结算总价上限不得超过预算金额或者双方确定的金额￥</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元人民币）。</w:t>
      </w:r>
    </w:p>
    <w:p>
      <w:pPr>
        <w:pStyle w:val="4"/>
        <w:spacing w:line="360" w:lineRule="auto"/>
        <w:rPr>
          <w:rFonts w:hint="eastAsia" w:ascii="仿宋" w:hAnsi="仿宋" w:eastAsia="仿宋" w:cs="仿宋"/>
          <w:color w:val="auto"/>
          <w:lang w:val="en-US"/>
        </w:rPr>
      </w:pPr>
      <w:r>
        <w:rPr>
          <w:rFonts w:hint="eastAsia" w:ascii="仿宋" w:hAnsi="仿宋" w:eastAsia="仿宋" w:cs="仿宋"/>
          <w:color w:val="auto"/>
          <w:sz w:val="24"/>
          <w:lang w:val="en-US"/>
        </w:rPr>
        <w:t xml:space="preserve">    </w:t>
      </w:r>
      <w:r>
        <w:rPr>
          <w:rFonts w:hint="eastAsia" w:ascii="仿宋" w:hAnsi="仿宋" w:eastAsia="仿宋" w:cs="仿宋"/>
          <w:b w:val="0"/>
          <w:bCs w:val="0"/>
          <w:color w:val="auto"/>
          <w:sz w:val="24"/>
          <w:lang w:val="en-US"/>
        </w:rPr>
        <w:t>1.3.3其他计价方式：</w:t>
      </w:r>
      <w:r>
        <w:rPr>
          <w:rFonts w:hint="eastAsia" w:ascii="仿宋" w:hAnsi="仿宋" w:eastAsia="仿宋" w:cs="仿宋"/>
          <w:b w:val="0"/>
          <w:bCs w:val="0"/>
          <w:color w:val="auto"/>
          <w:sz w:val="24"/>
          <w:u w:val="single"/>
          <w:lang w:val="en-US"/>
        </w:rPr>
        <w:t xml:space="preserve">                   </w:t>
      </w:r>
      <w:r>
        <w:rPr>
          <w:rFonts w:hint="eastAsia" w:ascii="仿宋" w:hAnsi="仿宋" w:eastAsia="仿宋" w:cs="仿宋"/>
          <w:b w:val="0"/>
          <w:bCs w:val="0"/>
          <w:color w:val="auto"/>
          <w:sz w:val="24"/>
        </w:rPr>
        <w:t>。</w:t>
      </w:r>
    </w:p>
    <w:bookmarkEnd w:id="417"/>
    <w:bookmarkEnd w:id="418"/>
    <w:bookmarkEnd w:id="419"/>
    <w:bookmarkEnd w:id="420"/>
    <w:bookmarkEnd w:id="421"/>
    <w:p>
      <w:pPr>
        <w:pStyle w:val="957"/>
        <w:spacing w:before="0" w:beforeAutospacing="0" w:after="0" w:afterAutospacing="0" w:line="360" w:lineRule="auto"/>
        <w:ind w:firstLine="480"/>
        <w:rPr>
          <w:rFonts w:hint="eastAsia" w:ascii="仿宋" w:hAnsi="仿宋" w:eastAsia="仿宋" w:cs="仿宋"/>
          <w:b/>
          <w:color w:val="auto"/>
        </w:rPr>
      </w:pPr>
      <w:bookmarkStart w:id="422" w:name="_Toc1814"/>
      <w:bookmarkStart w:id="423" w:name="_Toc10340"/>
      <w:bookmarkStart w:id="424" w:name="_Toc22618"/>
      <w:bookmarkStart w:id="425" w:name="_Toc8772"/>
      <w:bookmarkStart w:id="426" w:name="_Toc3625"/>
      <w:bookmarkStart w:id="427" w:name="_Toc4760"/>
      <w:bookmarkStart w:id="428" w:name="_Toc11108"/>
      <w:bookmarkStart w:id="429" w:name="_Toc31421"/>
      <w:r>
        <w:rPr>
          <w:rFonts w:hint="eastAsia" w:ascii="仿宋" w:hAnsi="仿宋" w:eastAsia="仿宋" w:cs="仿宋"/>
          <w:b/>
          <w:color w:val="auto"/>
        </w:rPr>
        <w:t>1.4履约保证金</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乙方</w:t>
      </w:r>
      <w:r>
        <w:rPr>
          <w:rFonts w:hint="eastAsia" w:ascii="仿宋" w:hAnsi="仿宋" w:eastAsia="仿宋" w:cs="仿宋"/>
          <w:color w:val="auto"/>
          <w:u w:val="single"/>
        </w:rPr>
        <w:t xml:space="preserve">     </w:t>
      </w:r>
      <w:r>
        <w:rPr>
          <w:rFonts w:hint="eastAsia" w:ascii="仿宋" w:hAnsi="仿宋" w:eastAsia="仿宋" w:cs="仿宋"/>
          <w:color w:val="auto"/>
        </w:rPr>
        <w:t>（是/否）需要支付履约保证金。若需要支付履约保证金的，则：</w:t>
      </w:r>
    </w:p>
    <w:p>
      <w:pPr>
        <w:spacing w:line="360" w:lineRule="auto"/>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1.4.1履约保证金的比例为合同金额的</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spacing w:line="360" w:lineRule="auto"/>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1.4.2履约保证金支付方式详见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4"/>
        <w:tabs>
          <w:tab w:val="left" w:pos="0"/>
        </w:tabs>
        <w:spacing w:line="360" w:lineRule="auto"/>
        <w:ind w:left="0" w:firstLine="480" w:firstLineChars="200"/>
        <w:rPr>
          <w:rFonts w:hint="eastAsia" w:ascii="仿宋" w:hAnsi="仿宋" w:eastAsia="仿宋" w:cs="仿宋"/>
          <w:color w:val="auto"/>
          <w:lang w:val="en-US"/>
        </w:rPr>
      </w:pPr>
      <w:r>
        <w:rPr>
          <w:rFonts w:hint="eastAsia" w:ascii="仿宋" w:hAnsi="仿宋" w:eastAsia="仿宋" w:cs="仿宋"/>
          <w:b w:val="0"/>
          <w:bCs w:val="0"/>
          <w:color w:val="auto"/>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hint="eastAsia" w:ascii="仿宋" w:hAnsi="仿宋" w:eastAsia="仿宋" w:cs="仿宋"/>
          <w:color w:val="auto"/>
          <w:kern w:val="0"/>
          <w:sz w:val="24"/>
        </w:rPr>
      </w:pPr>
      <w:r>
        <w:rPr>
          <w:rFonts w:hint="eastAsia" w:ascii="仿宋" w:hAnsi="仿宋" w:eastAsia="仿宋" w:cs="仿宋"/>
          <w:color w:val="auto"/>
          <w:kern w:val="0"/>
          <w:sz w:val="24"/>
        </w:rPr>
        <w:t>1.4.4甲方在项目验收结束后及时退还履约保证金。甲方在项目通过验收之日起</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u w:val="single"/>
        </w:rPr>
        <w:t xml:space="preserve">  0.05（可根据情况修改）  </w:t>
      </w:r>
      <w:r>
        <w:rPr>
          <w:rFonts w:hint="eastAsia" w:ascii="仿宋" w:hAnsi="仿宋" w:eastAsia="仿宋" w:cs="仿宋"/>
          <w:color w:val="auto"/>
          <w:kern w:val="0"/>
          <w:sz w:val="24"/>
        </w:rPr>
        <w:t>%计算，最高限额为本合同履约保证金的</w:t>
      </w:r>
      <w:r>
        <w:rPr>
          <w:rFonts w:hint="eastAsia" w:ascii="仿宋" w:hAnsi="仿宋" w:eastAsia="仿宋" w:cs="仿宋"/>
          <w:color w:val="auto"/>
          <w:kern w:val="0"/>
          <w:sz w:val="24"/>
          <w:u w:val="single"/>
        </w:rPr>
        <w:t xml:space="preserve">  20  </w:t>
      </w:r>
      <w:r>
        <w:rPr>
          <w:rFonts w:hint="eastAsia" w:ascii="仿宋" w:hAnsi="仿宋" w:eastAsia="仿宋" w:cs="仿宋"/>
          <w:color w:val="auto"/>
          <w:kern w:val="0"/>
          <w:sz w:val="24"/>
        </w:rPr>
        <w:t xml:space="preserve"> %。</w:t>
      </w:r>
    </w:p>
    <w:p>
      <w:pPr>
        <w:spacing w:line="360" w:lineRule="auto"/>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1.5</w:t>
      </w:r>
      <w:bookmarkEnd w:id="422"/>
      <w:bookmarkEnd w:id="423"/>
      <w:bookmarkEnd w:id="424"/>
      <w:r>
        <w:rPr>
          <w:rFonts w:hint="eastAsia" w:ascii="仿宋" w:hAnsi="仿宋" w:eastAsia="仿宋" w:cs="仿宋"/>
          <w:b/>
          <w:color w:val="auto"/>
          <w:sz w:val="24"/>
        </w:rPr>
        <w:t>预付款</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甲方</w:t>
      </w:r>
      <w:r>
        <w:rPr>
          <w:rFonts w:hint="eastAsia" w:ascii="仿宋" w:hAnsi="仿宋" w:eastAsia="仿宋" w:cs="仿宋"/>
          <w:color w:val="auto"/>
          <w:u w:val="single"/>
        </w:rPr>
        <w:t xml:space="preserve">     </w:t>
      </w:r>
      <w:r>
        <w:rPr>
          <w:rFonts w:hint="eastAsia" w:ascii="仿宋" w:hAnsi="仿宋" w:eastAsia="仿宋" w:cs="仿宋"/>
          <w:color w:val="auto"/>
        </w:rPr>
        <w:t>（是/否）需要支付预付款。若需要支付预付款的，则：</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1.5.1预付款比例、支付方式、时间详见</w:t>
      </w:r>
      <w:r>
        <w:rPr>
          <w:rFonts w:hint="eastAsia" w:ascii="仿宋" w:hAnsi="仿宋" w:eastAsia="仿宋" w:cs="仿宋"/>
          <w:color w:val="auto"/>
          <w:kern w:val="0"/>
          <w:sz w:val="24"/>
          <w:u w:val="single"/>
        </w:rPr>
        <w:t xml:space="preserve">    </w:t>
      </w:r>
      <w:r>
        <w:rPr>
          <w:rFonts w:hint="eastAsia" w:ascii="仿宋" w:hAnsi="仿宋" w:eastAsia="仿宋" w:cs="仿宋"/>
          <w:b/>
          <w:i/>
          <w:color w:val="auto"/>
          <w:sz w:val="24"/>
          <w:u w:val="single"/>
        </w:rPr>
        <w:t>合同专用条款</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1.5.2预付款的扣回方式详见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7"/>
        <w:spacing w:before="0" w:beforeAutospacing="0" w:after="0" w:afterAutospacing="0" w:line="360" w:lineRule="auto"/>
        <w:ind w:firstLine="480"/>
        <w:rPr>
          <w:rFonts w:hint="eastAsia" w:ascii="仿宋" w:hAnsi="仿宋" w:eastAsia="仿宋" w:cs="仿宋"/>
          <w:color w:val="auto"/>
          <w:u w:val="single"/>
        </w:rPr>
      </w:pPr>
      <w:r>
        <w:rPr>
          <w:rFonts w:hint="eastAsia" w:ascii="仿宋" w:hAnsi="仿宋" w:eastAsia="仿宋" w:cs="仿宋"/>
          <w:color w:val="auto"/>
        </w:rPr>
        <w:t>1.5.3预付款的担保措施详见</w:t>
      </w:r>
      <w:r>
        <w:rPr>
          <w:rFonts w:hint="eastAsia" w:ascii="仿宋" w:hAnsi="仿宋" w:eastAsia="仿宋" w:cs="仿宋"/>
          <w:color w:val="auto"/>
          <w:u w:val="single"/>
        </w:rPr>
        <w:t xml:space="preserve">    </w:t>
      </w:r>
      <w:r>
        <w:rPr>
          <w:rFonts w:hint="eastAsia" w:ascii="仿宋" w:hAnsi="仿宋" w:eastAsia="仿宋" w:cs="仿宋"/>
          <w:b/>
          <w:i/>
          <w:color w:val="auto"/>
          <w:u w:val="single"/>
        </w:rPr>
        <w:t>合同专用条款</w:t>
      </w:r>
      <w:r>
        <w:rPr>
          <w:rFonts w:hint="eastAsia" w:ascii="仿宋" w:hAnsi="仿宋" w:eastAsia="仿宋" w:cs="仿宋"/>
          <w:color w:val="auto"/>
          <w:u w:val="single"/>
        </w:rPr>
        <w:t xml:space="preserve">          </w:t>
      </w:r>
      <w:r>
        <w:rPr>
          <w:rFonts w:hint="eastAsia" w:ascii="仿宋" w:hAnsi="仿宋" w:eastAsia="仿宋" w:cs="仿宋"/>
          <w:color w:val="auto"/>
        </w:rPr>
        <w:t>。</w:t>
      </w:r>
    </w:p>
    <w:p>
      <w:pPr>
        <w:pStyle w:val="957"/>
        <w:spacing w:before="0" w:beforeAutospacing="0" w:after="0" w:afterAutospacing="0" w:line="360" w:lineRule="auto"/>
        <w:ind w:firstLine="480"/>
        <w:rPr>
          <w:rFonts w:hint="eastAsia" w:ascii="仿宋" w:hAnsi="仿宋" w:eastAsia="仿宋" w:cs="仿宋"/>
          <w:b/>
          <w:bCs/>
          <w:color w:val="auto"/>
        </w:rPr>
      </w:pPr>
      <w:r>
        <w:rPr>
          <w:rFonts w:hint="eastAsia" w:ascii="仿宋" w:hAnsi="仿宋" w:eastAsia="仿宋" w:cs="仿宋"/>
          <w:b/>
          <w:bCs/>
          <w:color w:val="auto"/>
        </w:rPr>
        <w:t>1.6资金支付</w:t>
      </w:r>
    </w:p>
    <w:p>
      <w:pPr>
        <w:pStyle w:val="957"/>
        <w:spacing w:before="0" w:beforeAutospacing="0" w:after="0" w:afterAutospacing="0" w:line="360" w:lineRule="auto"/>
        <w:ind w:firstLine="480"/>
        <w:rPr>
          <w:rFonts w:hint="eastAsia" w:ascii="仿宋" w:hAnsi="仿宋" w:eastAsia="仿宋" w:cs="仿宋"/>
          <w:color w:val="auto"/>
        </w:rPr>
      </w:pPr>
      <w:r>
        <w:rPr>
          <w:rFonts w:hint="eastAsia" w:ascii="仿宋" w:hAnsi="仿宋" w:eastAsia="仿宋" w:cs="仿宋"/>
          <w:color w:val="auto"/>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360" w:lineRule="auto"/>
        <w:ind w:firstLine="480" w:firstLineChars="200"/>
        <w:outlineLvl w:val="0"/>
        <w:rPr>
          <w:rFonts w:hint="eastAsia" w:ascii="仿宋" w:hAnsi="仿宋" w:eastAsia="仿宋" w:cs="仿宋"/>
          <w:color w:val="auto"/>
          <w:sz w:val="24"/>
        </w:rPr>
      </w:pPr>
      <w:r>
        <w:rPr>
          <w:rFonts w:hint="eastAsia" w:ascii="仿宋" w:hAnsi="仿宋" w:eastAsia="仿宋" w:cs="仿宋"/>
          <w:color w:val="auto"/>
          <w:sz w:val="24"/>
        </w:rPr>
        <w:t>1.6.2资金支付的方式、时间和条件详见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2" w:firstLineChars="200"/>
        <w:outlineLvl w:val="0"/>
        <w:rPr>
          <w:rFonts w:hint="eastAsia" w:ascii="仿宋" w:hAnsi="仿宋" w:eastAsia="仿宋" w:cs="仿宋"/>
          <w:b/>
          <w:color w:val="auto"/>
          <w:sz w:val="24"/>
        </w:rPr>
      </w:pPr>
      <w:r>
        <w:rPr>
          <w:rFonts w:hint="eastAsia" w:ascii="仿宋" w:hAnsi="仿宋" w:eastAsia="仿宋" w:cs="仿宋"/>
          <w:b/>
          <w:color w:val="auto"/>
          <w:sz w:val="24"/>
        </w:rPr>
        <w:t>1.7 履行期限、地点和方式</w:t>
      </w:r>
      <w:bookmarkEnd w:id="425"/>
      <w:bookmarkEnd w:id="426"/>
      <w:bookmarkEnd w:id="427"/>
      <w:bookmarkEnd w:id="428"/>
      <w:bookmarkEnd w:id="429"/>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1.7.1 服务交付（实施）的时间（期限）：</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1.7.2 服务交付（实施）的地点（地域范围）：</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1.7.3 服务交付（实施）的方式：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0" w:firstLineChars="200"/>
        <w:outlineLvl w:val="0"/>
        <w:rPr>
          <w:rFonts w:hint="eastAsia" w:ascii="仿宋" w:hAnsi="仿宋" w:eastAsia="仿宋" w:cs="仿宋"/>
          <w:bCs/>
          <w:color w:val="auto"/>
          <w:sz w:val="24"/>
        </w:rPr>
      </w:pPr>
      <w:bookmarkStart w:id="430" w:name="_Toc24662"/>
      <w:bookmarkStart w:id="431" w:name="_Toc3079"/>
      <w:bookmarkStart w:id="432" w:name="_Toc5698"/>
      <w:bookmarkStart w:id="433" w:name="_Toc8586"/>
      <w:bookmarkStart w:id="434" w:name="_Toc2375"/>
      <w:r>
        <w:rPr>
          <w:rFonts w:hint="eastAsia" w:ascii="仿宋" w:hAnsi="仿宋" w:eastAsia="仿宋" w:cs="仿宋"/>
          <w:bCs/>
          <w:color w:val="auto"/>
          <w:sz w:val="24"/>
        </w:rPr>
        <w:t>1.7.4若服务涉及货物的，则货物的：</w:t>
      </w:r>
    </w:p>
    <w:p>
      <w:pPr>
        <w:spacing w:line="360"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rPr>
        <w:t>1.7.4.1 交付期限：详见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1.7.4.2 交付地点：</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1.7.4.3 交付方式：</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2" w:firstLineChars="200"/>
        <w:outlineLvl w:val="0"/>
        <w:rPr>
          <w:rFonts w:hint="eastAsia" w:ascii="仿宋" w:hAnsi="仿宋" w:eastAsia="仿宋" w:cs="仿宋"/>
          <w:color w:val="auto"/>
          <w:sz w:val="24"/>
          <w:u w:val="single"/>
        </w:rPr>
      </w:pPr>
      <w:r>
        <w:rPr>
          <w:rFonts w:hint="eastAsia" w:ascii="仿宋" w:hAnsi="仿宋" w:eastAsia="仿宋" w:cs="仿宋"/>
          <w:b/>
          <w:color w:val="auto"/>
          <w:sz w:val="24"/>
        </w:rPr>
        <w:t>1.8违约责任</w:t>
      </w:r>
      <w:bookmarkEnd w:id="430"/>
      <w:bookmarkEnd w:id="431"/>
      <w:bookmarkEnd w:id="432"/>
      <w:bookmarkEnd w:id="433"/>
      <w:bookmarkEnd w:id="434"/>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u w:val="single"/>
        </w:rPr>
        <w:t xml:space="preserve">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   </w:t>
      </w:r>
      <w:r>
        <w:rPr>
          <w:rFonts w:hint="eastAsia" w:ascii="仿宋" w:hAnsi="仿宋" w:eastAsia="仿宋" w:cs="仿宋"/>
          <w:color w:val="auto"/>
          <w:sz w:val="24"/>
        </w:rPr>
        <w:t>%；迟延履行的违约金计算数额达到前述最高限额之日起，甲方有权在要求乙方支付违约金的同时，书面通知乙方解除本合同；</w:t>
      </w:r>
    </w:p>
    <w:p>
      <w:pPr>
        <w:pStyle w:val="4"/>
        <w:spacing w:line="360" w:lineRule="auto"/>
        <w:ind w:left="0" w:firstLine="480" w:firstLineChars="200"/>
        <w:rPr>
          <w:rFonts w:hint="eastAsia" w:ascii="仿宋" w:hAnsi="仿宋" w:eastAsia="仿宋" w:cs="仿宋"/>
          <w:b w:val="0"/>
          <w:bCs w:val="0"/>
          <w:color w:val="auto"/>
          <w:sz w:val="24"/>
          <w:szCs w:val="24"/>
          <w:lang w:val="en-US"/>
        </w:rPr>
      </w:pPr>
      <w:r>
        <w:rPr>
          <w:rFonts w:hint="eastAsia" w:ascii="仿宋" w:hAnsi="仿宋" w:eastAsia="仿宋" w:cs="仿宋"/>
          <w:b w:val="0"/>
          <w:bCs w:val="0"/>
          <w:color w:val="auto"/>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u w:val="single"/>
          <w:lang w:val="en-US"/>
        </w:rPr>
        <w:t xml:space="preserve">  0.0</w:t>
      </w:r>
      <w:r>
        <w:rPr>
          <w:rFonts w:hint="eastAsia" w:ascii="仿宋" w:hAnsi="仿宋" w:eastAsia="仿宋" w:cs="仿宋"/>
          <w:b w:val="0"/>
          <w:bCs w:val="0"/>
          <w:color w:val="auto"/>
          <w:sz w:val="24"/>
          <w:szCs w:val="24"/>
          <w:lang w:val="en-US"/>
        </w:rPr>
        <w:t xml:space="preserve">5（可根据情况修改） </w:t>
      </w:r>
      <w:r>
        <w:rPr>
          <w:rFonts w:hint="eastAsia" w:ascii="仿宋" w:hAnsi="仿宋" w:eastAsia="仿宋" w:cs="仿宋"/>
          <w:b w:val="0"/>
          <w:bCs w:val="0"/>
          <w:color w:val="auto"/>
          <w:sz w:val="24"/>
          <w:szCs w:val="24"/>
          <w:u w:val="single"/>
          <w:lang w:val="en-US"/>
        </w:rPr>
        <w:t xml:space="preserve">  </w:t>
      </w:r>
      <w:r>
        <w:rPr>
          <w:rFonts w:hint="eastAsia" w:ascii="仿宋" w:hAnsi="仿宋" w:eastAsia="仿宋" w:cs="仿宋"/>
          <w:b w:val="0"/>
          <w:bCs w:val="0"/>
          <w:color w:val="auto"/>
          <w:sz w:val="24"/>
          <w:szCs w:val="24"/>
          <w:lang w:val="en-US"/>
        </w:rPr>
        <w:t>%计算，最高限额为本合同总价的</w:t>
      </w:r>
      <w:r>
        <w:rPr>
          <w:rFonts w:hint="eastAsia" w:ascii="仿宋" w:hAnsi="仿宋" w:eastAsia="仿宋" w:cs="仿宋"/>
          <w:b w:val="0"/>
          <w:bCs w:val="0"/>
          <w:color w:val="auto"/>
          <w:sz w:val="24"/>
          <w:szCs w:val="24"/>
          <w:u w:val="single"/>
          <w:lang w:val="en-US"/>
        </w:rPr>
        <w:t xml:space="preserve">  20  </w:t>
      </w:r>
      <w:r>
        <w:rPr>
          <w:rFonts w:hint="eastAsia" w:ascii="仿宋" w:hAnsi="仿宋" w:eastAsia="仿宋" w:cs="仿宋"/>
          <w:b w:val="0"/>
          <w:bCs w:val="0"/>
          <w:color w:val="auto"/>
          <w:sz w:val="24"/>
          <w:szCs w:val="24"/>
          <w:lang w:val="en-US"/>
        </w:rPr>
        <w:t>%；迟延交付货物的违约金计算数额达到前述最高限额之日起，甲方有权在要求乙方支付违约金的同时，书面通知乙方解除本合同；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u w:val="single"/>
        </w:rPr>
        <w:t xml:space="preserve">   0.05   </w:t>
      </w:r>
      <w:r>
        <w:rPr>
          <w:rFonts w:hint="eastAsia" w:ascii="仿宋" w:hAnsi="仿宋" w:eastAsia="仿宋" w:cs="仿宋"/>
          <w:color w:val="auto"/>
          <w:sz w:val="24"/>
        </w:rPr>
        <w:t>%计算，最高限额为本合同总价的</w:t>
      </w:r>
      <w:r>
        <w:rPr>
          <w:rFonts w:hint="eastAsia" w:ascii="仿宋" w:hAnsi="仿宋" w:eastAsia="仿宋" w:cs="仿宋"/>
          <w:color w:val="auto"/>
          <w:sz w:val="24"/>
          <w:u w:val="single"/>
        </w:rPr>
        <w:t xml:space="preserve">   20</w:t>
      </w:r>
      <w:r>
        <w:rPr>
          <w:rFonts w:hint="eastAsia" w:ascii="仿宋" w:hAnsi="仿宋" w:eastAsia="仿宋" w:cs="仿宋"/>
          <w:color w:val="auto"/>
          <w:kern w:val="0"/>
          <w:sz w:val="24"/>
          <w:u w:val="single"/>
        </w:rPr>
        <w:t>（可根据情况修改）</w:t>
      </w:r>
      <w:r>
        <w:rPr>
          <w:rFonts w:hint="eastAsia" w:ascii="仿宋" w:hAnsi="仿宋" w:eastAsia="仿宋" w:cs="仿宋"/>
          <w:color w:val="auto"/>
          <w:sz w:val="24"/>
          <w:u w:val="single"/>
        </w:rPr>
        <w:t xml:space="preserve">   </w:t>
      </w:r>
      <w:r>
        <w:rPr>
          <w:rFonts w:hint="eastAsia" w:ascii="仿宋" w:hAnsi="仿宋" w:eastAsia="仿宋" w:cs="仿宋"/>
          <w:color w:val="auto"/>
          <w:sz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 w:hAnsi="仿宋" w:eastAsia="仿宋" w:cs="仿宋"/>
          <w:color w:val="auto"/>
          <w:sz w:val="24"/>
        </w:rPr>
      </w:pPr>
      <w:bookmarkStart w:id="435" w:name="_Toc32454"/>
      <w:bookmarkStart w:id="436" w:name="_Toc18683"/>
      <w:bookmarkStart w:id="437" w:name="_Toc26807"/>
      <w:bookmarkStart w:id="438" w:name="_Toc30329"/>
      <w:bookmarkStart w:id="439" w:name="_Toc9497"/>
      <w:r>
        <w:rPr>
          <w:rFonts w:hint="eastAsia" w:ascii="仿宋" w:hAnsi="仿宋" w:eastAsia="仿宋" w:cs="仿宋"/>
          <w:color w:val="auto"/>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1.8.7违约责任</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另有约定的，从其约定。</w:t>
      </w:r>
    </w:p>
    <w:bookmarkEnd w:id="435"/>
    <w:bookmarkEnd w:id="436"/>
    <w:bookmarkEnd w:id="437"/>
    <w:bookmarkEnd w:id="438"/>
    <w:bookmarkEnd w:id="439"/>
    <w:p>
      <w:pPr>
        <w:spacing w:line="360" w:lineRule="auto"/>
        <w:ind w:firstLine="482" w:firstLineChars="200"/>
        <w:outlineLvl w:val="0"/>
        <w:rPr>
          <w:rFonts w:hint="eastAsia" w:ascii="仿宋" w:hAnsi="仿宋" w:eastAsia="仿宋" w:cs="仿宋"/>
          <w:b/>
          <w:color w:val="auto"/>
          <w:sz w:val="24"/>
        </w:rPr>
      </w:pPr>
      <w:bookmarkStart w:id="440" w:name="_Toc15583"/>
      <w:bookmarkStart w:id="441" w:name="_Toc16021"/>
      <w:bookmarkStart w:id="442" w:name="_Toc28375"/>
      <w:r>
        <w:rPr>
          <w:rFonts w:hint="eastAsia" w:ascii="仿宋" w:hAnsi="仿宋" w:eastAsia="仿宋" w:cs="仿宋"/>
          <w:b/>
          <w:color w:val="auto"/>
          <w:sz w:val="24"/>
        </w:rPr>
        <w:t>1.9合同争议的解决</w:t>
      </w:r>
      <w:bookmarkEnd w:id="440"/>
      <w:bookmarkEnd w:id="441"/>
      <w:bookmarkEnd w:id="442"/>
    </w:p>
    <w:p>
      <w:pPr>
        <w:spacing w:line="360" w:lineRule="auto"/>
        <w:ind w:left="-61" w:leftChars="-29" w:right="-420" w:rightChars="-200" w:firstLine="240" w:firstLineChars="100"/>
        <w:rPr>
          <w:rFonts w:hint="eastAsia" w:ascii="仿宋" w:hAnsi="仿宋" w:eastAsia="仿宋" w:cs="仿宋"/>
          <w:color w:val="auto"/>
          <w:sz w:val="24"/>
        </w:rPr>
      </w:pPr>
      <w:r>
        <w:rPr>
          <w:rFonts w:hint="eastAsia" w:ascii="仿宋" w:hAnsi="仿宋" w:eastAsia="仿宋" w:cs="仿宋"/>
          <w:color w:val="auto"/>
          <w:sz w:val="24"/>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u w:val="single"/>
        </w:rPr>
        <w:t xml:space="preserve">      </w:t>
      </w:r>
      <w:r>
        <w:rPr>
          <w:rFonts w:hint="eastAsia" w:ascii="仿宋" w:hAnsi="仿宋" w:eastAsia="仿宋" w:cs="仿宋"/>
          <w:color w:val="auto"/>
          <w:sz w:val="24"/>
        </w:rPr>
        <w:t>条款规定的方式解决：</w:t>
      </w:r>
    </w:p>
    <w:p>
      <w:pPr>
        <w:spacing w:line="360" w:lineRule="auto"/>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1.9.1 将争议提交</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仲裁委员会依申请仲裁时其现行有效的仲裁规则裁决；</w:t>
      </w:r>
    </w:p>
    <w:p>
      <w:pPr>
        <w:spacing w:line="360" w:lineRule="auto"/>
        <w:ind w:left="-420" w:leftChars="-200" w:right="-420" w:rightChars="-200" w:firstLine="600" w:firstLineChars="250"/>
        <w:rPr>
          <w:rFonts w:hint="eastAsia" w:ascii="仿宋" w:hAnsi="仿宋" w:eastAsia="仿宋" w:cs="仿宋"/>
          <w:color w:val="auto"/>
          <w:sz w:val="24"/>
        </w:rPr>
      </w:pPr>
      <w:r>
        <w:rPr>
          <w:rFonts w:hint="eastAsia" w:ascii="仿宋" w:hAnsi="仿宋" w:eastAsia="仿宋" w:cs="仿宋"/>
          <w:color w:val="auto"/>
          <w:sz w:val="24"/>
        </w:rPr>
        <w:t>1.9.2 向</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人民法院起诉。</w:t>
      </w:r>
    </w:p>
    <w:p>
      <w:pPr>
        <w:spacing w:line="360" w:lineRule="auto"/>
        <w:ind w:firstLine="482" w:firstLineChars="200"/>
        <w:outlineLvl w:val="0"/>
        <w:rPr>
          <w:rFonts w:hint="eastAsia" w:ascii="仿宋" w:hAnsi="仿宋" w:eastAsia="仿宋" w:cs="仿宋"/>
          <w:b/>
          <w:color w:val="auto"/>
          <w:sz w:val="24"/>
        </w:rPr>
      </w:pPr>
      <w:bookmarkStart w:id="443" w:name="_Toc7245"/>
      <w:bookmarkStart w:id="444" w:name="_Toc15322"/>
      <w:bookmarkStart w:id="445" w:name="_Toc11173"/>
      <w:r>
        <w:rPr>
          <w:rFonts w:hint="eastAsia" w:ascii="仿宋" w:hAnsi="仿宋" w:eastAsia="仿宋" w:cs="仿宋"/>
          <w:b/>
          <w:color w:val="auto"/>
          <w:sz w:val="24"/>
        </w:rPr>
        <w:t>2.0 合同生效</w:t>
      </w:r>
      <w:bookmarkEnd w:id="443"/>
      <w:bookmarkEnd w:id="444"/>
      <w:bookmarkEnd w:id="445"/>
    </w:p>
    <w:p>
      <w:pPr>
        <w:spacing w:line="360"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本合同自双方当事人盖章签字时生效。</w:t>
      </w:r>
    </w:p>
    <w:p>
      <w:pPr>
        <w:autoSpaceDE w:val="0"/>
        <w:autoSpaceDN w:val="0"/>
        <w:spacing w:line="360" w:lineRule="auto"/>
        <w:rPr>
          <w:rFonts w:hint="eastAsia" w:ascii="仿宋" w:hAnsi="仿宋" w:eastAsia="仿宋" w:cs="仿宋"/>
          <w:color w:val="auto"/>
          <w:sz w:val="24"/>
          <w:lang w:val="zh-CN"/>
        </w:rPr>
      </w:pP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b/>
          <w:color w:val="auto"/>
          <w:sz w:val="24"/>
          <w:lang w:val="zh-CN"/>
        </w:rPr>
        <w:t>甲方</w:t>
      </w:r>
      <w:r>
        <w:rPr>
          <w:rFonts w:hint="eastAsia" w:ascii="仿宋" w:hAnsi="仿宋" w:eastAsia="仿宋" w:cs="仿宋"/>
          <w:color w:val="auto"/>
          <w:sz w:val="24"/>
          <w:lang w:val="zh-CN"/>
        </w:rPr>
        <w:t xml:space="preserve">：                             </w:t>
      </w:r>
      <w:r>
        <w:rPr>
          <w:rFonts w:hint="eastAsia" w:ascii="仿宋" w:hAnsi="仿宋" w:eastAsia="仿宋" w:cs="仿宋"/>
          <w:b/>
          <w:color w:val="auto"/>
          <w:sz w:val="24"/>
          <w:lang w:val="zh-CN"/>
        </w:rPr>
        <w:t xml:space="preserve">      乙方</w:t>
      </w:r>
      <w:r>
        <w:rPr>
          <w:rFonts w:hint="eastAsia" w:ascii="仿宋" w:hAnsi="仿宋" w:eastAsia="仿宋" w:cs="仿宋"/>
          <w:color w:val="auto"/>
          <w:sz w:val="24"/>
          <w:lang w:val="zh-CN"/>
        </w:rPr>
        <w:t>：</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统一社会信用代码：                        统一社会信用代码或身份证号码：</w:t>
      </w:r>
    </w:p>
    <w:p>
      <w:pPr>
        <w:autoSpaceDE w:val="0"/>
        <w:autoSpaceDN w:val="0"/>
        <w:spacing w:line="360" w:lineRule="auto"/>
        <w:rPr>
          <w:rFonts w:hint="eastAsia" w:ascii="仿宋" w:hAnsi="仿宋" w:eastAsia="仿宋" w:cs="仿宋"/>
          <w:color w:val="auto"/>
          <w:sz w:val="24"/>
          <w:lang w:val="zh-CN"/>
        </w:rPr>
      </w:pP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住所：                                   住所：</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法定代表人或                             法定代表人或</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授权代表（签字）：                       授权代表（签字）: </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联系人：                                 联系人：</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约定送达地址：                           约定送达地址：</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邮政编码：                               邮政编码：</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电话:                                    电话: </w:t>
      </w:r>
    </w:p>
    <w:p>
      <w:pPr>
        <w:autoSpaceDE w:val="0"/>
        <w:autoSpaceDN w:val="0"/>
        <w:spacing w:line="360" w:lineRule="auto"/>
        <w:rPr>
          <w:rFonts w:hint="eastAsia" w:ascii="仿宋" w:hAnsi="仿宋" w:eastAsia="仿宋" w:cs="仿宋"/>
          <w:color w:val="auto"/>
          <w:sz w:val="24"/>
          <w:lang w:val="zh-CN"/>
        </w:rPr>
      </w:pPr>
      <w:r>
        <w:rPr>
          <w:rFonts w:hint="eastAsia" w:ascii="仿宋" w:hAnsi="仿宋" w:eastAsia="仿宋" w:cs="仿宋"/>
          <w:color w:val="auto"/>
          <w:sz w:val="24"/>
          <w:lang w:val="zh-CN"/>
        </w:rPr>
        <w:t>传真:                                    传真:</w:t>
      </w:r>
    </w:p>
    <w:p>
      <w:pPr>
        <w:autoSpaceDE w:val="0"/>
        <w:autoSpaceDN w:val="0"/>
        <w:spacing w:line="360" w:lineRule="auto"/>
        <w:rPr>
          <w:rFonts w:hint="eastAsia" w:ascii="仿宋" w:hAnsi="仿宋" w:eastAsia="仿宋" w:cs="仿宋"/>
          <w:color w:val="auto"/>
          <w:sz w:val="24"/>
        </w:rPr>
      </w:pPr>
      <w:r>
        <w:rPr>
          <w:rFonts w:hint="eastAsia" w:ascii="仿宋" w:hAnsi="仿宋" w:eastAsia="仿宋" w:cs="仿宋"/>
          <w:color w:val="auto"/>
          <w:sz w:val="24"/>
          <w:lang w:val="zh-CN"/>
        </w:rPr>
        <w:t>电子邮箱：                               电子邮箱：</w:t>
      </w:r>
    </w:p>
    <w:p>
      <w:pPr>
        <w:autoSpaceDE w:val="0"/>
        <w:autoSpaceDN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开户银行：                               开户银行： </w:t>
      </w:r>
    </w:p>
    <w:p>
      <w:pPr>
        <w:autoSpaceDE w:val="0"/>
        <w:autoSpaceDN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开户名称：                               开户名称： </w:t>
      </w:r>
    </w:p>
    <w:p>
      <w:pPr>
        <w:autoSpaceDE w:val="0"/>
        <w:autoSpaceDN w:val="0"/>
        <w:spacing w:line="360" w:lineRule="auto"/>
        <w:rPr>
          <w:rFonts w:hint="eastAsia" w:ascii="仿宋" w:hAnsi="仿宋" w:eastAsia="仿宋" w:cs="仿宋"/>
          <w:color w:val="auto"/>
          <w:sz w:val="24"/>
        </w:rPr>
      </w:pPr>
      <w:r>
        <w:rPr>
          <w:rFonts w:hint="eastAsia" w:ascii="仿宋" w:hAnsi="仿宋" w:eastAsia="仿宋" w:cs="仿宋"/>
          <w:color w:val="auto"/>
          <w:sz w:val="24"/>
        </w:rPr>
        <w:t>开户账号：</w:t>
      </w:r>
      <w:r>
        <w:rPr>
          <w:rFonts w:hint="eastAsia" w:ascii="仿宋" w:hAnsi="仿宋" w:eastAsia="仿宋" w:cs="仿宋"/>
          <w:color w:val="auto"/>
          <w:sz w:val="24"/>
          <w:lang w:val="zh-CN"/>
        </w:rPr>
        <w:t xml:space="preserve">                               </w:t>
      </w:r>
      <w:r>
        <w:rPr>
          <w:rFonts w:hint="eastAsia" w:ascii="仿宋" w:hAnsi="仿宋" w:eastAsia="仿宋" w:cs="仿宋"/>
          <w:color w:val="auto"/>
          <w:sz w:val="24"/>
        </w:rPr>
        <w:t>开户账号：</w:t>
      </w:r>
    </w:p>
    <w:p>
      <w:pPr>
        <w:widowControl/>
        <w:spacing w:line="360" w:lineRule="auto"/>
        <w:jc w:val="left"/>
        <w:rPr>
          <w:rFonts w:hint="eastAsia" w:ascii="仿宋" w:hAnsi="仿宋" w:eastAsia="仿宋" w:cs="仿宋"/>
          <w:b/>
          <w:color w:val="auto"/>
          <w:sz w:val="24"/>
        </w:rPr>
      </w:pPr>
    </w:p>
    <w:p>
      <w:pPr>
        <w:widowControl/>
        <w:adjustRightInd/>
        <w:spacing w:line="360" w:lineRule="auto"/>
        <w:jc w:val="left"/>
        <w:rPr>
          <w:rFonts w:hint="eastAsia" w:ascii="仿宋" w:hAnsi="仿宋" w:eastAsia="仿宋" w:cs="仿宋"/>
          <w:b/>
          <w:color w:val="auto"/>
          <w:sz w:val="24"/>
        </w:rPr>
      </w:pPr>
      <w:r>
        <w:rPr>
          <w:rFonts w:hint="eastAsia" w:ascii="仿宋" w:hAnsi="仿宋" w:eastAsia="仿宋" w:cs="仿宋"/>
          <w:b/>
          <w:color w:val="auto"/>
        </w:rPr>
        <w:br w:type="page"/>
      </w:r>
    </w:p>
    <w:p>
      <w:pPr>
        <w:pStyle w:val="699"/>
        <w:spacing w:line="360" w:lineRule="auto"/>
        <w:ind w:firstLine="482"/>
        <w:jc w:val="center"/>
        <w:rPr>
          <w:rFonts w:hint="eastAsia" w:ascii="仿宋" w:hAnsi="仿宋" w:eastAsia="仿宋" w:cs="仿宋"/>
          <w:b/>
          <w:color w:val="auto"/>
          <w:szCs w:val="24"/>
        </w:rPr>
      </w:pPr>
      <w:r>
        <w:rPr>
          <w:rFonts w:hint="eastAsia" w:ascii="仿宋" w:hAnsi="仿宋" w:eastAsia="仿宋" w:cs="仿宋"/>
          <w:b/>
          <w:color w:val="auto"/>
          <w:szCs w:val="24"/>
        </w:rPr>
        <w:t>第二部分 合同一般条款</w:t>
      </w:r>
    </w:p>
    <w:p>
      <w:pPr>
        <w:spacing w:line="360" w:lineRule="auto"/>
        <w:ind w:firstLine="482" w:firstLineChars="200"/>
        <w:outlineLvl w:val="0"/>
        <w:rPr>
          <w:rFonts w:hint="eastAsia" w:ascii="仿宋" w:hAnsi="仿宋" w:eastAsia="仿宋" w:cs="仿宋"/>
          <w:b/>
          <w:color w:val="auto"/>
          <w:sz w:val="24"/>
        </w:rPr>
      </w:pPr>
      <w:bookmarkStart w:id="446" w:name="_Toc25079"/>
      <w:bookmarkStart w:id="447" w:name="_Toc31297"/>
      <w:bookmarkStart w:id="448" w:name="_Toc19680"/>
      <w:bookmarkStart w:id="449" w:name="_Toc5228"/>
      <w:bookmarkStart w:id="450" w:name="_Toc14021"/>
      <w:r>
        <w:rPr>
          <w:rFonts w:hint="eastAsia" w:ascii="仿宋" w:hAnsi="仿宋" w:eastAsia="仿宋" w:cs="仿宋"/>
          <w:b/>
          <w:color w:val="auto"/>
          <w:sz w:val="24"/>
        </w:rPr>
        <w:t>2.1 定义</w:t>
      </w:r>
      <w:bookmarkEnd w:id="446"/>
      <w:bookmarkEnd w:id="447"/>
      <w:bookmarkEnd w:id="448"/>
      <w:bookmarkEnd w:id="449"/>
      <w:bookmarkEnd w:id="450"/>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本合同中的下列词语应按以下内容进行解释：</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 “合同”系指采购人和中标或成交供应商签订的载明双方当事人所达成的协议，并包括所有的附件、附录和构成合同的其他文件。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2.1.2 “合同价”系指根据合同约定，中标或成交供应商在完全履行合同义务后，采购人应支付给中标或成交供应商的价格。</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2.1.3 “服务”系指中标或成交供应商根据合同约定应向采购人履行的除货物和工程以外的其他政府采购对象，包括采购人自身需要的服务和向社会公众提供的公共服务。</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 “甲方”系指与中标或成交供应商签署合同的采购人；采购人委托采购代理机构代表其与乙方签订合同的，采购人的授权委托书作为合同附件。</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2.1.6 “现场”系指合同约定提供服务的地点。</w:t>
      </w:r>
    </w:p>
    <w:p>
      <w:pPr>
        <w:spacing w:line="360" w:lineRule="auto"/>
        <w:ind w:firstLine="482" w:firstLineChars="200"/>
        <w:outlineLvl w:val="0"/>
        <w:rPr>
          <w:rFonts w:hint="eastAsia" w:ascii="仿宋" w:hAnsi="仿宋" w:eastAsia="仿宋" w:cs="仿宋"/>
          <w:b/>
          <w:color w:val="auto"/>
          <w:sz w:val="24"/>
        </w:rPr>
      </w:pPr>
      <w:bookmarkStart w:id="451" w:name="_Toc19539"/>
      <w:bookmarkStart w:id="452" w:name="_Toc31402"/>
      <w:bookmarkStart w:id="453" w:name="_Toc3769"/>
      <w:bookmarkStart w:id="454" w:name="_Toc23289"/>
      <w:bookmarkStart w:id="455" w:name="_Toc16752"/>
      <w:r>
        <w:rPr>
          <w:rFonts w:hint="eastAsia" w:ascii="仿宋" w:hAnsi="仿宋" w:eastAsia="仿宋" w:cs="仿宋"/>
          <w:b/>
          <w:color w:val="auto"/>
          <w:sz w:val="24"/>
        </w:rPr>
        <w:t>2.2 技术规范</w:t>
      </w:r>
      <w:bookmarkEnd w:id="451"/>
      <w:bookmarkEnd w:id="452"/>
      <w:bookmarkEnd w:id="453"/>
      <w:bookmarkEnd w:id="454"/>
      <w:bookmarkEnd w:id="455"/>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 w:hAnsi="仿宋" w:eastAsia="仿宋" w:cs="仿宋"/>
          <w:b/>
          <w:color w:val="auto"/>
          <w:sz w:val="24"/>
        </w:rPr>
      </w:pPr>
      <w:bookmarkStart w:id="456" w:name="_Toc12412"/>
      <w:bookmarkStart w:id="457" w:name="_Toc9161"/>
      <w:bookmarkStart w:id="458" w:name="_Toc13673"/>
      <w:bookmarkStart w:id="459" w:name="_Toc27945"/>
      <w:bookmarkStart w:id="460" w:name="_Toc4133"/>
      <w:r>
        <w:rPr>
          <w:rFonts w:hint="eastAsia" w:ascii="仿宋" w:hAnsi="仿宋" w:eastAsia="仿宋" w:cs="仿宋"/>
          <w:b/>
          <w:color w:val="auto"/>
          <w:sz w:val="24"/>
        </w:rPr>
        <w:t>2.3 知识产权</w:t>
      </w:r>
      <w:bookmarkEnd w:id="456"/>
      <w:bookmarkEnd w:id="457"/>
      <w:bookmarkEnd w:id="458"/>
      <w:bookmarkEnd w:id="459"/>
      <w:bookmarkEnd w:id="460"/>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2.3.2 合同涉及技术成果的归属和收益的分成办法的，详见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2.4 履约检查和问题反馈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2.4.2 合同履行期间，甲方有权将履行过程中出现的问题反馈给乙方，双方当事人应以书面形式约定需要完善和改进的内容。</w:t>
      </w:r>
    </w:p>
    <w:p>
      <w:pPr>
        <w:spacing w:line="360" w:lineRule="auto"/>
        <w:ind w:firstLine="482" w:firstLineChars="200"/>
        <w:outlineLvl w:val="0"/>
        <w:rPr>
          <w:rFonts w:hint="eastAsia" w:ascii="仿宋" w:hAnsi="仿宋" w:eastAsia="仿宋" w:cs="仿宋"/>
          <w:b/>
          <w:color w:val="auto"/>
          <w:sz w:val="24"/>
        </w:rPr>
      </w:pPr>
      <w:bookmarkStart w:id="461" w:name="_Toc26555"/>
      <w:bookmarkStart w:id="462" w:name="_Toc22011"/>
      <w:bookmarkStart w:id="463" w:name="_Toc31233"/>
      <w:bookmarkStart w:id="464" w:name="_Toc32670"/>
      <w:bookmarkStart w:id="465" w:name="_Toc15447"/>
      <w:r>
        <w:rPr>
          <w:rFonts w:hint="eastAsia" w:ascii="仿宋" w:hAnsi="仿宋" w:eastAsia="仿宋" w:cs="仿宋"/>
          <w:b/>
          <w:color w:val="auto"/>
          <w:sz w:val="24"/>
        </w:rPr>
        <w:t>2.5 结算方式和付款条件</w:t>
      </w:r>
      <w:bookmarkEnd w:id="461"/>
      <w:bookmarkEnd w:id="462"/>
      <w:bookmarkEnd w:id="463"/>
      <w:bookmarkEnd w:id="464"/>
      <w:bookmarkEnd w:id="465"/>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详见</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w:t>
      </w:r>
    </w:p>
    <w:p>
      <w:pPr>
        <w:spacing w:line="360" w:lineRule="auto"/>
        <w:ind w:firstLine="482" w:firstLineChars="200"/>
        <w:outlineLvl w:val="0"/>
        <w:rPr>
          <w:rFonts w:hint="eastAsia" w:ascii="仿宋" w:hAnsi="仿宋" w:eastAsia="仿宋" w:cs="仿宋"/>
          <w:b/>
          <w:color w:val="auto"/>
          <w:sz w:val="24"/>
        </w:rPr>
      </w:pPr>
      <w:bookmarkStart w:id="466" w:name="_Toc13467"/>
      <w:bookmarkStart w:id="467" w:name="_Toc30507"/>
      <w:bookmarkStart w:id="468" w:name="_Toc13154"/>
      <w:bookmarkStart w:id="469" w:name="_Toc18990"/>
      <w:bookmarkStart w:id="470" w:name="_Toc16163"/>
      <w:r>
        <w:rPr>
          <w:rFonts w:hint="eastAsia" w:ascii="仿宋" w:hAnsi="仿宋" w:eastAsia="仿宋" w:cs="仿宋"/>
          <w:b/>
          <w:color w:val="auto"/>
          <w:sz w:val="24"/>
        </w:rPr>
        <w:t>2.6 技术资料和保密义务</w:t>
      </w:r>
      <w:bookmarkEnd w:id="466"/>
      <w:bookmarkEnd w:id="467"/>
      <w:bookmarkEnd w:id="468"/>
      <w:bookmarkEnd w:id="469"/>
      <w:bookmarkEnd w:id="470"/>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2.6.1 乙方有权依据合同约定和项目需要，向甲方了解有关情况，调阅有关资料等，甲方应予积极配合；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2.6.2 乙方有义务妥善保管和保护由甲方提供的前款信息和资料等；</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hint="eastAsia" w:ascii="仿宋" w:hAnsi="仿宋" w:eastAsia="仿宋" w:cs="仿宋"/>
          <w:b/>
          <w:color w:val="auto"/>
          <w:sz w:val="24"/>
        </w:rPr>
      </w:pPr>
      <w:bookmarkStart w:id="471" w:name="_Toc19069"/>
      <w:r>
        <w:rPr>
          <w:rFonts w:hint="eastAsia" w:ascii="仿宋" w:hAnsi="仿宋" w:eastAsia="仿宋" w:cs="仿宋"/>
          <w:b/>
          <w:color w:val="auto"/>
          <w:sz w:val="24"/>
        </w:rPr>
        <w:t>2.7 质量保证</w:t>
      </w:r>
      <w:bookmarkEnd w:id="471"/>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2.7.1 乙方应建立和完善履行合同的内部质量保证体系，并提供相关内部规章制度给甲方，以便甲方进行监督检查；</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 w:hAnsi="仿宋" w:eastAsia="仿宋" w:cs="仿宋"/>
          <w:b/>
          <w:color w:val="auto"/>
          <w:sz w:val="24"/>
        </w:rPr>
      </w:pPr>
      <w:bookmarkStart w:id="472" w:name="_Toc22267"/>
      <w:r>
        <w:rPr>
          <w:rFonts w:hint="eastAsia" w:ascii="仿宋" w:hAnsi="仿宋" w:eastAsia="仿宋" w:cs="仿宋"/>
          <w:b/>
          <w:color w:val="auto"/>
          <w:sz w:val="24"/>
        </w:rPr>
        <w:t>2.8 延迟履行</w:t>
      </w:r>
      <w:bookmarkEnd w:id="472"/>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82" w:firstLineChars="200"/>
        <w:outlineLvl w:val="0"/>
        <w:rPr>
          <w:rFonts w:hint="eastAsia" w:ascii="仿宋" w:hAnsi="仿宋" w:eastAsia="仿宋" w:cs="仿宋"/>
          <w:b/>
          <w:color w:val="auto"/>
          <w:sz w:val="24"/>
        </w:rPr>
      </w:pPr>
      <w:bookmarkStart w:id="473" w:name="_Toc10611"/>
      <w:r>
        <w:rPr>
          <w:rFonts w:hint="eastAsia" w:ascii="仿宋" w:hAnsi="仿宋" w:eastAsia="仿宋" w:cs="仿宋"/>
          <w:b/>
          <w:color w:val="auto"/>
          <w:sz w:val="24"/>
        </w:rPr>
        <w:t>2.9 合同变更</w:t>
      </w:r>
      <w:bookmarkEnd w:id="473"/>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color w:val="auto"/>
          <w:sz w:val="24"/>
        </w:rPr>
      </w:pPr>
      <w:bookmarkStart w:id="474" w:name="_Toc26689"/>
      <w:bookmarkStart w:id="475" w:name="_Toc23368"/>
      <w:bookmarkStart w:id="476" w:name="_Toc10663"/>
      <w:bookmarkStart w:id="477" w:name="_Toc21830"/>
      <w:bookmarkStart w:id="478" w:name="_Toc42"/>
      <w:r>
        <w:rPr>
          <w:rFonts w:hint="eastAsia" w:ascii="仿宋" w:hAnsi="仿宋" w:eastAsia="仿宋" w:cs="仿宋"/>
          <w:b/>
          <w:color w:val="auto"/>
          <w:sz w:val="24"/>
        </w:rPr>
        <w:t>2.10 合同转让和分包</w:t>
      </w:r>
      <w:bookmarkEnd w:id="474"/>
      <w:bookmarkEnd w:id="475"/>
      <w:bookmarkEnd w:id="476"/>
      <w:bookmarkEnd w:id="477"/>
      <w:bookmarkEnd w:id="478"/>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 w:hAnsi="仿宋" w:eastAsia="仿宋" w:cs="仿宋"/>
          <w:b/>
          <w:color w:val="auto"/>
          <w:sz w:val="24"/>
        </w:rPr>
      </w:pPr>
      <w:bookmarkStart w:id="479" w:name="_Toc4720"/>
      <w:bookmarkStart w:id="480" w:name="_Toc25571"/>
      <w:bookmarkStart w:id="481" w:name="_Toc26633"/>
      <w:bookmarkStart w:id="482" w:name="_Toc14371"/>
      <w:bookmarkStart w:id="483" w:name="_Toc32494"/>
      <w:r>
        <w:rPr>
          <w:rFonts w:hint="eastAsia" w:ascii="仿宋" w:hAnsi="仿宋" w:eastAsia="仿宋" w:cs="仿宋"/>
          <w:b/>
          <w:color w:val="auto"/>
          <w:sz w:val="24"/>
        </w:rPr>
        <w:t>2.11 不可抗力</w:t>
      </w:r>
      <w:bookmarkEnd w:id="479"/>
      <w:bookmarkEnd w:id="480"/>
      <w:bookmarkEnd w:id="481"/>
      <w:bookmarkEnd w:id="482"/>
      <w:bookmarkEnd w:id="483"/>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2.11.2 因不可抗力致使不能实现合同目的的，当事人可以解除合同；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2.11.3 因不可抗力致使合同有变更必要的，双方当事人应在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约定时间内以书面形式变更合同；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2.11.4受不可抗力影响的一方在不可抗力发生后，应在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约定时间内以书面形式通知对方当事人，并在</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约定时间内，将有关部门出具的证明文件送达对方当事人。</w:t>
      </w:r>
    </w:p>
    <w:p>
      <w:pPr>
        <w:spacing w:line="360" w:lineRule="auto"/>
        <w:ind w:firstLine="482" w:firstLineChars="200"/>
        <w:outlineLvl w:val="0"/>
        <w:rPr>
          <w:rFonts w:hint="eastAsia" w:ascii="仿宋" w:hAnsi="仿宋" w:eastAsia="仿宋" w:cs="仿宋"/>
          <w:b/>
          <w:color w:val="auto"/>
          <w:sz w:val="24"/>
        </w:rPr>
      </w:pPr>
      <w:bookmarkStart w:id="484" w:name="_Toc24465"/>
      <w:bookmarkStart w:id="485" w:name="_Toc3638"/>
      <w:bookmarkStart w:id="486" w:name="_Toc23854"/>
      <w:bookmarkStart w:id="487" w:name="_Toc14115"/>
      <w:bookmarkStart w:id="488" w:name="_Toc25783"/>
      <w:r>
        <w:rPr>
          <w:rFonts w:hint="eastAsia" w:ascii="仿宋" w:hAnsi="仿宋" w:eastAsia="仿宋" w:cs="仿宋"/>
          <w:b/>
          <w:color w:val="auto"/>
          <w:sz w:val="24"/>
        </w:rPr>
        <w:t>2.12 税费</w:t>
      </w:r>
      <w:bookmarkEnd w:id="484"/>
      <w:bookmarkEnd w:id="485"/>
      <w:bookmarkEnd w:id="486"/>
      <w:bookmarkEnd w:id="487"/>
      <w:bookmarkEnd w:id="488"/>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与合同有关的一切税费，均按照中华人民共和国法律的相关规定缴纳。</w:t>
      </w:r>
    </w:p>
    <w:p>
      <w:pPr>
        <w:spacing w:line="360" w:lineRule="auto"/>
        <w:ind w:firstLine="482" w:firstLineChars="200"/>
        <w:outlineLvl w:val="0"/>
        <w:rPr>
          <w:rFonts w:hint="eastAsia" w:ascii="仿宋" w:hAnsi="仿宋" w:eastAsia="仿宋" w:cs="仿宋"/>
          <w:b/>
          <w:color w:val="auto"/>
          <w:sz w:val="24"/>
        </w:rPr>
      </w:pPr>
      <w:bookmarkStart w:id="489" w:name="_Toc30105"/>
      <w:bookmarkStart w:id="490" w:name="_Toc25525"/>
      <w:bookmarkStart w:id="491" w:name="_Toc26883"/>
      <w:bookmarkStart w:id="492" w:name="_Toc14814"/>
      <w:bookmarkStart w:id="493" w:name="_Toc7315"/>
      <w:r>
        <w:rPr>
          <w:rFonts w:hint="eastAsia" w:ascii="仿宋" w:hAnsi="仿宋" w:eastAsia="仿宋" w:cs="仿宋"/>
          <w:b/>
          <w:color w:val="auto"/>
          <w:sz w:val="24"/>
        </w:rPr>
        <w:t>2.13 乙方破产</w:t>
      </w:r>
      <w:bookmarkEnd w:id="489"/>
      <w:bookmarkEnd w:id="490"/>
      <w:bookmarkEnd w:id="491"/>
      <w:bookmarkEnd w:id="492"/>
      <w:bookmarkEnd w:id="493"/>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 w:hAnsi="仿宋" w:eastAsia="仿宋" w:cs="仿宋"/>
          <w:b/>
          <w:color w:val="auto"/>
          <w:sz w:val="24"/>
        </w:rPr>
      </w:pPr>
      <w:bookmarkStart w:id="494" w:name="_Toc2016"/>
      <w:bookmarkStart w:id="495" w:name="_Toc1123"/>
      <w:bookmarkStart w:id="496" w:name="_Toc23323"/>
      <w:r>
        <w:rPr>
          <w:rFonts w:hint="eastAsia" w:ascii="仿宋" w:hAnsi="仿宋" w:eastAsia="仿宋" w:cs="仿宋"/>
          <w:b/>
          <w:color w:val="auto"/>
          <w:sz w:val="24"/>
        </w:rPr>
        <w:t>2.14 合同中止、终止</w:t>
      </w:r>
      <w:bookmarkEnd w:id="494"/>
      <w:bookmarkEnd w:id="495"/>
      <w:bookmarkEnd w:id="496"/>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2.14.1 双方当事人不得擅自中止或者终止合同；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仿宋" w:hAnsi="仿宋" w:eastAsia="仿宋" w:cs="仿宋"/>
          <w:b/>
          <w:color w:val="auto"/>
          <w:sz w:val="24"/>
        </w:rPr>
      </w:pPr>
      <w:bookmarkStart w:id="497" w:name="_Toc17363"/>
      <w:bookmarkStart w:id="498" w:name="_Toc1969"/>
      <w:bookmarkStart w:id="499" w:name="_Toc14525"/>
      <w:r>
        <w:rPr>
          <w:rFonts w:hint="eastAsia" w:ascii="仿宋" w:hAnsi="仿宋" w:eastAsia="仿宋" w:cs="仿宋"/>
          <w:b/>
          <w:color w:val="auto"/>
          <w:sz w:val="24"/>
        </w:rPr>
        <w:t>2.15 检验和验收</w:t>
      </w:r>
      <w:bookmarkEnd w:id="497"/>
      <w:bookmarkEnd w:id="498"/>
      <w:bookmarkEnd w:id="499"/>
    </w:p>
    <w:p>
      <w:pPr>
        <w:tabs>
          <w:tab w:val="left" w:pos="360"/>
          <w:tab w:val="left" w:pos="540"/>
          <w:tab w:val="left" w:pos="108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2.15.1 乙方按照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的约定，定期提交服务报告，甲方按照</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的约定进行定期验收；</w:t>
      </w:r>
    </w:p>
    <w:p>
      <w:pPr>
        <w:tabs>
          <w:tab w:val="left" w:pos="360"/>
          <w:tab w:val="left" w:pos="540"/>
          <w:tab w:val="left" w:pos="108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2.15.3 检验和验收标准、程序等具体内容以及前述验收书的效力详见</w:t>
      </w:r>
      <w:r>
        <w:rPr>
          <w:rFonts w:hint="eastAsia" w:ascii="仿宋" w:hAnsi="仿宋" w:eastAsia="仿宋" w:cs="仿宋"/>
          <w:b/>
          <w:i/>
          <w:color w:val="auto"/>
          <w:sz w:val="24"/>
          <w:u w:val="single"/>
        </w:rPr>
        <w:t>合同专用条款</w:t>
      </w:r>
      <w:r>
        <w:rPr>
          <w:rFonts w:hint="eastAsia" w:ascii="仿宋" w:hAnsi="仿宋" w:eastAsia="仿宋" w:cs="仿宋"/>
          <w:i/>
          <w:color w:val="auto"/>
          <w:sz w:val="24"/>
        </w:rPr>
        <w:t>。</w:t>
      </w:r>
    </w:p>
    <w:p>
      <w:pPr>
        <w:spacing w:line="360" w:lineRule="auto"/>
        <w:ind w:firstLine="482" w:firstLineChars="200"/>
        <w:outlineLvl w:val="0"/>
        <w:rPr>
          <w:rFonts w:hint="eastAsia" w:ascii="仿宋" w:hAnsi="仿宋" w:eastAsia="仿宋" w:cs="仿宋"/>
          <w:b/>
          <w:color w:val="auto"/>
          <w:sz w:val="24"/>
        </w:rPr>
      </w:pPr>
      <w:bookmarkStart w:id="500" w:name="_Toc2308"/>
      <w:bookmarkStart w:id="501" w:name="_Toc25198"/>
      <w:bookmarkStart w:id="502" w:name="_Toc12666"/>
      <w:bookmarkStart w:id="503" w:name="_Toc31892"/>
      <w:bookmarkStart w:id="504" w:name="_Toc9808"/>
      <w:r>
        <w:rPr>
          <w:rFonts w:hint="eastAsia" w:ascii="仿宋" w:hAnsi="仿宋" w:eastAsia="仿宋" w:cs="仿宋"/>
          <w:b/>
          <w:color w:val="auto"/>
          <w:sz w:val="24"/>
        </w:rPr>
        <w:t>2.16 通知和送达</w:t>
      </w:r>
      <w:bookmarkEnd w:id="500"/>
      <w:bookmarkEnd w:id="501"/>
      <w:bookmarkEnd w:id="502"/>
      <w:bookmarkEnd w:id="503"/>
      <w:bookmarkEnd w:id="504"/>
    </w:p>
    <w:p>
      <w:pPr>
        <w:spacing w:line="360" w:lineRule="auto"/>
        <w:ind w:firstLine="480" w:firstLineChars="200"/>
        <w:rPr>
          <w:rFonts w:hint="eastAsia" w:ascii="仿宋" w:hAnsi="仿宋" w:eastAsia="仿宋" w:cs="仿宋"/>
          <w:color w:val="auto"/>
          <w:sz w:val="24"/>
        </w:rPr>
      </w:pPr>
      <w:bookmarkStart w:id="505" w:name="_Toc27674"/>
      <w:bookmarkStart w:id="506" w:name="_Toc18401"/>
      <w:r>
        <w:rPr>
          <w:rFonts w:hint="eastAsia" w:ascii="仿宋" w:hAnsi="仿宋" w:eastAsia="仿宋" w:cs="仿宋"/>
          <w:color w:val="auto"/>
          <w:sz w:val="24"/>
        </w:rPr>
        <w:t xml:space="preserve">2.17.1任何一方因履行合同而以合同第一部分尾部所列明的传真或电子邮件 </w:t>
      </w:r>
      <w:r>
        <w:rPr>
          <w:rFonts w:hint="eastAsia" w:ascii="仿宋" w:hAnsi="仿宋" w:eastAsia="仿宋" w:cs="仿宋"/>
          <w:color w:val="auto"/>
          <w:sz w:val="24"/>
          <w:u w:val="single"/>
        </w:rPr>
        <w:t xml:space="preserve">       </w:t>
      </w:r>
      <w:r>
        <w:rPr>
          <w:rFonts w:hint="eastAsia" w:ascii="仿宋" w:hAnsi="仿宋" w:eastAsia="仿宋" w:cs="仿宋"/>
          <w:color w:val="auto"/>
          <w:sz w:val="24"/>
        </w:rPr>
        <w:t>发出的所有通知、文件、材料，均视为已向对方当事人送达；任何一方变更上述送达方式或者地址的，应于</w:t>
      </w:r>
      <w:r>
        <w:rPr>
          <w:rFonts w:hint="eastAsia" w:ascii="仿宋" w:hAnsi="仿宋" w:eastAsia="仿宋" w:cs="仿宋"/>
          <w:color w:val="auto"/>
          <w:sz w:val="24"/>
          <w:u w:val="single"/>
        </w:rPr>
        <w:t>3</w:t>
      </w:r>
      <w:r>
        <w:rPr>
          <w:rFonts w:hint="eastAsia" w:ascii="仿宋" w:hAnsi="仿宋" w:eastAsia="仿宋" w:cs="仿宋"/>
          <w:color w:val="auto"/>
          <w:sz w:val="24"/>
        </w:rPr>
        <w:t>个工作日内书面通知对方当事人，在对方当事人收到有关变更通知之前，变更前的约定送达方式或者地址仍视为有效。</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5"/>
      <w:bookmarkEnd w:id="506"/>
    </w:p>
    <w:p>
      <w:pPr>
        <w:spacing w:line="360" w:lineRule="auto"/>
        <w:ind w:firstLine="482" w:firstLineChars="200"/>
        <w:outlineLvl w:val="0"/>
        <w:rPr>
          <w:rFonts w:hint="eastAsia" w:ascii="仿宋" w:hAnsi="仿宋" w:eastAsia="仿宋" w:cs="仿宋"/>
          <w:b/>
          <w:color w:val="auto"/>
          <w:sz w:val="24"/>
        </w:rPr>
      </w:pPr>
      <w:bookmarkStart w:id="507" w:name="_Toc5063"/>
      <w:bookmarkStart w:id="508" w:name="_Toc27644"/>
      <w:bookmarkStart w:id="509" w:name="_Toc28906"/>
      <w:bookmarkStart w:id="510" w:name="_Toc12254"/>
      <w:bookmarkStart w:id="511" w:name="_Toc20808"/>
      <w:r>
        <w:rPr>
          <w:rFonts w:hint="eastAsia" w:ascii="仿宋" w:hAnsi="仿宋" w:eastAsia="仿宋" w:cs="仿宋"/>
          <w:b/>
          <w:color w:val="auto"/>
          <w:sz w:val="24"/>
        </w:rPr>
        <w:t>2.17 合同使用的文字和适用的法律</w:t>
      </w:r>
      <w:bookmarkEnd w:id="507"/>
      <w:bookmarkEnd w:id="508"/>
      <w:bookmarkEnd w:id="509"/>
      <w:bookmarkEnd w:id="510"/>
      <w:bookmarkEnd w:id="511"/>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2.17.1 合同使用汉语书就、变更和解释；</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2.17.2 合同适用中华人民共和国法律。</w:t>
      </w:r>
    </w:p>
    <w:p>
      <w:pPr>
        <w:spacing w:line="360" w:lineRule="auto"/>
        <w:ind w:firstLine="482" w:firstLineChars="200"/>
        <w:outlineLvl w:val="0"/>
        <w:rPr>
          <w:rFonts w:hint="eastAsia" w:ascii="仿宋" w:hAnsi="仿宋" w:eastAsia="仿宋" w:cs="仿宋"/>
          <w:b/>
          <w:color w:val="auto"/>
          <w:sz w:val="24"/>
        </w:rPr>
      </w:pPr>
      <w:bookmarkStart w:id="512" w:name="_Toc30599"/>
      <w:bookmarkStart w:id="513" w:name="_Toc4355"/>
      <w:bookmarkStart w:id="514" w:name="_Toc18540"/>
      <w:r>
        <w:rPr>
          <w:rFonts w:hint="eastAsia" w:ascii="仿宋" w:hAnsi="仿宋" w:eastAsia="仿宋" w:cs="仿宋"/>
          <w:b/>
          <w:color w:val="auto"/>
          <w:sz w:val="24"/>
        </w:rPr>
        <w:t>2.18 计量单位</w:t>
      </w:r>
      <w:bookmarkEnd w:id="512"/>
      <w:bookmarkEnd w:id="513"/>
      <w:bookmarkEnd w:id="514"/>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除技术规范中另有规定外,合同的计量单位均使用国家法定计量单位。</w:t>
      </w:r>
    </w:p>
    <w:p>
      <w:pPr>
        <w:spacing w:line="36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2.19合同份数</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合同份数按</w:t>
      </w:r>
      <w:r>
        <w:rPr>
          <w:rFonts w:hint="eastAsia" w:ascii="仿宋" w:hAnsi="仿宋" w:eastAsia="仿宋" w:cs="仿宋"/>
          <w:b/>
          <w:i/>
          <w:color w:val="auto"/>
          <w:sz w:val="24"/>
          <w:u w:val="single"/>
        </w:rPr>
        <w:t>合同专用条款</w:t>
      </w:r>
      <w:r>
        <w:rPr>
          <w:rFonts w:hint="eastAsia" w:ascii="仿宋" w:hAnsi="仿宋" w:eastAsia="仿宋" w:cs="仿宋"/>
          <w:color w:val="auto"/>
          <w:sz w:val="24"/>
        </w:rPr>
        <w:t>规定，每份均具有同等法律效力。</w:t>
      </w:r>
    </w:p>
    <w:p>
      <w:pPr>
        <w:spacing w:line="360" w:lineRule="auto"/>
        <w:jc w:val="center"/>
        <w:outlineLvl w:val="0"/>
        <w:rPr>
          <w:rFonts w:hint="eastAsia" w:ascii="仿宋" w:hAnsi="仿宋" w:eastAsia="仿宋" w:cs="仿宋"/>
          <w:b/>
          <w:color w:val="auto"/>
          <w:sz w:val="24"/>
        </w:rPr>
      </w:pPr>
      <w:r>
        <w:rPr>
          <w:rFonts w:hint="eastAsia" w:ascii="仿宋" w:hAnsi="仿宋" w:eastAsia="仿宋" w:cs="仿宋"/>
          <w:color w:val="auto"/>
          <w:kern w:val="0"/>
        </w:rPr>
        <w:br w:type="page"/>
      </w:r>
      <w:bookmarkStart w:id="515" w:name="_Toc331685784"/>
      <w:r>
        <w:rPr>
          <w:rFonts w:hint="eastAsia" w:ascii="仿宋" w:hAnsi="仿宋" w:eastAsia="仿宋" w:cs="仿宋"/>
          <w:b/>
          <w:color w:val="auto"/>
          <w:sz w:val="24"/>
        </w:rPr>
        <w:t xml:space="preserve"> </w:t>
      </w:r>
      <w:bookmarkEnd w:id="515"/>
      <w:r>
        <w:rPr>
          <w:rFonts w:hint="eastAsia" w:ascii="仿宋" w:hAnsi="仿宋" w:eastAsia="仿宋" w:cs="仿宋"/>
          <w:b/>
          <w:color w:val="auto"/>
          <w:sz w:val="24"/>
        </w:rPr>
        <w:t>第三部分  合同专用条款</w:t>
      </w:r>
    </w:p>
    <w:p>
      <w:pPr>
        <w:spacing w:line="360" w:lineRule="auto"/>
        <w:ind w:left="-420" w:leftChars="-200" w:right="-420" w:rightChars="-200" w:firstLine="480" w:firstLineChars="200"/>
        <w:rPr>
          <w:rFonts w:hint="eastAsia" w:ascii="仿宋" w:hAnsi="仿宋" w:eastAsia="仿宋" w:cs="仿宋"/>
          <w:color w:val="auto"/>
        </w:rPr>
      </w:pPr>
      <w:r>
        <w:rPr>
          <w:rFonts w:hint="eastAsia" w:ascii="仿宋" w:hAnsi="仿宋" w:eastAsia="仿宋" w:cs="仿宋"/>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条款号</w:t>
            </w:r>
          </w:p>
        </w:tc>
        <w:tc>
          <w:tcPr>
            <w:tcW w:w="4464" w:type="pct"/>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1.3.2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1.4.2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1.5.1 </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1.5.2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1.5.3 </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1.6.2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1.7.4.3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1.8.7</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1.9.2</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2.11.3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2.11.4 </w:t>
            </w:r>
          </w:p>
        </w:tc>
        <w:tc>
          <w:tcPr>
            <w:tcW w:w="4464" w:type="pct"/>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2.15.1</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2.15.3</w:t>
            </w:r>
          </w:p>
        </w:tc>
        <w:tc>
          <w:tcPr>
            <w:tcW w:w="4464" w:type="pct"/>
            <w:vAlign w:val="center"/>
          </w:tcPr>
          <w:p>
            <w:pPr>
              <w:spacing w:line="360" w:lineRule="auto"/>
              <w:rPr>
                <w:rFonts w:hint="eastAsia" w:ascii="仿宋" w:hAnsi="仿宋" w:eastAsia="仿宋" w:cs="仿宋"/>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color w:val="auto"/>
                <w:sz w:val="24"/>
              </w:rPr>
            </w:pPr>
            <w:r>
              <w:rPr>
                <w:rFonts w:hint="eastAsia" w:ascii="仿宋" w:hAnsi="仿宋" w:eastAsia="仿宋" w:cs="仿宋"/>
                <w:color w:val="auto"/>
                <w:sz w:val="24"/>
              </w:rPr>
              <w:t>2.19</w:t>
            </w:r>
          </w:p>
        </w:tc>
        <w:tc>
          <w:tcPr>
            <w:tcW w:w="4464" w:type="pct"/>
          </w:tcPr>
          <w:p>
            <w:pPr>
              <w:spacing w:line="360" w:lineRule="auto"/>
              <w:rPr>
                <w:rFonts w:hint="eastAsia" w:ascii="仿宋" w:hAnsi="仿宋" w:eastAsia="仿宋" w:cs="仿宋"/>
                <w:color w:val="auto"/>
                <w:sz w:val="24"/>
              </w:rPr>
            </w:pPr>
          </w:p>
        </w:tc>
      </w:tr>
    </w:tbl>
    <w:p>
      <w:pPr>
        <w:spacing w:line="360" w:lineRule="auto"/>
        <w:ind w:left="-420" w:leftChars="-200" w:right="-420" w:rightChars="-200" w:firstLine="480" w:firstLineChars="200"/>
        <w:rPr>
          <w:rFonts w:hint="eastAsia" w:ascii="仿宋" w:hAnsi="仿宋" w:eastAsia="仿宋" w:cs="仿宋"/>
          <w:color w:val="auto"/>
          <w:sz w:val="24"/>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rPr>
      </w:pPr>
    </w:p>
    <w:p>
      <w:pPr>
        <w:widowControl/>
        <w:adjustRightInd/>
        <w:spacing w:line="360" w:lineRule="auto"/>
        <w:jc w:val="center"/>
        <w:rPr>
          <w:rFonts w:hint="eastAsia" w:ascii="仿宋" w:hAnsi="仿宋" w:eastAsia="仿宋" w:cs="仿宋"/>
          <w:b/>
          <w:color w:val="auto"/>
          <w:sz w:val="36"/>
          <w:szCs w:val="20"/>
        </w:rPr>
      </w:pPr>
      <w:r>
        <w:rPr>
          <w:rFonts w:hint="eastAsia" w:ascii="仿宋" w:hAnsi="仿宋" w:eastAsia="仿宋" w:cs="仿宋"/>
          <w:b/>
          <w:color w:val="auto"/>
          <w:sz w:val="36"/>
          <w:szCs w:val="20"/>
        </w:rPr>
        <w:t>第六部分</w:t>
      </w:r>
      <w:bookmarkEnd w:id="400"/>
      <w:r>
        <w:rPr>
          <w:rFonts w:hint="eastAsia" w:ascii="仿宋" w:hAnsi="仿宋" w:eastAsia="仿宋" w:cs="仿宋"/>
          <w:b/>
          <w:color w:val="auto"/>
          <w:sz w:val="36"/>
          <w:szCs w:val="20"/>
        </w:rPr>
        <w:t xml:space="preserve"> </w:t>
      </w:r>
      <w:bookmarkEnd w:id="401"/>
      <w:r>
        <w:rPr>
          <w:rFonts w:hint="eastAsia" w:ascii="仿宋" w:hAnsi="仿宋" w:eastAsia="仿宋" w:cs="仿宋"/>
          <w:b/>
          <w:color w:val="auto"/>
          <w:sz w:val="36"/>
          <w:szCs w:val="20"/>
        </w:rPr>
        <w:t>应提交的有关格式范例</w:t>
      </w:r>
    </w:p>
    <w:p>
      <w:pPr>
        <w:spacing w:line="360" w:lineRule="auto"/>
        <w:jc w:val="center"/>
        <w:outlineLvl w:val="0"/>
        <w:rPr>
          <w:rFonts w:hint="eastAsia" w:ascii="仿宋" w:hAnsi="仿宋" w:eastAsia="仿宋" w:cs="仿宋"/>
          <w:b/>
          <w:color w:val="auto"/>
          <w:kern w:val="0"/>
          <w:sz w:val="36"/>
          <w:szCs w:val="36"/>
        </w:r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（1）符合参加政府采购活动应当具备的一般条件的承诺函……………（页码）</w:t>
      </w:r>
    </w:p>
    <w:p>
      <w:pPr>
        <w:snapToGrid w:val="0"/>
        <w:spacing w:line="360"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（2）联合协议</w:t>
      </w:r>
      <w:r>
        <w:rPr>
          <w:rFonts w:hint="eastAsia" w:ascii="仿宋" w:hAnsi="仿宋" w:eastAsia="仿宋" w:cs="仿宋"/>
          <w:color w:val="auto"/>
          <w:sz w:val="24"/>
        </w:rPr>
        <w:t>………………………………………………………………（页码）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（3）落实政府采购政策需满足的资格要求………………………………（页码）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（4）本项目的特定资格要求………………………………………………（页码）</w:t>
      </w:r>
    </w:p>
    <w:p>
      <w:pPr>
        <w:snapToGrid w:val="0"/>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color w:val="auto"/>
          <w:kern w:val="0"/>
          <w:sz w:val="24"/>
        </w:rPr>
        <w:br w:type="page"/>
      </w:r>
      <w:r>
        <w:rPr>
          <w:rFonts w:hint="eastAsia" w:ascii="仿宋" w:hAnsi="仿宋" w:eastAsia="仿宋" w:cs="仿宋"/>
          <w:b/>
          <w:color w:val="auto"/>
          <w:kern w:val="0"/>
          <w:sz w:val="32"/>
          <w:szCs w:val="32"/>
        </w:rPr>
        <w:t xml:space="preserve">  一、 符合参加政府采购活动应当具备的一般条件的承诺函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rPr>
      </w:pPr>
      <w:r>
        <w:rPr>
          <w:rFonts w:hint="eastAsia" w:ascii="仿宋" w:hAnsi="仿宋" w:eastAsia="仿宋" w:cs="仿宋"/>
          <w:color w:val="auto"/>
          <w:kern w:val="0"/>
          <w:sz w:val="24"/>
          <w:lang w:val="zh-CN"/>
        </w:rPr>
        <w:t>投标人名称(电子签名)：</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pacing w:line="360" w:lineRule="auto"/>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widowControl/>
        <w:adjustRightInd/>
        <w:spacing w:line="360" w:lineRule="auto"/>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widowControl/>
        <w:spacing w:line="360" w:lineRule="auto"/>
        <w:ind w:firstLine="643" w:firstLineChars="20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二、联合协议（如果有）</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三、落实政府采购政策需满足的资格要求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rPr>
      </w:pPr>
    </w:p>
    <w:p>
      <w:pPr>
        <w:widowControl/>
        <w:spacing w:line="360"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rPr>
      </w:pPr>
    </w:p>
    <w:p>
      <w:pPr>
        <w:widowControl/>
        <w:spacing w:line="360" w:lineRule="auto"/>
        <w:ind w:left="15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四、本项目的特定资格要求</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（根据招标公告本项目的特定资格要求提供相应的材料；未要求的，无需提供）</w:t>
      </w:r>
    </w:p>
    <w:p>
      <w:pPr>
        <w:spacing w:line="360" w:lineRule="auto"/>
        <w:rPr>
          <w:rFonts w:hint="eastAsia" w:ascii="仿宋" w:hAnsi="仿宋" w:eastAsia="仿宋" w:cs="仿宋"/>
          <w:color w:val="auto"/>
        </w:rPr>
      </w:pPr>
    </w:p>
    <w:p>
      <w:pPr>
        <w:snapToGrid w:val="0"/>
        <w:spacing w:line="360" w:lineRule="auto"/>
        <w:ind w:right="480"/>
        <w:jc w:val="center"/>
        <w:rPr>
          <w:rFonts w:hint="eastAsia" w:ascii="仿宋" w:hAnsi="仿宋" w:eastAsia="仿宋" w:cs="仿宋"/>
          <w:b/>
          <w:color w:val="auto"/>
          <w:kern w:val="0"/>
          <w:sz w:val="32"/>
          <w:szCs w:val="32"/>
        </w:rPr>
      </w:pPr>
    </w:p>
    <w:p>
      <w:pPr>
        <w:widowControl/>
        <w:adjustRightInd/>
        <w:spacing w:line="360" w:lineRule="auto"/>
        <w:jc w:val="left"/>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br w:type="page"/>
      </w:r>
    </w:p>
    <w:p>
      <w:pPr>
        <w:spacing w:line="360" w:lineRule="auto"/>
        <w:ind w:right="420" w:firstLine="3614" w:firstLineChars="100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60" w:lineRule="auto"/>
        <w:jc w:val="center"/>
        <w:outlineLvl w:val="0"/>
        <w:rPr>
          <w:rFonts w:hint="eastAsia" w:ascii="仿宋" w:hAnsi="仿宋" w:eastAsia="仿宋" w:cs="仿宋"/>
          <w:b/>
          <w:color w:val="auto"/>
          <w:kern w:val="0"/>
          <w:sz w:val="24"/>
        </w:rPr>
      </w:pPr>
    </w:p>
    <w:p>
      <w:pPr>
        <w:spacing w:line="360"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（1）投标函</w:t>
      </w:r>
      <w:r>
        <w:rPr>
          <w:rFonts w:hint="eastAsia" w:ascii="仿宋" w:hAnsi="仿宋" w:eastAsia="仿宋" w:cs="仿宋"/>
          <w:color w:val="auto"/>
        </w:rPr>
        <w:t>…………………………………………………………………………………（页码）</w:t>
      </w:r>
      <w:r>
        <w:rPr>
          <w:rFonts w:hint="eastAsia" w:ascii="仿宋" w:hAnsi="仿宋" w:eastAsia="仿宋" w:cs="仿宋"/>
          <w:color w:val="auto"/>
          <w:sz w:val="24"/>
        </w:rPr>
        <w:t>（2）授权委托书或法定代表人（单位负责人、自然人本人）身份证明</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（3）分包意向协议</w:t>
      </w:r>
      <w:r>
        <w:rPr>
          <w:rFonts w:hint="eastAsia" w:ascii="仿宋" w:hAnsi="仿宋" w:eastAsia="仿宋" w:cs="仿宋"/>
          <w:color w:val="auto"/>
        </w:rPr>
        <w:t>…………………………………………………………………………（页码）</w:t>
      </w:r>
    </w:p>
    <w:p>
      <w:pPr>
        <w:snapToGrid w:val="0"/>
        <w:spacing w:line="360" w:lineRule="auto"/>
        <w:ind w:firstLine="480" w:firstLineChars="200"/>
        <w:rPr>
          <w:rFonts w:hint="eastAsia" w:ascii="仿宋" w:hAnsi="仿宋" w:eastAsia="仿宋" w:cs="仿宋"/>
          <w:color w:val="auto"/>
        </w:rPr>
      </w:pPr>
      <w:r>
        <w:rPr>
          <w:rFonts w:hint="eastAsia" w:ascii="仿宋" w:hAnsi="仿宋" w:eastAsia="仿宋" w:cs="仿宋"/>
          <w:color w:val="auto"/>
          <w:sz w:val="24"/>
        </w:rPr>
        <w:t>（4）符合性审查资料</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rPr>
        <w:t>（5）评标标准相应的商务技术资料</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（6）投标标的清单</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w:t>
      </w:r>
      <w:r>
        <w:rPr>
          <w:rFonts w:hint="eastAsia" w:ascii="仿宋" w:hAnsi="仿宋" w:eastAsia="仿宋" w:cs="仿宋"/>
          <w:color w:val="auto"/>
          <w:sz w:val="24"/>
        </w:rPr>
        <w:t>…</w:t>
      </w:r>
      <w:r>
        <w:rPr>
          <w:rFonts w:hint="eastAsia" w:ascii="仿宋" w:hAnsi="仿宋" w:eastAsia="仿宋" w:cs="仿宋"/>
          <w:color w:val="auto"/>
        </w:rPr>
        <w:t>……………（页码）</w:t>
      </w:r>
      <w:r>
        <w:rPr>
          <w:rFonts w:hint="eastAsia" w:ascii="仿宋" w:hAnsi="仿宋" w:eastAsia="仿宋" w:cs="仿宋"/>
          <w:color w:val="auto"/>
          <w:sz w:val="24"/>
        </w:rPr>
        <w:t>（7）商务技术偏离表</w:t>
      </w:r>
      <w:r>
        <w:rPr>
          <w:rFonts w:hint="eastAsia" w:ascii="仿宋" w:hAnsi="仿宋" w:eastAsia="仿宋" w:cs="仿宋"/>
          <w:color w:val="auto"/>
        </w:rPr>
        <w:t>………………………………………………………………………（页码）</w:t>
      </w:r>
    </w:p>
    <w:p>
      <w:pPr>
        <w:snapToGrid w:val="0"/>
        <w:spacing w:line="360" w:lineRule="auto"/>
        <w:ind w:left="479" w:leftChars="228"/>
        <w:rPr>
          <w:rFonts w:hint="eastAsia" w:ascii="仿宋" w:hAnsi="仿宋" w:eastAsia="仿宋" w:cs="仿宋"/>
          <w:color w:val="auto"/>
        </w:rPr>
      </w:pP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r>
        <w:rPr>
          <w:rFonts w:hint="eastAsia" w:ascii="仿宋" w:hAnsi="仿宋" w:eastAsia="仿宋" w:cs="仿宋"/>
          <w:color w:val="auto"/>
        </w:rPr>
        <w:t>…………………………………………………（页码）</w:t>
      </w: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napToGrid w:val="0"/>
        <w:spacing w:line="360" w:lineRule="auto"/>
        <w:jc w:val="center"/>
        <w:rPr>
          <w:rFonts w:hint="eastAsia" w:ascii="仿宋" w:hAnsi="仿宋" w:eastAsia="仿宋" w:cs="仿宋"/>
          <w:b/>
          <w:color w:val="auto"/>
          <w:kern w:val="0"/>
          <w:sz w:val="32"/>
          <w:szCs w:val="32"/>
          <w:lang w:val="zh-CN"/>
        </w:rPr>
      </w:pPr>
    </w:p>
    <w:p>
      <w:pPr>
        <w:spacing w:line="360" w:lineRule="auto"/>
        <w:rPr>
          <w:rFonts w:hint="eastAsia" w:ascii="仿宋" w:hAnsi="仿宋" w:eastAsia="仿宋" w:cs="仿宋"/>
          <w:b/>
          <w:color w:val="auto"/>
          <w:kern w:val="0"/>
          <w:sz w:val="32"/>
          <w:szCs w:val="32"/>
          <w:lang w:val="zh-CN"/>
        </w:rPr>
      </w:pPr>
    </w:p>
    <w:p>
      <w:pPr>
        <w:widowControl/>
        <w:adjustRightInd/>
        <w:spacing w:line="360" w:lineRule="auto"/>
        <w:jc w:val="left"/>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snapToGrid w:val="0"/>
        <w:spacing w:line="360" w:lineRule="auto"/>
        <w:jc w:val="center"/>
        <w:outlineLvl w:val="0"/>
        <w:rPr>
          <w:rFonts w:hint="eastAsia" w:ascii="仿宋" w:hAnsi="仿宋" w:eastAsia="仿宋" w:cs="仿宋"/>
          <w:b/>
          <w:color w:val="auto"/>
          <w:sz w:val="32"/>
          <w:szCs w:val="32"/>
        </w:rPr>
      </w:pPr>
      <w:r>
        <w:rPr>
          <w:rFonts w:hint="eastAsia" w:ascii="仿宋" w:hAnsi="仿宋" w:eastAsia="仿宋" w:cs="仿宋"/>
          <w:b/>
          <w:color w:val="auto"/>
          <w:kern w:val="0"/>
          <w:sz w:val="32"/>
          <w:szCs w:val="32"/>
        </w:rPr>
        <w:t>一、投标</w:t>
      </w:r>
      <w:r>
        <w:rPr>
          <w:rFonts w:hint="eastAsia" w:ascii="仿宋" w:hAnsi="仿宋" w:eastAsia="仿宋" w:cs="仿宋"/>
          <w:b/>
          <w:color w:val="auto"/>
          <w:sz w:val="32"/>
          <w:szCs w:val="32"/>
        </w:rPr>
        <w:t>函</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1、我方承诺投标有效期从提交投标文件的截止之日起</w:t>
      </w:r>
      <w:r>
        <w:rPr>
          <w:rFonts w:hint="eastAsia" w:ascii="仿宋" w:hAnsi="仿宋" w:eastAsia="仿宋" w:cs="仿宋"/>
          <w:color w:val="auto"/>
          <w:sz w:val="24"/>
          <w:u w:val="single"/>
        </w:rPr>
        <w:t xml:space="preserve">     </w:t>
      </w:r>
      <w:r>
        <w:rPr>
          <w:rFonts w:hint="eastAsia" w:ascii="仿宋" w:hAnsi="仿宋" w:eastAsia="仿宋" w:cs="仿宋"/>
          <w:color w:val="auto"/>
          <w:sz w:val="24"/>
        </w:rPr>
        <w:t>天（不少于90天）</w:t>
      </w:r>
      <w:r>
        <w:rPr>
          <w:rFonts w:hint="eastAsia" w:ascii="仿宋" w:hAnsi="仿宋" w:eastAsia="仿宋" w:cs="仿宋"/>
          <w:color w:val="auto"/>
        </w:rPr>
        <w:t>，</w:t>
      </w:r>
      <w:r>
        <w:rPr>
          <w:rFonts w:hint="eastAsia" w:ascii="仿宋" w:hAnsi="仿宋" w:eastAsia="仿宋" w:cs="仿宋"/>
          <w:color w:val="auto"/>
          <w:sz w:val="24"/>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2.1资格文件：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2.1.1承诺函；</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2.1.2</w:t>
      </w:r>
      <w:r>
        <w:rPr>
          <w:rFonts w:hint="eastAsia" w:ascii="仿宋" w:hAnsi="仿宋" w:eastAsia="仿宋" w:cs="仿宋"/>
          <w:snapToGrid w:val="0"/>
          <w:color w:val="auto"/>
          <w:kern w:val="28"/>
          <w:sz w:val="24"/>
          <w:szCs w:val="20"/>
        </w:rPr>
        <w:t>联合协议</w:t>
      </w:r>
      <w:bookmarkStart w:id="516" w:name="_Hlk101257010"/>
      <w:r>
        <w:rPr>
          <w:rFonts w:hint="eastAsia" w:ascii="仿宋" w:hAnsi="仿宋" w:eastAsia="仿宋" w:cs="仿宋"/>
          <w:color w:val="auto"/>
          <w:sz w:val="24"/>
        </w:rPr>
        <w:t>（如果有)</w:t>
      </w:r>
      <w:bookmarkEnd w:id="516"/>
      <w:r>
        <w:rPr>
          <w:rFonts w:hint="eastAsia" w:ascii="仿宋" w:hAnsi="仿宋" w:eastAsia="仿宋" w:cs="仿宋"/>
          <w:snapToGrid w:val="0"/>
          <w:color w:val="auto"/>
          <w:kern w:val="28"/>
          <w:sz w:val="24"/>
          <w:szCs w:val="20"/>
        </w:rPr>
        <w:t>；</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 xml:space="preserve"> </w:t>
      </w:r>
      <w:r>
        <w:rPr>
          <w:rFonts w:hint="eastAsia" w:ascii="仿宋" w:hAnsi="仿宋" w:eastAsia="仿宋" w:cs="仿宋"/>
          <w:color w:val="auto"/>
          <w:sz w:val="24"/>
        </w:rPr>
        <w:t>商务技术</w:t>
      </w:r>
      <w:r>
        <w:rPr>
          <w:rFonts w:hint="eastAsia" w:ascii="仿宋" w:hAnsi="仿宋" w:eastAsia="仿宋" w:cs="仿宋"/>
          <w:color w:val="auto"/>
          <w:sz w:val="24"/>
          <w:lang w:val="zh-CN"/>
        </w:rPr>
        <w:t>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2.2.1投标函；</w:t>
      </w:r>
      <w:r>
        <w:rPr>
          <w:rFonts w:hint="eastAsia" w:ascii="仿宋" w:hAnsi="仿宋" w:eastAsia="仿宋" w:cs="仿宋"/>
          <w:color w:val="auto"/>
          <w:sz w:val="24"/>
          <w:lang w:val="zh-CN"/>
        </w:rPr>
        <w:t xml:space="preserve"> </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2.2.3分包意向协议（如果有)；</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2.2.4符合性审查资料；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2.2.6投标标的清单；</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2.2.7商务技术偏离表；</w:t>
      </w:r>
    </w:p>
    <w:p>
      <w:pPr>
        <w:snapToGrid w:val="0"/>
        <w:spacing w:line="360" w:lineRule="auto"/>
        <w:ind w:left="420" w:leftChars="200" w:firstLine="480" w:firstLineChars="200"/>
        <w:rPr>
          <w:rFonts w:hint="eastAsia" w:ascii="仿宋" w:hAnsi="仿宋" w:eastAsia="仿宋" w:cs="仿宋"/>
          <w:color w:val="auto"/>
          <w:sz w:val="24"/>
          <w:lang w:val="zh-CN"/>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8</w:t>
      </w:r>
      <w:r>
        <w:rPr>
          <w:rFonts w:hint="eastAsia" w:ascii="仿宋" w:hAnsi="仿宋" w:eastAsia="仿宋" w:cs="仿宋"/>
          <w:color w:val="auto"/>
          <w:sz w:val="24"/>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lang w:val="zh-CN"/>
        </w:rPr>
        <w:t>.</w:t>
      </w:r>
      <w:r>
        <w:rPr>
          <w:rFonts w:hint="eastAsia" w:ascii="仿宋" w:hAnsi="仿宋" w:eastAsia="仿宋" w:cs="仿宋"/>
          <w:color w:val="auto"/>
          <w:sz w:val="24"/>
        </w:rPr>
        <w:t>3报价文件</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60" w:lineRule="auto"/>
        <w:ind w:left="420" w:leftChars="200" w:firstLine="480" w:firstLineChars="200"/>
        <w:rPr>
          <w:rFonts w:hint="eastAsia" w:ascii="仿宋" w:hAnsi="仿宋" w:eastAsia="仿宋" w:cs="仿宋"/>
          <w:color w:val="auto"/>
          <w:sz w:val="24"/>
        </w:rPr>
      </w:pPr>
      <w:r>
        <w:rPr>
          <w:rFonts w:hint="eastAsia" w:ascii="仿宋" w:hAnsi="仿宋" w:eastAsia="仿宋" w:cs="仿宋"/>
          <w:color w:val="auto"/>
          <w:sz w:val="24"/>
        </w:rPr>
        <w:t>2.3.2中小企业声明函（如果有）。</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4、如我方中标，我方承诺：</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rPr>
      </w:pPr>
      <w:r>
        <w:rPr>
          <w:rFonts w:hint="eastAsia" w:ascii="仿宋" w:hAnsi="仿宋" w:eastAsia="仿宋" w:cs="仿宋"/>
          <w:color w:val="auto"/>
          <w:sz w:val="24"/>
        </w:rPr>
        <w:t>5、其他补充说明:</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spacing w:line="360" w:lineRule="auto"/>
        <w:ind w:firstLine="3600" w:firstLineChars="1500"/>
        <w:rPr>
          <w:rFonts w:hint="eastAsia" w:ascii="仿宋" w:hAnsi="仿宋" w:eastAsia="仿宋" w:cs="仿宋"/>
          <w:color w:val="auto"/>
          <w:sz w:val="24"/>
        </w:rPr>
      </w:pPr>
      <w:r>
        <w:rPr>
          <w:rFonts w:hint="eastAsia" w:ascii="仿宋" w:hAnsi="仿宋" w:eastAsia="仿宋" w:cs="仿宋"/>
          <w:color w:val="auto"/>
          <w:sz w:val="24"/>
        </w:rPr>
        <w:t xml:space="preserve">投标人名称（电子签名）：                          </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u w:val="single"/>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napToGrid w:val="0"/>
        <w:spacing w:line="360" w:lineRule="auto"/>
        <w:jc w:val="center"/>
        <w:rPr>
          <w:rFonts w:hint="eastAsia" w:ascii="仿宋" w:hAnsi="仿宋" w:eastAsia="仿宋" w:cs="仿宋"/>
          <w:b/>
          <w:color w:val="auto"/>
          <w:kern w:val="0"/>
          <w:sz w:val="32"/>
          <w:szCs w:val="32"/>
        </w:rPr>
      </w:pPr>
    </w:p>
    <w:p>
      <w:pPr>
        <w:snapToGrid w:val="0"/>
        <w:spacing w:line="360" w:lineRule="auto"/>
        <w:rPr>
          <w:rFonts w:hint="eastAsia" w:ascii="仿宋" w:hAnsi="仿宋" w:eastAsia="仿宋" w:cs="仿宋"/>
          <w:color w:val="auto"/>
          <w:sz w:val="24"/>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二、授权委托书或法定代表人（单位负责人、自然人本人）身份证明</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                                </w:t>
      </w:r>
    </w:p>
    <w:p>
      <w:pPr>
        <w:snapToGrid w:val="0"/>
        <w:spacing w:line="360" w:lineRule="auto"/>
        <w:ind w:firstLine="2872" w:firstLineChars="894"/>
        <w:rPr>
          <w:rFonts w:hint="eastAsia" w:ascii="仿宋" w:hAnsi="仿宋" w:eastAsia="仿宋" w:cs="仿宋"/>
          <w:color w:val="auto"/>
        </w:rPr>
      </w:pPr>
      <w:r>
        <w:rPr>
          <w:rFonts w:hint="eastAsia" w:ascii="仿宋" w:hAnsi="仿宋" w:eastAsia="仿宋" w:cs="仿宋"/>
          <w:b/>
          <w:color w:val="auto"/>
          <w:kern w:val="0"/>
          <w:sz w:val="32"/>
          <w:szCs w:val="32"/>
          <w:lang w:val="zh-CN"/>
        </w:rPr>
        <w:t>授权委托书（适用于非联合体投标）</w:t>
      </w:r>
      <w:r>
        <w:rPr>
          <w:rFonts w:hint="eastAsia" w:ascii="仿宋" w:hAnsi="仿宋" w:eastAsia="仿宋" w:cs="仿宋"/>
          <w:color w:val="auto"/>
        </w:rPr>
        <w:t xml:space="preserve">                               </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 xml:space="preserve">                                                 投标人名称(电子签名)：</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签发日期：  年  月   日</w:t>
      </w:r>
    </w:p>
    <w:p>
      <w:pPr>
        <w:snapToGrid w:val="0"/>
        <w:spacing w:line="360" w:lineRule="auto"/>
        <w:rPr>
          <w:rFonts w:hint="eastAsia" w:ascii="仿宋" w:hAnsi="仿宋" w:eastAsia="仿宋" w:cs="仿宋"/>
          <w:color w:val="auto"/>
          <w:sz w:val="24"/>
        </w:rPr>
      </w:pPr>
    </w:p>
    <w:p>
      <w:pPr>
        <w:spacing w:line="36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lang w:val="zh-CN"/>
        </w:rPr>
        <w:t xml:space="preserve">      </w:t>
      </w:r>
      <w:r>
        <w:rPr>
          <w:rFonts w:hint="eastAsia" w:ascii="仿宋" w:hAnsi="仿宋" w:eastAsia="仿宋" w:cs="仿宋"/>
          <w:b/>
          <w:color w:val="auto"/>
          <w:kern w:val="0"/>
          <w:sz w:val="32"/>
          <w:szCs w:val="32"/>
        </w:rPr>
        <w:t xml:space="preserve"> </w:t>
      </w:r>
      <w:r>
        <w:rPr>
          <w:rFonts w:hint="eastAsia" w:ascii="仿宋" w:hAnsi="仿宋" w:eastAsia="仿宋" w:cs="仿宋"/>
          <w:b/>
          <w:color w:val="auto"/>
          <w:kern w:val="0"/>
          <w:sz w:val="32"/>
          <w:szCs w:val="32"/>
          <w:lang w:val="zh-CN"/>
        </w:rPr>
        <w:t>授权委托书（适用于联合体投标）</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rPr>
      </w:pPr>
      <w:r>
        <w:rPr>
          <w:rFonts w:hint="eastAsia" w:ascii="仿宋" w:hAnsi="仿宋" w:eastAsia="仿宋" w:cs="仿宋"/>
          <w:color w:val="auto"/>
          <w:kern w:val="0"/>
          <w:sz w:val="24"/>
        </w:rPr>
        <w:t>现</w:t>
      </w:r>
      <w:r>
        <w:rPr>
          <w:rFonts w:hint="eastAsia" w:ascii="仿宋" w:hAnsi="仿宋" w:eastAsia="仿宋" w:cs="仿宋"/>
          <w:color w:val="auto"/>
          <w:kern w:val="0"/>
          <w:sz w:val="24"/>
          <w:lang w:val="zh-CN"/>
        </w:rPr>
        <w:t>委托</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（姓名）为我方代理人（身份证号码：</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，手机：</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kern w:val="0"/>
          <w:sz w:val="24"/>
          <w:lang w:val="zh-CN"/>
        </w:rPr>
        <w:t>），以我方名义处理</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政府采购投标的一切事项，其法律后果由我方承担。</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委托期限</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自</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日起至</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年</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日止。</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特此告知。</w:t>
      </w:r>
    </w:p>
    <w:p>
      <w:pPr>
        <w:spacing w:line="360" w:lineRule="auto"/>
        <w:jc w:val="center"/>
        <w:rPr>
          <w:rFonts w:hint="eastAsia" w:ascii="仿宋" w:hAnsi="仿宋" w:eastAsia="仿宋" w:cs="仿宋"/>
          <w:b/>
          <w:color w:val="auto"/>
          <w:kern w:val="0"/>
          <w:sz w:val="32"/>
          <w:szCs w:val="32"/>
        </w:rPr>
      </w:pPr>
    </w:p>
    <w:p>
      <w:pPr>
        <w:spacing w:line="360" w:lineRule="auto"/>
        <w:rPr>
          <w:rFonts w:hint="eastAsia" w:ascii="仿宋" w:hAnsi="仿宋" w:eastAsia="仿宋" w:cs="仿宋"/>
          <w:color w:val="auto"/>
        </w:rPr>
      </w:pP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kern w:val="0"/>
          <w:sz w:val="32"/>
          <w:szCs w:val="32"/>
          <w:lang w:val="zh-CN"/>
        </w:rPr>
      </w:pPr>
    </w:p>
    <w:p>
      <w:pPr>
        <w:autoSpaceDE w:val="0"/>
        <w:autoSpaceDN w:val="0"/>
        <w:spacing w:line="360" w:lineRule="auto"/>
        <w:jc w:val="center"/>
        <w:rPr>
          <w:rFonts w:hint="eastAsia" w:ascii="仿宋" w:hAnsi="仿宋" w:eastAsia="仿宋" w:cs="仿宋"/>
          <w:b/>
          <w:color w:val="auto"/>
          <w:sz w:val="24"/>
        </w:rPr>
      </w:pPr>
      <w:r>
        <w:rPr>
          <w:rFonts w:hint="eastAsia" w:ascii="仿宋" w:hAnsi="仿宋" w:eastAsia="仿宋" w:cs="仿宋"/>
          <w:b/>
          <w:color w:val="auto"/>
          <w:kern w:val="0"/>
          <w:sz w:val="32"/>
          <w:szCs w:val="32"/>
          <w:lang w:val="zh-CN"/>
        </w:rPr>
        <w:t>法定代表人、单位负责人或自然人本人</w:t>
      </w:r>
      <w:r>
        <w:rPr>
          <w:rFonts w:hint="eastAsia" w:ascii="仿宋" w:hAnsi="仿宋" w:eastAsia="仿宋" w:cs="仿宋"/>
          <w:b/>
          <w:color w:val="auto"/>
          <w:sz w:val="30"/>
          <w:szCs w:val="30"/>
        </w:rPr>
        <w:t>的身份证明（适用于法定代表人、单位负责人或者自然人本人代表投标人参加投标）</w:t>
      </w:r>
    </w:p>
    <w:p>
      <w:pPr>
        <w:pStyle w:val="146"/>
        <w:spacing w:line="360" w:lineRule="auto"/>
        <w:rPr>
          <w:rFonts w:hint="eastAsia" w:ascii="仿宋" w:hAnsi="仿宋" w:eastAsia="仿宋" w:cs="仿宋"/>
          <w:bCs/>
          <w:color w:val="auto"/>
          <w:sz w:val="24"/>
        </w:rPr>
      </w:pPr>
      <w:r>
        <w:rPr>
          <w:rFonts w:hint="eastAsia" w:ascii="仿宋" w:hAnsi="仿宋" w:eastAsia="仿宋" w:cs="仿宋"/>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正面：                                 反面：</w:t>
            </w:r>
          </w:p>
          <w:p>
            <w:pPr>
              <w:pStyle w:val="146"/>
              <w:adjustRightInd w:val="0"/>
              <w:spacing w:line="360" w:lineRule="auto"/>
              <w:rPr>
                <w:rFonts w:hint="eastAsia" w:ascii="仿宋" w:hAnsi="仿宋" w:eastAsia="仿宋" w:cs="仿宋"/>
                <w:bCs/>
                <w:color w:val="auto"/>
                <w:sz w:val="24"/>
              </w:rPr>
            </w:pPr>
          </w:p>
        </w:tc>
      </w:tr>
    </w:tbl>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ind w:firstLine="576"/>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投标人名称(电子签名)：                              </w:t>
      </w:r>
    </w:p>
    <w:p>
      <w:pPr>
        <w:spacing w:line="360"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napToGrid w:val="0"/>
        <w:spacing w:line="360" w:lineRule="auto"/>
        <w:ind w:firstLine="3534" w:firstLineChars="11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三、分包意向协议（如果有）</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rPr>
          <w:rFonts w:hint="eastAsia" w:ascii="仿宋" w:hAnsi="仿宋" w:eastAsia="仿宋" w:cs="仿宋"/>
          <w:color w:val="auto"/>
          <w:kern w:val="0"/>
          <w:sz w:val="24"/>
        </w:rPr>
      </w:pPr>
    </w:p>
    <w:p>
      <w:pPr>
        <w:spacing w:line="36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四、符合性审查资料</w:t>
      </w:r>
    </w:p>
    <w:p>
      <w:pPr>
        <w:spacing w:line="360" w:lineRule="auto"/>
        <w:jc w:val="center"/>
        <w:rPr>
          <w:rFonts w:hint="eastAsia" w:ascii="仿宋" w:hAnsi="仿宋" w:eastAsia="仿宋" w:cs="仿宋"/>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4991"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实质性要求</w:t>
            </w:r>
          </w:p>
        </w:tc>
        <w:tc>
          <w:tcPr>
            <w:tcW w:w="2551"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需要提供的符合性审查资料</w:t>
            </w:r>
          </w:p>
        </w:tc>
        <w:tc>
          <w:tcPr>
            <w:tcW w:w="1418" w:type="dxa"/>
            <w:vAlign w:val="center"/>
          </w:tcPr>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投标文件中的</w:t>
            </w:r>
          </w:p>
          <w:p>
            <w:pPr>
              <w:snapToGrid w:val="0"/>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投标文件按照招标文件要求签署、盖章。</w:t>
            </w:r>
          </w:p>
        </w:tc>
        <w:tc>
          <w:tcPr>
            <w:tcW w:w="2551"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需要使用电子签名或者签字盖章的投标文件的组成部分</w:t>
            </w:r>
          </w:p>
        </w:tc>
        <w:tc>
          <w:tcPr>
            <w:tcW w:w="1418" w:type="dxa"/>
          </w:tcPr>
          <w:p>
            <w:pPr>
              <w:spacing w:line="360" w:lineRule="auto"/>
              <w:rPr>
                <w:rFonts w:hint="eastAsia" w:ascii="仿宋" w:hAnsi="仿宋" w:eastAsia="仿宋" w:cs="仿宋"/>
                <w:color w:val="auto"/>
                <w:sz w:val="24"/>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rPr>
              <w:t>见投标文件</w:t>
            </w:r>
          </w:p>
          <w:p>
            <w:pPr>
              <w:spacing w:line="360" w:lineRule="auto"/>
              <w:rPr>
                <w:rFonts w:hint="eastAsia" w:ascii="仿宋" w:hAnsi="仿宋" w:eastAsia="仿宋" w:cs="仿宋"/>
                <w:color w:val="auto"/>
              </w:rPr>
            </w:pPr>
            <w:r>
              <w:rPr>
                <w:rFonts w:hint="eastAsia" w:ascii="仿宋" w:hAnsi="仿宋" w:eastAsia="仿宋" w:cs="仿宋"/>
                <w:color w:val="auto"/>
                <w:sz w:val="24"/>
              </w:rPr>
              <w:t>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投标文件中承诺的投标有效期不少于招标文件中载明的投标有效期。</w:t>
            </w:r>
          </w:p>
        </w:tc>
        <w:tc>
          <w:tcPr>
            <w:tcW w:w="2551"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投标函</w:t>
            </w:r>
          </w:p>
        </w:tc>
        <w:tc>
          <w:tcPr>
            <w:tcW w:w="1418" w:type="dxa"/>
          </w:tcPr>
          <w:p>
            <w:pPr>
              <w:spacing w:line="360" w:lineRule="auto"/>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3</w:t>
            </w:r>
          </w:p>
        </w:tc>
        <w:tc>
          <w:tcPr>
            <w:tcW w:w="4991" w:type="dxa"/>
          </w:tcPr>
          <w:p>
            <w:pPr>
              <w:spacing w:line="360" w:lineRule="auto"/>
              <w:rPr>
                <w:rFonts w:hint="eastAsia" w:ascii="仿宋" w:hAnsi="仿宋" w:eastAsia="仿宋" w:cs="仿宋"/>
                <w:color w:val="auto"/>
                <w:sz w:val="24"/>
              </w:rPr>
            </w:pPr>
            <w:r>
              <w:rPr>
                <w:rFonts w:hint="eastAsia" w:ascii="仿宋" w:hAnsi="仿宋" w:eastAsia="仿宋" w:cs="仿宋"/>
                <w:color w:val="auto"/>
                <w:sz w:val="24"/>
              </w:rPr>
              <w:t>投标文件满足招标文件的其它实质性要求。</w:t>
            </w:r>
          </w:p>
        </w:tc>
        <w:tc>
          <w:tcPr>
            <w:tcW w:w="2551" w:type="dxa"/>
            <w:vAlign w:val="center"/>
          </w:tcPr>
          <w:p>
            <w:pPr>
              <w:spacing w:line="360" w:lineRule="auto"/>
              <w:rPr>
                <w:rFonts w:hint="eastAsia" w:ascii="仿宋" w:hAnsi="仿宋" w:eastAsia="仿宋" w:cs="仿宋"/>
                <w:color w:val="auto"/>
                <w:sz w:val="24"/>
              </w:rPr>
            </w:pPr>
            <w:r>
              <w:rPr>
                <w:rFonts w:hint="eastAsia" w:ascii="仿宋" w:hAnsi="仿宋" w:eastAsia="仿宋" w:cs="仿宋"/>
                <w:color w:val="auto"/>
                <w:kern w:val="0"/>
                <w:sz w:val="24"/>
              </w:rPr>
              <w:t>招标文件其它实质性要求相应的材料（“▲” 系指实质性要求条款，招标文件无其它实质性要求的，无需提供）</w:t>
            </w:r>
          </w:p>
        </w:tc>
        <w:tc>
          <w:tcPr>
            <w:tcW w:w="1418" w:type="dxa"/>
          </w:tcPr>
          <w:p>
            <w:pPr>
              <w:spacing w:line="360" w:lineRule="auto"/>
              <w:rPr>
                <w:rFonts w:hint="eastAsia" w:ascii="仿宋" w:hAnsi="仿宋" w:eastAsia="仿宋" w:cs="仿宋"/>
                <w:color w:val="auto"/>
              </w:rPr>
            </w:pPr>
            <w:r>
              <w:rPr>
                <w:rFonts w:hint="eastAsia" w:ascii="仿宋" w:hAnsi="仿宋" w:eastAsia="仿宋" w:cs="仿宋"/>
                <w:color w:val="auto"/>
                <w:sz w:val="24"/>
              </w:rPr>
              <w:t>见投标文件第</w:t>
            </w:r>
            <w:r>
              <w:rPr>
                <w:rFonts w:hint="eastAsia" w:ascii="仿宋" w:hAnsi="仿宋" w:eastAsia="仿宋" w:cs="仿宋"/>
                <w:color w:val="auto"/>
                <w:sz w:val="24"/>
                <w:u w:val="single"/>
              </w:rPr>
              <w:t xml:space="preserve">  </w:t>
            </w:r>
            <w:r>
              <w:rPr>
                <w:rFonts w:hint="eastAsia" w:ascii="仿宋" w:hAnsi="仿宋" w:eastAsia="仿宋" w:cs="仿宋"/>
                <w:color w:val="auto"/>
                <w:sz w:val="24"/>
              </w:rPr>
              <w:t>页</w:t>
            </w: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 xml:space="preserve">            </w:t>
      </w: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color w:val="auto"/>
        </w:rPr>
      </w:pPr>
      <w:r>
        <w:rPr>
          <w:rFonts w:hint="eastAsia" w:ascii="仿宋" w:hAnsi="仿宋" w:eastAsia="仿宋" w:cs="仿宋"/>
          <w:b/>
          <w:color w:val="auto"/>
          <w:kern w:val="0"/>
          <w:sz w:val="32"/>
          <w:szCs w:val="32"/>
        </w:rPr>
        <w:t>五、评标标准相应的商务技术资料</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（按招标文件第四部分评标办法前附表中“投标文件中评标标准相应的商务技术资料目录”提供资料。）</w:t>
      </w: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ind w:firstLine="2891" w:firstLineChars="900"/>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rPr>
            </w:pPr>
          </w:p>
        </w:tc>
      </w:tr>
    </w:tbl>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p>
    <w:p>
      <w:pPr>
        <w:spacing w:line="360"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序号</w:t>
            </w:r>
          </w:p>
        </w:tc>
        <w:tc>
          <w:tcPr>
            <w:tcW w:w="3683" w:type="dxa"/>
          </w:tcPr>
          <w:p>
            <w:pP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招标文件章节及具体内容</w:t>
            </w:r>
          </w:p>
        </w:tc>
        <w:tc>
          <w:tcPr>
            <w:tcW w:w="3546" w:type="dxa"/>
          </w:tcPr>
          <w:p>
            <w:pP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投标文件章节及具体内容</w:t>
            </w:r>
          </w:p>
        </w:tc>
        <w:tc>
          <w:tcPr>
            <w:tcW w:w="1276" w:type="dxa"/>
          </w:tcPr>
          <w:p>
            <w:pPr>
              <w:spacing w:line="360" w:lineRule="auto"/>
              <w:jc w:val="center"/>
              <w:rPr>
                <w:rFonts w:hint="eastAsia" w:ascii="仿宋" w:hAnsi="仿宋" w:eastAsia="仿宋" w:cs="仿宋"/>
                <w:b/>
                <w:bCs/>
                <w:color w:val="auto"/>
                <w:sz w:val="24"/>
              </w:rPr>
            </w:pPr>
            <w:r>
              <w:rPr>
                <w:rFonts w:hint="eastAsia" w:ascii="仿宋" w:hAnsi="仿宋" w:eastAsia="仿宋" w:cs="仿宋"/>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3683" w:type="dxa"/>
          </w:tcPr>
          <w:p>
            <w:pPr>
              <w:spacing w:line="360" w:lineRule="auto"/>
              <w:jc w:val="center"/>
              <w:rPr>
                <w:rFonts w:hint="eastAsia" w:ascii="仿宋" w:hAnsi="仿宋" w:eastAsia="仿宋" w:cs="仿宋"/>
                <w:b/>
                <w:color w:val="auto"/>
                <w:kern w:val="0"/>
                <w:sz w:val="32"/>
                <w:szCs w:val="32"/>
              </w:rPr>
            </w:pPr>
          </w:p>
        </w:tc>
        <w:tc>
          <w:tcPr>
            <w:tcW w:w="3546" w:type="dxa"/>
          </w:tcPr>
          <w:p>
            <w:pPr>
              <w:spacing w:line="360" w:lineRule="auto"/>
              <w:jc w:val="center"/>
              <w:rPr>
                <w:rFonts w:hint="eastAsia" w:ascii="仿宋" w:hAnsi="仿宋" w:eastAsia="仿宋" w:cs="仿宋"/>
                <w:b/>
                <w:color w:val="auto"/>
                <w:kern w:val="0"/>
                <w:sz w:val="32"/>
                <w:szCs w:val="32"/>
              </w:rPr>
            </w:pPr>
          </w:p>
        </w:tc>
        <w:tc>
          <w:tcPr>
            <w:tcW w:w="1276" w:type="dxa"/>
          </w:tcPr>
          <w:p>
            <w:pPr>
              <w:spacing w:line="360" w:lineRule="auto"/>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2</w:t>
            </w:r>
          </w:p>
        </w:tc>
        <w:tc>
          <w:tcPr>
            <w:tcW w:w="3683" w:type="dxa"/>
          </w:tcPr>
          <w:p>
            <w:pPr>
              <w:spacing w:line="360" w:lineRule="auto"/>
              <w:jc w:val="center"/>
              <w:rPr>
                <w:rFonts w:hint="eastAsia" w:ascii="仿宋" w:hAnsi="仿宋" w:eastAsia="仿宋" w:cs="仿宋"/>
                <w:b/>
                <w:color w:val="auto"/>
                <w:kern w:val="0"/>
                <w:sz w:val="32"/>
                <w:szCs w:val="32"/>
              </w:rPr>
            </w:pPr>
          </w:p>
        </w:tc>
        <w:tc>
          <w:tcPr>
            <w:tcW w:w="3546" w:type="dxa"/>
          </w:tcPr>
          <w:p>
            <w:pPr>
              <w:spacing w:line="360" w:lineRule="auto"/>
              <w:jc w:val="center"/>
              <w:rPr>
                <w:rFonts w:hint="eastAsia" w:ascii="仿宋" w:hAnsi="仿宋" w:eastAsia="仿宋" w:cs="仿宋"/>
                <w:b/>
                <w:color w:val="auto"/>
                <w:kern w:val="0"/>
                <w:sz w:val="32"/>
                <w:szCs w:val="32"/>
              </w:rPr>
            </w:pPr>
          </w:p>
        </w:tc>
        <w:tc>
          <w:tcPr>
            <w:tcW w:w="1276" w:type="dxa"/>
          </w:tcPr>
          <w:p>
            <w:pPr>
              <w:spacing w:line="360" w:lineRule="auto"/>
              <w:jc w:val="center"/>
              <w:rPr>
                <w:rFonts w:hint="eastAsia" w:ascii="仿宋" w:hAnsi="仿宋" w:eastAsia="仿宋" w:cs="仿宋"/>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w:t>
            </w:r>
          </w:p>
        </w:tc>
        <w:tc>
          <w:tcPr>
            <w:tcW w:w="3683" w:type="dxa"/>
          </w:tcPr>
          <w:p>
            <w:pPr>
              <w:spacing w:line="360" w:lineRule="auto"/>
              <w:jc w:val="center"/>
              <w:rPr>
                <w:rFonts w:hint="eastAsia" w:ascii="仿宋" w:hAnsi="仿宋" w:eastAsia="仿宋" w:cs="仿宋"/>
                <w:b/>
                <w:color w:val="auto"/>
                <w:kern w:val="0"/>
                <w:sz w:val="32"/>
                <w:szCs w:val="32"/>
              </w:rPr>
            </w:pPr>
          </w:p>
        </w:tc>
        <w:tc>
          <w:tcPr>
            <w:tcW w:w="3546" w:type="dxa"/>
          </w:tcPr>
          <w:p>
            <w:pPr>
              <w:spacing w:line="360" w:lineRule="auto"/>
              <w:jc w:val="center"/>
              <w:rPr>
                <w:rFonts w:hint="eastAsia" w:ascii="仿宋" w:hAnsi="仿宋" w:eastAsia="仿宋" w:cs="仿宋"/>
                <w:b/>
                <w:color w:val="auto"/>
                <w:kern w:val="0"/>
                <w:sz w:val="32"/>
                <w:szCs w:val="32"/>
              </w:rPr>
            </w:pPr>
          </w:p>
        </w:tc>
        <w:tc>
          <w:tcPr>
            <w:tcW w:w="1276" w:type="dxa"/>
          </w:tcPr>
          <w:p>
            <w:pPr>
              <w:spacing w:line="360" w:lineRule="auto"/>
              <w:jc w:val="center"/>
              <w:rPr>
                <w:rFonts w:hint="eastAsia" w:ascii="仿宋" w:hAnsi="仿宋" w:eastAsia="仿宋" w:cs="仿宋"/>
                <w:b/>
                <w:color w:val="auto"/>
                <w:kern w:val="0"/>
                <w:sz w:val="32"/>
                <w:szCs w:val="32"/>
              </w:rPr>
            </w:pPr>
          </w:p>
        </w:tc>
      </w:tr>
    </w:tbl>
    <w:p>
      <w:pPr>
        <w:spacing w:line="360"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投标人保证：除商务技术偏离表列出的偏离外，投标人响应招标文件的全部要求</w:t>
      </w:r>
    </w:p>
    <w:p>
      <w:pPr>
        <w:spacing w:line="360" w:lineRule="auto"/>
        <w:jc w:val="center"/>
        <w:rPr>
          <w:rFonts w:hint="eastAsia" w:ascii="仿宋" w:hAnsi="仿宋" w:eastAsia="仿宋" w:cs="仿宋"/>
          <w:b/>
          <w:color w:val="auto"/>
          <w:kern w:val="0"/>
          <w:sz w:val="32"/>
          <w:szCs w:val="32"/>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ind w:firstLine="1911" w:firstLineChars="595"/>
        <w:rPr>
          <w:rFonts w:hint="eastAsia" w:ascii="仿宋" w:hAnsi="仿宋" w:eastAsia="仿宋" w:cs="仿宋"/>
          <w:b/>
          <w:color w:val="auto"/>
          <w:kern w:val="0"/>
          <w:sz w:val="32"/>
          <w:szCs w:val="32"/>
        </w:rPr>
      </w:pPr>
      <w:r>
        <w:rPr>
          <w:rFonts w:hint="eastAsia" w:ascii="仿宋" w:hAnsi="仿宋" w:eastAsia="仿宋" w:cs="仿宋"/>
          <w:b/>
          <w:bCs/>
          <w:color w:val="auto"/>
          <w:sz w:val="32"/>
          <w:szCs w:val="32"/>
        </w:rPr>
        <w:t>八</w:t>
      </w:r>
      <w:r>
        <w:rPr>
          <w:rFonts w:hint="eastAsia" w:ascii="仿宋" w:hAnsi="仿宋" w:eastAsia="仿宋" w:cs="仿宋"/>
          <w:b/>
          <w:color w:val="auto"/>
          <w:kern w:val="0"/>
          <w:sz w:val="32"/>
          <w:szCs w:val="32"/>
        </w:rPr>
        <w:t>、</w:t>
      </w:r>
      <w:r>
        <w:rPr>
          <w:rFonts w:hint="eastAsia" w:ascii="仿宋" w:hAnsi="仿宋" w:eastAsia="仿宋" w:cs="仿宋"/>
          <w:b/>
          <w:color w:val="auto"/>
          <w:kern w:val="0"/>
          <w:sz w:val="32"/>
          <w:szCs w:val="32"/>
          <w:lang w:val="zh-CN"/>
        </w:rPr>
        <w:t>政府采购供应商廉洁自律承诺书</w:t>
      </w:r>
    </w:p>
    <w:p>
      <w:pPr>
        <w:snapToGrid w:val="0"/>
        <w:spacing w:line="360" w:lineRule="auto"/>
        <w:rPr>
          <w:rFonts w:hint="eastAsia" w:ascii="仿宋" w:hAnsi="仿宋" w:eastAsia="仿宋" w:cs="仿宋"/>
          <w:color w:val="auto"/>
          <w:sz w:val="24"/>
        </w:rPr>
      </w:pP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我单位响应你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好处；</w:t>
      </w:r>
    </w:p>
    <w:p>
      <w:pPr>
        <w:autoSpaceDE w:val="0"/>
        <w:autoSpaceDN w:val="0"/>
        <w:spacing w:line="360" w:lineRule="auto"/>
        <w:ind w:left="481" w:leftChars="229"/>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六、严格遵守《</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政府采购法》《</w:t>
      </w:r>
      <w:r>
        <w:rPr>
          <w:rFonts w:hint="eastAsia" w:ascii="仿宋" w:hAnsi="仿宋" w:eastAsia="仿宋" w:cs="仿宋"/>
          <w:color w:val="auto"/>
          <w:sz w:val="24"/>
          <w:lang w:val="zh-CN"/>
        </w:rPr>
        <w:t>中华人民共和国</w:t>
      </w:r>
      <w:r>
        <w:rPr>
          <w:rFonts w:hint="eastAsia" w:ascii="仿宋" w:hAnsi="仿宋" w:eastAsia="仿宋" w:cs="仿宋"/>
          <w:color w:val="auto"/>
          <w:kern w:val="0"/>
          <w:sz w:val="24"/>
          <w:lang w:val="zh-CN"/>
        </w:rPr>
        <w:t>招标投标</w:t>
      </w:r>
    </w:p>
    <w:p>
      <w:pPr>
        <w:autoSpaceDE w:val="0"/>
        <w:autoSpaceDN w:val="0"/>
        <w:spacing w:line="360" w:lineRule="auto"/>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法》</w:t>
      </w:r>
      <w:r>
        <w:rPr>
          <w:rFonts w:hint="eastAsia" w:ascii="仿宋" w:hAnsi="仿宋" w:eastAsia="仿宋" w:cs="仿宋"/>
          <w:color w:val="auto"/>
          <w:sz w:val="24"/>
          <w:lang w:val="zh-CN"/>
        </w:rPr>
        <w:t>《中华人民共和国民法典》</w:t>
      </w:r>
      <w:r>
        <w:rPr>
          <w:rFonts w:hint="eastAsia" w:ascii="仿宋" w:hAnsi="仿宋" w:eastAsia="仿宋" w:cs="仿宋"/>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如违反上述承诺，你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有权立即取消我单位投标、中标或在建项目的建设资格，有权拒绝我单位在一定时期内进入你</w:t>
      </w:r>
      <w:r>
        <w:rPr>
          <w:rFonts w:hint="eastAsia" w:ascii="仿宋" w:hAnsi="仿宋" w:eastAsia="仿宋" w:cs="仿宋"/>
          <w:color w:val="auto"/>
          <w:sz w:val="24"/>
        </w:rPr>
        <w:t>单位</w:t>
      </w:r>
      <w:r>
        <w:rPr>
          <w:rFonts w:hint="eastAsia" w:ascii="仿宋" w:hAnsi="仿宋" w:eastAsia="仿宋" w:cs="仿宋"/>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jc w:val="left"/>
        <w:rPr>
          <w:rFonts w:hint="eastAsia" w:ascii="仿宋" w:hAnsi="仿宋" w:eastAsia="仿宋" w:cs="仿宋"/>
          <w:color w:val="auto"/>
          <w:kern w:val="0"/>
          <w:sz w:val="24"/>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投标人名称（</w:t>
      </w:r>
      <w:r>
        <w:rPr>
          <w:rFonts w:hint="eastAsia" w:ascii="仿宋" w:hAnsi="仿宋" w:eastAsia="仿宋" w:cs="仿宋"/>
          <w:color w:val="auto"/>
          <w:sz w:val="24"/>
        </w:rPr>
        <w:t>电子签名</w:t>
      </w:r>
      <w:r>
        <w:rPr>
          <w:rFonts w:hint="eastAsia" w:ascii="仿宋" w:hAnsi="仿宋" w:eastAsia="仿宋" w:cs="仿宋"/>
          <w:color w:val="auto"/>
          <w:kern w:val="0"/>
          <w:sz w:val="24"/>
          <w:lang w:val="zh-CN"/>
        </w:rPr>
        <w:t xml:space="preserve">）：                                                                                                                                                                                                               </w:t>
      </w:r>
    </w:p>
    <w:p>
      <w:pPr>
        <w:spacing w:line="360" w:lineRule="auto"/>
        <w:ind w:left="4620" w:leftChars="2200"/>
        <w:rPr>
          <w:rFonts w:hint="eastAsia" w:ascii="仿宋" w:hAnsi="仿宋" w:eastAsia="仿宋" w:cs="仿宋"/>
          <w:color w:val="auto"/>
          <w:sz w:val="24"/>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w:t>
      </w:r>
      <w:r>
        <w:rPr>
          <w:rFonts w:hint="eastAsia" w:ascii="仿宋" w:hAnsi="仿宋" w:eastAsia="仿宋" w:cs="仿宋"/>
          <w:color w:val="auto"/>
          <w:kern w:val="0"/>
          <w:sz w:val="24"/>
          <w:lang w:val="zh-CN"/>
        </w:rPr>
        <w:t xml:space="preserve">   年   月   日</w:t>
      </w:r>
    </w:p>
    <w:p>
      <w:pPr>
        <w:spacing w:line="360" w:lineRule="auto"/>
        <w:jc w:val="center"/>
        <w:rPr>
          <w:rFonts w:hint="eastAsia" w:ascii="仿宋" w:hAnsi="仿宋" w:eastAsia="仿宋" w:cs="仿宋"/>
          <w:b/>
          <w:bCs/>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spacing w:line="360" w:lineRule="auto"/>
        <w:jc w:val="center"/>
        <w:rPr>
          <w:rFonts w:hint="eastAsia" w:ascii="仿宋" w:hAnsi="仿宋" w:eastAsia="仿宋" w:cs="仿宋"/>
          <w:b/>
          <w:bCs/>
          <w:color w:val="auto"/>
          <w:sz w:val="24"/>
        </w:rPr>
        <w:sectPr>
          <w:headerReference r:id="rId8" w:type="first"/>
          <w:footerReference r:id="rId9" w:type="firs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60"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60" w:lineRule="auto"/>
        <w:jc w:val="center"/>
        <w:outlineLvl w:val="0"/>
        <w:rPr>
          <w:rFonts w:hint="eastAsia" w:ascii="仿宋" w:hAnsi="仿宋" w:eastAsia="仿宋" w:cs="仿宋"/>
          <w:b/>
          <w:color w:val="auto"/>
          <w:kern w:val="0"/>
          <w:sz w:val="36"/>
          <w:szCs w:val="36"/>
        </w:rPr>
      </w:pP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（1）开标一览表（报价表）………………………………………………………（页码）</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（2）中小企业声明函………………………………………………………………（页码）</w:t>
      </w: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snapToGrid w:val="0"/>
        <w:spacing w:line="360" w:lineRule="auto"/>
        <w:ind w:right="480"/>
        <w:jc w:val="center"/>
        <w:rPr>
          <w:rFonts w:hint="eastAsia" w:ascii="仿宋" w:hAnsi="仿宋" w:eastAsia="仿宋" w:cs="仿宋"/>
          <w:b/>
          <w:color w:val="auto"/>
          <w:kern w:val="0"/>
          <w:sz w:val="32"/>
          <w:szCs w:val="32"/>
        </w:rPr>
      </w:pP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color w:val="auto"/>
          <w:kern w:val="2"/>
          <w:sz w:val="32"/>
          <w:szCs w:val="32"/>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一、开标一览表（报价表）</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sz w:val="24"/>
        </w:rPr>
        <w:t>（采购人）、（采购代理机构）</w:t>
      </w:r>
      <w:r>
        <w:rPr>
          <w:rFonts w:hint="eastAsia" w:ascii="仿宋" w:hAnsi="仿宋" w:eastAsia="仿宋" w:cs="仿宋"/>
          <w:color w:val="auto"/>
          <w:kern w:val="0"/>
          <w:sz w:val="24"/>
          <w:lang w:val="zh-CN"/>
        </w:rPr>
        <w:t>：</w:t>
      </w:r>
    </w:p>
    <w:p>
      <w:pPr>
        <w:snapToGrid w:val="0"/>
        <w:spacing w:line="360"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【招标编号：</w:t>
      </w:r>
      <w:r>
        <w:rPr>
          <w:rFonts w:hint="eastAsia" w:ascii="仿宋" w:hAnsi="仿宋" w:eastAsia="仿宋" w:cs="仿宋"/>
          <w:color w:val="auto"/>
          <w:sz w:val="24"/>
        </w:rPr>
        <w:t>（采购编号）】的实施</w:t>
      </w:r>
      <w:r>
        <w:rPr>
          <w:rFonts w:hint="eastAsia" w:ascii="仿宋" w:hAnsi="仿宋" w:eastAsia="仿宋" w:cs="仿宋"/>
          <w:color w:val="auto"/>
          <w:kern w:val="0"/>
          <w:sz w:val="24"/>
          <w:lang w:val="zh-CN"/>
        </w:rPr>
        <w:t>。</w:t>
      </w:r>
    </w:p>
    <w:p>
      <w:pPr>
        <w:spacing w:line="360"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992"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2268"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服务范围</w:t>
            </w:r>
          </w:p>
        </w:tc>
        <w:tc>
          <w:tcPr>
            <w:tcW w:w="2410"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服务要求</w:t>
            </w:r>
          </w:p>
        </w:tc>
        <w:tc>
          <w:tcPr>
            <w:tcW w:w="2268"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服务时间</w:t>
            </w:r>
          </w:p>
        </w:tc>
        <w:tc>
          <w:tcPr>
            <w:tcW w:w="2126"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服务标准</w:t>
            </w:r>
          </w:p>
        </w:tc>
        <w:tc>
          <w:tcPr>
            <w:tcW w:w="2127" w:type="dxa"/>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服务人数</w:t>
            </w:r>
          </w:p>
        </w:tc>
        <w:tc>
          <w:tcPr>
            <w:tcW w:w="2126"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992"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XX</w:t>
            </w: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2</w:t>
            </w:r>
          </w:p>
        </w:tc>
        <w:tc>
          <w:tcPr>
            <w:tcW w:w="992" w:type="dxa"/>
            <w:vAlign w:val="center"/>
          </w:tcPr>
          <w:p>
            <w:pPr>
              <w:snapToGrid w:val="0"/>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XX</w:t>
            </w: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w:t>
            </w:r>
          </w:p>
        </w:tc>
        <w:tc>
          <w:tcPr>
            <w:tcW w:w="992"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p>
        </w:tc>
        <w:tc>
          <w:tcPr>
            <w:tcW w:w="992"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rPr>
            </w:pPr>
          </w:p>
        </w:tc>
        <w:tc>
          <w:tcPr>
            <w:tcW w:w="992"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410" w:type="dxa"/>
            <w:vAlign w:val="center"/>
          </w:tcPr>
          <w:p>
            <w:pPr>
              <w:snapToGrid w:val="0"/>
              <w:spacing w:line="360" w:lineRule="auto"/>
              <w:jc w:val="center"/>
              <w:rPr>
                <w:rFonts w:hint="eastAsia" w:ascii="仿宋" w:hAnsi="仿宋" w:eastAsia="仿宋" w:cs="仿宋"/>
                <w:color w:val="auto"/>
                <w:sz w:val="24"/>
              </w:rPr>
            </w:pPr>
          </w:p>
        </w:tc>
        <w:tc>
          <w:tcPr>
            <w:tcW w:w="2268" w:type="dxa"/>
            <w:vAlign w:val="center"/>
          </w:tcPr>
          <w:p>
            <w:pPr>
              <w:snapToGrid w:val="0"/>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c>
          <w:tcPr>
            <w:tcW w:w="2127" w:type="dxa"/>
          </w:tcPr>
          <w:p>
            <w:pPr>
              <w:spacing w:line="360" w:lineRule="auto"/>
              <w:jc w:val="center"/>
              <w:rPr>
                <w:rFonts w:hint="eastAsia" w:ascii="仿宋" w:hAnsi="仿宋" w:eastAsia="仿宋" w:cs="仿宋"/>
                <w:color w:val="auto"/>
                <w:sz w:val="24"/>
              </w:rPr>
            </w:pPr>
          </w:p>
        </w:tc>
        <w:tc>
          <w:tcPr>
            <w:tcW w:w="2126"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投标报价（小写）</w:t>
            </w:r>
          </w:p>
        </w:tc>
        <w:tc>
          <w:tcPr>
            <w:tcW w:w="8647" w:type="dxa"/>
            <w:gridSpan w:val="4"/>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投标报价（大写）</w:t>
            </w:r>
          </w:p>
        </w:tc>
        <w:tc>
          <w:tcPr>
            <w:tcW w:w="8647" w:type="dxa"/>
            <w:gridSpan w:val="4"/>
          </w:tcPr>
          <w:p>
            <w:pPr>
              <w:spacing w:line="360" w:lineRule="auto"/>
              <w:jc w:val="center"/>
              <w:rPr>
                <w:rFonts w:hint="eastAsia" w:ascii="仿宋" w:hAnsi="仿宋" w:eastAsia="仿宋" w:cs="仿宋"/>
                <w:color w:val="auto"/>
                <w:sz w:val="24"/>
              </w:rPr>
            </w:pPr>
          </w:p>
        </w:tc>
      </w:tr>
    </w:tbl>
    <w:p>
      <w:pPr>
        <w:snapToGrid w:val="0"/>
        <w:spacing w:line="360" w:lineRule="auto"/>
        <w:ind w:left="480"/>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60" w:lineRule="auto"/>
        <w:ind w:left="-2" w:leftChars="-1"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kern w:val="0"/>
          <w:sz w:val="24"/>
        </w:rPr>
      </w:pP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color w:val="auto"/>
          <w:kern w:val="2"/>
          <w:sz w:val="32"/>
          <w:szCs w:val="32"/>
        </w:rPr>
      </w:pP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color w:val="auto"/>
          <w:sz w:val="32"/>
          <w:szCs w:val="32"/>
        </w:rPr>
      </w:pPr>
      <w:r>
        <w:rPr>
          <w:rFonts w:hint="eastAsia" w:ascii="仿宋" w:hAnsi="仿宋" w:eastAsia="仿宋" w:cs="仿宋"/>
          <w:color w:val="auto"/>
          <w:kern w:val="2"/>
          <w:sz w:val="32"/>
          <w:szCs w:val="32"/>
        </w:rPr>
        <w:t>二、</w:t>
      </w:r>
      <w:r>
        <w:rPr>
          <w:rFonts w:hint="eastAsia" w:ascii="仿宋" w:hAnsi="仿宋" w:eastAsia="仿宋" w:cs="仿宋"/>
          <w:color w:val="auto"/>
          <w:sz w:val="32"/>
          <w:szCs w:val="32"/>
        </w:rPr>
        <w:t>中小企业声明函（如果有）</w:t>
      </w:r>
    </w:p>
    <w:p>
      <w:pPr>
        <w:widowControl/>
        <w:spacing w:line="360"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line="360" w:lineRule="auto"/>
        <w:ind w:firstLine="643"/>
        <w:outlineLvl w:val="9"/>
        <w:rPr>
          <w:rFonts w:hint="eastAsia" w:ascii="仿宋" w:hAnsi="仿宋" w:eastAsia="仿宋" w:cs="仿宋"/>
          <w:b w:val="0"/>
          <w:color w:val="auto"/>
          <w:sz w:val="32"/>
          <w:szCs w:val="32"/>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spacing w:line="360" w:lineRule="auto"/>
        <w:ind w:right="420" w:firstLine="3614" w:firstLineChars="1000"/>
        <w:rPr>
          <w:rFonts w:hint="eastAsia" w:ascii="仿宋" w:hAnsi="仿宋" w:eastAsia="仿宋" w:cs="仿宋"/>
          <w:b/>
          <w:color w:val="auto"/>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rPr>
      </w:pPr>
      <w:r>
        <w:rPr>
          <w:rFonts w:hint="eastAsia" w:ascii="仿宋" w:hAnsi="仿宋" w:eastAsia="仿宋" w:cs="仿宋"/>
          <w:color w:val="auto"/>
        </w:rPr>
        <w:t>附件</w:t>
      </w:r>
    </w:p>
    <w:p>
      <w:pPr>
        <w:spacing w:line="360" w:lineRule="auto"/>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w:t>
      </w:r>
    </w:p>
    <w:p>
      <w:pPr>
        <w:spacing w:line="360" w:lineRule="auto"/>
        <w:jc w:val="center"/>
        <w:rPr>
          <w:rFonts w:hint="eastAsia" w:ascii="仿宋" w:hAnsi="仿宋" w:eastAsia="仿宋" w:cs="仿宋"/>
          <w:b/>
          <w:color w:val="auto"/>
          <w:spacing w:val="6"/>
          <w:sz w:val="32"/>
          <w:szCs w:val="32"/>
        </w:rPr>
      </w:pPr>
      <w:bookmarkStart w:id="517" w:name="OLE_LINK13"/>
      <w:bookmarkStart w:id="518" w:name="OLE_LINK14"/>
      <w:r>
        <w:rPr>
          <w:rFonts w:hint="eastAsia" w:ascii="仿宋" w:hAnsi="仿宋" w:eastAsia="仿宋" w:cs="仿宋"/>
          <w:b/>
          <w:color w:val="auto"/>
          <w:spacing w:val="6"/>
          <w:sz w:val="32"/>
          <w:szCs w:val="32"/>
        </w:rPr>
        <w:t>残疾人福利性单位声明函</w:t>
      </w:r>
    </w:p>
    <w:bookmarkEnd w:id="517"/>
    <w:bookmarkEnd w:id="518"/>
    <w:p>
      <w:pPr>
        <w:spacing w:line="360" w:lineRule="auto"/>
        <w:rPr>
          <w:rFonts w:hint="eastAsia" w:ascii="仿宋" w:hAnsi="仿宋" w:eastAsia="仿宋" w:cs="仿宋"/>
          <w:b/>
          <w:color w:val="auto"/>
          <w:spacing w:val="6"/>
          <w:sz w:val="30"/>
          <w:szCs w:val="30"/>
        </w:rPr>
      </w:pP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u w:val="single"/>
        </w:rPr>
        <w:t>(采购人)</w:t>
      </w:r>
      <w:r>
        <w:rPr>
          <w:rFonts w:hint="eastAsia" w:ascii="仿宋" w:hAnsi="仿宋" w:eastAsia="仿宋" w:cs="仿宋"/>
          <w:color w:val="auto"/>
          <w:sz w:val="24"/>
        </w:rPr>
        <w:t>_单位的_</w:t>
      </w:r>
      <w:r>
        <w:rPr>
          <w:rFonts w:hint="eastAsia" w:ascii="仿宋" w:hAnsi="仿宋" w:eastAsia="仿宋" w:cs="仿宋"/>
          <w:color w:val="auto"/>
          <w:sz w:val="24"/>
          <w:u w:val="single"/>
        </w:rPr>
        <w:t>（项目名称）</w:t>
      </w:r>
      <w:r>
        <w:rPr>
          <w:rFonts w:hint="eastAsia" w:ascii="仿宋" w:hAnsi="仿宋" w:eastAsia="仿宋" w:cs="仿宋"/>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rPr>
      </w:pPr>
    </w:p>
    <w:p>
      <w:pPr>
        <w:spacing w:line="360" w:lineRule="auto"/>
        <w:ind w:firstLine="480" w:firstLineChars="200"/>
        <w:rPr>
          <w:rFonts w:hint="eastAsia" w:ascii="仿宋" w:hAnsi="仿宋" w:eastAsia="仿宋" w:cs="仿宋"/>
          <w:color w:val="auto"/>
          <w:sz w:val="24"/>
        </w:rPr>
      </w:pP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w:t>
      </w:r>
      <w:r>
        <w:rPr>
          <w:rFonts w:hint="eastAsia" w:ascii="仿宋" w:hAnsi="仿宋" w:eastAsia="仿宋" w:cs="仿宋"/>
          <w:color w:val="auto"/>
          <w:kern w:val="0"/>
          <w:sz w:val="24"/>
          <w:lang w:val="zh-CN"/>
        </w:rPr>
        <w:t>投标人名称（电子签名）</w:t>
      </w:r>
      <w:r>
        <w:rPr>
          <w:rFonts w:hint="eastAsia" w:ascii="仿宋" w:hAnsi="仿宋" w:eastAsia="仿宋" w:cs="仿宋"/>
          <w:color w:val="auto"/>
          <w:sz w:val="24"/>
        </w:rPr>
        <w:t>：</w:t>
      </w:r>
    </w:p>
    <w:p>
      <w:pPr>
        <w:tabs>
          <w:tab w:val="left" w:pos="4860"/>
        </w:tabs>
        <w:spacing w:line="360" w:lineRule="auto"/>
        <w:ind w:right="1560" w:firstLine="480" w:firstLineChars="200"/>
        <w:jc w:val="center"/>
        <w:rPr>
          <w:rFonts w:hint="eastAsia" w:ascii="仿宋" w:hAnsi="仿宋" w:eastAsia="仿宋" w:cs="仿宋"/>
          <w:color w:val="auto"/>
          <w:sz w:val="24"/>
        </w:rPr>
      </w:pPr>
      <w:r>
        <w:rPr>
          <w:rFonts w:hint="eastAsia" w:ascii="仿宋" w:hAnsi="仿宋" w:eastAsia="仿宋" w:cs="仿宋"/>
          <w:color w:val="auto"/>
          <w:sz w:val="24"/>
        </w:rPr>
        <w:t xml:space="preserve">       日  期：</w:t>
      </w:r>
    </w:p>
    <w:p>
      <w:pPr>
        <w:spacing w:line="360" w:lineRule="auto"/>
        <w:ind w:firstLine="480" w:firstLineChars="200"/>
        <w:rPr>
          <w:rFonts w:hint="eastAsia" w:ascii="仿宋" w:hAnsi="仿宋" w:eastAsia="仿宋" w:cs="仿宋"/>
          <w:color w:val="auto"/>
          <w:sz w:val="24"/>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ind w:firstLine="420" w:firstLineChars="200"/>
        <w:rPr>
          <w:rFonts w:hint="eastAsia" w:ascii="仿宋" w:hAnsi="仿宋" w:eastAsia="仿宋" w:cs="仿宋"/>
          <w:color w:val="auto"/>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附件2：质疑函范本及制作说明</w:t>
      </w: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before="240" w:beforeLines="100" w:line="360"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60"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60"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jc w:val="center"/>
        <w:rPr>
          <w:rFonts w:hint="eastAsia" w:ascii="仿宋" w:hAnsi="仿宋" w:eastAsia="仿宋" w:cs="仿宋"/>
          <w:b/>
          <w:bCs/>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center"/>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p>
    <w:p>
      <w:pPr>
        <w:spacing w:line="360"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附件3：投诉书范本及制作说明</w:t>
      </w:r>
    </w:p>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60"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60"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60"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60"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bCs/>
          <w:color w:val="auto"/>
          <w:sz w:val="32"/>
          <w:szCs w:val="32"/>
        </w:rPr>
      </w:pPr>
      <w:r>
        <w:rPr>
          <w:rFonts w:hint="eastAsia" w:ascii="仿宋" w:hAnsi="仿宋" w:eastAsia="仿宋" w:cs="仿宋"/>
          <w:b/>
          <w:color w:val="auto"/>
          <w:spacing w:val="6"/>
          <w:sz w:val="32"/>
          <w:szCs w:val="32"/>
        </w:rPr>
        <w:t>附件4：</w:t>
      </w:r>
      <w:r>
        <w:rPr>
          <w:rFonts w:hint="eastAsia" w:ascii="仿宋" w:hAnsi="仿宋" w:eastAsia="仿宋" w:cs="仿宋"/>
          <w:b/>
          <w:bCs/>
          <w:color w:val="auto"/>
          <w:sz w:val="32"/>
          <w:szCs w:val="32"/>
        </w:rPr>
        <w:t>业务专用章使用说明函</w:t>
      </w:r>
    </w:p>
    <w:p>
      <w:pPr>
        <w:spacing w:line="360" w:lineRule="auto"/>
        <w:rPr>
          <w:rFonts w:hint="eastAsia" w:ascii="仿宋" w:hAnsi="仿宋" w:eastAsia="仿宋" w:cs="仿宋"/>
          <w:color w:val="auto"/>
          <w:sz w:val="24"/>
          <w:u w:val="single"/>
        </w:rPr>
      </w:pPr>
    </w:p>
    <w:p>
      <w:pPr>
        <w:spacing w:line="360" w:lineRule="auto"/>
        <w:rPr>
          <w:rFonts w:hint="eastAsia" w:ascii="仿宋" w:hAnsi="仿宋" w:eastAsia="仿宋" w:cs="仿宋"/>
          <w:color w:val="auto"/>
          <w:sz w:val="24"/>
        </w:rPr>
      </w:pPr>
      <w:r>
        <w:rPr>
          <w:rFonts w:hint="eastAsia" w:ascii="仿宋" w:hAnsi="仿宋" w:eastAsia="仿宋" w:cs="仿宋"/>
          <w:color w:val="auto"/>
          <w:sz w:val="24"/>
          <w:u w:val="single"/>
        </w:rPr>
        <w:t>（采购人）、（采购代理机构）：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(投标人全称)是中华人民共和国依法登记注册的合法企业，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你方组织的（项目名称）【招标编号：（采购编号）】</w:t>
      </w:r>
      <w:r>
        <w:rPr>
          <w:rFonts w:hint="eastAsia" w:ascii="仿宋" w:hAnsi="仿宋" w:eastAsia="仿宋" w:cs="仿宋"/>
          <w:bCs/>
          <w:color w:val="auto"/>
          <w:sz w:val="24"/>
        </w:rPr>
        <w:t>投标活动中作如下说明：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firstLine="494"/>
        <w:rPr>
          <w:rFonts w:hint="eastAsia" w:ascii="仿宋" w:hAnsi="仿宋" w:eastAsia="仿宋" w:cs="仿宋"/>
          <w:color w:val="auto"/>
          <w:sz w:val="24"/>
        </w:rPr>
      </w:pPr>
    </w:p>
    <w:p>
      <w:pPr>
        <w:spacing w:line="360" w:lineRule="auto"/>
        <w:ind w:right="480" w:firstLine="4080" w:firstLineChars="1700"/>
        <w:rPr>
          <w:rFonts w:hint="eastAsia" w:ascii="仿宋" w:hAnsi="仿宋" w:eastAsia="仿宋" w:cs="仿宋"/>
          <w:color w:val="auto"/>
          <w:sz w:val="24"/>
        </w:rPr>
      </w:pPr>
      <w:r>
        <w:rPr>
          <w:rFonts w:hint="eastAsia" w:ascii="仿宋" w:hAnsi="仿宋" w:eastAsia="仿宋" w:cs="仿宋"/>
          <w:color w:val="auto"/>
          <w:sz w:val="24"/>
        </w:rPr>
        <w:t>投标单位（法定名称章）：</w:t>
      </w:r>
    </w:p>
    <w:p>
      <w:pPr>
        <w:spacing w:line="360" w:lineRule="auto"/>
        <w:ind w:right="1440" w:firstLine="494"/>
        <w:jc w:val="center"/>
        <w:rPr>
          <w:rFonts w:hint="eastAsia" w:ascii="仿宋" w:hAnsi="仿宋" w:eastAsia="仿宋" w:cs="仿宋"/>
          <w:color w:val="auto"/>
          <w:sz w:val="24"/>
        </w:rPr>
      </w:pPr>
      <w:r>
        <w:rPr>
          <w:rFonts w:hint="eastAsia" w:ascii="仿宋" w:hAnsi="仿宋" w:eastAsia="仿宋" w:cs="仿宋"/>
          <w:color w:val="auto"/>
          <w:sz w:val="24"/>
        </w:rPr>
        <w:t xml:space="preserve">                              日期：       年     月     日</w:t>
      </w:r>
    </w:p>
    <w:p>
      <w:pPr>
        <w:spacing w:line="360" w:lineRule="auto"/>
        <w:rPr>
          <w:rFonts w:hint="eastAsia" w:ascii="仿宋" w:hAnsi="仿宋" w:eastAsia="仿宋" w:cs="仿宋"/>
          <w:color w:val="auto"/>
          <w:sz w:val="24"/>
        </w:rPr>
      </w:pPr>
      <w:r>
        <w:rPr>
          <w:rFonts w:hint="eastAsia" w:ascii="仿宋" w:hAnsi="仿宋" w:eastAsia="仿宋" w:cs="仿宋"/>
          <w:b/>
          <w:bCs/>
          <w:color w:val="auto"/>
          <w:sz w:val="24"/>
        </w:rPr>
        <w:t>附：</w:t>
      </w:r>
    </w:p>
    <w:p>
      <w:pPr>
        <w:spacing w:line="360" w:lineRule="auto"/>
        <w:rPr>
          <w:rFonts w:hint="eastAsia" w:ascii="仿宋" w:hAnsi="仿宋" w:eastAsia="仿宋" w:cs="仿宋"/>
          <w:bCs/>
          <w:color w:val="auto"/>
          <w:sz w:val="24"/>
        </w:rPr>
      </w:pPr>
      <w:r>
        <w:rPr>
          <w:rFonts w:hint="eastAsia" w:ascii="仿宋" w:hAnsi="仿宋" w:eastAsia="仿宋" w:cs="仿宋"/>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rPr>
        <w:t>投标单位法定名称章（印模）                投标单位“XX专用章”（印模）</w:t>
      </w: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pacing w:val="6"/>
          <w:sz w:val="32"/>
          <w:szCs w:val="32"/>
        </w:rPr>
        <w:t>附件5：</w:t>
      </w:r>
      <w:r>
        <w:rPr>
          <w:rFonts w:hint="eastAsia" w:ascii="仿宋" w:hAnsi="仿宋" w:eastAsia="仿宋" w:cs="仿宋"/>
          <w:b/>
          <w:color w:val="auto"/>
          <w:kern w:val="0"/>
          <w:sz w:val="32"/>
          <w:szCs w:val="32"/>
          <w:lang w:val="zh-CN"/>
        </w:rPr>
        <w:t>联合协议</w:t>
      </w:r>
    </w:p>
    <w:p>
      <w:pPr>
        <w:widowControl/>
        <w:spacing w:line="360"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组成一个联合体，以一个投标人的身份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 xml:space="preserve">投标。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，代表所有联合体成员负责投标和合同实施阶段的主办、协调工作</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三、本次联合投标中，分工如下：</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四、联合体成员中小企业合同份额。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1、</w:t>
      </w:r>
      <w:r>
        <w:rPr>
          <w:rFonts w:hint="eastAsia" w:ascii="仿宋" w:hAnsi="仿宋" w:eastAsia="仿宋" w:cs="仿宋"/>
          <w:color w:val="auto"/>
          <w:kern w:val="0"/>
          <w:sz w:val="24"/>
          <w:u w:val="single"/>
        </w:rPr>
        <w:t>（</w:t>
      </w:r>
      <w:bookmarkStart w:id="519" w:name="_Hlk101131882"/>
      <w:r>
        <w:rPr>
          <w:rFonts w:hint="eastAsia" w:ascii="仿宋" w:hAnsi="仿宋" w:eastAsia="仿宋" w:cs="仿宋"/>
          <w:color w:val="auto"/>
          <w:kern w:val="0"/>
          <w:sz w:val="24"/>
          <w:u w:val="single"/>
        </w:rPr>
        <w:t>联合体成员X,……</w:t>
      </w:r>
      <w:bookmarkEnd w:id="519"/>
      <w:r>
        <w:rPr>
          <w:rFonts w:hint="eastAsia" w:ascii="仿宋" w:hAnsi="仿宋" w:eastAsia="仿宋" w:cs="仿宋"/>
          <w:color w:val="auto"/>
          <w:kern w:val="0"/>
          <w:sz w:val="24"/>
          <w:u w:val="single"/>
        </w:rPr>
        <w:t>）</w:t>
      </w:r>
      <w:r>
        <w:rPr>
          <w:rFonts w:hint="eastAsia" w:ascii="仿宋" w:hAnsi="仿宋" w:eastAsia="仿宋" w:cs="仿宋"/>
          <w:color w:val="auto"/>
          <w:kern w:val="0"/>
          <w:sz w:val="24"/>
        </w:rPr>
        <w:t>提供的服务由小微企业承接，其合同份额占到合同总金额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w:t>
      </w:r>
      <w:bookmarkStart w:id="520" w:name="_Hlk101133598"/>
      <w:r>
        <w:rPr>
          <w:rFonts w:hint="eastAsia" w:ascii="仿宋" w:hAnsi="仿宋" w:eastAsia="仿宋" w:cs="仿宋"/>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rPr>
        <w:t>拟享受以上价格扣除政策的，填写有关内容。</w:t>
      </w:r>
      <w:bookmarkEnd w:id="520"/>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w:t>
      </w:r>
      <w:bookmarkStart w:id="521" w:name="_Hlk101133173"/>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lang w:val="zh-CN"/>
        </w:rPr>
        <w:t>）</w:t>
      </w:r>
      <w:bookmarkEnd w:id="521"/>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五、如果中标，</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六、有关本次联合投标的其他事宜：</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60" w:lineRule="auto"/>
        <w:ind w:right="960"/>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snapToGrid w:val="0"/>
        <w:spacing w:line="360" w:lineRule="auto"/>
        <w:ind w:firstLine="3666" w:firstLineChars="1100"/>
        <w:rPr>
          <w:rFonts w:hint="eastAsia" w:ascii="仿宋" w:hAnsi="仿宋" w:eastAsia="仿宋" w:cs="仿宋"/>
          <w:b/>
          <w:color w:val="auto"/>
          <w:kern w:val="0"/>
          <w:sz w:val="32"/>
          <w:szCs w:val="32"/>
        </w:rPr>
      </w:pPr>
      <w:r>
        <w:rPr>
          <w:rFonts w:hint="eastAsia" w:ascii="仿宋" w:hAnsi="仿宋" w:eastAsia="仿宋" w:cs="仿宋"/>
          <w:b/>
          <w:color w:val="auto"/>
          <w:spacing w:val="6"/>
          <w:sz w:val="32"/>
          <w:szCs w:val="32"/>
        </w:rPr>
        <w:t>附件6：</w:t>
      </w:r>
      <w:r>
        <w:rPr>
          <w:rFonts w:hint="eastAsia" w:ascii="仿宋" w:hAnsi="仿宋" w:eastAsia="仿宋" w:cs="仿宋"/>
          <w:b/>
          <w:color w:val="auto"/>
          <w:kern w:val="0"/>
          <w:sz w:val="32"/>
          <w:szCs w:val="32"/>
        </w:rPr>
        <w:t>分包意向协议</w:t>
      </w:r>
    </w:p>
    <w:p>
      <w:pPr>
        <w:widowControl/>
        <w:spacing w:line="360"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（项目名称）【招标编号：（采购编号）】</w:t>
      </w:r>
      <w:r>
        <w:rPr>
          <w:rFonts w:hint="eastAsia" w:ascii="仿宋" w:hAnsi="仿宋" w:eastAsia="仿宋" w:cs="仿宋"/>
          <w:color w:val="auto"/>
          <w:kern w:val="0"/>
          <w:sz w:val="24"/>
          <w:lang w:val="zh-CN"/>
        </w:rPr>
        <w:t>的中标供应商，将依法采取分包方式履行合同。</w:t>
      </w: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（投标人名称）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（分包供应商2名称），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4"/>
        <w:spacing w:line="360" w:lineRule="auto"/>
        <w:ind w:left="664" w:leftChars="316" w:firstLine="229" w:firstLineChars="95"/>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spacing w:line="360" w:lineRule="auto"/>
        <w:rPr>
          <w:rFonts w:hint="eastAsia" w:ascii="仿宋" w:hAnsi="仿宋" w:eastAsia="仿宋" w:cs="仿宋"/>
          <w:color w:val="auto"/>
        </w:rPr>
      </w:pPr>
      <w:r>
        <w:rPr>
          <w:rFonts w:hint="eastAsia" w:ascii="仿宋" w:hAnsi="仿宋" w:eastAsia="仿宋" w:cs="仿宋"/>
          <w:color w:val="auto"/>
          <w:lang w:val="zh-CN"/>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二、分包供应商中小企业合同份额</w:t>
      </w:r>
    </w:p>
    <w:p>
      <w:pPr>
        <w:snapToGrid w:val="0"/>
        <w:spacing w:line="360"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（分包供应商X,……）提供的服务全部由小微企业承接，</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pacing w:line="360"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要求合同分包形式参加的项目或采购包，供应商按招标文件第一部分招标公告申请人的资格要求中规定的</w:t>
      </w:r>
      <w:r>
        <w:rPr>
          <w:rFonts w:hint="eastAsia" w:ascii="仿宋" w:hAnsi="仿宋" w:eastAsia="仿宋" w:cs="仿宋"/>
          <w:b/>
          <w:color w:val="auto"/>
          <w:kern w:val="0"/>
          <w:sz w:val="24"/>
          <w:lang w:val="zh-CN"/>
        </w:rPr>
        <w:t>分包意向协议</w:t>
      </w:r>
      <w:r>
        <w:rPr>
          <w:rFonts w:hint="eastAsia" w:ascii="仿宋" w:hAnsi="仿宋" w:eastAsia="仿宋" w:cs="仿宋"/>
          <w:b/>
          <w:bCs/>
          <w:color w:val="auto"/>
          <w:sz w:val="24"/>
        </w:rPr>
        <w:t>中中小企业、小微企业合同金额应当达到的比例要求填写。</w:t>
      </w:r>
      <w:r>
        <w:rPr>
          <w:rFonts w:hint="eastAsia" w:ascii="仿宋" w:hAnsi="仿宋" w:eastAsia="仿宋" w:cs="仿宋"/>
          <w:b/>
          <w:bCs/>
          <w:color w:val="auto"/>
          <w:kern w:val="0"/>
          <w:sz w:val="24"/>
          <w:lang w:val="zh-CN"/>
        </w:rPr>
        <w:t>）</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三、分包工作履行期限、地点、方式</w:t>
      </w:r>
    </w:p>
    <w:p>
      <w:pPr>
        <w:snapToGrid w:val="0"/>
        <w:spacing w:line="360"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四、质量</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五、价款或者报酬</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left="573" w:leftChars="273"/>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六、违约责任</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七、争议解决的办法</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60"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八、其他</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投标人名称(电子签名)：</w:t>
      </w:r>
    </w:p>
    <w:p>
      <w:pPr>
        <w:snapToGrid w:val="0"/>
        <w:spacing w:line="360"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分包供应商名称(电子签名/公章)：</w:t>
      </w:r>
    </w:p>
    <w:p>
      <w:pPr>
        <w:snapToGrid w:val="0"/>
        <w:spacing w:line="360"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60" w:lineRule="auto"/>
        <w:ind w:left="5758" w:leftChars="342" w:hanging="5040" w:hanging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autoSpaceDE w:val="0"/>
        <w:autoSpaceDN w:val="0"/>
        <w:spacing w:line="360" w:lineRule="auto"/>
        <w:jc w:val="center"/>
        <w:rPr>
          <w:rFonts w:hint="eastAsia" w:ascii="仿宋" w:hAnsi="仿宋" w:eastAsia="仿宋" w:cs="仿宋"/>
          <w:b/>
          <w:color w:val="auto"/>
          <w:spacing w:val="6"/>
          <w:sz w:val="32"/>
          <w:szCs w:val="32"/>
        </w:rPr>
      </w:pPr>
    </w:p>
    <w:p>
      <w:pPr>
        <w:spacing w:line="360" w:lineRule="auto"/>
        <w:jc w:val="left"/>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附件7：中小企业声明函</w:t>
      </w:r>
    </w:p>
    <w:p>
      <w:pPr>
        <w:spacing w:line="360" w:lineRule="auto"/>
        <w:jc w:val="center"/>
        <w:rPr>
          <w:rFonts w:hint="eastAsia" w:ascii="仿宋" w:hAnsi="仿宋" w:eastAsia="仿宋" w:cs="仿宋"/>
          <w:color w:val="auto"/>
          <w:sz w:val="24"/>
          <w:u w:val="single"/>
        </w:rPr>
      </w:pPr>
    </w:p>
    <w:p>
      <w:pPr>
        <w:spacing w:line="360"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中小企业声明函（服务）</w:t>
      </w:r>
    </w:p>
    <w:p>
      <w:pPr>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详规编制指引与详规成果整合</w:t>
      </w:r>
      <w:r>
        <w:rPr>
          <w:rFonts w:hint="eastAsia" w:ascii="仿宋" w:hAnsi="仿宋" w:eastAsia="仿宋" w:cs="仿宋"/>
          <w:color w:val="auto"/>
          <w:sz w:val="24"/>
        </w:rPr>
        <w:t>，属于</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其他未列明行业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sz w:val="24"/>
          <w:u w:val="single"/>
        </w:rPr>
        <w:t xml:space="preserve"> （标的名称），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 xml:space="preserve">（采购文件中明确的所属行业） </w:t>
      </w:r>
      <w:r>
        <w:rPr>
          <w:rFonts w:hint="eastAsia" w:ascii="仿宋" w:hAnsi="仿宋" w:eastAsia="仿宋" w:cs="仿宋"/>
          <w:color w:val="auto"/>
          <w:sz w:val="24"/>
        </w:rPr>
        <w:t xml:space="preserve">；承建（承接）企业为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rPr>
      </w:pPr>
      <w:r>
        <w:rPr>
          <w:rFonts w:hint="eastAsia" w:ascii="仿宋" w:hAnsi="仿宋" w:eastAsia="仿宋" w:cs="仿宋"/>
          <w:color w:val="auto"/>
          <w:sz w:val="24"/>
        </w:rPr>
        <w:t>投标人名称（电子签名）：</w:t>
      </w:r>
    </w:p>
    <w:p>
      <w:pPr>
        <w:spacing w:line="360" w:lineRule="auto"/>
        <w:ind w:right="1120"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60"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rPr>
      </w:pPr>
    </w:p>
    <w:p>
      <w:pPr>
        <w:spacing w:line="360" w:lineRule="auto"/>
        <w:ind w:right="420"/>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60" w:lineRule="auto"/>
        <w:ind w:right="420"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spacing w:line="360" w:lineRule="auto"/>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5" w:type="first"/>
      <w:footerReference r:id="rId18" w:type="first"/>
      <w:headerReference r:id="rId14" w:type="default"/>
      <w:footerReference r:id="rId16" w:type="default"/>
      <w:footerReference r:id="rId17"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swiss"/>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Vrinda"/>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22" w:name="_Toc131845147"/>
    <w:bookmarkStart w:id="523" w:name="_Toc91899912"/>
    <w:bookmarkStart w:id="524" w:name="_Toc164085800"/>
    <w:bookmarkStart w:id="525" w:name="_Toc36110187"/>
    <w:r>
      <w:rPr>
        <w:rFonts w:hint="eastAsia" w:ascii="仿宋_GB2312" w:eastAsia="仿宋_GB2312"/>
        <w:kern w:val="0"/>
        <w:szCs w:val="21"/>
      </w:rPr>
      <w:t xml:space="preserve"> 页</w:t>
    </w:r>
    <w:bookmarkEnd w:id="522"/>
    <w:bookmarkEnd w:id="523"/>
    <w:bookmarkEnd w:id="524"/>
    <w:bookmarkEnd w:id="52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临安区详规编制指引与详规成果整合</w:t>
    </w:r>
    <w:r>
      <w:rPr>
        <w:rFonts w:hint="eastAsia"/>
        <w:lang w:eastAsia="zh-CN"/>
      </w:rP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rPr>
        <w:rFonts w:hint="eastAsia" w:eastAsia="宋体"/>
        <w:lang w:val="en-US" w:eastAsia="zh-CN"/>
      </w:rPr>
    </w:pPr>
    <w:r>
      <w:rPr>
        <w:lang w:val="zh-CN"/>
      </w:rPr>
      <w:t></w:t>
    </w:r>
    <w:r>
      <w:tab/>
    </w:r>
    <w:r>
      <w:rPr>
        <w:lang w:val="zh-CN"/>
      </w:rPr>
      <w:t></w:t>
    </w:r>
    <w:r>
      <w:tab/>
    </w:r>
    <w:r>
      <w:rPr>
        <w:rFonts w:hint="eastAsia"/>
      </w:rPr>
      <w:t>临安区详规编制指引与详规成果整合</w:t>
    </w:r>
    <w:r>
      <w:rPr>
        <w:rFonts w:hint="eastAsia"/>
        <w:lang w:eastAsia="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hint="eastAsia" w:eastAsia="宋体"/>
        <w:lang w:eastAsia="zh-CN"/>
      </w:rPr>
    </w:pPr>
    <w:r>
      <w:t></w:t>
    </w:r>
    <w:r>
      <w:rPr>
        <w:rFonts w:hint="eastAsia"/>
      </w:rPr>
      <w:t xml:space="preserve">                 </w:t>
    </w:r>
    <w:r>
      <w:t xml:space="preserve">                                </w:t>
    </w:r>
    <w:r>
      <w:rPr>
        <w:rFonts w:hint="eastAsia"/>
      </w:rPr>
      <w:t xml:space="preserve">         </w:t>
    </w:r>
    <w:r>
      <w:rPr>
        <w:rFonts w:hint="eastAsia"/>
        <w:lang w:eastAsia="zh-CN"/>
      </w:rPr>
      <w:t>临安区详规编制指引与详规成果整合公开招标文件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临安区详规编制指引与详规成果整合</w:t>
    </w:r>
    <w:r>
      <w:rPr>
        <w:rFonts w:hint="eastAsia"/>
        <w:lang w:eastAsia="zh-CN"/>
      </w:rPr>
      <w:t>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临安区详规编制指引与详规成果整合</w:t>
    </w:r>
    <w:r>
      <w:rPr>
        <w:rFonts w:hint="eastAsia"/>
        <w:lang w:eastAsia="zh-CN"/>
      </w:rP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临安区详规编制指引与详规成果整合</w:t>
    </w:r>
    <w:r>
      <w:rPr>
        <w:rFonts w:hint="eastAsia"/>
        <w:lang w:eastAsia="zh-CN"/>
      </w:rPr>
      <w:t>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临安区详规编制指引与详规成果整合</w:t>
    </w:r>
    <w:r>
      <w:rPr>
        <w:rFonts w:hint="eastAsia"/>
        <w:lang w:eastAsia="zh-CN"/>
      </w:rPr>
      <w:t>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MzViYTVlZjFiNTg4MDhhZjliMTM2NmUwMzgz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0868AE"/>
    <w:rsid w:val="08452D77"/>
    <w:rsid w:val="086401F8"/>
    <w:rsid w:val="08751CAA"/>
    <w:rsid w:val="087E4C40"/>
    <w:rsid w:val="08A871D0"/>
    <w:rsid w:val="08D66AD6"/>
    <w:rsid w:val="08DA33A3"/>
    <w:rsid w:val="08E80F13"/>
    <w:rsid w:val="09335624"/>
    <w:rsid w:val="0944690F"/>
    <w:rsid w:val="094A3A82"/>
    <w:rsid w:val="09535675"/>
    <w:rsid w:val="095E2F92"/>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EF1C5C"/>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9D76D7C"/>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DFE521F"/>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5620B"/>
    <w:rsid w:val="236B425F"/>
    <w:rsid w:val="23836192"/>
    <w:rsid w:val="23901F29"/>
    <w:rsid w:val="239B5A97"/>
    <w:rsid w:val="239C0061"/>
    <w:rsid w:val="23B908A4"/>
    <w:rsid w:val="23D97B50"/>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644345"/>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AFD00A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848B9"/>
    <w:rsid w:val="52EA3A62"/>
    <w:rsid w:val="52F50BB8"/>
    <w:rsid w:val="53097272"/>
    <w:rsid w:val="533B38FC"/>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BC3575"/>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4D0214D"/>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link w:val="262"/>
    <w:qFormat/>
    <w:uiPriority w:val="0"/>
    <w:pPr>
      <w:spacing w:line="480" w:lineRule="exact"/>
      <w:ind w:firstLine="480" w:firstLineChars="200"/>
    </w:pPr>
    <w:rPr>
      <w:rFonts w:ascii="宋体" w:hAnsi="宋体"/>
      <w:sz w:val="24"/>
    </w:rPr>
  </w:style>
  <w:style w:type="paragraph" w:styleId="6">
    <w:name w:val="Normal Indent"/>
    <w:basedOn w:val="1"/>
    <w:next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6"/>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199"/>
    <w:qFormat/>
    <w:uiPriority w:val="0"/>
    <w:pPr>
      <w:shd w:val="clear" w:color="auto" w:fill="000080"/>
    </w:pPr>
  </w:style>
  <w:style w:type="paragraph" w:styleId="20">
    <w:name w:val="annotation text"/>
    <w:basedOn w:val="1"/>
    <w:link w:val="341"/>
    <w:qFormat/>
    <w:uiPriority w:val="99"/>
    <w:pPr>
      <w:jc w:val="left"/>
    </w:pPr>
  </w:style>
  <w:style w:type="paragraph" w:styleId="21">
    <w:name w:val="Salutation"/>
    <w:basedOn w:val="1"/>
    <w:next w:val="1"/>
    <w:link w:val="295"/>
    <w:qFormat/>
    <w:uiPriority w:val="0"/>
    <w:rPr>
      <w:rFonts w:ascii="仿宋_GB2312" w:eastAsia="仿宋_GB2312"/>
      <w:sz w:val="28"/>
      <w:szCs w:val="20"/>
    </w:rPr>
  </w:style>
  <w:style w:type="paragraph" w:styleId="22">
    <w:name w:val="Body Text 3"/>
    <w:basedOn w:val="1"/>
    <w:link w:val="327"/>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7"/>
    <w:qFormat/>
    <w:uiPriority w:val="0"/>
    <w:pPr>
      <w:autoSpaceDE w:val="0"/>
      <w:autoSpaceDN w:val="0"/>
      <w:spacing w:line="360" w:lineRule="auto"/>
    </w:pPr>
    <w:rPr>
      <w:rFonts w:ascii="宋体" w:hAnsi="Arial" w:cs="Arial"/>
      <w:snapToGrid w:val="0"/>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6"/>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qFormat/>
    <w:uiPriority w:val="0"/>
    <w:rPr>
      <w:b/>
      <w:bCs/>
    </w:rPr>
  </w:style>
  <w:style w:type="paragraph" w:styleId="60">
    <w:name w:val="Body Text First Indent"/>
    <w:basedOn w:val="24"/>
    <w:link w:val="318"/>
    <w:qFormat/>
    <w:uiPriority w:val="0"/>
    <w:pPr>
      <w:ind w:firstLine="420"/>
    </w:pPr>
    <w:rPr>
      <w:rFonts w:hAnsi="Calibri" w:cs="Times New Roman"/>
      <w:snapToGrid/>
      <w:szCs w:val="20"/>
    </w:rPr>
  </w:style>
  <w:style w:type="paragraph" w:styleId="61">
    <w:name w:val="Body Text First Indent 2"/>
    <w:basedOn w:val="2"/>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9"/>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4"/>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2"/>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6"/>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9"/>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7"/>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7"/>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3"/>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8"/>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1"/>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7"/>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0"/>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7"/>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2"/>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0"/>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1"/>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6"/>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5"/>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8"/>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37752</Words>
  <Characters>39817</Characters>
  <Lines>281</Lines>
  <Paragraphs>79</Paragraphs>
  <TotalTime>48</TotalTime>
  <ScaleCrop>false</ScaleCrop>
  <LinksUpToDate>false</LinksUpToDate>
  <CharactersWithSpaces>45237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Kerry要努力养长头发</cp:lastModifiedBy>
  <cp:lastPrinted>2021-12-27T11:06:00Z</cp:lastPrinted>
  <dcterms:modified xsi:type="dcterms:W3CDTF">2023-03-06T04:12:32Z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E3CC5A349017466D9AC0193DF72F3F26</vt:lpwstr>
  </property>
</Properties>
</file>