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宋体" w:hAnsi="宋体" w:eastAsia="宋体" w:cs="宋体"/>
          <w:color w:val="auto"/>
          <w:sz w:val="24"/>
          <w:highlight w:val="none"/>
        </w:rPr>
      </w:pPr>
    </w:p>
    <w:p>
      <w:pPr>
        <w:pStyle w:val="2"/>
        <w:jc w:val="right"/>
        <w:rPr>
          <w:rFonts w:hint="eastAsia" w:ascii="宋体" w:hAnsi="宋体" w:eastAsia="宋体" w:cs="宋体"/>
          <w:color w:val="auto"/>
          <w:highlight w:val="none"/>
        </w:rPr>
      </w:pPr>
    </w:p>
    <w:p>
      <w:pPr>
        <w:adjustRightInd/>
        <w:spacing w:line="360" w:lineRule="auto"/>
        <w:jc w:val="center"/>
        <w:rPr>
          <w:rFonts w:hint="eastAsia" w:ascii="宋体" w:hAnsi="宋体" w:eastAsia="宋体" w:cs="宋体"/>
          <w:b/>
          <w:bCs/>
          <w:color w:val="auto"/>
          <w:sz w:val="48"/>
          <w:szCs w:val="48"/>
          <w:highlight w:val="none"/>
          <w:lang w:eastAsia="zh-CN"/>
        </w:rPr>
      </w:pPr>
      <w:r>
        <w:rPr>
          <w:rFonts w:hint="eastAsia" w:ascii="宋体" w:hAnsi="宋体" w:eastAsia="宋体" w:cs="宋体"/>
          <w:b/>
          <w:bCs/>
          <w:color w:val="auto"/>
          <w:sz w:val="48"/>
          <w:szCs w:val="48"/>
          <w:highlight w:val="none"/>
          <w:lang w:eastAsia="zh-CN"/>
        </w:rPr>
        <w:t xml:space="preserve">2024年建德市殡仪馆0#柴油采购项目（二次） </w:t>
      </w:r>
    </w:p>
    <w:p>
      <w:pPr>
        <w:adjustRightInd w:val="0"/>
        <w:snapToGrid w:val="0"/>
        <w:spacing w:line="360" w:lineRule="auto"/>
        <w:jc w:val="center"/>
        <w:rPr>
          <w:rFonts w:hint="eastAsia" w:ascii="宋体" w:hAnsi="宋体" w:eastAsia="宋体" w:cs="宋体"/>
          <w:color w:val="auto"/>
          <w:sz w:val="48"/>
          <w:szCs w:val="48"/>
          <w:highlight w:val="none"/>
        </w:rPr>
      </w:pP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（电子交易）</w:t>
      </w:r>
    </w:p>
    <w:p>
      <w:pPr>
        <w:pStyle w:val="18"/>
        <w:rPr>
          <w:rFonts w:hint="eastAsia" w:ascii="宋体" w:hAnsi="宋体" w:eastAsia="宋体" w:cs="宋体"/>
          <w:color w:val="auto"/>
          <w:highlight w:val="none"/>
        </w:rPr>
      </w:pPr>
    </w:p>
    <w:p>
      <w:pPr>
        <w:adjustRightInd w:val="0"/>
        <w:snapToGrid w:val="0"/>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询价通知书（采购文件）</w:t>
      </w: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编号</w:t>
      </w:r>
      <w:r>
        <w:rPr>
          <w:rFonts w:hint="eastAsia" w:ascii="宋体" w:hAnsi="宋体" w:eastAsia="宋体" w:cs="宋体"/>
          <w:color w:val="auto"/>
          <w:sz w:val="30"/>
          <w:szCs w:val="30"/>
          <w:highlight w:val="none"/>
          <w:lang w:eastAsia="zh-CN"/>
        </w:rPr>
        <w:t>：JD2024BF-037-001</w:t>
      </w:r>
      <w:r>
        <w:rPr>
          <w:rFonts w:hint="eastAsia" w:ascii="宋体" w:hAnsi="宋体" w:eastAsia="宋体" w:cs="宋体"/>
          <w:color w:val="auto"/>
          <w:sz w:val="30"/>
          <w:szCs w:val="30"/>
          <w:highlight w:val="none"/>
          <w:lang w:val="en-US" w:eastAsia="zh-CN"/>
        </w:rPr>
        <w:t xml:space="preserve"> </w:t>
      </w:r>
    </w:p>
    <w:p>
      <w:pPr>
        <w:spacing w:line="360" w:lineRule="auto"/>
        <w:jc w:val="center"/>
        <w:rPr>
          <w:rFonts w:hint="eastAsia" w:ascii="宋体" w:hAnsi="宋体" w:eastAsia="宋体" w:cs="宋体"/>
          <w:b/>
          <w:bCs/>
          <w:color w:val="auto"/>
          <w:sz w:val="72"/>
          <w:szCs w:val="72"/>
          <w:highlight w:val="none"/>
        </w:rPr>
      </w:pPr>
    </w:p>
    <w:p>
      <w:pPr>
        <w:pStyle w:val="13"/>
        <w:rPr>
          <w:rFonts w:hint="eastAsia" w:ascii="宋体" w:hAnsi="宋体" w:eastAsia="宋体" w:cs="宋体"/>
          <w:color w:val="auto"/>
          <w:highlight w:val="none"/>
        </w:rPr>
      </w:pPr>
    </w:p>
    <w:p>
      <w:pPr>
        <w:spacing w:line="360" w:lineRule="auto"/>
        <w:jc w:val="center"/>
        <w:rPr>
          <w:rFonts w:hint="eastAsia" w:ascii="宋体" w:hAnsi="宋体" w:eastAsia="宋体" w:cs="宋体"/>
          <w:b/>
          <w:bCs/>
          <w:color w:val="auto"/>
          <w:sz w:val="72"/>
          <w:szCs w:val="72"/>
          <w:highlight w:val="none"/>
        </w:rPr>
      </w:pPr>
    </w:p>
    <w:p>
      <w:pPr>
        <w:pStyle w:val="18"/>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8"/>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360" w:lineRule="auto"/>
        <w:rPr>
          <w:rFonts w:hint="eastAsia" w:ascii="宋体" w:hAnsi="宋体" w:eastAsia="宋体" w:cs="宋体"/>
          <w:color w:val="auto"/>
          <w:sz w:val="24"/>
          <w:highlight w:val="none"/>
        </w:rPr>
      </w:pPr>
    </w:p>
    <w:p>
      <w:pPr>
        <w:pStyle w:val="18"/>
        <w:rPr>
          <w:rFonts w:hint="eastAsia" w:ascii="宋体" w:hAnsi="宋体" w:eastAsia="宋体" w:cs="宋体"/>
          <w:color w:val="auto"/>
          <w:sz w:val="24"/>
          <w:szCs w:val="24"/>
          <w:highlight w:val="none"/>
        </w:rPr>
      </w:pPr>
    </w:p>
    <w:p>
      <w:pPr>
        <w:pStyle w:val="18"/>
        <w:jc w:val="center"/>
        <w:rPr>
          <w:rFonts w:hint="eastAsia" w:ascii="宋体" w:hAnsi="宋体" w:eastAsia="宋体" w:cs="宋体"/>
          <w:color w:val="auto"/>
          <w:sz w:val="24"/>
          <w:szCs w:val="24"/>
          <w:highlight w:val="none"/>
        </w:rPr>
      </w:pP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采购人：</w:t>
      </w:r>
      <w:r>
        <w:rPr>
          <w:rFonts w:hint="eastAsia" w:ascii="宋体" w:hAnsi="宋体" w:eastAsia="宋体" w:cs="宋体"/>
          <w:color w:val="auto"/>
          <w:sz w:val="32"/>
          <w:szCs w:val="32"/>
          <w:highlight w:val="none"/>
          <w:lang w:eastAsia="zh-CN"/>
        </w:rPr>
        <w:t>建德市民政局</w:t>
      </w:r>
    </w:p>
    <w:p>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采购代理机构：</w:t>
      </w:r>
      <w:r>
        <w:rPr>
          <w:rFonts w:hint="eastAsia" w:ascii="宋体" w:hAnsi="宋体" w:eastAsia="宋体" w:cs="宋体"/>
          <w:bCs/>
          <w:color w:val="auto"/>
          <w:sz w:val="32"/>
          <w:szCs w:val="32"/>
          <w:highlight w:val="none"/>
          <w:lang w:eastAsia="zh-CN"/>
        </w:rPr>
        <w:t>浙江建安工程管理有限公司</w:t>
      </w: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color w:val="auto"/>
          <w:sz w:val="32"/>
          <w:szCs w:val="32"/>
          <w:highlight w:val="none"/>
        </w:rPr>
        <w:t>二〇二</w:t>
      </w:r>
      <w:r>
        <w:rPr>
          <w:rFonts w:hint="eastAsia" w:ascii="宋体" w:hAnsi="宋体" w:eastAsia="宋体" w:cs="宋体"/>
          <w:color w:val="auto"/>
          <w:sz w:val="32"/>
          <w:szCs w:val="32"/>
          <w:highlight w:val="none"/>
          <w:lang w:eastAsia="zh-CN"/>
        </w:rPr>
        <w:t>四</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eastAsia="zh-CN"/>
        </w:rPr>
        <w:t>五</w:t>
      </w:r>
      <w:r>
        <w:rPr>
          <w:rFonts w:hint="eastAsia" w:ascii="宋体" w:hAnsi="宋体" w:eastAsia="宋体" w:cs="宋体"/>
          <w:color w:val="auto"/>
          <w:sz w:val="32"/>
          <w:szCs w:val="32"/>
          <w:highlight w:val="none"/>
        </w:rPr>
        <w:t>月</w:t>
      </w:r>
      <w:r>
        <w:rPr>
          <w:rFonts w:hint="eastAsia" w:ascii="宋体" w:hAnsi="宋体" w:eastAsia="宋体" w:cs="宋体"/>
          <w:color w:val="auto"/>
          <w:sz w:val="32"/>
          <w:szCs w:val="32"/>
          <w:highlight w:val="none"/>
          <w:lang w:eastAsia="zh-CN"/>
        </w:rPr>
        <w:t>二十</w:t>
      </w:r>
      <w:r>
        <w:rPr>
          <w:rFonts w:hint="eastAsia" w:ascii="宋体" w:hAnsi="宋体" w:eastAsia="宋体" w:cs="宋体"/>
          <w:color w:val="auto"/>
          <w:sz w:val="32"/>
          <w:szCs w:val="32"/>
          <w:highlight w:val="none"/>
        </w:rPr>
        <w:t>日</w:t>
      </w:r>
    </w:p>
    <w:p>
      <w:pPr>
        <w:spacing w:line="360" w:lineRule="auto"/>
        <w:ind w:firstLine="602" w:firstLineChars="200"/>
        <w:jc w:val="center"/>
        <w:rPr>
          <w:rFonts w:hint="eastAsia" w:ascii="宋体" w:hAnsi="宋体" w:eastAsia="宋体" w:cs="宋体"/>
          <w:b/>
          <w:color w:val="auto"/>
          <w:sz w:val="30"/>
          <w:szCs w:val="30"/>
          <w:highlight w:val="none"/>
        </w:rPr>
      </w:pPr>
    </w:p>
    <w:p>
      <w:pPr>
        <w:spacing w:line="360" w:lineRule="auto"/>
        <w:jc w:val="center"/>
        <w:rPr>
          <w:rFonts w:hint="eastAsia" w:ascii="宋体" w:hAnsi="宋体" w:eastAsia="宋体" w:cs="宋体"/>
          <w:b/>
          <w:color w:val="auto"/>
          <w:sz w:val="32"/>
          <w:szCs w:val="32"/>
          <w:highlight w:val="none"/>
        </w:rPr>
        <w:sectPr>
          <w:headerReference r:id="rId4" w:type="first"/>
          <w:footerReference r:id="rId6" w:type="first"/>
          <w:headerReference r:id="rId3" w:type="default"/>
          <w:footerReference r:id="rId5" w:type="default"/>
          <w:pgSz w:w="11906" w:h="16838"/>
          <w:pgMar w:top="1440" w:right="1800" w:bottom="1440" w:left="1800" w:header="930" w:footer="992" w:gutter="0"/>
          <w:cols w:space="425" w:num="1"/>
          <w:titlePg/>
          <w:docGrid w:type="lines" w:linePitch="312" w:charSpace="0"/>
        </w:sectPr>
      </w:pPr>
    </w:p>
    <w:p>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2"/>
          <w:szCs w:val="32"/>
          <w:highlight w:val="none"/>
        </w:rPr>
        <w:t>目  录</w:t>
      </w:r>
    </w:p>
    <w:p>
      <w:pPr>
        <w:spacing w:line="360" w:lineRule="auto"/>
        <w:ind w:firstLine="602" w:firstLineChars="200"/>
        <w:jc w:val="center"/>
        <w:rPr>
          <w:rFonts w:hint="eastAsia" w:ascii="宋体" w:hAnsi="宋体" w:eastAsia="宋体" w:cs="宋体"/>
          <w:b/>
          <w:color w:val="auto"/>
          <w:sz w:val="30"/>
          <w:szCs w:val="30"/>
          <w:highlight w:val="none"/>
        </w:rPr>
      </w:pPr>
    </w:p>
    <w:p>
      <w:pPr>
        <w:spacing w:line="360" w:lineRule="auto"/>
        <w:ind w:firstLine="602" w:firstLineChars="200"/>
        <w:jc w:val="center"/>
        <w:rPr>
          <w:rFonts w:hint="eastAsia" w:ascii="宋体" w:hAnsi="宋体" w:eastAsia="宋体" w:cs="宋体"/>
          <w:b/>
          <w:color w:val="auto"/>
          <w:sz w:val="30"/>
          <w:szCs w:val="30"/>
          <w:highlight w:val="none"/>
        </w:rPr>
      </w:pPr>
    </w:p>
    <w:p>
      <w:pPr>
        <w:spacing w:line="360" w:lineRule="auto"/>
        <w:ind w:left="1680" w:leftChars="800"/>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第一部分      采购公告</w:t>
      </w:r>
    </w:p>
    <w:p>
      <w:pPr>
        <w:spacing w:line="360" w:lineRule="auto"/>
        <w:ind w:left="1680" w:leftChars="800"/>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第二部分      供应商须知</w:t>
      </w:r>
    </w:p>
    <w:p>
      <w:pPr>
        <w:spacing w:line="360" w:lineRule="auto"/>
        <w:ind w:left="1680" w:leftChars="800"/>
        <w:jc w:val="left"/>
        <w:rPr>
          <w:rFonts w:hint="eastAsia" w:ascii="宋体" w:hAnsi="宋体" w:eastAsia="宋体" w:cs="宋体"/>
          <w:color w:val="auto"/>
          <w:sz w:val="30"/>
          <w:szCs w:val="30"/>
          <w:highlight w:val="none"/>
        </w:rPr>
      </w:pPr>
      <w:bookmarkStart w:id="0" w:name="_Hlk109655165"/>
      <w:r>
        <w:rPr>
          <w:rFonts w:hint="eastAsia" w:ascii="宋体" w:hAnsi="宋体" w:eastAsia="宋体" w:cs="宋体"/>
          <w:color w:val="auto"/>
          <w:sz w:val="30"/>
          <w:szCs w:val="30"/>
          <w:highlight w:val="none"/>
        </w:rPr>
        <w:t>第三部分      采购需求</w:t>
      </w:r>
    </w:p>
    <w:bookmarkEnd w:id="0"/>
    <w:p>
      <w:pPr>
        <w:spacing w:line="360" w:lineRule="auto"/>
        <w:ind w:left="1680" w:leftChars="800"/>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第四部分      评审方法</w:t>
      </w:r>
    </w:p>
    <w:p>
      <w:pPr>
        <w:spacing w:line="360" w:lineRule="auto"/>
        <w:ind w:left="1680" w:leftChars="800"/>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第五部分      拟签订的合同文本</w:t>
      </w:r>
    </w:p>
    <w:p>
      <w:pPr>
        <w:spacing w:line="360" w:lineRule="auto"/>
        <w:ind w:left="1680" w:leftChars="800"/>
        <w:jc w:val="left"/>
        <w:rPr>
          <w:rFonts w:hint="eastAsia" w:ascii="宋体" w:hAnsi="宋体" w:eastAsia="宋体" w:cs="宋体"/>
          <w:color w:val="auto"/>
          <w:sz w:val="30"/>
          <w:szCs w:val="30"/>
          <w:highlight w:val="none"/>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930" w:footer="992" w:gutter="0"/>
          <w:cols w:space="425" w:num="1"/>
          <w:docGrid w:type="lines" w:linePitch="312" w:charSpace="0"/>
        </w:sectPr>
      </w:pPr>
      <w:r>
        <w:rPr>
          <w:rFonts w:hint="eastAsia" w:ascii="宋体" w:hAnsi="宋体" w:eastAsia="宋体" w:cs="宋体"/>
          <w:color w:val="auto"/>
          <w:sz w:val="30"/>
          <w:szCs w:val="30"/>
          <w:highlight w:val="none"/>
        </w:rPr>
        <w:t>第六部分      应提交的有关格式范例</w:t>
      </w:r>
    </w:p>
    <w:p>
      <w:pPr>
        <w:spacing w:line="360" w:lineRule="auto"/>
        <w:ind w:firstLine="723" w:firstLineChars="200"/>
        <w:jc w:val="center"/>
        <w:rPr>
          <w:rFonts w:hint="default"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rPr>
        <w:t>第一部分 采购公告</w:t>
      </w:r>
      <w:r>
        <w:rPr>
          <w:rFonts w:hint="eastAsia" w:ascii="宋体" w:hAnsi="宋体" w:eastAsia="宋体" w:cs="宋体"/>
          <w:b/>
          <w:color w:val="auto"/>
          <w:sz w:val="36"/>
          <w:szCs w:val="36"/>
          <w:highlight w:val="none"/>
          <w:lang w:val="en-US" w:eastAsia="zh-CN"/>
        </w:rPr>
        <w:t xml:space="preserve"> </w:t>
      </w:r>
    </w:p>
    <w:p>
      <w:pPr>
        <w:pBdr>
          <w:top w:val="single" w:color="auto" w:sz="4" w:space="1"/>
          <w:left w:val="single" w:color="auto" w:sz="4" w:space="4"/>
          <w:bottom w:val="single" w:color="auto" w:sz="4" w:space="1"/>
          <w:right w:val="single" w:color="auto" w:sz="4" w:space="4"/>
        </w:pBdr>
        <w:spacing w:line="460" w:lineRule="exact"/>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项目概况</w:t>
      </w:r>
    </w:p>
    <w:p>
      <w:pPr>
        <w:pBdr>
          <w:top w:val="single" w:color="auto" w:sz="4" w:space="1"/>
          <w:left w:val="single" w:color="auto" w:sz="4" w:space="4"/>
          <w:bottom w:val="single" w:color="auto" w:sz="4" w:space="1"/>
          <w:right w:val="single" w:color="auto" w:sz="4" w:space="4"/>
        </w:pBd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eastAsia="zh-CN"/>
        </w:rPr>
        <w:t xml:space="preserve">2024年建德市殡仪馆0#柴油采购项目（二次） </w:t>
      </w:r>
      <w:r>
        <w:rPr>
          <w:rFonts w:hint="eastAsia" w:ascii="宋体" w:hAnsi="宋体" w:eastAsia="宋体" w:cs="宋体"/>
          <w:color w:val="auto"/>
          <w:sz w:val="24"/>
          <w:highlight w:val="none"/>
          <w:u w:val="single"/>
        </w:rPr>
        <w:t>招标项目</w:t>
      </w:r>
      <w:r>
        <w:rPr>
          <w:rFonts w:hint="eastAsia" w:ascii="宋体" w:hAnsi="宋体" w:eastAsia="宋体" w:cs="宋体"/>
          <w:color w:val="auto"/>
          <w:sz w:val="24"/>
          <w:highlight w:val="none"/>
        </w:rPr>
        <w:t>的潜在供应商应在</w:t>
      </w:r>
      <w:r>
        <w:rPr>
          <w:rFonts w:hint="eastAsia" w:ascii="宋体" w:hAnsi="宋体" w:eastAsia="宋体" w:cs="宋体"/>
          <w:color w:val="auto"/>
          <w:sz w:val="24"/>
          <w:highlight w:val="none"/>
          <w:u w:val="single"/>
        </w:rPr>
        <w:t>政府采购云平台（https://www.zcygov.cn）</w:t>
      </w:r>
      <w:r>
        <w:rPr>
          <w:rFonts w:hint="eastAsia" w:ascii="宋体" w:hAnsi="宋体" w:eastAsia="宋体" w:cs="宋体"/>
          <w:color w:val="auto"/>
          <w:sz w:val="24"/>
          <w:highlight w:val="none"/>
        </w:rPr>
        <w:t>获取（下载）采购文件，并于</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bCs/>
          <w:color w:val="auto"/>
          <w:sz w:val="24"/>
          <w:highlight w:val="none"/>
          <w:u w:val="single"/>
        </w:rPr>
        <w:t>年</w:t>
      </w:r>
      <w:r>
        <w:rPr>
          <w:rFonts w:hint="eastAsia" w:ascii="宋体" w:hAnsi="宋体" w:eastAsia="宋体" w:cs="宋体"/>
          <w:bCs/>
          <w:color w:val="auto"/>
          <w:sz w:val="24"/>
          <w:highlight w:val="none"/>
          <w:u w:val="single"/>
          <w:lang w:val="en-US" w:eastAsia="zh-CN"/>
        </w:rPr>
        <w:t>5</w:t>
      </w:r>
      <w:r>
        <w:rPr>
          <w:rFonts w:hint="eastAsia" w:ascii="宋体" w:hAnsi="宋体" w:eastAsia="宋体" w:cs="宋体"/>
          <w:bCs/>
          <w:color w:val="auto"/>
          <w:sz w:val="24"/>
          <w:highlight w:val="none"/>
          <w:u w:val="single"/>
        </w:rPr>
        <w:t>月</w:t>
      </w:r>
      <w:r>
        <w:rPr>
          <w:rFonts w:hint="eastAsia" w:ascii="宋体" w:hAnsi="宋体" w:eastAsia="宋体" w:cs="宋体"/>
          <w:bCs/>
          <w:color w:val="auto"/>
          <w:sz w:val="24"/>
          <w:highlight w:val="none"/>
          <w:u w:val="single"/>
          <w:lang w:val="en-US" w:eastAsia="zh-CN"/>
        </w:rPr>
        <w:t>24</w:t>
      </w:r>
      <w:r>
        <w:rPr>
          <w:rFonts w:hint="eastAsia" w:ascii="宋体" w:hAnsi="宋体" w:eastAsia="宋体" w:cs="宋体"/>
          <w:bCs/>
          <w:color w:val="auto"/>
          <w:sz w:val="24"/>
          <w:highlight w:val="none"/>
          <w:u w:val="single"/>
        </w:rPr>
        <w:t>日</w:t>
      </w:r>
      <w:r>
        <w:rPr>
          <w:rFonts w:hint="eastAsia" w:ascii="宋体" w:hAnsi="宋体" w:eastAsia="宋体" w:cs="宋体"/>
          <w:bCs/>
          <w:color w:val="auto"/>
          <w:sz w:val="24"/>
          <w:highlight w:val="none"/>
          <w:u w:val="single"/>
          <w:lang w:val="en-US" w:eastAsia="zh-CN"/>
        </w:rPr>
        <w:t>9</w:t>
      </w:r>
      <w:r>
        <w:rPr>
          <w:rFonts w:hint="eastAsia" w:ascii="宋体" w:hAnsi="宋体" w:eastAsia="宋体" w:cs="宋体"/>
          <w:bCs/>
          <w:color w:val="auto"/>
          <w:sz w:val="24"/>
          <w:highlight w:val="none"/>
          <w:u w:val="single"/>
        </w:rPr>
        <w:t>点</w:t>
      </w:r>
      <w:r>
        <w:rPr>
          <w:rFonts w:hint="eastAsia" w:ascii="宋体" w:hAnsi="宋体" w:eastAsia="宋体" w:cs="宋体"/>
          <w:bCs/>
          <w:color w:val="auto"/>
          <w:sz w:val="24"/>
          <w:highlight w:val="none"/>
          <w:u w:val="single"/>
          <w:lang w:val="en-US" w:eastAsia="zh-CN"/>
        </w:rPr>
        <w:t>00</w:t>
      </w:r>
      <w:r>
        <w:rPr>
          <w:rFonts w:hint="eastAsia" w:ascii="宋体" w:hAnsi="宋体" w:eastAsia="宋体" w:cs="宋体"/>
          <w:bCs/>
          <w:color w:val="auto"/>
          <w:sz w:val="24"/>
          <w:highlight w:val="none"/>
          <w:u w:val="single"/>
        </w:rPr>
        <w:t>分</w:t>
      </w:r>
      <w:r>
        <w:rPr>
          <w:rFonts w:hint="eastAsia" w:ascii="宋体" w:hAnsi="宋体" w:eastAsia="宋体" w:cs="宋体"/>
          <w:bCs/>
          <w:color w:val="auto"/>
          <w:sz w:val="24"/>
          <w:highlight w:val="none"/>
          <w:u w:val="single"/>
          <w:lang w:val="en-US" w:eastAsia="zh-CN"/>
        </w:rPr>
        <w:t>00</w:t>
      </w:r>
      <w:r>
        <w:rPr>
          <w:rFonts w:hint="eastAsia" w:ascii="宋体" w:hAnsi="宋体" w:eastAsia="宋体" w:cs="宋体"/>
          <w:bCs/>
          <w:color w:val="auto"/>
          <w:sz w:val="24"/>
          <w:highlight w:val="none"/>
          <w:u w:val="single"/>
        </w:rPr>
        <w:t>秒</w:t>
      </w:r>
      <w:r>
        <w:rPr>
          <w:rFonts w:hint="eastAsia" w:ascii="宋体" w:hAnsi="宋体" w:eastAsia="宋体" w:cs="宋体"/>
          <w:bCs/>
          <w:color w:val="auto"/>
          <w:sz w:val="24"/>
          <w:highlight w:val="none"/>
        </w:rPr>
        <w:t>（北京时间）前提交（上传）响应文件</w:t>
      </w:r>
      <w:r>
        <w:rPr>
          <w:rFonts w:hint="eastAsia" w:ascii="宋体" w:hAnsi="宋体" w:eastAsia="宋体" w:cs="宋体"/>
          <w:color w:val="auto"/>
          <w:sz w:val="24"/>
          <w:highlight w:val="none"/>
        </w:rPr>
        <w:t>。</w:t>
      </w:r>
    </w:p>
    <w:p>
      <w:pPr>
        <w:pStyle w:val="2"/>
        <w:spacing w:line="460" w:lineRule="exact"/>
        <w:ind w:firstLine="482" w:firstLineChars="200"/>
        <w:rPr>
          <w:rFonts w:hint="eastAsia" w:ascii="宋体" w:hAnsi="宋体" w:eastAsia="宋体" w:cs="宋体"/>
          <w:bCs w:val="0"/>
          <w:color w:val="auto"/>
          <w:sz w:val="24"/>
          <w:szCs w:val="24"/>
          <w:highlight w:val="none"/>
        </w:rPr>
      </w:pPr>
      <w:bookmarkStart w:id="1" w:name="_Toc28359079"/>
      <w:bookmarkStart w:id="2" w:name="_Toc35393621"/>
      <w:bookmarkStart w:id="3" w:name="_Toc35393790"/>
      <w:bookmarkStart w:id="4" w:name="_Toc28359002"/>
      <w:bookmarkStart w:id="5" w:name="_Hlk24379207"/>
      <w:r>
        <w:rPr>
          <w:rFonts w:hint="eastAsia" w:ascii="宋体" w:hAnsi="宋体" w:eastAsia="宋体" w:cs="宋体"/>
          <w:bCs w:val="0"/>
          <w:color w:val="auto"/>
          <w:sz w:val="24"/>
          <w:szCs w:val="24"/>
          <w:highlight w:val="none"/>
        </w:rPr>
        <w:t>一、项目基本情况</w:t>
      </w:r>
      <w:bookmarkEnd w:id="1"/>
      <w:bookmarkEnd w:id="2"/>
      <w:bookmarkEnd w:id="3"/>
      <w:bookmarkEnd w:id="4"/>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项目编号：</w:t>
      </w:r>
      <w:r>
        <w:rPr>
          <w:rFonts w:hint="eastAsia" w:ascii="宋体" w:hAnsi="宋体" w:eastAsia="宋体" w:cs="宋体"/>
          <w:color w:val="auto"/>
          <w:sz w:val="24"/>
          <w:highlight w:val="none"/>
          <w:lang w:eastAsia="zh-CN"/>
        </w:rPr>
        <w:t>JD2024BF-037-001</w:t>
      </w:r>
      <w:r>
        <w:rPr>
          <w:rFonts w:hint="eastAsia" w:ascii="宋体" w:hAnsi="宋体" w:eastAsia="宋体" w:cs="宋体"/>
          <w:color w:val="auto"/>
          <w:sz w:val="24"/>
          <w:highlight w:val="none"/>
          <w:lang w:val="en-US" w:eastAsia="zh-CN"/>
        </w:rPr>
        <w:t xml:space="preserve"> </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rPr>
        <w:t>项目名称：</w:t>
      </w:r>
      <w:r>
        <w:rPr>
          <w:rFonts w:hint="eastAsia" w:ascii="宋体" w:hAnsi="宋体" w:eastAsia="宋体" w:cs="宋体"/>
          <w:color w:val="auto"/>
          <w:sz w:val="24"/>
          <w:highlight w:val="none"/>
          <w:lang w:eastAsia="zh-CN"/>
        </w:rPr>
        <w:t xml:space="preserve">2024年建德市殡仪馆0#柴油采购项目（二次） </w:t>
      </w:r>
    </w:p>
    <w:p>
      <w:pPr>
        <w:spacing w:line="460" w:lineRule="exact"/>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采购方式：</w:t>
      </w:r>
      <w:r>
        <w:rPr>
          <w:rFonts w:hint="eastAsia" w:ascii="宋体" w:hAnsi="宋体" w:eastAsia="宋体" w:cs="宋体"/>
          <w:color w:val="auto"/>
          <w:sz w:val="24"/>
          <w:highlight w:val="none"/>
        </w:rPr>
        <w:t>询价</w:t>
      </w:r>
    </w:p>
    <w:bookmarkEnd w:id="5"/>
    <w:p>
      <w:pPr>
        <w:spacing w:line="460" w:lineRule="exact"/>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预算金额（元）：</w:t>
      </w:r>
      <w:r>
        <w:rPr>
          <w:rFonts w:hint="eastAsia" w:ascii="宋体" w:hAnsi="宋体" w:eastAsia="宋体" w:cs="宋体"/>
          <w:color w:val="auto"/>
          <w:sz w:val="24"/>
          <w:highlight w:val="none"/>
          <w:lang w:val="en-US" w:eastAsia="zh-CN"/>
        </w:rPr>
        <w:t>600</w:t>
      </w:r>
      <w:r>
        <w:rPr>
          <w:rFonts w:hint="eastAsia" w:ascii="宋体" w:hAnsi="宋体" w:eastAsia="宋体" w:cs="宋体"/>
          <w:color w:val="auto"/>
          <w:sz w:val="24"/>
          <w:highlight w:val="none"/>
        </w:rPr>
        <w:t xml:space="preserve">000.00 </w:t>
      </w:r>
    </w:p>
    <w:p>
      <w:pPr>
        <w:spacing w:line="460" w:lineRule="exact"/>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最高限价（元）：</w:t>
      </w:r>
      <w:r>
        <w:rPr>
          <w:rFonts w:hint="eastAsia" w:ascii="宋体" w:hAnsi="宋体" w:eastAsia="宋体" w:cs="宋体"/>
          <w:color w:val="auto"/>
          <w:sz w:val="24"/>
          <w:highlight w:val="none"/>
          <w:lang w:val="en-US" w:eastAsia="zh-CN"/>
        </w:rPr>
        <w:t>600</w:t>
      </w:r>
      <w:r>
        <w:rPr>
          <w:rFonts w:hint="eastAsia" w:ascii="宋体" w:hAnsi="宋体" w:eastAsia="宋体" w:cs="宋体"/>
          <w:color w:val="auto"/>
          <w:sz w:val="24"/>
          <w:highlight w:val="none"/>
        </w:rPr>
        <w:t>000.00</w:t>
      </w:r>
    </w:p>
    <w:p>
      <w:pPr>
        <w:spacing w:line="360" w:lineRule="auto"/>
        <w:ind w:firstLine="482" w:firstLineChars="200"/>
        <w:rPr>
          <w:rFonts w:hint="eastAsia" w:ascii="宋体" w:hAnsi="宋体" w:eastAsia="宋体" w:cs="宋体"/>
          <w:bCs/>
          <w:snapToGrid/>
          <w:color w:val="auto"/>
          <w:kern w:val="2"/>
          <w:sz w:val="24"/>
          <w:szCs w:val="24"/>
          <w:highlight w:val="none"/>
        </w:rPr>
      </w:pPr>
      <w:r>
        <w:rPr>
          <w:rFonts w:hint="eastAsia" w:ascii="宋体" w:hAnsi="宋体" w:eastAsia="宋体" w:cs="宋体"/>
          <w:b/>
          <w:bCs/>
          <w:color w:val="auto"/>
          <w:sz w:val="24"/>
          <w:highlight w:val="none"/>
        </w:rPr>
        <w:t>采购需求：</w:t>
      </w:r>
      <w:r>
        <w:rPr>
          <w:rFonts w:hint="eastAsia" w:ascii="宋体" w:hAnsi="宋体" w:eastAsia="宋体" w:cs="宋体"/>
          <w:color w:val="auto"/>
          <w:sz w:val="24"/>
          <w:highlight w:val="none"/>
          <w:lang w:eastAsia="zh-CN"/>
        </w:rPr>
        <w:t>2024年建德市殡仪馆0#柴油采购项目 ，</w:t>
      </w:r>
      <w:r>
        <w:rPr>
          <w:rFonts w:hint="eastAsia" w:ascii="宋体" w:hAnsi="宋体" w:eastAsia="宋体" w:cs="宋体"/>
          <w:bCs/>
          <w:snapToGrid/>
          <w:color w:val="auto"/>
          <w:kern w:val="2"/>
          <w:sz w:val="24"/>
          <w:szCs w:val="24"/>
          <w:highlight w:val="none"/>
        </w:rPr>
        <w:t>详见招标文件第</w:t>
      </w:r>
      <w:r>
        <w:rPr>
          <w:rFonts w:hint="eastAsia" w:ascii="宋体" w:hAnsi="宋体" w:eastAsia="宋体" w:cs="宋体"/>
          <w:bCs/>
          <w:snapToGrid/>
          <w:color w:val="auto"/>
          <w:kern w:val="2"/>
          <w:sz w:val="24"/>
          <w:szCs w:val="24"/>
          <w:highlight w:val="none"/>
          <w:lang w:val="en-US" w:eastAsia="zh-CN"/>
        </w:rPr>
        <w:t>三</w:t>
      </w:r>
      <w:r>
        <w:rPr>
          <w:rFonts w:hint="eastAsia" w:ascii="宋体" w:hAnsi="宋体" w:eastAsia="宋体" w:cs="宋体"/>
          <w:bCs/>
          <w:snapToGrid/>
          <w:color w:val="auto"/>
          <w:kern w:val="2"/>
          <w:sz w:val="24"/>
          <w:szCs w:val="24"/>
          <w:highlight w:val="none"/>
        </w:rPr>
        <w:t>部分采购需求。</w:t>
      </w:r>
    </w:p>
    <w:p>
      <w:pPr>
        <w:spacing w:line="360" w:lineRule="auto"/>
        <w:ind w:firstLine="482" w:firstLineChars="200"/>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合同履行期限：</w:t>
      </w:r>
      <w:r>
        <w:rPr>
          <w:rFonts w:hint="eastAsia" w:ascii="宋体" w:hAnsi="宋体" w:eastAsia="宋体" w:cs="宋体"/>
          <w:b w:val="0"/>
          <w:bCs/>
          <w:color w:val="auto"/>
          <w:sz w:val="24"/>
          <w:szCs w:val="24"/>
          <w:highlight w:val="none"/>
        </w:rPr>
        <w:t>本项目供货期以满足以下3项中的任何1项即终止该项目合同（1.以本年度预算金额全部支付完成；2.自首次送油之日起达到1年六个月；3.因殡仪馆搬迁导致原燃油火化炉设备停止使用的）。</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441836950"/>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1591624199"/>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pPr>
        <w:spacing w:line="360" w:lineRule="auto"/>
        <w:ind w:firstLine="482" w:firstLineChars="200"/>
        <w:rPr>
          <w:rFonts w:hint="eastAsia" w:ascii="宋体" w:hAnsi="宋体" w:eastAsia="宋体" w:cs="宋体"/>
          <w:b/>
          <w:bCs/>
          <w:color w:val="auto"/>
          <w:sz w:val="24"/>
          <w:highlight w:val="none"/>
        </w:rPr>
      </w:pPr>
      <w:bookmarkStart w:id="6" w:name="_Toc28359003"/>
      <w:bookmarkStart w:id="7" w:name="_Toc28359080"/>
      <w:bookmarkStart w:id="8" w:name="_Toc35393622"/>
      <w:bookmarkStart w:id="9" w:name="_Toc35393791"/>
      <w:r>
        <w:rPr>
          <w:rFonts w:hint="eastAsia" w:ascii="宋体" w:hAnsi="宋体" w:eastAsia="宋体" w:cs="宋体"/>
          <w:b/>
          <w:bCs/>
          <w:color w:val="auto"/>
          <w:sz w:val="24"/>
          <w:highlight w:val="none"/>
        </w:rPr>
        <w:t>二、申请人的资格要求：</w:t>
      </w:r>
      <w:bookmarkEnd w:id="6"/>
      <w:bookmarkEnd w:id="7"/>
      <w:bookmarkEnd w:id="8"/>
      <w:bookmarkEnd w:id="9"/>
      <w:bookmarkStart w:id="10" w:name="_Toc28359081"/>
      <w:bookmarkStart w:id="11" w:name="_Toc35393623"/>
      <w:bookmarkStart w:id="12" w:name="_Toc28359004"/>
      <w:bookmarkStart w:id="13" w:name="_Toc35393792"/>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 满足《中华人民共和国政府采购法》第二十二条规定；未被“信用中国”（www.creditchina.gov.cn</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、中国政府采购网（www.ccgp.gov.cn）列入失信被执行人、</w:t>
      </w:r>
      <w:r>
        <w:rPr>
          <w:rFonts w:hint="eastAsia" w:ascii="宋体" w:hAnsi="宋体" w:eastAsia="宋体" w:cs="宋体"/>
          <w:bCs/>
          <w:color w:val="auto"/>
          <w:sz w:val="24"/>
          <w:highlight w:val="none"/>
          <w:lang w:eastAsia="zh-CN"/>
        </w:rPr>
        <w:t>重大税收违法失信主体</w:t>
      </w:r>
      <w:r>
        <w:rPr>
          <w:rFonts w:hint="eastAsia" w:ascii="宋体" w:hAnsi="宋体" w:eastAsia="宋体" w:cs="宋体"/>
          <w:bCs/>
          <w:color w:val="auto"/>
          <w:sz w:val="24"/>
          <w:highlight w:val="none"/>
        </w:rPr>
        <w:t xml:space="preserve">、政府采购严重违法失信行为记录名单。 </w:t>
      </w:r>
    </w:p>
    <w:p>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2.以联合体形式响应的，提供联合协议</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本项目不接受联合体响应或者供应商不以联合体形式响应的，则不需要提供</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 xml:space="preserve"> ；</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 落实政府采购政策需满足的资格要求：</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924730588"/>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（注：不得限制大中型企业与小微企业组成联合体参与响应）</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pPr>
        <w:spacing w:line="360" w:lineRule="auto"/>
        <w:ind w:firstLine="897" w:firstLineChars="374"/>
        <w:rPr>
          <w:rFonts w:hint="eastAsia" w:ascii="宋体" w:hAnsi="宋体" w:eastAsia="宋体" w:cs="宋体"/>
          <w:color w:val="auto"/>
          <w:sz w:val="24"/>
          <w:highlight w:val="none"/>
          <w:u w:val="single"/>
        </w:rPr>
      </w:pPr>
      <w:sdt>
        <w:sdtPr>
          <w:rPr>
            <w:rFonts w:hint="eastAsia" w:ascii="宋体" w:hAnsi="宋体" w:eastAsia="宋体" w:cs="宋体"/>
            <w:color w:val="auto"/>
            <w:kern w:val="0"/>
            <w:sz w:val="24"/>
            <w:highlight w:val="none"/>
          </w:rPr>
          <w:id w:val="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货物全部由符合政策要求的中小企业制造，提供中小企业声明函；</w:t>
      </w:r>
    </w:p>
    <w:p>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6"/>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货物全部由符合政策要求的小微企业制造，提供中小企业声明函；</w:t>
      </w:r>
    </w:p>
    <w:p>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7"/>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服务全部由符合政策要求的中小企业承接，提供中小企业声明函；</w:t>
      </w:r>
    </w:p>
    <w:p>
      <w:pPr>
        <w:spacing w:line="360" w:lineRule="auto"/>
        <w:ind w:firstLine="897" w:firstLineChars="374"/>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8"/>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服务全部由符合政策要求的小微企业承接，提供中小企业声明函；</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9"/>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w:t>
      </w:r>
      <w:r>
        <w:rPr>
          <w:rFonts w:hint="eastAsia" w:ascii="宋体" w:hAnsi="宋体" w:eastAsia="宋体" w:cs="宋体"/>
          <w:color w:val="auto"/>
          <w:sz w:val="24"/>
          <w:highlight w:val="none"/>
          <w:lang w:eastAsia="zh-CN"/>
        </w:rPr>
        <w:t>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 本项目的特定资格要求：供应商需具有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危险化学品经营许可证</w:t>
      </w:r>
      <w:r>
        <w:rPr>
          <w:rFonts w:hint="eastAsia" w:ascii="宋体" w:hAnsi="宋体" w:eastAsia="宋体" w:cs="宋体"/>
          <w:color w:val="auto"/>
          <w:sz w:val="24"/>
          <w:highlight w:val="none"/>
          <w:lang w:eastAsia="zh-CN"/>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 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w:t>
      </w:r>
      <w:bookmarkEnd w:id="10"/>
      <w:bookmarkEnd w:id="11"/>
      <w:bookmarkEnd w:id="12"/>
      <w:bookmarkEnd w:id="13"/>
      <w:r>
        <w:rPr>
          <w:rFonts w:hint="eastAsia" w:ascii="宋体" w:hAnsi="宋体" w:eastAsia="宋体" w:cs="宋体"/>
          <w:b/>
          <w:bCs/>
          <w:color w:val="auto"/>
          <w:sz w:val="24"/>
          <w:highlight w:val="none"/>
        </w:rPr>
        <w:t>获取（下载）采购文件</w:t>
      </w:r>
    </w:p>
    <w:p>
      <w:pPr>
        <w:pStyle w:val="2"/>
        <w:spacing w:before="0" w:after="0" w:line="360" w:lineRule="auto"/>
        <w:ind w:firstLine="480" w:firstLineChars="200"/>
        <w:rPr>
          <w:rFonts w:hint="eastAsia" w:ascii="宋体" w:hAnsi="宋体" w:eastAsia="宋体" w:cs="宋体"/>
          <w:b w:val="0"/>
          <w:color w:val="auto"/>
          <w:sz w:val="24"/>
          <w:szCs w:val="24"/>
          <w:highlight w:val="none"/>
        </w:rPr>
      </w:pPr>
      <w:bookmarkStart w:id="14" w:name="_Toc35393624"/>
      <w:bookmarkStart w:id="15" w:name="_Toc28359005"/>
      <w:bookmarkStart w:id="16" w:name="_Toc35393793"/>
      <w:bookmarkStart w:id="17" w:name="_Toc28359082"/>
      <w:r>
        <w:rPr>
          <w:rFonts w:hint="eastAsia" w:ascii="宋体" w:hAnsi="宋体" w:eastAsia="宋体" w:cs="宋体"/>
          <w:b w:val="0"/>
          <w:color w:val="auto"/>
          <w:sz w:val="24"/>
          <w:szCs w:val="24"/>
          <w:highlight w:val="none"/>
        </w:rPr>
        <w:t>1.时间：/至202</w:t>
      </w:r>
      <w:r>
        <w:rPr>
          <w:rFonts w:hint="eastAsia" w:ascii="宋体" w:hAnsi="宋体" w:eastAsia="宋体" w:cs="宋体"/>
          <w:b w:val="0"/>
          <w:color w:val="auto"/>
          <w:sz w:val="24"/>
          <w:szCs w:val="24"/>
          <w:highlight w:val="none"/>
          <w:lang w:val="en-US" w:eastAsia="zh-CN"/>
        </w:rPr>
        <w:t>4</w:t>
      </w:r>
      <w:r>
        <w:rPr>
          <w:rFonts w:hint="eastAsia" w:ascii="宋体" w:hAnsi="宋体" w:eastAsia="宋体" w:cs="宋体"/>
          <w:b w:val="0"/>
          <w:color w:val="auto"/>
          <w:sz w:val="24"/>
          <w:szCs w:val="24"/>
          <w:highlight w:val="none"/>
        </w:rPr>
        <w:t>年</w:t>
      </w:r>
      <w:r>
        <w:rPr>
          <w:rFonts w:hint="eastAsia" w:ascii="宋体" w:hAnsi="宋体" w:eastAsia="宋体" w:cs="宋体"/>
          <w:b w:val="0"/>
          <w:color w:val="auto"/>
          <w:sz w:val="24"/>
          <w:szCs w:val="24"/>
          <w:highlight w:val="none"/>
          <w:lang w:val="en-US" w:eastAsia="zh-CN"/>
        </w:rPr>
        <w:t>5</w:t>
      </w:r>
      <w:r>
        <w:rPr>
          <w:rFonts w:hint="eastAsia" w:ascii="宋体" w:hAnsi="宋体" w:eastAsia="宋体" w:cs="宋体"/>
          <w:b w:val="0"/>
          <w:color w:val="auto"/>
          <w:sz w:val="24"/>
          <w:szCs w:val="24"/>
          <w:highlight w:val="none"/>
        </w:rPr>
        <w:t>月</w:t>
      </w:r>
      <w:r>
        <w:rPr>
          <w:rFonts w:hint="eastAsia" w:ascii="宋体" w:hAnsi="宋体" w:eastAsia="宋体" w:cs="宋体"/>
          <w:b w:val="0"/>
          <w:color w:val="auto"/>
          <w:sz w:val="24"/>
          <w:szCs w:val="24"/>
          <w:highlight w:val="none"/>
          <w:lang w:val="en-US" w:eastAsia="zh-CN"/>
        </w:rPr>
        <w:t>24</w:t>
      </w:r>
      <w:r>
        <w:rPr>
          <w:rFonts w:hint="eastAsia" w:ascii="宋体" w:hAnsi="宋体" w:eastAsia="宋体" w:cs="宋体"/>
          <w:b w:val="0"/>
          <w:color w:val="auto"/>
          <w:sz w:val="24"/>
          <w:szCs w:val="24"/>
          <w:highlight w:val="none"/>
        </w:rPr>
        <w:t xml:space="preserve">日，每天上午00:00至12:00 ，下午12:00至23:59（北京时间，线上获取法定节假日均可，线下获取文件法定节假日除外）    </w:t>
      </w:r>
    </w:p>
    <w:p>
      <w:pPr>
        <w:pStyle w:val="2"/>
        <w:spacing w:before="0" w:after="0" w:line="360" w:lineRule="auto"/>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2.地点（网址）：政采云平台（https://www.zcygov.cn/） </w:t>
      </w:r>
    </w:p>
    <w:p>
      <w:pPr>
        <w:pStyle w:val="2"/>
        <w:spacing w:before="0" w:after="0" w:line="360" w:lineRule="auto"/>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3.方式：供应商登录政采云平台https://www.zcygov.cn/在线申请获取采购文件（进入“项目采购”应用，在获取采购文件菜单中选择项目，申请获取采购文件） </w:t>
      </w:r>
    </w:p>
    <w:p>
      <w:pPr>
        <w:pStyle w:val="2"/>
        <w:spacing w:before="0" w:after="0" w:line="360" w:lineRule="auto"/>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4.售价（元）：0 </w:t>
      </w:r>
    </w:p>
    <w:bookmarkEnd w:id="14"/>
    <w:bookmarkEnd w:id="15"/>
    <w:bookmarkEnd w:id="16"/>
    <w:bookmarkEnd w:id="17"/>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四、响应文件提交（上传）</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1.截止时间：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bCs/>
          <w:color w:val="auto"/>
          <w:sz w:val="24"/>
          <w:highlight w:val="none"/>
          <w:u w:val="single"/>
        </w:rPr>
        <w:t>年</w:t>
      </w:r>
      <w:r>
        <w:rPr>
          <w:rFonts w:hint="eastAsia" w:ascii="宋体" w:hAnsi="宋体" w:eastAsia="宋体" w:cs="宋体"/>
          <w:bCs/>
          <w:color w:val="auto"/>
          <w:sz w:val="24"/>
          <w:highlight w:val="none"/>
          <w:u w:val="single"/>
          <w:lang w:val="en-US" w:eastAsia="zh-CN"/>
        </w:rPr>
        <w:t>5</w:t>
      </w:r>
      <w:r>
        <w:rPr>
          <w:rFonts w:hint="eastAsia" w:ascii="宋体" w:hAnsi="宋体" w:eastAsia="宋体" w:cs="宋体"/>
          <w:bCs/>
          <w:color w:val="auto"/>
          <w:sz w:val="24"/>
          <w:highlight w:val="none"/>
          <w:u w:val="single"/>
        </w:rPr>
        <w:t>月</w:t>
      </w:r>
      <w:r>
        <w:rPr>
          <w:rFonts w:hint="eastAsia" w:ascii="宋体" w:hAnsi="宋体" w:eastAsia="宋体" w:cs="宋体"/>
          <w:bCs/>
          <w:color w:val="auto"/>
          <w:sz w:val="24"/>
          <w:highlight w:val="none"/>
          <w:u w:val="single"/>
          <w:lang w:val="en-US" w:eastAsia="zh-CN"/>
        </w:rPr>
        <w:t>24</w:t>
      </w:r>
      <w:r>
        <w:rPr>
          <w:rFonts w:hint="eastAsia" w:ascii="宋体" w:hAnsi="宋体" w:eastAsia="宋体" w:cs="宋体"/>
          <w:bCs/>
          <w:color w:val="auto"/>
          <w:sz w:val="24"/>
          <w:highlight w:val="none"/>
          <w:u w:val="single"/>
        </w:rPr>
        <w:t>日</w:t>
      </w:r>
      <w:r>
        <w:rPr>
          <w:rFonts w:hint="eastAsia" w:ascii="宋体" w:hAnsi="宋体" w:eastAsia="宋体" w:cs="宋体"/>
          <w:bCs/>
          <w:color w:val="auto"/>
          <w:sz w:val="24"/>
          <w:highlight w:val="none"/>
          <w:u w:val="single"/>
          <w:lang w:val="en-US" w:eastAsia="zh-CN"/>
        </w:rPr>
        <w:t>9</w:t>
      </w:r>
      <w:r>
        <w:rPr>
          <w:rFonts w:hint="eastAsia" w:ascii="宋体" w:hAnsi="宋体" w:eastAsia="宋体" w:cs="宋体"/>
          <w:bCs/>
          <w:color w:val="auto"/>
          <w:sz w:val="24"/>
          <w:highlight w:val="none"/>
          <w:u w:val="single"/>
        </w:rPr>
        <w:t>点</w:t>
      </w:r>
      <w:r>
        <w:rPr>
          <w:rFonts w:hint="eastAsia" w:ascii="宋体" w:hAnsi="宋体" w:eastAsia="宋体" w:cs="宋体"/>
          <w:bCs/>
          <w:color w:val="auto"/>
          <w:sz w:val="24"/>
          <w:highlight w:val="none"/>
          <w:u w:val="single"/>
          <w:lang w:val="en-US" w:eastAsia="zh-CN"/>
        </w:rPr>
        <w:t>00</w:t>
      </w:r>
      <w:r>
        <w:rPr>
          <w:rFonts w:hint="eastAsia" w:ascii="宋体" w:hAnsi="宋体" w:eastAsia="宋体" w:cs="宋体"/>
          <w:bCs/>
          <w:color w:val="auto"/>
          <w:sz w:val="24"/>
          <w:highlight w:val="none"/>
          <w:u w:val="single"/>
        </w:rPr>
        <w:t>分</w:t>
      </w:r>
      <w:r>
        <w:rPr>
          <w:rFonts w:hint="eastAsia" w:ascii="宋体" w:hAnsi="宋体" w:eastAsia="宋体" w:cs="宋体"/>
          <w:bCs/>
          <w:color w:val="auto"/>
          <w:sz w:val="24"/>
          <w:highlight w:val="none"/>
          <w:u w:val="single"/>
          <w:lang w:val="en-US" w:eastAsia="zh-CN"/>
        </w:rPr>
        <w:t>00</w:t>
      </w:r>
      <w:r>
        <w:rPr>
          <w:rFonts w:hint="eastAsia" w:ascii="宋体" w:hAnsi="宋体" w:eastAsia="宋体" w:cs="宋体"/>
          <w:bCs/>
          <w:color w:val="auto"/>
          <w:sz w:val="24"/>
          <w:highlight w:val="none"/>
          <w:u w:val="single"/>
        </w:rPr>
        <w:t>秒</w:t>
      </w:r>
      <w:r>
        <w:rPr>
          <w:rFonts w:hint="eastAsia" w:ascii="宋体" w:hAnsi="宋体" w:eastAsia="宋体" w:cs="宋体"/>
          <w:color w:val="auto"/>
          <w:sz w:val="24"/>
          <w:highlight w:val="none"/>
        </w:rPr>
        <w:t>（北京时间）</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2.地点（网址）：政采云平台（https://www.zcygov.cn/） </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五、响应文件开启</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1.开启时间：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bCs/>
          <w:color w:val="auto"/>
          <w:sz w:val="24"/>
          <w:highlight w:val="none"/>
          <w:u w:val="single"/>
        </w:rPr>
        <w:t>年</w:t>
      </w:r>
      <w:r>
        <w:rPr>
          <w:rFonts w:hint="eastAsia" w:ascii="宋体" w:hAnsi="宋体" w:eastAsia="宋体" w:cs="宋体"/>
          <w:bCs/>
          <w:color w:val="auto"/>
          <w:sz w:val="24"/>
          <w:highlight w:val="none"/>
          <w:u w:val="single"/>
          <w:lang w:val="en-US" w:eastAsia="zh-CN"/>
        </w:rPr>
        <w:t>5</w:t>
      </w:r>
      <w:r>
        <w:rPr>
          <w:rFonts w:hint="eastAsia" w:ascii="宋体" w:hAnsi="宋体" w:eastAsia="宋体" w:cs="宋体"/>
          <w:bCs/>
          <w:color w:val="auto"/>
          <w:sz w:val="24"/>
          <w:highlight w:val="none"/>
          <w:u w:val="single"/>
        </w:rPr>
        <w:t>月</w:t>
      </w:r>
      <w:r>
        <w:rPr>
          <w:rFonts w:hint="eastAsia" w:ascii="宋体" w:hAnsi="宋体" w:eastAsia="宋体" w:cs="宋体"/>
          <w:bCs/>
          <w:color w:val="auto"/>
          <w:sz w:val="24"/>
          <w:highlight w:val="none"/>
          <w:u w:val="single"/>
          <w:lang w:val="en-US" w:eastAsia="zh-CN"/>
        </w:rPr>
        <w:t>24</w:t>
      </w:r>
      <w:r>
        <w:rPr>
          <w:rFonts w:hint="eastAsia" w:ascii="宋体" w:hAnsi="宋体" w:eastAsia="宋体" w:cs="宋体"/>
          <w:bCs/>
          <w:color w:val="auto"/>
          <w:sz w:val="24"/>
          <w:highlight w:val="none"/>
          <w:u w:val="single"/>
        </w:rPr>
        <w:t>日</w:t>
      </w:r>
      <w:r>
        <w:rPr>
          <w:rFonts w:hint="eastAsia" w:ascii="宋体" w:hAnsi="宋体" w:eastAsia="宋体" w:cs="宋体"/>
          <w:bCs/>
          <w:color w:val="auto"/>
          <w:sz w:val="24"/>
          <w:highlight w:val="none"/>
          <w:u w:val="single"/>
          <w:lang w:val="en-US" w:eastAsia="zh-CN"/>
        </w:rPr>
        <w:t>9</w:t>
      </w:r>
      <w:r>
        <w:rPr>
          <w:rFonts w:hint="eastAsia" w:ascii="宋体" w:hAnsi="宋体" w:eastAsia="宋体" w:cs="宋体"/>
          <w:bCs/>
          <w:color w:val="auto"/>
          <w:sz w:val="24"/>
          <w:highlight w:val="none"/>
          <w:u w:val="single"/>
        </w:rPr>
        <w:t>点</w:t>
      </w:r>
      <w:r>
        <w:rPr>
          <w:rFonts w:hint="eastAsia" w:ascii="宋体" w:hAnsi="宋体" w:eastAsia="宋体" w:cs="宋体"/>
          <w:bCs/>
          <w:color w:val="auto"/>
          <w:sz w:val="24"/>
          <w:highlight w:val="none"/>
          <w:u w:val="single"/>
          <w:lang w:val="en-US" w:eastAsia="zh-CN"/>
        </w:rPr>
        <w:t>00</w:t>
      </w:r>
      <w:r>
        <w:rPr>
          <w:rFonts w:hint="eastAsia" w:ascii="宋体" w:hAnsi="宋体" w:eastAsia="宋体" w:cs="宋体"/>
          <w:bCs/>
          <w:color w:val="auto"/>
          <w:sz w:val="24"/>
          <w:highlight w:val="none"/>
          <w:u w:val="single"/>
        </w:rPr>
        <w:t>分</w:t>
      </w:r>
      <w:r>
        <w:rPr>
          <w:rFonts w:hint="eastAsia" w:ascii="宋体" w:hAnsi="宋体" w:eastAsia="宋体" w:cs="宋体"/>
          <w:bCs/>
          <w:color w:val="auto"/>
          <w:sz w:val="24"/>
          <w:highlight w:val="none"/>
          <w:u w:val="single"/>
          <w:lang w:val="en-US" w:eastAsia="zh-CN"/>
        </w:rPr>
        <w:t>00</w:t>
      </w:r>
      <w:r>
        <w:rPr>
          <w:rFonts w:hint="eastAsia" w:ascii="宋体" w:hAnsi="宋体" w:eastAsia="宋体" w:cs="宋体"/>
          <w:bCs/>
          <w:color w:val="auto"/>
          <w:sz w:val="24"/>
          <w:highlight w:val="none"/>
          <w:u w:val="single"/>
        </w:rPr>
        <w:t>秒</w:t>
      </w:r>
      <w:r>
        <w:rPr>
          <w:rFonts w:hint="eastAsia" w:ascii="宋体" w:hAnsi="宋体" w:eastAsia="宋体" w:cs="宋体"/>
          <w:color w:val="auto"/>
          <w:sz w:val="24"/>
          <w:highlight w:val="none"/>
        </w:rPr>
        <w:t>（北京时间）</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2.地点（网址）：政采云平台（https://www.zcygov.cn/） </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六、公告期限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自本公告发布之日起3个工作日。</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七、其他补充事宜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项目采购</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询问质疑投诉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询问列表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鼓励供应商在线提起质疑，路径为：政采云</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项目采购</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询问质疑投诉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质疑列表。质疑供应商对在线质疑答复不满意的，可在线提起投诉，路径为：浙江政府服务网</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政府采购投诉处理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在线办理。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采购文件的第二部分总则。（2）电子采购的说明：①电子采购：本项目以数据电文形式，依托“政府采购云平台（www.zcygov.cn）”进行采购活动，不接受纸质响应文件；②响应准备：注册账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点击“商家入驻”，进行政府采购供应商资料填写；申领CA数字证书---申领流程详见“浙江政府采购网-下载专区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电子交易客户端-CA驱动和申领流程”；安装“政采云电子交易客户端”----前往“浙江政府采购网-下载专区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导入响应文件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标书关联</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标书检查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电子签名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生成电子标书”等操作；⑤采购人、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将依托政采云平台完成本项目的电子交易活动，平台不接受未按上述方式获取采购文件的供应商进行响应活动； ⑥对未按上述方式获取采购文件的供应商对该文件提出的质疑，采购人或采购代理机构将不予处理；⑦不提供采购文件纸质版；⑧响应文件的传输递交：采购人在响应截止时间前将加密的响应文件上传至政府采购云平台；⑨响应文件的解密：采购人按照平台提示和采购文件的规定在半小时内完成在线解密。通过“政府采购云平台”上传递交的响应文件无法按时解密，则视为响应文件撤回。⑩具体操作指南：详见政采云平台“服务中心</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帮助文档</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项目采购</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操作流程</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电子招投标</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政府采购项目电子交易管理操作指南</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供应商”。（3）询价通知书公告期限与本公告期限一致。</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九、对本次采购提出询问、质疑、投诉，请按以下方式联系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1.采购人信息</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建德市民政局</w:t>
      </w:r>
      <w:r>
        <w:rPr>
          <w:rFonts w:hint="eastAsia" w:ascii="宋体" w:hAnsi="宋体" w:eastAsia="宋体" w:cs="宋体"/>
          <w:color w:val="auto"/>
          <w:sz w:val="24"/>
          <w:highlight w:val="non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eastAsia="zh-CN"/>
        </w:rPr>
        <w:t>建德市新衢</w:t>
      </w:r>
      <w:r>
        <w:rPr>
          <w:rFonts w:hint="eastAsia" w:ascii="宋体" w:hAnsi="宋体" w:eastAsia="宋体" w:cs="宋体"/>
          <w:color w:val="auto"/>
          <w:sz w:val="24"/>
          <w:highlight w:val="none"/>
          <w:lang w:val="en-US" w:eastAsia="zh-CN"/>
        </w:rPr>
        <w:tab/>
      </w:r>
      <w:r>
        <w:rPr>
          <w:rFonts w:hint="eastAsia" w:ascii="宋体" w:hAnsi="宋体" w:eastAsia="宋体" w:cs="宋体"/>
          <w:color w:val="auto"/>
          <w:sz w:val="24"/>
          <w:highlight w:val="none"/>
          <w:lang w:eastAsia="zh-CN"/>
        </w:rPr>
        <w:t>路</w:t>
      </w:r>
      <w:r>
        <w:rPr>
          <w:rFonts w:hint="eastAsia" w:ascii="宋体" w:hAnsi="宋体" w:eastAsia="宋体" w:cs="宋体"/>
          <w:color w:val="auto"/>
          <w:sz w:val="24"/>
          <w:highlight w:val="none"/>
          <w:lang w:val="en-US" w:eastAsia="zh-CN"/>
        </w:rPr>
        <w:t xml:space="preserve">39号 </w:t>
      </w:r>
      <w:r>
        <w:rPr>
          <w:rFonts w:hint="eastAsia" w:ascii="宋体" w:hAnsi="宋体" w:eastAsia="宋体" w:cs="宋体"/>
          <w:color w:val="auto"/>
          <w:sz w:val="24"/>
          <w:highlight w:val="none"/>
        </w:rPr>
        <w:t xml:space="preserve">    </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项目联系人（询问）：洪杨欣</w:t>
      </w:r>
      <w:r>
        <w:rPr>
          <w:rFonts w:hint="eastAsia" w:ascii="宋体" w:hAnsi="宋体" w:eastAsia="宋体" w:cs="宋体"/>
          <w:color w:val="auto"/>
          <w:sz w:val="24"/>
          <w:highlight w:val="none"/>
          <w:lang w:val="en-US" w:eastAsia="zh-CN"/>
        </w:rPr>
        <w:t xml:space="preserve"> </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项目联系方式（询问）：18072816935</w:t>
      </w:r>
      <w:r>
        <w:rPr>
          <w:rFonts w:hint="eastAsia" w:ascii="宋体" w:hAnsi="宋体" w:eastAsia="宋体" w:cs="宋体"/>
          <w:color w:val="auto"/>
          <w:sz w:val="24"/>
          <w:highlight w:val="none"/>
          <w:lang w:val="en-US" w:eastAsia="zh-CN"/>
        </w:rPr>
        <w:t xml:space="preserve"> </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质疑联系人：翁志芳</w:t>
      </w:r>
      <w:r>
        <w:rPr>
          <w:rFonts w:hint="eastAsia" w:ascii="宋体" w:hAnsi="宋体" w:eastAsia="宋体" w:cs="宋体"/>
          <w:color w:val="auto"/>
          <w:sz w:val="24"/>
          <w:highlight w:val="none"/>
          <w:lang w:val="en-US" w:eastAsia="zh-CN"/>
        </w:rPr>
        <w:t xml:space="preserve"> </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质疑联系方式：0571-6458710</w:t>
      </w:r>
      <w:r>
        <w:rPr>
          <w:rFonts w:hint="eastAsia" w:ascii="宋体" w:hAnsi="宋体" w:eastAsia="宋体" w:cs="宋体"/>
          <w:color w:val="auto"/>
          <w:sz w:val="24"/>
          <w:highlight w:val="none"/>
          <w:lang w:val="en-US" w:eastAsia="zh-CN"/>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2.采购代理机构信息</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浙江建安工程管理有限公司</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浙江省建德市新安江街道新安财富城</w:t>
      </w:r>
      <w:r>
        <w:rPr>
          <w:rFonts w:hint="eastAsia" w:ascii="宋体" w:hAnsi="宋体" w:eastAsia="宋体" w:cs="宋体"/>
          <w:color w:val="auto"/>
          <w:sz w:val="24"/>
          <w:highlight w:val="none"/>
          <w:lang w:val="en-US" w:eastAsia="zh-CN"/>
        </w:rPr>
        <w:t>6幢B座2104室</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项目联系人（询问）：</w:t>
      </w:r>
      <w:r>
        <w:rPr>
          <w:rFonts w:hint="eastAsia" w:ascii="宋体" w:hAnsi="宋体" w:eastAsia="宋体" w:cs="宋体"/>
          <w:color w:val="auto"/>
          <w:sz w:val="24"/>
          <w:highlight w:val="none"/>
          <w:lang w:eastAsia="zh-CN"/>
        </w:rPr>
        <w:t>杜江龙</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w:t>
      </w:r>
      <w:r>
        <w:rPr>
          <w:rFonts w:hint="eastAsia" w:ascii="宋体" w:hAnsi="宋体" w:eastAsia="宋体" w:cs="宋体"/>
          <w:color w:val="auto"/>
          <w:sz w:val="24"/>
          <w:highlight w:val="none"/>
          <w:lang w:eastAsia="zh-CN"/>
        </w:rPr>
        <w:t xml:space="preserve">15058155265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w:t>
      </w:r>
      <w:r>
        <w:rPr>
          <w:rFonts w:hint="eastAsia" w:ascii="宋体" w:hAnsi="宋体" w:eastAsia="宋体" w:cs="宋体"/>
          <w:color w:val="auto"/>
          <w:sz w:val="24"/>
          <w:highlight w:val="none"/>
          <w:lang w:eastAsia="zh-CN"/>
        </w:rPr>
        <w:t>陈丽</w:t>
      </w:r>
      <w:r>
        <w:rPr>
          <w:rFonts w:hint="eastAsia" w:ascii="宋体" w:hAnsi="宋体" w:eastAsia="宋体" w:cs="宋体"/>
          <w:color w:val="auto"/>
          <w:sz w:val="24"/>
          <w:highlight w:val="non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w:t>
      </w:r>
      <w:r>
        <w:rPr>
          <w:rFonts w:hint="eastAsia" w:ascii="宋体" w:hAnsi="宋体" w:eastAsia="宋体" w:cs="宋体"/>
          <w:color w:val="auto"/>
          <w:sz w:val="24"/>
          <w:highlight w:val="none"/>
          <w:lang w:eastAsia="zh-CN"/>
        </w:rPr>
        <w:t xml:space="preserve">13567149366 </w:t>
      </w:r>
    </w:p>
    <w:p>
      <w:pPr>
        <w:spacing w:line="360" w:lineRule="auto"/>
        <w:rPr>
          <w:rFonts w:ascii="宋体" w:hAnsi="宋体" w:cs="宋体"/>
          <w:color w:val="auto"/>
          <w:sz w:val="24"/>
          <w:highlight w:val="none"/>
        </w:rPr>
      </w:pPr>
      <w:r>
        <w:rPr>
          <w:rFonts w:hint="eastAsia" w:ascii="宋体" w:hAnsi="宋体" w:eastAsia="宋体" w:cs="宋体"/>
          <w:color w:val="auto"/>
          <w:sz w:val="24"/>
          <w:highlight w:val="none"/>
        </w:rPr>
        <w:t xml:space="preserve"> 3.</w:t>
      </w:r>
      <w:r>
        <w:rPr>
          <w:rFonts w:hint="eastAsia" w:ascii="宋体" w:hAnsi="宋体" w:eastAsia="宋体" w:cs="宋体"/>
          <w:color w:val="auto"/>
          <w:highlight w:val="none"/>
        </w:rPr>
        <w:t xml:space="preserve"> </w:t>
      </w:r>
      <w:r>
        <w:rPr>
          <w:rFonts w:hint="eastAsia" w:ascii="宋体" w:hAnsi="宋体" w:cs="宋体"/>
          <w:color w:val="auto"/>
          <w:sz w:val="24"/>
          <w:highlight w:val="none"/>
        </w:rPr>
        <w:t xml:space="preserve">同级政府采购监督管理部门            </w:t>
      </w:r>
    </w:p>
    <w:p>
      <w:pPr>
        <w:spacing w:line="360" w:lineRule="auto"/>
        <w:ind w:firstLine="48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名 称：建德市财政局、浙江省政府采购行政裁决服务中心（杭州）</w:t>
      </w:r>
    </w:p>
    <w:p>
      <w:pPr>
        <w:spacing w:line="360" w:lineRule="auto"/>
        <w:ind w:firstLine="48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地 址：杭州市上城区四季青街道新业路市民之家G03办公室（快递仅限ems或顺丰）</w:t>
      </w:r>
    </w:p>
    <w:p>
      <w:pPr>
        <w:spacing w:line="360" w:lineRule="auto"/>
        <w:ind w:firstLine="48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联 系 人：朱女士、王女士</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监督投诉电话：0571-85252453</w:t>
      </w:r>
      <w:r>
        <w:rPr>
          <w:rFonts w:hint="eastAsia" w:ascii="宋体" w:hAnsi="宋体" w:eastAsia="宋体" w:cs="宋体"/>
          <w:color w:val="auto"/>
          <w:sz w:val="24"/>
          <w:highlight w:val="non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spacing w:line="360" w:lineRule="auto"/>
        <w:ind w:firstLine="480" w:firstLineChars="200"/>
        <w:rPr>
          <w:rFonts w:hint="eastAsia" w:ascii="宋体" w:hAnsi="宋体" w:eastAsia="宋体" w:cs="宋体"/>
          <w:color w:val="auto"/>
          <w:sz w:val="24"/>
          <w:highlight w:val="none"/>
        </w:rPr>
        <w:sectPr>
          <w:footerReference r:id="rId13" w:type="default"/>
          <w:pgSz w:w="11906" w:h="16838"/>
          <w:pgMar w:top="1440" w:right="1800" w:bottom="1440" w:left="1800" w:header="930" w:footer="992" w:gutter="0"/>
          <w:cols w:space="425" w:num="1"/>
          <w:docGrid w:type="lines" w:linePitch="312" w:charSpace="0"/>
        </w:sectPr>
      </w:pPr>
    </w:p>
    <w:p>
      <w:pPr>
        <w:spacing w:line="460" w:lineRule="exac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第二部分 供应商须知</w:t>
      </w:r>
    </w:p>
    <w:p>
      <w:pPr>
        <w:spacing w:line="460" w:lineRule="exact"/>
        <w:ind w:firstLine="643" w:firstLineChars="200"/>
        <w:jc w:val="center"/>
        <w:rPr>
          <w:rFonts w:hint="eastAsia" w:ascii="宋体" w:hAnsi="宋体" w:eastAsia="宋体" w:cs="宋体"/>
          <w:b/>
          <w:color w:val="auto"/>
          <w:sz w:val="24"/>
          <w:highlight w:val="none"/>
        </w:rPr>
      </w:pPr>
      <w:r>
        <w:rPr>
          <w:rFonts w:hint="eastAsia" w:ascii="宋体" w:hAnsi="宋体" w:eastAsia="宋体" w:cs="宋体"/>
          <w:b/>
          <w:bCs/>
          <w:color w:val="auto"/>
          <w:sz w:val="32"/>
          <w:szCs w:val="32"/>
          <w:highlight w:val="none"/>
        </w:rPr>
        <w:t>前附表</w:t>
      </w:r>
    </w:p>
    <w:tbl>
      <w:tblPr>
        <w:tblStyle w:val="25"/>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777"/>
        <w:gridCol w:w="61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1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3"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8727868"/>
                <w:showingPlcHdr/>
              </w:sdtPr>
              <w:sdtEndPr>
                <w:rPr>
                  <w:rFonts w:hint="eastAsia" w:ascii="宋体" w:hAnsi="宋体" w:eastAsia="宋体" w:cs="宋体"/>
                  <w:color w:val="auto"/>
                  <w:kern w:val="0"/>
                  <w:sz w:val="24"/>
                  <w:highlight w:val="none"/>
                </w:rPr>
              </w:sdtEndPr>
              <w:sdtContent/>
            </w:sdt>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0#</w:t>
            </w:r>
            <w:r>
              <w:rPr>
                <w:rFonts w:hint="eastAsia" w:ascii="宋体" w:hAnsi="宋体" w:eastAsia="宋体" w:cs="宋体"/>
                <w:color w:val="auto"/>
                <w:sz w:val="24"/>
                <w:highlight w:val="none"/>
                <w:u w:val="single"/>
                <w:lang w:eastAsia="zh-CN"/>
              </w:rPr>
              <w:t>柴油</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7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1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标的：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kern w:val="0"/>
                <w:sz w:val="24"/>
                <w:highlight w:val="none"/>
                <w:u w:val="single"/>
                <w:lang w:val="en-US" w:eastAsia="zh-CN"/>
              </w:rPr>
              <w:t>0#</w:t>
            </w:r>
            <w:r>
              <w:rPr>
                <w:rFonts w:hint="eastAsia" w:ascii="宋体" w:hAnsi="宋体" w:eastAsia="宋体" w:cs="宋体"/>
                <w:color w:val="auto"/>
                <w:sz w:val="24"/>
                <w:highlight w:val="none"/>
                <w:u w:val="single"/>
                <w:lang w:val="en-US" w:eastAsia="zh-CN"/>
              </w:rPr>
              <w:t>柴油</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sz w:val="24"/>
                <w:highlight w:val="none"/>
                <w:u w:val="single"/>
                <w:lang w:eastAsia="zh-CN"/>
              </w:rPr>
              <w:t>工业</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13"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r>
              <w:rPr>
                <w:rFonts w:hint="eastAsia" w:ascii="宋体" w:hAnsi="宋体" w:eastAsia="宋体" w:cs="宋体"/>
                <w:color w:val="auto"/>
                <w:kern w:val="0"/>
                <w:sz w:val="24"/>
                <w:highlight w:val="none"/>
              </w:rPr>
              <w:t>本项目不允许采购进口产品。</w:t>
            </w:r>
          </w:p>
          <w:p>
            <w:pPr>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☐可以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7"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5"/>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2004815790"/>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 xml:space="preserve">同意将非主体、非关键性的 </w:t>
            </w:r>
            <w:r>
              <w:rPr>
                <w:rFonts w:hint="eastAsia" w:ascii="宋体" w:hAnsi="宋体" w:eastAsia="宋体" w:cs="宋体"/>
                <w:color w:val="auto"/>
                <w:sz w:val="24"/>
                <w:highlight w:val="none"/>
                <w:u w:val="single"/>
                <w:lang w:val="en-US" w:eastAsia="zh-CN"/>
              </w:rPr>
              <w:t xml:space="preserve">运输 </w:t>
            </w:r>
            <w:r>
              <w:rPr>
                <w:rFonts w:hint="eastAsia" w:ascii="宋体" w:hAnsi="宋体" w:eastAsia="宋体" w:cs="宋体"/>
                <w:b/>
                <w:color w:val="auto"/>
                <w:sz w:val="24"/>
                <w:highlight w:val="none"/>
                <w:u w:val="single"/>
              </w:rPr>
              <w:t xml:space="preserve"> </w:t>
            </w:r>
            <w:r>
              <w:rPr>
                <w:rFonts w:hint="eastAsia" w:ascii="宋体" w:hAnsi="宋体" w:eastAsia="宋体" w:cs="宋体"/>
                <w:color w:val="auto"/>
                <w:sz w:val="24"/>
                <w:highlight w:val="none"/>
              </w:rPr>
              <w:t>工作分包。</w:t>
            </w:r>
          </w:p>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11109842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响应截止前答疑会或现场考察</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7"/>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18"/>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时间：,地点：，联系人：，联系方式：</w:t>
            </w:r>
            <w:r>
              <w:rPr>
                <w:rFonts w:hint="eastAsia" w:ascii="宋体" w:hAnsi="宋体" w:eastAsia="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58"/>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59"/>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49573340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Content>
                </w:sdt>
                <w:sdt>
                  <w:sdtPr>
                    <w:rPr>
                      <w:rFonts w:hint="eastAsia" w:ascii="宋体" w:hAnsi="宋体" w:eastAsia="宋体" w:cs="宋体"/>
                      <w:color w:val="auto"/>
                      <w:kern w:val="0"/>
                      <w:sz w:val="24"/>
                      <w:highlight w:val="none"/>
                    </w:rPr>
                    <w:id w:val="60"/>
                    <w:showingPlcHdr/>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62"/>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sdt>
                  <w:sdtPr>
                    <w:rPr>
                      <w:rFonts w:hint="eastAsia" w:ascii="宋体" w:hAnsi="宋体" w:eastAsia="宋体" w:cs="宋体"/>
                      <w:color w:val="auto"/>
                      <w:kern w:val="0"/>
                      <w:sz w:val="24"/>
                      <w:highlight w:val="none"/>
                    </w:rPr>
                    <w:id w:val="63"/>
                    <w:showingPlcHdr/>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color w:val="auto"/>
                <w:kern w:val="0"/>
                <w:sz w:val="24"/>
                <w:highlight w:val="none"/>
              </w:rPr>
              <w:t>B组织。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（1）在评审时安排每个供应商进行方案讲解演示。每个供应商时间不超过</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20</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分钟，讲解次序以响应文件解密时间先后次序为准，讲解演示人员不超过</w:t>
            </w:r>
            <w:r>
              <w:rPr>
                <w:rFonts w:hint="eastAsia" w:ascii="宋体" w:hAnsi="宋体" w:eastAsia="宋体" w:cs="宋体"/>
                <w:color w:val="auto"/>
                <w:kern w:val="0"/>
                <w:sz w:val="24"/>
                <w:highlight w:val="none"/>
                <w:u w:val="single"/>
              </w:rPr>
              <w:t>3</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人。讲解演示结束后按要求解答询价小组提问。</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方式一：政采云平台在线讲解演示。政采云平台在线讲解需供应商根据政采云平台操作要求做好准备工作，提前完善软硬件配置环境。</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，讲解演示所用电脑等设备由供应商自备。现场讲解演示人员进场时提供讲解人员名单（加盖公章）及身份证明，否则不得讲解演示。</w:t>
            </w:r>
          </w:p>
          <w:p>
            <w:pPr>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2" w:hRule="atLeast"/>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w:t>
            </w:r>
          </w:p>
        </w:tc>
        <w:tc>
          <w:tcPr>
            <w:tcW w:w="1777"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供应商应当提供的资格、资信证明文件</w:t>
            </w:r>
          </w:p>
        </w:tc>
        <w:tc>
          <w:tcPr>
            <w:tcW w:w="6161"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（1）资格证明文件：见采购文件第二部分11.1。</w:t>
            </w:r>
          </w:p>
          <w:p>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供应商未提供有效的资格证明文件的，视为供应商不具备采购文件中规定的资格要求，响应无效。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1" w:hRule="atLeast"/>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777"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p>
        </w:tc>
        <w:tc>
          <w:tcPr>
            <w:tcW w:w="6161"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（2）资信证明文件：根据采购文件第四部分评审标准提供。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8</w:t>
            </w:r>
          </w:p>
        </w:tc>
        <w:tc>
          <w:tcPr>
            <w:tcW w:w="17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1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9</w:t>
            </w:r>
          </w:p>
        </w:tc>
        <w:tc>
          <w:tcPr>
            <w:tcW w:w="17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1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color w:val="auto"/>
                <w:sz w:val="24"/>
                <w:highlight w:val="none"/>
                <w:lang w:val="zh-CN"/>
              </w:rPr>
              <w:t>响应报价明细表</w:t>
            </w:r>
            <w:r>
              <w:rPr>
                <w:rFonts w:hint="eastAsia" w:ascii="宋体" w:hAnsi="宋体" w:eastAsia="宋体" w:cs="宋体"/>
                <w:color w:val="auto"/>
                <w:sz w:val="24"/>
                <w:highlight w:val="none"/>
              </w:rPr>
              <w:t>是报价的唯一载体</w:t>
            </w:r>
            <w:r>
              <w:rPr>
                <w:rFonts w:hint="eastAsia" w:ascii="宋体" w:hAnsi="宋体" w:eastAsia="宋体" w:cs="宋体"/>
                <w:b/>
                <w:bCs/>
                <w:color w:val="auto"/>
                <w:sz w:val="24"/>
                <w:highlight w:val="none"/>
              </w:rPr>
              <w:t>，如供应商在政府采购云平台填写的报价与响应文件报价文件中</w:t>
            </w:r>
            <w:r>
              <w:rPr>
                <w:rFonts w:hint="eastAsia" w:ascii="宋体" w:hAnsi="宋体" w:eastAsia="宋体" w:cs="宋体"/>
                <w:b/>
                <w:bCs/>
                <w:color w:val="auto"/>
                <w:sz w:val="24"/>
                <w:highlight w:val="none"/>
                <w:lang w:val="zh-CN"/>
              </w:rPr>
              <w:t>响应报价明细表</w:t>
            </w:r>
            <w:r>
              <w:rPr>
                <w:rFonts w:hint="eastAsia" w:ascii="宋体" w:hAnsi="宋体" w:eastAsia="宋体" w:cs="宋体"/>
                <w:b/>
                <w:bCs/>
                <w:color w:val="auto"/>
                <w:sz w:val="24"/>
                <w:highlight w:val="none"/>
              </w:rPr>
              <w:t>不一致的，以报价文件中</w:t>
            </w:r>
            <w:r>
              <w:rPr>
                <w:rFonts w:hint="eastAsia" w:ascii="宋体" w:hAnsi="宋体" w:eastAsia="宋体" w:cs="宋体"/>
                <w:b/>
                <w:bCs/>
                <w:color w:val="auto"/>
                <w:sz w:val="24"/>
                <w:highlight w:val="none"/>
                <w:lang w:val="zh-CN"/>
              </w:rPr>
              <w:t>响应报价明细表</w:t>
            </w:r>
            <w:r>
              <w:rPr>
                <w:rFonts w:hint="eastAsia" w:ascii="宋体" w:hAnsi="宋体" w:eastAsia="宋体" w:cs="宋体"/>
                <w:b/>
                <w:bCs/>
                <w:color w:val="auto"/>
                <w:sz w:val="24"/>
                <w:highlight w:val="none"/>
              </w:rPr>
              <w:t>为准。</w:t>
            </w:r>
            <w:r>
              <w:rPr>
                <w:rFonts w:hint="eastAsia" w:ascii="宋体" w:hAnsi="宋体" w:eastAsia="宋体" w:cs="宋体"/>
                <w:color w:val="auto"/>
                <w:kern w:val="0"/>
                <w:sz w:val="24"/>
                <w:highlight w:val="none"/>
                <w:lang w:val="zh-CN"/>
              </w:rPr>
              <w:t>响应文件中价格全部采用</w:t>
            </w:r>
            <w:r>
              <w:rPr>
                <w:rFonts w:hint="eastAsia" w:ascii="宋体" w:hAnsi="宋体" w:eastAsia="宋体" w:cs="宋体"/>
                <w:b/>
                <w:color w:val="auto"/>
                <w:sz w:val="24"/>
                <w:highlight w:val="none"/>
                <w:lang w:eastAsia="zh-CN"/>
              </w:rPr>
              <w:t>折扣率</w:t>
            </w:r>
            <w:r>
              <w:rPr>
                <w:rFonts w:hint="eastAsia" w:ascii="宋体" w:hAnsi="宋体" w:eastAsia="宋体" w:cs="宋体"/>
                <w:color w:val="auto"/>
                <w:kern w:val="0"/>
                <w:sz w:val="24"/>
                <w:highlight w:val="none"/>
                <w:lang w:val="zh-CN"/>
              </w:rPr>
              <w:t>报价。采购文件未列明，而供应商认为必需的费用也需列入报价。</w:t>
            </w:r>
          </w:p>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pPr>
              <w:snapToGrid w:val="0"/>
              <w:spacing w:line="360" w:lineRule="auto"/>
              <w:ind w:firstLine="240"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lang w:val="zh-CN"/>
              </w:rPr>
              <w:t>投标文件出现不是唯一的、有选择性投标报价的；</w:t>
            </w:r>
          </w:p>
          <w:p>
            <w:pPr>
              <w:snapToGrid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lang w:val="zh-CN"/>
              </w:rPr>
              <w:t>投标报价超过招标文件中规定的预算金额或者最高限价的；</w:t>
            </w:r>
          </w:p>
          <w:p>
            <w:pP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kern w:val="0"/>
                <w:sz w:val="24"/>
                <w:highlight w:val="none"/>
                <w:lang w:eastAsia="zh-CN"/>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48" w:hRule="atLeast"/>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777"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kern w:val="28"/>
                <w:sz w:val="24"/>
                <w:highlight w:val="none"/>
              </w:rPr>
            </w:pPr>
            <w:r>
              <w:rPr>
                <w:rFonts w:hint="eastAsia" w:ascii="宋体" w:hAnsi="宋体" w:eastAsia="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-【融资服务】，可在热门申请中选择产品直接申请，也可点击云智贷匹配适合产品进行申请，或者在可申请项目中根据该项目进行申请。具体可咨询建德市财政局采购办，联系电话：0571-89606885。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7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备份响应文件送达地点和签收人员 </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备份响应文件送达地点：</w:t>
            </w:r>
            <w:r>
              <w:rPr>
                <w:rFonts w:hint="eastAsia" w:ascii="宋体" w:hAnsi="宋体" w:eastAsia="宋体" w:cs="宋体"/>
                <w:snapToGrid w:val="0"/>
                <w:color w:val="auto"/>
                <w:kern w:val="28"/>
                <w:sz w:val="24"/>
                <w:highlight w:val="none"/>
                <w:u w:val="single"/>
              </w:rPr>
              <w:t>浙江省杭州市建德市新安江街道新安财富城6幢B座2104室</w:t>
            </w:r>
            <w:r>
              <w:rPr>
                <w:rFonts w:hint="eastAsia" w:ascii="宋体" w:hAnsi="宋体" w:eastAsia="宋体" w:cs="宋体"/>
                <w:snapToGrid w:val="0"/>
                <w:color w:val="auto"/>
                <w:kern w:val="28"/>
                <w:sz w:val="24"/>
                <w:highlight w:val="none"/>
              </w:rPr>
              <w:t>；备份响应文件签收人员联系电话：</w:t>
            </w:r>
            <w:r>
              <w:rPr>
                <w:rFonts w:hint="eastAsia" w:ascii="宋体" w:hAnsi="宋体" w:eastAsia="宋体" w:cs="宋体"/>
                <w:snapToGrid w:val="0"/>
                <w:color w:val="auto"/>
                <w:kern w:val="28"/>
                <w:sz w:val="24"/>
                <w:highlight w:val="none"/>
                <w:u w:val="single"/>
              </w:rPr>
              <w:t>杜江龙，15058155265</w:t>
            </w:r>
            <w:r>
              <w:rPr>
                <w:rFonts w:hint="eastAsia" w:ascii="宋体" w:hAnsi="宋体" w:eastAsia="宋体" w:cs="宋体"/>
                <w:snapToGrid w:val="0"/>
                <w:color w:val="auto"/>
                <w:kern w:val="28"/>
                <w:sz w:val="24"/>
                <w:highlight w:val="none"/>
              </w:rPr>
              <w:t>。采购人、</w:t>
            </w:r>
            <w:r>
              <w:rPr>
                <w:rFonts w:hint="eastAsia" w:ascii="宋体" w:hAnsi="宋体" w:eastAsia="宋体" w:cs="宋体"/>
                <w:snapToGrid w:val="0"/>
                <w:color w:val="auto"/>
                <w:kern w:val="28"/>
                <w:sz w:val="24"/>
                <w:highlight w:val="none"/>
                <w:lang w:eastAsia="zh-CN"/>
              </w:rPr>
              <w:t>采购代理机构</w:t>
            </w:r>
            <w:r>
              <w:rPr>
                <w:rFonts w:hint="eastAsia" w:ascii="宋体" w:hAnsi="宋体" w:eastAsia="宋体" w:cs="宋体"/>
                <w:snapToGrid w:val="0"/>
                <w:color w:val="auto"/>
                <w:kern w:val="28"/>
                <w:sz w:val="24"/>
                <w:highlight w:val="none"/>
              </w:rPr>
              <w:t>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3" w:hRule="atLeast"/>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p>
        </w:tc>
        <w:tc>
          <w:tcPr>
            <w:tcW w:w="1777"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采购代理服务费</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876584110"/>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本项目不收取采购代理服务费。</w:t>
            </w:r>
          </w:p>
          <w:p>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876584111"/>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49573340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
                  <w:sdtPr>
                    <w:rPr>
                      <w:rFonts w:hint="eastAsia" w:ascii="宋体" w:hAnsi="宋体" w:eastAsia="宋体" w:cs="宋体"/>
                      <w:color w:val="auto"/>
                      <w:kern w:val="0"/>
                      <w:sz w:val="24"/>
                      <w:highlight w:val="none"/>
                    </w:rPr>
                    <w:id w:val="60"/>
                    <w:showingPlcHdr/>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本项目收取采购代理服务费。</w:t>
            </w:r>
            <w:r>
              <w:rPr>
                <w:rFonts w:hint="eastAsia" w:ascii="宋体" w:hAnsi="宋体" w:eastAsia="宋体" w:cs="宋体"/>
                <w:snapToGrid w:val="0"/>
                <w:color w:val="auto"/>
                <w:kern w:val="28"/>
                <w:sz w:val="24"/>
                <w:highlight w:val="none"/>
              </w:rPr>
              <w:t>响应总报价应包含采购服务费，采购服务费按</w:t>
            </w:r>
            <w:r>
              <w:rPr>
                <w:rFonts w:hint="eastAsia" w:ascii="宋体" w:hAnsi="宋体" w:eastAsia="宋体" w:cs="宋体"/>
                <w:snapToGrid w:val="0"/>
                <w:color w:val="auto"/>
                <w:kern w:val="28"/>
                <w:sz w:val="24"/>
                <w:highlight w:val="none"/>
                <w:u w:val="single"/>
              </w:rPr>
              <w:t>货物</w:t>
            </w:r>
            <w:r>
              <w:rPr>
                <w:rFonts w:hint="eastAsia" w:ascii="宋体" w:hAnsi="宋体" w:eastAsia="宋体" w:cs="宋体"/>
                <w:color w:val="auto"/>
                <w:sz w:val="24"/>
                <w:highlight w:val="none"/>
                <w:u w:val="single"/>
              </w:rPr>
              <w:t xml:space="preserve"> </w:t>
            </w:r>
            <w:r>
              <w:rPr>
                <w:rFonts w:hint="eastAsia" w:ascii="宋体" w:hAnsi="宋体" w:eastAsia="宋体" w:cs="宋体"/>
                <w:snapToGrid w:val="0"/>
                <w:color w:val="auto"/>
                <w:kern w:val="28"/>
                <w:sz w:val="24"/>
                <w:highlight w:val="none"/>
              </w:rPr>
              <w:t>收费标准（</w:t>
            </w:r>
            <w:r>
              <w:rPr>
                <w:rFonts w:hint="eastAsia" w:ascii="宋体" w:hAnsi="宋体" w:eastAsia="宋体" w:cs="宋体"/>
                <w:snapToGrid w:val="0"/>
                <w:color w:val="auto"/>
                <w:kern w:val="28"/>
                <w:sz w:val="24"/>
                <w:highlight w:val="none"/>
                <w:u w:val="single"/>
              </w:rPr>
              <w:t>货物\</w:t>
            </w:r>
            <w:r>
              <w:rPr>
                <w:rFonts w:hint="eastAsia" w:ascii="宋体" w:hAnsi="宋体" w:eastAsia="宋体" w:cs="宋体"/>
                <w:color w:val="auto"/>
                <w:sz w:val="24"/>
                <w:highlight w:val="none"/>
                <w:u w:val="single"/>
              </w:rPr>
              <w:t>服务</w:t>
            </w:r>
            <w:r>
              <w:rPr>
                <w:rFonts w:hint="eastAsia" w:ascii="宋体" w:hAnsi="宋体" w:eastAsia="宋体" w:cs="宋体"/>
                <w:snapToGrid w:val="0"/>
                <w:color w:val="auto"/>
                <w:kern w:val="28"/>
                <w:sz w:val="24"/>
                <w:highlight w:val="none"/>
              </w:rPr>
              <w:t>类）计取，人民币</w:t>
            </w:r>
            <w:r>
              <w:rPr>
                <w:rFonts w:hint="eastAsia" w:ascii="宋体" w:hAnsi="宋体" w:eastAsia="宋体" w:cs="宋体"/>
                <w:snapToGrid w:val="0"/>
                <w:color w:val="auto"/>
                <w:kern w:val="28"/>
                <w:sz w:val="24"/>
                <w:highlight w:val="none"/>
                <w:lang w:val="en-US" w:eastAsia="zh-CN"/>
              </w:rPr>
              <w:fldChar w:fldCharType="begin"/>
            </w:r>
            <w:r>
              <w:rPr>
                <w:rFonts w:hint="eastAsia" w:ascii="宋体" w:hAnsi="宋体" w:eastAsia="宋体" w:cs="宋体"/>
                <w:snapToGrid w:val="0"/>
                <w:color w:val="auto"/>
                <w:kern w:val="28"/>
                <w:sz w:val="24"/>
                <w:highlight w:val="none"/>
                <w:lang w:val="en-US" w:eastAsia="zh-CN"/>
              </w:rPr>
              <w:instrText xml:space="preserve"> = 6300 \* CHINESENUM4 \* MERGEFORMAT </w:instrText>
            </w:r>
            <w:r>
              <w:rPr>
                <w:rFonts w:hint="eastAsia" w:ascii="宋体" w:hAnsi="宋体" w:eastAsia="宋体" w:cs="宋体"/>
                <w:snapToGrid w:val="0"/>
                <w:color w:val="auto"/>
                <w:kern w:val="28"/>
                <w:sz w:val="24"/>
                <w:highlight w:val="none"/>
                <w:lang w:val="en-US" w:eastAsia="zh-CN"/>
              </w:rPr>
              <w:fldChar w:fldCharType="separate"/>
            </w:r>
            <w:r>
              <w:rPr>
                <w:rFonts w:hint="eastAsia" w:ascii="宋体" w:hAnsi="宋体" w:eastAsia="宋体" w:cs="宋体"/>
                <w:snapToGrid w:val="0"/>
                <w:color w:val="auto"/>
                <w:kern w:val="28"/>
                <w:sz w:val="24"/>
                <w:highlight w:val="none"/>
              </w:rPr>
              <w:t>陆仟叁佰元整</w:t>
            </w:r>
            <w:r>
              <w:rPr>
                <w:rFonts w:hint="eastAsia" w:ascii="宋体" w:hAnsi="宋体" w:eastAsia="宋体" w:cs="宋体"/>
                <w:snapToGrid w:val="0"/>
                <w:color w:val="auto"/>
                <w:kern w:val="28"/>
                <w:sz w:val="24"/>
                <w:highlight w:val="none"/>
                <w:lang w:val="en-US" w:eastAsia="zh-CN"/>
              </w:rPr>
              <w:fldChar w:fldCharType="end"/>
            </w:r>
            <w:r>
              <w:rPr>
                <w:rFonts w:hint="eastAsia" w:ascii="宋体" w:hAnsi="宋体" w:eastAsia="宋体" w:cs="宋体"/>
                <w:snapToGrid w:val="0"/>
                <w:color w:val="auto"/>
                <w:kern w:val="28"/>
                <w:sz w:val="24"/>
                <w:highlight w:val="none"/>
              </w:rPr>
              <w:t>（¥：</w:t>
            </w:r>
            <w:r>
              <w:rPr>
                <w:rFonts w:hint="eastAsia" w:ascii="宋体" w:hAnsi="宋体" w:eastAsia="宋体" w:cs="宋体"/>
                <w:color w:val="auto"/>
                <w:sz w:val="24"/>
                <w:highlight w:val="none"/>
                <w:u w:val="single"/>
                <w:lang w:val="en-US" w:eastAsia="zh-CN"/>
              </w:rPr>
              <w:t>6300.00</w:t>
            </w:r>
            <w:r>
              <w:rPr>
                <w:rFonts w:hint="eastAsia" w:ascii="宋体" w:hAnsi="宋体" w:eastAsia="宋体" w:cs="宋体"/>
                <w:snapToGrid w:val="0"/>
                <w:color w:val="auto"/>
                <w:kern w:val="28"/>
                <w:sz w:val="24"/>
                <w:highlight w:val="none"/>
              </w:rPr>
              <w:t>元），由成交供应商在领取成交通知书时支付给采购代理公司。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3" w:hRule="atLeast"/>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p>
        </w:tc>
        <w:tc>
          <w:tcPr>
            <w:tcW w:w="1777"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联合体响应的或者以分包方式履行合同的，联合体各方（供应商与分包供应商）分别提供与联合体协议（分包意向协议）中规定的分工内容相应的业绩证明材料，业绩数量以提供材料较少的一方为准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eastAsia="宋体" w:cs="宋体"/>
                <w:b/>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2" w:hRule="atLeast"/>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p>
        </w:tc>
        <w:tc>
          <w:tcPr>
            <w:tcW w:w="1777"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369766551"/>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联合体响应的，联合体各方均需按采购文件第四部分评审标准要求提供资信证明文件，否则视为不符合相关要求。</w:t>
            </w:r>
          </w:p>
          <w:p>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052570136"/>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r>
              <w:rPr>
                <w:rFonts w:hint="eastAsia" w:ascii="宋体" w:hAnsi="宋体" w:eastAsia="宋体" w:cs="宋体"/>
                <w:snapToGrid w:val="0"/>
                <w:color w:val="auto"/>
                <w:kern w:val="28"/>
                <w:sz w:val="24"/>
                <w:highlight w:val="none"/>
              </w:rPr>
              <w:t>联合体响应的，联合体中有一方或者联合体成员根据分工按采购文件第四部分评审标准要求提供资信证明文件的，视为符合了相关要求。</w:t>
            </w:r>
          </w:p>
        </w:tc>
      </w:tr>
    </w:tbl>
    <w:p>
      <w:pPr>
        <w:pStyle w:val="2"/>
        <w:rPr>
          <w:rFonts w:hint="eastAsia" w:ascii="宋体" w:hAnsi="宋体" w:eastAsia="宋体" w:cs="宋体"/>
          <w:b/>
          <w:color w:val="auto"/>
          <w:sz w:val="32"/>
          <w:szCs w:val="20"/>
          <w:highlight w:val="none"/>
        </w:rPr>
      </w:pPr>
    </w:p>
    <w:p>
      <w:pPr>
        <w:rPr>
          <w:rFonts w:hint="eastAsia" w:ascii="宋体" w:hAnsi="宋体" w:eastAsia="宋体" w:cs="宋体"/>
          <w:b/>
          <w:color w:val="auto"/>
          <w:sz w:val="32"/>
          <w:szCs w:val="20"/>
          <w:highlight w:val="none"/>
        </w:rPr>
      </w:pPr>
    </w:p>
    <w:p>
      <w:pPr>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本采购文件适用于该项目的邀请、响应、响应文件开启、资格审查及信用信息查询、询价、确定成交供应商、合同、验收等行为（法律、法规另有规定的，从其规定）。</w:t>
      </w:r>
    </w:p>
    <w:p>
      <w:pPr>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“采购人”系指采购公告中载明的本项目的采购人。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”系指采购公告中载明的本项目的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“供应商”系指是指响应询价邀请、参加响应竞争的法人、其他组织或者自然人。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须提供《业务专用章使用说明函》（附件4）。</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指本项目政府采购活动所依托的政府采购云平台（https://www.zcygov.cn/）。</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”系指适用本项目的要求，“</w:t>
      </w:r>
      <w:sdt>
        <w:sdtPr>
          <w:rPr>
            <w:rFonts w:hint="eastAsia" w:ascii="宋体" w:hAnsi="宋体" w:eastAsia="宋体" w:cs="宋体"/>
            <w:color w:val="auto"/>
            <w:kern w:val="0"/>
            <w:sz w:val="24"/>
            <w:highlight w:val="none"/>
          </w:rPr>
          <w:id w:val="40488885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3.采购项目需要落实的政府采购政策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eastAsia="宋体" w:cs="宋体"/>
          <w:b/>
          <w:color w:val="auto"/>
          <w:sz w:val="24"/>
          <w:highlight w:val="none"/>
        </w:rPr>
        <w:t>采购人拟采购的产品属于政府强制采购的节能产品品目清单范围的，供应商响应的产品未获得国家确定的认证机构出具的、处于有效期之内的节能产品认证证书的，响应无效。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快递包装政府采购需求标准（试行）》。</w:t>
      </w:r>
      <w:bookmarkStart w:id="18" w:name="_Hlk107568539"/>
      <w:r>
        <w:rPr>
          <w:rFonts w:hint="eastAsia" w:ascii="宋体" w:hAnsi="宋体" w:eastAsia="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bookmarkEnd w:id="18"/>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在政府采购活动中，供应商提供的货物、工程或者服务符合下列情形的，享受中小企业扶持政策：</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在货物采购项目中，供应商提供的货物既有中小企业制造货物，也有大型企业制造货物的，不享受中小企业扶持政策。</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成交的，依法承担法律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pPr>
        <w:autoSpaceDE w:val="0"/>
        <w:autoSpaceDN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p>
    <w:p>
      <w:pPr>
        <w:autoSpaceDE w:val="0"/>
        <w:autoSpaceDN w:val="0"/>
        <w:spacing w:line="360" w:lineRule="auto"/>
        <w:ind w:firstLine="482" w:firstLineChars="2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4. 询问、质疑、投诉</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pPr>
        <w:pStyle w:val="18"/>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.1提出质疑的供应商应当是参与所质疑项目采购活动的供应商。潜在供应商已依法获取其可质疑的采购文件的，可以对该文件提出质疑。</w:t>
      </w:r>
    </w:p>
    <w:p>
      <w:pPr>
        <w:pStyle w:val="18"/>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.2供应商认为采购文件、采购过程和成交结果使自己的权益受到损害的，可以在知道或者应知其权益受到损害之日起七个工作日内，以书面形式向采购人或者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pPr>
        <w:pStyle w:val="10"/>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4.3.2.1对采购文件提出质疑的，质疑期限为供应商获得采购文件之日或者采购文件公告期限届满之日起计算。</w:t>
      </w:r>
    </w:p>
    <w:p>
      <w:pPr>
        <w:pStyle w:val="18"/>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4.3.2.2对采购过程提出质疑的，质疑期限为各采购程序环节结束之日起计算。对同一采购程序环节的质疑，供应商须一次性提出。</w:t>
      </w:r>
    </w:p>
    <w:p>
      <w:pPr>
        <w:pStyle w:val="18"/>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4.3.2.3对采购结果提出质疑的，质疑期限自采购结果公告期限届满之日起计算。</w:t>
      </w:r>
    </w:p>
    <w:p>
      <w:pPr>
        <w:pStyle w:val="18"/>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pPr>
        <w:pStyle w:val="18"/>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4.3.3.1供应商的姓名或者名称、地址、邮编、联系人及联系电话；</w:t>
      </w:r>
    </w:p>
    <w:p>
      <w:pPr>
        <w:pStyle w:val="18"/>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pPr>
        <w:pStyle w:val="18"/>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pPr>
        <w:pStyle w:val="18"/>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pPr>
        <w:pStyle w:val="18"/>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4.2.3.5必要的法律依据；</w:t>
      </w:r>
    </w:p>
    <w:p>
      <w:pPr>
        <w:pStyle w:val="18"/>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pPr>
        <w:pStyle w:val="3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3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pPr>
        <w:pStyle w:val="3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.4采购人或者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eastAsia" w:eastAsia="宋体" w:cs="宋体"/>
          <w:color w:val="auto"/>
          <w:highlight w:val="none"/>
          <w:lang w:eastAsia="zh-CN"/>
        </w:rPr>
        <w:t>，</w:t>
      </w:r>
      <w:r>
        <w:rPr>
          <w:rFonts w:hint="eastAsia" w:ascii="宋体" w:hAnsi="宋体" w:eastAsia="宋体" w:cs="宋体"/>
          <w:color w:val="auto"/>
          <w:highlight w:val="none"/>
        </w:rPr>
        <w:t>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在质疑回复后5个工作日内，在浙江政府采购网的“其他公告”栏目公开质疑答复，答复内容应当完整。质疑函作为附件上传。</w:t>
      </w:r>
    </w:p>
    <w:p>
      <w:pPr>
        <w:pStyle w:val="3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.5询问或者质疑事项可能影响采购结果的，采购人应当暂停签订合同，已经签订合同的，应当中止履行合同。</w:t>
      </w:r>
    </w:p>
    <w:p>
      <w:pPr>
        <w:pStyle w:val="39"/>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pPr>
        <w:pStyle w:val="3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的答复不满意或者采购人、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未在规定的时间内作出答复的，可以在答复期满后十五个工作日内向同级政府采购监督管理部门提出投诉。</w:t>
      </w:r>
    </w:p>
    <w:p>
      <w:pPr>
        <w:pStyle w:val="3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pPr>
        <w:pStyle w:val="3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pPr>
        <w:pStyle w:val="3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 以联合体形式参加政府采购活动的，其投诉应当由组成联合体的所有供应商共同提出。</w:t>
      </w:r>
    </w:p>
    <w:p>
      <w:pPr>
        <w:pStyle w:val="3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pPr>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二、采购文件的构成、澄清、修改</w:t>
      </w:r>
    </w:p>
    <w:p>
      <w:pPr>
        <w:pStyle w:val="18"/>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5．采购文件的构成</w:t>
      </w:r>
    </w:p>
    <w:p>
      <w:pPr>
        <w:pStyle w:val="1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采购文件包括下列文件及附件：</w:t>
      </w:r>
    </w:p>
    <w:p>
      <w:pPr>
        <w:pStyle w:val="18"/>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5.1.1采购公告；</w:t>
      </w:r>
    </w:p>
    <w:p>
      <w:pPr>
        <w:pStyle w:val="18"/>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5.1.2供应商须知；</w:t>
      </w:r>
    </w:p>
    <w:p>
      <w:pPr>
        <w:pStyle w:val="18"/>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pPr>
        <w:pStyle w:val="18"/>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5.1.4评审办法；</w:t>
      </w:r>
    </w:p>
    <w:p>
      <w:pPr>
        <w:pStyle w:val="18"/>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pPr>
        <w:pStyle w:val="18"/>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澄清或者修改的内容为采购文件的组成部分</w:t>
      </w:r>
      <w:r>
        <w:rPr>
          <w:rFonts w:hint="eastAsia" w:ascii="宋体" w:hAnsi="宋体" w:eastAsia="宋体" w:cs="宋体"/>
          <w:color w:val="auto"/>
          <w:sz w:val="24"/>
          <w:highlight w:val="none"/>
        </w:rPr>
        <w:t>。</w:t>
      </w:r>
    </w:p>
    <w:p>
      <w:pPr>
        <w:pStyle w:val="18"/>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采购文件的澄清、修改</w:t>
      </w:r>
    </w:p>
    <w:p>
      <w:pPr>
        <w:pStyle w:val="4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6.1已获取采购文件的潜在供应商，若有问题需要澄清，应于响应截止时间前，以书面形式向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pPr>
        <w:pStyle w:val="4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采购文件进行澄清或修改的，将同时通过电子交易平台通知已获取采购文件的潜在供应商。依法应当公告的，将按规定公告，同时视情况延长响应截止时间和响应文件开启时间。该澄清或者修改的内容为采购文件的组成部分。</w:t>
      </w:r>
    </w:p>
    <w:p>
      <w:pPr>
        <w:pStyle w:val="13"/>
        <w:rPr>
          <w:rFonts w:hint="eastAsia" w:ascii="宋体" w:hAnsi="宋体" w:eastAsia="宋体" w:cs="宋体"/>
          <w:color w:val="auto"/>
          <w:sz w:val="18"/>
          <w:szCs w:val="18"/>
          <w:highlight w:val="none"/>
          <w:lang w:val="en-US"/>
        </w:rPr>
      </w:pPr>
    </w:p>
    <w:p>
      <w:pPr>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三、响应</w:t>
      </w:r>
    </w:p>
    <w:p>
      <w:pPr>
        <w:pStyle w:val="18"/>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采购文件的获取</w:t>
      </w:r>
    </w:p>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详见采购公告中获取采购文件的时间期限、地点、方式及采购文件售价。</w:t>
      </w:r>
    </w:p>
    <w:p>
      <w:pPr>
        <w:pStyle w:val="18"/>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8.响应</w:t>
      </w:r>
      <w:r>
        <w:rPr>
          <w:rFonts w:hint="eastAsia" w:hAnsi="宋体" w:eastAsia="宋体" w:cs="宋体"/>
          <w:b/>
          <w:color w:val="auto"/>
          <w:sz w:val="24"/>
          <w:szCs w:val="24"/>
          <w:highlight w:val="none"/>
          <w:lang w:eastAsia="zh-CN"/>
        </w:rPr>
        <w:t>截止前</w:t>
      </w:r>
      <w:r>
        <w:rPr>
          <w:rFonts w:hint="eastAsia" w:ascii="宋体" w:hAnsi="宋体" w:eastAsia="宋体" w:cs="宋体"/>
          <w:b/>
          <w:color w:val="auto"/>
          <w:sz w:val="24"/>
          <w:szCs w:val="24"/>
          <w:highlight w:val="none"/>
        </w:rPr>
        <w:t>答疑会或现场考察</w:t>
      </w:r>
    </w:p>
    <w:p>
      <w:pPr>
        <w:pStyle w:val="1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采购人组织潜在供应商现场考察或者召开响应文件开启前答疑会的，潜在供应商按第二部分供应商须知前附表的规定参加现场考察或者响应文件开启前答疑会。</w:t>
      </w:r>
    </w:p>
    <w:p>
      <w:pPr>
        <w:pStyle w:val="18"/>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9.保证金</w:t>
      </w:r>
    </w:p>
    <w:p>
      <w:pPr>
        <w:pStyle w:val="10"/>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本项目需缴纳总项目费用的不超过1%的履约保证金，项目验收合格后，无息退还。</w:t>
      </w:r>
    </w:p>
    <w:p>
      <w:pPr>
        <w:pStyle w:val="18"/>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采购文件的语言</w:t>
      </w:r>
    </w:p>
    <w:p>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采购文件及供应商与采购有关的来往通知、函件和文件均应使用中文。</w:t>
      </w:r>
    </w:p>
    <w:p>
      <w:pPr>
        <w:pStyle w:val="18"/>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响应文件的组成</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11.1.2联合协议</w:t>
      </w:r>
      <w:r>
        <w:rPr>
          <w:rFonts w:hint="eastAsia" w:ascii="宋体" w:hAnsi="宋体" w:eastAsia="宋体" w:cs="宋体"/>
          <w:bCs/>
          <w:color w:val="auto"/>
          <w:sz w:val="24"/>
          <w:highlight w:val="none"/>
        </w:rPr>
        <w:t>（以联合体形式参与响应的，提供联合协议；本项目不接受联合体的或者供应商不以联合体形式参与响应的，则不需要提供）</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bCs/>
          <w:color w:val="auto"/>
          <w:sz w:val="24"/>
          <w:highlight w:val="none"/>
        </w:rPr>
        <w:t>（未要求的，无需提供）</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bCs/>
          <w:color w:val="auto"/>
          <w:sz w:val="24"/>
          <w:highlight w:val="none"/>
        </w:rPr>
        <w:t>（供应商需具有</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危险化学品经营许可证</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b/>
          <w:bCs/>
          <w:color w:val="auto"/>
          <w:sz w:val="24"/>
          <w:highlight w:val="none"/>
        </w:rPr>
        <w:t>商务技术</w:t>
      </w:r>
      <w:r>
        <w:rPr>
          <w:rFonts w:hint="eastAsia" w:ascii="宋体" w:hAnsi="宋体" w:eastAsia="宋体" w:cs="宋体"/>
          <w:b/>
          <w:bCs/>
          <w:color w:val="auto"/>
          <w:sz w:val="24"/>
          <w:highlight w:val="none"/>
          <w:lang w:val="zh-CN"/>
        </w:rPr>
        <w:t>文件：</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11.2.1响应函；</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bCs/>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11.2.5响应产品规格配置清单；</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11.2.6商务技术偏离表；</w:t>
      </w:r>
    </w:p>
    <w:p>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政府采购供应商廉洁自律承诺书；</w:t>
      </w:r>
    </w:p>
    <w:p>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11.3.1响应报价明细表；</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11.3.2中小企业声明函</w:t>
      </w:r>
      <w:r>
        <w:rPr>
          <w:rFonts w:hint="eastAsia" w:ascii="宋体" w:hAnsi="宋体" w:eastAsia="宋体" w:cs="宋体"/>
          <w:bCs/>
          <w:color w:val="auto"/>
          <w:sz w:val="24"/>
          <w:highlight w:val="none"/>
        </w:rPr>
        <w:t>（采购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hint="eastAsia" w:ascii="宋体" w:hAnsi="宋体" w:eastAsia="宋体" w:cs="宋体"/>
          <w:b/>
          <w:color w:val="auto"/>
          <w:sz w:val="24"/>
          <w:highlight w:val="none"/>
        </w:rPr>
        <w:t>。</w:t>
      </w:r>
    </w:p>
    <w:p>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响应文件含有采购人不能接受的附加条件的，响应无效；</w:t>
      </w:r>
    </w:p>
    <w:p>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供应商提供虚假材料响应的，响应无效。</w:t>
      </w:r>
    </w:p>
    <w:p>
      <w:pPr>
        <w:pStyle w:val="40"/>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响应</w:t>
      </w:r>
      <w:r>
        <w:rPr>
          <w:rFonts w:hint="eastAsia" w:ascii="宋体" w:hAnsi="宋体" w:eastAsia="宋体" w:cs="宋体"/>
          <w:b/>
          <w:color w:val="auto"/>
          <w:szCs w:val="24"/>
          <w:highlight w:val="none"/>
        </w:rPr>
        <w:t>文件的编制</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询价小组查找不到有效文件是供应商的风险。</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12.2供应商进行电子响应应安装客户端软件—“政采云电子交易客户端”，并按照采购文件和电子交易平台的要求编制并加密响应文件。供应商未按规定加密的响应文件，电子交易平台将拒收并提示。</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13.响应文件的签署、盖章</w:t>
      </w:r>
    </w:p>
    <w:p>
      <w:pPr>
        <w:pStyle w:val="40"/>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13.1响应文件按照采购文件第六部分格式要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▲供应商的响应文件未按照采购文件要求签署、盖章的，其响应无效</w:t>
      </w:r>
      <w:r>
        <w:rPr>
          <w:rFonts w:hint="eastAsia" w:ascii="宋体" w:hAnsi="宋体" w:eastAsia="宋体" w:cs="宋体"/>
          <w:color w:val="auto"/>
          <w:szCs w:val="24"/>
          <w:highlight w:val="none"/>
        </w:rPr>
        <w:t>。</w:t>
      </w:r>
    </w:p>
    <w:p>
      <w:pPr>
        <w:pStyle w:val="4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13.2为确保网上操作合法、有效和安全，供应商应当在响应截止时间前完成在“政府采购云平台”的身份认证，确保在电子响应过程中能够对相关数据电文进行加密和使用电子签名。</w:t>
      </w:r>
    </w:p>
    <w:p>
      <w:pPr>
        <w:pStyle w:val="40"/>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13.3采购文件对响应文件签署、盖章的要求适用于电子签名。</w:t>
      </w:r>
    </w:p>
    <w:p>
      <w:pPr>
        <w:pStyle w:val="4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响应文件的提交、补充、修改、撤回</w:t>
      </w:r>
    </w:p>
    <w:p>
      <w:pPr>
        <w:pStyle w:val="4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pPr>
        <w:pStyle w:val="4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14.2电子交易平台收到响应文件，将妥善保存并即时向供应商发出确认回执通知。在响应截止时间前，除供应商补充、修改或者撤回响应文件外，任何单位和个人不得解密或提取响应文件。</w:t>
      </w:r>
    </w:p>
    <w:p>
      <w:pPr>
        <w:pStyle w:val="4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可以视情况延长响应文件提交的截止时间。在上述情况下，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与供应商以前在响应截止期方面的全部权利、责任和义务，将适用于延长至新的响应截止期。</w:t>
      </w:r>
    </w:p>
    <w:p>
      <w:pPr>
        <w:pStyle w:val="4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15.响应文件的无效处理</w:t>
      </w:r>
    </w:p>
    <w:p>
      <w:pPr>
        <w:pStyle w:val="16"/>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有采购文件</w:t>
      </w:r>
      <w:r>
        <w:rPr>
          <w:rFonts w:hint="eastAsia" w:ascii="宋体" w:hAnsi="宋体" w:eastAsia="宋体" w:cs="宋体"/>
          <w:color w:val="auto"/>
          <w:highlight w:val="none"/>
        </w:rPr>
        <w:t>规定</w:t>
      </w:r>
      <w:r>
        <w:rPr>
          <w:rFonts w:hint="eastAsia" w:ascii="宋体" w:hAnsi="宋体" w:eastAsia="宋体" w:cs="宋体"/>
          <w:color w:val="auto"/>
          <w:szCs w:val="21"/>
          <w:highlight w:val="none"/>
        </w:rPr>
        <w:t>的响应无效情形之一的，响应无效。</w:t>
      </w:r>
    </w:p>
    <w:p>
      <w:pPr>
        <w:pStyle w:val="4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16.响应有效期</w:t>
      </w:r>
    </w:p>
    <w:p>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16.1响应有效期为从提交响应文件的截止之日起90天。▲</w:t>
      </w:r>
      <w:r>
        <w:rPr>
          <w:rFonts w:hint="eastAsia" w:ascii="宋体" w:hAnsi="宋体" w:eastAsia="宋体" w:cs="宋体"/>
          <w:b/>
          <w:color w:val="auto"/>
          <w:sz w:val="24"/>
          <w:szCs w:val="20"/>
          <w:highlight w:val="none"/>
        </w:rPr>
        <w:t>供应商的响应文件中承</w:t>
      </w:r>
      <w:r>
        <w:rPr>
          <w:rFonts w:hint="eastAsia" w:ascii="宋体" w:hAnsi="宋体" w:eastAsia="宋体" w:cs="宋体"/>
          <w:b/>
          <w:color w:val="auto"/>
          <w:sz w:val="24"/>
          <w:szCs w:val="21"/>
          <w:highlight w:val="none"/>
        </w:rPr>
        <w:t>诺的响应有效期少于采购文件中载明的响应有效期的，响应无效。</w:t>
      </w:r>
    </w:p>
    <w:p>
      <w:pPr>
        <w:pStyle w:val="4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16.2响应文件合格投递后，自响应截止日期起，在响应有效期内有效。</w:t>
      </w:r>
    </w:p>
    <w:p>
      <w:pPr>
        <w:pStyle w:val="4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16.3在原定响应有效期满之前，如果出现特殊情况，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可以以书面形式通知供应商延长响应有效期。供应商同意延长的，不得要求或被允许修改其响应文件，供应商拒绝延长的，其响应无效。</w:t>
      </w:r>
    </w:p>
    <w:p>
      <w:pPr>
        <w:pStyle w:val="40"/>
        <w:spacing w:before="0"/>
        <w:ind w:firstLine="0" w:firstLineChars="0"/>
        <w:jc w:val="center"/>
        <w:rPr>
          <w:rFonts w:hint="eastAsia" w:ascii="宋体" w:hAnsi="宋体" w:eastAsia="宋体" w:cs="宋体"/>
          <w:b/>
          <w:color w:val="auto"/>
          <w:sz w:val="32"/>
          <w:highlight w:val="none"/>
        </w:rPr>
      </w:pPr>
    </w:p>
    <w:p>
      <w:pPr>
        <w:pStyle w:val="40"/>
        <w:spacing w:before="0"/>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四、响应文件开启、资格审查与信用信息查询</w:t>
      </w:r>
    </w:p>
    <w:p>
      <w:pPr>
        <w:pStyle w:val="41"/>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17.响应文件开启</w:t>
      </w:r>
    </w:p>
    <w:p>
      <w:pPr>
        <w:pStyle w:val="41"/>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按照采购文件规定的时间通过电子交易平台组织响应文件的开启，所有供应商均应当准时在线参加。供应商不足3家的，不得开启响应文件。</w:t>
      </w:r>
    </w:p>
    <w:p>
      <w:pPr>
        <w:pStyle w:val="41"/>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17.2响应文件开启时，电子交易平台按响应文件开启时间自动提取所有响应文件。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依托电子交易平台发起开始解密指令，供应商按照平台提示和采购文件的规定在半小时内完成在线解密。</w:t>
      </w:r>
    </w:p>
    <w:p>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18.资格审查</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18.</w:t>
      </w:r>
      <w:r>
        <w:rPr>
          <w:rFonts w:hint="eastAsia" w:ascii="宋体" w:hAnsi="宋体" w:eastAsia="宋体" w:cs="宋体"/>
          <w:color w:val="auto"/>
          <w:kern w:val="0"/>
          <w:sz w:val="24"/>
          <w:highlight w:val="none"/>
          <w:lang w:val="en-US" w:eastAsia="zh-CN"/>
        </w:rPr>
        <w:t>1采购人或</w:t>
      </w:r>
      <w:r>
        <w:rPr>
          <w:rFonts w:hint="eastAsia" w:ascii="宋体" w:hAnsi="宋体" w:eastAsia="宋体" w:cs="宋体"/>
          <w:color w:val="auto"/>
          <w:kern w:val="0"/>
          <w:sz w:val="24"/>
          <w:highlight w:val="none"/>
          <w:lang w:eastAsia="zh-CN"/>
        </w:rPr>
        <w:t>采购代理机构</w:t>
      </w:r>
      <w:r>
        <w:rPr>
          <w:rFonts w:hint="eastAsia" w:ascii="宋体" w:hAnsi="宋体" w:eastAsia="宋体" w:cs="宋体"/>
          <w:color w:val="auto"/>
          <w:kern w:val="0"/>
          <w:sz w:val="24"/>
          <w:highlight w:val="none"/>
        </w:rPr>
        <w:t>依据</w:t>
      </w:r>
      <w:r>
        <w:rPr>
          <w:rFonts w:hint="eastAsia" w:ascii="宋体" w:hAnsi="宋体" w:eastAsia="宋体" w:cs="宋体"/>
          <w:color w:val="auto"/>
          <w:sz w:val="24"/>
          <w:highlight w:val="none"/>
        </w:rPr>
        <w:t>法律法规和采购文件的规定，对供应商的基本资格条件、特定资格条件进行审查。</w:t>
      </w:r>
    </w:p>
    <w:p>
      <w:pPr>
        <w:pStyle w:val="4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供应商未按照采购文件要求提供与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供应商不具备采购文件中规定的资格要求，其响应无效。</w:t>
      </w:r>
    </w:p>
    <w:p>
      <w:pPr>
        <w:pStyle w:val="4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对未通过资格审查的供应商，</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highlight w:val="none"/>
        </w:rPr>
        <w:t>告知其未通过的原因。</w:t>
      </w:r>
    </w:p>
    <w:p>
      <w:pPr>
        <w:pStyle w:val="4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合格供应商不足3家的，不再评审。</w:t>
      </w:r>
    </w:p>
    <w:p>
      <w:pPr>
        <w:pStyle w:val="4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19.信用信息查询</w:t>
      </w:r>
    </w:p>
    <w:p>
      <w:pPr>
        <w:pStyle w:val="4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将通过“信用中国”网站</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www.creditchina.gov.cn)、中国政府采购网</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www.ccgp.gov.cn</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渠道查询供应商响应截止时间当天的信用记录。</w:t>
      </w:r>
    </w:p>
    <w:p>
      <w:pPr>
        <w:pStyle w:val="4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19.2信用信息查询记录和证据留存的具体方式：现场查询的供应商的信用记录、查询结果经确认后将与采购文件一起存档。</w:t>
      </w:r>
    </w:p>
    <w:p>
      <w:pPr>
        <w:pStyle w:val="4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19.3信用信息的使用规则：经查询列入失信被执行人名单、</w:t>
      </w:r>
      <w:r>
        <w:rPr>
          <w:rFonts w:hint="eastAsia" w:ascii="宋体" w:hAnsi="宋体" w:eastAsia="宋体" w:cs="宋体"/>
          <w:color w:val="auto"/>
          <w:kern w:val="0"/>
          <w:szCs w:val="24"/>
          <w:highlight w:val="none"/>
          <w:lang w:eastAsia="zh-CN"/>
        </w:rPr>
        <w:t>重大税收违法失信主体</w:t>
      </w:r>
      <w:r>
        <w:rPr>
          <w:rFonts w:hint="eastAsia" w:ascii="宋体" w:hAnsi="宋体" w:eastAsia="宋体" w:cs="宋体"/>
          <w:color w:val="auto"/>
          <w:kern w:val="0"/>
          <w:szCs w:val="24"/>
          <w:highlight w:val="none"/>
        </w:rPr>
        <w:t>、政府采购严重违法失信行为记录名单的供应商将被拒绝参与政府采购活动。</w:t>
      </w:r>
    </w:p>
    <w:p>
      <w:pPr>
        <w:pStyle w:val="4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pPr>
        <w:pStyle w:val="40"/>
        <w:spacing w:before="0"/>
        <w:ind w:firstLine="0" w:firstLineChars="0"/>
        <w:rPr>
          <w:rFonts w:hint="eastAsia" w:ascii="宋体" w:hAnsi="宋体" w:eastAsia="宋体" w:cs="宋体"/>
          <w:color w:val="auto"/>
          <w:kern w:val="0"/>
          <w:szCs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五、评审</w:t>
      </w:r>
    </w:p>
    <w:p>
      <w:pPr>
        <w:spacing w:line="360" w:lineRule="auto"/>
        <w:rPr>
          <w:rFonts w:hint="eastAsia" w:ascii="宋体" w:hAnsi="宋体" w:eastAsia="宋体" w:cs="宋体"/>
          <w:b/>
          <w:color w:val="auto"/>
          <w:sz w:val="24"/>
          <w:highlight w:val="none"/>
        </w:rPr>
      </w:pPr>
      <w:bookmarkStart w:id="19" w:name="_Toc91899903"/>
      <w:r>
        <w:rPr>
          <w:rFonts w:hint="eastAsia" w:ascii="宋体" w:hAnsi="宋体" w:eastAsia="宋体" w:cs="宋体"/>
          <w:b/>
          <w:color w:val="auto"/>
          <w:sz w:val="24"/>
          <w:highlight w:val="none"/>
        </w:rPr>
        <w:t>20.</w:t>
      </w:r>
      <w:r>
        <w:rPr>
          <w:rFonts w:hint="eastAsia" w:ascii="宋体" w:hAnsi="宋体" w:eastAsia="宋体" w:cs="宋体"/>
          <w:color w:val="auto"/>
          <w:sz w:val="24"/>
          <w:highlight w:val="none"/>
        </w:rPr>
        <w:t>询价小组将根据采购文件和有关规定，履行评审工作职责，并按照评审方法及评审标准，全面衡量各供应商对采购文件的响应情况。对实质上响应采购文件的供应商，按照报价从低到高排出推荐成交的供应商的先后顺序，并按顺序提出授标建议。</w:t>
      </w:r>
      <w:r>
        <w:rPr>
          <w:rFonts w:hint="eastAsia" w:ascii="宋体" w:hAnsi="宋体" w:eastAsia="宋体" w:cs="宋体"/>
          <w:b/>
          <w:color w:val="auto"/>
          <w:sz w:val="24"/>
          <w:highlight w:val="none"/>
        </w:rPr>
        <w:t>详见采购文件第四部分评审办法。</w:t>
      </w:r>
    </w:p>
    <w:p>
      <w:pPr>
        <w:spacing w:line="360" w:lineRule="auto"/>
        <w:rPr>
          <w:rFonts w:hint="eastAsia" w:ascii="宋体" w:hAnsi="宋体" w:eastAsia="宋体" w:cs="宋体"/>
          <w:b/>
          <w:color w:val="auto"/>
          <w:sz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六、成交</w:t>
      </w:r>
    </w:p>
    <w:p>
      <w:pPr>
        <w:pStyle w:val="1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21. 确定成交供应商</w:t>
      </w:r>
    </w:p>
    <w:p>
      <w:pPr>
        <w:pStyle w:val="40"/>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采购人将自收到评审报告之日起2个工作日内通过电子交易平台在评审报告推荐的成交候选人中按顺序确定成交供应商。</w:t>
      </w:r>
    </w:p>
    <w:p>
      <w:pPr>
        <w:pStyle w:val="40"/>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22. 成交通知与成交结果公告</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22.1自成交供应商确定之日起2个工作日内，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通过电子交易平台向成交供应商发出成交通知书，同时编制发布采购结果公告。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也可以以纸质形式进行成交通知。</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22.2成交结果公告内容包括采购人及其委托的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成交供应商名称、地址和成交金额，主要成交标的的名称、规格型号、数量、单价、服务要求，响应文件开启记录、未成交情况说明、成交公告期限以及评审专家名单。</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22.3公告期限为1个工作日。</w:t>
      </w:r>
    </w:p>
    <w:p>
      <w:pPr>
        <w:snapToGrid w:val="0"/>
        <w:spacing w:line="360" w:lineRule="auto"/>
        <w:ind w:left="120" w:leftChars="57" w:firstLine="482" w:firstLineChars="150"/>
        <w:jc w:val="center"/>
        <w:rPr>
          <w:rFonts w:hint="eastAsia" w:ascii="宋体" w:hAnsi="宋体" w:eastAsia="宋体" w:cs="宋体"/>
          <w:b/>
          <w:color w:val="auto"/>
          <w:sz w:val="32"/>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1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23. </w:t>
      </w:r>
      <w:r>
        <w:rPr>
          <w:rFonts w:hint="eastAsia" w:ascii="宋体" w:hAnsi="宋体" w:eastAsia="宋体" w:cs="宋体"/>
          <w:color w:val="auto"/>
          <w:highlight w:val="none"/>
        </w:rPr>
        <w:t>合同主要条款详见第五部分拟签订的合同文本。</w:t>
      </w:r>
    </w:p>
    <w:p>
      <w:pPr>
        <w:pStyle w:val="1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24. 合同的签订</w:t>
      </w:r>
    </w:p>
    <w:p>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24.1</w:t>
      </w:r>
      <w:r>
        <w:rPr>
          <w:rFonts w:hint="eastAsia" w:ascii="宋体" w:hAnsi="宋体" w:eastAsia="宋体" w:cs="宋体"/>
          <w:color w:val="auto"/>
          <w:kern w:val="0"/>
          <w:sz w:val="24"/>
          <w:highlight w:val="none"/>
        </w:rPr>
        <w:t xml:space="preserve"> 除不可抗力等特殊情况外，原则上采购人应当在成交通知书发出之日起10个工作日内，与成交供应商按照采购文件确定的事项签订政府采购合同，并在签订之日起2个工作日内将政府采购合同在浙江政府采购网上公告。鼓励有条件的采购人视情缩减采购合同签订时限，提高采购效率，杜绝“冷、硬、横、推”等不当行为。</w:t>
      </w:r>
    </w:p>
    <w:p>
      <w:pPr>
        <w:pStyle w:val="40"/>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w:t>
      </w:r>
      <w:r>
        <w:rPr>
          <w:rFonts w:hint="eastAsia" w:ascii="宋体" w:hAnsi="宋体" w:eastAsia="宋体" w:cs="宋体"/>
          <w:color w:val="auto"/>
          <w:kern w:val="0"/>
          <w:highlight w:val="none"/>
        </w:rPr>
        <w:t>4</w:t>
      </w:r>
      <w:r>
        <w:rPr>
          <w:rFonts w:hint="eastAsia" w:ascii="宋体" w:hAnsi="宋体" w:eastAsia="宋体" w:cs="宋体"/>
          <w:color w:val="auto"/>
          <w:kern w:val="0"/>
          <w:highlight w:val="none"/>
          <w:lang w:val="zh-CN"/>
        </w:rPr>
        <w:t>.2成交供应商按规定的日期、时间、地点，由法定代表人或其授权代表与采购人代表签订合同。如成交供应商为联合体的，由联合体成员各方法定代表人或其授权代表与采购人代表签订合同。</w:t>
      </w:r>
    </w:p>
    <w:p>
      <w:pPr>
        <w:pStyle w:val="4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24.3如签订合同并生效后，供应商无故拒绝或延期，除按照合同条款处理外，列入不良行为记录一次，并给予通报。</w:t>
      </w:r>
    </w:p>
    <w:p>
      <w:pPr>
        <w:pStyle w:val="4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24.4成交供应商拒绝与采购人签订合同的，采购人可以按照评审报告推荐的成交候选人名单排序，确定下一候选人为成交供应商，也可以重新开展政府采购活动。</w:t>
      </w:r>
    </w:p>
    <w:p>
      <w:pPr>
        <w:pStyle w:val="40"/>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24.5采购合同由采购人与成交供应商根据采购文件、响应文件等内容通过政府采购电子交易平台在线签订，自动备案。</w:t>
      </w:r>
    </w:p>
    <w:p>
      <w:pPr>
        <w:pStyle w:val="16"/>
        <w:numPr>
          <w:ilvl w:val="0"/>
          <w:numId w:val="3"/>
        </w:numPr>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履约保证金</w:t>
      </w:r>
    </w:p>
    <w:p>
      <w:pPr>
        <w:tabs>
          <w:tab w:val="left" w:pos="1121"/>
        </w:tabs>
        <w:adjustRightInd w:val="0"/>
        <w:snapToGrid w:val="0"/>
        <w:spacing w:line="360" w:lineRule="auto"/>
        <w:ind w:firstLine="480" w:firstLineChars="200"/>
        <w:jc w:val="left"/>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rPr>
        <w:t>拟签订的合同文本要求成交供应商提交履约保证金的，供应商应当以支票、汇票、本票或者金融机构、担保机构出具的保函等非现金形式提交。履约保证金的数额不得超过政府采购合同金额的1%</w:t>
      </w:r>
      <w:r>
        <w:rPr>
          <w:rFonts w:hint="eastAsia" w:ascii="宋体" w:hAnsi="宋体" w:eastAsia="宋体" w:cs="宋体"/>
          <w:color w:val="auto"/>
          <w:kern w:val="2"/>
          <w:sz w:val="24"/>
          <w:highlight w:val="none"/>
        </w:rPr>
        <w:t>，鼓励根据项目特点、供应商诚信等因素免收履约保证金或降低缴纳比例</w:t>
      </w:r>
      <w:r>
        <w:rPr>
          <w:rFonts w:hint="eastAsia" w:ascii="宋体" w:hAnsi="宋体" w:eastAsia="宋体" w:cs="宋体"/>
          <w:color w:val="auto"/>
          <w:sz w:val="24"/>
          <w:szCs w:val="20"/>
          <w:highlight w:val="none"/>
        </w:rPr>
        <w:t>。鼓励和支持供应商以银行、保险公司出具的保函形式提供履约保证金。采购人不得拒收履约保函，项目验收结束后应及时退还，延迟退还的，应当按照合同约定和法律规定承担相应的赔偿责任。</w:t>
      </w:r>
    </w:p>
    <w:p>
      <w:pPr>
        <w:tabs>
          <w:tab w:val="left" w:pos="1121"/>
        </w:tabs>
        <w:adjustRightInd w:val="0"/>
        <w:snapToGrid w:val="0"/>
        <w:spacing w:line="360" w:lineRule="auto"/>
        <w:ind w:firstLine="480" w:firstLineChars="200"/>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    供应商可登录政采云平台</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tabs>
          <w:tab w:val="left" w:pos="1121"/>
        </w:tabs>
        <w:adjustRightInd w:val="0"/>
        <w:snapToGrid w:val="0"/>
        <w:spacing w:line="360" w:lineRule="auto"/>
        <w:jc w:val="left"/>
        <w:rPr>
          <w:rFonts w:hint="eastAsia" w:ascii="宋体" w:hAnsi="宋体" w:eastAsia="宋体" w:cs="宋体"/>
          <w:color w:val="auto"/>
          <w:sz w:val="24"/>
          <w:szCs w:val="20"/>
          <w:highlight w:val="none"/>
        </w:rPr>
      </w:pPr>
      <w:r>
        <w:rPr>
          <w:rFonts w:hint="eastAsia" w:ascii="宋体" w:hAnsi="宋体" w:eastAsia="宋体" w:cs="宋体"/>
          <w:b/>
          <w:bCs/>
          <w:color w:val="auto"/>
          <w:sz w:val="24"/>
          <w:szCs w:val="20"/>
          <w:highlight w:val="none"/>
        </w:rPr>
        <w:t>26.预付款</w:t>
      </w:r>
    </w:p>
    <w:p>
      <w:pPr>
        <w:tabs>
          <w:tab w:val="left" w:pos="1121"/>
        </w:tabs>
        <w:adjustRightInd w:val="0"/>
        <w:snapToGrid w:val="0"/>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sz w:val="24"/>
          <w:szCs w:val="20"/>
          <w:highlight w:val="none"/>
        </w:rPr>
        <w:t>采购单位应当在政府采购合同中约定预付款，对中小企业合同预付款比例原则上不低于合同金</w:t>
      </w:r>
      <w:r>
        <w:rPr>
          <w:rFonts w:hint="eastAsia" w:ascii="宋体" w:hAnsi="宋体" w:eastAsia="宋体" w:cs="宋体"/>
          <w:color w:val="auto"/>
          <w:sz w:val="24"/>
          <w:highlight w:val="none"/>
        </w:rPr>
        <w:t>额的</w:t>
      </w:r>
      <w:r>
        <w:rPr>
          <w:rFonts w:hint="eastAsia" w:ascii="宋体" w:hAnsi="宋体" w:eastAsia="宋体" w:cs="宋体"/>
          <w:color w:val="auto"/>
          <w:sz w:val="24"/>
          <w:highlight w:val="none"/>
          <w:lang w:val="en-US" w:eastAsia="zh-CN"/>
        </w:rPr>
        <w:t>40</w:t>
      </w:r>
      <w:r>
        <w:rPr>
          <w:rFonts w:hint="eastAsia" w:ascii="宋体" w:hAnsi="宋体" w:eastAsia="宋体" w:cs="宋体"/>
          <w:color w:val="auto"/>
          <w:sz w:val="24"/>
          <w:highlight w:val="none"/>
        </w:rPr>
        <w:t>％，不高于合同金额的70%；项目分年安排预算的，每年预付款比例不低于项目年度计划支付资金额的</w:t>
      </w:r>
      <w:r>
        <w:rPr>
          <w:rFonts w:hint="eastAsia" w:ascii="宋体" w:hAnsi="宋体" w:eastAsia="宋体" w:cs="宋体"/>
          <w:color w:val="auto"/>
          <w:sz w:val="24"/>
          <w:highlight w:val="none"/>
          <w:lang w:val="en-US" w:eastAsia="zh-CN"/>
        </w:rPr>
        <w:t>40</w:t>
      </w:r>
      <w:r>
        <w:rPr>
          <w:rFonts w:hint="eastAsia" w:ascii="宋体" w:hAnsi="宋体" w:eastAsia="宋体" w:cs="宋体"/>
          <w:color w:val="auto"/>
          <w:sz w:val="24"/>
          <w:highlight w:val="none"/>
        </w:rPr>
        <w:t>％，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pStyle w:val="2"/>
        <w:adjustRightInd w:val="0"/>
        <w:snapToGrid w:val="0"/>
        <w:spacing w:line="360" w:lineRule="auto"/>
        <w:rPr>
          <w:rFonts w:hint="eastAsia" w:ascii="宋体" w:hAnsi="宋体" w:eastAsia="宋体" w:cs="宋体"/>
          <w:color w:val="auto"/>
          <w:highlight w:val="none"/>
        </w:rPr>
      </w:pPr>
    </w:p>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40"/>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27</w:t>
      </w:r>
      <w:r>
        <w:rPr>
          <w:rFonts w:hint="eastAsia" w:ascii="宋体" w:hAnsi="宋体" w:eastAsia="宋体" w:cs="宋体"/>
          <w:b/>
          <w:bCs/>
          <w:color w:val="auto"/>
          <w:szCs w:val="24"/>
          <w:highlight w:val="none"/>
        </w:rPr>
        <w:t>.</w:t>
      </w:r>
      <w:r>
        <w:rPr>
          <w:rFonts w:hint="eastAsia" w:ascii="宋体" w:hAnsi="宋体" w:eastAsia="宋体" w:cs="宋体"/>
          <w:b/>
          <w:color w:val="auto"/>
          <w:szCs w:val="24"/>
          <w:highlight w:val="none"/>
        </w:rPr>
        <w:t xml:space="preserve">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pPr>
        <w:pStyle w:val="4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26.1电子交易平台发生故障而无法登录访问的； </w:t>
      </w:r>
    </w:p>
    <w:p>
      <w:pPr>
        <w:pStyle w:val="4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26.2电子交易平台应用或数据库出现错误，不能进行正常操作的；</w:t>
      </w:r>
    </w:p>
    <w:p>
      <w:pPr>
        <w:pStyle w:val="4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26.3电子交易平台发现严重安全漏洞，有潜在泄密危险的；</w:t>
      </w:r>
    </w:p>
    <w:p>
      <w:pPr>
        <w:pStyle w:val="4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26.4病毒发作导致不能进行正常操作的； </w:t>
      </w:r>
    </w:p>
    <w:p>
      <w:pPr>
        <w:pStyle w:val="4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26.5其他无法保证电子交易的公平、公正和安全的情况。</w:t>
      </w:r>
    </w:p>
    <w:p>
      <w:pPr>
        <w:pStyle w:val="40"/>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28.</w:t>
      </w:r>
      <w:r>
        <w:rPr>
          <w:rFonts w:hint="eastAsia" w:ascii="宋体" w:hAnsi="宋体" w:eastAsia="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color w:val="auto"/>
          <w:sz w:val="24"/>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16"/>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29.验收</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pStyle w:val="18"/>
        <w:snapToGrid w:val="0"/>
        <w:spacing w:line="460" w:lineRule="exact"/>
        <w:ind w:firstLine="480" w:firstLineChars="200"/>
        <w:jc w:val="left"/>
        <w:rPr>
          <w:rFonts w:hint="eastAsia" w:ascii="宋体" w:hAnsi="宋体" w:eastAsia="宋体" w:cs="宋体"/>
          <w:color w:val="auto"/>
          <w:kern w:val="0"/>
          <w:sz w:val="24"/>
          <w:highlight w:val="none"/>
        </w:rPr>
        <w:sectPr>
          <w:headerReference r:id="rId14" w:type="default"/>
          <w:footerReference r:id="rId15" w:type="default"/>
          <w:pgSz w:w="11907" w:h="16840"/>
          <w:pgMar w:top="1440" w:right="1803" w:bottom="1440" w:left="1803" w:header="930" w:footer="992" w:gutter="0"/>
          <w:cols w:space="720" w:num="1"/>
          <w:docGrid w:linePitch="462" w:charSpace="0"/>
        </w:sectPr>
      </w:pPr>
      <w:r>
        <w:rPr>
          <w:rFonts w:hint="eastAsia" w:ascii="宋体" w:hAnsi="宋体" w:eastAsia="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9"/>
    </w:p>
    <w:p>
      <w:pPr>
        <w:spacing w:line="460" w:lineRule="exact"/>
        <w:ind w:firstLine="1680" w:firstLineChars="800"/>
        <w:rPr>
          <w:rFonts w:hint="eastAsia" w:ascii="宋体" w:hAnsi="宋体" w:eastAsia="宋体" w:cs="宋体"/>
          <w:color w:val="auto"/>
          <w:highlight w:val="none"/>
        </w:rPr>
      </w:pPr>
    </w:p>
    <w:p>
      <w:pPr>
        <w:keepNext w:val="0"/>
        <w:keepLines w:val="0"/>
        <w:pageBreakBefore w:val="0"/>
        <w:kinsoku/>
        <w:wordWrap/>
        <w:overflowPunct/>
        <w:topLinePunct w:val="0"/>
        <w:autoSpaceDE/>
        <w:autoSpaceDN/>
        <w:bidi w:val="0"/>
        <w:adjustRightInd/>
        <w:spacing w:line="440" w:lineRule="exact"/>
        <w:ind w:firstLine="723" w:firstLineChars="200"/>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第三部分 </w:t>
      </w:r>
      <w:r>
        <w:rPr>
          <w:rFonts w:hint="eastAsia" w:ascii="宋体" w:hAnsi="宋体" w:eastAsia="宋体" w:cs="宋体"/>
          <w:b/>
          <w:color w:val="auto"/>
          <w:sz w:val="36"/>
          <w:szCs w:val="36"/>
          <w:highlight w:val="none"/>
          <w:lang w:eastAsia="zh-CN"/>
        </w:rPr>
        <w:t>采购</w:t>
      </w:r>
      <w:r>
        <w:rPr>
          <w:rFonts w:hint="eastAsia" w:ascii="宋体" w:hAnsi="宋体" w:eastAsia="宋体" w:cs="宋体"/>
          <w:b/>
          <w:color w:val="auto"/>
          <w:sz w:val="36"/>
          <w:szCs w:val="36"/>
          <w:highlight w:val="none"/>
          <w:lang w:val="en-US" w:eastAsia="zh-CN"/>
        </w:rPr>
        <w:t>内容</w:t>
      </w:r>
    </w:p>
    <w:tbl>
      <w:tblPr>
        <w:tblStyle w:val="25"/>
        <w:tblW w:w="10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2288"/>
        <w:gridCol w:w="2475"/>
        <w:gridCol w:w="2205"/>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noWrap w:val="0"/>
            <w:vAlign w:val="center"/>
          </w:tcPr>
          <w:p>
            <w:pPr>
              <w:autoSpaceDE w:val="0"/>
              <w:autoSpaceDN w:val="0"/>
              <w:adjustRightInd w:val="0"/>
              <w:snapToGrid w:val="0"/>
              <w:spacing w:line="460" w:lineRule="exact"/>
              <w:textAlignment w:val="bottom"/>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序号</w:t>
            </w:r>
          </w:p>
        </w:tc>
        <w:tc>
          <w:tcPr>
            <w:tcW w:w="2288" w:type="dxa"/>
            <w:noWrap w:val="0"/>
            <w:vAlign w:val="center"/>
          </w:tcPr>
          <w:p>
            <w:pPr>
              <w:autoSpaceDE w:val="0"/>
              <w:autoSpaceDN w:val="0"/>
              <w:adjustRightInd w:val="0"/>
              <w:snapToGrid w:val="0"/>
              <w:spacing w:line="460" w:lineRule="exact"/>
              <w:jc w:val="center"/>
              <w:textAlignment w:val="bottom"/>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采购内容</w:t>
            </w:r>
          </w:p>
        </w:tc>
        <w:tc>
          <w:tcPr>
            <w:tcW w:w="2475" w:type="dxa"/>
            <w:noWrap w:val="0"/>
            <w:vAlign w:val="center"/>
          </w:tcPr>
          <w:p>
            <w:pPr>
              <w:autoSpaceDE w:val="0"/>
              <w:autoSpaceDN w:val="0"/>
              <w:adjustRightInd w:val="0"/>
              <w:snapToGrid w:val="0"/>
              <w:spacing w:line="460" w:lineRule="exact"/>
              <w:ind w:firstLine="36" w:firstLineChars="15"/>
              <w:jc w:val="center"/>
              <w:textAlignment w:val="bottom"/>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rPr>
              <w:t>预算金额</w:t>
            </w:r>
            <w:r>
              <w:rPr>
                <w:rFonts w:hint="eastAsia" w:ascii="宋体" w:hAnsi="宋体" w:eastAsia="宋体" w:cs="宋体"/>
                <w:b w:val="0"/>
                <w:color w:val="auto"/>
                <w:sz w:val="24"/>
                <w:szCs w:val="24"/>
                <w:highlight w:val="none"/>
                <w:lang w:eastAsia="zh-CN"/>
              </w:rPr>
              <w:t>（万元）</w:t>
            </w:r>
          </w:p>
        </w:tc>
        <w:tc>
          <w:tcPr>
            <w:tcW w:w="2205" w:type="dxa"/>
            <w:noWrap w:val="0"/>
            <w:vAlign w:val="center"/>
          </w:tcPr>
          <w:p>
            <w:pPr>
              <w:autoSpaceDE w:val="0"/>
              <w:autoSpaceDN w:val="0"/>
              <w:adjustRightInd w:val="0"/>
              <w:snapToGrid w:val="0"/>
              <w:spacing w:line="460" w:lineRule="exact"/>
              <w:ind w:firstLine="36" w:firstLineChars="15"/>
              <w:jc w:val="center"/>
              <w:textAlignment w:val="bottom"/>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eastAsia="zh-CN"/>
              </w:rPr>
              <w:t>最高限价</w:t>
            </w:r>
            <w:r>
              <w:rPr>
                <w:rFonts w:hint="eastAsia" w:ascii="宋体" w:hAnsi="宋体" w:eastAsia="宋体" w:cs="宋体"/>
                <w:color w:val="auto"/>
                <w:sz w:val="24"/>
                <w:szCs w:val="24"/>
                <w:highlight w:val="none"/>
                <w:lang w:val="en-US" w:eastAsia="zh-CN"/>
              </w:rPr>
              <w:t>折扣率</w:t>
            </w:r>
            <w:r>
              <w:rPr>
                <w:rFonts w:hint="eastAsia" w:ascii="宋体" w:hAnsi="宋体" w:eastAsia="宋体" w:cs="宋体"/>
                <w:color w:val="auto"/>
                <w:sz w:val="24"/>
                <w:szCs w:val="24"/>
                <w:highlight w:val="none"/>
              </w:rPr>
              <w:t>（%）</w:t>
            </w:r>
          </w:p>
        </w:tc>
        <w:tc>
          <w:tcPr>
            <w:tcW w:w="1040" w:type="dxa"/>
            <w:noWrap w:val="0"/>
            <w:vAlign w:val="center"/>
          </w:tcPr>
          <w:p>
            <w:pPr>
              <w:autoSpaceDE w:val="0"/>
              <w:autoSpaceDN w:val="0"/>
              <w:adjustRightInd w:val="0"/>
              <w:snapToGrid w:val="0"/>
              <w:spacing w:line="460" w:lineRule="exact"/>
              <w:ind w:firstLine="36" w:firstLineChars="15"/>
              <w:jc w:val="center"/>
              <w:textAlignment w:val="bottom"/>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noWrap w:val="0"/>
            <w:vAlign w:val="center"/>
          </w:tcPr>
          <w:p>
            <w:pPr>
              <w:autoSpaceDE w:val="0"/>
              <w:autoSpaceDN w:val="0"/>
              <w:adjustRightInd w:val="0"/>
              <w:snapToGrid w:val="0"/>
              <w:spacing w:line="460" w:lineRule="exact"/>
              <w:ind w:firstLine="458" w:firstLineChars="191"/>
              <w:textAlignment w:val="bottom"/>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w:t>
            </w:r>
          </w:p>
        </w:tc>
        <w:tc>
          <w:tcPr>
            <w:tcW w:w="2288" w:type="dxa"/>
            <w:noWrap w:val="0"/>
            <w:vAlign w:val="center"/>
          </w:tcPr>
          <w:p>
            <w:pPr>
              <w:autoSpaceDE w:val="0"/>
              <w:autoSpaceDN w:val="0"/>
              <w:adjustRightInd w:val="0"/>
              <w:snapToGrid w:val="0"/>
              <w:spacing w:line="460" w:lineRule="exact"/>
              <w:jc w:val="center"/>
              <w:textAlignment w:val="bottom"/>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0号柴油（国VI）</w:t>
            </w:r>
          </w:p>
        </w:tc>
        <w:tc>
          <w:tcPr>
            <w:tcW w:w="2475" w:type="dxa"/>
            <w:noWrap w:val="0"/>
            <w:vAlign w:val="center"/>
          </w:tcPr>
          <w:p>
            <w:pPr>
              <w:autoSpaceDE w:val="0"/>
              <w:autoSpaceDN w:val="0"/>
              <w:adjustRightInd w:val="0"/>
              <w:snapToGrid w:val="0"/>
              <w:spacing w:line="460" w:lineRule="exact"/>
              <w:jc w:val="center"/>
              <w:textAlignment w:val="bottom"/>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val="en-US" w:eastAsia="zh-CN"/>
              </w:rPr>
              <w:t xml:space="preserve">60 </w:t>
            </w:r>
          </w:p>
        </w:tc>
        <w:tc>
          <w:tcPr>
            <w:tcW w:w="2205" w:type="dxa"/>
            <w:noWrap w:val="0"/>
            <w:vAlign w:val="center"/>
          </w:tcPr>
          <w:p>
            <w:pPr>
              <w:autoSpaceDE w:val="0"/>
              <w:autoSpaceDN w:val="0"/>
              <w:adjustRightInd w:val="0"/>
              <w:snapToGrid w:val="0"/>
              <w:spacing w:line="460" w:lineRule="exact"/>
              <w:jc w:val="center"/>
              <w:textAlignment w:val="bottom"/>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100.00</w:t>
            </w:r>
          </w:p>
        </w:tc>
        <w:tc>
          <w:tcPr>
            <w:tcW w:w="1040" w:type="dxa"/>
            <w:noWrap w:val="0"/>
            <w:vAlign w:val="center"/>
          </w:tcPr>
          <w:p>
            <w:pPr>
              <w:autoSpaceDE w:val="0"/>
              <w:autoSpaceDN w:val="0"/>
              <w:adjustRightInd w:val="0"/>
              <w:snapToGrid w:val="0"/>
              <w:spacing w:line="460" w:lineRule="exact"/>
              <w:jc w:val="center"/>
              <w:textAlignment w:val="bottom"/>
              <w:rPr>
                <w:rFonts w:hint="eastAsia" w:ascii="宋体" w:hAnsi="宋体" w:eastAsia="宋体" w:cs="宋体"/>
                <w:b w:val="0"/>
                <w:color w:val="auto"/>
                <w:sz w:val="24"/>
                <w:szCs w:val="24"/>
                <w:highlight w:val="none"/>
                <w:lang w:val="en-US" w:eastAsia="zh-CN"/>
              </w:rPr>
            </w:pPr>
          </w:p>
        </w:tc>
      </w:tr>
    </w:tbl>
    <w:p>
      <w:pPr>
        <w:keepNext w:val="0"/>
        <w:keepLines w:val="0"/>
        <w:pageBreakBefore w:val="0"/>
        <w:widowControl w:val="0"/>
        <w:kinsoku/>
        <w:wordWrap w:val="0"/>
        <w:overflowPunct/>
        <w:topLinePunct w:val="0"/>
        <w:autoSpaceDE w:val="0"/>
        <w:autoSpaceDN w:val="0"/>
        <w:bidi w:val="0"/>
        <w:adjustRightInd w:val="0"/>
        <w:snapToGrid w:val="0"/>
        <w:spacing w:line="460" w:lineRule="exact"/>
        <w:ind w:firstLine="460" w:firstLineChars="191"/>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注：本项目柴油采购总数量暂不能确定，结算按实际供货量进行计算，各</w:t>
      </w: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以</w:t>
      </w:r>
      <w:r>
        <w:rPr>
          <w:rFonts w:hint="eastAsia" w:ascii="宋体" w:hAnsi="宋体" w:eastAsia="宋体" w:cs="宋体"/>
          <w:b/>
          <w:bCs/>
          <w:color w:val="auto"/>
          <w:sz w:val="24"/>
          <w:szCs w:val="24"/>
          <w:highlight w:val="none"/>
          <w:lang w:eastAsia="zh-CN"/>
        </w:rPr>
        <w:t>折扣率</w:t>
      </w:r>
      <w:r>
        <w:rPr>
          <w:rFonts w:hint="eastAsia" w:ascii="宋体" w:hAnsi="宋体" w:eastAsia="宋体" w:cs="宋体"/>
          <w:b/>
          <w:bCs/>
          <w:color w:val="auto"/>
          <w:sz w:val="24"/>
          <w:szCs w:val="24"/>
          <w:highlight w:val="none"/>
        </w:rPr>
        <w:t>的方式</w:t>
      </w:r>
      <w:r>
        <w:rPr>
          <w:rFonts w:hint="eastAsia" w:ascii="宋体" w:hAnsi="宋体" w:eastAsia="宋体" w:cs="宋体"/>
          <w:b/>
          <w:bCs/>
          <w:color w:val="auto"/>
          <w:sz w:val="24"/>
          <w:szCs w:val="24"/>
          <w:highlight w:val="none"/>
          <w:lang w:eastAsia="zh-CN"/>
        </w:rPr>
        <w:t>进行报价</w:t>
      </w:r>
      <w:r>
        <w:rPr>
          <w:rFonts w:hint="eastAsia" w:ascii="宋体" w:hAnsi="宋体" w:eastAsia="宋体" w:cs="宋体"/>
          <w:b/>
          <w:bCs/>
          <w:color w:val="auto"/>
          <w:sz w:val="24"/>
          <w:szCs w:val="24"/>
          <w:highlight w:val="none"/>
        </w:rPr>
        <w:t>。结算价格</w:t>
      </w:r>
      <w:r>
        <w:rPr>
          <w:rFonts w:hint="eastAsia" w:ascii="宋体" w:hAnsi="宋体" w:eastAsia="宋体" w:cs="宋体"/>
          <w:b/>
          <w:bCs/>
          <w:color w:val="auto"/>
          <w:sz w:val="24"/>
          <w:szCs w:val="24"/>
          <w:highlight w:val="none"/>
          <w:lang w:eastAsia="zh-CN"/>
        </w:rPr>
        <w:t>以</w:t>
      </w:r>
      <w:r>
        <w:rPr>
          <w:rFonts w:hint="eastAsia" w:ascii="宋体" w:hAnsi="宋体" w:eastAsia="宋体" w:cs="宋体"/>
          <w:b/>
          <w:bCs/>
          <w:color w:val="auto"/>
          <w:sz w:val="24"/>
          <w:szCs w:val="24"/>
          <w:highlight w:val="none"/>
        </w:rPr>
        <w:t>送货当日所执行的浙江省柴油最</w:t>
      </w:r>
      <w:r>
        <w:rPr>
          <w:rFonts w:hint="eastAsia" w:ascii="宋体" w:hAnsi="宋体" w:eastAsia="宋体" w:cs="宋体"/>
          <w:b/>
          <w:bCs/>
          <w:color w:val="auto"/>
          <w:sz w:val="24"/>
          <w:szCs w:val="24"/>
          <w:highlight w:val="none"/>
          <w:lang w:eastAsia="zh-CN"/>
        </w:rPr>
        <w:t>高</w:t>
      </w:r>
      <w:r>
        <w:rPr>
          <w:rFonts w:hint="eastAsia" w:ascii="宋体" w:hAnsi="宋体" w:eastAsia="宋体" w:cs="宋体"/>
          <w:b/>
          <w:bCs/>
          <w:color w:val="auto"/>
          <w:sz w:val="24"/>
          <w:szCs w:val="24"/>
          <w:highlight w:val="none"/>
        </w:rPr>
        <w:t>单位体积零售价格</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以“浙江省发展和改革委员会</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http://fzgswzigov.cn/)”网站发布的信息为准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进行结算。</w:t>
      </w:r>
      <w:r>
        <w:rPr>
          <w:rFonts w:hint="eastAsia" w:ascii="宋体" w:hAnsi="宋体" w:eastAsia="宋体" w:cs="宋体"/>
          <w:b/>
          <w:bCs/>
          <w:color w:val="auto"/>
          <w:sz w:val="24"/>
          <w:szCs w:val="24"/>
          <w:highlight w:val="none"/>
          <w:lang w:eastAsia="zh-CN"/>
        </w:rPr>
        <w:t>结算金额为</w:t>
      </w:r>
      <w:r>
        <w:rPr>
          <w:rFonts w:hint="eastAsia" w:ascii="宋体" w:hAnsi="宋体" w:eastAsia="宋体" w:cs="宋体"/>
          <w:b/>
          <w:bCs/>
          <w:color w:val="auto"/>
          <w:sz w:val="24"/>
          <w:szCs w:val="24"/>
          <w:highlight w:val="none"/>
        </w:rPr>
        <w:t>柴油</w:t>
      </w:r>
      <w:r>
        <w:rPr>
          <w:rFonts w:hint="eastAsia" w:ascii="宋体" w:hAnsi="宋体" w:eastAsia="宋体" w:cs="宋体"/>
          <w:b/>
          <w:bCs/>
          <w:color w:val="auto"/>
          <w:sz w:val="24"/>
          <w:szCs w:val="24"/>
          <w:highlight w:val="none"/>
          <w:lang w:eastAsia="zh-CN"/>
        </w:rPr>
        <w:t>最高零售价（元/升）</w:t>
      </w:r>
      <w:r>
        <w:rPr>
          <w:rFonts w:hint="eastAsia" w:ascii="宋体" w:hAnsi="宋体" w:eastAsia="宋体" w:cs="宋体"/>
          <w:b/>
          <w:bCs/>
          <w:color w:val="auto"/>
          <w:sz w:val="24"/>
          <w:szCs w:val="24"/>
          <w:highlight w:val="none"/>
        </w:rPr>
        <w:t>乘以成交供应商的中标折扣率。</w:t>
      </w:r>
      <w:r>
        <w:rPr>
          <w:rFonts w:hint="eastAsia" w:ascii="宋体" w:hAnsi="宋体" w:eastAsia="宋体" w:cs="宋体"/>
          <w:b/>
          <w:bCs/>
          <w:color w:val="auto"/>
          <w:sz w:val="24"/>
          <w:szCs w:val="24"/>
          <w:highlight w:val="none"/>
          <w:lang w:eastAsia="zh-CN"/>
        </w:rPr>
        <w:t>结算价格包含但不限于运输，制作，防护，计量，税费等</w:t>
      </w:r>
      <w:r>
        <w:rPr>
          <w:rFonts w:hint="eastAsia" w:ascii="宋体" w:hAnsi="宋体" w:eastAsia="宋体" w:cs="宋体"/>
          <w:b/>
          <w:bCs/>
          <w:color w:val="auto"/>
          <w:sz w:val="24"/>
          <w:szCs w:val="24"/>
          <w:highlight w:val="none"/>
        </w:rPr>
        <w:t>。</w:t>
      </w:r>
    </w:p>
    <w:p>
      <w:pPr>
        <w:snapToGrid w:val="0"/>
        <w:spacing w:line="46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、技术规格要求</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4389"/>
        <w:gridCol w:w="3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7" w:type="dxa"/>
            <w:gridSpan w:val="2"/>
            <w:noWrap w:val="0"/>
            <w:vAlign w:val="center"/>
          </w:tcPr>
          <w:p>
            <w:pPr>
              <w:snapToGrid w:val="0"/>
              <w:spacing w:line="460" w:lineRule="atLeas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w:t>
            </w:r>
          </w:p>
        </w:tc>
        <w:tc>
          <w:tcPr>
            <w:tcW w:w="3837" w:type="dxa"/>
            <w:noWrap w:val="0"/>
            <w:vAlign w:val="center"/>
          </w:tcPr>
          <w:p>
            <w:pPr>
              <w:snapToGrid w:val="0"/>
              <w:spacing w:line="460" w:lineRule="atLeas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0号柴油（国VI）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7" w:type="dxa"/>
            <w:gridSpan w:val="2"/>
            <w:noWrap w:val="0"/>
            <w:vAlign w:val="center"/>
          </w:tcPr>
          <w:p>
            <w:pPr>
              <w:snapToGrid w:val="0"/>
              <w:spacing w:line="460" w:lineRule="atLeas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标准</w:t>
            </w:r>
          </w:p>
        </w:tc>
        <w:tc>
          <w:tcPr>
            <w:tcW w:w="3837" w:type="dxa"/>
            <w:noWrap w:val="0"/>
            <w:vAlign w:val="center"/>
          </w:tcPr>
          <w:p>
            <w:pPr>
              <w:snapToGrid w:val="0"/>
              <w:spacing w:line="460" w:lineRule="atLeas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GB 19147-2016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7" w:type="dxa"/>
            <w:gridSpan w:val="2"/>
            <w:noWrap w:val="0"/>
            <w:vAlign w:val="center"/>
          </w:tcPr>
          <w:p>
            <w:pPr>
              <w:snapToGrid w:val="0"/>
              <w:spacing w:line="460" w:lineRule="atLeas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氧化安定性 </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以总不溶物计</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/(mg/100mL)</w:t>
            </w:r>
          </w:p>
        </w:tc>
        <w:tc>
          <w:tcPr>
            <w:tcW w:w="3837" w:type="dxa"/>
            <w:noWrap w:val="0"/>
            <w:vAlign w:val="center"/>
          </w:tcPr>
          <w:p>
            <w:pPr>
              <w:snapToGrid w:val="0"/>
              <w:spacing w:line="460" w:lineRule="atLeas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7" w:type="dxa"/>
            <w:gridSpan w:val="2"/>
            <w:noWrap w:val="0"/>
            <w:vAlign w:val="center"/>
          </w:tcPr>
          <w:p>
            <w:pPr>
              <w:snapToGrid w:val="0"/>
              <w:spacing w:line="460" w:lineRule="atLeas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硫含量/(mg/kg)</w:t>
            </w:r>
          </w:p>
        </w:tc>
        <w:tc>
          <w:tcPr>
            <w:tcW w:w="3837" w:type="dxa"/>
            <w:noWrap w:val="0"/>
            <w:vAlign w:val="center"/>
          </w:tcPr>
          <w:p>
            <w:pPr>
              <w:snapToGrid w:val="0"/>
              <w:spacing w:line="460" w:lineRule="atLeas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7" w:type="dxa"/>
            <w:gridSpan w:val="2"/>
            <w:noWrap w:val="0"/>
            <w:vAlign w:val="center"/>
          </w:tcPr>
          <w:p>
            <w:pPr>
              <w:snapToGrid w:val="0"/>
              <w:spacing w:line="460" w:lineRule="atLeas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酸度</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以KOH计</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/（mg/100mL</w:t>
            </w:r>
            <w:r>
              <w:rPr>
                <w:rFonts w:hint="eastAsia" w:ascii="宋体" w:hAnsi="宋体" w:eastAsia="宋体" w:cs="宋体"/>
                <w:b w:val="0"/>
                <w:bCs/>
                <w:color w:val="auto"/>
                <w:sz w:val="24"/>
                <w:szCs w:val="24"/>
                <w:highlight w:val="none"/>
                <w:lang w:eastAsia="zh-CN"/>
              </w:rPr>
              <w:t>）</w:t>
            </w:r>
          </w:p>
        </w:tc>
        <w:tc>
          <w:tcPr>
            <w:tcW w:w="3837" w:type="dxa"/>
            <w:noWrap w:val="0"/>
            <w:vAlign w:val="center"/>
          </w:tcPr>
          <w:p>
            <w:pPr>
              <w:snapToGrid w:val="0"/>
              <w:spacing w:line="460" w:lineRule="atLeas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7" w:type="dxa"/>
            <w:gridSpan w:val="2"/>
            <w:noWrap w:val="0"/>
            <w:vAlign w:val="center"/>
          </w:tcPr>
          <w:p>
            <w:pPr>
              <w:snapToGrid w:val="0"/>
              <w:spacing w:line="460" w:lineRule="atLeas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10%蒸余物残炭</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质量分数</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w:t>
            </w:r>
          </w:p>
        </w:tc>
        <w:tc>
          <w:tcPr>
            <w:tcW w:w="3837" w:type="dxa"/>
            <w:noWrap w:val="0"/>
            <w:vAlign w:val="center"/>
          </w:tcPr>
          <w:p>
            <w:pPr>
              <w:snapToGrid w:val="0"/>
              <w:spacing w:line="460" w:lineRule="atLeas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7" w:type="dxa"/>
            <w:gridSpan w:val="2"/>
            <w:noWrap w:val="0"/>
            <w:vAlign w:val="center"/>
          </w:tcPr>
          <w:p>
            <w:pPr>
              <w:snapToGrid w:val="0"/>
              <w:spacing w:line="460" w:lineRule="atLeas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灰分</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质量分数</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w:t>
            </w:r>
          </w:p>
        </w:tc>
        <w:tc>
          <w:tcPr>
            <w:tcW w:w="3837" w:type="dxa"/>
            <w:noWrap w:val="0"/>
            <w:vAlign w:val="center"/>
          </w:tcPr>
          <w:p>
            <w:pPr>
              <w:snapToGrid w:val="0"/>
              <w:spacing w:line="460" w:lineRule="atLeas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7" w:type="dxa"/>
            <w:gridSpan w:val="2"/>
            <w:noWrap w:val="0"/>
            <w:vAlign w:val="center"/>
          </w:tcPr>
          <w:p>
            <w:pPr>
              <w:snapToGrid w:val="0"/>
              <w:spacing w:line="460" w:lineRule="atLeas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铜片腐蚀</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50℃，3h)/级</w:t>
            </w:r>
          </w:p>
        </w:tc>
        <w:tc>
          <w:tcPr>
            <w:tcW w:w="3837" w:type="dxa"/>
            <w:noWrap w:val="0"/>
            <w:vAlign w:val="center"/>
          </w:tcPr>
          <w:p>
            <w:pPr>
              <w:snapToGrid w:val="0"/>
              <w:spacing w:line="460" w:lineRule="atLeas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7" w:type="dxa"/>
            <w:gridSpan w:val="2"/>
            <w:noWrap w:val="0"/>
            <w:vAlign w:val="center"/>
          </w:tcPr>
          <w:p>
            <w:pPr>
              <w:snapToGrid w:val="0"/>
              <w:spacing w:line="460" w:lineRule="atLeas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水含量</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体积分数</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w:t>
            </w:r>
          </w:p>
        </w:tc>
        <w:tc>
          <w:tcPr>
            <w:tcW w:w="3837" w:type="dxa"/>
            <w:noWrap w:val="0"/>
            <w:vAlign w:val="center"/>
          </w:tcPr>
          <w:p>
            <w:pPr>
              <w:snapToGrid w:val="0"/>
              <w:spacing w:line="460" w:lineRule="atLeas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不大于痕迹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7" w:type="dxa"/>
            <w:gridSpan w:val="2"/>
            <w:noWrap w:val="0"/>
            <w:vAlign w:val="center"/>
          </w:tcPr>
          <w:p>
            <w:pPr>
              <w:snapToGrid w:val="0"/>
              <w:spacing w:line="460" w:lineRule="atLeas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润滑性   校正磨痕直径</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60℃)/μm</w:t>
            </w:r>
          </w:p>
        </w:tc>
        <w:tc>
          <w:tcPr>
            <w:tcW w:w="3837" w:type="dxa"/>
            <w:noWrap w:val="0"/>
            <w:vAlign w:val="center"/>
          </w:tcPr>
          <w:p>
            <w:pPr>
              <w:snapToGrid w:val="0"/>
              <w:spacing w:line="460" w:lineRule="atLeas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7" w:type="dxa"/>
            <w:gridSpan w:val="2"/>
            <w:noWrap w:val="0"/>
            <w:vAlign w:val="center"/>
          </w:tcPr>
          <w:p>
            <w:pPr>
              <w:snapToGrid w:val="0"/>
              <w:spacing w:line="460" w:lineRule="atLeas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多环芳烃含量</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质量分数</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w:t>
            </w:r>
          </w:p>
        </w:tc>
        <w:tc>
          <w:tcPr>
            <w:tcW w:w="3837" w:type="dxa"/>
            <w:noWrap w:val="0"/>
            <w:vAlign w:val="center"/>
          </w:tcPr>
          <w:p>
            <w:pPr>
              <w:snapToGrid w:val="0"/>
              <w:spacing w:line="460" w:lineRule="atLeas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7" w:type="dxa"/>
            <w:gridSpan w:val="2"/>
            <w:noWrap w:val="0"/>
            <w:vAlign w:val="center"/>
          </w:tcPr>
          <w:p>
            <w:pPr>
              <w:snapToGrid w:val="0"/>
              <w:spacing w:line="460" w:lineRule="atLeas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总污染物含量/（mg/kg）</w:t>
            </w:r>
          </w:p>
        </w:tc>
        <w:tc>
          <w:tcPr>
            <w:tcW w:w="3837" w:type="dxa"/>
            <w:noWrap w:val="0"/>
            <w:vAlign w:val="center"/>
          </w:tcPr>
          <w:p>
            <w:pPr>
              <w:snapToGrid w:val="0"/>
              <w:spacing w:line="460" w:lineRule="atLeas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7" w:type="dxa"/>
            <w:gridSpan w:val="2"/>
            <w:noWrap w:val="0"/>
            <w:vAlign w:val="center"/>
          </w:tcPr>
          <w:p>
            <w:pPr>
              <w:snapToGrid w:val="0"/>
              <w:spacing w:line="460" w:lineRule="atLeas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运动粘度</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20℃)/(mm2/s)</w:t>
            </w:r>
          </w:p>
        </w:tc>
        <w:tc>
          <w:tcPr>
            <w:tcW w:w="3837" w:type="dxa"/>
            <w:noWrap w:val="0"/>
            <w:vAlign w:val="center"/>
          </w:tcPr>
          <w:p>
            <w:pPr>
              <w:snapToGrid w:val="0"/>
              <w:spacing w:line="460" w:lineRule="atLeas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7" w:type="dxa"/>
            <w:gridSpan w:val="2"/>
            <w:noWrap w:val="0"/>
            <w:vAlign w:val="center"/>
          </w:tcPr>
          <w:p>
            <w:pPr>
              <w:snapToGrid w:val="0"/>
              <w:spacing w:line="460" w:lineRule="atLeas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凝点/℃</w:t>
            </w:r>
          </w:p>
        </w:tc>
        <w:tc>
          <w:tcPr>
            <w:tcW w:w="3837" w:type="dxa"/>
            <w:noWrap w:val="0"/>
            <w:vAlign w:val="center"/>
          </w:tcPr>
          <w:p>
            <w:pPr>
              <w:snapToGrid w:val="0"/>
              <w:spacing w:line="460" w:lineRule="atLeas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7" w:type="dxa"/>
            <w:gridSpan w:val="2"/>
            <w:noWrap w:val="0"/>
            <w:vAlign w:val="center"/>
          </w:tcPr>
          <w:p>
            <w:pPr>
              <w:snapToGrid w:val="0"/>
              <w:spacing w:line="460" w:lineRule="atLeas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冷滤点/℃</w:t>
            </w:r>
          </w:p>
        </w:tc>
        <w:tc>
          <w:tcPr>
            <w:tcW w:w="3837" w:type="dxa"/>
            <w:noWrap w:val="0"/>
            <w:vAlign w:val="center"/>
          </w:tcPr>
          <w:p>
            <w:pPr>
              <w:snapToGrid w:val="0"/>
              <w:spacing w:line="460" w:lineRule="atLeas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7" w:type="dxa"/>
            <w:gridSpan w:val="2"/>
            <w:noWrap w:val="0"/>
            <w:vAlign w:val="center"/>
          </w:tcPr>
          <w:p>
            <w:pPr>
              <w:snapToGrid w:val="0"/>
              <w:spacing w:line="460" w:lineRule="atLeas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闪点</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闭口</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w:t>
            </w:r>
          </w:p>
        </w:tc>
        <w:tc>
          <w:tcPr>
            <w:tcW w:w="3837" w:type="dxa"/>
            <w:noWrap w:val="0"/>
            <w:vAlign w:val="center"/>
          </w:tcPr>
          <w:p>
            <w:pPr>
              <w:snapToGrid w:val="0"/>
              <w:spacing w:line="460" w:lineRule="atLeas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7" w:type="dxa"/>
            <w:gridSpan w:val="2"/>
            <w:noWrap w:val="0"/>
            <w:vAlign w:val="center"/>
          </w:tcPr>
          <w:p>
            <w:pPr>
              <w:snapToGrid w:val="0"/>
              <w:spacing w:line="460" w:lineRule="atLeas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十六烷值</w:t>
            </w:r>
          </w:p>
        </w:tc>
        <w:tc>
          <w:tcPr>
            <w:tcW w:w="3837" w:type="dxa"/>
            <w:noWrap w:val="0"/>
            <w:vAlign w:val="center"/>
          </w:tcPr>
          <w:p>
            <w:pPr>
              <w:snapToGrid w:val="0"/>
              <w:spacing w:line="460" w:lineRule="atLeas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7" w:type="dxa"/>
            <w:gridSpan w:val="2"/>
            <w:noWrap w:val="0"/>
            <w:vAlign w:val="center"/>
          </w:tcPr>
          <w:p>
            <w:pPr>
              <w:snapToGrid w:val="0"/>
              <w:spacing w:line="460" w:lineRule="atLeas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十六烷指数</w:t>
            </w:r>
          </w:p>
        </w:tc>
        <w:tc>
          <w:tcPr>
            <w:tcW w:w="3837" w:type="dxa"/>
            <w:noWrap w:val="0"/>
            <w:vAlign w:val="center"/>
          </w:tcPr>
          <w:p>
            <w:pPr>
              <w:snapToGrid w:val="0"/>
              <w:spacing w:line="460" w:lineRule="atLeas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6" w:type="dxa"/>
            <w:vMerge w:val="restart"/>
            <w:noWrap w:val="0"/>
            <w:vAlign w:val="center"/>
          </w:tcPr>
          <w:p>
            <w:pPr>
              <w:snapToGrid w:val="0"/>
              <w:spacing w:line="460" w:lineRule="atLeas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馏程</w:t>
            </w:r>
          </w:p>
        </w:tc>
        <w:tc>
          <w:tcPr>
            <w:tcW w:w="4421" w:type="dxa"/>
            <w:noWrap w:val="0"/>
            <w:vAlign w:val="center"/>
          </w:tcPr>
          <w:p>
            <w:pPr>
              <w:snapToGrid w:val="0"/>
              <w:spacing w:line="460" w:lineRule="atLeas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50%回收温度/℃ </w:t>
            </w:r>
          </w:p>
        </w:tc>
        <w:tc>
          <w:tcPr>
            <w:tcW w:w="3837" w:type="dxa"/>
            <w:noWrap w:val="0"/>
            <w:vAlign w:val="center"/>
          </w:tcPr>
          <w:p>
            <w:pPr>
              <w:snapToGrid w:val="0"/>
              <w:spacing w:line="460" w:lineRule="atLeas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continue"/>
            <w:noWrap w:val="0"/>
            <w:vAlign w:val="center"/>
          </w:tcPr>
          <w:p>
            <w:pPr>
              <w:snapToGrid w:val="0"/>
              <w:spacing w:line="460" w:lineRule="atLeast"/>
              <w:ind w:firstLine="480"/>
              <w:rPr>
                <w:rFonts w:hint="eastAsia" w:ascii="宋体" w:hAnsi="宋体" w:eastAsia="宋体" w:cs="宋体"/>
                <w:b w:val="0"/>
                <w:bCs/>
                <w:color w:val="auto"/>
                <w:sz w:val="24"/>
                <w:szCs w:val="24"/>
                <w:highlight w:val="none"/>
              </w:rPr>
            </w:pPr>
          </w:p>
        </w:tc>
        <w:tc>
          <w:tcPr>
            <w:tcW w:w="4421" w:type="dxa"/>
            <w:noWrap w:val="0"/>
            <w:vAlign w:val="center"/>
          </w:tcPr>
          <w:p>
            <w:pPr>
              <w:snapToGrid w:val="0"/>
              <w:spacing w:line="460" w:lineRule="atLeas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90%回收温度/℃</w:t>
            </w:r>
          </w:p>
        </w:tc>
        <w:tc>
          <w:tcPr>
            <w:tcW w:w="3837" w:type="dxa"/>
            <w:noWrap w:val="0"/>
            <w:vAlign w:val="center"/>
          </w:tcPr>
          <w:p>
            <w:pPr>
              <w:snapToGrid w:val="0"/>
              <w:spacing w:line="460" w:lineRule="atLeas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continue"/>
            <w:noWrap w:val="0"/>
            <w:vAlign w:val="center"/>
          </w:tcPr>
          <w:p>
            <w:pPr>
              <w:snapToGrid w:val="0"/>
              <w:spacing w:line="460" w:lineRule="atLeast"/>
              <w:ind w:firstLine="480"/>
              <w:rPr>
                <w:rFonts w:hint="eastAsia" w:ascii="宋体" w:hAnsi="宋体" w:eastAsia="宋体" w:cs="宋体"/>
                <w:b w:val="0"/>
                <w:bCs/>
                <w:color w:val="auto"/>
                <w:sz w:val="24"/>
                <w:szCs w:val="24"/>
                <w:highlight w:val="none"/>
              </w:rPr>
            </w:pPr>
          </w:p>
        </w:tc>
        <w:tc>
          <w:tcPr>
            <w:tcW w:w="4421" w:type="dxa"/>
            <w:noWrap w:val="0"/>
            <w:vAlign w:val="center"/>
          </w:tcPr>
          <w:p>
            <w:pPr>
              <w:snapToGrid w:val="0"/>
              <w:spacing w:line="460" w:lineRule="atLeas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95%回收温度/℃</w:t>
            </w:r>
          </w:p>
        </w:tc>
        <w:tc>
          <w:tcPr>
            <w:tcW w:w="3837" w:type="dxa"/>
            <w:noWrap w:val="0"/>
            <w:vAlign w:val="center"/>
          </w:tcPr>
          <w:p>
            <w:pPr>
              <w:snapToGrid w:val="0"/>
              <w:spacing w:line="460" w:lineRule="atLeas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7" w:type="dxa"/>
            <w:gridSpan w:val="2"/>
            <w:noWrap w:val="0"/>
            <w:vAlign w:val="center"/>
          </w:tcPr>
          <w:p>
            <w:pPr>
              <w:snapToGrid w:val="0"/>
              <w:spacing w:line="460" w:lineRule="atLeas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密度</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20℃)/(kg/m3)</w:t>
            </w:r>
          </w:p>
        </w:tc>
        <w:tc>
          <w:tcPr>
            <w:tcW w:w="3837" w:type="dxa"/>
            <w:noWrap w:val="0"/>
            <w:vAlign w:val="center"/>
          </w:tcPr>
          <w:p>
            <w:pPr>
              <w:snapToGrid w:val="0"/>
              <w:spacing w:line="460" w:lineRule="atLeas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810～845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7" w:type="dxa"/>
            <w:gridSpan w:val="2"/>
            <w:noWrap w:val="0"/>
            <w:vAlign w:val="center"/>
          </w:tcPr>
          <w:p>
            <w:pPr>
              <w:snapToGrid w:val="0"/>
              <w:spacing w:line="460" w:lineRule="atLeas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脂肪酸甲酯含量</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体积分数</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w:t>
            </w:r>
          </w:p>
        </w:tc>
        <w:tc>
          <w:tcPr>
            <w:tcW w:w="3837" w:type="dxa"/>
            <w:noWrap w:val="0"/>
            <w:vAlign w:val="center"/>
          </w:tcPr>
          <w:p>
            <w:pPr>
              <w:snapToGrid w:val="0"/>
              <w:spacing w:line="460" w:lineRule="atLeas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w:t>
            </w:r>
          </w:p>
        </w:tc>
      </w:tr>
    </w:tbl>
    <w:p>
      <w:pPr>
        <w:snapToGrid w:val="0"/>
        <w:spacing w:line="460" w:lineRule="atLeas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、商务条款</w:t>
      </w:r>
    </w:p>
    <w:p>
      <w:pPr>
        <w:snapToGrid w:val="0"/>
        <w:spacing w:line="460" w:lineRule="atLeast"/>
        <w:ind w:firstLine="48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1、供货期</w:t>
      </w:r>
    </w:p>
    <w:p>
      <w:pPr>
        <w:snapToGrid w:val="0"/>
        <w:spacing w:line="460" w:lineRule="atLeast"/>
        <w:ind w:firstLine="48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本项目供货期以满足以下3项中的任何1项即终止该项目合同（1.以本年度预算金额全部支付完成；2.自首次送油之日起达到1年六个月；3.因殡仪馆搬迁导致原燃油火化炉设备停止使用的）。</w:t>
      </w:r>
    </w:p>
    <w:p>
      <w:pPr>
        <w:snapToGrid w:val="0"/>
        <w:spacing w:line="460" w:lineRule="atLeast"/>
        <w:ind w:firstLine="48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本项目按采购人的实际需求分批次进行供货，采购人提前一天通知成交供应商，成交供应商收到采购人供货通知后，应在</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eastAsia="zh-CN"/>
        </w:rPr>
        <w:t>个工作日内</w:t>
      </w:r>
      <w:r>
        <w:rPr>
          <w:rFonts w:hint="eastAsia" w:ascii="宋体" w:hAnsi="宋体" w:eastAsia="宋体" w:cs="宋体"/>
          <w:b w:val="0"/>
          <w:bCs/>
          <w:color w:val="auto"/>
          <w:sz w:val="24"/>
          <w:szCs w:val="24"/>
          <w:highlight w:val="none"/>
        </w:rPr>
        <w:t>送货上门。</w:t>
      </w:r>
    </w:p>
    <w:p>
      <w:pPr>
        <w:snapToGrid w:val="0"/>
        <w:spacing w:line="460" w:lineRule="atLeast"/>
        <w:ind w:firstLine="48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2、运输：须采用具有危险化学品运输许可证的油罐车运输，运输由成交供应商负责，并承担相应的成本及风险。</w:t>
      </w:r>
    </w:p>
    <w:p>
      <w:pPr>
        <w:snapToGrid w:val="0"/>
        <w:spacing w:line="460" w:lineRule="atLeast"/>
        <w:ind w:firstLine="48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3、产品质量  </w:t>
      </w:r>
    </w:p>
    <w:p>
      <w:pPr>
        <w:snapToGrid w:val="0"/>
        <w:spacing w:line="460" w:lineRule="atLeast"/>
        <w:ind w:firstLine="48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（1）交货验收：由双方指定人员共同进行现场交货验收，采购人</w:t>
      </w:r>
      <w:r>
        <w:rPr>
          <w:rFonts w:hint="eastAsia" w:ascii="宋体" w:hAnsi="宋体" w:eastAsia="宋体" w:cs="宋体"/>
          <w:b w:val="0"/>
          <w:bCs/>
          <w:color w:val="auto"/>
          <w:sz w:val="24"/>
          <w:szCs w:val="24"/>
          <w:highlight w:val="none"/>
          <w:lang w:eastAsia="zh-CN"/>
        </w:rPr>
        <w:t>所需</w:t>
      </w:r>
      <w:r>
        <w:rPr>
          <w:rFonts w:hint="eastAsia" w:ascii="宋体" w:hAnsi="宋体" w:eastAsia="宋体" w:cs="宋体"/>
          <w:b w:val="0"/>
          <w:bCs/>
          <w:color w:val="auto"/>
          <w:sz w:val="24"/>
          <w:szCs w:val="24"/>
          <w:highlight w:val="none"/>
        </w:rPr>
        <w:t>每批次柴油送货数量</w:t>
      </w:r>
      <w:r>
        <w:rPr>
          <w:rFonts w:hint="eastAsia" w:ascii="宋体" w:hAnsi="宋体" w:eastAsia="宋体" w:cs="宋体"/>
          <w:b w:val="0"/>
          <w:bCs/>
          <w:color w:val="auto"/>
          <w:sz w:val="24"/>
          <w:szCs w:val="24"/>
          <w:highlight w:val="none"/>
          <w:lang w:eastAsia="zh-CN"/>
        </w:rPr>
        <w:t>以油表显示的油品体积数进行结算，成交供应商自带油表和交货清单（交货清单上注明产品规格型号、体积数、单位等）</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eastAsia="zh-CN"/>
        </w:rPr>
        <w:t>若交货单体积数与油表体积数不一致时采用以下结算方式：</w:t>
      </w:r>
      <w:r>
        <w:rPr>
          <w:rFonts w:hint="eastAsia" w:ascii="宋体" w:hAnsi="宋体" w:eastAsia="宋体" w:cs="宋体"/>
          <w:b w:val="0"/>
          <w:bCs/>
          <w:color w:val="auto"/>
          <w:sz w:val="24"/>
          <w:szCs w:val="24"/>
          <w:highlight w:val="none"/>
          <w:lang w:val="en-US" w:eastAsia="zh-CN"/>
        </w:rPr>
        <w:t>1.若交货单</w:t>
      </w:r>
      <w:r>
        <w:rPr>
          <w:rFonts w:hint="eastAsia" w:ascii="宋体" w:hAnsi="宋体" w:eastAsia="宋体" w:cs="宋体"/>
          <w:b w:val="0"/>
          <w:bCs/>
          <w:color w:val="auto"/>
          <w:sz w:val="24"/>
          <w:szCs w:val="24"/>
          <w:highlight w:val="none"/>
          <w:lang w:eastAsia="zh-CN"/>
        </w:rPr>
        <w:t>体积数</w:t>
      </w:r>
      <w:r>
        <w:rPr>
          <w:rFonts w:hint="eastAsia" w:ascii="宋体" w:hAnsi="宋体" w:eastAsia="宋体" w:cs="宋体"/>
          <w:b w:val="0"/>
          <w:bCs/>
          <w:color w:val="auto"/>
          <w:sz w:val="24"/>
          <w:szCs w:val="24"/>
          <w:highlight w:val="none"/>
          <w:lang w:val="en-US" w:eastAsia="zh-CN"/>
        </w:rPr>
        <w:t>小于油表</w:t>
      </w:r>
      <w:r>
        <w:rPr>
          <w:rFonts w:hint="eastAsia" w:ascii="宋体" w:hAnsi="宋体" w:eastAsia="宋体" w:cs="宋体"/>
          <w:b w:val="0"/>
          <w:bCs/>
          <w:color w:val="auto"/>
          <w:sz w:val="24"/>
          <w:szCs w:val="24"/>
          <w:highlight w:val="none"/>
          <w:lang w:eastAsia="zh-CN"/>
        </w:rPr>
        <w:t>体积数</w:t>
      </w:r>
      <w:r>
        <w:rPr>
          <w:rFonts w:hint="eastAsia" w:ascii="宋体" w:hAnsi="宋体" w:eastAsia="宋体" w:cs="宋体"/>
          <w:b w:val="0"/>
          <w:bCs/>
          <w:color w:val="auto"/>
          <w:sz w:val="24"/>
          <w:szCs w:val="24"/>
          <w:highlight w:val="none"/>
          <w:lang w:val="en-US" w:eastAsia="zh-CN"/>
        </w:rPr>
        <w:t>则以交货单</w:t>
      </w:r>
      <w:r>
        <w:rPr>
          <w:rFonts w:hint="eastAsia" w:ascii="宋体" w:hAnsi="宋体" w:eastAsia="宋体" w:cs="宋体"/>
          <w:b w:val="0"/>
          <w:bCs/>
          <w:color w:val="auto"/>
          <w:sz w:val="24"/>
          <w:szCs w:val="24"/>
          <w:highlight w:val="none"/>
          <w:lang w:eastAsia="zh-CN"/>
        </w:rPr>
        <w:t>体积数</w:t>
      </w:r>
      <w:r>
        <w:rPr>
          <w:rFonts w:hint="eastAsia" w:ascii="宋体" w:hAnsi="宋体" w:eastAsia="宋体" w:cs="宋体"/>
          <w:b w:val="0"/>
          <w:bCs/>
          <w:color w:val="auto"/>
          <w:sz w:val="24"/>
          <w:szCs w:val="24"/>
          <w:highlight w:val="none"/>
          <w:lang w:val="en-US" w:eastAsia="zh-CN"/>
        </w:rPr>
        <w:t>进行结算；2.若交货单</w:t>
      </w:r>
      <w:r>
        <w:rPr>
          <w:rFonts w:hint="eastAsia" w:ascii="宋体" w:hAnsi="宋体" w:eastAsia="宋体" w:cs="宋体"/>
          <w:b w:val="0"/>
          <w:bCs/>
          <w:color w:val="auto"/>
          <w:sz w:val="24"/>
          <w:szCs w:val="24"/>
          <w:highlight w:val="none"/>
          <w:lang w:eastAsia="zh-CN"/>
        </w:rPr>
        <w:t>体积数</w:t>
      </w:r>
      <w:r>
        <w:rPr>
          <w:rFonts w:hint="eastAsia" w:ascii="宋体" w:hAnsi="宋体" w:eastAsia="宋体" w:cs="宋体"/>
          <w:b w:val="0"/>
          <w:bCs/>
          <w:color w:val="auto"/>
          <w:sz w:val="24"/>
          <w:szCs w:val="24"/>
          <w:highlight w:val="none"/>
          <w:lang w:val="en-US" w:eastAsia="zh-CN"/>
        </w:rPr>
        <w:t>大于油表</w:t>
      </w:r>
      <w:r>
        <w:rPr>
          <w:rFonts w:hint="eastAsia" w:ascii="宋体" w:hAnsi="宋体" w:eastAsia="宋体" w:cs="宋体"/>
          <w:b w:val="0"/>
          <w:bCs/>
          <w:color w:val="auto"/>
          <w:sz w:val="24"/>
          <w:szCs w:val="24"/>
          <w:highlight w:val="none"/>
          <w:lang w:eastAsia="zh-CN"/>
        </w:rPr>
        <w:t>体积数</w:t>
      </w:r>
      <w:r>
        <w:rPr>
          <w:rFonts w:hint="eastAsia" w:ascii="宋体" w:hAnsi="宋体" w:eastAsia="宋体" w:cs="宋体"/>
          <w:b w:val="0"/>
          <w:bCs/>
          <w:color w:val="auto"/>
          <w:sz w:val="24"/>
          <w:szCs w:val="24"/>
          <w:highlight w:val="none"/>
          <w:lang w:val="en-US" w:eastAsia="zh-CN"/>
        </w:rPr>
        <w:t>则以油表</w:t>
      </w:r>
      <w:r>
        <w:rPr>
          <w:rFonts w:hint="eastAsia" w:ascii="宋体" w:hAnsi="宋体" w:eastAsia="宋体" w:cs="宋体"/>
          <w:b w:val="0"/>
          <w:bCs/>
          <w:color w:val="auto"/>
          <w:sz w:val="24"/>
          <w:szCs w:val="24"/>
          <w:highlight w:val="none"/>
          <w:lang w:eastAsia="zh-CN"/>
        </w:rPr>
        <w:t>体积数</w:t>
      </w:r>
      <w:r>
        <w:rPr>
          <w:rFonts w:hint="eastAsia" w:ascii="宋体" w:hAnsi="宋体" w:eastAsia="宋体" w:cs="宋体"/>
          <w:b w:val="0"/>
          <w:bCs/>
          <w:color w:val="auto"/>
          <w:sz w:val="24"/>
          <w:szCs w:val="24"/>
          <w:highlight w:val="none"/>
          <w:lang w:val="en-US" w:eastAsia="zh-CN"/>
        </w:rPr>
        <w:t>进行结算。</w:t>
      </w:r>
      <w:r>
        <w:rPr>
          <w:rFonts w:hint="eastAsia" w:ascii="宋体" w:hAnsi="宋体" w:eastAsia="宋体" w:cs="宋体"/>
          <w:b w:val="0"/>
          <w:bCs/>
          <w:color w:val="auto"/>
          <w:sz w:val="24"/>
          <w:szCs w:val="24"/>
          <w:highlight w:val="none"/>
        </w:rPr>
        <w:t>若超过三次交货验收时送货数量不足的，采购人有权终止合同。</w:t>
      </w:r>
    </w:p>
    <w:p>
      <w:pPr>
        <w:snapToGrid w:val="0"/>
        <w:spacing w:line="460" w:lineRule="atLeast"/>
        <w:ind w:firstLine="48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检测验收：采购人不定期对油品进行抽验，抽验合格的检验费由采购人承担；抽验不合格的检验费由成交供应商承担，且采购人有权无条件终止合同，因此造成的损失则由成交供应商承担。</w:t>
      </w:r>
    </w:p>
    <w:p>
      <w:pPr>
        <w:snapToGrid w:val="0"/>
        <w:spacing w:line="460" w:lineRule="atLeast"/>
        <w:ind w:firstLine="48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（2）质量验收按照国家现行0号国VI柴油标准号：GB 19147-2016的标准执行，如有最新国家标准，按照最新国家标准执行。取样方法按照标准号：GB/T4756-2015执行。</w:t>
      </w:r>
    </w:p>
    <w:p>
      <w:pPr>
        <w:snapToGrid w:val="0"/>
        <w:spacing w:line="460" w:lineRule="atLeast"/>
        <w:ind w:firstLine="48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）若成交供应商提供的货物与采购文件规定的不符，并存在以次充好的情况，采购人有权终止合同，因此造成的损失则由成交供应商承担。</w:t>
      </w:r>
    </w:p>
    <w:p>
      <w:pPr>
        <w:snapToGrid w:val="0"/>
        <w:spacing w:line="460" w:lineRule="atLeast"/>
        <w:ind w:firstLine="48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）供应商应保证柴油必须符合国家标准，在正常使用情况下，能确保运输、贮存、使用安全，并保证不会对相关设施如贮罐、日用油箱、输油泵等造成不良影响；必须接受采购人对柴油的监督和检查。</w:t>
      </w:r>
    </w:p>
    <w:p>
      <w:pPr>
        <w:snapToGrid w:val="0"/>
        <w:spacing w:line="460" w:lineRule="atLeast"/>
        <w:ind w:firstLine="48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）质量保证期：自油料交货验收合格之日起6个月。</w:t>
      </w:r>
    </w:p>
    <w:p>
      <w:pPr>
        <w:snapToGrid w:val="0"/>
        <w:spacing w:line="460" w:lineRule="atLeast"/>
        <w:ind w:firstLine="48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4、交货地点：建德市殡仪馆（建德市新安江街道新衢路39号）。</w:t>
      </w:r>
    </w:p>
    <w:p>
      <w:pPr>
        <w:snapToGrid w:val="0"/>
        <w:spacing w:line="460" w:lineRule="atLeast"/>
        <w:ind w:firstLine="48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5、结算价格</w:t>
      </w:r>
      <w:r>
        <w:rPr>
          <w:rFonts w:hint="eastAsia" w:ascii="宋体" w:hAnsi="宋体" w:eastAsia="宋体" w:cs="宋体"/>
          <w:b w:val="0"/>
          <w:bCs/>
          <w:color w:val="auto"/>
          <w:sz w:val="24"/>
          <w:szCs w:val="24"/>
          <w:highlight w:val="none"/>
          <w:lang w:eastAsia="zh-CN"/>
        </w:rPr>
        <w:t>以</w:t>
      </w:r>
      <w:r>
        <w:rPr>
          <w:rFonts w:hint="eastAsia" w:ascii="宋体" w:hAnsi="宋体" w:eastAsia="宋体" w:cs="宋体"/>
          <w:b w:val="0"/>
          <w:bCs/>
          <w:color w:val="auto"/>
          <w:sz w:val="24"/>
          <w:szCs w:val="24"/>
          <w:highlight w:val="none"/>
        </w:rPr>
        <w:t>送货当日所执行的浙江省柴油最</w:t>
      </w:r>
      <w:r>
        <w:rPr>
          <w:rFonts w:hint="eastAsia" w:ascii="宋体" w:hAnsi="宋体" w:eastAsia="宋体" w:cs="宋体"/>
          <w:b w:val="0"/>
          <w:bCs/>
          <w:color w:val="auto"/>
          <w:sz w:val="24"/>
          <w:szCs w:val="24"/>
          <w:highlight w:val="none"/>
          <w:lang w:eastAsia="zh-CN"/>
        </w:rPr>
        <w:t>高</w:t>
      </w:r>
      <w:r>
        <w:rPr>
          <w:rFonts w:hint="eastAsia" w:ascii="宋体" w:hAnsi="宋体" w:eastAsia="宋体" w:cs="宋体"/>
          <w:b w:val="0"/>
          <w:bCs/>
          <w:color w:val="auto"/>
          <w:sz w:val="24"/>
          <w:szCs w:val="24"/>
          <w:highlight w:val="none"/>
        </w:rPr>
        <w:t>单位体积零售价格</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以“浙江省发展和改革委员会</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http://fzgswzigov.cn/)”网站发布的信息为准</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进行结算。</w:t>
      </w:r>
      <w:r>
        <w:rPr>
          <w:rFonts w:hint="eastAsia" w:ascii="宋体" w:hAnsi="宋体" w:eastAsia="宋体" w:cs="宋体"/>
          <w:b w:val="0"/>
          <w:bCs/>
          <w:color w:val="auto"/>
          <w:sz w:val="24"/>
          <w:szCs w:val="24"/>
          <w:highlight w:val="none"/>
          <w:lang w:eastAsia="zh-CN"/>
        </w:rPr>
        <w:t>结算金额为</w:t>
      </w:r>
      <w:r>
        <w:rPr>
          <w:rFonts w:hint="eastAsia" w:ascii="宋体" w:hAnsi="宋体" w:eastAsia="宋体" w:cs="宋体"/>
          <w:b w:val="0"/>
          <w:bCs/>
          <w:color w:val="auto"/>
          <w:sz w:val="24"/>
          <w:szCs w:val="24"/>
          <w:highlight w:val="none"/>
        </w:rPr>
        <w:t>柴油</w:t>
      </w:r>
      <w:r>
        <w:rPr>
          <w:rFonts w:hint="eastAsia" w:ascii="宋体" w:hAnsi="宋体" w:eastAsia="宋体" w:cs="宋体"/>
          <w:b w:val="0"/>
          <w:bCs/>
          <w:color w:val="auto"/>
          <w:sz w:val="24"/>
          <w:szCs w:val="24"/>
          <w:highlight w:val="none"/>
          <w:lang w:eastAsia="zh-CN"/>
        </w:rPr>
        <w:t>最高零售价（元/升）</w:t>
      </w:r>
      <w:r>
        <w:rPr>
          <w:rFonts w:hint="eastAsia" w:ascii="宋体" w:hAnsi="宋体" w:eastAsia="宋体" w:cs="宋体"/>
          <w:b w:val="0"/>
          <w:bCs/>
          <w:color w:val="auto"/>
          <w:sz w:val="24"/>
          <w:szCs w:val="24"/>
          <w:highlight w:val="none"/>
        </w:rPr>
        <w:t>乘以成交供应商的中标折扣率。</w:t>
      </w:r>
      <w:r>
        <w:rPr>
          <w:rFonts w:hint="eastAsia" w:ascii="宋体" w:hAnsi="宋体" w:eastAsia="宋体" w:cs="宋体"/>
          <w:b w:val="0"/>
          <w:bCs/>
          <w:color w:val="auto"/>
          <w:sz w:val="24"/>
          <w:szCs w:val="24"/>
          <w:highlight w:val="none"/>
          <w:lang w:eastAsia="zh-CN"/>
        </w:rPr>
        <w:t>结算价格包含但不限于运输，制作，防护，计量，税费等</w:t>
      </w:r>
      <w:r>
        <w:rPr>
          <w:rFonts w:hint="eastAsia" w:ascii="宋体" w:hAnsi="宋体" w:eastAsia="宋体" w:cs="宋体"/>
          <w:b w:val="0"/>
          <w:bCs/>
          <w:color w:val="auto"/>
          <w:sz w:val="24"/>
          <w:szCs w:val="24"/>
          <w:highlight w:val="none"/>
        </w:rPr>
        <w:t>。</w:t>
      </w:r>
    </w:p>
    <w:p>
      <w:pPr>
        <w:snapToGrid w:val="0"/>
        <w:spacing w:line="460" w:lineRule="atLeast"/>
        <w:ind w:firstLine="48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供应商不得以市场行情紧张等为借口，少送或迟送采购人通知的送货量。</w:t>
      </w:r>
    </w:p>
    <w:p>
      <w:pPr>
        <w:numPr>
          <w:ilvl w:val="0"/>
          <w:numId w:val="4"/>
        </w:numPr>
        <w:snapToGrid w:val="0"/>
        <w:spacing w:line="460" w:lineRule="atLeast"/>
        <w:ind w:firstLine="48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付款方式</w:t>
      </w:r>
    </w:p>
    <w:p>
      <w:pPr>
        <w:snapToGrid w:val="0"/>
        <w:spacing w:line="460" w:lineRule="atLeast"/>
        <w:ind w:firstLine="480"/>
        <w:rPr>
          <w:rFonts w:hint="eastAsia" w:ascii="宋体" w:hAnsi="宋体" w:eastAsia="宋体" w:cs="宋体"/>
          <w:b w:val="0"/>
          <w:bCs/>
          <w:snapToGrid/>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val="0"/>
          <w:bCs/>
          <w:snapToGrid/>
          <w:color w:val="auto"/>
          <w:kern w:val="2"/>
          <w:sz w:val="24"/>
          <w:szCs w:val="24"/>
          <w:highlight w:val="none"/>
          <w:lang w:val="en-US" w:eastAsia="zh-CN" w:bidi="ar-SA"/>
        </w:rPr>
        <w:t>合同生效以及具备实施条件后7个工作日内支付合同价的70%预付款（成交供应商需提供相应金额的预付款保函至采购单位）；剩余款项</w:t>
      </w:r>
      <w:r>
        <w:rPr>
          <w:rFonts w:hint="eastAsia" w:ascii="宋体" w:hAnsi="宋体" w:eastAsia="宋体" w:cs="宋体"/>
          <w:b w:val="0"/>
          <w:bCs/>
          <w:color w:val="auto"/>
          <w:sz w:val="24"/>
          <w:szCs w:val="24"/>
          <w:highlight w:val="none"/>
        </w:rPr>
        <w:t>按批次进行结算，采购人在结算后</w:t>
      </w:r>
      <w:r>
        <w:rPr>
          <w:rFonts w:hint="eastAsia" w:ascii="宋体" w:hAnsi="宋体" w:eastAsia="宋体" w:cs="宋体"/>
          <w:b w:val="0"/>
          <w:bCs/>
          <w:color w:val="auto"/>
          <w:sz w:val="24"/>
          <w:szCs w:val="24"/>
          <w:highlight w:val="none"/>
          <w:lang w:val="en-US" w:eastAsia="zh-CN"/>
        </w:rPr>
        <w:t>10</w:t>
      </w:r>
      <w:r>
        <w:rPr>
          <w:rFonts w:hint="eastAsia" w:ascii="宋体" w:hAnsi="宋体" w:eastAsia="宋体" w:cs="宋体"/>
          <w:b w:val="0"/>
          <w:bCs/>
          <w:color w:val="auto"/>
          <w:sz w:val="24"/>
          <w:szCs w:val="24"/>
          <w:highlight w:val="none"/>
        </w:rPr>
        <w:t>个工作日内支付。供应商提供税务发票时须附送货当日所执行的浙江省汽、柴油最高批发、零售价格表</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以“浙江省发展和改革委员会</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http://fzgswzigov.cn/)”网站发布的信息为准</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 xml:space="preserve">。 </w:t>
      </w:r>
    </w:p>
    <w:p>
      <w:pPr>
        <w:snapToGrid w:val="0"/>
        <w:spacing w:line="460" w:lineRule="atLeast"/>
        <w:ind w:firstLine="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snapToGrid/>
          <w:color w:val="auto"/>
          <w:kern w:val="2"/>
          <w:sz w:val="24"/>
          <w:szCs w:val="24"/>
          <w:highlight w:val="none"/>
          <w:lang w:val="en-US" w:eastAsia="zh-CN" w:bidi="ar-SA"/>
        </w:rPr>
        <w:t>每批次柴油结算金额=每批次柴油送货当日执行的浙江省0号（国VI）柴油最高零售价(元/升)×中标折扣率×本批次供货量。由采购人支付当期项目款（优先扣除预付款，扣完为止），合同周期内实际支付费用总额不超过年度预算总价</w:t>
      </w:r>
      <w:r>
        <w:rPr>
          <w:rFonts w:hint="eastAsia" w:ascii="宋体" w:hAnsi="宋体" w:eastAsia="宋体" w:cs="宋体"/>
          <w:color w:val="auto"/>
          <w:kern w:val="2"/>
          <w:sz w:val="24"/>
          <w:szCs w:val="24"/>
          <w:highlight w:val="none"/>
          <w:lang w:val="en-US" w:eastAsia="zh-CN" w:bidi="ar-SA"/>
        </w:rPr>
        <w:t>。</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结算时供应商将结款申请1份、发票原件及复印件1份、合同复印件1份和经采购人验收确认的《建德市政府采购验收反馈表》提交采购人，采购人应自收到发票后5个工作日内支付相应款项。</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w:t>
      </w:r>
      <w:r>
        <w:rPr>
          <w:rStyle w:val="88"/>
          <w:rFonts w:hint="eastAsia" w:ascii="宋体" w:hAnsi="宋体" w:eastAsia="宋体" w:cs="宋体"/>
          <w:b w:val="0"/>
          <w:color w:val="auto"/>
          <w:sz w:val="24"/>
          <w:szCs w:val="24"/>
          <w:highlight w:val="none"/>
        </w:rPr>
        <w:t>履约保证金：</w:t>
      </w:r>
      <w:r>
        <w:rPr>
          <w:rFonts w:hint="eastAsia" w:ascii="宋体" w:hAnsi="宋体" w:eastAsia="宋体" w:cs="宋体"/>
          <w:color w:val="auto"/>
          <w:sz w:val="24"/>
          <w:szCs w:val="24"/>
          <w:highlight w:val="none"/>
        </w:rPr>
        <w:t>本项目收取履约保证金为合同金额</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%。需要收取保证金的供应商</w:t>
      </w:r>
      <w:r>
        <w:rPr>
          <w:rStyle w:val="88"/>
          <w:rFonts w:hint="eastAsia" w:ascii="宋体" w:hAnsi="宋体" w:eastAsia="宋体" w:cs="宋体"/>
          <w:b w:val="0"/>
          <w:color w:val="auto"/>
          <w:sz w:val="24"/>
          <w:szCs w:val="24"/>
          <w:highlight w:val="none"/>
        </w:rPr>
        <w:t>在正式合同签订生效之日起7个工作日内，</w:t>
      </w:r>
      <w:r>
        <w:rPr>
          <w:rFonts w:hint="eastAsia" w:ascii="宋体" w:hAnsi="宋体" w:eastAsia="宋体" w:cs="宋体"/>
          <w:color w:val="auto"/>
          <w:sz w:val="24"/>
          <w:szCs w:val="24"/>
          <w:highlight w:val="none"/>
        </w:rPr>
        <w:t>缴纳</w:t>
      </w:r>
      <w:r>
        <w:rPr>
          <w:rStyle w:val="88"/>
          <w:rFonts w:hint="eastAsia" w:ascii="宋体" w:hAnsi="宋体" w:eastAsia="宋体" w:cs="宋体"/>
          <w:b w:val="0"/>
          <w:color w:val="auto"/>
          <w:sz w:val="24"/>
          <w:szCs w:val="24"/>
          <w:highlight w:val="none"/>
        </w:rPr>
        <w:t>保证金至采购人指定账户（可采用银行、保险公司出具保函形式提交）。在验收合格后经回访正常后凭正式收款收据、履约保证金缴款凭证复印件办理结算手续。</w:t>
      </w:r>
    </w:p>
    <w:p>
      <w:pPr>
        <w:rPr>
          <w:rFonts w:hint="eastAsia" w:ascii="宋体" w:hAnsi="宋体" w:eastAsia="宋体" w:cs="宋体"/>
          <w:b/>
          <w:color w:val="auto"/>
          <w:sz w:val="36"/>
          <w:szCs w:val="36"/>
          <w:highlight w:val="none"/>
        </w:rPr>
      </w:pPr>
    </w:p>
    <w:p>
      <w:pPr>
        <w:spacing w:line="460" w:lineRule="exact"/>
        <w:jc w:val="center"/>
        <w:rPr>
          <w:rFonts w:hint="eastAsia" w:ascii="宋体" w:hAnsi="宋体" w:eastAsia="宋体" w:cs="宋体"/>
          <w:b/>
          <w:color w:val="auto"/>
          <w:sz w:val="36"/>
          <w:szCs w:val="36"/>
          <w:highlight w:val="none"/>
        </w:rPr>
      </w:pPr>
    </w:p>
    <w:p>
      <w:pPr>
        <w:spacing w:line="460" w:lineRule="exact"/>
        <w:jc w:val="center"/>
        <w:rPr>
          <w:rFonts w:hint="eastAsia" w:ascii="宋体" w:hAnsi="宋体" w:eastAsia="宋体" w:cs="宋体"/>
          <w:b/>
          <w:color w:val="auto"/>
          <w:sz w:val="36"/>
          <w:szCs w:val="36"/>
          <w:highlight w:val="none"/>
        </w:rPr>
      </w:pPr>
    </w:p>
    <w:p>
      <w:pPr>
        <w:spacing w:line="460" w:lineRule="exact"/>
        <w:jc w:val="center"/>
        <w:rPr>
          <w:rFonts w:hint="eastAsia" w:ascii="宋体" w:hAnsi="宋体" w:eastAsia="宋体" w:cs="宋体"/>
          <w:b/>
          <w:color w:val="auto"/>
          <w:sz w:val="36"/>
          <w:szCs w:val="36"/>
          <w:highlight w:val="none"/>
        </w:rPr>
      </w:pPr>
    </w:p>
    <w:p>
      <w:pPr>
        <w:spacing w:line="460" w:lineRule="exact"/>
        <w:jc w:val="center"/>
        <w:rPr>
          <w:rFonts w:hint="eastAsia" w:ascii="宋体" w:hAnsi="宋体" w:eastAsia="宋体" w:cs="宋体"/>
          <w:b/>
          <w:color w:val="auto"/>
          <w:sz w:val="36"/>
          <w:szCs w:val="36"/>
          <w:highlight w:val="none"/>
        </w:rPr>
      </w:pPr>
    </w:p>
    <w:p>
      <w:pPr>
        <w:spacing w:line="460" w:lineRule="exact"/>
        <w:jc w:val="center"/>
        <w:rPr>
          <w:rFonts w:hint="eastAsia" w:ascii="宋体" w:hAnsi="宋体" w:eastAsia="宋体" w:cs="宋体"/>
          <w:b/>
          <w:color w:val="auto"/>
          <w:sz w:val="36"/>
          <w:szCs w:val="36"/>
          <w:highlight w:val="none"/>
        </w:rPr>
      </w:pPr>
    </w:p>
    <w:p>
      <w:pPr>
        <w:spacing w:line="460" w:lineRule="exact"/>
        <w:jc w:val="center"/>
        <w:rPr>
          <w:rFonts w:hint="eastAsia" w:ascii="宋体" w:hAnsi="宋体" w:eastAsia="宋体" w:cs="宋体"/>
          <w:b/>
          <w:color w:val="auto"/>
          <w:sz w:val="36"/>
          <w:szCs w:val="36"/>
          <w:highlight w:val="none"/>
        </w:rPr>
      </w:pPr>
    </w:p>
    <w:p>
      <w:pPr>
        <w:spacing w:line="46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36"/>
          <w:szCs w:val="36"/>
          <w:highlight w:val="none"/>
        </w:rPr>
        <w:t xml:space="preserve">第四部分  </w:t>
      </w:r>
      <w:bookmarkStart w:id="20" w:name="_Toc184310300"/>
      <w:bookmarkEnd w:id="20"/>
      <w:bookmarkStart w:id="21" w:name="_Toc184312110"/>
      <w:bookmarkEnd w:id="21"/>
      <w:bookmarkStart w:id="22" w:name="_Toc184308077"/>
      <w:bookmarkEnd w:id="22"/>
      <w:bookmarkStart w:id="23" w:name="_Toc184313250"/>
      <w:bookmarkEnd w:id="23"/>
      <w:bookmarkStart w:id="24" w:name="_Toc184313294"/>
      <w:bookmarkEnd w:id="24"/>
      <w:bookmarkStart w:id="25" w:name="_Toc184314473"/>
      <w:bookmarkEnd w:id="25"/>
      <w:bookmarkStart w:id="26" w:name="_Toc184314475"/>
      <w:bookmarkEnd w:id="26"/>
      <w:bookmarkStart w:id="27" w:name="_Toc184314413"/>
      <w:bookmarkEnd w:id="27"/>
      <w:bookmarkStart w:id="28" w:name="_Toc184310332"/>
      <w:bookmarkEnd w:id="28"/>
      <w:bookmarkStart w:id="29" w:name="_Toc184308083"/>
      <w:bookmarkEnd w:id="29"/>
      <w:bookmarkStart w:id="30" w:name="_Toc184313296"/>
      <w:bookmarkEnd w:id="30"/>
      <w:bookmarkStart w:id="31" w:name="_Toc184312083"/>
      <w:bookmarkEnd w:id="31"/>
      <w:bookmarkStart w:id="32" w:name="_Toc184313273"/>
      <w:bookmarkEnd w:id="32"/>
      <w:bookmarkStart w:id="33" w:name="_Toc184308056"/>
      <w:bookmarkEnd w:id="33"/>
      <w:bookmarkStart w:id="34" w:name="_Toc184308039"/>
      <w:bookmarkEnd w:id="34"/>
      <w:bookmarkStart w:id="35" w:name="_Toc184308059"/>
      <w:bookmarkEnd w:id="35"/>
      <w:bookmarkStart w:id="36" w:name="_Toc184314460"/>
      <w:bookmarkEnd w:id="36"/>
      <w:bookmarkStart w:id="37" w:name="_Toc184313261"/>
      <w:bookmarkEnd w:id="37"/>
      <w:bookmarkStart w:id="38" w:name="_Toc184310323"/>
      <w:bookmarkEnd w:id="38"/>
      <w:bookmarkStart w:id="39" w:name="_Toc184313301"/>
      <w:bookmarkEnd w:id="39"/>
      <w:bookmarkStart w:id="40" w:name="_Toc184313256"/>
      <w:bookmarkEnd w:id="40"/>
      <w:bookmarkStart w:id="41" w:name="_Toc184313259"/>
      <w:bookmarkEnd w:id="41"/>
      <w:bookmarkStart w:id="42" w:name="_Toc184308045"/>
      <w:bookmarkEnd w:id="42"/>
      <w:bookmarkStart w:id="43" w:name="_Toc184313282"/>
      <w:bookmarkEnd w:id="43"/>
      <w:bookmarkStart w:id="44" w:name="_Toc184314433"/>
      <w:bookmarkEnd w:id="44"/>
      <w:bookmarkStart w:id="45" w:name="_Toc184314437"/>
      <w:bookmarkEnd w:id="45"/>
      <w:bookmarkStart w:id="46" w:name="_Toc184308096"/>
      <w:bookmarkEnd w:id="46"/>
      <w:bookmarkStart w:id="47" w:name="_Toc184312090"/>
      <w:bookmarkEnd w:id="47"/>
      <w:bookmarkStart w:id="48" w:name="_Toc184312118"/>
      <w:bookmarkEnd w:id="48"/>
      <w:bookmarkStart w:id="49" w:name="_Toc184310321"/>
      <w:bookmarkEnd w:id="49"/>
      <w:bookmarkStart w:id="50" w:name="_Toc184312104"/>
      <w:bookmarkEnd w:id="50"/>
      <w:bookmarkStart w:id="51" w:name="_Toc184312079"/>
      <w:bookmarkEnd w:id="51"/>
      <w:bookmarkStart w:id="52" w:name="_Toc184310316"/>
      <w:bookmarkEnd w:id="52"/>
      <w:bookmarkStart w:id="53" w:name="_Toc184308074"/>
      <w:bookmarkEnd w:id="53"/>
      <w:bookmarkStart w:id="54" w:name="_Toc184308042"/>
      <w:bookmarkEnd w:id="54"/>
      <w:bookmarkStart w:id="55" w:name="_Toc184310324"/>
      <w:bookmarkEnd w:id="55"/>
      <w:bookmarkStart w:id="56" w:name="_Toc184312099"/>
      <w:bookmarkEnd w:id="56"/>
      <w:bookmarkStart w:id="57" w:name="_Toc184312094"/>
      <w:bookmarkEnd w:id="57"/>
      <w:bookmarkStart w:id="58" w:name="_Toc184312081"/>
      <w:bookmarkEnd w:id="58"/>
      <w:bookmarkStart w:id="59" w:name="_Toc184314426"/>
      <w:bookmarkEnd w:id="59"/>
      <w:bookmarkStart w:id="60" w:name="_Toc184310341"/>
      <w:bookmarkEnd w:id="60"/>
      <w:bookmarkStart w:id="61" w:name="_Toc184313289"/>
      <w:bookmarkEnd w:id="61"/>
      <w:bookmarkStart w:id="62" w:name="_Toc184313269"/>
      <w:bookmarkEnd w:id="62"/>
      <w:bookmarkStart w:id="63" w:name="_Toc184308047"/>
      <w:bookmarkEnd w:id="63"/>
      <w:bookmarkStart w:id="64" w:name="_Toc184313298"/>
      <w:bookmarkEnd w:id="64"/>
      <w:bookmarkStart w:id="65" w:name="_Toc184310333"/>
      <w:bookmarkEnd w:id="65"/>
      <w:bookmarkStart w:id="66" w:name="_Toc184308080"/>
      <w:bookmarkEnd w:id="66"/>
      <w:bookmarkStart w:id="67" w:name="_Toc184312136"/>
      <w:bookmarkEnd w:id="67"/>
      <w:bookmarkStart w:id="68" w:name="_Toc184310289"/>
      <w:bookmarkEnd w:id="68"/>
      <w:bookmarkStart w:id="69" w:name="_Toc184310310"/>
      <w:bookmarkEnd w:id="69"/>
      <w:bookmarkStart w:id="70" w:name="_Toc184310315"/>
      <w:bookmarkEnd w:id="70"/>
      <w:bookmarkStart w:id="71" w:name="_Toc184308093"/>
      <w:bookmarkEnd w:id="71"/>
      <w:bookmarkStart w:id="72" w:name="_Toc184314425"/>
      <w:bookmarkEnd w:id="72"/>
      <w:bookmarkStart w:id="73" w:name="_Toc184313276"/>
      <w:bookmarkEnd w:id="73"/>
      <w:bookmarkStart w:id="74" w:name="_Toc184310298"/>
      <w:bookmarkEnd w:id="74"/>
      <w:bookmarkStart w:id="75" w:name="_Toc184310329"/>
      <w:bookmarkEnd w:id="75"/>
      <w:bookmarkStart w:id="76" w:name="_Toc184308103"/>
      <w:bookmarkEnd w:id="76"/>
      <w:bookmarkStart w:id="77" w:name="_Toc184312117"/>
      <w:bookmarkEnd w:id="77"/>
      <w:bookmarkStart w:id="78" w:name="_Toc184313271"/>
      <w:bookmarkEnd w:id="78"/>
      <w:bookmarkStart w:id="79" w:name="_Toc184310292"/>
      <w:bookmarkEnd w:id="79"/>
      <w:bookmarkStart w:id="80" w:name="_Toc184308095"/>
      <w:bookmarkEnd w:id="80"/>
      <w:bookmarkStart w:id="81" w:name="_Toc184313280"/>
      <w:bookmarkEnd w:id="81"/>
      <w:bookmarkStart w:id="82" w:name="_Toc184308051"/>
      <w:bookmarkEnd w:id="82"/>
      <w:bookmarkStart w:id="83" w:name="_Toc184308066"/>
      <w:bookmarkEnd w:id="83"/>
      <w:bookmarkStart w:id="84" w:name="_Toc184308085"/>
      <w:bookmarkEnd w:id="84"/>
      <w:bookmarkStart w:id="85" w:name="_Toc184312101"/>
      <w:bookmarkEnd w:id="85"/>
      <w:bookmarkStart w:id="86" w:name="_Toc184312082"/>
      <w:bookmarkEnd w:id="86"/>
      <w:bookmarkStart w:id="87" w:name="_Toc184313286"/>
      <w:bookmarkEnd w:id="87"/>
      <w:bookmarkStart w:id="88" w:name="_Toc184308104"/>
      <w:bookmarkEnd w:id="88"/>
      <w:bookmarkStart w:id="89" w:name="_Toc184310343"/>
      <w:bookmarkEnd w:id="89"/>
      <w:bookmarkStart w:id="90" w:name="_Toc184308086"/>
      <w:bookmarkEnd w:id="90"/>
      <w:bookmarkStart w:id="91" w:name="_Toc184314463"/>
      <w:bookmarkEnd w:id="91"/>
      <w:bookmarkStart w:id="92" w:name="_Toc184308078"/>
      <w:bookmarkEnd w:id="92"/>
      <w:bookmarkStart w:id="93" w:name="_Toc184314474"/>
      <w:bookmarkEnd w:id="93"/>
      <w:bookmarkStart w:id="94" w:name="_Toc184314468"/>
      <w:bookmarkEnd w:id="94"/>
      <w:bookmarkStart w:id="95" w:name="_Toc184308084"/>
      <w:bookmarkEnd w:id="95"/>
      <w:bookmarkStart w:id="96" w:name="_Toc184310282"/>
      <w:bookmarkEnd w:id="96"/>
      <w:bookmarkStart w:id="97" w:name="_Toc184314451"/>
      <w:bookmarkEnd w:id="97"/>
      <w:bookmarkStart w:id="98" w:name="_Toc184312067"/>
      <w:bookmarkEnd w:id="98"/>
      <w:bookmarkStart w:id="99" w:name="_Toc184313295"/>
      <w:bookmarkEnd w:id="99"/>
      <w:bookmarkStart w:id="100" w:name="_Toc184308075"/>
      <w:bookmarkEnd w:id="100"/>
      <w:bookmarkStart w:id="101" w:name="_Toc184308073"/>
      <w:bookmarkEnd w:id="101"/>
      <w:bookmarkStart w:id="102" w:name="_Toc184314466"/>
      <w:bookmarkEnd w:id="102"/>
      <w:bookmarkStart w:id="103" w:name="_Toc184312122"/>
      <w:bookmarkEnd w:id="103"/>
      <w:bookmarkStart w:id="104" w:name="_Toc184310303"/>
      <w:bookmarkEnd w:id="104"/>
      <w:bookmarkStart w:id="105" w:name="_Toc184310331"/>
      <w:bookmarkEnd w:id="105"/>
      <w:bookmarkStart w:id="106" w:name="_Toc184313263"/>
      <w:bookmarkEnd w:id="106"/>
      <w:bookmarkStart w:id="107" w:name="_Toc184308101"/>
      <w:bookmarkEnd w:id="107"/>
      <w:bookmarkStart w:id="108" w:name="_Toc184312132"/>
      <w:bookmarkEnd w:id="108"/>
      <w:bookmarkStart w:id="109" w:name="_Toc184312115"/>
      <w:bookmarkEnd w:id="109"/>
      <w:bookmarkStart w:id="110" w:name="_Toc184313274"/>
      <w:bookmarkEnd w:id="110"/>
      <w:bookmarkStart w:id="111" w:name="_Toc184310342"/>
      <w:bookmarkEnd w:id="111"/>
      <w:bookmarkStart w:id="112" w:name="_Toc184314416"/>
      <w:bookmarkEnd w:id="112"/>
      <w:bookmarkStart w:id="113" w:name="_Toc184308038"/>
      <w:bookmarkEnd w:id="113"/>
      <w:bookmarkStart w:id="114" w:name="_Toc184312096"/>
      <w:bookmarkEnd w:id="114"/>
      <w:bookmarkStart w:id="115" w:name="_Toc184308090"/>
      <w:bookmarkEnd w:id="115"/>
      <w:bookmarkStart w:id="116" w:name="_Toc184308107"/>
      <w:bookmarkEnd w:id="116"/>
      <w:bookmarkStart w:id="117" w:name="_Toc184314471"/>
      <w:bookmarkEnd w:id="117"/>
      <w:bookmarkStart w:id="118" w:name="_Toc184310297"/>
      <w:bookmarkEnd w:id="118"/>
      <w:bookmarkStart w:id="119" w:name="_Toc184308098"/>
      <w:bookmarkEnd w:id="119"/>
      <w:bookmarkStart w:id="120" w:name="_Toc184312105"/>
      <w:bookmarkEnd w:id="120"/>
      <w:bookmarkStart w:id="121" w:name="_Toc184308100"/>
      <w:bookmarkEnd w:id="121"/>
      <w:bookmarkStart w:id="122" w:name="_Toc184314424"/>
      <w:bookmarkEnd w:id="122"/>
      <w:bookmarkStart w:id="123" w:name="_Toc184308094"/>
      <w:bookmarkEnd w:id="123"/>
      <w:bookmarkStart w:id="124" w:name="_Toc184312070"/>
      <w:bookmarkEnd w:id="124"/>
      <w:bookmarkStart w:id="125" w:name="_Toc184310335"/>
      <w:bookmarkEnd w:id="125"/>
      <w:bookmarkStart w:id="126" w:name="_Toc184308106"/>
      <w:bookmarkEnd w:id="126"/>
      <w:bookmarkStart w:id="127" w:name="_Toc184308054"/>
      <w:bookmarkEnd w:id="127"/>
      <w:bookmarkStart w:id="128" w:name="_Toc184314462"/>
      <w:bookmarkEnd w:id="128"/>
      <w:bookmarkStart w:id="129" w:name="_Toc184308037"/>
      <w:bookmarkEnd w:id="129"/>
      <w:bookmarkStart w:id="130" w:name="_Toc184310273"/>
      <w:bookmarkEnd w:id="130"/>
      <w:bookmarkStart w:id="131" w:name="_Toc184314445"/>
      <w:bookmarkEnd w:id="131"/>
      <w:bookmarkStart w:id="132" w:name="_Toc184312068"/>
      <w:bookmarkEnd w:id="132"/>
      <w:bookmarkStart w:id="133" w:name="_Toc184308102"/>
      <w:bookmarkEnd w:id="133"/>
      <w:bookmarkStart w:id="134" w:name="_Toc184314427"/>
      <w:bookmarkEnd w:id="134"/>
      <w:bookmarkStart w:id="135" w:name="_Toc184312129"/>
      <w:bookmarkEnd w:id="135"/>
      <w:bookmarkStart w:id="136" w:name="_Toc184310294"/>
      <w:bookmarkEnd w:id="136"/>
      <w:bookmarkStart w:id="137" w:name="_Toc184313303"/>
      <w:bookmarkEnd w:id="137"/>
      <w:bookmarkStart w:id="138" w:name="_Toc184308061"/>
      <w:bookmarkEnd w:id="138"/>
      <w:bookmarkStart w:id="139" w:name="_Toc184310306"/>
      <w:bookmarkEnd w:id="139"/>
      <w:bookmarkStart w:id="140" w:name="_Toc184308068"/>
      <w:bookmarkEnd w:id="140"/>
      <w:bookmarkStart w:id="141" w:name="_Toc184313252"/>
      <w:bookmarkEnd w:id="141"/>
      <w:bookmarkStart w:id="142" w:name="_Toc184313305"/>
      <w:bookmarkEnd w:id="142"/>
      <w:bookmarkStart w:id="143" w:name="_Toc184310275"/>
      <w:bookmarkEnd w:id="143"/>
      <w:bookmarkStart w:id="144" w:name="_Toc184313281"/>
      <w:bookmarkEnd w:id="144"/>
      <w:bookmarkStart w:id="145" w:name="_Toc184312097"/>
      <w:bookmarkEnd w:id="145"/>
      <w:bookmarkStart w:id="146" w:name="_Toc184314417"/>
      <w:bookmarkEnd w:id="146"/>
      <w:bookmarkStart w:id="147" w:name="_Toc184314461"/>
      <w:bookmarkEnd w:id="147"/>
      <w:bookmarkStart w:id="148" w:name="_Toc184314443"/>
      <w:bookmarkEnd w:id="148"/>
      <w:bookmarkStart w:id="149" w:name="_Toc184312120"/>
      <w:bookmarkEnd w:id="149"/>
      <w:bookmarkStart w:id="150" w:name="_Toc184313291"/>
      <w:bookmarkEnd w:id="150"/>
      <w:bookmarkStart w:id="151" w:name="_Toc184314428"/>
      <w:bookmarkEnd w:id="151"/>
      <w:bookmarkStart w:id="152" w:name="_Toc184313307"/>
      <w:bookmarkEnd w:id="152"/>
      <w:bookmarkStart w:id="153" w:name="_Toc184312135"/>
      <w:bookmarkEnd w:id="153"/>
      <w:bookmarkStart w:id="154" w:name="_Toc184313292"/>
      <w:bookmarkEnd w:id="154"/>
      <w:bookmarkStart w:id="155" w:name="_Toc184314415"/>
      <w:bookmarkEnd w:id="155"/>
      <w:bookmarkStart w:id="156" w:name="_Toc184312095"/>
      <w:bookmarkEnd w:id="156"/>
      <w:bookmarkStart w:id="157" w:name="_Toc184314476"/>
      <w:bookmarkEnd w:id="157"/>
      <w:bookmarkStart w:id="158" w:name="_Toc184314447"/>
      <w:bookmarkEnd w:id="158"/>
      <w:bookmarkStart w:id="159" w:name="_Toc184312085"/>
      <w:bookmarkEnd w:id="159"/>
      <w:bookmarkStart w:id="160" w:name="_Toc184312123"/>
      <w:bookmarkEnd w:id="160"/>
      <w:bookmarkStart w:id="161" w:name="_Toc184313245"/>
      <w:bookmarkEnd w:id="161"/>
      <w:bookmarkStart w:id="162" w:name="_Toc184308091"/>
      <w:bookmarkEnd w:id="162"/>
      <w:bookmarkStart w:id="163" w:name="_Toc184313241"/>
      <w:bookmarkEnd w:id="163"/>
      <w:bookmarkStart w:id="164" w:name="_Toc184312119"/>
      <w:bookmarkEnd w:id="164"/>
      <w:bookmarkStart w:id="165" w:name="_Toc184312091"/>
      <w:bookmarkEnd w:id="165"/>
      <w:bookmarkStart w:id="166" w:name="_Toc184310283"/>
      <w:bookmarkEnd w:id="166"/>
      <w:bookmarkStart w:id="167" w:name="_Toc184314438"/>
      <w:bookmarkEnd w:id="167"/>
      <w:bookmarkStart w:id="168" w:name="_Toc184313247"/>
      <w:bookmarkEnd w:id="168"/>
      <w:bookmarkStart w:id="169" w:name="_Toc184310322"/>
      <w:bookmarkEnd w:id="169"/>
      <w:bookmarkStart w:id="170" w:name="_Toc184314448"/>
      <w:bookmarkEnd w:id="170"/>
      <w:bookmarkStart w:id="171" w:name="_Toc184310277"/>
      <w:bookmarkEnd w:id="171"/>
      <w:bookmarkStart w:id="172" w:name="_Toc184312124"/>
      <w:bookmarkEnd w:id="172"/>
      <w:bookmarkStart w:id="173" w:name="_Toc184310311"/>
      <w:bookmarkEnd w:id="173"/>
      <w:bookmarkStart w:id="174" w:name="_Toc184310302"/>
      <w:bookmarkEnd w:id="174"/>
      <w:bookmarkStart w:id="175" w:name="_Toc184312125"/>
      <w:bookmarkEnd w:id="175"/>
      <w:bookmarkStart w:id="176" w:name="_Toc184310288"/>
      <w:bookmarkEnd w:id="176"/>
      <w:bookmarkStart w:id="177" w:name="_Toc184310296"/>
      <w:bookmarkEnd w:id="177"/>
      <w:bookmarkStart w:id="178" w:name="_Toc184313270"/>
      <w:bookmarkEnd w:id="178"/>
      <w:bookmarkStart w:id="179" w:name="_Toc184313266"/>
      <w:bookmarkEnd w:id="179"/>
      <w:bookmarkStart w:id="180" w:name="_Toc184313238"/>
      <w:bookmarkEnd w:id="180"/>
      <w:bookmarkStart w:id="181" w:name="_Toc184314470"/>
      <w:bookmarkEnd w:id="181"/>
      <w:bookmarkStart w:id="182" w:name="_Toc184313310"/>
      <w:bookmarkEnd w:id="182"/>
      <w:bookmarkStart w:id="183" w:name="_Toc184314450"/>
      <w:bookmarkEnd w:id="183"/>
      <w:bookmarkStart w:id="184" w:name="_Toc184310319"/>
      <w:bookmarkEnd w:id="184"/>
      <w:bookmarkStart w:id="185" w:name="_Toc184313239"/>
      <w:bookmarkEnd w:id="185"/>
      <w:bookmarkStart w:id="186" w:name="_Toc184314442"/>
      <w:bookmarkEnd w:id="186"/>
      <w:bookmarkStart w:id="187" w:name="_Toc184314418"/>
      <w:bookmarkEnd w:id="187"/>
      <w:bookmarkStart w:id="188" w:name="_Toc184314452"/>
      <w:bookmarkEnd w:id="188"/>
      <w:bookmarkStart w:id="189" w:name="_Toc184312113"/>
      <w:bookmarkEnd w:id="189"/>
      <w:bookmarkStart w:id="190" w:name="_Toc184310293"/>
      <w:bookmarkEnd w:id="190"/>
      <w:bookmarkStart w:id="191" w:name="_Toc184312080"/>
      <w:bookmarkEnd w:id="191"/>
      <w:bookmarkStart w:id="192" w:name="_Toc184312121"/>
      <w:bookmarkEnd w:id="192"/>
      <w:bookmarkStart w:id="193" w:name="_Toc184314479"/>
      <w:bookmarkEnd w:id="193"/>
      <w:bookmarkStart w:id="194" w:name="_Toc184312131"/>
      <w:bookmarkEnd w:id="194"/>
      <w:bookmarkStart w:id="195" w:name="_Toc184314435"/>
      <w:bookmarkEnd w:id="195"/>
      <w:bookmarkStart w:id="196" w:name="_Toc184312100"/>
      <w:bookmarkEnd w:id="196"/>
      <w:bookmarkStart w:id="197" w:name="_Toc184308108"/>
      <w:bookmarkEnd w:id="197"/>
      <w:bookmarkStart w:id="198" w:name="_Toc184312098"/>
      <w:bookmarkEnd w:id="198"/>
      <w:bookmarkStart w:id="199" w:name="_Toc184308060"/>
      <w:bookmarkEnd w:id="199"/>
      <w:bookmarkStart w:id="200" w:name="_Toc184308092"/>
      <w:bookmarkEnd w:id="200"/>
      <w:bookmarkStart w:id="201" w:name="_Toc184310274"/>
      <w:bookmarkEnd w:id="201"/>
      <w:bookmarkStart w:id="202" w:name="_Toc184310334"/>
      <w:bookmarkEnd w:id="202"/>
      <w:bookmarkStart w:id="203" w:name="_Toc184308044"/>
      <w:bookmarkEnd w:id="203"/>
      <w:bookmarkStart w:id="204" w:name="_Toc184312069"/>
      <w:bookmarkEnd w:id="204"/>
      <w:bookmarkStart w:id="205" w:name="_Toc184308036"/>
      <w:bookmarkEnd w:id="205"/>
      <w:bookmarkStart w:id="206" w:name="_Toc184312109"/>
      <w:bookmarkEnd w:id="206"/>
      <w:bookmarkStart w:id="207" w:name="_Toc184313277"/>
      <w:bookmarkEnd w:id="207"/>
      <w:bookmarkStart w:id="208" w:name="_Toc184314469"/>
      <w:bookmarkEnd w:id="208"/>
      <w:bookmarkStart w:id="209" w:name="_Toc184312112"/>
      <w:bookmarkEnd w:id="209"/>
      <w:bookmarkStart w:id="210" w:name="_Toc184314454"/>
      <w:bookmarkEnd w:id="210"/>
      <w:bookmarkStart w:id="211" w:name="_Toc184308065"/>
      <w:bookmarkEnd w:id="211"/>
      <w:bookmarkStart w:id="212" w:name="_Toc184308082"/>
      <w:bookmarkEnd w:id="212"/>
      <w:bookmarkStart w:id="213" w:name="_Toc184310285"/>
      <w:bookmarkEnd w:id="213"/>
      <w:bookmarkStart w:id="214" w:name="_Toc184308048"/>
      <w:bookmarkEnd w:id="214"/>
      <w:bookmarkStart w:id="215" w:name="_Toc184310279"/>
      <w:bookmarkEnd w:id="215"/>
      <w:bookmarkStart w:id="216" w:name="_Toc184313257"/>
      <w:bookmarkEnd w:id="216"/>
      <w:bookmarkStart w:id="217" w:name="_Toc184308070"/>
      <w:bookmarkEnd w:id="217"/>
      <w:bookmarkStart w:id="218" w:name="_Toc184313258"/>
      <w:bookmarkEnd w:id="218"/>
      <w:bookmarkStart w:id="219" w:name="_Toc184313243"/>
      <w:bookmarkEnd w:id="219"/>
      <w:bookmarkStart w:id="220" w:name="_Toc184314429"/>
      <w:bookmarkEnd w:id="220"/>
      <w:bookmarkStart w:id="221" w:name="_Toc184313253"/>
      <w:bookmarkEnd w:id="221"/>
      <w:bookmarkStart w:id="222" w:name="_Toc184314411"/>
      <w:bookmarkEnd w:id="222"/>
      <w:bookmarkStart w:id="223" w:name="_Toc184308050"/>
      <w:bookmarkEnd w:id="223"/>
      <w:bookmarkStart w:id="224" w:name="_Toc184314441"/>
      <w:bookmarkEnd w:id="224"/>
      <w:bookmarkStart w:id="225" w:name="_Toc184313287"/>
      <w:bookmarkEnd w:id="225"/>
      <w:bookmarkStart w:id="226" w:name="_Toc184312102"/>
      <w:bookmarkEnd w:id="226"/>
      <w:bookmarkStart w:id="227" w:name="_Toc184308105"/>
      <w:bookmarkEnd w:id="227"/>
      <w:bookmarkStart w:id="228" w:name="_Toc184313267"/>
      <w:bookmarkEnd w:id="228"/>
      <w:bookmarkStart w:id="229" w:name="_Toc184313265"/>
      <w:bookmarkEnd w:id="229"/>
      <w:bookmarkStart w:id="230" w:name="_Toc184312137"/>
      <w:bookmarkEnd w:id="230"/>
      <w:bookmarkStart w:id="231" w:name="_Toc184310337"/>
      <w:bookmarkEnd w:id="231"/>
      <w:bookmarkStart w:id="232" w:name="_Toc184308064"/>
      <w:bookmarkEnd w:id="232"/>
      <w:bookmarkStart w:id="233" w:name="_Toc184313251"/>
      <w:bookmarkEnd w:id="233"/>
      <w:bookmarkStart w:id="234" w:name="_Toc184310278"/>
      <w:bookmarkEnd w:id="234"/>
      <w:bookmarkStart w:id="235" w:name="_Toc184314472"/>
      <w:bookmarkEnd w:id="235"/>
      <w:bookmarkStart w:id="236" w:name="_Toc184312116"/>
      <w:bookmarkEnd w:id="236"/>
      <w:bookmarkStart w:id="237" w:name="_Toc184310320"/>
      <w:bookmarkEnd w:id="237"/>
      <w:bookmarkStart w:id="238" w:name="_Toc184308055"/>
      <w:bookmarkEnd w:id="238"/>
      <w:bookmarkStart w:id="239" w:name="_Toc184313254"/>
      <w:bookmarkEnd w:id="239"/>
      <w:bookmarkStart w:id="240" w:name="_Toc184314412"/>
      <w:bookmarkEnd w:id="240"/>
      <w:bookmarkStart w:id="241" w:name="_Toc184314419"/>
      <w:bookmarkEnd w:id="241"/>
      <w:bookmarkStart w:id="242" w:name="_Toc184314449"/>
      <w:bookmarkEnd w:id="242"/>
      <w:bookmarkStart w:id="243" w:name="_Toc184313248"/>
      <w:bookmarkEnd w:id="243"/>
      <w:bookmarkStart w:id="244" w:name="_Toc184314444"/>
      <w:bookmarkEnd w:id="244"/>
      <w:bookmarkStart w:id="245" w:name="_Toc184310295"/>
      <w:bookmarkEnd w:id="245"/>
      <w:bookmarkStart w:id="246" w:name="_Toc184308069"/>
      <w:bookmarkEnd w:id="246"/>
      <w:bookmarkStart w:id="247" w:name="_Toc184314440"/>
      <w:bookmarkEnd w:id="247"/>
      <w:bookmarkStart w:id="248" w:name="_Toc184310291"/>
      <w:bookmarkEnd w:id="248"/>
      <w:bookmarkStart w:id="249" w:name="_Toc184310309"/>
      <w:bookmarkEnd w:id="249"/>
      <w:bookmarkStart w:id="250" w:name="_Toc184310272"/>
      <w:bookmarkEnd w:id="250"/>
      <w:bookmarkStart w:id="251" w:name="_Toc184308040"/>
      <w:bookmarkEnd w:id="251"/>
      <w:bookmarkStart w:id="252" w:name="_Toc184312126"/>
      <w:bookmarkEnd w:id="252"/>
      <w:bookmarkStart w:id="253" w:name="_Toc184310314"/>
      <w:bookmarkEnd w:id="253"/>
      <w:bookmarkStart w:id="254" w:name="_Toc184310339"/>
      <w:bookmarkEnd w:id="254"/>
      <w:bookmarkStart w:id="255" w:name="_Toc184314439"/>
      <w:bookmarkEnd w:id="255"/>
      <w:bookmarkStart w:id="256" w:name="_Toc184308071"/>
      <w:bookmarkEnd w:id="256"/>
      <w:bookmarkStart w:id="257" w:name="_Toc184310299"/>
      <w:bookmarkEnd w:id="257"/>
      <w:bookmarkStart w:id="258" w:name="_Toc184308062"/>
      <w:bookmarkEnd w:id="258"/>
      <w:bookmarkStart w:id="259" w:name="_Toc184312107"/>
      <w:bookmarkEnd w:id="259"/>
      <w:bookmarkStart w:id="260" w:name="_Toc184308099"/>
      <w:bookmarkEnd w:id="260"/>
      <w:bookmarkStart w:id="261" w:name="_Toc184310340"/>
      <w:bookmarkEnd w:id="261"/>
      <w:bookmarkStart w:id="262" w:name="_Toc184313249"/>
      <w:bookmarkEnd w:id="262"/>
      <w:bookmarkStart w:id="263" w:name="_Toc184314423"/>
      <w:bookmarkEnd w:id="263"/>
      <w:bookmarkStart w:id="264" w:name="_Toc184308067"/>
      <w:bookmarkEnd w:id="264"/>
      <w:bookmarkStart w:id="265" w:name="_Toc184312071"/>
      <w:bookmarkEnd w:id="265"/>
      <w:bookmarkStart w:id="266" w:name="_Toc184314465"/>
      <w:bookmarkEnd w:id="266"/>
      <w:bookmarkStart w:id="267" w:name="_Toc184308043"/>
      <w:bookmarkEnd w:id="267"/>
      <w:bookmarkStart w:id="268" w:name="_Toc184312133"/>
      <w:bookmarkEnd w:id="268"/>
      <w:bookmarkStart w:id="269" w:name="_Toc184314421"/>
      <w:bookmarkEnd w:id="269"/>
      <w:bookmarkStart w:id="270" w:name="_Toc184313255"/>
      <w:bookmarkEnd w:id="270"/>
      <w:bookmarkStart w:id="271" w:name="_Toc184313272"/>
      <w:bookmarkEnd w:id="271"/>
      <w:bookmarkStart w:id="272" w:name="_Toc184314431"/>
      <w:bookmarkEnd w:id="272"/>
      <w:bookmarkStart w:id="273" w:name="_Toc184314480"/>
      <w:bookmarkEnd w:id="273"/>
      <w:bookmarkStart w:id="274" w:name="_Toc184310280"/>
      <w:bookmarkEnd w:id="274"/>
      <w:bookmarkStart w:id="275" w:name="_Toc184312130"/>
      <w:bookmarkEnd w:id="275"/>
      <w:bookmarkStart w:id="276" w:name="_Toc184312127"/>
      <w:bookmarkEnd w:id="276"/>
      <w:bookmarkStart w:id="277" w:name="_Toc184314446"/>
      <w:bookmarkEnd w:id="277"/>
      <w:bookmarkStart w:id="278" w:name="_Toc184313300"/>
      <w:bookmarkEnd w:id="278"/>
      <w:bookmarkStart w:id="279" w:name="_Toc184313288"/>
      <w:bookmarkEnd w:id="279"/>
      <w:bookmarkStart w:id="280" w:name="_Toc184310326"/>
      <w:bookmarkEnd w:id="280"/>
      <w:bookmarkStart w:id="281" w:name="_Toc184308079"/>
      <w:bookmarkEnd w:id="281"/>
      <w:bookmarkStart w:id="282" w:name="_Toc184313268"/>
      <w:bookmarkEnd w:id="282"/>
      <w:bookmarkStart w:id="283" w:name="_Toc184313283"/>
      <w:bookmarkEnd w:id="283"/>
      <w:bookmarkStart w:id="284" w:name="_Toc184310287"/>
      <w:bookmarkEnd w:id="284"/>
      <w:bookmarkStart w:id="285" w:name="_Toc184313240"/>
      <w:bookmarkEnd w:id="285"/>
      <w:bookmarkStart w:id="286" w:name="_Toc184310284"/>
      <w:bookmarkEnd w:id="286"/>
      <w:bookmarkStart w:id="287" w:name="_Toc184310286"/>
      <w:bookmarkEnd w:id="287"/>
      <w:bookmarkStart w:id="288" w:name="_Toc184310325"/>
      <w:bookmarkEnd w:id="288"/>
      <w:bookmarkStart w:id="289" w:name="_Toc184308052"/>
      <w:bookmarkEnd w:id="289"/>
      <w:bookmarkStart w:id="290" w:name="_Toc184310305"/>
      <w:bookmarkEnd w:id="290"/>
      <w:bookmarkStart w:id="291" w:name="_Toc184312074"/>
      <w:bookmarkEnd w:id="291"/>
      <w:bookmarkStart w:id="292" w:name="_Toc184314410"/>
      <w:bookmarkEnd w:id="292"/>
      <w:bookmarkStart w:id="293" w:name="_Toc184312139"/>
      <w:bookmarkEnd w:id="293"/>
      <w:bookmarkStart w:id="294" w:name="_Toc184310344"/>
      <w:bookmarkEnd w:id="294"/>
      <w:bookmarkStart w:id="295" w:name="_Toc184312128"/>
      <w:bookmarkEnd w:id="295"/>
      <w:bookmarkStart w:id="296" w:name="_Toc184308058"/>
      <w:bookmarkEnd w:id="296"/>
      <w:bookmarkStart w:id="297" w:name="_Toc184314432"/>
      <w:bookmarkEnd w:id="297"/>
      <w:bookmarkStart w:id="298" w:name="_Toc184314434"/>
      <w:bookmarkEnd w:id="298"/>
      <w:bookmarkStart w:id="299" w:name="_Toc184313246"/>
      <w:bookmarkEnd w:id="299"/>
      <w:bookmarkStart w:id="300" w:name="_Toc184314436"/>
      <w:bookmarkEnd w:id="300"/>
      <w:bookmarkStart w:id="301" w:name="_Toc184313279"/>
      <w:bookmarkEnd w:id="301"/>
      <w:bookmarkStart w:id="302" w:name="_Toc184312134"/>
      <w:bookmarkEnd w:id="302"/>
      <w:bookmarkStart w:id="303" w:name="_Toc184312087"/>
      <w:bookmarkEnd w:id="303"/>
      <w:bookmarkStart w:id="304" w:name="_Toc184313278"/>
      <w:bookmarkEnd w:id="304"/>
      <w:bookmarkStart w:id="305" w:name="_Toc184312073"/>
      <w:bookmarkEnd w:id="305"/>
      <w:bookmarkStart w:id="306" w:name="_Toc184312076"/>
      <w:bookmarkEnd w:id="306"/>
      <w:bookmarkStart w:id="307" w:name="_Toc184314481"/>
      <w:bookmarkEnd w:id="307"/>
      <w:bookmarkStart w:id="308" w:name="_Toc184312111"/>
      <w:bookmarkEnd w:id="308"/>
      <w:bookmarkStart w:id="309" w:name="_Toc184312138"/>
      <w:bookmarkEnd w:id="309"/>
      <w:bookmarkStart w:id="310" w:name="_Toc184312077"/>
      <w:bookmarkEnd w:id="310"/>
      <w:bookmarkStart w:id="311" w:name="_Toc184308041"/>
      <w:bookmarkEnd w:id="311"/>
      <w:bookmarkStart w:id="312" w:name="_Toc184313306"/>
      <w:bookmarkEnd w:id="312"/>
      <w:bookmarkStart w:id="313" w:name="_Toc184310338"/>
      <w:bookmarkEnd w:id="313"/>
      <w:bookmarkStart w:id="314" w:name="_Toc184314477"/>
      <w:bookmarkEnd w:id="314"/>
      <w:bookmarkStart w:id="315" w:name="_Toc184310328"/>
      <w:bookmarkEnd w:id="315"/>
      <w:bookmarkStart w:id="316" w:name="_Toc184312108"/>
      <w:bookmarkEnd w:id="316"/>
      <w:bookmarkStart w:id="317" w:name="_Toc184313260"/>
      <w:bookmarkEnd w:id="317"/>
      <w:bookmarkStart w:id="318" w:name="_Toc184308063"/>
      <w:bookmarkEnd w:id="318"/>
      <w:bookmarkStart w:id="319" w:name="_Toc184314422"/>
      <w:bookmarkEnd w:id="319"/>
      <w:bookmarkStart w:id="320" w:name="_Toc184312088"/>
      <w:bookmarkEnd w:id="320"/>
      <w:bookmarkStart w:id="321" w:name="_Toc184313308"/>
      <w:bookmarkEnd w:id="321"/>
      <w:bookmarkStart w:id="322" w:name="_Toc184312093"/>
      <w:bookmarkEnd w:id="322"/>
      <w:bookmarkStart w:id="323" w:name="_Toc184308076"/>
      <w:bookmarkEnd w:id="323"/>
      <w:bookmarkStart w:id="324" w:name="_Toc184314456"/>
      <w:bookmarkEnd w:id="324"/>
      <w:bookmarkStart w:id="325" w:name="_Toc184313304"/>
      <w:bookmarkEnd w:id="325"/>
      <w:bookmarkStart w:id="326" w:name="_Toc184314420"/>
      <w:bookmarkEnd w:id="326"/>
      <w:bookmarkStart w:id="327" w:name="_Toc184312092"/>
      <w:bookmarkEnd w:id="327"/>
      <w:bookmarkStart w:id="328" w:name="_Toc184314414"/>
      <w:bookmarkEnd w:id="328"/>
      <w:bookmarkStart w:id="329" w:name="_Toc184313290"/>
      <w:bookmarkEnd w:id="329"/>
      <w:bookmarkStart w:id="330" w:name="_Toc184312103"/>
      <w:bookmarkEnd w:id="330"/>
      <w:bookmarkStart w:id="331" w:name="_Toc184313285"/>
      <w:bookmarkEnd w:id="331"/>
      <w:bookmarkStart w:id="332" w:name="_Toc184314464"/>
      <w:bookmarkEnd w:id="332"/>
      <w:bookmarkStart w:id="333" w:name="_Toc184314459"/>
      <w:bookmarkEnd w:id="333"/>
      <w:bookmarkStart w:id="334" w:name="_Toc184313275"/>
      <w:bookmarkEnd w:id="334"/>
      <w:bookmarkStart w:id="335" w:name="_Toc184308072"/>
      <w:bookmarkEnd w:id="335"/>
      <w:bookmarkStart w:id="336" w:name="_Toc184313299"/>
      <w:bookmarkEnd w:id="336"/>
      <w:bookmarkStart w:id="337" w:name="_Toc184310313"/>
      <w:bookmarkEnd w:id="337"/>
      <w:bookmarkStart w:id="338" w:name="_Toc184310301"/>
      <w:bookmarkEnd w:id="338"/>
      <w:bookmarkStart w:id="339" w:name="_Toc184310312"/>
      <w:bookmarkEnd w:id="339"/>
      <w:bookmarkStart w:id="340" w:name="_Toc184312086"/>
      <w:bookmarkEnd w:id="340"/>
      <w:bookmarkStart w:id="341" w:name="_Toc184310330"/>
      <w:bookmarkEnd w:id="341"/>
      <w:bookmarkStart w:id="342" w:name="_Toc184313309"/>
      <w:bookmarkEnd w:id="342"/>
      <w:bookmarkStart w:id="343" w:name="_Toc184313293"/>
      <w:bookmarkEnd w:id="343"/>
      <w:bookmarkStart w:id="344" w:name="_Toc184308087"/>
      <w:bookmarkEnd w:id="344"/>
      <w:bookmarkStart w:id="345" w:name="_Toc184314453"/>
      <w:bookmarkEnd w:id="345"/>
      <w:bookmarkStart w:id="346" w:name="_Toc184314467"/>
      <w:bookmarkEnd w:id="346"/>
      <w:bookmarkStart w:id="347" w:name="_Toc184313284"/>
      <w:bookmarkEnd w:id="347"/>
      <w:bookmarkStart w:id="348" w:name="_Toc184312075"/>
      <w:bookmarkEnd w:id="348"/>
      <w:bookmarkStart w:id="349" w:name="_Toc184310304"/>
      <w:bookmarkEnd w:id="349"/>
      <w:bookmarkStart w:id="350" w:name="_Toc184308057"/>
      <w:bookmarkEnd w:id="350"/>
      <w:bookmarkStart w:id="351" w:name="_Toc184308097"/>
      <w:bookmarkEnd w:id="351"/>
      <w:bookmarkStart w:id="352" w:name="_Toc184308081"/>
      <w:bookmarkEnd w:id="352"/>
      <w:bookmarkStart w:id="353" w:name="_Toc184312114"/>
      <w:bookmarkEnd w:id="353"/>
      <w:bookmarkStart w:id="354" w:name="_Toc184308053"/>
      <w:bookmarkEnd w:id="354"/>
      <w:bookmarkStart w:id="355" w:name="_Toc184313297"/>
      <w:bookmarkEnd w:id="355"/>
      <w:bookmarkStart w:id="356" w:name="_Toc184313262"/>
      <w:bookmarkEnd w:id="356"/>
      <w:bookmarkStart w:id="357" w:name="_Toc184312072"/>
      <w:bookmarkEnd w:id="357"/>
      <w:bookmarkStart w:id="358" w:name="_Toc184308046"/>
      <w:bookmarkEnd w:id="358"/>
      <w:bookmarkStart w:id="359" w:name="_Toc184310308"/>
      <w:bookmarkEnd w:id="359"/>
      <w:bookmarkStart w:id="360" w:name="_Toc184308049"/>
      <w:bookmarkEnd w:id="360"/>
      <w:bookmarkStart w:id="361" w:name="_Toc184310276"/>
      <w:bookmarkEnd w:id="361"/>
      <w:bookmarkStart w:id="362" w:name="_Toc184314458"/>
      <w:bookmarkEnd w:id="362"/>
      <w:bookmarkStart w:id="363" w:name="_Toc184312106"/>
      <w:bookmarkEnd w:id="363"/>
      <w:bookmarkStart w:id="364" w:name="_Toc184314478"/>
      <w:bookmarkEnd w:id="364"/>
      <w:bookmarkStart w:id="365" w:name="_Toc184314455"/>
      <w:bookmarkEnd w:id="365"/>
      <w:bookmarkStart w:id="366" w:name="_Toc184308089"/>
      <w:bookmarkEnd w:id="366"/>
      <w:bookmarkStart w:id="367" w:name="_Toc184312084"/>
      <w:bookmarkEnd w:id="367"/>
      <w:bookmarkStart w:id="368" w:name="_Toc184313242"/>
      <w:bookmarkEnd w:id="368"/>
      <w:bookmarkStart w:id="369" w:name="_Toc184310336"/>
      <w:bookmarkEnd w:id="369"/>
      <w:bookmarkStart w:id="370" w:name="_Toc184313264"/>
      <w:bookmarkEnd w:id="370"/>
      <w:bookmarkStart w:id="371" w:name="_Toc184312089"/>
      <w:bookmarkEnd w:id="371"/>
      <w:bookmarkStart w:id="372" w:name="_Toc184314430"/>
      <w:bookmarkEnd w:id="372"/>
      <w:bookmarkStart w:id="373" w:name="_Toc184310318"/>
      <w:bookmarkEnd w:id="373"/>
      <w:bookmarkStart w:id="374" w:name="_Toc184310327"/>
      <w:bookmarkEnd w:id="374"/>
      <w:bookmarkStart w:id="375" w:name="_Toc184314482"/>
      <w:bookmarkEnd w:id="375"/>
      <w:bookmarkStart w:id="376" w:name="_Toc184313302"/>
      <w:bookmarkEnd w:id="376"/>
      <w:bookmarkStart w:id="377" w:name="_Toc184310281"/>
      <w:bookmarkEnd w:id="377"/>
      <w:bookmarkStart w:id="378" w:name="_Toc184310307"/>
      <w:bookmarkEnd w:id="378"/>
      <w:bookmarkStart w:id="379" w:name="_Toc184314457"/>
      <w:bookmarkEnd w:id="379"/>
      <w:bookmarkStart w:id="380" w:name="_Toc184310290"/>
      <w:bookmarkEnd w:id="380"/>
      <w:bookmarkStart w:id="381" w:name="_Toc184310317"/>
      <w:bookmarkEnd w:id="381"/>
      <w:bookmarkStart w:id="382" w:name="_Toc184313244"/>
      <w:bookmarkEnd w:id="382"/>
      <w:bookmarkStart w:id="383" w:name="_Toc184312078"/>
      <w:bookmarkEnd w:id="383"/>
      <w:bookmarkStart w:id="384" w:name="_Toc184308088"/>
      <w:bookmarkEnd w:id="384"/>
      <w:r>
        <w:rPr>
          <w:rFonts w:hint="eastAsia" w:ascii="宋体" w:hAnsi="宋体" w:eastAsia="宋体" w:cs="宋体"/>
          <w:b/>
          <w:color w:val="auto"/>
          <w:sz w:val="36"/>
          <w:szCs w:val="36"/>
          <w:highlight w:val="none"/>
        </w:rPr>
        <w:t>评审方法</w:t>
      </w:r>
    </w:p>
    <w:p>
      <w:pPr>
        <w:adjustRightInd w:val="0"/>
        <w:snapToGrid w:val="0"/>
        <w:spacing w:line="460" w:lineRule="exact"/>
        <w:ind w:firstLine="480" w:firstLineChars="200"/>
        <w:rPr>
          <w:rFonts w:hint="eastAsia" w:ascii="宋体" w:hAnsi="宋体" w:eastAsia="宋体" w:cs="宋体"/>
          <w:color w:val="auto"/>
          <w:sz w:val="24"/>
          <w:highlight w:val="none"/>
        </w:rPr>
      </w:pPr>
    </w:p>
    <w:p>
      <w:pPr>
        <w:adjustRightInd w:val="0"/>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根据《中华人民共和国政府采购法》《中华人民共和国政府采购法实施条例</w:t>
      </w:r>
      <w:r>
        <w:rPr>
          <w:rFonts w:hint="eastAsia" w:ascii="宋体" w:hAnsi="宋体" w:eastAsia="宋体" w:cs="宋体"/>
          <w:color w:val="auto"/>
          <w:sz w:val="24"/>
          <w:highlight w:val="none"/>
          <w:lang w:eastAsia="zh-CN"/>
        </w:rPr>
        <w:t>》《</w:t>
      </w:r>
      <w:r>
        <w:rPr>
          <w:rFonts w:hint="eastAsia" w:ascii="宋体" w:hAnsi="宋体" w:eastAsia="宋体" w:cs="宋体"/>
          <w:bCs/>
          <w:color w:val="auto"/>
          <w:sz w:val="24"/>
          <w:highlight w:val="none"/>
        </w:rPr>
        <w:t>政府采购非招标采购方式管理办法》</w:t>
      </w:r>
      <w:r>
        <w:rPr>
          <w:rFonts w:hint="eastAsia" w:ascii="宋体" w:hAnsi="宋体" w:eastAsia="宋体" w:cs="宋体"/>
          <w:color w:val="auto"/>
          <w:sz w:val="24"/>
          <w:highlight w:val="none"/>
        </w:rPr>
        <w:t>《浙江省政府采购活动现场组织管理办法》等有关规定，结合本项目的实际情况，制定本评审办法。</w:t>
      </w:r>
    </w:p>
    <w:p>
      <w:pPr>
        <w:adjustRightInd w:val="0"/>
        <w:snapToGrid w:val="0"/>
        <w:spacing w:line="46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一、总则</w:t>
      </w:r>
    </w:p>
    <w:p>
      <w:pPr>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审工作遵循公正、公平、科学、择优的原则，询价小组将本着认真、公正、诚实、廉洁的精神，进行评审工作，择优推荐成交候选人。在评审期间，询价小组成员及相关工作人员必须严格遵守保密规定，不得泄露评审的有关情况。</w:t>
      </w:r>
    </w:p>
    <w:p>
      <w:pPr>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询价小组成员对需要共同认定的事项存在争议的，应当按照少数服从多数的原则作出结论。持不同意见的询价小组成员应当在评审报告上签署不同意见及理由，否则视为同意评审报告。</w:t>
      </w:r>
    </w:p>
    <w:p>
      <w:pPr>
        <w:adjustRightInd w:val="0"/>
        <w:snapToGrid w:val="0"/>
        <w:spacing w:line="46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二、评审组织</w:t>
      </w:r>
    </w:p>
    <w:p>
      <w:pPr>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询价小组由采购人代表和评审专家共3人及以上单数组成，其中评审专家人数不得少于询价小组成员总数的2/3。达到公开招标数额标准的项目，询价小组成员应当由5人（含）以上单数组成。</w:t>
      </w:r>
    </w:p>
    <w:p>
      <w:pPr>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评审工作由采购单位依法组建的询价小组负责。询价小组负责审标、询标、评审等工作，并向采购人提出评审意见和评审报告。</w:t>
      </w:r>
    </w:p>
    <w:p>
      <w:pPr>
        <w:adjustRightInd w:val="0"/>
        <w:snapToGrid w:val="0"/>
        <w:spacing w:line="46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三、评审纪律</w:t>
      </w:r>
    </w:p>
    <w:p>
      <w:pPr>
        <w:adjustRightInd w:val="0"/>
        <w:snapToGrid w:val="0"/>
        <w:spacing w:line="460" w:lineRule="exact"/>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1.评审是采购工作的重要环节，评审工作在询价小组内独立进行。询价小组将按照评审原则的要求，公正、平等地对待所有供应商。</w:t>
      </w:r>
    </w:p>
    <w:p>
      <w:pPr>
        <w:adjustRightInd w:val="0"/>
        <w:snapToGrid w:val="0"/>
        <w:spacing w:line="460" w:lineRule="exact"/>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2.所有询价小组应忠于职守、廉洁自律、秉公办事、不徇私情。</w:t>
      </w:r>
    </w:p>
    <w:p>
      <w:pPr>
        <w:adjustRightInd w:val="0"/>
        <w:snapToGrid w:val="0"/>
        <w:spacing w:line="460" w:lineRule="exact"/>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3.询价小组不得接受或参加供应商或与其有关的单位、组织或个人的有碍公务的宴请、娱乐活动等，不得以任何形式弄虚作假。</w:t>
      </w:r>
    </w:p>
    <w:p>
      <w:pPr>
        <w:adjustRightInd w:val="0"/>
        <w:snapToGrid w:val="0"/>
        <w:spacing w:line="460" w:lineRule="exact"/>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4.评审期间，询价小组成员不得随意出入评审地点、与外界通讯、会客等。</w:t>
      </w:r>
    </w:p>
    <w:p>
      <w:pPr>
        <w:adjustRightInd w:val="0"/>
        <w:snapToGrid w:val="0"/>
        <w:spacing w:line="460" w:lineRule="exact"/>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5.在询价响应文件的审查、澄清、评价和比较以及授予合同的过程中，供应商对采购人、</w:t>
      </w:r>
      <w:r>
        <w:rPr>
          <w:rFonts w:hint="eastAsia" w:ascii="宋体" w:hAnsi="宋体" w:eastAsia="宋体" w:cs="宋体"/>
          <w:snapToGrid w:val="0"/>
          <w:color w:val="auto"/>
          <w:kern w:val="0"/>
          <w:sz w:val="24"/>
          <w:highlight w:val="none"/>
          <w:lang w:eastAsia="zh-CN"/>
        </w:rPr>
        <w:t>采购代理机构</w:t>
      </w:r>
      <w:r>
        <w:rPr>
          <w:rFonts w:hint="eastAsia" w:ascii="宋体" w:hAnsi="宋体" w:eastAsia="宋体" w:cs="宋体"/>
          <w:snapToGrid w:val="0"/>
          <w:color w:val="auto"/>
          <w:kern w:val="0"/>
          <w:sz w:val="24"/>
          <w:highlight w:val="none"/>
        </w:rPr>
        <w:t>人员及询价小组成员施加影响的任何行为，都将导致被取消询价响应资格。</w:t>
      </w:r>
    </w:p>
    <w:p>
      <w:pPr>
        <w:adjustRightInd w:val="0"/>
        <w:snapToGrid w:val="0"/>
        <w:spacing w:line="460" w:lineRule="exact"/>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6.为保证评审的公正性，在评审过程中，询价小组成员不得与供应商或与成交结果有利害关系的人进行私下接触。在评审工作结束后，凡与询价情况有接触的任何人，不得将询价情况扩散出询价小组以外。</w:t>
      </w:r>
    </w:p>
    <w:p>
      <w:pPr>
        <w:adjustRightInd w:val="0"/>
        <w:snapToGrid w:val="0"/>
        <w:spacing w:line="460" w:lineRule="exact"/>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7.询价过程中，询价小组成员对供应商的优劣情况，以及认为差异较大的情况等，应以书面意见作出真实、专业、诚恳负责的表述，不得违背客观、公正的原则。</w:t>
      </w:r>
    </w:p>
    <w:p>
      <w:pPr>
        <w:adjustRightInd w:val="0"/>
        <w:snapToGrid w:val="0"/>
        <w:spacing w:line="460" w:lineRule="exact"/>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8.评审结束后，询价小组成员应将全部资料整理上交采购人，严禁将询价过程中的任何资料带出询价现场向供应商或其他单位提供。</w:t>
      </w:r>
    </w:p>
    <w:p>
      <w:pPr>
        <w:adjustRightInd w:val="0"/>
        <w:snapToGrid w:val="0"/>
        <w:spacing w:line="460" w:lineRule="exact"/>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9.在成交结果公布前应对询价小组成员名单予以保密。</w:t>
      </w:r>
    </w:p>
    <w:p>
      <w:pPr>
        <w:adjustRightInd w:val="0"/>
        <w:snapToGrid w:val="0"/>
        <w:spacing w:line="460" w:lineRule="exact"/>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10.询价小组对各供应商的商业秘密予以保密。</w:t>
      </w:r>
    </w:p>
    <w:p>
      <w:pPr>
        <w:adjustRightInd w:val="0"/>
        <w:snapToGrid w:val="0"/>
        <w:spacing w:line="460" w:lineRule="exact"/>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11.询价小组成员应当客观、公正地履行职责，遵守职业道德，对所提出的评审意见承担个人责任。</w:t>
      </w:r>
    </w:p>
    <w:p>
      <w:pPr>
        <w:adjustRightInd w:val="0"/>
        <w:snapToGrid w:val="0"/>
        <w:spacing w:line="460" w:lineRule="exact"/>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12.在整个询价过程中，供应商企图影响采购结果的任何活动，可能导致其询价响应失败。如有违法行为，将依法追究其法律责任。</w:t>
      </w:r>
    </w:p>
    <w:p>
      <w:pPr>
        <w:adjustRightInd w:val="0"/>
        <w:snapToGrid w:val="0"/>
        <w:spacing w:line="460" w:lineRule="exact"/>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bCs/>
          <w:color w:val="auto"/>
          <w:sz w:val="24"/>
          <w:highlight w:val="none"/>
        </w:rPr>
        <w:t>四、询价程序</w:t>
      </w:r>
    </w:p>
    <w:p>
      <w:pPr>
        <w:adjustRightInd w:val="0"/>
        <w:snapToGrid w:val="0"/>
        <w:spacing w:line="460" w:lineRule="exact"/>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1.熟悉采购文件和评审办法。</w:t>
      </w:r>
    </w:p>
    <w:p>
      <w:pPr>
        <w:adjustRightInd w:val="0"/>
        <w:snapToGrid w:val="0"/>
        <w:spacing w:line="460" w:lineRule="exact"/>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2.采购组织机构按照采购文件规定的时间、地点及程序组织评审。评审程序如下：</w:t>
      </w:r>
    </w:p>
    <w:p>
      <w:pPr>
        <w:adjustRightInd w:val="0"/>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1）开启评审场地的录音录像采集设备，并确保其正常运行。</w:t>
      </w:r>
    </w:p>
    <w:p>
      <w:pPr>
        <w:adjustRightInd w:val="0"/>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2）核验出席评审活动现场的询价小组各成员和相关监督人员身份，并要求其分别登记、签到，按规定统一收缴、保存其通讯工具，无关人员一律拒绝其进入评审现场。</w:t>
      </w:r>
    </w:p>
    <w:p>
      <w:pPr>
        <w:adjustRightInd w:val="0"/>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3）介绍评审现场的人员情况，宣布评审工作纪律，告知询价小组应当回避情形；组织推选询价小组组长。</w:t>
      </w:r>
    </w:p>
    <w:p>
      <w:pPr>
        <w:adjustRightInd w:val="0"/>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4）通报报名参加本项目采购的供应商名单及资格预审情况（如有），宣读最终提交采购响应文件的供应商名单，组织询价小组各位成员签订《政府采购评审人员廉洁自律承诺书》。</w:t>
      </w:r>
    </w:p>
    <w:p>
      <w:pPr>
        <w:adjustRightInd w:val="0"/>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5）根据需要简要介绍采购文件（含补充文件）制定及质疑答复情况、按书面陈述项目基本情况及评审工作需注意事项等。</w:t>
      </w:r>
    </w:p>
    <w:p>
      <w:pPr>
        <w:adjustRightInd w:val="0"/>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6）询价小组组长组织询价小组独立评审。询价小组对拟认定为采购响应文件无效的，应组织相关供应商代表进行陈述、澄清或申辩。</w:t>
      </w:r>
    </w:p>
    <w:p>
      <w:pPr>
        <w:pStyle w:val="16"/>
        <w:spacing w:line="360" w:lineRule="auto"/>
        <w:ind w:left="954" w:leftChars="226" w:hanging="479" w:firstLineChars="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有下列情形之一的，响应无效：</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A.供应商不具备询价文件中规定的资格要求的（供应商未提供有效的资格文件的，视为供应商不具备询价文件中规定的资格要求）；</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B.响应文件未按照询价文件要求签署、盖章的；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C.采购人拟采购的产品属于政府强制采购的节能产品品目清单范围的，供应商响应产品未获得国家确定的认证机构出具的、处于有效期之内的节能产品认证证书的；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D.响应文件含有采购人不能接受的附加条件的；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E.响应文件中承诺的响应有效期少于询价文件中载明的投标有效期的；</w:t>
      </w:r>
    </w:p>
    <w:p>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响应文件出现不是唯一的、有选择性响应报价的</w:t>
      </w:r>
      <w:r>
        <w:rPr>
          <w:rFonts w:hint="eastAsia" w:ascii="宋体" w:hAnsi="宋体" w:eastAsia="宋体" w:cs="宋体"/>
          <w:color w:val="auto"/>
          <w:kern w:val="0"/>
          <w:sz w:val="24"/>
          <w:highlight w:val="none"/>
          <w:lang w:eastAsia="zh-CN"/>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F.响应报价超过询价文件中规定的预算金额或者最高限价的</w:t>
      </w:r>
      <w:r>
        <w:rPr>
          <w:rFonts w:hint="eastAsia" w:ascii="宋体" w:hAnsi="宋体" w:eastAsia="宋体" w:cs="宋体"/>
          <w:color w:val="auto"/>
          <w:kern w:val="0"/>
          <w:sz w:val="24"/>
          <w:highlight w:val="none"/>
          <w:lang w:eastAsia="zh-CN"/>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G.报价明显低于其他通过符合性审查供应商的报价，有可能影响产品质量或者不能诚信履约的，未能按要求提供书面说明或者提交相关证明材料，不能证明其报价合理性的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4"/>
          <w:highlight w:val="none"/>
          <w:lang w:eastAsia="zh-CN"/>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H.供应商对根据修正原则修正后的报价不确认的；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I.供应商提供虚假材料成交的；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J.供应商有恶意串通、妨碍其他供应商的竞争行为、损害采购人或者其他供应商的合法权益情形的；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K.供应商仅提交备份响应文件，未在电子交易平台传输递交响应文件的，响应无效； </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L.响应文件不满足询价文件</w:t>
      </w:r>
      <w:r>
        <w:rPr>
          <w:rFonts w:hint="eastAsia" w:ascii="宋体" w:hAnsi="宋体" w:eastAsia="宋体" w:cs="宋体"/>
          <w:color w:val="auto"/>
          <w:kern w:val="0"/>
          <w:sz w:val="24"/>
          <w:highlight w:val="none"/>
          <w:lang w:eastAsia="zh-CN"/>
        </w:rPr>
        <w:t>的其他</w:t>
      </w:r>
      <w:r>
        <w:rPr>
          <w:rFonts w:hint="eastAsia" w:ascii="宋体" w:hAnsi="宋体" w:eastAsia="宋体" w:cs="宋体"/>
          <w:color w:val="auto"/>
          <w:kern w:val="0"/>
          <w:sz w:val="24"/>
          <w:highlight w:val="none"/>
        </w:rPr>
        <w:t>实质性要求的；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M.</w:t>
      </w:r>
      <w:r>
        <w:rPr>
          <w:rFonts w:hint="eastAsia" w:ascii="宋体" w:hAnsi="宋体" w:eastAsia="宋体" w:cs="宋体"/>
          <w:color w:val="auto"/>
          <w:kern w:val="0"/>
          <w:sz w:val="24"/>
          <w:highlight w:val="none"/>
          <w:lang w:eastAsia="zh-CN"/>
        </w:rPr>
        <w:t>法律法规</w:t>
      </w:r>
      <w:r>
        <w:rPr>
          <w:rFonts w:hint="eastAsia" w:ascii="宋体" w:hAnsi="宋体" w:eastAsia="宋体" w:cs="宋体"/>
          <w:color w:val="auto"/>
          <w:kern w:val="0"/>
          <w:sz w:val="24"/>
          <w:highlight w:val="none"/>
        </w:rPr>
        <w:t>、规章（适用本市的）及省级以上规范性文件（适用本市的）规定的其他无效情形。</w:t>
      </w:r>
    </w:p>
    <w:p>
      <w:pPr>
        <w:adjustRightInd w:val="0"/>
        <w:snapToGrid w:val="0"/>
        <w:spacing w:line="460" w:lineRule="exact"/>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授权代表对澄清、说明或者补正内容未签字确认的，将自行承担由此可能导致的对其不利的评审结果，询价小组按少数服从多数原则对相关内容进行评判。</w:t>
      </w:r>
    </w:p>
    <w:p>
      <w:pPr>
        <w:adjustRightInd w:val="0"/>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7）询价小组根据询价细则，推荐成交候选人。</w:t>
      </w:r>
    </w:p>
    <w:p>
      <w:pPr>
        <w:adjustRightInd w:val="0"/>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3.起草评审报告，所有询价小组须在评审报告上签字确认。</w:t>
      </w:r>
    </w:p>
    <w:p>
      <w:pPr>
        <w:adjustRightInd w:val="0"/>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询价小组对有关采购文件、采购响应文件等的说明、解释、要求、标准存在不同意见的，持不同意见的询价小组及其意见或理由应予以完整记录，并在评审过程中按照少数服从多数的原则表决执行。对采购文件本身不明确或存在歧义、矛盾的内容，应作对供应商而非采购人有利的解释；询价小组发现采购文件存在歧义、重大缺陷导致评审工作无法进行，或者采购文件内容违反国家有关强制性规定的，可停止评审工作，重新组织采购活动。询价小组拒绝在评审报告中签字又不说明其不同意见或理由的，由现场监督员记录在案后，可视为同意评审结果。</w:t>
      </w:r>
    </w:p>
    <w:p>
      <w:pPr>
        <w:adjustRightInd w:val="0"/>
        <w:snapToGrid w:val="0"/>
        <w:spacing w:line="460" w:lineRule="exact"/>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评审报告是根据</w:t>
      </w:r>
      <w:r>
        <w:rPr>
          <w:rFonts w:hint="eastAsia" w:ascii="宋体" w:hAnsi="宋体" w:eastAsia="宋体" w:cs="宋体"/>
          <w:color w:val="auto"/>
          <w:sz w:val="24"/>
          <w:highlight w:val="none"/>
        </w:rPr>
        <w:t>询价小组</w:t>
      </w:r>
      <w:r>
        <w:rPr>
          <w:rFonts w:hint="eastAsia" w:ascii="宋体" w:hAnsi="宋体" w:eastAsia="宋体" w:cs="宋体"/>
          <w:snapToGrid w:val="0"/>
          <w:color w:val="auto"/>
          <w:kern w:val="0"/>
          <w:sz w:val="24"/>
          <w:highlight w:val="none"/>
        </w:rPr>
        <w:t>签字的原始评审记录和评审结果编写的报告，其主要内容包括：</w:t>
      </w:r>
    </w:p>
    <w:p>
      <w:pPr>
        <w:adjustRightInd w:val="0"/>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0"/>
          <w:sz w:val="24"/>
          <w:highlight w:val="none"/>
        </w:rPr>
        <w:t>1）</w:t>
      </w:r>
      <w:r>
        <w:rPr>
          <w:rFonts w:hint="eastAsia" w:ascii="宋体" w:hAnsi="宋体" w:eastAsia="宋体" w:cs="宋体"/>
          <w:color w:val="auto"/>
          <w:sz w:val="24"/>
          <w:highlight w:val="none"/>
        </w:rPr>
        <w:t>采购项目基本情况：采购组织机构，项目名称，项目编号，采购内容，预算执行确认书编号，采购预算金额，采购方式，发布公告时间；公告发布网站，采购响应截止时间，购买采购文件单位情况，采购响应单位情况等；</w:t>
      </w:r>
    </w:p>
    <w:p>
      <w:pPr>
        <w:adjustRightInd w:val="0"/>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2）评审小组组成；</w:t>
      </w:r>
    </w:p>
    <w:p>
      <w:pPr>
        <w:adjustRightInd w:val="0"/>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3）评审方法和标准；</w:t>
      </w:r>
    </w:p>
    <w:p>
      <w:pPr>
        <w:adjustRightInd w:val="0"/>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4）评审情况及说明；</w:t>
      </w:r>
    </w:p>
    <w:p>
      <w:pPr>
        <w:adjustRightInd w:val="0"/>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5）评审结果和成交候选人排序；</w:t>
      </w:r>
    </w:p>
    <w:p>
      <w:pPr>
        <w:adjustRightInd w:val="0"/>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6）询价小组的授标建议。</w:t>
      </w:r>
    </w:p>
    <w:p>
      <w:pPr>
        <w:adjustRightInd w:val="0"/>
        <w:snapToGrid w:val="0"/>
        <w:spacing w:line="46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五、询价细则</w:t>
      </w:r>
    </w:p>
    <w:p>
      <w:pPr>
        <w:widowControl/>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1.评审办法：</w:t>
      </w:r>
      <w:r>
        <w:rPr>
          <w:rFonts w:hint="eastAsia" w:ascii="宋体" w:hAnsi="宋体" w:eastAsia="宋体" w:cs="宋体"/>
          <w:color w:val="auto"/>
          <w:sz w:val="24"/>
          <w:highlight w:val="none"/>
        </w:rPr>
        <w:t>询价小组应当从质量和服务均能满足采购文件实质性响应要求的供应商中，按照报价由低到高的顺序提出成交候选人，并编写评审报告。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多家供应商提供相同品牌产品（单一产品采购项目中的该产品或者非单一产品采购项目的核心产品）且通过资格审查、符合性审查的不同供应商参加同一合同项下响应的，按一家供应商计算，报价最低的同品牌供应商获得成交人推荐资格；报价相同的，采取随机抽取方式确定，其他同品牌供应商不作为成交候选人。</w:t>
      </w:r>
    </w:p>
    <w:p>
      <w:pPr>
        <w:pStyle w:val="16"/>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3.</w:t>
      </w:r>
      <w:r>
        <w:rPr>
          <w:rFonts w:hint="eastAsia" w:ascii="宋体" w:hAnsi="宋体" w:eastAsia="宋体" w:cs="宋体"/>
          <w:color w:val="auto"/>
          <w:highlight w:val="none"/>
        </w:rPr>
        <w:t>出现下列情形之一的，采购人或者采购代理机构应当终止询价采购活动，发布项目终止公告并说明原因，重新开展采购活动：</w:t>
      </w:r>
    </w:p>
    <w:p>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3.1因情况变化，不再符合规定的询价采购方式适用情形的；</w:t>
      </w:r>
    </w:p>
    <w:p>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3.2出现影响采购公正的违法、违规行为的；</w:t>
      </w:r>
    </w:p>
    <w:p>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3.3在采购过程中符合竞争要求的供应商或者报价未超过采购预算的供应商不足3家的。</w:t>
      </w:r>
    </w:p>
    <w:p>
      <w:pPr>
        <w:pStyle w:val="2"/>
        <w:rPr>
          <w:rFonts w:hint="eastAsia" w:ascii="宋体" w:hAnsi="宋体" w:eastAsia="宋体" w:cs="宋体"/>
          <w:color w:val="auto"/>
          <w:highlight w:val="none"/>
        </w:rPr>
      </w:pPr>
    </w:p>
    <w:p>
      <w:pPr>
        <w:widowControl/>
        <w:snapToGrid w:val="0"/>
        <w:spacing w:line="460" w:lineRule="exact"/>
        <w:ind w:firstLine="480" w:firstLineChars="200"/>
        <w:rPr>
          <w:rFonts w:hint="eastAsia" w:ascii="宋体" w:hAnsi="宋体" w:eastAsia="宋体" w:cs="宋体"/>
          <w:color w:val="auto"/>
          <w:kern w:val="0"/>
          <w:sz w:val="24"/>
          <w:highlight w:val="none"/>
        </w:rPr>
        <w:sectPr>
          <w:headerReference r:id="rId16" w:type="default"/>
          <w:footerReference r:id="rId17" w:type="default"/>
          <w:pgSz w:w="11906" w:h="16838"/>
          <w:pgMar w:top="1247" w:right="1418" w:bottom="1247" w:left="1588" w:header="851" w:footer="992" w:gutter="0"/>
          <w:cols w:space="720" w:num="1"/>
          <w:docGrid w:type="lines" w:linePitch="312" w:charSpace="0"/>
        </w:sectPr>
      </w:pPr>
    </w:p>
    <w:p>
      <w:pPr>
        <w:spacing w:line="460" w:lineRule="exact"/>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pPr>
        <w:spacing w:line="480" w:lineRule="auto"/>
        <w:rPr>
          <w:rFonts w:hint="eastAsia" w:ascii="宋体" w:hAnsi="宋体" w:eastAsia="宋体" w:cs="宋体"/>
          <w:b/>
          <w:color w:val="auto"/>
          <w:sz w:val="24"/>
          <w:highlight w:val="none"/>
        </w:rPr>
      </w:pPr>
    </w:p>
    <w:p>
      <w:pPr>
        <w:pStyle w:val="2"/>
        <w:rPr>
          <w:rFonts w:hint="eastAsia" w:ascii="宋体" w:hAnsi="宋体" w:eastAsia="宋体" w:cs="宋体"/>
          <w:color w:val="auto"/>
          <w:sz w:val="24"/>
          <w:highlight w:val="none"/>
        </w:rPr>
      </w:pPr>
    </w:p>
    <w:p>
      <w:pPr>
        <w:rPr>
          <w:rFonts w:hint="eastAsia" w:ascii="宋体" w:hAnsi="宋体" w:eastAsia="宋体" w:cs="宋体"/>
          <w:color w:val="auto"/>
          <w:highlight w:val="none"/>
        </w:rPr>
      </w:pP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（货物类）</w:t>
      </w:r>
    </w:p>
    <w:p>
      <w:pPr>
        <w:pStyle w:val="42"/>
        <w:rPr>
          <w:rFonts w:hint="eastAsia" w:ascii="宋体" w:hAnsi="宋体" w:eastAsia="宋体" w:cs="宋体"/>
          <w:color w:val="auto"/>
          <w:szCs w:val="24"/>
          <w:highlight w:val="none"/>
        </w:rPr>
      </w:pPr>
    </w:p>
    <w:p>
      <w:pPr>
        <w:pStyle w:val="42"/>
        <w:rPr>
          <w:rFonts w:hint="eastAsia" w:ascii="宋体" w:hAnsi="宋体" w:eastAsia="宋体" w:cs="宋体"/>
          <w:color w:val="auto"/>
          <w:szCs w:val="24"/>
          <w:highlight w:val="none"/>
        </w:rPr>
      </w:pPr>
    </w:p>
    <w:p>
      <w:pPr>
        <w:pStyle w:val="42"/>
        <w:jc w:val="center"/>
        <w:rPr>
          <w:rFonts w:hint="eastAsia" w:ascii="宋体" w:hAnsi="宋体" w:eastAsia="宋体" w:cs="宋体"/>
          <w:color w:val="auto"/>
          <w:szCs w:val="24"/>
          <w:highlight w:val="none"/>
        </w:rPr>
      </w:pPr>
    </w:p>
    <w:p>
      <w:pPr>
        <w:pStyle w:val="42"/>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pPr>
        <w:pStyle w:val="42"/>
        <w:rPr>
          <w:rFonts w:hint="eastAsia" w:ascii="宋体" w:hAnsi="宋体" w:eastAsia="宋体" w:cs="宋体"/>
          <w:color w:val="auto"/>
          <w:szCs w:val="24"/>
          <w:highlight w:val="none"/>
        </w:rPr>
      </w:pPr>
    </w:p>
    <w:p>
      <w:pPr>
        <w:pStyle w:val="42"/>
        <w:rPr>
          <w:rFonts w:hint="eastAsia" w:ascii="宋体" w:hAnsi="宋体" w:eastAsia="宋体" w:cs="宋体"/>
          <w:color w:val="auto"/>
          <w:szCs w:val="24"/>
          <w:highlight w:val="none"/>
        </w:rPr>
      </w:pPr>
    </w:p>
    <w:p>
      <w:pPr>
        <w:spacing w:before="120" w:line="22" w:lineRule="atLeast"/>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lang w:eastAsia="zh-CN"/>
        </w:rPr>
        <w:t xml:space="preserve">2024年建德市殡仪馆0#柴油采购项目（二次）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 xml:space="preserve">                 </w:t>
      </w:r>
      <w:r>
        <w:rPr>
          <w:rFonts w:hint="eastAsia" w:ascii="宋体" w:hAnsi="宋体" w:eastAsia="宋体" w:cs="宋体"/>
          <w:color w:val="auto"/>
          <w:sz w:val="24"/>
          <w:highlight w:val="none"/>
          <w:u w:val="single"/>
        </w:rPr>
        <w:t xml:space="preserve">                </w:t>
      </w:r>
    </w:p>
    <w:p>
      <w:pPr>
        <w:snapToGrid w:val="0"/>
        <w:spacing w:line="360" w:lineRule="auto"/>
        <w:jc w:val="both"/>
        <w:rPr>
          <w:rFonts w:hint="eastAsia" w:ascii="宋体" w:hAnsi="宋体" w:eastAsia="宋体" w:cs="宋体"/>
          <w:color w:val="auto"/>
          <w:sz w:val="24"/>
          <w:highlight w:val="none"/>
        </w:rPr>
      </w:pPr>
    </w:p>
    <w:p>
      <w:pPr>
        <w:snapToGrid w:val="0"/>
        <w:spacing w:line="360" w:lineRule="auto"/>
        <w:ind w:firstLine="960" w:firstLineChars="400"/>
        <w:jc w:val="both"/>
        <w:rPr>
          <w:rFonts w:hint="eastAsia" w:ascii="宋体" w:hAnsi="宋体" w:eastAsia="宋体" w:cs="宋体"/>
          <w:color w:val="auto"/>
          <w:sz w:val="24"/>
          <w:highlight w:val="none"/>
        </w:rPr>
      </w:pPr>
    </w:p>
    <w:p>
      <w:pPr>
        <w:snapToGrid w:val="0"/>
        <w:spacing w:line="360" w:lineRule="auto"/>
        <w:ind w:firstLine="960" w:firstLineChars="400"/>
        <w:jc w:val="both"/>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lang w:eastAsia="zh-CN"/>
        </w:rPr>
        <w:t>建德市民政局</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 xml:space="preserve">                                      </w:t>
      </w: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widowControl/>
        <w:jc w:val="left"/>
        <w:rPr>
          <w:rFonts w:hint="eastAsia" w:ascii="宋体" w:hAnsi="宋体" w:eastAsia="宋体" w:cs="宋体"/>
          <w:color w:val="auto"/>
          <w:kern w:val="0"/>
          <w:sz w:val="24"/>
          <w:highlight w:val="none"/>
        </w:rPr>
        <w:sectPr>
          <w:pgSz w:w="11907" w:h="16840"/>
          <w:pgMar w:top="1474" w:right="1814" w:bottom="1474" w:left="1814" w:header="851" w:footer="851" w:gutter="0"/>
          <w:cols w:space="720" w:num="1"/>
        </w:sectPr>
      </w:pP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建德市民政局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询价</w:t>
      </w:r>
      <w:r>
        <w:rPr>
          <w:rFonts w:hint="eastAsia" w:ascii="宋体" w:hAnsi="宋体" w:eastAsia="宋体" w:cs="宋体"/>
          <w:color w:val="auto"/>
          <w:sz w:val="24"/>
          <w:highlight w:val="none"/>
          <w:u w:val="single"/>
        </w:rPr>
        <w:t xml:space="preserve">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2024年建德市殡仪馆0#柴油采购项目（二次）</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2024年建德市殡仪馆0#柴油采购项目（二次）</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w:t>
      </w:r>
      <w:r>
        <w:rPr>
          <w:rFonts w:hint="eastAsia" w:ascii="宋体" w:hAnsi="宋体" w:eastAsia="宋体" w:cs="宋体"/>
          <w:color w:val="auto"/>
          <w:sz w:val="24"/>
          <w:highlight w:val="none"/>
        </w:rPr>
        <w:t>为该项目中标或者成交供应商。现于中标或者成交通知书发出之日起10个工作日内，按照采购文件等确定的事项签订本合同。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建德市民政局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pPr>
        <w:spacing w:line="560" w:lineRule="exact"/>
        <w:ind w:firstLine="482" w:firstLineChars="200"/>
        <w:outlineLvl w:val="0"/>
        <w:rPr>
          <w:rFonts w:hint="eastAsia" w:ascii="宋体" w:hAnsi="宋体" w:eastAsia="宋体" w:cs="宋体"/>
          <w:b/>
          <w:color w:val="auto"/>
          <w:sz w:val="24"/>
          <w:highlight w:val="none"/>
        </w:rPr>
      </w:pPr>
      <w:bookmarkStart w:id="385" w:name="_Toc2232"/>
      <w:bookmarkStart w:id="386" w:name="_Toc3029"/>
      <w:bookmarkStart w:id="387" w:name="_Toc24059"/>
      <w:r>
        <w:rPr>
          <w:rFonts w:hint="eastAsia" w:ascii="宋体" w:hAnsi="宋体" w:eastAsia="宋体" w:cs="宋体"/>
          <w:b/>
          <w:color w:val="auto"/>
          <w:sz w:val="24"/>
          <w:highlight w:val="none"/>
        </w:rPr>
        <w:t>1.1 合同组成部分</w:t>
      </w:r>
      <w:bookmarkEnd w:id="385"/>
      <w:bookmarkEnd w:id="386"/>
      <w:bookmarkEnd w:id="387"/>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pPr>
        <w:spacing w:line="560" w:lineRule="exact"/>
        <w:ind w:firstLine="482" w:firstLineChars="200"/>
        <w:outlineLvl w:val="0"/>
        <w:rPr>
          <w:rFonts w:hint="eastAsia" w:ascii="宋体" w:hAnsi="宋体" w:eastAsia="宋体" w:cs="宋体"/>
          <w:b/>
          <w:color w:val="auto"/>
          <w:sz w:val="24"/>
          <w:highlight w:val="none"/>
        </w:rPr>
      </w:pPr>
      <w:bookmarkStart w:id="388" w:name="_Toc21295"/>
      <w:bookmarkStart w:id="389" w:name="_Toc27126"/>
      <w:bookmarkStart w:id="390" w:name="_Toc24300"/>
      <w:r>
        <w:rPr>
          <w:rFonts w:hint="eastAsia" w:ascii="宋体" w:hAnsi="宋体" w:eastAsia="宋体" w:cs="宋体"/>
          <w:b/>
          <w:color w:val="auto"/>
          <w:sz w:val="24"/>
          <w:highlight w:val="none"/>
        </w:rPr>
        <w:t>1.2 货物</w:t>
      </w:r>
      <w:bookmarkEnd w:id="388"/>
      <w:bookmarkEnd w:id="389"/>
      <w:bookmarkEnd w:id="390"/>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货物质量：</w:t>
      </w:r>
      <w:r>
        <w:rPr>
          <w:rFonts w:hint="eastAsia" w:ascii="宋体" w:hAnsi="宋体" w:eastAsia="宋体" w:cs="宋体"/>
          <w:color w:val="auto"/>
          <w:sz w:val="24"/>
          <w:highlight w:val="none"/>
          <w:u w:val="single"/>
        </w:rPr>
        <w:t>　　　　　　　　　                      　      ；</w:t>
      </w:r>
    </w:p>
    <w:p>
      <w:pPr>
        <w:spacing w:line="560" w:lineRule="exact"/>
        <w:ind w:firstLine="482" w:firstLineChars="200"/>
        <w:outlineLvl w:val="0"/>
        <w:rPr>
          <w:rFonts w:hint="eastAsia" w:ascii="宋体" w:hAnsi="宋体" w:eastAsia="宋体" w:cs="宋体"/>
          <w:b/>
          <w:color w:val="auto"/>
          <w:sz w:val="24"/>
          <w:highlight w:val="none"/>
        </w:rPr>
      </w:pPr>
      <w:bookmarkStart w:id="391" w:name="_Toc21551"/>
      <w:bookmarkStart w:id="392" w:name="_Toc23292"/>
      <w:bookmarkStart w:id="393" w:name="_Toc21631"/>
      <w:r>
        <w:rPr>
          <w:rFonts w:hint="eastAsia" w:ascii="宋体" w:hAnsi="宋体" w:eastAsia="宋体" w:cs="宋体"/>
          <w:b/>
          <w:color w:val="auto"/>
          <w:sz w:val="24"/>
          <w:highlight w:val="none"/>
        </w:rPr>
        <w:t>1.3 价款</w:t>
      </w:r>
      <w:bookmarkEnd w:id="391"/>
      <w:bookmarkEnd w:id="392"/>
      <w:bookmarkEnd w:id="393"/>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49"/>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49"/>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49"/>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49"/>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49"/>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49"/>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49"/>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49"/>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49"/>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49"/>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49"/>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49"/>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49"/>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49"/>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49"/>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49"/>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49"/>
              <w:spacing w:line="560" w:lineRule="exact"/>
              <w:ind w:firstLine="200"/>
              <w:jc w:val="center"/>
              <w:rPr>
                <w:rFonts w:hint="eastAsia" w:ascii="宋体" w:hAnsi="宋体" w:eastAsia="宋体" w:cs="宋体"/>
                <w:color w:val="auto"/>
                <w:sz w:val="24"/>
                <w:szCs w:val="24"/>
                <w:highlight w:val="none"/>
              </w:rPr>
            </w:pPr>
          </w:p>
        </w:tc>
      </w:tr>
    </w:tbl>
    <w:p>
      <w:pPr>
        <w:pStyle w:val="80"/>
        <w:spacing w:before="0" w:beforeAutospacing="0" w:after="0" w:afterAutospacing="0" w:line="360" w:lineRule="auto"/>
        <w:ind w:firstLine="480"/>
        <w:rPr>
          <w:rFonts w:hint="eastAsia" w:ascii="宋体" w:hAnsi="宋体" w:eastAsia="宋体" w:cs="宋体"/>
          <w:b/>
          <w:color w:val="auto"/>
          <w:highlight w:val="none"/>
        </w:rPr>
      </w:pPr>
      <w:bookmarkStart w:id="394" w:name="_Toc10340"/>
      <w:bookmarkStart w:id="395" w:name="_Toc22618"/>
      <w:bookmarkStart w:id="396" w:name="_Toc1814"/>
      <w:r>
        <w:rPr>
          <w:rFonts w:hint="eastAsia" w:ascii="宋体" w:hAnsi="宋体" w:eastAsia="宋体" w:cs="宋体"/>
          <w:b/>
          <w:color w:val="auto"/>
          <w:highlight w:val="none"/>
        </w:rPr>
        <w:t>1.4履约保证金</w:t>
      </w:r>
    </w:p>
    <w:p>
      <w:pPr>
        <w:pStyle w:val="8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是   </w:t>
      </w:r>
      <w:r>
        <w:rPr>
          <w:rFonts w:hint="eastAsia" w:ascii="宋体" w:hAnsi="宋体" w:eastAsia="宋体" w:cs="宋体"/>
          <w:color w:val="auto"/>
          <w:highlight w:val="none"/>
        </w:rPr>
        <w:t>（是/否）需要支付履约保证金。若需要支付履约保证金的，则：</w:t>
      </w:r>
    </w:p>
    <w:p>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pStyle w:val="2"/>
        <w:tabs>
          <w:tab w:val="left" w:pos="0"/>
        </w:tabs>
        <w:spacing w:line="560" w:lineRule="exact"/>
        <w:ind w:firstLine="480" w:firstLineChars="200"/>
        <w:rPr>
          <w:rFonts w:hint="eastAsia" w:ascii="宋体" w:hAnsi="宋体" w:eastAsia="宋体" w:cs="宋体"/>
          <w:color w:val="auto"/>
          <w:highlight w:val="none"/>
        </w:rPr>
      </w:pPr>
      <w:r>
        <w:rPr>
          <w:rFonts w:hint="eastAsia" w:ascii="宋体" w:hAnsi="宋体" w:eastAsia="宋体" w:cs="宋体"/>
          <w:b w:val="0"/>
          <w:bCs w:val="0"/>
          <w:color w:val="auto"/>
          <w:kern w:val="0"/>
          <w:sz w:val="24"/>
          <w:szCs w:val="24"/>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宋体" w:hAnsi="宋体" w:eastAsia="宋体" w:cs="宋体"/>
          <w:color w:val="auto"/>
          <w:highlight w:val="none"/>
        </w:rPr>
      </w:pPr>
      <w:r>
        <w:rPr>
          <w:rFonts w:hint="eastAsia" w:ascii="宋体" w:hAnsi="宋体" w:eastAsia="宋体" w:cs="宋体"/>
          <w:color w:val="auto"/>
          <w:kern w:val="0"/>
          <w:sz w:val="24"/>
          <w:highlight w:val="none"/>
        </w:rPr>
        <w:t>1.4.4 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394"/>
      <w:bookmarkEnd w:id="395"/>
      <w:bookmarkEnd w:id="396"/>
      <w:r>
        <w:rPr>
          <w:rFonts w:hint="eastAsia" w:ascii="宋体" w:hAnsi="宋体" w:eastAsia="宋体" w:cs="宋体"/>
          <w:b/>
          <w:color w:val="auto"/>
          <w:sz w:val="24"/>
          <w:highlight w:val="none"/>
        </w:rPr>
        <w:t>预付款</w:t>
      </w:r>
      <w:bookmarkStart w:id="540" w:name="_GoBack"/>
      <w:bookmarkEnd w:id="540"/>
    </w:p>
    <w:p>
      <w:pPr>
        <w:pStyle w:val="8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是 </w:t>
      </w:r>
      <w:r>
        <w:rPr>
          <w:rFonts w:hint="eastAsia" w:ascii="宋体" w:hAnsi="宋体" w:eastAsia="宋体" w:cs="宋体"/>
          <w:color w:val="auto"/>
          <w:highlight w:val="none"/>
        </w:rPr>
        <w:t>（是/否）需要支付预付款。若需要支付预付款的，则：</w:t>
      </w:r>
    </w:p>
    <w:p>
      <w:pPr>
        <w:spacing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pStyle w:val="8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80"/>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80"/>
        <w:spacing w:before="0" w:beforeAutospacing="0" w:after="0" w:afterAutospacing="0"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pPr>
        <w:pStyle w:val="8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397" w:name="_Toc19304"/>
      <w:bookmarkStart w:id="398" w:name="_Toc32071"/>
      <w:bookmarkStart w:id="399" w:name="_Toc2846"/>
      <w:r>
        <w:rPr>
          <w:rFonts w:hint="eastAsia" w:ascii="宋体" w:hAnsi="宋体" w:eastAsia="宋体" w:cs="宋体"/>
          <w:b/>
          <w:color w:val="auto"/>
          <w:sz w:val="24"/>
          <w:highlight w:val="none"/>
        </w:rPr>
        <w:t>1.7货物交付期限、地点和方式</w:t>
      </w:r>
      <w:bookmarkEnd w:id="397"/>
      <w:bookmarkEnd w:id="398"/>
      <w:bookmarkEnd w:id="399"/>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400" w:name="_Toc27250"/>
      <w:bookmarkStart w:id="401" w:name="_Toc21423"/>
      <w:bookmarkStart w:id="402" w:name="_Toc19554"/>
      <w:r>
        <w:rPr>
          <w:rFonts w:hint="eastAsia" w:ascii="宋体" w:hAnsi="宋体" w:eastAsia="宋体" w:cs="宋体"/>
          <w:b/>
          <w:color w:val="auto"/>
          <w:sz w:val="24"/>
          <w:highlight w:val="none"/>
        </w:rPr>
        <w:t>1.8违约责任</w:t>
      </w:r>
      <w:bookmarkEnd w:id="400"/>
      <w:bookmarkEnd w:id="401"/>
      <w:bookmarkEnd w:id="402"/>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z w:val="24"/>
          <w:highlight w:val="none"/>
          <w:u w:val="single"/>
        </w:rPr>
        <w:t xml:space="preserve">  0.05</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hint="eastAsia" w:ascii="宋体" w:hAnsi="宋体" w:eastAsia="宋体" w:cs="宋体"/>
          <w:color w:val="auto"/>
          <w:highlight w:val="none"/>
        </w:rPr>
      </w:pPr>
      <w:r>
        <w:rPr>
          <w:rFonts w:hint="eastAsia" w:ascii="宋体" w:hAnsi="宋体" w:eastAsia="宋体" w:cs="宋体"/>
          <w:color w:val="auto"/>
          <w:sz w:val="24"/>
          <w:highlight w:val="none"/>
        </w:rPr>
        <w:t>1.8.6违约责任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p>
      <w:pPr>
        <w:spacing w:line="560" w:lineRule="exact"/>
        <w:ind w:firstLine="482" w:firstLineChars="200"/>
        <w:outlineLvl w:val="0"/>
        <w:rPr>
          <w:rFonts w:hint="eastAsia" w:ascii="宋体" w:hAnsi="宋体" w:eastAsia="宋体" w:cs="宋体"/>
          <w:b/>
          <w:color w:val="auto"/>
          <w:sz w:val="24"/>
          <w:highlight w:val="none"/>
        </w:rPr>
      </w:pPr>
      <w:bookmarkStart w:id="403" w:name="_Toc16021"/>
      <w:bookmarkStart w:id="404" w:name="_Toc28375"/>
      <w:bookmarkStart w:id="405" w:name="_Toc15583"/>
      <w:r>
        <w:rPr>
          <w:rFonts w:hint="eastAsia" w:ascii="宋体" w:hAnsi="宋体" w:eastAsia="宋体" w:cs="宋体"/>
          <w:b/>
          <w:color w:val="auto"/>
          <w:sz w:val="24"/>
          <w:highlight w:val="none"/>
        </w:rPr>
        <w:t>1.9合同争议的解决</w:t>
      </w:r>
      <w:bookmarkEnd w:id="403"/>
      <w:bookmarkEnd w:id="404"/>
      <w:bookmarkEnd w:id="405"/>
    </w:p>
    <w:p>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pPr>
        <w:spacing w:line="560" w:lineRule="exact"/>
        <w:ind w:left="-420" w:leftChars="-200" w:right="-420" w:rightChars="-20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pPr>
        <w:spacing w:line="560" w:lineRule="exact"/>
        <w:ind w:left="-420" w:leftChars="-200" w:right="-420" w:rightChars="-20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pPr>
        <w:spacing w:line="560" w:lineRule="exact"/>
        <w:ind w:firstLine="482" w:firstLineChars="200"/>
        <w:outlineLvl w:val="0"/>
        <w:rPr>
          <w:rFonts w:hint="eastAsia" w:ascii="宋体" w:hAnsi="宋体" w:eastAsia="宋体" w:cs="宋体"/>
          <w:b/>
          <w:color w:val="auto"/>
          <w:sz w:val="24"/>
          <w:highlight w:val="none"/>
        </w:rPr>
      </w:pPr>
      <w:bookmarkStart w:id="406" w:name="_Toc15322"/>
      <w:bookmarkStart w:id="407" w:name="_Toc11173"/>
      <w:bookmarkStart w:id="408" w:name="_Toc7245"/>
      <w:r>
        <w:rPr>
          <w:rFonts w:hint="eastAsia" w:ascii="宋体" w:hAnsi="宋体" w:eastAsia="宋体" w:cs="宋体"/>
          <w:b/>
          <w:color w:val="auto"/>
          <w:sz w:val="24"/>
          <w:highlight w:val="none"/>
        </w:rPr>
        <w:t>2.0 合同生效</w:t>
      </w:r>
      <w:bookmarkEnd w:id="406"/>
      <w:bookmarkEnd w:id="407"/>
      <w:bookmarkEnd w:id="408"/>
    </w:p>
    <w:p>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pPr>
        <w:autoSpaceDE w:val="0"/>
        <w:autoSpaceDN w:val="0"/>
        <w:spacing w:line="560" w:lineRule="exact"/>
        <w:rPr>
          <w:rFonts w:hint="eastAsia" w:ascii="宋体" w:hAnsi="宋体" w:eastAsia="宋体" w:cs="宋体"/>
          <w:color w:val="auto"/>
          <w:sz w:val="24"/>
          <w:highlight w:val="none"/>
          <w:lang w:val="zh-CN"/>
        </w:rPr>
      </w:pP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pPr>
        <w:autoSpaceDE w:val="0"/>
        <w:autoSpaceDN w:val="0"/>
        <w:spacing w:line="560" w:lineRule="exact"/>
        <w:rPr>
          <w:rFonts w:hint="eastAsia" w:ascii="宋体" w:hAnsi="宋体" w:eastAsia="宋体" w:cs="宋体"/>
          <w:color w:val="auto"/>
          <w:sz w:val="24"/>
          <w:highlight w:val="none"/>
          <w:lang w:val="zh-CN"/>
        </w:rPr>
      </w:pP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或授权代表（签字）： </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pPr>
        <w:pStyle w:val="2"/>
        <w:tabs>
          <w:tab w:val="left" w:pos="432"/>
        </w:tabs>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2"/>
        <w:tabs>
          <w:tab w:val="left" w:pos="432"/>
        </w:tabs>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2"/>
        <w:tabs>
          <w:tab w:val="left" w:pos="432"/>
        </w:tabs>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42"/>
        <w:spacing w:line="560" w:lineRule="exact"/>
        <w:ind w:firstLine="482"/>
        <w:jc w:val="center"/>
        <w:rPr>
          <w:rFonts w:hint="eastAsia" w:ascii="宋体" w:hAnsi="宋体" w:eastAsia="宋体" w:cs="宋体"/>
          <w:b/>
          <w:color w:val="auto"/>
          <w:szCs w:val="24"/>
          <w:highlight w:val="none"/>
        </w:rPr>
      </w:pPr>
    </w:p>
    <w:p>
      <w:pPr>
        <w:pStyle w:val="42"/>
        <w:spacing w:line="560" w:lineRule="exact"/>
        <w:ind w:firstLine="482"/>
        <w:jc w:val="center"/>
        <w:rPr>
          <w:rFonts w:hint="eastAsia" w:ascii="宋体" w:hAnsi="宋体" w:eastAsia="宋体" w:cs="宋体"/>
          <w:b/>
          <w:color w:val="auto"/>
          <w:szCs w:val="24"/>
          <w:highlight w:val="none"/>
        </w:rPr>
      </w:pPr>
    </w:p>
    <w:p>
      <w:pPr>
        <w:pStyle w:val="42"/>
        <w:spacing w:line="560" w:lineRule="exact"/>
        <w:ind w:firstLine="482"/>
        <w:jc w:val="center"/>
        <w:rPr>
          <w:rFonts w:hint="eastAsia" w:ascii="宋体" w:hAnsi="宋体" w:eastAsia="宋体" w:cs="宋体"/>
          <w:b/>
          <w:color w:val="auto"/>
          <w:szCs w:val="24"/>
          <w:highlight w:val="none"/>
        </w:rPr>
      </w:pPr>
    </w:p>
    <w:p>
      <w:pPr>
        <w:pStyle w:val="42"/>
        <w:spacing w:line="560" w:lineRule="exact"/>
        <w:ind w:firstLine="482"/>
        <w:jc w:val="center"/>
        <w:rPr>
          <w:rFonts w:hint="eastAsia" w:ascii="宋体" w:hAnsi="宋体" w:eastAsia="宋体" w:cs="宋体"/>
          <w:b/>
          <w:color w:val="auto"/>
          <w:szCs w:val="24"/>
          <w:highlight w:val="none"/>
        </w:rPr>
      </w:pPr>
    </w:p>
    <w:p>
      <w:pPr>
        <w:pStyle w:val="42"/>
        <w:spacing w:line="560" w:lineRule="exact"/>
        <w:ind w:firstLine="482"/>
        <w:jc w:val="center"/>
        <w:rPr>
          <w:rFonts w:hint="eastAsia" w:ascii="宋体" w:hAnsi="宋体" w:eastAsia="宋体" w:cs="宋体"/>
          <w:b/>
          <w:color w:val="auto"/>
          <w:szCs w:val="24"/>
          <w:highlight w:val="none"/>
        </w:rPr>
      </w:pPr>
    </w:p>
    <w:p>
      <w:pPr>
        <w:pStyle w:val="42"/>
        <w:spacing w:line="560" w:lineRule="exact"/>
        <w:ind w:firstLine="482"/>
        <w:jc w:val="center"/>
        <w:rPr>
          <w:rFonts w:hint="eastAsia" w:ascii="宋体" w:hAnsi="宋体" w:eastAsia="宋体" w:cs="宋体"/>
          <w:b/>
          <w:color w:val="auto"/>
          <w:szCs w:val="24"/>
          <w:highlight w:val="none"/>
        </w:rPr>
      </w:pPr>
    </w:p>
    <w:p>
      <w:pPr>
        <w:pStyle w:val="42"/>
        <w:spacing w:line="560" w:lineRule="exact"/>
        <w:ind w:firstLine="482"/>
        <w:jc w:val="center"/>
        <w:rPr>
          <w:rFonts w:hint="eastAsia" w:ascii="宋体" w:hAnsi="宋体" w:eastAsia="宋体" w:cs="宋体"/>
          <w:b/>
          <w:color w:val="auto"/>
          <w:szCs w:val="24"/>
          <w:highlight w:val="none"/>
        </w:rPr>
      </w:pPr>
    </w:p>
    <w:p>
      <w:pPr>
        <w:pStyle w:val="42"/>
        <w:spacing w:line="560" w:lineRule="exact"/>
        <w:ind w:firstLine="482"/>
        <w:jc w:val="center"/>
        <w:rPr>
          <w:rFonts w:hint="eastAsia" w:ascii="宋体" w:hAnsi="宋体" w:eastAsia="宋体" w:cs="宋体"/>
          <w:b/>
          <w:color w:val="auto"/>
          <w:szCs w:val="24"/>
          <w:highlight w:val="none"/>
        </w:rPr>
      </w:pPr>
    </w:p>
    <w:p>
      <w:pPr>
        <w:pStyle w:val="42"/>
        <w:spacing w:line="560" w:lineRule="exact"/>
        <w:ind w:firstLine="482"/>
        <w:jc w:val="center"/>
        <w:rPr>
          <w:rFonts w:hint="eastAsia" w:ascii="宋体" w:hAnsi="宋体" w:eastAsia="宋体" w:cs="宋体"/>
          <w:b/>
          <w:color w:val="auto"/>
          <w:szCs w:val="24"/>
          <w:highlight w:val="none"/>
        </w:rPr>
      </w:pPr>
    </w:p>
    <w:p>
      <w:pPr>
        <w:pStyle w:val="42"/>
        <w:spacing w:line="560" w:lineRule="exact"/>
        <w:ind w:firstLine="482"/>
        <w:jc w:val="center"/>
        <w:rPr>
          <w:rFonts w:hint="eastAsia" w:ascii="宋体" w:hAnsi="宋体" w:eastAsia="宋体" w:cs="宋体"/>
          <w:b/>
          <w:color w:val="auto"/>
          <w:szCs w:val="24"/>
          <w:highlight w:val="none"/>
        </w:rPr>
      </w:pPr>
    </w:p>
    <w:p>
      <w:pPr>
        <w:pStyle w:val="42"/>
        <w:spacing w:line="560" w:lineRule="exact"/>
        <w:ind w:firstLine="482"/>
        <w:jc w:val="center"/>
        <w:rPr>
          <w:rFonts w:hint="eastAsia" w:ascii="宋体" w:hAnsi="宋体" w:eastAsia="宋体" w:cs="宋体"/>
          <w:b/>
          <w:color w:val="auto"/>
          <w:szCs w:val="24"/>
          <w:highlight w:val="none"/>
        </w:rPr>
      </w:pPr>
    </w:p>
    <w:p>
      <w:pPr>
        <w:pStyle w:val="42"/>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pPr>
        <w:spacing w:line="560" w:lineRule="exact"/>
        <w:ind w:firstLine="482" w:firstLineChars="200"/>
        <w:outlineLvl w:val="0"/>
        <w:rPr>
          <w:rFonts w:hint="eastAsia" w:ascii="宋体" w:hAnsi="宋体" w:eastAsia="宋体" w:cs="宋体"/>
          <w:b/>
          <w:color w:val="auto"/>
          <w:sz w:val="24"/>
          <w:highlight w:val="none"/>
        </w:rPr>
      </w:pPr>
      <w:bookmarkStart w:id="409" w:name="_Toc487900349"/>
      <w:bookmarkStart w:id="410" w:name="_Ref467379225"/>
      <w:bookmarkStart w:id="411" w:name="_Toc259093669"/>
      <w:bookmarkStart w:id="412" w:name="_Toc16917"/>
      <w:bookmarkStart w:id="413" w:name="_Ref467379101"/>
      <w:bookmarkStart w:id="414" w:name="_Ref467378463"/>
      <w:bookmarkStart w:id="415" w:name="_Ref467379109"/>
      <w:bookmarkStart w:id="416" w:name="_Ref467379094"/>
      <w:bookmarkStart w:id="417" w:name="_Toc28763"/>
      <w:bookmarkStart w:id="418" w:name="_Ref467379195"/>
      <w:bookmarkStart w:id="419" w:name="_Ref467378404"/>
      <w:bookmarkStart w:id="420" w:name="_Ref467379205"/>
      <w:bookmarkStart w:id="421" w:name="_Toc279701240"/>
      <w:bookmarkStart w:id="422" w:name="_Ref467378499"/>
      <w:bookmarkStart w:id="423" w:name="_Ref467379214"/>
      <w:bookmarkStart w:id="424" w:name="_Toc19614"/>
      <w:r>
        <w:rPr>
          <w:rFonts w:hint="eastAsia" w:ascii="宋体" w:hAnsi="宋体" w:eastAsia="宋体" w:cs="宋体"/>
          <w:b/>
          <w:color w:val="auto"/>
          <w:sz w:val="24"/>
          <w:highlight w:val="none"/>
        </w:rPr>
        <w:t>2.1 定义</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hint="eastAsia" w:ascii="宋体" w:hAnsi="宋体" w:eastAsia="宋体" w:cs="宋体"/>
          <w:color w:val="auto"/>
          <w:sz w:val="24"/>
          <w:highlight w:val="none"/>
        </w:rPr>
      </w:pPr>
      <w:bookmarkStart w:id="425" w:name="_Ref467378840"/>
      <w:r>
        <w:rPr>
          <w:rFonts w:hint="eastAsia" w:ascii="宋体" w:hAnsi="宋体" w:eastAsia="宋体" w:cs="宋体"/>
          <w:color w:val="auto"/>
          <w:sz w:val="24"/>
          <w:highlight w:val="none"/>
        </w:rPr>
        <w:t>2.1.4 “甲方”系指与中标或成交供应商签署合同的采购人</w:t>
      </w:r>
      <w:bookmarkEnd w:id="425"/>
      <w:r>
        <w:rPr>
          <w:rFonts w:hint="eastAsia" w:ascii="宋体" w:hAnsi="宋体" w:eastAsia="宋体" w:cs="宋体"/>
          <w:color w:val="auto"/>
          <w:sz w:val="24"/>
          <w:highlight w:val="none"/>
        </w:rPr>
        <w:t>；采购人委托采购代理机构代表其与乙方签订合同的，采购人的授权委托书作为合同附件。</w:t>
      </w:r>
    </w:p>
    <w:p>
      <w:pPr>
        <w:spacing w:line="560" w:lineRule="exact"/>
        <w:ind w:firstLine="480" w:firstLineChars="200"/>
        <w:rPr>
          <w:rFonts w:hint="eastAsia" w:ascii="宋体" w:hAnsi="宋体" w:eastAsia="宋体" w:cs="宋体"/>
          <w:color w:val="auto"/>
          <w:sz w:val="24"/>
          <w:highlight w:val="none"/>
        </w:rPr>
      </w:pPr>
      <w:bookmarkStart w:id="426" w:name="_Ref467379400"/>
      <w:r>
        <w:rPr>
          <w:rFonts w:hint="eastAsia" w:ascii="宋体" w:hAnsi="宋体" w:eastAsia="宋体" w:cs="宋体"/>
          <w:color w:val="auto"/>
          <w:sz w:val="24"/>
          <w:highlight w:val="none"/>
        </w:rPr>
        <w:t>2.1.5 “乙方”系指根据合同约定交付货物的中标或成交供应商</w:t>
      </w:r>
      <w:bookmarkEnd w:id="426"/>
      <w:r>
        <w:rPr>
          <w:rFonts w:hint="eastAsia" w:ascii="宋体" w:hAnsi="宋体" w:eastAsia="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宋体" w:hAnsi="宋体" w:eastAsia="宋体" w:cs="宋体"/>
          <w:color w:val="auto"/>
          <w:sz w:val="24"/>
          <w:highlight w:val="none"/>
        </w:rPr>
      </w:pPr>
      <w:bookmarkStart w:id="427" w:name="_Ref467379436"/>
      <w:r>
        <w:rPr>
          <w:rFonts w:hint="eastAsia" w:ascii="宋体" w:hAnsi="宋体" w:eastAsia="宋体" w:cs="宋体"/>
          <w:color w:val="auto"/>
          <w:sz w:val="24"/>
          <w:highlight w:val="none"/>
        </w:rPr>
        <w:t>2.1.6 “现场”系指合同约定货物将要运至或者安装的地点。</w:t>
      </w:r>
      <w:bookmarkEnd w:id="427"/>
    </w:p>
    <w:p>
      <w:pPr>
        <w:spacing w:line="560" w:lineRule="exact"/>
        <w:ind w:firstLine="482" w:firstLineChars="200"/>
        <w:outlineLvl w:val="0"/>
        <w:rPr>
          <w:rFonts w:hint="eastAsia" w:ascii="宋体" w:hAnsi="宋体" w:eastAsia="宋体" w:cs="宋体"/>
          <w:b/>
          <w:color w:val="auto"/>
          <w:sz w:val="24"/>
          <w:highlight w:val="none"/>
        </w:rPr>
      </w:pPr>
      <w:bookmarkStart w:id="428" w:name="_Toc32504"/>
      <w:bookmarkStart w:id="429" w:name="_Toc259093670"/>
      <w:bookmarkStart w:id="430" w:name="_Toc487900350"/>
      <w:bookmarkStart w:id="431" w:name="_Toc27635"/>
      <w:bookmarkStart w:id="432" w:name="_Toc279701241"/>
      <w:bookmarkStart w:id="433" w:name="_Toc13336"/>
      <w:r>
        <w:rPr>
          <w:rFonts w:hint="eastAsia" w:ascii="宋体" w:hAnsi="宋体" w:eastAsia="宋体" w:cs="宋体"/>
          <w:b/>
          <w:color w:val="auto"/>
          <w:sz w:val="24"/>
          <w:highlight w:val="none"/>
        </w:rPr>
        <w:t>2.2 技术规范</w:t>
      </w:r>
      <w:bookmarkEnd w:id="428"/>
      <w:bookmarkEnd w:id="429"/>
      <w:bookmarkEnd w:id="430"/>
      <w:bookmarkEnd w:id="431"/>
      <w:bookmarkEnd w:id="432"/>
      <w:bookmarkEnd w:id="433"/>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货物所应遵守的技术规范应与采购文件规定的技术规范和技术规范附件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如果有的话</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及其技术规范偏差表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如果被甲方接受的话</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相一致；如果采购文件中没有技术规范的相应说明，那么应以国家有关部门最新颁布的相应标准和规范为准。</w:t>
      </w:r>
    </w:p>
    <w:p>
      <w:pPr>
        <w:spacing w:line="560" w:lineRule="exact"/>
        <w:ind w:firstLine="482" w:firstLineChars="200"/>
        <w:outlineLvl w:val="0"/>
        <w:rPr>
          <w:rFonts w:hint="eastAsia" w:ascii="宋体" w:hAnsi="宋体" w:eastAsia="宋体" w:cs="宋体"/>
          <w:b/>
          <w:color w:val="auto"/>
          <w:sz w:val="24"/>
          <w:highlight w:val="none"/>
        </w:rPr>
      </w:pPr>
      <w:bookmarkStart w:id="434" w:name="_Toc9829"/>
      <w:bookmarkStart w:id="435" w:name="_Toc31634"/>
      <w:bookmarkStart w:id="436" w:name="_Toc27853"/>
      <w:bookmarkStart w:id="437" w:name="_Toc259093671"/>
      <w:bookmarkStart w:id="438" w:name="_Toc279701242"/>
      <w:bookmarkStart w:id="439" w:name="_Toc487900351"/>
      <w:r>
        <w:rPr>
          <w:rFonts w:hint="eastAsia" w:ascii="宋体" w:hAnsi="宋体" w:eastAsia="宋体" w:cs="宋体"/>
          <w:b/>
          <w:color w:val="auto"/>
          <w:sz w:val="24"/>
          <w:highlight w:val="none"/>
        </w:rPr>
        <w:t>2.3 知识产权</w:t>
      </w:r>
      <w:bookmarkEnd w:id="434"/>
      <w:bookmarkEnd w:id="435"/>
      <w:bookmarkEnd w:id="436"/>
      <w:bookmarkEnd w:id="437"/>
      <w:bookmarkEnd w:id="438"/>
      <w:bookmarkEnd w:id="439"/>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2.3.2具有知识产权的计算机软件等货物的知识产权归属，详见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440" w:name="_Toc4194"/>
      <w:bookmarkStart w:id="441" w:name="_Toc11932"/>
      <w:bookmarkStart w:id="442" w:name="_Toc29149"/>
      <w:r>
        <w:rPr>
          <w:rFonts w:hint="eastAsia" w:ascii="宋体" w:hAnsi="宋体" w:eastAsia="宋体" w:cs="宋体"/>
          <w:b/>
          <w:color w:val="auto"/>
          <w:sz w:val="24"/>
          <w:highlight w:val="none"/>
        </w:rPr>
        <w:t>2.4 包装和装运</w:t>
      </w:r>
      <w:bookmarkEnd w:id="440"/>
      <w:bookmarkEnd w:id="441"/>
      <w:bookmarkEnd w:id="442"/>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另有约定外</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乙方交付的全部货物</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均应采用本行业通用的方式进行包装，没有通用方式的，应当采取足以保护货物的包装方式，且该包装应符合国家有关包装的</w:t>
      </w:r>
      <w:r>
        <w:rPr>
          <w:rFonts w:hint="eastAsia" w:ascii="宋体" w:hAnsi="宋体" w:eastAsia="宋体" w:cs="宋体"/>
          <w:color w:val="auto"/>
          <w:sz w:val="24"/>
          <w:highlight w:val="none"/>
          <w:lang w:eastAsia="zh-CN"/>
        </w:rPr>
        <w:t>法律法规</w:t>
      </w:r>
      <w:r>
        <w:rPr>
          <w:rFonts w:hint="eastAsia" w:ascii="宋体" w:hAnsi="宋体" w:eastAsia="宋体" w:cs="宋体"/>
          <w:color w:val="auto"/>
          <w:sz w:val="24"/>
          <w:highlight w:val="none"/>
        </w:rPr>
        <w:t>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2.4.3 装运货物的要求和通知，详见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443" w:name="_Toc487900354"/>
      <w:bookmarkStart w:id="444" w:name="_Ref467379527"/>
      <w:bookmarkStart w:id="445" w:name="_Toc259093674"/>
      <w:bookmarkStart w:id="446" w:name="_Ref467378591"/>
      <w:bookmarkStart w:id="447" w:name="_Ref467379536"/>
      <w:bookmarkStart w:id="448" w:name="_Ref467379542"/>
      <w:bookmarkStart w:id="449" w:name="_Toc279701245"/>
      <w:bookmarkStart w:id="450" w:name="_Ref467378541"/>
      <w:bookmarkStart w:id="451" w:name="_Toc19074"/>
      <w:bookmarkStart w:id="452" w:name="_Toc30272"/>
      <w:bookmarkStart w:id="453" w:name="_Toc26182"/>
      <w:r>
        <w:rPr>
          <w:rFonts w:hint="eastAsia" w:ascii="宋体" w:hAnsi="宋体" w:eastAsia="宋体" w:cs="宋体"/>
          <w:b/>
          <w:color w:val="auto"/>
          <w:sz w:val="24"/>
          <w:highlight w:val="none"/>
        </w:rPr>
        <w:t>2.</w:t>
      </w:r>
      <w:bookmarkEnd w:id="443"/>
      <w:bookmarkEnd w:id="444"/>
      <w:bookmarkEnd w:id="445"/>
      <w:bookmarkEnd w:id="446"/>
      <w:bookmarkEnd w:id="447"/>
      <w:bookmarkEnd w:id="448"/>
      <w:bookmarkEnd w:id="449"/>
      <w:bookmarkEnd w:id="450"/>
      <w:r>
        <w:rPr>
          <w:rFonts w:hint="eastAsia" w:ascii="宋体" w:hAnsi="宋体" w:eastAsia="宋体" w:cs="宋体"/>
          <w:b/>
          <w:color w:val="auto"/>
          <w:sz w:val="24"/>
          <w:highlight w:val="none"/>
        </w:rPr>
        <w:t>5 履约检查和问题反馈</w:t>
      </w:r>
      <w:bookmarkEnd w:id="451"/>
      <w:bookmarkEnd w:id="452"/>
      <w:bookmarkEnd w:id="453"/>
    </w:p>
    <w:p>
      <w:pPr>
        <w:spacing w:line="560" w:lineRule="exact"/>
        <w:ind w:firstLine="480" w:firstLineChars="200"/>
        <w:rPr>
          <w:rFonts w:hint="eastAsia" w:ascii="宋体" w:hAnsi="宋体" w:eastAsia="宋体" w:cs="宋体"/>
          <w:color w:val="auto"/>
          <w:sz w:val="24"/>
          <w:highlight w:val="none"/>
        </w:rPr>
      </w:pPr>
      <w:bookmarkStart w:id="454" w:name="_Ref467379657"/>
      <w:r>
        <w:rPr>
          <w:rFonts w:hint="eastAsia" w:ascii="宋体" w:hAnsi="宋体" w:eastAsia="宋体" w:cs="宋体"/>
          <w:color w:val="auto"/>
          <w:sz w:val="24"/>
          <w:highlight w:val="none"/>
        </w:rPr>
        <w:t>2.5.1</w:t>
      </w:r>
      <w:bookmarkEnd w:id="454"/>
      <w:bookmarkStart w:id="455" w:name="_Toc186431854"/>
      <w:bookmarkStart w:id="456" w:name="_Toc259093676"/>
      <w:bookmarkStart w:id="457" w:name="_Ref467379793"/>
      <w:bookmarkStart w:id="458" w:name="_Toc279701247"/>
      <w:bookmarkStart w:id="459" w:name="_Toc487900357"/>
      <w:bookmarkStart w:id="460" w:name="_Ref467379807"/>
      <w:r>
        <w:rPr>
          <w:rFonts w:hint="eastAsia" w:ascii="宋体" w:hAnsi="宋体" w:eastAsia="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2.5.2 合同履行期间，甲方有权将履行过程中出现的问题反馈给乙方，双方当事人应以书面形式约定需要完善和改进的内容</w:t>
      </w:r>
      <w:bookmarkEnd w:id="455"/>
      <w:bookmarkStart w:id="461" w:name="_Toc186431855"/>
      <w:r>
        <w:rPr>
          <w:rFonts w:hint="eastAsia" w:ascii="宋体" w:hAnsi="宋体" w:eastAsia="宋体" w:cs="宋体"/>
          <w:color w:val="auto"/>
          <w:sz w:val="24"/>
          <w:highlight w:val="none"/>
        </w:rPr>
        <w:t>。</w:t>
      </w:r>
    </w:p>
    <w:bookmarkEnd w:id="456"/>
    <w:bookmarkEnd w:id="457"/>
    <w:bookmarkEnd w:id="458"/>
    <w:bookmarkEnd w:id="459"/>
    <w:bookmarkEnd w:id="460"/>
    <w:bookmarkEnd w:id="461"/>
    <w:p>
      <w:pPr>
        <w:spacing w:line="560" w:lineRule="exact"/>
        <w:ind w:firstLine="482" w:firstLineChars="200"/>
        <w:outlineLvl w:val="0"/>
        <w:rPr>
          <w:rFonts w:hint="eastAsia" w:ascii="宋体" w:hAnsi="宋体" w:eastAsia="宋体" w:cs="宋体"/>
          <w:b/>
          <w:color w:val="auto"/>
          <w:sz w:val="24"/>
          <w:highlight w:val="none"/>
        </w:rPr>
      </w:pPr>
      <w:bookmarkStart w:id="462" w:name="_Toc487900358"/>
      <w:bookmarkStart w:id="463" w:name="_Toc259093677"/>
      <w:bookmarkStart w:id="464" w:name="_Ref467379863"/>
      <w:bookmarkStart w:id="465" w:name="_Ref467379923"/>
      <w:bookmarkStart w:id="466" w:name="_Toc279701248"/>
      <w:bookmarkStart w:id="467" w:name="_Ref467379852"/>
      <w:bookmarkStart w:id="468" w:name="_Toc16110"/>
      <w:bookmarkStart w:id="469" w:name="_Toc3225"/>
      <w:bookmarkStart w:id="470" w:name="_Toc774"/>
      <w:r>
        <w:rPr>
          <w:rFonts w:hint="eastAsia" w:ascii="宋体" w:hAnsi="宋体" w:eastAsia="宋体" w:cs="宋体"/>
          <w:b/>
          <w:color w:val="auto"/>
          <w:sz w:val="24"/>
          <w:highlight w:val="none"/>
        </w:rPr>
        <w:t>2.6 技术资料</w:t>
      </w:r>
      <w:bookmarkEnd w:id="462"/>
      <w:bookmarkEnd w:id="463"/>
      <w:bookmarkEnd w:id="464"/>
      <w:bookmarkEnd w:id="465"/>
      <w:bookmarkEnd w:id="466"/>
      <w:bookmarkEnd w:id="467"/>
      <w:r>
        <w:rPr>
          <w:rFonts w:hint="eastAsia" w:ascii="宋体" w:hAnsi="宋体" w:eastAsia="宋体" w:cs="宋体"/>
          <w:b/>
          <w:color w:val="auto"/>
          <w:sz w:val="24"/>
          <w:highlight w:val="none"/>
        </w:rPr>
        <w:t>和保密义务</w:t>
      </w:r>
      <w:bookmarkEnd w:id="468"/>
      <w:bookmarkEnd w:id="469"/>
      <w:bookmarkEnd w:id="470"/>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宋体" w:hAnsi="宋体" w:eastAsia="宋体" w:cs="宋体"/>
          <w:b/>
          <w:color w:val="auto"/>
          <w:sz w:val="24"/>
          <w:highlight w:val="none"/>
        </w:rPr>
      </w:pPr>
      <w:bookmarkStart w:id="471" w:name="_Toc7860"/>
      <w:r>
        <w:rPr>
          <w:rFonts w:hint="eastAsia" w:ascii="宋体" w:hAnsi="宋体" w:eastAsia="宋体" w:cs="宋体"/>
          <w:b/>
          <w:color w:val="auto"/>
          <w:sz w:val="24"/>
          <w:highlight w:val="none"/>
        </w:rPr>
        <w:t>2.7 质量保证</w:t>
      </w:r>
      <w:bookmarkEnd w:id="471"/>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宋体" w:hAnsi="宋体" w:eastAsia="宋体" w:cs="宋体"/>
          <w:b/>
          <w:color w:val="auto"/>
          <w:sz w:val="24"/>
          <w:highlight w:val="none"/>
        </w:rPr>
      </w:pPr>
      <w:bookmarkStart w:id="472" w:name="_Toc17244"/>
      <w:bookmarkStart w:id="473" w:name="_Toc259093681"/>
      <w:bookmarkStart w:id="474" w:name="_Toc279701252"/>
      <w:bookmarkStart w:id="475" w:name="_Toc487900362"/>
      <w:r>
        <w:rPr>
          <w:rFonts w:hint="eastAsia" w:ascii="宋体" w:hAnsi="宋体" w:eastAsia="宋体" w:cs="宋体"/>
          <w:b/>
          <w:color w:val="auto"/>
          <w:sz w:val="24"/>
          <w:highlight w:val="none"/>
        </w:rPr>
        <w:t>2.8 货物的风险负担</w:t>
      </w:r>
      <w:bookmarkEnd w:id="472"/>
    </w:p>
    <w:p>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货物或者在途货物或者交付给第一承运人后的货物毁损、灭失的风险负担详见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476" w:name="_Toc14055"/>
      <w:r>
        <w:rPr>
          <w:rFonts w:hint="eastAsia" w:ascii="宋体" w:hAnsi="宋体" w:eastAsia="宋体" w:cs="宋体"/>
          <w:b/>
          <w:color w:val="auto"/>
          <w:sz w:val="24"/>
          <w:highlight w:val="none"/>
        </w:rPr>
        <w:t>2.9 延迟交货</w:t>
      </w:r>
      <w:bookmarkEnd w:id="473"/>
      <w:bookmarkEnd w:id="474"/>
      <w:bookmarkEnd w:id="475"/>
      <w:bookmarkEnd w:id="476"/>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hint="eastAsia" w:ascii="宋体" w:hAnsi="宋体" w:eastAsia="宋体" w:cs="宋体"/>
          <w:b/>
          <w:color w:val="auto"/>
          <w:sz w:val="24"/>
          <w:highlight w:val="none"/>
        </w:rPr>
      </w:pPr>
      <w:bookmarkStart w:id="477" w:name="_Toc7502"/>
      <w:bookmarkStart w:id="478" w:name="_Ref467378121"/>
      <w:bookmarkStart w:id="479" w:name="_Toc259093683"/>
      <w:bookmarkStart w:id="480" w:name="_Toc487900364"/>
      <w:bookmarkStart w:id="481" w:name="_Toc279701254"/>
      <w:r>
        <w:rPr>
          <w:rFonts w:hint="eastAsia" w:ascii="宋体" w:hAnsi="宋体" w:eastAsia="宋体" w:cs="宋体"/>
          <w:b/>
          <w:color w:val="auto"/>
          <w:sz w:val="24"/>
          <w:highlight w:val="none"/>
        </w:rPr>
        <w:t>2.10 合同变更</w:t>
      </w:r>
      <w:bookmarkEnd w:id="477"/>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82" w:name="_Toc259093688"/>
      <w:bookmarkStart w:id="483" w:name="_Toc487900369"/>
      <w:bookmarkStart w:id="484" w:name="_Toc279701259"/>
    </w:p>
    <w:p>
      <w:pPr>
        <w:spacing w:line="560" w:lineRule="exact"/>
        <w:ind w:firstLine="482" w:firstLineChars="200"/>
        <w:outlineLvl w:val="0"/>
        <w:rPr>
          <w:rFonts w:hint="eastAsia" w:ascii="宋体" w:hAnsi="宋体" w:eastAsia="宋体" w:cs="宋体"/>
          <w:b/>
          <w:color w:val="auto"/>
          <w:sz w:val="24"/>
          <w:highlight w:val="none"/>
        </w:rPr>
      </w:pPr>
      <w:bookmarkStart w:id="485" w:name="_Toc10366"/>
      <w:bookmarkStart w:id="486" w:name="_Toc22955"/>
      <w:bookmarkStart w:id="487" w:name="_Toc15237"/>
      <w:r>
        <w:rPr>
          <w:rFonts w:hint="eastAsia" w:ascii="宋体" w:hAnsi="宋体" w:eastAsia="宋体" w:cs="宋体"/>
          <w:b/>
          <w:color w:val="auto"/>
          <w:sz w:val="24"/>
          <w:highlight w:val="none"/>
        </w:rPr>
        <w:t>2.11 合同转让</w:t>
      </w:r>
      <w:bookmarkEnd w:id="482"/>
      <w:bookmarkEnd w:id="483"/>
      <w:bookmarkEnd w:id="484"/>
      <w:r>
        <w:rPr>
          <w:rFonts w:hint="eastAsia" w:ascii="宋体" w:hAnsi="宋体" w:eastAsia="宋体" w:cs="宋体"/>
          <w:b/>
          <w:color w:val="auto"/>
          <w:sz w:val="24"/>
          <w:highlight w:val="none"/>
        </w:rPr>
        <w:t>和分包</w:t>
      </w:r>
      <w:bookmarkEnd w:id="485"/>
      <w:bookmarkEnd w:id="486"/>
      <w:bookmarkEnd w:id="487"/>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2.11.2乙方采取分包方式履行合同的，甲方可直接向分包供应商支付款项。</w:t>
      </w:r>
    </w:p>
    <w:p>
      <w:pPr>
        <w:spacing w:line="560" w:lineRule="exact"/>
        <w:ind w:firstLine="482" w:firstLineChars="200"/>
        <w:outlineLvl w:val="0"/>
        <w:rPr>
          <w:rFonts w:hint="eastAsia" w:ascii="宋体" w:hAnsi="宋体" w:eastAsia="宋体" w:cs="宋体"/>
          <w:b/>
          <w:color w:val="auto"/>
          <w:sz w:val="24"/>
          <w:highlight w:val="none"/>
        </w:rPr>
      </w:pPr>
      <w:bookmarkStart w:id="488" w:name="_Toc14066"/>
      <w:bookmarkStart w:id="489" w:name="_Toc13566"/>
      <w:bookmarkStart w:id="490" w:name="_Toc16508"/>
      <w:r>
        <w:rPr>
          <w:rFonts w:hint="eastAsia" w:ascii="宋体" w:hAnsi="宋体" w:eastAsia="宋体" w:cs="宋体"/>
          <w:b/>
          <w:color w:val="auto"/>
          <w:sz w:val="24"/>
          <w:highlight w:val="none"/>
        </w:rPr>
        <w:t>2.12 不可抗力</w:t>
      </w:r>
      <w:bookmarkEnd w:id="488"/>
      <w:bookmarkEnd w:id="489"/>
      <w:bookmarkEnd w:id="490"/>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2.12.2 因不可抗力致使不能实现合同目的的，当事人可以解除合同；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pPr>
        <w:spacing w:line="560" w:lineRule="exact"/>
        <w:ind w:firstLine="482" w:firstLineChars="200"/>
        <w:outlineLvl w:val="0"/>
        <w:rPr>
          <w:rFonts w:hint="eastAsia" w:ascii="宋体" w:hAnsi="宋体" w:eastAsia="宋体" w:cs="宋体"/>
          <w:b/>
          <w:color w:val="auto"/>
          <w:sz w:val="24"/>
          <w:highlight w:val="none"/>
        </w:rPr>
      </w:pPr>
      <w:bookmarkStart w:id="491" w:name="_Toc487900365"/>
      <w:bookmarkStart w:id="492" w:name="_Toc6969"/>
      <w:bookmarkStart w:id="493" w:name="_Toc689"/>
      <w:bookmarkStart w:id="494" w:name="_Toc30676"/>
      <w:bookmarkStart w:id="495" w:name="_Toc279701255"/>
      <w:bookmarkStart w:id="496" w:name="_Toc259093684"/>
      <w:r>
        <w:rPr>
          <w:rFonts w:hint="eastAsia" w:ascii="宋体" w:hAnsi="宋体" w:eastAsia="宋体" w:cs="宋体"/>
          <w:b/>
          <w:color w:val="auto"/>
          <w:sz w:val="24"/>
          <w:highlight w:val="none"/>
        </w:rPr>
        <w:t>2.13 税费</w:t>
      </w:r>
      <w:bookmarkEnd w:id="491"/>
      <w:bookmarkEnd w:id="492"/>
      <w:bookmarkEnd w:id="493"/>
      <w:bookmarkEnd w:id="494"/>
      <w:bookmarkEnd w:id="495"/>
      <w:bookmarkEnd w:id="496"/>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w:t>
      </w:r>
    </w:p>
    <w:p>
      <w:pPr>
        <w:spacing w:line="560" w:lineRule="exact"/>
        <w:ind w:firstLine="482" w:firstLineChars="200"/>
        <w:outlineLvl w:val="0"/>
        <w:rPr>
          <w:rFonts w:hint="eastAsia" w:ascii="宋体" w:hAnsi="宋体" w:eastAsia="宋体" w:cs="宋体"/>
          <w:b/>
          <w:color w:val="auto"/>
          <w:sz w:val="24"/>
          <w:highlight w:val="none"/>
        </w:rPr>
      </w:pPr>
      <w:bookmarkStart w:id="497" w:name="_Toc259093687"/>
      <w:bookmarkStart w:id="498" w:name="_Toc487900368"/>
      <w:bookmarkStart w:id="499" w:name="_Toc279701258"/>
      <w:bookmarkStart w:id="500" w:name="_Toc16959"/>
      <w:bookmarkStart w:id="501" w:name="_Toc8298"/>
      <w:bookmarkStart w:id="502" w:name="_Toc7102"/>
      <w:r>
        <w:rPr>
          <w:rFonts w:hint="eastAsia" w:ascii="宋体" w:hAnsi="宋体" w:eastAsia="宋体" w:cs="宋体"/>
          <w:b/>
          <w:color w:val="auto"/>
          <w:sz w:val="24"/>
          <w:highlight w:val="none"/>
        </w:rPr>
        <w:t>2.14乙方破产</w:t>
      </w:r>
      <w:bookmarkEnd w:id="497"/>
      <w:bookmarkEnd w:id="498"/>
      <w:bookmarkEnd w:id="499"/>
      <w:bookmarkEnd w:id="500"/>
      <w:bookmarkEnd w:id="501"/>
      <w:bookmarkEnd w:id="502"/>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宋体" w:hAnsi="宋体" w:eastAsia="宋体" w:cs="宋体"/>
          <w:b/>
          <w:color w:val="auto"/>
          <w:sz w:val="24"/>
          <w:highlight w:val="none"/>
        </w:rPr>
      </w:pPr>
      <w:bookmarkStart w:id="503" w:name="_Toc6134"/>
      <w:bookmarkStart w:id="504" w:name="_Toc15387"/>
      <w:bookmarkStart w:id="505" w:name="_Toc29333"/>
      <w:r>
        <w:rPr>
          <w:rFonts w:hint="eastAsia" w:ascii="宋体" w:hAnsi="宋体" w:eastAsia="宋体" w:cs="宋体"/>
          <w:b/>
          <w:color w:val="auto"/>
          <w:sz w:val="24"/>
          <w:highlight w:val="none"/>
        </w:rPr>
        <w:t>2.15 合同中止、终止</w:t>
      </w:r>
      <w:bookmarkEnd w:id="503"/>
      <w:bookmarkEnd w:id="504"/>
      <w:bookmarkEnd w:id="505"/>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双方当事人不得擅自中止或者终止合同；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宋体" w:hAnsi="宋体" w:eastAsia="宋体" w:cs="宋体"/>
          <w:b/>
          <w:color w:val="auto"/>
          <w:sz w:val="24"/>
          <w:highlight w:val="none"/>
        </w:rPr>
      </w:pPr>
      <w:bookmarkStart w:id="506" w:name="_Toc1125"/>
      <w:bookmarkStart w:id="507" w:name="_Toc14563"/>
      <w:bookmarkStart w:id="508" w:name="_Toc6596"/>
      <w:r>
        <w:rPr>
          <w:rFonts w:hint="eastAsia" w:ascii="宋体" w:hAnsi="宋体" w:eastAsia="宋体" w:cs="宋体"/>
          <w:b/>
          <w:color w:val="auto"/>
          <w:sz w:val="24"/>
          <w:highlight w:val="none"/>
        </w:rPr>
        <w:t>2.16检验和验收</w:t>
      </w:r>
      <w:bookmarkEnd w:id="506"/>
      <w:bookmarkEnd w:id="507"/>
      <w:bookmarkEnd w:id="508"/>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bookmarkEnd w:id="478"/>
    <w:bookmarkEnd w:id="479"/>
    <w:bookmarkEnd w:id="480"/>
    <w:bookmarkEnd w:id="481"/>
    <w:p>
      <w:pPr>
        <w:spacing w:line="560" w:lineRule="exact"/>
        <w:ind w:firstLine="482" w:firstLineChars="200"/>
        <w:outlineLvl w:val="0"/>
        <w:rPr>
          <w:rFonts w:hint="eastAsia" w:ascii="宋体" w:hAnsi="宋体" w:eastAsia="宋体" w:cs="宋体"/>
          <w:b/>
          <w:color w:val="auto"/>
          <w:sz w:val="24"/>
          <w:highlight w:val="none"/>
        </w:rPr>
      </w:pPr>
      <w:bookmarkStart w:id="509" w:name="_Toc259093690"/>
      <w:bookmarkStart w:id="510" w:name="_Toc279701261"/>
      <w:bookmarkStart w:id="511" w:name="_Toc487900371"/>
      <w:bookmarkStart w:id="512" w:name="_Toc19604"/>
      <w:bookmarkStart w:id="513" w:name="_Toc11284"/>
      <w:bookmarkStart w:id="514" w:name="_Toc25182"/>
      <w:r>
        <w:rPr>
          <w:rFonts w:hint="eastAsia" w:ascii="宋体" w:hAnsi="宋体" w:eastAsia="宋体" w:cs="宋体"/>
          <w:b/>
          <w:color w:val="auto"/>
          <w:sz w:val="24"/>
          <w:highlight w:val="none"/>
        </w:rPr>
        <w:t>2.17 通知</w:t>
      </w:r>
      <w:bookmarkEnd w:id="509"/>
      <w:bookmarkEnd w:id="510"/>
      <w:bookmarkEnd w:id="511"/>
      <w:r>
        <w:rPr>
          <w:rFonts w:hint="eastAsia" w:ascii="宋体" w:hAnsi="宋体" w:eastAsia="宋体" w:cs="宋体"/>
          <w:b/>
          <w:color w:val="auto"/>
          <w:sz w:val="24"/>
          <w:highlight w:val="none"/>
        </w:rPr>
        <w:t>和送达</w:t>
      </w:r>
      <w:bookmarkEnd w:id="512"/>
      <w:bookmarkEnd w:id="513"/>
      <w:bookmarkEnd w:id="514"/>
    </w:p>
    <w:p>
      <w:pPr>
        <w:spacing w:line="560" w:lineRule="exact"/>
        <w:ind w:firstLine="480" w:firstLineChars="200"/>
        <w:rPr>
          <w:rFonts w:hint="eastAsia" w:ascii="宋体" w:hAnsi="宋体" w:eastAsia="宋体" w:cs="宋体"/>
          <w:color w:val="auto"/>
          <w:sz w:val="24"/>
          <w:highlight w:val="none"/>
        </w:rPr>
      </w:pPr>
      <w:bookmarkStart w:id="515" w:name="_Toc6698"/>
      <w:bookmarkStart w:id="516" w:name="_Toc3135"/>
      <w:bookmarkStart w:id="517" w:name="_Toc259093691"/>
      <w:bookmarkStart w:id="518" w:name="_Toc279701262"/>
      <w:bookmarkStart w:id="519" w:name="_Toc487900372"/>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bookmarkEnd w:id="515"/>
      <w:bookmarkEnd w:id="516"/>
    </w:p>
    <w:p>
      <w:pPr>
        <w:spacing w:line="560" w:lineRule="exact"/>
        <w:ind w:firstLine="480" w:firstLineChars="200"/>
        <w:rPr>
          <w:rFonts w:hint="eastAsia" w:ascii="宋体" w:hAnsi="宋体" w:eastAsia="宋体" w:cs="宋体"/>
          <w:color w:val="auto"/>
          <w:sz w:val="24"/>
          <w:highlight w:val="none"/>
        </w:rPr>
      </w:pPr>
      <w:bookmarkStart w:id="520" w:name="_Toc23128"/>
      <w:bookmarkStart w:id="521" w:name="_Toc23294"/>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0"/>
      <w:bookmarkEnd w:id="521"/>
    </w:p>
    <w:p>
      <w:pPr>
        <w:spacing w:line="560" w:lineRule="exact"/>
        <w:ind w:firstLine="482" w:firstLineChars="200"/>
        <w:outlineLvl w:val="0"/>
        <w:rPr>
          <w:rFonts w:hint="eastAsia" w:ascii="宋体" w:hAnsi="宋体" w:eastAsia="宋体" w:cs="宋体"/>
          <w:b/>
          <w:color w:val="auto"/>
          <w:sz w:val="24"/>
          <w:highlight w:val="none"/>
        </w:rPr>
      </w:pPr>
      <w:bookmarkStart w:id="522" w:name="_Toc18540"/>
      <w:bookmarkStart w:id="523" w:name="_Toc30599"/>
      <w:bookmarkStart w:id="524" w:name="_Toc4355"/>
      <w:r>
        <w:rPr>
          <w:rFonts w:hint="eastAsia" w:ascii="宋体" w:hAnsi="宋体" w:eastAsia="宋体" w:cs="宋体"/>
          <w:b/>
          <w:color w:val="auto"/>
          <w:sz w:val="24"/>
          <w:highlight w:val="none"/>
        </w:rPr>
        <w:t>2.18 计量单位</w:t>
      </w:r>
      <w:bookmarkEnd w:id="517"/>
      <w:bookmarkEnd w:id="518"/>
      <w:bookmarkEnd w:id="519"/>
      <w:bookmarkEnd w:id="522"/>
      <w:bookmarkEnd w:id="523"/>
      <w:bookmarkEnd w:id="524"/>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合同的计量单位均使用国家法定计量单位。</w:t>
      </w:r>
    </w:p>
    <w:p>
      <w:pPr>
        <w:spacing w:line="560" w:lineRule="exact"/>
        <w:ind w:firstLine="482" w:firstLineChars="200"/>
        <w:outlineLvl w:val="0"/>
        <w:rPr>
          <w:rFonts w:hint="eastAsia" w:ascii="宋体" w:hAnsi="宋体" w:eastAsia="宋体" w:cs="宋体"/>
          <w:b/>
          <w:color w:val="auto"/>
          <w:sz w:val="24"/>
          <w:highlight w:val="none"/>
        </w:rPr>
      </w:pPr>
      <w:bookmarkStart w:id="525" w:name="_Toc487900373"/>
      <w:bookmarkStart w:id="526" w:name="_Toc259093692"/>
      <w:bookmarkStart w:id="527" w:name="_Toc18567"/>
      <w:bookmarkStart w:id="528" w:name="_Toc279701263"/>
      <w:bookmarkStart w:id="529" w:name="_Toc12773"/>
      <w:bookmarkStart w:id="530" w:name="_Toc10330"/>
      <w:r>
        <w:rPr>
          <w:rFonts w:hint="eastAsia" w:ascii="宋体" w:hAnsi="宋体" w:eastAsia="宋体" w:cs="宋体"/>
          <w:b/>
          <w:color w:val="auto"/>
          <w:sz w:val="24"/>
          <w:highlight w:val="none"/>
        </w:rPr>
        <w:t>2.19 合同使用的文字和适用的法律</w:t>
      </w:r>
      <w:bookmarkEnd w:id="525"/>
      <w:bookmarkEnd w:id="526"/>
      <w:bookmarkEnd w:id="527"/>
      <w:bookmarkEnd w:id="528"/>
      <w:bookmarkEnd w:id="529"/>
      <w:bookmarkEnd w:id="530"/>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2.19.1 合同使用汉语</w:t>
      </w:r>
      <w:r>
        <w:rPr>
          <w:rFonts w:hint="eastAsia" w:ascii="宋体" w:hAnsi="宋体" w:eastAsia="宋体" w:cs="宋体"/>
          <w:color w:val="auto"/>
          <w:sz w:val="24"/>
          <w:highlight w:val="none"/>
          <w:lang w:eastAsia="zh-CN"/>
        </w:rPr>
        <w:t>书写</w:t>
      </w:r>
      <w:r>
        <w:rPr>
          <w:rFonts w:hint="eastAsia" w:ascii="宋体" w:hAnsi="宋体" w:eastAsia="宋体" w:cs="宋体"/>
          <w:color w:val="auto"/>
          <w:sz w:val="24"/>
          <w:highlight w:val="none"/>
        </w:rPr>
        <w:t>、变更和解释；</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2.19.2 合同适用中华人民共和国法律。</w:t>
      </w:r>
    </w:p>
    <w:p>
      <w:pPr>
        <w:spacing w:line="560" w:lineRule="exact"/>
        <w:ind w:firstLine="482" w:firstLineChars="200"/>
        <w:outlineLvl w:val="0"/>
        <w:rPr>
          <w:rFonts w:hint="eastAsia" w:ascii="宋体" w:hAnsi="宋体" w:eastAsia="宋体" w:cs="宋体"/>
          <w:b/>
          <w:color w:val="auto"/>
          <w:sz w:val="24"/>
          <w:highlight w:val="none"/>
        </w:rPr>
      </w:pPr>
      <w:bookmarkStart w:id="531" w:name="_Toc19890"/>
      <w:bookmarkStart w:id="532" w:name="_Toc14001"/>
      <w:bookmarkStart w:id="533" w:name="_Toc6885"/>
      <w:r>
        <w:rPr>
          <w:rFonts w:hint="eastAsia" w:ascii="宋体" w:hAnsi="宋体" w:eastAsia="宋体" w:cs="宋体"/>
          <w:b/>
          <w:color w:val="auto"/>
          <w:sz w:val="24"/>
          <w:highlight w:val="none"/>
        </w:rPr>
        <w:t>2.20 合同份数</w:t>
      </w:r>
      <w:bookmarkEnd w:id="531"/>
      <w:bookmarkEnd w:id="532"/>
      <w:bookmarkEnd w:id="533"/>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pPr>
        <w:spacing w:line="360" w:lineRule="auto"/>
        <w:ind w:firstLine="2513" w:firstLineChars="1197"/>
        <w:outlineLvl w:val="0"/>
        <w:rPr>
          <w:rFonts w:hint="eastAsia" w:ascii="宋体" w:hAnsi="宋体" w:eastAsia="宋体" w:cs="宋体"/>
          <w:b/>
          <w:color w:val="auto"/>
          <w:highlight w:val="none"/>
        </w:rPr>
      </w:pPr>
      <w:r>
        <w:rPr>
          <w:rFonts w:hint="eastAsia" w:ascii="宋体" w:hAnsi="宋体" w:eastAsia="宋体" w:cs="宋体"/>
          <w:color w:val="auto"/>
          <w:kern w:val="0"/>
          <w:highlight w:val="none"/>
        </w:rPr>
        <w:br w:type="page"/>
      </w:r>
      <w:r>
        <w:rPr>
          <w:rFonts w:hint="eastAsia" w:ascii="宋体" w:hAnsi="宋体" w:eastAsia="宋体" w:cs="宋体"/>
          <w:b/>
          <w:color w:val="auto"/>
          <w:sz w:val="32"/>
          <w:szCs w:val="20"/>
          <w:highlight w:val="none"/>
        </w:rPr>
        <w:t xml:space="preserve"> 第三部分  合同专用条款</w:t>
      </w:r>
    </w:p>
    <w:p>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5"/>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33"/>
        <w:gridCol w:w="81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4534" w:type="pct"/>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1.4.2</w:t>
            </w:r>
          </w:p>
        </w:tc>
        <w:tc>
          <w:tcPr>
            <w:tcW w:w="4534" w:type="pct"/>
            <w:vAlign w:val="center"/>
          </w:tcPr>
          <w:p>
            <w:pPr>
              <w:spacing w:line="240" w:lineRule="auto"/>
              <w:rPr>
                <w:rFonts w:hint="eastAsia" w:ascii="宋体" w:hAnsi="宋体" w:eastAsia="宋体" w:cs="宋体"/>
                <w:bCs/>
                <w:color w:val="auto"/>
                <w:sz w:val="24"/>
                <w:szCs w:val="24"/>
                <w:highlight w:val="none"/>
              </w:rPr>
            </w:pPr>
            <w:r>
              <w:rPr>
                <w:rStyle w:val="88"/>
                <w:rFonts w:hint="eastAsia" w:ascii="宋体" w:hAnsi="宋体" w:eastAsia="宋体" w:cs="宋体"/>
                <w:b w:val="0"/>
                <w:color w:val="auto"/>
                <w:sz w:val="24"/>
                <w:szCs w:val="24"/>
                <w:highlight w:val="none"/>
              </w:rPr>
              <w:t>履约保证金：</w:t>
            </w:r>
            <w:r>
              <w:rPr>
                <w:rFonts w:hint="eastAsia" w:ascii="宋体" w:hAnsi="宋体" w:eastAsia="宋体" w:cs="宋体"/>
                <w:color w:val="auto"/>
                <w:sz w:val="24"/>
                <w:szCs w:val="24"/>
                <w:highlight w:val="none"/>
              </w:rPr>
              <w:t>本项目收取履约保证金为合同金额</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%。需要收取保证金的供应商</w:t>
            </w:r>
            <w:r>
              <w:rPr>
                <w:rStyle w:val="88"/>
                <w:rFonts w:hint="eastAsia" w:ascii="宋体" w:hAnsi="宋体" w:eastAsia="宋体" w:cs="宋体"/>
                <w:b w:val="0"/>
                <w:color w:val="auto"/>
                <w:sz w:val="24"/>
                <w:szCs w:val="24"/>
                <w:highlight w:val="none"/>
              </w:rPr>
              <w:t>在正式合同签订生效之日起7个工作日内，</w:t>
            </w:r>
            <w:r>
              <w:rPr>
                <w:rFonts w:hint="eastAsia" w:ascii="宋体" w:hAnsi="宋体" w:eastAsia="宋体" w:cs="宋体"/>
                <w:color w:val="auto"/>
                <w:sz w:val="24"/>
                <w:szCs w:val="24"/>
                <w:highlight w:val="none"/>
              </w:rPr>
              <w:t>缴纳</w:t>
            </w:r>
            <w:r>
              <w:rPr>
                <w:rStyle w:val="88"/>
                <w:rFonts w:hint="eastAsia" w:ascii="宋体" w:hAnsi="宋体" w:eastAsia="宋体" w:cs="宋体"/>
                <w:b w:val="0"/>
                <w:color w:val="auto"/>
                <w:sz w:val="24"/>
                <w:szCs w:val="24"/>
                <w:highlight w:val="none"/>
              </w:rPr>
              <w:t>保证金至采购人指定账户（可采用银行、保险公司出具保函形式提交）。在验收合格后经回访正常后凭正式收款收据、履约保证金缴款凭证复印件办理结算手续。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1.5.1</w:t>
            </w:r>
          </w:p>
        </w:tc>
        <w:tc>
          <w:tcPr>
            <w:tcW w:w="4534" w:type="pct"/>
            <w:vAlign w:val="center"/>
          </w:tcPr>
          <w:p>
            <w:pPr>
              <w:spacing w:line="240" w:lineRule="auto"/>
              <w:rPr>
                <w:rFonts w:hint="eastAsia" w:ascii="宋体" w:hAnsi="宋体" w:eastAsia="宋体" w:cs="宋体"/>
                <w:bCs/>
                <w:color w:val="auto"/>
                <w:sz w:val="24"/>
                <w:szCs w:val="24"/>
                <w:highlight w:val="none"/>
                <w:lang w:eastAsia="zh-CN"/>
              </w:rPr>
            </w:pPr>
            <w:r>
              <w:rPr>
                <w:rFonts w:hint="eastAsia" w:ascii="宋体" w:hAnsi="宋体" w:eastAsia="宋体" w:cs="宋体"/>
                <w:color w:val="auto"/>
                <w:kern w:val="0"/>
                <w:sz w:val="24"/>
                <w:szCs w:val="24"/>
                <w:highlight w:val="none"/>
              </w:rPr>
              <w:t>预付款比例、支付方式、时间</w:t>
            </w:r>
            <w:r>
              <w:rPr>
                <w:rFonts w:hint="eastAsia" w:ascii="宋体" w:hAnsi="宋体" w:eastAsia="宋体" w:cs="宋体"/>
                <w:color w:val="auto"/>
                <w:kern w:val="0"/>
                <w:sz w:val="24"/>
                <w:szCs w:val="24"/>
                <w:highlight w:val="none"/>
                <w:lang w:eastAsia="zh-CN"/>
              </w:rPr>
              <w:t>：</w:t>
            </w:r>
            <w:r>
              <w:rPr>
                <w:rFonts w:hint="eastAsia" w:ascii="宋体" w:hAnsi="宋体" w:eastAsia="宋体" w:cs="宋体"/>
                <w:b w:val="0"/>
                <w:bCs/>
                <w:snapToGrid/>
                <w:color w:val="auto"/>
                <w:kern w:val="2"/>
                <w:sz w:val="24"/>
                <w:szCs w:val="24"/>
                <w:highlight w:val="none"/>
                <w:lang w:val="en-US" w:eastAsia="zh-CN" w:bidi="ar-SA"/>
              </w:rPr>
              <w:t>合同生效以及具备实施条件后7个工作日内支付合同价的70%预付款（成交供应商需提供相应金额的预付款保函至采购单位）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1.5.2</w:t>
            </w:r>
          </w:p>
        </w:tc>
        <w:tc>
          <w:tcPr>
            <w:tcW w:w="4534" w:type="pct"/>
            <w:vAlign w:val="center"/>
          </w:tcPr>
          <w:p>
            <w:pPr>
              <w:spacing w:line="24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预付款的扣回方式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none"/>
                <w:lang w:eastAsia="zh-CN"/>
              </w:rPr>
              <w:t>抵扣项目款</w:t>
            </w:r>
            <w:r>
              <w:rPr>
                <w:rFonts w:hint="eastAsia" w:ascii="宋体" w:hAnsi="宋体" w:eastAsia="宋体" w:cs="宋体"/>
                <w:color w:val="auto"/>
                <w:sz w:val="24"/>
                <w:szCs w:val="24"/>
                <w:highlight w:val="none"/>
                <w:u w:val="non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1.5.3</w:t>
            </w:r>
          </w:p>
        </w:tc>
        <w:tc>
          <w:tcPr>
            <w:tcW w:w="4534" w:type="pct"/>
            <w:vAlign w:val="center"/>
          </w:tcPr>
          <w:p>
            <w:pPr>
              <w:spacing w:line="240" w:lineRule="auto"/>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rPr>
              <w:t>预付款的担保措施</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中标人</w:t>
            </w:r>
            <w:r>
              <w:rPr>
                <w:rFonts w:hint="eastAsia" w:ascii="宋体" w:hAnsi="宋体" w:eastAsia="宋体" w:cs="宋体"/>
                <w:bCs/>
                <w:color w:val="auto"/>
                <w:sz w:val="24"/>
                <w:szCs w:val="24"/>
                <w:highlight w:val="none"/>
                <w:lang w:val="zh-CN"/>
              </w:rPr>
              <w:t>需提供相应金额的预付款保函至采购人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p>
        </w:tc>
        <w:tc>
          <w:tcPr>
            <w:tcW w:w="4534" w:type="pct"/>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资金支付的方式、时间和条件：</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根据合同、投标文件等资料进行验收。</w:t>
            </w:r>
          </w:p>
          <w:p>
            <w:pPr>
              <w:snapToGrid w:val="0"/>
              <w:spacing w:line="460" w:lineRule="atLeast"/>
              <w:ind w:firstLine="480"/>
              <w:rPr>
                <w:rFonts w:hint="eastAsia" w:ascii="宋体" w:hAnsi="宋体" w:eastAsia="宋体" w:cs="宋体"/>
                <w:b w:val="0"/>
                <w:bCs/>
                <w:snapToGrid/>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、付款方式：</w:t>
            </w:r>
            <w:r>
              <w:rPr>
                <w:rFonts w:hint="eastAsia" w:ascii="宋体" w:hAnsi="宋体" w:eastAsia="宋体" w:cs="宋体"/>
                <w:b w:val="0"/>
                <w:bCs/>
                <w:snapToGrid/>
                <w:color w:val="auto"/>
                <w:kern w:val="2"/>
                <w:sz w:val="24"/>
                <w:szCs w:val="24"/>
                <w:highlight w:val="none"/>
                <w:lang w:val="en-US" w:eastAsia="zh-CN" w:bidi="ar-SA"/>
              </w:rPr>
              <w:t>合同生效以及具备实施条件后7个工作日内支付合同价的70%预付款（成交供应商需提供相应金额的预付款保函至采购单位）；剩余款项</w:t>
            </w:r>
            <w:r>
              <w:rPr>
                <w:rFonts w:hint="eastAsia" w:ascii="宋体" w:hAnsi="宋体" w:eastAsia="宋体" w:cs="宋体"/>
                <w:b w:val="0"/>
                <w:bCs/>
                <w:color w:val="auto"/>
                <w:sz w:val="24"/>
                <w:szCs w:val="24"/>
                <w:highlight w:val="none"/>
              </w:rPr>
              <w:t>按批次进行结算，采购人在结算后</w:t>
            </w:r>
            <w:r>
              <w:rPr>
                <w:rFonts w:hint="eastAsia" w:ascii="宋体" w:hAnsi="宋体" w:eastAsia="宋体" w:cs="宋体"/>
                <w:b w:val="0"/>
                <w:bCs/>
                <w:color w:val="auto"/>
                <w:sz w:val="24"/>
                <w:szCs w:val="24"/>
                <w:highlight w:val="none"/>
                <w:lang w:val="en-US" w:eastAsia="zh-CN"/>
              </w:rPr>
              <w:t>10</w:t>
            </w:r>
            <w:r>
              <w:rPr>
                <w:rFonts w:hint="eastAsia" w:ascii="宋体" w:hAnsi="宋体" w:eastAsia="宋体" w:cs="宋体"/>
                <w:b w:val="0"/>
                <w:bCs/>
                <w:color w:val="auto"/>
                <w:sz w:val="24"/>
                <w:szCs w:val="24"/>
                <w:highlight w:val="none"/>
              </w:rPr>
              <w:t>个工作日内支付。供应商提供税务发票时须附送货当日所执行的浙江省汽、柴油最高批发、零售价格表</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以“浙江省发展和改革委员会</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http://fzgswzigov.cn/)”网站发布的信息为准</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 xml:space="preserve">。 </w:t>
            </w:r>
          </w:p>
          <w:p>
            <w:pPr>
              <w:snapToGrid w:val="0"/>
              <w:spacing w:line="460" w:lineRule="atLeast"/>
              <w:ind w:firstLine="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snapToGrid/>
                <w:color w:val="auto"/>
                <w:kern w:val="2"/>
                <w:sz w:val="24"/>
                <w:szCs w:val="24"/>
                <w:highlight w:val="none"/>
                <w:lang w:val="en-US" w:eastAsia="zh-CN" w:bidi="ar-SA"/>
              </w:rPr>
              <w:t>每批次柴油结算金额=每批次柴油送货当日执行的浙江省0号（国VI）柴油最高零售价(元/升)×中标折扣率×本批次供货量。由采购人支付当期项目款（优先扣除预付款，扣完为止），合同周期内实际支付费用总额不超过年度预算总价</w:t>
            </w:r>
            <w:r>
              <w:rPr>
                <w:rFonts w:hint="eastAsia" w:ascii="宋体" w:hAnsi="宋体" w:eastAsia="宋体" w:cs="宋体"/>
                <w:color w:val="auto"/>
                <w:kern w:val="2"/>
                <w:sz w:val="24"/>
                <w:szCs w:val="24"/>
                <w:highlight w:val="none"/>
                <w:lang w:val="en-US" w:eastAsia="zh-CN" w:bidi="ar-SA"/>
              </w:rPr>
              <w:t>。</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结算时供应商将结款申请1份、发票原件及复印件1份、合同复印件1份和经采购人验收确认的《建德市政府采购验收反馈表》提交采购人，采购人应自收到发票后5个工作日内支付相应款项。</w:t>
            </w:r>
          </w:p>
          <w:p>
            <w:pPr>
              <w:spacing w:line="240" w:lineRule="auto"/>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w:t>
            </w:r>
          </w:p>
        </w:tc>
        <w:tc>
          <w:tcPr>
            <w:tcW w:w="4534" w:type="pct"/>
            <w:vAlign w:val="center"/>
          </w:tcPr>
          <w:p>
            <w:pPr>
              <w:snapToGrid w:val="0"/>
              <w:spacing w:line="240" w:lineRule="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交付期限：本项目供货期以满足以下3项中的任何1项即终止该项目合同（1.以本年度预算金额全部支付完成；2.自首次送油之日起达到1年六个月；3.因殡仪馆搬迁导致原燃油火化炉设备停止使用的）。</w:t>
            </w:r>
          </w:p>
          <w:p>
            <w:pPr>
              <w:snapToGrid w:val="0"/>
              <w:spacing w:line="240" w:lineRule="auto"/>
              <w:rPr>
                <w:rFonts w:hint="eastAsia" w:ascii="宋体" w:hAnsi="宋体" w:eastAsia="宋体" w:cs="宋体"/>
                <w:bCs/>
                <w:color w:val="auto"/>
                <w:kern w:val="2"/>
                <w:sz w:val="24"/>
                <w:szCs w:val="24"/>
                <w:highlight w:val="none"/>
                <w:lang w:val="en-US" w:eastAsia="zh-CN" w:bidi="ar-SA"/>
              </w:rPr>
            </w:pPr>
          </w:p>
          <w:p>
            <w:pPr>
              <w:snapToGrid w:val="0"/>
              <w:spacing w:line="240" w:lineRule="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本项目按采购人的实际需求分批次进行供货，采购人提前一天通知成交供应商，成交供应商收到采购人供货通知后，应在2个工作日内送货上门。</w:t>
            </w:r>
          </w:p>
          <w:p>
            <w:pPr>
              <w:spacing w:line="240" w:lineRule="auto"/>
              <w:rPr>
                <w:rFonts w:hint="eastAsia" w:ascii="宋体" w:hAnsi="宋体" w:eastAsia="宋体" w:cs="宋体"/>
                <w:color w:val="auto"/>
                <w:sz w:val="24"/>
                <w:szCs w:val="24"/>
                <w:highlight w:val="none"/>
              </w:rPr>
            </w:pPr>
            <w:r>
              <w:rPr>
                <w:rFonts w:hint="eastAsia" w:ascii="宋体" w:hAnsi="宋体" w:eastAsia="宋体" w:cs="宋体"/>
                <w:bCs/>
                <w:color w:val="auto"/>
                <w:kern w:val="2"/>
                <w:sz w:val="24"/>
                <w:szCs w:val="24"/>
                <w:highlight w:val="none"/>
                <w:lang w:val="en-US" w:eastAsia="zh-CN" w:bidi="ar-SA"/>
              </w:rPr>
              <w:t>如在规定的时间内由于供应商的原因不能完成交货的，供应商应承担由此给采购单位造成的损失。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.2 </w:t>
            </w:r>
          </w:p>
        </w:tc>
        <w:tc>
          <w:tcPr>
            <w:tcW w:w="4534" w:type="pct"/>
            <w:vAlign w:val="center"/>
          </w:tcPr>
          <w:p>
            <w:pPr>
              <w:widowControl/>
              <w:autoSpaceDE w:val="0"/>
              <w:autoSpaceDN w:val="0"/>
              <w:spacing w:line="240"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交付地点：</w:t>
            </w:r>
            <w:r>
              <w:rPr>
                <w:rFonts w:hint="eastAsia" w:ascii="宋体" w:hAnsi="宋体" w:eastAsia="宋体" w:cs="宋体"/>
                <w:color w:val="auto"/>
                <w:sz w:val="24"/>
                <w:szCs w:val="24"/>
                <w:highlight w:val="none"/>
                <w:lang w:eastAsia="zh-CN"/>
              </w:rPr>
              <w:t>甲方指定。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.3</w:t>
            </w:r>
          </w:p>
        </w:tc>
        <w:tc>
          <w:tcPr>
            <w:tcW w:w="4534" w:type="pct"/>
            <w:vAlign w:val="center"/>
          </w:tcPr>
          <w:p>
            <w:pPr>
              <w:widowControl/>
              <w:autoSpaceDE w:val="0"/>
              <w:autoSpaceDN w:val="0"/>
              <w:spacing w:line="240"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交付方式：中标方送货上门</w:t>
            </w:r>
            <w:r>
              <w:rPr>
                <w:rFonts w:hint="eastAsia" w:ascii="宋体" w:hAnsi="宋体" w:eastAsia="宋体" w:cs="宋体"/>
                <w:color w:val="auto"/>
                <w:sz w:val="24"/>
                <w:szCs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p>
        </w:tc>
        <w:tc>
          <w:tcPr>
            <w:tcW w:w="4534" w:type="pct"/>
            <w:vAlign w:val="center"/>
          </w:tcPr>
          <w:p>
            <w:pPr>
              <w:widowControl/>
              <w:autoSpaceDE w:val="0"/>
              <w:autoSpaceDN w:val="0"/>
              <w:spacing w:line="240"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违约责任：由于乙方原因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除不可抗力外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不能按期交付合同标的，对超出交付期的每一天，乙方应按合同总价款的万分之五承担违约金，在合同货款支付时一次性扣除。若超出交付期十天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含十天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以上的，甲方有权终止合同，履约保证金不予退还。</w:t>
            </w:r>
          </w:p>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按合同要求将货物送达甲方后，经验收合格后，甲方超出付款期支付货款的，每逾一天，甲方应向乙方支付合同货物金额的万分之五的滞纳金。如遇特殊情况甲方要求推迟供货或验收的，必须事先征得乙方的同意，否则应承担由此给乙方造成的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9</w:t>
            </w:r>
          </w:p>
        </w:tc>
        <w:tc>
          <w:tcPr>
            <w:tcW w:w="4534" w:type="pct"/>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szCs w:val="24"/>
                <w:highlight w:val="none"/>
                <w:u w:val="single"/>
              </w:rPr>
              <w:t xml:space="preserve"> 1.</w:t>
            </w:r>
            <w:r>
              <w:rPr>
                <w:rFonts w:hint="eastAsia" w:ascii="宋体" w:hAnsi="宋体" w:eastAsia="宋体" w:cs="宋体"/>
                <w:b/>
                <w:i/>
                <w:color w:val="auto"/>
                <w:sz w:val="24"/>
                <w:szCs w:val="24"/>
                <w:highlight w:val="none"/>
                <w:u w:val="single"/>
                <w:lang w:val="en-US" w:eastAsia="zh-CN"/>
              </w:rPr>
              <w:t>9</w:t>
            </w:r>
            <w:r>
              <w:rPr>
                <w:rFonts w:hint="eastAsia" w:ascii="宋体" w:hAnsi="宋体" w:eastAsia="宋体" w:cs="宋体"/>
                <w:b/>
                <w:i/>
                <w:color w:val="auto"/>
                <w:sz w:val="24"/>
                <w:szCs w:val="24"/>
                <w:highlight w:val="none"/>
                <w:u w:val="single"/>
              </w:rPr>
              <w:t xml:space="preserve">.2  </w:t>
            </w:r>
            <w:r>
              <w:rPr>
                <w:rFonts w:hint="eastAsia" w:ascii="宋体" w:hAnsi="宋体" w:eastAsia="宋体" w:cs="宋体"/>
                <w:color w:val="auto"/>
                <w:sz w:val="24"/>
                <w:szCs w:val="24"/>
                <w:highlight w:val="none"/>
              </w:rPr>
              <w:t>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p>
        </w:tc>
        <w:tc>
          <w:tcPr>
            <w:tcW w:w="4534" w:type="pct"/>
            <w:vAlign w:val="center"/>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p>
        </w:tc>
        <w:tc>
          <w:tcPr>
            <w:tcW w:w="4534" w:type="pct"/>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向</w:t>
            </w:r>
            <w:r>
              <w:rPr>
                <w:rFonts w:hint="eastAsia" w:ascii="宋体" w:hAnsi="宋体" w:eastAsia="宋体" w:cs="宋体"/>
                <w:b/>
                <w:i/>
                <w:color w:val="auto"/>
                <w:sz w:val="24"/>
                <w:szCs w:val="24"/>
                <w:highlight w:val="none"/>
                <w:u w:val="single"/>
              </w:rPr>
              <w:t>建德市人民法院</w:t>
            </w:r>
            <w:r>
              <w:rPr>
                <w:rFonts w:hint="eastAsia" w:ascii="宋体" w:hAnsi="宋体" w:eastAsia="宋体" w:cs="宋体"/>
                <w:color w:val="auto"/>
                <w:sz w:val="24"/>
                <w:szCs w:val="24"/>
                <w:highlight w:val="none"/>
              </w:rPr>
              <w:t>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p>
        </w:tc>
        <w:tc>
          <w:tcPr>
            <w:tcW w:w="4534" w:type="pct"/>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具有知识产权的计算机软件等货物的知识产权归属：</w:t>
            </w:r>
            <w:r>
              <w:rPr>
                <w:rFonts w:hint="eastAsia" w:ascii="宋体" w:hAnsi="宋体" w:eastAsia="宋体" w:cs="宋体"/>
                <w:b/>
                <w:bCs/>
                <w:color w:val="auto"/>
                <w:sz w:val="24"/>
                <w:szCs w:val="24"/>
                <w:highlight w:val="none"/>
              </w:rPr>
              <w:t>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4.1</w:t>
            </w:r>
          </w:p>
        </w:tc>
        <w:tc>
          <w:tcPr>
            <w:tcW w:w="4534" w:type="pct"/>
            <w:vAlign w:val="center"/>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p>
        </w:tc>
        <w:tc>
          <w:tcPr>
            <w:tcW w:w="4534" w:type="pct"/>
            <w:vAlign w:val="center"/>
          </w:tcPr>
          <w:p>
            <w:pPr>
              <w:spacing w:line="360" w:lineRule="auto"/>
              <w:ind w:left="-420" w:leftChars="-200" w:right="-420" w:righ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装运货物的要求和通知：</w:t>
            </w:r>
            <w:r>
              <w:rPr>
                <w:rFonts w:hint="eastAsia" w:ascii="宋体" w:hAnsi="宋体" w:eastAsia="宋体" w:cs="宋体"/>
                <w:b/>
                <w:bCs/>
                <w:color w:val="auto"/>
                <w:sz w:val="24"/>
                <w:szCs w:val="24"/>
                <w:highlight w:val="none"/>
              </w:rPr>
              <w:t>按乙方投标方案中进度要求。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65"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8</w:t>
            </w:r>
          </w:p>
        </w:tc>
        <w:tc>
          <w:tcPr>
            <w:tcW w:w="4534" w:type="pct"/>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货物或者在途货物或者交付给第一承运人后的货物毁损、灭失的风险负担</w:t>
            </w:r>
          </w:p>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都有</w:t>
            </w:r>
            <w:r>
              <w:rPr>
                <w:rFonts w:hint="eastAsia" w:ascii="宋体" w:hAnsi="宋体" w:eastAsia="宋体" w:cs="宋体"/>
                <w:b/>
                <w:bCs/>
                <w:color w:val="auto"/>
                <w:sz w:val="24"/>
                <w:szCs w:val="24"/>
                <w:highlight w:val="none"/>
                <w:u w:val="single"/>
              </w:rPr>
              <w:t>乙方自行负责</w:t>
            </w:r>
            <w:r>
              <w:rPr>
                <w:rFonts w:hint="eastAsia" w:ascii="宋体" w:hAnsi="宋体" w:eastAsia="宋体" w:cs="宋体"/>
                <w:color w:val="auto"/>
                <w:sz w:val="24"/>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.3</w:t>
            </w:r>
          </w:p>
        </w:tc>
        <w:tc>
          <w:tcPr>
            <w:tcW w:w="4534" w:type="pct"/>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因不可抗力致使合同有变更必要的，双方当事人应在</w:t>
            </w:r>
            <w:r>
              <w:rPr>
                <w:rFonts w:hint="eastAsia" w:ascii="宋体" w:hAnsi="宋体" w:eastAsia="宋体" w:cs="宋体"/>
                <w:b/>
                <w:i/>
                <w:color w:val="auto"/>
                <w:sz w:val="24"/>
                <w:szCs w:val="24"/>
                <w:highlight w:val="none"/>
                <w:u w:val="single"/>
              </w:rPr>
              <w:t>30日</w:t>
            </w:r>
            <w:r>
              <w:rPr>
                <w:rFonts w:hint="eastAsia" w:ascii="宋体" w:hAnsi="宋体" w:eastAsia="宋体" w:cs="宋体"/>
                <w:color w:val="auto"/>
                <w:sz w:val="24"/>
                <w:szCs w:val="24"/>
                <w:highlight w:val="none"/>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12.4</w:t>
            </w:r>
            <w:r>
              <w:rPr>
                <w:rFonts w:hint="eastAsia" w:ascii="宋体" w:hAnsi="宋体" w:eastAsia="宋体" w:cs="宋体"/>
                <w:color w:val="auto"/>
                <w:sz w:val="24"/>
                <w:szCs w:val="24"/>
                <w:highlight w:val="none"/>
              </w:rPr>
              <w:t xml:space="preserve"> </w:t>
            </w:r>
          </w:p>
        </w:tc>
        <w:tc>
          <w:tcPr>
            <w:tcW w:w="4534" w:type="pct"/>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受不可抗力影响的一方在不可抗力发生后，应在</w:t>
            </w:r>
            <w:r>
              <w:rPr>
                <w:rFonts w:hint="eastAsia" w:ascii="宋体" w:hAnsi="宋体" w:eastAsia="宋体" w:cs="宋体"/>
                <w:b/>
                <w:i/>
                <w:color w:val="auto"/>
                <w:sz w:val="24"/>
                <w:szCs w:val="24"/>
                <w:highlight w:val="none"/>
                <w:u w:val="single"/>
              </w:rPr>
              <w:t>7日</w:t>
            </w:r>
            <w:r>
              <w:rPr>
                <w:rFonts w:hint="eastAsia" w:ascii="宋体" w:hAnsi="宋体" w:eastAsia="宋体" w:cs="宋体"/>
                <w:color w:val="auto"/>
                <w:sz w:val="24"/>
                <w:szCs w:val="24"/>
                <w:highlight w:val="none"/>
              </w:rPr>
              <w:t>内以书面形式通知对方当事人，并在</w:t>
            </w:r>
            <w:r>
              <w:rPr>
                <w:rFonts w:hint="eastAsia" w:ascii="宋体" w:hAnsi="宋体" w:eastAsia="宋体" w:cs="宋体"/>
                <w:b/>
                <w:i/>
                <w:color w:val="auto"/>
                <w:sz w:val="24"/>
                <w:szCs w:val="24"/>
                <w:highlight w:val="none"/>
                <w:u w:val="single"/>
              </w:rPr>
              <w:t>14日</w:t>
            </w:r>
            <w:r>
              <w:rPr>
                <w:rFonts w:hint="eastAsia" w:ascii="宋体" w:hAnsi="宋体" w:eastAsia="宋体" w:cs="宋体"/>
                <w:color w:val="auto"/>
                <w:sz w:val="24"/>
                <w:szCs w:val="24"/>
                <w:highlight w:val="none"/>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p>
        </w:tc>
        <w:tc>
          <w:tcPr>
            <w:tcW w:w="4534" w:type="pct"/>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货物交付前，乙方应对货物的质量、数量等方面进行详细、全面的检验，并向甲方出具证明货物符合合同约定的文件；货物交付时，乙方在</w:t>
            </w:r>
            <w:r>
              <w:rPr>
                <w:rFonts w:hint="eastAsia" w:ascii="宋体" w:hAnsi="宋体" w:eastAsia="宋体" w:cs="宋体"/>
                <w:b/>
                <w:bCs/>
                <w:color w:val="auto"/>
                <w:sz w:val="24"/>
                <w:szCs w:val="24"/>
                <w:highlight w:val="none"/>
                <w:u w:val="single"/>
              </w:rPr>
              <w:t>货物安装调试完成3日内</w:t>
            </w:r>
            <w:r>
              <w:rPr>
                <w:rFonts w:hint="eastAsia" w:ascii="宋体" w:hAnsi="宋体" w:eastAsia="宋体" w:cs="宋体"/>
                <w:color w:val="auto"/>
                <w:sz w:val="24"/>
                <w:szCs w:val="24"/>
                <w:highlight w:val="none"/>
              </w:rPr>
              <w:t>组织验收，并可依法邀请相关方参加，验收应出具验收书。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p>
        </w:tc>
        <w:tc>
          <w:tcPr>
            <w:tcW w:w="4534" w:type="pct"/>
            <w:vAlign w:val="center"/>
          </w:tcPr>
          <w:p>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2.16.</w:t>
            </w:r>
            <w:r>
              <w:rPr>
                <w:rFonts w:hint="eastAsia" w:ascii="宋体" w:hAnsi="宋体" w:eastAsia="宋体" w:cs="宋体"/>
                <w:color w:val="auto"/>
                <w:sz w:val="24"/>
                <w:szCs w:val="24"/>
                <w:highlight w:val="none"/>
                <w:lang w:val="en-US" w:eastAsia="zh-CN"/>
              </w:rPr>
              <w:t>3</w:t>
            </w:r>
          </w:p>
        </w:tc>
        <w:tc>
          <w:tcPr>
            <w:tcW w:w="4534" w:type="pct"/>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检验和验收标准、程序等具体内容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（1）交货验收：由双方指定人员共同进行现场交货验收，</w:t>
            </w:r>
            <w:r>
              <w:rPr>
                <w:rFonts w:hint="eastAsia" w:ascii="宋体" w:hAnsi="宋体" w:eastAsia="宋体" w:cs="宋体"/>
                <w:color w:val="auto"/>
                <w:sz w:val="24"/>
                <w:szCs w:val="24"/>
                <w:highlight w:val="none"/>
                <w:lang w:eastAsia="zh-CN"/>
              </w:rPr>
              <w:t>甲方所需</w:t>
            </w:r>
            <w:r>
              <w:rPr>
                <w:rFonts w:hint="eastAsia" w:ascii="宋体" w:hAnsi="宋体" w:eastAsia="宋体" w:cs="宋体"/>
                <w:color w:val="auto"/>
                <w:sz w:val="24"/>
                <w:szCs w:val="24"/>
                <w:highlight w:val="none"/>
              </w:rPr>
              <w:t>每批次柴油送货数量</w:t>
            </w:r>
            <w:r>
              <w:rPr>
                <w:rFonts w:hint="eastAsia" w:ascii="宋体" w:hAnsi="宋体" w:eastAsia="宋体" w:cs="宋体"/>
                <w:color w:val="auto"/>
                <w:sz w:val="24"/>
                <w:szCs w:val="24"/>
                <w:highlight w:val="none"/>
                <w:lang w:eastAsia="zh-CN"/>
              </w:rPr>
              <w:t>以油表显示的油品体积数进行结算，成交供应商自带油表和交货清单（交货清单上注明产品规格型号、体积数、单位等）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若交货单体积数与油表体积数不一致时采用以下结算方式：</w:t>
            </w:r>
            <w:r>
              <w:rPr>
                <w:rFonts w:hint="eastAsia" w:ascii="宋体" w:hAnsi="宋体" w:eastAsia="宋体" w:cs="宋体"/>
                <w:color w:val="auto"/>
                <w:sz w:val="24"/>
                <w:szCs w:val="24"/>
                <w:highlight w:val="none"/>
                <w:lang w:val="en-US" w:eastAsia="zh-CN"/>
              </w:rPr>
              <w:t>1.若交货单</w:t>
            </w:r>
            <w:r>
              <w:rPr>
                <w:rFonts w:hint="eastAsia" w:ascii="宋体" w:hAnsi="宋体" w:eastAsia="宋体" w:cs="宋体"/>
                <w:color w:val="auto"/>
                <w:sz w:val="24"/>
                <w:szCs w:val="24"/>
                <w:highlight w:val="none"/>
                <w:lang w:eastAsia="zh-CN"/>
              </w:rPr>
              <w:t>体积数</w:t>
            </w:r>
            <w:r>
              <w:rPr>
                <w:rFonts w:hint="eastAsia" w:ascii="宋体" w:hAnsi="宋体" w:eastAsia="宋体" w:cs="宋体"/>
                <w:color w:val="auto"/>
                <w:sz w:val="24"/>
                <w:szCs w:val="24"/>
                <w:highlight w:val="none"/>
                <w:lang w:val="en-US" w:eastAsia="zh-CN"/>
              </w:rPr>
              <w:t>小于油表</w:t>
            </w:r>
            <w:r>
              <w:rPr>
                <w:rFonts w:hint="eastAsia" w:ascii="宋体" w:hAnsi="宋体" w:eastAsia="宋体" w:cs="宋体"/>
                <w:color w:val="auto"/>
                <w:sz w:val="24"/>
                <w:szCs w:val="24"/>
                <w:highlight w:val="none"/>
                <w:lang w:eastAsia="zh-CN"/>
              </w:rPr>
              <w:t>体积数</w:t>
            </w:r>
            <w:r>
              <w:rPr>
                <w:rFonts w:hint="eastAsia" w:ascii="宋体" w:hAnsi="宋体" w:eastAsia="宋体" w:cs="宋体"/>
                <w:color w:val="auto"/>
                <w:sz w:val="24"/>
                <w:szCs w:val="24"/>
                <w:highlight w:val="none"/>
                <w:lang w:val="en-US" w:eastAsia="zh-CN"/>
              </w:rPr>
              <w:t>则以交货单</w:t>
            </w:r>
            <w:r>
              <w:rPr>
                <w:rFonts w:hint="eastAsia" w:ascii="宋体" w:hAnsi="宋体" w:eastAsia="宋体" w:cs="宋体"/>
                <w:color w:val="auto"/>
                <w:sz w:val="24"/>
                <w:szCs w:val="24"/>
                <w:highlight w:val="none"/>
                <w:lang w:eastAsia="zh-CN"/>
              </w:rPr>
              <w:t>体积数</w:t>
            </w:r>
            <w:r>
              <w:rPr>
                <w:rFonts w:hint="eastAsia" w:ascii="宋体" w:hAnsi="宋体" w:eastAsia="宋体" w:cs="宋体"/>
                <w:color w:val="auto"/>
                <w:sz w:val="24"/>
                <w:szCs w:val="24"/>
                <w:highlight w:val="none"/>
                <w:lang w:val="en-US" w:eastAsia="zh-CN"/>
              </w:rPr>
              <w:t>进行结算；2.若交货单</w:t>
            </w:r>
            <w:r>
              <w:rPr>
                <w:rFonts w:hint="eastAsia" w:ascii="宋体" w:hAnsi="宋体" w:eastAsia="宋体" w:cs="宋体"/>
                <w:color w:val="auto"/>
                <w:sz w:val="24"/>
                <w:szCs w:val="24"/>
                <w:highlight w:val="none"/>
                <w:lang w:eastAsia="zh-CN"/>
              </w:rPr>
              <w:t>体积数</w:t>
            </w:r>
            <w:r>
              <w:rPr>
                <w:rFonts w:hint="eastAsia" w:ascii="宋体" w:hAnsi="宋体" w:eastAsia="宋体" w:cs="宋体"/>
                <w:color w:val="auto"/>
                <w:sz w:val="24"/>
                <w:szCs w:val="24"/>
                <w:highlight w:val="none"/>
                <w:lang w:val="en-US" w:eastAsia="zh-CN"/>
              </w:rPr>
              <w:t>大于油表</w:t>
            </w:r>
            <w:r>
              <w:rPr>
                <w:rFonts w:hint="eastAsia" w:ascii="宋体" w:hAnsi="宋体" w:eastAsia="宋体" w:cs="宋体"/>
                <w:color w:val="auto"/>
                <w:sz w:val="24"/>
                <w:szCs w:val="24"/>
                <w:highlight w:val="none"/>
                <w:lang w:eastAsia="zh-CN"/>
              </w:rPr>
              <w:t>体积数</w:t>
            </w:r>
            <w:r>
              <w:rPr>
                <w:rFonts w:hint="eastAsia" w:ascii="宋体" w:hAnsi="宋体" w:eastAsia="宋体" w:cs="宋体"/>
                <w:color w:val="auto"/>
                <w:sz w:val="24"/>
                <w:szCs w:val="24"/>
                <w:highlight w:val="none"/>
                <w:lang w:val="en-US" w:eastAsia="zh-CN"/>
              </w:rPr>
              <w:t>则以油表</w:t>
            </w:r>
            <w:r>
              <w:rPr>
                <w:rFonts w:hint="eastAsia" w:ascii="宋体" w:hAnsi="宋体" w:eastAsia="宋体" w:cs="宋体"/>
                <w:color w:val="auto"/>
                <w:sz w:val="24"/>
                <w:szCs w:val="24"/>
                <w:highlight w:val="none"/>
                <w:lang w:eastAsia="zh-CN"/>
              </w:rPr>
              <w:t>体积数</w:t>
            </w:r>
            <w:r>
              <w:rPr>
                <w:rFonts w:hint="eastAsia" w:ascii="宋体" w:hAnsi="宋体" w:eastAsia="宋体" w:cs="宋体"/>
                <w:color w:val="auto"/>
                <w:sz w:val="24"/>
                <w:szCs w:val="24"/>
                <w:highlight w:val="none"/>
                <w:lang w:val="en-US" w:eastAsia="zh-CN"/>
              </w:rPr>
              <w:t>进行结算。</w:t>
            </w:r>
            <w:r>
              <w:rPr>
                <w:rFonts w:hint="eastAsia" w:ascii="宋体" w:hAnsi="宋体" w:eastAsia="宋体" w:cs="宋体"/>
                <w:color w:val="auto"/>
                <w:sz w:val="24"/>
                <w:szCs w:val="24"/>
                <w:highlight w:val="none"/>
              </w:rPr>
              <w:t>若超过三次交货验收时送货数量不足的，</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有权终止合同。</w:t>
            </w:r>
          </w:p>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检测验收：采购人不定期对油品进行抽验，抽验合格的检验费由采购人承担；抽验不合格的检验费由成交供应商承担，且采购人有权无条件终止合同，因此造成的损失则由成交供应商承担。</w:t>
            </w:r>
          </w:p>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（2）质量验收按照国家现行0号国VI柴油标准号：GB 19147-2016的标准执行，如有最新国家标准，按照最新国家标准执行。取样方法按照标准号：GB/T4756-2015执行。</w:t>
            </w:r>
          </w:p>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）若成交供应商提供的货物与采购文件规定的不符，并存在以次充好的情况，采购人有权终止合同，因此造成的损失则由成交供应商承担。</w:t>
            </w:r>
          </w:p>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）供应商应保证柴油必须符合国家标准，在正常使用情况下，能确保运输、贮存、使用安全，并保证不会对相关设施如贮罐、日用油箱、输油泵等造成不良影响；必须接受采购人对柴油的监督和检查。</w:t>
            </w:r>
          </w:p>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）质量保证期：自油料交货验收合格之日起6个月。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20</w:t>
            </w:r>
          </w:p>
        </w:tc>
        <w:tc>
          <w:tcPr>
            <w:tcW w:w="4534" w:type="pct"/>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合同份数：</w:t>
            </w:r>
            <w:r>
              <w:rPr>
                <w:rFonts w:hint="eastAsia" w:ascii="宋体" w:hAnsi="宋体" w:eastAsia="宋体" w:cs="宋体"/>
                <w:color w:val="auto"/>
                <w:kern w:val="0"/>
                <w:sz w:val="24"/>
                <w:szCs w:val="24"/>
                <w:highlight w:val="none"/>
              </w:rPr>
              <w:t>本合同壹式陆份，甲、乙双方各执贰份，见证单位壹份，监管部门壹份。</w:t>
            </w:r>
          </w:p>
        </w:tc>
      </w:tr>
    </w:tbl>
    <w:p>
      <w:pPr>
        <w:spacing w:line="360" w:lineRule="auto"/>
        <w:ind w:left="-420" w:leftChars="-200" w:right="-420" w:rightChars="-200" w:firstLine="480" w:firstLineChars="200"/>
        <w:rPr>
          <w:rFonts w:hint="eastAsia" w:ascii="宋体" w:hAnsi="宋体" w:eastAsia="宋体" w:cs="宋体"/>
          <w:color w:val="auto"/>
          <w:sz w:val="24"/>
          <w:highlight w:val="none"/>
        </w:rPr>
      </w:pPr>
    </w:p>
    <w:p>
      <w:pPr>
        <w:spacing w:line="360" w:lineRule="auto"/>
        <w:ind w:left="-420" w:leftChars="-200" w:right="-420" w:rightChars="-200"/>
        <w:rPr>
          <w:rFonts w:hint="eastAsia" w:ascii="宋体" w:hAnsi="宋体" w:eastAsia="宋体" w:cs="宋体"/>
          <w:color w:val="auto"/>
          <w:sz w:val="24"/>
          <w:highlight w:val="none"/>
        </w:rPr>
      </w:pPr>
    </w:p>
    <w:p>
      <w:pPr>
        <w:pStyle w:val="2"/>
        <w:tabs>
          <w:tab w:val="left" w:pos="432"/>
        </w:tabs>
        <w:rPr>
          <w:rFonts w:hint="eastAsia" w:ascii="宋体" w:hAnsi="宋体" w:eastAsia="宋体" w:cs="宋体"/>
          <w:color w:val="auto"/>
          <w:highlight w:val="none"/>
        </w:rPr>
      </w:pPr>
    </w:p>
    <w:p>
      <w:pPr>
        <w:pStyle w:val="14"/>
        <w:spacing w:line="460" w:lineRule="exact"/>
        <w:ind w:firstLine="0"/>
        <w:rPr>
          <w:rFonts w:hint="eastAsia" w:ascii="宋体" w:hAnsi="宋体" w:eastAsia="宋体" w:cs="宋体"/>
          <w:color w:val="auto"/>
          <w:szCs w:val="24"/>
          <w:highlight w:val="none"/>
        </w:rPr>
        <w:sectPr>
          <w:pgSz w:w="11906" w:h="16838"/>
          <w:pgMar w:top="1247" w:right="1418" w:bottom="1247" w:left="1588" w:header="851" w:footer="992" w:gutter="0"/>
          <w:cols w:space="720" w:num="1"/>
          <w:docGrid w:type="lines" w:linePitch="312" w:charSpace="0"/>
        </w:sectPr>
      </w:pPr>
    </w:p>
    <w:p>
      <w:pPr>
        <w:pStyle w:val="15"/>
        <w:rPr>
          <w:rFonts w:hint="eastAsia" w:ascii="宋体" w:hAnsi="宋体" w:eastAsia="宋体" w:cs="宋体"/>
          <w:color w:val="auto"/>
          <w:highlight w:val="none"/>
        </w:rPr>
      </w:pPr>
    </w:p>
    <w:p>
      <w:pPr>
        <w:snapToGrid w:val="0"/>
        <w:spacing w:line="460" w:lineRule="exac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第六部分 应提交的有关格式范例</w:t>
      </w:r>
    </w:p>
    <w:p>
      <w:pPr>
        <w:spacing w:line="460" w:lineRule="exact"/>
        <w:jc w:val="center"/>
        <w:outlineLvl w:val="0"/>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（2）联合协议（如果有）…………………………………………………（页码）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（3）落实政府采购政策需满足的资格要求（如果有）…………………（页码）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（4）本项目的特定资格要求（供应商需具有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危险化学品经营许可证</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color w:val="auto"/>
          <w:kern w:val="0"/>
          <w:sz w:val="24"/>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一、 符合参加政府采购活动应当具备的一般条件的承诺函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建德市民政局</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浙江建安工程管理有限公司：</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lang w:eastAsia="zh-CN"/>
        </w:rPr>
        <w:t xml:space="preserve">2024年建德市殡仪馆0#柴油采购项目（二次） </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eastAsia="zh-CN"/>
        </w:rPr>
        <w:t>JD2024BF-037-001</w:t>
      </w:r>
      <w:r>
        <w:rPr>
          <w:rFonts w:hint="eastAsia" w:ascii="宋体" w:hAnsi="宋体" w:eastAsia="宋体" w:cs="宋体"/>
          <w:color w:val="auto"/>
          <w:sz w:val="24"/>
          <w:highlight w:val="none"/>
        </w:rPr>
        <w:t>】政府采购活动，郑重承诺：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、中国政府采购网（www.ccgp.gov.cn）列入失信被执行人、</w:t>
      </w:r>
      <w:r>
        <w:rPr>
          <w:rFonts w:hint="eastAsia" w:ascii="宋体" w:hAnsi="宋体" w:eastAsia="宋体" w:cs="宋体"/>
          <w:color w:val="auto"/>
          <w:sz w:val="24"/>
          <w:highlight w:val="none"/>
          <w:lang w:eastAsia="zh-CN"/>
        </w:rPr>
        <w:t>重大税收违法失信主体</w:t>
      </w:r>
      <w:r>
        <w:rPr>
          <w:rFonts w:hint="eastAsia" w:ascii="宋体" w:hAnsi="宋体" w:eastAsia="宋体" w:cs="宋体"/>
          <w:color w:val="auto"/>
          <w:sz w:val="24"/>
          <w:highlight w:val="none"/>
        </w:rPr>
        <w:t>、政府采购严重违法失信行为记录名单。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pPr>
        <w:snapToGrid w:val="0"/>
        <w:spacing w:line="360" w:lineRule="auto"/>
        <w:ind w:right="48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[以联合体形式参与响应的，提供联合协议（附件5）；本项目不接受联合体响应或者供应商不以联合体形式响应的，则不需要提供）]</w:t>
      </w: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right="480"/>
        <w:rPr>
          <w:rFonts w:hint="eastAsia" w:ascii="宋体" w:hAnsi="宋体" w:eastAsia="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（根据采购公告落实政府采购政策需满足的资格要求选择提供相应的材料；未要求的，无需提供）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.专门面向中小企业，货物全部由符合政策要求的中小企业（或小微企业）制造或者服务全部由符合政策要求的中小企业（或小微企业）承接的，提供相应的中小企业声明函（附件7）。 </w:t>
      </w:r>
    </w:p>
    <w:p>
      <w:pPr>
        <w:widowControl/>
        <w:spacing w:line="360" w:lineRule="auto"/>
        <w:ind w:firstLine="480"/>
        <w:jc w:val="left"/>
        <w:rPr>
          <w:rFonts w:hint="eastAsia" w:ascii="宋体" w:hAnsi="宋体" w:eastAsia="宋体" w:cs="宋体"/>
          <w:color w:val="auto"/>
          <w:sz w:val="24"/>
          <w:highlight w:val="none"/>
        </w:rPr>
      </w:pPr>
    </w:p>
    <w:p>
      <w:pPr>
        <w:widowControl/>
        <w:spacing w:line="360" w:lineRule="auto"/>
        <w:ind w:firstLine="472" w:firstLineChars="196"/>
        <w:jc w:val="left"/>
        <w:rPr>
          <w:rFonts w:hint="eastAsia" w:ascii="宋体" w:hAnsi="宋体" w:eastAsia="宋体" w:cs="宋体"/>
          <w:color w:val="auto"/>
          <w:kern w:val="0"/>
          <w:sz w:val="24"/>
          <w:highlight w:val="none"/>
          <w:lang w:val="zh-CN"/>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要求以联合体形式参加的，提供联合协议（附件5）和中小企业声明函（附件7），联合协议中中小企业合同金额应当达到采购公告载明的比例；如果供应商本身提供所有标的均由中小企业制造或承接的，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要求合同分包的，提供分包意向协议（附件6）和中小企业声明函（附件7），分包意向协议中中小企业合同金额应当达到采购公告载明的比例；如果供应商本身提供所有标的均由中小企业制造或承接，</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pPr>
        <w:spacing w:line="360" w:lineRule="auto"/>
        <w:ind w:firstLine="643" w:firstLineChars="200"/>
        <w:rPr>
          <w:rFonts w:hint="eastAsia" w:ascii="宋体" w:hAnsi="宋体" w:eastAsia="宋体" w:cs="宋体"/>
          <w:b/>
          <w:color w:val="auto"/>
          <w:kern w:val="0"/>
          <w:sz w:val="32"/>
          <w:szCs w:val="32"/>
          <w:highlight w:val="none"/>
        </w:rPr>
      </w:pPr>
    </w:p>
    <w:p>
      <w:pPr>
        <w:spacing w:line="360" w:lineRule="auto"/>
        <w:ind w:firstLine="643" w:firstLineChars="200"/>
        <w:rPr>
          <w:rFonts w:hint="eastAsia" w:ascii="宋体" w:hAnsi="宋体" w:eastAsia="宋体" w:cs="宋体"/>
          <w:b/>
          <w:color w:val="auto"/>
          <w:kern w:val="0"/>
          <w:sz w:val="32"/>
          <w:szCs w:val="32"/>
          <w:highlight w:val="none"/>
        </w:rPr>
      </w:pPr>
    </w:p>
    <w:p>
      <w:pPr>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（根据采购公告本项目的特定资格要求提供相应的材料；未要求的，无需提供）</w:t>
      </w: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ind w:right="420"/>
        <w:rPr>
          <w:rFonts w:hint="eastAsia" w:ascii="宋体" w:hAnsi="宋体" w:eastAsia="宋体" w:cs="宋体"/>
          <w:b/>
          <w:color w:val="auto"/>
          <w:kern w:val="0"/>
          <w:sz w:val="36"/>
          <w:szCs w:val="36"/>
          <w:highlight w:val="none"/>
        </w:rPr>
        <w:sectPr>
          <w:pgSz w:w="11906" w:h="16838"/>
          <w:pgMar w:top="1276" w:right="1418" w:bottom="1247" w:left="1418" w:header="851" w:footer="992" w:gutter="0"/>
          <w:cols w:space="720" w:num="1"/>
          <w:titlePg/>
          <w:docGrid w:linePitch="312" w:charSpace="0"/>
        </w:sectPr>
      </w:pPr>
    </w:p>
    <w:p>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（1）响应函………………………………………………………………………（页码）</w:t>
      </w:r>
    </w:p>
    <w:p>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（2）授权委托书或法定代表人（单位负责人</w:t>
      </w:r>
      <w:r>
        <w:rPr>
          <w:rFonts w:hint="eastAsia" w:ascii="宋体" w:hAnsi="宋体" w:eastAsia="宋体" w:cs="宋体"/>
          <w:color w:val="auto"/>
          <w:sz w:val="24"/>
          <w:highlight w:val="none"/>
          <w:lang w:val="zh-CN"/>
        </w:rPr>
        <w:t>、自然人本人</w:t>
      </w:r>
      <w:r>
        <w:rPr>
          <w:rFonts w:hint="eastAsia" w:ascii="宋体" w:hAnsi="宋体" w:eastAsia="宋体" w:cs="宋体"/>
          <w:color w:val="auto"/>
          <w:sz w:val="24"/>
          <w:highlight w:val="none"/>
        </w:rPr>
        <w:t>）身份证明……（页码）</w:t>
      </w:r>
    </w:p>
    <w:p>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（3）分包意向协议（如果有）…………………………………………………（页码）</w:t>
      </w:r>
    </w:p>
    <w:p>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（4）符合性审查资料……………………………………………………………（页码）</w:t>
      </w:r>
    </w:p>
    <w:p>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（5）响应产品规格配置清单……………………………………………………（页码）</w:t>
      </w:r>
    </w:p>
    <w:p>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（6）商务技术偏离表……………………………………………………………（页码）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sz w:val="24"/>
          <w:highlight w:val="none"/>
        </w:rPr>
        <w:t>…………………………………………（页码）</w:t>
      </w: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一、响应</w:t>
      </w:r>
      <w:r>
        <w:rPr>
          <w:rFonts w:hint="eastAsia" w:ascii="宋体" w:hAnsi="宋体" w:eastAsia="宋体" w:cs="宋体"/>
          <w:b/>
          <w:color w:val="auto"/>
          <w:sz w:val="32"/>
          <w:szCs w:val="32"/>
          <w:highlight w:val="none"/>
        </w:rPr>
        <w:t>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建德市民政局</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浙江建安工程管理有限公司：</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lang w:eastAsia="zh-CN"/>
        </w:rPr>
        <w:t xml:space="preserve">2024年建德市殡仪馆0#柴油采购项目（二次） </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eastAsia="zh-CN"/>
        </w:rPr>
        <w:t>JD2024BF-037-001</w:t>
      </w:r>
      <w:r>
        <w:rPr>
          <w:rFonts w:hint="eastAsia" w:ascii="宋体" w:hAnsi="宋体" w:eastAsia="宋体" w:cs="宋体"/>
          <w:color w:val="auto"/>
          <w:sz w:val="24"/>
          <w:highlight w:val="none"/>
        </w:rPr>
        <w:t>】采购的有关活动，并对此项目进行响应。为此：</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1、我方承诺响应有效期从提交响应文件的截止之日起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本响应文件在响应有效期满之前均具有约束力。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2、我方的响应文件包括以下内容：</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2.1.2联合协议（以联合体形式响应的，提供联合协议；本项目不接受联合体响应或者供应商不以联合体形式响应的，则不需要提供）；</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2.1.3落实政府采购政策需满足的资格要求（未要求的，无需提供）；</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2.1.4本项目的特定资格要求（未要求的，无需提供）。</w:t>
      </w:r>
    </w:p>
    <w:p>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2商务技术</w:t>
      </w:r>
      <w:r>
        <w:rPr>
          <w:rFonts w:hint="eastAsia" w:ascii="宋体" w:hAnsi="宋体" w:eastAsia="宋体" w:cs="宋体"/>
          <w:color w:val="auto"/>
          <w:sz w:val="24"/>
          <w:highlight w:val="none"/>
          <w:lang w:val="zh-CN"/>
        </w:rPr>
        <w:t>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2.2.1响应函；</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w:t>
      </w:r>
      <w:r>
        <w:rPr>
          <w:rFonts w:hint="eastAsia" w:ascii="宋体" w:hAnsi="宋体" w:eastAsia="宋体" w:cs="宋体"/>
          <w:color w:val="auto"/>
          <w:sz w:val="24"/>
          <w:highlight w:val="none"/>
          <w:lang w:val="zh-CN"/>
        </w:rPr>
        <w:t>、自然人本人</w:t>
      </w:r>
      <w:r>
        <w:rPr>
          <w:rFonts w:hint="eastAsia" w:ascii="宋体" w:hAnsi="宋体" w:eastAsia="宋体" w:cs="宋体"/>
          <w:color w:val="auto"/>
          <w:sz w:val="24"/>
          <w:highlight w:val="none"/>
        </w:rPr>
        <w:t>）身份证明；</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2.2.3分包意向协议（成交后以分包方式履行合同的，提供分包意向协议；采购人不同意分包或者供应商成交后不以分包方式履行合同的，则不需要提供）；</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2.2.5响应产品规格配置清单；</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2.2.6商务技术偏离表；</w:t>
      </w:r>
    </w:p>
    <w:p>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政府采购供应商廉洁自律承诺书；</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2.3.1响应报价明细表；</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3、我方承诺除商务技术偏离表列出的偏离外，我方响应采购文件的全部要求。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4、如我方成交，我方承诺：</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4.1在收到成交通知书后，在成交通知书规定的期限内与你方签订合同；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4.3按照采购文件要求提交履约保证金；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供应商名称（电子签名）：                          </w:t>
      </w:r>
    </w:p>
    <w:p>
      <w:pPr>
        <w:spacing w:line="360" w:lineRule="auto"/>
        <w:jc w:val="center"/>
        <w:rPr>
          <w:rFonts w:hint="eastAsia" w:ascii="宋体" w:hAnsi="宋体" w:eastAsia="宋体" w:cs="宋体"/>
          <w:color w:val="auto"/>
          <w:sz w:val="24"/>
          <w:highlight w:val="none"/>
        </w:rPr>
        <w:sectPr>
          <w:pgSz w:w="11906" w:h="16838"/>
          <w:pgMar w:top="1276" w:right="1418" w:bottom="1247" w:left="1418" w:header="851" w:footer="992" w:gutter="0"/>
          <w:cols w:space="720" w:num="1"/>
          <w:titlePg/>
          <w:docGrid w:linePitch="312" w:charSpace="0"/>
        </w:sectPr>
      </w:pPr>
      <w:r>
        <w:rPr>
          <w:rFonts w:hint="eastAsia" w:ascii="宋体" w:hAnsi="宋体" w:eastAsia="宋体" w:cs="宋体"/>
          <w:color w:val="auto"/>
          <w:sz w:val="24"/>
          <w:highlight w:val="none"/>
        </w:rPr>
        <w:t xml:space="preserve">     日期：  年   月   日</w:t>
      </w: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color w:val="auto"/>
          <w:sz w:val="24"/>
          <w:highlight w:val="none"/>
        </w:rPr>
      </w:pPr>
    </w:p>
    <w:p>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授权委托书（适用于非联合体响应）</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建德市民政局</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浙江建安工程管理有限公司：</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lang w:eastAsia="zh-CN"/>
        </w:rPr>
        <w:t xml:space="preserve">2024年建德市殡仪馆0#柴油采购项目（二次） </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eastAsia="zh-CN"/>
        </w:rPr>
        <w:t>JD2024BF-037-001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政府采购响应的一切事项，其法律后果由我方承担。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供应商名称（电子签名）：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授权委托书（适用于联合体响应）</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建德市民政局</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浙江建安工程管理有限公司：</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lang w:eastAsia="zh-CN"/>
        </w:rPr>
        <w:t xml:space="preserve">2024年建德市殡仪馆0#柴油采购项目（二次） </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eastAsia="zh-CN"/>
        </w:rPr>
        <w:t>JD2024BF-037-001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政府采购响应的一切事项，其法律后果由我方承担。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特此告知。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sectPr>
          <w:pgSz w:w="11906" w:h="16838"/>
          <w:pgMar w:top="1276" w:right="1418" w:bottom="1247" w:left="1418" w:header="851" w:footer="992" w:gutter="0"/>
          <w:cols w:space="720" w:num="1"/>
          <w:titlePg/>
          <w:docGrid w:linePitch="312" w:charSpace="0"/>
        </w:sectPr>
      </w:pPr>
      <w:r>
        <w:rPr>
          <w:rFonts w:hint="eastAsia" w:ascii="宋体" w:hAnsi="宋体" w:eastAsia="宋体" w:cs="宋体"/>
          <w:color w:val="auto"/>
          <w:kern w:val="0"/>
          <w:sz w:val="24"/>
          <w:highlight w:val="none"/>
          <w:lang w:val="zh-CN"/>
        </w:rPr>
        <w:t xml:space="preserve">                                               日期：  年  月   日</w:t>
      </w:r>
    </w:p>
    <w:p>
      <w:pPr>
        <w:autoSpaceDE w:val="0"/>
        <w:autoSpaceDN w:val="0"/>
        <w:spacing w:line="360" w:lineRule="auto"/>
        <w:jc w:val="center"/>
        <w:rPr>
          <w:rFonts w:hint="eastAsia" w:ascii="宋体" w:hAnsi="宋体" w:eastAsia="宋体" w:cs="宋体"/>
          <w:b/>
          <w:color w:val="auto"/>
          <w:kern w:val="0"/>
          <w:sz w:val="32"/>
          <w:szCs w:val="32"/>
          <w:highlight w:val="none"/>
          <w:lang w:val="zh-CN"/>
        </w:rPr>
      </w:pP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的身份证明（适用于法定代表人、单位负责人或者自然人本人代表供应商参加响应）</w:t>
      </w:r>
    </w:p>
    <w:p>
      <w:pPr>
        <w:pStyle w:val="44"/>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2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44"/>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44"/>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                              </w:t>
      </w:r>
    </w:p>
    <w:p>
      <w:pPr>
        <w:spacing w:line="360" w:lineRule="auto"/>
        <w:jc w:val="center"/>
        <w:rPr>
          <w:rFonts w:hint="eastAsia" w:ascii="宋体" w:hAnsi="宋体" w:eastAsia="宋体" w:cs="宋体"/>
          <w:color w:val="auto"/>
          <w:kern w:val="0"/>
          <w:sz w:val="24"/>
          <w:highlight w:val="none"/>
          <w:lang w:val="zh-CN"/>
        </w:rPr>
        <w:sectPr>
          <w:pgSz w:w="11906" w:h="16838"/>
          <w:pgMar w:top="1276" w:right="1418" w:bottom="1247" w:left="1418" w:header="851" w:footer="992" w:gutter="0"/>
          <w:cols w:space="720" w:num="1"/>
          <w:titlePg/>
          <w:docGrid w:linePitch="312" w:charSpace="0"/>
        </w:sectPr>
      </w:pPr>
      <w:r>
        <w:rPr>
          <w:rFonts w:hint="eastAsia" w:ascii="宋体" w:hAnsi="宋体" w:eastAsia="宋体" w:cs="宋体"/>
          <w:color w:val="auto"/>
          <w:kern w:val="0"/>
          <w:sz w:val="24"/>
          <w:highlight w:val="none"/>
          <w:lang w:val="zh-CN"/>
        </w:rPr>
        <w:t xml:space="preserve">                   日期：  年  月  日</w:t>
      </w:r>
    </w:p>
    <w:p>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（成交后以分包方式履行合同的，提供分包意向协议（附件6）；采购人不同意分包或者供应商成交后不以分包方式履行合同的，则不需要提供。）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pPr>
        <w:jc w:val="center"/>
        <w:rPr>
          <w:rFonts w:hint="eastAsia" w:ascii="宋体" w:hAnsi="宋体" w:eastAsia="宋体" w:cs="宋体"/>
          <w:b/>
          <w:color w:val="auto"/>
          <w:kern w:val="0"/>
          <w:sz w:val="32"/>
          <w:szCs w:val="32"/>
          <w:highlight w:val="none"/>
        </w:rPr>
      </w:pPr>
    </w:p>
    <w:tbl>
      <w:tblPr>
        <w:tblStyle w:val="2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响应文件中的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响应文件按照采购文件要求签署、盖章。</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需要使用电子签名或者签字盖章的响应文件的组成部分</w:t>
            </w:r>
          </w:p>
        </w:tc>
        <w:tc>
          <w:tcPr>
            <w:tcW w:w="1418" w:type="dxa"/>
          </w:tcPr>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w:t>
            </w:r>
          </w:p>
          <w:p>
            <w:pPr>
              <w:rPr>
                <w:rFonts w:hint="eastAsia" w:ascii="宋体" w:hAnsi="宋体" w:eastAsia="宋体" w:cs="宋体"/>
                <w:color w:val="auto"/>
                <w:highlight w:val="none"/>
              </w:rPr>
            </w:pPr>
            <w:r>
              <w:rPr>
                <w:rFonts w:hint="eastAsia" w:ascii="宋体" w:hAnsi="宋体" w:eastAsia="宋体" w:cs="宋体"/>
                <w:color w:val="auto"/>
                <w:sz w:val="24"/>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响应文件中承诺的响应有效期不少于采购文件中载明的响应有效期。</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响应函</w:t>
            </w:r>
          </w:p>
        </w:tc>
        <w:tc>
          <w:tcPr>
            <w:tcW w:w="1418" w:type="dxa"/>
          </w:tcPr>
          <w:p>
            <w:pP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响应文件满足采购文件</w:t>
            </w:r>
            <w:r>
              <w:rPr>
                <w:rFonts w:hint="eastAsia" w:ascii="宋体" w:hAnsi="宋体" w:eastAsia="宋体" w:cs="宋体"/>
                <w:color w:val="auto"/>
                <w:sz w:val="24"/>
                <w:highlight w:val="none"/>
                <w:lang w:eastAsia="zh-CN"/>
              </w:rPr>
              <w:t>的其他</w:t>
            </w:r>
            <w:r>
              <w:rPr>
                <w:rFonts w:hint="eastAsia" w:ascii="宋体" w:hAnsi="宋体" w:eastAsia="宋体" w:cs="宋体"/>
                <w:color w:val="auto"/>
                <w:sz w:val="24"/>
                <w:highlight w:val="none"/>
              </w:rPr>
              <w:t>实质性要求。</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 系指实质性要求条款，明确要求提供材料的，按要求提供相应的材料；未明确要求提供材料的，依据商务技术偏离表）</w:t>
            </w:r>
          </w:p>
        </w:tc>
        <w:tc>
          <w:tcPr>
            <w:tcW w:w="1418" w:type="dxa"/>
          </w:tcPr>
          <w:p>
            <w:pP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  页</w:t>
            </w:r>
          </w:p>
        </w:tc>
      </w:tr>
    </w:tbl>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sectPr>
          <w:headerReference r:id="rId23" w:type="first"/>
          <w:footerReference r:id="rId25" w:type="first"/>
          <w:headerReference r:id="rId22" w:type="default"/>
          <w:footerReference r:id="rId24" w:type="default"/>
          <w:pgSz w:w="11906" w:h="16838"/>
          <w:pgMar w:top="1276" w:right="1418" w:bottom="1247" w:left="1418" w:header="851" w:footer="992" w:gutter="0"/>
          <w:cols w:space="720" w:num="1"/>
          <w:titlePg/>
          <w:docGrid w:linePitch="312" w:charSpace="0"/>
        </w:sectPr>
      </w:pPr>
    </w:p>
    <w:p>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五、响应产品规格配置清单</w:t>
      </w:r>
    </w:p>
    <w:p>
      <w:pPr>
        <w:pStyle w:val="14"/>
        <w:rPr>
          <w:rFonts w:hint="eastAsia" w:ascii="宋体" w:hAnsi="宋体" w:eastAsia="宋体" w:cs="宋体"/>
          <w:color w:val="auto"/>
          <w:highlight w:val="none"/>
          <w:lang w:val="en-US"/>
        </w:rPr>
      </w:pPr>
    </w:p>
    <w:tbl>
      <w:tblPr>
        <w:tblStyle w:val="2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型号（如果有需填写完整）</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bl>
    <w:p>
      <w:pPr>
        <w:pStyle w:val="13"/>
        <w:rPr>
          <w:rFonts w:hint="eastAsia" w:ascii="宋体" w:hAnsi="宋体" w:eastAsia="宋体" w:cs="宋体"/>
          <w:color w:val="auto"/>
          <w:highlight w:val="none"/>
          <w:lang w:val="en-US"/>
        </w:rPr>
        <w:sectPr>
          <w:pgSz w:w="11906" w:h="16838"/>
          <w:pgMar w:top="1276" w:right="1418" w:bottom="1247" w:left="1418" w:header="851" w:footer="992" w:gutter="0"/>
          <w:cols w:space="720" w:num="1"/>
          <w:titlePg/>
          <w:docGrid w:linePitch="312" w:charSpace="0"/>
        </w:sectPr>
      </w:pPr>
      <w:r>
        <w:rPr>
          <w:rFonts w:hint="eastAsia" w:ascii="宋体" w:hAnsi="宋体" w:eastAsia="宋体" w:cs="宋体"/>
          <w:color w:val="auto"/>
          <w:highlight w:val="none"/>
        </w:rPr>
        <w:t>注</w:t>
      </w:r>
      <w:r>
        <w:rPr>
          <w:rFonts w:hint="eastAsia" w:ascii="宋体" w:hAnsi="宋体" w:eastAsia="宋体" w:cs="宋体"/>
          <w:color w:val="auto"/>
          <w:highlight w:val="none"/>
          <w:lang w:val="en-US"/>
        </w:rPr>
        <w:t>：</w:t>
      </w:r>
      <w:r>
        <w:rPr>
          <w:rFonts w:hint="eastAsia" w:ascii="宋体" w:hAnsi="宋体" w:eastAsia="宋体" w:cs="宋体"/>
          <w:color w:val="auto"/>
          <w:highlight w:val="none"/>
        </w:rPr>
        <w:t>按本格式和要求提供。</w:t>
      </w: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六、商务技术偏离表</w:t>
      </w:r>
    </w:p>
    <w:tbl>
      <w:tblPr>
        <w:tblStyle w:val="2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采购文件章节及具体内容</w:t>
            </w:r>
          </w:p>
        </w:tc>
        <w:tc>
          <w:tcPr>
            <w:tcW w:w="354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响应文件章节及具体内容</w:t>
            </w:r>
          </w:p>
        </w:tc>
        <w:tc>
          <w:tcPr>
            <w:tcW w:w="127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供应商保证：除商务技术偏离表列出的偏离外，供应商响应采购文件的全部要求</w:t>
      </w:r>
    </w:p>
    <w:p>
      <w:pPr>
        <w:jc w:val="center"/>
        <w:rPr>
          <w:rFonts w:hint="eastAsia" w:ascii="宋体" w:hAnsi="宋体" w:eastAsia="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w:t>
      </w:r>
      <w:r>
        <w:rPr>
          <w:rFonts w:hint="eastAsia" w:ascii="宋体" w:hAnsi="宋体" w:eastAsia="宋体" w:cs="宋体"/>
          <w:b/>
          <w:color w:val="auto"/>
          <w:kern w:val="0"/>
          <w:sz w:val="32"/>
          <w:szCs w:val="32"/>
          <w:highlight w:val="none"/>
          <w:lang w:val="zh-CN"/>
        </w:rPr>
        <w:t>政府采购供应商廉洁自律承诺书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建德市民政局</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浙江建安工程管理有限公司：</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《中华人民共和国民法典》《政府采购非招标采购方式管理办法》</w:t>
      </w:r>
      <w:r>
        <w:rPr>
          <w:rFonts w:hint="eastAsia" w:ascii="宋体" w:hAnsi="宋体" w:eastAsia="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有权立即取消我单位响应、成交或在建项目的建设资格，有权拒绝我单位在一定时期内进入你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jc w:val="center"/>
        <w:rPr>
          <w:rFonts w:hint="eastAsia" w:ascii="宋体" w:hAnsi="宋体" w:eastAsia="宋体" w:cs="宋体"/>
          <w:b/>
          <w:bCs/>
          <w:color w:val="auto"/>
          <w:sz w:val="24"/>
          <w:highlight w:val="none"/>
        </w:rPr>
        <w:sectPr>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ind w:right="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（1）响应报价明细表………………………………………………………（页码）</w:t>
      </w:r>
    </w:p>
    <w:p>
      <w:pPr>
        <w:snapToGrid w:val="0"/>
        <w:spacing w:line="360" w:lineRule="auto"/>
        <w:ind w:right="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（2）中小企业声明函（如果有）…………………………………………（页码）</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4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27" w:type="first"/>
          <w:footerReference r:id="rId29" w:type="first"/>
          <w:headerReference r:id="rId26" w:type="default"/>
          <w:footerReference r:id="rId28" w:type="default"/>
          <w:pgSz w:w="11906" w:h="16838"/>
          <w:pgMar w:top="1276" w:right="1418" w:bottom="1247" w:left="1418" w:header="851" w:footer="992" w:gutter="0"/>
          <w:cols w:space="720" w:num="1"/>
          <w:titlePg/>
          <w:docGrid w:linePitch="312" w:charSpace="0"/>
        </w:sectPr>
      </w:pPr>
    </w:p>
    <w:p>
      <w:pPr>
        <w:pStyle w:val="4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一、响应报价明细表</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建德市民政局</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浙江建安工程管理有限公司：</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按你方采购文件要求，我们，本响应文件签字方，谨此向你方发出要约如下：如你方接受本响应，我方承诺按照如下响应报价明细表的价格完成</w:t>
      </w:r>
      <w:r>
        <w:rPr>
          <w:rFonts w:hint="eastAsia" w:ascii="宋体" w:hAnsi="宋体" w:eastAsia="宋体" w:cs="宋体"/>
          <w:color w:val="auto"/>
          <w:kern w:val="0"/>
          <w:sz w:val="24"/>
          <w:highlight w:val="none"/>
          <w:lang w:val="zh-CN" w:eastAsia="zh-CN"/>
        </w:rPr>
        <w:t xml:space="preserve">2024年建德市殡仪馆0#柴油采购项目（二次） </w:t>
      </w:r>
      <w:r>
        <w:rPr>
          <w:rFonts w:hint="eastAsia" w:ascii="宋体" w:hAnsi="宋体" w:eastAsia="宋体" w:cs="宋体"/>
          <w:color w:val="auto"/>
          <w:kern w:val="0"/>
          <w:sz w:val="24"/>
          <w:highlight w:val="none"/>
          <w:lang w:val="zh-CN"/>
        </w:rPr>
        <w:t>【项目编号：</w:t>
      </w:r>
      <w:r>
        <w:rPr>
          <w:rFonts w:hint="eastAsia" w:ascii="宋体" w:hAnsi="宋体" w:eastAsia="宋体" w:cs="宋体"/>
          <w:color w:val="auto"/>
          <w:kern w:val="0"/>
          <w:sz w:val="24"/>
          <w:highlight w:val="none"/>
          <w:lang w:val="zh-CN" w:eastAsia="zh-CN"/>
        </w:rPr>
        <w:t>JD2024BF-037-001</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b/>
          <w:color w:val="auto"/>
          <w:kern w:val="0"/>
          <w:sz w:val="24"/>
          <w:highlight w:val="none"/>
          <w:lang w:val="en-US" w:eastAsia="zh-CN"/>
        </w:rPr>
      </w:pPr>
      <w:r>
        <w:rPr>
          <w:rFonts w:hint="eastAsia" w:ascii="宋体" w:hAnsi="宋体" w:eastAsia="宋体" w:cs="宋体"/>
          <w:b/>
          <w:color w:val="auto"/>
          <w:kern w:val="0"/>
          <w:sz w:val="24"/>
          <w:highlight w:val="none"/>
          <w:lang w:val="zh-CN"/>
        </w:rPr>
        <w:t>响应报价明细表</w:t>
      </w:r>
      <w:r>
        <w:rPr>
          <w:rFonts w:hint="eastAsia" w:ascii="宋体" w:hAnsi="宋体" w:eastAsia="宋体" w:cs="宋体"/>
          <w:b/>
          <w:color w:val="auto"/>
          <w:kern w:val="0"/>
          <w:sz w:val="24"/>
          <w:highlight w:val="none"/>
          <w:lang w:val="en-US" w:eastAsia="zh-CN"/>
        </w:rPr>
        <w:t xml:space="preserve"> </w:t>
      </w:r>
    </w:p>
    <w:tbl>
      <w:tblPr>
        <w:tblStyle w:val="25"/>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2296"/>
        <w:gridCol w:w="2015"/>
        <w:gridCol w:w="2316"/>
        <w:gridCol w:w="2433"/>
        <w:gridCol w:w="2386"/>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304" w:type="pct"/>
            <w:noWrap w:val="0"/>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791" w:type="pct"/>
            <w:noWrap w:val="0"/>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694" w:type="pct"/>
            <w:noWrap w:val="0"/>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798" w:type="pct"/>
            <w:noWrap w:val="0"/>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838" w:type="pct"/>
            <w:noWrap w:val="0"/>
            <w:vAlign w:val="center"/>
          </w:tcPr>
          <w:p>
            <w:pPr>
              <w:spacing w:line="36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最高限价折扣率（</w:t>
            </w:r>
            <w:r>
              <w:rPr>
                <w:rFonts w:hint="eastAsia" w:ascii="宋体" w:hAnsi="宋体" w:eastAsia="宋体" w:cs="宋体"/>
                <w:b/>
                <w:color w:val="auto"/>
                <w:sz w:val="24"/>
                <w:highlight w:val="none"/>
                <w:lang w:val="en-US" w:eastAsia="zh-CN"/>
              </w:rPr>
              <w:t>%</w:t>
            </w:r>
            <w:r>
              <w:rPr>
                <w:rFonts w:hint="eastAsia" w:ascii="宋体" w:hAnsi="宋体" w:eastAsia="宋体" w:cs="宋体"/>
                <w:b/>
                <w:color w:val="auto"/>
                <w:sz w:val="24"/>
                <w:highlight w:val="none"/>
                <w:lang w:eastAsia="zh-CN"/>
              </w:rPr>
              <w:t>）</w:t>
            </w:r>
          </w:p>
        </w:tc>
        <w:tc>
          <w:tcPr>
            <w:tcW w:w="822" w:type="pct"/>
            <w:noWrap w:val="0"/>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w:t>
            </w:r>
            <w:r>
              <w:rPr>
                <w:rFonts w:hint="eastAsia" w:ascii="宋体" w:hAnsi="宋体" w:eastAsia="宋体" w:cs="宋体"/>
                <w:b/>
                <w:color w:val="auto"/>
                <w:sz w:val="24"/>
                <w:highlight w:val="none"/>
                <w:lang w:eastAsia="zh-CN"/>
              </w:rPr>
              <w:t>折扣率</w:t>
            </w:r>
            <w:r>
              <w:rPr>
                <w:rFonts w:hint="eastAsia" w:ascii="宋体" w:hAnsi="宋体" w:eastAsia="宋体" w:cs="宋体"/>
                <w:b/>
                <w:color w:val="auto"/>
                <w:sz w:val="24"/>
                <w:highlight w:val="none"/>
              </w:rPr>
              <w:t>（%）</w:t>
            </w:r>
          </w:p>
        </w:tc>
        <w:tc>
          <w:tcPr>
            <w:tcW w:w="748" w:type="pct"/>
            <w:noWrap w:val="0"/>
            <w:vAlign w:val="center"/>
          </w:tcPr>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04" w:type="pct"/>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791" w:type="pct"/>
            <w:noWrap w:val="0"/>
            <w:vAlign w:val="center"/>
          </w:tcPr>
          <w:p>
            <w:pPr>
              <w:snapToGrid w:val="0"/>
              <w:spacing w:line="360" w:lineRule="auto"/>
              <w:jc w:val="center"/>
              <w:rPr>
                <w:rFonts w:hint="eastAsia" w:ascii="宋体" w:hAnsi="宋体" w:eastAsia="宋体" w:cs="宋体"/>
                <w:color w:val="auto"/>
                <w:sz w:val="24"/>
                <w:highlight w:val="none"/>
              </w:rPr>
            </w:pPr>
          </w:p>
        </w:tc>
        <w:tc>
          <w:tcPr>
            <w:tcW w:w="694" w:type="pct"/>
            <w:noWrap w:val="0"/>
            <w:vAlign w:val="center"/>
          </w:tcPr>
          <w:p>
            <w:pPr>
              <w:snapToGrid w:val="0"/>
              <w:spacing w:line="360" w:lineRule="auto"/>
              <w:jc w:val="center"/>
              <w:rPr>
                <w:rFonts w:hint="eastAsia" w:ascii="宋体" w:hAnsi="宋体" w:eastAsia="宋体" w:cs="宋体"/>
                <w:color w:val="auto"/>
                <w:sz w:val="24"/>
                <w:highlight w:val="none"/>
              </w:rPr>
            </w:pPr>
          </w:p>
        </w:tc>
        <w:tc>
          <w:tcPr>
            <w:tcW w:w="798" w:type="pct"/>
            <w:noWrap w:val="0"/>
            <w:vAlign w:val="center"/>
          </w:tcPr>
          <w:p>
            <w:pPr>
              <w:snapToGrid w:val="0"/>
              <w:spacing w:line="360" w:lineRule="auto"/>
              <w:jc w:val="center"/>
              <w:rPr>
                <w:rFonts w:hint="eastAsia" w:ascii="宋体" w:hAnsi="宋体" w:eastAsia="宋体" w:cs="宋体"/>
                <w:color w:val="auto"/>
                <w:sz w:val="24"/>
                <w:highlight w:val="none"/>
              </w:rPr>
            </w:pPr>
          </w:p>
        </w:tc>
        <w:tc>
          <w:tcPr>
            <w:tcW w:w="838" w:type="pct"/>
            <w:noWrap w:val="0"/>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100.00</w:t>
            </w:r>
          </w:p>
        </w:tc>
        <w:tc>
          <w:tcPr>
            <w:tcW w:w="822" w:type="pct"/>
            <w:noWrap w:val="0"/>
            <w:vAlign w:val="center"/>
          </w:tcPr>
          <w:p>
            <w:pPr>
              <w:snapToGrid w:val="0"/>
              <w:spacing w:line="360" w:lineRule="auto"/>
              <w:jc w:val="center"/>
              <w:rPr>
                <w:rFonts w:hint="eastAsia" w:ascii="宋体" w:hAnsi="宋体" w:eastAsia="宋体" w:cs="宋体"/>
                <w:color w:val="auto"/>
                <w:sz w:val="24"/>
                <w:highlight w:val="none"/>
              </w:rPr>
            </w:pPr>
          </w:p>
        </w:tc>
        <w:tc>
          <w:tcPr>
            <w:tcW w:w="748" w:type="pct"/>
            <w:noWrap w:val="0"/>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填报单价的折扣率，小数点后保留两位小数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000" w:type="pct"/>
            <w:gridSpan w:val="7"/>
            <w:noWrap w:val="0"/>
            <w:vAlign w:val="center"/>
          </w:tcPr>
          <w:p>
            <w:pPr>
              <w:spacing w:line="360" w:lineRule="auto"/>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在政采云系统上的开标一览表中填折扣率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000" w:type="pct"/>
            <w:gridSpan w:val="7"/>
            <w:noWrap w:val="0"/>
            <w:vAlign w:val="center"/>
          </w:tcPr>
          <w:p>
            <w:pPr>
              <w:keepNext w:val="0"/>
              <w:keepLines w:val="0"/>
              <w:pageBreakBefore w:val="0"/>
              <w:widowControl w:val="0"/>
              <w:kinsoku/>
              <w:wordWrap w:val="0"/>
              <w:overflowPunct/>
              <w:topLinePunct w:val="0"/>
              <w:autoSpaceDE w:val="0"/>
              <w:autoSpaceDN w:val="0"/>
              <w:bidi w:val="0"/>
              <w:adjustRightInd w:val="0"/>
              <w:snapToGrid w:val="0"/>
              <w:spacing w:line="460" w:lineRule="exact"/>
              <w:textAlignment w:val="bottom"/>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结算价格</w:t>
            </w:r>
            <w:r>
              <w:rPr>
                <w:rFonts w:hint="eastAsia" w:ascii="宋体" w:hAnsi="宋体" w:eastAsia="宋体" w:cs="宋体"/>
                <w:b/>
                <w:bCs/>
                <w:color w:val="auto"/>
                <w:sz w:val="22"/>
                <w:szCs w:val="22"/>
                <w:highlight w:val="none"/>
                <w:lang w:eastAsia="zh-CN"/>
              </w:rPr>
              <w:t>以</w:t>
            </w:r>
            <w:r>
              <w:rPr>
                <w:rFonts w:hint="eastAsia" w:ascii="宋体" w:hAnsi="宋体" w:eastAsia="宋体" w:cs="宋体"/>
                <w:b/>
                <w:bCs/>
                <w:color w:val="auto"/>
                <w:sz w:val="22"/>
                <w:szCs w:val="22"/>
                <w:highlight w:val="none"/>
              </w:rPr>
              <w:t>送货当日所执行的浙江省柴油最</w:t>
            </w:r>
            <w:r>
              <w:rPr>
                <w:rFonts w:hint="eastAsia" w:ascii="宋体" w:hAnsi="宋体" w:eastAsia="宋体" w:cs="宋体"/>
                <w:b/>
                <w:bCs/>
                <w:color w:val="auto"/>
                <w:sz w:val="22"/>
                <w:szCs w:val="22"/>
                <w:highlight w:val="none"/>
                <w:lang w:eastAsia="zh-CN"/>
              </w:rPr>
              <w:t>高</w:t>
            </w:r>
            <w:r>
              <w:rPr>
                <w:rFonts w:hint="eastAsia" w:ascii="宋体" w:hAnsi="宋体" w:eastAsia="宋体" w:cs="宋体"/>
                <w:b/>
                <w:bCs/>
                <w:color w:val="auto"/>
                <w:sz w:val="22"/>
                <w:szCs w:val="22"/>
                <w:highlight w:val="none"/>
              </w:rPr>
              <w:t>单位体积零售价格</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以“浙江省发展和改革委员会</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http://fzgswzigov.cn/)”网站发布的信息为准</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进行结算。</w:t>
            </w:r>
            <w:r>
              <w:rPr>
                <w:rFonts w:hint="eastAsia" w:ascii="宋体" w:hAnsi="宋体" w:eastAsia="宋体" w:cs="宋体"/>
                <w:b/>
                <w:bCs/>
                <w:color w:val="auto"/>
                <w:sz w:val="22"/>
                <w:szCs w:val="22"/>
                <w:highlight w:val="none"/>
                <w:lang w:eastAsia="zh-CN"/>
              </w:rPr>
              <w:t>结算金额为</w:t>
            </w:r>
            <w:r>
              <w:rPr>
                <w:rFonts w:hint="eastAsia" w:ascii="宋体" w:hAnsi="宋体" w:eastAsia="宋体" w:cs="宋体"/>
                <w:b/>
                <w:bCs/>
                <w:color w:val="auto"/>
                <w:sz w:val="22"/>
                <w:szCs w:val="22"/>
                <w:highlight w:val="none"/>
              </w:rPr>
              <w:t>柴油</w:t>
            </w:r>
            <w:r>
              <w:rPr>
                <w:rFonts w:hint="eastAsia" w:ascii="宋体" w:hAnsi="宋体" w:eastAsia="宋体" w:cs="宋体"/>
                <w:b/>
                <w:bCs/>
                <w:color w:val="auto"/>
                <w:sz w:val="22"/>
                <w:szCs w:val="22"/>
                <w:highlight w:val="none"/>
                <w:lang w:eastAsia="zh-CN"/>
              </w:rPr>
              <w:t>最高零售价（元/升）</w:t>
            </w:r>
            <w:r>
              <w:rPr>
                <w:rFonts w:hint="eastAsia" w:ascii="宋体" w:hAnsi="宋体" w:eastAsia="宋体" w:cs="宋体"/>
                <w:b/>
                <w:bCs/>
                <w:color w:val="auto"/>
                <w:sz w:val="22"/>
                <w:szCs w:val="22"/>
                <w:highlight w:val="none"/>
              </w:rPr>
              <w:t>乘以成交供应商的中标折扣率。</w:t>
            </w:r>
          </w:p>
          <w:p>
            <w:pPr>
              <w:spacing w:line="360" w:lineRule="auto"/>
              <w:jc w:val="center"/>
              <w:rPr>
                <w:rFonts w:hint="eastAsia" w:ascii="宋体" w:hAnsi="宋体" w:eastAsia="宋体" w:cs="宋体"/>
                <w:color w:val="auto"/>
                <w:sz w:val="24"/>
                <w:highlight w:val="none"/>
              </w:rPr>
            </w:pPr>
          </w:p>
        </w:tc>
      </w:tr>
    </w:tbl>
    <w:p>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1、供应商需按本表格式填写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响应文件含有采购人不能接受的附加条件，响应无效</w:t>
      </w:r>
      <w:r>
        <w:rPr>
          <w:rFonts w:hint="eastAsia" w:ascii="宋体" w:hAnsi="宋体" w:eastAsia="宋体" w:cs="宋体"/>
          <w:color w:val="auto"/>
          <w:kern w:val="0"/>
          <w:sz w:val="24"/>
          <w:highlight w:val="none"/>
          <w:lang w:val="zh-CN"/>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响应文件含有采购人不能接受的附加条件，响应无效</w:t>
      </w:r>
      <w:r>
        <w:rPr>
          <w:rFonts w:hint="eastAsia" w:ascii="宋体" w:hAnsi="宋体" w:eastAsia="宋体" w:cs="宋体"/>
          <w:b/>
          <w:color w:val="auto"/>
          <w:kern w:val="0"/>
          <w:sz w:val="24"/>
          <w:highlight w:val="none"/>
          <w:lang w:val="zh-CN"/>
        </w:rPr>
        <w:t>；采购内容未包含在《响应报价明细表》名称栏中，供应商不能作出合理解释的，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响应文件含有采购人不能接受的附加条件的，响应无效。</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3、特别提示：采购代理机构将对项目名称和项目编号，成交供应商名称、地址和成交金额，主要成交标的名称、品牌（如果有）、规格型号、数量、单价等予以公示。</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p>
    <w:p>
      <w:pPr>
        <w:pStyle w:val="14"/>
        <w:rPr>
          <w:rFonts w:hint="eastAsia" w:ascii="宋体" w:hAnsi="宋体" w:eastAsia="宋体" w:cs="宋体"/>
          <w:color w:val="auto"/>
          <w:highlight w:val="none"/>
        </w:rPr>
      </w:pPr>
    </w:p>
    <w:p>
      <w:pPr>
        <w:snapToGrid w:val="0"/>
        <w:spacing w:line="360" w:lineRule="auto"/>
        <w:ind w:firstLine="480" w:firstLineChars="200"/>
        <w:jc w:val="left"/>
        <w:rPr>
          <w:rFonts w:hint="eastAsia" w:ascii="宋体" w:hAnsi="宋体" w:eastAsia="宋体" w:cs="宋体"/>
          <w:color w:val="auto"/>
          <w:kern w:val="0"/>
          <w:sz w:val="24"/>
          <w:highlight w:val="none"/>
          <w:lang w:val="zh-CN"/>
        </w:rPr>
      </w:pPr>
    </w:p>
    <w:p>
      <w:pPr>
        <w:pStyle w:val="4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4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31" w:type="first"/>
          <w:headerReference r:id="rId30" w:type="default"/>
          <w:pgSz w:w="16838" w:h="11906" w:orient="landscape"/>
          <w:pgMar w:top="1418" w:right="1247" w:bottom="1418" w:left="1276" w:header="851" w:footer="992" w:gutter="0"/>
          <w:cols w:space="720" w:num="1"/>
          <w:titlePg/>
          <w:docGrid w:linePitch="312" w:charSpace="0"/>
        </w:sectPr>
      </w:pPr>
    </w:p>
    <w:p>
      <w:pPr>
        <w:pStyle w:val="46"/>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46"/>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sectPr>
          <w:headerReference r:id="rId32" w:type="default"/>
          <w:footerReference r:id="rId33" w:type="default"/>
          <w:pgSz w:w="11906" w:h="16838"/>
          <w:pgMar w:top="1440" w:right="1800" w:bottom="1440" w:left="1800" w:header="930" w:footer="992" w:gutter="0"/>
          <w:cols w:space="425" w:num="1"/>
          <w:docGrid w:type="lines" w:linePitch="312" w:charSpace="0"/>
        </w:sectPr>
      </w:pPr>
    </w:p>
    <w:p>
      <w:pPr>
        <w:spacing w:line="360" w:lineRule="auto"/>
        <w:jc w:val="center"/>
        <w:rPr>
          <w:rFonts w:hint="eastAsia" w:ascii="宋体" w:hAnsi="宋体" w:eastAsia="宋体" w:cs="宋体"/>
          <w:b/>
          <w:bCs/>
          <w:color w:val="auto"/>
          <w:kern w:val="44"/>
          <w:sz w:val="44"/>
          <w:szCs w:val="44"/>
          <w:highlight w:val="none"/>
        </w:rPr>
      </w:pPr>
      <w:bookmarkStart w:id="534" w:name="_Toc465665161"/>
      <w:r>
        <w:rPr>
          <w:rFonts w:hint="eastAsia" w:ascii="宋体" w:hAnsi="宋体" w:eastAsia="宋体" w:cs="宋体"/>
          <w:b/>
          <w:bCs/>
          <w:color w:val="auto"/>
          <w:kern w:val="44"/>
          <w:sz w:val="44"/>
          <w:szCs w:val="44"/>
          <w:highlight w:val="none"/>
        </w:rPr>
        <w:t>附件</w:t>
      </w:r>
      <w:bookmarkEnd w:id="534"/>
    </w:p>
    <w:p>
      <w:pPr>
        <w:spacing w:line="360" w:lineRule="auto"/>
        <w:rPr>
          <w:rFonts w:hint="eastAsia" w:ascii="宋体" w:hAnsi="宋体" w:eastAsia="宋体" w:cs="宋体"/>
          <w:b/>
          <w:color w:val="auto"/>
          <w:spacing w:val="6"/>
          <w:sz w:val="32"/>
          <w:szCs w:val="32"/>
          <w:highlight w:val="none"/>
        </w:rPr>
      </w:pPr>
    </w:p>
    <w:p>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pPr>
        <w:spacing w:line="360" w:lineRule="auto"/>
        <w:jc w:val="center"/>
        <w:rPr>
          <w:rFonts w:hint="eastAsia" w:ascii="宋体" w:hAnsi="宋体" w:eastAsia="宋体" w:cs="宋体"/>
          <w:b/>
          <w:color w:val="auto"/>
          <w:spacing w:val="6"/>
          <w:sz w:val="32"/>
          <w:szCs w:val="32"/>
          <w:highlight w:val="none"/>
        </w:rPr>
      </w:pPr>
      <w:bookmarkStart w:id="535" w:name="OLE_LINK14"/>
      <w:bookmarkStart w:id="536" w:name="OLE_LINK13"/>
      <w:r>
        <w:rPr>
          <w:rFonts w:hint="eastAsia" w:ascii="宋体" w:hAnsi="宋体" w:eastAsia="宋体" w:cs="宋体"/>
          <w:b/>
          <w:color w:val="auto"/>
          <w:spacing w:val="6"/>
          <w:sz w:val="32"/>
          <w:szCs w:val="32"/>
          <w:highlight w:val="none"/>
        </w:rPr>
        <w:t>残疾人福利性单位声明函</w:t>
      </w:r>
      <w:bookmarkEnd w:id="535"/>
      <w:bookmarkEnd w:id="536"/>
    </w:p>
    <w:p>
      <w:pPr>
        <w:spacing w:line="360" w:lineRule="auto"/>
        <w:rPr>
          <w:rFonts w:hint="eastAsia" w:ascii="宋体" w:hAnsi="宋体" w:eastAsia="宋体" w:cs="宋体"/>
          <w:b/>
          <w:color w:val="auto"/>
          <w:spacing w:val="6"/>
          <w:sz w:val="30"/>
          <w:szCs w:val="30"/>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供应商名称（电子签名）</w:t>
      </w:r>
      <w:r>
        <w:rPr>
          <w:rFonts w:hint="eastAsia" w:ascii="宋体" w:hAnsi="宋体" w:eastAsia="宋体" w:cs="宋体"/>
          <w:color w:val="auto"/>
          <w:sz w:val="24"/>
          <w:highlight w:val="none"/>
        </w:rPr>
        <w:t>：</w:t>
      </w: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sectPr>
          <w:pgSz w:w="11906" w:h="16838"/>
          <w:pgMar w:top="1440" w:right="1800" w:bottom="1440" w:left="1800" w:header="930" w:footer="992" w:gutter="0"/>
          <w:cols w:space="425" w:num="1"/>
          <w:docGrid w:type="lines" w:linePitch="312" w:charSpace="0"/>
        </w:sect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pPr>
        <w:snapToGrid w:val="0"/>
        <w:spacing w:before="312"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就质疑事项作出了答复/没有在法定期限内作出答复。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widowControl/>
        <w:spacing w:line="360" w:lineRule="auto"/>
        <w:ind w:firstLine="480" w:firstLineChars="200"/>
        <w:jc w:val="left"/>
        <w:rPr>
          <w:rFonts w:hint="eastAsia" w:ascii="宋体" w:hAnsi="宋体" w:eastAsia="宋体" w:cs="宋体"/>
          <w:color w:val="auto"/>
          <w:sz w:val="24"/>
          <w:highlight w:val="none"/>
        </w:rPr>
        <w:sectPr>
          <w:pgSz w:w="11906" w:h="16838"/>
          <w:pgMar w:top="1440" w:right="1800" w:bottom="1440" w:left="1800" w:header="930" w:footer="992" w:gutter="0"/>
          <w:cols w:space="425" w:num="1"/>
          <w:docGrid w:type="lines" w:linePitch="312" w:charSpace="0"/>
        </w:sect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u w:val="single"/>
          <w:lang w:eastAsia="zh-CN"/>
        </w:rPr>
        <w:t>建德市民政局</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浙江建安工程管理有限公司：</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供应商全称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bCs/>
          <w:color w:val="auto"/>
          <w:sz w:val="24"/>
          <w:highlight w:val="none"/>
          <w:lang w:eastAsia="zh-CN"/>
        </w:rPr>
        <w:t xml:space="preserve">2024年建德市殡仪馆0#柴油采购项目（二次） </w:t>
      </w:r>
      <w:r>
        <w:rPr>
          <w:rFonts w:hint="eastAsia" w:ascii="宋体" w:hAnsi="宋体" w:eastAsia="宋体" w:cs="宋体"/>
          <w:bCs/>
          <w:color w:val="auto"/>
          <w:sz w:val="24"/>
          <w:highlight w:val="none"/>
        </w:rPr>
        <w:t>【项目编号：</w:t>
      </w:r>
      <w:r>
        <w:rPr>
          <w:rFonts w:hint="eastAsia" w:ascii="宋体" w:hAnsi="宋体" w:eastAsia="宋体" w:cs="宋体"/>
          <w:bCs/>
          <w:color w:val="auto"/>
          <w:sz w:val="24"/>
          <w:highlight w:val="none"/>
          <w:lang w:eastAsia="zh-CN"/>
        </w:rPr>
        <w:t>JD2024BF-037-001</w:t>
      </w:r>
      <w:r>
        <w:rPr>
          <w:rFonts w:hint="eastAsia" w:ascii="宋体" w:hAnsi="宋体" w:eastAsia="宋体" w:cs="宋体"/>
          <w:bCs/>
          <w:color w:val="auto"/>
          <w:sz w:val="24"/>
          <w:highlight w:val="none"/>
        </w:rPr>
        <w:t>】响应活动中作如下说明：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0" t="0" r="0" b="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2336" behindDoc="1" locked="0" layoutInCell="1" allowOverlap="1">
                <wp:simplePos x="0" y="0"/>
                <wp:positionH relativeFrom="column">
                  <wp:posOffset>-90170</wp:posOffset>
                </wp:positionH>
                <wp:positionV relativeFrom="paragraph">
                  <wp:posOffset>384810</wp:posOffset>
                </wp:positionV>
                <wp:extent cx="2647950" cy="2253615"/>
                <wp:effectExtent l="0" t="0" r="0" b="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1pt;margin-top:30.3pt;height:177.45pt;width:208.5pt;z-index:-251654144;mso-width-relative:page;mso-height-relative:page;" fillcolor="#FFFFFF" filled="t" stroked="t" coordsize="21600,21600" o:gfxdata="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WXwtH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供应商法定名称章（印模）               供应商“XX专用章”（印模）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rPr>
          <w:rFonts w:hint="eastAsia" w:ascii="宋体" w:hAnsi="宋体" w:eastAsia="宋体" w:cs="宋体"/>
          <w:b/>
          <w:color w:val="auto"/>
          <w:spacing w:val="6"/>
          <w:sz w:val="32"/>
          <w:szCs w:val="32"/>
          <w:highlight w:val="none"/>
        </w:rPr>
      </w:pPr>
    </w:p>
    <w:p>
      <w:pPr>
        <w:autoSpaceDE w:val="0"/>
        <w:autoSpaceDN w:val="0"/>
        <w:rPr>
          <w:rFonts w:hint="eastAsia" w:ascii="宋体" w:hAnsi="宋体" w:eastAsia="宋体" w:cs="宋体"/>
          <w:b/>
          <w:color w:val="auto"/>
          <w:spacing w:val="6"/>
          <w:sz w:val="32"/>
          <w:szCs w:val="32"/>
          <w:highlight w:val="none"/>
        </w:rPr>
        <w:sectPr>
          <w:pgSz w:w="11906" w:h="16838"/>
          <w:pgMar w:top="1440" w:right="1800" w:bottom="1440" w:left="1800" w:header="930" w:footer="992" w:gutter="0"/>
          <w:cols w:space="425" w:num="1"/>
          <w:docGrid w:type="lines" w:linePitch="312" w:charSpace="0"/>
        </w:sectPr>
      </w:pPr>
    </w:p>
    <w:p>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（以联合体形式参与响应的，提供联合协议；本项目不接受联合体响应或者供应商不以联合体形式响应的，则不需要提供）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组成一个联合体，以一个供应商的身份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（项目名称）【项目编号：</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响应。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，代表所有联合体成员负责参与响应和合同实施阶段的主办、协调工作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授权代表根据采购文件规定及响应内容而对采购人、采购代理机构所作的任何合法承诺，包括书面澄清及响应等均对联合响应各方产生约束力。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三、本次联合响应中，分工如下：</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537" w:name="_Hlk101131882"/>
      <w:r>
        <w:rPr>
          <w:rFonts w:hint="eastAsia" w:ascii="宋体" w:hAnsi="宋体" w:eastAsia="宋体" w:cs="宋体"/>
          <w:color w:val="auto"/>
          <w:kern w:val="0"/>
          <w:sz w:val="24"/>
          <w:highlight w:val="none"/>
          <w:u w:val="single"/>
        </w:rPr>
        <w:t>联合体成员X,……</w:t>
      </w:r>
      <w:bookmarkEnd w:id="537"/>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538" w:name="_Hlk101133598"/>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对联合体报价按评审办法确定的比例给予扣除。供应商</w:t>
      </w:r>
      <w:r>
        <w:rPr>
          <w:rFonts w:hint="eastAsia" w:ascii="宋体" w:hAnsi="宋体" w:eastAsia="宋体" w:cs="宋体"/>
          <w:b/>
          <w:color w:val="auto"/>
          <w:sz w:val="24"/>
          <w:highlight w:val="none"/>
        </w:rPr>
        <w:t>拟享受以上价格扣除政策的，填写有关内容。</w:t>
      </w:r>
      <w:bookmarkEnd w:id="538"/>
      <w:r>
        <w:rPr>
          <w:rFonts w:hint="eastAsia" w:ascii="宋体" w:hAnsi="宋体" w:eastAsia="宋体" w:cs="宋体"/>
          <w:b/>
          <w:color w:val="auto"/>
          <w:kern w:val="0"/>
          <w:sz w:val="24"/>
          <w:highlight w:val="none"/>
          <w:lang w:val="zh-CN"/>
        </w:rPr>
        <w:t>）</w:t>
      </w:r>
    </w:p>
    <w:p>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39"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要求以联合体形式参加的项目或采购包，供应商按采购文件第一部分采购公告申请人的资格要求中规定的联合协议中中小企业、小微企业合同金额应当达到的比例要求填写。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539"/>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五、如果成交，</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六、有关本次联合响应的其他事宜：</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pacing w:line="360" w:lineRule="auto"/>
        <w:ind w:right="420"/>
        <w:rPr>
          <w:rFonts w:hint="eastAsia" w:ascii="宋体" w:hAnsi="宋体" w:eastAsia="宋体" w:cs="宋体"/>
          <w:color w:val="auto"/>
          <w:sz w:val="24"/>
          <w:highlight w:val="none"/>
        </w:rPr>
        <w:sectPr>
          <w:pgSz w:w="11906" w:h="16838"/>
          <w:pgMar w:top="1440" w:right="1800" w:bottom="1440" w:left="1800" w:header="930" w:footer="992" w:gutter="0"/>
          <w:cols w:space="425" w:num="1"/>
          <w:docGrid w:type="lines" w:linePitch="312" w:charSpace="0"/>
        </w:sectPr>
      </w:pPr>
      <w:r>
        <w:rPr>
          <w:rFonts w:hint="eastAsia" w:ascii="宋体" w:hAnsi="宋体" w:eastAsia="宋体" w:cs="宋体"/>
          <w:color w:val="auto"/>
          <w:sz w:val="24"/>
          <w:highlight w:val="none"/>
        </w:rPr>
        <w:t>注：按本格式和要求提供。</w:t>
      </w:r>
    </w:p>
    <w:p>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eastAsia="宋体" w:cs="宋体"/>
          <w:color w:val="auto"/>
          <w:sz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若成为</w:t>
      </w:r>
      <w:r>
        <w:rPr>
          <w:rFonts w:hint="eastAsia" w:ascii="宋体" w:hAnsi="宋体" w:eastAsia="宋体" w:cs="宋体"/>
          <w:bCs/>
          <w:color w:val="auto"/>
          <w:sz w:val="24"/>
          <w:highlight w:val="none"/>
          <w:lang w:eastAsia="zh-CN"/>
        </w:rPr>
        <w:t xml:space="preserve">2024年建德市殡仪馆0#柴油采购项目（二次） </w:t>
      </w:r>
      <w:r>
        <w:rPr>
          <w:rFonts w:hint="eastAsia" w:ascii="宋体" w:hAnsi="宋体" w:eastAsia="宋体" w:cs="宋体"/>
          <w:bCs/>
          <w:color w:val="auto"/>
          <w:sz w:val="24"/>
          <w:highlight w:val="none"/>
        </w:rPr>
        <w:t>【项目编号：</w:t>
      </w:r>
      <w:r>
        <w:rPr>
          <w:rFonts w:hint="eastAsia" w:ascii="宋体" w:hAnsi="宋体" w:eastAsia="宋体" w:cs="宋体"/>
          <w:bCs/>
          <w:color w:val="auto"/>
          <w:sz w:val="24"/>
          <w:highlight w:val="none"/>
          <w:lang w:eastAsia="zh-CN"/>
        </w:rPr>
        <w:t>JD2024BF-037-001</w:t>
      </w: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lang w:val="zh-CN"/>
        </w:rPr>
        <w:t>的成交供应商，将依法采取分包方式履行合同。</w:t>
      </w: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2"/>
        <w:tabs>
          <w:tab w:val="left" w:pos="432"/>
          <w:tab w:val="left" w:pos="864"/>
          <w:tab w:val="left" w:pos="900"/>
        </w:tabs>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审办法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要求合同分包形式参加的项目或采购包，供应商按采购文件第一部分采购公告申请人的资格要求中规定的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w:t>
      </w:r>
    </w:p>
    <w:p>
      <w:pPr>
        <w:snapToGrid w:val="0"/>
        <w:spacing w:line="360" w:lineRule="auto"/>
        <w:ind w:firstLine="4560" w:firstLineChars="19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autoSpaceDE w:val="0"/>
        <w:autoSpaceDN w:val="0"/>
        <w:jc w:val="center"/>
        <w:rPr>
          <w:rFonts w:hint="eastAsia" w:ascii="宋体" w:hAnsi="宋体" w:eastAsia="宋体" w:cs="宋体"/>
          <w:b/>
          <w:color w:val="auto"/>
          <w:spacing w:val="6"/>
          <w:sz w:val="32"/>
          <w:szCs w:val="32"/>
          <w:highlight w:val="none"/>
        </w:rPr>
      </w:pPr>
      <w:r>
        <w:rPr>
          <w:rFonts w:hint="eastAsia" w:ascii="宋体" w:hAnsi="宋体" w:eastAsia="宋体" w:cs="宋体"/>
          <w:color w:val="auto"/>
          <w:kern w:val="0"/>
          <w:sz w:val="24"/>
          <w:highlight w:val="none"/>
          <w:lang w:val="zh-CN"/>
        </w:rPr>
        <w:t xml:space="preserve">                                        日期：  年  月   日</w:t>
      </w:r>
    </w:p>
    <w:p>
      <w:pPr>
        <w:autoSpaceDE w:val="0"/>
        <w:autoSpaceDN w:val="0"/>
        <w:jc w:val="center"/>
        <w:rPr>
          <w:rFonts w:hint="eastAsia" w:ascii="宋体" w:hAnsi="宋体" w:eastAsia="宋体" w:cs="宋体"/>
          <w:b/>
          <w:color w:val="auto"/>
          <w:spacing w:val="6"/>
          <w:sz w:val="32"/>
          <w:szCs w:val="32"/>
          <w:highlight w:val="none"/>
        </w:rPr>
        <w:sectPr>
          <w:pgSz w:w="11906" w:h="16838"/>
          <w:pgMar w:top="1440" w:right="1800" w:bottom="1440" w:left="1800" w:header="930" w:footer="992" w:gutter="0"/>
          <w:cols w:space="425" w:num="1"/>
          <w:docGrid w:type="lines" w:linePitch="312" w:charSpace="0"/>
        </w:sect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附件7：</w:t>
      </w:r>
      <w:r>
        <w:rPr>
          <w:rFonts w:hint="eastAsia" w:ascii="宋体" w:hAnsi="宋体" w:eastAsia="宋体" w:cs="宋体"/>
          <w:b/>
          <w:color w:val="auto"/>
          <w:sz w:val="32"/>
          <w:szCs w:val="32"/>
          <w:highlight w:val="none"/>
        </w:rPr>
        <w:t>中小企业声明函</w:t>
      </w: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 xml:space="preserve">的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0#</w:t>
      </w:r>
      <w:r>
        <w:rPr>
          <w:rFonts w:hint="eastAsia" w:ascii="宋体" w:hAnsi="宋体" w:eastAsia="宋体" w:cs="宋体"/>
          <w:color w:val="auto"/>
          <w:sz w:val="24"/>
          <w:highlight w:val="none"/>
          <w:u w:val="single"/>
          <w:lang w:eastAsia="zh-CN"/>
        </w:rPr>
        <w:t>柴油</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工业</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jc w:val="center"/>
        <w:rPr>
          <w:rFonts w:hint="eastAsia" w:ascii="宋体" w:hAnsi="宋体" w:eastAsia="宋体" w:cs="宋体"/>
          <w:b/>
          <w:color w:val="auto"/>
          <w:highlight w:val="none"/>
        </w:rPr>
      </w:pPr>
    </w:p>
    <w:sectPr>
      <w:pgSz w:w="11906" w:h="16838"/>
      <w:pgMar w:top="1440" w:right="1800" w:bottom="1440" w:left="1800" w:header="93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Ccexf0QEAAKIDAAAOAAAAAAAAAAEAIAAAAB8BAABk&#10;cnMvZTJvRG9jLnhtbFBLBQYAAAAABgAGAFkBAABiBQAAAAA=&#10;">
              <v:fill on="f" focussize="0,0"/>
              <v:stroke on="f" weight="0.5pt"/>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0"/>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bTgg1dIBAACkAwAADgAAAAAAAAABACAAAAAfAQAA&#10;ZHJzL2Uyb0RvYy54bWxQSwUGAAAAAAYABgBZAQAAYwUAAAAA&#10;">
              <v:fill on="f" focussize="0,0"/>
              <v:stroke on="f" weight="0.5pt"/>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czDAH9IBAACkAwAADgAAAAAAAAABACAAAAAfAQAA&#10;ZHJzL2Uyb0RvYy54bWxQSwUGAAAAAAYABgBZAQAAYwUAAAAA&#10;">
              <v:fill on="f" focussize="0,0"/>
              <v:stroke on="f" weight="0.5pt"/>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0"/>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ecifWdIBAACkAwAADgAAAAAAAAABACAAAAAfAQAA&#10;ZHJzL2Uyb0RvYy54bWxQSwUGAAAAAAYABgBZAQAAYwUAAAAA&#10;">
              <v:fill on="f" focussize="0,0"/>
              <v:stroke on="f" weight="0.5pt"/>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仿宋_GB2312" w:eastAsia="仿宋_GB2312"/>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0"/>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DiZxUdIBAACkAwAADgAAAAAAAAABACAAAAAfAQAA&#10;ZHJzL2Uyb0RvYy54bWxQSwUGAAAAAAYABgBZAQAAYwUAAAAA&#10;">
              <v:fill on="f" focussize="0,0"/>
              <v:stroke on="f" weight="0.5pt"/>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p>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仿宋_GB2312" w:eastAsia="仿宋_GB2312"/>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0"/>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BN4uF9IBAACkAwAADgAAAAAAAAABACAAAAAfAQAA&#10;ZHJzL2Uyb0RvYy54bWxQSwUGAAAAAAYABgBZAQAAYwUAAAAA&#10;">
              <v:fill on="f" focussize="0,0"/>
              <v:stroke on="f" weight="0.5pt"/>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p>
    <w:pPr>
      <w:rPr>
        <w:rFonts w:ascii="仿宋_GB2312" w:eastAsia="仿宋_GB23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仿宋_GB2312" w:eastAsia="仿宋_GB2312" w:cs="Times New Roman"/>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67</w:t>
                          </w:r>
                          <w:r>
                            <w:fldChar w:fldCharType="end"/>
                          </w:r>
                          <w:r>
                            <w:t xml:space="preserve"> 页 共 </w:t>
                          </w:r>
                          <w:r>
                            <w:rPr>
                              <w:rFonts w:hint="eastAsia"/>
                            </w:rPr>
                            <w:t>70</w:t>
                          </w:r>
                          <w:r>
                            <w:t xml:space="preserve"> 页</w:t>
                          </w:r>
                        </w:p>
                      </w:txbxContent>
                    </wps:txbx>
                    <wps:bodyPr wrap="none" lIns="0" tIns="0" rIns="0" bIns="0" upright="1">
                      <a:spAutoFit/>
                    </wps:bodyPr>
                  </wps:wsp>
                </a:graphicData>
              </a:graphic>
            </wp:anchor>
          </w:drawing>
        </mc:Choice>
        <mc:Fallback>
          <w:pict>
            <v:shape id="文本框 104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iOBssBAACcAwAADgAAAGRycy9lMm9Eb2MueG1srVPNjtMwEL4j8Q6W&#10;79Rph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7Ks&#10;Xq5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BojgbLAQAAnAMAAA4AAAAAAAAAAQAgAAAAHgEAAGRycy9lMm9E&#10;b2MueG1sUEsFBgAAAAAGAAYAWQEAAFsFA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67</w:t>
                    </w:r>
                    <w:r>
                      <w:fldChar w:fldCharType="end"/>
                    </w:r>
                    <w:r>
                      <w:t xml:space="preserve"> 页 共 </w:t>
                    </w:r>
                    <w:r>
                      <w:rPr>
                        <w:rFonts w:hint="eastAsia"/>
                      </w:rPr>
                      <w:t>70</w:t>
                    </w:r>
                    <w:r>
                      <w:t xml:space="preserve"> 页</w:t>
                    </w:r>
                  </w:p>
                </w:txbxContent>
              </v:textbox>
            </v:shape>
          </w:pict>
        </mc:Fallback>
      </mc:AlternateContent>
    </w:r>
  </w:p>
  <w:p>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H10zI9IBAACiAwAADgAAAAAAAAABACAAAAAfAQAA&#10;ZHJzL2Uyb0RvYy54bWxQSwUGAAAAAAYABgBZAQAAYwUAAAAA&#10;">
              <v:fill on="f" focussize="0,0"/>
              <v:stroke on="f" weight="0.5pt"/>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wrap="none" lIns="0" tIns="0" rIns="0" bIns="0" upright="1">
                      <a:spAutoFit/>
                    </wps:bodyPr>
                  </wps:wsp>
                </a:graphicData>
              </a:graphic>
            </wp:anchor>
          </w:drawing>
        </mc:Choice>
        <mc:Fallback>
          <w:pict>
            <v:shape id="文本框 104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a6PJ3LAQAAnAMAAA4AAAAAAAAAAQAgAAAAHgEAAGRycy9lMm9E&#10;b2MueG1sUEsFBgAAAAAGAAYAWQEAAFsFA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wrap="none" lIns="0" tIns="0" rIns="0" bIns="0" upright="1">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cgQYLLAQAAnAMAAA4AAAAAAAAAAQAgAAAAHgEAAGRycy9lMm9E&#10;b2MueG1sUEsFBgAAAAAGAAYAWQEAAFsFA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wrap="none" lIns="0" tIns="0" rIns="0" bIns="0" upright="1">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DCdgssBAACc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IoSxy0O/PLj++Xn78uvb2RZ&#10;vb7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gwnYLLAQAAnAMAAA4AAAAAAAAAAQAgAAAAHgEAAGRycy9lMm9E&#10;b2MueG1sUEsFBgAAAAAGAAYAWQEAAFsFA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p>
    <w:pPr>
      <w:pStyle w:val="2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before="12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wrap="none" lIns="0" tIns="0" rIns="0" bIns="0" upright="1">
                      <a:spAutoFit/>
                    </wps:bodyPr>
                  </wps:wsp>
                </a:graphicData>
              </a:graphic>
            </wp:anchor>
          </w:drawing>
        </mc:Choice>
        <mc:Fallback>
          <w:pict>
            <v:shape id="文本框 103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ZcfEPLAQAAnAMAAA4AAAAAAAAAAQAgAAAAHgEAAGRycy9lMm9E&#10;b2MueG1sUEsFBgAAAAAGAAYAWQEAAFsFA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0"/>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nwH+T0QEAAKQDAAAOAAAAAAAAAAEAIAAAAB8BAABk&#10;cnMvZTJvRG9jLnhtbFBLBQYAAAAABgAGAFkBAABiBQAAAAA=&#10;">
              <v:fill on="f" focussize="0,0"/>
              <v:stroke on="f" weight="0.5pt"/>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rPr>
        <w:rFonts w:ascii="仿宋" w:hAnsi="仿宋" w:eastAsia="仿宋" w:cs="仿宋"/>
        <w:i/>
        <w:iCs/>
      </w:rPr>
    </w:pPr>
  </w:p>
  <w:p>
    <w:pPr>
      <w:pStyle w:val="21"/>
      <w:jc w:val="right"/>
      <w:rPr>
        <w:rFonts w:cs="仿宋" w:asciiTheme="minorEastAsia" w:hAnsiTheme="minorEastAsia"/>
      </w:rPr>
    </w:pPr>
    <w:r>
      <w:rPr>
        <w:rFonts w:hint="eastAsia" w:cs="仿宋" w:asciiTheme="minorEastAsia" w:hAnsiTheme="minorEastAsia"/>
      </w:rPr>
      <w:t>杭州市政府采购询价通知书</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u w:val="single"/>
      </w:rPr>
      <w:t xml:space="preserve">                                                                        杭州</w:t>
    </w:r>
    <w:r>
      <w:rPr>
        <w:rFonts w:hint="eastAsia"/>
        <w:u w:val="single"/>
        <w:lang w:val="zh-CN"/>
      </w:rPr>
      <w:t>市政府采购询价采购文件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r>
      <w:rPr>
        <w:rFonts w:hint="eastAsia"/>
        <w:u w:val="single"/>
      </w:rPr>
      <w:t>杭州</w:t>
    </w:r>
    <w:r>
      <w:rPr>
        <w:rFonts w:hint="eastAsia"/>
        <w:u w:val="single"/>
        <w:lang w:val="zh-CN"/>
      </w:rPr>
      <w:t>市政府采购询价采购文件</w:t>
    </w:r>
  </w:p>
  <w:p>
    <w:pPr>
      <w:rPr>
        <w:rFonts w:ascii="仿宋_GB2312" w:eastAsia="仿宋_GB2312"/>
        <w:b/>
        <w:i/>
        <w:sz w:val="18"/>
        <w:u w:val="single"/>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u w:val="single"/>
      </w:rPr>
      <w:t xml:space="preserve">                                                                          杭州</w:t>
    </w:r>
    <w:r>
      <w:rPr>
        <w:rFonts w:hint="eastAsia"/>
        <w:u w:val="single"/>
        <w:lang w:val="zh-CN"/>
      </w:rPr>
      <w:t>市政府采购询价采购文件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u w:val="single"/>
      </w:rPr>
      <w:t xml:space="preserve">                                                                                                                                    杭州</w:t>
    </w:r>
    <w:r>
      <w:rPr>
        <w:rFonts w:hint="eastAsia"/>
        <w:u w:val="single"/>
        <w:lang w:val="zh-CN"/>
      </w:rPr>
      <w:t>市政府采购询价采购文件</w:t>
    </w:r>
  </w:p>
  <w:p>
    <w:pPr>
      <w:rPr>
        <w:rFonts w:ascii="仿宋_GB2312" w:eastAsia="仿宋_GB2312"/>
        <w:b/>
        <w:i/>
        <w:sz w:val="18"/>
        <w:u w:val="single"/>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u w:val="single"/>
      </w:rPr>
      <w:t xml:space="preserve">                                                                                                                                     杭州</w:t>
    </w:r>
    <w:r>
      <w:rPr>
        <w:rFonts w:hint="eastAsia"/>
        <w:u w:val="single"/>
        <w:lang w:val="zh-CN"/>
      </w:rPr>
      <w:t>市政府采购询价采购文件</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none" w:color="auto" w:sz="0" w:space="0"/>
        <w:left w:val="none" w:color="auto" w:sz="0" w:space="0"/>
        <w:right w:val="none" w:color="auto" w:sz="0" w:space="0"/>
      </w:pBdr>
      <w:rPr>
        <w:rFonts w:ascii="仿宋_GB2312" w:eastAsia="仿宋_GB2312" w:cs="Times New Roman"/>
        <w:b/>
        <w:bCs/>
        <w:i/>
        <w:iCs/>
        <w:u w:val="single"/>
      </w:rPr>
    </w:pPr>
    <w:r>
      <w:rPr>
        <w:rFonts w:hint="eastAsia"/>
        <w:u w:val="single"/>
      </w:rPr>
      <w:t xml:space="preserve">                                                                  杭州</w:t>
    </w:r>
    <w:r>
      <w:rPr>
        <w:rFonts w:hint="eastAsia"/>
        <w:u w:val="single"/>
        <w:lang w:val="zh-CN"/>
      </w:rPr>
      <w:t>市政府采购询价采购文件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left" w:pos="5565"/>
        <w:tab w:val="right" w:pos="8426"/>
      </w:tabs>
      <w:jc w:val="left"/>
    </w:pPr>
    <w:r>
      <w:rPr>
        <w:rFonts w:hint="eastAsia"/>
        <w:u w:val="single"/>
      </w:rPr>
      <w:tab/>
    </w:r>
    <w:r>
      <w:rPr>
        <w:rFonts w:hint="eastAsia"/>
        <w:u w:val="single"/>
      </w:rPr>
      <w:tab/>
    </w:r>
    <w:r>
      <w:rPr>
        <w:rFonts w:hint="eastAsia"/>
        <w:u w:val="single"/>
      </w:rPr>
      <w:tab/>
    </w:r>
    <w:r>
      <w:rPr>
        <w:rFonts w:hint="eastAsia"/>
        <w:u w:val="single"/>
      </w:rPr>
      <w:t>杭州</w:t>
    </w:r>
    <w:r>
      <w:rPr>
        <w:rFonts w:hint="eastAsia"/>
        <w:u w:val="single"/>
        <w:lang w:val="zh-CN"/>
      </w:rPr>
      <w:t>市政府采购询价采购文件</w:t>
    </w:r>
  </w:p>
  <w:p>
    <w:pPr>
      <w:pStyle w:val="23"/>
      <w:tabs>
        <w:tab w:val="center" w:pos="4535"/>
        <w:tab w:val="right" w:pos="9070"/>
      </w:tabs>
      <w:ind w:firstLine="180" w:firstLineChars="100"/>
      <w:jc w:val="both"/>
      <w:rPr>
        <w:rFonts w:ascii="仿宋_GB2312" w:eastAsia="仿宋_GB2312"/>
        <w:b w:val="0"/>
        <w:i/>
        <w:sz w:val="18"/>
        <w:u w:val="single"/>
      </w:rPr>
    </w:pPr>
  </w:p>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left" w:pos="705"/>
        <w:tab w:val="left" w:pos="5565"/>
        <w:tab w:val="right" w:pos="8426"/>
      </w:tabs>
      <w:jc w:val="left"/>
      <w:rPr>
        <w:u w:val="single"/>
      </w:rPr>
    </w:pPr>
    <w:r>
      <w:rPr>
        <w:rFonts w:hint="eastAsia"/>
        <w:u w:val="single"/>
      </w:rPr>
      <w:tab/>
    </w:r>
    <w:r>
      <w:rPr>
        <w:rFonts w:hint="eastAsia"/>
        <w:u w:val="single"/>
      </w:rPr>
      <w:tab/>
    </w:r>
    <w:r>
      <w:rPr>
        <w:rFonts w:hint="eastAsia"/>
        <w:u w:val="single"/>
      </w:rPr>
      <w:tab/>
    </w:r>
    <w:r>
      <w:rPr>
        <w:rFonts w:hint="eastAsia"/>
        <w:u w:val="single"/>
      </w:rPr>
      <w:t>杭州</w:t>
    </w:r>
    <w:r>
      <w:rPr>
        <w:rFonts w:hint="eastAsia"/>
        <w:u w:val="single"/>
        <w:lang w:val="zh-CN"/>
      </w:rPr>
      <w:t>市政府采购询价采购文件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u w:val="single"/>
      </w:rPr>
      <w:t>杭州</w:t>
    </w:r>
    <w:r>
      <w:rPr>
        <w:rFonts w:hint="eastAsia"/>
        <w:u w:val="single"/>
        <w:lang w:val="zh-CN"/>
      </w:rPr>
      <w:t>市政府采购询价采购文件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right" w:pos="8279"/>
        <w:tab w:val="clear" w:pos="8306"/>
      </w:tabs>
    </w:pPr>
    <w:r>
      <w:rPr>
        <w:u w:val="single"/>
      </w:rPr>
      <w:tab/>
    </w:r>
    <w:r>
      <w:rPr>
        <w:rFonts w:hint="eastAsia"/>
        <w:u w:val="single"/>
      </w:rPr>
      <w:t xml:space="preserve">                                                              杭州</w:t>
    </w:r>
    <w:r>
      <w:rPr>
        <w:rFonts w:hint="eastAsia"/>
        <w:u w:val="single"/>
        <w:lang w:val="zh-CN"/>
      </w:rPr>
      <w:t>市政府采购询价采购文件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u w:val="single"/>
      </w:rPr>
      <w:t xml:space="preserve">                                                                 杭州</w:t>
    </w:r>
    <w:r>
      <w:rPr>
        <w:rFonts w:hint="eastAsia"/>
        <w:u w:val="single"/>
        <w:lang w:val="zh-CN"/>
      </w:rPr>
      <w:t>市政府采购询价采购文件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u w:val="single"/>
      </w:rPr>
      <w:t xml:space="preserve">                                                                         杭州</w:t>
    </w:r>
    <w:r>
      <w:rPr>
        <w:rFonts w:hint="eastAsia"/>
        <w:u w:val="single"/>
        <w:lang w:val="zh-CN"/>
      </w:rPr>
      <w:t>市政府采购询价采购文件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6660" w:hanging="6660" w:hangingChars="3700"/>
    </w:pPr>
    <w:r>
      <w:rPr>
        <w:rFonts w:hint="eastAsia"/>
        <w:u w:val="single"/>
      </w:rPr>
      <w:t xml:space="preserve">                                                                        杭州</w:t>
    </w:r>
    <w:r>
      <w:rPr>
        <w:rFonts w:hint="eastAsia"/>
        <w:u w:val="single"/>
        <w:lang w:val="zh-CN"/>
      </w:rPr>
      <w:t>市政府采购询价采购文件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71990"/>
    <w:multiLevelType w:val="singleLevel"/>
    <w:tmpl w:val="9C671990"/>
    <w:lvl w:ilvl="0" w:tentative="0">
      <w:start w:val="1"/>
      <w:numFmt w:val="decimal"/>
      <w:pStyle w:val="7"/>
      <w:lvlText w:val="%1."/>
      <w:lvlJc w:val="left"/>
      <w:pPr>
        <w:tabs>
          <w:tab w:val="left" w:pos="360"/>
        </w:tabs>
        <w:ind w:left="360" w:hanging="360"/>
      </w:pPr>
    </w:lvl>
  </w:abstractNum>
  <w:abstractNum w:abstractNumId="1">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3F9006DE"/>
    <w:multiLevelType w:val="singleLevel"/>
    <w:tmpl w:val="3F9006DE"/>
    <w:lvl w:ilvl="0" w:tentative="0">
      <w:start w:val="6"/>
      <w:numFmt w:val="decimal"/>
      <w:suff w:val="nothing"/>
      <w:lvlText w:val="%1、"/>
      <w:lvlJc w:val="left"/>
    </w:lvl>
  </w:abstractNum>
  <w:abstractNum w:abstractNumId="3">
    <w:nsid w:val="7CBE45BE"/>
    <w:multiLevelType w:val="singleLevel"/>
    <w:tmpl w:val="7CBE45BE"/>
    <w:lvl w:ilvl="0" w:tentative="0">
      <w:start w:val="25"/>
      <w:numFmt w:val="decimal"/>
      <w:suff w:val="space"/>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kM2I2YzVlMmFlNmZjZGJjYjg2OTU3NGJkOTY5YTMifQ=="/>
  </w:docVars>
  <w:rsids>
    <w:rsidRoot w:val="00172A27"/>
    <w:rsid w:val="00002B4B"/>
    <w:rsid w:val="00002DB0"/>
    <w:rsid w:val="0000486C"/>
    <w:rsid w:val="00016245"/>
    <w:rsid w:val="00027F66"/>
    <w:rsid w:val="00042EAC"/>
    <w:rsid w:val="00052A8B"/>
    <w:rsid w:val="00054FDD"/>
    <w:rsid w:val="00056CF0"/>
    <w:rsid w:val="000627F0"/>
    <w:rsid w:val="00063C9A"/>
    <w:rsid w:val="00072A16"/>
    <w:rsid w:val="00080839"/>
    <w:rsid w:val="0008146C"/>
    <w:rsid w:val="00087960"/>
    <w:rsid w:val="00095857"/>
    <w:rsid w:val="000962C2"/>
    <w:rsid w:val="0009675F"/>
    <w:rsid w:val="000B26FD"/>
    <w:rsid w:val="000B36FC"/>
    <w:rsid w:val="000C5252"/>
    <w:rsid w:val="000C7F93"/>
    <w:rsid w:val="000D086D"/>
    <w:rsid w:val="000D2DA1"/>
    <w:rsid w:val="000E1AF2"/>
    <w:rsid w:val="000F6C93"/>
    <w:rsid w:val="00125372"/>
    <w:rsid w:val="001274FA"/>
    <w:rsid w:val="00135854"/>
    <w:rsid w:val="0014035C"/>
    <w:rsid w:val="00146062"/>
    <w:rsid w:val="001462CC"/>
    <w:rsid w:val="00147D84"/>
    <w:rsid w:val="00157991"/>
    <w:rsid w:val="00161916"/>
    <w:rsid w:val="0016337B"/>
    <w:rsid w:val="00172A27"/>
    <w:rsid w:val="00177AF2"/>
    <w:rsid w:val="0018274C"/>
    <w:rsid w:val="00193E3C"/>
    <w:rsid w:val="0019443E"/>
    <w:rsid w:val="001A2126"/>
    <w:rsid w:val="001A2476"/>
    <w:rsid w:val="001B4667"/>
    <w:rsid w:val="001C0027"/>
    <w:rsid w:val="001C05B9"/>
    <w:rsid w:val="001C6BE6"/>
    <w:rsid w:val="001D1F56"/>
    <w:rsid w:val="001D2660"/>
    <w:rsid w:val="001E3D20"/>
    <w:rsid w:val="001E7D4E"/>
    <w:rsid w:val="001F3617"/>
    <w:rsid w:val="001F58F6"/>
    <w:rsid w:val="00202292"/>
    <w:rsid w:val="002155EB"/>
    <w:rsid w:val="00222B57"/>
    <w:rsid w:val="0023291C"/>
    <w:rsid w:val="00247E08"/>
    <w:rsid w:val="002565C6"/>
    <w:rsid w:val="00260803"/>
    <w:rsid w:val="00266093"/>
    <w:rsid w:val="002710B6"/>
    <w:rsid w:val="00287BDC"/>
    <w:rsid w:val="00296E01"/>
    <w:rsid w:val="002A5275"/>
    <w:rsid w:val="002B180B"/>
    <w:rsid w:val="002B7FD4"/>
    <w:rsid w:val="002D3CCA"/>
    <w:rsid w:val="002D437E"/>
    <w:rsid w:val="002D70CE"/>
    <w:rsid w:val="002D760C"/>
    <w:rsid w:val="002E0B80"/>
    <w:rsid w:val="002E6402"/>
    <w:rsid w:val="002E6E50"/>
    <w:rsid w:val="00304B37"/>
    <w:rsid w:val="00322EA3"/>
    <w:rsid w:val="00341C0B"/>
    <w:rsid w:val="00345542"/>
    <w:rsid w:val="00353006"/>
    <w:rsid w:val="0036202A"/>
    <w:rsid w:val="00365E05"/>
    <w:rsid w:val="003665BB"/>
    <w:rsid w:val="00384D3A"/>
    <w:rsid w:val="00386EF0"/>
    <w:rsid w:val="003B45D2"/>
    <w:rsid w:val="003E2B9E"/>
    <w:rsid w:val="003F0A32"/>
    <w:rsid w:val="003F3F93"/>
    <w:rsid w:val="003F4F7E"/>
    <w:rsid w:val="00405DFC"/>
    <w:rsid w:val="004243C9"/>
    <w:rsid w:val="004244DC"/>
    <w:rsid w:val="00424885"/>
    <w:rsid w:val="004249B3"/>
    <w:rsid w:val="004602E6"/>
    <w:rsid w:val="00460859"/>
    <w:rsid w:val="00461D2D"/>
    <w:rsid w:val="0047001C"/>
    <w:rsid w:val="004752F7"/>
    <w:rsid w:val="00480837"/>
    <w:rsid w:val="0049636C"/>
    <w:rsid w:val="004A641E"/>
    <w:rsid w:val="004B2762"/>
    <w:rsid w:val="004B7972"/>
    <w:rsid w:val="004C1527"/>
    <w:rsid w:val="004C5F77"/>
    <w:rsid w:val="004C61F1"/>
    <w:rsid w:val="004C6D51"/>
    <w:rsid w:val="004D3B34"/>
    <w:rsid w:val="004E01D0"/>
    <w:rsid w:val="004E151E"/>
    <w:rsid w:val="004E1C05"/>
    <w:rsid w:val="004E3399"/>
    <w:rsid w:val="004E5B5F"/>
    <w:rsid w:val="004F15B8"/>
    <w:rsid w:val="004F24E6"/>
    <w:rsid w:val="005003BB"/>
    <w:rsid w:val="00501EE6"/>
    <w:rsid w:val="005048E7"/>
    <w:rsid w:val="005062A6"/>
    <w:rsid w:val="00506DBF"/>
    <w:rsid w:val="00520317"/>
    <w:rsid w:val="0052198B"/>
    <w:rsid w:val="005236F4"/>
    <w:rsid w:val="005251B5"/>
    <w:rsid w:val="00527787"/>
    <w:rsid w:val="00530C27"/>
    <w:rsid w:val="00536609"/>
    <w:rsid w:val="00540F2C"/>
    <w:rsid w:val="00546173"/>
    <w:rsid w:val="00551627"/>
    <w:rsid w:val="00552E1C"/>
    <w:rsid w:val="005604A6"/>
    <w:rsid w:val="005624F7"/>
    <w:rsid w:val="00571A59"/>
    <w:rsid w:val="005812B2"/>
    <w:rsid w:val="00584A65"/>
    <w:rsid w:val="00593052"/>
    <w:rsid w:val="005C21A5"/>
    <w:rsid w:val="005D5133"/>
    <w:rsid w:val="005E5B5E"/>
    <w:rsid w:val="005F2E50"/>
    <w:rsid w:val="00614100"/>
    <w:rsid w:val="0061423A"/>
    <w:rsid w:val="0061481B"/>
    <w:rsid w:val="00614BEC"/>
    <w:rsid w:val="00616313"/>
    <w:rsid w:val="006176FB"/>
    <w:rsid w:val="00632C0D"/>
    <w:rsid w:val="00632D63"/>
    <w:rsid w:val="00635A9C"/>
    <w:rsid w:val="00645300"/>
    <w:rsid w:val="006463B6"/>
    <w:rsid w:val="006561D7"/>
    <w:rsid w:val="006577F2"/>
    <w:rsid w:val="00662C14"/>
    <w:rsid w:val="006641A5"/>
    <w:rsid w:val="0066506C"/>
    <w:rsid w:val="006663FA"/>
    <w:rsid w:val="0067179C"/>
    <w:rsid w:val="006865B1"/>
    <w:rsid w:val="006926FE"/>
    <w:rsid w:val="00694BBB"/>
    <w:rsid w:val="00695E88"/>
    <w:rsid w:val="006A7816"/>
    <w:rsid w:val="006B1775"/>
    <w:rsid w:val="006B17CF"/>
    <w:rsid w:val="006B725D"/>
    <w:rsid w:val="006C06E0"/>
    <w:rsid w:val="006C4AE9"/>
    <w:rsid w:val="006E3F96"/>
    <w:rsid w:val="006F121F"/>
    <w:rsid w:val="006F364E"/>
    <w:rsid w:val="006F5D92"/>
    <w:rsid w:val="0070329E"/>
    <w:rsid w:val="00706B8D"/>
    <w:rsid w:val="00716A98"/>
    <w:rsid w:val="00731CED"/>
    <w:rsid w:val="0073282C"/>
    <w:rsid w:val="007347B0"/>
    <w:rsid w:val="00753D59"/>
    <w:rsid w:val="007574A8"/>
    <w:rsid w:val="00760204"/>
    <w:rsid w:val="00770232"/>
    <w:rsid w:val="00772F5B"/>
    <w:rsid w:val="00775C5B"/>
    <w:rsid w:val="00775F53"/>
    <w:rsid w:val="00776215"/>
    <w:rsid w:val="00786899"/>
    <w:rsid w:val="007874C6"/>
    <w:rsid w:val="00791EBF"/>
    <w:rsid w:val="007B0A33"/>
    <w:rsid w:val="007B164E"/>
    <w:rsid w:val="007B2D2B"/>
    <w:rsid w:val="007B36FF"/>
    <w:rsid w:val="007C25D5"/>
    <w:rsid w:val="007C4048"/>
    <w:rsid w:val="007C6E5A"/>
    <w:rsid w:val="007C7CB8"/>
    <w:rsid w:val="007E21E0"/>
    <w:rsid w:val="007E6E44"/>
    <w:rsid w:val="007F4BD3"/>
    <w:rsid w:val="007F75A2"/>
    <w:rsid w:val="008032E9"/>
    <w:rsid w:val="00803C99"/>
    <w:rsid w:val="00804F66"/>
    <w:rsid w:val="008073D3"/>
    <w:rsid w:val="00811E8C"/>
    <w:rsid w:val="0082085C"/>
    <w:rsid w:val="00824892"/>
    <w:rsid w:val="008318A0"/>
    <w:rsid w:val="008416A3"/>
    <w:rsid w:val="0084568B"/>
    <w:rsid w:val="00847058"/>
    <w:rsid w:val="00850098"/>
    <w:rsid w:val="0085726C"/>
    <w:rsid w:val="00862B12"/>
    <w:rsid w:val="00866D4F"/>
    <w:rsid w:val="00867D2C"/>
    <w:rsid w:val="00874F1F"/>
    <w:rsid w:val="008828F8"/>
    <w:rsid w:val="00892FD6"/>
    <w:rsid w:val="008A331F"/>
    <w:rsid w:val="008B0A17"/>
    <w:rsid w:val="008B25BE"/>
    <w:rsid w:val="008B29C8"/>
    <w:rsid w:val="008C056C"/>
    <w:rsid w:val="008D1C14"/>
    <w:rsid w:val="008D3CD6"/>
    <w:rsid w:val="008E3EA9"/>
    <w:rsid w:val="008E59AA"/>
    <w:rsid w:val="008E6C07"/>
    <w:rsid w:val="008F2883"/>
    <w:rsid w:val="008F29C0"/>
    <w:rsid w:val="008F3F0D"/>
    <w:rsid w:val="00901CA7"/>
    <w:rsid w:val="0090342A"/>
    <w:rsid w:val="00921B71"/>
    <w:rsid w:val="00980C2E"/>
    <w:rsid w:val="00982C43"/>
    <w:rsid w:val="00986DDB"/>
    <w:rsid w:val="00986DEE"/>
    <w:rsid w:val="00995049"/>
    <w:rsid w:val="009A0152"/>
    <w:rsid w:val="009A2012"/>
    <w:rsid w:val="009A2A9F"/>
    <w:rsid w:val="009A4ACB"/>
    <w:rsid w:val="009B34CF"/>
    <w:rsid w:val="009B5221"/>
    <w:rsid w:val="009B62AB"/>
    <w:rsid w:val="009C29A5"/>
    <w:rsid w:val="009C4EE2"/>
    <w:rsid w:val="009C62C8"/>
    <w:rsid w:val="009C71FD"/>
    <w:rsid w:val="009D3326"/>
    <w:rsid w:val="009D434F"/>
    <w:rsid w:val="009E1CD4"/>
    <w:rsid w:val="009F2308"/>
    <w:rsid w:val="009F51B5"/>
    <w:rsid w:val="00A01407"/>
    <w:rsid w:val="00A06837"/>
    <w:rsid w:val="00A165AF"/>
    <w:rsid w:val="00A20C8A"/>
    <w:rsid w:val="00A23877"/>
    <w:rsid w:val="00A24871"/>
    <w:rsid w:val="00A30C0C"/>
    <w:rsid w:val="00A325D7"/>
    <w:rsid w:val="00A33609"/>
    <w:rsid w:val="00A36B64"/>
    <w:rsid w:val="00A37BB1"/>
    <w:rsid w:val="00A418FD"/>
    <w:rsid w:val="00A42736"/>
    <w:rsid w:val="00A43DBE"/>
    <w:rsid w:val="00A44032"/>
    <w:rsid w:val="00A455E4"/>
    <w:rsid w:val="00A60AF4"/>
    <w:rsid w:val="00A63CA9"/>
    <w:rsid w:val="00A64A39"/>
    <w:rsid w:val="00A65156"/>
    <w:rsid w:val="00A75B8A"/>
    <w:rsid w:val="00A86BC1"/>
    <w:rsid w:val="00A94840"/>
    <w:rsid w:val="00A950F8"/>
    <w:rsid w:val="00A973C2"/>
    <w:rsid w:val="00AB14AD"/>
    <w:rsid w:val="00AB72F0"/>
    <w:rsid w:val="00AC1E34"/>
    <w:rsid w:val="00AC3855"/>
    <w:rsid w:val="00AC7ABF"/>
    <w:rsid w:val="00AD1985"/>
    <w:rsid w:val="00AD7CDA"/>
    <w:rsid w:val="00AE1765"/>
    <w:rsid w:val="00AF2342"/>
    <w:rsid w:val="00B02ADB"/>
    <w:rsid w:val="00B02B03"/>
    <w:rsid w:val="00B04493"/>
    <w:rsid w:val="00B06B02"/>
    <w:rsid w:val="00B1716A"/>
    <w:rsid w:val="00B36EBA"/>
    <w:rsid w:val="00B4483C"/>
    <w:rsid w:val="00B44AC4"/>
    <w:rsid w:val="00B44D11"/>
    <w:rsid w:val="00B457C9"/>
    <w:rsid w:val="00B535AC"/>
    <w:rsid w:val="00B540DC"/>
    <w:rsid w:val="00B5582E"/>
    <w:rsid w:val="00B60AE7"/>
    <w:rsid w:val="00B675C8"/>
    <w:rsid w:val="00B71692"/>
    <w:rsid w:val="00B90BF8"/>
    <w:rsid w:val="00B97107"/>
    <w:rsid w:val="00BA3703"/>
    <w:rsid w:val="00BB4467"/>
    <w:rsid w:val="00BC4D66"/>
    <w:rsid w:val="00BC7EE7"/>
    <w:rsid w:val="00BD0AA7"/>
    <w:rsid w:val="00BE200B"/>
    <w:rsid w:val="00BE2FB1"/>
    <w:rsid w:val="00BE500C"/>
    <w:rsid w:val="00BF22EB"/>
    <w:rsid w:val="00BF2E80"/>
    <w:rsid w:val="00BF3FC9"/>
    <w:rsid w:val="00C13141"/>
    <w:rsid w:val="00C162C0"/>
    <w:rsid w:val="00C1784C"/>
    <w:rsid w:val="00C17FB9"/>
    <w:rsid w:val="00C2197B"/>
    <w:rsid w:val="00C21D56"/>
    <w:rsid w:val="00C22F1F"/>
    <w:rsid w:val="00C2302A"/>
    <w:rsid w:val="00C26BE9"/>
    <w:rsid w:val="00C31FFA"/>
    <w:rsid w:val="00C329D3"/>
    <w:rsid w:val="00C36D61"/>
    <w:rsid w:val="00C4620F"/>
    <w:rsid w:val="00C46BFA"/>
    <w:rsid w:val="00C52898"/>
    <w:rsid w:val="00C543BF"/>
    <w:rsid w:val="00C57256"/>
    <w:rsid w:val="00C611E8"/>
    <w:rsid w:val="00C6464B"/>
    <w:rsid w:val="00C649FA"/>
    <w:rsid w:val="00C7040A"/>
    <w:rsid w:val="00C73FDA"/>
    <w:rsid w:val="00C773A2"/>
    <w:rsid w:val="00C83A05"/>
    <w:rsid w:val="00C868E9"/>
    <w:rsid w:val="00CA0765"/>
    <w:rsid w:val="00CA27C4"/>
    <w:rsid w:val="00CA3931"/>
    <w:rsid w:val="00CA4DDE"/>
    <w:rsid w:val="00CB23A0"/>
    <w:rsid w:val="00CB53E4"/>
    <w:rsid w:val="00CB6ADC"/>
    <w:rsid w:val="00CC025A"/>
    <w:rsid w:val="00CC521F"/>
    <w:rsid w:val="00CD1A9C"/>
    <w:rsid w:val="00CD2EC7"/>
    <w:rsid w:val="00CD393F"/>
    <w:rsid w:val="00CE3BC3"/>
    <w:rsid w:val="00CF05FA"/>
    <w:rsid w:val="00D12324"/>
    <w:rsid w:val="00D17AF1"/>
    <w:rsid w:val="00D25DF4"/>
    <w:rsid w:val="00D27FC8"/>
    <w:rsid w:val="00D41089"/>
    <w:rsid w:val="00D42B64"/>
    <w:rsid w:val="00D53AEB"/>
    <w:rsid w:val="00D56B8E"/>
    <w:rsid w:val="00D62265"/>
    <w:rsid w:val="00D71523"/>
    <w:rsid w:val="00D72E85"/>
    <w:rsid w:val="00D86CA3"/>
    <w:rsid w:val="00D918A4"/>
    <w:rsid w:val="00D92B9E"/>
    <w:rsid w:val="00D934DA"/>
    <w:rsid w:val="00D94073"/>
    <w:rsid w:val="00D95B7B"/>
    <w:rsid w:val="00DA209C"/>
    <w:rsid w:val="00DA443B"/>
    <w:rsid w:val="00DA6741"/>
    <w:rsid w:val="00DB1F0F"/>
    <w:rsid w:val="00DB74FA"/>
    <w:rsid w:val="00DC01BB"/>
    <w:rsid w:val="00DC16B1"/>
    <w:rsid w:val="00DC4935"/>
    <w:rsid w:val="00DC5029"/>
    <w:rsid w:val="00DC5093"/>
    <w:rsid w:val="00DD2EF3"/>
    <w:rsid w:val="00DD3485"/>
    <w:rsid w:val="00DD35E7"/>
    <w:rsid w:val="00DE0277"/>
    <w:rsid w:val="00DE06A8"/>
    <w:rsid w:val="00DE1282"/>
    <w:rsid w:val="00DE4012"/>
    <w:rsid w:val="00DE5CD1"/>
    <w:rsid w:val="00DE60AB"/>
    <w:rsid w:val="00DF1985"/>
    <w:rsid w:val="00DF286D"/>
    <w:rsid w:val="00DF3231"/>
    <w:rsid w:val="00DF3FAA"/>
    <w:rsid w:val="00DF43C3"/>
    <w:rsid w:val="00DF6FCC"/>
    <w:rsid w:val="00E07DD7"/>
    <w:rsid w:val="00E22F8D"/>
    <w:rsid w:val="00E32818"/>
    <w:rsid w:val="00E372CF"/>
    <w:rsid w:val="00E40880"/>
    <w:rsid w:val="00E41CE4"/>
    <w:rsid w:val="00E44A33"/>
    <w:rsid w:val="00E45BD4"/>
    <w:rsid w:val="00E570EB"/>
    <w:rsid w:val="00E713CF"/>
    <w:rsid w:val="00E71914"/>
    <w:rsid w:val="00E71B64"/>
    <w:rsid w:val="00E74FF1"/>
    <w:rsid w:val="00E766FB"/>
    <w:rsid w:val="00E8513B"/>
    <w:rsid w:val="00E9036D"/>
    <w:rsid w:val="00EA3A91"/>
    <w:rsid w:val="00EA7BB2"/>
    <w:rsid w:val="00EB1C6D"/>
    <w:rsid w:val="00EB6112"/>
    <w:rsid w:val="00EC271A"/>
    <w:rsid w:val="00EC420A"/>
    <w:rsid w:val="00ED411D"/>
    <w:rsid w:val="00EE2C9B"/>
    <w:rsid w:val="00EF4727"/>
    <w:rsid w:val="00EF694A"/>
    <w:rsid w:val="00F017AC"/>
    <w:rsid w:val="00F039CE"/>
    <w:rsid w:val="00F203EE"/>
    <w:rsid w:val="00F20C35"/>
    <w:rsid w:val="00F25EF8"/>
    <w:rsid w:val="00F42620"/>
    <w:rsid w:val="00F51C35"/>
    <w:rsid w:val="00F52120"/>
    <w:rsid w:val="00F543EC"/>
    <w:rsid w:val="00F7455C"/>
    <w:rsid w:val="00F81ECD"/>
    <w:rsid w:val="00F82D20"/>
    <w:rsid w:val="00F874C8"/>
    <w:rsid w:val="00F937FF"/>
    <w:rsid w:val="00F95B78"/>
    <w:rsid w:val="00FA0716"/>
    <w:rsid w:val="00FA2159"/>
    <w:rsid w:val="00FC18F5"/>
    <w:rsid w:val="00FC2FC0"/>
    <w:rsid w:val="00FC55DB"/>
    <w:rsid w:val="00FD1E36"/>
    <w:rsid w:val="00FD2897"/>
    <w:rsid w:val="00FE40E9"/>
    <w:rsid w:val="00FE4BBA"/>
    <w:rsid w:val="00FF2838"/>
    <w:rsid w:val="00FF710A"/>
    <w:rsid w:val="0103528B"/>
    <w:rsid w:val="01055E64"/>
    <w:rsid w:val="01590BC2"/>
    <w:rsid w:val="01BA72B6"/>
    <w:rsid w:val="01BB3CD7"/>
    <w:rsid w:val="01CB2CC3"/>
    <w:rsid w:val="01D83074"/>
    <w:rsid w:val="0223654D"/>
    <w:rsid w:val="02257180"/>
    <w:rsid w:val="02506BA4"/>
    <w:rsid w:val="02723BFD"/>
    <w:rsid w:val="027F1EE7"/>
    <w:rsid w:val="0284231A"/>
    <w:rsid w:val="030C45C1"/>
    <w:rsid w:val="032F672A"/>
    <w:rsid w:val="0339337F"/>
    <w:rsid w:val="033F1C52"/>
    <w:rsid w:val="03465822"/>
    <w:rsid w:val="03685798"/>
    <w:rsid w:val="0380595F"/>
    <w:rsid w:val="03B15391"/>
    <w:rsid w:val="03B16273"/>
    <w:rsid w:val="03BE360A"/>
    <w:rsid w:val="03D44C3B"/>
    <w:rsid w:val="03DB240E"/>
    <w:rsid w:val="03DC0A5A"/>
    <w:rsid w:val="03E2554B"/>
    <w:rsid w:val="044D158E"/>
    <w:rsid w:val="04560F75"/>
    <w:rsid w:val="045A5E42"/>
    <w:rsid w:val="045D72C7"/>
    <w:rsid w:val="047D4C1B"/>
    <w:rsid w:val="049F3F1F"/>
    <w:rsid w:val="04B06F62"/>
    <w:rsid w:val="04C47485"/>
    <w:rsid w:val="04D07A99"/>
    <w:rsid w:val="04FB35D0"/>
    <w:rsid w:val="05145BD8"/>
    <w:rsid w:val="051A3A2A"/>
    <w:rsid w:val="052E6ECB"/>
    <w:rsid w:val="05571376"/>
    <w:rsid w:val="05DB4D76"/>
    <w:rsid w:val="05E13560"/>
    <w:rsid w:val="061C05B3"/>
    <w:rsid w:val="06296FF4"/>
    <w:rsid w:val="066761DB"/>
    <w:rsid w:val="066B5CCB"/>
    <w:rsid w:val="068F128E"/>
    <w:rsid w:val="06A25465"/>
    <w:rsid w:val="06A670EF"/>
    <w:rsid w:val="06AE1B74"/>
    <w:rsid w:val="06C8276A"/>
    <w:rsid w:val="06DE46EF"/>
    <w:rsid w:val="07474800"/>
    <w:rsid w:val="077741FC"/>
    <w:rsid w:val="07883C8D"/>
    <w:rsid w:val="0797489E"/>
    <w:rsid w:val="07DB248D"/>
    <w:rsid w:val="07FE56BB"/>
    <w:rsid w:val="083467BC"/>
    <w:rsid w:val="08500CB6"/>
    <w:rsid w:val="086F75C9"/>
    <w:rsid w:val="087D3A94"/>
    <w:rsid w:val="08842E00"/>
    <w:rsid w:val="088B49BF"/>
    <w:rsid w:val="08982830"/>
    <w:rsid w:val="089A2898"/>
    <w:rsid w:val="08AC4379"/>
    <w:rsid w:val="08B55328"/>
    <w:rsid w:val="08C473AA"/>
    <w:rsid w:val="08CB2A51"/>
    <w:rsid w:val="08EC3F8E"/>
    <w:rsid w:val="08F0070A"/>
    <w:rsid w:val="091837BC"/>
    <w:rsid w:val="097F1A8E"/>
    <w:rsid w:val="09C46268"/>
    <w:rsid w:val="09C95EEB"/>
    <w:rsid w:val="0A4707FD"/>
    <w:rsid w:val="0A5B56DE"/>
    <w:rsid w:val="0A7409D7"/>
    <w:rsid w:val="0A740BF6"/>
    <w:rsid w:val="0A7964DD"/>
    <w:rsid w:val="0AA55524"/>
    <w:rsid w:val="0ADA1283"/>
    <w:rsid w:val="0AEC4F01"/>
    <w:rsid w:val="0B3450FB"/>
    <w:rsid w:val="0B3D575C"/>
    <w:rsid w:val="0B7A2EEB"/>
    <w:rsid w:val="0BB73761"/>
    <w:rsid w:val="0BC93687"/>
    <w:rsid w:val="0BF51FFC"/>
    <w:rsid w:val="0BF77F50"/>
    <w:rsid w:val="0C71390F"/>
    <w:rsid w:val="0C943AA2"/>
    <w:rsid w:val="0CAA0BCF"/>
    <w:rsid w:val="0CC212FB"/>
    <w:rsid w:val="0CE41E67"/>
    <w:rsid w:val="0CE73BD2"/>
    <w:rsid w:val="0CEC762F"/>
    <w:rsid w:val="0D1A5EA5"/>
    <w:rsid w:val="0D1C440B"/>
    <w:rsid w:val="0D1E7CDD"/>
    <w:rsid w:val="0D313094"/>
    <w:rsid w:val="0D394DA1"/>
    <w:rsid w:val="0DE12FE7"/>
    <w:rsid w:val="0E406B89"/>
    <w:rsid w:val="0E484E87"/>
    <w:rsid w:val="0E5427AC"/>
    <w:rsid w:val="0E715E49"/>
    <w:rsid w:val="0E8F500F"/>
    <w:rsid w:val="0EA350A2"/>
    <w:rsid w:val="0EBD2E3C"/>
    <w:rsid w:val="0ED32660"/>
    <w:rsid w:val="0EE228A3"/>
    <w:rsid w:val="0F113188"/>
    <w:rsid w:val="0F4C2412"/>
    <w:rsid w:val="0F7A2ADB"/>
    <w:rsid w:val="0F8A4633"/>
    <w:rsid w:val="0F9F69E6"/>
    <w:rsid w:val="0FA1275E"/>
    <w:rsid w:val="0FDA7A1E"/>
    <w:rsid w:val="10394E32"/>
    <w:rsid w:val="105A4469"/>
    <w:rsid w:val="10676AB0"/>
    <w:rsid w:val="10C20BDE"/>
    <w:rsid w:val="10E723F2"/>
    <w:rsid w:val="11284A20"/>
    <w:rsid w:val="11443064"/>
    <w:rsid w:val="11B251F1"/>
    <w:rsid w:val="11BF52F4"/>
    <w:rsid w:val="11C44F5D"/>
    <w:rsid w:val="11D7395B"/>
    <w:rsid w:val="1205512F"/>
    <w:rsid w:val="120C4519"/>
    <w:rsid w:val="121511E1"/>
    <w:rsid w:val="124318AA"/>
    <w:rsid w:val="126B0BC0"/>
    <w:rsid w:val="127A1BF9"/>
    <w:rsid w:val="129919B5"/>
    <w:rsid w:val="129F0E57"/>
    <w:rsid w:val="12A64B0B"/>
    <w:rsid w:val="12AF6A53"/>
    <w:rsid w:val="12B00556"/>
    <w:rsid w:val="12D65322"/>
    <w:rsid w:val="12E82452"/>
    <w:rsid w:val="1312127D"/>
    <w:rsid w:val="132536A6"/>
    <w:rsid w:val="13345697"/>
    <w:rsid w:val="13674AC3"/>
    <w:rsid w:val="138258D6"/>
    <w:rsid w:val="13891793"/>
    <w:rsid w:val="13A35CC9"/>
    <w:rsid w:val="13BC70A7"/>
    <w:rsid w:val="13C44C6D"/>
    <w:rsid w:val="13D974E5"/>
    <w:rsid w:val="13DC3A57"/>
    <w:rsid w:val="13F43E5A"/>
    <w:rsid w:val="140C2170"/>
    <w:rsid w:val="14186D00"/>
    <w:rsid w:val="144B267C"/>
    <w:rsid w:val="146B3D25"/>
    <w:rsid w:val="14C147DC"/>
    <w:rsid w:val="14C8253B"/>
    <w:rsid w:val="15192D96"/>
    <w:rsid w:val="15BE7E61"/>
    <w:rsid w:val="15F5110D"/>
    <w:rsid w:val="15F56CEF"/>
    <w:rsid w:val="160615E5"/>
    <w:rsid w:val="160E0421"/>
    <w:rsid w:val="16121BB7"/>
    <w:rsid w:val="161C3F23"/>
    <w:rsid w:val="164976AB"/>
    <w:rsid w:val="16665322"/>
    <w:rsid w:val="1669748E"/>
    <w:rsid w:val="166E5F4D"/>
    <w:rsid w:val="167364D6"/>
    <w:rsid w:val="16CA0A7F"/>
    <w:rsid w:val="16F21AF1"/>
    <w:rsid w:val="16F5788F"/>
    <w:rsid w:val="171769F8"/>
    <w:rsid w:val="1734037F"/>
    <w:rsid w:val="174E3079"/>
    <w:rsid w:val="176934B5"/>
    <w:rsid w:val="17B347EF"/>
    <w:rsid w:val="17FB00F1"/>
    <w:rsid w:val="18335CC0"/>
    <w:rsid w:val="183378F9"/>
    <w:rsid w:val="188249D3"/>
    <w:rsid w:val="18C75DE4"/>
    <w:rsid w:val="18E06A20"/>
    <w:rsid w:val="19370BAC"/>
    <w:rsid w:val="195565B3"/>
    <w:rsid w:val="197344CC"/>
    <w:rsid w:val="19C161F3"/>
    <w:rsid w:val="19C95982"/>
    <w:rsid w:val="19EC7BA8"/>
    <w:rsid w:val="19EF5BDB"/>
    <w:rsid w:val="1A004525"/>
    <w:rsid w:val="1A241FCB"/>
    <w:rsid w:val="1A310B82"/>
    <w:rsid w:val="1A903AFB"/>
    <w:rsid w:val="1ABA0365"/>
    <w:rsid w:val="1ABC1FED"/>
    <w:rsid w:val="1AD75285"/>
    <w:rsid w:val="1AD812C1"/>
    <w:rsid w:val="1ADE4D29"/>
    <w:rsid w:val="1B267BA9"/>
    <w:rsid w:val="1B2B55D1"/>
    <w:rsid w:val="1B2C6A79"/>
    <w:rsid w:val="1B32775E"/>
    <w:rsid w:val="1B53126C"/>
    <w:rsid w:val="1B7E6C63"/>
    <w:rsid w:val="1B7E7DF7"/>
    <w:rsid w:val="1B8770AD"/>
    <w:rsid w:val="1B902C3E"/>
    <w:rsid w:val="1BB12770"/>
    <w:rsid w:val="1BDB6FF7"/>
    <w:rsid w:val="1C1667D9"/>
    <w:rsid w:val="1C1E6EE4"/>
    <w:rsid w:val="1C406E5A"/>
    <w:rsid w:val="1C4B1FEE"/>
    <w:rsid w:val="1C6902F5"/>
    <w:rsid w:val="1C803D3D"/>
    <w:rsid w:val="1C884981"/>
    <w:rsid w:val="1D17748B"/>
    <w:rsid w:val="1D3F2CEA"/>
    <w:rsid w:val="1D5842BF"/>
    <w:rsid w:val="1D840843"/>
    <w:rsid w:val="1D95194F"/>
    <w:rsid w:val="1DF724F0"/>
    <w:rsid w:val="1E2A40E0"/>
    <w:rsid w:val="1E5A0C41"/>
    <w:rsid w:val="1E715AFF"/>
    <w:rsid w:val="1E8B4B28"/>
    <w:rsid w:val="1EAE3076"/>
    <w:rsid w:val="1EE47B84"/>
    <w:rsid w:val="1EE82638"/>
    <w:rsid w:val="1EF07B2A"/>
    <w:rsid w:val="1F0B2C80"/>
    <w:rsid w:val="1F2D15FC"/>
    <w:rsid w:val="1F3D44B2"/>
    <w:rsid w:val="1F667ECB"/>
    <w:rsid w:val="1FB951CF"/>
    <w:rsid w:val="1FD5147C"/>
    <w:rsid w:val="1FE10954"/>
    <w:rsid w:val="1FF61ECD"/>
    <w:rsid w:val="20024D65"/>
    <w:rsid w:val="20806EC0"/>
    <w:rsid w:val="20A50C14"/>
    <w:rsid w:val="20B32118"/>
    <w:rsid w:val="20E06E5E"/>
    <w:rsid w:val="21023AB4"/>
    <w:rsid w:val="211C30F2"/>
    <w:rsid w:val="211C60E8"/>
    <w:rsid w:val="2127683B"/>
    <w:rsid w:val="217E219B"/>
    <w:rsid w:val="21C36564"/>
    <w:rsid w:val="21ED538F"/>
    <w:rsid w:val="220426D8"/>
    <w:rsid w:val="221C2532"/>
    <w:rsid w:val="224F082B"/>
    <w:rsid w:val="2250591D"/>
    <w:rsid w:val="225D0CCB"/>
    <w:rsid w:val="23286AB2"/>
    <w:rsid w:val="233D0F56"/>
    <w:rsid w:val="23451A39"/>
    <w:rsid w:val="235814AD"/>
    <w:rsid w:val="236B19AC"/>
    <w:rsid w:val="238A41F5"/>
    <w:rsid w:val="239278A7"/>
    <w:rsid w:val="23A203FB"/>
    <w:rsid w:val="23D37B9B"/>
    <w:rsid w:val="240E42D2"/>
    <w:rsid w:val="2431059F"/>
    <w:rsid w:val="247B4ED4"/>
    <w:rsid w:val="247E4332"/>
    <w:rsid w:val="24843C71"/>
    <w:rsid w:val="249C4E4A"/>
    <w:rsid w:val="24A52573"/>
    <w:rsid w:val="24B30B11"/>
    <w:rsid w:val="24BE3012"/>
    <w:rsid w:val="24DE130C"/>
    <w:rsid w:val="24F957CC"/>
    <w:rsid w:val="25021151"/>
    <w:rsid w:val="25027ED1"/>
    <w:rsid w:val="251227A7"/>
    <w:rsid w:val="25471DF4"/>
    <w:rsid w:val="254F52B2"/>
    <w:rsid w:val="257368AC"/>
    <w:rsid w:val="25756B02"/>
    <w:rsid w:val="2584600A"/>
    <w:rsid w:val="258B7C20"/>
    <w:rsid w:val="25980C9B"/>
    <w:rsid w:val="25B22B40"/>
    <w:rsid w:val="25F74A2E"/>
    <w:rsid w:val="2612679A"/>
    <w:rsid w:val="26374858"/>
    <w:rsid w:val="265D7770"/>
    <w:rsid w:val="2668592C"/>
    <w:rsid w:val="268C17A5"/>
    <w:rsid w:val="268F604F"/>
    <w:rsid w:val="269B5ACF"/>
    <w:rsid w:val="26D15166"/>
    <w:rsid w:val="26D7482A"/>
    <w:rsid w:val="26F34D34"/>
    <w:rsid w:val="272C4BAB"/>
    <w:rsid w:val="27335B41"/>
    <w:rsid w:val="27337E5F"/>
    <w:rsid w:val="277E2C99"/>
    <w:rsid w:val="27960276"/>
    <w:rsid w:val="27C46B92"/>
    <w:rsid w:val="28552C3D"/>
    <w:rsid w:val="285D2B42"/>
    <w:rsid w:val="28612908"/>
    <w:rsid w:val="28BC3D0D"/>
    <w:rsid w:val="28EC45F2"/>
    <w:rsid w:val="28ED2347"/>
    <w:rsid w:val="290A2CCA"/>
    <w:rsid w:val="291B32DF"/>
    <w:rsid w:val="29312D26"/>
    <w:rsid w:val="29695C42"/>
    <w:rsid w:val="29746395"/>
    <w:rsid w:val="29986528"/>
    <w:rsid w:val="29F85218"/>
    <w:rsid w:val="29FB3F81"/>
    <w:rsid w:val="2A321DA8"/>
    <w:rsid w:val="2A3540A6"/>
    <w:rsid w:val="2A827495"/>
    <w:rsid w:val="2A913BE9"/>
    <w:rsid w:val="2AA138C8"/>
    <w:rsid w:val="2AB63109"/>
    <w:rsid w:val="2AC31382"/>
    <w:rsid w:val="2AEF2177"/>
    <w:rsid w:val="2B1A46C4"/>
    <w:rsid w:val="2B470F1A"/>
    <w:rsid w:val="2B502323"/>
    <w:rsid w:val="2BB138D1"/>
    <w:rsid w:val="2BC84B7C"/>
    <w:rsid w:val="2C6646BB"/>
    <w:rsid w:val="2C6C77F8"/>
    <w:rsid w:val="2C6E531E"/>
    <w:rsid w:val="2C715A5D"/>
    <w:rsid w:val="2C9D1C92"/>
    <w:rsid w:val="2CE11346"/>
    <w:rsid w:val="2CFC0B7C"/>
    <w:rsid w:val="2D16085C"/>
    <w:rsid w:val="2D1E6D44"/>
    <w:rsid w:val="2D2E123C"/>
    <w:rsid w:val="2D412A32"/>
    <w:rsid w:val="2D7125D2"/>
    <w:rsid w:val="2DA3549B"/>
    <w:rsid w:val="2DB07B81"/>
    <w:rsid w:val="2DD60BBC"/>
    <w:rsid w:val="2DDC6E75"/>
    <w:rsid w:val="2DDD6764"/>
    <w:rsid w:val="2DE24215"/>
    <w:rsid w:val="2DF126AA"/>
    <w:rsid w:val="2E151E3B"/>
    <w:rsid w:val="2E3305CD"/>
    <w:rsid w:val="2E654321"/>
    <w:rsid w:val="2E7262E3"/>
    <w:rsid w:val="2E774CB7"/>
    <w:rsid w:val="2EA0024E"/>
    <w:rsid w:val="2EC102CF"/>
    <w:rsid w:val="2EDD4E21"/>
    <w:rsid w:val="2F002AF1"/>
    <w:rsid w:val="2F1E2C31"/>
    <w:rsid w:val="2F280850"/>
    <w:rsid w:val="2F3C1703"/>
    <w:rsid w:val="2F42195A"/>
    <w:rsid w:val="2F7B4FA2"/>
    <w:rsid w:val="2F8C6E1F"/>
    <w:rsid w:val="2F912405"/>
    <w:rsid w:val="2FF736DF"/>
    <w:rsid w:val="30261EF2"/>
    <w:rsid w:val="302B3FFF"/>
    <w:rsid w:val="3035256F"/>
    <w:rsid w:val="30370042"/>
    <w:rsid w:val="303F44AC"/>
    <w:rsid w:val="304A388A"/>
    <w:rsid w:val="304C506B"/>
    <w:rsid w:val="30647999"/>
    <w:rsid w:val="306A602F"/>
    <w:rsid w:val="308876DF"/>
    <w:rsid w:val="30B1780A"/>
    <w:rsid w:val="31121908"/>
    <w:rsid w:val="31195DC3"/>
    <w:rsid w:val="313C62A9"/>
    <w:rsid w:val="315149B9"/>
    <w:rsid w:val="31894A5B"/>
    <w:rsid w:val="31A6590C"/>
    <w:rsid w:val="31B2784E"/>
    <w:rsid w:val="31BC1251"/>
    <w:rsid w:val="31CD2AE7"/>
    <w:rsid w:val="31D65E3F"/>
    <w:rsid w:val="31DC56CD"/>
    <w:rsid w:val="31FE5396"/>
    <w:rsid w:val="32414517"/>
    <w:rsid w:val="32BA2E92"/>
    <w:rsid w:val="32CB46AD"/>
    <w:rsid w:val="32F26E9A"/>
    <w:rsid w:val="32FA3DAF"/>
    <w:rsid w:val="3301658F"/>
    <w:rsid w:val="3350577D"/>
    <w:rsid w:val="33AF19FD"/>
    <w:rsid w:val="33DF1012"/>
    <w:rsid w:val="33E775C7"/>
    <w:rsid w:val="34484F20"/>
    <w:rsid w:val="346A6D13"/>
    <w:rsid w:val="347C2B5F"/>
    <w:rsid w:val="34AD35BF"/>
    <w:rsid w:val="34FA0097"/>
    <w:rsid w:val="35072BEA"/>
    <w:rsid w:val="350C6869"/>
    <w:rsid w:val="353B11D3"/>
    <w:rsid w:val="35470B97"/>
    <w:rsid w:val="35C91817"/>
    <w:rsid w:val="360F6BD4"/>
    <w:rsid w:val="365B2DB7"/>
    <w:rsid w:val="366C2690"/>
    <w:rsid w:val="3676327B"/>
    <w:rsid w:val="369479C4"/>
    <w:rsid w:val="36CB0D6B"/>
    <w:rsid w:val="36DD557A"/>
    <w:rsid w:val="36FD79CA"/>
    <w:rsid w:val="37020D8A"/>
    <w:rsid w:val="37230E7F"/>
    <w:rsid w:val="37337890"/>
    <w:rsid w:val="37D8041F"/>
    <w:rsid w:val="37DD09A1"/>
    <w:rsid w:val="37E7400F"/>
    <w:rsid w:val="386F1B9A"/>
    <w:rsid w:val="38733858"/>
    <w:rsid w:val="38882D10"/>
    <w:rsid w:val="38A071A7"/>
    <w:rsid w:val="38BF7433"/>
    <w:rsid w:val="38D00D16"/>
    <w:rsid w:val="38F372D7"/>
    <w:rsid w:val="38F51A62"/>
    <w:rsid w:val="38FF4C8D"/>
    <w:rsid w:val="390C0CA3"/>
    <w:rsid w:val="39174945"/>
    <w:rsid w:val="39C12584"/>
    <w:rsid w:val="39CD28CD"/>
    <w:rsid w:val="39CD30F0"/>
    <w:rsid w:val="39D31AAB"/>
    <w:rsid w:val="39DC7D6B"/>
    <w:rsid w:val="3AD53A5F"/>
    <w:rsid w:val="3AF10079"/>
    <w:rsid w:val="3AFE1FBE"/>
    <w:rsid w:val="3B021A92"/>
    <w:rsid w:val="3B1B2CE6"/>
    <w:rsid w:val="3B2B4B02"/>
    <w:rsid w:val="3B615FCE"/>
    <w:rsid w:val="3B6224F2"/>
    <w:rsid w:val="3B862684"/>
    <w:rsid w:val="3BAA5C47"/>
    <w:rsid w:val="3BAD5A4F"/>
    <w:rsid w:val="3BAF3006"/>
    <w:rsid w:val="3BB32D4D"/>
    <w:rsid w:val="3BCC2061"/>
    <w:rsid w:val="3C1C24AF"/>
    <w:rsid w:val="3C2D4BF2"/>
    <w:rsid w:val="3C8D62D5"/>
    <w:rsid w:val="3C8F5568"/>
    <w:rsid w:val="3C906A00"/>
    <w:rsid w:val="3C925059"/>
    <w:rsid w:val="3CC33464"/>
    <w:rsid w:val="3CE04E71"/>
    <w:rsid w:val="3D110F6E"/>
    <w:rsid w:val="3D2D1D9C"/>
    <w:rsid w:val="3D595B76"/>
    <w:rsid w:val="3D6F7148"/>
    <w:rsid w:val="3D7C7D5A"/>
    <w:rsid w:val="3DB35286"/>
    <w:rsid w:val="3DD37420"/>
    <w:rsid w:val="3DD46076"/>
    <w:rsid w:val="3DD671C7"/>
    <w:rsid w:val="3DE43692"/>
    <w:rsid w:val="3E210442"/>
    <w:rsid w:val="3E2660A7"/>
    <w:rsid w:val="3E342D63"/>
    <w:rsid w:val="3E35044A"/>
    <w:rsid w:val="3E500D27"/>
    <w:rsid w:val="3ECB6BB2"/>
    <w:rsid w:val="3ED54CA3"/>
    <w:rsid w:val="3F0B2EA0"/>
    <w:rsid w:val="3F3360F1"/>
    <w:rsid w:val="3F571FF2"/>
    <w:rsid w:val="3F680870"/>
    <w:rsid w:val="3FA83606"/>
    <w:rsid w:val="3FA94B93"/>
    <w:rsid w:val="3FF54D36"/>
    <w:rsid w:val="3FFB177B"/>
    <w:rsid w:val="40146D81"/>
    <w:rsid w:val="40354679"/>
    <w:rsid w:val="4037219F"/>
    <w:rsid w:val="40635C59"/>
    <w:rsid w:val="407C22A8"/>
    <w:rsid w:val="40866C82"/>
    <w:rsid w:val="40C34607"/>
    <w:rsid w:val="40D63A95"/>
    <w:rsid w:val="40F40090"/>
    <w:rsid w:val="40F76365"/>
    <w:rsid w:val="40F8287F"/>
    <w:rsid w:val="41432958"/>
    <w:rsid w:val="41625776"/>
    <w:rsid w:val="416879D1"/>
    <w:rsid w:val="419C0D67"/>
    <w:rsid w:val="41B45D97"/>
    <w:rsid w:val="41B81009"/>
    <w:rsid w:val="41B8730F"/>
    <w:rsid w:val="41BF5DDA"/>
    <w:rsid w:val="41F06AA9"/>
    <w:rsid w:val="41F235E8"/>
    <w:rsid w:val="420A301F"/>
    <w:rsid w:val="424857F7"/>
    <w:rsid w:val="42A95FC7"/>
    <w:rsid w:val="43290899"/>
    <w:rsid w:val="434A3256"/>
    <w:rsid w:val="43615785"/>
    <w:rsid w:val="438F1AD4"/>
    <w:rsid w:val="44680760"/>
    <w:rsid w:val="44721E6E"/>
    <w:rsid w:val="447514E8"/>
    <w:rsid w:val="44827761"/>
    <w:rsid w:val="4489178C"/>
    <w:rsid w:val="44962078"/>
    <w:rsid w:val="44E73C4D"/>
    <w:rsid w:val="450E5B4A"/>
    <w:rsid w:val="45266E38"/>
    <w:rsid w:val="4556580E"/>
    <w:rsid w:val="45932632"/>
    <w:rsid w:val="459D6676"/>
    <w:rsid w:val="45B02448"/>
    <w:rsid w:val="462736C9"/>
    <w:rsid w:val="464C6C5A"/>
    <w:rsid w:val="464D5103"/>
    <w:rsid w:val="46641814"/>
    <w:rsid w:val="469B0FAE"/>
    <w:rsid w:val="46B50E20"/>
    <w:rsid w:val="46CC1F42"/>
    <w:rsid w:val="46D337D7"/>
    <w:rsid w:val="46D422A2"/>
    <w:rsid w:val="46DD599B"/>
    <w:rsid w:val="46E01A96"/>
    <w:rsid w:val="46F431BC"/>
    <w:rsid w:val="472A5F3F"/>
    <w:rsid w:val="47641563"/>
    <w:rsid w:val="477F442B"/>
    <w:rsid w:val="47841A42"/>
    <w:rsid w:val="47855EE6"/>
    <w:rsid w:val="47887784"/>
    <w:rsid w:val="47BA4DA1"/>
    <w:rsid w:val="47BC567F"/>
    <w:rsid w:val="47EF7803"/>
    <w:rsid w:val="482F1AC9"/>
    <w:rsid w:val="48B60321"/>
    <w:rsid w:val="48BA4575"/>
    <w:rsid w:val="48EB286A"/>
    <w:rsid w:val="491C4914"/>
    <w:rsid w:val="493D0EF0"/>
    <w:rsid w:val="49600AD6"/>
    <w:rsid w:val="496B2440"/>
    <w:rsid w:val="49754BD6"/>
    <w:rsid w:val="49B318C5"/>
    <w:rsid w:val="49D61562"/>
    <w:rsid w:val="49E05655"/>
    <w:rsid w:val="49F37065"/>
    <w:rsid w:val="4A1470AD"/>
    <w:rsid w:val="4A3D7041"/>
    <w:rsid w:val="4A4D25BF"/>
    <w:rsid w:val="4A7B4A3A"/>
    <w:rsid w:val="4A87148D"/>
    <w:rsid w:val="4ACE0C3C"/>
    <w:rsid w:val="4AE858D8"/>
    <w:rsid w:val="4B8169B9"/>
    <w:rsid w:val="4BAB29C4"/>
    <w:rsid w:val="4BC47C66"/>
    <w:rsid w:val="4BC535EC"/>
    <w:rsid w:val="4BF6210B"/>
    <w:rsid w:val="4C1B2C4B"/>
    <w:rsid w:val="4C1C493F"/>
    <w:rsid w:val="4C227A9B"/>
    <w:rsid w:val="4C717595"/>
    <w:rsid w:val="4C742B81"/>
    <w:rsid w:val="4C7D78BC"/>
    <w:rsid w:val="4CA15422"/>
    <w:rsid w:val="4CA95EFF"/>
    <w:rsid w:val="4CAC5CC3"/>
    <w:rsid w:val="4CCD7017"/>
    <w:rsid w:val="4DB30240"/>
    <w:rsid w:val="4DC77A77"/>
    <w:rsid w:val="4DE478F9"/>
    <w:rsid w:val="4DF23BA9"/>
    <w:rsid w:val="4DFA3F65"/>
    <w:rsid w:val="4E037B64"/>
    <w:rsid w:val="4E1C6034"/>
    <w:rsid w:val="4E4540C4"/>
    <w:rsid w:val="4E9C5E27"/>
    <w:rsid w:val="4EAD640F"/>
    <w:rsid w:val="4ECD1F20"/>
    <w:rsid w:val="4EDF7277"/>
    <w:rsid w:val="4EE71234"/>
    <w:rsid w:val="4EEA4880"/>
    <w:rsid w:val="4F0143CF"/>
    <w:rsid w:val="4F0F0073"/>
    <w:rsid w:val="4F5774DC"/>
    <w:rsid w:val="4F5F0DCA"/>
    <w:rsid w:val="4F6E0572"/>
    <w:rsid w:val="4FBF7ABB"/>
    <w:rsid w:val="4FC105A9"/>
    <w:rsid w:val="4FCD7475"/>
    <w:rsid w:val="4FDE77A3"/>
    <w:rsid w:val="4FE13ED5"/>
    <w:rsid w:val="5012408F"/>
    <w:rsid w:val="50291D56"/>
    <w:rsid w:val="503E2125"/>
    <w:rsid w:val="50694E26"/>
    <w:rsid w:val="50837920"/>
    <w:rsid w:val="50AC3A48"/>
    <w:rsid w:val="50AD025B"/>
    <w:rsid w:val="50DA5903"/>
    <w:rsid w:val="50EA4F33"/>
    <w:rsid w:val="51013CBA"/>
    <w:rsid w:val="51176CFE"/>
    <w:rsid w:val="51257DF2"/>
    <w:rsid w:val="514205CA"/>
    <w:rsid w:val="514A5940"/>
    <w:rsid w:val="516E79EA"/>
    <w:rsid w:val="51874608"/>
    <w:rsid w:val="51A62CB4"/>
    <w:rsid w:val="51D27F79"/>
    <w:rsid w:val="51DF61F2"/>
    <w:rsid w:val="51EC29AA"/>
    <w:rsid w:val="522651AE"/>
    <w:rsid w:val="522B1280"/>
    <w:rsid w:val="522C710D"/>
    <w:rsid w:val="526000DB"/>
    <w:rsid w:val="52A64F62"/>
    <w:rsid w:val="52BF535C"/>
    <w:rsid w:val="52C50BE9"/>
    <w:rsid w:val="53220A8C"/>
    <w:rsid w:val="535C4B41"/>
    <w:rsid w:val="536D0343"/>
    <w:rsid w:val="53762E6A"/>
    <w:rsid w:val="5385101B"/>
    <w:rsid w:val="53BC2C8F"/>
    <w:rsid w:val="53C929DC"/>
    <w:rsid w:val="53EE720A"/>
    <w:rsid w:val="53F266B1"/>
    <w:rsid w:val="54624EB9"/>
    <w:rsid w:val="546D5A43"/>
    <w:rsid w:val="548D5F33"/>
    <w:rsid w:val="54A36432"/>
    <w:rsid w:val="54C21174"/>
    <w:rsid w:val="54E63D3C"/>
    <w:rsid w:val="54F142BD"/>
    <w:rsid w:val="54FD6DDC"/>
    <w:rsid w:val="54FD7F7A"/>
    <w:rsid w:val="55760388"/>
    <w:rsid w:val="559D089E"/>
    <w:rsid w:val="55B23D90"/>
    <w:rsid w:val="55B31E70"/>
    <w:rsid w:val="55EB6C16"/>
    <w:rsid w:val="56226FF5"/>
    <w:rsid w:val="56440D1A"/>
    <w:rsid w:val="564C244B"/>
    <w:rsid w:val="565371AF"/>
    <w:rsid w:val="56574EF1"/>
    <w:rsid w:val="56582A17"/>
    <w:rsid w:val="565D5C10"/>
    <w:rsid w:val="56747BA1"/>
    <w:rsid w:val="568B64F5"/>
    <w:rsid w:val="56BC1DA6"/>
    <w:rsid w:val="56D32F17"/>
    <w:rsid w:val="56F02C50"/>
    <w:rsid w:val="572172AD"/>
    <w:rsid w:val="576D42A0"/>
    <w:rsid w:val="57AF19D1"/>
    <w:rsid w:val="57AF2B0B"/>
    <w:rsid w:val="57AF4D97"/>
    <w:rsid w:val="57D7526E"/>
    <w:rsid w:val="580E7831"/>
    <w:rsid w:val="5895387B"/>
    <w:rsid w:val="58976783"/>
    <w:rsid w:val="58B70212"/>
    <w:rsid w:val="58BA3515"/>
    <w:rsid w:val="58C31833"/>
    <w:rsid w:val="58C61EBA"/>
    <w:rsid w:val="58D42A10"/>
    <w:rsid w:val="58F93350"/>
    <w:rsid w:val="5903310E"/>
    <w:rsid w:val="59A24506"/>
    <w:rsid w:val="59A71CEC"/>
    <w:rsid w:val="59B435AB"/>
    <w:rsid w:val="59CE54CA"/>
    <w:rsid w:val="59F97DC2"/>
    <w:rsid w:val="5A3115B5"/>
    <w:rsid w:val="5A5359CF"/>
    <w:rsid w:val="5A581238"/>
    <w:rsid w:val="5A9234A3"/>
    <w:rsid w:val="5A93726B"/>
    <w:rsid w:val="5A9776E6"/>
    <w:rsid w:val="5B032434"/>
    <w:rsid w:val="5B1C7676"/>
    <w:rsid w:val="5B3C6463"/>
    <w:rsid w:val="5B413A7A"/>
    <w:rsid w:val="5B4A1A7A"/>
    <w:rsid w:val="5B5C0FA9"/>
    <w:rsid w:val="5B6B6D49"/>
    <w:rsid w:val="5B7A7C08"/>
    <w:rsid w:val="5B7C71A8"/>
    <w:rsid w:val="5B976EE8"/>
    <w:rsid w:val="5BC3635B"/>
    <w:rsid w:val="5BDB6C3E"/>
    <w:rsid w:val="5BE2700B"/>
    <w:rsid w:val="5BF016EC"/>
    <w:rsid w:val="5C07560D"/>
    <w:rsid w:val="5C17130E"/>
    <w:rsid w:val="5C386E13"/>
    <w:rsid w:val="5C6A4366"/>
    <w:rsid w:val="5C71703C"/>
    <w:rsid w:val="5C7E1F0B"/>
    <w:rsid w:val="5C89392A"/>
    <w:rsid w:val="5C910A31"/>
    <w:rsid w:val="5CC42BB4"/>
    <w:rsid w:val="5CEB32F5"/>
    <w:rsid w:val="5CF50FC0"/>
    <w:rsid w:val="5D30539F"/>
    <w:rsid w:val="5D8365CC"/>
    <w:rsid w:val="5DCC4B33"/>
    <w:rsid w:val="5E127E29"/>
    <w:rsid w:val="5E1A599B"/>
    <w:rsid w:val="5E1E00A2"/>
    <w:rsid w:val="5E27164D"/>
    <w:rsid w:val="5E306E17"/>
    <w:rsid w:val="5E3616DE"/>
    <w:rsid w:val="5E5166CA"/>
    <w:rsid w:val="5E7D2FED"/>
    <w:rsid w:val="5E98499F"/>
    <w:rsid w:val="5E9C374B"/>
    <w:rsid w:val="5EC97B75"/>
    <w:rsid w:val="5EE52652"/>
    <w:rsid w:val="5EFE1B83"/>
    <w:rsid w:val="5F226FE9"/>
    <w:rsid w:val="5F3F3F76"/>
    <w:rsid w:val="5F7F2DC3"/>
    <w:rsid w:val="5FEB6932"/>
    <w:rsid w:val="60014881"/>
    <w:rsid w:val="60E530F9"/>
    <w:rsid w:val="612561BE"/>
    <w:rsid w:val="613C660B"/>
    <w:rsid w:val="61555BFA"/>
    <w:rsid w:val="618446C0"/>
    <w:rsid w:val="61A44D62"/>
    <w:rsid w:val="61AE798F"/>
    <w:rsid w:val="61B054B5"/>
    <w:rsid w:val="61C4588C"/>
    <w:rsid w:val="61F41846"/>
    <w:rsid w:val="61F46E71"/>
    <w:rsid w:val="62600C89"/>
    <w:rsid w:val="62944DD7"/>
    <w:rsid w:val="62AA4279"/>
    <w:rsid w:val="62FC2355"/>
    <w:rsid w:val="633D721D"/>
    <w:rsid w:val="63B95028"/>
    <w:rsid w:val="63BC1A40"/>
    <w:rsid w:val="63BD3EBA"/>
    <w:rsid w:val="64177A6E"/>
    <w:rsid w:val="642171BD"/>
    <w:rsid w:val="642C11DE"/>
    <w:rsid w:val="643B276C"/>
    <w:rsid w:val="6497295D"/>
    <w:rsid w:val="649B3DE2"/>
    <w:rsid w:val="64FD5929"/>
    <w:rsid w:val="65053261"/>
    <w:rsid w:val="65BD63F3"/>
    <w:rsid w:val="65D55BB1"/>
    <w:rsid w:val="66160B21"/>
    <w:rsid w:val="662750F9"/>
    <w:rsid w:val="662773B0"/>
    <w:rsid w:val="664F7AE6"/>
    <w:rsid w:val="665D4D1E"/>
    <w:rsid w:val="666D7E19"/>
    <w:rsid w:val="668E1311"/>
    <w:rsid w:val="669F3BF2"/>
    <w:rsid w:val="66B912B0"/>
    <w:rsid w:val="66CD6B09"/>
    <w:rsid w:val="66E62B15"/>
    <w:rsid w:val="66EF4456"/>
    <w:rsid w:val="67034BEB"/>
    <w:rsid w:val="67170922"/>
    <w:rsid w:val="67282DFB"/>
    <w:rsid w:val="673B1704"/>
    <w:rsid w:val="677156E7"/>
    <w:rsid w:val="67BD1D4E"/>
    <w:rsid w:val="68104F00"/>
    <w:rsid w:val="683066A1"/>
    <w:rsid w:val="68790CF7"/>
    <w:rsid w:val="6890028C"/>
    <w:rsid w:val="68954EFF"/>
    <w:rsid w:val="68AB7066"/>
    <w:rsid w:val="68D63571"/>
    <w:rsid w:val="68D7303D"/>
    <w:rsid w:val="68DC1286"/>
    <w:rsid w:val="69006772"/>
    <w:rsid w:val="695B664F"/>
    <w:rsid w:val="69823BDB"/>
    <w:rsid w:val="698B3309"/>
    <w:rsid w:val="69AA4EE0"/>
    <w:rsid w:val="69B61AD7"/>
    <w:rsid w:val="69DC4191"/>
    <w:rsid w:val="6A006C03"/>
    <w:rsid w:val="6A316C25"/>
    <w:rsid w:val="6A5437CA"/>
    <w:rsid w:val="6A5E76C5"/>
    <w:rsid w:val="6A6F4DA2"/>
    <w:rsid w:val="6A7E1939"/>
    <w:rsid w:val="6A8519B6"/>
    <w:rsid w:val="6ACF6BFE"/>
    <w:rsid w:val="6ADA17F5"/>
    <w:rsid w:val="6AE06149"/>
    <w:rsid w:val="6AE61F48"/>
    <w:rsid w:val="6AF44665"/>
    <w:rsid w:val="6B016DA4"/>
    <w:rsid w:val="6B453107"/>
    <w:rsid w:val="6B4F3718"/>
    <w:rsid w:val="6B517D09"/>
    <w:rsid w:val="6BC90E06"/>
    <w:rsid w:val="6BE903ED"/>
    <w:rsid w:val="6C655F8D"/>
    <w:rsid w:val="6C6E389D"/>
    <w:rsid w:val="6C8A0C24"/>
    <w:rsid w:val="6C8F5E38"/>
    <w:rsid w:val="6CAC6598"/>
    <w:rsid w:val="6CDD463E"/>
    <w:rsid w:val="6CE92FCF"/>
    <w:rsid w:val="6CF461D5"/>
    <w:rsid w:val="6D865144"/>
    <w:rsid w:val="6DD2612E"/>
    <w:rsid w:val="6DDB5E75"/>
    <w:rsid w:val="6DF143BA"/>
    <w:rsid w:val="6E26635A"/>
    <w:rsid w:val="6E354CD7"/>
    <w:rsid w:val="6E3E0F9E"/>
    <w:rsid w:val="6E3F02ED"/>
    <w:rsid w:val="6E5D4C17"/>
    <w:rsid w:val="6EB72579"/>
    <w:rsid w:val="6EB76354"/>
    <w:rsid w:val="6EDA0016"/>
    <w:rsid w:val="6F1352D6"/>
    <w:rsid w:val="6F3215DB"/>
    <w:rsid w:val="6F8A1A3C"/>
    <w:rsid w:val="6F8F2BAE"/>
    <w:rsid w:val="6F967276"/>
    <w:rsid w:val="701D7844"/>
    <w:rsid w:val="704D4675"/>
    <w:rsid w:val="704F233D"/>
    <w:rsid w:val="707128CC"/>
    <w:rsid w:val="708E2E1C"/>
    <w:rsid w:val="709D579F"/>
    <w:rsid w:val="70A15D47"/>
    <w:rsid w:val="70A1703D"/>
    <w:rsid w:val="70CA0A82"/>
    <w:rsid w:val="70D3077D"/>
    <w:rsid w:val="70DA3DEC"/>
    <w:rsid w:val="7104581E"/>
    <w:rsid w:val="71202DBA"/>
    <w:rsid w:val="7121430A"/>
    <w:rsid w:val="716B400E"/>
    <w:rsid w:val="71A14D48"/>
    <w:rsid w:val="71B71FD5"/>
    <w:rsid w:val="71C54519"/>
    <w:rsid w:val="71D21E68"/>
    <w:rsid w:val="71F64E2E"/>
    <w:rsid w:val="72071122"/>
    <w:rsid w:val="720A46D2"/>
    <w:rsid w:val="724B2D4D"/>
    <w:rsid w:val="724E6446"/>
    <w:rsid w:val="725B321B"/>
    <w:rsid w:val="7261086B"/>
    <w:rsid w:val="726271FA"/>
    <w:rsid w:val="72893D0C"/>
    <w:rsid w:val="728A2A05"/>
    <w:rsid w:val="728C444A"/>
    <w:rsid w:val="72F9061E"/>
    <w:rsid w:val="730B4C41"/>
    <w:rsid w:val="733C11D9"/>
    <w:rsid w:val="736237DA"/>
    <w:rsid w:val="73722184"/>
    <w:rsid w:val="73C25BA4"/>
    <w:rsid w:val="73C80D84"/>
    <w:rsid w:val="73F35BC7"/>
    <w:rsid w:val="74406B6D"/>
    <w:rsid w:val="744877CF"/>
    <w:rsid w:val="74577B2E"/>
    <w:rsid w:val="74730CF0"/>
    <w:rsid w:val="74831C9D"/>
    <w:rsid w:val="7483523C"/>
    <w:rsid w:val="74936FEA"/>
    <w:rsid w:val="749C465C"/>
    <w:rsid w:val="74C07CAE"/>
    <w:rsid w:val="750A3856"/>
    <w:rsid w:val="75156306"/>
    <w:rsid w:val="751D031B"/>
    <w:rsid w:val="753C7D85"/>
    <w:rsid w:val="756E5131"/>
    <w:rsid w:val="759213EA"/>
    <w:rsid w:val="75A66D7D"/>
    <w:rsid w:val="75D501C9"/>
    <w:rsid w:val="75DB70DC"/>
    <w:rsid w:val="75F13615"/>
    <w:rsid w:val="761273B2"/>
    <w:rsid w:val="761958C7"/>
    <w:rsid w:val="762072BD"/>
    <w:rsid w:val="764F3097"/>
    <w:rsid w:val="767174B1"/>
    <w:rsid w:val="768A3AD2"/>
    <w:rsid w:val="769578DA"/>
    <w:rsid w:val="769A6A08"/>
    <w:rsid w:val="76C70E7F"/>
    <w:rsid w:val="76EB3411"/>
    <w:rsid w:val="76F96058"/>
    <w:rsid w:val="771D3195"/>
    <w:rsid w:val="771D4568"/>
    <w:rsid w:val="77291B3A"/>
    <w:rsid w:val="777F2584"/>
    <w:rsid w:val="77EB3E95"/>
    <w:rsid w:val="77FC7352"/>
    <w:rsid w:val="781E71C5"/>
    <w:rsid w:val="785506C7"/>
    <w:rsid w:val="785D6A0E"/>
    <w:rsid w:val="78650950"/>
    <w:rsid w:val="789A5517"/>
    <w:rsid w:val="78A21BA4"/>
    <w:rsid w:val="79093910"/>
    <w:rsid w:val="792D7A1C"/>
    <w:rsid w:val="79404F19"/>
    <w:rsid w:val="795A005C"/>
    <w:rsid w:val="798219D5"/>
    <w:rsid w:val="79863526"/>
    <w:rsid w:val="799C7093"/>
    <w:rsid w:val="79BC4EE7"/>
    <w:rsid w:val="79E1188C"/>
    <w:rsid w:val="7A1B7ACF"/>
    <w:rsid w:val="7A2B3416"/>
    <w:rsid w:val="7A672624"/>
    <w:rsid w:val="7A9F110E"/>
    <w:rsid w:val="7ABB0DE2"/>
    <w:rsid w:val="7AC06311"/>
    <w:rsid w:val="7ACE150F"/>
    <w:rsid w:val="7B25086A"/>
    <w:rsid w:val="7B3E48AE"/>
    <w:rsid w:val="7B5F29FC"/>
    <w:rsid w:val="7B7F0B72"/>
    <w:rsid w:val="7B9A3006"/>
    <w:rsid w:val="7BB84A57"/>
    <w:rsid w:val="7C0043D4"/>
    <w:rsid w:val="7C0E06C1"/>
    <w:rsid w:val="7C5E2BFE"/>
    <w:rsid w:val="7C606F46"/>
    <w:rsid w:val="7C635AEE"/>
    <w:rsid w:val="7C705B26"/>
    <w:rsid w:val="7C9035A6"/>
    <w:rsid w:val="7C912C3C"/>
    <w:rsid w:val="7C974476"/>
    <w:rsid w:val="7C982B53"/>
    <w:rsid w:val="7CAC38A6"/>
    <w:rsid w:val="7CBB76D8"/>
    <w:rsid w:val="7CFC6AAB"/>
    <w:rsid w:val="7D0F532E"/>
    <w:rsid w:val="7D1E37C3"/>
    <w:rsid w:val="7D744CAA"/>
    <w:rsid w:val="7D7D17E3"/>
    <w:rsid w:val="7DAD38C6"/>
    <w:rsid w:val="7DF34C50"/>
    <w:rsid w:val="7DF925FB"/>
    <w:rsid w:val="7E192908"/>
    <w:rsid w:val="7E385C55"/>
    <w:rsid w:val="7E7062A0"/>
    <w:rsid w:val="7E823FF9"/>
    <w:rsid w:val="7E862BD4"/>
    <w:rsid w:val="7EA85A3A"/>
    <w:rsid w:val="7EC5613F"/>
    <w:rsid w:val="7ECA167F"/>
    <w:rsid w:val="7EE767C9"/>
    <w:rsid w:val="7EF5451B"/>
    <w:rsid w:val="7F0828CC"/>
    <w:rsid w:val="7F201A75"/>
    <w:rsid w:val="7F2C5381"/>
    <w:rsid w:val="7F2E23E3"/>
    <w:rsid w:val="7F482E24"/>
    <w:rsid w:val="7F5369A6"/>
    <w:rsid w:val="7F587460"/>
    <w:rsid w:val="7F7973D7"/>
    <w:rsid w:val="7F9514CD"/>
    <w:rsid w:val="7FAC0F67"/>
    <w:rsid w:val="7FF479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paragraph" w:styleId="5">
    <w:name w:val="heading 4"/>
    <w:basedOn w:val="1"/>
    <w:next w:val="1"/>
    <w:autoRedefine/>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autoRedefine/>
    <w:qFormat/>
    <w:uiPriority w:val="9"/>
    <w:pPr>
      <w:keepNext/>
      <w:keepLines/>
      <w:tabs>
        <w:tab w:val="left" w:pos="1008"/>
      </w:tabs>
      <w:spacing w:before="280" w:after="290" w:line="376" w:lineRule="auto"/>
      <w:ind w:left="1008" w:hanging="1008"/>
      <w:outlineLvl w:val="4"/>
    </w:pPr>
    <w:rPr>
      <w:b/>
      <w:bCs/>
      <w:sz w:val="28"/>
      <w:szCs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7">
    <w:name w:val="List Number"/>
    <w:basedOn w:val="1"/>
    <w:next w:val="8"/>
    <w:autoRedefine/>
    <w:qFormat/>
    <w:uiPriority w:val="0"/>
    <w:pPr>
      <w:numPr>
        <w:ilvl w:val="0"/>
        <w:numId w:val="2"/>
      </w:numPr>
    </w:pPr>
  </w:style>
  <w:style w:type="paragraph" w:styleId="8">
    <w:name w:val="Balloon Text"/>
    <w:basedOn w:val="1"/>
    <w:next w:val="9"/>
    <w:link w:val="52"/>
    <w:autoRedefine/>
    <w:qFormat/>
    <w:uiPriority w:val="0"/>
    <w:rPr>
      <w:sz w:val="18"/>
      <w:szCs w:val="18"/>
    </w:rPr>
  </w:style>
  <w:style w:type="paragraph" w:styleId="9">
    <w:name w:val="toc 8"/>
    <w:basedOn w:val="1"/>
    <w:next w:val="1"/>
    <w:autoRedefine/>
    <w:semiHidden/>
    <w:qFormat/>
    <w:uiPriority w:val="0"/>
    <w:pPr>
      <w:spacing w:afterLines="50"/>
      <w:ind w:left="1470"/>
      <w:jc w:val="left"/>
    </w:pPr>
    <w:rPr>
      <w:snapToGrid w:val="0"/>
      <w:kern w:val="0"/>
      <w:sz w:val="18"/>
      <w:szCs w:val="18"/>
    </w:rPr>
  </w:style>
  <w:style w:type="paragraph" w:styleId="10">
    <w:name w:val="Normal Indent"/>
    <w:basedOn w:val="1"/>
    <w:next w:val="1"/>
    <w:link w:val="78"/>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11">
    <w:name w:val="caption"/>
    <w:basedOn w:val="1"/>
    <w:next w:val="1"/>
    <w:autoRedefine/>
    <w:qFormat/>
    <w:uiPriority w:val="0"/>
    <w:pPr>
      <w:spacing w:before="152" w:after="160"/>
    </w:pPr>
    <w:rPr>
      <w:rFonts w:ascii="Arial" w:hAnsi="Arial" w:eastAsia="黑体" w:cs="Arial"/>
      <w:sz w:val="20"/>
      <w:szCs w:val="20"/>
    </w:rPr>
  </w:style>
  <w:style w:type="paragraph" w:styleId="12">
    <w:name w:val="annotation text"/>
    <w:basedOn w:val="1"/>
    <w:link w:val="76"/>
    <w:autoRedefine/>
    <w:qFormat/>
    <w:uiPriority w:val="99"/>
    <w:pPr>
      <w:jc w:val="left"/>
    </w:pPr>
  </w:style>
  <w:style w:type="paragraph" w:styleId="13">
    <w:name w:val="Body Text"/>
    <w:basedOn w:val="1"/>
    <w:next w:val="14"/>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14">
    <w:name w:val="Body Text First Indent"/>
    <w:basedOn w:val="13"/>
    <w:next w:val="15"/>
    <w:autoRedefine/>
    <w:qFormat/>
    <w:uiPriority w:val="0"/>
    <w:pPr>
      <w:ind w:firstLine="420"/>
    </w:pPr>
    <w:rPr>
      <w:rFonts w:hAnsi="Times New Roman" w:cs="Times New Roman"/>
      <w:snapToGrid/>
      <w:szCs w:val="20"/>
    </w:rPr>
  </w:style>
  <w:style w:type="paragraph" w:styleId="15">
    <w:name w:val="toc 6"/>
    <w:basedOn w:val="1"/>
    <w:next w:val="1"/>
    <w:autoRedefine/>
    <w:qFormat/>
    <w:uiPriority w:val="0"/>
    <w:pPr>
      <w:ind w:left="2100" w:leftChars="1000"/>
    </w:pPr>
  </w:style>
  <w:style w:type="paragraph" w:styleId="16">
    <w:name w:val="Body Text Indent"/>
    <w:basedOn w:val="1"/>
    <w:next w:val="17"/>
    <w:autoRedefine/>
    <w:qFormat/>
    <w:uiPriority w:val="0"/>
    <w:pPr>
      <w:spacing w:line="480" w:lineRule="exact"/>
      <w:ind w:firstLine="480" w:firstLineChars="200"/>
    </w:pPr>
    <w:rPr>
      <w:rFonts w:ascii="宋体" w:hAnsi="宋体"/>
      <w:sz w:val="24"/>
    </w:rPr>
  </w:style>
  <w:style w:type="paragraph" w:styleId="17">
    <w:name w:val="Body Text First Indent 2"/>
    <w:basedOn w:val="16"/>
    <w:next w:val="1"/>
    <w:autoRedefine/>
    <w:qFormat/>
    <w:uiPriority w:val="0"/>
    <w:pPr>
      <w:spacing w:line="240" w:lineRule="auto"/>
      <w:ind w:left="420" w:leftChars="200" w:firstLine="210"/>
    </w:pPr>
    <w:rPr>
      <w:sz w:val="21"/>
    </w:rPr>
  </w:style>
  <w:style w:type="paragraph" w:styleId="18">
    <w:name w:val="Plain Text"/>
    <w:basedOn w:val="1"/>
    <w:next w:val="1"/>
    <w:autoRedefine/>
    <w:qFormat/>
    <w:uiPriority w:val="0"/>
    <w:rPr>
      <w:rFonts w:ascii="宋体" w:hAnsi="Courier New"/>
      <w:szCs w:val="22"/>
    </w:rPr>
  </w:style>
  <w:style w:type="paragraph" w:styleId="19">
    <w:name w:val="Date"/>
    <w:basedOn w:val="1"/>
    <w:next w:val="1"/>
    <w:autoRedefine/>
    <w:qFormat/>
    <w:uiPriority w:val="0"/>
    <w:pPr>
      <w:ind w:left="2500" w:leftChars="2500"/>
    </w:pPr>
    <w:rPr>
      <w:rFonts w:eastAsia="楷体_GB2312"/>
      <w:sz w:val="32"/>
      <w:szCs w:val="20"/>
    </w:rPr>
  </w:style>
  <w:style w:type="paragraph" w:styleId="20">
    <w:name w:val="footer"/>
    <w:basedOn w:val="1"/>
    <w:autoRedefine/>
    <w:qFormat/>
    <w:uiPriority w:val="0"/>
    <w:pPr>
      <w:tabs>
        <w:tab w:val="center" w:pos="4153"/>
        <w:tab w:val="right" w:pos="8306"/>
      </w:tabs>
      <w:snapToGrid w:val="0"/>
      <w:jc w:val="left"/>
    </w:pPr>
    <w:rPr>
      <w:sz w:val="18"/>
    </w:rPr>
  </w:style>
  <w:style w:type="paragraph" w:styleId="21">
    <w:name w:val="header"/>
    <w:basedOn w:val="1"/>
    <w:link w:val="86"/>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2">
    <w:name w:val="Normal (Web)"/>
    <w:basedOn w:val="1"/>
    <w:autoRedefine/>
    <w:qFormat/>
    <w:uiPriority w:val="0"/>
    <w:pPr>
      <w:spacing w:beforeAutospacing="1" w:afterAutospacing="1"/>
      <w:jc w:val="left"/>
    </w:pPr>
    <w:rPr>
      <w:rFonts w:cs="Times New Roman"/>
      <w:kern w:val="0"/>
      <w:sz w:val="24"/>
    </w:rPr>
  </w:style>
  <w:style w:type="paragraph" w:styleId="23">
    <w:name w:val="Title"/>
    <w:basedOn w:val="1"/>
    <w:autoRedefine/>
    <w:qFormat/>
    <w:uiPriority w:val="0"/>
    <w:pPr>
      <w:widowControl/>
      <w:overflowPunct w:val="0"/>
      <w:autoSpaceDE w:val="0"/>
      <w:autoSpaceDN w:val="0"/>
      <w:adjustRightInd w:val="0"/>
      <w:jc w:val="center"/>
      <w:textAlignment w:val="baseline"/>
    </w:pPr>
    <w:rPr>
      <w:b/>
      <w:kern w:val="0"/>
      <w:sz w:val="24"/>
      <w:szCs w:val="20"/>
      <w:lang w:val="en-GB"/>
    </w:rPr>
  </w:style>
  <w:style w:type="paragraph" w:styleId="24">
    <w:name w:val="annotation subject"/>
    <w:basedOn w:val="12"/>
    <w:next w:val="12"/>
    <w:link w:val="77"/>
    <w:autoRedefine/>
    <w:qFormat/>
    <w:uiPriority w:val="0"/>
    <w:rPr>
      <w:b/>
      <w:bCs/>
    </w:rPr>
  </w:style>
  <w:style w:type="table" w:styleId="26">
    <w:name w:val="Table Grid"/>
    <w:basedOn w:val="25"/>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8">
    <w:name w:val="Strong"/>
    <w:basedOn w:val="27"/>
    <w:autoRedefine/>
    <w:qFormat/>
    <w:uiPriority w:val="0"/>
    <w:rPr>
      <w:b/>
      <w:bCs/>
    </w:rPr>
  </w:style>
  <w:style w:type="character" w:styleId="29">
    <w:name w:val="page number"/>
    <w:basedOn w:val="27"/>
    <w:autoRedefine/>
    <w:qFormat/>
    <w:uiPriority w:val="0"/>
  </w:style>
  <w:style w:type="character" w:styleId="30">
    <w:name w:val="FollowedHyperlink"/>
    <w:basedOn w:val="27"/>
    <w:autoRedefine/>
    <w:qFormat/>
    <w:uiPriority w:val="0"/>
    <w:rPr>
      <w:color w:val="197AFF"/>
      <w:u w:val="none"/>
    </w:rPr>
  </w:style>
  <w:style w:type="character" w:styleId="31">
    <w:name w:val="HTML Definition"/>
    <w:basedOn w:val="27"/>
    <w:autoRedefine/>
    <w:qFormat/>
    <w:uiPriority w:val="0"/>
    <w:rPr>
      <w:i/>
      <w:iCs/>
    </w:rPr>
  </w:style>
  <w:style w:type="character" w:styleId="32">
    <w:name w:val="Hyperlink"/>
    <w:basedOn w:val="27"/>
    <w:autoRedefine/>
    <w:qFormat/>
    <w:uiPriority w:val="0"/>
    <w:rPr>
      <w:color w:val="0000FF"/>
      <w:u w:val="single"/>
    </w:rPr>
  </w:style>
  <w:style w:type="character" w:styleId="33">
    <w:name w:val="HTML Code"/>
    <w:basedOn w:val="27"/>
    <w:autoRedefine/>
    <w:qFormat/>
    <w:uiPriority w:val="0"/>
    <w:rPr>
      <w:rFonts w:ascii="Segoe UI" w:hAnsi="Segoe UI" w:eastAsia="Segoe UI" w:cs="Segoe UI"/>
      <w:sz w:val="21"/>
      <w:szCs w:val="21"/>
    </w:rPr>
  </w:style>
  <w:style w:type="character" w:styleId="34">
    <w:name w:val="annotation reference"/>
    <w:basedOn w:val="27"/>
    <w:autoRedefine/>
    <w:qFormat/>
    <w:uiPriority w:val="99"/>
    <w:rPr>
      <w:sz w:val="21"/>
      <w:szCs w:val="21"/>
    </w:rPr>
  </w:style>
  <w:style w:type="character" w:styleId="35">
    <w:name w:val="HTML Keyboard"/>
    <w:basedOn w:val="27"/>
    <w:autoRedefine/>
    <w:qFormat/>
    <w:uiPriority w:val="0"/>
    <w:rPr>
      <w:rFonts w:hint="default" w:ascii="Segoe UI" w:hAnsi="Segoe UI" w:eastAsia="Segoe UI" w:cs="Segoe UI"/>
      <w:sz w:val="21"/>
      <w:szCs w:val="21"/>
    </w:rPr>
  </w:style>
  <w:style w:type="character" w:styleId="36">
    <w:name w:val="HTML Sample"/>
    <w:basedOn w:val="27"/>
    <w:autoRedefine/>
    <w:qFormat/>
    <w:uiPriority w:val="0"/>
    <w:rPr>
      <w:rFonts w:hint="default" w:ascii="Segoe UI" w:hAnsi="Segoe UI" w:eastAsia="Segoe UI" w:cs="Segoe UI"/>
      <w:sz w:val="21"/>
      <w:szCs w:val="21"/>
    </w:rPr>
  </w:style>
  <w:style w:type="paragraph" w:customStyle="1" w:styleId="37">
    <w:name w:val="BodyText"/>
    <w:basedOn w:val="1"/>
    <w:autoRedefine/>
    <w:qFormat/>
    <w:uiPriority w:val="0"/>
    <w:pPr>
      <w:ind w:left="218"/>
      <w:textAlignment w:val="baseline"/>
    </w:pPr>
    <w:rPr>
      <w:rFonts w:ascii="仿宋" w:hAnsi="仿宋" w:eastAsia="仿宋"/>
      <w:sz w:val="24"/>
    </w:rPr>
  </w:style>
  <w:style w:type="paragraph" w:styleId="38">
    <w:name w:val="List Paragraph"/>
    <w:basedOn w:val="1"/>
    <w:autoRedefine/>
    <w:qFormat/>
    <w:uiPriority w:val="99"/>
    <w:pPr>
      <w:ind w:firstLine="420" w:firstLineChars="200"/>
    </w:pPr>
  </w:style>
  <w:style w:type="paragraph" w:customStyle="1" w:styleId="39">
    <w:name w:val="trs_edito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0">
    <w:name w:val="正文2"/>
    <w:basedOn w:val="1"/>
    <w:autoRedefine/>
    <w:qFormat/>
    <w:uiPriority w:val="0"/>
    <w:pPr>
      <w:spacing w:before="156" w:line="360" w:lineRule="auto"/>
      <w:ind w:firstLine="510" w:firstLineChars="200"/>
    </w:pPr>
    <w:rPr>
      <w:sz w:val="24"/>
      <w:szCs w:val="20"/>
    </w:rPr>
  </w:style>
  <w:style w:type="paragraph" w:customStyle="1" w:styleId="4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2">
    <w:name w:val="正文缩进1"/>
    <w:basedOn w:val="1"/>
    <w:next w:val="16"/>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43">
    <w:name w:val="索引 11"/>
    <w:basedOn w:val="1"/>
    <w:next w:val="1"/>
    <w:autoRedefine/>
    <w:qFormat/>
    <w:uiPriority w:val="0"/>
    <w:pPr>
      <w:spacing w:line="360" w:lineRule="auto"/>
    </w:pPr>
    <w:rPr>
      <w:rFonts w:ascii="仿宋_GB2312" w:eastAsia="仿宋_GB2312"/>
      <w:sz w:val="24"/>
      <w:szCs w:val="20"/>
    </w:rPr>
  </w:style>
  <w:style w:type="paragraph" w:customStyle="1" w:styleId="44">
    <w:name w:val="纯文本_0_0"/>
    <w:basedOn w:val="45"/>
    <w:autoRedefine/>
    <w:qFormat/>
    <w:uiPriority w:val="0"/>
    <w:rPr>
      <w:rFonts w:ascii="宋体" w:hAnsi="Courier New"/>
      <w:szCs w:val="21"/>
    </w:rPr>
  </w:style>
  <w:style w:type="paragraph" w:customStyle="1" w:styleId="4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7">
    <w:name w:val="列出段落1"/>
    <w:basedOn w:val="1"/>
    <w:autoRedefine/>
    <w:qFormat/>
    <w:uiPriority w:val="34"/>
    <w:pPr>
      <w:spacing w:line="360" w:lineRule="auto"/>
      <w:ind w:firstLine="420" w:firstLineChars="200"/>
    </w:pPr>
    <w:rPr>
      <w:rFonts w:ascii="Calibri" w:hAnsi="Calibri"/>
      <w:sz w:val="24"/>
      <w:szCs w:val="22"/>
    </w:rPr>
  </w:style>
  <w:style w:type="paragraph" w:customStyle="1" w:styleId="4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49">
    <w:name w:val="纯文本1"/>
    <w:basedOn w:val="1"/>
    <w:autoRedefine/>
    <w:qFormat/>
    <w:uiPriority w:val="0"/>
    <w:rPr>
      <w:rFonts w:ascii="宋体" w:hAnsi="Courier New"/>
      <w:kern w:val="0"/>
      <w:sz w:val="20"/>
      <w:szCs w:val="20"/>
    </w:rPr>
  </w:style>
  <w:style w:type="paragraph" w:customStyle="1" w:styleId="50">
    <w:name w:val="_Style 3"/>
    <w:basedOn w:val="1"/>
    <w:autoRedefine/>
    <w:qFormat/>
    <w:uiPriority w:val="0"/>
    <w:pPr>
      <w:ind w:firstLine="420" w:firstLineChars="200"/>
    </w:pPr>
    <w:rPr>
      <w:rFonts w:ascii="Calibri" w:hAnsi="Calibri" w:cs="宋体"/>
    </w:rPr>
  </w:style>
  <w:style w:type="paragraph" w:customStyle="1" w:styleId="51">
    <w:name w:val="正文 A"/>
    <w:basedOn w:val="1"/>
    <w:autoRedefine/>
    <w:qFormat/>
    <w:uiPriority w:val="0"/>
    <w:rPr>
      <w:rFonts w:ascii="Arial Unicode MS" w:hAnsi="Arial Unicode MS" w:eastAsia="Arial Unicode MS" w:cs="Arial Unicode MS"/>
      <w:color w:val="000000"/>
      <w:u w:color="000000"/>
    </w:rPr>
  </w:style>
  <w:style w:type="character" w:customStyle="1" w:styleId="52">
    <w:name w:val="批注框文本 Char"/>
    <w:basedOn w:val="27"/>
    <w:link w:val="8"/>
    <w:autoRedefine/>
    <w:qFormat/>
    <w:uiPriority w:val="0"/>
    <w:rPr>
      <w:rFonts w:asciiTheme="minorHAnsi" w:hAnsiTheme="minorHAnsi" w:eastAsiaTheme="minorEastAsia" w:cstheme="minorBidi"/>
      <w:kern w:val="2"/>
      <w:sz w:val="18"/>
      <w:szCs w:val="18"/>
    </w:rPr>
  </w:style>
  <w:style w:type="character" w:customStyle="1" w:styleId="53">
    <w:name w:val="font51"/>
    <w:basedOn w:val="27"/>
    <w:autoRedefine/>
    <w:qFormat/>
    <w:uiPriority w:val="0"/>
    <w:rPr>
      <w:rFonts w:hint="eastAsia" w:ascii="宋体" w:hAnsi="宋体" w:eastAsia="宋体" w:cs="宋体"/>
      <w:color w:val="000000"/>
      <w:sz w:val="20"/>
      <w:szCs w:val="20"/>
      <w:u w:val="none"/>
    </w:rPr>
  </w:style>
  <w:style w:type="paragraph" w:customStyle="1" w:styleId="54">
    <w:name w:val="正文段"/>
    <w:basedOn w:val="1"/>
    <w:autoRedefine/>
    <w:qFormat/>
    <w:uiPriority w:val="0"/>
    <w:pPr>
      <w:widowControl/>
      <w:snapToGrid w:val="0"/>
      <w:spacing w:afterLines="50"/>
      <w:ind w:firstLine="200" w:firstLineChars="200"/>
    </w:pPr>
    <w:rPr>
      <w:kern w:val="0"/>
      <w:sz w:val="24"/>
    </w:rPr>
  </w:style>
  <w:style w:type="character" w:customStyle="1" w:styleId="55">
    <w:name w:val="font11"/>
    <w:autoRedefine/>
    <w:qFormat/>
    <w:uiPriority w:val="0"/>
    <w:rPr>
      <w:rFonts w:ascii="宋体" w:hAnsi="宋体" w:eastAsia="宋体"/>
      <w:color w:val="000000"/>
      <w:sz w:val="22"/>
      <w:u w:val="none"/>
    </w:rPr>
  </w:style>
  <w:style w:type="character" w:customStyle="1" w:styleId="56">
    <w:name w:val="font161"/>
    <w:basedOn w:val="27"/>
    <w:autoRedefine/>
    <w:qFormat/>
    <w:uiPriority w:val="0"/>
    <w:rPr>
      <w:rFonts w:hint="eastAsia" w:ascii="等线" w:hAnsi="等线" w:eastAsia="等线" w:cs="等线"/>
      <w:color w:val="FF0000"/>
      <w:sz w:val="18"/>
      <w:szCs w:val="18"/>
      <w:u w:val="none"/>
    </w:rPr>
  </w:style>
  <w:style w:type="character" w:customStyle="1" w:styleId="57">
    <w:name w:val="font131"/>
    <w:basedOn w:val="27"/>
    <w:autoRedefine/>
    <w:qFormat/>
    <w:uiPriority w:val="0"/>
    <w:rPr>
      <w:rFonts w:hint="eastAsia" w:ascii="等线" w:hAnsi="等线" w:eastAsia="等线" w:cs="等线"/>
      <w:b/>
      <w:color w:val="FF0000"/>
      <w:sz w:val="18"/>
      <w:szCs w:val="18"/>
      <w:u w:val="none"/>
    </w:rPr>
  </w:style>
  <w:style w:type="character" w:customStyle="1" w:styleId="58">
    <w:name w:val="font141"/>
    <w:basedOn w:val="27"/>
    <w:autoRedefine/>
    <w:qFormat/>
    <w:uiPriority w:val="0"/>
    <w:rPr>
      <w:rFonts w:hint="eastAsia" w:ascii="等线" w:hAnsi="等线" w:eastAsia="等线" w:cs="等线"/>
      <w:color w:val="000000"/>
      <w:sz w:val="18"/>
      <w:szCs w:val="18"/>
      <w:u w:val="none"/>
    </w:rPr>
  </w:style>
  <w:style w:type="character" w:customStyle="1" w:styleId="59">
    <w:name w:val="font31"/>
    <w:basedOn w:val="27"/>
    <w:autoRedefine/>
    <w:qFormat/>
    <w:uiPriority w:val="0"/>
    <w:rPr>
      <w:rFonts w:hint="eastAsia" w:ascii="等线" w:hAnsi="等线" w:eastAsia="等线" w:cs="等线"/>
      <w:color w:val="000000"/>
      <w:sz w:val="18"/>
      <w:szCs w:val="18"/>
      <w:u w:val="none"/>
    </w:rPr>
  </w:style>
  <w:style w:type="character" w:customStyle="1" w:styleId="60">
    <w:name w:val="font01"/>
    <w:basedOn w:val="27"/>
    <w:autoRedefine/>
    <w:qFormat/>
    <w:uiPriority w:val="0"/>
    <w:rPr>
      <w:rFonts w:hint="eastAsia" w:ascii="等线" w:hAnsi="等线" w:eastAsia="等线" w:cs="等线"/>
      <w:b/>
      <w:color w:val="FF0000"/>
      <w:sz w:val="18"/>
      <w:szCs w:val="18"/>
      <w:u w:val="none"/>
    </w:rPr>
  </w:style>
  <w:style w:type="character" w:customStyle="1" w:styleId="61">
    <w:name w:val="font122"/>
    <w:basedOn w:val="27"/>
    <w:autoRedefine/>
    <w:qFormat/>
    <w:uiPriority w:val="0"/>
    <w:rPr>
      <w:rFonts w:hint="eastAsia" w:ascii="等线" w:hAnsi="等线" w:eastAsia="等线" w:cs="等线"/>
      <w:color w:val="FF0000"/>
      <w:sz w:val="18"/>
      <w:szCs w:val="18"/>
      <w:u w:val="none"/>
    </w:rPr>
  </w:style>
  <w:style w:type="paragraph" w:customStyle="1" w:styleId="62">
    <w:name w:val="Table Paragraph"/>
    <w:basedOn w:val="1"/>
    <w:autoRedefine/>
    <w:qFormat/>
    <w:uiPriority w:val="1"/>
    <w:rPr>
      <w:rFonts w:ascii="宋体" w:hAnsi="宋体" w:eastAsia="宋体" w:cs="宋体"/>
      <w:lang w:val="zh-CN" w:bidi="zh-CN"/>
    </w:rPr>
  </w:style>
  <w:style w:type="character" w:customStyle="1" w:styleId="63">
    <w:name w:val="font61"/>
    <w:basedOn w:val="27"/>
    <w:autoRedefine/>
    <w:qFormat/>
    <w:uiPriority w:val="0"/>
    <w:rPr>
      <w:rFonts w:hint="eastAsia" w:ascii="宋体" w:hAnsi="宋体" w:eastAsia="宋体" w:cs="宋体"/>
      <w:b/>
      <w:color w:val="000000"/>
      <w:sz w:val="32"/>
      <w:szCs w:val="32"/>
      <w:u w:val="none"/>
    </w:rPr>
  </w:style>
  <w:style w:type="character" w:customStyle="1" w:styleId="64">
    <w:name w:val="font13"/>
    <w:basedOn w:val="27"/>
    <w:autoRedefine/>
    <w:qFormat/>
    <w:uiPriority w:val="0"/>
    <w:rPr>
      <w:rFonts w:hint="eastAsia" w:ascii="宋体" w:hAnsi="宋体" w:eastAsia="宋体" w:cs="宋体"/>
      <w:color w:val="000000"/>
      <w:sz w:val="24"/>
      <w:szCs w:val="24"/>
      <w:u w:val="none"/>
    </w:rPr>
  </w:style>
  <w:style w:type="character" w:customStyle="1" w:styleId="65">
    <w:name w:val="font101"/>
    <w:basedOn w:val="27"/>
    <w:autoRedefine/>
    <w:qFormat/>
    <w:uiPriority w:val="0"/>
    <w:rPr>
      <w:rFonts w:ascii="Calibri" w:hAnsi="Calibri" w:cs="Calibri"/>
      <w:color w:val="000000"/>
      <w:sz w:val="24"/>
      <w:szCs w:val="24"/>
      <w:u w:val="none"/>
    </w:rPr>
  </w:style>
  <w:style w:type="character" w:customStyle="1" w:styleId="66">
    <w:name w:val="font121"/>
    <w:basedOn w:val="27"/>
    <w:autoRedefine/>
    <w:qFormat/>
    <w:uiPriority w:val="0"/>
    <w:rPr>
      <w:rFonts w:hint="eastAsia" w:ascii="宋体" w:hAnsi="宋体" w:eastAsia="宋体" w:cs="宋体"/>
      <w:color w:val="000000"/>
      <w:sz w:val="24"/>
      <w:szCs w:val="24"/>
      <w:u w:val="none"/>
    </w:rPr>
  </w:style>
  <w:style w:type="character" w:customStyle="1" w:styleId="67">
    <w:name w:val="font71"/>
    <w:basedOn w:val="27"/>
    <w:autoRedefine/>
    <w:qFormat/>
    <w:uiPriority w:val="0"/>
    <w:rPr>
      <w:rFonts w:ascii="Calibri" w:hAnsi="Calibri" w:cs="Calibri"/>
      <w:color w:val="000000"/>
      <w:sz w:val="24"/>
      <w:szCs w:val="24"/>
      <w:u w:val="none"/>
    </w:rPr>
  </w:style>
  <w:style w:type="paragraph" w:customStyle="1" w:styleId="68">
    <w:name w:val="样式1"/>
    <w:basedOn w:val="1"/>
    <w:autoRedefine/>
    <w:qFormat/>
    <w:uiPriority w:val="0"/>
    <w:pPr>
      <w:spacing w:line="360" w:lineRule="exact"/>
      <w:ind w:firstLine="200" w:firstLineChars="200"/>
    </w:pPr>
    <w:rPr>
      <w:rFonts w:ascii="Arial" w:hAnsi="Arial"/>
    </w:rPr>
  </w:style>
  <w:style w:type="character" w:customStyle="1" w:styleId="69">
    <w:name w:val="font21"/>
    <w:basedOn w:val="27"/>
    <w:autoRedefine/>
    <w:qFormat/>
    <w:uiPriority w:val="0"/>
    <w:rPr>
      <w:rFonts w:hint="eastAsia" w:ascii="宋体" w:hAnsi="宋体" w:eastAsia="宋体" w:cs="宋体"/>
      <w:color w:val="000000"/>
      <w:sz w:val="22"/>
      <w:szCs w:val="22"/>
      <w:u w:val="none"/>
    </w:rPr>
  </w:style>
  <w:style w:type="paragraph" w:customStyle="1" w:styleId="70">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首行缩进"/>
    <w:basedOn w:val="1"/>
    <w:next w:val="1"/>
    <w:autoRedefine/>
    <w:qFormat/>
    <w:uiPriority w:val="0"/>
    <w:pPr>
      <w:widowControl/>
      <w:tabs>
        <w:tab w:val="left" w:pos="822"/>
      </w:tabs>
      <w:snapToGrid w:val="0"/>
      <w:spacing w:before="40" w:after="40" w:line="300" w:lineRule="atLeast"/>
      <w:ind w:left="1701"/>
    </w:pPr>
    <w:rPr>
      <w:rFonts w:ascii="Arial" w:hAnsi="Arial"/>
      <w:kern w:val="0"/>
      <w:szCs w:val="20"/>
    </w:rPr>
  </w:style>
  <w:style w:type="paragraph" w:customStyle="1" w:styleId="72">
    <w:name w:val="p0"/>
    <w:basedOn w:val="1"/>
    <w:autoRedefine/>
    <w:qFormat/>
    <w:uiPriority w:val="0"/>
    <w:pPr>
      <w:widowControl/>
      <w:spacing w:before="100" w:beforeAutospacing="1" w:after="100" w:afterAutospacing="1"/>
      <w:jc w:val="left"/>
    </w:pPr>
    <w:rPr>
      <w:rFonts w:ascii="宋体" w:hAnsi="宋体"/>
      <w:kern w:val="0"/>
      <w:szCs w:val="20"/>
    </w:rPr>
  </w:style>
  <w:style w:type="character" w:customStyle="1" w:styleId="73">
    <w:name w:val="NormalCharacter"/>
    <w:autoRedefine/>
    <w:qFormat/>
    <w:uiPriority w:val="0"/>
    <w:rPr>
      <w:rFonts w:ascii="Calibri" w:hAnsi="Calibri" w:eastAsia="宋体" w:cs="Times New Roman"/>
      <w:kern w:val="2"/>
      <w:sz w:val="21"/>
      <w:szCs w:val="22"/>
      <w:lang w:val="en-US" w:eastAsia="zh-CN" w:bidi="ar-SA"/>
    </w:rPr>
  </w:style>
  <w:style w:type="paragraph" w:customStyle="1" w:styleId="74">
    <w:name w:val="Heading5"/>
    <w:basedOn w:val="1"/>
    <w:next w:val="1"/>
    <w:autoRedefine/>
    <w:qFormat/>
    <w:uiPriority w:val="0"/>
    <w:pPr>
      <w:keepNext/>
      <w:keepLines/>
      <w:spacing w:after="120" w:line="360" w:lineRule="auto"/>
      <w:textAlignment w:val="baseline"/>
    </w:pPr>
    <w:rPr>
      <w:rFonts w:ascii="Times New Roman" w:hAnsi="Times New Roman" w:eastAsia="微软雅黑" w:cs="Times New Roman"/>
      <w:b/>
      <w:bCs/>
      <w:sz w:val="24"/>
    </w:rPr>
  </w:style>
  <w:style w:type="paragraph" w:customStyle="1" w:styleId="75">
    <w:name w:val="默认段落字体 Para Char Char Char Char Char Char Char Char Char1 Char Char Char Char"/>
    <w:basedOn w:val="1"/>
    <w:autoRedefine/>
    <w:qFormat/>
    <w:uiPriority w:val="0"/>
    <w:rPr>
      <w:rFonts w:ascii="Tahoma" w:hAnsi="Tahoma"/>
      <w:szCs w:val="20"/>
    </w:rPr>
  </w:style>
  <w:style w:type="character" w:customStyle="1" w:styleId="76">
    <w:name w:val="批注文字 Char"/>
    <w:basedOn w:val="27"/>
    <w:link w:val="12"/>
    <w:autoRedefine/>
    <w:qFormat/>
    <w:uiPriority w:val="0"/>
    <w:rPr>
      <w:kern w:val="2"/>
      <w:sz w:val="21"/>
      <w:szCs w:val="24"/>
    </w:rPr>
  </w:style>
  <w:style w:type="character" w:customStyle="1" w:styleId="77">
    <w:name w:val="批注主题 Char"/>
    <w:basedOn w:val="76"/>
    <w:link w:val="24"/>
    <w:autoRedefine/>
    <w:qFormat/>
    <w:uiPriority w:val="0"/>
    <w:rPr>
      <w:kern w:val="2"/>
      <w:sz w:val="21"/>
      <w:szCs w:val="24"/>
    </w:rPr>
  </w:style>
  <w:style w:type="character" w:customStyle="1" w:styleId="78">
    <w:name w:val="正文缩进 Char"/>
    <w:link w:val="10"/>
    <w:autoRedefine/>
    <w:qFormat/>
    <w:uiPriority w:val="0"/>
    <w:rPr>
      <w:rFonts w:ascii="宋体" w:hAnsiTheme="minorHAnsi" w:eastAsiaTheme="minorEastAsia" w:cstheme="minorBidi"/>
      <w:snapToGrid w:val="0"/>
      <w:color w:val="000000"/>
      <w:kern w:val="28"/>
      <w:sz w:val="28"/>
    </w:rPr>
  </w:style>
  <w:style w:type="paragraph" w:customStyle="1" w:styleId="79">
    <w:name w:val="修订1"/>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80">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character" w:customStyle="1" w:styleId="81">
    <w:name w:val="hour_pm"/>
    <w:basedOn w:val="27"/>
    <w:autoRedefine/>
    <w:qFormat/>
    <w:uiPriority w:val="0"/>
  </w:style>
  <w:style w:type="character" w:customStyle="1" w:styleId="82">
    <w:name w:val="hover9"/>
    <w:basedOn w:val="27"/>
    <w:autoRedefine/>
    <w:qFormat/>
    <w:uiPriority w:val="0"/>
    <w:rPr>
      <w:shd w:val="clear" w:color="auto" w:fill="EEEEEE"/>
    </w:rPr>
  </w:style>
  <w:style w:type="character" w:customStyle="1" w:styleId="83">
    <w:name w:val="old"/>
    <w:basedOn w:val="27"/>
    <w:autoRedefine/>
    <w:qFormat/>
    <w:uiPriority w:val="0"/>
    <w:rPr>
      <w:color w:val="999999"/>
    </w:rPr>
  </w:style>
  <w:style w:type="character" w:customStyle="1" w:styleId="84">
    <w:name w:val="hour_am"/>
    <w:basedOn w:val="27"/>
    <w:autoRedefine/>
    <w:qFormat/>
    <w:uiPriority w:val="0"/>
  </w:style>
  <w:style w:type="character" w:customStyle="1" w:styleId="85">
    <w:name w:val="hover"/>
    <w:basedOn w:val="27"/>
    <w:autoRedefine/>
    <w:qFormat/>
    <w:uiPriority w:val="0"/>
    <w:rPr>
      <w:shd w:val="clear" w:color="auto" w:fill="EEEEEE"/>
    </w:rPr>
  </w:style>
  <w:style w:type="character" w:customStyle="1" w:styleId="86">
    <w:name w:val="页眉 Char"/>
    <w:basedOn w:val="27"/>
    <w:link w:val="21"/>
    <w:autoRedefine/>
    <w:qFormat/>
    <w:uiPriority w:val="99"/>
    <w:rPr>
      <w:rFonts w:asciiTheme="minorHAnsi" w:hAnsiTheme="minorHAnsi" w:eastAsiaTheme="minorEastAsia" w:cstheme="minorBidi"/>
      <w:kern w:val="2"/>
      <w:sz w:val="18"/>
      <w:szCs w:val="24"/>
    </w:rPr>
  </w:style>
  <w:style w:type="character" w:customStyle="1" w:styleId="87">
    <w:name w:val="批注文字 Char1"/>
    <w:autoRedefine/>
    <w:qFormat/>
    <w:uiPriority w:val="99"/>
    <w:rPr>
      <w:kern w:val="2"/>
      <w:sz w:val="21"/>
      <w:szCs w:val="24"/>
    </w:rPr>
  </w:style>
  <w:style w:type="character" w:customStyle="1" w:styleId="88">
    <w:name w:val="标题 1 Char Char"/>
    <w:basedOn w:val="27"/>
    <w:autoRedefine/>
    <w:qFormat/>
    <w:uiPriority w:val="0"/>
    <w:rPr>
      <w:rFonts w:hint="eastAsia" w:ascii="宋体" w:hAnsi="宋体" w:eastAsia="宋体"/>
      <w:b/>
      <w:spacing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theme" Target="theme/theme1.xml"/><Relationship Id="rId33" Type="http://schemas.openxmlformats.org/officeDocument/2006/relationships/footer" Target="footer15.xml"/><Relationship Id="rId32" Type="http://schemas.openxmlformats.org/officeDocument/2006/relationships/header" Target="header16.xml"/><Relationship Id="rId31" Type="http://schemas.openxmlformats.org/officeDocument/2006/relationships/header" Target="header15.xml"/><Relationship Id="rId30" Type="http://schemas.openxmlformats.org/officeDocument/2006/relationships/header" Target="header14.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73</Pages>
  <Words>33872</Words>
  <Characters>35954</Characters>
  <Lines>268</Lines>
  <Paragraphs>75</Paragraphs>
  <TotalTime>29</TotalTime>
  <ScaleCrop>false</ScaleCrop>
  <LinksUpToDate>false</LinksUpToDate>
  <CharactersWithSpaces>40831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2022-08-19T12:28:00Z</dcterms:created>
  <dc:creator>Administrator</dc:creator>
  <cp:lastModifiedBy>spectre</cp:lastModifiedBy>
  <cp:lastPrinted>2020-11-06T11:17:00Z</cp:lastPrinted>
  <dcterms:modified xsi:type="dcterms:W3CDTF">2024-05-16T00:58:25Z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142302F5FE954303991C7B4411C13421_13</vt:lpwstr>
  </property>
  <property fmtid="{D5CDD505-2E9C-101B-9397-08002B2CF9AE}" pid="4" name="commondata">
    <vt:lpwstr>eyJoZGlkIjoiODcxOTViM2NkMzNjZGZjODM1NDMwODhlMDU4NmYxZjEifQ==</vt:lpwstr>
  </property>
</Properties>
</file>