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建德市人民法院审判执行事务社会化外包服务采购项目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eastAsia="zh-CN"/>
        </w:rPr>
        <w:t>JD2022BF-039</w:t>
      </w:r>
      <w:r>
        <w:rPr>
          <w:rFonts w:hint="eastAsia" w:ascii="仿宋" w:hAnsi="仿宋" w:eastAsia="仿宋" w:cs="仿宋"/>
          <w:sz w:val="30"/>
          <w:szCs w:val="30"/>
        </w:rPr>
        <w:t xml:space="preserve"> </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采购人：建德市人民法院</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采购代理机构：浙江建安工程管理有限公司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二〇二二年四月</w:t>
      </w:r>
      <w:r>
        <w:rPr>
          <w:rFonts w:hint="eastAsia" w:ascii="仿宋" w:hAnsi="仿宋" w:eastAsia="仿宋" w:cs="仿宋"/>
          <w:bCs/>
          <w:sz w:val="32"/>
          <w:szCs w:val="32"/>
          <w:lang w:eastAsia="zh-CN"/>
        </w:rPr>
        <w:t>十三</w:t>
      </w:r>
      <w:r>
        <w:rPr>
          <w:rFonts w:hint="eastAsia" w:ascii="仿宋" w:hAnsi="仿宋" w:eastAsia="仿宋" w:cs="仿宋"/>
          <w:bCs/>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554" w:name="_GoBack"/>
      <w:bookmarkEnd w:id="554"/>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建德市人民法院审判执行事务社会化外包服务采购项目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000000" w:themeColor="text1"/>
          <w:sz w:val="24"/>
          <w:u w:val="single"/>
          <w14:textFill>
            <w14:solidFill>
              <w14:schemeClr w14:val="tx1"/>
            </w14:solidFill>
          </w14:textFill>
        </w:rPr>
        <w:t>2022年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 xml:space="preserve"> 日9点3</w:t>
      </w:r>
      <w:r>
        <w:rPr>
          <w:rFonts w:hint="eastAsia" w:ascii="仿宋" w:hAnsi="仿宋" w:eastAsia="仿宋" w:cs="仿宋"/>
          <w:sz w:val="24"/>
          <w:u w:val="single"/>
        </w:rPr>
        <w:t>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JD2022BF-039</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建德市人民法院审判执行事务社会化外包服务采购项目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_GB2312" w:hAnsi="仿宋" w:eastAsia="仿宋_GB2312"/>
          <w:b/>
          <w:sz w:val="24"/>
        </w:rPr>
        <w:t>1400000.00</w:t>
      </w:r>
      <w:r>
        <w:rPr>
          <w:rFonts w:hint="eastAsia" w:ascii="仿宋_GB2312" w:hAnsi="仿宋" w:eastAsia="仿宋_GB2312" w:cs="仿宋_GB2312"/>
          <w:sz w:val="24"/>
        </w:rPr>
        <w:t xml:space="preserve"> </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_GB2312" w:hAnsi="仿宋" w:eastAsia="仿宋_GB2312"/>
          <w:b/>
          <w:sz w:val="24"/>
        </w:rPr>
        <w:t>1400000.00</w:t>
      </w:r>
      <w:r>
        <w:rPr>
          <w:rFonts w:hint="eastAsia" w:ascii="仿宋_GB2312" w:hAnsi="仿宋" w:eastAsia="仿宋_GB2312" w:cs="仿宋_GB2312"/>
          <w:sz w:val="24"/>
        </w:rPr>
        <w:t xml:space="preserve"> </w:t>
      </w:r>
      <w:r>
        <w:rPr>
          <w:rFonts w:hint="eastAsia" w:ascii="仿宋" w:hAnsi="仿宋" w:eastAsia="仿宋" w:cs="仿宋"/>
          <w:sz w:val="24"/>
        </w:rPr>
        <w:t xml:space="preserve">  </w:t>
      </w: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val="zh-CN"/>
        </w:rPr>
        <w:t>选择一家合格的供应商提供</w:t>
      </w:r>
      <w:r>
        <w:rPr>
          <w:rFonts w:hint="eastAsia" w:ascii="仿宋" w:hAnsi="仿宋" w:eastAsia="仿宋" w:cs="仿宋"/>
          <w:bCs/>
          <w:snapToGrid/>
          <w:color w:val="auto"/>
          <w:kern w:val="2"/>
          <w:sz w:val="24"/>
          <w:szCs w:val="24"/>
        </w:rPr>
        <w:t>建德市人民法院审判执行事务社会化外包服务采购项目。详见招标文件第三部分采购需求。</w:t>
      </w:r>
    </w:p>
    <w:p>
      <w:pPr>
        <w:spacing w:line="500" w:lineRule="exact"/>
        <w:ind w:firstLine="537" w:firstLineChars="223"/>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b/>
        </w:rPr>
        <w:t>：</w:t>
      </w:r>
      <w:r>
        <w:rPr>
          <w:rFonts w:hint="eastAsia" w:ascii="仿宋" w:hAnsi="仿宋" w:eastAsia="仿宋" w:cs="仿宋"/>
          <w:bCs/>
          <w:snapToGrid/>
          <w:color w:val="auto"/>
          <w:kern w:val="2"/>
          <w:sz w:val="24"/>
          <w:szCs w:val="24"/>
          <w:lang w:val="zh-CN" w:eastAsia="zh-CN" w:bidi="ar-SA"/>
        </w:rPr>
        <w:t>服务期一年，自政府采购合同签订生效之日起计算。</w:t>
      </w:r>
      <w:r>
        <w:rPr>
          <w:rFonts w:hint="eastAsia" w:ascii="仿宋" w:hAnsi="仿宋" w:eastAsia="仿宋" w:cs="仿宋"/>
          <w:bCs/>
          <w:sz w:val="24"/>
        </w:rPr>
        <w:t>具体内容详见《招标内容与技术要求》。</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 w:hAnsi="仿宋" w:eastAsia="仿宋" w:cs="仿宋"/>
          <w:snapToGrid w:val="0"/>
          <w:kern w:val="28"/>
          <w:sz w:val="24"/>
          <w:szCs w:val="20"/>
        </w:rPr>
        <w:t>专门面向中小企业</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☐货物全部由符合政策要求的中小企业制造，提供中小企业声明函；</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☐货物全部由符合政策要求的小微企业制造，提供中小企业声明函；</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FE"/>
      </w:r>
      <w:r>
        <w:rPr>
          <w:rFonts w:hint="eastAsia" w:ascii="仿宋" w:hAnsi="仿宋" w:eastAsia="仿宋" w:cs="仿宋"/>
          <w:snapToGrid w:val="0"/>
          <w:kern w:val="28"/>
          <w:sz w:val="24"/>
          <w:szCs w:val="20"/>
        </w:rPr>
        <w:t>服务全部由符合政策要求的中小企业承接，提供中小企业声明函；</w:t>
      </w:r>
    </w:p>
    <w:p>
      <w:pPr>
        <w:spacing w:line="360" w:lineRule="auto"/>
        <w:ind w:firstLine="480" w:firstLineChars="200"/>
        <w:rPr>
          <w:rFonts w:ascii="仿宋" w:hAnsi="仿宋" w:eastAsia="仿宋" w:cs="仿宋"/>
          <w:sz w:val="24"/>
          <w:highlight w:val="yellow"/>
        </w:rPr>
      </w:pPr>
      <w:r>
        <w:rPr>
          <w:rFonts w:hint="eastAsia" w:ascii="仿宋" w:hAnsi="仿宋" w:eastAsia="仿宋" w:cs="仿宋"/>
          <w:snapToGrid w:val="0"/>
          <w:kern w:val="28"/>
          <w:sz w:val="24"/>
          <w:szCs w:val="20"/>
        </w:rPr>
        <w:t>☐服务全部由符合政策要求的小微企业承接，提供中小企业声明函；</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color w:val="000000" w:themeColor="text1"/>
          <w:sz w:val="24"/>
          <w:u w:val="single"/>
          <w14:textFill>
            <w14:solidFill>
              <w14:schemeClr w14:val="tx1"/>
            </w14:solidFill>
          </w14:textFill>
        </w:rPr>
        <w:t>2022年</w:t>
      </w:r>
      <w:r>
        <w:rPr>
          <w:rFonts w:hint="eastAsia" w:ascii="仿宋" w:hAnsi="仿宋" w:eastAsia="仿宋" w:cs="仿宋"/>
          <w:color w:val="000000" w:themeColor="text1"/>
          <w:sz w:val="24"/>
          <w:u w:val="single"/>
          <w:lang w:val="en-US" w:eastAsia="zh-CN"/>
          <w14:textFill>
            <w14:solidFill>
              <w14:schemeClr w14:val="tx1"/>
            </w14:solidFill>
          </w14:textFill>
        </w:rPr>
        <w:t xml:space="preserve"> 4 </w:t>
      </w:r>
      <w:r>
        <w:rPr>
          <w:rFonts w:hint="eastAsia" w:ascii="仿宋" w:hAnsi="仿宋" w:eastAsia="仿宋" w:cs="仿宋"/>
          <w:color w:val="000000" w:themeColor="text1"/>
          <w:sz w:val="24"/>
          <w:u w:val="single"/>
          <w14:textFill>
            <w14:solidFill>
              <w14:schemeClr w14:val="tx1"/>
            </w14:solidFill>
          </w14:textFill>
        </w:rPr>
        <w:t xml:space="preserve">月 </w:t>
      </w:r>
      <w:r>
        <w:rPr>
          <w:rFonts w:hint="eastAsia" w:ascii="仿宋" w:hAnsi="仿宋" w:eastAsia="仿宋" w:cs="仿宋"/>
          <w:color w:val="000000" w:themeColor="text1"/>
          <w:sz w:val="24"/>
          <w:u w:val="single"/>
          <w:lang w:val="en-US" w:eastAsia="zh-CN"/>
          <w14:textFill>
            <w14:solidFill>
              <w14:schemeClr w14:val="tx1"/>
            </w14:solidFill>
          </w14:textFill>
        </w:rPr>
        <w:t>14</w:t>
      </w:r>
      <w:r>
        <w:rPr>
          <w:rFonts w:hint="eastAsia" w:ascii="仿宋" w:hAnsi="仿宋" w:eastAsia="仿宋" w:cs="仿宋"/>
          <w:color w:val="000000" w:themeColor="text1"/>
          <w:sz w:val="24"/>
          <w:u w:val="single"/>
          <w14:textFill>
            <w14:solidFill>
              <w14:schemeClr w14:val="tx1"/>
            </w14:solidFill>
          </w14:textFill>
        </w:rPr>
        <w:t xml:space="preserve"> 日</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14:textFill>
            <w14:solidFill>
              <w14:schemeClr w14:val="tx1"/>
            </w14:solidFill>
          </w14:textFill>
        </w:rPr>
        <w:t>2022年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 xml:space="preserve">月 </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 xml:space="preserve"> 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00" w:themeColor="text1"/>
          <w:sz w:val="24"/>
          <w:u w:val="single"/>
          <w14:textFill>
            <w14:solidFill>
              <w14:schemeClr w14:val="tx1"/>
            </w14:solidFill>
          </w14:textFill>
        </w:rPr>
        <w:t xml:space="preserve"> 2022年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 xml:space="preserve"> 月</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日9点30分00秒</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sz w:val="24"/>
        </w:rPr>
        <w:t>开标时间：</w:t>
      </w:r>
      <w:r>
        <w:rPr>
          <w:rFonts w:hint="eastAsia" w:ascii="仿宋" w:hAnsi="仿宋" w:eastAsia="仿宋" w:cs="仿宋"/>
          <w:color w:val="000000" w:themeColor="text1"/>
          <w:sz w:val="24"/>
          <w:u w:val="single"/>
          <w14:textFill>
            <w14:solidFill>
              <w14:schemeClr w14:val="tx1"/>
            </w14:solidFill>
          </w14:textFill>
        </w:rPr>
        <w:t xml:space="preserve"> 2022年 </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日9点30分</w:t>
      </w:r>
      <w:r>
        <w:rPr>
          <w:rFonts w:hint="eastAsia" w:ascii="仿宋" w:hAnsi="仿宋" w:eastAsia="仿宋" w:cs="仿宋"/>
          <w:bCs/>
          <w:color w:val="000000" w:themeColor="text1"/>
          <w:sz w:val="24"/>
          <w:u w:val="single"/>
          <w14:textFill>
            <w14:solidFill>
              <w14:schemeClr w14:val="tx1"/>
            </w14:solidFill>
          </w14:textFill>
        </w:rPr>
        <w:t xml:space="preserve">00秒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_GB2312" w:hAnsi="仿宋" w:eastAsia="仿宋_GB2312"/>
          <w:sz w:val="24"/>
        </w:rPr>
      </w:pPr>
      <w:r>
        <w:rPr>
          <w:rFonts w:hint="eastAsia" w:ascii="仿宋" w:hAnsi="仿宋" w:eastAsia="仿宋" w:cs="仿宋"/>
          <w:sz w:val="24"/>
        </w:rPr>
        <w:t xml:space="preserve">    1.</w:t>
      </w:r>
      <w:r>
        <w:rPr>
          <w:rFonts w:ascii="仿宋_GB2312" w:hAnsi="仿宋" w:eastAsia="仿宋_GB2312"/>
          <w:sz w:val="24"/>
        </w:rPr>
        <w:t>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建德市人民法院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址：杭州市</w:t>
      </w:r>
      <w:r>
        <w:rPr>
          <w:rFonts w:hint="eastAsia" w:ascii="仿宋_GB2312" w:hAnsi="仿宋" w:eastAsia="仿宋_GB2312"/>
          <w:sz w:val="24"/>
        </w:rPr>
        <w:t xml:space="preserve">建德市法院路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_GB2312"/>
          <w:sz w:val="24"/>
        </w:rPr>
      </w:pPr>
      <w:r>
        <w:rPr>
          <w:rFonts w:hint="eastAsia" w:ascii="仿宋_GB2312" w:hAnsi="仿宋" w:eastAsia="仿宋_GB2312"/>
          <w:sz w:val="24"/>
        </w:rPr>
        <w:t xml:space="preserve">项目联系人（询问）：张亮  </w:t>
      </w:r>
    </w:p>
    <w:p>
      <w:pPr>
        <w:spacing w:line="360" w:lineRule="auto"/>
        <w:ind w:firstLine="480"/>
        <w:rPr>
          <w:rFonts w:ascii="仿宋_GB2312" w:hAnsi="仿宋" w:eastAsia="仿宋_GB2312"/>
          <w:sz w:val="24"/>
          <w:highlight w:val="yellow"/>
        </w:rPr>
      </w:pPr>
      <w:r>
        <w:rPr>
          <w:rFonts w:hint="eastAsia" w:ascii="仿宋_GB2312" w:hAnsi="仿宋" w:eastAsia="仿宋_GB2312"/>
          <w:sz w:val="24"/>
        </w:rPr>
        <w:t>项目联系方式（询问）：15088766970</w:t>
      </w:r>
    </w:p>
    <w:p>
      <w:pPr>
        <w:spacing w:line="360" w:lineRule="auto"/>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质疑联系人：虞育红</w:t>
      </w:r>
    </w:p>
    <w:p>
      <w:pPr>
        <w:spacing w:line="360" w:lineRule="auto"/>
        <w:ind w:firstLine="480"/>
        <w:rPr>
          <w:rFonts w:hint="eastAsia" w:ascii="仿宋_GB2312" w:hAnsi="仿宋" w:eastAsia="仿宋_GB2312"/>
          <w:sz w:val="24"/>
        </w:rPr>
      </w:pPr>
      <w:r>
        <w:rPr>
          <w:rFonts w:hint="eastAsia" w:ascii="仿宋_GB2312" w:hAnsi="仿宋" w:eastAsia="仿宋_GB2312"/>
          <w:sz w:val="24"/>
        </w:rPr>
        <w:t>质疑联系方式：13362139393</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称：浙江建安工程管理有限公司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址：浙江省建德市新安江街道新安财富城6幢B座2104室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ind w:firstLine="480"/>
        <w:jc w:val="left"/>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杜江龙         </w:t>
      </w:r>
    </w:p>
    <w:p>
      <w:pPr>
        <w:spacing w:line="360" w:lineRule="auto"/>
        <w:ind w:firstLine="480"/>
        <w:jc w:val="left"/>
        <w:rPr>
          <w:rFonts w:ascii="仿宋_GB2312" w:hAnsi="仿宋" w:eastAsia="仿宋_GB2312"/>
          <w:sz w:val="24"/>
        </w:rPr>
      </w:pPr>
      <w:r>
        <w:rPr>
          <w:rFonts w:hint="eastAsia" w:ascii="仿宋_GB2312" w:hAnsi="仿宋" w:eastAsia="仿宋_GB2312"/>
          <w:sz w:val="24"/>
        </w:rPr>
        <w:t xml:space="preserve">项目联系方式（询问）：15058155265 </w:t>
      </w:r>
    </w:p>
    <w:p>
      <w:pPr>
        <w:spacing w:line="360" w:lineRule="auto"/>
        <w:ind w:firstLine="480"/>
        <w:jc w:val="left"/>
        <w:rPr>
          <w:rFonts w:ascii="仿宋_GB2312" w:hAnsi="仿宋" w:eastAsia="仿宋_GB2312"/>
          <w:sz w:val="24"/>
        </w:rPr>
      </w:pPr>
      <w:r>
        <w:rPr>
          <w:rFonts w:hint="eastAsia" w:ascii="仿宋_GB2312" w:hAnsi="仿宋" w:eastAsia="仿宋_GB2312"/>
          <w:sz w:val="24"/>
        </w:rPr>
        <w:t xml:space="preserve">质疑联系人：陈丽             </w:t>
      </w:r>
    </w:p>
    <w:p>
      <w:pPr>
        <w:spacing w:line="360" w:lineRule="auto"/>
        <w:ind w:firstLine="480"/>
        <w:jc w:val="left"/>
        <w:rPr>
          <w:rFonts w:ascii="仿宋_GB2312" w:hAnsi="仿宋" w:eastAsia="仿宋_GB2312"/>
          <w:sz w:val="24"/>
        </w:rPr>
      </w:pPr>
      <w:r>
        <w:rPr>
          <w:rFonts w:hint="eastAsia" w:ascii="仿宋_GB2312" w:hAnsi="仿宋" w:eastAsia="仿宋_GB2312"/>
          <w:sz w:val="24"/>
        </w:rPr>
        <w:t xml:space="preserve">质疑联系方式：13567149366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建德市</w:t>
      </w:r>
      <w:r>
        <w:rPr>
          <w:rFonts w:hint="eastAsia" w:ascii="仿宋_GB2312" w:hAnsi="仿宋" w:eastAsia="仿宋_GB2312"/>
          <w:sz w:val="24"/>
          <w:lang w:eastAsia="zh-CN"/>
        </w:rPr>
        <w:t>政府</w:t>
      </w:r>
      <w:r>
        <w:rPr>
          <w:rFonts w:hint="eastAsia" w:ascii="仿宋_GB2312" w:hAnsi="仿宋" w:eastAsia="仿宋_GB2312"/>
          <w:sz w:val="24"/>
        </w:rPr>
        <w:t xml:space="preserve">采购办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建德市财政局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邵女士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0571-64718168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spacing w:line="360" w:lineRule="auto"/>
        <w:ind w:firstLine="480" w:firstLineChars="200"/>
        <w:rPr>
          <w:rFonts w:ascii="仿宋" w:hAnsi="仿宋" w:eastAsia="仿宋" w:cs="仿宋"/>
          <w:sz w:val="24"/>
        </w:rPr>
      </w:pP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提醒：验收时检测费用由中标人承担，包含在投标总价中。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sz w:val="24"/>
              </w:rPr>
              <w:t>▲</w:t>
            </w:r>
            <w:r>
              <w:rPr>
                <w:rFonts w:hint="eastAsia" w:ascii="仿宋" w:hAnsi="仿宋" w:eastAsia="仿宋" w:cs="仿宋"/>
                <w:b/>
                <w:kern w:val="0"/>
                <w:sz w:val="24"/>
                <w:lang w:val="zh-CN"/>
              </w:rPr>
              <w:t>投标报价出现下列情形的，投标无效：</w:t>
            </w:r>
          </w:p>
          <w:p>
            <w:pPr>
              <w:snapToGrid w:val="0"/>
              <w:spacing w:line="360" w:lineRule="auto"/>
              <w:ind w:firstLine="240" w:firstLineChars="100"/>
              <w:jc w:val="left"/>
              <w:rPr>
                <w:rFonts w:ascii="仿宋" w:hAnsi="仿宋" w:eastAsia="仿宋" w:cs="仿宋"/>
                <w:b/>
                <w:kern w:val="0"/>
                <w:sz w:val="24"/>
                <w:lang w:val="zh-CN"/>
              </w:rPr>
            </w:pPr>
            <w:r>
              <w:rPr>
                <w:rFonts w:hint="eastAsia" w:ascii="仿宋" w:hAnsi="仿宋" w:eastAsia="仿宋" w:cs="仿宋"/>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sz w:val="24"/>
              </w:rPr>
              <w:t>▲</w:t>
            </w:r>
            <w:r>
              <w:rPr>
                <w:rFonts w:hint="eastAsia" w:ascii="仿宋" w:hAnsi="仿宋" w:eastAsia="仿宋" w:cs="仿宋"/>
                <w:b/>
                <w:kern w:val="0"/>
                <w:sz w:val="24"/>
                <w:lang w:val="zh-CN"/>
              </w:rPr>
              <w:t>投标报价超过招标文件中规定的预算金额或者最高限价的;</w:t>
            </w:r>
          </w:p>
          <w:p>
            <w:pPr>
              <w:spacing w:line="360" w:lineRule="auto"/>
              <w:ind w:firstLine="240" w:firstLineChars="10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w:t>
            </w: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建德市人民法院审判执行事务社会化外包服务采购项目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 w:hAnsi="仿宋" w:eastAsia="仿宋" w:cs="仿宋"/>
                <w:b/>
                <w:bCs/>
                <w:kern w:val="0"/>
                <w:sz w:val="24"/>
                <w:u w:val="single"/>
              </w:rPr>
              <w:t>其他未列明行业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是否适宜中小企业情况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根据《政府采购促进中小企业发展管理办法》财库〔2020〕46号文件的规定，本项目专门面向中小企业采购。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right w:val="single" w:color="000000" w:sz="8" w:space="0"/>
            </w:tcBorders>
            <w:vAlign w:val="center"/>
          </w:tcPr>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浙江省杭州市建德市新安江街道新安财富城6幢B座2104室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杜江龙，15058155265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b/>
                <w:kern w:val="0"/>
                <w:sz w:val="24"/>
              </w:rPr>
              <w:t>投标总</w:t>
            </w:r>
            <w:r>
              <w:rPr>
                <w:rFonts w:hint="eastAsia" w:ascii="仿宋" w:hAnsi="仿宋" w:eastAsia="仿宋" w:cs="仿宋"/>
                <w:b/>
                <w:bCs/>
                <w:spacing w:val="-2"/>
                <w:sz w:val="24"/>
              </w:rPr>
              <w:t>报价应含采购服务费，采购服务费按照国家发展计划委员会计价格[2002]1980 号文《招标代理服务费管理暂行办法》及发改办价格[2003]857号文的收费标准（服务类）计取，为</w:t>
            </w:r>
            <w:r>
              <w:rPr>
                <w:rFonts w:hint="eastAsia" w:ascii="仿宋" w:hAnsi="仿宋" w:eastAsia="仿宋" w:cs="仿宋"/>
                <w:b/>
                <w:bCs/>
                <w:spacing w:val="-2"/>
                <w:sz w:val="24"/>
              </w:rPr>
              <w:fldChar w:fldCharType="begin"/>
            </w:r>
            <w:r>
              <w:rPr>
                <w:rFonts w:hint="eastAsia" w:ascii="仿宋" w:hAnsi="仿宋" w:eastAsia="仿宋" w:cs="仿宋"/>
                <w:b/>
                <w:bCs/>
                <w:spacing w:val="-2"/>
                <w:sz w:val="24"/>
              </w:rPr>
              <w:instrText xml:space="preserve"> = 10500 \* CHINESENUM4 \* MERGEFORMAT </w:instrText>
            </w:r>
            <w:r>
              <w:rPr>
                <w:rFonts w:hint="eastAsia" w:ascii="仿宋" w:hAnsi="仿宋" w:eastAsia="仿宋" w:cs="仿宋"/>
                <w:b/>
                <w:bCs/>
                <w:spacing w:val="-2"/>
                <w:sz w:val="24"/>
              </w:rPr>
              <w:fldChar w:fldCharType="separate"/>
            </w:r>
            <w:r>
              <w:rPr>
                <w:rFonts w:hint="eastAsia" w:ascii="仿宋" w:hAnsi="仿宋" w:eastAsia="仿宋" w:cs="仿宋"/>
                <w:b/>
                <w:bCs/>
                <w:spacing w:val="-2"/>
                <w:sz w:val="24"/>
              </w:rPr>
              <w:t>人民币</w:t>
            </w:r>
            <w:r>
              <w:rPr>
                <w:rFonts w:hint="eastAsia" w:ascii="仿宋" w:hAnsi="仿宋" w:eastAsia="仿宋" w:cs="仿宋"/>
                <w:b/>
                <w:bCs/>
                <w:spacing w:val="-2"/>
                <w:sz w:val="24"/>
              </w:rPr>
              <w:fldChar w:fldCharType="begin"/>
            </w:r>
            <w:r>
              <w:rPr>
                <w:rFonts w:hint="eastAsia" w:ascii="仿宋" w:hAnsi="仿宋" w:eastAsia="仿宋" w:cs="仿宋"/>
                <w:b/>
                <w:bCs/>
                <w:spacing w:val="-2"/>
                <w:sz w:val="24"/>
              </w:rPr>
              <w:instrText xml:space="preserve"> = 12900 \* CHINESENUM4 \* MERGEFORMAT </w:instrText>
            </w:r>
            <w:r>
              <w:rPr>
                <w:rFonts w:hint="eastAsia" w:ascii="仿宋" w:hAnsi="仿宋" w:eastAsia="仿宋" w:cs="仿宋"/>
                <w:b/>
                <w:bCs/>
                <w:spacing w:val="-2"/>
                <w:sz w:val="24"/>
              </w:rPr>
              <w:fldChar w:fldCharType="separate"/>
            </w:r>
            <w:r>
              <w:rPr>
                <w:rFonts w:hint="eastAsia" w:ascii="仿宋" w:hAnsi="仿宋" w:eastAsia="仿宋" w:cs="仿宋"/>
                <w:b/>
                <w:bCs/>
                <w:spacing w:val="-2"/>
                <w:sz w:val="24"/>
                <w:lang w:val="en-US" w:eastAsia="zh-CN"/>
              </w:rPr>
              <w:fldChar w:fldCharType="begin"/>
            </w:r>
            <w:r>
              <w:rPr>
                <w:rFonts w:hint="eastAsia" w:ascii="仿宋" w:hAnsi="仿宋" w:eastAsia="仿宋" w:cs="仿宋"/>
                <w:b/>
                <w:bCs/>
                <w:spacing w:val="-2"/>
                <w:sz w:val="24"/>
                <w:lang w:val="en-US" w:eastAsia="zh-CN"/>
              </w:rPr>
              <w:instrText xml:space="preserve"> = 12700 \* CHINESENUM4 \* MERGEFORMAT </w:instrText>
            </w:r>
            <w:r>
              <w:rPr>
                <w:rFonts w:hint="eastAsia" w:ascii="仿宋" w:hAnsi="仿宋" w:eastAsia="仿宋" w:cs="仿宋"/>
                <w:b/>
                <w:bCs/>
                <w:spacing w:val="-2"/>
                <w:sz w:val="24"/>
                <w:lang w:val="en-US" w:eastAsia="zh-CN"/>
              </w:rPr>
              <w:fldChar w:fldCharType="separate"/>
            </w:r>
            <w:r>
              <w:rPr>
                <w:rFonts w:hint="eastAsia" w:ascii="仿宋" w:hAnsi="仿宋" w:eastAsia="仿宋" w:cs="仿宋"/>
                <w:b/>
                <w:bCs/>
                <w:spacing w:val="-2"/>
                <w:sz w:val="24"/>
              </w:rPr>
              <w:t>壹万贰仟柒佰元整</w:t>
            </w:r>
            <w:r>
              <w:rPr>
                <w:rFonts w:hint="eastAsia" w:ascii="仿宋" w:hAnsi="仿宋" w:eastAsia="仿宋" w:cs="仿宋"/>
                <w:b/>
                <w:bCs/>
                <w:spacing w:val="-2"/>
                <w:sz w:val="24"/>
                <w:lang w:val="en-US" w:eastAsia="zh-CN"/>
              </w:rPr>
              <w:fldChar w:fldCharType="end"/>
            </w:r>
            <w:r>
              <w:rPr>
                <w:rFonts w:hint="eastAsia" w:ascii="仿宋" w:hAnsi="仿宋" w:eastAsia="仿宋" w:cs="仿宋"/>
                <w:b/>
                <w:bCs/>
                <w:spacing w:val="-2"/>
                <w:sz w:val="24"/>
              </w:rPr>
              <w:fldChar w:fldCharType="end"/>
            </w:r>
            <w:r>
              <w:rPr>
                <w:rFonts w:hint="eastAsia" w:ascii="仿宋" w:hAnsi="仿宋" w:eastAsia="仿宋" w:cs="仿宋"/>
                <w:b/>
                <w:bCs/>
                <w:spacing w:val="-2"/>
                <w:sz w:val="24"/>
                <w:lang w:eastAsia="zh-CN"/>
              </w:rPr>
              <w:t>（</w:t>
            </w:r>
            <w:r>
              <w:rPr>
                <w:rFonts w:hint="eastAsia" w:ascii="仿宋" w:hAnsi="仿宋" w:eastAsia="仿宋" w:cs="仿宋"/>
                <w:b/>
                <w:bCs/>
                <w:spacing w:val="-2"/>
                <w:sz w:val="24"/>
              </w:rPr>
              <w:t>￥</w:t>
            </w:r>
            <w:r>
              <w:rPr>
                <w:rFonts w:hint="eastAsia" w:ascii="仿宋" w:hAnsi="仿宋" w:eastAsia="仿宋" w:cs="仿宋"/>
                <w:b/>
                <w:bCs/>
                <w:spacing w:val="-2"/>
                <w:sz w:val="24"/>
                <w:lang w:val="en-US" w:eastAsia="zh-CN"/>
              </w:rPr>
              <w:t>12700.00</w:t>
            </w:r>
            <w:r>
              <w:rPr>
                <w:rFonts w:hint="eastAsia" w:ascii="仿宋" w:hAnsi="仿宋" w:eastAsia="仿宋" w:cs="仿宋"/>
                <w:b/>
                <w:bCs/>
                <w:spacing w:val="-2"/>
                <w:sz w:val="24"/>
              </w:rPr>
              <w:t>元）</w:t>
            </w:r>
            <w:r>
              <w:rPr>
                <w:rFonts w:hint="eastAsia" w:ascii="仿宋" w:hAnsi="仿宋" w:eastAsia="仿宋" w:cs="仿宋"/>
                <w:b/>
                <w:bCs/>
                <w:spacing w:val="-2"/>
                <w:sz w:val="24"/>
              </w:rPr>
              <w:fldChar w:fldCharType="end"/>
            </w:r>
            <w:r>
              <w:rPr>
                <w:rFonts w:hint="eastAsia" w:ascii="仿宋" w:hAnsi="仿宋" w:eastAsia="仿宋" w:cs="仿宋"/>
                <w:b/>
                <w:bCs/>
                <w:spacing w:val="-2"/>
                <w:sz w:val="24"/>
              </w:rPr>
              <w:t>。由中标单位在领取中标通知书时支付给采购代理公司。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ascii="Wingdings" w:hAnsi="Wingdings" w:eastAsia="仿宋" w:cs="仿宋"/>
          <w:kern w:val="0"/>
          <w:sz w:val="24"/>
        </w:rPr>
        <w:t></w:t>
      </w:r>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w:t>
      </w:r>
      <w:r>
        <w:rPr>
          <w:rFonts w:hint="eastAsia" w:ascii="仿宋" w:hAnsi="仿宋" w:eastAsia="仿宋" w:cs="仿宋"/>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kern w:val="28"/>
          <w:sz w:val="24"/>
        </w:rPr>
        <w:t>供</w:t>
      </w:r>
      <w:r>
        <w:rPr>
          <w:rFonts w:hint="eastAsia" w:ascii="仿宋" w:hAnsi="仿宋" w:eastAsia="仿宋" w:cs="仿宋"/>
          <w:kern w:val="0"/>
          <w:sz w:val="24"/>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w:t>
      </w:r>
      <w:r>
        <w:rPr>
          <w:rFonts w:hint="eastAsia" w:ascii="仿宋" w:hAnsi="仿宋" w:eastAsia="仿宋" w:cs="仿宋"/>
          <w:szCs w:val="30"/>
        </w:rPr>
        <w:t>建财采监〔2021〕68号</w:t>
      </w:r>
      <w:r>
        <w:rPr>
          <w:rFonts w:hint="eastAsia" w:ascii="仿宋" w:hAnsi="仿宋" w:eastAsia="仿宋" w:cs="仿宋"/>
        </w:rPr>
        <w:t>）,采购人或者采购机构在质疑回复后5个工作日内，在浙江政府采购网的“其他公告”栏目公开质疑答复，答复内容应当完整。质疑函作为附件上传。</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6"/>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28"/>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pStyle w:val="4"/>
        <w:rPr>
          <w:rFonts w:eastAsia="仿宋"/>
          <w:lang w:val="en-US"/>
        </w:rPr>
      </w:pPr>
      <w:r>
        <w:rPr>
          <w:rFonts w:hint="eastAsia" w:ascii="仿宋" w:eastAsia="仿宋" w:cs="仿宋"/>
          <w:sz w:val="24"/>
          <w:lang w:val="en-US"/>
        </w:rPr>
        <w:t xml:space="preserve">        </w:t>
      </w:r>
      <w:r>
        <w:rPr>
          <w:rFonts w:hint="eastAsia" w:ascii="仿宋" w:eastAsia="仿宋" w:cs="仿宋"/>
          <w:sz w:val="24"/>
        </w:rPr>
        <w:t>11.1.</w:t>
      </w:r>
      <w:r>
        <w:rPr>
          <w:rFonts w:hint="eastAsia" w:ascii="仿宋" w:eastAsia="仿宋" w:cs="仿宋"/>
          <w:sz w:val="24"/>
          <w:lang w:val="en-US"/>
        </w:rPr>
        <w:t>2</w:t>
      </w:r>
      <w:r>
        <w:rPr>
          <w:rFonts w:hint="eastAsia" w:ascii="仿宋" w:eastAsia="仿宋" w:cs="仿宋"/>
          <w:sz w:val="24"/>
        </w:rPr>
        <w:t>中小企业声明函。</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sz w:val="24"/>
        </w:rPr>
        <w:t>▲</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7" w:firstLineChars="199"/>
        <w:rPr>
          <w:rFonts w:ascii="仿宋" w:hAnsi="仿宋" w:eastAsia="仿宋" w:cs="仿宋"/>
          <w:b/>
          <w:sz w:val="24"/>
          <w:szCs w:val="24"/>
        </w:rPr>
      </w:pPr>
      <w:r>
        <w:rPr>
          <w:rFonts w:hint="eastAsia" w:ascii="仿宋" w:hAnsi="仿宋" w:eastAsia="仿宋" w:cs="仿宋"/>
          <w:sz w:val="24"/>
        </w:rPr>
        <w:t>▲</w:t>
      </w:r>
      <w:r>
        <w:rPr>
          <w:rFonts w:hint="eastAsia" w:ascii="仿宋" w:hAnsi="仿宋" w:eastAsia="仿宋" w:cs="仿宋"/>
          <w:b/>
          <w:sz w:val="24"/>
          <w:szCs w:val="24"/>
        </w:rPr>
        <w:t>15.5投标人仅提交备份投标文件，没有在电子交易平台传输递交投标文件的，投标无效。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rPr>
      </w:pPr>
    </w:p>
    <w:p>
      <w:pPr>
        <w:pStyle w:val="128"/>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8"/>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得分高低推荐中标单位。</w:t>
      </w:r>
    </w:p>
    <w:p>
      <w:pPr>
        <w:spacing w:line="360" w:lineRule="auto"/>
        <w:rPr>
          <w:rFonts w:ascii="仿宋" w:hAnsi="仿宋" w:eastAsia="仿宋" w:cs="仿宋"/>
          <w:b/>
          <w:sz w:val="24"/>
        </w:rPr>
      </w:pP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ascii="仿宋" w:hAnsi="仿宋" w:eastAsia="仿宋" w:cs="仿宋"/>
          <w:b/>
          <w:szCs w:val="24"/>
        </w:rPr>
      </w:pPr>
      <w:r>
        <w:rPr>
          <w:rFonts w:hint="eastAsia" w:ascii="仿宋" w:hAnsi="仿宋" w:eastAsia="仿宋" w:cs="仿宋"/>
          <w:szCs w:val="24"/>
        </w:rPr>
        <w:t>本项目由采购人事先授权评标委员会确定预中标人。</w:t>
      </w:r>
    </w:p>
    <w:p>
      <w:pPr>
        <w:pStyle w:val="128"/>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。履约保证金的数额不得超过政府采购合同金额的2.5%。鼓励和支持供应商以银行、保险公司出具的保函形式提供履约保证金。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2.5%。</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b/>
          <w:sz w:val="36"/>
          <w:szCs w:val="36"/>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5236011"/>
      <w:bookmarkEnd w:id="15"/>
      <w:bookmarkStart w:id="16" w:name="_Hlt74707468"/>
      <w:bookmarkEnd w:id="16"/>
      <w:bookmarkStart w:id="17" w:name="_Hlt68403820"/>
      <w:bookmarkEnd w:id="17"/>
      <w:bookmarkStart w:id="18" w:name="_Hlt68072990"/>
      <w:bookmarkEnd w:id="18"/>
      <w:bookmarkStart w:id="19" w:name="_Hlt74730295"/>
      <w:bookmarkEnd w:id="19"/>
      <w:bookmarkStart w:id="20" w:name="_Hlt68072998"/>
      <w:bookmarkEnd w:id="20"/>
      <w:bookmarkStart w:id="21" w:name="_Hlt75236101"/>
      <w:bookmarkEnd w:id="21"/>
      <w:bookmarkStart w:id="22" w:name="_Hlt74714665"/>
      <w:bookmarkEnd w:id="22"/>
      <w:bookmarkStart w:id="23" w:name="_Hlt75236290"/>
      <w:bookmarkEnd w:id="23"/>
      <w:bookmarkStart w:id="24" w:name="_Hlt68057669"/>
      <w:bookmarkEnd w:id="24"/>
      <w:bookmarkStart w:id="25" w:name="_Hlt74729768"/>
      <w:bookmarkEnd w:id="25"/>
    </w:p>
    <w:bookmarkEnd w:id="11"/>
    <w:bookmarkEnd w:id="12"/>
    <w:p>
      <w:pPr>
        <w:numPr>
          <w:ilvl w:val="0"/>
          <w:numId w:val="1"/>
        </w:numPr>
        <w:spacing w:line="360" w:lineRule="auto"/>
        <w:jc w:val="center"/>
        <w:outlineLvl w:val="0"/>
      </w:pPr>
      <w:bookmarkStart w:id="26" w:name="第四部分"/>
      <w:r>
        <w:rPr>
          <w:rFonts w:hint="eastAsia" w:ascii="仿宋" w:hAnsi="仿宋" w:eastAsia="仿宋" w:cs="仿宋"/>
          <w:b/>
          <w:sz w:val="36"/>
          <w:szCs w:val="36"/>
        </w:rPr>
        <w:t xml:space="preserve">  采购需求</w:t>
      </w:r>
    </w:p>
    <w:p>
      <w:pPr>
        <w:widowControl/>
        <w:tabs>
          <w:tab w:val="left" w:pos="425"/>
          <w:tab w:val="left" w:pos="747"/>
        </w:tabs>
        <w:spacing w:line="360" w:lineRule="auto"/>
        <w:jc w:val="left"/>
        <w:rPr>
          <w:rFonts w:ascii="仿宋" w:hAnsi="仿宋" w:eastAsia="仿宋" w:cs="仿宋"/>
          <w:b/>
          <w:sz w:val="24"/>
        </w:rPr>
      </w:pPr>
      <w:bookmarkStart w:id="27" w:name="_Toc208124495"/>
      <w:r>
        <w:rPr>
          <w:rFonts w:hint="eastAsia" w:hAnsi="宋体" w:cs="宋体"/>
          <w:b/>
          <w:sz w:val="28"/>
          <w:szCs w:val="28"/>
        </w:rPr>
        <w:t>一、</w:t>
      </w:r>
      <w:r>
        <w:rPr>
          <w:rFonts w:hint="eastAsia" w:ascii="仿宋" w:hAnsi="仿宋" w:eastAsia="仿宋" w:cs="仿宋"/>
          <w:b/>
          <w:bCs/>
          <w:sz w:val="24"/>
        </w:rPr>
        <w:t>采购内容</w:t>
      </w:r>
    </w:p>
    <w:tbl>
      <w:tblPr>
        <w:tblStyle w:val="6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3119"/>
        <w:gridCol w:w="2700"/>
        <w:gridCol w:w="540"/>
        <w:gridCol w:w="608"/>
        <w:gridCol w:w="1665"/>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431"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119" w:type="dxa"/>
            <w:vAlign w:val="center"/>
          </w:tcPr>
          <w:p>
            <w:pPr>
              <w:jc w:val="center"/>
              <w:rPr>
                <w:rFonts w:ascii="仿宋" w:hAnsi="仿宋" w:eastAsia="仿宋" w:cs="仿宋"/>
                <w:sz w:val="24"/>
              </w:rPr>
            </w:pPr>
            <w:r>
              <w:rPr>
                <w:rFonts w:hint="eastAsia" w:ascii="仿宋" w:hAnsi="仿宋" w:eastAsia="仿宋" w:cs="仿宋"/>
                <w:sz w:val="24"/>
              </w:rPr>
              <w:t>采购内容</w:t>
            </w:r>
          </w:p>
        </w:tc>
        <w:tc>
          <w:tcPr>
            <w:tcW w:w="2700" w:type="dxa"/>
            <w:vAlign w:val="center"/>
          </w:tcPr>
          <w:p>
            <w:pPr>
              <w:jc w:val="center"/>
              <w:rPr>
                <w:rFonts w:ascii="仿宋" w:hAnsi="仿宋" w:eastAsia="仿宋" w:cs="仿宋"/>
                <w:sz w:val="24"/>
              </w:rPr>
            </w:pPr>
            <w:r>
              <w:rPr>
                <w:rFonts w:hint="eastAsia" w:ascii="仿宋" w:hAnsi="仿宋" w:eastAsia="仿宋" w:cs="仿宋"/>
                <w:sz w:val="24"/>
              </w:rPr>
              <w:t>主要技术参数要求</w:t>
            </w:r>
          </w:p>
        </w:tc>
        <w:tc>
          <w:tcPr>
            <w:tcW w:w="540" w:type="dxa"/>
            <w:vAlign w:val="center"/>
          </w:tcPr>
          <w:p>
            <w:pPr>
              <w:jc w:val="center"/>
              <w:rPr>
                <w:rFonts w:ascii="仿宋" w:hAnsi="仿宋" w:eastAsia="仿宋" w:cs="仿宋"/>
                <w:sz w:val="24"/>
              </w:rPr>
            </w:pPr>
            <w:r>
              <w:rPr>
                <w:rFonts w:hint="eastAsia" w:ascii="仿宋" w:hAnsi="仿宋" w:eastAsia="仿宋" w:cs="仿宋"/>
                <w:sz w:val="24"/>
              </w:rPr>
              <w:t>单位</w:t>
            </w:r>
          </w:p>
        </w:tc>
        <w:tc>
          <w:tcPr>
            <w:tcW w:w="608"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665" w:type="dxa"/>
            <w:vAlign w:val="center"/>
          </w:tcPr>
          <w:p>
            <w:pPr>
              <w:jc w:val="center"/>
              <w:rPr>
                <w:rFonts w:ascii="仿宋" w:hAnsi="仿宋" w:eastAsia="仿宋" w:cs="仿宋"/>
                <w:sz w:val="24"/>
              </w:rPr>
            </w:pPr>
            <w:r>
              <w:rPr>
                <w:rFonts w:hint="eastAsia" w:ascii="仿宋" w:hAnsi="仿宋" w:eastAsia="仿宋" w:cs="仿宋"/>
                <w:sz w:val="24"/>
              </w:rPr>
              <w:t>预算价</w:t>
            </w:r>
          </w:p>
          <w:p>
            <w:pPr>
              <w:jc w:val="center"/>
              <w:rPr>
                <w:rFonts w:ascii="仿宋" w:hAnsi="仿宋" w:eastAsia="仿宋" w:cs="仿宋"/>
                <w:sz w:val="24"/>
              </w:rPr>
            </w:pPr>
            <w:r>
              <w:rPr>
                <w:rFonts w:hint="eastAsia" w:ascii="仿宋" w:hAnsi="仿宋" w:eastAsia="仿宋" w:cs="仿宋"/>
                <w:sz w:val="24"/>
              </w:rPr>
              <w:t>（元/年）</w:t>
            </w:r>
          </w:p>
        </w:tc>
        <w:tc>
          <w:tcPr>
            <w:tcW w:w="717"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31" w:type="dxa"/>
            <w:vAlign w:val="center"/>
          </w:tcPr>
          <w:p>
            <w:pPr>
              <w:jc w:val="center"/>
              <w:rPr>
                <w:rFonts w:ascii="仿宋" w:hAnsi="仿宋" w:eastAsia="仿宋" w:cs="仿宋"/>
                <w:sz w:val="24"/>
              </w:rPr>
            </w:pPr>
            <w:r>
              <w:rPr>
                <w:rFonts w:hint="eastAsia" w:ascii="仿宋" w:hAnsi="仿宋" w:eastAsia="仿宋" w:cs="仿宋"/>
                <w:sz w:val="24"/>
              </w:rPr>
              <w:t>1</w:t>
            </w:r>
          </w:p>
        </w:tc>
        <w:tc>
          <w:tcPr>
            <w:tcW w:w="3119" w:type="dxa"/>
            <w:vAlign w:val="center"/>
          </w:tcPr>
          <w:p>
            <w:pPr>
              <w:jc w:val="center"/>
              <w:rPr>
                <w:rFonts w:ascii="仿宋" w:hAnsi="仿宋" w:eastAsia="仿宋" w:cs="仿宋"/>
                <w:sz w:val="24"/>
              </w:rPr>
            </w:pPr>
            <w:r>
              <w:rPr>
                <w:rFonts w:hint="eastAsia" w:ascii="仿宋" w:hAnsi="仿宋" w:eastAsia="仿宋" w:cs="仿宋"/>
                <w:sz w:val="24"/>
              </w:rPr>
              <w:t>建德市人民法院审判执行事务社会化外包服务采购</w:t>
            </w:r>
          </w:p>
        </w:tc>
        <w:tc>
          <w:tcPr>
            <w:tcW w:w="2700" w:type="dxa"/>
            <w:vAlign w:val="center"/>
          </w:tcPr>
          <w:p>
            <w:pPr>
              <w:jc w:val="center"/>
              <w:rPr>
                <w:rFonts w:ascii="仿宋" w:hAnsi="仿宋" w:eastAsia="仿宋" w:cs="仿宋"/>
                <w:sz w:val="24"/>
              </w:rPr>
            </w:pPr>
            <w:r>
              <w:rPr>
                <w:rFonts w:hint="eastAsia" w:ascii="仿宋" w:hAnsi="仿宋" w:eastAsia="仿宋" w:cs="仿宋"/>
                <w:sz w:val="24"/>
              </w:rPr>
              <w:t>详见“二、采购需求”</w:t>
            </w:r>
          </w:p>
        </w:tc>
        <w:tc>
          <w:tcPr>
            <w:tcW w:w="540" w:type="dxa"/>
            <w:vAlign w:val="center"/>
          </w:tcPr>
          <w:p>
            <w:pPr>
              <w:jc w:val="center"/>
              <w:rPr>
                <w:rFonts w:ascii="仿宋" w:hAnsi="仿宋" w:eastAsia="仿宋" w:cs="仿宋"/>
                <w:sz w:val="24"/>
              </w:rPr>
            </w:pPr>
            <w:r>
              <w:rPr>
                <w:rFonts w:hint="eastAsia" w:ascii="仿宋" w:hAnsi="仿宋" w:eastAsia="仿宋" w:cs="仿宋"/>
                <w:sz w:val="24"/>
              </w:rPr>
              <w:t>项</w:t>
            </w:r>
          </w:p>
        </w:tc>
        <w:tc>
          <w:tcPr>
            <w:tcW w:w="608" w:type="dxa"/>
            <w:vAlign w:val="center"/>
          </w:tcPr>
          <w:p>
            <w:pPr>
              <w:jc w:val="center"/>
              <w:rPr>
                <w:rFonts w:ascii="仿宋" w:hAnsi="仿宋" w:eastAsia="仿宋" w:cs="仿宋"/>
                <w:sz w:val="24"/>
              </w:rPr>
            </w:pPr>
            <w:r>
              <w:rPr>
                <w:rFonts w:hint="eastAsia" w:ascii="仿宋" w:hAnsi="仿宋" w:eastAsia="仿宋" w:cs="仿宋"/>
                <w:sz w:val="24"/>
              </w:rPr>
              <w:t>1</w:t>
            </w:r>
          </w:p>
        </w:tc>
        <w:tc>
          <w:tcPr>
            <w:tcW w:w="1665" w:type="dxa"/>
            <w:vAlign w:val="center"/>
          </w:tcPr>
          <w:p>
            <w:pPr>
              <w:jc w:val="center"/>
              <w:rPr>
                <w:rFonts w:ascii="仿宋" w:hAnsi="仿宋" w:eastAsia="仿宋" w:cs="仿宋"/>
                <w:sz w:val="24"/>
              </w:rPr>
            </w:pPr>
            <w:r>
              <w:rPr>
                <w:rFonts w:hint="eastAsia" w:ascii="仿宋" w:hAnsi="仿宋" w:eastAsia="仿宋" w:cs="仿宋"/>
                <w:sz w:val="24"/>
              </w:rPr>
              <w:t>1400000.00</w:t>
            </w:r>
          </w:p>
        </w:tc>
        <w:tc>
          <w:tcPr>
            <w:tcW w:w="71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98" w:type="dxa"/>
            <w:gridSpan w:val="5"/>
            <w:vAlign w:val="center"/>
          </w:tcPr>
          <w:p>
            <w:pPr>
              <w:jc w:val="center"/>
              <w:rPr>
                <w:rFonts w:ascii="仿宋" w:hAnsi="仿宋" w:eastAsia="仿宋" w:cs="仿宋"/>
                <w:sz w:val="24"/>
              </w:rPr>
            </w:pPr>
            <w:r>
              <w:rPr>
                <w:rFonts w:hint="eastAsia" w:ascii="仿宋" w:hAnsi="仿宋" w:eastAsia="仿宋" w:cs="仿宋"/>
                <w:sz w:val="24"/>
              </w:rPr>
              <w:t>合计（大写）每年人民币壹佰肆拾万元整</w:t>
            </w:r>
          </w:p>
        </w:tc>
        <w:tc>
          <w:tcPr>
            <w:tcW w:w="1665" w:type="dxa"/>
            <w:vAlign w:val="center"/>
          </w:tcPr>
          <w:p>
            <w:pPr>
              <w:jc w:val="center"/>
              <w:rPr>
                <w:rFonts w:ascii="仿宋" w:hAnsi="仿宋" w:eastAsia="仿宋" w:cs="仿宋"/>
                <w:sz w:val="24"/>
              </w:rPr>
            </w:pPr>
            <w:r>
              <w:rPr>
                <w:rFonts w:hint="eastAsia" w:ascii="仿宋" w:hAnsi="仿宋" w:eastAsia="仿宋" w:cs="仿宋"/>
                <w:sz w:val="24"/>
              </w:rPr>
              <w:t>1400000.00</w:t>
            </w:r>
          </w:p>
        </w:tc>
        <w:tc>
          <w:tcPr>
            <w:tcW w:w="717" w:type="dxa"/>
            <w:vAlign w:val="center"/>
          </w:tcPr>
          <w:p>
            <w:pPr>
              <w:spacing w:line="360" w:lineRule="auto"/>
              <w:jc w:val="center"/>
              <w:rPr>
                <w:rFonts w:ascii="仿宋" w:hAnsi="仿宋" w:eastAsia="仿宋" w:cs="仿宋"/>
                <w:sz w:val="24"/>
              </w:rPr>
            </w:pPr>
          </w:p>
        </w:tc>
      </w:tr>
    </w:tbl>
    <w:p>
      <w:pPr>
        <w:widowControl/>
        <w:tabs>
          <w:tab w:val="left" w:pos="425"/>
          <w:tab w:val="left" w:pos="747"/>
        </w:tabs>
        <w:ind w:left="720" w:hanging="720" w:hangingChars="300"/>
        <w:jc w:val="left"/>
        <w:rPr>
          <w:rFonts w:ascii="仿宋" w:hAnsi="仿宋" w:eastAsia="仿宋" w:cs="仿宋"/>
          <w:b/>
          <w:sz w:val="24"/>
          <w:highlight w:val="yellow"/>
        </w:rPr>
      </w:pPr>
      <w:r>
        <w:rPr>
          <w:rFonts w:hint="eastAsia" w:ascii="仿宋" w:hAnsi="仿宋" w:eastAsia="仿宋" w:cs="仿宋"/>
          <w:sz w:val="24"/>
        </w:rPr>
        <w:t>备注：以上金额包括工资、五险一金、办公费、差旅费、体检费、加班费、高温费、工会基金、培训费、意外商业保险、残保基金、年终奖、劳保、服装费、餐费补贴、</w:t>
      </w:r>
      <w:r>
        <w:rPr>
          <w:rFonts w:hint="eastAsia" w:ascii="仿宋" w:hAnsi="仿宋" w:eastAsia="仿宋" w:cs="仿宋"/>
          <w:bCs/>
          <w:sz w:val="24"/>
        </w:rPr>
        <w:t>通信及流量费</w:t>
      </w:r>
      <w:r>
        <w:rPr>
          <w:rFonts w:hint="eastAsia" w:ascii="仿宋" w:hAnsi="仿宋" w:eastAsia="仿宋" w:cs="仿宋"/>
          <w:sz w:val="24"/>
        </w:rPr>
        <w:t>、服务佣金、管理费、税金、验收、辅助工作及售后服务等完成本项目的所有费用。</w:t>
      </w:r>
    </w:p>
    <w:p>
      <w:pPr>
        <w:widowControl/>
        <w:tabs>
          <w:tab w:val="left" w:pos="425"/>
          <w:tab w:val="left" w:pos="747"/>
        </w:tabs>
        <w:spacing w:line="360" w:lineRule="auto"/>
        <w:jc w:val="left"/>
        <w:rPr>
          <w:rFonts w:ascii="仿宋" w:hAnsi="仿宋" w:eastAsia="仿宋" w:cs="仿宋"/>
          <w:b/>
          <w:sz w:val="24"/>
        </w:rPr>
      </w:pPr>
    </w:p>
    <w:p>
      <w:pPr>
        <w:widowControl/>
        <w:tabs>
          <w:tab w:val="left" w:pos="425"/>
          <w:tab w:val="left" w:pos="747"/>
        </w:tabs>
        <w:spacing w:line="360" w:lineRule="auto"/>
        <w:jc w:val="left"/>
        <w:rPr>
          <w:rFonts w:ascii="仿宋" w:hAnsi="仿宋" w:eastAsia="仿宋" w:cs="仿宋"/>
          <w:b/>
          <w:sz w:val="24"/>
        </w:rPr>
      </w:pPr>
      <w:r>
        <w:rPr>
          <w:rFonts w:hint="eastAsia" w:ascii="仿宋" w:hAnsi="仿宋" w:eastAsia="仿宋" w:cs="仿宋"/>
          <w:b/>
          <w:sz w:val="24"/>
        </w:rPr>
        <w:t>二、采购需求：</w:t>
      </w:r>
    </w:p>
    <w:p>
      <w:pPr>
        <w:spacing w:line="360" w:lineRule="auto"/>
        <w:rPr>
          <w:rFonts w:ascii="仿宋" w:hAnsi="仿宋" w:eastAsia="仿宋" w:cs="仿宋"/>
          <w:bCs/>
          <w:sz w:val="24"/>
        </w:rPr>
      </w:pPr>
      <w:r>
        <w:rPr>
          <w:rFonts w:hint="eastAsia" w:ascii="仿宋" w:hAnsi="仿宋" w:eastAsia="仿宋" w:cs="仿宋"/>
          <w:b/>
          <w:sz w:val="24"/>
        </w:rPr>
        <w:t>2.1</w:t>
      </w:r>
      <w:r>
        <w:rPr>
          <w:rFonts w:hint="eastAsia" w:ascii="仿宋" w:hAnsi="仿宋" w:eastAsia="仿宋" w:cs="仿宋"/>
          <w:bCs/>
          <w:sz w:val="24"/>
        </w:rPr>
        <w:t>以半军事化、规范化、服务型的标准来管理外包团队，完成法院的各项外包服务。</w:t>
      </w:r>
    </w:p>
    <w:p>
      <w:pPr>
        <w:spacing w:line="360" w:lineRule="auto"/>
        <w:rPr>
          <w:rFonts w:ascii="仿宋" w:hAnsi="仿宋" w:eastAsia="仿宋" w:cs="仿宋"/>
          <w:b/>
          <w:sz w:val="24"/>
        </w:rPr>
      </w:pPr>
      <w:r>
        <w:rPr>
          <w:rFonts w:hint="eastAsia" w:ascii="仿宋" w:hAnsi="仿宋" w:eastAsia="仿宋" w:cs="仿宋"/>
          <w:b/>
          <w:sz w:val="24"/>
        </w:rPr>
        <w:t>2.2 服务期限</w:t>
      </w:r>
    </w:p>
    <w:p>
      <w:pPr>
        <w:spacing w:line="360" w:lineRule="auto"/>
        <w:rPr>
          <w:rFonts w:hint="eastAsia" w:ascii="仿宋" w:hAnsi="仿宋" w:eastAsia="仿宋" w:cs="仿宋"/>
          <w:bCs/>
          <w:sz w:val="24"/>
        </w:rPr>
      </w:pPr>
      <w:r>
        <w:rPr>
          <w:rFonts w:hint="eastAsia" w:ascii="仿宋" w:hAnsi="仿宋" w:eastAsia="仿宋" w:cs="仿宋"/>
          <w:bCs/>
          <w:sz w:val="24"/>
        </w:rPr>
        <w:t>服务期</w:t>
      </w:r>
      <w:r>
        <w:rPr>
          <w:rFonts w:hint="eastAsia" w:ascii="仿宋" w:hAnsi="仿宋" w:eastAsia="仿宋" w:cs="仿宋"/>
          <w:bCs/>
          <w:sz w:val="24"/>
          <w:lang w:eastAsia="zh-CN"/>
        </w:rPr>
        <w:t>一</w:t>
      </w:r>
      <w:r>
        <w:rPr>
          <w:rFonts w:hint="eastAsia" w:ascii="仿宋" w:hAnsi="仿宋" w:eastAsia="仿宋" w:cs="仿宋"/>
          <w:bCs/>
          <w:sz w:val="24"/>
        </w:rPr>
        <w:t>年，自政府采购合同签订生效之日起计算。</w:t>
      </w:r>
    </w:p>
    <w:p>
      <w:pPr>
        <w:spacing w:line="360" w:lineRule="auto"/>
        <w:rPr>
          <w:rFonts w:ascii="仿宋" w:hAnsi="仿宋" w:eastAsia="仿宋" w:cs="仿宋"/>
          <w:b/>
          <w:sz w:val="24"/>
        </w:rPr>
      </w:pPr>
      <w:r>
        <w:rPr>
          <w:rFonts w:hint="eastAsia" w:ascii="仿宋" w:hAnsi="仿宋" w:eastAsia="仿宋" w:cs="仿宋"/>
          <w:b/>
          <w:sz w:val="24"/>
        </w:rPr>
        <w:t>2.3 外包事项</w:t>
      </w:r>
    </w:p>
    <w:p>
      <w:pPr>
        <w:spacing w:line="360" w:lineRule="auto"/>
        <w:ind w:firstLine="480" w:firstLineChars="200"/>
        <w:rPr>
          <w:rFonts w:ascii="仿宋" w:hAnsi="仿宋" w:eastAsia="仿宋" w:cs="仿宋"/>
          <w:b/>
          <w:sz w:val="24"/>
        </w:rPr>
      </w:pPr>
      <w:r>
        <w:rPr>
          <w:rFonts w:hint="eastAsia" w:ascii="仿宋" w:hAnsi="仿宋" w:eastAsia="仿宋" w:cs="仿宋"/>
          <w:bCs/>
          <w:sz w:val="24"/>
        </w:rPr>
        <w:t>1、审判辅助事务集约中心：（1）负责诉讼费用的催缴、清退的辅助工作；（2）案件的分案、开庭排期、电子送达、陪审员安排及事项通知、司法鉴定委托的辅助工作；（3）上诉案件的材料制作整理以及生效案件的归档；</w:t>
      </w:r>
      <w:r>
        <w:rPr>
          <w:rFonts w:hint="eastAsia" w:ascii="仿宋" w:hAnsi="仿宋" w:eastAsia="仿宋" w:cs="仿宋"/>
          <w:b/>
          <w:sz w:val="24"/>
        </w:rPr>
        <w:t xml:space="preserve"> </w:t>
      </w:r>
    </w:p>
    <w:p>
      <w:pPr>
        <w:spacing w:line="360" w:lineRule="auto"/>
        <w:ind w:firstLine="482" w:firstLineChars="200"/>
        <w:rPr>
          <w:rFonts w:ascii="仿宋" w:hAnsi="仿宋" w:eastAsia="仿宋" w:cs="仿宋"/>
          <w:bCs/>
          <w:sz w:val="24"/>
        </w:rPr>
      </w:pPr>
      <w:r>
        <w:rPr>
          <w:rFonts w:hint="eastAsia" w:ascii="仿宋" w:hAnsi="仿宋" w:eastAsia="仿宋" w:cs="仿宋"/>
          <w:b/>
          <w:sz w:val="24"/>
        </w:rPr>
        <w:t>2、执行办事大厅窗口立案接待；执行指挥中心工作；集中查控</w:t>
      </w:r>
      <w:r>
        <w:rPr>
          <w:rFonts w:hint="eastAsia" w:ascii="仿宋" w:hAnsi="仿宋" w:eastAsia="仿宋" w:cs="仿宋"/>
          <w:bCs/>
          <w:sz w:val="24"/>
        </w:rPr>
        <w:t>协助做好以下事项：协助执行案件材料的转接、电话的接听、来信来访登记等工作；委托事项的登记交办、信息报送、数据的上传下达等工作；案件信息核对，网上、线下查询控制等工作</w:t>
      </w:r>
    </w:p>
    <w:p>
      <w:pPr>
        <w:spacing w:line="360" w:lineRule="auto"/>
        <w:ind w:left="340" w:firstLine="241" w:firstLineChars="100"/>
        <w:rPr>
          <w:rFonts w:ascii="仿宋" w:hAnsi="仿宋" w:eastAsia="仿宋" w:cs="仿宋"/>
          <w:bCs/>
          <w:sz w:val="24"/>
        </w:rPr>
      </w:pPr>
      <w:r>
        <w:rPr>
          <w:rFonts w:hint="eastAsia" w:ascii="仿宋" w:hAnsi="仿宋" w:eastAsia="仿宋" w:cs="仿宋"/>
          <w:b/>
          <w:sz w:val="24"/>
        </w:rPr>
        <w:t>3、财产保全</w:t>
      </w:r>
      <w:r>
        <w:rPr>
          <w:rFonts w:hint="eastAsia" w:ascii="仿宋" w:hAnsi="仿宋" w:eastAsia="仿宋" w:cs="仿宋"/>
          <w:bCs/>
          <w:sz w:val="24"/>
        </w:rPr>
        <w:t>；</w:t>
      </w:r>
      <w:r>
        <w:rPr>
          <w:rFonts w:hint="eastAsia" w:ascii="仿宋" w:hAnsi="仿宋" w:eastAsia="仿宋" w:cs="仿宋"/>
          <w:b/>
          <w:sz w:val="24"/>
        </w:rPr>
        <w:t>执行实施</w:t>
      </w:r>
      <w:r>
        <w:rPr>
          <w:rFonts w:hint="eastAsia" w:ascii="仿宋" w:hAnsi="仿宋" w:eastAsia="仿宋" w:cs="仿宋"/>
          <w:bCs/>
          <w:sz w:val="24"/>
        </w:rPr>
        <w:t>协助做好以下事项：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保全案件线上查询控制，保全案件文书的送达，案件报结、归档装订，保全材料移送审判线，网上委托事项办理等工作；各类裁定等法律文书的校对、打印，文书上网，材料转接，文书送达，案卷整理打印，案件归档报结，案件信息录入等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
          <w:sz w:val="24"/>
        </w:rPr>
        <w:t>执行110值班；协助**安全保障工作（与协助**值班工作兼岗）</w:t>
      </w:r>
      <w:r>
        <w:rPr>
          <w:rFonts w:hint="eastAsia" w:ascii="仿宋" w:hAnsi="仿宋" w:eastAsia="仿宋" w:cs="仿宋"/>
          <w:bCs/>
          <w:sz w:val="24"/>
        </w:rPr>
        <w:t>协助做好以下事项：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24小时待命，听从执行指挥中心指令； 按照**安全保障有关规定，在司法警察大队的指令下，完成如下工作：（1）协助完成刑事保障工作；（2）协助机关安全保卫及处置突发事件；（3）协助担负**值班工作；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5、担负消防管理工作；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6、法院要求需要完成的其他法院事务工作。</w:t>
      </w:r>
    </w:p>
    <w:p>
      <w:pPr>
        <w:spacing w:line="360" w:lineRule="auto"/>
        <w:rPr>
          <w:rFonts w:ascii="仿宋" w:hAnsi="仿宋" w:eastAsia="仿宋" w:cs="仿宋"/>
          <w:b/>
          <w:sz w:val="24"/>
        </w:rPr>
      </w:pPr>
      <w:r>
        <w:rPr>
          <w:rFonts w:hint="eastAsia" w:ascii="仿宋" w:hAnsi="仿宋" w:eastAsia="仿宋" w:cs="仿宋"/>
          <w:b/>
          <w:sz w:val="24"/>
        </w:rPr>
        <w:t>2.4 外包服务人员要求</w:t>
      </w:r>
    </w:p>
    <w:p>
      <w:pPr>
        <w:spacing w:line="360" w:lineRule="auto"/>
        <w:rPr>
          <w:rFonts w:ascii="仿宋" w:hAnsi="仿宋" w:eastAsia="仿宋" w:cs="仿宋"/>
          <w:b/>
          <w:sz w:val="24"/>
        </w:rPr>
      </w:pPr>
      <w:r>
        <w:rPr>
          <w:rFonts w:hint="eastAsia" w:ascii="仿宋" w:hAnsi="仿宋" w:eastAsia="仿宋" w:cs="仿宋"/>
          <w:b/>
          <w:sz w:val="24"/>
        </w:rPr>
        <w:t>2.4.1人员要求及岗位设置</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rPr>
        <w:t>外包服务人员必须拥护宪法，遵守法律法规，品德端正，热爱法院事业。</w:t>
      </w:r>
      <w:r>
        <w:rPr>
          <w:rFonts w:hint="eastAsia" w:ascii="仿宋" w:hAnsi="仿宋" w:eastAsia="仿宋" w:cs="仿宋"/>
          <w:bCs/>
          <w:sz w:val="24"/>
          <w:highlight w:val="none"/>
        </w:rPr>
        <w:t>至少具有国家承认的大学专科文化程度，计算机操作熟练，法律专业者及退伍军人优先（</w:t>
      </w:r>
      <w:r>
        <w:rPr>
          <w:rFonts w:hint="eastAsia" w:ascii="仿宋" w:hAnsi="仿宋" w:eastAsia="仿宋" w:cs="仿宋"/>
          <w:bCs/>
          <w:sz w:val="24"/>
        </w:rPr>
        <w:t>特别优秀人员可以适当放宽）。具有履行职责的身心条件和工作能力。</w:t>
      </w:r>
      <w:r>
        <w:rPr>
          <w:rFonts w:hint="eastAsia" w:ascii="仿宋" w:hAnsi="仿宋" w:eastAsia="仿宋" w:cs="仿宋"/>
          <w:bCs/>
          <w:sz w:val="24"/>
          <w:highlight w:val="none"/>
        </w:rPr>
        <w:t>本项目的项目负责人需有丰富的外包服务经验，外包服务人员（不含项目负责人）人数不少于20人，其中项目管理人员1名，其他人员19名。身高要求：男性原则上达到170CM，女性原则上达到160CM；年龄要求：35周岁以下，优秀人员可适当放宽到40周岁以下（但不得超过总人数的40%）。因法院的工作非常繁忙，需要常年加班，</w:t>
      </w:r>
      <w:r>
        <w:rPr>
          <w:rFonts w:hint="eastAsia" w:ascii="仿宋" w:hAnsi="仿宋" w:eastAsia="仿宋" w:cs="仿宋"/>
          <w:sz w:val="24"/>
          <w:highlight w:val="none"/>
        </w:rPr>
        <w:t>24小时值班。</w:t>
      </w:r>
      <w:r>
        <w:rPr>
          <w:rFonts w:hint="eastAsia" w:ascii="仿宋" w:hAnsi="仿宋" w:eastAsia="仿宋" w:cs="仿宋"/>
          <w:bCs/>
          <w:sz w:val="24"/>
          <w:highlight w:val="none"/>
        </w:rPr>
        <w:t>因此需要热爱法院工作，身体健康的人员从事该项工作。投标单位需在投标文件中对外包服务人员的人数、学历、专业等情况进行承诺，中标后须按承诺执行。</w:t>
      </w:r>
    </w:p>
    <w:p>
      <w:pPr>
        <w:spacing w:line="360" w:lineRule="auto"/>
        <w:ind w:firstLine="480" w:firstLineChars="200"/>
        <w:rPr>
          <w:rFonts w:ascii="仿宋" w:hAnsi="仿宋" w:eastAsia="仿宋" w:cs="仿宋"/>
          <w:bCs/>
          <w:sz w:val="24"/>
        </w:rPr>
      </w:pPr>
      <w:r>
        <w:rPr>
          <w:rFonts w:hint="eastAsia" w:ascii="仿宋" w:hAnsi="仿宋" w:eastAsia="仿宋" w:cs="仿宋"/>
          <w:bCs/>
          <w:sz w:val="24"/>
          <w:highlight w:val="none"/>
        </w:rPr>
        <w:t>中标单位在签订合同之日起的30日历天内，其投标时承诺的服务人员必须全部培训完成并上岗服务。中标单位不能在规定时间全员上岗的，每延期1天或每少1人扣除一定比例履约保证金。延期15日历天及以上的或</w:t>
      </w:r>
      <w:r>
        <w:rPr>
          <w:rFonts w:hint="eastAsia" w:ascii="仿宋" w:hAnsi="仿宋" w:eastAsia="仿宋" w:cs="仿宋"/>
          <w:bCs/>
          <w:sz w:val="24"/>
        </w:rPr>
        <w:t>缺员达到10人及以上的，采购单位有权终止合同并保留追究法律责任的权利。</w:t>
      </w:r>
    </w:p>
    <w:p>
      <w:pPr>
        <w:spacing w:line="360" w:lineRule="auto"/>
        <w:rPr>
          <w:rFonts w:ascii="仿宋" w:hAnsi="仿宋" w:eastAsia="仿宋" w:cs="仿宋"/>
          <w:b/>
          <w:sz w:val="24"/>
        </w:rPr>
      </w:pPr>
      <w:r>
        <w:rPr>
          <w:rFonts w:hint="eastAsia" w:ascii="仿宋" w:hAnsi="仿宋" w:eastAsia="仿宋" w:cs="仿宋"/>
          <w:b/>
          <w:sz w:val="24"/>
        </w:rPr>
        <w:t>2.4.2 人员管理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1、由于法院工作的特殊性，外包公司与服务人员须与法院签订保密协议。文本格式详见本章附件一。</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rPr>
        <w:t>2、服务人员见习期三个月，如外包服务不到位，法院有权要求更换，必须2个月内重新安排人员培训完毕到岗，期间需保证人员不断岗。无正常理由，不经法院同意，出现缺岗断岗的现象的</w:t>
      </w:r>
      <w:r>
        <w:rPr>
          <w:rFonts w:hint="eastAsia" w:ascii="仿宋" w:hAnsi="仿宋" w:eastAsia="仿宋" w:cs="仿宋"/>
          <w:bCs/>
          <w:sz w:val="24"/>
          <w:highlight w:val="none"/>
        </w:rPr>
        <w:t>，每发现一次扣除相应费用，</w:t>
      </w:r>
      <w:r>
        <w:rPr>
          <w:rFonts w:hint="eastAsia" w:ascii="仿宋" w:hAnsi="仿宋" w:eastAsia="仿宋" w:cs="仿宋"/>
          <w:sz w:val="24"/>
          <w:highlight w:val="none"/>
        </w:rPr>
        <w:t>费用从履约保证金中扣除</w:t>
      </w:r>
      <w:r>
        <w:rPr>
          <w:rFonts w:hint="eastAsia" w:ascii="仿宋" w:hAnsi="仿宋" w:eastAsia="仿宋" w:cs="仿宋"/>
          <w:bCs/>
          <w:sz w:val="24"/>
          <w:highlight w:val="none"/>
        </w:rPr>
        <w:t>。一个季度内连续3次发现缺岗断岗的现象的，采购单位有权中止合同。</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3、服务人员连续15天不能正常上班的，或者其他特殊情况（如泄露审判执行及**秘密等），须立即更换并补充人员上岗，且采购单位保留追究法律责任的权利。</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4、中标单位必须组织服务人员进行本项目外包业务所需的计算机操作岗前培训，培训完成后，经法院考核合格后方可上岗。</w:t>
      </w:r>
    </w:p>
    <w:p>
      <w:pPr>
        <w:spacing w:line="360" w:lineRule="auto"/>
        <w:ind w:firstLine="480" w:firstLineChars="200"/>
        <w:rPr>
          <w:rFonts w:ascii="仿宋" w:hAnsi="仿宋" w:eastAsia="仿宋" w:cs="仿宋"/>
          <w:bCs/>
          <w:sz w:val="24"/>
        </w:rPr>
      </w:pPr>
      <w:r>
        <w:rPr>
          <w:rFonts w:hint="eastAsia" w:ascii="仿宋" w:hAnsi="仿宋" w:eastAsia="仿宋" w:cs="仿宋"/>
          <w:bCs/>
          <w:sz w:val="24"/>
          <w:highlight w:val="none"/>
        </w:rPr>
        <w:t>5、若有人员变更，需经采购单位同意，并保证80%及以上的人员稳定性，人员稳定性每超过5%扣除一定比例履约保证金，</w:t>
      </w:r>
      <w:r>
        <w:rPr>
          <w:rFonts w:hint="eastAsia" w:ascii="仿宋" w:hAnsi="仿宋" w:eastAsia="仿宋" w:cs="仿宋"/>
          <w:bCs/>
          <w:sz w:val="24"/>
        </w:rPr>
        <w:t>且采购单位有权中止合同。</w:t>
      </w:r>
    </w:p>
    <w:p>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6、中标单位应确保及时、准确、发放服务人员的工资及五险一金，不得低于建德市最低工资标准。其中支付服务人员应发工资、社会保险、住房公积金、残保金、高温费、体检费、服装费、年终奖、福利费等各项费用平均不得低于63000元/人/年。</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7、服务人员正常上班时间为上午：8:30-11:30，下午：14:00-17:30，加班时间根据实际情况而定。</w:t>
      </w:r>
    </w:p>
    <w:p>
      <w:pPr>
        <w:spacing w:line="360" w:lineRule="auto"/>
        <w:ind w:firstLine="480" w:firstLineChars="200"/>
        <w:rPr>
          <w:rFonts w:ascii="仿宋" w:hAnsi="仿宋" w:eastAsia="仿宋" w:cs="仿宋"/>
          <w:bCs/>
          <w:sz w:val="24"/>
          <w:highlight w:val="yellow"/>
        </w:rPr>
      </w:pPr>
      <w:r>
        <w:rPr>
          <w:rFonts w:hint="eastAsia" w:ascii="仿宋" w:hAnsi="仿宋" w:eastAsia="仿宋" w:cs="仿宋"/>
          <w:bCs/>
          <w:sz w:val="24"/>
        </w:rPr>
        <w:t>8、外包服务人员要求不得有下列情形：</w:t>
      </w:r>
    </w:p>
    <w:p>
      <w:pPr>
        <w:spacing w:line="360" w:lineRule="auto"/>
        <w:ind w:left="420" w:leftChars="200" w:firstLine="240" w:firstLineChars="100"/>
        <w:rPr>
          <w:rFonts w:ascii="仿宋" w:hAnsi="仿宋" w:eastAsia="仿宋" w:cs="仿宋"/>
          <w:bCs/>
          <w:sz w:val="24"/>
        </w:rPr>
      </w:pPr>
      <w:r>
        <w:rPr>
          <w:rFonts w:hint="eastAsia" w:ascii="仿宋" w:hAnsi="仿宋" w:eastAsia="仿宋" w:cs="仿宋"/>
          <w:bCs/>
          <w:sz w:val="24"/>
        </w:rPr>
        <w:t>1）受过刑事处罚、治安管理处罚或者涉嫌违法犯罪正在接受调查尚未做出结论的。</w:t>
      </w:r>
    </w:p>
    <w:p>
      <w:pPr>
        <w:spacing w:line="360" w:lineRule="auto"/>
        <w:ind w:left="420" w:leftChars="200" w:firstLine="240" w:firstLineChars="100"/>
        <w:rPr>
          <w:rFonts w:ascii="仿宋" w:hAnsi="仿宋" w:eastAsia="仿宋" w:cs="仿宋"/>
          <w:bCs/>
          <w:sz w:val="24"/>
        </w:rPr>
      </w:pPr>
      <w:r>
        <w:rPr>
          <w:rFonts w:hint="eastAsia" w:ascii="仿宋" w:hAnsi="仿宋" w:eastAsia="仿宋" w:cs="仿宋"/>
          <w:bCs/>
          <w:sz w:val="24"/>
        </w:rPr>
        <w:t>2）有较为严重的个人不良信用记录的。</w:t>
      </w:r>
    </w:p>
    <w:p>
      <w:pPr>
        <w:spacing w:line="360" w:lineRule="auto"/>
        <w:ind w:left="420" w:leftChars="200" w:firstLine="240" w:firstLineChars="100"/>
        <w:rPr>
          <w:rFonts w:ascii="仿宋" w:hAnsi="仿宋" w:eastAsia="仿宋" w:cs="仿宋"/>
          <w:bCs/>
          <w:sz w:val="24"/>
        </w:rPr>
      </w:pPr>
      <w:r>
        <w:rPr>
          <w:rFonts w:hint="eastAsia" w:ascii="仿宋" w:hAnsi="仿宋" w:eastAsia="仿宋" w:cs="仿宋"/>
          <w:bCs/>
          <w:sz w:val="24"/>
        </w:rPr>
        <w:t>3）因违纪违规被开除辞退解聘的。</w:t>
      </w:r>
    </w:p>
    <w:p>
      <w:pPr>
        <w:spacing w:line="360" w:lineRule="auto"/>
        <w:ind w:left="420" w:leftChars="200" w:firstLine="240" w:firstLineChars="100"/>
        <w:rPr>
          <w:rFonts w:ascii="仿宋" w:hAnsi="仿宋" w:eastAsia="仿宋" w:cs="仿宋"/>
          <w:bCs/>
          <w:sz w:val="24"/>
        </w:rPr>
      </w:pPr>
      <w:r>
        <w:rPr>
          <w:rFonts w:hint="eastAsia" w:ascii="仿宋" w:hAnsi="仿宋" w:eastAsia="仿宋" w:cs="仿宋"/>
          <w:bCs/>
          <w:sz w:val="24"/>
        </w:rPr>
        <w:t>4）本人家庭成员或近亲属被判处刑罚的。</w:t>
      </w:r>
    </w:p>
    <w:p>
      <w:pPr>
        <w:spacing w:line="360" w:lineRule="auto"/>
        <w:ind w:left="220" w:leftChars="105" w:firstLine="559" w:firstLineChars="233"/>
        <w:rPr>
          <w:rFonts w:ascii="仿宋" w:hAnsi="仿宋" w:eastAsia="仿宋" w:cs="仿宋"/>
          <w:bCs/>
          <w:sz w:val="24"/>
        </w:rPr>
      </w:pPr>
      <w:r>
        <w:rPr>
          <w:rFonts w:hint="eastAsia" w:ascii="仿宋" w:hAnsi="仿宋" w:eastAsia="仿宋" w:cs="仿宋"/>
          <w:bCs/>
          <w:sz w:val="24"/>
        </w:rPr>
        <w:t>5）本人或家庭成员、近亲属参加非法组织、邪教组织或从事其他危害国家安全活动。</w:t>
      </w:r>
    </w:p>
    <w:p>
      <w:pPr>
        <w:spacing w:line="360" w:lineRule="auto"/>
        <w:ind w:left="420" w:leftChars="200" w:firstLine="240" w:firstLineChars="100"/>
        <w:rPr>
          <w:rFonts w:ascii="仿宋" w:hAnsi="仿宋" w:eastAsia="仿宋" w:cs="仿宋"/>
          <w:sz w:val="24"/>
        </w:rPr>
      </w:pPr>
      <w:r>
        <w:rPr>
          <w:rFonts w:hint="eastAsia" w:ascii="仿宋" w:hAnsi="仿宋" w:eastAsia="仿宋" w:cs="仿宋"/>
          <w:bCs/>
          <w:sz w:val="24"/>
        </w:rPr>
        <w:t>6）其他不适合从事法院事务外包服务工作的。</w:t>
      </w:r>
    </w:p>
    <w:bookmarkEnd w:id="27"/>
    <w:p>
      <w:pPr>
        <w:snapToGrid w:val="0"/>
        <w:spacing w:line="360" w:lineRule="auto"/>
        <w:jc w:val="left"/>
        <w:outlineLvl w:val="0"/>
        <w:rPr>
          <w:rFonts w:ascii="仿宋" w:hAnsi="仿宋" w:eastAsia="仿宋" w:cs="仿宋"/>
          <w:b/>
          <w:bCs/>
          <w:sz w:val="24"/>
        </w:rPr>
      </w:pPr>
      <w:r>
        <w:rPr>
          <w:rFonts w:hint="eastAsia" w:ascii="仿宋" w:hAnsi="仿宋" w:eastAsia="仿宋" w:cs="仿宋"/>
          <w:b/>
          <w:bCs/>
          <w:sz w:val="24"/>
        </w:rPr>
        <w:t>2.5 考核</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采购单位将对中标单位的服务质量、执业情况实行动态跟踪和评价，并于合同</w:t>
      </w:r>
      <w:r>
        <w:rPr>
          <w:rFonts w:hint="eastAsia" w:ascii="仿宋" w:hAnsi="仿宋" w:eastAsia="仿宋" w:cs="仿宋"/>
          <w:bCs/>
          <w:sz w:val="24"/>
          <w:lang w:eastAsia="zh-CN"/>
        </w:rPr>
        <w:t>期内</w:t>
      </w:r>
      <w:r>
        <w:rPr>
          <w:rFonts w:hint="eastAsia" w:ascii="仿宋" w:hAnsi="仿宋" w:eastAsia="仿宋" w:cs="仿宋"/>
          <w:bCs/>
          <w:sz w:val="24"/>
        </w:rPr>
        <w:t>对中标单位的工作进行</w:t>
      </w:r>
      <w:r>
        <w:rPr>
          <w:rFonts w:hint="eastAsia" w:ascii="仿宋" w:hAnsi="仿宋" w:eastAsia="仿宋" w:cs="仿宋"/>
          <w:bCs/>
          <w:sz w:val="24"/>
          <w:lang w:eastAsia="zh-CN"/>
        </w:rPr>
        <w:t>季度</w:t>
      </w:r>
      <w:r>
        <w:rPr>
          <w:rFonts w:hint="eastAsia" w:ascii="仿宋" w:hAnsi="仿宋" w:eastAsia="仿宋" w:cs="仿宋"/>
          <w:bCs/>
          <w:sz w:val="24"/>
        </w:rPr>
        <w:t>考核。</w:t>
      </w:r>
      <w:r>
        <w:rPr>
          <w:rFonts w:hint="eastAsia" w:ascii="仿宋" w:hAnsi="仿宋" w:eastAsia="仿宋" w:cs="仿宋"/>
          <w:sz w:val="24"/>
          <w:lang w:eastAsia="zh-CN"/>
        </w:rPr>
        <w:t>季度</w:t>
      </w:r>
      <w:r>
        <w:rPr>
          <w:rFonts w:hint="eastAsia" w:ascii="仿宋" w:hAnsi="仿宋" w:eastAsia="仿宋" w:cs="仿宋"/>
          <w:sz w:val="24"/>
        </w:rPr>
        <w:t>考核分达到80分</w:t>
      </w:r>
      <w:r>
        <w:rPr>
          <w:rFonts w:hint="eastAsia" w:ascii="仿宋" w:hAnsi="仿宋" w:eastAsia="仿宋" w:cs="仿宋"/>
          <w:sz w:val="24"/>
          <w:lang w:eastAsia="zh-CN"/>
        </w:rPr>
        <w:t>以下连续两次</w:t>
      </w:r>
      <w:r>
        <w:rPr>
          <w:rFonts w:hint="eastAsia" w:ascii="仿宋" w:hAnsi="仿宋" w:eastAsia="仿宋" w:cs="仿宋"/>
          <w:sz w:val="24"/>
        </w:rPr>
        <w:t>的</w:t>
      </w:r>
      <w:r>
        <w:rPr>
          <w:rFonts w:hint="eastAsia" w:ascii="仿宋" w:hAnsi="仿宋" w:eastAsia="仿宋" w:cs="仿宋"/>
          <w:bCs/>
          <w:sz w:val="24"/>
        </w:rPr>
        <w:t>采购单位有权中止合同</w:t>
      </w:r>
      <w:r>
        <w:rPr>
          <w:rFonts w:hint="eastAsia" w:ascii="仿宋" w:hAnsi="仿宋" w:eastAsia="仿宋" w:cs="仿宋"/>
          <w:sz w:val="24"/>
        </w:rPr>
        <w:t>。</w:t>
      </w:r>
      <w:r>
        <w:rPr>
          <w:rFonts w:hint="eastAsia" w:ascii="仿宋" w:hAnsi="仿宋" w:eastAsia="仿宋" w:cs="仿宋"/>
          <w:bCs/>
          <w:sz w:val="24"/>
        </w:rPr>
        <w:t>考核制度详见本章附件二。</w:t>
      </w:r>
    </w:p>
    <w:p>
      <w:pPr>
        <w:pStyle w:val="137"/>
        <w:rPr>
          <w:rFonts w:ascii="仿宋" w:hAnsi="仿宋" w:eastAsia="仿宋" w:cs="仿宋"/>
          <w:sz w:val="24"/>
          <w:szCs w:val="24"/>
        </w:rPr>
      </w:pPr>
    </w:p>
    <w:p>
      <w:pPr>
        <w:pStyle w:val="137"/>
        <w:rPr>
          <w:rFonts w:ascii="仿宋" w:hAnsi="仿宋" w:eastAsia="仿宋" w:cs="仿宋"/>
          <w:sz w:val="24"/>
          <w:szCs w:val="24"/>
        </w:rPr>
      </w:pPr>
    </w:p>
    <w:p>
      <w:pPr>
        <w:pStyle w:val="137"/>
        <w:rPr>
          <w:rFonts w:ascii="仿宋" w:hAnsi="仿宋" w:eastAsia="仿宋" w:cs="仿宋"/>
          <w:sz w:val="24"/>
          <w:szCs w:val="24"/>
        </w:rPr>
      </w:pPr>
    </w:p>
    <w:p>
      <w:pPr>
        <w:pStyle w:val="137"/>
        <w:rPr>
          <w:rFonts w:ascii="仿宋" w:hAnsi="仿宋" w:eastAsia="仿宋" w:cs="仿宋"/>
          <w:sz w:val="24"/>
          <w:szCs w:val="24"/>
        </w:rPr>
      </w:pPr>
    </w:p>
    <w:p>
      <w:pPr>
        <w:pStyle w:val="137"/>
        <w:rPr>
          <w:rFonts w:ascii="仿宋" w:hAnsi="仿宋" w:eastAsia="仿宋" w:cs="仿宋"/>
          <w:sz w:val="24"/>
          <w:szCs w:val="24"/>
        </w:rPr>
      </w:pPr>
    </w:p>
    <w:p>
      <w:pPr>
        <w:pStyle w:val="137"/>
        <w:rPr>
          <w:rFonts w:ascii="仿宋" w:hAnsi="仿宋" w:eastAsia="仿宋" w:cs="仿宋"/>
          <w:sz w:val="24"/>
          <w:szCs w:val="24"/>
        </w:rPr>
      </w:pPr>
      <w:r>
        <w:rPr>
          <w:rFonts w:hint="eastAsia" w:ascii="仿宋" w:hAnsi="仿宋" w:eastAsia="仿宋" w:cs="仿宋"/>
          <w:sz w:val="24"/>
          <w:szCs w:val="24"/>
        </w:rPr>
        <w:t>附件一、</w:t>
      </w:r>
    </w:p>
    <w:p>
      <w:pPr>
        <w:pStyle w:val="137"/>
        <w:rPr>
          <w:rFonts w:ascii="仿宋" w:hAnsi="仿宋" w:eastAsia="仿宋" w:cs="仿宋"/>
          <w:sz w:val="24"/>
          <w:szCs w:val="24"/>
        </w:rPr>
      </w:pPr>
    </w:p>
    <w:p>
      <w:pPr>
        <w:pStyle w:val="58"/>
        <w:spacing w:before="0" w:beforeAutospacing="0" w:after="0" w:afterAutospacing="0" w:line="432" w:lineRule="auto"/>
        <w:jc w:val="center"/>
        <w:rPr>
          <w:rFonts w:ascii="仿宋" w:hAnsi="仿宋" w:eastAsia="仿宋" w:cs="仿宋"/>
          <w:b/>
          <w:kern w:val="2"/>
        </w:rPr>
      </w:pPr>
      <w:r>
        <w:rPr>
          <w:rFonts w:hint="eastAsia" w:ascii="仿宋" w:hAnsi="仿宋" w:eastAsia="仿宋" w:cs="仿宋"/>
          <w:b/>
          <w:kern w:val="2"/>
        </w:rPr>
        <w:t>建德市人民法院审判执行事务服务外包项目保密协议书</w:t>
      </w:r>
    </w:p>
    <w:p>
      <w:pPr>
        <w:pStyle w:val="58"/>
        <w:spacing w:before="0" w:beforeAutospacing="0" w:after="0" w:afterAutospacing="0" w:line="360" w:lineRule="auto"/>
        <w:rPr>
          <w:rFonts w:ascii="仿宋" w:hAnsi="仿宋" w:eastAsia="仿宋" w:cs="仿宋"/>
        </w:rPr>
      </w:pPr>
      <w:r>
        <w:rPr>
          <w:rFonts w:hint="eastAsia" w:ascii="仿宋" w:hAnsi="仿宋" w:eastAsia="仿宋" w:cs="仿宋"/>
        </w:rPr>
        <w:t>甲方：</w:t>
      </w:r>
    </w:p>
    <w:p>
      <w:pPr>
        <w:pStyle w:val="58"/>
        <w:spacing w:before="0" w:beforeAutospacing="0" w:after="0" w:afterAutospacing="0" w:line="360" w:lineRule="auto"/>
        <w:rPr>
          <w:rFonts w:ascii="仿宋" w:hAnsi="仿宋" w:eastAsia="仿宋" w:cs="仿宋"/>
        </w:rPr>
      </w:pPr>
      <w:r>
        <w:rPr>
          <w:rFonts w:hint="eastAsia" w:ascii="仿宋" w:hAnsi="仿宋" w:eastAsia="仿宋" w:cs="仿宋"/>
        </w:rPr>
        <w:t>乙方：</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乙方因在甲方单位履行__________职务（责），已经（或将要）知悉甲方秘密信息。为了明确乙方的保密义务，甲、乙双方本着平等、自愿、公平和诚实信用的原则，订立本保密协议。</w:t>
      </w:r>
    </w:p>
    <w:p>
      <w:pPr>
        <w:pStyle w:val="58"/>
        <w:spacing w:before="0" w:beforeAutospacing="0" w:after="0" w:afterAutospacing="0" w:line="360" w:lineRule="auto"/>
        <w:ind w:firstLine="360" w:firstLineChars="150"/>
        <w:rPr>
          <w:rFonts w:ascii="仿宋" w:hAnsi="仿宋" w:eastAsia="仿宋" w:cs="仿宋"/>
        </w:rPr>
      </w:pPr>
      <w:r>
        <w:rPr>
          <w:rFonts w:hint="eastAsia" w:ascii="仿宋" w:hAnsi="仿宋" w:eastAsia="仿宋" w:cs="仿宋"/>
        </w:rPr>
        <w:t xml:space="preserve">一、乙方应本着谨慎、诚实的态度，采取任何必要、合理的措施，维护其于任职期间知悉或者持有的任何属于甲方或者属于第三方但甲方承诺或负有保密义务的技术秘密或其他秘密信息，以保持其机密性。具体范围包括但不限于以下内容： </w:t>
      </w:r>
    </w:p>
    <w:p>
      <w:pPr>
        <w:pStyle w:val="58"/>
        <w:spacing w:before="0" w:beforeAutospacing="0" w:after="0" w:afterAutospacing="0" w:line="360" w:lineRule="auto"/>
        <w:ind w:firstLine="360" w:firstLineChars="150"/>
        <w:rPr>
          <w:rFonts w:ascii="仿宋" w:hAnsi="仿宋" w:eastAsia="仿宋" w:cs="仿宋"/>
        </w:rPr>
      </w:pPr>
      <w:r>
        <w:rPr>
          <w:rFonts w:hint="eastAsia" w:ascii="仿宋" w:hAnsi="仿宋" w:eastAsia="仿宋" w:cs="仿宋"/>
        </w:rPr>
        <w:t xml:space="preserve">  1、涉及国家秘密的审判、执行与**信息。</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2、各类工作会议，产生的文件、决议等需要保密的，或者未确定是否属于保密信息，在未传达或正式发文和发布前，都属于保密范围。</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3、会议印发的密级文件，会议传达涉密内容等。</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4、审判、执行与**方面的会议或各委、办、局在本单位召开的会议，涉及到需要保密的信息。</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5、通过内网、交换文件、相关单位业务往来的电话、传真、电子文档等信息，需要保密的，或者请示领导之前，未确定是否需要保密的信息。</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6、领导指定需要保密的信息。</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二、除了履行职务需要之外，乙方承诺，不得刺探与本职工作或本身业务无关的秘密，除甲方书面同意外，不得以泄露、发布、出版、传授、转让或者其他任何方式使任何第三方（包括按照保密制度的规定不得知悉该项秘密的甲方的其他工作人员）知悉属于甲方或者虽属于他人但甲方承诺或负有保密义务的秘密信息，也不得在履行职务之外使用这些秘密信息，不得协助任何第三人使用秘密信息。如发现秘密信息被泄露，应当采取有效措施防止泄密进一步扩大，并及时向甲方报告。</w:t>
      </w:r>
    </w:p>
    <w:p>
      <w:pPr>
        <w:pStyle w:val="58"/>
        <w:spacing w:before="0" w:beforeAutospacing="0" w:after="0" w:afterAutospacing="0" w:line="360" w:lineRule="auto"/>
        <w:ind w:firstLine="360" w:firstLineChars="150"/>
        <w:rPr>
          <w:rFonts w:ascii="仿宋" w:hAnsi="仿宋" w:eastAsia="仿宋" w:cs="仿宋"/>
        </w:rPr>
      </w:pPr>
      <w:r>
        <w:rPr>
          <w:rFonts w:hint="eastAsia" w:ascii="仿宋" w:hAnsi="仿宋" w:eastAsia="仿宋" w:cs="仿宋"/>
        </w:rPr>
        <w:t>三、双方同意，乙方离职之后仍对其在甲方任职期间接触、知悉的属于甲方或者虽属于第三方但甲方承诺或负有保密义务的秘密信息，承担如同任职期间一样的保密义务和不擅自使用的义务，直至该秘密信息成为公开信息，而无论乙方因何种原因离职。</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四、乙方因职务上的需要所持有或保管的一切记录着甲方秘密信息的文件、资料、图表、笔记、报告、信件、传真、磁带、磁盘、仪器以及其他任何形式的载体，均归甲方所有，而无论这些秘密信息有无商业上的价值。</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五、乙方应当于离职时，或者于甲方提出请求时，返还全部属于甲方的财物，包括记载着甲方秘密信息的一切载体。若记录着秘密信息的载体是由乙方自备的，则视为乙方已同意将这些载体物的所有权转让给甲方，甲方应当在乙方返还这些载体时，给予乙方相当于载体本身价值的经济补偿；但秘密信息可以从载体上消除或复制出来时，可以由甲方将秘密信息复制到甲方享有所有权的其他载体上，并把原载体上的秘密信息消除，此种情况下乙方无须将载体返还，甲方也无须给予乙方经济补偿。</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六、双方确认，乙方的保密义务自乙方知道秘密信息起，到该秘密信息被甲方对社会不特定的公众公开时止。乙方是否在职，不影响保密义务的承担。</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七、乙方认可甲方在支付乙方报酬时已充分考虑了乙方需承担的保密义务，故甲方无须在乙方离职时再另外支付保密费。</w:t>
      </w:r>
    </w:p>
    <w:p>
      <w:pPr>
        <w:pStyle w:val="58"/>
        <w:spacing w:before="0" w:beforeAutospacing="0" w:after="0" w:afterAutospacing="0" w:line="360" w:lineRule="auto"/>
        <w:ind w:firstLine="640"/>
        <w:rPr>
          <w:rFonts w:ascii="仿宋" w:hAnsi="仿宋" w:eastAsia="仿宋" w:cs="仿宋"/>
        </w:rPr>
      </w:pPr>
      <w:r>
        <w:rPr>
          <w:rFonts w:hint="eastAsia" w:ascii="仿宋" w:hAnsi="仿宋" w:eastAsia="仿宋" w:cs="仿宋"/>
        </w:rPr>
        <w:t>八、因乙方的违约行为侵犯了甲方的秘密信息权利的，甲方可以选择根据本协议要求乙方承担违约责任，或者根据国家有关法律、法规要求乙方承担侵权责任。</w:t>
      </w:r>
    </w:p>
    <w:p>
      <w:pPr>
        <w:pStyle w:val="58"/>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九、双方本着平等协商的精神，在签署本协议前已详细审阅过协议的内容，并完全了解协议各条款的法律含义。乙方事先也已经全面了解了甲方的保密制度，甲方的保密制度为本协议的组成部分。</w:t>
      </w:r>
    </w:p>
    <w:p>
      <w:pPr>
        <w:pStyle w:val="58"/>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十、本合同如与双方以前的口头或书面协议有抵触，以本合同为准。本合同的修改必须采用双方同意的书面形式。本合同独立于双方签订的劳动合同，未尽事宜，依《中华人民共和国合同法》处理。</w:t>
      </w:r>
    </w:p>
    <w:p>
      <w:pPr>
        <w:pStyle w:val="58"/>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十一、本协议自双方签字后生效。</w:t>
      </w:r>
    </w:p>
    <w:p>
      <w:pPr>
        <w:pStyle w:val="58"/>
        <w:spacing w:before="0" w:beforeAutospacing="0" w:after="0" w:afterAutospacing="0" w:line="432" w:lineRule="auto"/>
        <w:rPr>
          <w:rFonts w:ascii="仿宋" w:hAnsi="仿宋" w:eastAsia="仿宋" w:cs="仿宋"/>
        </w:rPr>
      </w:pPr>
    </w:p>
    <w:p>
      <w:pPr>
        <w:pStyle w:val="58"/>
        <w:spacing w:before="0" w:beforeAutospacing="0" w:after="0" w:afterAutospacing="0" w:line="432" w:lineRule="auto"/>
        <w:rPr>
          <w:rFonts w:ascii="仿宋" w:hAnsi="仿宋" w:eastAsia="仿宋" w:cs="仿宋"/>
        </w:rPr>
      </w:pPr>
      <w:r>
        <w:rPr>
          <w:rFonts w:hint="eastAsia" w:ascii="仿宋" w:hAnsi="仿宋" w:eastAsia="仿宋" w:cs="仿宋"/>
        </w:rPr>
        <w:t>甲方（签章）：              乙方（签名）：</w:t>
      </w:r>
    </w:p>
    <w:p>
      <w:pPr>
        <w:pStyle w:val="58"/>
        <w:spacing w:before="0" w:beforeAutospacing="0" w:after="0" w:afterAutospacing="0" w:line="432" w:lineRule="auto"/>
        <w:rPr>
          <w:rFonts w:ascii="仿宋" w:hAnsi="仿宋" w:eastAsia="仿宋" w:cs="仿宋"/>
        </w:rPr>
      </w:pPr>
      <w:r>
        <w:rPr>
          <w:rFonts w:hint="eastAsia" w:ascii="仿宋" w:hAnsi="仿宋" w:eastAsia="仿宋" w:cs="仿宋"/>
        </w:rPr>
        <w:t>甲方代表（签字）：           身份证号码：</w:t>
      </w:r>
    </w:p>
    <w:p>
      <w:pPr>
        <w:pStyle w:val="58"/>
        <w:spacing w:before="0" w:beforeAutospacing="0" w:after="0" w:afterAutospacing="0" w:line="432" w:lineRule="auto"/>
        <w:rPr>
          <w:rFonts w:ascii="仿宋" w:hAnsi="仿宋" w:eastAsia="仿宋" w:cs="仿宋"/>
        </w:rPr>
      </w:pPr>
      <w:r>
        <w:rPr>
          <w:rFonts w:hint="eastAsia" w:ascii="仿宋" w:hAnsi="仿宋" w:eastAsia="仿宋" w:cs="仿宋"/>
        </w:rPr>
        <w:t xml:space="preserve">           年  月   日                 年   月   日</w:t>
      </w:r>
    </w:p>
    <w:p>
      <w:pPr>
        <w:pStyle w:val="24"/>
        <w:rPr>
          <w:rFonts w:ascii="仿宋" w:hAnsi="仿宋" w:eastAsia="仿宋" w:cs="仿宋"/>
          <w:bCs/>
          <w:szCs w:val="24"/>
        </w:rPr>
      </w:pPr>
    </w:p>
    <w:p>
      <w:pPr>
        <w:pStyle w:val="24"/>
        <w:rPr>
          <w:rFonts w:ascii="仿宋" w:hAnsi="仿宋" w:eastAsia="仿宋" w:cs="仿宋"/>
          <w:bCs/>
          <w:szCs w:val="24"/>
        </w:rPr>
      </w:pPr>
    </w:p>
    <w:p>
      <w:pPr>
        <w:pStyle w:val="24"/>
        <w:rPr>
          <w:rFonts w:ascii="仿宋" w:hAnsi="仿宋" w:eastAsia="仿宋" w:cs="仿宋"/>
          <w:bCs/>
          <w:szCs w:val="24"/>
        </w:rPr>
      </w:pPr>
    </w:p>
    <w:p>
      <w:pPr>
        <w:pStyle w:val="24"/>
        <w:rPr>
          <w:rFonts w:ascii="仿宋" w:hAnsi="仿宋" w:eastAsia="仿宋" w:cs="仿宋"/>
          <w:bCs/>
          <w:szCs w:val="24"/>
        </w:rPr>
      </w:pPr>
    </w:p>
    <w:p>
      <w:pPr>
        <w:pStyle w:val="137"/>
        <w:rPr>
          <w:rFonts w:ascii="仿宋" w:hAnsi="仿宋" w:eastAsia="仿宋" w:cs="仿宋"/>
          <w:sz w:val="24"/>
          <w:szCs w:val="24"/>
        </w:rPr>
      </w:pPr>
      <w:r>
        <w:rPr>
          <w:rFonts w:hint="eastAsia" w:ascii="仿宋" w:hAnsi="仿宋" w:eastAsia="仿宋" w:cs="仿宋"/>
          <w:sz w:val="24"/>
          <w:szCs w:val="24"/>
        </w:rPr>
        <w:t>附件二：</w:t>
      </w:r>
    </w:p>
    <w:tbl>
      <w:tblPr>
        <w:tblStyle w:val="62"/>
        <w:tblW w:w="9735" w:type="dxa"/>
        <w:tblInd w:w="0" w:type="dxa"/>
        <w:tblLayout w:type="fixed"/>
        <w:tblCellMar>
          <w:top w:w="15" w:type="dxa"/>
          <w:left w:w="15" w:type="dxa"/>
          <w:bottom w:w="15" w:type="dxa"/>
          <w:right w:w="15" w:type="dxa"/>
        </w:tblCellMar>
      </w:tblPr>
      <w:tblGrid>
        <w:gridCol w:w="508"/>
        <w:gridCol w:w="767"/>
        <w:gridCol w:w="5910"/>
        <w:gridCol w:w="645"/>
        <w:gridCol w:w="570"/>
        <w:gridCol w:w="690"/>
        <w:gridCol w:w="645"/>
      </w:tblGrid>
      <w:tr>
        <w:tblPrEx>
          <w:tblCellMar>
            <w:top w:w="15" w:type="dxa"/>
            <w:left w:w="15" w:type="dxa"/>
            <w:bottom w:w="15" w:type="dxa"/>
            <w:right w:w="15" w:type="dxa"/>
          </w:tblCellMar>
        </w:tblPrEx>
        <w:trPr>
          <w:trHeight w:val="476" w:hRule="atLeast"/>
        </w:trPr>
        <w:tc>
          <w:tcPr>
            <w:tcW w:w="9735" w:type="dxa"/>
            <w:gridSpan w:val="7"/>
            <w:tcBorders>
              <w:bottom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sz w:val="24"/>
                <w:lang w:eastAsia="zh-CN"/>
              </w:rPr>
              <w:t>季</w:t>
            </w:r>
            <w:r>
              <w:rPr>
                <w:rFonts w:hint="eastAsia" w:ascii="仿宋" w:hAnsi="仿宋" w:eastAsia="仿宋" w:cs="仿宋"/>
                <w:b/>
                <w:sz w:val="24"/>
              </w:rPr>
              <w:t>度项目考核表</w:t>
            </w:r>
          </w:p>
        </w:tc>
      </w:tr>
      <w:tr>
        <w:tblPrEx>
          <w:tblCellMar>
            <w:top w:w="15" w:type="dxa"/>
            <w:left w:w="15" w:type="dxa"/>
            <w:bottom w:w="15" w:type="dxa"/>
            <w:right w:w="15" w:type="dxa"/>
          </w:tblCellMar>
        </w:tblPrEx>
        <w:trPr>
          <w:trHeight w:val="652" w:hRule="atLeast"/>
        </w:trPr>
        <w:tc>
          <w:tcPr>
            <w:tcW w:w="1275"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考核项目</w:t>
            </w:r>
          </w:p>
        </w:tc>
        <w:tc>
          <w:tcPr>
            <w:tcW w:w="5910"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考核内容</w:t>
            </w:r>
          </w:p>
        </w:tc>
        <w:tc>
          <w:tcPr>
            <w:tcW w:w="645"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所占分值</w:t>
            </w:r>
          </w:p>
        </w:tc>
        <w:tc>
          <w:tcPr>
            <w:tcW w:w="570"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考核人</w:t>
            </w:r>
          </w:p>
        </w:tc>
        <w:tc>
          <w:tcPr>
            <w:tcW w:w="690"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考核得分</w:t>
            </w:r>
          </w:p>
        </w:tc>
        <w:tc>
          <w:tcPr>
            <w:tcW w:w="645"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合计</w:t>
            </w:r>
          </w:p>
        </w:tc>
      </w:tr>
      <w:tr>
        <w:tblPrEx>
          <w:tblCellMar>
            <w:top w:w="15" w:type="dxa"/>
            <w:left w:w="15" w:type="dxa"/>
            <w:bottom w:w="15" w:type="dxa"/>
            <w:right w:w="15" w:type="dxa"/>
          </w:tblCellMar>
        </w:tblPrEx>
        <w:trPr>
          <w:trHeight w:val="407" w:hRule="atLeast"/>
        </w:trPr>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工作纪律</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严格遵守法院的各项规章制度，严格遵守保密规定</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10</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39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工作管理</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人员培训到位，礼貌仪容得体</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72"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对不符合服务要求的外包人员，及时更换，并保障人员不断岗。断岗每人每天扣1分，不设下限，可扣至负数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10</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90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项目执行过程中，对用户提出的临时性任务调整事项及其它要求做出快速反应并及时调整。积极响应得5分；一般得3分；态度消极得1分，不响应得0分。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45" w:hRule="atLeast"/>
        </w:trPr>
        <w:tc>
          <w:tcPr>
            <w:tcW w:w="50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工作质效</w:t>
            </w:r>
          </w:p>
        </w:tc>
        <w:tc>
          <w:tcPr>
            <w:tcW w:w="76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bCs/>
                <w:sz w:val="24"/>
              </w:rPr>
              <w:t>审判辅助事务</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诉讼费催缴、清退工作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6</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45" w:hRule="atLeast"/>
        </w:trPr>
        <w:tc>
          <w:tcPr>
            <w:tcW w:w="50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767"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bCs/>
                <w:sz w:val="24"/>
              </w:rPr>
              <w:t>案件的分案、开庭排期、电子送达、陪审员安排及事项通知、司法鉴定委托工作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6</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45" w:hRule="atLeast"/>
        </w:trPr>
        <w:tc>
          <w:tcPr>
            <w:tcW w:w="50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767"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bCs/>
                <w:sz w:val="24"/>
              </w:rPr>
              <w:t>上诉案件的材料制作整理以及生效案件的归档工作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6</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45" w:hRule="atLeast"/>
        </w:trPr>
        <w:tc>
          <w:tcPr>
            <w:tcW w:w="50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76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bCs/>
                <w:sz w:val="24"/>
              </w:rPr>
              <w:t>对各审判部门、上级法院和外包公司的联系协调工作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6</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45" w:hRule="atLeast"/>
        </w:trPr>
        <w:tc>
          <w:tcPr>
            <w:tcW w:w="50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立案</w:t>
            </w:r>
          </w:p>
          <w:p>
            <w:pPr>
              <w:widowControl/>
              <w:jc w:val="center"/>
              <w:textAlignment w:val="center"/>
              <w:rPr>
                <w:rFonts w:ascii="仿宋" w:hAnsi="仿宋" w:eastAsia="仿宋" w:cs="仿宋"/>
                <w:sz w:val="24"/>
              </w:rPr>
            </w:pPr>
            <w:r>
              <w:rPr>
                <w:rFonts w:hint="eastAsia" w:ascii="仿宋" w:hAnsi="仿宋" w:eastAsia="仿宋" w:cs="仿宋"/>
                <w:sz w:val="24"/>
              </w:rPr>
              <w:t>接待</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协助审判执行案件材料的转接、电话的接听、来信来访登记等工作。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1027"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执行指挥中心值班</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委托事项的登记交办、信息报送、数据的上传下达等工作。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04"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集中</w:t>
            </w:r>
          </w:p>
          <w:p>
            <w:pPr>
              <w:widowControl/>
              <w:jc w:val="center"/>
              <w:textAlignment w:val="center"/>
              <w:rPr>
                <w:rFonts w:ascii="仿宋" w:hAnsi="仿宋" w:eastAsia="仿宋" w:cs="仿宋"/>
                <w:sz w:val="24"/>
              </w:rPr>
            </w:pPr>
            <w:r>
              <w:rPr>
                <w:rFonts w:hint="eastAsia" w:ascii="仿宋" w:hAnsi="仿宋" w:eastAsia="仿宋" w:cs="仿宋"/>
                <w:sz w:val="24"/>
              </w:rPr>
              <w:t>查控</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案件信息核对，网上、线下查询控制等工作。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12"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财产</w:t>
            </w:r>
          </w:p>
          <w:p>
            <w:pPr>
              <w:widowControl/>
              <w:jc w:val="center"/>
              <w:textAlignment w:val="center"/>
              <w:rPr>
                <w:rFonts w:ascii="仿宋" w:hAnsi="仿宋" w:eastAsia="仿宋" w:cs="仿宋"/>
                <w:sz w:val="24"/>
              </w:rPr>
            </w:pPr>
            <w:r>
              <w:rPr>
                <w:rFonts w:hint="eastAsia" w:ascii="仿宋" w:hAnsi="仿宋" w:eastAsia="仿宋" w:cs="仿宋"/>
                <w:sz w:val="24"/>
              </w:rPr>
              <w:t>保全</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保全案件线上查询控制，保全案件文书的送达，案件报结、归档装订，保全材料移送审判线，网上委托事项办理等工作。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sz w:val="24"/>
                <w:lang w:val="en-US" w:eastAsia="zh-CN"/>
              </w:rPr>
            </w:pPr>
            <w:r>
              <w:rPr>
                <w:rFonts w:hint="eastAsia" w:ascii="仿宋" w:hAnsi="仿宋" w:eastAsia="仿宋" w:cs="仿宋"/>
                <w:color w:val="000000"/>
                <w:sz w:val="24"/>
                <w:lang w:val="en-US" w:eastAsia="zh-CN"/>
              </w:rPr>
              <w:t>10</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26"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执行</w:t>
            </w:r>
          </w:p>
          <w:p>
            <w:pPr>
              <w:widowControl/>
              <w:jc w:val="center"/>
              <w:textAlignment w:val="center"/>
              <w:rPr>
                <w:rFonts w:ascii="仿宋" w:hAnsi="仿宋" w:eastAsia="仿宋" w:cs="仿宋"/>
                <w:sz w:val="24"/>
              </w:rPr>
            </w:pPr>
            <w:r>
              <w:rPr>
                <w:rFonts w:hint="eastAsia" w:ascii="仿宋" w:hAnsi="仿宋" w:eastAsia="仿宋" w:cs="仿宋"/>
                <w:sz w:val="24"/>
              </w:rPr>
              <w:t>实施</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各类裁定等法律文书的校对、打印，文书上网，材料转接，文书送达，案卷整理打印，案件归档报结，案件信息录入等工作。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844"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执行110</w:t>
            </w:r>
          </w:p>
          <w:p>
            <w:pPr>
              <w:widowControl/>
              <w:jc w:val="center"/>
              <w:textAlignment w:val="center"/>
              <w:rPr>
                <w:rFonts w:ascii="仿宋" w:hAnsi="仿宋" w:eastAsia="仿宋" w:cs="仿宋"/>
                <w:sz w:val="24"/>
              </w:rPr>
            </w:pPr>
            <w:r>
              <w:rPr>
                <w:rFonts w:hint="eastAsia" w:ascii="仿宋" w:hAnsi="仿宋" w:eastAsia="仿宋" w:cs="仿宋"/>
                <w:sz w:val="24"/>
              </w:rPr>
              <w:t>值班</w:t>
            </w:r>
          </w:p>
        </w:tc>
        <w:tc>
          <w:tcPr>
            <w:tcW w:w="59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rPr>
            </w:pPr>
            <w:r>
              <w:rPr>
                <w:rFonts w:hint="eastAsia" w:ascii="仿宋" w:hAnsi="仿宋" w:eastAsia="仿宋" w:cs="仿宋"/>
                <w:sz w:val="24"/>
              </w:rPr>
              <w:t>24小时待命，听从执行指挥中心指令。</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1710"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协助</w:t>
            </w:r>
          </w:p>
          <w:p>
            <w:pPr>
              <w:widowControl/>
              <w:jc w:val="center"/>
              <w:textAlignment w:val="center"/>
              <w:rPr>
                <w:rFonts w:ascii="仿宋" w:hAnsi="仿宋" w:eastAsia="仿宋" w:cs="仿宋"/>
                <w:sz w:val="24"/>
              </w:rPr>
            </w:pPr>
            <w:r>
              <w:rPr>
                <w:rFonts w:hint="eastAsia" w:ascii="仿宋" w:hAnsi="仿宋" w:eastAsia="仿宋" w:cs="仿宋"/>
                <w:sz w:val="24"/>
              </w:rPr>
              <w:t>**</w:t>
            </w:r>
          </w:p>
          <w:p>
            <w:pPr>
              <w:widowControl/>
              <w:jc w:val="center"/>
              <w:textAlignment w:val="center"/>
              <w:rPr>
                <w:rFonts w:ascii="仿宋" w:hAnsi="仿宋" w:eastAsia="仿宋" w:cs="仿宋"/>
                <w:sz w:val="24"/>
              </w:rPr>
            </w:pPr>
            <w:r>
              <w:rPr>
                <w:rFonts w:hint="eastAsia" w:ascii="仿宋" w:hAnsi="仿宋" w:eastAsia="仿宋" w:cs="仿宋"/>
                <w:sz w:val="24"/>
              </w:rPr>
              <w:t>安全</w:t>
            </w:r>
          </w:p>
          <w:p>
            <w:pPr>
              <w:widowControl/>
              <w:jc w:val="center"/>
              <w:textAlignment w:val="center"/>
              <w:rPr>
                <w:rFonts w:ascii="仿宋" w:hAnsi="仿宋" w:eastAsia="仿宋" w:cs="仿宋"/>
                <w:sz w:val="24"/>
              </w:rPr>
            </w:pPr>
            <w:r>
              <w:rPr>
                <w:rFonts w:hint="eastAsia" w:ascii="仿宋" w:hAnsi="仿宋" w:eastAsia="仿宋" w:cs="仿宋"/>
                <w:sz w:val="24"/>
              </w:rPr>
              <w:t>保障</w:t>
            </w:r>
          </w:p>
          <w:p>
            <w:pPr>
              <w:widowControl/>
              <w:jc w:val="center"/>
              <w:textAlignment w:val="center"/>
              <w:rPr>
                <w:rFonts w:ascii="仿宋" w:hAnsi="仿宋" w:eastAsia="仿宋" w:cs="仿宋"/>
                <w:sz w:val="24"/>
              </w:rPr>
            </w:pPr>
            <w:r>
              <w:rPr>
                <w:rFonts w:hint="eastAsia" w:ascii="仿宋" w:hAnsi="仿宋" w:eastAsia="仿宋" w:cs="仿宋"/>
                <w:sz w:val="24"/>
              </w:rPr>
              <w:t>、担负</w:t>
            </w:r>
          </w:p>
          <w:p>
            <w:pPr>
              <w:widowControl/>
              <w:jc w:val="center"/>
              <w:textAlignment w:val="center"/>
              <w:rPr>
                <w:rFonts w:ascii="仿宋" w:hAnsi="仿宋" w:eastAsia="仿宋" w:cs="仿宋"/>
                <w:sz w:val="24"/>
              </w:rPr>
            </w:pPr>
            <w:r>
              <w:rPr>
                <w:rFonts w:hint="eastAsia" w:ascii="仿宋" w:hAnsi="仿宋" w:eastAsia="仿宋" w:cs="仿宋"/>
                <w:sz w:val="24"/>
              </w:rPr>
              <w:t>消防</w:t>
            </w:r>
          </w:p>
          <w:p>
            <w:pPr>
              <w:widowControl/>
              <w:jc w:val="center"/>
              <w:textAlignment w:val="center"/>
              <w:rPr>
                <w:rFonts w:ascii="仿宋" w:hAnsi="仿宋" w:eastAsia="仿宋" w:cs="仿宋"/>
                <w:sz w:val="24"/>
              </w:rPr>
            </w:pPr>
            <w:r>
              <w:rPr>
                <w:rFonts w:hint="eastAsia" w:ascii="仿宋" w:hAnsi="仿宋" w:eastAsia="仿宋" w:cs="仿宋"/>
                <w:sz w:val="24"/>
              </w:rPr>
              <w:t>管理</w:t>
            </w:r>
          </w:p>
          <w:p>
            <w:pPr>
              <w:widowControl/>
              <w:jc w:val="center"/>
              <w:textAlignment w:val="center"/>
              <w:rPr>
                <w:rFonts w:ascii="仿宋" w:hAnsi="仿宋" w:eastAsia="仿宋" w:cs="仿宋"/>
                <w:sz w:val="24"/>
              </w:rPr>
            </w:pPr>
            <w:r>
              <w:rPr>
                <w:rFonts w:hint="eastAsia" w:ascii="仿宋" w:hAnsi="仿宋" w:eastAsia="仿宋" w:cs="仿宋"/>
                <w:sz w:val="24"/>
              </w:rPr>
              <w:t>工作</w:t>
            </w:r>
          </w:p>
        </w:tc>
        <w:tc>
          <w:tcPr>
            <w:tcW w:w="591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1、协助**安全保障工作</w:t>
            </w:r>
          </w:p>
          <w:p>
            <w:pPr>
              <w:widowControl/>
              <w:jc w:val="left"/>
              <w:textAlignment w:val="center"/>
              <w:rPr>
                <w:rFonts w:ascii="仿宋" w:hAnsi="仿宋" w:eastAsia="仿宋" w:cs="仿宋"/>
                <w:sz w:val="24"/>
              </w:rPr>
            </w:pPr>
            <w:r>
              <w:rPr>
                <w:rFonts w:hint="eastAsia" w:ascii="仿宋" w:hAnsi="仿宋" w:eastAsia="仿宋" w:cs="仿宋"/>
                <w:sz w:val="24"/>
              </w:rPr>
              <w:t xml:space="preserve">  按照**安全保障有关规定，在司法警察大队的指令下，完成如下工作：</w:t>
            </w:r>
          </w:p>
          <w:p>
            <w:pPr>
              <w:widowControl/>
              <w:jc w:val="left"/>
              <w:textAlignment w:val="center"/>
              <w:rPr>
                <w:rFonts w:ascii="仿宋" w:hAnsi="仿宋" w:eastAsia="仿宋" w:cs="仿宋"/>
                <w:sz w:val="24"/>
              </w:rPr>
            </w:pPr>
            <w:r>
              <w:rPr>
                <w:rFonts w:hint="eastAsia" w:ascii="仿宋" w:hAnsi="仿宋" w:eastAsia="仿宋" w:cs="仿宋"/>
                <w:sz w:val="24"/>
              </w:rPr>
              <w:t>（1）协助完成刑事保障工作；</w:t>
            </w:r>
          </w:p>
          <w:p>
            <w:pPr>
              <w:widowControl/>
              <w:jc w:val="left"/>
              <w:textAlignment w:val="center"/>
              <w:rPr>
                <w:rFonts w:ascii="仿宋" w:hAnsi="仿宋" w:eastAsia="仿宋" w:cs="仿宋"/>
                <w:sz w:val="24"/>
              </w:rPr>
            </w:pPr>
            <w:r>
              <w:rPr>
                <w:rFonts w:hint="eastAsia" w:ascii="仿宋" w:hAnsi="仿宋" w:eastAsia="仿宋" w:cs="仿宋"/>
                <w:sz w:val="24"/>
              </w:rPr>
              <w:t>（2）协助机关安全保卫及处置突发事件；</w:t>
            </w:r>
          </w:p>
          <w:p>
            <w:pPr>
              <w:widowControl/>
              <w:jc w:val="left"/>
              <w:textAlignment w:val="center"/>
              <w:rPr>
                <w:rFonts w:ascii="仿宋" w:hAnsi="仿宋" w:eastAsia="仿宋" w:cs="仿宋"/>
                <w:sz w:val="24"/>
              </w:rPr>
            </w:pPr>
            <w:r>
              <w:rPr>
                <w:rFonts w:hint="eastAsia" w:ascii="仿宋" w:hAnsi="仿宋" w:eastAsia="仿宋" w:cs="仿宋"/>
                <w:sz w:val="24"/>
              </w:rPr>
              <w:t>（3）协助担负**值班工作；</w:t>
            </w:r>
          </w:p>
        </w:tc>
        <w:tc>
          <w:tcPr>
            <w:tcW w:w="6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4</w:t>
            </w: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480" w:hRule="atLeast"/>
        </w:trPr>
        <w:tc>
          <w:tcPr>
            <w:tcW w:w="508"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76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c>
          <w:tcPr>
            <w:tcW w:w="5910" w:type="dxa"/>
            <w:tcBorders>
              <w:top w:val="single" w:color="auto" w:sz="4" w:space="0"/>
              <w:left w:val="single" w:color="000000" w:sz="4" w:space="0"/>
              <w:bottom w:val="single" w:color="000000" w:sz="4" w:space="0"/>
              <w:right w:val="single" w:color="000000" w:sz="4" w:space="0"/>
            </w:tcBorders>
            <w:vAlign w:val="center"/>
          </w:tcPr>
          <w:p>
            <w:pPr>
              <w:jc w:val="left"/>
              <w:textAlignment w:val="center"/>
              <w:rPr>
                <w:rFonts w:ascii="仿宋" w:hAnsi="仿宋" w:eastAsia="仿宋" w:cs="仿宋"/>
                <w:sz w:val="24"/>
              </w:rPr>
            </w:pPr>
            <w:r>
              <w:rPr>
                <w:rFonts w:hint="eastAsia" w:ascii="仿宋" w:hAnsi="仿宋" w:eastAsia="仿宋" w:cs="仿宋"/>
                <w:sz w:val="24"/>
              </w:rPr>
              <w:t>2、担负消防管理工作（与协助**值班工作兼岗）。</w:t>
            </w:r>
          </w:p>
        </w:tc>
        <w:tc>
          <w:tcPr>
            <w:tcW w:w="64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2</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65" w:hRule="atLeast"/>
        </w:trPr>
        <w:tc>
          <w:tcPr>
            <w:tcW w:w="508"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其他工作</w:t>
            </w:r>
          </w:p>
        </w:tc>
        <w:tc>
          <w:tcPr>
            <w:tcW w:w="5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其他法院事务性工作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sz w:val="24"/>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314" w:hRule="atLeast"/>
        </w:trPr>
        <w:tc>
          <w:tcPr>
            <w:tcW w:w="84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总得分（考核实行百分制）</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548" w:hRule="atLeast"/>
        </w:trPr>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甲方确认</w:t>
            </w:r>
          </w:p>
          <w:p>
            <w:pPr>
              <w:widowControl/>
              <w:jc w:val="center"/>
              <w:textAlignment w:val="center"/>
              <w:rPr>
                <w:rFonts w:ascii="仿宋" w:hAnsi="仿宋" w:eastAsia="仿宋" w:cs="仿宋"/>
                <w:sz w:val="24"/>
              </w:rPr>
            </w:pPr>
            <w:r>
              <w:rPr>
                <w:rFonts w:hint="eastAsia" w:ascii="仿宋" w:hAnsi="仿宋" w:eastAsia="仿宋" w:cs="仿宋"/>
                <w:sz w:val="24"/>
              </w:rPr>
              <w:t>（盖章）</w:t>
            </w:r>
          </w:p>
        </w:tc>
        <w:tc>
          <w:tcPr>
            <w:tcW w:w="846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rPr>
            </w:pPr>
          </w:p>
        </w:tc>
      </w:tr>
      <w:tr>
        <w:tblPrEx>
          <w:tblCellMar>
            <w:top w:w="15" w:type="dxa"/>
            <w:left w:w="15" w:type="dxa"/>
            <w:bottom w:w="15" w:type="dxa"/>
            <w:right w:w="15" w:type="dxa"/>
          </w:tblCellMar>
        </w:tblPrEx>
        <w:trPr>
          <w:trHeight w:val="551" w:hRule="atLeast"/>
        </w:trPr>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备注</w:t>
            </w:r>
          </w:p>
        </w:tc>
        <w:tc>
          <w:tcPr>
            <w:tcW w:w="8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sz w:val="24"/>
              </w:rPr>
              <w:t>1、以上评分均以百分制，扣分项可以是负数；</w:t>
            </w:r>
          </w:p>
          <w:p>
            <w:pPr>
              <w:widowControl/>
              <w:jc w:val="left"/>
              <w:textAlignment w:val="center"/>
              <w:rPr>
                <w:rFonts w:ascii="仿宋" w:hAnsi="仿宋" w:eastAsia="仿宋" w:cs="仿宋"/>
                <w:sz w:val="24"/>
              </w:rPr>
            </w:pPr>
            <w:r>
              <w:rPr>
                <w:rFonts w:hint="eastAsia" w:ascii="仿宋" w:hAnsi="仿宋" w:eastAsia="仿宋" w:cs="仿宋"/>
                <w:sz w:val="24"/>
              </w:rPr>
              <w:t>2、80分</w:t>
            </w:r>
            <w:r>
              <w:rPr>
                <w:rFonts w:hint="eastAsia" w:ascii="仿宋" w:hAnsi="仿宋" w:eastAsia="仿宋" w:cs="仿宋"/>
                <w:sz w:val="24"/>
                <w:lang w:eastAsia="zh-CN"/>
              </w:rPr>
              <w:t>以下连续两次</w:t>
            </w:r>
            <w:r>
              <w:rPr>
                <w:rFonts w:hint="eastAsia" w:ascii="仿宋" w:hAnsi="仿宋" w:eastAsia="仿宋" w:cs="仿宋"/>
                <w:sz w:val="24"/>
              </w:rPr>
              <w:t>的</w:t>
            </w:r>
            <w:r>
              <w:rPr>
                <w:rFonts w:hint="eastAsia" w:ascii="仿宋" w:hAnsi="仿宋" w:eastAsia="仿宋" w:cs="仿宋"/>
                <w:bCs/>
                <w:sz w:val="24"/>
              </w:rPr>
              <w:t>采购单位有权中止合同</w:t>
            </w:r>
            <w:r>
              <w:rPr>
                <w:rFonts w:hint="eastAsia" w:ascii="仿宋" w:hAnsi="仿宋" w:eastAsia="仿宋" w:cs="仿宋"/>
                <w:sz w:val="24"/>
              </w:rPr>
              <w:t>。</w:t>
            </w:r>
          </w:p>
        </w:tc>
      </w:tr>
    </w:tbl>
    <w:p>
      <w:pPr>
        <w:pStyle w:val="18"/>
        <w:rPr>
          <w:rFonts w:ascii="仿宋" w:hAnsi="仿宋" w:eastAsia="仿宋" w:cs="仿宋"/>
          <w:sz w:val="24"/>
          <w:szCs w:val="24"/>
        </w:rPr>
      </w:pPr>
    </w:p>
    <w:p>
      <w:pPr>
        <w:pStyle w:val="4"/>
        <w:ind w:left="0" w:firstLine="0"/>
        <w:rPr>
          <w:rFonts w:ascii="仿宋" w:eastAsia="仿宋" w:cs="仿宋"/>
          <w:sz w:val="28"/>
          <w:szCs w:val="28"/>
        </w:rPr>
      </w:pPr>
      <w:r>
        <w:rPr>
          <w:rFonts w:hint="eastAsia" w:ascii="仿宋" w:eastAsia="仿宋" w:cs="仿宋"/>
          <w:sz w:val="28"/>
          <w:szCs w:val="28"/>
        </w:rPr>
        <w:t>三、其他要求</w:t>
      </w:r>
    </w:p>
    <w:p>
      <w:pPr>
        <w:spacing w:line="420" w:lineRule="auto"/>
        <w:ind w:firstLine="480" w:firstLineChars="200"/>
        <w:rPr>
          <w:rFonts w:ascii="仿宋" w:hAnsi="仿宋" w:eastAsia="仿宋" w:cs="仿宋"/>
          <w:kern w:val="0"/>
          <w:sz w:val="24"/>
        </w:rPr>
      </w:pPr>
      <w:r>
        <w:rPr>
          <w:rFonts w:hint="eastAsia" w:ascii="仿宋" w:hAnsi="仿宋" w:eastAsia="仿宋" w:cs="仿宋"/>
          <w:kern w:val="0"/>
          <w:sz w:val="24"/>
        </w:rPr>
        <w:t>1、成交供应商应自行承担项目实施过程中的安全责任，采购人在任何情况下不承担任何责任。</w:t>
      </w:r>
    </w:p>
    <w:p>
      <w:pPr>
        <w:spacing w:line="420" w:lineRule="auto"/>
        <w:ind w:firstLine="480" w:firstLineChars="200"/>
        <w:rPr>
          <w:rFonts w:ascii="仿宋" w:hAnsi="仿宋" w:eastAsia="仿宋" w:cs="仿宋"/>
          <w:kern w:val="0"/>
          <w:sz w:val="24"/>
        </w:rPr>
      </w:pPr>
      <w:r>
        <w:rPr>
          <w:rFonts w:hint="eastAsia" w:ascii="仿宋" w:hAnsi="仿宋" w:eastAsia="仿宋" w:cs="仿宋"/>
          <w:kern w:val="0"/>
          <w:sz w:val="24"/>
        </w:rPr>
        <w:t>2、各投标供应商在投标时应充分考虑人员安排，合同签订后30日内必须安排足够的人员按时保质保量完成服务。</w:t>
      </w:r>
    </w:p>
    <w:p>
      <w:pPr>
        <w:spacing w:line="420" w:lineRule="auto"/>
        <w:ind w:firstLine="480" w:firstLineChars="200"/>
        <w:rPr>
          <w:rFonts w:ascii="仿宋" w:hAnsi="仿宋" w:eastAsia="仿宋" w:cs="仿宋"/>
          <w:kern w:val="0"/>
          <w:sz w:val="24"/>
        </w:rPr>
      </w:pPr>
      <w:r>
        <w:rPr>
          <w:rFonts w:hint="eastAsia" w:ascii="仿宋" w:hAnsi="仿宋" w:eastAsia="仿宋" w:cs="仿宋"/>
          <w:kern w:val="0"/>
          <w:sz w:val="24"/>
        </w:rPr>
        <w:t>3、由于中标人原因造成成果存在严重不实，导致采购人有重大损失的，责任由中标人承担，并依法追究其经济责任和法律责任。</w:t>
      </w:r>
    </w:p>
    <w:p>
      <w:pPr>
        <w:spacing w:line="420" w:lineRule="auto"/>
        <w:ind w:firstLine="480" w:firstLineChars="200"/>
        <w:rPr>
          <w:rFonts w:ascii="仿宋" w:hAnsi="仿宋" w:eastAsia="仿宋" w:cs="仿宋"/>
          <w:kern w:val="0"/>
          <w:sz w:val="24"/>
        </w:rPr>
      </w:pPr>
      <w:r>
        <w:rPr>
          <w:rFonts w:hint="eastAsia" w:ascii="仿宋" w:hAnsi="仿宋" w:eastAsia="仿宋" w:cs="仿宋"/>
          <w:kern w:val="0"/>
          <w:sz w:val="24"/>
        </w:rPr>
        <w:t>4、在服务期内，供应商应该确保服务范围内的质量标准符合本招标文件要求。当出现问题时，投标人应承诺在2小时内响应并提出解决方案，8小时之内到现场对存在问题进行处理，并提出相应防范措施。</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5、资金支付的方式、时间和条件</w:t>
      </w:r>
    </w:p>
    <w:p>
      <w:pPr>
        <w:spacing w:line="360" w:lineRule="auto"/>
        <w:ind w:firstLine="480" w:firstLineChars="200"/>
        <w:rPr>
          <w:rFonts w:ascii="仿宋" w:hAnsi="仿宋" w:eastAsia="仿宋" w:cs="仿宋"/>
          <w:sz w:val="24"/>
        </w:rPr>
      </w:pPr>
      <w:r>
        <w:rPr>
          <w:rFonts w:hint="eastAsia" w:ascii="仿宋" w:hAnsi="仿宋" w:eastAsia="仿宋" w:cs="仿宋"/>
          <w:sz w:val="24"/>
        </w:rPr>
        <w:t>采购单位根据合同、投标文件等资料进行验收。</w:t>
      </w:r>
    </w:p>
    <w:p>
      <w:pPr>
        <w:spacing w:line="420" w:lineRule="auto"/>
        <w:ind w:firstLine="480" w:firstLineChars="200"/>
        <w:rPr>
          <w:rFonts w:hint="eastAsia" w:ascii="仿宋" w:hAnsi="仿宋" w:eastAsia="仿宋" w:cs="仿宋"/>
          <w:kern w:val="0"/>
          <w:sz w:val="24"/>
        </w:rPr>
      </w:pPr>
      <w:r>
        <w:rPr>
          <w:rFonts w:hint="eastAsia" w:ascii="仿宋" w:hAnsi="仿宋" w:eastAsia="仿宋" w:cs="仿宋"/>
          <w:kern w:val="0"/>
          <w:sz w:val="24"/>
        </w:rPr>
        <w:t>（1）采购合同签订生效并具备实施条件后7个工作日，采购单位向成交供应商支付合同总价的40%预付款（供应商需提供相应金额的预付款保函至采购单位）；</w:t>
      </w:r>
    </w:p>
    <w:p>
      <w:pPr>
        <w:spacing w:line="360" w:lineRule="auto"/>
        <w:ind w:firstLine="480" w:firstLineChars="200"/>
        <w:rPr>
          <w:rFonts w:ascii="仿宋" w:hAnsi="仿宋" w:eastAsia="仿宋" w:cs="仿宋"/>
          <w:sz w:val="24"/>
        </w:rPr>
      </w:pPr>
      <w:r>
        <w:rPr>
          <w:rFonts w:hint="eastAsia" w:ascii="仿宋" w:hAnsi="仿宋" w:eastAsia="仿宋" w:cs="仿宋"/>
          <w:sz w:val="24"/>
        </w:rPr>
        <w:t>（2）在第二季度前采购人支付合同价款的20%，第三季度前采购人支付合同价款的20%，第四季度前采购人支付合同价款的20%；结算时供应商将结款申请1份、发票原件及复印件1份、合同复印件1份和经采购单位验收确认的《建德市政府采购验收反馈表》（还需提供验收报告）提交采购单位，采购单位应自收到发票后5个工作日内支付相应款项。</w:t>
      </w:r>
    </w:p>
    <w:p>
      <w:pPr>
        <w:spacing w:line="360" w:lineRule="auto"/>
        <w:ind w:firstLine="482" w:firstLineChars="200"/>
        <w:rPr>
          <w:rStyle w:val="352"/>
          <w:rFonts w:hint="default" w:ascii="仿宋" w:hAnsi="仿宋" w:eastAsia="仿宋" w:cs="仿宋"/>
          <w:bCs/>
        </w:rPr>
      </w:pPr>
      <w:r>
        <w:rPr>
          <w:rFonts w:hint="eastAsia" w:ascii="仿宋" w:hAnsi="仿宋" w:eastAsia="仿宋" w:cs="仿宋"/>
          <w:b/>
          <w:bCs/>
          <w:sz w:val="24"/>
        </w:rPr>
        <w:t>6、</w:t>
      </w:r>
      <w:r>
        <w:rPr>
          <w:rStyle w:val="352"/>
          <w:rFonts w:hint="default" w:ascii="仿宋" w:hAnsi="仿宋" w:eastAsia="仿宋" w:cs="仿宋"/>
          <w:bCs/>
        </w:rPr>
        <w:t>履约保证金</w:t>
      </w:r>
    </w:p>
    <w:p>
      <w:pPr>
        <w:spacing w:line="360" w:lineRule="auto"/>
        <w:ind w:firstLine="472" w:firstLineChars="200"/>
        <w:rPr>
          <w:rFonts w:ascii="仿宋" w:hAnsi="仿宋" w:eastAsia="仿宋" w:cs="仿宋"/>
          <w:b/>
          <w:bCs/>
          <w:sz w:val="24"/>
        </w:rPr>
      </w:pPr>
      <w:r>
        <w:rPr>
          <w:rStyle w:val="352"/>
          <w:rFonts w:hint="default" w:ascii="仿宋" w:hAnsi="仿宋" w:eastAsia="仿宋" w:cs="仿宋"/>
          <w:b w:val="0"/>
        </w:rPr>
        <w:t>履约保证金：本项目将</w:t>
      </w:r>
      <w:r>
        <w:rPr>
          <w:rFonts w:hint="eastAsia" w:ascii="仿宋" w:hAnsi="仿宋" w:eastAsia="仿宋" w:cs="仿宋"/>
          <w:sz w:val="24"/>
        </w:rPr>
        <w:t>根据杭州市政府采购网公布的供应商履约评价情况收取履约保证金。供应商履约验收评价总分为100分的，本项目免收履约保证金；评价总分在90分以上的，本项目收取履约保证金为合同金额1%；评价总分在不满90分或者暂无评分的，本项目收取履约保证金为合同金额2.5%。需要收取保证金的供应商</w:t>
      </w:r>
      <w:r>
        <w:rPr>
          <w:rStyle w:val="352"/>
          <w:rFonts w:hint="default" w:ascii="仿宋" w:hAnsi="仿宋" w:eastAsia="仿宋" w:cs="仿宋"/>
          <w:b w:val="0"/>
        </w:rPr>
        <w:t>在正式合同签订生效之日起7个工作日内，</w:t>
      </w:r>
      <w:r>
        <w:rPr>
          <w:rFonts w:hint="eastAsia" w:ascii="仿宋" w:hAnsi="仿宋" w:eastAsia="仿宋" w:cs="仿宋"/>
          <w:sz w:val="24"/>
        </w:rPr>
        <w:t>缴纳</w:t>
      </w:r>
      <w:r>
        <w:rPr>
          <w:rStyle w:val="352"/>
          <w:rFonts w:hint="default" w:ascii="仿宋" w:hAnsi="仿宋" w:eastAsia="仿宋" w:cs="仿宋"/>
          <w:b w:val="0"/>
        </w:rPr>
        <w:t>保证金至采购人指定账户（可采用银行、保险公司出具保函形式提交）。在验收合格后经回访正常后凭正式收款收据、履约保证金缴款凭证复印件、《建德市政府采购回访意见单》办理结算手续。</w:t>
      </w:r>
    </w:p>
    <w:p>
      <w:pPr>
        <w:spacing w:line="360" w:lineRule="auto"/>
        <w:ind w:firstLine="480" w:firstLineChars="200"/>
        <w:rPr>
          <w:rStyle w:val="352"/>
          <w:rFonts w:hint="default" w:ascii="仿宋" w:hAnsi="仿宋" w:eastAsia="仿宋" w:cs="仿宋"/>
          <w:bCs/>
        </w:rPr>
      </w:pPr>
      <w:r>
        <w:rPr>
          <w:rFonts w:hint="eastAsia" w:ascii="仿宋" w:hAnsi="仿宋" w:eastAsia="仿宋" w:cs="仿宋"/>
          <w:bCs/>
          <w:sz w:val="24"/>
        </w:rPr>
        <w:t>7、</w:t>
      </w:r>
      <w:r>
        <w:rPr>
          <w:rStyle w:val="352"/>
          <w:rFonts w:hint="default" w:ascii="仿宋" w:hAnsi="仿宋" w:eastAsia="仿宋" w:cs="仿宋"/>
          <w:bCs/>
        </w:rPr>
        <w:t>验收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通过采购单位制定的考核要求</w:t>
      </w:r>
    </w:p>
    <w:p>
      <w:pPr>
        <w:pStyle w:val="25"/>
        <w:ind w:firstLine="0"/>
        <w:rPr>
          <w:rFonts w:ascii="仿宋" w:hAnsi="仿宋" w:eastAsia="仿宋" w:cs="仿宋"/>
          <w:b/>
          <w:sz w:val="36"/>
          <w:szCs w:val="36"/>
        </w:rPr>
      </w:pPr>
    </w:p>
    <w:p>
      <w:pPr>
        <w:pStyle w:val="26"/>
        <w:rPr>
          <w:rFonts w:ascii="仿宋" w:hAnsi="仿宋" w:eastAsia="仿宋" w:cs="仿宋"/>
          <w:b/>
          <w:sz w:val="36"/>
          <w:szCs w:val="36"/>
        </w:rPr>
      </w:pPr>
    </w:p>
    <w:p>
      <w:pPr>
        <w:rPr>
          <w:rFonts w:ascii="仿宋" w:hAnsi="仿宋" w:eastAsia="仿宋" w:cs="仿宋"/>
          <w:b/>
          <w:sz w:val="36"/>
          <w:szCs w:val="36"/>
        </w:rPr>
      </w:pPr>
    </w:p>
    <w:p>
      <w:pPr>
        <w:pStyle w:val="3"/>
        <w:rPr>
          <w:rFonts w:ascii="仿宋" w:hAnsi="仿宋" w:eastAsia="仿宋" w:cs="仿宋"/>
          <w:sz w:val="36"/>
          <w:szCs w:val="36"/>
        </w:rPr>
      </w:pPr>
    </w:p>
    <w:p>
      <w:pP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12073"/>
      <w:bookmarkEnd w:id="28"/>
      <w:bookmarkStart w:id="29" w:name="_Toc184308097"/>
      <w:bookmarkEnd w:id="29"/>
      <w:bookmarkStart w:id="30" w:name="_Toc184313255"/>
      <w:bookmarkEnd w:id="30"/>
      <w:bookmarkStart w:id="31" w:name="_Toc184312114"/>
      <w:bookmarkEnd w:id="31"/>
      <w:bookmarkStart w:id="32" w:name="_Toc184312089"/>
      <w:bookmarkEnd w:id="32"/>
      <w:bookmarkStart w:id="33" w:name="_Toc184308103"/>
      <w:bookmarkEnd w:id="33"/>
      <w:bookmarkStart w:id="34" w:name="_Toc184313296"/>
      <w:bookmarkEnd w:id="34"/>
      <w:bookmarkStart w:id="35" w:name="_Toc184314467"/>
      <w:bookmarkEnd w:id="35"/>
      <w:bookmarkStart w:id="36" w:name="_Toc184310325"/>
      <w:bookmarkEnd w:id="36"/>
      <w:bookmarkStart w:id="37" w:name="_Toc184310305"/>
      <w:bookmarkEnd w:id="37"/>
      <w:bookmarkStart w:id="38" w:name="_Toc184308106"/>
      <w:bookmarkEnd w:id="38"/>
      <w:bookmarkStart w:id="39" w:name="_Toc184310327"/>
      <w:bookmarkEnd w:id="39"/>
      <w:bookmarkStart w:id="40" w:name="_Toc184312088"/>
      <w:bookmarkEnd w:id="40"/>
      <w:bookmarkStart w:id="41" w:name="_Toc184308039"/>
      <w:bookmarkEnd w:id="41"/>
      <w:bookmarkStart w:id="42" w:name="_Toc184308050"/>
      <w:bookmarkEnd w:id="42"/>
      <w:bookmarkStart w:id="43" w:name="_Toc184314472"/>
      <w:bookmarkEnd w:id="43"/>
      <w:bookmarkStart w:id="44" w:name="_Toc184310294"/>
      <w:bookmarkEnd w:id="44"/>
      <w:bookmarkStart w:id="45" w:name="_Toc184314464"/>
      <w:bookmarkEnd w:id="45"/>
      <w:bookmarkStart w:id="46" w:name="_Toc184312116"/>
      <w:bookmarkEnd w:id="46"/>
      <w:bookmarkStart w:id="47" w:name="_Toc184308088"/>
      <w:bookmarkEnd w:id="47"/>
      <w:bookmarkStart w:id="48" w:name="_Toc184314444"/>
      <w:bookmarkEnd w:id="48"/>
      <w:bookmarkStart w:id="49" w:name="_Toc184310314"/>
      <w:bookmarkEnd w:id="49"/>
      <w:bookmarkStart w:id="50" w:name="_Toc184308062"/>
      <w:bookmarkEnd w:id="50"/>
      <w:bookmarkStart w:id="51" w:name="_Toc184310319"/>
      <w:bookmarkEnd w:id="51"/>
      <w:bookmarkStart w:id="52" w:name="_Toc184312109"/>
      <w:bookmarkEnd w:id="52"/>
      <w:bookmarkStart w:id="53" w:name="_Toc184312139"/>
      <w:bookmarkEnd w:id="53"/>
      <w:bookmarkStart w:id="54" w:name="_Toc184308056"/>
      <w:bookmarkEnd w:id="54"/>
      <w:bookmarkStart w:id="55" w:name="_Toc184312084"/>
      <w:bookmarkEnd w:id="55"/>
      <w:bookmarkStart w:id="56" w:name="_Toc184313307"/>
      <w:bookmarkEnd w:id="56"/>
      <w:bookmarkStart w:id="57" w:name="_Toc184313290"/>
      <w:bookmarkEnd w:id="57"/>
      <w:bookmarkStart w:id="58" w:name="_Toc184310318"/>
      <w:bookmarkEnd w:id="58"/>
      <w:bookmarkStart w:id="59" w:name="_Toc184313260"/>
      <w:bookmarkEnd w:id="59"/>
      <w:bookmarkStart w:id="60" w:name="_Toc184312075"/>
      <w:bookmarkEnd w:id="60"/>
      <w:bookmarkStart w:id="61" w:name="_Toc184313300"/>
      <w:bookmarkEnd w:id="61"/>
      <w:bookmarkStart w:id="62" w:name="_Toc184313263"/>
      <w:bookmarkEnd w:id="62"/>
      <w:bookmarkStart w:id="63" w:name="_Toc184313274"/>
      <w:bookmarkEnd w:id="63"/>
      <w:bookmarkStart w:id="64" w:name="_Toc184312098"/>
      <w:bookmarkEnd w:id="64"/>
      <w:bookmarkStart w:id="65" w:name="_Toc184310272"/>
      <w:bookmarkEnd w:id="65"/>
      <w:bookmarkStart w:id="66" w:name="_Toc184310310"/>
      <w:bookmarkEnd w:id="66"/>
      <w:bookmarkStart w:id="67" w:name="_Toc184310290"/>
      <w:bookmarkEnd w:id="67"/>
      <w:bookmarkStart w:id="68" w:name="_Toc184312101"/>
      <w:bookmarkEnd w:id="68"/>
      <w:bookmarkStart w:id="69" w:name="_Toc184310311"/>
      <w:bookmarkEnd w:id="69"/>
      <w:bookmarkStart w:id="70" w:name="_Toc184314471"/>
      <w:bookmarkEnd w:id="70"/>
      <w:bookmarkStart w:id="71" w:name="_Toc184313304"/>
      <w:bookmarkEnd w:id="71"/>
      <w:bookmarkStart w:id="72" w:name="_Toc184308063"/>
      <w:bookmarkEnd w:id="72"/>
      <w:bookmarkStart w:id="73" w:name="_Toc184312132"/>
      <w:bookmarkEnd w:id="73"/>
      <w:bookmarkStart w:id="74" w:name="_Toc184310274"/>
      <w:bookmarkEnd w:id="74"/>
      <w:bookmarkStart w:id="75" w:name="_Toc184314459"/>
      <w:bookmarkEnd w:id="75"/>
      <w:bookmarkStart w:id="76" w:name="_Toc184310283"/>
      <w:bookmarkEnd w:id="76"/>
      <w:bookmarkStart w:id="77" w:name="_Toc184312083"/>
      <w:bookmarkEnd w:id="77"/>
      <w:bookmarkStart w:id="78" w:name="_Toc184308060"/>
      <w:bookmarkEnd w:id="78"/>
      <w:bookmarkStart w:id="79" w:name="_Toc184310341"/>
      <w:bookmarkEnd w:id="79"/>
      <w:bookmarkStart w:id="80" w:name="_Toc184308047"/>
      <w:bookmarkEnd w:id="80"/>
      <w:bookmarkStart w:id="81" w:name="_Toc184314413"/>
      <w:bookmarkEnd w:id="81"/>
      <w:bookmarkStart w:id="82" w:name="_Toc184308104"/>
      <w:bookmarkEnd w:id="82"/>
      <w:bookmarkStart w:id="83" w:name="_Toc184310323"/>
      <w:bookmarkEnd w:id="83"/>
      <w:bookmarkStart w:id="84" w:name="_Toc184312072"/>
      <w:bookmarkEnd w:id="84"/>
      <w:bookmarkStart w:id="85" w:name="_Toc184314412"/>
      <w:bookmarkEnd w:id="85"/>
      <w:bookmarkStart w:id="86" w:name="_Toc184313287"/>
      <w:bookmarkEnd w:id="86"/>
      <w:bookmarkStart w:id="87" w:name="_Toc184312082"/>
      <w:bookmarkEnd w:id="87"/>
      <w:bookmarkStart w:id="88" w:name="_Toc184313246"/>
      <w:bookmarkEnd w:id="88"/>
      <w:bookmarkStart w:id="89" w:name="_Toc184310279"/>
      <w:bookmarkEnd w:id="89"/>
      <w:bookmarkStart w:id="90" w:name="_Toc184313276"/>
      <w:bookmarkEnd w:id="90"/>
      <w:bookmarkStart w:id="91" w:name="_Toc184313261"/>
      <w:bookmarkEnd w:id="91"/>
      <w:bookmarkStart w:id="92" w:name="_Toc184312127"/>
      <w:bookmarkEnd w:id="92"/>
      <w:bookmarkStart w:id="93" w:name="_Toc184314433"/>
      <w:bookmarkEnd w:id="93"/>
      <w:bookmarkStart w:id="94" w:name="_Toc184312086"/>
      <w:bookmarkEnd w:id="94"/>
      <w:bookmarkStart w:id="95" w:name="_Toc184310344"/>
      <w:bookmarkEnd w:id="95"/>
      <w:bookmarkStart w:id="96" w:name="_Toc184312078"/>
      <w:bookmarkEnd w:id="96"/>
      <w:bookmarkStart w:id="97" w:name="_Toc184308065"/>
      <w:bookmarkEnd w:id="97"/>
      <w:bookmarkStart w:id="98" w:name="_Toc184313268"/>
      <w:bookmarkEnd w:id="98"/>
      <w:bookmarkStart w:id="99" w:name="_Toc184308051"/>
      <w:bookmarkEnd w:id="99"/>
      <w:bookmarkStart w:id="100" w:name="_Toc184310338"/>
      <w:bookmarkEnd w:id="100"/>
      <w:bookmarkStart w:id="101" w:name="_Toc184308092"/>
      <w:bookmarkEnd w:id="101"/>
      <w:bookmarkStart w:id="102" w:name="_Toc184314461"/>
      <w:bookmarkEnd w:id="102"/>
      <w:bookmarkStart w:id="103" w:name="_Toc184308071"/>
      <w:bookmarkEnd w:id="103"/>
      <w:bookmarkStart w:id="104" w:name="_Toc184308070"/>
      <w:bookmarkEnd w:id="104"/>
      <w:bookmarkStart w:id="105" w:name="_Toc184308038"/>
      <w:bookmarkEnd w:id="105"/>
      <w:bookmarkStart w:id="106" w:name="_Toc184312120"/>
      <w:bookmarkEnd w:id="106"/>
      <w:bookmarkStart w:id="107" w:name="_Toc184308066"/>
      <w:bookmarkEnd w:id="107"/>
      <w:bookmarkStart w:id="108" w:name="_Toc184314416"/>
      <w:bookmarkEnd w:id="108"/>
      <w:bookmarkStart w:id="109" w:name="_Toc184310278"/>
      <w:bookmarkEnd w:id="109"/>
      <w:bookmarkStart w:id="110" w:name="_Toc184312067"/>
      <w:bookmarkEnd w:id="110"/>
      <w:bookmarkStart w:id="111" w:name="_Toc184312107"/>
      <w:bookmarkEnd w:id="111"/>
      <w:bookmarkStart w:id="112" w:name="_Toc184310340"/>
      <w:bookmarkEnd w:id="112"/>
      <w:bookmarkStart w:id="113" w:name="_Toc184313299"/>
      <w:bookmarkEnd w:id="113"/>
      <w:bookmarkStart w:id="114" w:name="_Toc184313298"/>
      <w:bookmarkEnd w:id="114"/>
      <w:bookmarkStart w:id="115" w:name="_Toc184310303"/>
      <w:bookmarkEnd w:id="115"/>
      <w:bookmarkStart w:id="116" w:name="_Toc184312108"/>
      <w:bookmarkEnd w:id="116"/>
      <w:bookmarkStart w:id="117" w:name="_Toc184310308"/>
      <w:bookmarkEnd w:id="117"/>
      <w:bookmarkStart w:id="118" w:name="_Toc184313293"/>
      <w:bookmarkEnd w:id="118"/>
      <w:bookmarkStart w:id="119" w:name="_Toc184312091"/>
      <w:bookmarkEnd w:id="119"/>
      <w:bookmarkStart w:id="120" w:name="_Toc184313241"/>
      <w:bookmarkEnd w:id="120"/>
      <w:bookmarkStart w:id="121" w:name="_Toc184312112"/>
      <w:bookmarkEnd w:id="121"/>
      <w:bookmarkStart w:id="122" w:name="_Toc184313253"/>
      <w:bookmarkEnd w:id="122"/>
      <w:bookmarkStart w:id="123" w:name="_Toc184310286"/>
      <w:bookmarkEnd w:id="123"/>
      <w:bookmarkStart w:id="124" w:name="_Toc184310343"/>
      <w:bookmarkEnd w:id="124"/>
      <w:bookmarkStart w:id="125" w:name="_Toc184308093"/>
      <w:bookmarkEnd w:id="125"/>
      <w:bookmarkStart w:id="126" w:name="_Toc184314462"/>
      <w:bookmarkEnd w:id="126"/>
      <w:bookmarkStart w:id="127" w:name="_Toc184314465"/>
      <w:bookmarkEnd w:id="127"/>
      <w:bookmarkStart w:id="128" w:name="_Toc184308068"/>
      <w:bookmarkEnd w:id="128"/>
      <w:bookmarkStart w:id="129" w:name="_Toc184314421"/>
      <w:bookmarkEnd w:id="129"/>
      <w:bookmarkStart w:id="130" w:name="_Toc184312130"/>
      <w:bookmarkEnd w:id="130"/>
      <w:bookmarkStart w:id="131" w:name="_Toc184312105"/>
      <w:bookmarkEnd w:id="131"/>
      <w:bookmarkStart w:id="132" w:name="_Toc184313295"/>
      <w:bookmarkEnd w:id="132"/>
      <w:bookmarkStart w:id="133" w:name="_Toc184313257"/>
      <w:bookmarkEnd w:id="133"/>
      <w:bookmarkStart w:id="134" w:name="_Toc184310309"/>
      <w:bookmarkEnd w:id="134"/>
      <w:bookmarkStart w:id="135" w:name="_Toc184308055"/>
      <w:bookmarkEnd w:id="135"/>
      <w:bookmarkStart w:id="136" w:name="_Toc184308072"/>
      <w:bookmarkEnd w:id="136"/>
      <w:bookmarkStart w:id="137" w:name="_Toc184314463"/>
      <w:bookmarkEnd w:id="137"/>
      <w:bookmarkStart w:id="138" w:name="_Toc184312100"/>
      <w:bookmarkEnd w:id="138"/>
      <w:bookmarkStart w:id="139" w:name="_Toc184312123"/>
      <w:bookmarkEnd w:id="139"/>
      <w:bookmarkStart w:id="140" w:name="_Toc184314457"/>
      <w:bookmarkEnd w:id="140"/>
      <w:bookmarkStart w:id="141" w:name="_Toc184308091"/>
      <w:bookmarkEnd w:id="141"/>
      <w:bookmarkStart w:id="142" w:name="_Toc184313301"/>
      <w:bookmarkEnd w:id="142"/>
      <w:bookmarkStart w:id="143" w:name="_Toc184313306"/>
      <w:bookmarkEnd w:id="143"/>
      <w:bookmarkStart w:id="144" w:name="_Toc184310322"/>
      <w:bookmarkEnd w:id="144"/>
      <w:bookmarkStart w:id="145" w:name="_Toc184314450"/>
      <w:bookmarkEnd w:id="145"/>
      <w:bookmarkStart w:id="146" w:name="_Toc184312122"/>
      <w:bookmarkEnd w:id="146"/>
      <w:bookmarkStart w:id="147" w:name="_Toc184310296"/>
      <w:bookmarkEnd w:id="147"/>
      <w:bookmarkStart w:id="148" w:name="_Toc184314456"/>
      <w:bookmarkEnd w:id="148"/>
      <w:bookmarkStart w:id="149" w:name="_Toc184314479"/>
      <w:bookmarkEnd w:id="149"/>
      <w:bookmarkStart w:id="150" w:name="_Toc184314480"/>
      <w:bookmarkEnd w:id="150"/>
      <w:bookmarkStart w:id="151" w:name="_Toc184314423"/>
      <w:bookmarkEnd w:id="151"/>
      <w:bookmarkStart w:id="152" w:name="_Toc184308077"/>
      <w:bookmarkEnd w:id="152"/>
      <w:bookmarkStart w:id="153" w:name="_Toc184313305"/>
      <w:bookmarkEnd w:id="153"/>
      <w:bookmarkStart w:id="154" w:name="_Toc184314415"/>
      <w:bookmarkEnd w:id="154"/>
      <w:bookmarkStart w:id="155" w:name="_Toc184314429"/>
      <w:bookmarkEnd w:id="155"/>
      <w:bookmarkStart w:id="156" w:name="_Toc184308087"/>
      <w:bookmarkEnd w:id="156"/>
      <w:bookmarkStart w:id="157" w:name="_Toc184312129"/>
      <w:bookmarkEnd w:id="157"/>
      <w:bookmarkStart w:id="158" w:name="_Toc184314445"/>
      <w:bookmarkEnd w:id="158"/>
      <w:bookmarkStart w:id="159" w:name="_Toc184312085"/>
      <w:bookmarkEnd w:id="159"/>
      <w:bookmarkStart w:id="160" w:name="_Toc184313277"/>
      <w:bookmarkEnd w:id="160"/>
      <w:bookmarkStart w:id="161" w:name="_Toc184312128"/>
      <w:bookmarkEnd w:id="161"/>
      <w:bookmarkStart w:id="162" w:name="_Toc184312104"/>
      <w:bookmarkEnd w:id="162"/>
      <w:bookmarkStart w:id="163" w:name="_Toc184313285"/>
      <w:bookmarkEnd w:id="163"/>
      <w:bookmarkStart w:id="164" w:name="_Toc184310301"/>
      <w:bookmarkEnd w:id="164"/>
      <w:bookmarkStart w:id="165" w:name="_Toc184313271"/>
      <w:bookmarkEnd w:id="165"/>
      <w:bookmarkStart w:id="166" w:name="_Toc184312115"/>
      <w:bookmarkEnd w:id="166"/>
      <w:bookmarkStart w:id="167" w:name="_Toc184308107"/>
      <w:bookmarkEnd w:id="167"/>
      <w:bookmarkStart w:id="168" w:name="_Toc184310298"/>
      <w:bookmarkEnd w:id="168"/>
      <w:bookmarkStart w:id="169" w:name="_Toc184310336"/>
      <w:bookmarkEnd w:id="169"/>
      <w:bookmarkStart w:id="170" w:name="_Toc184310287"/>
      <w:bookmarkEnd w:id="170"/>
      <w:bookmarkStart w:id="171" w:name="_Toc184314419"/>
      <w:bookmarkEnd w:id="171"/>
      <w:bookmarkStart w:id="172" w:name="_Toc184314430"/>
      <w:bookmarkEnd w:id="172"/>
      <w:bookmarkStart w:id="173" w:name="_Toc184310275"/>
      <w:bookmarkEnd w:id="173"/>
      <w:bookmarkStart w:id="174" w:name="_Toc184313308"/>
      <w:bookmarkEnd w:id="174"/>
      <w:bookmarkStart w:id="175" w:name="_Toc184312068"/>
      <w:bookmarkEnd w:id="175"/>
      <w:bookmarkStart w:id="176" w:name="_Toc184313275"/>
      <w:bookmarkEnd w:id="176"/>
      <w:bookmarkStart w:id="177" w:name="_Toc184314434"/>
      <w:bookmarkEnd w:id="177"/>
      <w:bookmarkStart w:id="178" w:name="_Toc184312131"/>
      <w:bookmarkEnd w:id="178"/>
      <w:bookmarkStart w:id="179" w:name="_Toc184308081"/>
      <w:bookmarkEnd w:id="179"/>
      <w:bookmarkStart w:id="180" w:name="_Toc184313264"/>
      <w:bookmarkEnd w:id="180"/>
      <w:bookmarkStart w:id="181" w:name="_Toc184314466"/>
      <w:bookmarkEnd w:id="181"/>
      <w:bookmarkStart w:id="182" w:name="_Toc184312117"/>
      <w:bookmarkEnd w:id="182"/>
      <w:bookmarkStart w:id="183" w:name="_Toc184314427"/>
      <w:bookmarkEnd w:id="183"/>
      <w:bookmarkStart w:id="184" w:name="_Toc184313251"/>
      <w:bookmarkEnd w:id="184"/>
      <w:bookmarkStart w:id="185" w:name="_Toc184308042"/>
      <w:bookmarkEnd w:id="185"/>
      <w:bookmarkStart w:id="186" w:name="_Toc184313278"/>
      <w:bookmarkEnd w:id="186"/>
      <w:bookmarkStart w:id="187" w:name="_Toc184308075"/>
      <w:bookmarkEnd w:id="187"/>
      <w:bookmarkStart w:id="188" w:name="_Toc184314460"/>
      <w:bookmarkEnd w:id="188"/>
      <w:bookmarkStart w:id="189" w:name="_Toc184312113"/>
      <w:bookmarkEnd w:id="189"/>
      <w:bookmarkStart w:id="190" w:name="_Toc184312134"/>
      <w:bookmarkEnd w:id="190"/>
      <w:bookmarkStart w:id="191" w:name="_Toc184313256"/>
      <w:bookmarkEnd w:id="191"/>
      <w:bookmarkStart w:id="192" w:name="_Toc184312087"/>
      <w:bookmarkEnd w:id="192"/>
      <w:bookmarkStart w:id="193" w:name="_Toc184310281"/>
      <w:bookmarkEnd w:id="193"/>
      <w:bookmarkStart w:id="194" w:name="_Toc184313292"/>
      <w:bookmarkEnd w:id="194"/>
      <w:bookmarkStart w:id="195" w:name="_Toc184308052"/>
      <w:bookmarkEnd w:id="195"/>
      <w:bookmarkStart w:id="196" w:name="_Toc184314452"/>
      <w:bookmarkEnd w:id="196"/>
      <w:bookmarkStart w:id="197" w:name="_Toc184313283"/>
      <w:bookmarkEnd w:id="197"/>
      <w:bookmarkStart w:id="198" w:name="_Toc184313294"/>
      <w:bookmarkEnd w:id="198"/>
      <w:bookmarkStart w:id="199" w:name="_Toc184308067"/>
      <w:bookmarkEnd w:id="199"/>
      <w:bookmarkStart w:id="200" w:name="_Toc184312081"/>
      <w:bookmarkEnd w:id="200"/>
      <w:bookmarkStart w:id="201" w:name="_Toc184314439"/>
      <w:bookmarkEnd w:id="201"/>
      <w:bookmarkStart w:id="202" w:name="_Toc184310333"/>
      <w:bookmarkEnd w:id="202"/>
      <w:bookmarkStart w:id="203" w:name="_Toc184314481"/>
      <w:bookmarkEnd w:id="203"/>
      <w:bookmarkStart w:id="204" w:name="_Toc184310339"/>
      <w:bookmarkEnd w:id="204"/>
      <w:bookmarkStart w:id="205" w:name="_Toc184308086"/>
      <w:bookmarkEnd w:id="205"/>
      <w:bookmarkStart w:id="206" w:name="_Toc184313280"/>
      <w:bookmarkEnd w:id="206"/>
      <w:bookmarkStart w:id="207" w:name="_Toc184308036"/>
      <w:bookmarkEnd w:id="207"/>
      <w:bookmarkStart w:id="208" w:name="_Toc184310295"/>
      <w:bookmarkEnd w:id="208"/>
      <w:bookmarkStart w:id="209" w:name="_Toc184312135"/>
      <w:bookmarkEnd w:id="209"/>
      <w:bookmarkStart w:id="210" w:name="_Toc184312094"/>
      <w:bookmarkEnd w:id="210"/>
      <w:bookmarkStart w:id="211" w:name="_Toc184312138"/>
      <w:bookmarkEnd w:id="211"/>
      <w:bookmarkStart w:id="212" w:name="_Toc184313239"/>
      <w:bookmarkEnd w:id="212"/>
      <w:bookmarkStart w:id="213" w:name="_Toc184308101"/>
      <w:bookmarkEnd w:id="213"/>
      <w:bookmarkStart w:id="214" w:name="_Toc184313238"/>
      <w:bookmarkEnd w:id="214"/>
      <w:bookmarkStart w:id="215" w:name="_Toc184314422"/>
      <w:bookmarkEnd w:id="215"/>
      <w:bookmarkStart w:id="216" w:name="_Toc184313279"/>
      <w:bookmarkEnd w:id="216"/>
      <w:bookmarkStart w:id="217" w:name="_Toc184312118"/>
      <w:bookmarkEnd w:id="217"/>
      <w:bookmarkStart w:id="218" w:name="_Toc184310335"/>
      <w:bookmarkEnd w:id="218"/>
      <w:bookmarkStart w:id="219" w:name="_Toc184313267"/>
      <w:bookmarkEnd w:id="219"/>
      <w:bookmarkStart w:id="220" w:name="_Toc184310280"/>
      <w:bookmarkEnd w:id="220"/>
      <w:bookmarkStart w:id="221" w:name="_Toc184314476"/>
      <w:bookmarkEnd w:id="221"/>
      <w:bookmarkStart w:id="222" w:name="_Toc184313272"/>
      <w:bookmarkEnd w:id="222"/>
      <w:bookmarkStart w:id="223" w:name="_Toc184310331"/>
      <w:bookmarkEnd w:id="223"/>
      <w:bookmarkStart w:id="224" w:name="_Toc184312136"/>
      <w:bookmarkEnd w:id="224"/>
      <w:bookmarkStart w:id="225" w:name="_Toc184313281"/>
      <w:bookmarkEnd w:id="225"/>
      <w:bookmarkStart w:id="226" w:name="_Toc184310330"/>
      <w:bookmarkEnd w:id="226"/>
      <w:bookmarkStart w:id="227" w:name="_Toc184314440"/>
      <w:bookmarkEnd w:id="227"/>
      <w:bookmarkStart w:id="228" w:name="_Toc184308083"/>
      <w:bookmarkEnd w:id="228"/>
      <w:bookmarkStart w:id="229" w:name="_Toc184310328"/>
      <w:bookmarkEnd w:id="229"/>
      <w:bookmarkStart w:id="230" w:name="_Toc184312074"/>
      <w:bookmarkEnd w:id="230"/>
      <w:bookmarkStart w:id="231" w:name="_Toc184312126"/>
      <w:bookmarkEnd w:id="231"/>
      <w:bookmarkStart w:id="232" w:name="_Toc184310316"/>
      <w:bookmarkEnd w:id="232"/>
      <w:bookmarkStart w:id="233" w:name="_Toc184313248"/>
      <w:bookmarkEnd w:id="233"/>
      <w:bookmarkStart w:id="234" w:name="_Toc184308096"/>
      <w:bookmarkEnd w:id="234"/>
      <w:bookmarkStart w:id="235" w:name="_Toc184313254"/>
      <w:bookmarkEnd w:id="235"/>
      <w:bookmarkStart w:id="236" w:name="_Toc184312071"/>
      <w:bookmarkEnd w:id="236"/>
      <w:bookmarkStart w:id="237" w:name="_Toc184314411"/>
      <w:bookmarkEnd w:id="237"/>
      <w:bookmarkStart w:id="238" w:name="_Toc184312124"/>
      <w:bookmarkEnd w:id="238"/>
      <w:bookmarkStart w:id="239" w:name="_Toc184313249"/>
      <w:bookmarkEnd w:id="239"/>
      <w:bookmarkStart w:id="240" w:name="_Toc184313297"/>
      <w:bookmarkEnd w:id="240"/>
      <w:bookmarkStart w:id="241" w:name="_Toc184308074"/>
      <w:bookmarkEnd w:id="241"/>
      <w:bookmarkStart w:id="242" w:name="_Toc184312095"/>
      <w:bookmarkEnd w:id="242"/>
      <w:bookmarkStart w:id="243" w:name="_Toc184313291"/>
      <w:bookmarkEnd w:id="243"/>
      <w:bookmarkStart w:id="244" w:name="_Toc184313240"/>
      <w:bookmarkEnd w:id="244"/>
      <w:bookmarkStart w:id="245" w:name="_Toc184308049"/>
      <w:bookmarkEnd w:id="245"/>
      <w:bookmarkStart w:id="246" w:name="_Toc184310277"/>
      <w:bookmarkEnd w:id="246"/>
      <w:bookmarkStart w:id="247" w:name="_Toc184312092"/>
      <w:bookmarkEnd w:id="247"/>
      <w:bookmarkStart w:id="248" w:name="_Toc184313310"/>
      <w:bookmarkEnd w:id="248"/>
      <w:bookmarkStart w:id="249" w:name="_Toc184310276"/>
      <w:bookmarkEnd w:id="249"/>
      <w:bookmarkStart w:id="250" w:name="_Toc184310312"/>
      <w:bookmarkEnd w:id="250"/>
      <w:bookmarkStart w:id="251" w:name="_Toc184314437"/>
      <w:bookmarkEnd w:id="251"/>
      <w:bookmarkStart w:id="252" w:name="_Toc184313258"/>
      <w:bookmarkEnd w:id="252"/>
      <w:bookmarkStart w:id="253" w:name="_Toc184312096"/>
      <w:bookmarkEnd w:id="253"/>
      <w:bookmarkStart w:id="254" w:name="_Toc184308095"/>
      <w:bookmarkEnd w:id="254"/>
      <w:bookmarkStart w:id="255" w:name="_Toc184313282"/>
      <w:bookmarkEnd w:id="255"/>
      <w:bookmarkStart w:id="256" w:name="_Toc184314418"/>
      <w:bookmarkEnd w:id="256"/>
      <w:bookmarkStart w:id="257" w:name="_Toc184308082"/>
      <w:bookmarkEnd w:id="257"/>
      <w:bookmarkStart w:id="258" w:name="_Toc184313309"/>
      <w:bookmarkEnd w:id="258"/>
      <w:bookmarkStart w:id="259" w:name="_Toc184308048"/>
      <w:bookmarkEnd w:id="259"/>
      <w:bookmarkStart w:id="260" w:name="_Toc184308099"/>
      <w:bookmarkEnd w:id="260"/>
      <w:bookmarkStart w:id="261" w:name="_Toc184312110"/>
      <w:bookmarkEnd w:id="261"/>
      <w:bookmarkStart w:id="262" w:name="_Toc184308080"/>
      <w:bookmarkEnd w:id="262"/>
      <w:bookmarkStart w:id="263" w:name="_Toc184312077"/>
      <w:bookmarkEnd w:id="263"/>
      <w:bookmarkStart w:id="264" w:name="_Toc184308105"/>
      <w:bookmarkEnd w:id="264"/>
      <w:bookmarkStart w:id="265" w:name="_Toc184312093"/>
      <w:bookmarkEnd w:id="265"/>
      <w:bookmarkStart w:id="266" w:name="_Toc184314425"/>
      <w:bookmarkEnd w:id="266"/>
      <w:bookmarkStart w:id="267" w:name="_Toc184314435"/>
      <w:bookmarkEnd w:id="267"/>
      <w:bookmarkStart w:id="268" w:name="_Toc184313243"/>
      <w:bookmarkEnd w:id="268"/>
      <w:bookmarkStart w:id="269" w:name="_Toc184313269"/>
      <w:bookmarkEnd w:id="269"/>
      <w:bookmarkStart w:id="270" w:name="_Toc184308054"/>
      <w:bookmarkEnd w:id="270"/>
      <w:bookmarkStart w:id="271" w:name="_Toc184310292"/>
      <w:bookmarkEnd w:id="271"/>
      <w:bookmarkStart w:id="272" w:name="_Toc184314468"/>
      <w:bookmarkEnd w:id="272"/>
      <w:bookmarkStart w:id="273" w:name="_Toc184314474"/>
      <w:bookmarkEnd w:id="273"/>
      <w:bookmarkStart w:id="274" w:name="_Toc184312090"/>
      <w:bookmarkEnd w:id="274"/>
      <w:bookmarkStart w:id="275" w:name="_Toc184308069"/>
      <w:bookmarkEnd w:id="275"/>
      <w:bookmarkStart w:id="276" w:name="_Toc184314453"/>
      <w:bookmarkEnd w:id="276"/>
      <w:bookmarkStart w:id="277" w:name="_Toc184310291"/>
      <w:bookmarkEnd w:id="277"/>
      <w:bookmarkStart w:id="278" w:name="_Toc184312097"/>
      <w:bookmarkEnd w:id="278"/>
      <w:bookmarkStart w:id="279" w:name="_Toc184314458"/>
      <w:bookmarkEnd w:id="279"/>
      <w:bookmarkStart w:id="280" w:name="_Toc184310326"/>
      <w:bookmarkEnd w:id="280"/>
      <w:bookmarkStart w:id="281" w:name="_Toc184308078"/>
      <w:bookmarkEnd w:id="281"/>
      <w:bookmarkStart w:id="282" w:name="_Toc184308043"/>
      <w:bookmarkEnd w:id="282"/>
      <w:bookmarkStart w:id="283" w:name="_Toc184310289"/>
      <w:bookmarkEnd w:id="283"/>
      <w:bookmarkStart w:id="284" w:name="_Toc184308076"/>
      <w:bookmarkEnd w:id="284"/>
      <w:bookmarkStart w:id="285" w:name="_Toc184310317"/>
      <w:bookmarkEnd w:id="285"/>
      <w:bookmarkStart w:id="286" w:name="_Toc184308061"/>
      <w:bookmarkEnd w:id="286"/>
      <w:bookmarkStart w:id="287" w:name="_Toc184314473"/>
      <w:bookmarkEnd w:id="287"/>
      <w:bookmarkStart w:id="288" w:name="_Toc184314443"/>
      <w:bookmarkEnd w:id="288"/>
      <w:bookmarkStart w:id="289" w:name="_Toc184310321"/>
      <w:bookmarkEnd w:id="289"/>
      <w:bookmarkStart w:id="290" w:name="_Toc184314420"/>
      <w:bookmarkEnd w:id="290"/>
      <w:bookmarkStart w:id="291" w:name="_Toc184313259"/>
      <w:bookmarkEnd w:id="291"/>
      <w:bookmarkStart w:id="292" w:name="_Toc184310332"/>
      <w:bookmarkEnd w:id="292"/>
      <w:bookmarkStart w:id="293" w:name="_Toc184314477"/>
      <w:bookmarkEnd w:id="293"/>
      <w:bookmarkStart w:id="294" w:name="_Toc184308057"/>
      <w:bookmarkEnd w:id="294"/>
      <w:bookmarkStart w:id="295" w:name="_Toc184312121"/>
      <w:bookmarkEnd w:id="295"/>
      <w:bookmarkStart w:id="296" w:name="_Toc184310285"/>
      <w:bookmarkEnd w:id="296"/>
      <w:bookmarkStart w:id="297" w:name="_Toc184314469"/>
      <w:bookmarkEnd w:id="297"/>
      <w:bookmarkStart w:id="298" w:name="_Toc184312103"/>
      <w:bookmarkEnd w:id="298"/>
      <w:bookmarkStart w:id="299" w:name="_Toc184314478"/>
      <w:bookmarkEnd w:id="299"/>
      <w:bookmarkStart w:id="300" w:name="_Toc184310288"/>
      <w:bookmarkEnd w:id="300"/>
      <w:bookmarkStart w:id="301" w:name="_Toc184313302"/>
      <w:bookmarkEnd w:id="301"/>
      <w:bookmarkStart w:id="302" w:name="_Toc184310304"/>
      <w:bookmarkEnd w:id="302"/>
      <w:bookmarkStart w:id="303" w:name="_Toc184308058"/>
      <w:bookmarkEnd w:id="303"/>
      <w:bookmarkStart w:id="304" w:name="_Toc184310337"/>
      <w:bookmarkEnd w:id="304"/>
      <w:bookmarkStart w:id="305" w:name="_Toc184308100"/>
      <w:bookmarkEnd w:id="305"/>
      <w:bookmarkStart w:id="306" w:name="_Toc184314455"/>
      <w:bookmarkEnd w:id="306"/>
      <w:bookmarkStart w:id="307" w:name="_Toc184313245"/>
      <w:bookmarkEnd w:id="307"/>
      <w:bookmarkStart w:id="308" w:name="_Toc184313266"/>
      <w:bookmarkEnd w:id="308"/>
      <w:bookmarkStart w:id="309" w:name="_Toc184314410"/>
      <w:bookmarkEnd w:id="309"/>
      <w:bookmarkStart w:id="310" w:name="_Toc184314448"/>
      <w:bookmarkEnd w:id="310"/>
      <w:bookmarkStart w:id="311" w:name="_Toc184312125"/>
      <w:bookmarkEnd w:id="311"/>
      <w:bookmarkStart w:id="312" w:name="_Toc184312080"/>
      <w:bookmarkEnd w:id="312"/>
      <w:bookmarkStart w:id="313" w:name="_Toc184308064"/>
      <w:bookmarkEnd w:id="313"/>
      <w:bookmarkStart w:id="314" w:name="_Toc184312106"/>
      <w:bookmarkEnd w:id="314"/>
      <w:bookmarkStart w:id="315" w:name="_Toc184314436"/>
      <w:bookmarkEnd w:id="315"/>
      <w:bookmarkStart w:id="316" w:name="_Toc184308073"/>
      <w:bookmarkEnd w:id="316"/>
      <w:bookmarkStart w:id="317" w:name="_Toc184313242"/>
      <w:bookmarkEnd w:id="317"/>
      <w:bookmarkStart w:id="318" w:name="_Toc184313273"/>
      <w:bookmarkEnd w:id="318"/>
      <w:bookmarkStart w:id="319" w:name="_Toc184310302"/>
      <w:bookmarkEnd w:id="319"/>
      <w:bookmarkStart w:id="320" w:name="_Toc184312102"/>
      <w:bookmarkEnd w:id="320"/>
      <w:bookmarkStart w:id="321" w:name="_Toc184308040"/>
      <w:bookmarkEnd w:id="321"/>
      <w:bookmarkStart w:id="322" w:name="_Toc184312119"/>
      <w:bookmarkEnd w:id="322"/>
      <w:bookmarkStart w:id="323" w:name="_Toc184314438"/>
      <w:bookmarkEnd w:id="323"/>
      <w:bookmarkStart w:id="324" w:name="_Toc184314441"/>
      <w:bookmarkEnd w:id="324"/>
      <w:bookmarkStart w:id="325" w:name="_Toc184310297"/>
      <w:bookmarkEnd w:id="325"/>
      <w:bookmarkStart w:id="326" w:name="_Toc184314442"/>
      <w:bookmarkEnd w:id="326"/>
      <w:bookmarkStart w:id="327" w:name="_Toc184312099"/>
      <w:bookmarkEnd w:id="327"/>
      <w:bookmarkStart w:id="328" w:name="_Toc184314428"/>
      <w:bookmarkEnd w:id="328"/>
      <w:bookmarkStart w:id="329" w:name="_Toc184312133"/>
      <w:bookmarkEnd w:id="329"/>
      <w:bookmarkStart w:id="330" w:name="_Toc184308094"/>
      <w:bookmarkEnd w:id="330"/>
      <w:bookmarkStart w:id="331" w:name="_Toc184313286"/>
      <w:bookmarkEnd w:id="331"/>
      <w:bookmarkStart w:id="332" w:name="_Toc184308045"/>
      <w:bookmarkEnd w:id="332"/>
      <w:bookmarkStart w:id="333" w:name="_Toc184310293"/>
      <w:bookmarkEnd w:id="333"/>
      <w:bookmarkStart w:id="334" w:name="_Toc184310329"/>
      <w:bookmarkEnd w:id="334"/>
      <w:bookmarkStart w:id="335" w:name="_Toc184313247"/>
      <w:bookmarkEnd w:id="335"/>
      <w:bookmarkStart w:id="336" w:name="_Toc184308041"/>
      <w:bookmarkEnd w:id="336"/>
      <w:bookmarkStart w:id="337" w:name="_Toc184308084"/>
      <w:bookmarkEnd w:id="337"/>
      <w:bookmarkStart w:id="338" w:name="_Toc184313250"/>
      <w:bookmarkEnd w:id="338"/>
      <w:bookmarkStart w:id="339" w:name="_Toc184308046"/>
      <w:bookmarkEnd w:id="339"/>
      <w:bookmarkStart w:id="340" w:name="_Toc184313270"/>
      <w:bookmarkEnd w:id="340"/>
      <w:bookmarkStart w:id="341" w:name="_Toc184310306"/>
      <w:bookmarkEnd w:id="341"/>
      <w:bookmarkStart w:id="342" w:name="_Toc184313303"/>
      <w:bookmarkEnd w:id="342"/>
      <w:bookmarkStart w:id="343" w:name="_Toc184313252"/>
      <w:bookmarkEnd w:id="343"/>
      <w:bookmarkStart w:id="344" w:name="_Toc184314454"/>
      <w:bookmarkEnd w:id="344"/>
      <w:bookmarkStart w:id="345" w:name="_Toc184308059"/>
      <w:bookmarkEnd w:id="345"/>
      <w:bookmarkStart w:id="346" w:name="_Toc184308090"/>
      <w:bookmarkEnd w:id="346"/>
      <w:bookmarkStart w:id="347" w:name="_Toc184310273"/>
      <w:bookmarkEnd w:id="347"/>
      <w:bookmarkStart w:id="348" w:name="_Toc184312069"/>
      <w:bookmarkEnd w:id="348"/>
      <w:bookmarkStart w:id="349" w:name="_Toc184314414"/>
      <w:bookmarkEnd w:id="349"/>
      <w:bookmarkStart w:id="350" w:name="_Toc184314451"/>
      <w:bookmarkEnd w:id="350"/>
      <w:bookmarkStart w:id="351" w:name="_Toc184314432"/>
      <w:bookmarkEnd w:id="351"/>
      <w:bookmarkStart w:id="352" w:name="_Toc184308102"/>
      <w:bookmarkEnd w:id="352"/>
      <w:bookmarkStart w:id="353" w:name="_Toc184308037"/>
      <w:bookmarkEnd w:id="353"/>
      <w:bookmarkStart w:id="354" w:name="_Toc184310334"/>
      <w:bookmarkEnd w:id="354"/>
      <w:bookmarkStart w:id="355" w:name="_Toc184313265"/>
      <w:bookmarkEnd w:id="355"/>
      <w:bookmarkStart w:id="356" w:name="_Toc184313289"/>
      <w:bookmarkEnd w:id="356"/>
      <w:bookmarkStart w:id="357" w:name="_Toc184313262"/>
      <w:bookmarkEnd w:id="357"/>
      <w:bookmarkStart w:id="358" w:name="_Toc184314417"/>
      <w:bookmarkEnd w:id="358"/>
      <w:bookmarkStart w:id="359" w:name="_Toc184314446"/>
      <w:bookmarkEnd w:id="359"/>
      <w:bookmarkStart w:id="360" w:name="_Toc184310324"/>
      <w:bookmarkEnd w:id="360"/>
      <w:bookmarkStart w:id="361" w:name="_Toc184312111"/>
      <w:bookmarkEnd w:id="361"/>
      <w:bookmarkStart w:id="362" w:name="_Toc184314470"/>
      <w:bookmarkEnd w:id="362"/>
      <w:bookmarkStart w:id="363" w:name="_Toc184310342"/>
      <w:bookmarkEnd w:id="363"/>
      <w:bookmarkStart w:id="364" w:name="_Toc184313244"/>
      <w:bookmarkEnd w:id="364"/>
      <w:bookmarkStart w:id="365" w:name="_Toc184310313"/>
      <w:bookmarkEnd w:id="365"/>
      <w:bookmarkStart w:id="366" w:name="_Toc184310307"/>
      <w:bookmarkEnd w:id="366"/>
      <w:bookmarkStart w:id="367" w:name="_Toc184308089"/>
      <w:bookmarkEnd w:id="367"/>
      <w:bookmarkStart w:id="368" w:name="_Toc184308085"/>
      <w:bookmarkEnd w:id="368"/>
      <w:bookmarkStart w:id="369" w:name="_Toc184310320"/>
      <w:bookmarkEnd w:id="369"/>
      <w:bookmarkStart w:id="370" w:name="_Toc184312076"/>
      <w:bookmarkEnd w:id="370"/>
      <w:bookmarkStart w:id="371" w:name="_Toc184308053"/>
      <w:bookmarkEnd w:id="371"/>
      <w:bookmarkStart w:id="372" w:name="_Toc184314424"/>
      <w:bookmarkEnd w:id="372"/>
      <w:bookmarkStart w:id="373" w:name="_Toc184310299"/>
      <w:bookmarkEnd w:id="373"/>
      <w:bookmarkStart w:id="374" w:name="_Toc184314475"/>
      <w:bookmarkEnd w:id="374"/>
      <w:bookmarkStart w:id="375" w:name="_Toc184314447"/>
      <w:bookmarkEnd w:id="375"/>
      <w:bookmarkStart w:id="376" w:name="_Toc184310282"/>
      <w:bookmarkEnd w:id="376"/>
      <w:bookmarkStart w:id="377" w:name="_Toc184313288"/>
      <w:bookmarkEnd w:id="377"/>
      <w:bookmarkStart w:id="378" w:name="_Toc184314482"/>
      <w:bookmarkEnd w:id="378"/>
      <w:bookmarkStart w:id="379" w:name="_Toc184314426"/>
      <w:bookmarkEnd w:id="379"/>
      <w:bookmarkStart w:id="380" w:name="_Toc184312079"/>
      <w:bookmarkEnd w:id="380"/>
      <w:bookmarkStart w:id="381" w:name="_Toc184308098"/>
      <w:bookmarkEnd w:id="381"/>
      <w:bookmarkStart w:id="382" w:name="_Toc184314449"/>
      <w:bookmarkEnd w:id="382"/>
      <w:bookmarkStart w:id="383" w:name="_Toc184310284"/>
      <w:bookmarkEnd w:id="383"/>
      <w:bookmarkStart w:id="384" w:name="_Toc184310315"/>
      <w:bookmarkEnd w:id="384"/>
      <w:bookmarkStart w:id="385" w:name="_Toc184310300"/>
      <w:bookmarkEnd w:id="385"/>
      <w:bookmarkStart w:id="386" w:name="_Toc184308079"/>
      <w:bookmarkEnd w:id="386"/>
      <w:bookmarkStart w:id="387" w:name="_Toc184313284"/>
      <w:bookmarkEnd w:id="387"/>
      <w:bookmarkStart w:id="388" w:name="_Toc184308044"/>
      <w:bookmarkEnd w:id="388"/>
      <w:bookmarkStart w:id="389" w:name="_Toc184312070"/>
      <w:bookmarkEnd w:id="389"/>
      <w:bookmarkStart w:id="390" w:name="_Toc184308108"/>
      <w:bookmarkEnd w:id="390"/>
      <w:bookmarkStart w:id="391" w:name="_Toc184314431"/>
      <w:bookmarkEnd w:id="391"/>
      <w:bookmarkStart w:id="392" w:name="_Toc184312137"/>
      <w:bookmarkEnd w:id="392"/>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1031" w:tblpY="126"/>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683"/>
        <w:gridCol w:w="443"/>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5683" w:type="dxa"/>
            <w:vAlign w:val="center"/>
          </w:tcPr>
          <w:p>
            <w:pPr>
              <w:spacing w:line="360" w:lineRule="auto"/>
              <w:ind w:firstLine="1560" w:firstLineChars="650"/>
              <w:outlineLvl w:val="0"/>
              <w:rPr>
                <w:rFonts w:ascii="仿宋" w:hAnsi="仿宋" w:eastAsia="仿宋" w:cs="仿宋"/>
                <w:bCs/>
                <w:sz w:val="24"/>
              </w:rPr>
            </w:pPr>
            <w:r>
              <w:rPr>
                <w:rFonts w:hint="eastAsia" w:ascii="仿宋" w:hAnsi="仿宋" w:eastAsia="仿宋" w:cs="仿宋"/>
                <w:bCs/>
                <w:sz w:val="24"/>
              </w:rPr>
              <w:t>评标标准</w:t>
            </w:r>
          </w:p>
        </w:tc>
        <w:tc>
          <w:tcPr>
            <w:tcW w:w="443" w:type="dxa"/>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权重</w:t>
            </w:r>
          </w:p>
        </w:tc>
        <w:tc>
          <w:tcPr>
            <w:tcW w:w="1954" w:type="dxa"/>
          </w:tcPr>
          <w:p>
            <w:pPr>
              <w:spacing w:line="360" w:lineRule="auto"/>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outlineLvl w:val="0"/>
              <w:rPr>
                <w:rFonts w:ascii="仿宋" w:hAnsi="仿宋" w:eastAsia="仿宋" w:cs="仿宋"/>
                <w:sz w:val="24"/>
              </w:rPr>
            </w:pPr>
            <w:r>
              <w:rPr>
                <w:rFonts w:hint="eastAsia" w:ascii="仿宋" w:hAnsi="仿宋" w:eastAsia="仿宋" w:cs="仿宋"/>
                <w:sz w:val="24"/>
              </w:rPr>
              <w:t>1</w:t>
            </w:r>
          </w:p>
        </w:tc>
        <w:tc>
          <w:tcPr>
            <w:tcW w:w="5683" w:type="dxa"/>
            <w:vAlign w:val="center"/>
          </w:tcPr>
          <w:p>
            <w:pPr>
              <w:spacing w:line="288" w:lineRule="auto"/>
              <w:rPr>
                <w:rFonts w:ascii="仿宋" w:hAnsi="仿宋" w:eastAsia="仿宋" w:cs="仿宋"/>
                <w:bCs/>
                <w:sz w:val="24"/>
              </w:rPr>
            </w:pPr>
            <w:r>
              <w:rPr>
                <w:rFonts w:hint="eastAsia" w:ascii="仿宋" w:hAnsi="仿宋" w:eastAsia="仿宋" w:cs="仿宋"/>
                <w:bCs/>
                <w:sz w:val="24"/>
              </w:rPr>
              <w:t>投标文件完全响应采购需求及参数指标的得5分，对需求及指标属负偏离或缺漏项的每项扣1分，扣完为止。</w:t>
            </w:r>
          </w:p>
        </w:tc>
        <w:tc>
          <w:tcPr>
            <w:tcW w:w="443" w:type="dxa"/>
            <w:vAlign w:val="center"/>
          </w:tcPr>
          <w:p>
            <w:pPr>
              <w:jc w:val="center"/>
              <w:rPr>
                <w:rFonts w:ascii="仿宋" w:hAnsi="仿宋" w:eastAsia="仿宋" w:cs="仿宋"/>
                <w:sz w:val="24"/>
              </w:rPr>
            </w:pPr>
            <w:r>
              <w:rPr>
                <w:rFonts w:hint="eastAsia" w:ascii="仿宋" w:hAnsi="仿宋" w:eastAsia="仿宋" w:cs="仿宋"/>
                <w:sz w:val="24"/>
              </w:rPr>
              <w:t>5</w:t>
            </w:r>
          </w:p>
        </w:tc>
        <w:tc>
          <w:tcPr>
            <w:tcW w:w="1954" w:type="dxa"/>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outlineLvl w:val="0"/>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5683" w:type="dxa"/>
            <w:vAlign w:val="center"/>
          </w:tcPr>
          <w:p>
            <w:pPr>
              <w:spacing w:line="288" w:lineRule="auto"/>
              <w:rPr>
                <w:rFonts w:ascii="仿宋" w:hAnsi="仿宋" w:eastAsia="仿宋" w:cs="仿宋"/>
                <w:sz w:val="24"/>
              </w:rPr>
            </w:pPr>
            <w:r>
              <w:rPr>
                <w:rFonts w:hint="eastAsia" w:ascii="仿宋" w:hAnsi="仿宋" w:eastAsia="仿宋" w:cs="仿宋"/>
                <w:bCs/>
                <w:sz w:val="24"/>
              </w:rPr>
              <w:t>根据投标人对项目的总体服务方案完整性、合理性，工作思路的清晰程度，服务内容全面性完备性，工作方法的可行性、科学性等情况进行打分，最高5分。</w:t>
            </w:r>
          </w:p>
        </w:tc>
        <w:tc>
          <w:tcPr>
            <w:tcW w:w="443" w:type="dxa"/>
            <w:vAlign w:val="center"/>
          </w:tcPr>
          <w:p>
            <w:pPr>
              <w:jc w:val="center"/>
              <w:rPr>
                <w:rFonts w:ascii="仿宋" w:hAnsi="仿宋" w:eastAsia="仿宋" w:cs="仿宋"/>
                <w:sz w:val="24"/>
              </w:rPr>
            </w:pPr>
            <w:r>
              <w:rPr>
                <w:rFonts w:hint="eastAsia" w:ascii="仿宋" w:hAnsi="仿宋" w:eastAsia="仿宋" w:cs="仿宋"/>
                <w:sz w:val="24"/>
              </w:rPr>
              <w:t>5</w:t>
            </w:r>
          </w:p>
        </w:tc>
        <w:tc>
          <w:tcPr>
            <w:tcW w:w="1954" w:type="dxa"/>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35" w:type="dxa"/>
            <w:vAlign w:val="center"/>
          </w:tcPr>
          <w:p>
            <w:pPr>
              <w:spacing w:line="360" w:lineRule="auto"/>
              <w:ind w:firstLine="360" w:firstLineChars="150"/>
              <w:outlineLvl w:val="0"/>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5683" w:type="dxa"/>
            <w:vAlign w:val="center"/>
          </w:tcPr>
          <w:p>
            <w:pPr>
              <w:pStyle w:val="954"/>
              <w:autoSpaceDE w:val="0"/>
              <w:spacing w:line="320" w:lineRule="exact"/>
              <w:rPr>
                <w:rFonts w:ascii="仿宋" w:hAnsi="仿宋" w:eastAsia="仿宋" w:cs="仿宋"/>
                <w:kern w:val="2"/>
                <w:sz w:val="24"/>
                <w:szCs w:val="24"/>
                <w:lang w:eastAsia="zh-CN"/>
              </w:rPr>
            </w:pPr>
            <w:r>
              <w:rPr>
                <w:rFonts w:hint="eastAsia" w:ascii="仿宋" w:hAnsi="仿宋" w:eastAsia="仿宋" w:cs="仿宋"/>
                <w:bCs/>
                <w:sz w:val="24"/>
                <w:szCs w:val="24"/>
                <w:lang w:eastAsia="zh-CN"/>
              </w:rPr>
              <w:t>根据投标人针对审判辅助事务集约中心；执行指挥中心工作提供的具体实施方案的可行性、合理性打分，最高3分。</w:t>
            </w:r>
          </w:p>
        </w:tc>
        <w:tc>
          <w:tcPr>
            <w:tcW w:w="443" w:type="dxa"/>
            <w:vAlign w:val="center"/>
          </w:tcPr>
          <w:p>
            <w:pPr>
              <w:jc w:val="center"/>
              <w:rPr>
                <w:rFonts w:ascii="仿宋" w:hAnsi="仿宋" w:eastAsia="仿宋" w:cs="仿宋"/>
                <w:sz w:val="24"/>
              </w:rPr>
            </w:pPr>
            <w:r>
              <w:rPr>
                <w:rFonts w:hint="eastAsia" w:ascii="仿宋" w:hAnsi="仿宋" w:eastAsia="仿宋" w:cs="仿宋"/>
                <w:sz w:val="24"/>
              </w:rPr>
              <w:t>3</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5" w:type="dxa"/>
            <w:vAlign w:val="center"/>
          </w:tcPr>
          <w:p>
            <w:pPr>
              <w:spacing w:line="360" w:lineRule="auto"/>
              <w:ind w:firstLine="360" w:firstLineChars="150"/>
              <w:outlineLvl w:val="0"/>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5683" w:type="dxa"/>
          </w:tcPr>
          <w:p>
            <w:pPr>
              <w:rPr>
                <w:rFonts w:ascii="仿宋" w:hAnsi="仿宋" w:eastAsia="仿宋" w:cs="仿宋"/>
                <w:bCs/>
                <w:kern w:val="0"/>
                <w:sz w:val="24"/>
              </w:rPr>
            </w:pPr>
            <w:r>
              <w:rPr>
                <w:rFonts w:hint="eastAsia" w:ascii="仿宋" w:hAnsi="仿宋" w:eastAsia="仿宋" w:cs="仿宋"/>
                <w:bCs/>
                <w:sz w:val="24"/>
              </w:rPr>
              <w:t>根据投标人针对执行办事大厅窗口立案接待提供的具体实施方案的可行性、合理性打分，最高3分。</w:t>
            </w:r>
          </w:p>
        </w:tc>
        <w:tc>
          <w:tcPr>
            <w:tcW w:w="443" w:type="dxa"/>
            <w:vAlign w:val="center"/>
          </w:tcPr>
          <w:p>
            <w:pPr>
              <w:jc w:val="center"/>
              <w:rPr>
                <w:rFonts w:ascii="仿宋" w:hAnsi="仿宋" w:eastAsia="仿宋" w:cs="仿宋"/>
                <w:sz w:val="24"/>
              </w:rPr>
            </w:pPr>
            <w:r>
              <w:rPr>
                <w:rFonts w:hint="eastAsia" w:ascii="仿宋" w:hAnsi="仿宋" w:eastAsia="仿宋" w:cs="仿宋"/>
                <w:sz w:val="24"/>
              </w:rPr>
              <w:t>3</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5" w:type="dxa"/>
            <w:vAlign w:val="center"/>
          </w:tcPr>
          <w:p>
            <w:pPr>
              <w:spacing w:line="360" w:lineRule="auto"/>
              <w:ind w:firstLine="360" w:firstLineChars="150"/>
              <w:outlineLvl w:val="0"/>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5683" w:type="dxa"/>
          </w:tcPr>
          <w:p>
            <w:pPr>
              <w:rPr>
                <w:rFonts w:ascii="仿宋" w:hAnsi="仿宋" w:eastAsia="仿宋" w:cs="仿宋"/>
                <w:bCs/>
                <w:sz w:val="24"/>
                <w:shd w:val="clear" w:color="auto" w:fill="FFFFFF"/>
              </w:rPr>
            </w:pPr>
            <w:r>
              <w:rPr>
                <w:rFonts w:hint="eastAsia" w:ascii="仿宋" w:hAnsi="仿宋" w:eastAsia="仿宋" w:cs="仿宋"/>
                <w:bCs/>
                <w:sz w:val="24"/>
              </w:rPr>
              <w:t>根据投标人针对财产保全提供的具体实施方案的可行性、合理性打分，最高3分。</w:t>
            </w:r>
          </w:p>
        </w:tc>
        <w:tc>
          <w:tcPr>
            <w:tcW w:w="443" w:type="dxa"/>
            <w:vAlign w:val="center"/>
          </w:tcPr>
          <w:p>
            <w:pPr>
              <w:jc w:val="center"/>
              <w:rPr>
                <w:rFonts w:ascii="仿宋" w:hAnsi="仿宋" w:eastAsia="仿宋" w:cs="仿宋"/>
                <w:sz w:val="24"/>
              </w:rPr>
            </w:pPr>
            <w:r>
              <w:rPr>
                <w:rFonts w:hint="eastAsia" w:ascii="仿宋" w:hAnsi="仿宋" w:eastAsia="仿宋" w:cs="仿宋"/>
                <w:sz w:val="24"/>
              </w:rPr>
              <w:t>3</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35" w:type="dxa"/>
            <w:vAlign w:val="center"/>
          </w:tcPr>
          <w:p>
            <w:pPr>
              <w:spacing w:line="360" w:lineRule="auto"/>
              <w:ind w:firstLine="360" w:firstLineChars="150"/>
              <w:outlineLvl w:val="0"/>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5683" w:type="dxa"/>
          </w:tcPr>
          <w:p>
            <w:pPr>
              <w:rPr>
                <w:rFonts w:ascii="仿宋" w:hAnsi="仿宋" w:eastAsia="仿宋" w:cs="仿宋"/>
                <w:bCs/>
                <w:sz w:val="24"/>
                <w:shd w:val="clear" w:color="auto" w:fill="FFFFFF"/>
              </w:rPr>
            </w:pPr>
            <w:r>
              <w:rPr>
                <w:rFonts w:hint="eastAsia" w:ascii="仿宋" w:hAnsi="仿宋" w:eastAsia="仿宋" w:cs="仿宋"/>
                <w:bCs/>
                <w:sz w:val="24"/>
              </w:rPr>
              <w:t>根据投标人针对执行110值班提供的具体实施方案的可行性、合理性打分，最高3分。</w:t>
            </w:r>
          </w:p>
        </w:tc>
        <w:tc>
          <w:tcPr>
            <w:tcW w:w="443" w:type="dxa"/>
            <w:vAlign w:val="center"/>
          </w:tcPr>
          <w:p>
            <w:pPr>
              <w:jc w:val="center"/>
              <w:rPr>
                <w:rFonts w:ascii="仿宋" w:hAnsi="仿宋" w:eastAsia="仿宋" w:cs="仿宋"/>
                <w:sz w:val="24"/>
              </w:rPr>
            </w:pPr>
            <w:r>
              <w:rPr>
                <w:rFonts w:hint="eastAsia" w:ascii="仿宋" w:hAnsi="仿宋" w:eastAsia="仿宋" w:cs="仿宋"/>
                <w:sz w:val="24"/>
              </w:rPr>
              <w:t>3</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35" w:type="dxa"/>
            <w:vAlign w:val="center"/>
          </w:tcPr>
          <w:p>
            <w:pPr>
              <w:spacing w:line="360" w:lineRule="auto"/>
              <w:ind w:firstLine="360" w:firstLineChars="150"/>
              <w:outlineLvl w:val="0"/>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5683" w:type="dxa"/>
          </w:tcPr>
          <w:p>
            <w:pPr>
              <w:rPr>
                <w:rFonts w:ascii="仿宋" w:hAnsi="仿宋" w:eastAsia="仿宋" w:cs="仿宋"/>
                <w:bCs/>
                <w:sz w:val="24"/>
                <w:shd w:val="clear" w:color="auto" w:fill="FFFFFF"/>
              </w:rPr>
            </w:pPr>
            <w:r>
              <w:rPr>
                <w:rFonts w:hint="eastAsia" w:ascii="仿宋" w:hAnsi="仿宋" w:eastAsia="仿宋" w:cs="仿宋"/>
                <w:bCs/>
                <w:sz w:val="24"/>
              </w:rPr>
              <w:t>根据投标人针对消防管理工作提供的具体实施方案的可行性、合理性打分，最高3分。</w:t>
            </w:r>
          </w:p>
        </w:tc>
        <w:tc>
          <w:tcPr>
            <w:tcW w:w="443" w:type="dxa"/>
            <w:vAlign w:val="center"/>
          </w:tcPr>
          <w:p>
            <w:pPr>
              <w:jc w:val="center"/>
              <w:rPr>
                <w:rFonts w:ascii="仿宋" w:hAnsi="仿宋" w:eastAsia="仿宋" w:cs="仿宋"/>
                <w:sz w:val="24"/>
              </w:rPr>
            </w:pPr>
            <w:r>
              <w:rPr>
                <w:rFonts w:hint="eastAsia" w:ascii="仿宋" w:hAnsi="仿宋" w:eastAsia="仿宋" w:cs="仿宋"/>
                <w:sz w:val="24"/>
              </w:rPr>
              <w:t>3</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5"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5683" w:type="dxa"/>
          </w:tcPr>
          <w:p>
            <w:pPr>
              <w:rPr>
                <w:rFonts w:hint="eastAsia" w:ascii="仿宋" w:hAnsi="仿宋" w:eastAsia="仿宋" w:cs="仿宋"/>
                <w:kern w:val="0"/>
                <w:sz w:val="24"/>
                <w:lang w:eastAsia="zh-CN"/>
              </w:rPr>
            </w:pPr>
            <w:r>
              <w:rPr>
                <w:rFonts w:hint="eastAsia" w:ascii="仿宋" w:hAnsi="仿宋" w:eastAsia="仿宋" w:cs="仿宋"/>
                <w:bCs/>
                <w:sz w:val="24"/>
                <w:shd w:val="clear" w:color="auto" w:fill="FFFFFF"/>
              </w:rPr>
              <w:t>根据服务人员岗前及在岗的培训方案是否全面具体、具有可操作性和针对性进行评分</w:t>
            </w:r>
            <w:r>
              <w:rPr>
                <w:rFonts w:hint="eastAsia" w:ascii="仿宋" w:hAnsi="仿宋" w:eastAsia="仿宋" w:cs="仿宋"/>
                <w:sz w:val="24"/>
              </w:rPr>
              <w:t>，最高得5分</w:t>
            </w:r>
            <w:r>
              <w:rPr>
                <w:rFonts w:hint="eastAsia" w:ascii="仿宋" w:hAnsi="仿宋" w:eastAsia="仿宋" w:cs="仿宋"/>
                <w:sz w:val="24"/>
                <w:lang w:eastAsia="zh-CN"/>
              </w:rPr>
              <w:t>。</w:t>
            </w:r>
          </w:p>
        </w:tc>
        <w:tc>
          <w:tcPr>
            <w:tcW w:w="443" w:type="dxa"/>
            <w:vAlign w:val="center"/>
          </w:tcPr>
          <w:p>
            <w:pPr>
              <w:jc w:val="center"/>
              <w:rPr>
                <w:rFonts w:ascii="仿宋" w:hAnsi="仿宋" w:eastAsia="仿宋" w:cs="仿宋"/>
                <w:sz w:val="24"/>
              </w:rPr>
            </w:pPr>
            <w:r>
              <w:rPr>
                <w:rFonts w:hint="eastAsia" w:ascii="仿宋" w:hAnsi="仿宋" w:eastAsia="仿宋" w:cs="仿宋"/>
                <w:sz w:val="24"/>
              </w:rPr>
              <w:t>5</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35"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5683" w:type="dxa"/>
          </w:tcPr>
          <w:p>
            <w:pPr>
              <w:rPr>
                <w:rFonts w:ascii="仿宋" w:hAnsi="仿宋" w:eastAsia="仿宋" w:cs="仿宋"/>
                <w:kern w:val="0"/>
                <w:sz w:val="24"/>
              </w:rPr>
            </w:pPr>
            <w:r>
              <w:rPr>
                <w:rFonts w:hint="eastAsia" w:ascii="仿宋" w:hAnsi="仿宋" w:eastAsia="仿宋" w:cs="仿宋"/>
                <w:sz w:val="24"/>
              </w:rPr>
              <w:t>根据投标供应商针对本项目制定的管理制度情况打分：人员岗位管理制度（1分）、考勤制度（1分）、定期考核管理制度（1分）的完善性、合理性、可行性等角度进行打分。</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3</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5683" w:type="dxa"/>
            <w:vAlign w:val="center"/>
          </w:tcPr>
          <w:p>
            <w:pPr>
              <w:spacing w:line="360" w:lineRule="exact"/>
              <w:rPr>
                <w:rFonts w:hint="eastAsia" w:ascii="仿宋" w:hAnsi="仿宋" w:eastAsia="仿宋" w:cs="仿宋"/>
                <w:sz w:val="24"/>
                <w:lang w:eastAsia="zh-CN"/>
              </w:rPr>
            </w:pPr>
            <w:r>
              <w:rPr>
                <w:rFonts w:hint="eastAsia" w:ascii="仿宋" w:hAnsi="仿宋" w:eastAsia="仿宋" w:cs="仿宋"/>
                <w:bCs/>
                <w:sz w:val="24"/>
                <w:shd w:val="clear" w:color="auto" w:fill="FFFFFF"/>
              </w:rPr>
              <w:t>根据投标人制定的详细可行的员工薪酬、福利待遇实施及保障计划是否合理进行评分，最高5分</w:t>
            </w:r>
            <w:r>
              <w:rPr>
                <w:rFonts w:hint="eastAsia" w:ascii="仿宋" w:hAnsi="仿宋" w:eastAsia="仿宋" w:cs="仿宋"/>
                <w:bCs/>
                <w:sz w:val="24"/>
                <w:shd w:val="clear" w:color="auto" w:fill="FFFFFF"/>
                <w:lang w:eastAsia="zh-CN"/>
              </w:rPr>
              <w:t>。</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5</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5683" w:type="dxa"/>
            <w:vAlign w:val="center"/>
          </w:tcPr>
          <w:p>
            <w:pPr>
              <w:autoSpaceDE w:val="0"/>
              <w:spacing w:line="320" w:lineRule="exact"/>
              <w:jc w:val="left"/>
              <w:rPr>
                <w:rFonts w:hint="eastAsia" w:ascii="仿宋" w:hAnsi="仿宋" w:eastAsia="仿宋" w:cs="仿宋"/>
                <w:sz w:val="24"/>
                <w:lang w:eastAsia="zh-CN"/>
              </w:rPr>
            </w:pPr>
            <w:r>
              <w:rPr>
                <w:rFonts w:hint="eastAsia" w:ascii="仿宋" w:hAnsi="仿宋" w:eastAsia="仿宋" w:cs="仿宋"/>
                <w:sz w:val="24"/>
              </w:rPr>
              <w:t>各投标供应商在突发事件等紧急情况下，针对本项目提出的应急方案的科学性、合理性、符合性、适用性进行情打分，最高分5分</w:t>
            </w:r>
            <w:r>
              <w:rPr>
                <w:rFonts w:hint="eastAsia" w:ascii="仿宋" w:hAnsi="仿宋" w:eastAsia="仿宋" w:cs="仿宋"/>
                <w:sz w:val="24"/>
                <w:lang w:eastAsia="zh-CN"/>
              </w:rPr>
              <w:t>。</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5</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5683" w:type="dxa"/>
            <w:vAlign w:val="center"/>
          </w:tcPr>
          <w:p>
            <w:pPr>
              <w:autoSpaceDE w:val="0"/>
              <w:spacing w:line="320" w:lineRule="exact"/>
              <w:jc w:val="left"/>
              <w:rPr>
                <w:rFonts w:ascii="仿宋" w:hAnsi="仿宋" w:eastAsia="仿宋" w:cs="仿宋"/>
                <w:sz w:val="24"/>
              </w:rPr>
            </w:pPr>
            <w:r>
              <w:rPr>
                <w:rFonts w:hint="eastAsia" w:ascii="仿宋" w:hAnsi="仿宋" w:eastAsia="仿宋" w:cs="仿宋"/>
                <w:sz w:val="24"/>
              </w:rPr>
              <w:t>根据项目档案管理措施及相关制度的完备性、保障性、可行性等角度进行打分，最高分5分。</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5</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5683" w:type="dxa"/>
            <w:vAlign w:val="center"/>
          </w:tcPr>
          <w:p>
            <w:pPr>
              <w:autoSpaceDE w:val="0"/>
              <w:spacing w:line="320" w:lineRule="exact"/>
              <w:jc w:val="left"/>
              <w:rPr>
                <w:rFonts w:ascii="仿宋" w:hAnsi="仿宋" w:eastAsia="仿宋" w:cs="仿宋"/>
                <w:spacing w:val="-3"/>
                <w:sz w:val="24"/>
              </w:rPr>
            </w:pPr>
            <w:r>
              <w:rPr>
                <w:rFonts w:hint="eastAsia" w:ascii="仿宋" w:hAnsi="仿宋" w:eastAsia="仿宋" w:cs="仿宋"/>
                <w:sz w:val="24"/>
              </w:rPr>
              <w:t xml:space="preserve">根据针对本项目制定的保密制度、承诺保密的内容的完善性、合理性、可行性等情况打分，最高得5分。   </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5</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5683" w:type="dxa"/>
            <w:vAlign w:val="center"/>
          </w:tcPr>
          <w:p>
            <w:pPr>
              <w:autoSpaceDE w:val="0"/>
              <w:spacing w:line="320" w:lineRule="exact"/>
              <w:jc w:val="left"/>
              <w:rPr>
                <w:rFonts w:ascii="仿宋" w:hAnsi="仿宋" w:eastAsia="仿宋" w:cs="仿宋"/>
                <w:sz w:val="24"/>
              </w:rPr>
            </w:pPr>
            <w:r>
              <w:rPr>
                <w:rFonts w:hint="eastAsia" w:ascii="仿宋" w:hAnsi="仿宋" w:eastAsia="仿宋" w:cs="仿宋"/>
                <w:sz w:val="24"/>
                <w:lang w:val="zh-CN"/>
              </w:rPr>
              <w:t>投标人拟派项目负责人具有人力资源管理师证书得</w:t>
            </w:r>
            <w:r>
              <w:rPr>
                <w:rFonts w:hint="eastAsia" w:ascii="仿宋" w:hAnsi="仿宋" w:eastAsia="仿宋" w:cs="仿宋"/>
                <w:sz w:val="24"/>
              </w:rPr>
              <w:t>1分，具有劳动关系协调师</w:t>
            </w:r>
            <w:r>
              <w:rPr>
                <w:rFonts w:hint="eastAsia" w:ascii="仿宋" w:hAnsi="仿宋" w:eastAsia="仿宋" w:cs="仿宋"/>
                <w:sz w:val="24"/>
                <w:lang w:val="zh-CN"/>
              </w:rPr>
              <w:t>证书得</w:t>
            </w:r>
            <w:r>
              <w:rPr>
                <w:rFonts w:hint="eastAsia" w:ascii="仿宋" w:hAnsi="仿宋" w:eastAsia="仿宋" w:cs="仿宋"/>
                <w:sz w:val="24"/>
              </w:rPr>
              <w:t xml:space="preserve">1分， </w:t>
            </w:r>
            <w:r>
              <w:rPr>
                <w:rFonts w:hint="eastAsia" w:ascii="仿宋" w:hAnsi="仿宋" w:eastAsia="仿宋" w:cs="仿宋"/>
                <w:sz w:val="24"/>
                <w:lang w:val="zh-CN"/>
              </w:rPr>
              <w:t>最高</w:t>
            </w:r>
            <w:r>
              <w:rPr>
                <w:rFonts w:hint="eastAsia" w:ascii="仿宋" w:hAnsi="仿宋" w:eastAsia="仿宋" w:cs="仿宋"/>
                <w:sz w:val="24"/>
              </w:rPr>
              <w:t>2分，（需提供证书复印件和</w:t>
            </w:r>
            <w:r>
              <w:rPr>
                <w:rFonts w:hint="eastAsia" w:ascii="仿宋" w:hAnsi="仿宋" w:eastAsia="仿宋" w:cs="仿宋"/>
                <w:sz w:val="24"/>
                <w:lang w:eastAsia="zh-CN"/>
              </w:rPr>
              <w:t>在投标单位</w:t>
            </w:r>
            <w:r>
              <w:rPr>
                <w:rFonts w:hint="eastAsia" w:ascii="仿宋" w:hAnsi="仿宋" w:eastAsia="仿宋" w:cs="仿宋"/>
                <w:sz w:val="24"/>
              </w:rPr>
              <w:t>近3个月社保证明）</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2</w:t>
            </w:r>
          </w:p>
        </w:tc>
        <w:tc>
          <w:tcPr>
            <w:tcW w:w="1954"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5683" w:type="dxa"/>
            <w:vAlign w:val="center"/>
          </w:tcPr>
          <w:p>
            <w:pPr>
              <w:spacing w:line="300" w:lineRule="exact"/>
              <w:rPr>
                <w:rFonts w:ascii="仿宋" w:hAnsi="仿宋" w:eastAsia="仿宋" w:cs="仿宋"/>
                <w:b/>
                <w:color w:val="000000"/>
                <w:sz w:val="24"/>
              </w:rPr>
            </w:pPr>
            <w:r>
              <w:rPr>
                <w:rFonts w:hint="eastAsia" w:ascii="仿宋" w:hAnsi="仿宋" w:eastAsia="仿宋" w:cs="仿宋"/>
                <w:b/>
                <w:color w:val="000000"/>
                <w:sz w:val="24"/>
              </w:rPr>
              <w:t>对拟派的专业技术人员中：</w:t>
            </w:r>
          </w:p>
          <w:p>
            <w:pPr>
              <w:spacing w:line="300" w:lineRule="exact"/>
              <w:rPr>
                <w:rFonts w:ascii="仿宋" w:hAnsi="仿宋" w:eastAsia="仿宋" w:cs="仿宋"/>
                <w:color w:val="000000"/>
                <w:sz w:val="24"/>
              </w:rPr>
            </w:pPr>
            <w:r>
              <w:rPr>
                <w:rFonts w:hint="eastAsia" w:ascii="仿宋" w:hAnsi="仿宋" w:eastAsia="仿宋" w:cs="仿宋"/>
                <w:b/>
                <w:color w:val="000000"/>
                <w:sz w:val="24"/>
              </w:rPr>
              <w:t xml:space="preserve">   </w:t>
            </w:r>
            <w:r>
              <w:rPr>
                <w:rFonts w:hint="eastAsia" w:ascii="仿宋" w:hAnsi="仿宋" w:eastAsia="仿宋" w:cs="仿宋"/>
                <w:color w:val="000000"/>
                <w:sz w:val="24"/>
              </w:rPr>
              <w:t>（1）具备本科及以上学历的，得0.5分/人，最高4分；</w:t>
            </w:r>
          </w:p>
          <w:p>
            <w:pPr>
              <w:spacing w:line="300" w:lineRule="exact"/>
              <w:rPr>
                <w:rFonts w:ascii="仿宋" w:hAnsi="仿宋" w:eastAsia="仿宋" w:cs="仿宋"/>
                <w:color w:val="000000"/>
                <w:sz w:val="24"/>
              </w:rPr>
            </w:pPr>
            <w:r>
              <w:rPr>
                <w:rFonts w:hint="eastAsia" w:ascii="仿宋" w:hAnsi="仿宋" w:eastAsia="仿宋" w:cs="仿宋"/>
                <w:color w:val="000000"/>
                <w:sz w:val="24"/>
              </w:rPr>
              <w:t xml:space="preserve">   （2）具备文学系或中文系或新闻系或法律系专业或计算机专业的，得0.5分/人，最高2分；不提供不得分</w:t>
            </w:r>
          </w:p>
          <w:p>
            <w:pPr>
              <w:pStyle w:val="2"/>
              <w:jc w:val="both"/>
            </w:pPr>
            <w:r>
              <w:rPr>
                <w:rFonts w:hint="eastAsia" w:ascii="仿宋" w:hAnsi="仿宋" w:eastAsia="仿宋" w:cs="仿宋"/>
                <w:color w:val="000000"/>
                <w:sz w:val="24"/>
                <w:szCs w:val="24"/>
              </w:rPr>
              <w:t>（3）具有</w:t>
            </w:r>
            <w:r>
              <w:rPr>
                <w:rFonts w:hint="eastAsia" w:ascii="仿宋" w:hAnsi="仿宋" w:eastAsia="仿宋" w:cs="仿宋"/>
                <w:sz w:val="24"/>
                <w:szCs w:val="24"/>
                <w:lang w:val="zh-CN"/>
              </w:rPr>
              <w:t>具有人力资源管理师证书或</w:t>
            </w:r>
            <w:r>
              <w:rPr>
                <w:rFonts w:hint="eastAsia" w:ascii="仿宋" w:hAnsi="仿宋" w:eastAsia="仿宋" w:cs="仿宋"/>
                <w:sz w:val="24"/>
                <w:szCs w:val="24"/>
              </w:rPr>
              <w:t>劳动关系协调师</w:t>
            </w:r>
            <w:r>
              <w:rPr>
                <w:rFonts w:hint="eastAsia" w:ascii="仿宋" w:hAnsi="仿宋" w:eastAsia="仿宋" w:cs="仿宋"/>
                <w:sz w:val="24"/>
                <w:szCs w:val="24"/>
                <w:lang w:val="zh-CN"/>
              </w:rPr>
              <w:t>证书得</w:t>
            </w:r>
            <w:r>
              <w:rPr>
                <w:rFonts w:hint="eastAsia" w:ascii="仿宋" w:hAnsi="仿宋" w:eastAsia="仿宋" w:cs="仿宋"/>
                <w:sz w:val="24"/>
                <w:szCs w:val="24"/>
              </w:rPr>
              <w:t>1分，最高2分</w:t>
            </w:r>
          </w:p>
          <w:p>
            <w:pPr>
              <w:autoSpaceDE w:val="0"/>
              <w:spacing w:line="320" w:lineRule="exact"/>
              <w:jc w:val="left"/>
              <w:rPr>
                <w:rFonts w:ascii="仿宋" w:hAnsi="仿宋" w:eastAsia="仿宋" w:cs="仿宋"/>
                <w:kern w:val="0"/>
                <w:sz w:val="24"/>
              </w:rPr>
            </w:pPr>
            <w:r>
              <w:rPr>
                <w:rFonts w:hint="eastAsia" w:ascii="仿宋" w:hAnsi="仿宋" w:eastAsia="仿宋" w:cs="仿宋"/>
                <w:sz w:val="24"/>
              </w:rPr>
              <w:t>（提供证书、学历证书及</w:t>
            </w:r>
            <w:r>
              <w:rPr>
                <w:rFonts w:hint="eastAsia" w:ascii="仿宋" w:hAnsi="仿宋" w:eastAsia="仿宋" w:cs="仿宋"/>
                <w:sz w:val="24"/>
                <w:lang w:eastAsia="zh-CN"/>
              </w:rPr>
              <w:t>在投标单位</w:t>
            </w:r>
            <w:r>
              <w:rPr>
                <w:rFonts w:hint="eastAsia" w:ascii="仿宋" w:hAnsi="仿宋" w:eastAsia="仿宋" w:cs="仿宋"/>
                <w:sz w:val="24"/>
              </w:rPr>
              <w:t>近3个月社保证明）</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8</w:t>
            </w:r>
          </w:p>
        </w:tc>
        <w:tc>
          <w:tcPr>
            <w:tcW w:w="1954"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35" w:type="dxa"/>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5683" w:type="dxa"/>
          </w:tcPr>
          <w:p>
            <w:pPr>
              <w:widowControl/>
              <w:jc w:val="left"/>
              <w:rPr>
                <w:rFonts w:hint="eastAsia" w:ascii="仿宋" w:hAnsi="仿宋" w:eastAsia="仿宋" w:cs="仿宋"/>
                <w:sz w:val="24"/>
                <w:lang w:val="en-US" w:eastAsia="zh-CN"/>
              </w:rPr>
            </w:pPr>
            <w:r>
              <w:rPr>
                <w:rFonts w:hint="eastAsia" w:ascii="仿宋" w:hAnsi="仿宋" w:eastAsia="仿宋" w:cs="仿宋"/>
                <w:sz w:val="24"/>
              </w:rPr>
              <w:t>根据投标单位履约能力、诚信情况等进行打分</w:t>
            </w:r>
            <w:r>
              <w:rPr>
                <w:rFonts w:hint="eastAsia" w:ascii="仿宋" w:hAnsi="仿宋" w:eastAsia="仿宋" w:cs="仿宋"/>
                <w:sz w:val="24"/>
                <w:lang w:eastAsia="zh-CN"/>
              </w:rPr>
              <w:t>。</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4</w:t>
            </w:r>
          </w:p>
        </w:tc>
        <w:tc>
          <w:tcPr>
            <w:tcW w:w="1954"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5683" w:type="dxa"/>
            <w:vAlign w:val="center"/>
          </w:tcPr>
          <w:p>
            <w:pPr>
              <w:widowControl/>
              <w:rPr>
                <w:rFonts w:hint="eastAsia" w:ascii="仿宋" w:hAnsi="仿宋" w:eastAsia="仿宋" w:cs="仿宋"/>
                <w:kern w:val="0"/>
                <w:sz w:val="24"/>
                <w:lang w:eastAsia="zh-CN"/>
              </w:rPr>
            </w:pPr>
            <w:r>
              <w:rPr>
                <w:rFonts w:hint="eastAsia" w:ascii="仿宋" w:hAnsi="仿宋" w:eastAsia="仿宋" w:cs="仿宋"/>
                <w:sz w:val="24"/>
              </w:rPr>
              <w:t>投标人具有有效的质量管理体系(ISO9001或GB/T19001)、环境管理体系(ISO14001或GBT24001)、职业健康安全管理体系(OHSAS18001或GBT28001或GBT45001或(ISO45001)认证文件的，每项得1分，最多得3分，没有的不得分。提供证书复印件加盖公章</w:t>
            </w:r>
            <w:r>
              <w:rPr>
                <w:rFonts w:hint="eastAsia" w:ascii="仿宋" w:hAnsi="仿宋" w:eastAsia="仿宋" w:cs="仿宋"/>
                <w:sz w:val="24"/>
                <w:lang w:eastAsia="zh-CN"/>
              </w:rPr>
              <w:t>。</w:t>
            </w:r>
          </w:p>
        </w:tc>
        <w:tc>
          <w:tcPr>
            <w:tcW w:w="443" w:type="dxa"/>
            <w:vAlign w:val="center"/>
          </w:tcPr>
          <w:p>
            <w:pPr>
              <w:widowControl/>
              <w:ind w:left="360" w:right="-107" w:hanging="360"/>
              <w:jc w:val="center"/>
              <w:rPr>
                <w:rFonts w:ascii="仿宋" w:hAnsi="仿宋" w:eastAsia="仿宋" w:cs="仿宋"/>
                <w:sz w:val="24"/>
              </w:rPr>
            </w:pPr>
            <w:r>
              <w:rPr>
                <w:rFonts w:hint="eastAsia" w:ascii="仿宋" w:hAnsi="仿宋" w:eastAsia="仿宋" w:cs="仿宋"/>
                <w:sz w:val="24"/>
              </w:rPr>
              <w:t>3</w:t>
            </w:r>
          </w:p>
        </w:tc>
        <w:tc>
          <w:tcPr>
            <w:tcW w:w="1954"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5683" w:type="dxa"/>
            <w:vAlign w:val="center"/>
          </w:tcPr>
          <w:p>
            <w:pPr>
              <w:widowControl/>
              <w:rPr>
                <w:rFonts w:ascii="仿宋" w:hAnsi="仿宋" w:eastAsia="仿宋" w:cs="仿宋"/>
                <w:kern w:val="0"/>
                <w:sz w:val="24"/>
              </w:rPr>
            </w:pPr>
            <w:r>
              <w:rPr>
                <w:rFonts w:hint="eastAsia" w:ascii="仿宋" w:hAnsi="仿宋" w:eastAsia="仿宋" w:cs="仿宋"/>
                <w:sz w:val="24"/>
              </w:rPr>
              <w:t>根据投标人针对本项目质量管理措施内容的完整性（2分），质量保障措施的可操作性进行打分（3分），最高5分。</w:t>
            </w:r>
          </w:p>
        </w:tc>
        <w:tc>
          <w:tcPr>
            <w:tcW w:w="443" w:type="dxa"/>
            <w:vAlign w:val="center"/>
          </w:tcPr>
          <w:p>
            <w:pPr>
              <w:widowControl/>
              <w:autoSpaceDE w:val="0"/>
              <w:snapToGrid w:val="0"/>
              <w:jc w:val="center"/>
              <w:rPr>
                <w:rFonts w:ascii="仿宋" w:hAnsi="仿宋" w:eastAsia="仿宋" w:cs="仿宋"/>
                <w:sz w:val="24"/>
              </w:rPr>
            </w:pPr>
            <w:r>
              <w:rPr>
                <w:rFonts w:hint="eastAsia" w:ascii="仿宋" w:hAnsi="仿宋" w:eastAsia="仿宋" w:cs="仿宋"/>
                <w:sz w:val="24"/>
              </w:rPr>
              <w:t>5</w:t>
            </w:r>
          </w:p>
        </w:tc>
        <w:tc>
          <w:tcPr>
            <w:tcW w:w="1954"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9</w:t>
            </w:r>
          </w:p>
        </w:tc>
        <w:tc>
          <w:tcPr>
            <w:tcW w:w="5683" w:type="dxa"/>
            <w:vAlign w:val="center"/>
          </w:tcPr>
          <w:p>
            <w:pPr>
              <w:widowControl/>
              <w:rPr>
                <w:rFonts w:ascii="仿宋" w:hAnsi="仿宋" w:eastAsia="仿宋" w:cs="仿宋"/>
                <w:kern w:val="0"/>
                <w:sz w:val="24"/>
              </w:rPr>
            </w:pPr>
            <w:r>
              <w:rPr>
                <w:rFonts w:hint="eastAsia" w:ascii="仿宋" w:hAnsi="仿宋" w:eastAsia="仿宋" w:cs="仿宋"/>
                <w:bCs/>
                <w:sz w:val="24"/>
              </w:rPr>
              <w:t>供应商</w:t>
            </w:r>
            <w:r>
              <w:rPr>
                <w:rFonts w:hint="eastAsia" w:ascii="仿宋" w:hAnsi="仿宋" w:eastAsia="仿宋" w:cs="仿宋"/>
                <w:sz w:val="24"/>
                <w:lang w:eastAsia="zh-CN"/>
              </w:rPr>
              <w:t>承诺中标后</w:t>
            </w:r>
            <w:r>
              <w:rPr>
                <w:rFonts w:hint="eastAsia" w:ascii="仿宋" w:hAnsi="仿宋" w:eastAsia="仿宋" w:cs="仿宋"/>
                <w:sz w:val="24"/>
                <w:lang w:val="zh-CN"/>
              </w:rPr>
              <w:t>售后服</w:t>
            </w:r>
            <w:r>
              <w:rPr>
                <w:rFonts w:hint="eastAsia" w:ascii="仿宋" w:hAnsi="仿宋" w:eastAsia="仿宋" w:cs="仿宋"/>
                <w:bCs/>
                <w:sz w:val="24"/>
                <w:lang w:val="zh-CN"/>
              </w:rPr>
              <w:t>务网点设在</w:t>
            </w:r>
            <w:r>
              <w:rPr>
                <w:rFonts w:hint="eastAsia" w:ascii="仿宋" w:hAnsi="仿宋" w:eastAsia="仿宋" w:cs="仿宋"/>
                <w:bCs/>
                <w:spacing w:val="-2"/>
                <w:sz w:val="24"/>
              </w:rPr>
              <w:t>杭州市区</w:t>
            </w:r>
            <w:r>
              <w:rPr>
                <w:rFonts w:hint="eastAsia" w:ascii="仿宋" w:hAnsi="仿宋" w:eastAsia="仿宋" w:cs="仿宋"/>
                <w:bCs/>
                <w:sz w:val="24"/>
                <w:lang w:val="zh-CN"/>
              </w:rPr>
              <w:t>范围内的得</w:t>
            </w:r>
            <w:r>
              <w:rPr>
                <w:rFonts w:hint="eastAsia" w:ascii="仿宋" w:hAnsi="仿宋" w:eastAsia="仿宋" w:cs="仿宋"/>
                <w:bCs/>
                <w:sz w:val="24"/>
              </w:rPr>
              <w:t>3</w:t>
            </w:r>
            <w:r>
              <w:rPr>
                <w:rFonts w:hint="eastAsia" w:ascii="仿宋" w:hAnsi="仿宋" w:eastAsia="仿宋" w:cs="仿宋"/>
                <w:bCs/>
                <w:sz w:val="24"/>
                <w:lang w:val="zh-CN"/>
              </w:rPr>
              <w:t>分；售后服务网点设在</w:t>
            </w:r>
            <w:r>
              <w:rPr>
                <w:rFonts w:hint="eastAsia" w:ascii="仿宋" w:hAnsi="仿宋" w:eastAsia="仿宋" w:cs="仿宋"/>
                <w:bCs/>
                <w:spacing w:val="-2"/>
                <w:sz w:val="24"/>
              </w:rPr>
              <w:t>浙江省内（非杭州市区）</w:t>
            </w:r>
            <w:r>
              <w:rPr>
                <w:rFonts w:hint="eastAsia" w:ascii="仿宋" w:hAnsi="仿宋" w:eastAsia="仿宋" w:cs="仿宋"/>
                <w:bCs/>
                <w:sz w:val="24"/>
                <w:lang w:val="zh-CN"/>
              </w:rPr>
              <w:t>的得1分；</w:t>
            </w:r>
            <w:r>
              <w:rPr>
                <w:rFonts w:hint="eastAsia" w:ascii="仿宋" w:hAnsi="仿宋" w:eastAsia="仿宋" w:cs="仿宋"/>
                <w:bCs/>
                <w:spacing w:val="-2"/>
                <w:sz w:val="24"/>
              </w:rPr>
              <w:t>浙江省外的不得分。</w:t>
            </w:r>
            <w:r>
              <w:rPr>
                <w:rFonts w:hint="eastAsia" w:ascii="仿宋" w:hAnsi="仿宋" w:eastAsia="仿宋" w:cs="仿宋"/>
                <w:bCs/>
                <w:sz w:val="24"/>
                <w:lang w:val="zh-CN"/>
              </w:rPr>
              <w:t>（须提供承诺书加盖公章）</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3</w:t>
            </w:r>
          </w:p>
        </w:tc>
        <w:tc>
          <w:tcPr>
            <w:tcW w:w="1954"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5683" w:type="dxa"/>
            <w:vAlign w:val="center"/>
          </w:tcPr>
          <w:p>
            <w:pPr>
              <w:widowControl/>
              <w:rPr>
                <w:rFonts w:ascii="仿宋" w:hAnsi="仿宋" w:eastAsia="仿宋" w:cs="仿宋"/>
                <w:kern w:val="0"/>
                <w:sz w:val="24"/>
              </w:rPr>
            </w:pPr>
            <w:r>
              <w:rPr>
                <w:rFonts w:hint="eastAsia" w:ascii="仿宋" w:hAnsi="仿宋" w:eastAsia="仿宋" w:cs="仿宋"/>
                <w:kern w:val="0"/>
                <w:sz w:val="24"/>
              </w:rPr>
              <w:t>根据投标企业自</w:t>
            </w:r>
            <w:r>
              <w:rPr>
                <w:rFonts w:hint="eastAsia" w:ascii="仿宋" w:hAnsi="仿宋" w:eastAsia="仿宋" w:cs="仿宋"/>
                <w:sz w:val="24"/>
              </w:rPr>
              <w:t>2019年1月1日以来（以合同签订时间为准）</w:t>
            </w:r>
            <w:r>
              <w:rPr>
                <w:rFonts w:hint="eastAsia" w:ascii="仿宋" w:hAnsi="仿宋" w:eastAsia="仿宋" w:cs="仿宋"/>
                <w:kern w:val="0"/>
                <w:sz w:val="24"/>
              </w:rPr>
              <w:t>提供同类项目成功案例1个得0.5分，最高得2分，</w:t>
            </w:r>
            <w:r>
              <w:rPr>
                <w:rFonts w:hint="eastAsia" w:ascii="仿宋" w:hAnsi="仿宋" w:eastAsia="仿宋" w:cs="仿宋"/>
                <w:sz w:val="24"/>
              </w:rPr>
              <w:t>（须提供合同复印件或中标通知</w:t>
            </w:r>
            <w:r>
              <w:rPr>
                <w:rFonts w:hint="eastAsia" w:ascii="仿宋" w:hAnsi="仿宋" w:eastAsia="仿宋" w:cs="仿宋"/>
                <w:sz w:val="24"/>
                <w:lang w:eastAsia="zh-CN"/>
              </w:rPr>
              <w:t>书复印件</w:t>
            </w:r>
            <w:r>
              <w:rPr>
                <w:rFonts w:hint="eastAsia" w:ascii="仿宋" w:hAnsi="仿宋" w:eastAsia="仿宋" w:cs="仿宋"/>
                <w:sz w:val="24"/>
              </w:rPr>
              <w:t>并加盖公章，不提供不得分）</w:t>
            </w:r>
          </w:p>
        </w:tc>
        <w:tc>
          <w:tcPr>
            <w:tcW w:w="443" w:type="dxa"/>
            <w:vAlign w:val="center"/>
          </w:tcPr>
          <w:p>
            <w:pPr>
              <w:autoSpaceDE w:val="0"/>
              <w:spacing w:line="320" w:lineRule="exact"/>
              <w:jc w:val="center"/>
              <w:rPr>
                <w:rFonts w:ascii="仿宋" w:hAnsi="仿宋" w:eastAsia="仿宋" w:cs="仿宋"/>
                <w:sz w:val="24"/>
              </w:rPr>
            </w:pPr>
            <w:r>
              <w:rPr>
                <w:rFonts w:hint="eastAsia" w:ascii="仿宋" w:hAnsi="仿宋" w:eastAsia="仿宋" w:cs="仿宋"/>
                <w:sz w:val="24"/>
              </w:rPr>
              <w:t>2</w:t>
            </w:r>
          </w:p>
        </w:tc>
        <w:tc>
          <w:tcPr>
            <w:tcW w:w="1954"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35"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5683" w:type="dxa"/>
          </w:tcPr>
          <w:p>
            <w:pPr>
              <w:widowControl/>
              <w:shd w:val="clear" w:color="auto" w:fill="FFFFFF"/>
              <w:adjustRightInd/>
              <w:spacing w:after="225" w:line="315" w:lineRule="atLeast"/>
              <w:jc w:val="left"/>
              <w:rPr>
                <w:rFonts w:ascii="仿宋" w:hAnsi="仿宋" w:eastAsia="仿宋" w:cs="仿宋"/>
                <w:sz w:val="24"/>
              </w:rPr>
            </w:pPr>
            <w:r>
              <w:rPr>
                <w:rFonts w:hint="eastAsia" w:ascii="仿宋" w:hAnsi="仿宋" w:eastAsia="仿宋" w:cs="仿宋"/>
                <w:sz w:val="24"/>
              </w:rPr>
              <w:t>满足招标文件要求且投标报价最低的投标报价为评标基准价，其价格分为满分。其他投标人的价格分统一按照下列公式计算：投标报价得分=（评标基准价/投标报价）*20</w:t>
            </w:r>
          </w:p>
        </w:tc>
        <w:tc>
          <w:tcPr>
            <w:tcW w:w="443" w:type="dxa"/>
            <w:vAlign w:val="center"/>
          </w:tcPr>
          <w:p>
            <w:pPr>
              <w:spacing w:line="360" w:lineRule="auto"/>
              <w:ind w:firstLine="120" w:firstLineChars="50"/>
              <w:outlineLvl w:val="0"/>
              <w:rPr>
                <w:rFonts w:ascii="仿宋" w:hAnsi="仿宋" w:eastAsia="仿宋" w:cs="仿宋"/>
                <w:sz w:val="24"/>
              </w:rPr>
            </w:pPr>
            <w:r>
              <w:rPr>
                <w:rFonts w:hint="eastAsia" w:ascii="仿宋" w:hAnsi="仿宋" w:eastAsia="仿宋" w:cs="仿宋"/>
                <w:sz w:val="24"/>
              </w:rPr>
              <w:t>20</w:t>
            </w:r>
          </w:p>
        </w:tc>
        <w:tc>
          <w:tcPr>
            <w:tcW w:w="1954"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w:t>
            </w:r>
          </w:p>
        </w:tc>
      </w:tr>
    </w:tbl>
    <w:p>
      <w:pPr>
        <w:pStyle w:val="25"/>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6"/>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6"/>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6"/>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6"/>
        <w:snapToGrid w:val="0"/>
        <w:spacing w:line="360" w:lineRule="auto"/>
        <w:ind w:firstLine="0" w:firstLineChars="0"/>
        <w:rPr>
          <w:rFonts w:ascii="仿宋" w:hAnsi="仿宋" w:eastAsia="仿宋" w:cs="仿宋"/>
        </w:rPr>
      </w:pPr>
    </w:p>
    <w:bookmarkEnd w:id="26"/>
    <w:p>
      <w:pPr>
        <w:spacing w:line="360" w:lineRule="auto"/>
        <w:ind w:left="720" w:leftChars="343" w:firstLine="1084" w:firstLineChars="300"/>
        <w:outlineLvl w:val="0"/>
        <w:rPr>
          <w:rFonts w:ascii="仿宋" w:hAnsi="仿宋" w:eastAsia="仿宋" w:cs="仿宋"/>
          <w:b/>
          <w:sz w:val="36"/>
          <w:szCs w:val="36"/>
        </w:rPr>
      </w:pPr>
      <w:bookmarkStart w:id="393" w:name="第五部分"/>
      <w:bookmarkStart w:id="394" w:name="_Toc86217003"/>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pPr>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（以最终合同为准）</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pStyle w:val="699"/>
        <w:rPr>
          <w:rFonts w:ascii="仿宋" w:hAnsi="仿宋" w:eastAsia="仿宋" w:cs="仿宋"/>
          <w:szCs w:val="24"/>
        </w:rPr>
      </w:pPr>
    </w:p>
    <w:p>
      <w:pPr>
        <w:pStyle w:val="699"/>
        <w:jc w:val="center"/>
        <w:rPr>
          <w:rFonts w:ascii="仿宋" w:hAnsi="仿宋" w:eastAsia="仿宋" w:cs="仿宋"/>
          <w:szCs w:val="24"/>
        </w:rPr>
      </w:pPr>
    </w:p>
    <w:p>
      <w:pPr>
        <w:pStyle w:val="699"/>
        <w:ind w:firstLine="2843" w:firstLineChars="1180"/>
        <w:rPr>
          <w:rFonts w:ascii="仿宋" w:hAnsi="仿宋" w:eastAsia="仿宋" w:cs="仿宋"/>
          <w:b/>
          <w:szCs w:val="24"/>
        </w:rPr>
      </w:pPr>
      <w:r>
        <w:rPr>
          <w:rFonts w:hint="eastAsia" w:ascii="仿宋" w:hAnsi="仿宋" w:eastAsia="仿宋" w:cs="仿宋"/>
          <w:b/>
          <w:szCs w:val="24"/>
        </w:rPr>
        <w:t>第一部分 合同书</w:t>
      </w:r>
    </w:p>
    <w:p>
      <w:pPr>
        <w:pStyle w:val="699"/>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建德市人民法院审判执行事务社会化外包服务采购项目     </w:t>
      </w:r>
    </w:p>
    <w:p>
      <w:pPr>
        <w:pStyle w:val="596"/>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建德市人民法院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2022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u w:val="single"/>
        </w:rPr>
        <w:t>2022</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建德市人民法院  </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（成交供应商名称）</w:t>
      </w:r>
      <w:r>
        <w:rPr>
          <w:rFonts w:hint="eastAsia" w:ascii="仿宋" w:hAnsi="仿宋" w:eastAsia="仿宋" w:cs="仿宋"/>
          <w:sz w:val="24"/>
        </w:rPr>
        <w:t>为该项目成交供应商。现于成交通知书发出之日起三十日内，按照采购文件确定的事项签订本合同。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建德市人民法院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395" w:name="_Toc2232"/>
      <w:bookmarkStart w:id="396" w:name="_Toc3029"/>
      <w:bookmarkStart w:id="397" w:name="_Toc24059"/>
      <w:r>
        <w:rPr>
          <w:rFonts w:hint="eastAsia" w:ascii="仿宋" w:hAnsi="仿宋" w:eastAsia="仿宋" w:cs="仿宋"/>
          <w:b/>
          <w:sz w:val="24"/>
        </w:rPr>
        <w:t>1.1 合同组成部分</w:t>
      </w:r>
      <w:bookmarkEnd w:id="395"/>
      <w:bookmarkEnd w:id="396"/>
      <w:bookmarkEnd w:id="397"/>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398" w:name="_Toc27126"/>
      <w:bookmarkStart w:id="399" w:name="_Toc21295"/>
      <w:bookmarkStart w:id="400" w:name="_Toc24300"/>
      <w:r>
        <w:rPr>
          <w:rFonts w:hint="eastAsia" w:ascii="仿宋" w:hAnsi="仿宋" w:eastAsia="仿宋" w:cs="仿宋"/>
          <w:b/>
          <w:sz w:val="24"/>
        </w:rPr>
        <w:t xml:space="preserve">1.2 </w:t>
      </w:r>
      <w:bookmarkEnd w:id="398"/>
      <w:bookmarkEnd w:id="399"/>
      <w:bookmarkEnd w:id="400"/>
      <w:r>
        <w:rPr>
          <w:rFonts w:hint="eastAsia" w:ascii="仿宋" w:hAnsi="仿宋" w:eastAsia="仿宋" w:cs="仿宋"/>
          <w:b/>
          <w:sz w:val="24"/>
        </w:rPr>
        <w:t>服务</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 xml:space="preserve">1.2.1 </w:t>
      </w:r>
      <w:r>
        <w:rPr>
          <w:rFonts w:hint="eastAsia" w:ascii="仿宋" w:hAnsi="仿宋" w:eastAsia="仿宋" w:cs="仿宋"/>
          <w:bCs/>
          <w:sz w:val="24"/>
        </w:rPr>
        <w:t>服务</w:t>
      </w:r>
      <w:r>
        <w:rPr>
          <w:rFonts w:hint="eastAsia" w:ascii="仿宋" w:hAnsi="仿宋" w:eastAsia="仿宋" w:cs="仿宋"/>
          <w:sz w:val="24"/>
        </w:rPr>
        <w:t>名称：</w:t>
      </w:r>
      <w:r>
        <w:rPr>
          <w:rFonts w:hint="eastAsia" w:ascii="仿宋" w:hAnsi="仿宋" w:eastAsia="仿宋" w:cs="仿宋"/>
          <w:sz w:val="24"/>
          <w:u w:val="single"/>
        </w:rPr>
        <w:t xml:space="preserve">   建德市人民法院审判执行事务社会化外包服务采购项目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 xml:space="preserve">1.2.2 </w:t>
      </w:r>
      <w:r>
        <w:rPr>
          <w:rFonts w:hint="eastAsia" w:ascii="仿宋" w:hAnsi="仿宋" w:eastAsia="仿宋" w:cs="仿宋"/>
          <w:bCs/>
          <w:sz w:val="24"/>
        </w:rPr>
        <w:t>服务</w:t>
      </w:r>
      <w:r>
        <w:rPr>
          <w:rFonts w:hint="eastAsia" w:ascii="仿宋" w:hAnsi="仿宋" w:eastAsia="仿宋" w:cs="仿宋"/>
          <w:sz w:val="24"/>
        </w:rPr>
        <w:t>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1.2.3 </w:t>
      </w:r>
      <w:r>
        <w:rPr>
          <w:rFonts w:hint="eastAsia" w:ascii="仿宋" w:hAnsi="仿宋" w:eastAsia="仿宋" w:cs="仿宋"/>
          <w:bCs/>
          <w:sz w:val="24"/>
        </w:rPr>
        <w:t>服务</w:t>
      </w:r>
      <w:r>
        <w:rPr>
          <w:rFonts w:hint="eastAsia" w:ascii="仿宋" w:hAnsi="仿宋" w:eastAsia="仿宋" w:cs="仿宋"/>
          <w:sz w:val="24"/>
        </w:rPr>
        <w:t>质量：</w:t>
      </w: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p>
    <w:p>
      <w:pPr>
        <w:spacing w:line="560" w:lineRule="exact"/>
        <w:ind w:firstLine="482" w:firstLineChars="200"/>
        <w:outlineLvl w:val="0"/>
        <w:rPr>
          <w:rFonts w:ascii="仿宋" w:hAnsi="仿宋" w:eastAsia="仿宋" w:cs="仿宋"/>
          <w:b/>
          <w:sz w:val="24"/>
        </w:rPr>
      </w:pPr>
      <w:bookmarkStart w:id="401" w:name="_Toc21551"/>
      <w:bookmarkStart w:id="402" w:name="_Toc23292"/>
      <w:bookmarkStart w:id="403" w:name="_Toc21631"/>
      <w:r>
        <w:rPr>
          <w:rFonts w:hint="eastAsia" w:ascii="仿宋" w:hAnsi="仿宋" w:eastAsia="仿宋" w:cs="仿宋"/>
          <w:b/>
          <w:sz w:val="24"/>
        </w:rPr>
        <w:t>1.3 价款</w:t>
      </w:r>
      <w:bookmarkEnd w:id="401"/>
      <w:bookmarkEnd w:id="402"/>
      <w:bookmarkEnd w:id="403"/>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bookmarkStart w:id="404" w:name="_Toc22618"/>
      <w:bookmarkStart w:id="405" w:name="_Toc10340"/>
      <w:bookmarkStart w:id="406" w:name="_Toc1814"/>
      <w:r>
        <w:rPr>
          <w:rFonts w:hint="eastAsia" w:ascii="仿宋" w:hAnsi="仿宋" w:eastAsia="仿宋" w:cs="仿宋"/>
          <w:b/>
          <w:sz w:val="24"/>
        </w:rPr>
        <w:t>1.4 付款</w:t>
      </w:r>
      <w:bookmarkEnd w:id="404"/>
      <w:bookmarkEnd w:id="405"/>
      <w:bookmarkEnd w:id="406"/>
      <w:r>
        <w:rPr>
          <w:rFonts w:hint="eastAsia" w:ascii="仿宋" w:hAnsi="仿宋" w:eastAsia="仿宋" w:cs="仿宋"/>
          <w:b/>
          <w:sz w:val="24"/>
        </w:rPr>
        <w:t>方式、时间和条件</w:t>
      </w:r>
    </w:p>
    <w:p>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highlight w:val="red"/>
        </w:rPr>
      </w:pPr>
      <w:r>
        <w:rPr>
          <w:rFonts w:hint="eastAsia" w:ascii="仿宋" w:hAnsi="仿宋" w:eastAsia="仿宋" w:cs="仿宋"/>
          <w:kern w:val="0"/>
          <w:sz w:val="24"/>
        </w:rPr>
        <w:t>1.4.2甲方在政府采购合同中约定预付款，对于中小企业合同预付款比例原则上不低于合同金额的40%，不高于合同金额的70%；项目分年安排预算的，每年预付款比例不低于合同金额的40％，不高于年度计划支付资金额的70%。采购项目实施以人工投入为主的，可适当降低预付款比例，但不低于20%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7" w:name="_Toc32071"/>
      <w:bookmarkStart w:id="408" w:name="_Toc19304"/>
      <w:bookmarkStart w:id="409" w:name="_Toc2846"/>
      <w:r>
        <w:rPr>
          <w:rFonts w:hint="eastAsia" w:ascii="仿宋" w:hAnsi="仿宋" w:eastAsia="仿宋" w:cs="仿宋"/>
          <w:b/>
          <w:sz w:val="24"/>
        </w:rPr>
        <w:t>1.5 服务期限、地点和</w:t>
      </w:r>
      <w:bookmarkEnd w:id="407"/>
      <w:bookmarkEnd w:id="408"/>
      <w:bookmarkEnd w:id="409"/>
      <w:r>
        <w:rPr>
          <w:rFonts w:hint="eastAsia" w:ascii="仿宋" w:hAnsi="仿宋" w:eastAsia="仿宋" w:cs="仿宋"/>
          <w:b/>
          <w:sz w:val="24"/>
        </w:rPr>
        <w:t>内容</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1.5.1服务期限：详见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1.5.2服务地点：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服务内容：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10" w:name="_Toc19554"/>
      <w:bookmarkStart w:id="411" w:name="_Toc27250"/>
      <w:bookmarkStart w:id="412" w:name="_Toc21423"/>
      <w:r>
        <w:rPr>
          <w:rFonts w:hint="eastAsia" w:ascii="仿宋" w:hAnsi="仿宋" w:eastAsia="仿宋" w:cs="仿宋"/>
          <w:b/>
          <w:sz w:val="24"/>
        </w:rPr>
        <w:t>1.6 违约责任</w:t>
      </w:r>
      <w:bookmarkEnd w:id="410"/>
      <w:bookmarkEnd w:id="411"/>
      <w:bookmarkEnd w:id="412"/>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除不可抗力外，如果乙方没有按照本合同约定的期限、地点和内容完成服务，那么甲方可要求乙方支付违约金，违约金按每迟延完成服务一日的应交付而未完成服务价格的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413" w:name="_Toc15583"/>
      <w:bookmarkStart w:id="414" w:name="_Toc16021"/>
      <w:bookmarkStart w:id="415" w:name="_Toc28375"/>
      <w:r>
        <w:rPr>
          <w:rFonts w:hint="eastAsia" w:ascii="仿宋" w:hAnsi="仿宋" w:eastAsia="仿宋" w:cs="仿宋"/>
          <w:b/>
          <w:sz w:val="24"/>
        </w:rPr>
        <w:t>1.7 合同争议的解决</w:t>
      </w:r>
      <w:bookmarkEnd w:id="413"/>
      <w:bookmarkEnd w:id="414"/>
      <w:bookmarkEnd w:id="415"/>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16" w:name="_Toc11173"/>
      <w:bookmarkStart w:id="417" w:name="_Toc15322"/>
      <w:bookmarkStart w:id="418" w:name="_Toc7245"/>
      <w:r>
        <w:rPr>
          <w:rFonts w:hint="eastAsia" w:ascii="仿宋" w:hAnsi="仿宋" w:eastAsia="仿宋" w:cs="仿宋"/>
          <w:b/>
          <w:sz w:val="24"/>
        </w:rPr>
        <w:t>1.8 合同生效</w:t>
      </w:r>
      <w:bookmarkEnd w:id="416"/>
      <w:bookmarkEnd w:id="417"/>
      <w:bookmarkEnd w:id="418"/>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p>
    <w:p>
      <w:pPr>
        <w:pStyle w:val="699"/>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419" w:name="_Ref467378499"/>
      <w:bookmarkStart w:id="420" w:name="_Toc279701240"/>
      <w:bookmarkStart w:id="421" w:name="_Ref467379109"/>
      <w:bookmarkStart w:id="422" w:name="_Ref467378463"/>
      <w:bookmarkStart w:id="423" w:name="_Toc28763"/>
      <w:bookmarkStart w:id="424" w:name="_Toc16917"/>
      <w:bookmarkStart w:id="425" w:name="_Ref467379094"/>
      <w:bookmarkStart w:id="426" w:name="_Ref467379195"/>
      <w:bookmarkStart w:id="427" w:name="_Toc487900349"/>
      <w:bookmarkStart w:id="428" w:name="_Ref467379214"/>
      <w:bookmarkStart w:id="429" w:name="_Ref467379225"/>
      <w:bookmarkStart w:id="430" w:name="_Toc259093669"/>
      <w:bookmarkStart w:id="431" w:name="_Toc19614"/>
      <w:bookmarkStart w:id="432" w:name="_Ref467378404"/>
      <w:bookmarkStart w:id="433" w:name="_Ref467379205"/>
      <w:bookmarkStart w:id="434" w:name="_Ref467379101"/>
      <w:r>
        <w:rPr>
          <w:rFonts w:hint="eastAsia" w:ascii="仿宋" w:hAnsi="仿宋" w:eastAsia="仿宋" w:cs="仿宋"/>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“合同价”系指根据合同约定，成交供应商在完全履行合同义务后，采购人应支付给成交供应商的价格。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“服务”系指成交供应商根据合同约定应向采购人交付的一切各种形态和种类的服务和成果，包括咨询服务、评审服务、设计成果、施工过程中的质量、进度的控制、合同、文档的管理等相关资料。</w:t>
      </w:r>
    </w:p>
    <w:p>
      <w:pPr>
        <w:spacing w:line="560" w:lineRule="exact"/>
        <w:ind w:firstLine="480" w:firstLineChars="200"/>
        <w:rPr>
          <w:rFonts w:ascii="仿宋" w:hAnsi="仿宋" w:eastAsia="仿宋" w:cs="仿宋"/>
          <w:sz w:val="24"/>
        </w:rPr>
      </w:pPr>
      <w:bookmarkStart w:id="435" w:name="_Ref467378840"/>
      <w:r>
        <w:rPr>
          <w:rFonts w:hint="eastAsia" w:ascii="仿宋" w:hAnsi="仿宋" w:eastAsia="仿宋" w:cs="仿宋"/>
          <w:sz w:val="24"/>
        </w:rPr>
        <w:t>2.1.4 “甲方”系指与成交供应商签署合同的采购人</w:t>
      </w:r>
      <w:bookmarkEnd w:id="435"/>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36" w:name="_Ref467379400"/>
      <w:r>
        <w:rPr>
          <w:rFonts w:hint="eastAsia" w:ascii="仿宋" w:hAnsi="仿宋" w:eastAsia="仿宋" w:cs="仿宋"/>
          <w:sz w:val="24"/>
        </w:rPr>
        <w:t>2.1.5 “乙方”系指根据合同约定完成服务的</w:t>
      </w:r>
      <w:bookmarkEnd w:id="436"/>
      <w:r>
        <w:rPr>
          <w:rFonts w:hint="eastAsia" w:ascii="仿宋" w:hAnsi="仿宋" w:eastAsia="仿宋" w:cs="仿宋"/>
          <w:sz w:val="24"/>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37" w:name="_Ref467379436"/>
      <w:r>
        <w:rPr>
          <w:rFonts w:hint="eastAsia" w:ascii="仿宋" w:hAnsi="仿宋" w:eastAsia="仿宋" w:cs="仿宋"/>
          <w:sz w:val="24"/>
        </w:rPr>
        <w:t>2.1.6 “现场”系指将要进行服务的工程地点。</w:t>
      </w:r>
      <w:bookmarkEnd w:id="437"/>
    </w:p>
    <w:p>
      <w:pPr>
        <w:spacing w:line="560" w:lineRule="exact"/>
        <w:ind w:firstLine="482" w:firstLineChars="200"/>
        <w:outlineLvl w:val="0"/>
        <w:rPr>
          <w:rFonts w:ascii="仿宋" w:hAnsi="仿宋" w:eastAsia="仿宋" w:cs="仿宋"/>
          <w:b/>
          <w:sz w:val="24"/>
        </w:rPr>
      </w:pPr>
      <w:bookmarkStart w:id="438" w:name="_Toc27635"/>
      <w:bookmarkStart w:id="439" w:name="_Toc13336"/>
      <w:bookmarkStart w:id="440" w:name="_Toc259093670"/>
      <w:bookmarkStart w:id="441" w:name="_Toc279701241"/>
      <w:bookmarkStart w:id="442" w:name="_Toc32504"/>
      <w:bookmarkStart w:id="443" w:name="_Toc487900350"/>
      <w:r>
        <w:rPr>
          <w:rFonts w:hint="eastAsia" w:ascii="仿宋" w:hAnsi="仿宋" w:eastAsia="仿宋" w:cs="仿宋"/>
          <w:b/>
          <w:sz w:val="24"/>
        </w:rPr>
        <w:t>2.2 技术规范</w:t>
      </w:r>
      <w:bookmarkEnd w:id="438"/>
      <w:bookmarkEnd w:id="439"/>
      <w:bookmarkEnd w:id="440"/>
      <w:bookmarkEnd w:id="441"/>
      <w:bookmarkEnd w:id="442"/>
      <w:bookmarkEnd w:id="443"/>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44" w:name="_Toc487900351"/>
      <w:bookmarkStart w:id="445" w:name="_Toc279701242"/>
      <w:bookmarkStart w:id="446" w:name="_Toc27853"/>
      <w:bookmarkStart w:id="447" w:name="_Toc259093671"/>
      <w:bookmarkStart w:id="448" w:name="_Toc9829"/>
      <w:bookmarkStart w:id="449" w:name="_Toc31634"/>
      <w:r>
        <w:rPr>
          <w:rFonts w:hint="eastAsia" w:ascii="仿宋" w:hAnsi="仿宋" w:eastAsia="仿宋" w:cs="仿宋"/>
          <w:b/>
          <w:sz w:val="24"/>
        </w:rPr>
        <w:t>2.3 知识产权</w:t>
      </w:r>
      <w:bookmarkEnd w:id="444"/>
      <w:bookmarkEnd w:id="445"/>
      <w:bookmarkEnd w:id="446"/>
      <w:bookmarkEnd w:id="447"/>
      <w:bookmarkEnd w:id="448"/>
      <w:bookmarkEnd w:id="449"/>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0" w:name="_Ref467378591"/>
      <w:bookmarkStart w:id="451" w:name="_Toc487900354"/>
      <w:bookmarkStart w:id="452" w:name="_Ref467379542"/>
      <w:bookmarkStart w:id="453" w:name="_Toc259093674"/>
      <w:bookmarkStart w:id="454" w:name="_Ref467379527"/>
      <w:bookmarkStart w:id="455" w:name="_Ref467379536"/>
      <w:bookmarkStart w:id="456" w:name="_Toc279701245"/>
      <w:bookmarkStart w:id="457" w:name="_Ref467378541"/>
      <w:bookmarkStart w:id="458" w:name="_Toc30272"/>
      <w:bookmarkStart w:id="459" w:name="_Toc26182"/>
      <w:bookmarkStart w:id="460" w:name="_Toc19074"/>
      <w:r>
        <w:rPr>
          <w:rFonts w:hint="eastAsia" w:ascii="仿宋" w:hAnsi="仿宋" w:eastAsia="仿宋" w:cs="仿宋"/>
          <w:b/>
          <w:sz w:val="24"/>
        </w:rPr>
        <w:t>2.</w:t>
      </w:r>
      <w:bookmarkEnd w:id="450"/>
      <w:bookmarkEnd w:id="451"/>
      <w:bookmarkEnd w:id="452"/>
      <w:bookmarkEnd w:id="453"/>
      <w:bookmarkEnd w:id="454"/>
      <w:bookmarkEnd w:id="455"/>
      <w:bookmarkEnd w:id="456"/>
      <w:bookmarkEnd w:id="457"/>
      <w:r>
        <w:rPr>
          <w:rFonts w:hint="eastAsia" w:ascii="仿宋" w:hAnsi="仿宋" w:eastAsia="仿宋" w:cs="仿宋"/>
          <w:b/>
          <w:sz w:val="24"/>
        </w:rPr>
        <w:t>4 履约检查和问题反馈</w:t>
      </w:r>
      <w:bookmarkEnd w:id="458"/>
      <w:bookmarkEnd w:id="459"/>
      <w:bookmarkEnd w:id="460"/>
    </w:p>
    <w:p>
      <w:pPr>
        <w:spacing w:line="560" w:lineRule="exact"/>
        <w:ind w:firstLine="480" w:firstLineChars="200"/>
        <w:rPr>
          <w:rFonts w:ascii="仿宋" w:hAnsi="仿宋" w:eastAsia="仿宋" w:cs="仿宋"/>
          <w:sz w:val="24"/>
        </w:rPr>
      </w:pPr>
      <w:bookmarkStart w:id="461" w:name="_Ref467379657"/>
      <w:r>
        <w:rPr>
          <w:rFonts w:hint="eastAsia" w:ascii="仿宋" w:hAnsi="仿宋" w:eastAsia="仿宋" w:cs="仿宋"/>
          <w:sz w:val="24"/>
        </w:rPr>
        <w:t>2.4.1</w:t>
      </w:r>
      <w:bookmarkEnd w:id="461"/>
      <w:bookmarkStart w:id="462" w:name="_Toc186431854"/>
      <w:bookmarkStart w:id="463" w:name="_Toc259093676"/>
      <w:bookmarkStart w:id="464" w:name="_Ref467379793"/>
      <w:bookmarkStart w:id="465" w:name="_Toc279701247"/>
      <w:bookmarkStart w:id="466" w:name="_Ref467379807"/>
      <w:bookmarkStart w:id="467" w:name="_Toc487900357"/>
      <w:r>
        <w:rPr>
          <w:rFonts w:hint="eastAsia" w:ascii="仿宋" w:hAnsi="仿宋" w:eastAsia="仿宋" w:cs="仿宋"/>
          <w:sz w:val="24"/>
        </w:rPr>
        <w:t>甲方有权在其认为必要时，对乙方是否能够按照合同约定完成服务进行履约检查，以确保乙方所交付的成果能够依约满足甲方之项目需求，但不得因履约检查妨碍乙方的正常工作，乙方应予积极配合；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sz w:val="24"/>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cs="仿宋"/>
          <w:b/>
          <w:sz w:val="24"/>
        </w:rPr>
      </w:pPr>
      <w:bookmarkStart w:id="469" w:name="_Toc279701248"/>
      <w:bookmarkStart w:id="470" w:name="_Ref467379852"/>
      <w:bookmarkStart w:id="471" w:name="_Toc259093677"/>
      <w:bookmarkStart w:id="472" w:name="_Ref467379923"/>
      <w:bookmarkStart w:id="473" w:name="_Toc487900358"/>
      <w:bookmarkStart w:id="474" w:name="_Ref467379863"/>
      <w:bookmarkStart w:id="475" w:name="_Toc16110"/>
      <w:bookmarkStart w:id="476" w:name="_Toc774"/>
      <w:bookmarkStart w:id="477" w:name="_Toc3225"/>
      <w:r>
        <w:rPr>
          <w:rFonts w:hint="eastAsia" w:ascii="仿宋" w:hAnsi="仿宋" w:eastAsia="仿宋" w:cs="仿宋"/>
          <w:b/>
          <w:sz w:val="24"/>
        </w:rPr>
        <w:t>2.5 技术资料</w:t>
      </w:r>
      <w:bookmarkEnd w:id="469"/>
      <w:bookmarkEnd w:id="470"/>
      <w:bookmarkEnd w:id="471"/>
      <w:bookmarkEnd w:id="472"/>
      <w:bookmarkEnd w:id="473"/>
      <w:bookmarkEnd w:id="474"/>
      <w:r>
        <w:rPr>
          <w:rFonts w:hint="eastAsia" w:ascii="仿宋" w:hAnsi="仿宋" w:eastAsia="仿宋" w:cs="仿宋"/>
          <w:b/>
          <w:sz w:val="24"/>
        </w:rPr>
        <w:t>和保密义务</w:t>
      </w:r>
      <w:bookmarkEnd w:id="475"/>
      <w:bookmarkEnd w:id="476"/>
      <w:bookmarkEnd w:id="477"/>
    </w:p>
    <w:p>
      <w:pPr>
        <w:spacing w:line="560" w:lineRule="exact"/>
        <w:ind w:firstLine="480" w:firstLineChars="200"/>
        <w:rPr>
          <w:rFonts w:ascii="仿宋" w:hAnsi="仿宋" w:eastAsia="仿宋" w:cs="仿宋"/>
          <w:sz w:val="24"/>
        </w:rPr>
      </w:pPr>
      <w:r>
        <w:rPr>
          <w:rFonts w:hint="eastAsia" w:ascii="仿宋" w:hAnsi="仿宋" w:eastAsia="仿宋" w:cs="仿宋"/>
          <w:sz w:val="24"/>
        </w:rPr>
        <w:t>2.5.1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78" w:name="_Toc7860"/>
      <w:r>
        <w:rPr>
          <w:rFonts w:hint="eastAsia" w:ascii="仿宋" w:hAnsi="仿宋" w:eastAsia="仿宋" w:cs="仿宋"/>
          <w:b/>
          <w:sz w:val="24"/>
        </w:rPr>
        <w:t>2.6 质量保证</w:t>
      </w:r>
      <w:bookmarkEnd w:id="478"/>
    </w:p>
    <w:p>
      <w:pPr>
        <w:spacing w:line="560" w:lineRule="exact"/>
        <w:ind w:firstLine="480" w:firstLineChars="200"/>
        <w:rPr>
          <w:rFonts w:ascii="仿宋" w:hAnsi="仿宋" w:eastAsia="仿宋" w:cs="仿宋"/>
          <w:sz w:val="24"/>
        </w:rPr>
      </w:pPr>
      <w:r>
        <w:rPr>
          <w:rFonts w:hint="eastAsia" w:ascii="仿宋" w:hAnsi="仿宋" w:eastAsia="仿宋" w:cs="仿宋"/>
          <w:sz w:val="24"/>
        </w:rPr>
        <w:t>2.6.1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b/>
          <w:sz w:val="24"/>
        </w:rPr>
      </w:pPr>
      <w:r>
        <w:rPr>
          <w:rFonts w:hint="eastAsia" w:ascii="仿宋" w:hAnsi="仿宋" w:eastAsia="仿宋" w:cs="仿宋"/>
          <w:sz w:val="24"/>
        </w:rPr>
        <w:t>2.6.2 乙方应保证履行合同的人员数量和素质、软件和硬件设备的配置、场地、环境和设施等满足全面履行合同的要求，并应接受甲方的监督检查。</w:t>
      </w:r>
      <w:bookmarkStart w:id="479" w:name="_Toc259093681"/>
      <w:bookmarkStart w:id="480" w:name="_Toc487900362"/>
      <w:bookmarkStart w:id="481" w:name="_Toc279701252"/>
    </w:p>
    <w:p>
      <w:pPr>
        <w:spacing w:line="560" w:lineRule="exact"/>
        <w:ind w:firstLine="482" w:firstLineChars="200"/>
        <w:outlineLvl w:val="0"/>
        <w:rPr>
          <w:rFonts w:ascii="仿宋" w:hAnsi="仿宋" w:eastAsia="仿宋" w:cs="仿宋"/>
          <w:b/>
          <w:sz w:val="24"/>
        </w:rPr>
      </w:pPr>
      <w:bookmarkStart w:id="482" w:name="_Toc14055"/>
      <w:r>
        <w:rPr>
          <w:rFonts w:hint="eastAsia" w:ascii="仿宋" w:hAnsi="仿宋" w:eastAsia="仿宋" w:cs="仿宋"/>
          <w:b/>
          <w:sz w:val="24"/>
        </w:rPr>
        <w:t>2.7 延迟</w:t>
      </w:r>
      <w:bookmarkEnd w:id="479"/>
      <w:bookmarkEnd w:id="480"/>
      <w:bookmarkEnd w:id="481"/>
      <w:bookmarkEnd w:id="482"/>
      <w:r>
        <w:rPr>
          <w:rFonts w:hint="eastAsia" w:ascii="仿宋" w:hAnsi="仿宋" w:eastAsia="仿宋" w:cs="仿宋"/>
          <w:b/>
          <w:sz w:val="24"/>
        </w:rPr>
        <w:t>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完成服务的情况，应及时以书面形式将不能按时完成服务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sz w:val="24"/>
        </w:rPr>
      </w:pPr>
      <w:bookmarkStart w:id="483" w:name="_Toc7502"/>
      <w:bookmarkStart w:id="484" w:name="_Ref467378121"/>
      <w:bookmarkStart w:id="485" w:name="_Toc487900364"/>
      <w:bookmarkStart w:id="486" w:name="_Toc279701254"/>
      <w:bookmarkStart w:id="487" w:name="_Toc259093683"/>
      <w:r>
        <w:rPr>
          <w:rFonts w:hint="eastAsia" w:ascii="仿宋" w:hAnsi="仿宋" w:eastAsia="仿宋" w:cs="仿宋"/>
          <w:b/>
          <w:sz w:val="24"/>
        </w:rPr>
        <w:t>2.8 合同变更</w:t>
      </w:r>
      <w:bookmarkEnd w:id="483"/>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88" w:name="_Toc259093688"/>
      <w:bookmarkStart w:id="489" w:name="_Toc279701259"/>
      <w:bookmarkStart w:id="490" w:name="_Toc487900369"/>
    </w:p>
    <w:p>
      <w:pPr>
        <w:spacing w:line="560" w:lineRule="exact"/>
        <w:ind w:firstLine="482" w:firstLineChars="200"/>
        <w:outlineLvl w:val="0"/>
        <w:rPr>
          <w:rFonts w:ascii="仿宋" w:hAnsi="仿宋" w:eastAsia="仿宋" w:cs="仿宋"/>
          <w:b/>
          <w:sz w:val="24"/>
        </w:rPr>
      </w:pPr>
      <w:bookmarkStart w:id="491" w:name="_Toc15237"/>
      <w:bookmarkStart w:id="492" w:name="_Toc22955"/>
      <w:bookmarkStart w:id="493" w:name="_Toc10366"/>
      <w:r>
        <w:rPr>
          <w:rFonts w:hint="eastAsia" w:ascii="仿宋" w:hAnsi="仿宋" w:eastAsia="仿宋" w:cs="仿宋"/>
          <w:b/>
          <w:sz w:val="24"/>
        </w:rPr>
        <w:t>2.9 合同转让</w:t>
      </w:r>
      <w:bookmarkEnd w:id="488"/>
      <w:bookmarkEnd w:id="489"/>
      <w:bookmarkEnd w:id="490"/>
      <w:r>
        <w:rPr>
          <w:rFonts w:hint="eastAsia" w:ascii="仿宋" w:hAnsi="仿宋" w:eastAsia="仿宋" w:cs="仿宋"/>
          <w:b/>
          <w:sz w:val="24"/>
        </w:rPr>
        <w:t>和分包</w:t>
      </w:r>
      <w:bookmarkEnd w:id="491"/>
      <w:bookmarkEnd w:id="492"/>
      <w:bookmarkEnd w:id="493"/>
    </w:p>
    <w:p>
      <w:pPr>
        <w:spacing w:line="560" w:lineRule="exact"/>
        <w:ind w:firstLine="480" w:firstLineChars="200"/>
        <w:rPr>
          <w:rFonts w:ascii="仿宋" w:hAnsi="仿宋" w:eastAsia="仿宋" w:cs="仿宋"/>
          <w:sz w:val="24"/>
        </w:rPr>
      </w:pPr>
      <w:r>
        <w:rPr>
          <w:rFonts w:hint="eastAsia" w:ascii="仿宋" w:hAnsi="仿宋" w:eastAsia="仿宋" w:cs="仿宋"/>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2.9.2乙方采取分包方式履行合同的，甲方可直接向分包供应商支付款项。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494" w:name="_Toc14066"/>
      <w:bookmarkStart w:id="495" w:name="_Toc13566"/>
      <w:bookmarkStart w:id="496" w:name="_Toc16508"/>
      <w:r>
        <w:rPr>
          <w:rFonts w:hint="eastAsia" w:ascii="仿宋" w:hAnsi="仿宋" w:eastAsia="仿宋" w:cs="仿宋"/>
          <w:b/>
          <w:sz w:val="24"/>
        </w:rPr>
        <w:t>2.10 不可抗力</w:t>
      </w:r>
      <w:bookmarkEnd w:id="494"/>
      <w:bookmarkEnd w:id="495"/>
      <w:bookmarkEnd w:id="496"/>
    </w:p>
    <w:p>
      <w:pPr>
        <w:spacing w:line="560" w:lineRule="exact"/>
        <w:ind w:firstLine="480" w:firstLineChars="200"/>
        <w:rPr>
          <w:rFonts w:ascii="仿宋" w:hAnsi="仿宋" w:eastAsia="仿宋" w:cs="仿宋"/>
          <w:sz w:val="24"/>
        </w:rPr>
      </w:pPr>
      <w:r>
        <w:rPr>
          <w:rFonts w:hint="eastAsia" w:ascii="仿宋" w:hAnsi="仿宋" w:eastAsia="仿宋" w:cs="仿宋"/>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2.10.2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2.10.3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497" w:name="_Toc6969"/>
      <w:bookmarkStart w:id="498" w:name="_Toc30676"/>
      <w:bookmarkStart w:id="499" w:name="_Toc487900365"/>
      <w:bookmarkStart w:id="500" w:name="_Toc279701255"/>
      <w:bookmarkStart w:id="501" w:name="_Toc259093684"/>
      <w:bookmarkStart w:id="502" w:name="_Toc689"/>
      <w:r>
        <w:rPr>
          <w:rFonts w:hint="eastAsia" w:ascii="仿宋" w:hAnsi="仿宋" w:eastAsia="仿宋" w:cs="仿宋"/>
          <w:b/>
          <w:sz w:val="24"/>
        </w:rPr>
        <w:t>2.11 税费</w:t>
      </w:r>
      <w:bookmarkEnd w:id="497"/>
      <w:bookmarkEnd w:id="498"/>
      <w:bookmarkEnd w:id="499"/>
      <w:bookmarkEnd w:id="500"/>
      <w:bookmarkEnd w:id="501"/>
      <w:bookmarkEnd w:id="502"/>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503" w:name="_Toc487900368"/>
      <w:bookmarkStart w:id="504" w:name="_Toc7102"/>
      <w:bookmarkStart w:id="505" w:name="_Toc279701258"/>
      <w:bookmarkStart w:id="506" w:name="_Toc8298"/>
      <w:bookmarkStart w:id="507" w:name="_Toc259093687"/>
      <w:bookmarkStart w:id="508" w:name="_Toc16959"/>
      <w:r>
        <w:rPr>
          <w:rFonts w:hint="eastAsia" w:ascii="仿宋" w:hAnsi="仿宋" w:eastAsia="仿宋" w:cs="仿宋"/>
          <w:b/>
          <w:sz w:val="24"/>
        </w:rPr>
        <w:t>2.12乙方破产</w:t>
      </w:r>
      <w:bookmarkEnd w:id="503"/>
      <w:bookmarkEnd w:id="504"/>
      <w:bookmarkEnd w:id="505"/>
      <w:bookmarkEnd w:id="506"/>
      <w:bookmarkEnd w:id="507"/>
      <w:bookmarkEnd w:id="508"/>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509" w:name="_Toc15387"/>
      <w:bookmarkStart w:id="510" w:name="_Toc6134"/>
      <w:bookmarkStart w:id="511" w:name="_Toc29333"/>
      <w:r>
        <w:rPr>
          <w:rFonts w:hint="eastAsia" w:ascii="仿宋" w:hAnsi="仿宋" w:eastAsia="仿宋" w:cs="仿宋"/>
          <w:b/>
          <w:sz w:val="24"/>
        </w:rPr>
        <w:t>2.13 合同中止、终止</w:t>
      </w:r>
      <w:bookmarkEnd w:id="509"/>
      <w:bookmarkEnd w:id="510"/>
      <w:bookmarkEnd w:id="511"/>
    </w:p>
    <w:p>
      <w:pPr>
        <w:spacing w:line="560" w:lineRule="exact"/>
        <w:ind w:firstLine="480" w:firstLineChars="200"/>
        <w:rPr>
          <w:rFonts w:ascii="仿宋" w:hAnsi="仿宋" w:eastAsia="仿宋" w:cs="仿宋"/>
          <w:sz w:val="24"/>
        </w:rPr>
      </w:pPr>
      <w:r>
        <w:rPr>
          <w:rFonts w:hint="eastAsia" w:ascii="仿宋" w:hAnsi="仿宋" w:eastAsia="仿宋" w:cs="仿宋"/>
          <w:sz w:val="24"/>
        </w:rPr>
        <w:t>2.13.1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512" w:name="_Toc6596"/>
      <w:bookmarkStart w:id="513" w:name="_Toc1125"/>
      <w:bookmarkStart w:id="514" w:name="_Toc14563"/>
      <w:r>
        <w:rPr>
          <w:rFonts w:hint="eastAsia" w:ascii="仿宋" w:hAnsi="仿宋" w:eastAsia="仿宋" w:cs="仿宋"/>
          <w:b/>
          <w:sz w:val="24"/>
        </w:rPr>
        <w:t>2.14检验和验收</w:t>
      </w:r>
      <w:bookmarkEnd w:id="512"/>
      <w:bookmarkEnd w:id="513"/>
      <w:bookmarkEnd w:id="514"/>
    </w:p>
    <w:bookmarkEnd w:id="484"/>
    <w:bookmarkEnd w:id="485"/>
    <w:bookmarkEnd w:id="486"/>
    <w:bookmarkEnd w:id="487"/>
    <w:p>
      <w:pPr>
        <w:tabs>
          <w:tab w:val="left" w:pos="360"/>
          <w:tab w:val="left" w:pos="540"/>
          <w:tab w:val="left" w:pos="1080"/>
        </w:tabs>
        <w:spacing w:line="560" w:lineRule="exact"/>
        <w:ind w:firstLine="480" w:firstLineChars="200"/>
        <w:rPr>
          <w:rFonts w:ascii="仿宋" w:hAnsi="仿宋" w:eastAsia="仿宋" w:cs="仿宋"/>
          <w:sz w:val="24"/>
        </w:rPr>
      </w:pPr>
      <w:bookmarkStart w:id="515" w:name="_Toc487900371"/>
      <w:bookmarkStart w:id="516" w:name="_Toc279701261"/>
      <w:bookmarkStart w:id="517" w:name="_Toc259093690"/>
      <w:bookmarkStart w:id="518" w:name="_Toc11284"/>
      <w:bookmarkStart w:id="519" w:name="_Toc19604"/>
      <w:bookmarkStart w:id="520" w:name="_Toc25182"/>
      <w:r>
        <w:rPr>
          <w:rFonts w:hint="eastAsia" w:ascii="仿宋" w:hAnsi="仿宋" w:eastAsia="仿宋" w:cs="仿宋"/>
          <w:sz w:val="24"/>
        </w:rPr>
        <w:t>2.14.1项目完工交付前，乙方应对服务的质量进行详细、全面的检验，并向甲方出具证明符合合同约定的文件；服务结束时，乙方在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560" w:lineRule="exact"/>
        <w:ind w:firstLine="480" w:firstLineChars="200"/>
        <w:outlineLvl w:val="0"/>
        <w:rPr>
          <w:rFonts w:ascii="仿宋" w:hAnsi="仿宋" w:eastAsia="仿宋" w:cs="仿宋"/>
          <w:i/>
          <w:sz w:val="24"/>
        </w:rPr>
      </w:pPr>
      <w:r>
        <w:rPr>
          <w:rFonts w:hint="eastAsia" w:ascii="仿宋" w:hAnsi="仿宋" w:eastAsia="仿宋" w:cs="仿宋"/>
          <w:sz w:val="24"/>
        </w:rPr>
        <w:t>2.14.3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2.15 通知</w:t>
      </w:r>
      <w:bookmarkEnd w:id="515"/>
      <w:bookmarkEnd w:id="516"/>
      <w:bookmarkEnd w:id="517"/>
      <w:r>
        <w:rPr>
          <w:rFonts w:hint="eastAsia" w:ascii="仿宋" w:hAnsi="仿宋" w:eastAsia="仿宋" w:cs="仿宋"/>
          <w:b/>
          <w:sz w:val="24"/>
        </w:rPr>
        <w:t>和送达</w:t>
      </w:r>
      <w:bookmarkEnd w:id="518"/>
      <w:bookmarkEnd w:id="519"/>
      <w:bookmarkEnd w:id="520"/>
    </w:p>
    <w:p>
      <w:pPr>
        <w:spacing w:line="560" w:lineRule="exact"/>
        <w:ind w:firstLine="480" w:firstLineChars="200"/>
        <w:rPr>
          <w:rFonts w:ascii="仿宋" w:hAnsi="仿宋" w:eastAsia="仿宋" w:cs="仿宋"/>
          <w:sz w:val="24"/>
        </w:rPr>
      </w:pPr>
      <w:bookmarkStart w:id="521" w:name="_Toc3135"/>
      <w:bookmarkStart w:id="522" w:name="_Toc6698"/>
      <w:bookmarkStart w:id="523" w:name="_Toc279701262"/>
      <w:bookmarkStart w:id="524" w:name="_Toc487900372"/>
      <w:bookmarkStart w:id="525" w:name="_Toc259093691"/>
      <w:r>
        <w:rPr>
          <w:rFonts w:hint="eastAsia" w:ascii="仿宋" w:hAnsi="仿宋" w:eastAsia="仿宋" w:cs="仿宋"/>
          <w:sz w:val="24"/>
        </w:rPr>
        <w:t xml:space="preserve">2.15.1任何一方因履行合同而以合同第一部分尾部所列明的传真或电子邮件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1"/>
      <w:bookmarkEnd w:id="522"/>
    </w:p>
    <w:p>
      <w:pPr>
        <w:spacing w:line="560" w:lineRule="exact"/>
        <w:ind w:firstLine="480" w:firstLineChars="200"/>
        <w:rPr>
          <w:rFonts w:ascii="仿宋" w:hAnsi="仿宋" w:eastAsia="仿宋" w:cs="仿宋"/>
          <w:sz w:val="24"/>
        </w:rPr>
      </w:pPr>
      <w:bookmarkStart w:id="526" w:name="_Toc23128"/>
      <w:bookmarkStart w:id="527" w:name="_Toc23294"/>
      <w:r>
        <w:rPr>
          <w:rFonts w:hint="eastAsia" w:ascii="仿宋" w:hAnsi="仿宋" w:eastAsia="仿宋" w:cs="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p>
    <w:p>
      <w:pPr>
        <w:spacing w:line="560" w:lineRule="exact"/>
        <w:ind w:firstLine="482" w:firstLineChars="200"/>
        <w:outlineLvl w:val="0"/>
        <w:rPr>
          <w:rFonts w:ascii="仿宋" w:hAnsi="仿宋" w:eastAsia="仿宋" w:cs="仿宋"/>
          <w:b/>
          <w:sz w:val="24"/>
        </w:rPr>
      </w:pPr>
      <w:bookmarkStart w:id="528" w:name="_Toc30599"/>
      <w:bookmarkStart w:id="529" w:name="_Toc18540"/>
      <w:bookmarkStart w:id="530" w:name="_Toc4355"/>
      <w:r>
        <w:rPr>
          <w:rFonts w:hint="eastAsia" w:ascii="仿宋" w:hAnsi="仿宋" w:eastAsia="仿宋" w:cs="仿宋"/>
          <w:b/>
          <w:sz w:val="24"/>
        </w:rPr>
        <w:t>2.16 计量单位</w:t>
      </w:r>
      <w:bookmarkEnd w:id="523"/>
      <w:bookmarkEnd w:id="524"/>
      <w:bookmarkEnd w:id="525"/>
      <w:bookmarkEnd w:id="528"/>
      <w:bookmarkEnd w:id="529"/>
      <w:bookmarkEnd w:id="530"/>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531" w:name="_Toc279701263"/>
      <w:bookmarkStart w:id="532" w:name="_Toc18567"/>
      <w:bookmarkStart w:id="533" w:name="_Toc259093692"/>
      <w:bookmarkStart w:id="534" w:name="_Toc12773"/>
      <w:bookmarkStart w:id="535" w:name="_Toc10330"/>
      <w:bookmarkStart w:id="536" w:name="_Toc487900373"/>
      <w:r>
        <w:rPr>
          <w:rFonts w:hint="eastAsia" w:ascii="仿宋" w:hAnsi="仿宋" w:eastAsia="仿宋" w:cs="仿宋"/>
          <w:b/>
          <w:sz w:val="24"/>
        </w:rPr>
        <w:t>2.17 合同使用的文字和适用的法律</w:t>
      </w:r>
      <w:bookmarkEnd w:id="531"/>
      <w:bookmarkEnd w:id="532"/>
      <w:bookmarkEnd w:id="533"/>
      <w:bookmarkEnd w:id="534"/>
      <w:bookmarkEnd w:id="535"/>
      <w:bookmarkEnd w:id="536"/>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bookmarkStart w:id="537" w:name="_Toc16673"/>
      <w:bookmarkStart w:id="538" w:name="_Toc3148"/>
      <w:bookmarkStart w:id="539" w:name="_Toc279701264"/>
      <w:bookmarkStart w:id="540" w:name="_Toc12004"/>
      <w:bookmarkStart w:id="541" w:name="_Toc259093693"/>
      <w:bookmarkStart w:id="542" w:name="_Toc487900374"/>
      <w:r>
        <w:rPr>
          <w:rFonts w:hint="eastAsia" w:ascii="仿宋" w:hAnsi="仿宋" w:eastAsia="仿宋" w:cs="仿宋"/>
          <w:b/>
          <w:sz w:val="24"/>
        </w:rPr>
        <w:t>2.18 履约保证金</w:t>
      </w:r>
      <w:bookmarkEnd w:id="537"/>
      <w:bookmarkEnd w:id="538"/>
      <w:bookmarkEnd w:id="539"/>
      <w:bookmarkEnd w:id="540"/>
      <w:bookmarkEnd w:id="541"/>
    </w:p>
    <w:p>
      <w:pPr>
        <w:pStyle w:val="957"/>
        <w:spacing w:before="0" w:beforeAutospacing="0" w:after="0" w:afterAutospacing="0" w:line="360" w:lineRule="auto"/>
        <w:ind w:firstLine="420"/>
        <w:rPr>
          <w:rFonts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约定的方式，以支票、汇票、本票或者金融机构、担保机构出具的保函等非现金形式，提交不超过合同金额2.5%的履约保证金；鼓励和支持乙方以银行、保险公司出具的保函形式提供履约保证。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2.5%。</w:t>
      </w:r>
    </w:p>
    <w:p>
      <w:pPr>
        <w:spacing w:line="560" w:lineRule="exact"/>
        <w:ind w:firstLine="480" w:firstLineChars="200"/>
        <w:rPr>
          <w:rFonts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2.19对于因甲方原因导致变更、中止或者终止政府采购合同的，甲方应当依照合同约定对供应商受到的损失予以赔偿或者补偿。</w:t>
      </w:r>
    </w:p>
    <w:bookmarkEnd w:id="542"/>
    <w:p>
      <w:pPr>
        <w:spacing w:line="560" w:lineRule="exact"/>
        <w:ind w:firstLine="482" w:firstLineChars="200"/>
        <w:outlineLvl w:val="0"/>
        <w:rPr>
          <w:rFonts w:ascii="仿宋" w:hAnsi="仿宋" w:eastAsia="仿宋" w:cs="仿宋"/>
          <w:b/>
          <w:sz w:val="24"/>
        </w:rPr>
      </w:pPr>
      <w:bookmarkStart w:id="543" w:name="_Toc14001"/>
      <w:bookmarkStart w:id="544" w:name="_Toc19890"/>
      <w:bookmarkStart w:id="545" w:name="_Toc6885"/>
      <w:r>
        <w:rPr>
          <w:rFonts w:hint="eastAsia" w:ascii="仿宋" w:hAnsi="仿宋" w:eastAsia="仿宋" w:cs="仿宋"/>
          <w:b/>
          <w:sz w:val="24"/>
        </w:rPr>
        <w:t>2.20合同份数</w:t>
      </w:r>
      <w:bookmarkEnd w:id="543"/>
      <w:bookmarkEnd w:id="544"/>
      <w:bookmarkEnd w:id="545"/>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ascii="仿宋" w:hAnsi="仿宋" w:eastAsia="仿宋" w:cs="仿宋"/>
          <w:b/>
          <w:szCs w:val="24"/>
        </w:rPr>
      </w:pPr>
      <w:r>
        <w:rPr>
          <w:rFonts w:hint="eastAsia" w:ascii="仿宋" w:hAnsi="仿宋" w:eastAsia="仿宋" w:cs="仿宋"/>
          <w:kern w:val="0"/>
          <w:szCs w:val="24"/>
        </w:rPr>
        <w:br w:type="page"/>
      </w:r>
      <w:bookmarkStart w:id="546" w:name="_Toc331685784"/>
      <w:r>
        <w:rPr>
          <w:rFonts w:hint="eastAsia" w:ascii="仿宋" w:hAnsi="仿宋" w:eastAsia="仿宋" w:cs="仿宋"/>
          <w:b/>
          <w:szCs w:val="24"/>
        </w:rPr>
        <w:t xml:space="preserve"> </w:t>
      </w:r>
      <w:bookmarkEnd w:id="546"/>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2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8275" w:type="dxa"/>
            <w:vAlign w:val="center"/>
          </w:tcPr>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资金支付的方式、时间和条件：本项目分期支付项目款。</w:t>
            </w:r>
          </w:p>
          <w:p>
            <w:pPr>
              <w:widowControl/>
              <w:autoSpaceDE w:val="0"/>
              <w:autoSpaceDN w:val="0"/>
              <w:spacing w:line="480" w:lineRule="exact"/>
              <w:textAlignment w:val="bottom"/>
              <w:rPr>
                <w:rFonts w:hint="eastAsia" w:ascii="仿宋" w:hAnsi="仿宋" w:eastAsia="仿宋" w:cs="仿宋"/>
                <w:sz w:val="24"/>
              </w:rPr>
            </w:pPr>
            <w:r>
              <w:rPr>
                <w:rFonts w:hint="eastAsia" w:ascii="仿宋" w:hAnsi="仿宋" w:eastAsia="仿宋" w:cs="仿宋"/>
                <w:sz w:val="24"/>
              </w:rPr>
              <w:t>采购合同签订生效并具备实施条件后7个工作日，采购单位向成交供应商支付合同总价的40%预付款（供应商需提供相应金额的预付款保函至采购单位）；</w:t>
            </w:r>
          </w:p>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2）在第二季度前采购人支付合同价款的20%，第三季度前采购人支付合同价款的20%，第四季度前采购人支付合同价款的20%；结算时供应商将结款申请1份、发票原件及复印件1份、合同复印件1份和经采购单位验收确认的《建德市政府采购验收反馈表》（还需提供验收报告）提交采购单位，采购单位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275" w:type="dxa"/>
            <w:vAlign w:val="center"/>
          </w:tcPr>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服务期限：</w:t>
            </w:r>
            <w:r>
              <w:rPr>
                <w:rFonts w:hint="eastAsia" w:ascii="仿宋" w:hAnsi="仿宋" w:eastAsia="仿宋" w:cs="仿宋"/>
                <w:bCs/>
                <w:snapToGrid/>
                <w:color w:val="auto"/>
                <w:kern w:val="2"/>
                <w:sz w:val="24"/>
                <w:szCs w:val="24"/>
                <w:lang w:val="zh-CN" w:eastAsia="zh-CN" w:bidi="ar-SA"/>
              </w:rPr>
              <w:t>服务期一年，自政府采购合同签订生效之日起计算。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服务地点：采购人指定地点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275" w:type="dxa"/>
            <w:vAlign w:val="center"/>
          </w:tcPr>
          <w:p>
            <w:pPr>
              <w:rPr>
                <w:rFonts w:ascii="仿宋" w:hAnsi="仿宋" w:eastAsia="仿宋" w:cs="仿宋"/>
                <w:sz w:val="24"/>
              </w:rPr>
            </w:pPr>
            <w:r>
              <w:rPr>
                <w:rFonts w:hint="eastAsia" w:ascii="仿宋" w:hAnsi="仿宋" w:eastAsia="仿宋" w:cs="仿宋"/>
                <w:sz w:val="24"/>
              </w:rPr>
              <w:t>服务内容：按采购需求及投标方案完成本项目并提交相应成果。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8275" w:type="dxa"/>
            <w:vAlign w:val="center"/>
          </w:tcPr>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违约责任：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乙方按合同要求完成服务后，经验收合格后，甲方超出付款期支付货款的，每逾一天，甲方应向乙方支付合同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8275" w:type="dxa"/>
            <w:vAlign w:val="center"/>
          </w:tcPr>
          <w:p>
            <w:pPr>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1.7.2  </w:t>
            </w:r>
            <w:r>
              <w:rPr>
                <w:rFonts w:hint="eastAsia" w:ascii="仿宋" w:hAnsi="仿宋" w:eastAsia="仿宋" w:cs="仿宋"/>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向</w:t>
            </w:r>
            <w:r>
              <w:rPr>
                <w:rFonts w:hint="eastAsia" w:ascii="仿宋" w:hAnsi="仿宋" w:eastAsia="仿宋" w:cs="仿宋"/>
                <w:b/>
                <w:i/>
                <w:sz w:val="24"/>
                <w:u w:val="single"/>
              </w:rPr>
              <w:t>建德市人民法院</w:t>
            </w:r>
            <w:r>
              <w:rPr>
                <w:rFonts w:hint="eastAsia" w:ascii="仿宋" w:hAnsi="仿宋" w:eastAsia="仿宋" w:cs="仿宋"/>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275" w:type="dxa"/>
            <w:vAlign w:val="center"/>
          </w:tcPr>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具有知识产权的计算机软件等货物的知识产权归属：</w:t>
            </w:r>
            <w:r>
              <w:rPr>
                <w:rFonts w:hint="eastAsia" w:ascii="仿宋" w:hAnsi="仿宋" w:eastAsia="仿宋" w:cs="仿宋"/>
                <w:b/>
                <w:bCs/>
                <w:sz w:val="24"/>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2.10.3</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因不可抗力致使合同有变更必要的，双方当事人应在</w:t>
            </w:r>
            <w:r>
              <w:rPr>
                <w:rFonts w:hint="eastAsia" w:ascii="仿宋" w:hAnsi="仿宋" w:eastAsia="仿宋" w:cs="仿宋"/>
                <w:b/>
                <w:i/>
                <w:sz w:val="24"/>
                <w:u w:val="single"/>
              </w:rPr>
              <w:t>30日</w:t>
            </w:r>
            <w:r>
              <w:rPr>
                <w:rFonts w:hint="eastAsia" w:ascii="仿宋" w:hAnsi="仿宋" w:eastAsia="仿宋" w:cs="仿宋"/>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2.10.4</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受不可抗力影响的一方在不可抗力发生后，应在</w:t>
            </w:r>
            <w:r>
              <w:rPr>
                <w:rFonts w:hint="eastAsia" w:ascii="仿宋" w:hAnsi="仿宋" w:eastAsia="仿宋" w:cs="仿宋"/>
                <w:b/>
                <w:i/>
                <w:sz w:val="24"/>
                <w:u w:val="single"/>
              </w:rPr>
              <w:t>7日</w:t>
            </w:r>
            <w:r>
              <w:rPr>
                <w:rFonts w:hint="eastAsia" w:ascii="仿宋" w:hAnsi="仿宋" w:eastAsia="仿宋" w:cs="仿宋"/>
                <w:sz w:val="24"/>
              </w:rPr>
              <w:t>内以书面形式通知对方当事人，并在</w:t>
            </w:r>
            <w:r>
              <w:rPr>
                <w:rFonts w:hint="eastAsia" w:ascii="仿宋" w:hAnsi="仿宋" w:eastAsia="仿宋" w:cs="仿宋"/>
                <w:b/>
                <w:i/>
                <w:sz w:val="24"/>
                <w:u w:val="single"/>
              </w:rPr>
              <w:t>14日</w:t>
            </w:r>
            <w:r>
              <w:rPr>
                <w:rFonts w:hint="eastAsia" w:ascii="仿宋" w:hAnsi="仿宋" w:eastAsia="仿宋" w:cs="仿宋"/>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2.14.1</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服务结束时，乙方在</w:t>
            </w:r>
            <w:r>
              <w:rPr>
                <w:rFonts w:hint="eastAsia" w:ascii="仿宋" w:hAnsi="仿宋" w:eastAsia="仿宋" w:cs="仿宋"/>
                <w:b/>
                <w:i/>
                <w:sz w:val="24"/>
                <w:u w:val="single"/>
              </w:rPr>
              <w:t>3日内</w:t>
            </w:r>
            <w:r>
              <w:rPr>
                <w:rFonts w:hint="eastAsia" w:ascii="仿宋" w:hAnsi="仿宋" w:eastAsia="仿宋" w:cs="仿宋"/>
                <w:sz w:val="24"/>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2.14.3</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检验和验收标准、程序等具体内容：</w:t>
            </w:r>
            <w:r>
              <w:rPr>
                <w:rFonts w:hint="eastAsia" w:ascii="仿宋" w:hAnsi="仿宋" w:eastAsia="仿宋" w:cs="仿宋"/>
                <w:bCs/>
                <w:sz w:val="24"/>
              </w:rPr>
              <w:t>通过采购单位制定的考核要求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2.18.1</w:t>
            </w:r>
          </w:p>
        </w:tc>
        <w:tc>
          <w:tcPr>
            <w:tcW w:w="8275" w:type="dxa"/>
          </w:tcPr>
          <w:p>
            <w:pPr>
              <w:spacing w:line="360" w:lineRule="auto"/>
              <w:rPr>
                <w:rFonts w:ascii="仿宋" w:hAnsi="仿宋" w:eastAsia="仿宋" w:cs="仿宋"/>
                <w:sz w:val="24"/>
              </w:rPr>
            </w:pPr>
            <w:r>
              <w:rPr>
                <w:rStyle w:val="352"/>
                <w:rFonts w:hint="default" w:ascii="仿宋" w:hAnsi="仿宋" w:eastAsia="仿宋" w:cs="仿宋"/>
                <w:b w:val="0"/>
              </w:rPr>
              <w:t>履约保证金：本项目将</w:t>
            </w:r>
            <w:r>
              <w:rPr>
                <w:rFonts w:hint="eastAsia" w:ascii="仿宋" w:hAnsi="仿宋" w:eastAsia="仿宋" w:cs="仿宋"/>
                <w:sz w:val="24"/>
              </w:rPr>
              <w:t>根据杭州市政府采购网公布的供应商履约评价情况收取履约保证金。乙方履约验收评价总分为100分的，本项目免收履约保证金；评价总分在90分以上的，本项目收取履约保证金为合同金额1%；评价总分在不满90分或者暂无评分的，本项目收取履约保证金为合同金额2.5%。需要收取保证金的供应商</w:t>
            </w:r>
            <w:r>
              <w:rPr>
                <w:rStyle w:val="352"/>
                <w:rFonts w:hint="default" w:ascii="仿宋" w:hAnsi="仿宋" w:eastAsia="仿宋" w:cs="仿宋"/>
                <w:b w:val="0"/>
              </w:rPr>
              <w:t>在正式合同签订生效之日起7个工作日内，</w:t>
            </w:r>
            <w:r>
              <w:rPr>
                <w:rFonts w:hint="eastAsia" w:ascii="仿宋" w:hAnsi="仿宋" w:eastAsia="仿宋" w:cs="仿宋"/>
                <w:sz w:val="24"/>
              </w:rPr>
              <w:t>缴纳</w:t>
            </w:r>
            <w:r>
              <w:rPr>
                <w:rStyle w:val="352"/>
                <w:rFonts w:hint="default" w:ascii="仿宋" w:hAnsi="仿宋" w:eastAsia="仿宋" w:cs="仿宋"/>
                <w:b w:val="0"/>
              </w:rPr>
              <w:t>保证金至甲方指定账户（可采用银行、保险公司出具保函形式提交）。在验收合格后经回访正常后凭正式收款收据、履约保证金缴款凭证复印件、《建德市政府采购回访意见单》办理结算手续。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2.18.2 </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履约保证金在</w:t>
            </w:r>
            <w:r>
              <w:rPr>
                <w:rFonts w:hint="eastAsia" w:ascii="仿宋" w:hAnsi="仿宋" w:eastAsia="仿宋" w:cs="仿宋"/>
                <w:b/>
                <w:bCs/>
                <w:sz w:val="24"/>
                <w:u w:val="single"/>
              </w:rPr>
              <w:t>履约</w:t>
            </w:r>
            <w:r>
              <w:rPr>
                <w:rFonts w:hint="eastAsia" w:ascii="仿宋" w:hAnsi="仿宋" w:eastAsia="仿宋" w:cs="仿宋"/>
                <w:sz w:val="24"/>
              </w:rPr>
              <w:t>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100%</w:t>
            </w:r>
            <w:r>
              <w:rPr>
                <w:rFonts w:hint="eastAsia" w:ascii="仿宋" w:hAnsi="仿宋" w:eastAsia="仿宋" w:cs="仿宋"/>
                <w:sz w:val="24"/>
              </w:rPr>
              <w:t>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合同份数：</w:t>
            </w:r>
            <w:r>
              <w:rPr>
                <w:rFonts w:hint="eastAsia" w:ascii="仿宋" w:hAnsi="仿宋" w:eastAsia="仿宋" w:cs="仿宋"/>
                <w:kern w:val="0"/>
                <w:sz w:val="24"/>
              </w:rPr>
              <w:t>本合同壹式柒份，甲、乙双方各执叁份，见证单位壹份。</w:t>
            </w: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p>
    <w:p>
      <w:pPr>
        <w:pStyle w:val="2"/>
        <w:rPr>
          <w:rFonts w:ascii="仿宋" w:hAnsi="仿宋" w:eastAsia="仿宋" w:cs="仿宋"/>
          <w:b/>
          <w:sz w:val="36"/>
          <w:szCs w:val="20"/>
        </w:rPr>
      </w:pPr>
    </w:p>
    <w:p>
      <w:pPr>
        <w:pStyle w:val="2"/>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建德市人民法院、浙江建安工程管理有限公司：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我方参与建德市人民法院审判执行事务社会化外包服务采购项目【招标编号：</w:t>
      </w:r>
      <w:r>
        <w:rPr>
          <w:rFonts w:hint="eastAsia" w:ascii="仿宋" w:hAnsi="仿宋" w:eastAsia="仿宋" w:cs="仿宋"/>
          <w:sz w:val="24"/>
          <w:lang w:eastAsia="zh-CN"/>
        </w:rPr>
        <w:t>JD2022BF-039</w:t>
      </w:r>
      <w:r>
        <w:rPr>
          <w:rFonts w:hint="eastAsia" w:ascii="仿宋" w:hAnsi="仿宋" w:eastAsia="仿宋" w:cs="仿宋"/>
          <w:sz w:val="24"/>
        </w:rPr>
        <w:t xml:space="preserve"> 】政府采购活动，郑重承诺：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建德市人民法院、浙江建安工程管理有限公司：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我方参加你方组织的建德市人民法院审判执行事务社会化外包服务采购项目【招标编号：</w:t>
      </w:r>
      <w:r>
        <w:rPr>
          <w:rFonts w:hint="eastAsia" w:ascii="仿宋" w:hAnsi="仿宋" w:eastAsia="仿宋" w:cs="仿宋"/>
          <w:sz w:val="24"/>
          <w:lang w:eastAsia="zh-CN"/>
        </w:rPr>
        <w:t>JD2022BF-039</w:t>
      </w:r>
      <w:r>
        <w:rPr>
          <w:rFonts w:hint="eastAsia" w:ascii="仿宋" w:hAnsi="仿宋" w:eastAsia="仿宋" w:cs="仿宋"/>
          <w:sz w:val="24"/>
        </w:rPr>
        <w:t xml:space="preserve"> 】招标的有关活动，并对此项目进行投标。为此：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2.1.2中小企业声明函（如果有）。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建德市人民法院、浙江建安工程管理有限公司</w:t>
      </w:r>
      <w:r>
        <w:rPr>
          <w:rFonts w:hint="eastAsia" w:ascii="仿宋" w:hAnsi="仿宋" w:eastAsia="仿宋" w:cs="仿宋"/>
          <w:kern w:val="0"/>
          <w:sz w:val="24"/>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建德市人民法院审判执行事务社会化外包服务采购项目【招标编号：</w:t>
      </w:r>
      <w:r>
        <w:rPr>
          <w:rFonts w:hint="eastAsia" w:ascii="仿宋" w:hAnsi="仿宋" w:eastAsia="仿宋" w:cs="仿宋"/>
          <w:sz w:val="24"/>
          <w:lang w:eastAsia="zh-CN"/>
        </w:rPr>
        <w:t>JD2022BF-039</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pPr>
        <w:pStyle w:val="25"/>
        <w:rPr>
          <w:rFonts w:ascii="仿宋" w:hAnsi="仿宋" w:eastAsia="仿宋" w:cs="仿宋"/>
          <w:b/>
          <w:kern w:val="0"/>
          <w:sz w:val="32"/>
          <w:szCs w:val="32"/>
        </w:rPr>
      </w:pPr>
    </w:p>
    <w:p>
      <w:pPr>
        <w:pStyle w:val="26"/>
        <w:rPr>
          <w:rFonts w:ascii="仿宋" w:hAnsi="仿宋" w:eastAsia="仿宋" w:cs="仿宋"/>
          <w:b/>
          <w:kern w:val="0"/>
          <w:sz w:val="32"/>
          <w:szCs w:val="32"/>
        </w:rPr>
      </w:pPr>
    </w:p>
    <w:p>
      <w:pPr>
        <w:rPr>
          <w:rFonts w:ascii="仿宋" w:hAnsi="仿宋" w:eastAsia="仿宋" w:cs="仿宋"/>
          <w:b/>
          <w:kern w:val="0"/>
          <w:sz w:val="32"/>
          <w:szCs w:val="32"/>
        </w:rPr>
      </w:pPr>
    </w:p>
    <w:p>
      <w:pPr>
        <w:pStyle w:val="25"/>
        <w:rPr>
          <w:rFonts w:ascii="仿宋" w:hAnsi="仿宋" w:eastAsia="仿宋" w:cs="仿宋"/>
          <w:b/>
          <w:kern w:val="0"/>
          <w:sz w:val="32"/>
          <w:szCs w:val="32"/>
        </w:rPr>
      </w:pPr>
    </w:p>
    <w:p>
      <w:pPr>
        <w:pStyle w:val="26"/>
        <w:rPr>
          <w:rFonts w:ascii="仿宋" w:hAnsi="仿宋" w:eastAsia="仿宋" w:cs="仿宋"/>
          <w:b/>
          <w:kern w:val="0"/>
          <w:sz w:val="32"/>
          <w:szCs w:val="32"/>
        </w:rPr>
      </w:pPr>
    </w:p>
    <w:p>
      <w:pPr>
        <w:rPr>
          <w:rFonts w:ascii="仿宋" w:hAnsi="仿宋" w:eastAsia="仿宋" w:cs="仿宋"/>
          <w:b/>
          <w:kern w:val="0"/>
          <w:sz w:val="32"/>
          <w:szCs w:val="32"/>
        </w:rPr>
      </w:pPr>
    </w:p>
    <w:p>
      <w:pPr>
        <w:pStyle w:val="25"/>
        <w:rPr>
          <w:rFonts w:ascii="仿宋" w:hAnsi="仿宋" w:eastAsia="仿宋" w:cs="仿宋"/>
          <w:b/>
          <w:kern w:val="0"/>
          <w:sz w:val="32"/>
          <w:szCs w:val="32"/>
        </w:rPr>
      </w:pPr>
    </w:p>
    <w:p>
      <w:pPr>
        <w:pStyle w:val="26"/>
        <w:rPr>
          <w:rFonts w:ascii="仿宋" w:hAnsi="仿宋" w:eastAsia="仿宋" w:cs="仿宋"/>
          <w:b/>
          <w:kern w:val="0"/>
          <w:sz w:val="32"/>
          <w:szCs w:val="32"/>
        </w:rPr>
      </w:pPr>
    </w:p>
    <w:p>
      <w:pPr>
        <w:rPr>
          <w:rFonts w:ascii="仿宋" w:hAnsi="仿宋" w:eastAsia="仿宋" w:cs="仿宋"/>
          <w:b/>
          <w:kern w:val="0"/>
          <w:sz w:val="32"/>
          <w:szCs w:val="32"/>
        </w:rPr>
      </w:pPr>
    </w:p>
    <w:p>
      <w:pPr>
        <w:pStyle w:val="25"/>
        <w:rPr>
          <w:rFonts w:ascii="仿宋" w:hAnsi="仿宋" w:eastAsia="仿宋" w:cs="仿宋"/>
          <w:b/>
          <w:kern w:val="0"/>
          <w:sz w:val="32"/>
          <w:szCs w:val="32"/>
        </w:rPr>
      </w:pPr>
    </w:p>
    <w:p>
      <w:pPr>
        <w:pStyle w:val="26"/>
        <w:rPr>
          <w:rFonts w:ascii="仿宋" w:hAnsi="仿宋" w:eastAsia="仿宋" w:cs="仿宋"/>
          <w:b/>
          <w:kern w:val="0"/>
          <w:sz w:val="32"/>
          <w:szCs w:val="32"/>
        </w:rPr>
      </w:pPr>
    </w:p>
    <w:p>
      <w:pPr>
        <w:rPr>
          <w:rFonts w:ascii="仿宋" w:hAnsi="仿宋" w:eastAsia="仿宋" w:cs="仿宋"/>
          <w:b/>
          <w:kern w:val="0"/>
          <w:sz w:val="32"/>
          <w:szCs w:val="32"/>
        </w:rPr>
      </w:pPr>
    </w:p>
    <w:p>
      <w:pPr>
        <w:pStyle w:val="25"/>
        <w:rPr>
          <w:rFonts w:ascii="仿宋" w:hAnsi="仿宋" w:eastAsia="仿宋" w:cs="仿宋"/>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4"/>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六、</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建德市人民法院、浙江建安工程管理有限公司</w:t>
      </w:r>
      <w:r>
        <w:rPr>
          <w:rFonts w:hint="eastAsia" w:ascii="仿宋" w:hAnsi="仿宋" w:eastAsia="仿宋" w:cs="仿宋"/>
          <w:kern w:val="0"/>
          <w:sz w:val="24"/>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建德市人民法院、浙江建安工程管理有限公司</w:t>
      </w:r>
      <w:r>
        <w:rPr>
          <w:rFonts w:hint="eastAsia" w:ascii="仿宋" w:hAnsi="仿宋" w:eastAsia="仿宋" w:cs="仿宋"/>
          <w:kern w:val="0"/>
          <w:sz w:val="24"/>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建德市人民法院审判执行事务社会化外包服务采购项目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JD2022BF-039</w:t>
      </w:r>
      <w:r>
        <w:rPr>
          <w:rFonts w:hint="eastAsia" w:ascii="仿宋" w:hAnsi="仿宋" w:eastAsia="仿宋" w:cs="仿宋"/>
          <w:sz w:val="24"/>
        </w:rPr>
        <w:t xml:space="preserve"> 】的实施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26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3260"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260"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3260"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3260"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3260"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ascii="仿宋" w:hAnsi="仿宋" w:eastAsia="仿宋" w:cs="仿宋"/>
          <w:szCs w:val="21"/>
        </w:rPr>
      </w:pPr>
      <w:r>
        <w:rPr>
          <w:rFonts w:hint="eastAsia" w:ascii="仿宋" w:hAnsi="仿宋" w:eastAsia="仿宋" w:cs="仿宋"/>
          <w:b/>
          <w:bCs/>
          <w:kern w:val="0"/>
          <w:sz w:val="24"/>
        </w:rPr>
        <w:t>一、适用对象</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凡已在浙江政府采购网上注册入库，并取得建德市政府采购合同的中小企业供应商（以下简称“供应商”），均可申请政府采购信用融资。</w:t>
      </w:r>
    </w:p>
    <w:p>
      <w:pPr>
        <w:widowControl/>
        <w:spacing w:line="440" w:lineRule="exact"/>
        <w:ind w:firstLine="482"/>
        <w:rPr>
          <w:rFonts w:ascii="仿宋" w:hAnsi="仿宋" w:eastAsia="仿宋" w:cs="仿宋"/>
          <w:szCs w:val="21"/>
        </w:rPr>
      </w:pPr>
      <w:r>
        <w:rPr>
          <w:rFonts w:hint="eastAsia" w:ascii="仿宋" w:hAnsi="仿宋" w:eastAsia="仿宋" w:cs="仿宋"/>
          <w:b/>
          <w:bCs/>
          <w:kern w:val="0"/>
          <w:sz w:val="24"/>
        </w:rPr>
        <w:t>二、政府采购信用融资操作流程：</w:t>
      </w:r>
    </w:p>
    <w:p>
      <w:pPr>
        <w:widowControl/>
        <w:spacing w:line="440" w:lineRule="exact"/>
        <w:ind w:firstLine="960"/>
        <w:rPr>
          <w:rFonts w:ascii="仿宋" w:hAnsi="仿宋" w:eastAsia="仿宋" w:cs="仿宋"/>
          <w:szCs w:val="21"/>
        </w:rPr>
      </w:pPr>
      <w:r>
        <w:rPr>
          <w:rFonts w:hint="eastAsia" w:ascii="仿宋" w:hAnsi="仿宋" w:eastAsia="仿宋" w:cs="仿宋"/>
          <w:kern w:val="0"/>
          <w:sz w:val="24"/>
        </w:rPr>
        <w:t>（一）线上融资模式（政采云）：</w:t>
      </w:r>
    </w:p>
    <w:p>
      <w:pPr>
        <w:widowControl/>
        <w:spacing w:line="440" w:lineRule="exact"/>
        <w:ind w:firstLine="960"/>
        <w:rPr>
          <w:rFonts w:ascii="仿宋" w:hAnsi="仿宋" w:eastAsia="仿宋" w:cs="仿宋"/>
          <w:szCs w:val="21"/>
        </w:rPr>
      </w:pPr>
      <w:r>
        <w:rPr>
          <w:rFonts w:hint="eastAsia" w:ascii="仿宋" w:hAnsi="仿宋" w:eastAsia="仿宋" w:cs="仿宋"/>
          <w:kern w:val="0"/>
          <w:sz w:val="24"/>
        </w:rPr>
        <w:t>操作路劲：登录政采云平台—金融服务中心—融资贷款。</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1.供应商根据合作银行提供的方案，自行选择金融产品，并办理开户等手续；</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2.采购合同签订后，供应商在“政采云”平台向合作银行发出融资申请。</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3.审批通过后，办理放贷手续。</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（二）线下融资模式：</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1.供应商根据合作银行提供的方案，自行选择金融产品，向合作银行提出信用资格预审，并办理开户等手续；</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2.采购合同签订后，供应商向合作银行发出融资申请；</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3.合作银行受理申请后，供应商提供审批材料。合作银行应对申请信用融资的供应商及备案的政府采购合同信息进行核对和审查；</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4.审批通过后，合作银行应按照合作备忘录中约定的审批放款期限和优惠利率及时予以放款。</w:t>
      </w:r>
    </w:p>
    <w:p>
      <w:pPr>
        <w:pStyle w:val="4"/>
        <w:keepNext w:val="0"/>
        <w:keepLines w:val="0"/>
        <w:widowControl/>
        <w:spacing w:line="440" w:lineRule="exact"/>
        <w:ind w:firstLine="960"/>
        <w:rPr>
          <w:rFonts w:ascii="仿宋" w:eastAsia="仿宋" w:cs="仿宋"/>
        </w:rPr>
      </w:pPr>
      <w:r>
        <w:rPr>
          <w:rFonts w:hint="eastAsia" w:ascii="仿宋" w:eastAsia="仿宋" w:cs="仿宋"/>
          <w:b w:val="0"/>
          <w:bCs w:val="0"/>
          <w:sz w:val="24"/>
          <w:szCs w:val="24"/>
        </w:rPr>
        <w:t>（三）杭州e融平台申请融资</w:t>
      </w:r>
    </w:p>
    <w:p>
      <w:pPr>
        <w:pStyle w:val="4"/>
        <w:keepNext w:val="0"/>
        <w:keepLines w:val="0"/>
        <w:widowControl/>
        <w:spacing w:line="440" w:lineRule="exact"/>
        <w:ind w:firstLine="960"/>
        <w:rPr>
          <w:rFonts w:ascii="仿宋" w:eastAsia="仿宋" w:cs="仿宋"/>
        </w:rPr>
      </w:pPr>
      <w:r>
        <w:rPr>
          <w:rFonts w:hint="eastAsia" w:ascii="仿宋" w:eastAsia="仿宋" w:cs="仿宋"/>
          <w:b w:val="0"/>
          <w:bCs w:val="0"/>
          <w:sz w:val="24"/>
          <w:szCs w:val="24"/>
        </w:rPr>
        <w:t>供应商通过杭州e融平台政采贷专区，自行选择金融产品，按规定手续办理贷款流程。</w:t>
      </w:r>
    </w:p>
    <w:p>
      <w:pPr>
        <w:widowControl/>
        <w:spacing w:line="440" w:lineRule="exact"/>
        <w:ind w:firstLine="482"/>
        <w:rPr>
          <w:rFonts w:ascii="仿宋" w:hAnsi="仿宋" w:eastAsia="仿宋" w:cs="仿宋"/>
          <w:szCs w:val="21"/>
        </w:rPr>
      </w:pPr>
      <w:r>
        <w:rPr>
          <w:rFonts w:hint="eastAsia" w:ascii="仿宋" w:hAnsi="仿宋" w:eastAsia="仿宋" w:cs="仿宋"/>
          <w:b/>
          <w:bCs/>
          <w:kern w:val="0"/>
          <w:sz w:val="24"/>
        </w:rPr>
        <w:t>三、注意事项</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1、对拟用于信用融资的政府采购合同，供应商在签订合同时应当在合同中注明融资银行名称及账号，作为在该银行的唯一收款账号。</w:t>
      </w:r>
    </w:p>
    <w:p>
      <w:pPr>
        <w:spacing w:line="440" w:lineRule="exact"/>
        <w:ind w:firstLine="480" w:firstLineChars="200"/>
        <w:rPr>
          <w:rFonts w:ascii="仿宋" w:hAnsi="仿宋" w:eastAsia="仿宋" w:cs="仿宋"/>
          <w:sz w:val="24"/>
        </w:rPr>
      </w:pPr>
      <w:r>
        <w:rPr>
          <w:rFonts w:hint="eastAsia" w:ascii="仿宋" w:hAnsi="仿宋" w:eastAsia="仿宋" w:cs="仿宋"/>
          <w:kern w:val="0"/>
          <w:sz w:val="24"/>
        </w:rPr>
        <w:t>2、供应商弄虚作假或以伪造政府采购合同等方式违规获取政府采购信用融资，或不及时还款，或出现其他违反规定情形的，按融资合同约定承担违约责任；涉嫌犯罪的，移送司法机关处理。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47" w:name="_Toc465665161"/>
      <w:r>
        <w:rPr>
          <w:rFonts w:hint="eastAsia" w:ascii="仿宋" w:hAnsi="仿宋" w:eastAsia="仿宋" w:cs="仿宋"/>
        </w:rPr>
        <w:t>附件</w:t>
      </w:r>
      <w:bookmarkEnd w:id="547"/>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48" w:name="OLE_LINK14"/>
      <w:bookmarkStart w:id="549" w:name="OLE_LINK13"/>
      <w:r>
        <w:rPr>
          <w:rFonts w:hint="eastAsia" w:ascii="仿宋" w:hAnsi="仿宋" w:eastAsia="仿宋" w:cs="仿宋"/>
          <w:b/>
          <w:spacing w:val="6"/>
          <w:sz w:val="32"/>
          <w:szCs w:val="32"/>
        </w:rPr>
        <w:t>残疾人福利性单位声明函</w:t>
      </w:r>
    </w:p>
    <w:bookmarkEnd w:id="548"/>
    <w:bookmarkEnd w:id="549"/>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建德市人民法院、浙江建安工程管理有限公司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你方组织的建德市人民法院审判执行事务社会化外包服务采购项目项目【招标编号：</w:t>
      </w:r>
      <w:r>
        <w:rPr>
          <w:rFonts w:hint="eastAsia" w:ascii="仿宋" w:hAnsi="仿宋" w:eastAsia="仿宋" w:cs="仿宋"/>
          <w:sz w:val="24"/>
          <w:lang w:eastAsia="zh-CN"/>
        </w:rPr>
        <w:t>JD2022BF-039</w:t>
      </w:r>
      <w:r>
        <w:rPr>
          <w:rFonts w:hint="eastAsia" w:ascii="仿宋" w:hAnsi="仿宋" w:eastAsia="仿宋" w:cs="仿宋"/>
          <w:sz w:val="24"/>
        </w:rPr>
        <w:t xml:space="preserve">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建德市人民法院审判执行事务社会化外包服务采购项目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建德市人民法院审判执行事务社会化外包服务采购项目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lang w:val="en-US"/>
        </w:rPr>
      </w:pPr>
    </w:p>
    <w:p>
      <w:pPr>
        <w:rPr>
          <w:rFonts w:ascii="仿宋" w:hAnsi="仿宋" w:eastAsia="仿宋" w:cs="仿宋"/>
        </w:rPr>
      </w:pPr>
    </w:p>
    <w:p>
      <w:pPr>
        <w:pStyle w:val="4"/>
        <w:rPr>
          <w:rFonts w:ascii="仿宋" w:eastAsia="仿宋" w:cs="仿宋"/>
          <w:lang w:val="en-US"/>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0" w:name="_Toc91899912"/>
    <w:bookmarkStart w:id="551" w:name="_Toc36110187"/>
    <w:bookmarkStart w:id="552" w:name="_Toc164085800"/>
    <w:bookmarkStart w:id="553" w:name="_Toc131845147"/>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E221E"/>
    <w:multiLevelType w:val="singleLevel"/>
    <w:tmpl w:val="249E221E"/>
    <w:lvl w:ilvl="0" w:tentative="0">
      <w:start w:val="3"/>
      <w:numFmt w:val="chineseCounting"/>
      <w:suff w:val="space"/>
      <w:lvlText w:val="第%1部分"/>
      <w:lvlJc w:val="left"/>
      <w:rPr>
        <w:rFonts w:hint="eastAsia" w:ascii="仿宋" w:hAnsi="仿宋" w:eastAsia="仿宋" w:cs="仿宋"/>
        <w:b/>
        <w:bCs/>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1EF"/>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5B1"/>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0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C66"/>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5B4"/>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2FE"/>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40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0CB"/>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B06"/>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37EB"/>
    <w:rsid w:val="01236AFB"/>
    <w:rsid w:val="017165B7"/>
    <w:rsid w:val="018A0D56"/>
    <w:rsid w:val="019F7441"/>
    <w:rsid w:val="01B37585"/>
    <w:rsid w:val="01D55165"/>
    <w:rsid w:val="01DF6BF8"/>
    <w:rsid w:val="01EC2C57"/>
    <w:rsid w:val="023F2A53"/>
    <w:rsid w:val="02557258"/>
    <w:rsid w:val="026B2E25"/>
    <w:rsid w:val="02824D4D"/>
    <w:rsid w:val="02DA719F"/>
    <w:rsid w:val="02DC4B10"/>
    <w:rsid w:val="02DD76CE"/>
    <w:rsid w:val="02F36323"/>
    <w:rsid w:val="02F5619C"/>
    <w:rsid w:val="02F66A70"/>
    <w:rsid w:val="0326446A"/>
    <w:rsid w:val="032D5555"/>
    <w:rsid w:val="03327FC8"/>
    <w:rsid w:val="035750F0"/>
    <w:rsid w:val="03604B36"/>
    <w:rsid w:val="036634D2"/>
    <w:rsid w:val="039974D7"/>
    <w:rsid w:val="03A422CA"/>
    <w:rsid w:val="03B80F4C"/>
    <w:rsid w:val="03BD5AE4"/>
    <w:rsid w:val="03DD35E4"/>
    <w:rsid w:val="03FD5310"/>
    <w:rsid w:val="04076900"/>
    <w:rsid w:val="041A5A3B"/>
    <w:rsid w:val="042311BA"/>
    <w:rsid w:val="04277401"/>
    <w:rsid w:val="042B157A"/>
    <w:rsid w:val="04581455"/>
    <w:rsid w:val="04895D53"/>
    <w:rsid w:val="048A0C82"/>
    <w:rsid w:val="048F763B"/>
    <w:rsid w:val="049806A8"/>
    <w:rsid w:val="049F330E"/>
    <w:rsid w:val="04AA775C"/>
    <w:rsid w:val="04AF1889"/>
    <w:rsid w:val="04C832B6"/>
    <w:rsid w:val="04E840BF"/>
    <w:rsid w:val="04ED064B"/>
    <w:rsid w:val="04F66F48"/>
    <w:rsid w:val="05251E14"/>
    <w:rsid w:val="0580405B"/>
    <w:rsid w:val="05812B41"/>
    <w:rsid w:val="05A16594"/>
    <w:rsid w:val="05A7762D"/>
    <w:rsid w:val="05AA0371"/>
    <w:rsid w:val="05DC3F1F"/>
    <w:rsid w:val="05E76E48"/>
    <w:rsid w:val="05F044AE"/>
    <w:rsid w:val="060519C4"/>
    <w:rsid w:val="060E5941"/>
    <w:rsid w:val="06110FAF"/>
    <w:rsid w:val="061816F7"/>
    <w:rsid w:val="06493CA7"/>
    <w:rsid w:val="065A6178"/>
    <w:rsid w:val="066F1CF3"/>
    <w:rsid w:val="0675013C"/>
    <w:rsid w:val="06930BB8"/>
    <w:rsid w:val="06F23CF7"/>
    <w:rsid w:val="070D6DD5"/>
    <w:rsid w:val="07245D42"/>
    <w:rsid w:val="07264C62"/>
    <w:rsid w:val="075F245C"/>
    <w:rsid w:val="0779354C"/>
    <w:rsid w:val="0781602F"/>
    <w:rsid w:val="07885862"/>
    <w:rsid w:val="07DC5543"/>
    <w:rsid w:val="08061376"/>
    <w:rsid w:val="08212A0A"/>
    <w:rsid w:val="08251EAA"/>
    <w:rsid w:val="08452D77"/>
    <w:rsid w:val="086401F8"/>
    <w:rsid w:val="08751CAA"/>
    <w:rsid w:val="087E4C40"/>
    <w:rsid w:val="08A106DD"/>
    <w:rsid w:val="08D66AD6"/>
    <w:rsid w:val="08DA33A3"/>
    <w:rsid w:val="08E80F13"/>
    <w:rsid w:val="09072659"/>
    <w:rsid w:val="091C32AD"/>
    <w:rsid w:val="09335624"/>
    <w:rsid w:val="09361372"/>
    <w:rsid w:val="0944690F"/>
    <w:rsid w:val="094D402F"/>
    <w:rsid w:val="09535675"/>
    <w:rsid w:val="095F057D"/>
    <w:rsid w:val="09630EDC"/>
    <w:rsid w:val="09642282"/>
    <w:rsid w:val="09733572"/>
    <w:rsid w:val="09772C16"/>
    <w:rsid w:val="098353B5"/>
    <w:rsid w:val="09A92330"/>
    <w:rsid w:val="09B06B87"/>
    <w:rsid w:val="09C13146"/>
    <w:rsid w:val="09CF031F"/>
    <w:rsid w:val="09E04166"/>
    <w:rsid w:val="09FE03F4"/>
    <w:rsid w:val="0A1C0718"/>
    <w:rsid w:val="0A36539C"/>
    <w:rsid w:val="0A3E7710"/>
    <w:rsid w:val="0A5B7E63"/>
    <w:rsid w:val="0A727109"/>
    <w:rsid w:val="0A7F7F97"/>
    <w:rsid w:val="0AA374A5"/>
    <w:rsid w:val="0AAA2B3A"/>
    <w:rsid w:val="0AAB7649"/>
    <w:rsid w:val="0AB249A9"/>
    <w:rsid w:val="0ABC5606"/>
    <w:rsid w:val="0B30404E"/>
    <w:rsid w:val="0B4C6C14"/>
    <w:rsid w:val="0B631A88"/>
    <w:rsid w:val="0B683D45"/>
    <w:rsid w:val="0B7F3F11"/>
    <w:rsid w:val="0B884417"/>
    <w:rsid w:val="0B8D2240"/>
    <w:rsid w:val="0B9A4EF6"/>
    <w:rsid w:val="0BE80ADC"/>
    <w:rsid w:val="0BF6188C"/>
    <w:rsid w:val="0BF73C91"/>
    <w:rsid w:val="0C016970"/>
    <w:rsid w:val="0C0701CD"/>
    <w:rsid w:val="0C170175"/>
    <w:rsid w:val="0C571A41"/>
    <w:rsid w:val="0C5C1171"/>
    <w:rsid w:val="0C5E1CBC"/>
    <w:rsid w:val="0C615B50"/>
    <w:rsid w:val="0C8445DA"/>
    <w:rsid w:val="0C87121B"/>
    <w:rsid w:val="0CC007F7"/>
    <w:rsid w:val="0CC92714"/>
    <w:rsid w:val="0CFE707A"/>
    <w:rsid w:val="0D063BDA"/>
    <w:rsid w:val="0D08375F"/>
    <w:rsid w:val="0D184CFB"/>
    <w:rsid w:val="0D200E92"/>
    <w:rsid w:val="0D46523D"/>
    <w:rsid w:val="0D4A7419"/>
    <w:rsid w:val="0D756F85"/>
    <w:rsid w:val="0D827401"/>
    <w:rsid w:val="0D84094E"/>
    <w:rsid w:val="0D8A00E9"/>
    <w:rsid w:val="0D8D589E"/>
    <w:rsid w:val="0DA01C73"/>
    <w:rsid w:val="0DD63300"/>
    <w:rsid w:val="0DD74DCE"/>
    <w:rsid w:val="0DF50604"/>
    <w:rsid w:val="0DF702FE"/>
    <w:rsid w:val="0E060E51"/>
    <w:rsid w:val="0E2315D2"/>
    <w:rsid w:val="0E2844A2"/>
    <w:rsid w:val="0E524C78"/>
    <w:rsid w:val="0E5604B2"/>
    <w:rsid w:val="0E6D5D79"/>
    <w:rsid w:val="0E8536A2"/>
    <w:rsid w:val="0E8F43C2"/>
    <w:rsid w:val="0E9D0089"/>
    <w:rsid w:val="0EB803EE"/>
    <w:rsid w:val="0EE34BD5"/>
    <w:rsid w:val="0EF94D4B"/>
    <w:rsid w:val="0F113188"/>
    <w:rsid w:val="0F4958DC"/>
    <w:rsid w:val="0F515DF7"/>
    <w:rsid w:val="0F596BA8"/>
    <w:rsid w:val="0F6248D2"/>
    <w:rsid w:val="0F693536"/>
    <w:rsid w:val="0F7B0511"/>
    <w:rsid w:val="0F7B76D9"/>
    <w:rsid w:val="0F816ACD"/>
    <w:rsid w:val="0F9832DB"/>
    <w:rsid w:val="0FBF3FD2"/>
    <w:rsid w:val="0FBF7FF3"/>
    <w:rsid w:val="100E76C7"/>
    <w:rsid w:val="10646583"/>
    <w:rsid w:val="1079768A"/>
    <w:rsid w:val="107D4B15"/>
    <w:rsid w:val="10863702"/>
    <w:rsid w:val="108A3C80"/>
    <w:rsid w:val="10C26171"/>
    <w:rsid w:val="10D42A13"/>
    <w:rsid w:val="10F33360"/>
    <w:rsid w:val="10FC16EA"/>
    <w:rsid w:val="110E10F1"/>
    <w:rsid w:val="110F1D40"/>
    <w:rsid w:val="11266F33"/>
    <w:rsid w:val="118063A3"/>
    <w:rsid w:val="118253BD"/>
    <w:rsid w:val="118963A1"/>
    <w:rsid w:val="11A96BF0"/>
    <w:rsid w:val="11C52008"/>
    <w:rsid w:val="11C6522A"/>
    <w:rsid w:val="11E104CC"/>
    <w:rsid w:val="11E20309"/>
    <w:rsid w:val="12255233"/>
    <w:rsid w:val="12530213"/>
    <w:rsid w:val="127723A9"/>
    <w:rsid w:val="12862074"/>
    <w:rsid w:val="12883966"/>
    <w:rsid w:val="129E45B4"/>
    <w:rsid w:val="12D81596"/>
    <w:rsid w:val="12FE2007"/>
    <w:rsid w:val="13072A44"/>
    <w:rsid w:val="135F4BE2"/>
    <w:rsid w:val="137D0DEC"/>
    <w:rsid w:val="139B1A0A"/>
    <w:rsid w:val="139D25C7"/>
    <w:rsid w:val="13BF3CE4"/>
    <w:rsid w:val="140861EA"/>
    <w:rsid w:val="141008D8"/>
    <w:rsid w:val="14125FE6"/>
    <w:rsid w:val="146D271E"/>
    <w:rsid w:val="14982588"/>
    <w:rsid w:val="149A5AD9"/>
    <w:rsid w:val="14A7619D"/>
    <w:rsid w:val="14C558F7"/>
    <w:rsid w:val="150536C3"/>
    <w:rsid w:val="150C1963"/>
    <w:rsid w:val="151447A0"/>
    <w:rsid w:val="1528635A"/>
    <w:rsid w:val="154A6454"/>
    <w:rsid w:val="156669A8"/>
    <w:rsid w:val="15762120"/>
    <w:rsid w:val="158272E5"/>
    <w:rsid w:val="15857852"/>
    <w:rsid w:val="15C22E6B"/>
    <w:rsid w:val="15CC605B"/>
    <w:rsid w:val="15EC04AB"/>
    <w:rsid w:val="161C2F50"/>
    <w:rsid w:val="166F3685"/>
    <w:rsid w:val="167D5E37"/>
    <w:rsid w:val="16A8729C"/>
    <w:rsid w:val="16B33777"/>
    <w:rsid w:val="16BC70A7"/>
    <w:rsid w:val="16C6339E"/>
    <w:rsid w:val="16D740E6"/>
    <w:rsid w:val="17042E02"/>
    <w:rsid w:val="170A15C8"/>
    <w:rsid w:val="17231CAA"/>
    <w:rsid w:val="172F2D79"/>
    <w:rsid w:val="17393BB1"/>
    <w:rsid w:val="174B3D3F"/>
    <w:rsid w:val="174F484D"/>
    <w:rsid w:val="17557BEF"/>
    <w:rsid w:val="1759387B"/>
    <w:rsid w:val="17D349C1"/>
    <w:rsid w:val="18133B65"/>
    <w:rsid w:val="1830729E"/>
    <w:rsid w:val="18506ACF"/>
    <w:rsid w:val="18616F2E"/>
    <w:rsid w:val="1870062C"/>
    <w:rsid w:val="18817102"/>
    <w:rsid w:val="18830A15"/>
    <w:rsid w:val="18852B28"/>
    <w:rsid w:val="18890E77"/>
    <w:rsid w:val="188B5321"/>
    <w:rsid w:val="18EE62E8"/>
    <w:rsid w:val="18FC2175"/>
    <w:rsid w:val="19067AD5"/>
    <w:rsid w:val="193B777F"/>
    <w:rsid w:val="1980756A"/>
    <w:rsid w:val="19932372"/>
    <w:rsid w:val="19A20DD5"/>
    <w:rsid w:val="19AE03F1"/>
    <w:rsid w:val="19C71013"/>
    <w:rsid w:val="1A071A03"/>
    <w:rsid w:val="1A1E4D29"/>
    <w:rsid w:val="1A1F16AE"/>
    <w:rsid w:val="1A3B5C77"/>
    <w:rsid w:val="1A626F8D"/>
    <w:rsid w:val="1A705206"/>
    <w:rsid w:val="1A8E7D82"/>
    <w:rsid w:val="1A984BAD"/>
    <w:rsid w:val="1AB8220E"/>
    <w:rsid w:val="1ABA46D4"/>
    <w:rsid w:val="1AE4166C"/>
    <w:rsid w:val="1AF06CFB"/>
    <w:rsid w:val="1AF11B8D"/>
    <w:rsid w:val="1B11359C"/>
    <w:rsid w:val="1B2163CC"/>
    <w:rsid w:val="1B2A271F"/>
    <w:rsid w:val="1B345693"/>
    <w:rsid w:val="1B530544"/>
    <w:rsid w:val="1B713184"/>
    <w:rsid w:val="1BA209CF"/>
    <w:rsid w:val="1BB4777D"/>
    <w:rsid w:val="1BCD2105"/>
    <w:rsid w:val="1BD75AB8"/>
    <w:rsid w:val="1C03373C"/>
    <w:rsid w:val="1C0459C2"/>
    <w:rsid w:val="1C1B3B4A"/>
    <w:rsid w:val="1C300F03"/>
    <w:rsid w:val="1C38784E"/>
    <w:rsid w:val="1C88086E"/>
    <w:rsid w:val="1C8A49D9"/>
    <w:rsid w:val="1CA05B4B"/>
    <w:rsid w:val="1CC979D3"/>
    <w:rsid w:val="1D266CE1"/>
    <w:rsid w:val="1D352D40"/>
    <w:rsid w:val="1D3963AF"/>
    <w:rsid w:val="1D6A673C"/>
    <w:rsid w:val="1D9247AE"/>
    <w:rsid w:val="1DA52039"/>
    <w:rsid w:val="1DB567EC"/>
    <w:rsid w:val="1DEF28E6"/>
    <w:rsid w:val="1DF51A98"/>
    <w:rsid w:val="1E3D060F"/>
    <w:rsid w:val="1E3F7D2E"/>
    <w:rsid w:val="1E4134E4"/>
    <w:rsid w:val="1E42335E"/>
    <w:rsid w:val="1E5062B3"/>
    <w:rsid w:val="1E523514"/>
    <w:rsid w:val="1E714A66"/>
    <w:rsid w:val="1E796654"/>
    <w:rsid w:val="1E802593"/>
    <w:rsid w:val="1E82212B"/>
    <w:rsid w:val="1EA703CC"/>
    <w:rsid w:val="1EB7330C"/>
    <w:rsid w:val="1EE12B77"/>
    <w:rsid w:val="1EEA530C"/>
    <w:rsid w:val="1F0A0FF3"/>
    <w:rsid w:val="1F1030E0"/>
    <w:rsid w:val="1F2E5690"/>
    <w:rsid w:val="1F5771FF"/>
    <w:rsid w:val="1F721A21"/>
    <w:rsid w:val="1FE868A9"/>
    <w:rsid w:val="20034907"/>
    <w:rsid w:val="200B777F"/>
    <w:rsid w:val="20173E4B"/>
    <w:rsid w:val="202C7E22"/>
    <w:rsid w:val="20417272"/>
    <w:rsid w:val="20480C19"/>
    <w:rsid w:val="204E48BC"/>
    <w:rsid w:val="208921B3"/>
    <w:rsid w:val="20923DE0"/>
    <w:rsid w:val="20973DEB"/>
    <w:rsid w:val="20A200E4"/>
    <w:rsid w:val="20A86FEA"/>
    <w:rsid w:val="20B26522"/>
    <w:rsid w:val="20B44310"/>
    <w:rsid w:val="210E39CB"/>
    <w:rsid w:val="211116EB"/>
    <w:rsid w:val="214C3C4D"/>
    <w:rsid w:val="216133FC"/>
    <w:rsid w:val="21696E53"/>
    <w:rsid w:val="219263AA"/>
    <w:rsid w:val="21D56769"/>
    <w:rsid w:val="21E52EF3"/>
    <w:rsid w:val="21FB5D7B"/>
    <w:rsid w:val="220129F6"/>
    <w:rsid w:val="2202335D"/>
    <w:rsid w:val="220B1C3D"/>
    <w:rsid w:val="22121F35"/>
    <w:rsid w:val="221D1D20"/>
    <w:rsid w:val="222039B6"/>
    <w:rsid w:val="22334A87"/>
    <w:rsid w:val="229A2E6F"/>
    <w:rsid w:val="22AF4D3A"/>
    <w:rsid w:val="22BE6801"/>
    <w:rsid w:val="231A12C4"/>
    <w:rsid w:val="233500BF"/>
    <w:rsid w:val="23377FF7"/>
    <w:rsid w:val="234E63D2"/>
    <w:rsid w:val="236B425F"/>
    <w:rsid w:val="23793344"/>
    <w:rsid w:val="23836192"/>
    <w:rsid w:val="23901F29"/>
    <w:rsid w:val="239C0061"/>
    <w:rsid w:val="23B908A4"/>
    <w:rsid w:val="23E95BEF"/>
    <w:rsid w:val="23FD0064"/>
    <w:rsid w:val="24526BF4"/>
    <w:rsid w:val="245375B0"/>
    <w:rsid w:val="24642C0A"/>
    <w:rsid w:val="247D0CBD"/>
    <w:rsid w:val="249146F7"/>
    <w:rsid w:val="24A07339"/>
    <w:rsid w:val="24B22173"/>
    <w:rsid w:val="24B95AD9"/>
    <w:rsid w:val="24BE24DA"/>
    <w:rsid w:val="24CF5825"/>
    <w:rsid w:val="24D663E6"/>
    <w:rsid w:val="24D77F2B"/>
    <w:rsid w:val="24F40155"/>
    <w:rsid w:val="25296117"/>
    <w:rsid w:val="257162D7"/>
    <w:rsid w:val="25755DC7"/>
    <w:rsid w:val="258B00E2"/>
    <w:rsid w:val="259F2E44"/>
    <w:rsid w:val="25A917A6"/>
    <w:rsid w:val="25BE27CC"/>
    <w:rsid w:val="25D32AED"/>
    <w:rsid w:val="25F034CA"/>
    <w:rsid w:val="25F74A5C"/>
    <w:rsid w:val="2628662C"/>
    <w:rsid w:val="262D45DE"/>
    <w:rsid w:val="266559A0"/>
    <w:rsid w:val="26656A1C"/>
    <w:rsid w:val="268564DD"/>
    <w:rsid w:val="269E759F"/>
    <w:rsid w:val="26A53EF9"/>
    <w:rsid w:val="26A94201"/>
    <w:rsid w:val="26AC274F"/>
    <w:rsid w:val="27044A29"/>
    <w:rsid w:val="271D34C8"/>
    <w:rsid w:val="271F6C7E"/>
    <w:rsid w:val="27223D2C"/>
    <w:rsid w:val="27493637"/>
    <w:rsid w:val="274C6FFB"/>
    <w:rsid w:val="276142BF"/>
    <w:rsid w:val="27766D17"/>
    <w:rsid w:val="27783712"/>
    <w:rsid w:val="27881DD7"/>
    <w:rsid w:val="27907362"/>
    <w:rsid w:val="27B150B0"/>
    <w:rsid w:val="27BA7B6B"/>
    <w:rsid w:val="28333E1D"/>
    <w:rsid w:val="28454BD6"/>
    <w:rsid w:val="28455253"/>
    <w:rsid w:val="28551971"/>
    <w:rsid w:val="285B1C53"/>
    <w:rsid w:val="28607F37"/>
    <w:rsid w:val="28810F26"/>
    <w:rsid w:val="289F7086"/>
    <w:rsid w:val="28B409B4"/>
    <w:rsid w:val="28C32028"/>
    <w:rsid w:val="28CC490F"/>
    <w:rsid w:val="28DE40AA"/>
    <w:rsid w:val="2909455A"/>
    <w:rsid w:val="29345E77"/>
    <w:rsid w:val="294C65AD"/>
    <w:rsid w:val="29806583"/>
    <w:rsid w:val="298B3C4C"/>
    <w:rsid w:val="29F26D24"/>
    <w:rsid w:val="2A15033F"/>
    <w:rsid w:val="2A1662C1"/>
    <w:rsid w:val="2A1C7367"/>
    <w:rsid w:val="2A2815FA"/>
    <w:rsid w:val="2A2B4A0D"/>
    <w:rsid w:val="2A331DAD"/>
    <w:rsid w:val="2A6D6092"/>
    <w:rsid w:val="2A7D76B4"/>
    <w:rsid w:val="2B083783"/>
    <w:rsid w:val="2B0A5203"/>
    <w:rsid w:val="2B437463"/>
    <w:rsid w:val="2B7807EE"/>
    <w:rsid w:val="2B9E76FA"/>
    <w:rsid w:val="2BBF00EC"/>
    <w:rsid w:val="2BC37CFD"/>
    <w:rsid w:val="2BD5237F"/>
    <w:rsid w:val="2BE536CE"/>
    <w:rsid w:val="2BE758D9"/>
    <w:rsid w:val="2C09049E"/>
    <w:rsid w:val="2C0A653C"/>
    <w:rsid w:val="2C0E487F"/>
    <w:rsid w:val="2C0F02F4"/>
    <w:rsid w:val="2C191F85"/>
    <w:rsid w:val="2C324A12"/>
    <w:rsid w:val="2C45008E"/>
    <w:rsid w:val="2C521D5C"/>
    <w:rsid w:val="2C58133E"/>
    <w:rsid w:val="2C6C7DEF"/>
    <w:rsid w:val="2CD46C9D"/>
    <w:rsid w:val="2CE82D6F"/>
    <w:rsid w:val="2D343236"/>
    <w:rsid w:val="2D646EBC"/>
    <w:rsid w:val="2DD15014"/>
    <w:rsid w:val="2DF72DE4"/>
    <w:rsid w:val="2E0220AF"/>
    <w:rsid w:val="2E150147"/>
    <w:rsid w:val="2E24488E"/>
    <w:rsid w:val="2E2959A0"/>
    <w:rsid w:val="2E4B082A"/>
    <w:rsid w:val="2E4B3B69"/>
    <w:rsid w:val="2E54221F"/>
    <w:rsid w:val="2E5D4E86"/>
    <w:rsid w:val="2E5D790B"/>
    <w:rsid w:val="2E823422"/>
    <w:rsid w:val="2E8E7B8B"/>
    <w:rsid w:val="2E9A3C18"/>
    <w:rsid w:val="2EBB0FEE"/>
    <w:rsid w:val="2EC63002"/>
    <w:rsid w:val="2F0A6B38"/>
    <w:rsid w:val="2F1D5CEB"/>
    <w:rsid w:val="2F244E9F"/>
    <w:rsid w:val="2F754C15"/>
    <w:rsid w:val="2F946CCB"/>
    <w:rsid w:val="2FC33BD3"/>
    <w:rsid w:val="2FD25781"/>
    <w:rsid w:val="2FFD7934"/>
    <w:rsid w:val="30733ACD"/>
    <w:rsid w:val="308C3862"/>
    <w:rsid w:val="309379D8"/>
    <w:rsid w:val="30A270F7"/>
    <w:rsid w:val="30DF1478"/>
    <w:rsid w:val="30E1791C"/>
    <w:rsid w:val="30EC586F"/>
    <w:rsid w:val="3105779E"/>
    <w:rsid w:val="31112756"/>
    <w:rsid w:val="316E7B6E"/>
    <w:rsid w:val="319C6071"/>
    <w:rsid w:val="31AC537E"/>
    <w:rsid w:val="31E3679B"/>
    <w:rsid w:val="31E732FD"/>
    <w:rsid w:val="32036508"/>
    <w:rsid w:val="32517576"/>
    <w:rsid w:val="32A76D1A"/>
    <w:rsid w:val="32BE5C2C"/>
    <w:rsid w:val="32FB6478"/>
    <w:rsid w:val="33263B3F"/>
    <w:rsid w:val="33440C80"/>
    <w:rsid w:val="336963EB"/>
    <w:rsid w:val="33816EEB"/>
    <w:rsid w:val="33923FE8"/>
    <w:rsid w:val="33C63C91"/>
    <w:rsid w:val="33CE7B7C"/>
    <w:rsid w:val="33EB55CD"/>
    <w:rsid w:val="33EC4C02"/>
    <w:rsid w:val="340D2360"/>
    <w:rsid w:val="3410665D"/>
    <w:rsid w:val="34136E05"/>
    <w:rsid w:val="34211214"/>
    <w:rsid w:val="342E63AB"/>
    <w:rsid w:val="345918E6"/>
    <w:rsid w:val="34950E68"/>
    <w:rsid w:val="34986E94"/>
    <w:rsid w:val="34AF62C9"/>
    <w:rsid w:val="34CB4388"/>
    <w:rsid w:val="34F34F5A"/>
    <w:rsid w:val="34FA6E12"/>
    <w:rsid w:val="352C3FC8"/>
    <w:rsid w:val="35414D4C"/>
    <w:rsid w:val="35530223"/>
    <w:rsid w:val="35640D2B"/>
    <w:rsid w:val="356A4759"/>
    <w:rsid w:val="357A6A98"/>
    <w:rsid w:val="358D5588"/>
    <w:rsid w:val="35AA52D2"/>
    <w:rsid w:val="35CE6E2D"/>
    <w:rsid w:val="35DC0A48"/>
    <w:rsid w:val="35E86141"/>
    <w:rsid w:val="35EA6A3B"/>
    <w:rsid w:val="36140CC0"/>
    <w:rsid w:val="363A3B40"/>
    <w:rsid w:val="365302AE"/>
    <w:rsid w:val="36546F3F"/>
    <w:rsid w:val="36607A0A"/>
    <w:rsid w:val="366E227C"/>
    <w:rsid w:val="366F2E0D"/>
    <w:rsid w:val="367B6A5C"/>
    <w:rsid w:val="36A735DC"/>
    <w:rsid w:val="36A74ADA"/>
    <w:rsid w:val="36AD60D5"/>
    <w:rsid w:val="36B224F9"/>
    <w:rsid w:val="36EC0CC9"/>
    <w:rsid w:val="36F86858"/>
    <w:rsid w:val="373F410B"/>
    <w:rsid w:val="37EE7094"/>
    <w:rsid w:val="37F92887"/>
    <w:rsid w:val="38296C89"/>
    <w:rsid w:val="383002EB"/>
    <w:rsid w:val="38586797"/>
    <w:rsid w:val="386817BB"/>
    <w:rsid w:val="38BB7B3D"/>
    <w:rsid w:val="38BC0149"/>
    <w:rsid w:val="38C61C00"/>
    <w:rsid w:val="38D87D1C"/>
    <w:rsid w:val="38EF5CE8"/>
    <w:rsid w:val="393C6ED0"/>
    <w:rsid w:val="39636459"/>
    <w:rsid w:val="39647F89"/>
    <w:rsid w:val="396B7F6C"/>
    <w:rsid w:val="39A32DAC"/>
    <w:rsid w:val="39B417A9"/>
    <w:rsid w:val="39E802E3"/>
    <w:rsid w:val="39FC5695"/>
    <w:rsid w:val="3A006D8E"/>
    <w:rsid w:val="3A3651E5"/>
    <w:rsid w:val="3A744481"/>
    <w:rsid w:val="3A8A4678"/>
    <w:rsid w:val="3A8C7BEF"/>
    <w:rsid w:val="3A8E0630"/>
    <w:rsid w:val="3A906246"/>
    <w:rsid w:val="3AE61129"/>
    <w:rsid w:val="3B101CF1"/>
    <w:rsid w:val="3B2349B7"/>
    <w:rsid w:val="3B410F13"/>
    <w:rsid w:val="3B5E3171"/>
    <w:rsid w:val="3B616CFF"/>
    <w:rsid w:val="3B6259F6"/>
    <w:rsid w:val="3B673FAC"/>
    <w:rsid w:val="3B976654"/>
    <w:rsid w:val="3BB96BCA"/>
    <w:rsid w:val="3BC01EFC"/>
    <w:rsid w:val="3BCA786A"/>
    <w:rsid w:val="3BD31E2F"/>
    <w:rsid w:val="3BF15831"/>
    <w:rsid w:val="3C105946"/>
    <w:rsid w:val="3C315BF1"/>
    <w:rsid w:val="3C471448"/>
    <w:rsid w:val="3C5F759A"/>
    <w:rsid w:val="3C6C525A"/>
    <w:rsid w:val="3C94492D"/>
    <w:rsid w:val="3CA23D10"/>
    <w:rsid w:val="3CCE23CB"/>
    <w:rsid w:val="3CD17D17"/>
    <w:rsid w:val="3D3C7F39"/>
    <w:rsid w:val="3D440F09"/>
    <w:rsid w:val="3D4504A0"/>
    <w:rsid w:val="3D8734BB"/>
    <w:rsid w:val="3D9A11D4"/>
    <w:rsid w:val="3DA16D89"/>
    <w:rsid w:val="3DA364BE"/>
    <w:rsid w:val="3DE041CB"/>
    <w:rsid w:val="3E0D48F6"/>
    <w:rsid w:val="3E1868B4"/>
    <w:rsid w:val="3E1A70B4"/>
    <w:rsid w:val="3E265A58"/>
    <w:rsid w:val="3E377251"/>
    <w:rsid w:val="3E42664B"/>
    <w:rsid w:val="3E4B3711"/>
    <w:rsid w:val="3E4D56DB"/>
    <w:rsid w:val="3E5A7334"/>
    <w:rsid w:val="3E7B5D6B"/>
    <w:rsid w:val="3E843E66"/>
    <w:rsid w:val="3E8F51FE"/>
    <w:rsid w:val="3E926F87"/>
    <w:rsid w:val="3E9A59DE"/>
    <w:rsid w:val="3EAF4836"/>
    <w:rsid w:val="3EC33DFA"/>
    <w:rsid w:val="3EC911EC"/>
    <w:rsid w:val="3F024B84"/>
    <w:rsid w:val="3F060E16"/>
    <w:rsid w:val="3F1D1096"/>
    <w:rsid w:val="3F2F0234"/>
    <w:rsid w:val="3F6363FE"/>
    <w:rsid w:val="3F6532F2"/>
    <w:rsid w:val="3F756B8F"/>
    <w:rsid w:val="3F95482B"/>
    <w:rsid w:val="3FD17C46"/>
    <w:rsid w:val="3FDC3741"/>
    <w:rsid w:val="4019356B"/>
    <w:rsid w:val="401F27C9"/>
    <w:rsid w:val="40592157"/>
    <w:rsid w:val="406E1CAE"/>
    <w:rsid w:val="407B27E6"/>
    <w:rsid w:val="408C1680"/>
    <w:rsid w:val="40A0133A"/>
    <w:rsid w:val="40AA3CE4"/>
    <w:rsid w:val="40C31A53"/>
    <w:rsid w:val="40CE5E9C"/>
    <w:rsid w:val="40D95004"/>
    <w:rsid w:val="40FF545D"/>
    <w:rsid w:val="410067C8"/>
    <w:rsid w:val="416B38CC"/>
    <w:rsid w:val="418F0D2A"/>
    <w:rsid w:val="41AA4282"/>
    <w:rsid w:val="41AF32FF"/>
    <w:rsid w:val="41D01505"/>
    <w:rsid w:val="41D71F9B"/>
    <w:rsid w:val="421F6FBC"/>
    <w:rsid w:val="42474939"/>
    <w:rsid w:val="424C3C57"/>
    <w:rsid w:val="42576B28"/>
    <w:rsid w:val="426043A2"/>
    <w:rsid w:val="42613FF3"/>
    <w:rsid w:val="42660D96"/>
    <w:rsid w:val="428667D2"/>
    <w:rsid w:val="428A5D95"/>
    <w:rsid w:val="428C5B26"/>
    <w:rsid w:val="42C024C7"/>
    <w:rsid w:val="42CD1CE0"/>
    <w:rsid w:val="42E1381E"/>
    <w:rsid w:val="42ED4D97"/>
    <w:rsid w:val="42ED6459"/>
    <w:rsid w:val="42FE58DD"/>
    <w:rsid w:val="43174B3D"/>
    <w:rsid w:val="431C567C"/>
    <w:rsid w:val="434B790E"/>
    <w:rsid w:val="4360274F"/>
    <w:rsid w:val="43977AB6"/>
    <w:rsid w:val="43A3342B"/>
    <w:rsid w:val="43C77C27"/>
    <w:rsid w:val="43DE09EE"/>
    <w:rsid w:val="44002FAD"/>
    <w:rsid w:val="441B083D"/>
    <w:rsid w:val="4427372B"/>
    <w:rsid w:val="449101DD"/>
    <w:rsid w:val="44A96E38"/>
    <w:rsid w:val="44DE1391"/>
    <w:rsid w:val="45092CD6"/>
    <w:rsid w:val="451B225C"/>
    <w:rsid w:val="452410C9"/>
    <w:rsid w:val="45317DFB"/>
    <w:rsid w:val="456D3CE4"/>
    <w:rsid w:val="4579042C"/>
    <w:rsid w:val="457F0571"/>
    <w:rsid w:val="45851176"/>
    <w:rsid w:val="45BF61BF"/>
    <w:rsid w:val="45C63B94"/>
    <w:rsid w:val="460E7DA5"/>
    <w:rsid w:val="46422483"/>
    <w:rsid w:val="46472A10"/>
    <w:rsid w:val="464D0671"/>
    <w:rsid w:val="46504931"/>
    <w:rsid w:val="4659254A"/>
    <w:rsid w:val="465B0637"/>
    <w:rsid w:val="465E3F0D"/>
    <w:rsid w:val="466A16E6"/>
    <w:rsid w:val="46824044"/>
    <w:rsid w:val="46893F2B"/>
    <w:rsid w:val="46C4686E"/>
    <w:rsid w:val="475A2C17"/>
    <w:rsid w:val="47777325"/>
    <w:rsid w:val="477B778F"/>
    <w:rsid w:val="478203EC"/>
    <w:rsid w:val="479A7B3A"/>
    <w:rsid w:val="47B025FA"/>
    <w:rsid w:val="4809698F"/>
    <w:rsid w:val="4811697D"/>
    <w:rsid w:val="48225B9D"/>
    <w:rsid w:val="48311D25"/>
    <w:rsid w:val="483A5C3C"/>
    <w:rsid w:val="487A3E25"/>
    <w:rsid w:val="488B5503"/>
    <w:rsid w:val="48937E21"/>
    <w:rsid w:val="489A0361"/>
    <w:rsid w:val="48A75B4F"/>
    <w:rsid w:val="48AF0597"/>
    <w:rsid w:val="48B94FF3"/>
    <w:rsid w:val="48E37AAB"/>
    <w:rsid w:val="48FD4B4C"/>
    <w:rsid w:val="490A68E0"/>
    <w:rsid w:val="491055FE"/>
    <w:rsid w:val="491C4628"/>
    <w:rsid w:val="49481ACB"/>
    <w:rsid w:val="495F5B3E"/>
    <w:rsid w:val="496F77D7"/>
    <w:rsid w:val="497654FD"/>
    <w:rsid w:val="499A4597"/>
    <w:rsid w:val="49B64211"/>
    <w:rsid w:val="49DE6203"/>
    <w:rsid w:val="49F6167F"/>
    <w:rsid w:val="49F904C5"/>
    <w:rsid w:val="4A064FA0"/>
    <w:rsid w:val="4A16615C"/>
    <w:rsid w:val="4A2E2C6A"/>
    <w:rsid w:val="4A372D9B"/>
    <w:rsid w:val="4A4424D7"/>
    <w:rsid w:val="4A697CFB"/>
    <w:rsid w:val="4AB133ED"/>
    <w:rsid w:val="4AB82D0F"/>
    <w:rsid w:val="4AEB7664"/>
    <w:rsid w:val="4AFD7C19"/>
    <w:rsid w:val="4B0567D1"/>
    <w:rsid w:val="4B236AAE"/>
    <w:rsid w:val="4B682032"/>
    <w:rsid w:val="4B707271"/>
    <w:rsid w:val="4B9739F7"/>
    <w:rsid w:val="4BE63259"/>
    <w:rsid w:val="4BEE2503"/>
    <w:rsid w:val="4C1A1980"/>
    <w:rsid w:val="4C245A30"/>
    <w:rsid w:val="4C3C504C"/>
    <w:rsid w:val="4C656A0F"/>
    <w:rsid w:val="4CB6685F"/>
    <w:rsid w:val="4CC367FE"/>
    <w:rsid w:val="4CFA4CE4"/>
    <w:rsid w:val="4D077F3C"/>
    <w:rsid w:val="4D123355"/>
    <w:rsid w:val="4D274090"/>
    <w:rsid w:val="4D2A3B31"/>
    <w:rsid w:val="4D312C52"/>
    <w:rsid w:val="4D6A0258"/>
    <w:rsid w:val="4D905305"/>
    <w:rsid w:val="4D964A72"/>
    <w:rsid w:val="4D9C1254"/>
    <w:rsid w:val="4DCA6127"/>
    <w:rsid w:val="4E232466"/>
    <w:rsid w:val="4E5E123E"/>
    <w:rsid w:val="4E740A62"/>
    <w:rsid w:val="4E793892"/>
    <w:rsid w:val="4E7D6D7D"/>
    <w:rsid w:val="4E800872"/>
    <w:rsid w:val="4E832A53"/>
    <w:rsid w:val="4EA50C1B"/>
    <w:rsid w:val="4EC569ED"/>
    <w:rsid w:val="4ED50EA1"/>
    <w:rsid w:val="4EEC050C"/>
    <w:rsid w:val="4F07654A"/>
    <w:rsid w:val="4F104EC3"/>
    <w:rsid w:val="4F47354A"/>
    <w:rsid w:val="4F7E1357"/>
    <w:rsid w:val="4F911C54"/>
    <w:rsid w:val="4FC1543F"/>
    <w:rsid w:val="4FDE24B2"/>
    <w:rsid w:val="4FE625E0"/>
    <w:rsid w:val="50120532"/>
    <w:rsid w:val="5021480F"/>
    <w:rsid w:val="50902753"/>
    <w:rsid w:val="50962ECB"/>
    <w:rsid w:val="50A42E38"/>
    <w:rsid w:val="50A4577F"/>
    <w:rsid w:val="50B73D1F"/>
    <w:rsid w:val="50BD5BC9"/>
    <w:rsid w:val="50C11703"/>
    <w:rsid w:val="50C11EEE"/>
    <w:rsid w:val="50E97CFC"/>
    <w:rsid w:val="50FA4028"/>
    <w:rsid w:val="510D65B7"/>
    <w:rsid w:val="511157AB"/>
    <w:rsid w:val="5142540C"/>
    <w:rsid w:val="518832C8"/>
    <w:rsid w:val="51942060"/>
    <w:rsid w:val="51A0432A"/>
    <w:rsid w:val="51A86090"/>
    <w:rsid w:val="51B7396D"/>
    <w:rsid w:val="51BC21CA"/>
    <w:rsid w:val="51D874A6"/>
    <w:rsid w:val="51F42DA3"/>
    <w:rsid w:val="522E4CC3"/>
    <w:rsid w:val="5244713B"/>
    <w:rsid w:val="525E180D"/>
    <w:rsid w:val="52615633"/>
    <w:rsid w:val="52721538"/>
    <w:rsid w:val="52977FD4"/>
    <w:rsid w:val="52A25790"/>
    <w:rsid w:val="52A96B6F"/>
    <w:rsid w:val="52B00917"/>
    <w:rsid w:val="52B45975"/>
    <w:rsid w:val="52C27FEE"/>
    <w:rsid w:val="52D94AA4"/>
    <w:rsid w:val="52EA3A62"/>
    <w:rsid w:val="52EC6E19"/>
    <w:rsid w:val="52F50BB8"/>
    <w:rsid w:val="53030CC7"/>
    <w:rsid w:val="53097272"/>
    <w:rsid w:val="530F0D59"/>
    <w:rsid w:val="53430A03"/>
    <w:rsid w:val="53544462"/>
    <w:rsid w:val="5397158E"/>
    <w:rsid w:val="54013861"/>
    <w:rsid w:val="54112152"/>
    <w:rsid w:val="541D24A0"/>
    <w:rsid w:val="544518DF"/>
    <w:rsid w:val="54487265"/>
    <w:rsid w:val="544C1A1C"/>
    <w:rsid w:val="544D6070"/>
    <w:rsid w:val="54605E1E"/>
    <w:rsid w:val="54700C1E"/>
    <w:rsid w:val="548B182B"/>
    <w:rsid w:val="54B3506A"/>
    <w:rsid w:val="54CA0D16"/>
    <w:rsid w:val="54DD4057"/>
    <w:rsid w:val="54E7490F"/>
    <w:rsid w:val="54EC6B14"/>
    <w:rsid w:val="550764A4"/>
    <w:rsid w:val="550A63E5"/>
    <w:rsid w:val="550B2BF6"/>
    <w:rsid w:val="5520724E"/>
    <w:rsid w:val="55214EB5"/>
    <w:rsid w:val="55364EFD"/>
    <w:rsid w:val="55481AEF"/>
    <w:rsid w:val="554C1DF1"/>
    <w:rsid w:val="555D4828"/>
    <w:rsid w:val="557A4C8B"/>
    <w:rsid w:val="5584050A"/>
    <w:rsid w:val="558931E1"/>
    <w:rsid w:val="55923347"/>
    <w:rsid w:val="55925180"/>
    <w:rsid w:val="55983B1B"/>
    <w:rsid w:val="55A8376B"/>
    <w:rsid w:val="55DC29B6"/>
    <w:rsid w:val="55DD4241"/>
    <w:rsid w:val="566B6D1E"/>
    <w:rsid w:val="56A6609C"/>
    <w:rsid w:val="56A8574D"/>
    <w:rsid w:val="56C37E91"/>
    <w:rsid w:val="56EE46AD"/>
    <w:rsid w:val="57032A2C"/>
    <w:rsid w:val="570F5219"/>
    <w:rsid w:val="574977CE"/>
    <w:rsid w:val="575D12B5"/>
    <w:rsid w:val="57610A87"/>
    <w:rsid w:val="577B1140"/>
    <w:rsid w:val="577B7F21"/>
    <w:rsid w:val="577F181B"/>
    <w:rsid w:val="57921984"/>
    <w:rsid w:val="579737F0"/>
    <w:rsid w:val="57AB7B30"/>
    <w:rsid w:val="57AF5251"/>
    <w:rsid w:val="57B26373"/>
    <w:rsid w:val="57B27F05"/>
    <w:rsid w:val="57B63F04"/>
    <w:rsid w:val="57CD20C2"/>
    <w:rsid w:val="57D675AB"/>
    <w:rsid w:val="57D95FDD"/>
    <w:rsid w:val="57E17F85"/>
    <w:rsid w:val="57F30C49"/>
    <w:rsid w:val="58207565"/>
    <w:rsid w:val="584B3471"/>
    <w:rsid w:val="585A7B54"/>
    <w:rsid w:val="588E562D"/>
    <w:rsid w:val="58917D2F"/>
    <w:rsid w:val="5894085C"/>
    <w:rsid w:val="58AE4F0C"/>
    <w:rsid w:val="58B85899"/>
    <w:rsid w:val="58E363A9"/>
    <w:rsid w:val="58F702C5"/>
    <w:rsid w:val="592349B3"/>
    <w:rsid w:val="593C469E"/>
    <w:rsid w:val="595E1678"/>
    <w:rsid w:val="596D5BD4"/>
    <w:rsid w:val="597E3DD8"/>
    <w:rsid w:val="59A059CB"/>
    <w:rsid w:val="59F43F22"/>
    <w:rsid w:val="59F80043"/>
    <w:rsid w:val="5A09252F"/>
    <w:rsid w:val="5A0B2778"/>
    <w:rsid w:val="5A2A7C7B"/>
    <w:rsid w:val="5A3E2560"/>
    <w:rsid w:val="5A5D3B6E"/>
    <w:rsid w:val="5A5D684E"/>
    <w:rsid w:val="5A637A76"/>
    <w:rsid w:val="5A6D33BA"/>
    <w:rsid w:val="5A792B1F"/>
    <w:rsid w:val="5A7C2ADE"/>
    <w:rsid w:val="5A874767"/>
    <w:rsid w:val="5A8913F1"/>
    <w:rsid w:val="5AAD6F28"/>
    <w:rsid w:val="5AB53F94"/>
    <w:rsid w:val="5AD63A24"/>
    <w:rsid w:val="5B2E1A1D"/>
    <w:rsid w:val="5B4A24A8"/>
    <w:rsid w:val="5B702FD7"/>
    <w:rsid w:val="5B843A1C"/>
    <w:rsid w:val="5B873E3F"/>
    <w:rsid w:val="5C02690E"/>
    <w:rsid w:val="5C196DA7"/>
    <w:rsid w:val="5C2A048C"/>
    <w:rsid w:val="5C80234E"/>
    <w:rsid w:val="5C853E3A"/>
    <w:rsid w:val="5C8A680C"/>
    <w:rsid w:val="5C9800BC"/>
    <w:rsid w:val="5CB80361"/>
    <w:rsid w:val="5D0C4701"/>
    <w:rsid w:val="5D0F0395"/>
    <w:rsid w:val="5D221076"/>
    <w:rsid w:val="5D397964"/>
    <w:rsid w:val="5D4A1228"/>
    <w:rsid w:val="5D5A391C"/>
    <w:rsid w:val="5D5F10C0"/>
    <w:rsid w:val="5D644278"/>
    <w:rsid w:val="5D72616D"/>
    <w:rsid w:val="5D736A1E"/>
    <w:rsid w:val="5D891B7B"/>
    <w:rsid w:val="5DA84284"/>
    <w:rsid w:val="5DAD38EE"/>
    <w:rsid w:val="5E006862"/>
    <w:rsid w:val="5E0207B9"/>
    <w:rsid w:val="5E041912"/>
    <w:rsid w:val="5E112D59"/>
    <w:rsid w:val="5E1834A1"/>
    <w:rsid w:val="5E224037"/>
    <w:rsid w:val="5E261785"/>
    <w:rsid w:val="5E4A7017"/>
    <w:rsid w:val="5E50172C"/>
    <w:rsid w:val="5E552BBA"/>
    <w:rsid w:val="5E611C10"/>
    <w:rsid w:val="5E69089E"/>
    <w:rsid w:val="5E6A4482"/>
    <w:rsid w:val="5ED407A3"/>
    <w:rsid w:val="5EFC7377"/>
    <w:rsid w:val="5F06174D"/>
    <w:rsid w:val="5F3A3602"/>
    <w:rsid w:val="5F6277C6"/>
    <w:rsid w:val="5F6D0B1D"/>
    <w:rsid w:val="5F8D0B82"/>
    <w:rsid w:val="5FB4164E"/>
    <w:rsid w:val="5FB42194"/>
    <w:rsid w:val="5FB85ADB"/>
    <w:rsid w:val="5FC74C5F"/>
    <w:rsid w:val="5FCC5339"/>
    <w:rsid w:val="5FE34A5B"/>
    <w:rsid w:val="5FFA4E12"/>
    <w:rsid w:val="5FFE1E36"/>
    <w:rsid w:val="60232584"/>
    <w:rsid w:val="604C0D0F"/>
    <w:rsid w:val="607330CE"/>
    <w:rsid w:val="60825176"/>
    <w:rsid w:val="609F2AC4"/>
    <w:rsid w:val="60FA2EE8"/>
    <w:rsid w:val="61054A27"/>
    <w:rsid w:val="610A52BC"/>
    <w:rsid w:val="611D2366"/>
    <w:rsid w:val="613B0F6B"/>
    <w:rsid w:val="61421856"/>
    <w:rsid w:val="614770C9"/>
    <w:rsid w:val="6151078F"/>
    <w:rsid w:val="615227C4"/>
    <w:rsid w:val="61654E3F"/>
    <w:rsid w:val="6182292A"/>
    <w:rsid w:val="619F7F92"/>
    <w:rsid w:val="61BB393C"/>
    <w:rsid w:val="61F94C26"/>
    <w:rsid w:val="62000E56"/>
    <w:rsid w:val="62013264"/>
    <w:rsid w:val="62345E1A"/>
    <w:rsid w:val="62361E5F"/>
    <w:rsid w:val="624F3E49"/>
    <w:rsid w:val="62632286"/>
    <w:rsid w:val="62727F9C"/>
    <w:rsid w:val="6280045C"/>
    <w:rsid w:val="628250A4"/>
    <w:rsid w:val="62885958"/>
    <w:rsid w:val="62D32DCD"/>
    <w:rsid w:val="62F40B65"/>
    <w:rsid w:val="62F46444"/>
    <w:rsid w:val="62F7688E"/>
    <w:rsid w:val="62FC2CFE"/>
    <w:rsid w:val="63024505"/>
    <w:rsid w:val="63500C1D"/>
    <w:rsid w:val="635B1DB5"/>
    <w:rsid w:val="63711FED"/>
    <w:rsid w:val="63753CCF"/>
    <w:rsid w:val="6379138E"/>
    <w:rsid w:val="63880DDC"/>
    <w:rsid w:val="638D750D"/>
    <w:rsid w:val="63AC6CC0"/>
    <w:rsid w:val="63D135A5"/>
    <w:rsid w:val="63D7141F"/>
    <w:rsid w:val="64055776"/>
    <w:rsid w:val="640D3093"/>
    <w:rsid w:val="64240056"/>
    <w:rsid w:val="643E143A"/>
    <w:rsid w:val="648B6EEF"/>
    <w:rsid w:val="64971E0A"/>
    <w:rsid w:val="64C158BF"/>
    <w:rsid w:val="64CE2EAA"/>
    <w:rsid w:val="64F65E3E"/>
    <w:rsid w:val="650C1EE3"/>
    <w:rsid w:val="653C3090"/>
    <w:rsid w:val="65854376"/>
    <w:rsid w:val="658767BE"/>
    <w:rsid w:val="65892531"/>
    <w:rsid w:val="65B0017A"/>
    <w:rsid w:val="65DB15A1"/>
    <w:rsid w:val="66195831"/>
    <w:rsid w:val="662B62C0"/>
    <w:rsid w:val="662E75B1"/>
    <w:rsid w:val="66342C2E"/>
    <w:rsid w:val="663E784C"/>
    <w:rsid w:val="667343D3"/>
    <w:rsid w:val="668B6A45"/>
    <w:rsid w:val="66941658"/>
    <w:rsid w:val="66993B80"/>
    <w:rsid w:val="66AE0BC3"/>
    <w:rsid w:val="66E328B4"/>
    <w:rsid w:val="66EE2B0E"/>
    <w:rsid w:val="66F84F97"/>
    <w:rsid w:val="67135CE8"/>
    <w:rsid w:val="672F3F24"/>
    <w:rsid w:val="673E055F"/>
    <w:rsid w:val="67551CE3"/>
    <w:rsid w:val="67A22552"/>
    <w:rsid w:val="67B22DCC"/>
    <w:rsid w:val="67BC1058"/>
    <w:rsid w:val="67BE71AA"/>
    <w:rsid w:val="67D90273"/>
    <w:rsid w:val="67DE5875"/>
    <w:rsid w:val="67E55852"/>
    <w:rsid w:val="67EB1AB4"/>
    <w:rsid w:val="67FA1285"/>
    <w:rsid w:val="68055AE3"/>
    <w:rsid w:val="68273FF7"/>
    <w:rsid w:val="683706DE"/>
    <w:rsid w:val="68551F4F"/>
    <w:rsid w:val="68737AFB"/>
    <w:rsid w:val="687C10C9"/>
    <w:rsid w:val="68840C16"/>
    <w:rsid w:val="68876EFB"/>
    <w:rsid w:val="68884654"/>
    <w:rsid w:val="689F444F"/>
    <w:rsid w:val="68B96DBB"/>
    <w:rsid w:val="68CA2805"/>
    <w:rsid w:val="68E937A3"/>
    <w:rsid w:val="691E76C8"/>
    <w:rsid w:val="69366BE8"/>
    <w:rsid w:val="693E15D3"/>
    <w:rsid w:val="69627681"/>
    <w:rsid w:val="6977531D"/>
    <w:rsid w:val="69877F15"/>
    <w:rsid w:val="69B53592"/>
    <w:rsid w:val="69CC2BFF"/>
    <w:rsid w:val="69CC5A54"/>
    <w:rsid w:val="69FD55B8"/>
    <w:rsid w:val="6A025FC0"/>
    <w:rsid w:val="6A0B1C62"/>
    <w:rsid w:val="6A2406C8"/>
    <w:rsid w:val="6A343766"/>
    <w:rsid w:val="6A3749C6"/>
    <w:rsid w:val="6A4A4AB9"/>
    <w:rsid w:val="6A7259FE"/>
    <w:rsid w:val="6A7C4ACE"/>
    <w:rsid w:val="6ADE0BD1"/>
    <w:rsid w:val="6ADF4614"/>
    <w:rsid w:val="6AE96859"/>
    <w:rsid w:val="6AF44665"/>
    <w:rsid w:val="6B147746"/>
    <w:rsid w:val="6B24787C"/>
    <w:rsid w:val="6B460C38"/>
    <w:rsid w:val="6B573233"/>
    <w:rsid w:val="6B583B8B"/>
    <w:rsid w:val="6B5B6274"/>
    <w:rsid w:val="6B935D53"/>
    <w:rsid w:val="6BF56026"/>
    <w:rsid w:val="6C196F71"/>
    <w:rsid w:val="6C226FCB"/>
    <w:rsid w:val="6C31226F"/>
    <w:rsid w:val="6C4B170D"/>
    <w:rsid w:val="6C552F0B"/>
    <w:rsid w:val="6C8C67B7"/>
    <w:rsid w:val="6C8D15AB"/>
    <w:rsid w:val="6C9D744C"/>
    <w:rsid w:val="6CA04DB4"/>
    <w:rsid w:val="6CF546C4"/>
    <w:rsid w:val="6D167928"/>
    <w:rsid w:val="6D26299B"/>
    <w:rsid w:val="6D3D22B1"/>
    <w:rsid w:val="6D4772EC"/>
    <w:rsid w:val="6D9078AF"/>
    <w:rsid w:val="6DAA3FEF"/>
    <w:rsid w:val="6DC0172B"/>
    <w:rsid w:val="6DCB690C"/>
    <w:rsid w:val="6DD17091"/>
    <w:rsid w:val="6DD41A5B"/>
    <w:rsid w:val="6DF43C2E"/>
    <w:rsid w:val="6DF51CA3"/>
    <w:rsid w:val="6E717E07"/>
    <w:rsid w:val="6E8335BD"/>
    <w:rsid w:val="6E8E12EF"/>
    <w:rsid w:val="6E972936"/>
    <w:rsid w:val="6ED446C5"/>
    <w:rsid w:val="6F0D5D2B"/>
    <w:rsid w:val="6F1404DE"/>
    <w:rsid w:val="6F2A7D94"/>
    <w:rsid w:val="6F4440DB"/>
    <w:rsid w:val="6F8331F1"/>
    <w:rsid w:val="6FAC2B19"/>
    <w:rsid w:val="6FAE1A09"/>
    <w:rsid w:val="6FD75BF8"/>
    <w:rsid w:val="6FF60E7F"/>
    <w:rsid w:val="6FFF4B71"/>
    <w:rsid w:val="70424A70"/>
    <w:rsid w:val="705B263F"/>
    <w:rsid w:val="705F6A24"/>
    <w:rsid w:val="707723D0"/>
    <w:rsid w:val="70AD6993"/>
    <w:rsid w:val="70F5661B"/>
    <w:rsid w:val="71360107"/>
    <w:rsid w:val="713B688E"/>
    <w:rsid w:val="71597917"/>
    <w:rsid w:val="715B5CD9"/>
    <w:rsid w:val="7177062A"/>
    <w:rsid w:val="71835196"/>
    <w:rsid w:val="71AF5789"/>
    <w:rsid w:val="71D43752"/>
    <w:rsid w:val="71E469FB"/>
    <w:rsid w:val="71F1796A"/>
    <w:rsid w:val="72071122"/>
    <w:rsid w:val="72154626"/>
    <w:rsid w:val="72262B5D"/>
    <w:rsid w:val="72283FF7"/>
    <w:rsid w:val="72290BF1"/>
    <w:rsid w:val="722E7212"/>
    <w:rsid w:val="723A0474"/>
    <w:rsid w:val="725923E4"/>
    <w:rsid w:val="72615834"/>
    <w:rsid w:val="72864BF7"/>
    <w:rsid w:val="729023FC"/>
    <w:rsid w:val="72A00CB3"/>
    <w:rsid w:val="73350703"/>
    <w:rsid w:val="73543F39"/>
    <w:rsid w:val="738B5D82"/>
    <w:rsid w:val="73C0646E"/>
    <w:rsid w:val="741268A4"/>
    <w:rsid w:val="74133C11"/>
    <w:rsid w:val="742222F5"/>
    <w:rsid w:val="7442031B"/>
    <w:rsid w:val="74476126"/>
    <w:rsid w:val="74706664"/>
    <w:rsid w:val="747F3682"/>
    <w:rsid w:val="749C4185"/>
    <w:rsid w:val="75067759"/>
    <w:rsid w:val="75297601"/>
    <w:rsid w:val="752D5AF1"/>
    <w:rsid w:val="752E6DCD"/>
    <w:rsid w:val="7551380D"/>
    <w:rsid w:val="75600BE5"/>
    <w:rsid w:val="7564475C"/>
    <w:rsid w:val="7583797F"/>
    <w:rsid w:val="75BA64AB"/>
    <w:rsid w:val="75D20F1D"/>
    <w:rsid w:val="75DA2C18"/>
    <w:rsid w:val="75F54412"/>
    <w:rsid w:val="760134BF"/>
    <w:rsid w:val="76045978"/>
    <w:rsid w:val="76191F3F"/>
    <w:rsid w:val="761D08E0"/>
    <w:rsid w:val="76267907"/>
    <w:rsid w:val="765D347C"/>
    <w:rsid w:val="76777F1C"/>
    <w:rsid w:val="76826699"/>
    <w:rsid w:val="76C87133"/>
    <w:rsid w:val="76CD08D5"/>
    <w:rsid w:val="76CF5992"/>
    <w:rsid w:val="76DB4B92"/>
    <w:rsid w:val="77052AA4"/>
    <w:rsid w:val="7710264A"/>
    <w:rsid w:val="77136511"/>
    <w:rsid w:val="77340A39"/>
    <w:rsid w:val="77351FD0"/>
    <w:rsid w:val="774637A0"/>
    <w:rsid w:val="77472422"/>
    <w:rsid w:val="777B33FD"/>
    <w:rsid w:val="777F31F2"/>
    <w:rsid w:val="77D1700D"/>
    <w:rsid w:val="77DB4929"/>
    <w:rsid w:val="77EC04CC"/>
    <w:rsid w:val="78130758"/>
    <w:rsid w:val="783B674F"/>
    <w:rsid w:val="784566A9"/>
    <w:rsid w:val="785E00D6"/>
    <w:rsid w:val="78775729"/>
    <w:rsid w:val="78874D6A"/>
    <w:rsid w:val="78A42DB0"/>
    <w:rsid w:val="78A656AB"/>
    <w:rsid w:val="78B217AA"/>
    <w:rsid w:val="78B2245C"/>
    <w:rsid w:val="78B8508F"/>
    <w:rsid w:val="78C7160B"/>
    <w:rsid w:val="78E172CC"/>
    <w:rsid w:val="78EA1D1F"/>
    <w:rsid w:val="7904172F"/>
    <w:rsid w:val="790A7749"/>
    <w:rsid w:val="790F7E27"/>
    <w:rsid w:val="79200D1B"/>
    <w:rsid w:val="792A231A"/>
    <w:rsid w:val="79316829"/>
    <w:rsid w:val="79317D96"/>
    <w:rsid w:val="797E66A9"/>
    <w:rsid w:val="798A2EAF"/>
    <w:rsid w:val="79986B03"/>
    <w:rsid w:val="79A97383"/>
    <w:rsid w:val="79BA4CCB"/>
    <w:rsid w:val="79C57DF2"/>
    <w:rsid w:val="79C90396"/>
    <w:rsid w:val="79D52F41"/>
    <w:rsid w:val="79E27E8B"/>
    <w:rsid w:val="79F850CE"/>
    <w:rsid w:val="79FD443C"/>
    <w:rsid w:val="7A1D1975"/>
    <w:rsid w:val="7A3E5150"/>
    <w:rsid w:val="7A4670D6"/>
    <w:rsid w:val="7A534B63"/>
    <w:rsid w:val="7A615382"/>
    <w:rsid w:val="7A67303B"/>
    <w:rsid w:val="7AAB1D04"/>
    <w:rsid w:val="7ABA4368"/>
    <w:rsid w:val="7AD05746"/>
    <w:rsid w:val="7B03623F"/>
    <w:rsid w:val="7B114DBF"/>
    <w:rsid w:val="7B257FFD"/>
    <w:rsid w:val="7B343476"/>
    <w:rsid w:val="7B5A2978"/>
    <w:rsid w:val="7B5A7E4C"/>
    <w:rsid w:val="7B667AF9"/>
    <w:rsid w:val="7B7468F8"/>
    <w:rsid w:val="7BEE0103"/>
    <w:rsid w:val="7C0A0FE4"/>
    <w:rsid w:val="7C254906"/>
    <w:rsid w:val="7C590818"/>
    <w:rsid w:val="7C7C10F6"/>
    <w:rsid w:val="7C853BEA"/>
    <w:rsid w:val="7C881368"/>
    <w:rsid w:val="7C8A79D2"/>
    <w:rsid w:val="7C8F2CC6"/>
    <w:rsid w:val="7CE27788"/>
    <w:rsid w:val="7D0C32F1"/>
    <w:rsid w:val="7D0F408D"/>
    <w:rsid w:val="7D491C6C"/>
    <w:rsid w:val="7D5429C0"/>
    <w:rsid w:val="7D684929"/>
    <w:rsid w:val="7D6E6D43"/>
    <w:rsid w:val="7D853842"/>
    <w:rsid w:val="7DB0109D"/>
    <w:rsid w:val="7DB57A34"/>
    <w:rsid w:val="7DB639FC"/>
    <w:rsid w:val="7DE60973"/>
    <w:rsid w:val="7DEF0916"/>
    <w:rsid w:val="7E1E5218"/>
    <w:rsid w:val="7E5F69DA"/>
    <w:rsid w:val="7E9A4E1F"/>
    <w:rsid w:val="7EA7723A"/>
    <w:rsid w:val="7EBC1C60"/>
    <w:rsid w:val="7EF56FBB"/>
    <w:rsid w:val="7F0768EB"/>
    <w:rsid w:val="7F143BEC"/>
    <w:rsid w:val="7F3F514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327"/>
    <w:qFormat/>
    <w:uiPriority w:val="0"/>
    <w:pPr>
      <w:jc w:val="center"/>
    </w:pPr>
    <w:rPr>
      <w:szCs w:val="20"/>
    </w:r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2"/>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6"/>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basedOn w:val="69"/>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z-窗体底端1"/>
    <w:basedOn w:val="1"/>
    <w:next w:val="1"/>
    <w:qFormat/>
    <w:uiPriority w:val="0"/>
    <w:pPr>
      <w:pBdr>
        <w:top w:val="single" w:color="auto" w:sz="6" w:space="1"/>
      </w:pBdr>
      <w:jc w:val="center"/>
    </w:pPr>
    <w:rPr>
      <w:rFonts w:ascii="Arial"/>
      <w:vanish/>
      <w:sz w:val="16"/>
    </w:rPr>
  </w:style>
  <w:style w:type="paragraph" w:customStyle="1" w:styleId="962">
    <w:name w:val="z-窗体底端11"/>
    <w:basedOn w:val="1"/>
    <w:next w:val="1"/>
    <w:qFormat/>
    <w:uiPriority w:val="0"/>
    <w:pPr>
      <w:pBdr>
        <w:top w:val="single" w:color="auto" w:sz="6" w:space="1"/>
      </w:pBdr>
      <w:jc w:val="center"/>
    </w:pPr>
    <w:rPr>
      <w:rFonts w:ascii="Arial"/>
      <w:vanish/>
      <w:sz w:val="1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customXml/item2.xml" Type="http://schemas.openxmlformats.org/officeDocument/2006/relationships/customXml"/><Relationship Id="rId25"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84218-8796-4B3C-B292-1DD0F513689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34930</Words>
  <Characters>37146</Characters>
  <Lines>309</Lines>
  <Paragraphs>87</Paragraphs>
  <TotalTime>40</TotalTime>
  <ScaleCrop>false</ScaleCrop>
  <LinksUpToDate>false</LinksUpToDate>
  <CharactersWithSpaces>41602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2022-04-13T07:34:00Z</cp:lastPrinted>
  <dcterms:modified xsi:type="dcterms:W3CDTF">2022-04-13T08:36:17Z</dcterms:modified>
  <cp:revision>201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3F143F63DABD4F29ABC3B230819553C7</vt:lpwstr>
  </property>
</Properties>
</file>