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p>
    <w:p>
      <w:pPr>
        <w:adjustRightInd/>
        <w:spacing w:line="360" w:lineRule="auto"/>
        <w:jc w:val="center"/>
        <w:rPr>
          <w:rFonts w:hint="eastAsia" w:ascii="仿宋" w:hAnsi="仿宋" w:eastAsia="仿宋" w:cs="仿宋"/>
          <w:b/>
          <w:sz w:val="44"/>
          <w:szCs w:val="44"/>
          <w:highlight w:val="none"/>
        </w:rPr>
      </w:pPr>
    </w:p>
    <w:p>
      <w:pPr>
        <w:spacing w:line="360" w:lineRule="auto"/>
        <w:jc w:val="center"/>
        <w:rPr>
          <w:rFonts w:hint="eastAsia" w:ascii="仿宋" w:hAnsi="仿宋" w:eastAsia="仿宋" w:cs="仿宋"/>
          <w:b/>
          <w:sz w:val="44"/>
          <w:szCs w:val="44"/>
          <w:highlight w:val="none"/>
        </w:rPr>
      </w:pPr>
    </w:p>
    <w:p>
      <w:pPr>
        <w:adjustRightInd/>
        <w:spacing w:line="360" w:lineRule="auto"/>
        <w:jc w:val="center"/>
        <w:rPr>
          <w:rFonts w:hint="eastAsia" w:ascii="仿宋" w:hAnsi="仿宋" w:eastAsia="仿宋" w:cs="仿宋"/>
          <w:b/>
          <w:sz w:val="48"/>
          <w:szCs w:val="48"/>
          <w:highlight w:val="none"/>
        </w:rPr>
      </w:pPr>
    </w:p>
    <w:p>
      <w:pPr>
        <w:adjustRightInd/>
        <w:spacing w:line="360" w:lineRule="auto"/>
        <w:jc w:val="center"/>
        <w:rPr>
          <w:rFonts w:hint="eastAsia" w:ascii="仿宋" w:hAnsi="仿宋" w:eastAsia="仿宋" w:cs="仿宋"/>
          <w:sz w:val="48"/>
          <w:szCs w:val="48"/>
          <w:highlight w:val="none"/>
          <w:lang w:eastAsia="zh-CN"/>
        </w:rPr>
      </w:pPr>
      <w:r>
        <w:rPr>
          <w:rFonts w:hint="eastAsia" w:ascii="仿宋" w:hAnsi="仿宋" w:eastAsia="仿宋" w:cs="仿宋"/>
          <w:sz w:val="48"/>
          <w:szCs w:val="48"/>
          <w:highlight w:val="none"/>
          <w:lang w:eastAsia="zh-CN"/>
        </w:rPr>
        <w:t>建德市水文测报能力提升项目</w:t>
      </w:r>
    </w:p>
    <w:p>
      <w:pPr>
        <w:adjustRightInd/>
        <w:spacing w:line="360" w:lineRule="auto"/>
        <w:jc w:val="center"/>
        <w:rPr>
          <w:rFonts w:hint="eastAsia" w:ascii="仿宋" w:hAnsi="仿宋" w:eastAsia="仿宋" w:cs="仿宋"/>
          <w:sz w:val="48"/>
          <w:szCs w:val="48"/>
          <w:highlight w:val="none"/>
        </w:rPr>
      </w:pPr>
      <w:r>
        <w:rPr>
          <w:rFonts w:hint="eastAsia" w:ascii="仿宋" w:hAnsi="仿宋" w:eastAsia="仿宋" w:cs="仿宋"/>
          <w:sz w:val="48"/>
          <w:szCs w:val="48"/>
          <w:highlight w:val="none"/>
        </w:rPr>
        <w:t>招标文件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（电子招投标）</w:t>
      </w:r>
    </w:p>
    <w:p>
      <w:pPr>
        <w:snapToGrid w:val="0"/>
        <w:spacing w:line="360" w:lineRule="auto"/>
        <w:jc w:val="center"/>
        <w:rPr>
          <w:rFonts w:hint="eastAsia" w:ascii="仿宋" w:hAnsi="仿宋" w:eastAsia="仿宋" w:cs="仿宋"/>
          <w:sz w:val="30"/>
          <w:szCs w:val="30"/>
          <w:highlight w:val="none"/>
          <w:lang w:eastAsia="zh-CN"/>
        </w:rPr>
      </w:pPr>
      <w:r>
        <w:rPr>
          <w:rFonts w:hint="eastAsia" w:ascii="仿宋" w:hAnsi="仿宋" w:eastAsia="仿宋" w:cs="仿宋"/>
          <w:sz w:val="30"/>
          <w:szCs w:val="30"/>
          <w:highlight w:val="none"/>
        </w:rPr>
        <w:t>编号:</w:t>
      </w:r>
      <w:r>
        <w:rPr>
          <w:rFonts w:hint="eastAsia" w:ascii="仿宋" w:hAnsi="仿宋" w:eastAsia="仿宋" w:cs="仿宋"/>
          <w:sz w:val="30"/>
          <w:szCs w:val="30"/>
          <w:highlight w:val="none"/>
          <w:lang w:eastAsia="zh-CN"/>
        </w:rPr>
        <w:t>JD2022BF-007</w:t>
      </w:r>
    </w:p>
    <w:p>
      <w:pPr>
        <w:adjustRightInd/>
        <w:spacing w:line="360" w:lineRule="auto"/>
        <w:rPr>
          <w:rFonts w:hint="eastAsia" w:ascii="仿宋" w:hAnsi="仿宋" w:eastAsia="仿宋" w:cs="仿宋"/>
          <w:sz w:val="28"/>
          <w:szCs w:val="20"/>
          <w:highlight w:val="none"/>
        </w:rPr>
      </w:pPr>
    </w:p>
    <w:p>
      <w:pPr>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spacing w:line="360" w:lineRule="auto"/>
        <w:jc w:val="center"/>
        <w:rPr>
          <w:rFonts w:hint="eastAsia" w:ascii="仿宋" w:hAnsi="仿宋" w:eastAsia="仿宋" w:cs="仿宋"/>
          <w:b/>
          <w:sz w:val="44"/>
          <w:szCs w:val="44"/>
          <w:highlight w:val="none"/>
        </w:rPr>
      </w:pP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p>
    <w:p>
      <w:pPr>
        <w:spacing w:line="360" w:lineRule="auto"/>
        <w:rPr>
          <w:rFonts w:hint="eastAsia" w:ascii="仿宋" w:hAnsi="仿宋" w:eastAsia="仿宋" w:cs="仿宋"/>
          <w:sz w:val="32"/>
          <w:szCs w:val="32"/>
          <w:highlight w:val="none"/>
        </w:rPr>
      </w:pPr>
    </w:p>
    <w:p>
      <w:pPr>
        <w:snapToGrid w:val="0"/>
        <w:spacing w:line="360" w:lineRule="auto"/>
        <w:jc w:val="center"/>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采购人：建德市水文水资源监测站</w:t>
      </w:r>
    </w:p>
    <w:p>
      <w:pPr>
        <w:spacing w:line="360" w:lineRule="auto"/>
        <w:jc w:val="center"/>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lang w:eastAsia="zh-CN"/>
        </w:rPr>
        <w:t>采购代理机构：浙江建安工程管理有限公司</w:t>
      </w:r>
    </w:p>
    <w:p>
      <w:pPr>
        <w:snapToGrid w:val="0"/>
        <w:spacing w:line="360" w:lineRule="auto"/>
        <w:jc w:val="center"/>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二〇二</w:t>
      </w:r>
      <w:r>
        <w:rPr>
          <w:rFonts w:hint="eastAsia" w:ascii="仿宋" w:hAnsi="仿宋" w:eastAsia="仿宋" w:cs="仿宋"/>
          <w:bCs/>
          <w:sz w:val="32"/>
          <w:szCs w:val="32"/>
          <w:highlight w:val="none"/>
          <w:lang w:eastAsia="zh-CN"/>
        </w:rPr>
        <w:t>二</w:t>
      </w:r>
      <w:r>
        <w:rPr>
          <w:rFonts w:hint="eastAsia" w:ascii="仿宋" w:hAnsi="仿宋" w:eastAsia="仿宋" w:cs="仿宋"/>
          <w:bCs/>
          <w:sz w:val="32"/>
          <w:szCs w:val="32"/>
          <w:highlight w:val="none"/>
        </w:rPr>
        <w:t>年</w:t>
      </w:r>
      <w:r>
        <w:rPr>
          <w:rFonts w:hint="eastAsia" w:ascii="仿宋" w:hAnsi="仿宋" w:eastAsia="仿宋" w:cs="仿宋"/>
          <w:bCs/>
          <w:sz w:val="32"/>
          <w:szCs w:val="32"/>
          <w:highlight w:val="none"/>
          <w:lang w:eastAsia="zh-CN"/>
        </w:rPr>
        <w:t>二</w:t>
      </w:r>
      <w:r>
        <w:rPr>
          <w:rFonts w:hint="eastAsia" w:ascii="仿宋" w:hAnsi="仿宋" w:eastAsia="仿宋" w:cs="仿宋"/>
          <w:bCs/>
          <w:sz w:val="32"/>
          <w:szCs w:val="32"/>
          <w:highlight w:val="none"/>
        </w:rPr>
        <w:t>月</w:t>
      </w:r>
      <w:r>
        <w:rPr>
          <w:rFonts w:hint="eastAsia" w:ascii="仿宋" w:hAnsi="仿宋" w:eastAsia="仿宋" w:cs="仿宋"/>
          <w:bCs/>
          <w:sz w:val="32"/>
          <w:szCs w:val="32"/>
          <w:highlight w:val="none"/>
          <w:lang w:eastAsia="zh-CN"/>
        </w:rPr>
        <w:t>七</w:t>
      </w:r>
      <w:r>
        <w:rPr>
          <w:rFonts w:hint="eastAsia" w:ascii="仿宋" w:hAnsi="仿宋" w:eastAsia="仿宋" w:cs="仿宋"/>
          <w:bCs/>
          <w:sz w:val="32"/>
          <w:szCs w:val="32"/>
          <w:highlight w:val="none"/>
        </w:rPr>
        <w:t>日</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br w:type="page"/>
      </w:r>
      <w:bookmarkStart w:id="0" w:name="_Hlt67893495"/>
      <w:bookmarkEnd w:id="0"/>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b/>
          <w:sz w:val="48"/>
          <w:szCs w:val="48"/>
          <w:highlight w:val="none"/>
        </w:rPr>
      </w:pPr>
      <w:r>
        <w:rPr>
          <w:rFonts w:hint="eastAsia" w:ascii="仿宋" w:hAnsi="仿宋" w:eastAsia="仿宋" w:cs="仿宋"/>
          <w:b/>
          <w:sz w:val="48"/>
          <w:szCs w:val="48"/>
          <w:highlight w:val="none"/>
        </w:rPr>
        <w:t>目  录</w:t>
      </w:r>
    </w:p>
    <w:p>
      <w:pPr>
        <w:spacing w:line="360" w:lineRule="auto"/>
        <w:rPr>
          <w:rFonts w:hint="eastAsia" w:ascii="仿宋" w:hAnsi="仿宋" w:eastAsia="仿宋" w:cs="仿宋"/>
          <w:sz w:val="32"/>
          <w:szCs w:val="32"/>
          <w:highlight w:val="none"/>
        </w:rPr>
      </w:pPr>
    </w:p>
    <w:p>
      <w:pPr>
        <w:spacing w:line="360" w:lineRule="auto"/>
        <w:rPr>
          <w:rFonts w:hint="eastAsia" w:ascii="仿宋" w:hAnsi="仿宋" w:eastAsia="仿宋" w:cs="仿宋"/>
          <w:sz w:val="32"/>
          <w:szCs w:val="32"/>
          <w:highlight w:val="none"/>
        </w:rPr>
      </w:pP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第一部分      招标公告</w:t>
      </w: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第二部分      投标人须知</w:t>
      </w: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第三部分      采购需求</w:t>
      </w: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第四部分      评标办法</w:t>
      </w: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第五部分      拟签订的合同文本</w:t>
      </w:r>
    </w:p>
    <w:p>
      <w:pPr>
        <w:spacing w:line="360" w:lineRule="auto"/>
        <w:ind w:firstLine="1280" w:firstLineChars="400"/>
        <w:rPr>
          <w:rFonts w:hint="eastAsia" w:ascii="仿宋" w:hAnsi="仿宋" w:eastAsia="仿宋" w:cs="仿宋"/>
          <w:sz w:val="32"/>
          <w:szCs w:val="32"/>
          <w:highlight w:val="none"/>
        </w:rPr>
      </w:pPr>
      <w:r>
        <w:rPr>
          <w:rFonts w:hint="eastAsia" w:ascii="仿宋" w:hAnsi="仿宋" w:eastAsia="仿宋" w:cs="仿宋"/>
          <w:sz w:val="32"/>
          <w:szCs w:val="32"/>
          <w:highlight w:val="none"/>
        </w:rPr>
        <w:t>第六部分      应提交的有关格式范例</w:t>
      </w:r>
    </w:p>
    <w:p>
      <w:pPr>
        <w:spacing w:line="360" w:lineRule="auto"/>
        <w:ind w:firstLine="549" w:firstLineChars="229"/>
        <w:rPr>
          <w:rFonts w:hint="eastAsia" w:ascii="仿宋" w:hAnsi="仿宋" w:eastAsia="仿宋" w:cs="仿宋"/>
          <w:sz w:val="24"/>
          <w:highlight w:val="none"/>
        </w:rPr>
      </w:pPr>
      <w:bookmarkStart w:id="1" w:name="_Hlt91233176"/>
      <w:bookmarkEnd w:id="1"/>
      <w:bookmarkStart w:id="2" w:name="_Toc91899869"/>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p>
      <w:pPr>
        <w:adjustRightInd/>
        <w:spacing w:line="360" w:lineRule="auto"/>
        <w:jc w:val="center"/>
        <w:outlineLvl w:val="0"/>
        <w:rPr>
          <w:rFonts w:hint="eastAsia" w:ascii="仿宋" w:hAnsi="仿宋" w:eastAsia="仿宋" w:cs="仿宋"/>
          <w:b/>
          <w:sz w:val="36"/>
          <w:szCs w:val="20"/>
          <w:highlight w:val="none"/>
        </w:rPr>
      </w:pPr>
      <w:bookmarkStart w:id="3" w:name="第一部分"/>
      <w:r>
        <w:rPr>
          <w:rFonts w:hint="eastAsia" w:ascii="仿宋" w:hAnsi="仿宋" w:eastAsia="仿宋" w:cs="仿宋"/>
          <w:b/>
          <w:sz w:val="36"/>
          <w:szCs w:val="36"/>
          <w:highlight w:val="none"/>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lang w:eastAsia="zh-CN"/>
        </w:rPr>
        <w:t>建德市水文测报能力提升项目</w:t>
      </w:r>
      <w:r>
        <w:rPr>
          <w:rFonts w:hint="eastAsia" w:ascii="仿宋" w:hAnsi="仿宋" w:eastAsia="仿宋" w:cs="仿宋"/>
          <w:sz w:val="24"/>
          <w:highlight w:val="none"/>
        </w:rPr>
        <w:t>招标项目的潜在投标人应在政采云平台（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"https://www.zcygov.cn/）获取（下载）招标文件，并于2021年" </w:instrText>
      </w:r>
      <w:r>
        <w:rPr>
          <w:rFonts w:hint="eastAsia" w:ascii="仿宋" w:hAnsi="仿宋" w:eastAsia="仿宋" w:cs="仿宋"/>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00秒</w:t>
      </w:r>
      <w:r>
        <w:rPr>
          <w:rFonts w:hint="eastAsia" w:ascii="仿宋" w:hAnsi="仿宋" w:eastAsia="仿宋" w:cs="仿宋"/>
          <w:bCs/>
          <w:sz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w:t>
      </w: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JD2022BF-007</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 xml:space="preserve">   </w:t>
      </w:r>
      <w:r>
        <w:rPr>
          <w:rFonts w:hint="eastAsia" w:ascii="仿宋" w:hAnsi="仿宋" w:eastAsia="仿宋" w:cs="仿宋"/>
          <w:b/>
          <w:sz w:val="24"/>
          <w:highlight w:val="none"/>
        </w:rPr>
        <w:t xml:space="preserve"> 项目名称：</w:t>
      </w:r>
      <w:r>
        <w:rPr>
          <w:rFonts w:hint="eastAsia" w:ascii="仿宋" w:hAnsi="仿宋" w:eastAsia="仿宋" w:cs="仿宋"/>
          <w:sz w:val="24"/>
          <w:highlight w:val="none"/>
          <w:lang w:eastAsia="zh-CN"/>
        </w:rPr>
        <w:t>建德市水文测报能力提升项目</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b/>
          <w:sz w:val="24"/>
          <w:highlight w:val="none"/>
        </w:rPr>
        <w:t xml:space="preserve"> 预算金额（元）：</w:t>
      </w:r>
      <w:r>
        <w:rPr>
          <w:rFonts w:hint="eastAsia" w:ascii="仿宋" w:hAnsi="仿宋" w:eastAsia="仿宋" w:cs="仿宋"/>
          <w:sz w:val="24"/>
          <w:highlight w:val="none"/>
          <w:lang w:eastAsia="zh-CN"/>
        </w:rPr>
        <w:t>11000000.00</w:t>
      </w:r>
      <w:r>
        <w:rPr>
          <w:rFonts w:hint="eastAsia" w:ascii="仿宋" w:hAnsi="仿宋" w:eastAsia="仿宋" w:cs="仿宋"/>
          <w:sz w:val="24"/>
          <w:highlight w:val="none"/>
        </w:rPr>
        <w:t xml:space="preserve">  </w:t>
      </w:r>
    </w:p>
    <w:p>
      <w:pPr>
        <w:spacing w:line="360" w:lineRule="auto"/>
        <w:ind w:firstLine="480"/>
        <w:rPr>
          <w:rFonts w:hint="eastAsia" w:ascii="仿宋" w:hAnsi="仿宋" w:eastAsia="仿宋" w:cs="仿宋"/>
          <w:sz w:val="24"/>
          <w:highlight w:val="none"/>
        </w:rPr>
      </w:pPr>
      <w:r>
        <w:rPr>
          <w:rFonts w:hint="eastAsia" w:ascii="仿宋" w:hAnsi="仿宋" w:eastAsia="仿宋" w:cs="仿宋"/>
          <w:b/>
          <w:sz w:val="24"/>
          <w:highlight w:val="none"/>
        </w:rPr>
        <w:t>最高限价（元）：</w:t>
      </w:r>
      <w:r>
        <w:rPr>
          <w:rFonts w:hint="eastAsia" w:ascii="仿宋" w:hAnsi="仿宋" w:eastAsia="仿宋" w:cs="仿宋"/>
          <w:sz w:val="24"/>
          <w:highlight w:val="none"/>
          <w:lang w:eastAsia="zh-CN"/>
        </w:rPr>
        <w:t>11000000.00</w:t>
      </w:r>
      <w:r>
        <w:rPr>
          <w:rFonts w:hint="eastAsia" w:ascii="仿宋" w:hAnsi="仿宋" w:eastAsia="仿宋" w:cs="仿宋"/>
          <w:sz w:val="24"/>
          <w:highlight w:val="none"/>
        </w:rPr>
        <w:t xml:space="preserve">  </w:t>
      </w:r>
    </w:p>
    <w:p>
      <w:pPr>
        <w:pStyle w:val="18"/>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lang w:eastAsia="zh-CN"/>
        </w:rPr>
        <w:t>建德市水文测报能力提升项目，</w:t>
      </w:r>
      <w:r>
        <w:rPr>
          <w:rFonts w:hint="eastAsia" w:ascii="仿宋" w:hAnsi="仿宋" w:eastAsia="仿宋" w:cs="仿宋"/>
          <w:bCs/>
          <w:snapToGrid/>
          <w:color w:val="auto"/>
          <w:kern w:val="2"/>
          <w:sz w:val="24"/>
          <w:szCs w:val="24"/>
          <w:highlight w:val="none"/>
        </w:rPr>
        <w:t>主要内容：</w:t>
      </w:r>
      <w:r>
        <w:rPr>
          <w:rFonts w:hint="eastAsia" w:ascii="仿宋" w:hAnsi="仿宋" w:eastAsia="仿宋" w:cs="仿宋"/>
          <w:kern w:val="0"/>
          <w:sz w:val="24"/>
          <w:szCs w:val="24"/>
          <w:highlight w:val="none"/>
          <w:lang w:val="zh-CN"/>
        </w:rPr>
        <w:t>建德市水文水资源监测站“五大工程”建设（三期）建设，包括浮子水位雨量计+雷达水位雨量（含北斗通信建设）站点建设、人工水尺+压力水位雨量（含北斗通信建设）站点建设、北斗通讯设备建设等。（包括供货、运输装卸、安装调试、备品备件、税金、辅助工作及售后服务等）。</w:t>
      </w:r>
      <w:r>
        <w:rPr>
          <w:rFonts w:hint="eastAsia" w:ascii="仿宋" w:hAnsi="仿宋" w:eastAsia="仿宋" w:cs="仿宋"/>
          <w:bCs/>
          <w:snapToGrid/>
          <w:color w:val="auto"/>
          <w:kern w:val="2"/>
          <w:sz w:val="24"/>
          <w:szCs w:val="24"/>
          <w:highlight w:val="none"/>
        </w:rPr>
        <w:t>详见招标文件第三部分采购需求。</w:t>
      </w:r>
    </w:p>
    <w:p>
      <w:pPr>
        <w:pStyle w:val="128"/>
        <w:ind w:firstLine="482"/>
        <w:outlineLvl w:val="2"/>
        <w:rPr>
          <w:rFonts w:hint="eastAsia" w:ascii="仿宋" w:hAnsi="仿宋" w:eastAsia="仿宋" w:cs="仿宋"/>
          <w:highlight w:val="none"/>
          <w:lang w:eastAsia="zh-CN"/>
        </w:rPr>
      </w:pPr>
      <w:r>
        <w:rPr>
          <w:rFonts w:hint="eastAsia" w:ascii="仿宋" w:hAnsi="仿宋" w:eastAsia="仿宋" w:cs="仿宋"/>
          <w:b/>
          <w:highlight w:val="none"/>
        </w:rPr>
        <w:t>合同履约期限：</w:t>
      </w:r>
      <w:r>
        <w:rPr>
          <w:rFonts w:hint="eastAsia" w:ascii="仿宋" w:hAnsi="仿宋" w:eastAsia="仿宋" w:cs="仿宋"/>
          <w:sz w:val="24"/>
          <w:szCs w:val="24"/>
          <w:highlight w:val="none"/>
        </w:rPr>
        <w:t>供应商中标签订合同后</w:t>
      </w:r>
      <w:r>
        <w:rPr>
          <w:rFonts w:hint="eastAsia" w:ascii="仿宋" w:hAnsi="仿宋" w:eastAsia="仿宋" w:cs="仿宋"/>
          <w:b/>
          <w:bCs/>
          <w:sz w:val="24"/>
          <w:szCs w:val="24"/>
          <w:highlight w:val="none"/>
          <w:u w:val="single"/>
        </w:rPr>
        <w:t>120日历天</w:t>
      </w:r>
      <w:r>
        <w:rPr>
          <w:rFonts w:hint="eastAsia" w:ascii="仿宋" w:hAnsi="仿宋" w:eastAsia="仿宋" w:cs="仿宋"/>
          <w:sz w:val="24"/>
          <w:szCs w:val="24"/>
          <w:highlight w:val="none"/>
        </w:rPr>
        <w:t>内送达并</w:t>
      </w:r>
      <w:r>
        <w:rPr>
          <w:rFonts w:hint="eastAsia" w:ascii="仿宋" w:hAnsi="仿宋" w:eastAsia="仿宋" w:cs="仿宋"/>
          <w:sz w:val="24"/>
          <w:szCs w:val="24"/>
          <w:highlight w:val="none"/>
          <w:lang w:eastAsia="zh-CN"/>
        </w:rPr>
        <w:t>安装调试完成。</w:t>
      </w:r>
    </w:p>
    <w:p>
      <w:pPr>
        <w:pStyle w:val="18"/>
        <w:spacing w:line="360" w:lineRule="auto"/>
        <w:ind w:firstLine="480"/>
        <w:rPr>
          <w:rFonts w:hint="eastAsia" w:ascii="仿宋" w:hAnsi="仿宋" w:eastAsia="仿宋" w:cs="仿宋"/>
          <w:b/>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176552672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二、申请人的资格要求：</w:t>
      </w:r>
    </w:p>
    <w:p>
      <w:pPr>
        <w:spacing w:line="360" w:lineRule="auto"/>
        <w:ind w:firstLine="48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 xml:space="preserve">    2.落实政府采购政策需满足的资格要求：</w:t>
      </w:r>
      <w:r>
        <w:rPr>
          <w:rFonts w:hint="eastAsia" w:ascii="仿宋" w:hAnsi="仿宋" w:eastAsia="仿宋" w:cs="仿宋"/>
          <w:sz w:val="24"/>
          <w:highlight w:val="none"/>
        </w:rPr>
        <w:t>无；</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3.本项目的特定资格要求：无；</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lang w:eastAsia="zh-CN"/>
        </w:rPr>
        <w:t>2022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28</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2022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lang w:eastAsia="zh-CN"/>
        </w:rPr>
        <w:t>2022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p>
    <w:p>
      <w:pPr>
        <w:spacing w:line="360" w:lineRule="auto"/>
        <w:rPr>
          <w:rFonts w:hint="eastAsia" w:ascii="仿宋" w:hAnsi="仿宋" w:eastAsia="仿宋" w:cs="仿宋"/>
          <w:sz w:val="24"/>
          <w:highlight w:val="none"/>
        </w:rPr>
      </w:pPr>
      <w:r>
        <w:rPr>
          <w:rFonts w:hint="eastAsia" w:ascii="仿宋" w:hAnsi="仿宋" w:eastAsia="仿宋" w:cs="仿宋"/>
          <w:b/>
          <w:sz w:val="24"/>
          <w:highlight w:val="none"/>
        </w:rPr>
        <w:t xml:space="preserve">五、公告期限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六、其他补充事宜</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详见附件2。</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1.采购人信息</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名    称：</w:t>
      </w: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地    址：</w:t>
      </w:r>
      <w:r>
        <w:rPr>
          <w:rFonts w:hint="eastAsia" w:ascii="仿宋" w:hAnsi="仿宋" w:eastAsia="仿宋" w:cs="仿宋"/>
          <w:sz w:val="24"/>
          <w:highlight w:val="none"/>
          <w:lang w:eastAsia="zh-CN"/>
        </w:rPr>
        <w:t>浙江省建德市新安江街道新安东路553号</w:t>
      </w:r>
      <w:r>
        <w:rPr>
          <w:rFonts w:hint="eastAsia" w:ascii="仿宋" w:hAnsi="仿宋" w:eastAsia="仿宋" w:cs="仿宋"/>
          <w:sz w:val="24"/>
          <w:highlight w:val="none"/>
        </w:rPr>
        <w:t xml:space="preserve">       </w:t>
      </w:r>
    </w:p>
    <w:p>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传    真： /</w:t>
      </w:r>
    </w:p>
    <w:p>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项目联系人（询问）：</w:t>
      </w:r>
      <w:r>
        <w:rPr>
          <w:rFonts w:hint="eastAsia" w:ascii="仿宋" w:hAnsi="仿宋" w:eastAsia="仿宋" w:cs="仿宋"/>
          <w:sz w:val="24"/>
          <w:szCs w:val="24"/>
          <w:highlight w:val="none"/>
        </w:rPr>
        <w:t>何艳艳</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项目联系方式（询问）：</w:t>
      </w:r>
      <w:r>
        <w:rPr>
          <w:rFonts w:hint="eastAsia" w:ascii="仿宋" w:hAnsi="仿宋" w:eastAsia="仿宋" w:cs="仿宋"/>
          <w:sz w:val="24"/>
          <w:szCs w:val="24"/>
          <w:highlight w:val="none"/>
        </w:rPr>
        <w:t>15967160106</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质疑联系人：</w:t>
      </w:r>
      <w:r>
        <w:rPr>
          <w:rFonts w:hint="eastAsia" w:ascii="仿宋" w:hAnsi="仿宋" w:eastAsia="仿宋" w:cs="仿宋"/>
          <w:sz w:val="24"/>
          <w:szCs w:val="24"/>
          <w:highlight w:val="none"/>
        </w:rPr>
        <w:t>蒋欢</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质疑联系方式：</w:t>
      </w:r>
      <w:r>
        <w:rPr>
          <w:rFonts w:hint="eastAsia" w:ascii="仿宋" w:hAnsi="仿宋" w:eastAsia="仿宋" w:cs="仿宋"/>
          <w:sz w:val="24"/>
          <w:szCs w:val="24"/>
          <w:highlight w:val="none"/>
        </w:rPr>
        <w:t>0571-64734211</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2.采购代理机构信息            </w:t>
      </w:r>
    </w:p>
    <w:p>
      <w:pPr>
        <w:spacing w:line="360" w:lineRule="auto"/>
        <w:ind w:firstLine="480"/>
        <w:rPr>
          <w:rFonts w:hint="eastAsia" w:ascii="仿宋" w:hAnsi="仿宋" w:eastAsia="仿宋" w:cs="仿宋"/>
          <w:sz w:val="24"/>
          <w:highlight w:val="none"/>
          <w:lang w:eastAsia="zh-CN"/>
        </w:rPr>
      </w:pPr>
      <w:r>
        <w:rPr>
          <w:rFonts w:hint="eastAsia" w:ascii="仿宋" w:hAnsi="仿宋" w:eastAsia="仿宋" w:cs="仿宋"/>
          <w:sz w:val="24"/>
          <w:highlight w:val="none"/>
        </w:rPr>
        <w:t>名    称：</w:t>
      </w:r>
      <w:r>
        <w:rPr>
          <w:rFonts w:hint="eastAsia" w:ascii="仿宋" w:hAnsi="仿宋" w:eastAsia="仿宋" w:cs="仿宋"/>
          <w:sz w:val="24"/>
          <w:highlight w:val="none"/>
          <w:lang w:eastAsia="zh-CN"/>
        </w:rPr>
        <w:t>浙江建安工程管理有限公司</w:t>
      </w:r>
    </w:p>
    <w:p>
      <w:pPr>
        <w:spacing w:line="360" w:lineRule="auto"/>
        <w:ind w:firstLine="480"/>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lang w:eastAsia="zh-CN"/>
        </w:rPr>
        <w:t>浙江省建德市新安江街道新安财富城</w:t>
      </w:r>
      <w:r>
        <w:rPr>
          <w:rFonts w:hint="eastAsia" w:ascii="仿宋" w:hAnsi="仿宋" w:eastAsia="仿宋" w:cs="仿宋"/>
          <w:sz w:val="24"/>
          <w:highlight w:val="none"/>
          <w:lang w:val="en-US" w:eastAsia="zh-CN"/>
        </w:rPr>
        <w:t>6幢B座2104室</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传    真：/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项目联系人（询问）：</w:t>
      </w:r>
      <w:r>
        <w:rPr>
          <w:rFonts w:hint="eastAsia" w:ascii="仿宋" w:hAnsi="仿宋" w:eastAsia="仿宋" w:cs="仿宋"/>
          <w:sz w:val="24"/>
          <w:szCs w:val="24"/>
          <w:highlight w:val="none"/>
        </w:rPr>
        <w:t>杜江龙</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项目联系方式（询问）：</w:t>
      </w:r>
      <w:r>
        <w:rPr>
          <w:rFonts w:hint="eastAsia" w:ascii="仿宋" w:hAnsi="仿宋" w:eastAsia="仿宋" w:cs="仿宋"/>
          <w:sz w:val="24"/>
          <w:szCs w:val="24"/>
          <w:highlight w:val="none"/>
        </w:rPr>
        <w:t>15058155265</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质疑联系人：</w:t>
      </w:r>
      <w:r>
        <w:rPr>
          <w:rFonts w:hint="eastAsia" w:ascii="仿宋" w:hAnsi="仿宋" w:eastAsia="仿宋" w:cs="仿宋"/>
          <w:sz w:val="24"/>
          <w:szCs w:val="24"/>
          <w:highlight w:val="none"/>
        </w:rPr>
        <w:t>陈丽</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质疑联系方式：</w:t>
      </w:r>
      <w:r>
        <w:rPr>
          <w:rFonts w:hint="eastAsia" w:ascii="仿宋" w:hAnsi="仿宋" w:eastAsia="仿宋" w:cs="仿宋"/>
          <w:sz w:val="24"/>
          <w:szCs w:val="24"/>
          <w:highlight w:val="none"/>
        </w:rPr>
        <w:t>0571-64757660</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3.同级政府采购监督管理部门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名    称：建德市采购办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地    址：建德市财政局 </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传    真：/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联系人 ：邵菁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监督投诉电话：0571-64718168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highlight w:val="none"/>
        </w:rPr>
        <w:t xml:space="preserve">                              </w:t>
      </w:r>
    </w:p>
    <w:p>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r>
        <w:rPr>
          <w:rFonts w:hint="eastAsia" w:ascii="仿宋" w:hAnsi="仿宋" w:eastAsia="仿宋" w:cs="仿宋"/>
          <w:b/>
          <w:sz w:val="36"/>
          <w:szCs w:val="20"/>
          <w:highlight w:val="none"/>
        </w:rPr>
        <w:t>第二部分</w:t>
      </w:r>
      <w:bookmarkEnd w:id="8"/>
      <w:r>
        <w:rPr>
          <w:rFonts w:hint="eastAsia" w:ascii="仿宋" w:hAnsi="仿宋" w:eastAsia="仿宋" w:cs="仿宋"/>
          <w:b/>
          <w:sz w:val="36"/>
          <w:szCs w:val="20"/>
          <w:highlight w:val="none"/>
        </w:rPr>
        <w:t xml:space="preserve"> 投标人须知</w:t>
      </w:r>
      <w:bookmarkEnd w:id="9"/>
    </w:p>
    <w:p>
      <w:pPr>
        <w:snapToGrid w:val="0"/>
        <w:spacing w:line="360" w:lineRule="auto"/>
        <w:jc w:val="center"/>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8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有关本项目实施所需的所有费用（含税费）均计入报价。</w:t>
            </w:r>
            <w:r>
              <w:rPr>
                <w:rFonts w:hint="eastAsia" w:ascii="仿宋" w:hAnsi="仿宋" w:eastAsia="仿宋" w:cs="仿宋"/>
                <w:sz w:val="24"/>
                <w:highlight w:val="none"/>
              </w:rPr>
              <w:t>开标一览表（报价表）是报价的唯一载体</w:t>
            </w:r>
            <w:r>
              <w:rPr>
                <w:rFonts w:hint="eastAsia" w:ascii="仿宋" w:hAnsi="仿宋" w:eastAsia="仿宋" w:cs="仿宋"/>
                <w:kern w:val="0"/>
                <w:sz w:val="24"/>
                <w:highlight w:val="none"/>
                <w:lang w:val="zh-CN"/>
              </w:rPr>
              <w:t>。投标文件中价格全部采用人民币报价。招标文件未列明，而投标人认为必需的费用也需列入报价。</w:t>
            </w:r>
            <w:r>
              <w:rPr>
                <w:rFonts w:hint="eastAsia" w:ascii="仿宋" w:hAnsi="仿宋" w:eastAsia="仿宋" w:cs="仿宋"/>
                <w:b/>
                <w:kern w:val="0"/>
                <w:sz w:val="24"/>
                <w:highlight w:val="none"/>
                <w:lang w:val="zh-CN"/>
              </w:rPr>
              <w:t>提醒：验收时检测费用由中标人承担，包含在投标总价中。</w:t>
            </w:r>
          </w:p>
          <w:p>
            <w:pPr>
              <w:snapToGrid w:val="0"/>
              <w:spacing w:line="360" w:lineRule="auto"/>
              <w:jc w:val="left"/>
              <w:rPr>
                <w:rFonts w:hint="eastAsia" w:ascii="仿宋" w:hAnsi="仿宋" w:eastAsia="仿宋" w:cs="仿宋"/>
                <w:b/>
                <w:kern w:val="0"/>
                <w:sz w:val="24"/>
                <w:highlight w:val="none"/>
                <w:lang w:val="zh-CN"/>
              </w:rPr>
            </w:pPr>
            <w:r>
              <w:rPr>
                <w:rFonts w:hint="eastAsia" w:ascii="仿宋" w:hAnsi="仿宋" w:eastAsia="仿宋" w:cs="仿宋"/>
                <w:sz w:val="24"/>
                <w:highlight w:val="none"/>
              </w:rPr>
              <w:t>▲</w:t>
            </w:r>
            <w:r>
              <w:rPr>
                <w:rFonts w:hint="eastAsia" w:ascii="仿宋" w:hAnsi="仿宋" w:eastAsia="仿宋" w:cs="仿宋"/>
                <w:b/>
                <w:kern w:val="0"/>
                <w:sz w:val="24"/>
                <w:highlight w:val="none"/>
                <w:lang w:val="zh-CN"/>
              </w:rPr>
              <w:t>投标报价出现下列情形的，投标无效：</w:t>
            </w:r>
          </w:p>
          <w:p>
            <w:pPr>
              <w:snapToGrid w:val="0"/>
              <w:spacing w:line="360" w:lineRule="auto"/>
              <w:ind w:firstLine="240" w:firstLineChars="100"/>
              <w:jc w:val="left"/>
              <w:rPr>
                <w:rFonts w:hint="eastAsia" w:ascii="仿宋" w:hAnsi="仿宋" w:eastAsia="仿宋" w:cs="仿宋"/>
                <w:b/>
                <w:kern w:val="0"/>
                <w:sz w:val="24"/>
                <w:highlight w:val="none"/>
                <w:lang w:val="zh-CN"/>
              </w:rPr>
            </w:pPr>
            <w:r>
              <w:rPr>
                <w:rFonts w:hint="eastAsia" w:ascii="仿宋" w:hAnsi="仿宋" w:eastAsia="仿宋" w:cs="仿宋"/>
                <w:sz w:val="24"/>
                <w:highlight w:val="none"/>
              </w:rPr>
              <w:t>▲</w:t>
            </w:r>
            <w:r>
              <w:rPr>
                <w:rFonts w:hint="eastAsia" w:ascii="仿宋" w:hAnsi="仿宋" w:eastAsia="仿宋" w:cs="仿宋"/>
                <w:b/>
                <w:kern w:val="0"/>
                <w:sz w:val="24"/>
                <w:highlight w:val="none"/>
                <w:lang w:val="zh-CN"/>
              </w:rPr>
              <w:t>投标文件出现不是唯一的、有选择性投标报价的；</w:t>
            </w:r>
          </w:p>
          <w:p>
            <w:pPr>
              <w:snapToGrid w:val="0"/>
              <w:spacing w:line="360" w:lineRule="auto"/>
              <w:ind w:firstLine="240" w:firstLineChars="100"/>
              <w:jc w:val="left"/>
              <w:rPr>
                <w:rFonts w:hint="eastAsia" w:ascii="仿宋" w:hAnsi="仿宋" w:eastAsia="仿宋" w:cs="仿宋"/>
                <w:kern w:val="0"/>
                <w:sz w:val="24"/>
                <w:highlight w:val="none"/>
                <w:lang w:val="zh-CN"/>
              </w:rPr>
            </w:pPr>
            <w:r>
              <w:rPr>
                <w:rFonts w:hint="eastAsia" w:ascii="仿宋" w:hAnsi="仿宋" w:eastAsia="仿宋" w:cs="仿宋"/>
                <w:sz w:val="24"/>
                <w:highlight w:val="none"/>
              </w:rPr>
              <w:t>▲</w:t>
            </w:r>
            <w:r>
              <w:rPr>
                <w:rFonts w:hint="eastAsia" w:ascii="仿宋" w:hAnsi="仿宋" w:eastAsia="仿宋" w:cs="仿宋"/>
                <w:b/>
                <w:kern w:val="0"/>
                <w:sz w:val="24"/>
                <w:highlight w:val="none"/>
                <w:lang w:val="zh-CN"/>
              </w:rPr>
              <w:t>投标报价超过招标文件中规定的预算金额或者最高限价的;</w:t>
            </w:r>
          </w:p>
          <w:p>
            <w:pPr>
              <w:spacing w:line="360" w:lineRule="auto"/>
              <w:ind w:firstLine="240" w:firstLineChars="100"/>
              <w:rPr>
                <w:rFonts w:hint="eastAsia" w:ascii="仿宋" w:hAnsi="仿宋" w:eastAsia="仿宋" w:cs="仿宋"/>
                <w:b/>
                <w:sz w:val="24"/>
                <w:highlight w:val="none"/>
              </w:rPr>
            </w:pPr>
            <w:r>
              <w:rPr>
                <w:rFonts w:hint="eastAsia" w:ascii="仿宋" w:hAnsi="仿宋" w:eastAsia="仿宋" w:cs="仿宋"/>
                <w:sz w:val="24"/>
                <w:highlight w:val="none"/>
              </w:rPr>
              <w:t>▲</w:t>
            </w:r>
            <w:r>
              <w:rPr>
                <w:rFonts w:hint="eastAsia" w:ascii="仿宋" w:hAnsi="仿宋" w:eastAsia="仿宋" w:cs="仿宋"/>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highlight w:val="none"/>
              </w:rPr>
              <w:t>;</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kern w:val="0"/>
                <w:sz w:val="24"/>
                <w:highlight w:val="none"/>
              </w:rPr>
              <w:t>投标人对根据修正原则修正后的报价不确认的</w:t>
            </w:r>
            <w:r>
              <w:rPr>
                <w:rFonts w:hint="eastAsia" w:ascii="仿宋" w:hAnsi="仿宋" w:eastAsia="仿宋" w:cs="仿宋"/>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（1）资格证明文件：见招标文件第二部分11.1。</w:t>
            </w:r>
          </w:p>
          <w:p>
            <w:pPr>
              <w:spacing w:line="360" w:lineRule="auto"/>
              <w:rPr>
                <w:rFonts w:hint="eastAsia" w:ascii="仿宋" w:hAnsi="仿宋" w:eastAsia="仿宋" w:cs="仿宋"/>
                <w:snapToGrid w:val="0"/>
                <w:kern w:val="0"/>
                <w:szCs w:val="21"/>
                <w:highlight w:val="none"/>
              </w:rPr>
            </w:pPr>
            <w:r>
              <w:rPr>
                <w:rFonts w:hint="eastAsia" w:ascii="仿宋" w:hAnsi="仿宋" w:eastAsia="仿宋" w:cs="仿宋"/>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highlight w:val="none"/>
              </w:rPr>
            </w:pPr>
            <w:sdt>
              <w:sdtPr>
                <w:rPr>
                  <w:rFonts w:hint="eastAsia" w:ascii="仿宋" w:hAnsi="仿宋" w:eastAsia="仿宋" w:cs="仿宋"/>
                  <w:kern w:val="0"/>
                  <w:sz w:val="24"/>
                  <w:highlight w:val="none"/>
                </w:rPr>
                <w:id w:val="118727868"/>
                <w14:checkbox>
                  <w14:checked w14:val="1"/>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Wingdings" w:hAnsi="Wingdings" w:eastAsia="仿宋" w:cs="仿宋"/>
                    <w:kern w:val="0"/>
                    <w:sz w:val="24"/>
                    <w:szCs w:val="24"/>
                    <w:highlight w:val="none"/>
                    <w:lang w:val="en-US" w:eastAsia="zh-CN" w:bidi="ar-SA"/>
                  </w:rPr>
                  <w:t>þ</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 xml:space="preserve"> 遥测终端（含网关）</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遥测终端（含网关）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北斗通信模块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雷达水位传感器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浮子式水位计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雨量计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太阳能供电系统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设备安装套件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标识标牌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水尺零高标牌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人工水尺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靠桩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p>
            <w:pPr>
              <w:snapToGrid w:val="0"/>
              <w:spacing w:line="360" w:lineRule="auto"/>
              <w:rPr>
                <w:rFonts w:hint="eastAsia" w:ascii="仿宋" w:hAnsi="仿宋" w:eastAsia="仿宋" w:cs="仿宋"/>
                <w:highlight w:val="none"/>
                <w:lang w:val="en-US"/>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rPr>
              <w:t>）标的：</w:t>
            </w:r>
            <w:r>
              <w:rPr>
                <w:rFonts w:hint="eastAsia" w:ascii="仿宋" w:hAnsi="仿宋" w:eastAsia="仿宋" w:cs="仿宋"/>
                <w:kern w:val="0"/>
                <w:sz w:val="24"/>
                <w:highlight w:val="none"/>
                <w:u w:val="single"/>
              </w:rPr>
              <w:t xml:space="preserve"> 雨量筒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highlight w:val="none"/>
              </w:rPr>
            </w:pPr>
            <w:r>
              <w:rPr>
                <w:rFonts w:hint="eastAsia" w:ascii="仿宋" w:hAnsi="仿宋" w:eastAsia="仿宋" w:cs="仿宋"/>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hint="eastAsia" w:ascii="仿宋" w:hAnsi="仿宋" w:eastAsia="仿宋" w:cs="仿宋"/>
                <w:highlight w:val="none"/>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hint="eastAsia" w:ascii="仿宋" w:hAnsi="仿宋" w:eastAsia="仿宋" w:cs="仿宋"/>
                <w:highlight w:val="none"/>
              </w:rPr>
            </w:pPr>
          </w:p>
        </w:tc>
        <w:tc>
          <w:tcPr>
            <w:tcW w:w="6095" w:type="dxa"/>
            <w:tcBorders>
              <w:top w:val="single" w:color="000000" w:sz="8" w:space="0"/>
              <w:left w:val="single" w:color="000000" w:sz="2" w:space="0"/>
              <w:right w:val="single" w:color="000000" w:sz="8" w:space="0"/>
            </w:tcBorders>
            <w:vAlign w:val="center"/>
          </w:tcPr>
          <w:p>
            <w:pPr>
              <w:snapToGrid w:val="0"/>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供应商中标后也可在“政采云”平台</w:t>
            </w:r>
            <w:r>
              <w:rPr>
                <w:rFonts w:hint="eastAsia" w:ascii="仿宋" w:hAnsi="仿宋" w:eastAsia="仿宋" w:cs="仿宋"/>
                <w:kern w:val="0"/>
                <w:sz w:val="24"/>
                <w:highlight w:val="none"/>
                <w:lang w:eastAsia="zh-CN"/>
              </w:rPr>
              <w:t>（登陆</w:t>
            </w:r>
            <w:r>
              <w:rPr>
                <w:rFonts w:hint="eastAsia" w:ascii="仿宋" w:hAnsi="仿宋" w:eastAsia="仿宋" w:cs="仿宋"/>
                <w:kern w:val="0"/>
                <w:sz w:val="24"/>
                <w:highlight w:val="none"/>
              </w:rPr>
              <w:t>https://jinrong.zcygov.cn/?utm=a0017.b1540.ct001.11.3a0260f064fd11eba8f1adac56aaf47c</w:t>
            </w:r>
            <w:r>
              <w:rPr>
                <w:rFonts w:hint="eastAsia" w:ascii="仿宋" w:hAnsi="仿宋" w:eastAsia="仿宋" w:cs="仿宋"/>
                <w:kern w:val="0"/>
                <w:sz w:val="24"/>
                <w:highlight w:val="none"/>
                <w:lang w:eastAsia="zh-CN"/>
              </w:rPr>
              <w:t>办理业务）</w:t>
            </w:r>
            <w:r>
              <w:rPr>
                <w:rFonts w:hint="eastAsia" w:ascii="仿宋" w:hAnsi="仿宋" w:eastAsia="仿宋" w:cs="仿宋"/>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int="eastAsia" w:ascii="仿宋" w:hAnsi="仿宋" w:eastAsia="仿宋" w:cs="仿宋"/>
                <w:kern w:val="28"/>
                <w:sz w:val="24"/>
                <w:highlight w:val="none"/>
              </w:rPr>
            </w:pPr>
            <w:r>
              <w:rPr>
                <w:rFonts w:hint="eastAsia" w:ascii="仿宋" w:hAnsi="仿宋" w:eastAsia="仿宋" w:cs="仿宋"/>
                <w:kern w:val="28"/>
                <w:sz w:val="24"/>
                <w:szCs w:val="24"/>
                <w:highlight w:val="none"/>
              </w:rPr>
              <w:t>备份投标文件送达地点：</w:t>
            </w:r>
            <w:r>
              <w:rPr>
                <w:rFonts w:hint="eastAsia" w:ascii="仿宋" w:hAnsi="仿宋" w:eastAsia="仿宋" w:cs="仿宋"/>
                <w:sz w:val="24"/>
                <w:highlight w:val="none"/>
                <w:u w:val="single"/>
              </w:rPr>
              <w:t xml:space="preserve"> 浙江省杭州市建德市新安江街道新安财富城6幢B座2104室 </w:t>
            </w:r>
            <w:r>
              <w:rPr>
                <w:rFonts w:hint="eastAsia" w:ascii="仿宋" w:hAnsi="仿宋" w:eastAsia="仿宋" w:cs="仿宋"/>
                <w:kern w:val="28"/>
                <w:sz w:val="24"/>
                <w:szCs w:val="24"/>
                <w:highlight w:val="none"/>
              </w:rPr>
              <w:t>；备份投标文件签收人员联系电话：</w:t>
            </w:r>
            <w:r>
              <w:rPr>
                <w:rFonts w:hint="eastAsia" w:ascii="仿宋" w:hAnsi="仿宋" w:eastAsia="仿宋" w:cs="仿宋"/>
                <w:sz w:val="24"/>
                <w:highlight w:val="none"/>
                <w:u w:val="single"/>
              </w:rPr>
              <w:t xml:space="preserve"> 杜江龙，15058155265 </w:t>
            </w:r>
            <w:r>
              <w:rPr>
                <w:rFonts w:hint="eastAsia" w:ascii="仿宋" w:hAnsi="仿宋" w:eastAsia="仿宋" w:cs="仿宋"/>
                <w:sz w:val="24"/>
                <w:szCs w:val="24"/>
                <w:highlight w:val="none"/>
              </w:rPr>
              <w:t>。</w:t>
            </w:r>
            <w:r>
              <w:rPr>
                <w:rFonts w:hint="eastAsia" w:ascii="仿宋" w:hAnsi="仿宋" w:eastAsia="仿宋" w:cs="仿宋"/>
                <w:b/>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采购代理机构代理费用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highlight w:val="none"/>
              </w:rPr>
            </w:pPr>
            <w:r>
              <w:rPr>
                <w:rFonts w:hint="eastAsia" w:ascii="仿宋" w:hAnsi="仿宋" w:eastAsia="仿宋" w:cs="仿宋"/>
                <w:b/>
                <w:kern w:val="0"/>
                <w:sz w:val="24"/>
                <w:szCs w:val="24"/>
                <w:highlight w:val="none"/>
              </w:rPr>
              <w:t>投标总</w:t>
            </w:r>
            <w:r>
              <w:rPr>
                <w:rFonts w:hint="eastAsia" w:ascii="仿宋" w:hAnsi="仿宋" w:eastAsia="仿宋" w:cs="仿宋"/>
                <w:b/>
                <w:bCs/>
                <w:spacing w:val="-2"/>
                <w:sz w:val="24"/>
                <w:highlight w:val="none"/>
              </w:rPr>
              <w:t>报价应含采购服务费，采购服务费按照国家发展计划委员会计价格[2002]1980 号文《招标代理服务费管理暂行办法》及发改办价格[2003]857号文的收费标准（货物类）计取，为人民币</w:t>
            </w:r>
            <w:r>
              <w:rPr>
                <w:rFonts w:hint="eastAsia" w:ascii="仿宋" w:hAnsi="仿宋" w:eastAsia="仿宋" w:cs="仿宋"/>
                <w:b/>
                <w:bCs/>
                <w:spacing w:val="-2"/>
                <w:sz w:val="24"/>
                <w:highlight w:val="none"/>
              </w:rPr>
              <w:fldChar w:fldCharType="begin"/>
            </w:r>
            <w:r>
              <w:rPr>
                <w:rFonts w:hint="eastAsia" w:ascii="仿宋" w:hAnsi="仿宋" w:eastAsia="仿宋" w:cs="仿宋"/>
                <w:b/>
                <w:bCs/>
                <w:spacing w:val="-2"/>
                <w:sz w:val="24"/>
                <w:highlight w:val="none"/>
              </w:rPr>
              <w:instrText xml:space="preserve"> = 6900 \* CHINESENUM4 \* MERGEFORMAT </w:instrText>
            </w:r>
            <w:r>
              <w:rPr>
                <w:rFonts w:hint="eastAsia" w:ascii="仿宋" w:hAnsi="仿宋" w:eastAsia="仿宋" w:cs="仿宋"/>
                <w:b/>
                <w:bCs/>
                <w:spacing w:val="-2"/>
                <w:sz w:val="24"/>
                <w:highlight w:val="none"/>
              </w:rPr>
              <w:fldChar w:fldCharType="separate"/>
            </w:r>
            <w:r>
              <w:rPr>
                <w:rFonts w:hint="eastAsia" w:ascii="仿宋" w:hAnsi="仿宋" w:eastAsia="仿宋" w:cs="仿宋"/>
                <w:b/>
                <w:bCs/>
                <w:spacing w:val="-2"/>
                <w:sz w:val="24"/>
                <w:highlight w:val="none"/>
                <w:lang w:eastAsia="zh-CN"/>
              </w:rPr>
              <w:t>肆万捌仟叁佰</w:t>
            </w:r>
            <w:r>
              <w:rPr>
                <w:rFonts w:hint="eastAsia" w:ascii="仿宋" w:hAnsi="仿宋" w:eastAsia="仿宋" w:cs="仿宋"/>
                <w:b/>
                <w:bCs/>
                <w:spacing w:val="-2"/>
                <w:sz w:val="24"/>
                <w:highlight w:val="none"/>
              </w:rPr>
              <w:t>元整</w:t>
            </w:r>
            <w:r>
              <w:rPr>
                <w:rFonts w:hint="eastAsia" w:ascii="仿宋" w:hAnsi="仿宋" w:eastAsia="仿宋" w:cs="仿宋"/>
                <w:b/>
                <w:bCs/>
                <w:spacing w:val="-2"/>
                <w:sz w:val="24"/>
                <w:highlight w:val="none"/>
              </w:rPr>
              <w:fldChar w:fldCharType="end"/>
            </w:r>
            <w:r>
              <w:rPr>
                <w:rFonts w:hint="eastAsia" w:ascii="仿宋" w:hAnsi="仿宋" w:eastAsia="仿宋" w:cs="仿宋"/>
                <w:b/>
                <w:bCs/>
                <w:spacing w:val="-2"/>
                <w:sz w:val="24"/>
                <w:highlight w:val="none"/>
              </w:rPr>
              <w:t>（￥</w:t>
            </w:r>
            <w:r>
              <w:rPr>
                <w:rFonts w:hint="eastAsia" w:ascii="仿宋" w:hAnsi="仿宋" w:eastAsia="仿宋" w:cs="仿宋"/>
                <w:b/>
                <w:bCs/>
                <w:spacing w:val="-2"/>
                <w:sz w:val="24"/>
                <w:highlight w:val="none"/>
                <w:lang w:val="en-US" w:eastAsia="zh-CN"/>
              </w:rPr>
              <w:t>483</w:t>
            </w:r>
            <w:r>
              <w:rPr>
                <w:rFonts w:hint="eastAsia" w:ascii="仿宋" w:hAnsi="仿宋" w:eastAsia="仿宋" w:cs="仿宋"/>
                <w:b/>
                <w:bCs/>
                <w:spacing w:val="-2"/>
                <w:sz w:val="24"/>
                <w:highlight w:val="none"/>
              </w:rPr>
              <w:t>00.00元）。由中标单位在领取中标通知书时支付给采购代理公司。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无</w:t>
            </w:r>
            <w:r>
              <w:rPr>
                <w:rFonts w:hint="eastAsia" w:ascii="仿宋" w:hAnsi="仿宋" w:eastAsia="仿宋" w:cs="仿宋"/>
                <w:b/>
                <w:kern w:val="0"/>
                <w:sz w:val="24"/>
                <w:highlight w:val="none"/>
              </w:rPr>
              <w:t>。</w:t>
            </w:r>
          </w:p>
        </w:tc>
      </w:tr>
    </w:tbl>
    <w:p>
      <w:pPr>
        <w:snapToGrid w:val="0"/>
        <w:spacing w:line="360" w:lineRule="auto"/>
        <w:jc w:val="center"/>
        <w:rPr>
          <w:rFonts w:hint="eastAsia" w:ascii="仿宋" w:hAnsi="仿宋" w:eastAsia="仿宋" w:cs="仿宋"/>
          <w:b/>
          <w:sz w:val="32"/>
          <w:szCs w:val="20"/>
          <w:highlight w:val="none"/>
        </w:rPr>
      </w:pPr>
    </w:p>
    <w:bookmarkEnd w:id="10"/>
    <w:p>
      <w:pPr>
        <w:adjustRightInd/>
        <w:spacing w:line="360" w:lineRule="auto"/>
        <w:ind w:firstLine="3845" w:firstLineChars="1197"/>
        <w:outlineLvl w:val="0"/>
        <w:rPr>
          <w:rFonts w:hint="eastAsia" w:ascii="仿宋" w:hAnsi="仿宋" w:eastAsia="仿宋" w:cs="仿宋"/>
          <w:b/>
          <w:sz w:val="32"/>
          <w:szCs w:val="20"/>
          <w:highlight w:val="none"/>
        </w:rPr>
      </w:pPr>
      <w:bookmarkStart w:id="11" w:name="第三部分"/>
      <w:bookmarkStart w:id="12" w:name="_Toc164416483"/>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一、总则</w:t>
      </w:r>
    </w:p>
    <w:p>
      <w:pPr>
        <w:snapToGrid w:val="0"/>
        <w:spacing w:line="360" w:lineRule="auto"/>
        <w:ind w:firstLine="361" w:firstLineChars="150"/>
        <w:jc w:val="left"/>
        <w:outlineLvl w:val="1"/>
        <w:rPr>
          <w:rFonts w:hint="eastAsia" w:ascii="仿宋" w:hAnsi="仿宋" w:eastAsia="仿宋" w:cs="仿宋"/>
          <w:b/>
          <w:sz w:val="24"/>
          <w:highlight w:val="none"/>
        </w:rPr>
      </w:pPr>
      <w:r>
        <w:rPr>
          <w:rFonts w:hint="eastAsia" w:ascii="仿宋" w:hAnsi="仿宋" w:eastAsia="仿宋" w:cs="仿宋"/>
          <w:b/>
          <w:sz w:val="24"/>
          <w:highlight w:val="none"/>
        </w:rPr>
        <w:t>1. 适用范围</w:t>
      </w:r>
    </w:p>
    <w:p>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sz w:val="24"/>
          <w:highlight w:val="none"/>
        </w:rPr>
      </w:pPr>
      <w:r>
        <w:rPr>
          <w:rFonts w:hint="eastAsia" w:ascii="仿宋" w:hAnsi="仿宋" w:eastAsia="仿宋" w:cs="仿宋"/>
          <w:b/>
          <w:sz w:val="24"/>
          <w:highlight w:val="none"/>
        </w:rPr>
        <w:t xml:space="preserve">   2.定义</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“采购机构”系指招标公告中载明的本项目的采购机构。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“投标人”系指是指响应招标、参加投标竞争的法人、其他组织或者自然人。</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2.6“电子交易平台”是指本项目政府采购活动所依托的政府采购云平台（https://www.zcygov.cn/）。</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 “▲” 系指实质性要求条款，“★”系产品采购项目中单一产品或核心产品，“</w:t>
      </w:r>
      <w:sdt>
        <w:sdtPr>
          <w:rPr>
            <w:rFonts w:hint="eastAsia" w:ascii="仿宋" w:hAnsi="仿宋" w:eastAsia="仿宋" w:cs="仿宋"/>
            <w:kern w:val="0"/>
            <w:sz w:val="24"/>
            <w:highlight w:val="none"/>
          </w:rPr>
          <w:id w:val="404888855"/>
          <w14:checkbox>
            <w14:checked w14:val="1"/>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Wingdings" w:hAnsi="Wingdings" w:eastAsia="仿宋" w:cs="仿宋"/>
              <w:kern w:val="0"/>
              <w:sz w:val="24"/>
              <w:szCs w:val="24"/>
              <w:highlight w:val="none"/>
              <w:lang w:val="en-US" w:eastAsia="zh-CN" w:bidi="ar-SA"/>
            </w:rPr>
            <w:t>þ</w:t>
          </w:r>
        </w:sdtContent>
      </w:sdt>
      <w:r>
        <w:rPr>
          <w:rFonts w:hint="eastAsia" w:ascii="仿宋" w:hAnsi="仿宋" w:eastAsia="仿宋" w:cs="仿宋"/>
          <w:sz w:val="24"/>
          <w:highlight w:val="none"/>
        </w:rPr>
        <w:t>”系指适用本项目的要求，“</w:t>
      </w:r>
      <w:sdt>
        <w:sdtPr>
          <w:rPr>
            <w:rFonts w:hint="eastAsia" w:ascii="仿宋" w:hAnsi="仿宋" w:eastAsia="仿宋" w:cs="仿宋"/>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仿宋" w:hAnsi="仿宋" w:eastAsia="仿宋" w:cs="仿宋"/>
              <w:kern w:val="0"/>
              <w:sz w:val="24"/>
              <w:szCs w:val="24"/>
              <w:highlight w:val="none"/>
              <w:lang w:val="en-US" w:eastAsia="zh-CN" w:bidi="ar-SA"/>
            </w:rPr>
            <w:t>☐</w:t>
          </w:r>
        </w:sdtContent>
      </w:sdt>
      <w:r>
        <w:rPr>
          <w:rFonts w:hint="eastAsia" w:ascii="仿宋" w:hAnsi="仿宋" w:eastAsia="仿宋" w:cs="仿宋"/>
          <w:sz w:val="24"/>
          <w:highlight w:val="none"/>
        </w:rPr>
        <w:t>” 系指不适用本项目的要求。</w:t>
      </w:r>
    </w:p>
    <w:p>
      <w:pPr>
        <w:spacing w:line="360" w:lineRule="auto"/>
        <w:ind w:firstLine="241" w:firstLineChars="100"/>
        <w:rPr>
          <w:rFonts w:hint="eastAsia" w:ascii="仿宋" w:hAnsi="仿宋" w:eastAsia="仿宋" w:cs="仿宋"/>
          <w:b/>
          <w:sz w:val="24"/>
          <w:highlight w:val="none"/>
        </w:rPr>
      </w:pPr>
      <w:r>
        <w:rPr>
          <w:rFonts w:hint="eastAsia" w:ascii="仿宋" w:hAnsi="仿宋" w:eastAsia="仿宋" w:cs="仿宋"/>
          <w:b/>
          <w:sz w:val="24"/>
          <w:highlight w:val="none"/>
        </w:rPr>
        <w:t>3.</w:t>
      </w:r>
      <w:r>
        <w:rPr>
          <w:rFonts w:hint="eastAsia" w:ascii="仿宋" w:hAnsi="仿宋" w:eastAsia="仿宋" w:cs="仿宋"/>
          <w:highlight w:val="none"/>
        </w:rPr>
        <w:t xml:space="preserve"> </w:t>
      </w:r>
      <w:r>
        <w:rPr>
          <w:rFonts w:hint="eastAsia" w:ascii="仿宋" w:hAnsi="仿宋" w:eastAsia="仿宋" w:cs="仿宋"/>
          <w:b/>
          <w:sz w:val="24"/>
          <w:highlight w:val="none"/>
        </w:rPr>
        <w:t>采购项目需要落实的政府采购政策</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360" w:lineRule="auto"/>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3.3支持中小企业发展</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bCs/>
          <w:sz w:val="24"/>
          <w:highlight w:val="none"/>
        </w:rPr>
        <w:t>3.3.2</w:t>
      </w:r>
      <w:r>
        <w:rPr>
          <w:rFonts w:hint="eastAsia" w:ascii="仿宋" w:hAnsi="仿宋" w:eastAsia="仿宋" w:cs="仿宋"/>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3.3.2.2在工程采购项目中，工程由中小企业承建，即工程施工单位为中小企业；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支持创新发展</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3.4.1 采购人优先采购被认定为首台套产品和“制造精品”的自主创新产品。</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b/>
          <w:sz w:val="24"/>
          <w:highlight w:val="none"/>
        </w:rPr>
      </w:pPr>
      <w:r>
        <w:rPr>
          <w:rFonts w:hint="eastAsia" w:ascii="仿宋" w:hAnsi="仿宋" w:eastAsia="仿宋" w:cs="仿宋"/>
          <w:sz w:val="24"/>
          <w:highlight w:val="none"/>
        </w:rPr>
        <w:t>3.5中小企业信用融资：</w:t>
      </w:r>
      <w:r>
        <w:rPr>
          <w:rFonts w:hint="eastAsia" w:ascii="仿宋" w:hAnsi="仿宋" w:eastAsia="仿宋" w:cs="仿宋"/>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r>
        <w:rPr>
          <w:rFonts w:hint="eastAsia" w:ascii="仿宋" w:hAnsi="仿宋" w:eastAsia="仿宋" w:cs="仿宋"/>
          <w:snapToGrid w:val="0"/>
          <w:kern w:val="28"/>
          <w:sz w:val="24"/>
          <w:highlight w:val="none"/>
        </w:rPr>
        <w:t>供</w:t>
      </w:r>
      <w:r>
        <w:rPr>
          <w:rFonts w:hint="eastAsia" w:ascii="仿宋" w:hAnsi="仿宋" w:eastAsia="仿宋" w:cs="仿宋"/>
          <w:kern w:val="0"/>
          <w:sz w:val="24"/>
          <w:highlight w:val="none"/>
        </w:rPr>
        <w:t>应商中标后也可在“政采云”平台</w:t>
      </w:r>
      <w:r>
        <w:rPr>
          <w:rFonts w:hint="eastAsia" w:ascii="仿宋" w:hAnsi="仿宋" w:eastAsia="仿宋" w:cs="仿宋"/>
          <w:kern w:val="0"/>
          <w:sz w:val="24"/>
          <w:highlight w:val="none"/>
          <w:lang w:eastAsia="zh-CN"/>
        </w:rPr>
        <w:t>（登陆</w:t>
      </w:r>
      <w:r>
        <w:rPr>
          <w:rFonts w:hint="eastAsia" w:ascii="仿宋" w:hAnsi="仿宋" w:eastAsia="仿宋" w:cs="仿宋"/>
          <w:kern w:val="0"/>
          <w:sz w:val="24"/>
          <w:highlight w:val="none"/>
        </w:rPr>
        <w:t>https://jinrong.zcygov.cn/?utm=a0017.b1540.ct001.11.3a0260f064fd11eba8f1adac56aaf47c</w:t>
      </w:r>
      <w:r>
        <w:rPr>
          <w:rFonts w:hint="eastAsia" w:ascii="仿宋" w:hAnsi="仿宋" w:eastAsia="仿宋" w:cs="仿宋"/>
          <w:kern w:val="0"/>
          <w:sz w:val="24"/>
          <w:highlight w:val="none"/>
          <w:lang w:eastAsia="zh-CN"/>
        </w:rPr>
        <w:t>办理业务）</w:t>
      </w:r>
      <w:r>
        <w:rPr>
          <w:rFonts w:hint="eastAsia" w:ascii="仿宋" w:hAnsi="仿宋" w:eastAsia="仿宋" w:cs="仿宋"/>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r>
        <w:rPr>
          <w:rFonts w:hint="eastAsia" w:ascii="仿宋" w:hAnsi="仿宋" w:eastAsia="仿宋" w:cs="仿宋"/>
          <w:sz w:val="24"/>
          <w:highlight w:val="none"/>
        </w:rPr>
        <w:cr/>
      </w:r>
      <w:r>
        <w:rPr>
          <w:rFonts w:hint="eastAsia" w:ascii="仿宋" w:hAnsi="仿宋" w:eastAsia="仿宋" w:cs="仿宋"/>
          <w:b/>
          <w:sz w:val="24"/>
          <w:highlight w:val="none"/>
        </w:rPr>
        <w:t>4. 询问、质疑、投诉</w:t>
      </w:r>
    </w:p>
    <w:p>
      <w:pPr>
        <w:autoSpaceDE w:val="0"/>
        <w:autoSpaceDN w:val="0"/>
        <w:spacing w:line="360" w:lineRule="auto"/>
        <w:ind w:firstLine="240" w:firstLineChars="1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4.1供应商询问</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4.2供应商质疑</w:t>
      </w:r>
    </w:p>
    <w:p>
      <w:pPr>
        <w:pStyle w:val="34"/>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4.2</w:t>
      </w:r>
      <w:r>
        <w:rPr>
          <w:rFonts w:hint="eastAsia" w:ascii="仿宋" w:hAnsi="仿宋" w:eastAsia="仿宋" w:cs="仿宋"/>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4.2</w:t>
      </w:r>
      <w:r>
        <w:rPr>
          <w:rFonts w:hint="eastAsia" w:ascii="仿宋" w:hAnsi="仿宋" w:eastAsia="仿宋" w:cs="仿宋"/>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8"/>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4.2.2.1对招标文件提出质疑的，质疑期限为供应商获得招标文件之日或者招标文件公告期限届满之日起计算。</w:t>
      </w:r>
    </w:p>
    <w:p>
      <w:pPr>
        <w:pStyle w:val="3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4.2.2.2对采购过程提出质疑的，质疑期限为各采购程序环节结束之日起计算。对同一采购程序环节的质疑，供应商须一次性提出。</w:t>
      </w:r>
    </w:p>
    <w:p>
      <w:pPr>
        <w:pStyle w:val="34"/>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4.2.2.3对采购结果提出质疑的，质疑期限自采购结果公告期限届满之日起计算。</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4.2.3</w:t>
      </w:r>
      <w:r>
        <w:rPr>
          <w:rFonts w:hint="eastAsia" w:ascii="仿宋" w:hAnsi="仿宋" w:eastAsia="仿宋" w:cs="仿宋"/>
          <w:sz w:val="24"/>
          <w:highlight w:val="none"/>
        </w:rPr>
        <w:t>供应商提出质疑应当提交质疑函和必要的证明材料。质疑函应当包括下列内容：</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4.2.3.1供应商的姓名或者名称、地址、邮编、联系人及联系电话；</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4.2.3.2质疑项目的名称、编号；</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4.2.3.3具体、明确的质疑事项和与质疑事项相关的请求；</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4.2.3.4事实依据；</w:t>
      </w:r>
    </w:p>
    <w:p>
      <w:pPr>
        <w:pStyle w:val="34"/>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4.2.3.5必要的法律依据；</w:t>
      </w:r>
    </w:p>
    <w:p>
      <w:pPr>
        <w:pStyle w:val="34"/>
        <w:spacing w:line="360" w:lineRule="auto"/>
        <w:ind w:firstLine="960" w:firstLineChars="4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4.2.3.6提出质疑的日期。</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质疑函范本及制作说明详见附件2。</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lang w:val="zh-CN"/>
        </w:rPr>
        <w:t>4.2</w:t>
      </w:r>
      <w:r>
        <w:rPr>
          <w:rFonts w:hint="eastAsia" w:ascii="仿宋" w:hAnsi="仿宋" w:eastAsia="仿宋" w:cs="仿宋"/>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w:t>
      </w:r>
      <w:r>
        <w:rPr>
          <w:rFonts w:hint="eastAsia" w:ascii="仿宋" w:hAnsi="仿宋" w:eastAsia="仿宋" w:cs="仿宋"/>
          <w:highlight w:val="none"/>
          <w:lang w:eastAsia="zh-CN"/>
        </w:rPr>
        <w:t>建德市财政局关于转发“</w:t>
      </w:r>
      <w:r>
        <w:rPr>
          <w:rFonts w:hint="eastAsia" w:ascii="仿宋" w:hAnsi="仿宋" w:eastAsia="仿宋" w:cs="仿宋"/>
          <w:highlight w:val="none"/>
        </w:rPr>
        <w:t>《杭州市财政局关于进一步加强政府采购信息公开优化营商环境的通知》（杭财采监〔2021〕17号）</w:t>
      </w:r>
      <w:r>
        <w:rPr>
          <w:rFonts w:hint="eastAsia" w:ascii="仿宋" w:hAnsi="仿宋" w:eastAsia="仿宋" w:cs="仿宋"/>
          <w:highlight w:val="none"/>
          <w:lang w:eastAsia="zh-CN"/>
        </w:rPr>
        <w:t>”的通知（</w:t>
      </w:r>
      <w:r>
        <w:rPr>
          <w:rFonts w:hint="eastAsia" w:ascii="仿宋" w:hAnsi="仿宋" w:eastAsia="仿宋" w:cs="仿宋"/>
          <w:szCs w:val="30"/>
          <w:highlight w:val="none"/>
          <w:lang w:val="en-US" w:eastAsia="zh-CN"/>
        </w:rPr>
        <w:t>建财采监〔2021〕68号</w:t>
      </w:r>
      <w:r>
        <w:rPr>
          <w:rFonts w:hint="eastAsia" w:ascii="仿宋" w:hAnsi="仿宋" w:eastAsia="仿宋" w:cs="仿宋"/>
          <w:highlight w:val="none"/>
          <w:lang w:eastAsia="zh-CN"/>
        </w:rPr>
        <w:t>）</w:t>
      </w:r>
      <w:r>
        <w:rPr>
          <w:rFonts w:hint="eastAsia" w:ascii="仿宋" w:hAnsi="仿宋" w:eastAsia="仿宋" w:cs="仿宋"/>
          <w:highlight w:val="none"/>
        </w:rPr>
        <w:t>,采购人或者采购机构在质疑回复后5个工作日内，在浙江政府采购网的“其他公告”栏目公开质疑答复，答复内容应当完整。质疑函作为附件上传。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lang w:val="zh-CN"/>
        </w:rPr>
        <w:t>4.2</w:t>
      </w:r>
      <w:r>
        <w:rPr>
          <w:rFonts w:hint="eastAsia" w:ascii="仿宋" w:hAnsi="仿宋" w:eastAsia="仿宋" w:cs="仿宋"/>
          <w:highlight w:val="none"/>
        </w:rPr>
        <w:t>.5询问或者质疑事项可能影响采购结果的，采购人应当暂停签订合同，已经签订合同的，应当中止履行合同。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hint="eastAsia" w:ascii="仿宋" w:hAnsi="仿宋" w:eastAsia="仿宋" w:cs="仿宋"/>
          <w:highlight w:val="none"/>
          <w:lang w:val="zh-CN"/>
        </w:rPr>
      </w:pPr>
      <w:r>
        <w:rPr>
          <w:rFonts w:hint="eastAsia" w:ascii="仿宋" w:hAnsi="仿宋" w:eastAsia="仿宋" w:cs="仿宋"/>
          <w:highlight w:val="none"/>
          <w:lang w:val="zh-CN"/>
        </w:rPr>
        <w:t>4.3供应商投诉</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4.3.</w:t>
      </w:r>
      <w:r>
        <w:rPr>
          <w:rFonts w:hint="eastAsia" w:ascii="仿宋" w:hAnsi="仿宋" w:eastAsia="仿宋" w:cs="仿宋"/>
          <w:highlight w:val="none"/>
          <w:lang w:val="zh-CN"/>
        </w:rPr>
        <w:t>2</w:t>
      </w:r>
      <w:r>
        <w:rPr>
          <w:rFonts w:hint="eastAsia" w:ascii="仿宋" w:hAnsi="仿宋" w:eastAsia="仿宋" w:cs="仿宋"/>
          <w:highlight w:val="none"/>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4.3.3供应商投诉应当有明确的请求和必要的证明材料。</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hint="eastAsia" w:ascii="仿宋" w:hAnsi="仿宋" w:eastAsia="仿宋" w:cs="仿宋"/>
          <w:highlight w:val="none"/>
        </w:rPr>
      </w:pPr>
      <w:r>
        <w:rPr>
          <w:rFonts w:hint="eastAsia" w:ascii="仿宋" w:hAnsi="仿宋" w:eastAsia="仿宋" w:cs="仿宋"/>
          <w:highlight w:val="none"/>
        </w:rPr>
        <w:t>投诉书范本及制作说明详见附件3。</w:t>
      </w:r>
    </w:p>
    <w:p>
      <w:pPr>
        <w:pStyle w:val="128"/>
        <w:snapToGrid w:val="0"/>
        <w:spacing w:before="0"/>
        <w:ind w:firstLine="360"/>
        <w:rPr>
          <w:rFonts w:hint="eastAsia" w:ascii="仿宋" w:hAnsi="仿宋" w:eastAsia="仿宋" w:cs="仿宋"/>
          <w:sz w:val="18"/>
          <w:szCs w:val="18"/>
          <w:highlight w:val="none"/>
        </w:rPr>
      </w:pPr>
    </w:p>
    <w:p>
      <w:pPr>
        <w:adjustRightInd/>
        <w:spacing w:line="360" w:lineRule="auto"/>
        <w:jc w:val="center"/>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 xml:space="preserve">      二、招标文件的构成、澄清、修改</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5．招标文件的构成</w:t>
      </w:r>
    </w:p>
    <w:p>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5.1 招标文件包括下列文件及附件：</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5.1.1招标公告；</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5.1.2投标人须知；</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5.1.3采购需求；</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5.1.4评标办法；</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5.1.5拟签订的合同文本；</w:t>
      </w:r>
    </w:p>
    <w:p>
      <w:pPr>
        <w:pStyle w:val="34"/>
        <w:tabs>
          <w:tab w:val="left" w:pos="840"/>
        </w:tabs>
        <w:spacing w:line="360" w:lineRule="auto"/>
        <w:ind w:firstLine="960" w:firstLineChars="400"/>
        <w:rPr>
          <w:rFonts w:hint="eastAsia" w:ascii="仿宋" w:hAnsi="仿宋" w:eastAsia="仿宋" w:cs="仿宋"/>
          <w:sz w:val="24"/>
          <w:szCs w:val="24"/>
          <w:highlight w:val="none"/>
        </w:rPr>
      </w:pPr>
      <w:r>
        <w:rPr>
          <w:rFonts w:hint="eastAsia" w:ascii="仿宋" w:hAnsi="仿宋" w:eastAsia="仿宋" w:cs="仿宋"/>
          <w:sz w:val="24"/>
          <w:highlight w:val="none"/>
        </w:rPr>
        <w:t>5.1.6</w:t>
      </w:r>
      <w:r>
        <w:rPr>
          <w:rFonts w:hint="eastAsia" w:ascii="仿宋" w:hAnsi="仿宋" w:eastAsia="仿宋" w:cs="仿宋"/>
          <w:sz w:val="24"/>
          <w:szCs w:val="24"/>
          <w:highlight w:val="none"/>
        </w:rPr>
        <w:t>应提交的有关格式范例。</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5.2与本项目有关的</w:t>
      </w:r>
      <w:r>
        <w:rPr>
          <w:rFonts w:hint="eastAsia" w:ascii="仿宋" w:hAnsi="仿宋" w:eastAsia="仿宋" w:cs="仿宋"/>
          <w:bCs/>
          <w:sz w:val="24"/>
          <w:highlight w:val="none"/>
        </w:rPr>
        <w:t>澄清或者修改的内容为招标文件的组成部分</w:t>
      </w:r>
      <w:r>
        <w:rPr>
          <w:rFonts w:hint="eastAsia" w:ascii="仿宋" w:hAnsi="仿宋" w:eastAsia="仿宋" w:cs="仿宋"/>
          <w:sz w:val="24"/>
          <w:highlight w:val="none"/>
        </w:rPr>
        <w:t>。</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6. 招标文件的澄清、修改</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6.1已获取招标文件的潜在投标人，若有问题需要澄清，应于投标截止时间前，以书面形式向采购机构提出。</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rPr>
          <w:rFonts w:hint="eastAsia" w:ascii="仿宋" w:hAnsi="仿宋" w:eastAsia="仿宋" w:cs="仿宋"/>
          <w:sz w:val="18"/>
          <w:szCs w:val="18"/>
          <w:highlight w:val="none"/>
          <w:lang w:val="en-US"/>
        </w:rPr>
      </w:pPr>
      <w:r>
        <w:rPr>
          <w:rFonts w:hint="eastAsia" w:ascii="仿宋" w:hAnsi="仿宋" w:eastAsia="仿宋" w:cs="仿宋"/>
          <w:szCs w:val="24"/>
          <w:highlight w:val="none"/>
          <w:lang w:val="en-US"/>
        </w:rPr>
        <w:t xml:space="preserve">    </w:t>
      </w:r>
    </w:p>
    <w:p>
      <w:pPr>
        <w:adjustRightInd/>
        <w:spacing w:line="360" w:lineRule="auto"/>
        <w:jc w:val="center"/>
        <w:outlineLvl w:val="0"/>
        <w:rPr>
          <w:rFonts w:hint="eastAsia" w:ascii="仿宋" w:hAnsi="仿宋" w:eastAsia="仿宋" w:cs="仿宋"/>
          <w:b/>
          <w:sz w:val="30"/>
          <w:szCs w:val="20"/>
          <w:highlight w:val="none"/>
        </w:rPr>
      </w:pPr>
      <w:r>
        <w:rPr>
          <w:rFonts w:hint="eastAsia" w:ascii="仿宋" w:hAnsi="仿宋" w:eastAsia="仿宋" w:cs="仿宋"/>
          <w:b/>
          <w:sz w:val="30"/>
          <w:szCs w:val="20"/>
          <w:highlight w:val="none"/>
        </w:rPr>
        <w:t>三、投标</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7. 招标文件的获取</w:t>
      </w:r>
    </w:p>
    <w:p>
      <w:pPr>
        <w:spacing w:line="360" w:lineRule="auto"/>
        <w:ind w:firstLine="480" w:firstLineChars="200"/>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详见招标公告中获取招标文件的时间期限、地点、方式及招标文件售价。</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8.开标前答疑会或现场考察</w:t>
      </w:r>
    </w:p>
    <w:p>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int="eastAsia" w:ascii="仿宋" w:hAnsi="仿宋" w:eastAsia="仿宋" w:cs="仿宋"/>
          <w:b/>
          <w:szCs w:val="24"/>
          <w:highlight w:val="none"/>
        </w:rPr>
      </w:pPr>
      <w:r>
        <w:rPr>
          <w:rFonts w:hint="eastAsia" w:ascii="仿宋" w:hAnsi="仿宋" w:eastAsia="仿宋" w:cs="仿宋"/>
          <w:b/>
          <w:kern w:val="28"/>
          <w:sz w:val="24"/>
          <w:szCs w:val="24"/>
          <w:highlight w:val="none"/>
        </w:rPr>
        <w:t>9.投标保证金</w:t>
      </w:r>
    </w:p>
    <w:p>
      <w:pPr>
        <w:pStyle w:val="18"/>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10. 投标文件的语言</w:t>
      </w:r>
    </w:p>
    <w:p>
      <w:pPr>
        <w:autoSpaceDE w:val="0"/>
        <w:autoSpaceDN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投标文件及投标人与采购有关的来往通知、函件和文件均应使用中文。</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11. 投标文件的组成</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w:t>
      </w:r>
      <w:r>
        <w:rPr>
          <w:rFonts w:hint="eastAsia" w:ascii="仿宋" w:hAnsi="仿宋" w:eastAsia="仿宋" w:cs="仿宋"/>
          <w:b/>
          <w:sz w:val="24"/>
          <w:highlight w:val="none"/>
        </w:rPr>
        <w:t>资格文件</w:t>
      </w:r>
      <w:r>
        <w:rPr>
          <w:rFonts w:hint="eastAsia" w:ascii="仿宋" w:hAnsi="仿宋" w:eastAsia="仿宋" w:cs="仿宋"/>
          <w:sz w:val="24"/>
          <w:highlight w:val="none"/>
        </w:rPr>
        <w:t>：</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11.1.1符合参加政府采购活动应当具备的一般条件的承诺函；</w:t>
      </w:r>
    </w:p>
    <w:p>
      <w:pPr>
        <w:snapToGrid w:val="0"/>
        <w:spacing w:line="360" w:lineRule="auto"/>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商务技术</w:t>
      </w:r>
      <w:r>
        <w:rPr>
          <w:rFonts w:hint="eastAsia" w:ascii="仿宋" w:hAnsi="仿宋" w:eastAsia="仿宋" w:cs="仿宋"/>
          <w:sz w:val="24"/>
          <w:highlight w:val="none"/>
          <w:lang w:val="zh-CN"/>
        </w:rPr>
        <w:t>文件：</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11.2.1投标函；</w:t>
      </w:r>
      <w:r>
        <w:rPr>
          <w:rFonts w:hint="eastAsia" w:ascii="仿宋" w:hAnsi="仿宋" w:eastAsia="仿宋" w:cs="仿宋"/>
          <w:sz w:val="24"/>
          <w:highlight w:val="none"/>
          <w:lang w:val="zh-CN"/>
        </w:rPr>
        <w:t xml:space="preserve"> </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11.2.2授权委托书或法定代表人（单位负责人、自然人本人）身份证明；</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符合性审查资料；</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评标标准相应的商务技术资料；</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商务技术偏离表；</w:t>
      </w:r>
    </w:p>
    <w:p>
      <w:pPr>
        <w:snapToGrid w:val="0"/>
        <w:spacing w:line="360" w:lineRule="auto"/>
        <w:ind w:firstLine="960" w:firstLineChars="400"/>
        <w:rPr>
          <w:rFonts w:hint="eastAsia" w:ascii="仿宋" w:hAnsi="仿宋" w:eastAsia="仿宋" w:cs="仿宋"/>
          <w:sz w:val="24"/>
          <w:highlight w:val="none"/>
          <w:lang w:val="zh-CN"/>
        </w:rPr>
      </w:pPr>
      <w:r>
        <w:rPr>
          <w:rFonts w:hint="eastAsia" w:ascii="仿宋" w:hAnsi="仿宋" w:eastAsia="仿宋" w:cs="仿宋"/>
          <w:sz w:val="24"/>
          <w:highlight w:val="none"/>
          <w:lang w:val="zh-CN"/>
        </w:rPr>
        <w:t>11.</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政府采购供应商廉洁自律承诺书；</w:t>
      </w:r>
    </w:p>
    <w:p>
      <w:pPr>
        <w:snapToGrid w:val="0"/>
        <w:spacing w:line="360" w:lineRule="auto"/>
        <w:ind w:firstLine="480" w:firstLineChars="200"/>
        <w:rPr>
          <w:rFonts w:hint="eastAsia" w:ascii="仿宋" w:hAnsi="仿宋" w:eastAsia="仿宋" w:cs="仿宋"/>
          <w:sz w:val="24"/>
          <w:highlight w:val="none"/>
          <w:u w:val="single"/>
          <w:lang w:val="zh-CN"/>
        </w:rPr>
      </w:pPr>
      <w:r>
        <w:rPr>
          <w:rFonts w:hint="eastAsia" w:ascii="仿宋" w:hAnsi="仿宋" w:eastAsia="仿宋" w:cs="仿宋"/>
          <w:kern w:val="0"/>
          <w:sz w:val="24"/>
          <w:highlight w:val="none"/>
          <w:lang w:val="zh-CN"/>
        </w:rPr>
        <w:t>11.</w:t>
      </w:r>
      <w:r>
        <w:rPr>
          <w:rFonts w:hint="eastAsia" w:ascii="仿宋" w:hAnsi="仿宋" w:eastAsia="仿宋" w:cs="仿宋"/>
          <w:kern w:val="0"/>
          <w:sz w:val="24"/>
          <w:highlight w:val="none"/>
        </w:rPr>
        <w:t>3</w:t>
      </w:r>
      <w:r>
        <w:rPr>
          <w:rFonts w:hint="eastAsia" w:ascii="仿宋" w:hAnsi="仿宋" w:eastAsia="仿宋" w:cs="仿宋"/>
          <w:b/>
          <w:sz w:val="24"/>
          <w:highlight w:val="none"/>
        </w:rPr>
        <w:t>报价文件：</w:t>
      </w:r>
      <w:r>
        <w:rPr>
          <w:rFonts w:hint="eastAsia" w:ascii="仿宋" w:hAnsi="仿宋" w:eastAsia="仿宋" w:cs="仿宋"/>
          <w:sz w:val="24"/>
          <w:highlight w:val="none"/>
        </w:rPr>
        <w:t xml:space="preserve"> </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11.3.1开标一览表（报价表）；</w:t>
      </w:r>
    </w:p>
    <w:p>
      <w:pPr>
        <w:snapToGrid w:val="0"/>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t>11.3.2中小企业声明函。</w:t>
      </w:r>
    </w:p>
    <w:p>
      <w:pPr>
        <w:spacing w:line="360" w:lineRule="auto"/>
        <w:ind w:firstLine="723" w:firstLineChars="300"/>
        <w:rPr>
          <w:rFonts w:hint="eastAsia" w:ascii="仿宋" w:hAnsi="仿宋" w:eastAsia="仿宋" w:cs="仿宋"/>
          <w:b/>
          <w:sz w:val="24"/>
          <w:highlight w:val="none"/>
        </w:rPr>
      </w:pPr>
      <w:r>
        <w:rPr>
          <w:rFonts w:hint="eastAsia" w:ascii="仿宋" w:hAnsi="仿宋" w:eastAsia="仿宋" w:cs="仿宋"/>
          <w:b/>
          <w:sz w:val="24"/>
          <w:highlight w:val="none"/>
        </w:rPr>
        <w:t>投标文件含有采购人不能接受的附加条件的，投标无效；</w:t>
      </w:r>
    </w:p>
    <w:p>
      <w:pPr>
        <w:spacing w:line="360" w:lineRule="auto"/>
        <w:ind w:firstLine="723" w:firstLineChars="300"/>
        <w:rPr>
          <w:rFonts w:hint="eastAsia" w:ascii="仿宋" w:hAnsi="仿宋" w:eastAsia="仿宋" w:cs="仿宋"/>
          <w:b/>
          <w:sz w:val="24"/>
          <w:szCs w:val="21"/>
          <w:highlight w:val="none"/>
        </w:rPr>
      </w:pPr>
      <w:r>
        <w:rPr>
          <w:rFonts w:hint="eastAsia" w:ascii="仿宋" w:hAnsi="仿宋" w:eastAsia="仿宋" w:cs="仿宋"/>
          <w:b/>
          <w:sz w:val="24"/>
          <w:highlight w:val="none"/>
        </w:rPr>
        <w:t>投标人提供虚假材料投标的，投标无效。</w:t>
      </w:r>
    </w:p>
    <w:p>
      <w:pPr>
        <w:pStyle w:val="128"/>
        <w:snapToGrid w:val="0"/>
        <w:spacing w:before="0"/>
        <w:ind w:firstLine="0" w:firstLineChars="0"/>
        <w:outlineLvl w:val="0"/>
        <w:rPr>
          <w:rFonts w:hint="eastAsia" w:ascii="仿宋" w:hAnsi="仿宋" w:eastAsia="仿宋" w:cs="仿宋"/>
          <w:b/>
          <w:szCs w:val="24"/>
          <w:highlight w:val="none"/>
        </w:rPr>
      </w:pPr>
      <w:r>
        <w:rPr>
          <w:rFonts w:hint="eastAsia" w:ascii="仿宋" w:hAnsi="仿宋" w:eastAsia="仿宋" w:cs="仿宋"/>
          <w:b/>
          <w:szCs w:val="24"/>
          <w:highlight w:val="none"/>
        </w:rPr>
        <w:t>12</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p>
    <w:p>
      <w:pPr>
        <w:spacing w:line="360" w:lineRule="auto"/>
        <w:ind w:firstLine="480" w:firstLineChars="200"/>
        <w:rPr>
          <w:rFonts w:hint="eastAsia" w:ascii="仿宋" w:hAnsi="仿宋" w:eastAsia="仿宋" w:cs="仿宋"/>
          <w:b/>
          <w:sz w:val="24"/>
          <w:highlight w:val="none"/>
        </w:rPr>
      </w:pPr>
      <w:r>
        <w:rPr>
          <w:rFonts w:hint="eastAsia" w:ascii="仿宋" w:hAnsi="仿宋" w:eastAsia="仿宋" w:cs="仿宋"/>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13.投标文件的签署、盖章</w:t>
      </w:r>
    </w:p>
    <w:p>
      <w:pPr>
        <w:pStyle w:val="128"/>
        <w:snapToGrid w:val="0"/>
        <w:spacing w:before="0"/>
        <w:ind w:firstLine="480"/>
        <w:rPr>
          <w:rFonts w:hint="eastAsia" w:ascii="仿宋" w:hAnsi="仿宋" w:eastAsia="仿宋" w:cs="仿宋"/>
          <w:b/>
          <w:highlight w:val="none"/>
        </w:rPr>
      </w:pPr>
      <w:r>
        <w:rPr>
          <w:rFonts w:hint="eastAsia" w:ascii="仿宋" w:hAnsi="仿宋" w:eastAsia="仿宋" w:cs="仿宋"/>
          <w:szCs w:val="24"/>
          <w:highlight w:val="none"/>
        </w:rPr>
        <w:t>13.1投标文件按照招标文件第六部分格式要</w:t>
      </w:r>
      <w:r>
        <w:rPr>
          <w:rFonts w:hint="eastAsia" w:ascii="仿宋" w:hAnsi="仿宋" w:eastAsia="仿宋" w:cs="仿宋"/>
          <w:highlight w:val="none"/>
        </w:rPr>
        <w:t>求进行签署、盖章。</w:t>
      </w:r>
      <w:r>
        <w:rPr>
          <w:rFonts w:hint="eastAsia" w:ascii="仿宋" w:hAnsi="仿宋" w:eastAsia="仿宋" w:cs="仿宋"/>
          <w:b/>
          <w:highlight w:val="none"/>
        </w:rPr>
        <w:t>▲投标人的投标文件未按照招标文件要求签署、盖章的，其投标无效</w:t>
      </w:r>
      <w:r>
        <w:rPr>
          <w:rFonts w:hint="eastAsia" w:ascii="仿宋" w:hAnsi="仿宋" w:eastAsia="仿宋" w:cs="仿宋"/>
          <w:szCs w:val="24"/>
          <w:highlight w:val="none"/>
        </w:rPr>
        <w:t>。</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hint="eastAsia" w:ascii="仿宋" w:hAnsi="仿宋" w:eastAsia="仿宋" w:cs="仿宋"/>
          <w:szCs w:val="24"/>
          <w:highlight w:val="none"/>
        </w:rPr>
      </w:pPr>
      <w:r>
        <w:rPr>
          <w:rFonts w:hint="eastAsia" w:ascii="仿宋" w:hAnsi="仿宋" w:eastAsia="仿宋" w:cs="仿宋"/>
          <w:highlight w:val="none"/>
        </w:rPr>
        <w:t>13.3招标文件对投标文件签署、盖章的要求适用于电子签名。</w:t>
      </w:r>
    </w:p>
    <w:p>
      <w:pPr>
        <w:pStyle w:val="128"/>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14. 投标文件的提交、补充、修改、撤回</w:t>
      </w:r>
    </w:p>
    <w:p>
      <w:pPr>
        <w:pStyle w:val="128"/>
        <w:ind w:firstLine="480"/>
        <w:rPr>
          <w:rFonts w:hint="eastAsia" w:ascii="仿宋" w:hAnsi="仿宋" w:eastAsia="仿宋" w:cs="仿宋"/>
          <w:szCs w:val="24"/>
          <w:highlight w:val="none"/>
        </w:rPr>
      </w:pPr>
      <w:r>
        <w:rPr>
          <w:rFonts w:hint="eastAsia" w:ascii="仿宋" w:hAnsi="仿宋" w:eastAsia="仿宋" w:cs="仿宋"/>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hint="eastAsia" w:ascii="仿宋" w:hAnsi="仿宋" w:eastAsia="仿宋" w:cs="仿宋"/>
          <w:szCs w:val="24"/>
          <w:highlight w:val="none"/>
        </w:rPr>
      </w:pPr>
      <w:r>
        <w:rPr>
          <w:rFonts w:hint="eastAsia" w:ascii="仿宋" w:hAnsi="仿宋" w:eastAsia="仿宋" w:cs="仿宋"/>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15.备份投标文件</w:t>
      </w:r>
    </w:p>
    <w:p>
      <w:pPr>
        <w:pStyle w:val="34"/>
        <w:spacing w:line="360" w:lineRule="auto"/>
        <w:ind w:firstLine="360" w:firstLineChars="150"/>
        <w:rPr>
          <w:rFonts w:hint="eastAsia" w:ascii="仿宋" w:hAnsi="仿宋" w:eastAsia="仿宋" w:cs="仿宋"/>
          <w:b/>
          <w:sz w:val="24"/>
          <w:szCs w:val="24"/>
          <w:highlight w:val="none"/>
        </w:rPr>
      </w:pPr>
      <w:r>
        <w:rPr>
          <w:rFonts w:hint="eastAsia" w:ascii="仿宋" w:hAnsi="仿宋" w:eastAsia="仿宋" w:cs="仿宋"/>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highlight w:val="none"/>
        </w:rPr>
        <w:t>但采购人、采购机构不强制或变相强制投标人提交备份投标文件。</w:t>
      </w:r>
    </w:p>
    <w:p>
      <w:pPr>
        <w:pStyle w:val="34"/>
        <w:spacing w:line="360" w:lineRule="auto"/>
        <w:ind w:firstLine="480" w:firstLineChars="200"/>
        <w:rPr>
          <w:rFonts w:hint="eastAsia" w:ascii="仿宋" w:hAnsi="仿宋" w:eastAsia="仿宋" w:cs="仿宋"/>
          <w:b/>
          <w:sz w:val="24"/>
          <w:szCs w:val="24"/>
          <w:highlight w:val="none"/>
        </w:rPr>
      </w:pPr>
      <w:r>
        <w:rPr>
          <w:rFonts w:hint="eastAsia" w:ascii="仿宋" w:hAnsi="仿宋" w:eastAsia="仿宋" w:cs="仿宋"/>
          <w:sz w:val="24"/>
          <w:szCs w:val="24"/>
          <w:highlight w:val="none"/>
        </w:rPr>
        <w:t>15.2备份投标文件须在“政采云投标客户端”制作生成，并储存在</w:t>
      </w:r>
      <w:r>
        <w:rPr>
          <w:rFonts w:hint="eastAsia" w:ascii="仿宋" w:hAnsi="仿宋" w:eastAsia="仿宋" w:cs="仿宋"/>
          <w:sz w:val="24"/>
          <w:highlight w:val="none"/>
        </w:rPr>
        <w:t>DVD光盘</w:t>
      </w:r>
      <w:r>
        <w:rPr>
          <w:rFonts w:hint="eastAsia" w:ascii="仿宋" w:hAnsi="仿宋" w:eastAsia="仿宋" w:cs="仿宋"/>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sz w:val="24"/>
          <w:highlight w:val="none"/>
        </w:rPr>
        <w:t>▲</w:t>
      </w:r>
      <w:r>
        <w:rPr>
          <w:rFonts w:hint="eastAsia" w:ascii="仿宋" w:hAnsi="仿宋" w:eastAsia="仿宋" w:cs="仿宋"/>
          <w:b/>
          <w:sz w:val="24"/>
          <w:highlight w:val="none"/>
        </w:rPr>
        <w:t>不符合上述制作、</w:t>
      </w:r>
      <w:r>
        <w:rPr>
          <w:rFonts w:hint="eastAsia" w:ascii="仿宋" w:hAnsi="仿宋" w:eastAsia="仿宋" w:cs="仿宋"/>
          <w:b/>
          <w:sz w:val="24"/>
          <w:szCs w:val="24"/>
          <w:highlight w:val="none"/>
        </w:rPr>
        <w:t>存储、密封规定的备份投标文件将被视为无效或者被拒绝接收。</w:t>
      </w:r>
    </w:p>
    <w:p>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highlight w:val="none"/>
        </w:rPr>
        <w:t>招标文件第二部分投标人须知前附表规定的备份投标文件送达地点；</w:t>
      </w:r>
      <w:r>
        <w:rPr>
          <w:rFonts w:hint="eastAsia" w:ascii="仿宋" w:hAnsi="仿宋" w:eastAsia="仿宋" w:cs="仿宋"/>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7" w:firstLineChars="199"/>
        <w:rPr>
          <w:rFonts w:hint="eastAsia" w:ascii="仿宋" w:hAnsi="仿宋" w:eastAsia="仿宋" w:cs="仿宋"/>
          <w:b/>
          <w:sz w:val="24"/>
          <w:szCs w:val="24"/>
          <w:highlight w:val="none"/>
        </w:rPr>
      </w:pPr>
      <w:r>
        <w:rPr>
          <w:rFonts w:hint="eastAsia" w:ascii="仿宋" w:hAnsi="仿宋" w:eastAsia="仿宋" w:cs="仿宋"/>
          <w:sz w:val="24"/>
          <w:highlight w:val="none"/>
        </w:rPr>
        <w:t>▲</w:t>
      </w:r>
      <w:r>
        <w:rPr>
          <w:rFonts w:hint="eastAsia" w:ascii="仿宋" w:hAnsi="仿宋" w:eastAsia="仿宋" w:cs="仿宋"/>
          <w:b/>
          <w:sz w:val="24"/>
          <w:szCs w:val="24"/>
          <w:highlight w:val="none"/>
        </w:rPr>
        <w:t>15.5投标人仅提交备份投标文件，没有在电子交易平台传输递交投标文件的，投标无效。</w:t>
      </w:r>
    </w:p>
    <w:p>
      <w:pPr>
        <w:pStyle w:val="128"/>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16.投标文件的无效处理</w:t>
      </w:r>
    </w:p>
    <w:p>
      <w:pPr>
        <w:pStyle w:val="19"/>
        <w:spacing w:line="360" w:lineRule="auto"/>
        <w:ind w:firstLine="360" w:firstLineChars="150"/>
        <w:rPr>
          <w:rFonts w:hint="eastAsia" w:ascii="仿宋" w:hAnsi="仿宋" w:eastAsia="仿宋" w:cs="仿宋"/>
          <w:szCs w:val="21"/>
          <w:highlight w:val="none"/>
        </w:rPr>
      </w:pPr>
      <w:r>
        <w:rPr>
          <w:rFonts w:hint="eastAsia" w:ascii="仿宋" w:hAnsi="仿宋" w:eastAsia="仿宋" w:cs="仿宋"/>
          <w:szCs w:val="21"/>
          <w:highlight w:val="none"/>
        </w:rPr>
        <w:t>有招标文件第四部分</w:t>
      </w:r>
      <w:r>
        <w:rPr>
          <w:rFonts w:hint="eastAsia" w:ascii="仿宋" w:hAnsi="仿宋" w:eastAsia="仿宋" w:cs="仿宋"/>
          <w:highlight w:val="none"/>
        </w:rPr>
        <w:t>第13项规定</w:t>
      </w:r>
      <w:r>
        <w:rPr>
          <w:rFonts w:hint="eastAsia" w:ascii="仿宋" w:hAnsi="仿宋" w:eastAsia="仿宋" w:cs="仿宋"/>
          <w:szCs w:val="21"/>
          <w:highlight w:val="none"/>
        </w:rPr>
        <w:t>的情形之一的，投标无效：</w:t>
      </w:r>
    </w:p>
    <w:p>
      <w:pPr>
        <w:pStyle w:val="128"/>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17.投标有效期</w:t>
      </w:r>
    </w:p>
    <w:p>
      <w:pPr>
        <w:spacing w:line="360" w:lineRule="auto"/>
        <w:ind w:firstLine="480" w:firstLineChars="200"/>
        <w:rPr>
          <w:rFonts w:hint="eastAsia" w:ascii="仿宋" w:hAnsi="仿宋" w:eastAsia="仿宋" w:cs="仿宋"/>
          <w:b/>
          <w:sz w:val="24"/>
          <w:szCs w:val="21"/>
          <w:highlight w:val="none"/>
        </w:rPr>
      </w:pPr>
      <w:r>
        <w:rPr>
          <w:rFonts w:hint="eastAsia" w:ascii="仿宋" w:hAnsi="仿宋" w:eastAsia="仿宋" w:cs="仿宋"/>
          <w:sz w:val="24"/>
          <w:szCs w:val="20"/>
          <w:highlight w:val="none"/>
        </w:rPr>
        <w:t>17.1投标有效期为从提交投标文件的截止之日起90天。▲</w:t>
      </w:r>
      <w:r>
        <w:rPr>
          <w:rFonts w:hint="eastAsia" w:ascii="仿宋" w:hAnsi="仿宋" w:eastAsia="仿宋" w:cs="仿宋"/>
          <w:b/>
          <w:sz w:val="24"/>
          <w:szCs w:val="20"/>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p>
      <w:pPr>
        <w:pStyle w:val="128"/>
        <w:spacing w:before="0"/>
        <w:ind w:firstLine="480"/>
        <w:rPr>
          <w:rFonts w:hint="eastAsia" w:ascii="仿宋" w:hAnsi="仿宋" w:eastAsia="仿宋" w:cs="仿宋"/>
          <w:highlight w:val="none"/>
        </w:rPr>
      </w:pPr>
      <w:r>
        <w:rPr>
          <w:rFonts w:hint="eastAsia" w:ascii="仿宋" w:hAnsi="仿宋" w:eastAsia="仿宋" w:cs="仿宋"/>
          <w:highlight w:val="none"/>
        </w:rPr>
        <w:t>17.2投标文件合格投递后，自投标截止日期起，在投标有效期内有效。</w:t>
      </w:r>
    </w:p>
    <w:p>
      <w:pPr>
        <w:pStyle w:val="128"/>
        <w:spacing w:before="0"/>
        <w:ind w:firstLine="480"/>
        <w:rPr>
          <w:rFonts w:hint="eastAsia" w:ascii="仿宋" w:hAnsi="仿宋" w:eastAsia="仿宋" w:cs="仿宋"/>
          <w:highlight w:val="none"/>
        </w:rPr>
      </w:pPr>
      <w:r>
        <w:rPr>
          <w:rFonts w:hint="eastAsia" w:ascii="仿宋" w:hAnsi="仿宋" w:eastAsia="仿宋" w:cs="仿宋"/>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643"/>
        <w:rPr>
          <w:rFonts w:hint="eastAsia" w:ascii="仿宋" w:hAnsi="仿宋" w:eastAsia="仿宋" w:cs="仿宋"/>
          <w:b/>
          <w:sz w:val="32"/>
          <w:highlight w:val="none"/>
        </w:rPr>
      </w:pPr>
    </w:p>
    <w:p>
      <w:pPr>
        <w:pStyle w:val="128"/>
        <w:spacing w:before="0"/>
        <w:ind w:firstLine="1928" w:firstLineChars="600"/>
        <w:rPr>
          <w:rFonts w:hint="eastAsia" w:ascii="仿宋" w:hAnsi="仿宋" w:eastAsia="仿宋" w:cs="仿宋"/>
          <w:b/>
          <w:sz w:val="32"/>
          <w:highlight w:val="none"/>
        </w:rPr>
      </w:pPr>
      <w:r>
        <w:rPr>
          <w:rFonts w:hint="eastAsia" w:ascii="仿宋" w:hAnsi="仿宋" w:eastAsia="仿宋" w:cs="仿宋"/>
          <w:b/>
          <w:sz w:val="32"/>
          <w:highlight w:val="none"/>
        </w:rPr>
        <w:t>四、开标、资格审查与信用信息查询</w:t>
      </w:r>
    </w:p>
    <w:p>
      <w:pPr>
        <w:pStyle w:val="554"/>
        <w:spacing w:before="0" w:line="360" w:lineRule="auto"/>
        <w:ind w:left="0" w:firstLine="241" w:firstLineChars="100"/>
        <w:contextualSpacing/>
        <w:rPr>
          <w:rFonts w:hint="eastAsia" w:ascii="仿宋" w:hAnsi="仿宋" w:eastAsia="仿宋" w:cs="仿宋"/>
          <w:sz w:val="24"/>
          <w:highlight w:val="none"/>
        </w:rPr>
      </w:pPr>
      <w:r>
        <w:rPr>
          <w:rFonts w:hint="eastAsia" w:ascii="仿宋" w:hAnsi="仿宋" w:eastAsia="仿宋" w:cs="仿宋"/>
          <w:b/>
          <w:sz w:val="24"/>
          <w:szCs w:val="24"/>
          <w:highlight w:val="none"/>
        </w:rPr>
        <w:t>18.开标</w:t>
      </w:r>
      <w:r>
        <w:rPr>
          <w:rFonts w:hint="eastAsia" w:ascii="仿宋" w:hAnsi="仿宋" w:eastAsia="仿宋" w:cs="仿宋"/>
          <w:sz w:val="24"/>
          <w:highlight w:val="none"/>
        </w:rPr>
        <w:t xml:space="preserve"> </w:t>
      </w:r>
    </w:p>
    <w:p>
      <w:pPr>
        <w:pStyle w:val="554"/>
        <w:spacing w:before="0" w:line="360" w:lineRule="auto"/>
        <w:ind w:left="0" w:firstLine="480" w:firstLineChars="200"/>
        <w:contextualSpacing/>
        <w:rPr>
          <w:rFonts w:hint="eastAsia" w:ascii="仿宋" w:hAnsi="仿宋" w:eastAsia="仿宋" w:cs="仿宋"/>
          <w:sz w:val="24"/>
          <w:highlight w:val="none"/>
        </w:rPr>
      </w:pPr>
      <w:r>
        <w:rPr>
          <w:rFonts w:hint="eastAsia" w:ascii="仿宋" w:hAnsi="仿宋" w:eastAsia="仿宋" w:cs="仿宋"/>
          <w:sz w:val="24"/>
          <w:highlight w:val="none"/>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hint="eastAsia" w:ascii="仿宋" w:hAnsi="仿宋" w:eastAsia="仿宋" w:cs="仿宋"/>
          <w:sz w:val="24"/>
          <w:highlight w:val="none"/>
        </w:rPr>
      </w:pPr>
      <w:r>
        <w:rPr>
          <w:rFonts w:hint="eastAsia" w:ascii="仿宋" w:hAnsi="仿宋" w:eastAsia="仿宋" w:cs="仿宋"/>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hint="eastAsia" w:ascii="仿宋" w:hAnsi="仿宋" w:eastAsia="仿宋" w:cs="仿宋"/>
          <w:b/>
          <w:sz w:val="24"/>
          <w:highlight w:val="none"/>
        </w:rPr>
      </w:pPr>
      <w:r>
        <w:rPr>
          <w:rFonts w:hint="eastAsia" w:ascii="仿宋" w:hAnsi="仿宋" w:eastAsia="仿宋" w:cs="仿宋"/>
          <w:sz w:val="24"/>
          <w:highlight w:val="none"/>
        </w:rPr>
        <w:t>　18.3</w:t>
      </w:r>
      <w:r>
        <w:rPr>
          <w:rFonts w:hint="eastAsia" w:ascii="仿宋" w:hAnsi="仿宋" w:eastAsia="仿宋" w:cs="仿宋"/>
          <w:b/>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sz w:val="24"/>
          <w:szCs w:val="20"/>
          <w:highlight w:val="none"/>
        </w:rPr>
      </w:pPr>
      <w:r>
        <w:rPr>
          <w:rFonts w:hint="eastAsia" w:ascii="仿宋" w:hAnsi="仿宋" w:eastAsia="仿宋" w:cs="仿宋"/>
          <w:b/>
          <w:sz w:val="24"/>
          <w:szCs w:val="20"/>
          <w:highlight w:val="none"/>
        </w:rPr>
        <w:t>　19、资格审查</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19.1开标后，采购人或采购机构将依法对投标人的资格进行审查。</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19.2</w:t>
      </w:r>
      <w:r>
        <w:rPr>
          <w:rFonts w:hint="eastAsia" w:ascii="仿宋" w:hAnsi="仿宋" w:eastAsia="仿宋" w:cs="仿宋"/>
          <w:sz w:val="24"/>
          <w:highlight w:val="none"/>
        </w:rPr>
        <w:t>采购人或采购机构依据法律法规和招标文件的规定，对投标人的基本资格条件、特定资格条件进行审查。</w:t>
      </w:r>
    </w:p>
    <w:p>
      <w:pPr>
        <w:pStyle w:val="128"/>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19.3投标人未按照招标文件要求提供与</w:t>
      </w:r>
      <w:r>
        <w:rPr>
          <w:rFonts w:hint="eastAsia" w:ascii="仿宋" w:hAnsi="仿宋" w:eastAsia="仿宋" w:cs="仿宋"/>
          <w:highlight w:val="none"/>
        </w:rPr>
        <w:t>基本资格条件、特定资格条件相应的</w:t>
      </w:r>
      <w:r>
        <w:rPr>
          <w:rFonts w:hint="eastAsia" w:ascii="仿宋" w:hAnsi="仿宋" w:eastAsia="仿宋" w:cs="仿宋"/>
          <w:kern w:val="0"/>
          <w:szCs w:val="24"/>
          <w:highlight w:val="none"/>
        </w:rPr>
        <w:t>有效资格证明材料的，视为</w:t>
      </w:r>
      <w:r>
        <w:rPr>
          <w:rFonts w:hint="eastAsia" w:ascii="仿宋" w:hAnsi="仿宋" w:eastAsia="仿宋" w:cs="仿宋"/>
          <w:highlight w:val="none"/>
        </w:rPr>
        <w:t>投标人不具备招标文件中规定的资格要求，其投标无效。</w:t>
      </w:r>
    </w:p>
    <w:p>
      <w:pPr>
        <w:pStyle w:val="128"/>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4对未通过资格审查的投标人，采购人或采购机构告知其未通过的原因。</w:t>
      </w:r>
    </w:p>
    <w:p>
      <w:pPr>
        <w:pStyle w:val="128"/>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19.</w:t>
      </w:r>
      <w:r>
        <w:rPr>
          <w:rFonts w:hint="eastAsia" w:ascii="仿宋" w:hAnsi="仿宋" w:eastAsia="仿宋" w:cs="仿宋"/>
          <w:highlight w:val="none"/>
        </w:rPr>
        <w:t>5合格投标人不足3家的，不再评标。</w:t>
      </w:r>
    </w:p>
    <w:p>
      <w:pPr>
        <w:pStyle w:val="128"/>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20、信用信息查询</w:t>
      </w:r>
    </w:p>
    <w:p>
      <w:pPr>
        <w:pStyle w:val="128"/>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20.1信用信息查询渠道及截止时间：采购机构将通过“信用中国”网站(www.creditchina.gov.cn)、中国政府采购网(www.ccgp.gov.cn)渠道查询投标人投标截止时间当天的信用记录。</w:t>
      </w:r>
    </w:p>
    <w:p>
      <w:pPr>
        <w:pStyle w:val="128"/>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20.2信用信息查询记录和证据留存的具体方式：现场查询的投标人的信用记录、查询结果经确认后将与采购文件一起存档。</w:t>
      </w:r>
    </w:p>
    <w:p>
      <w:pPr>
        <w:pStyle w:val="128"/>
        <w:spacing w:before="0"/>
        <w:ind w:firstLine="495" w:firstLineChars="0"/>
        <w:rPr>
          <w:rFonts w:hint="eastAsia" w:ascii="仿宋" w:hAnsi="仿宋" w:eastAsia="仿宋" w:cs="仿宋"/>
          <w:kern w:val="0"/>
          <w:szCs w:val="24"/>
          <w:highlight w:val="none"/>
        </w:rPr>
      </w:pPr>
      <w:r>
        <w:rPr>
          <w:rFonts w:hint="eastAsia" w:ascii="仿宋" w:hAnsi="仿宋" w:eastAsia="仿宋" w:cs="仿宋"/>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hint="eastAsia" w:ascii="仿宋" w:hAnsi="仿宋" w:eastAsia="仿宋" w:cs="仿宋"/>
          <w:highlight w:val="none"/>
        </w:rPr>
      </w:pPr>
      <w:r>
        <w:rPr>
          <w:rFonts w:hint="eastAsia" w:ascii="仿宋" w:hAnsi="仿宋" w:eastAsia="仿宋" w:cs="仿宋"/>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highlight w:val="none"/>
        </w:rPr>
        <w:t>。</w:t>
      </w:r>
    </w:p>
    <w:p>
      <w:pPr>
        <w:pStyle w:val="128"/>
        <w:spacing w:before="0"/>
        <w:ind w:firstLine="0" w:firstLineChars="0"/>
        <w:rPr>
          <w:rFonts w:hint="eastAsia" w:ascii="仿宋" w:hAnsi="仿宋" w:eastAsia="仿宋" w:cs="仿宋"/>
          <w:kern w:val="0"/>
          <w:szCs w:val="24"/>
          <w:highlight w:val="none"/>
        </w:rPr>
      </w:pPr>
    </w:p>
    <w:p>
      <w:pPr>
        <w:snapToGrid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五、评标</w:t>
      </w:r>
    </w:p>
    <w:p>
      <w:pPr>
        <w:spacing w:line="360" w:lineRule="auto"/>
        <w:rPr>
          <w:rFonts w:hint="eastAsia" w:ascii="仿宋" w:hAnsi="仿宋" w:eastAsia="仿宋" w:cs="仿宋"/>
          <w:sz w:val="24"/>
          <w:highlight w:val="none"/>
        </w:rPr>
      </w:pPr>
      <w:bookmarkStart w:id="13" w:name="_Toc91899903"/>
      <w:r>
        <w:rPr>
          <w:rFonts w:hint="eastAsia" w:ascii="仿宋" w:hAnsi="仿宋" w:eastAsia="仿宋" w:cs="仿宋"/>
          <w:b/>
          <w:sz w:val="24"/>
          <w:highlight w:val="none"/>
        </w:rPr>
        <w:t>21.</w:t>
      </w:r>
      <w:r>
        <w:rPr>
          <w:rFonts w:hint="eastAsia" w:ascii="仿宋" w:hAnsi="仿宋" w:eastAsia="仿宋" w:cs="仿宋"/>
          <w:highlight w:val="none"/>
        </w:rPr>
        <w:t xml:space="preserve"> </w:t>
      </w:r>
      <w:r>
        <w:rPr>
          <w:rFonts w:hint="eastAsia" w:ascii="仿宋" w:hAnsi="仿宋" w:eastAsia="仿宋" w:cs="仿宋"/>
          <w:sz w:val="24"/>
          <w:highlight w:val="none"/>
        </w:rPr>
        <w:t>评标委员会将根据招标文件和有关规定，履行评标工作职责，并按照评标方法及评分标准，全面衡量各投标人对招标文件的响应情况。对实质上响应招标文件的投标人，按照评审因素的量化指标</w:t>
      </w:r>
      <w:r>
        <w:rPr>
          <w:rFonts w:hint="eastAsia" w:ascii="仿宋" w:hAnsi="仿宋" w:eastAsia="仿宋" w:cs="仿宋"/>
          <w:sz w:val="24"/>
          <w:highlight w:val="none"/>
          <w:lang w:eastAsia="zh-CN"/>
        </w:rPr>
        <w:t>排出</w:t>
      </w:r>
      <w:r>
        <w:rPr>
          <w:rFonts w:hint="eastAsia" w:ascii="仿宋" w:hAnsi="仿宋" w:eastAsia="仿宋" w:cs="仿宋"/>
          <w:sz w:val="24"/>
          <w:highlight w:val="none"/>
        </w:rPr>
        <w:t>得分高低推荐中标单位。</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详见招标文件第四部分评标办法。</w:t>
      </w:r>
    </w:p>
    <w:p>
      <w:pPr>
        <w:spacing w:line="360" w:lineRule="auto"/>
        <w:rPr>
          <w:rFonts w:hint="eastAsia" w:ascii="仿宋" w:hAnsi="仿宋" w:eastAsia="仿宋" w:cs="仿宋"/>
          <w:b/>
          <w:sz w:val="24"/>
          <w:highlight w:val="none"/>
        </w:rPr>
      </w:pPr>
    </w:p>
    <w:p>
      <w:pPr>
        <w:snapToGrid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六、定 标</w:t>
      </w:r>
    </w:p>
    <w:p>
      <w:pPr>
        <w:pStyle w:val="19"/>
        <w:spacing w:line="360" w:lineRule="auto"/>
        <w:ind w:left="479" w:hanging="479" w:hangingChars="199"/>
        <w:rPr>
          <w:rFonts w:hint="eastAsia" w:ascii="仿宋" w:hAnsi="仿宋" w:eastAsia="仿宋" w:cs="仿宋"/>
          <w:b/>
          <w:highlight w:val="none"/>
        </w:rPr>
      </w:pPr>
      <w:r>
        <w:rPr>
          <w:rFonts w:hint="eastAsia" w:ascii="仿宋" w:hAnsi="仿宋" w:eastAsia="仿宋" w:cs="仿宋"/>
          <w:b/>
          <w:highlight w:val="none"/>
        </w:rPr>
        <w:t>22. 确定中标供应商</w:t>
      </w:r>
    </w:p>
    <w:p>
      <w:pPr>
        <w:pStyle w:val="128"/>
        <w:snapToGrid w:val="0"/>
        <w:spacing w:before="0"/>
        <w:ind w:firstLine="480"/>
        <w:rPr>
          <w:rFonts w:hint="eastAsia" w:ascii="仿宋" w:hAnsi="仿宋" w:eastAsia="仿宋" w:cs="仿宋"/>
          <w:b/>
          <w:szCs w:val="24"/>
          <w:highlight w:val="none"/>
        </w:rPr>
      </w:pPr>
      <w:r>
        <w:rPr>
          <w:rFonts w:hint="eastAsia" w:ascii="仿宋" w:hAnsi="仿宋" w:eastAsia="仿宋" w:cs="仿宋"/>
          <w:kern w:val="2"/>
          <w:sz w:val="24"/>
          <w:szCs w:val="24"/>
          <w:highlight w:val="none"/>
          <w:lang w:val="en-US" w:eastAsia="zh-CN" w:bidi="ar-SA"/>
        </w:rPr>
        <w:t>本项目由采购人事先授权评标委员会确定预中标人。</w:t>
      </w:r>
    </w:p>
    <w:p>
      <w:pPr>
        <w:pStyle w:val="128"/>
        <w:snapToGrid w:val="0"/>
        <w:spacing w:before="0"/>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23. 中标通知与中标结果公告</w:t>
      </w:r>
    </w:p>
    <w:p>
      <w:pPr>
        <w:widowControl/>
        <w:shd w:val="clear" w:color="auto" w:fill="FFFFFF"/>
        <w:spacing w:line="36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23.3公告期限为1个工作日。</w:t>
      </w:r>
    </w:p>
    <w:p>
      <w:pPr>
        <w:snapToGrid w:val="0"/>
        <w:spacing w:line="360" w:lineRule="auto"/>
        <w:ind w:left="120" w:leftChars="57" w:firstLine="482" w:firstLineChars="150"/>
        <w:jc w:val="center"/>
        <w:rPr>
          <w:rFonts w:hint="eastAsia" w:ascii="仿宋" w:hAnsi="仿宋" w:eastAsia="仿宋" w:cs="仿宋"/>
          <w:b/>
          <w:sz w:val="32"/>
          <w:highlight w:val="none"/>
        </w:rPr>
      </w:pPr>
    </w:p>
    <w:p>
      <w:pPr>
        <w:snapToGrid w:val="0"/>
        <w:spacing w:line="360" w:lineRule="auto"/>
        <w:ind w:left="120" w:leftChars="57" w:firstLine="482" w:firstLineChars="150"/>
        <w:jc w:val="center"/>
        <w:rPr>
          <w:rFonts w:hint="eastAsia" w:ascii="仿宋" w:hAnsi="仿宋" w:eastAsia="仿宋" w:cs="仿宋"/>
          <w:b/>
          <w:sz w:val="32"/>
          <w:highlight w:val="none"/>
        </w:rPr>
      </w:pPr>
      <w:r>
        <w:rPr>
          <w:rFonts w:hint="eastAsia" w:ascii="仿宋" w:hAnsi="仿宋" w:eastAsia="仿宋" w:cs="仿宋"/>
          <w:b/>
          <w:sz w:val="32"/>
          <w:highlight w:val="none"/>
        </w:rPr>
        <w:t>七、合同授予</w:t>
      </w:r>
    </w:p>
    <w:p>
      <w:pPr>
        <w:pStyle w:val="19"/>
        <w:spacing w:line="360" w:lineRule="auto"/>
        <w:ind w:left="479" w:hanging="479" w:hangingChars="199"/>
        <w:rPr>
          <w:rFonts w:hint="eastAsia" w:ascii="仿宋" w:hAnsi="仿宋" w:eastAsia="仿宋" w:cs="仿宋"/>
          <w:b/>
          <w:highlight w:val="none"/>
        </w:rPr>
      </w:pPr>
      <w:r>
        <w:rPr>
          <w:rFonts w:hint="eastAsia" w:ascii="仿宋" w:hAnsi="仿宋" w:eastAsia="仿宋" w:cs="仿宋"/>
          <w:b/>
          <w:highlight w:val="none"/>
        </w:rPr>
        <w:t xml:space="preserve">24. </w:t>
      </w:r>
      <w:r>
        <w:rPr>
          <w:rFonts w:hint="eastAsia" w:ascii="仿宋" w:hAnsi="仿宋" w:eastAsia="仿宋" w:cs="仿宋"/>
          <w:highlight w:val="none"/>
        </w:rPr>
        <w:t>合同主要条款详见第五部分拟签订的合同文本。</w:t>
      </w:r>
    </w:p>
    <w:p>
      <w:pPr>
        <w:pStyle w:val="19"/>
        <w:spacing w:line="360" w:lineRule="auto"/>
        <w:ind w:left="479" w:hanging="479" w:hangingChars="199"/>
        <w:rPr>
          <w:rFonts w:hint="eastAsia" w:ascii="仿宋" w:hAnsi="仿宋" w:eastAsia="仿宋" w:cs="仿宋"/>
          <w:b/>
          <w:highlight w:val="none"/>
        </w:rPr>
      </w:pPr>
      <w:r>
        <w:rPr>
          <w:rFonts w:hint="eastAsia" w:ascii="仿宋" w:hAnsi="仿宋" w:eastAsia="仿宋" w:cs="仿宋"/>
          <w:b/>
          <w:highlight w:val="none"/>
        </w:rPr>
        <w:t>25. 合同的签订</w:t>
      </w:r>
    </w:p>
    <w:p>
      <w:pPr>
        <w:widowControl/>
        <w:shd w:val="clear" w:color="auto" w:fill="FFFFFF"/>
        <w:spacing w:line="360" w:lineRule="auto"/>
        <w:ind w:firstLine="480"/>
        <w:jc w:val="left"/>
        <w:rPr>
          <w:rFonts w:hint="eastAsia" w:ascii="仿宋" w:hAnsi="仿宋" w:eastAsia="仿宋" w:cs="仿宋"/>
          <w:kern w:val="0"/>
          <w:sz w:val="24"/>
          <w:highlight w:val="none"/>
        </w:rPr>
      </w:pPr>
      <w:r>
        <w:rPr>
          <w:rFonts w:hint="eastAsia" w:ascii="仿宋" w:hAnsi="仿宋" w:eastAsia="仿宋" w:cs="仿宋"/>
          <w:sz w:val="24"/>
          <w:highlight w:val="none"/>
        </w:rPr>
        <w:t>25.1</w:t>
      </w:r>
      <w:r>
        <w:rPr>
          <w:rFonts w:hint="eastAsia" w:ascii="仿宋" w:hAnsi="仿宋" w:eastAsia="仿宋" w:cs="仿宋"/>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28"/>
        <w:snapToGrid w:val="0"/>
        <w:spacing w:before="0"/>
        <w:ind w:firstLine="480"/>
        <w:rPr>
          <w:rFonts w:hint="eastAsia" w:ascii="仿宋" w:hAnsi="仿宋" w:eastAsia="仿宋" w:cs="仿宋"/>
          <w:kern w:val="0"/>
          <w:highlight w:val="none"/>
        </w:rPr>
      </w:pPr>
      <w:r>
        <w:rPr>
          <w:rFonts w:hint="eastAsia" w:ascii="仿宋" w:hAnsi="仿宋" w:eastAsia="仿宋" w:cs="仿宋"/>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25.3如签订合同并生效后，供应商无故拒绝或延期，除按照合同条款处理外，列入不良行为记录一次，并给予通报。</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hint="eastAsia" w:ascii="仿宋" w:hAnsi="仿宋" w:eastAsia="仿宋" w:cs="仿宋"/>
          <w:highlight w:val="none"/>
        </w:rPr>
      </w:pPr>
      <w:r>
        <w:rPr>
          <w:rFonts w:hint="eastAsia" w:ascii="仿宋" w:hAnsi="仿宋" w:eastAsia="仿宋" w:cs="仿宋"/>
          <w:highlight w:val="none"/>
        </w:rPr>
        <w:t>25.5采购合同由采购人与中标供应商根据招标文件、投标文件等内容通过政府采购电子交易平台在线签订，自动备案。</w:t>
      </w:r>
    </w:p>
    <w:p>
      <w:pPr>
        <w:pStyle w:val="19"/>
        <w:spacing w:line="360" w:lineRule="auto"/>
        <w:ind w:left="479" w:hanging="479" w:hangingChars="199"/>
        <w:rPr>
          <w:rFonts w:hint="eastAsia" w:ascii="仿宋" w:hAnsi="仿宋" w:eastAsia="仿宋" w:cs="仿宋"/>
          <w:b/>
          <w:highlight w:val="none"/>
        </w:rPr>
      </w:pPr>
      <w:r>
        <w:rPr>
          <w:rFonts w:hint="eastAsia" w:ascii="仿宋" w:hAnsi="仿宋" w:eastAsia="仿宋" w:cs="仿宋"/>
          <w:b/>
          <w:highlight w:val="none"/>
        </w:rPr>
        <w:t>26. 履约保证金</w:t>
      </w:r>
    </w:p>
    <w:p>
      <w:pPr>
        <w:tabs>
          <w:tab w:val="left" w:pos="0"/>
        </w:tabs>
        <w:spacing w:line="360" w:lineRule="auto"/>
        <w:ind w:firstLine="482"/>
        <w:rPr>
          <w:rFonts w:hint="eastAsia" w:ascii="仿宋" w:hAnsi="仿宋" w:eastAsia="仿宋" w:cs="仿宋"/>
          <w:b/>
          <w:sz w:val="24"/>
          <w:highlight w:val="none"/>
        </w:rPr>
      </w:pPr>
      <w:r>
        <w:rPr>
          <w:rFonts w:hint="eastAsia" w:ascii="仿宋" w:hAnsi="仿宋" w:eastAsia="仿宋" w:cs="仿宋"/>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。履约保证金的数额不得超过政府采购合同金额的5%。鼓励和支持供应商以银行、保险公司出具的保函形式提供履约保证金。</w:t>
      </w:r>
      <w:r>
        <w:rPr>
          <w:rFonts w:hint="eastAsia" w:ascii="仿宋" w:hAnsi="仿宋" w:eastAsia="仿宋" w:cs="仿宋"/>
          <w:b/>
          <w:sz w:val="24"/>
          <w:highlight w:val="none"/>
        </w:rPr>
        <w:t>采购人不得拒收履约保函。</w:t>
      </w:r>
    </w:p>
    <w:p>
      <w:pPr>
        <w:tabs>
          <w:tab w:val="left" w:pos="0"/>
        </w:tabs>
        <w:spacing w:line="360" w:lineRule="auto"/>
        <w:ind w:firstLine="482"/>
        <w:rPr>
          <w:rFonts w:hint="eastAsia" w:ascii="仿宋" w:hAnsi="仿宋" w:eastAsia="仿宋" w:cs="仿宋"/>
          <w:sz w:val="24"/>
          <w:szCs w:val="20"/>
          <w:highlight w:val="none"/>
        </w:rPr>
      </w:pPr>
      <w:r>
        <w:rPr>
          <w:rFonts w:hint="eastAsia" w:ascii="仿宋" w:hAnsi="仿宋" w:eastAsia="仿宋" w:cs="仿宋"/>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hint="eastAsia" w:ascii="仿宋" w:hAnsi="仿宋" w:eastAsia="仿宋" w:cs="仿宋"/>
          <w:sz w:val="24"/>
          <w:szCs w:val="20"/>
          <w:highlight w:val="none"/>
          <w:lang w:val="en-US" w:eastAsia="zh-CN"/>
        </w:rPr>
        <w:t>1</w:t>
      </w:r>
      <w:r>
        <w:rPr>
          <w:rFonts w:hint="eastAsia" w:ascii="仿宋" w:hAnsi="仿宋" w:eastAsia="仿宋" w:cs="仿宋"/>
          <w:sz w:val="24"/>
          <w:szCs w:val="20"/>
          <w:highlight w:val="none"/>
        </w:rPr>
        <w:t>%；评价总分在90分以下或者暂无评分的，收取履约保证金不得高于合同金额</w:t>
      </w:r>
      <w:r>
        <w:rPr>
          <w:rFonts w:hint="eastAsia" w:ascii="仿宋" w:hAnsi="仿宋" w:eastAsia="仿宋" w:cs="仿宋"/>
          <w:sz w:val="24"/>
          <w:szCs w:val="20"/>
          <w:highlight w:val="none"/>
          <w:lang w:val="en-US" w:eastAsia="zh-CN"/>
        </w:rPr>
        <w:t>2.5</w:t>
      </w:r>
      <w:r>
        <w:rPr>
          <w:rFonts w:hint="eastAsia" w:ascii="仿宋" w:hAnsi="仿宋" w:eastAsia="仿宋" w:cs="仿宋"/>
          <w:sz w:val="24"/>
          <w:szCs w:val="20"/>
          <w:highlight w:val="none"/>
        </w:rPr>
        <w:t>%。</w:t>
      </w:r>
    </w:p>
    <w:p>
      <w:pPr>
        <w:pStyle w:val="6"/>
        <w:ind w:left="0" w:firstLine="480" w:firstLineChars="200"/>
        <w:rPr>
          <w:rFonts w:hint="eastAsia" w:ascii="仿宋" w:hAnsi="仿宋" w:eastAsia="仿宋" w:cs="仿宋"/>
          <w:highlight w:val="none"/>
          <w:lang w:val="en-US"/>
        </w:rPr>
      </w:pPr>
      <w:r>
        <w:rPr>
          <w:rFonts w:hint="eastAsia" w:ascii="仿宋" w:hAnsi="仿宋" w:eastAsia="仿宋" w:cs="仿宋"/>
          <w:b w:val="0"/>
          <w:bCs w:val="0"/>
          <w:snapToGrid w:val="0"/>
          <w:kern w:val="28"/>
          <w:sz w:val="24"/>
          <w:highlight w:val="none"/>
        </w:rPr>
        <w:t>供应商</w:t>
      </w:r>
      <w:r>
        <w:rPr>
          <w:rFonts w:hint="eastAsia" w:ascii="仿宋" w:hAnsi="仿宋" w:eastAsia="仿宋" w:cs="仿宋"/>
          <w:b w:val="0"/>
          <w:bCs w:val="0"/>
          <w:snapToGrid w:val="0"/>
          <w:kern w:val="28"/>
          <w:sz w:val="24"/>
          <w:highlight w:val="none"/>
          <w:lang w:val="en-US"/>
        </w:rPr>
        <w:t>可</w:t>
      </w:r>
      <w:r>
        <w:rPr>
          <w:rFonts w:hint="eastAsia" w:ascii="仿宋" w:hAnsi="仿宋" w:eastAsia="仿宋" w:cs="仿宋"/>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 w:hAnsi="仿宋" w:eastAsia="仿宋" w:cs="仿宋"/>
          <w:b/>
          <w:sz w:val="32"/>
          <w:highlight w:val="none"/>
        </w:rPr>
      </w:pPr>
    </w:p>
    <w:p>
      <w:pPr>
        <w:snapToGrid w:val="0"/>
        <w:spacing w:line="360" w:lineRule="auto"/>
        <w:ind w:firstLine="3357" w:firstLineChars="1045"/>
        <w:rPr>
          <w:rFonts w:hint="eastAsia" w:ascii="仿宋" w:hAnsi="仿宋" w:eastAsia="仿宋" w:cs="仿宋"/>
          <w:b/>
          <w:sz w:val="24"/>
          <w:highlight w:val="none"/>
        </w:rPr>
      </w:pPr>
      <w:r>
        <w:rPr>
          <w:rFonts w:hint="eastAsia" w:ascii="仿宋" w:hAnsi="仿宋" w:eastAsia="仿宋" w:cs="仿宋"/>
          <w:b/>
          <w:sz w:val="32"/>
          <w:highlight w:val="none"/>
        </w:rPr>
        <w:t>八、电子交易活动的中止</w:t>
      </w:r>
    </w:p>
    <w:p>
      <w:pPr>
        <w:pStyle w:val="128"/>
        <w:snapToGrid w:val="0"/>
        <w:spacing w:before="0"/>
        <w:ind w:firstLine="0" w:firstLineChars="0"/>
        <w:rPr>
          <w:rFonts w:hint="eastAsia"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b/>
          <w:szCs w:val="24"/>
          <w:highlight w:val="none"/>
        </w:rPr>
        <w:t>7. 电子交易活动的中止。</w:t>
      </w:r>
      <w:r>
        <w:rPr>
          <w:rFonts w:hint="eastAsia" w:ascii="仿宋" w:hAnsi="仿宋" w:eastAsia="仿宋" w:cs="仿宋"/>
          <w:highlight w:val="none"/>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 xml:space="preserve">27.1电子交易平台发生故障而无法登录访问的； </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27.2电子交易平台应用或数据库出现错误，不能进行正常操作的；</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27.3电子交易平台发现严重安全漏洞，有潜在泄密危险的；</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 xml:space="preserve">27.4病毒发作导致不能进行正常操作的； </w:t>
      </w:r>
    </w:p>
    <w:p>
      <w:pPr>
        <w:pStyle w:val="128"/>
        <w:snapToGrid w:val="0"/>
        <w:spacing w:before="0"/>
        <w:ind w:firstLine="480"/>
        <w:rPr>
          <w:rFonts w:hint="eastAsia" w:ascii="仿宋" w:hAnsi="仿宋" w:eastAsia="仿宋" w:cs="仿宋"/>
          <w:highlight w:val="none"/>
        </w:rPr>
      </w:pPr>
      <w:r>
        <w:rPr>
          <w:rFonts w:hint="eastAsia" w:ascii="仿宋" w:hAnsi="仿宋" w:eastAsia="仿宋" w:cs="仿宋"/>
          <w:highlight w:val="none"/>
        </w:rPr>
        <w:t>27.5其他无法保证电子交易的公平、公正和安全的情况。</w:t>
      </w:r>
    </w:p>
    <w:p>
      <w:pPr>
        <w:pStyle w:val="128"/>
        <w:snapToGrid w:val="0"/>
        <w:spacing w:before="0"/>
        <w:ind w:firstLine="0" w:firstLineChars="0"/>
        <w:rPr>
          <w:rFonts w:hint="eastAsia" w:ascii="仿宋" w:hAnsi="仿宋" w:eastAsia="仿宋" w:cs="仿宋"/>
          <w:highlight w:val="none"/>
        </w:rPr>
      </w:pPr>
      <w:r>
        <w:rPr>
          <w:rFonts w:hint="eastAsia" w:ascii="仿宋" w:hAnsi="仿宋" w:eastAsia="仿宋" w:cs="仿宋"/>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sz w:val="24"/>
          <w:highlight w:val="none"/>
        </w:rPr>
      </w:pPr>
    </w:p>
    <w:p>
      <w:pPr>
        <w:snapToGrid w:val="0"/>
        <w:spacing w:line="360" w:lineRule="auto"/>
        <w:ind w:left="120" w:leftChars="57" w:firstLine="482" w:firstLineChars="150"/>
        <w:jc w:val="center"/>
        <w:rPr>
          <w:rFonts w:hint="eastAsia" w:ascii="仿宋" w:hAnsi="仿宋" w:eastAsia="仿宋" w:cs="仿宋"/>
          <w:b/>
          <w:sz w:val="32"/>
          <w:highlight w:val="none"/>
        </w:rPr>
      </w:pPr>
      <w:r>
        <w:rPr>
          <w:rFonts w:hint="eastAsia" w:ascii="仿宋" w:hAnsi="仿宋" w:eastAsia="仿宋" w:cs="仿宋"/>
          <w:b/>
          <w:sz w:val="32"/>
          <w:highlight w:val="none"/>
        </w:rPr>
        <w:t>九、验收</w:t>
      </w:r>
    </w:p>
    <w:p>
      <w:pPr>
        <w:pStyle w:val="19"/>
        <w:spacing w:line="360" w:lineRule="auto"/>
        <w:ind w:firstLine="0" w:firstLineChars="0"/>
        <w:rPr>
          <w:rFonts w:hint="eastAsia" w:ascii="仿宋" w:hAnsi="仿宋" w:eastAsia="仿宋" w:cs="仿宋"/>
          <w:b/>
          <w:highlight w:val="none"/>
        </w:rPr>
      </w:pPr>
      <w:r>
        <w:rPr>
          <w:rFonts w:hint="eastAsia" w:ascii="仿宋" w:hAnsi="仿宋" w:eastAsia="仿宋" w:cs="仿宋"/>
          <w:b/>
          <w:highlight w:val="none"/>
        </w:rPr>
        <w:t>29.验收</w:t>
      </w:r>
    </w:p>
    <w:p>
      <w:pPr>
        <w:tabs>
          <w:tab w:val="left" w:pos="0"/>
        </w:tabs>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kern w:val="0"/>
          <w:sz w:val="24"/>
          <w:highlight w:val="none"/>
        </w:rPr>
      </w:pPr>
      <w:r>
        <w:rPr>
          <w:rFonts w:hint="eastAsia" w:ascii="仿宋" w:hAnsi="仿宋" w:eastAsia="仿宋" w:cs="仿宋"/>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sz w:val="18"/>
          <w:szCs w:val="18"/>
          <w:highlight w:val="none"/>
        </w:rPr>
      </w:pPr>
      <w:r>
        <w:rPr>
          <w:rFonts w:hint="eastAsia" w:ascii="仿宋" w:hAnsi="仿宋" w:eastAsia="仿宋" w:cs="仿宋"/>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hint="eastAsia" w:ascii="仿宋" w:hAnsi="仿宋" w:eastAsia="仿宋" w:cs="仿宋"/>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5236011"/>
      <w:bookmarkEnd w:id="14"/>
      <w:bookmarkStart w:id="15" w:name="_Hlt68057669"/>
      <w:bookmarkEnd w:id="15"/>
      <w:bookmarkStart w:id="16" w:name="_Hlt68072998"/>
      <w:bookmarkEnd w:id="16"/>
      <w:bookmarkStart w:id="17" w:name="_Hlt74730295"/>
      <w:bookmarkEnd w:id="17"/>
      <w:bookmarkStart w:id="18" w:name="_Hlt74714665"/>
      <w:bookmarkEnd w:id="18"/>
      <w:bookmarkStart w:id="19" w:name="_Hlt74707468"/>
      <w:bookmarkEnd w:id="19"/>
      <w:bookmarkStart w:id="20" w:name="_Hlt68073093"/>
      <w:bookmarkEnd w:id="20"/>
      <w:bookmarkStart w:id="21" w:name="_Hlt75236101"/>
      <w:bookmarkEnd w:id="21"/>
      <w:bookmarkStart w:id="22" w:name="_Hlt68072990"/>
      <w:bookmarkEnd w:id="22"/>
      <w:bookmarkStart w:id="23" w:name="_Hlt68403820"/>
      <w:bookmarkEnd w:id="23"/>
      <w:bookmarkStart w:id="24" w:name="_Hlt75236290"/>
      <w:bookmarkEnd w:id="24"/>
      <w:bookmarkStart w:id="25" w:name="_Hlt74729768"/>
      <w:bookmarkEnd w:id="25"/>
    </w:p>
    <w:bookmarkEnd w:id="11"/>
    <w:bookmarkEnd w:id="12"/>
    <w:p>
      <w:pPr>
        <w:spacing w:line="360" w:lineRule="auto"/>
        <w:jc w:val="center"/>
        <w:outlineLvl w:val="0"/>
        <w:rPr>
          <w:rFonts w:hint="eastAsia" w:ascii="仿宋" w:hAnsi="仿宋" w:eastAsia="仿宋" w:cs="仿宋"/>
          <w:b/>
          <w:sz w:val="36"/>
          <w:szCs w:val="36"/>
          <w:highlight w:val="none"/>
        </w:rPr>
      </w:pPr>
      <w:bookmarkStart w:id="26" w:name="第四部分"/>
      <w:r>
        <w:rPr>
          <w:rFonts w:hint="eastAsia" w:ascii="仿宋" w:hAnsi="仿宋" w:eastAsia="仿宋" w:cs="仿宋"/>
          <w:b/>
          <w:sz w:val="36"/>
          <w:szCs w:val="36"/>
          <w:highlight w:val="none"/>
        </w:rPr>
        <w:t>第三部分   采购需求</w:t>
      </w:r>
    </w:p>
    <w:p>
      <w:pPr>
        <w:widowControl/>
        <w:tabs>
          <w:tab w:val="left" w:pos="425"/>
          <w:tab w:val="left" w:pos="747"/>
        </w:tabs>
        <w:spacing w:before="159" w:beforeLines="50" w:after="159" w:afterLines="50" w:line="360" w:lineRule="auto"/>
        <w:jc w:val="left"/>
        <w:rPr>
          <w:rFonts w:hint="eastAsia" w:ascii="仿宋" w:hAnsi="仿宋" w:eastAsia="仿宋" w:cs="仿宋"/>
          <w:b/>
          <w:sz w:val="28"/>
          <w:szCs w:val="28"/>
          <w:highlight w:val="none"/>
        </w:rPr>
      </w:pPr>
      <w:r>
        <w:rPr>
          <w:rFonts w:hint="eastAsia" w:ascii="仿宋" w:hAnsi="仿宋" w:eastAsia="仿宋" w:cs="仿宋"/>
          <w:b/>
          <w:sz w:val="28"/>
          <w:szCs w:val="28"/>
          <w:highlight w:val="none"/>
        </w:rPr>
        <w:t>一、需求清单</w:t>
      </w:r>
    </w:p>
    <w:tbl>
      <w:tblPr>
        <w:tblStyle w:val="62"/>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995"/>
        <w:gridCol w:w="2175"/>
        <w:gridCol w:w="621"/>
        <w:gridCol w:w="654"/>
        <w:gridCol w:w="1983"/>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31"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995"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采购内容</w:t>
            </w:r>
          </w:p>
        </w:tc>
        <w:tc>
          <w:tcPr>
            <w:tcW w:w="2175"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主要服务技术要求</w:t>
            </w:r>
          </w:p>
        </w:tc>
        <w:tc>
          <w:tcPr>
            <w:tcW w:w="621"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单位</w:t>
            </w:r>
          </w:p>
        </w:tc>
        <w:tc>
          <w:tcPr>
            <w:tcW w:w="654"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1983"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预算总价（元）</w:t>
            </w:r>
          </w:p>
        </w:tc>
        <w:tc>
          <w:tcPr>
            <w:tcW w:w="781"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31"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995" w:type="dxa"/>
            <w:vAlign w:val="center"/>
          </w:tcPr>
          <w:p>
            <w:pPr>
              <w:widowControl/>
              <w:tabs>
                <w:tab w:val="left" w:pos="360"/>
              </w:tabs>
              <w:spacing w:line="36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建德市水文测报能力提升项目</w:t>
            </w:r>
          </w:p>
        </w:tc>
        <w:tc>
          <w:tcPr>
            <w:tcW w:w="2175"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详见“二、采购需求”</w:t>
            </w:r>
          </w:p>
        </w:tc>
        <w:tc>
          <w:tcPr>
            <w:tcW w:w="621"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w:t>
            </w:r>
          </w:p>
        </w:tc>
        <w:tc>
          <w:tcPr>
            <w:tcW w:w="654"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983" w:type="dxa"/>
            <w:vAlign w:val="center"/>
          </w:tcPr>
          <w:p>
            <w:pPr>
              <w:widowControl/>
              <w:tabs>
                <w:tab w:val="left" w:pos="360"/>
              </w:tabs>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11000000.00</w:t>
            </w:r>
          </w:p>
        </w:tc>
        <w:tc>
          <w:tcPr>
            <w:tcW w:w="781" w:type="dxa"/>
            <w:vAlign w:val="center"/>
          </w:tcPr>
          <w:p>
            <w:pPr>
              <w:widowControl/>
              <w:tabs>
                <w:tab w:val="left" w:pos="360"/>
              </w:tabs>
              <w:spacing w:line="360" w:lineRule="auto"/>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040" w:type="dxa"/>
            <w:gridSpan w:val="7"/>
            <w:vAlign w:val="center"/>
          </w:tcPr>
          <w:p>
            <w:pPr>
              <w:widowControl/>
              <w:tabs>
                <w:tab w:val="left" w:pos="360"/>
              </w:tabs>
              <w:spacing w:line="360" w:lineRule="auto"/>
              <w:jc w:val="center"/>
              <w:rPr>
                <w:rFonts w:hint="eastAsia" w:ascii="仿宋" w:hAnsi="仿宋" w:eastAsia="仿宋" w:cs="仿宋"/>
                <w:b/>
                <w:bCs/>
                <w:kern w:val="0"/>
                <w:sz w:val="24"/>
                <w:szCs w:val="24"/>
                <w:highlight w:val="none"/>
                <w:u w:val="single"/>
              </w:rPr>
            </w:pPr>
            <w:r>
              <w:rPr>
                <w:rFonts w:hint="eastAsia" w:ascii="仿宋" w:hAnsi="仿宋" w:eastAsia="仿宋" w:cs="仿宋"/>
                <w:b/>
                <w:bCs/>
                <w:kern w:val="0"/>
                <w:sz w:val="24"/>
                <w:szCs w:val="24"/>
                <w:highlight w:val="none"/>
                <w:u w:val="single"/>
              </w:rPr>
              <w:t>最高限价：人民币（大写）：</w:t>
            </w:r>
            <w:r>
              <w:rPr>
                <w:rFonts w:hint="eastAsia" w:ascii="仿宋" w:hAnsi="仿宋" w:eastAsia="仿宋" w:cs="仿宋"/>
                <w:b/>
                <w:bCs/>
                <w:kern w:val="0"/>
                <w:sz w:val="24"/>
                <w:szCs w:val="24"/>
                <w:highlight w:val="none"/>
                <w:u w:val="single"/>
              </w:rPr>
              <w:fldChar w:fldCharType="begin"/>
            </w:r>
            <w:r>
              <w:rPr>
                <w:rFonts w:hint="eastAsia" w:ascii="仿宋" w:hAnsi="仿宋" w:eastAsia="仿宋" w:cs="仿宋"/>
                <w:b/>
                <w:bCs/>
                <w:kern w:val="0"/>
                <w:sz w:val="24"/>
                <w:szCs w:val="24"/>
                <w:highlight w:val="none"/>
                <w:u w:val="single"/>
              </w:rPr>
              <w:instrText xml:space="preserve"> = 460000 \* CHINESENUM4 \* MERGEFORMAT </w:instrText>
            </w:r>
            <w:r>
              <w:rPr>
                <w:rFonts w:hint="eastAsia" w:ascii="仿宋" w:hAnsi="仿宋" w:eastAsia="仿宋" w:cs="仿宋"/>
                <w:b/>
                <w:bCs/>
                <w:kern w:val="0"/>
                <w:sz w:val="24"/>
                <w:szCs w:val="24"/>
                <w:highlight w:val="none"/>
                <w:u w:val="single"/>
              </w:rPr>
              <w:fldChar w:fldCharType="separate"/>
            </w:r>
            <w:r>
              <w:rPr>
                <w:rFonts w:hint="eastAsia" w:ascii="仿宋" w:hAnsi="仿宋" w:eastAsia="仿宋" w:cs="仿宋"/>
                <w:b/>
                <w:bCs/>
                <w:kern w:val="0"/>
                <w:sz w:val="24"/>
                <w:szCs w:val="24"/>
                <w:highlight w:val="none"/>
                <w:u w:val="single"/>
              </w:rPr>
              <w:t>壹仟壹佰万元整</w:t>
            </w:r>
            <w:r>
              <w:rPr>
                <w:rFonts w:hint="eastAsia" w:ascii="仿宋" w:hAnsi="仿宋" w:eastAsia="仿宋" w:cs="仿宋"/>
                <w:b/>
                <w:bCs/>
                <w:kern w:val="0"/>
                <w:sz w:val="24"/>
                <w:szCs w:val="24"/>
                <w:highlight w:val="none"/>
                <w:u w:val="single"/>
              </w:rPr>
              <w:fldChar w:fldCharType="end"/>
            </w:r>
            <w:r>
              <w:rPr>
                <w:rFonts w:hint="eastAsia" w:ascii="仿宋" w:hAnsi="仿宋" w:eastAsia="仿宋" w:cs="仿宋"/>
                <w:b/>
                <w:bCs/>
                <w:kern w:val="0"/>
                <w:sz w:val="24"/>
                <w:szCs w:val="24"/>
                <w:highlight w:val="none"/>
                <w:u w:val="single"/>
              </w:rPr>
              <w:t>（￥11000000.00元）</w:t>
            </w:r>
          </w:p>
        </w:tc>
      </w:tr>
    </w:tbl>
    <w:p>
      <w:pPr>
        <w:spacing w:line="360" w:lineRule="auto"/>
        <w:rPr>
          <w:rFonts w:hint="eastAsia" w:ascii="仿宋" w:hAnsi="仿宋" w:eastAsia="仿宋" w:cs="仿宋"/>
          <w:sz w:val="24"/>
          <w:szCs w:val="24"/>
          <w:highlight w:val="none"/>
        </w:rPr>
      </w:pPr>
      <w:r>
        <w:rPr>
          <w:rFonts w:hint="eastAsia" w:ascii="仿宋" w:hAnsi="仿宋" w:eastAsia="仿宋" w:cs="仿宋"/>
          <w:b/>
          <w:sz w:val="24"/>
          <w:szCs w:val="24"/>
          <w:highlight w:val="none"/>
        </w:rPr>
        <w:t>注：</w:t>
      </w:r>
      <w:r>
        <w:rPr>
          <w:rFonts w:hint="eastAsia" w:ascii="仿宋" w:hAnsi="仿宋" w:eastAsia="仿宋" w:cs="仿宋"/>
          <w:sz w:val="24"/>
          <w:szCs w:val="24"/>
          <w:highlight w:val="none"/>
        </w:rPr>
        <w:t>1. 本项目为交钥匙工程。以上预算总价包括本项目整个服务期所需的一切货物、人工、售后服务、交通运输、利润、税金（包含须由投标人承担的各种税费）、其它需投标人承担的费用及潜在可能涉及的一切费用。</w:t>
      </w:r>
    </w:p>
    <w:p>
      <w:pPr>
        <w:pStyle w:val="6"/>
        <w:spacing w:before="240" w:after="120"/>
        <w:jc w:val="left"/>
        <w:rPr>
          <w:rStyle w:val="352"/>
          <w:rFonts w:hint="eastAsia" w:ascii="仿宋" w:hAnsi="仿宋" w:eastAsia="仿宋" w:cs="仿宋"/>
          <w:b/>
          <w:bCs/>
          <w:szCs w:val="32"/>
          <w:highlight w:val="none"/>
        </w:rPr>
      </w:pPr>
      <w:r>
        <w:rPr>
          <w:rStyle w:val="352"/>
          <w:rFonts w:hint="eastAsia" w:ascii="仿宋" w:hAnsi="仿宋" w:eastAsia="仿宋" w:cs="仿宋"/>
          <w:b/>
          <w:bCs/>
          <w:szCs w:val="32"/>
          <w:highlight w:val="none"/>
        </w:rPr>
        <w:t>二、采购需求：</w:t>
      </w:r>
    </w:p>
    <w:p>
      <w:pPr>
        <w:widowControl/>
        <w:tabs>
          <w:tab w:val="left" w:pos="425"/>
          <w:tab w:val="left" w:pos="747"/>
        </w:tabs>
        <w:spacing w:before="156" w:beforeLines="50" w:after="156" w:afterLines="50" w:line="360" w:lineRule="auto"/>
        <w:jc w:val="left"/>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（一）、项目背景</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  针对2019年全省水文在防御梅雨台风，尤其9号超强“利奇马”、18号“米娜”台风和小流域超强暴雨洪水过程中，水文测报能力暴露出的短板。建德市水文水资源监测站对全市水文自动监测站点网布局、基础设施设备运行情况、极端天气下的测报能力等进行了全面摸底。建德市水文测报能力在应对超强标准暴雨洪水时，当前存在以下几个方面的短板。</w:t>
      </w:r>
    </w:p>
    <w:p>
      <w:pPr>
        <w:spacing w:line="360" w:lineRule="auto"/>
        <w:ind w:firstLine="562"/>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一是现有水文测站防洪测洪能力不高。水文测站基本依托于防洪堤防闭合圈建设，防洪测洪标准与堤防标准保持一致，大多为20-50年一遇，若遇到50年一遇以上超强洪水则水文测验存在困难。</w:t>
      </w:r>
    </w:p>
    <w:p>
      <w:pPr>
        <w:spacing w:line="360" w:lineRule="auto"/>
        <w:ind w:firstLine="562"/>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二是水文测站密度支撑水旱灾害防御能力不足。乡镇中心区、产业要素集聚区域、小（二）型水库水位站设备普遍落后，不利于防汛调度和形势分析，不能满足水旱灾害防御的要求，尤其是对山洪灾害监测预警的支撑范围还不够广。</w:t>
      </w:r>
    </w:p>
    <w:p>
      <w:pPr>
        <w:spacing w:line="360" w:lineRule="auto"/>
        <w:ind w:firstLine="562"/>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三是水文测站实时监测数据传输信道单一。水文测站均采用移动通信方式将水文监测数据实时传输到水文中心平台，大部分为单一信道。若受恶劣天气影响，移动通信基站出现大面积瘫痪，水文测站的监测数据将无法传出，导致水文中心不能及时掌握地方水雨情。</w:t>
      </w:r>
    </w:p>
    <w:p>
      <w:pPr>
        <w:spacing w:line="360" w:lineRule="auto"/>
        <w:ind w:firstLine="562"/>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四是超标准洪水水文应急监测能力低。卫星电话等应急装备配备率低，大部分测站超标准洪水人工水尺布设不足，缺乏在特大暴雨洪水情况下的持续测报能力和联络手段，极易发生洪水情形越危急，水文监测数据越是测报不出来的情况，难以为防汛提供实时有效支撑。</w:t>
      </w:r>
    </w:p>
    <w:p>
      <w:pPr>
        <w:spacing w:line="360" w:lineRule="auto"/>
        <w:ind w:firstLine="562"/>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五是实时水情预警预报会商不足。应急情况下的实时水情预警信息共享不足，预报成果会商不够，主要体现在：在通信中断的情况下，缺乏跨市县、跨流域的实时水情预警信息共享意识和手段，不能第一时间准确获取各种关键水位雨量数据、洪水形势和实时工况等。</w:t>
      </w:r>
    </w:p>
    <w:p>
      <w:pPr>
        <w:spacing w:line="360" w:lineRule="auto"/>
        <w:ind w:firstLine="562"/>
        <w:rPr>
          <w:rFonts w:hint="eastAsia" w:ascii="仿宋" w:hAnsi="仿宋" w:eastAsia="仿宋" w:cs="仿宋"/>
          <w:highlight w:val="none"/>
        </w:rPr>
      </w:pPr>
      <w:r>
        <w:rPr>
          <w:rFonts w:hint="eastAsia" w:ascii="仿宋" w:hAnsi="仿宋" w:eastAsia="仿宋" w:cs="仿宋"/>
          <w:bCs/>
          <w:color w:val="000000"/>
          <w:sz w:val="24"/>
          <w:highlight w:val="none"/>
        </w:rPr>
        <w:t>针对以上存在的实际短板，</w:t>
      </w:r>
      <w:r>
        <w:rPr>
          <w:rFonts w:hint="eastAsia" w:ascii="仿宋" w:hAnsi="仿宋" w:eastAsia="仿宋" w:cs="仿宋"/>
          <w:sz w:val="24"/>
          <w:highlight w:val="none"/>
        </w:rPr>
        <w:t>建德市十分重视。</w:t>
      </w:r>
      <w:r>
        <w:rPr>
          <w:rFonts w:hint="eastAsia" w:ascii="仿宋" w:hAnsi="仿宋" w:eastAsia="仿宋" w:cs="仿宋"/>
          <w:bCs/>
          <w:color w:val="000000"/>
          <w:sz w:val="24"/>
          <w:highlight w:val="none"/>
        </w:rPr>
        <w:t>为更好地提升超强暴雨洪水的水文测报能力，建管结合，故提出建德市水文补短板对策。</w:t>
      </w:r>
    </w:p>
    <w:p>
      <w:pPr>
        <w:widowControl/>
        <w:tabs>
          <w:tab w:val="left" w:pos="425"/>
          <w:tab w:val="left" w:pos="747"/>
        </w:tabs>
        <w:spacing w:before="156" w:beforeLines="50" w:after="156" w:afterLines="50" w:line="360" w:lineRule="auto"/>
        <w:jc w:val="left"/>
        <w:outlineLvl w:val="1"/>
        <w:rPr>
          <w:rFonts w:hint="eastAsia" w:ascii="仿宋" w:hAnsi="仿宋" w:eastAsia="仿宋" w:cs="仿宋"/>
          <w:b/>
          <w:sz w:val="28"/>
          <w:szCs w:val="28"/>
          <w:highlight w:val="none"/>
        </w:rPr>
      </w:pPr>
      <w:r>
        <w:rPr>
          <w:rFonts w:hint="eastAsia" w:ascii="仿宋" w:hAnsi="仿宋" w:eastAsia="仿宋" w:cs="仿宋"/>
          <w:b/>
          <w:sz w:val="28"/>
          <w:szCs w:val="28"/>
          <w:highlight w:val="none"/>
        </w:rPr>
        <w:t>（二）、采购需求</w:t>
      </w:r>
    </w:p>
    <w:p>
      <w:pPr>
        <w:pStyle w:val="2"/>
        <w:ind w:firstLine="480"/>
        <w:rPr>
          <w:rFonts w:hint="eastAsia" w:ascii="仿宋" w:hAnsi="仿宋" w:eastAsia="仿宋" w:cs="仿宋"/>
          <w:highlight w:val="none"/>
        </w:rPr>
      </w:pPr>
      <w:r>
        <w:rPr>
          <w:rFonts w:hint="eastAsia" w:ascii="仿宋" w:hAnsi="仿宋" w:eastAsia="仿宋" w:cs="仿宋"/>
          <w:color w:val="000000"/>
          <w:highlight w:val="none"/>
        </w:rPr>
        <w:t>根据浙江省水文管理中心2019年9</w:t>
      </w:r>
      <w:bookmarkStart w:id="558" w:name="_GoBack"/>
      <w:bookmarkEnd w:id="558"/>
      <w:r>
        <w:rPr>
          <w:rFonts w:hint="eastAsia" w:ascii="仿宋" w:hAnsi="仿宋" w:eastAsia="仿宋" w:cs="仿宋"/>
          <w:color w:val="000000"/>
          <w:highlight w:val="none"/>
        </w:rPr>
        <w:t>月发布的《浙江省水文管理中心关于印发〈浙江省行政交接断面水文监测站建设指导方案〉的通知》（浙水文[2019]46号），2019年12月发布的《浙江水文补短板实施方案》（2020-2022年）的要求。根据《中共浙江省委办公厅 浙江省人民政府办公厅 关于印发&lt;浙江省高水平全面建成小康社会补短板工作清单&gt;的通知》（浙委办发[2019]66号）的要求，结合我市的实际情况，建德市</w:t>
      </w:r>
      <w:r>
        <w:rPr>
          <w:rFonts w:hint="eastAsia" w:ascii="仿宋" w:hAnsi="仿宋" w:eastAsia="仿宋" w:cs="仿宋"/>
          <w:color w:val="000000"/>
          <w:highlight w:val="none"/>
          <w:lang w:val="zh-CN"/>
        </w:rPr>
        <w:t>“</w:t>
      </w:r>
      <w:r>
        <w:rPr>
          <w:rFonts w:hint="eastAsia" w:ascii="仿宋" w:hAnsi="仿宋" w:eastAsia="仿宋" w:cs="仿宋"/>
          <w:color w:val="000000"/>
          <w:highlight w:val="none"/>
          <w:lang w:val="en-US" w:eastAsia="zh-CN"/>
        </w:rPr>
        <w:t>水文测报能力提升</w:t>
      </w:r>
      <w:r>
        <w:rPr>
          <w:rFonts w:hint="eastAsia" w:ascii="仿宋" w:hAnsi="仿宋" w:eastAsia="仿宋" w:cs="仿宋"/>
          <w:color w:val="000000"/>
          <w:highlight w:val="none"/>
          <w:lang w:val="zh-CN"/>
        </w:rPr>
        <w:t>”</w:t>
      </w:r>
      <w:r>
        <w:rPr>
          <w:rFonts w:hint="eastAsia" w:ascii="仿宋" w:hAnsi="仿宋" w:eastAsia="仿宋" w:cs="仿宋"/>
          <w:color w:val="000000"/>
          <w:highlight w:val="none"/>
          <w:lang w:val="en-US" w:eastAsia="zh-CN"/>
        </w:rPr>
        <w:t>项目</w:t>
      </w:r>
      <w:r>
        <w:rPr>
          <w:rFonts w:hint="eastAsia" w:ascii="仿宋" w:hAnsi="仿宋" w:eastAsia="仿宋" w:cs="仿宋"/>
          <w:color w:val="000000"/>
          <w:highlight w:val="none"/>
        </w:rPr>
        <w:t>建设内容包括五大工程建设，水文补短板建设。本次采购内容的相关技术要求应满足《浙江省水文管理中心关于印发水文补短板建设技术指导意见的通知》浙水文 2020【6 号】和《建德市水文五大工程建设实施方案（2020-2022年度）》要求。为更好地提升超强暴雨洪水的水文测报能力，建管结合，故提出建德市水文补短板对策，具体如下：</w:t>
      </w:r>
    </w:p>
    <w:p>
      <w:pPr>
        <w:pStyle w:val="2"/>
        <w:ind w:firstLine="480"/>
        <w:rPr>
          <w:rFonts w:hint="eastAsia" w:ascii="仿宋" w:hAnsi="仿宋" w:eastAsia="仿宋" w:cs="仿宋"/>
          <w:highlight w:val="none"/>
        </w:rPr>
      </w:pPr>
      <w:r>
        <w:rPr>
          <w:rFonts w:hint="eastAsia" w:ascii="仿宋" w:hAnsi="仿宋" w:eastAsia="仿宋" w:cs="仿宋"/>
          <w:highlight w:val="none"/>
        </w:rPr>
        <w:t>1、水文测站分布实现“三个全覆盖”。</w:t>
      </w:r>
    </w:p>
    <w:p>
      <w:pPr>
        <w:pStyle w:val="2"/>
        <w:ind w:firstLine="480"/>
        <w:rPr>
          <w:rFonts w:hint="eastAsia" w:ascii="仿宋" w:hAnsi="仿宋" w:eastAsia="仿宋" w:cs="仿宋"/>
          <w:highlight w:val="none"/>
        </w:rPr>
      </w:pPr>
      <w:r>
        <w:rPr>
          <w:rFonts w:hint="eastAsia" w:ascii="仿宋" w:hAnsi="仿宋" w:eastAsia="仿宋" w:cs="仿宋"/>
          <w:highlight w:val="none"/>
        </w:rPr>
        <w:t>流量站建设实现行政交接断面、大中型水库下游全覆盖，水位站建设实现乡镇人口集聚区、中小型水库、县内河流主干道10km全覆盖，雨量站建设实现中小型水库、受暴雨山洪影响的村庄及上游小流域全覆盖。</w:t>
      </w:r>
    </w:p>
    <w:p>
      <w:pPr>
        <w:pStyle w:val="2"/>
        <w:ind w:firstLine="480"/>
        <w:rPr>
          <w:rFonts w:hint="eastAsia" w:ascii="仿宋" w:hAnsi="仿宋" w:eastAsia="仿宋" w:cs="仿宋"/>
          <w:highlight w:val="none"/>
        </w:rPr>
      </w:pPr>
      <w:r>
        <w:rPr>
          <w:rFonts w:hint="eastAsia" w:ascii="仿宋" w:hAnsi="仿宋" w:eastAsia="仿宋" w:cs="仿宋"/>
          <w:highlight w:val="none"/>
        </w:rPr>
        <w:t>2、水文监测和传输实现双采集、双终端、双信道的“三个双保障”。通过新建改建水文测站监测设备，增配双套不同类型水位监测设备，增配两套终端，新建北斗卫星信道和4G移动通信信道，实现水文监测数据双采集、双终端、双信道的“三个双保障”。</w:t>
      </w:r>
    </w:p>
    <w:p>
      <w:pPr>
        <w:pStyle w:val="2"/>
        <w:ind w:firstLine="480"/>
        <w:rPr>
          <w:rFonts w:hint="eastAsia" w:ascii="仿宋" w:hAnsi="仿宋" w:eastAsia="仿宋" w:cs="仿宋"/>
          <w:highlight w:val="none"/>
        </w:rPr>
      </w:pPr>
      <w:r>
        <w:rPr>
          <w:rFonts w:hint="eastAsia" w:ascii="仿宋" w:hAnsi="仿宋" w:eastAsia="仿宋" w:cs="仿宋"/>
          <w:highlight w:val="none"/>
        </w:rPr>
        <w:t>3、重要水文测站实现“四个有”。</w:t>
      </w:r>
    </w:p>
    <w:p>
      <w:pPr>
        <w:pStyle w:val="2"/>
        <w:ind w:firstLine="480"/>
        <w:rPr>
          <w:rFonts w:hint="eastAsia" w:ascii="仿宋" w:hAnsi="仿宋" w:eastAsia="仿宋" w:cs="仿宋"/>
          <w:highlight w:val="none"/>
        </w:rPr>
      </w:pPr>
      <w:r>
        <w:rPr>
          <w:rFonts w:hint="eastAsia" w:ascii="仿宋" w:hAnsi="仿宋" w:eastAsia="仿宋" w:cs="仿宋"/>
          <w:highlight w:val="none"/>
        </w:rPr>
        <w:t>有应急监测传输保障：建德市内重要水文站点实现“双测、双终端、北斗/4G双传输”“三个双保障”；有应急四增配：配备卫星电话、望远镜、强力手电、应急电源；有超标准人工水尺；应急期间有人值守。确保在极端天气下，重要水文测站都能做到“测得到、报得出、报得及时”，保障水雨情信息畅通。</w:t>
      </w:r>
    </w:p>
    <w:p>
      <w:pPr>
        <w:pStyle w:val="2"/>
        <w:ind w:firstLine="480"/>
        <w:rPr>
          <w:rFonts w:hint="eastAsia" w:ascii="仿宋" w:hAnsi="仿宋" w:eastAsia="仿宋" w:cs="仿宋"/>
          <w:sz w:val="36"/>
          <w:highlight w:val="none"/>
        </w:rPr>
      </w:pPr>
      <w:r>
        <w:rPr>
          <w:rFonts w:hint="eastAsia" w:ascii="仿宋" w:hAnsi="仿宋" w:eastAsia="仿宋" w:cs="仿宋"/>
          <w:highlight w:val="none"/>
        </w:rPr>
        <w:t>4、重建重管—提升水文信息化监管平台“一张图”。结合全省统一建设水文大平台系统，将原有的建管运行从线下转变线上。同时，在防汛防台抗旱、江河湖库监管、水资源管理、水生态监测等方面，实时在线提供各种报表、月报、年报、公报等水文技术数据支撑，全面实现自动化、智能化、多样化的水文服务。</w:t>
      </w:r>
    </w:p>
    <w:p>
      <w:pPr>
        <w:pStyle w:val="6"/>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2.1采购内容</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项目主要建设内容为：1、浮子水位雨量计+雷达水位雨量（含北斗通信建设）站点建设11套；2、雷达水位雨量（含北斗通信建设）站点建设4套；3、人工水尺+压力水位雨量（含北斗通信建设）站点建设2套；4、压力水位雨量（含北斗通信建设）站点建设2套；5、雷达水位改建1套；6、北斗通讯设备建设15个站点；7、人工水尺+北斗通讯设备站点建设89套；8、人工水尺1站点建设37个；9、类人工水2站点建设10个。</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本项目预算金额1100万元。具体情况如下：</w:t>
      </w: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2.1.1建设点位清单</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一、浮子水位雨量计+雷达水位雨量（含北斗通信建设）站点建设11套，具体情况如下表：</w:t>
      </w:r>
    </w:p>
    <w:tbl>
      <w:tblPr>
        <w:tblStyle w:val="62"/>
        <w:tblW w:w="7704" w:type="dxa"/>
        <w:jc w:val="center"/>
        <w:tblLayout w:type="fixed"/>
        <w:tblCellMar>
          <w:top w:w="0" w:type="dxa"/>
          <w:left w:w="108" w:type="dxa"/>
          <w:bottom w:w="0" w:type="dxa"/>
          <w:right w:w="108" w:type="dxa"/>
        </w:tblCellMar>
      </w:tblPr>
      <w:tblGrid>
        <w:gridCol w:w="644"/>
        <w:gridCol w:w="1029"/>
        <w:gridCol w:w="744"/>
        <w:gridCol w:w="780"/>
        <w:gridCol w:w="834"/>
        <w:gridCol w:w="2723"/>
        <w:gridCol w:w="950"/>
      </w:tblGrid>
      <w:tr>
        <w:tblPrEx>
          <w:tblCellMar>
            <w:top w:w="0" w:type="dxa"/>
            <w:left w:w="108" w:type="dxa"/>
            <w:bottom w:w="0" w:type="dxa"/>
            <w:right w:w="108" w:type="dxa"/>
          </w:tblCellMar>
        </w:tblPrEx>
        <w:trPr>
          <w:trHeight w:val="25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02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4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78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3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272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9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前源溪站</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前源溪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溪口</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里张</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大洋溪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航头村河道</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李家村河道</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w:t>
            </w:r>
          </w:p>
        </w:tc>
        <w:tc>
          <w:tcPr>
            <w:tcW w:w="10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施家</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清渚溪</w:t>
            </w:r>
          </w:p>
        </w:tc>
        <w:tc>
          <w:tcPr>
            <w:tcW w:w="27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w:t>
            </w:r>
          </w:p>
        </w:tc>
        <w:tc>
          <w:tcPr>
            <w:tcW w:w="10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双溪口</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胥溪</w:t>
            </w:r>
          </w:p>
        </w:tc>
        <w:tc>
          <w:tcPr>
            <w:tcW w:w="27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9</w:t>
            </w:r>
          </w:p>
        </w:tc>
        <w:tc>
          <w:tcPr>
            <w:tcW w:w="10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钦堂村河道</w:t>
            </w:r>
          </w:p>
        </w:tc>
        <w:tc>
          <w:tcPr>
            <w:tcW w:w="7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清渚溪</w:t>
            </w:r>
          </w:p>
        </w:tc>
        <w:tc>
          <w:tcPr>
            <w:tcW w:w="272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10</w:t>
            </w:r>
          </w:p>
        </w:tc>
        <w:tc>
          <w:tcPr>
            <w:tcW w:w="102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西华</w:t>
            </w:r>
          </w:p>
        </w:tc>
        <w:tc>
          <w:tcPr>
            <w:tcW w:w="74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童家溪</w:t>
            </w:r>
          </w:p>
        </w:tc>
        <w:tc>
          <w:tcPr>
            <w:tcW w:w="272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630" w:hRule="atLeast"/>
          <w:jc w:val="center"/>
        </w:trPr>
        <w:tc>
          <w:tcPr>
            <w:tcW w:w="64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11</w:t>
            </w:r>
          </w:p>
        </w:tc>
        <w:tc>
          <w:tcPr>
            <w:tcW w:w="10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黄盛</w:t>
            </w:r>
          </w:p>
        </w:tc>
        <w:tc>
          <w:tcPr>
            <w:tcW w:w="7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长宁溪</w:t>
            </w:r>
          </w:p>
        </w:tc>
        <w:tc>
          <w:tcPr>
            <w:tcW w:w="272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浮子水位雨量计1套雷达水位雨量1套（含北斗通信建设）</w:t>
            </w:r>
          </w:p>
        </w:tc>
        <w:tc>
          <w:tcPr>
            <w:tcW w:w="9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21</w:t>
            </w:r>
          </w:p>
        </w:tc>
      </w:tr>
      <w:tr>
        <w:tblPrEx>
          <w:tblCellMar>
            <w:top w:w="0" w:type="dxa"/>
            <w:left w:w="108" w:type="dxa"/>
            <w:bottom w:w="0" w:type="dxa"/>
            <w:right w:w="108" w:type="dxa"/>
          </w:tblCellMar>
        </w:tblPrEx>
        <w:trPr>
          <w:trHeight w:val="510" w:hRule="atLeast"/>
          <w:jc w:val="center"/>
        </w:trPr>
        <w:tc>
          <w:tcPr>
            <w:tcW w:w="6754"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9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231</w:t>
            </w:r>
          </w:p>
        </w:tc>
      </w:tr>
    </w:tbl>
    <w:p>
      <w:pPr>
        <w:jc w:val="center"/>
        <w:rPr>
          <w:rFonts w:hint="eastAsia" w:ascii="仿宋" w:hAnsi="仿宋" w:eastAsia="仿宋" w:cs="仿宋"/>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二、雷达水位雨量（含北斗通信建设）站点建设4套，具体情况如下表：</w:t>
      </w:r>
    </w:p>
    <w:tbl>
      <w:tblPr>
        <w:tblStyle w:val="62"/>
        <w:tblW w:w="7532" w:type="dxa"/>
        <w:jc w:val="center"/>
        <w:tblLayout w:type="fixed"/>
        <w:tblCellMar>
          <w:top w:w="0" w:type="dxa"/>
          <w:left w:w="108" w:type="dxa"/>
          <w:bottom w:w="0" w:type="dxa"/>
          <w:right w:w="108" w:type="dxa"/>
        </w:tblCellMar>
      </w:tblPr>
      <w:tblGrid>
        <w:gridCol w:w="675"/>
        <w:gridCol w:w="1237"/>
        <w:gridCol w:w="792"/>
        <w:gridCol w:w="831"/>
        <w:gridCol w:w="888"/>
        <w:gridCol w:w="2013"/>
        <w:gridCol w:w="1096"/>
      </w:tblGrid>
      <w:tr>
        <w:tblPrEx>
          <w:tblCellMar>
            <w:top w:w="0" w:type="dxa"/>
            <w:left w:w="108" w:type="dxa"/>
            <w:bottom w:w="0" w:type="dxa"/>
            <w:right w:w="108" w:type="dxa"/>
          </w:tblCellMar>
        </w:tblPrEx>
        <w:trPr>
          <w:trHeight w:val="255"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2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8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201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富春江南</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富春江</w:t>
            </w:r>
          </w:p>
        </w:tc>
        <w:tc>
          <w:tcPr>
            <w:tcW w:w="201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雷达水位雨量1套（含北斗通信建设）</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10</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三都大桥</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富春江</w:t>
            </w:r>
          </w:p>
        </w:tc>
        <w:tc>
          <w:tcPr>
            <w:tcW w:w="201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雷达水位雨量1套（含北斗通信建设）</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10</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马目大桥</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201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雷达水位雨量1套（含北斗通信建设）</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10</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nil"/>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237" w:type="dxa"/>
            <w:tcBorders>
              <w:top w:val="nil"/>
              <w:left w:val="nil"/>
              <w:bottom w:val="nil"/>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紫金滩</w:t>
            </w:r>
          </w:p>
        </w:tc>
        <w:tc>
          <w:tcPr>
            <w:tcW w:w="792" w:type="dxa"/>
            <w:tcBorders>
              <w:top w:val="nil"/>
              <w:left w:val="nil"/>
              <w:bottom w:val="nil"/>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nil"/>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nil"/>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2013" w:type="dxa"/>
            <w:tcBorders>
              <w:top w:val="nil"/>
              <w:left w:val="nil"/>
              <w:bottom w:val="nil"/>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雷达水位雨量1套（含北斗通信建设）</w:t>
            </w:r>
          </w:p>
        </w:tc>
        <w:tc>
          <w:tcPr>
            <w:tcW w:w="1096" w:type="dxa"/>
            <w:tcBorders>
              <w:top w:val="nil"/>
              <w:left w:val="nil"/>
              <w:bottom w:val="nil"/>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10</w:t>
            </w:r>
          </w:p>
        </w:tc>
      </w:tr>
      <w:tr>
        <w:tblPrEx>
          <w:tblCellMar>
            <w:top w:w="0" w:type="dxa"/>
            <w:left w:w="108" w:type="dxa"/>
            <w:bottom w:w="0" w:type="dxa"/>
            <w:right w:w="108" w:type="dxa"/>
          </w:tblCellMar>
        </w:tblPrEx>
        <w:trPr>
          <w:trHeight w:val="263" w:hRule="atLeast"/>
          <w:jc w:val="center"/>
        </w:trPr>
        <w:tc>
          <w:tcPr>
            <w:tcW w:w="6436"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40</w:t>
            </w:r>
          </w:p>
        </w:tc>
      </w:tr>
    </w:tbl>
    <w:p>
      <w:pPr>
        <w:rPr>
          <w:rFonts w:hint="eastAsia" w:ascii="仿宋" w:hAnsi="仿宋" w:eastAsia="仿宋" w:cs="仿宋"/>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三、人工水尺+压力水位雨量（含北斗通信建设）站点建设2套，具体情况如下表：</w:t>
      </w:r>
    </w:p>
    <w:tbl>
      <w:tblPr>
        <w:tblStyle w:val="62"/>
        <w:tblW w:w="7695" w:type="dxa"/>
        <w:jc w:val="center"/>
        <w:tblLayout w:type="fixed"/>
        <w:tblCellMar>
          <w:top w:w="0" w:type="dxa"/>
          <w:left w:w="108" w:type="dxa"/>
          <w:bottom w:w="0" w:type="dxa"/>
          <w:right w:w="108" w:type="dxa"/>
        </w:tblCellMar>
      </w:tblPr>
      <w:tblGrid>
        <w:gridCol w:w="661"/>
        <w:gridCol w:w="1062"/>
        <w:gridCol w:w="768"/>
        <w:gridCol w:w="805"/>
        <w:gridCol w:w="861"/>
        <w:gridCol w:w="2476"/>
        <w:gridCol w:w="1062"/>
      </w:tblGrid>
      <w:tr>
        <w:tblPrEx>
          <w:tblCellMar>
            <w:top w:w="0" w:type="dxa"/>
            <w:left w:w="108" w:type="dxa"/>
            <w:bottom w:w="0" w:type="dxa"/>
            <w:right w:w="108" w:type="dxa"/>
          </w:tblCellMar>
        </w:tblPrEx>
        <w:trPr>
          <w:trHeight w:val="765"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06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6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0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6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247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06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510" w:hRule="atLeast"/>
          <w:jc w:val="center"/>
        </w:trPr>
        <w:tc>
          <w:tcPr>
            <w:tcW w:w="66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06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后山水库</w:t>
            </w:r>
          </w:p>
        </w:tc>
        <w:tc>
          <w:tcPr>
            <w:tcW w:w="7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6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乌龙溪</w:t>
            </w:r>
          </w:p>
        </w:tc>
        <w:tc>
          <w:tcPr>
            <w:tcW w:w="247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人工水尺1套压力水位雨量1套（含北斗通信建设）</w:t>
            </w:r>
          </w:p>
        </w:tc>
        <w:tc>
          <w:tcPr>
            <w:tcW w:w="106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9</w:t>
            </w:r>
          </w:p>
        </w:tc>
      </w:tr>
      <w:tr>
        <w:tblPrEx>
          <w:tblCellMar>
            <w:top w:w="0" w:type="dxa"/>
            <w:left w:w="108" w:type="dxa"/>
            <w:bottom w:w="0" w:type="dxa"/>
            <w:right w:w="108" w:type="dxa"/>
          </w:tblCellMar>
        </w:tblPrEx>
        <w:trPr>
          <w:trHeight w:val="510" w:hRule="atLeast"/>
          <w:jc w:val="center"/>
        </w:trPr>
        <w:tc>
          <w:tcPr>
            <w:tcW w:w="66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06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高塘水库</w:t>
            </w:r>
          </w:p>
        </w:tc>
        <w:tc>
          <w:tcPr>
            <w:tcW w:w="7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6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47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人工水尺1套压力水位雨量1套（含北斗通信建设）</w:t>
            </w:r>
          </w:p>
        </w:tc>
        <w:tc>
          <w:tcPr>
            <w:tcW w:w="106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9</w:t>
            </w:r>
          </w:p>
        </w:tc>
      </w:tr>
      <w:tr>
        <w:tblPrEx>
          <w:tblCellMar>
            <w:top w:w="0" w:type="dxa"/>
            <w:left w:w="108" w:type="dxa"/>
            <w:bottom w:w="0" w:type="dxa"/>
            <w:right w:w="108" w:type="dxa"/>
          </w:tblCellMar>
        </w:tblPrEx>
        <w:trPr>
          <w:trHeight w:val="174" w:hRule="atLeast"/>
          <w:jc w:val="center"/>
        </w:trPr>
        <w:tc>
          <w:tcPr>
            <w:tcW w:w="6633"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06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18</w:t>
            </w:r>
          </w:p>
        </w:tc>
      </w:tr>
    </w:tbl>
    <w:p>
      <w:pPr>
        <w:rPr>
          <w:rFonts w:hint="eastAsia" w:ascii="仿宋" w:hAnsi="仿宋" w:eastAsia="仿宋" w:cs="仿宋"/>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四、压力水位雨量（含北斗通信建设）站点建设2套，具体情况如下表：</w:t>
      </w:r>
    </w:p>
    <w:tbl>
      <w:tblPr>
        <w:tblStyle w:val="62"/>
        <w:tblW w:w="7547" w:type="dxa"/>
        <w:jc w:val="center"/>
        <w:tblLayout w:type="fixed"/>
        <w:tblCellMar>
          <w:top w:w="0" w:type="dxa"/>
          <w:left w:w="108" w:type="dxa"/>
          <w:bottom w:w="0" w:type="dxa"/>
          <w:right w:w="108" w:type="dxa"/>
        </w:tblCellMar>
      </w:tblPr>
      <w:tblGrid>
        <w:gridCol w:w="663"/>
        <w:gridCol w:w="1218"/>
        <w:gridCol w:w="780"/>
        <w:gridCol w:w="817"/>
        <w:gridCol w:w="875"/>
        <w:gridCol w:w="1981"/>
        <w:gridCol w:w="1213"/>
      </w:tblGrid>
      <w:tr>
        <w:tblPrEx>
          <w:tblCellMar>
            <w:top w:w="0" w:type="dxa"/>
            <w:left w:w="108" w:type="dxa"/>
            <w:bottom w:w="0" w:type="dxa"/>
            <w:right w:w="108" w:type="dxa"/>
          </w:tblCellMar>
        </w:tblPrEx>
        <w:trPr>
          <w:trHeight w:val="765"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2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8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1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7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198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21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63"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2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杨桥</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大溪</w:t>
            </w:r>
          </w:p>
        </w:tc>
        <w:tc>
          <w:tcPr>
            <w:tcW w:w="198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压力水位雨量1套（含北斗通信建设）</w:t>
            </w:r>
          </w:p>
        </w:tc>
        <w:tc>
          <w:tcPr>
            <w:tcW w:w="121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8</w:t>
            </w:r>
          </w:p>
        </w:tc>
      </w:tr>
      <w:tr>
        <w:tblPrEx>
          <w:tblCellMar>
            <w:top w:w="0" w:type="dxa"/>
            <w:left w:w="108" w:type="dxa"/>
            <w:bottom w:w="0" w:type="dxa"/>
            <w:right w:w="108" w:type="dxa"/>
          </w:tblCellMar>
        </w:tblPrEx>
        <w:trPr>
          <w:trHeight w:val="255" w:hRule="atLeast"/>
          <w:jc w:val="center"/>
        </w:trPr>
        <w:tc>
          <w:tcPr>
            <w:tcW w:w="663"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2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工农团结</w:t>
            </w:r>
          </w:p>
        </w:tc>
        <w:tc>
          <w:tcPr>
            <w:tcW w:w="78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1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石马溪</w:t>
            </w:r>
          </w:p>
        </w:tc>
        <w:tc>
          <w:tcPr>
            <w:tcW w:w="198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压力水位雨量1套（含北斗通信建设）</w:t>
            </w:r>
          </w:p>
        </w:tc>
        <w:tc>
          <w:tcPr>
            <w:tcW w:w="121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8</w:t>
            </w:r>
          </w:p>
        </w:tc>
      </w:tr>
      <w:tr>
        <w:tblPrEx>
          <w:tblCellMar>
            <w:top w:w="0" w:type="dxa"/>
            <w:left w:w="108" w:type="dxa"/>
            <w:bottom w:w="0" w:type="dxa"/>
            <w:right w:w="108" w:type="dxa"/>
          </w:tblCellMar>
        </w:tblPrEx>
        <w:trPr>
          <w:trHeight w:val="255" w:hRule="atLeast"/>
          <w:jc w:val="center"/>
        </w:trPr>
        <w:tc>
          <w:tcPr>
            <w:tcW w:w="6334"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21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16</w:t>
            </w:r>
          </w:p>
        </w:tc>
      </w:tr>
    </w:tbl>
    <w:p>
      <w:pPr>
        <w:spacing w:line="360" w:lineRule="auto"/>
        <w:ind w:firstLine="480" w:firstLineChars="200"/>
        <w:rPr>
          <w:rFonts w:hint="eastAsia" w:ascii="仿宋" w:hAnsi="仿宋" w:eastAsia="仿宋" w:cs="仿宋"/>
          <w:color w:val="000000"/>
          <w:sz w:val="24"/>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五、雷达水位改建1套，具体情况如下表：</w:t>
      </w:r>
    </w:p>
    <w:tbl>
      <w:tblPr>
        <w:tblStyle w:val="62"/>
        <w:tblW w:w="7428" w:type="dxa"/>
        <w:jc w:val="center"/>
        <w:tblLayout w:type="fixed"/>
        <w:tblCellMar>
          <w:top w:w="0" w:type="dxa"/>
          <w:left w:w="108" w:type="dxa"/>
          <w:bottom w:w="0" w:type="dxa"/>
          <w:right w:w="108" w:type="dxa"/>
        </w:tblCellMar>
      </w:tblPr>
      <w:tblGrid>
        <w:gridCol w:w="653"/>
        <w:gridCol w:w="1199"/>
        <w:gridCol w:w="768"/>
        <w:gridCol w:w="805"/>
        <w:gridCol w:w="861"/>
        <w:gridCol w:w="1948"/>
        <w:gridCol w:w="1194"/>
      </w:tblGrid>
      <w:tr>
        <w:tblPrEx>
          <w:tblCellMar>
            <w:top w:w="0" w:type="dxa"/>
            <w:left w:w="108" w:type="dxa"/>
            <w:bottom w:w="0" w:type="dxa"/>
            <w:right w:w="108" w:type="dxa"/>
          </w:tblCellMar>
        </w:tblPrEx>
        <w:trPr>
          <w:trHeight w:val="765"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19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6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0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6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194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19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53"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20</w:t>
            </w:r>
          </w:p>
        </w:tc>
        <w:tc>
          <w:tcPr>
            <w:tcW w:w="119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林茶水库</w:t>
            </w:r>
          </w:p>
        </w:tc>
        <w:tc>
          <w:tcPr>
            <w:tcW w:w="7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6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w:t>
            </w:r>
          </w:p>
        </w:tc>
        <w:tc>
          <w:tcPr>
            <w:tcW w:w="194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xml:space="preserve">    雷达水位改建</w:t>
            </w:r>
          </w:p>
        </w:tc>
        <w:tc>
          <w:tcPr>
            <w:tcW w:w="119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234"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19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5</w:t>
            </w:r>
          </w:p>
        </w:tc>
      </w:tr>
    </w:tbl>
    <w:p>
      <w:pPr>
        <w:spacing w:line="360" w:lineRule="auto"/>
        <w:ind w:firstLine="480" w:firstLineChars="200"/>
        <w:rPr>
          <w:rFonts w:hint="eastAsia" w:ascii="仿宋" w:hAnsi="仿宋" w:eastAsia="仿宋" w:cs="仿宋"/>
          <w:color w:val="000000"/>
          <w:sz w:val="24"/>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六、北斗通讯设备建设15个站点，具体情况如下表：</w:t>
      </w:r>
    </w:p>
    <w:tbl>
      <w:tblPr>
        <w:tblStyle w:val="62"/>
        <w:tblW w:w="7394" w:type="dxa"/>
        <w:jc w:val="center"/>
        <w:tblLayout w:type="fixed"/>
        <w:tblCellMar>
          <w:top w:w="0" w:type="dxa"/>
          <w:left w:w="108" w:type="dxa"/>
          <w:bottom w:w="0" w:type="dxa"/>
          <w:right w:w="108" w:type="dxa"/>
        </w:tblCellMar>
      </w:tblPr>
      <w:tblGrid>
        <w:gridCol w:w="675"/>
        <w:gridCol w:w="1237"/>
        <w:gridCol w:w="792"/>
        <w:gridCol w:w="831"/>
        <w:gridCol w:w="888"/>
        <w:gridCol w:w="1875"/>
        <w:gridCol w:w="1096"/>
      </w:tblGrid>
      <w:tr>
        <w:tblPrEx>
          <w:tblCellMar>
            <w:top w:w="0" w:type="dxa"/>
            <w:left w:w="108" w:type="dxa"/>
            <w:bottom w:w="0" w:type="dxa"/>
            <w:right w:w="108" w:type="dxa"/>
          </w:tblCellMar>
        </w:tblPrEx>
        <w:trPr>
          <w:trHeight w:val="9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2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3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8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187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陈店</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里叶溪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石柱源</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儒源溪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甘溪河道</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骆村</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田畈河道</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童家溪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郭村</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莲花溪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工农</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仇村</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胥溪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9</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梓州</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姚村溪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10</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翠坑口</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翠坑溪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11</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河南里</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南浦溪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12</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洪村河道</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大洲溪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13</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金洲</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大洲溪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14</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团结河道</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75"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15</w:t>
            </w:r>
          </w:p>
        </w:tc>
        <w:tc>
          <w:tcPr>
            <w:tcW w:w="12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桑园</w:t>
            </w:r>
          </w:p>
        </w:tc>
        <w:tc>
          <w:tcPr>
            <w:tcW w:w="79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莲花溪</w:t>
            </w:r>
          </w:p>
        </w:tc>
        <w:tc>
          <w:tcPr>
            <w:tcW w:w="18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北斗通讯设备</w:t>
            </w:r>
            <w:r>
              <w:rPr>
                <w:rFonts w:hint="eastAsia" w:ascii="仿宋" w:hAnsi="仿宋" w:eastAsia="仿宋" w:cs="仿宋"/>
                <w:color w:val="000000"/>
                <w:kern w:val="0"/>
                <w:sz w:val="20"/>
                <w:szCs w:val="20"/>
                <w:highlight w:val="none"/>
              </w:rPr>
              <w:t>1套</w:t>
            </w:r>
          </w:p>
        </w:tc>
        <w:tc>
          <w:tcPr>
            <w:tcW w:w="10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5</w:t>
            </w:r>
          </w:p>
        </w:tc>
      </w:tr>
      <w:tr>
        <w:tblPrEx>
          <w:tblCellMar>
            <w:top w:w="0" w:type="dxa"/>
            <w:left w:w="108" w:type="dxa"/>
            <w:bottom w:w="0" w:type="dxa"/>
            <w:right w:w="108" w:type="dxa"/>
          </w:tblCellMar>
        </w:tblPrEx>
        <w:trPr>
          <w:trHeight w:val="255" w:hRule="atLeast"/>
          <w:jc w:val="center"/>
        </w:trPr>
        <w:tc>
          <w:tcPr>
            <w:tcW w:w="6298"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0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75</w:t>
            </w:r>
          </w:p>
        </w:tc>
      </w:tr>
    </w:tbl>
    <w:p>
      <w:pPr>
        <w:spacing w:line="360" w:lineRule="auto"/>
        <w:ind w:firstLine="480" w:firstLineChars="200"/>
        <w:rPr>
          <w:rFonts w:hint="eastAsia" w:ascii="仿宋" w:hAnsi="仿宋" w:eastAsia="仿宋" w:cs="仿宋"/>
          <w:color w:val="000000"/>
          <w:sz w:val="24"/>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七、人工水尺+北斗通讯设备站点建设89套，具体情况如下表：</w:t>
      </w:r>
    </w:p>
    <w:tbl>
      <w:tblPr>
        <w:tblStyle w:val="62"/>
        <w:tblW w:w="7914" w:type="dxa"/>
        <w:jc w:val="center"/>
        <w:tblLayout w:type="fixed"/>
        <w:tblCellMar>
          <w:top w:w="0" w:type="dxa"/>
          <w:left w:w="108" w:type="dxa"/>
          <w:bottom w:w="0" w:type="dxa"/>
          <w:right w:w="108" w:type="dxa"/>
        </w:tblCellMar>
      </w:tblPr>
      <w:tblGrid>
        <w:gridCol w:w="630"/>
        <w:gridCol w:w="1021"/>
        <w:gridCol w:w="872"/>
        <w:gridCol w:w="775"/>
        <w:gridCol w:w="829"/>
        <w:gridCol w:w="2766"/>
        <w:gridCol w:w="1021"/>
      </w:tblGrid>
      <w:tr>
        <w:tblPrEx>
          <w:tblCellMar>
            <w:top w:w="0" w:type="dxa"/>
            <w:left w:w="108" w:type="dxa"/>
            <w:bottom w:w="0" w:type="dxa"/>
            <w:right w:w="108" w:type="dxa"/>
          </w:tblCellMar>
        </w:tblPrEx>
        <w:trPr>
          <w:trHeight w:val="76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87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77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82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276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510"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跃进水库（钦堂）</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石鼓水库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塘蛟水库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长宁溪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七老坞水库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长宁溪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里塘垅水库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长宁溪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毛竹塘水库</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童家溪</w:t>
            </w:r>
          </w:p>
        </w:tc>
        <w:tc>
          <w:tcPr>
            <w:tcW w:w="276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乌石水库</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南浦溪</w:t>
            </w:r>
          </w:p>
        </w:tc>
        <w:tc>
          <w:tcPr>
            <w:tcW w:w="276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9</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西湖塘水库</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山峰溪</w:t>
            </w:r>
          </w:p>
        </w:tc>
        <w:tc>
          <w:tcPr>
            <w:tcW w:w="276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10</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岩塘水库</w:t>
            </w:r>
          </w:p>
        </w:tc>
        <w:tc>
          <w:tcPr>
            <w:tcW w:w="87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山峰溪</w:t>
            </w:r>
          </w:p>
        </w:tc>
        <w:tc>
          <w:tcPr>
            <w:tcW w:w="276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上坞水库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施家溪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郑婆垅水库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南浦溪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旧岭脚水库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马目溪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北坞水库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大洲溪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考坑坞水库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童家溪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红卫水库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南浦溪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510"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南山水库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太湖流域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中苕溪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窑垅水库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南峰溪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田子坞水库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洋尾溪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岔坞水库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清渚港</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山塘坞水库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大垅水库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胥溪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荷花塘水库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胥溪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大有塘水库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清渚港</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荷叶塘水库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清渚港</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雷鼓山水库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南浦溪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510"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大慈岩镇红旗水库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赤溪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大慈岩水库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赤溪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赤岭水库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南峰溪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芥菜坞水库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洋尾溪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大石坞水库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横山坞水库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洋尾溪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工农水库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新安江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姜坞水库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姚村溪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35</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海塘水库</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36</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石柱源水库</w:t>
            </w:r>
          </w:p>
        </w:tc>
        <w:tc>
          <w:tcPr>
            <w:tcW w:w="87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甘溪</w:t>
            </w:r>
          </w:p>
        </w:tc>
        <w:tc>
          <w:tcPr>
            <w:tcW w:w="276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37</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香亭湖水库</w:t>
            </w:r>
          </w:p>
        </w:tc>
        <w:tc>
          <w:tcPr>
            <w:tcW w:w="87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赤溪</w:t>
            </w:r>
          </w:p>
        </w:tc>
        <w:tc>
          <w:tcPr>
            <w:tcW w:w="276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前进水库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长毛坞水库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南山溪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后垅水库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兰江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丁家坞水库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兰江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外樟桥水库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高垣溪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大清塘水库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中畈水库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高垣溪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下坞底水库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三河溪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俞坞水库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三河溪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小桐坞水库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杨梅山水库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兰江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中塘水库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湖岑塘水库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甘溪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郑塘水库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后垅塘水库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黄金坞水库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壶源江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510"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（大同）红旗水库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黄子坑水库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小江溪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大窝水库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雉鸡岗水库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甘溪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大塘坞水库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白岭水库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小溪源水库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吴山坑水库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石子塘水库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三岔源水库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梅花岭水库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七桠塘水库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年山塘水库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盘岗山水库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大同溪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林塘水库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清渚港</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510"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桥岭村红旗水库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甘溪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木兰水库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清渚港</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清塘源水库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神塘水库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山峰溪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泉塘水库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模环溪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瓦塘水库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模环溪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平塘水库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乌龙溪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杨坞水库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乌龙溪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罗源水库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小江溪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石界塘水库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寿昌江</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80</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富源坑水库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小江溪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81</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炸岭坞水库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乌龙溪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82</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余洪水库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山峰溪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83</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月塘水库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童家溪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84</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徐洪水库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长宁溪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85</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戴家水库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莲花溪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86</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朱塘坑水库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模环溪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87</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竹笼源水库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88</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小源口水库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3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89</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杨家口水库</w:t>
            </w:r>
          </w:p>
        </w:tc>
        <w:tc>
          <w:tcPr>
            <w:tcW w:w="87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77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82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劳村溪</w:t>
            </w:r>
          </w:p>
        </w:tc>
        <w:tc>
          <w:tcPr>
            <w:tcW w:w="276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人工水尺1套北斗通讯设备</w:t>
            </w:r>
            <w:r>
              <w:rPr>
                <w:rFonts w:hint="eastAsia" w:ascii="仿宋" w:hAnsi="仿宋" w:eastAsia="仿宋" w:cs="仿宋"/>
                <w:color w:val="000000"/>
                <w:kern w:val="0"/>
                <w:sz w:val="20"/>
                <w:szCs w:val="20"/>
                <w:highlight w:val="none"/>
              </w:rPr>
              <w:t>1套</w:t>
            </w:r>
          </w:p>
        </w:tc>
        <w:tc>
          <w:tcPr>
            <w:tcW w:w="102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7</w:t>
            </w:r>
          </w:p>
        </w:tc>
      </w:tr>
      <w:tr>
        <w:tblPrEx>
          <w:tblCellMar>
            <w:top w:w="0" w:type="dxa"/>
            <w:left w:w="108" w:type="dxa"/>
            <w:bottom w:w="0" w:type="dxa"/>
            <w:right w:w="108" w:type="dxa"/>
          </w:tblCellMar>
        </w:tblPrEx>
        <w:trPr>
          <w:trHeight w:val="255" w:hRule="atLeast"/>
          <w:jc w:val="center"/>
        </w:trPr>
        <w:tc>
          <w:tcPr>
            <w:tcW w:w="6893"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02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623</w:t>
            </w:r>
          </w:p>
        </w:tc>
      </w:tr>
    </w:tbl>
    <w:p>
      <w:pPr>
        <w:rPr>
          <w:rFonts w:hint="eastAsia" w:ascii="仿宋" w:hAnsi="仿宋" w:eastAsia="仿宋" w:cs="仿宋"/>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八、人工水尺1站点建设37个，具体情况如下表：</w:t>
      </w:r>
    </w:p>
    <w:tbl>
      <w:tblPr>
        <w:tblStyle w:val="62"/>
        <w:tblW w:w="7517" w:type="dxa"/>
        <w:jc w:val="center"/>
        <w:tblLayout w:type="fixed"/>
        <w:tblCellMar>
          <w:top w:w="0" w:type="dxa"/>
          <w:left w:w="108" w:type="dxa"/>
          <w:bottom w:w="0" w:type="dxa"/>
          <w:right w:w="108" w:type="dxa"/>
        </w:tblCellMar>
      </w:tblPr>
      <w:tblGrid>
        <w:gridCol w:w="686"/>
        <w:gridCol w:w="1257"/>
        <w:gridCol w:w="805"/>
        <w:gridCol w:w="844"/>
        <w:gridCol w:w="904"/>
        <w:gridCol w:w="1906"/>
        <w:gridCol w:w="1115"/>
      </w:tblGrid>
      <w:tr>
        <w:tblPrEx>
          <w:tblCellMar>
            <w:top w:w="0" w:type="dxa"/>
            <w:left w:w="108" w:type="dxa"/>
            <w:bottom w:w="0" w:type="dxa"/>
            <w:right w:w="108" w:type="dxa"/>
          </w:tblCellMar>
        </w:tblPrEx>
        <w:trPr>
          <w:trHeight w:val="765"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25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80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4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190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11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解放水库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九里坑水库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狮山水库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月岭水库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三楂坞水库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石郭源水库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石堂水库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跃进水库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9</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金宅水库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10</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西湾坑水库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11</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公曹水库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12</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红塘水库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13</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武塘水库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14</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蟠型塘水库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15</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胜利水库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16</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镇头水库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17</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绿荷塘水库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18</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杨家水库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19</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黄山水库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20</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刘坞水库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21</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乾里水库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510"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22</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三河村直坞水库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23</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反修水库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510"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24</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工农团结水库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25</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陆高坞水库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26</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青公塘水库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27</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施家垅水库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28</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苏塘水库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29</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下坞垅水库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30</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直坞水库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31</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胡程坞水库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32</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青藤湾水库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33</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血岭坞水库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34</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樟岩水库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35</w:t>
            </w:r>
          </w:p>
        </w:tc>
        <w:tc>
          <w:tcPr>
            <w:tcW w:w="125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庄坞口水库</w:t>
            </w:r>
          </w:p>
        </w:tc>
        <w:tc>
          <w:tcPr>
            <w:tcW w:w="80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36</w:t>
            </w:r>
          </w:p>
        </w:tc>
        <w:tc>
          <w:tcPr>
            <w:tcW w:w="12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东招岭水库</w:t>
            </w:r>
          </w:p>
        </w:tc>
        <w:tc>
          <w:tcPr>
            <w:tcW w:w="80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37</w:t>
            </w:r>
          </w:p>
        </w:tc>
        <w:tc>
          <w:tcPr>
            <w:tcW w:w="125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郭首源水库</w:t>
            </w:r>
          </w:p>
        </w:tc>
        <w:tc>
          <w:tcPr>
            <w:tcW w:w="80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2</w:t>
            </w:r>
          </w:p>
        </w:tc>
      </w:tr>
      <w:tr>
        <w:tblPrEx>
          <w:tblCellMar>
            <w:top w:w="0" w:type="dxa"/>
            <w:left w:w="108" w:type="dxa"/>
            <w:bottom w:w="0" w:type="dxa"/>
            <w:right w:w="108" w:type="dxa"/>
          </w:tblCellMar>
        </w:tblPrEx>
        <w:trPr>
          <w:trHeight w:val="255" w:hRule="atLeast"/>
          <w:jc w:val="center"/>
        </w:trPr>
        <w:tc>
          <w:tcPr>
            <w:tcW w:w="6402"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合计</w:t>
            </w:r>
          </w:p>
        </w:tc>
        <w:tc>
          <w:tcPr>
            <w:tcW w:w="11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kern w:val="0"/>
                <w:sz w:val="20"/>
                <w:szCs w:val="20"/>
                <w:highlight w:val="none"/>
              </w:rPr>
            </w:pPr>
            <w:r>
              <w:rPr>
                <w:rFonts w:hint="eastAsia" w:ascii="仿宋" w:hAnsi="仿宋" w:eastAsia="仿宋" w:cs="仿宋"/>
                <w:b/>
                <w:bCs/>
                <w:kern w:val="0"/>
                <w:sz w:val="20"/>
                <w:szCs w:val="20"/>
                <w:highlight w:val="none"/>
              </w:rPr>
              <w:t>74</w:t>
            </w:r>
          </w:p>
        </w:tc>
      </w:tr>
    </w:tbl>
    <w:p>
      <w:pPr>
        <w:spacing w:line="360" w:lineRule="auto"/>
        <w:ind w:firstLine="480" w:firstLineChars="200"/>
        <w:rPr>
          <w:rFonts w:hint="eastAsia" w:ascii="仿宋" w:hAnsi="仿宋" w:eastAsia="仿宋" w:cs="仿宋"/>
          <w:color w:val="000000"/>
          <w:sz w:val="24"/>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九、类人工水2站点建设10个，具体情况如下表：</w:t>
      </w:r>
    </w:p>
    <w:tbl>
      <w:tblPr>
        <w:tblStyle w:val="62"/>
        <w:tblW w:w="7518" w:type="dxa"/>
        <w:jc w:val="center"/>
        <w:tblLayout w:type="fixed"/>
        <w:tblCellMar>
          <w:top w:w="0" w:type="dxa"/>
          <w:left w:w="108" w:type="dxa"/>
          <w:bottom w:w="0" w:type="dxa"/>
          <w:right w:w="108" w:type="dxa"/>
        </w:tblCellMar>
      </w:tblPr>
      <w:tblGrid>
        <w:gridCol w:w="686"/>
        <w:gridCol w:w="1258"/>
        <w:gridCol w:w="806"/>
        <w:gridCol w:w="845"/>
        <w:gridCol w:w="904"/>
        <w:gridCol w:w="1904"/>
        <w:gridCol w:w="1115"/>
      </w:tblGrid>
      <w:tr>
        <w:tblPrEx>
          <w:tblCellMar>
            <w:top w:w="0" w:type="dxa"/>
            <w:left w:w="108" w:type="dxa"/>
            <w:bottom w:w="0" w:type="dxa"/>
            <w:right w:w="108" w:type="dxa"/>
          </w:tblCellMar>
        </w:tblPrEx>
        <w:trPr>
          <w:trHeight w:val="765"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序号</w:t>
            </w:r>
          </w:p>
        </w:tc>
        <w:tc>
          <w:tcPr>
            <w:tcW w:w="125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站点名称</w:t>
            </w:r>
          </w:p>
        </w:tc>
        <w:tc>
          <w:tcPr>
            <w:tcW w:w="80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属地</w:t>
            </w:r>
          </w:p>
        </w:tc>
        <w:tc>
          <w:tcPr>
            <w:tcW w:w="84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水系</w:t>
            </w:r>
          </w:p>
        </w:tc>
        <w:tc>
          <w:tcPr>
            <w:tcW w:w="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河流</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建设内容</w:t>
            </w:r>
          </w:p>
        </w:tc>
        <w:tc>
          <w:tcPr>
            <w:tcW w:w="111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预算金额（万元）</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丰产水库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2</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洞山水库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3</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朱岭水库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4</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大坞山水库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5</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新塘水库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6</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清水塘水库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7</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里诸水库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8</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林茶水库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9</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白岭坑水库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10</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牙坑水库</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建德市</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钱塘江</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人工水尺一套</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r>
        <w:tblPrEx>
          <w:tblCellMar>
            <w:top w:w="0" w:type="dxa"/>
            <w:left w:w="108" w:type="dxa"/>
            <w:bottom w:w="0" w:type="dxa"/>
            <w:right w:w="108" w:type="dxa"/>
          </w:tblCellMar>
        </w:tblPrEx>
        <w:trPr>
          <w:trHeight w:val="255" w:hRule="atLeast"/>
          <w:jc w:val="center"/>
        </w:trPr>
        <w:tc>
          <w:tcPr>
            <w:tcW w:w="68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11</w:t>
            </w:r>
          </w:p>
        </w:tc>
        <w:tc>
          <w:tcPr>
            <w:tcW w:w="12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合计</w:t>
            </w:r>
          </w:p>
        </w:tc>
        <w:tc>
          <w:tcPr>
            <w:tcW w:w="80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　</w:t>
            </w:r>
          </w:p>
        </w:tc>
        <w:tc>
          <w:tcPr>
            <w:tcW w:w="8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　</w:t>
            </w:r>
          </w:p>
        </w:tc>
        <w:tc>
          <w:tcPr>
            <w:tcW w:w="111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kern w:val="0"/>
                <w:sz w:val="20"/>
                <w:szCs w:val="20"/>
                <w:highlight w:val="none"/>
              </w:rPr>
            </w:pPr>
            <w:r>
              <w:rPr>
                <w:rFonts w:hint="eastAsia" w:ascii="仿宋" w:hAnsi="仿宋" w:eastAsia="仿宋" w:cs="仿宋"/>
                <w:kern w:val="0"/>
                <w:sz w:val="20"/>
                <w:szCs w:val="20"/>
                <w:highlight w:val="none"/>
              </w:rPr>
              <w:t>18</w:t>
            </w:r>
          </w:p>
        </w:tc>
      </w:tr>
    </w:tbl>
    <w:p>
      <w:pPr>
        <w:rPr>
          <w:rFonts w:hint="eastAsia" w:ascii="仿宋" w:hAnsi="仿宋" w:eastAsia="仿宋" w:cs="仿宋"/>
          <w:highlight w:val="none"/>
        </w:rPr>
      </w:pP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2.1.2设备采购清单</w:t>
      </w:r>
    </w:p>
    <w:p>
      <w:pPr>
        <w:rPr>
          <w:rFonts w:hint="eastAsia" w:ascii="仿宋" w:hAnsi="仿宋" w:eastAsia="仿宋" w:cs="仿宋"/>
          <w:highlight w:val="none"/>
        </w:rPr>
      </w:pPr>
      <w:r>
        <w:rPr>
          <w:rFonts w:hint="eastAsia" w:ascii="仿宋" w:hAnsi="仿宋" w:eastAsia="仿宋" w:cs="仿宋"/>
          <w:color w:val="000000"/>
          <w:sz w:val="24"/>
          <w:highlight w:val="none"/>
        </w:rPr>
        <w:t>1、浮子水位雨量计+雷达水位雨量（含北斗通信建设）站点建设11套；</w:t>
      </w:r>
      <w:r>
        <w:rPr>
          <w:rFonts w:hint="eastAsia" w:ascii="仿宋" w:hAnsi="仿宋" w:eastAsia="仿宋" w:cs="仿宋"/>
          <w:highlight w:val="none"/>
        </w:rPr>
        <w:t xml:space="preserve"> </w:t>
      </w:r>
    </w:p>
    <w:tbl>
      <w:tblPr>
        <w:tblStyle w:val="62"/>
        <w:tblW w:w="8495" w:type="dxa"/>
        <w:jc w:val="center"/>
        <w:tblLayout w:type="fixed"/>
        <w:tblCellMar>
          <w:top w:w="0" w:type="dxa"/>
          <w:left w:w="108" w:type="dxa"/>
          <w:bottom w:w="0" w:type="dxa"/>
          <w:right w:w="108" w:type="dxa"/>
        </w:tblCellMar>
      </w:tblPr>
      <w:tblGrid>
        <w:gridCol w:w="626"/>
        <w:gridCol w:w="1284"/>
        <w:gridCol w:w="2663"/>
        <w:gridCol w:w="537"/>
        <w:gridCol w:w="384"/>
        <w:gridCol w:w="1500"/>
        <w:gridCol w:w="1501"/>
      </w:tblGrid>
      <w:tr>
        <w:tblPrEx>
          <w:tblCellMar>
            <w:top w:w="0" w:type="dxa"/>
            <w:left w:w="108" w:type="dxa"/>
            <w:bottom w:w="0" w:type="dxa"/>
            <w:right w:w="108" w:type="dxa"/>
          </w:tblCellMar>
        </w:tblPrEx>
        <w:trPr>
          <w:trHeight w:val="300" w:hRule="atLeast"/>
          <w:jc w:val="center"/>
        </w:trPr>
        <w:tc>
          <w:tcPr>
            <w:tcW w:w="4573"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53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384"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4573"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浮子水位雨量计+雷达水位雨量（含北斗通信建设）站点建设</w:t>
            </w:r>
          </w:p>
        </w:tc>
        <w:tc>
          <w:tcPr>
            <w:tcW w:w="5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11</w:t>
            </w:r>
          </w:p>
        </w:tc>
        <w:tc>
          <w:tcPr>
            <w:tcW w:w="384"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21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231</w:t>
            </w:r>
          </w:p>
        </w:tc>
      </w:tr>
      <w:tr>
        <w:tblPrEx>
          <w:tblCellMar>
            <w:top w:w="0" w:type="dxa"/>
            <w:left w:w="108" w:type="dxa"/>
            <w:bottom w:w="0" w:type="dxa"/>
            <w:right w:w="108" w:type="dxa"/>
          </w:tblCellMar>
        </w:tblPrEx>
        <w:trPr>
          <w:trHeight w:val="280" w:hRule="atLeast"/>
          <w:jc w:val="center"/>
        </w:trPr>
        <w:tc>
          <w:tcPr>
            <w:tcW w:w="8495"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6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128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66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5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38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50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2.8</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2.6</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5.2</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雷达水位传感器</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详见2.2.3雷达水位传感器</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浮子式水位计</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详见2.2.4浮子式水位计</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2.5</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2.5</w:t>
            </w:r>
          </w:p>
        </w:tc>
      </w:tr>
      <w:tr>
        <w:tblPrEx>
          <w:tblCellMar>
            <w:top w:w="0" w:type="dxa"/>
            <w:left w:w="108" w:type="dxa"/>
            <w:bottom w:w="0" w:type="dxa"/>
            <w:right w:w="108" w:type="dxa"/>
          </w:tblCellMar>
        </w:tblPrEx>
        <w:trPr>
          <w:trHeight w:val="278"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雨量计</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详见2.2.6翻斗式雨量计</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r>
      <w:tr>
        <w:tblPrEx>
          <w:tblCellMar>
            <w:top w:w="0" w:type="dxa"/>
            <w:left w:w="108" w:type="dxa"/>
            <w:bottom w:w="0" w:type="dxa"/>
            <w:right w:w="108" w:type="dxa"/>
          </w:tblCellMar>
        </w:tblPrEx>
        <w:trPr>
          <w:trHeight w:val="525" w:hRule="atLeast"/>
          <w:jc w:val="center"/>
        </w:trPr>
        <w:tc>
          <w:tcPr>
            <w:tcW w:w="6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66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5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3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0.2</w:t>
            </w:r>
          </w:p>
        </w:tc>
        <w:tc>
          <w:tcPr>
            <w:tcW w:w="15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0.4</w:t>
            </w:r>
          </w:p>
        </w:tc>
      </w:tr>
      <w:tr>
        <w:tblPrEx>
          <w:tblCellMar>
            <w:top w:w="0" w:type="dxa"/>
            <w:left w:w="108" w:type="dxa"/>
            <w:bottom w:w="0" w:type="dxa"/>
            <w:right w:w="108" w:type="dxa"/>
          </w:tblCellMar>
        </w:tblPrEx>
        <w:trPr>
          <w:trHeight w:val="1050" w:hRule="atLeast"/>
          <w:jc w:val="center"/>
        </w:trPr>
        <w:tc>
          <w:tcPr>
            <w:tcW w:w="6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12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设备安装套件</w:t>
            </w:r>
          </w:p>
        </w:tc>
        <w:tc>
          <w:tcPr>
            <w:tcW w:w="266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包含雷达杆件、浮子设备杆件、设备箱、防雷模块、充放电控制器、空气开关等</w:t>
            </w:r>
          </w:p>
        </w:tc>
        <w:tc>
          <w:tcPr>
            <w:tcW w:w="5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2.8</w:t>
            </w:r>
          </w:p>
        </w:tc>
        <w:tc>
          <w:tcPr>
            <w:tcW w:w="15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2.8</w:t>
            </w:r>
          </w:p>
        </w:tc>
      </w:tr>
      <w:tr>
        <w:tblPrEx>
          <w:tblCellMar>
            <w:top w:w="0" w:type="dxa"/>
            <w:left w:w="108" w:type="dxa"/>
            <w:bottom w:w="0" w:type="dxa"/>
            <w:right w:w="108" w:type="dxa"/>
          </w:tblCellMar>
        </w:tblPrEx>
        <w:trPr>
          <w:trHeight w:val="278" w:hRule="atLeast"/>
          <w:jc w:val="center"/>
        </w:trPr>
        <w:tc>
          <w:tcPr>
            <w:tcW w:w="62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8</w:t>
            </w:r>
          </w:p>
        </w:tc>
        <w:tc>
          <w:tcPr>
            <w:tcW w:w="128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66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5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0.3</w:t>
            </w:r>
          </w:p>
        </w:tc>
        <w:tc>
          <w:tcPr>
            <w:tcW w:w="150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0.3</w:t>
            </w:r>
          </w:p>
        </w:tc>
      </w:tr>
      <w:tr>
        <w:tblPrEx>
          <w:tblCellMar>
            <w:top w:w="0" w:type="dxa"/>
            <w:left w:w="108" w:type="dxa"/>
            <w:bottom w:w="0" w:type="dxa"/>
            <w:right w:w="108" w:type="dxa"/>
          </w:tblCellMar>
        </w:tblPrEx>
        <w:trPr>
          <w:trHeight w:val="788"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9</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水尺零高标牌制作、安装，不锈钢材质，尺寸300mm*400mm，厚度≥2mm</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r>
      <w:tr>
        <w:tblPrEx>
          <w:tblCellMar>
            <w:top w:w="0" w:type="dxa"/>
            <w:left w:w="108" w:type="dxa"/>
            <w:bottom w:w="0" w:type="dxa"/>
            <w:right w:w="108" w:type="dxa"/>
          </w:tblCellMar>
        </w:tblPrEx>
        <w:trPr>
          <w:trHeight w:val="1838"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10</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人工水尺</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材质:SUS304或大理石贴面，不锈钢1米水尺颜色:白底黑字+黄底黑字（双面）或大理石贴面：黑底+刻字，尺寸:1000mm×80mm×1mm不锈钢材质，需满足视频监控能人工清楚识别水尺数值</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11</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靠桩</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直立式，长度≥1100mm，选用不锈钢材质或水泥墩；尺寸不小于:1100mm×100mm×100mm</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0.8</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0.8</w:t>
            </w:r>
          </w:p>
        </w:tc>
      </w:tr>
      <w:tr>
        <w:tblPrEx>
          <w:tblCellMar>
            <w:top w:w="0" w:type="dxa"/>
            <w:left w:w="108" w:type="dxa"/>
            <w:bottom w:w="0" w:type="dxa"/>
            <w:right w:w="108" w:type="dxa"/>
          </w:tblCellMar>
        </w:tblPrEx>
        <w:trPr>
          <w:trHeight w:val="788"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12</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水尺顶高程标识牌</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每支水尺顶增加水尺顶高程标识，使用不锈钢材质，方便读取</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r>
      <w:tr>
        <w:tblPrEx>
          <w:tblCellMar>
            <w:top w:w="0" w:type="dxa"/>
            <w:left w:w="108" w:type="dxa"/>
            <w:bottom w:w="0" w:type="dxa"/>
            <w:right w:w="108" w:type="dxa"/>
          </w:tblCellMar>
        </w:tblPrEx>
        <w:trPr>
          <w:trHeight w:val="278"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13</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525" w:hRule="atLeast"/>
          <w:jc w:val="center"/>
        </w:trPr>
        <w:tc>
          <w:tcPr>
            <w:tcW w:w="626"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c>
          <w:tcPr>
            <w:tcW w:w="12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66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含北斗通信费及移动通信费二年</w:t>
            </w:r>
          </w:p>
        </w:tc>
        <w:tc>
          <w:tcPr>
            <w:tcW w:w="5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38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50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r>
      <w:tr>
        <w:tblPrEx>
          <w:tblCellMar>
            <w:top w:w="0" w:type="dxa"/>
            <w:left w:w="108" w:type="dxa"/>
            <w:bottom w:w="0" w:type="dxa"/>
            <w:right w:w="108" w:type="dxa"/>
          </w:tblCellMar>
        </w:tblPrEx>
        <w:trPr>
          <w:trHeight w:val="278" w:hRule="atLeast"/>
          <w:jc w:val="center"/>
        </w:trPr>
        <w:tc>
          <w:tcPr>
            <w:tcW w:w="6994"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单站点合计</w:t>
            </w:r>
          </w:p>
        </w:tc>
        <w:tc>
          <w:tcPr>
            <w:tcW w:w="150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21</w:t>
            </w:r>
          </w:p>
        </w:tc>
      </w:tr>
    </w:tbl>
    <w:p>
      <w:pPr>
        <w:rPr>
          <w:rFonts w:hint="eastAsia" w:ascii="仿宋" w:hAnsi="仿宋" w:eastAsia="仿宋" w:cs="仿宋"/>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2、雷达水位雨量（含北斗通信建设）站点建设4套；</w:t>
      </w:r>
    </w:p>
    <w:tbl>
      <w:tblPr>
        <w:tblStyle w:val="62"/>
        <w:tblW w:w="8495" w:type="dxa"/>
        <w:jc w:val="center"/>
        <w:tblLayout w:type="fixed"/>
        <w:tblCellMar>
          <w:top w:w="0" w:type="dxa"/>
          <w:left w:w="108" w:type="dxa"/>
          <w:bottom w:w="0" w:type="dxa"/>
          <w:right w:w="108" w:type="dxa"/>
        </w:tblCellMar>
      </w:tblPr>
      <w:tblGrid>
        <w:gridCol w:w="559"/>
        <w:gridCol w:w="1098"/>
        <w:gridCol w:w="2368"/>
        <w:gridCol w:w="425"/>
        <w:gridCol w:w="425"/>
        <w:gridCol w:w="1810"/>
        <w:gridCol w:w="1810"/>
      </w:tblGrid>
      <w:tr>
        <w:tblPrEx>
          <w:tblCellMar>
            <w:top w:w="0" w:type="dxa"/>
            <w:left w:w="108" w:type="dxa"/>
            <w:bottom w:w="0" w:type="dxa"/>
            <w:right w:w="108" w:type="dxa"/>
          </w:tblCellMar>
        </w:tblPrEx>
        <w:trPr>
          <w:trHeight w:val="280" w:hRule="atLeast"/>
          <w:jc w:val="center"/>
        </w:trPr>
        <w:tc>
          <w:tcPr>
            <w:tcW w:w="4025"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2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25"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8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4025"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雷达水位雨量（含北斗通信建设）站点建设</w:t>
            </w:r>
          </w:p>
        </w:tc>
        <w:tc>
          <w:tcPr>
            <w:tcW w:w="42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4</w:t>
            </w:r>
          </w:p>
        </w:tc>
        <w:tc>
          <w:tcPr>
            <w:tcW w:w="425"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81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10</w:t>
            </w:r>
          </w:p>
        </w:tc>
        <w:tc>
          <w:tcPr>
            <w:tcW w:w="18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40</w:t>
            </w:r>
          </w:p>
        </w:tc>
      </w:tr>
      <w:tr>
        <w:tblPrEx>
          <w:tblCellMar>
            <w:top w:w="0" w:type="dxa"/>
            <w:left w:w="108" w:type="dxa"/>
            <w:bottom w:w="0" w:type="dxa"/>
            <w:right w:w="108" w:type="dxa"/>
          </w:tblCellMar>
        </w:tblPrEx>
        <w:trPr>
          <w:trHeight w:val="280" w:hRule="atLeast"/>
          <w:jc w:val="center"/>
        </w:trPr>
        <w:tc>
          <w:tcPr>
            <w:tcW w:w="8495"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55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109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36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8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8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55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109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36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4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8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c>
          <w:tcPr>
            <w:tcW w:w="18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r>
      <w:tr>
        <w:tblPrEx>
          <w:tblCellMar>
            <w:top w:w="0" w:type="dxa"/>
            <w:left w:w="108" w:type="dxa"/>
            <w:bottom w:w="0" w:type="dxa"/>
            <w:right w:w="108" w:type="dxa"/>
          </w:tblCellMar>
        </w:tblPrEx>
        <w:trPr>
          <w:trHeight w:val="278"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r>
      <w:tr>
        <w:tblPrEx>
          <w:tblCellMar>
            <w:top w:w="0" w:type="dxa"/>
            <w:left w:w="108" w:type="dxa"/>
            <w:bottom w:w="0" w:type="dxa"/>
            <w:right w:w="108" w:type="dxa"/>
          </w:tblCellMar>
        </w:tblPrEx>
        <w:trPr>
          <w:trHeight w:val="525"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雷达水位传感器</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详见2.2.3雷达水位传感器</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3</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3</w:t>
            </w:r>
          </w:p>
        </w:tc>
      </w:tr>
      <w:tr>
        <w:tblPrEx>
          <w:tblCellMar>
            <w:top w:w="0" w:type="dxa"/>
            <w:left w:w="108" w:type="dxa"/>
            <w:bottom w:w="0" w:type="dxa"/>
            <w:right w:w="108" w:type="dxa"/>
          </w:tblCellMar>
        </w:tblPrEx>
        <w:trPr>
          <w:trHeight w:val="278"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雨量计</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详见2.2.6翻斗式雨量计</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525"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r>
      <w:tr>
        <w:tblPrEx>
          <w:tblCellMar>
            <w:top w:w="0" w:type="dxa"/>
            <w:left w:w="108" w:type="dxa"/>
            <w:bottom w:w="0" w:type="dxa"/>
            <w:right w:w="108" w:type="dxa"/>
          </w:tblCellMar>
        </w:tblPrEx>
        <w:trPr>
          <w:trHeight w:val="788"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设备安装套件</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包含设备箱、防雷模块、充放电控制器、空气开关等</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r>
      <w:tr>
        <w:tblPrEx>
          <w:tblCellMar>
            <w:top w:w="0" w:type="dxa"/>
            <w:left w:w="108" w:type="dxa"/>
            <w:bottom w:w="0" w:type="dxa"/>
            <w:right w:w="108" w:type="dxa"/>
          </w:tblCellMar>
        </w:tblPrEx>
        <w:trPr>
          <w:trHeight w:val="278"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0.3</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r>
      <w:tr>
        <w:tblPrEx>
          <w:tblCellMar>
            <w:top w:w="0" w:type="dxa"/>
            <w:left w:w="108" w:type="dxa"/>
            <w:bottom w:w="0" w:type="dxa"/>
            <w:right w:w="108" w:type="dxa"/>
          </w:tblCellMar>
        </w:tblPrEx>
        <w:trPr>
          <w:trHeight w:val="278"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8</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525" w:hRule="atLeast"/>
          <w:jc w:val="center"/>
        </w:trPr>
        <w:tc>
          <w:tcPr>
            <w:tcW w:w="559"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9</w:t>
            </w:r>
          </w:p>
        </w:tc>
        <w:tc>
          <w:tcPr>
            <w:tcW w:w="109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36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含北斗通信费及移动通信费二年</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685"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合计</w:t>
            </w:r>
          </w:p>
        </w:tc>
        <w:tc>
          <w:tcPr>
            <w:tcW w:w="18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10</w:t>
            </w:r>
          </w:p>
        </w:tc>
      </w:tr>
    </w:tbl>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color w:val="000000"/>
          <w:sz w:val="24"/>
          <w:highlight w:val="none"/>
        </w:rPr>
        <w:t>3、人工水尺+压力水位雨量（含北斗通信建设）站点建设2套；</w:t>
      </w:r>
      <w:r>
        <w:rPr>
          <w:rFonts w:hint="eastAsia" w:ascii="仿宋" w:hAnsi="仿宋" w:eastAsia="仿宋" w:cs="仿宋"/>
          <w:highlight w:val="none"/>
        </w:rPr>
        <w:t xml:space="preserve"> </w:t>
      </w:r>
    </w:p>
    <w:tbl>
      <w:tblPr>
        <w:tblStyle w:val="62"/>
        <w:tblW w:w="8495" w:type="dxa"/>
        <w:jc w:val="center"/>
        <w:tblLayout w:type="fixed"/>
        <w:tblCellMar>
          <w:top w:w="0" w:type="dxa"/>
          <w:left w:w="108" w:type="dxa"/>
          <w:bottom w:w="0" w:type="dxa"/>
          <w:right w:w="108" w:type="dxa"/>
        </w:tblCellMar>
      </w:tblPr>
      <w:tblGrid>
        <w:gridCol w:w="631"/>
        <w:gridCol w:w="1196"/>
        <w:gridCol w:w="2618"/>
        <w:gridCol w:w="393"/>
        <w:gridCol w:w="393"/>
        <w:gridCol w:w="1632"/>
        <w:gridCol w:w="1632"/>
      </w:tblGrid>
      <w:tr>
        <w:tblPrEx>
          <w:tblCellMar>
            <w:top w:w="0" w:type="dxa"/>
            <w:left w:w="108" w:type="dxa"/>
            <w:bottom w:w="0" w:type="dxa"/>
            <w:right w:w="108" w:type="dxa"/>
          </w:tblCellMar>
        </w:tblPrEx>
        <w:trPr>
          <w:trHeight w:val="280" w:hRule="atLeast"/>
          <w:jc w:val="center"/>
        </w:trPr>
        <w:tc>
          <w:tcPr>
            <w:tcW w:w="4445"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3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393"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6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4445"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人工水尺+压力水位雨量（含北斗通信建设）站点建设</w:t>
            </w:r>
          </w:p>
        </w:tc>
        <w:tc>
          <w:tcPr>
            <w:tcW w:w="3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2</w:t>
            </w:r>
          </w:p>
        </w:tc>
        <w:tc>
          <w:tcPr>
            <w:tcW w:w="393"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63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9</w:t>
            </w:r>
          </w:p>
        </w:tc>
        <w:tc>
          <w:tcPr>
            <w:tcW w:w="16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18</w:t>
            </w:r>
          </w:p>
        </w:tc>
      </w:tr>
      <w:tr>
        <w:tblPrEx>
          <w:tblCellMar>
            <w:top w:w="0" w:type="dxa"/>
            <w:left w:w="108" w:type="dxa"/>
            <w:bottom w:w="0" w:type="dxa"/>
            <w:right w:w="108" w:type="dxa"/>
          </w:tblCellMar>
        </w:tblPrEx>
        <w:trPr>
          <w:trHeight w:val="280" w:hRule="atLeast"/>
          <w:jc w:val="center"/>
        </w:trPr>
        <w:tc>
          <w:tcPr>
            <w:tcW w:w="8495"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序号</w:t>
            </w:r>
          </w:p>
        </w:tc>
        <w:tc>
          <w:tcPr>
            <w:tcW w:w="11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设备名称</w:t>
            </w:r>
          </w:p>
        </w:tc>
        <w:tc>
          <w:tcPr>
            <w:tcW w:w="26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规格参数</w:t>
            </w:r>
          </w:p>
        </w:tc>
        <w:tc>
          <w:tcPr>
            <w:tcW w:w="39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数量</w:t>
            </w:r>
          </w:p>
        </w:tc>
        <w:tc>
          <w:tcPr>
            <w:tcW w:w="39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单位</w:t>
            </w:r>
          </w:p>
        </w:tc>
        <w:tc>
          <w:tcPr>
            <w:tcW w:w="16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lang w:bidi="ar"/>
              </w:rPr>
              <w:t>预算单价（万元）</w:t>
            </w:r>
          </w:p>
        </w:tc>
        <w:tc>
          <w:tcPr>
            <w:tcW w:w="16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63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1196"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6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39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6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c>
          <w:tcPr>
            <w:tcW w:w="16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r>
      <w:tr>
        <w:tblPrEx>
          <w:tblCellMar>
            <w:top w:w="0" w:type="dxa"/>
            <w:left w:w="108" w:type="dxa"/>
            <w:bottom w:w="0" w:type="dxa"/>
            <w:right w:w="108" w:type="dxa"/>
          </w:tblCellMar>
        </w:tblPrEx>
        <w:trPr>
          <w:trHeight w:val="27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2.6</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2.6</w:t>
            </w:r>
          </w:p>
        </w:tc>
      </w:tr>
      <w:tr>
        <w:tblPrEx>
          <w:tblCellMar>
            <w:top w:w="0" w:type="dxa"/>
            <w:left w:w="108" w:type="dxa"/>
            <w:bottom w:w="0" w:type="dxa"/>
            <w:right w:w="108" w:type="dxa"/>
          </w:tblCellMar>
        </w:tblPrEx>
        <w:trPr>
          <w:trHeight w:val="525"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压力式水位传感器</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详见2.2.5压力式水位传感器</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1.6</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1.6</w:t>
            </w:r>
          </w:p>
        </w:tc>
      </w:tr>
      <w:tr>
        <w:tblPrEx>
          <w:tblCellMar>
            <w:top w:w="0" w:type="dxa"/>
            <w:left w:w="108" w:type="dxa"/>
            <w:bottom w:w="0" w:type="dxa"/>
            <w:right w:w="108" w:type="dxa"/>
          </w:tblCellMar>
        </w:tblPrEx>
        <w:trPr>
          <w:trHeight w:val="27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雨量筒</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详见2.2.6翻斗式雨量计</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525"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618"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0.2</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0.2</w:t>
            </w:r>
          </w:p>
        </w:tc>
      </w:tr>
      <w:tr>
        <w:tblPrEx>
          <w:tblCellMar>
            <w:top w:w="0" w:type="dxa"/>
            <w:left w:w="108" w:type="dxa"/>
            <w:bottom w:w="0" w:type="dxa"/>
            <w:right w:w="108" w:type="dxa"/>
          </w:tblCellMar>
        </w:tblPrEx>
        <w:trPr>
          <w:trHeight w:val="525"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设备安装套件</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包含设备箱、防雷模块、充放电控制器、空气开关等</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0.4</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0.4</w:t>
            </w:r>
          </w:p>
        </w:tc>
      </w:tr>
      <w:tr>
        <w:tblPrEx>
          <w:tblCellMar>
            <w:top w:w="0" w:type="dxa"/>
            <w:left w:w="108" w:type="dxa"/>
            <w:bottom w:w="0" w:type="dxa"/>
            <w:right w:w="108" w:type="dxa"/>
          </w:tblCellMar>
        </w:tblPrEx>
        <w:trPr>
          <w:trHeight w:val="27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0.3</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0.3</w:t>
            </w:r>
          </w:p>
        </w:tc>
      </w:tr>
      <w:tr>
        <w:tblPrEx>
          <w:tblCellMar>
            <w:top w:w="0" w:type="dxa"/>
            <w:left w:w="108" w:type="dxa"/>
            <w:bottom w:w="0" w:type="dxa"/>
            <w:right w:w="108" w:type="dxa"/>
          </w:tblCellMar>
        </w:tblPrEx>
        <w:trPr>
          <w:trHeight w:val="525"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8</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水尺零高标牌制作、安装，不锈钢材质，尺寸300mm*400mm，厚度≥2mm</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r>
      <w:tr>
        <w:tblPrEx>
          <w:tblCellMar>
            <w:top w:w="0" w:type="dxa"/>
            <w:left w:w="108" w:type="dxa"/>
            <w:bottom w:w="0" w:type="dxa"/>
            <w:right w:w="108" w:type="dxa"/>
          </w:tblCellMar>
        </w:tblPrEx>
        <w:trPr>
          <w:trHeight w:val="1313"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9</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人工水尺</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材质:SUS304或大理石贴面，不锈钢1米水尺颜色:白底黑字+黄底黑字（双面）或大理石贴面：黑底+刻字，尺寸:1000mm×80mm×1mm不锈钢材质，需满足视频监控能人工清楚识别水尺数值</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0.2</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0.2</w:t>
            </w:r>
          </w:p>
        </w:tc>
      </w:tr>
      <w:tr>
        <w:tblPrEx>
          <w:tblCellMar>
            <w:top w:w="0" w:type="dxa"/>
            <w:left w:w="108" w:type="dxa"/>
            <w:bottom w:w="0" w:type="dxa"/>
            <w:right w:w="108" w:type="dxa"/>
          </w:tblCellMar>
        </w:tblPrEx>
        <w:trPr>
          <w:trHeight w:val="78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10</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靠桩</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直立式，长度≥1100mm，选用不锈钢材质或水泥墩；尺寸不小于:1100mm×100mm×100mm</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0.6</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0.6</w:t>
            </w:r>
          </w:p>
        </w:tc>
      </w:tr>
      <w:tr>
        <w:tblPrEx>
          <w:tblCellMar>
            <w:top w:w="0" w:type="dxa"/>
            <w:left w:w="108" w:type="dxa"/>
            <w:bottom w:w="0" w:type="dxa"/>
            <w:right w:w="108" w:type="dxa"/>
          </w:tblCellMar>
        </w:tblPrEx>
        <w:trPr>
          <w:trHeight w:val="525"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11</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水尺顶高程标识牌</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每支水尺顶增加水尺顶高程标识，使用不锈钢材质，方便读取</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0.1</w:t>
            </w:r>
          </w:p>
        </w:tc>
      </w:tr>
      <w:tr>
        <w:tblPrEx>
          <w:tblCellMar>
            <w:top w:w="0" w:type="dxa"/>
            <w:left w:w="108" w:type="dxa"/>
            <w:bottom w:w="0" w:type="dxa"/>
            <w:right w:w="108" w:type="dxa"/>
          </w:tblCellMar>
        </w:tblPrEx>
        <w:trPr>
          <w:trHeight w:val="27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12</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278" w:hRule="atLeast"/>
          <w:jc w:val="center"/>
        </w:trPr>
        <w:tc>
          <w:tcPr>
            <w:tcW w:w="631"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13</w:t>
            </w:r>
          </w:p>
        </w:tc>
        <w:tc>
          <w:tcPr>
            <w:tcW w:w="11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6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移动通信费二年</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39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278" w:hRule="atLeast"/>
          <w:jc w:val="center"/>
        </w:trPr>
        <w:tc>
          <w:tcPr>
            <w:tcW w:w="6863"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sz w:val="20"/>
                <w:szCs w:val="20"/>
                <w:highlight w:val="none"/>
              </w:rPr>
              <w:t>单站点合计</w:t>
            </w:r>
          </w:p>
        </w:tc>
        <w:tc>
          <w:tcPr>
            <w:tcW w:w="16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9</w:t>
            </w:r>
          </w:p>
        </w:tc>
      </w:tr>
    </w:tbl>
    <w:p>
      <w:pPr>
        <w:rPr>
          <w:rFonts w:hint="eastAsia" w:ascii="仿宋" w:hAnsi="仿宋" w:eastAsia="仿宋" w:cs="仿宋"/>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4、压力水位雨量（含北斗通信建设）站点建设2套； </w:t>
      </w:r>
    </w:p>
    <w:tbl>
      <w:tblPr>
        <w:tblStyle w:val="62"/>
        <w:tblW w:w="8495" w:type="dxa"/>
        <w:jc w:val="center"/>
        <w:tblLayout w:type="fixed"/>
        <w:tblCellMar>
          <w:top w:w="0" w:type="dxa"/>
          <w:left w:w="108" w:type="dxa"/>
          <w:bottom w:w="0" w:type="dxa"/>
          <w:right w:w="108" w:type="dxa"/>
        </w:tblCellMar>
      </w:tblPr>
      <w:tblGrid>
        <w:gridCol w:w="562"/>
        <w:gridCol w:w="12"/>
        <w:gridCol w:w="1202"/>
        <w:gridCol w:w="2509"/>
        <w:gridCol w:w="410"/>
        <w:gridCol w:w="410"/>
        <w:gridCol w:w="1695"/>
        <w:gridCol w:w="1695"/>
      </w:tblGrid>
      <w:tr>
        <w:tblPrEx>
          <w:tblCellMar>
            <w:top w:w="0" w:type="dxa"/>
            <w:left w:w="108" w:type="dxa"/>
            <w:bottom w:w="0" w:type="dxa"/>
            <w:right w:w="108" w:type="dxa"/>
          </w:tblCellMar>
        </w:tblPrEx>
        <w:trPr>
          <w:trHeight w:val="280" w:hRule="atLeast"/>
          <w:jc w:val="center"/>
        </w:trPr>
        <w:tc>
          <w:tcPr>
            <w:tcW w:w="4285" w:type="dxa"/>
            <w:gridSpan w:val="4"/>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10"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1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4285" w:type="dxa"/>
            <w:gridSpan w:val="4"/>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压力水位雨量（含北斗通信建设）站点建设</w:t>
            </w:r>
          </w:p>
        </w:tc>
        <w:tc>
          <w:tcPr>
            <w:tcW w:w="410"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2</w:t>
            </w:r>
          </w:p>
        </w:tc>
        <w:tc>
          <w:tcPr>
            <w:tcW w:w="41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8</w:t>
            </w:r>
          </w:p>
        </w:tc>
        <w:tc>
          <w:tcPr>
            <w:tcW w:w="16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16</w:t>
            </w:r>
          </w:p>
        </w:tc>
      </w:tr>
      <w:tr>
        <w:tblPrEx>
          <w:tblCellMar>
            <w:top w:w="0" w:type="dxa"/>
            <w:left w:w="108" w:type="dxa"/>
            <w:bottom w:w="0" w:type="dxa"/>
            <w:right w:w="108" w:type="dxa"/>
          </w:tblCellMar>
        </w:tblPrEx>
        <w:trPr>
          <w:trHeight w:val="280" w:hRule="atLeast"/>
          <w:jc w:val="center"/>
        </w:trPr>
        <w:tc>
          <w:tcPr>
            <w:tcW w:w="8495" w:type="dxa"/>
            <w:gridSpan w:val="8"/>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57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120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50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69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69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1214" w:type="dxa"/>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50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4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69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c>
          <w:tcPr>
            <w:tcW w:w="169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r>
      <w:tr>
        <w:tblPrEx>
          <w:tblCellMar>
            <w:top w:w="0" w:type="dxa"/>
            <w:left w:w="108" w:type="dxa"/>
            <w:bottom w:w="0" w:type="dxa"/>
            <w:right w:w="108" w:type="dxa"/>
          </w:tblCellMar>
        </w:tblPrEx>
        <w:trPr>
          <w:trHeight w:val="525"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r>
      <w:tr>
        <w:tblPrEx>
          <w:tblCellMar>
            <w:top w:w="0" w:type="dxa"/>
            <w:left w:w="108" w:type="dxa"/>
            <w:bottom w:w="0" w:type="dxa"/>
            <w:right w:w="108" w:type="dxa"/>
          </w:tblCellMar>
        </w:tblPrEx>
        <w:trPr>
          <w:trHeight w:val="525"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压力式水位传感器</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详见2.2.5压力式水位传感器</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1.6</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1.6</w:t>
            </w:r>
          </w:p>
        </w:tc>
      </w:tr>
      <w:tr>
        <w:tblPrEx>
          <w:tblCellMar>
            <w:top w:w="0" w:type="dxa"/>
            <w:left w:w="108" w:type="dxa"/>
            <w:bottom w:w="0" w:type="dxa"/>
            <w:right w:w="108" w:type="dxa"/>
          </w:tblCellMar>
        </w:tblPrEx>
        <w:trPr>
          <w:trHeight w:val="278"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雨量筒</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详见2.2.6翻斗式雨量计</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个</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525"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509"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r>
      <w:tr>
        <w:tblPrEx>
          <w:tblCellMar>
            <w:top w:w="0" w:type="dxa"/>
            <w:left w:w="108" w:type="dxa"/>
            <w:bottom w:w="0" w:type="dxa"/>
            <w:right w:w="108" w:type="dxa"/>
          </w:tblCellMar>
        </w:tblPrEx>
        <w:trPr>
          <w:trHeight w:val="525"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设备安装套件</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包含设备箱、防雷模块、充放电控制器、空气开关等</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0.4</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0.4</w:t>
            </w:r>
          </w:p>
        </w:tc>
      </w:tr>
      <w:tr>
        <w:tblPrEx>
          <w:tblCellMar>
            <w:top w:w="0" w:type="dxa"/>
            <w:left w:w="108" w:type="dxa"/>
            <w:bottom w:w="0" w:type="dxa"/>
            <w:right w:w="108" w:type="dxa"/>
          </w:tblCellMar>
        </w:tblPrEx>
        <w:trPr>
          <w:trHeight w:val="278"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r>
      <w:tr>
        <w:tblPrEx>
          <w:tblCellMar>
            <w:top w:w="0" w:type="dxa"/>
            <w:left w:w="108" w:type="dxa"/>
            <w:bottom w:w="0" w:type="dxa"/>
            <w:right w:w="108" w:type="dxa"/>
          </w:tblCellMar>
        </w:tblPrEx>
        <w:trPr>
          <w:trHeight w:val="278"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8</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562"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9</w:t>
            </w:r>
          </w:p>
        </w:tc>
        <w:tc>
          <w:tcPr>
            <w:tcW w:w="1214" w:type="dxa"/>
            <w:gridSpan w:val="2"/>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509"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移动通信费二年</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1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800" w:type="dxa"/>
            <w:gridSpan w:val="7"/>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69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8</w:t>
            </w:r>
          </w:p>
        </w:tc>
      </w:tr>
    </w:tbl>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color w:val="000000"/>
          <w:sz w:val="24"/>
          <w:highlight w:val="none"/>
        </w:rPr>
        <w:t>5、雷达水位改建1套；</w:t>
      </w:r>
      <w:r>
        <w:rPr>
          <w:rFonts w:hint="eastAsia" w:ascii="仿宋" w:hAnsi="仿宋" w:eastAsia="仿宋" w:cs="仿宋"/>
          <w:highlight w:val="none"/>
        </w:rPr>
        <w:t xml:space="preserve"> </w:t>
      </w:r>
    </w:p>
    <w:tbl>
      <w:tblPr>
        <w:tblStyle w:val="62"/>
        <w:tblW w:w="8493" w:type="dxa"/>
        <w:jc w:val="center"/>
        <w:tblLayout w:type="fixed"/>
        <w:tblCellMar>
          <w:top w:w="0" w:type="dxa"/>
          <w:left w:w="108" w:type="dxa"/>
          <w:bottom w:w="0" w:type="dxa"/>
          <w:right w:w="108" w:type="dxa"/>
        </w:tblCellMar>
      </w:tblPr>
      <w:tblGrid>
        <w:gridCol w:w="437"/>
        <w:gridCol w:w="958"/>
        <w:gridCol w:w="2418"/>
        <w:gridCol w:w="437"/>
        <w:gridCol w:w="437"/>
        <w:gridCol w:w="1903"/>
        <w:gridCol w:w="1903"/>
      </w:tblGrid>
      <w:tr>
        <w:tblPrEx>
          <w:tblCellMar>
            <w:top w:w="0" w:type="dxa"/>
            <w:left w:w="108" w:type="dxa"/>
            <w:bottom w:w="0" w:type="dxa"/>
            <w:right w:w="108" w:type="dxa"/>
          </w:tblCellMar>
        </w:tblPrEx>
        <w:trPr>
          <w:trHeight w:val="280" w:hRule="atLeast"/>
          <w:jc w:val="center"/>
        </w:trPr>
        <w:tc>
          <w:tcPr>
            <w:tcW w:w="3813"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9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3813"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雷达水位站改建</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5</w:t>
            </w:r>
          </w:p>
        </w:tc>
        <w:tc>
          <w:tcPr>
            <w:tcW w:w="19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5</w:t>
            </w:r>
          </w:p>
        </w:tc>
      </w:tr>
      <w:tr>
        <w:tblPrEx>
          <w:tblCellMar>
            <w:top w:w="0" w:type="dxa"/>
            <w:left w:w="108" w:type="dxa"/>
            <w:bottom w:w="0" w:type="dxa"/>
            <w:right w:w="108" w:type="dxa"/>
          </w:tblCellMar>
        </w:tblPrEx>
        <w:trPr>
          <w:trHeight w:val="280" w:hRule="atLeast"/>
          <w:jc w:val="center"/>
        </w:trPr>
        <w:tc>
          <w:tcPr>
            <w:tcW w:w="8493"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95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4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95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4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1.4</w:t>
            </w:r>
          </w:p>
        </w:tc>
      </w:tr>
      <w:tr>
        <w:tblPrEx>
          <w:tblCellMar>
            <w:top w:w="0" w:type="dxa"/>
            <w:left w:w="108" w:type="dxa"/>
            <w:bottom w:w="0" w:type="dxa"/>
            <w:right w:w="108" w:type="dxa"/>
          </w:tblCellMar>
        </w:tblPrEx>
        <w:trPr>
          <w:trHeight w:val="27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9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r>
      <w:tr>
        <w:tblPrEx>
          <w:tblCellMar>
            <w:top w:w="0" w:type="dxa"/>
            <w:left w:w="108" w:type="dxa"/>
            <w:bottom w:w="0" w:type="dxa"/>
            <w:right w:w="108" w:type="dxa"/>
          </w:tblCellMar>
        </w:tblPrEx>
        <w:trPr>
          <w:trHeight w:val="78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9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设备安装套件</w:t>
            </w:r>
          </w:p>
        </w:tc>
        <w:tc>
          <w:tcPr>
            <w:tcW w:w="2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包含设备箱、防雷模块、充放电控制器、空气开关等</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52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95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4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含北斗通信费及移动通信费二年</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0.5</w:t>
            </w:r>
          </w:p>
        </w:tc>
      </w:tr>
      <w:tr>
        <w:tblPrEx>
          <w:tblCellMar>
            <w:top w:w="0" w:type="dxa"/>
            <w:left w:w="108" w:type="dxa"/>
            <w:bottom w:w="0" w:type="dxa"/>
            <w:right w:w="108" w:type="dxa"/>
          </w:tblCellMar>
        </w:tblPrEx>
        <w:trPr>
          <w:trHeight w:val="278" w:hRule="atLeast"/>
          <w:jc w:val="center"/>
        </w:trPr>
        <w:tc>
          <w:tcPr>
            <w:tcW w:w="6590"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highlight w:val="none"/>
              </w:rPr>
            </w:pPr>
            <w:r>
              <w:rPr>
                <w:rFonts w:hint="eastAsia" w:ascii="仿宋" w:hAnsi="仿宋" w:eastAsia="仿宋" w:cs="仿宋"/>
                <w:b/>
                <w:bCs/>
                <w:color w:val="000000"/>
                <w:kern w:val="0"/>
                <w:highlight w:val="none"/>
              </w:rPr>
              <w:t>5</w:t>
            </w:r>
          </w:p>
        </w:tc>
      </w:tr>
    </w:tbl>
    <w:p>
      <w:pPr>
        <w:rPr>
          <w:rFonts w:hint="eastAsia" w:ascii="仿宋" w:hAnsi="仿宋" w:eastAsia="仿宋" w:cs="仿宋"/>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6、北斗通讯设备建设15个站点；</w:t>
      </w:r>
    </w:p>
    <w:tbl>
      <w:tblPr>
        <w:tblStyle w:val="62"/>
        <w:tblW w:w="8492" w:type="dxa"/>
        <w:jc w:val="center"/>
        <w:tblLayout w:type="fixed"/>
        <w:tblCellMar>
          <w:top w:w="0" w:type="dxa"/>
          <w:left w:w="108" w:type="dxa"/>
          <w:bottom w:w="0" w:type="dxa"/>
          <w:right w:w="108" w:type="dxa"/>
        </w:tblCellMar>
      </w:tblPr>
      <w:tblGrid>
        <w:gridCol w:w="437"/>
        <w:gridCol w:w="855"/>
        <w:gridCol w:w="2518"/>
        <w:gridCol w:w="437"/>
        <w:gridCol w:w="437"/>
        <w:gridCol w:w="1904"/>
        <w:gridCol w:w="1904"/>
      </w:tblGrid>
      <w:tr>
        <w:tblPrEx>
          <w:tblCellMar>
            <w:top w:w="0" w:type="dxa"/>
            <w:left w:w="108" w:type="dxa"/>
            <w:bottom w:w="0" w:type="dxa"/>
            <w:right w:w="108" w:type="dxa"/>
          </w:tblCellMar>
        </w:tblPrEx>
        <w:trPr>
          <w:trHeight w:val="280" w:hRule="atLeast"/>
          <w:jc w:val="center"/>
        </w:trPr>
        <w:tc>
          <w:tcPr>
            <w:tcW w:w="3810"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9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9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3810"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北斗通讯设备建设</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15</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9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5</w:t>
            </w:r>
          </w:p>
        </w:tc>
        <w:tc>
          <w:tcPr>
            <w:tcW w:w="19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75</w:t>
            </w:r>
          </w:p>
        </w:tc>
      </w:tr>
      <w:tr>
        <w:tblPrEx>
          <w:tblCellMar>
            <w:top w:w="0" w:type="dxa"/>
            <w:left w:w="108" w:type="dxa"/>
            <w:bottom w:w="0" w:type="dxa"/>
            <w:right w:w="108" w:type="dxa"/>
          </w:tblCellMar>
        </w:tblPrEx>
        <w:trPr>
          <w:trHeight w:val="280" w:hRule="atLeast"/>
          <w:jc w:val="center"/>
        </w:trPr>
        <w:tc>
          <w:tcPr>
            <w:tcW w:w="8492"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85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5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85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5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r>
      <w:tr>
        <w:tblPrEx>
          <w:tblCellMar>
            <w:top w:w="0" w:type="dxa"/>
            <w:left w:w="108" w:type="dxa"/>
            <w:bottom w:w="0" w:type="dxa"/>
            <w:right w:w="108" w:type="dxa"/>
          </w:tblCellMar>
        </w:tblPrEx>
        <w:trPr>
          <w:trHeight w:val="52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8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5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r>
      <w:tr>
        <w:tblPrEx>
          <w:tblCellMar>
            <w:top w:w="0" w:type="dxa"/>
            <w:left w:w="108" w:type="dxa"/>
            <w:bottom w:w="0" w:type="dxa"/>
            <w:right w:w="108" w:type="dxa"/>
          </w:tblCellMar>
        </w:tblPrEx>
        <w:trPr>
          <w:trHeight w:val="52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8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518" w:type="dxa"/>
            <w:tcBorders>
              <w:top w:val="nil"/>
              <w:left w:val="nil"/>
              <w:bottom w:val="single" w:color="auto" w:sz="4" w:space="0"/>
              <w:right w:val="single" w:color="auto" w:sz="4" w:space="0"/>
            </w:tcBorders>
            <w:vAlign w:val="center"/>
          </w:tcPr>
          <w:p>
            <w:pPr>
              <w:widowControl/>
              <w:jc w:val="left"/>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r>
      <w:tr>
        <w:tblPrEx>
          <w:tblCellMar>
            <w:top w:w="0" w:type="dxa"/>
            <w:left w:w="108" w:type="dxa"/>
            <w:bottom w:w="0" w:type="dxa"/>
            <w:right w:w="108" w:type="dxa"/>
          </w:tblCellMar>
        </w:tblPrEx>
        <w:trPr>
          <w:trHeight w:val="27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8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5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r>
      <w:tr>
        <w:tblPrEx>
          <w:tblCellMar>
            <w:top w:w="0" w:type="dxa"/>
            <w:left w:w="108" w:type="dxa"/>
            <w:bottom w:w="0" w:type="dxa"/>
            <w:right w:w="108" w:type="dxa"/>
          </w:tblCellMar>
        </w:tblPrEx>
        <w:trPr>
          <w:trHeight w:val="52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8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51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含北斗通信费及移动通信费二年</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588"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5</w:t>
            </w:r>
          </w:p>
        </w:tc>
      </w:tr>
    </w:tbl>
    <w:p>
      <w:pPr>
        <w:rPr>
          <w:rFonts w:hint="eastAsia" w:ascii="仿宋" w:hAnsi="仿宋" w:eastAsia="仿宋" w:cs="仿宋"/>
          <w:color w:val="000000"/>
          <w:sz w:val="24"/>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7、人工水尺+北斗通讯设备站点建设89套；</w:t>
      </w:r>
    </w:p>
    <w:tbl>
      <w:tblPr>
        <w:tblStyle w:val="62"/>
        <w:tblW w:w="8495" w:type="dxa"/>
        <w:jc w:val="center"/>
        <w:tblLayout w:type="fixed"/>
        <w:tblCellMar>
          <w:top w:w="0" w:type="dxa"/>
          <w:left w:w="108" w:type="dxa"/>
          <w:bottom w:w="0" w:type="dxa"/>
          <w:right w:w="108" w:type="dxa"/>
        </w:tblCellMar>
      </w:tblPr>
      <w:tblGrid>
        <w:gridCol w:w="450"/>
        <w:gridCol w:w="988"/>
        <w:gridCol w:w="2532"/>
        <w:gridCol w:w="428"/>
        <w:gridCol w:w="428"/>
        <w:gridCol w:w="1834"/>
        <w:gridCol w:w="1835"/>
      </w:tblGrid>
      <w:tr>
        <w:tblPrEx>
          <w:tblCellMar>
            <w:top w:w="0" w:type="dxa"/>
            <w:left w:w="108" w:type="dxa"/>
            <w:bottom w:w="0" w:type="dxa"/>
            <w:right w:w="108" w:type="dxa"/>
          </w:tblCellMar>
        </w:tblPrEx>
        <w:trPr>
          <w:trHeight w:val="280" w:hRule="atLeast"/>
          <w:jc w:val="center"/>
        </w:trPr>
        <w:tc>
          <w:tcPr>
            <w:tcW w:w="3970"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28"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28"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3970"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人工水尺+北斗通讯设备站点建设</w:t>
            </w:r>
          </w:p>
        </w:tc>
        <w:tc>
          <w:tcPr>
            <w:tcW w:w="428"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89</w:t>
            </w:r>
          </w:p>
        </w:tc>
        <w:tc>
          <w:tcPr>
            <w:tcW w:w="428"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83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7</w:t>
            </w:r>
          </w:p>
        </w:tc>
        <w:tc>
          <w:tcPr>
            <w:tcW w:w="1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623</w:t>
            </w:r>
          </w:p>
        </w:tc>
      </w:tr>
      <w:tr>
        <w:tblPrEx>
          <w:tblCellMar>
            <w:top w:w="0" w:type="dxa"/>
            <w:left w:w="108" w:type="dxa"/>
            <w:bottom w:w="0" w:type="dxa"/>
            <w:right w:w="108" w:type="dxa"/>
          </w:tblCellMar>
        </w:tblPrEx>
        <w:trPr>
          <w:trHeight w:val="280" w:hRule="atLeast"/>
          <w:jc w:val="center"/>
        </w:trPr>
        <w:tc>
          <w:tcPr>
            <w:tcW w:w="8495"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98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5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2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2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83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83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525" w:hRule="atLeast"/>
          <w:jc w:val="center"/>
        </w:trPr>
        <w:tc>
          <w:tcPr>
            <w:tcW w:w="45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98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遥测终端（含网关）</w:t>
            </w:r>
          </w:p>
        </w:tc>
        <w:tc>
          <w:tcPr>
            <w:tcW w:w="25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详见2.2.1遥测终端（含网关）</w:t>
            </w:r>
          </w:p>
        </w:tc>
        <w:tc>
          <w:tcPr>
            <w:tcW w:w="42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83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c>
          <w:tcPr>
            <w:tcW w:w="183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w:t>
            </w:r>
          </w:p>
        </w:tc>
      </w:tr>
      <w:tr>
        <w:tblPrEx>
          <w:tblCellMar>
            <w:top w:w="0" w:type="dxa"/>
            <w:left w:w="108" w:type="dxa"/>
            <w:bottom w:w="0" w:type="dxa"/>
            <w:right w:w="108" w:type="dxa"/>
          </w:tblCellMar>
        </w:tblPrEx>
        <w:trPr>
          <w:trHeight w:val="525"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2</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北斗通信模块</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详见2.2.2北斗通信模块</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台</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2.6</w:t>
            </w:r>
          </w:p>
        </w:tc>
      </w:tr>
      <w:tr>
        <w:tblPrEx>
          <w:tblCellMar>
            <w:top w:w="0" w:type="dxa"/>
            <w:left w:w="108" w:type="dxa"/>
            <w:bottom w:w="0" w:type="dxa"/>
            <w:right w:w="108" w:type="dxa"/>
          </w:tblCellMar>
        </w:tblPrEx>
        <w:trPr>
          <w:trHeight w:val="525"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3</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太阳能供电系统</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详见2.2.7太阳能供电系统</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套</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0.2</w:t>
            </w:r>
          </w:p>
        </w:tc>
      </w:tr>
      <w:tr>
        <w:tblPrEx>
          <w:tblCellMar>
            <w:top w:w="0" w:type="dxa"/>
            <w:left w:w="108" w:type="dxa"/>
            <w:bottom w:w="0" w:type="dxa"/>
            <w:right w:w="108" w:type="dxa"/>
          </w:tblCellMar>
        </w:tblPrEx>
        <w:trPr>
          <w:trHeight w:val="788"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4</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水尺零高标牌制作、安装，不锈钢材质，尺寸300mm*400mm，厚度≥2mm</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1313"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5</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人工水尺</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材质:SUS304或大理石贴面，不锈钢1米水尺颜色:白底黑字+黄底黑字（双面）或大理石贴面：黑底+刻字，尺寸:1000mm×80mm×1mm不锈钢材质，需满足视频监控能人工清楚识别水尺数值</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525"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6</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靠桩</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直立式，长度≥1100mm，选用不锈钢材质或水泥墩；尺寸不小于:1100mm×100mm×100mm</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0.8</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0.8</w:t>
            </w:r>
          </w:p>
        </w:tc>
      </w:tr>
      <w:tr>
        <w:tblPrEx>
          <w:tblCellMar>
            <w:top w:w="0" w:type="dxa"/>
            <w:left w:w="108" w:type="dxa"/>
            <w:bottom w:w="0" w:type="dxa"/>
            <w:right w:w="108" w:type="dxa"/>
          </w:tblCellMar>
        </w:tblPrEx>
        <w:trPr>
          <w:trHeight w:val="525"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7</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水尺顶高程标识牌</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每支水尺顶增加水尺顶高程标识，使用不锈钢材质，方便读取</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278"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8</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标识标牌</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详见2.2.8标识标牌</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0.3</w:t>
            </w:r>
          </w:p>
        </w:tc>
      </w:tr>
      <w:tr>
        <w:tblPrEx>
          <w:tblCellMar>
            <w:top w:w="0" w:type="dxa"/>
            <w:left w:w="108" w:type="dxa"/>
            <w:bottom w:w="0" w:type="dxa"/>
            <w:right w:w="108" w:type="dxa"/>
          </w:tblCellMar>
        </w:tblPrEx>
        <w:trPr>
          <w:trHeight w:val="278"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9</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45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10</w:t>
            </w:r>
          </w:p>
        </w:tc>
        <w:tc>
          <w:tcPr>
            <w:tcW w:w="98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通信费</w:t>
            </w:r>
          </w:p>
        </w:tc>
        <w:tc>
          <w:tcPr>
            <w:tcW w:w="25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含北斗通信费及移动通信费二年</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1</w:t>
            </w:r>
          </w:p>
        </w:tc>
        <w:tc>
          <w:tcPr>
            <w:tcW w:w="428"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项</w:t>
            </w:r>
          </w:p>
        </w:tc>
        <w:tc>
          <w:tcPr>
            <w:tcW w:w="18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660" w:type="dxa"/>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83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7</w:t>
            </w:r>
          </w:p>
        </w:tc>
      </w:tr>
    </w:tbl>
    <w:p>
      <w:pPr>
        <w:rPr>
          <w:rFonts w:hint="eastAsia" w:ascii="仿宋" w:hAnsi="仿宋" w:eastAsia="仿宋" w:cs="仿宋"/>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8、人工水尺1站点建设37个；</w:t>
      </w:r>
    </w:p>
    <w:tbl>
      <w:tblPr>
        <w:tblStyle w:val="62"/>
        <w:tblW w:w="8492" w:type="dxa"/>
        <w:jc w:val="center"/>
        <w:tblLayout w:type="fixed"/>
        <w:tblCellMar>
          <w:top w:w="0" w:type="dxa"/>
          <w:left w:w="108" w:type="dxa"/>
          <w:bottom w:w="0" w:type="dxa"/>
          <w:right w:w="108" w:type="dxa"/>
        </w:tblCellMar>
      </w:tblPr>
      <w:tblGrid>
        <w:gridCol w:w="437"/>
        <w:gridCol w:w="743"/>
        <w:gridCol w:w="2631"/>
        <w:gridCol w:w="437"/>
        <w:gridCol w:w="437"/>
        <w:gridCol w:w="1903"/>
        <w:gridCol w:w="1904"/>
      </w:tblGrid>
      <w:tr>
        <w:tblPrEx>
          <w:tblCellMar>
            <w:top w:w="0" w:type="dxa"/>
            <w:left w:w="108" w:type="dxa"/>
            <w:bottom w:w="0" w:type="dxa"/>
            <w:right w:w="108" w:type="dxa"/>
          </w:tblCellMar>
        </w:tblPrEx>
        <w:trPr>
          <w:trHeight w:val="280" w:hRule="atLeast"/>
          <w:jc w:val="center"/>
        </w:trPr>
        <w:tc>
          <w:tcPr>
            <w:tcW w:w="3811"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9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3811"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人工水尺1站点建设</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37</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2</w:t>
            </w:r>
          </w:p>
        </w:tc>
        <w:tc>
          <w:tcPr>
            <w:tcW w:w="19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74</w:t>
            </w:r>
          </w:p>
        </w:tc>
      </w:tr>
      <w:tr>
        <w:tblPrEx>
          <w:tblCellMar>
            <w:top w:w="0" w:type="dxa"/>
            <w:left w:w="108" w:type="dxa"/>
            <w:bottom w:w="0" w:type="dxa"/>
            <w:right w:w="108" w:type="dxa"/>
          </w:tblCellMar>
        </w:tblPrEx>
        <w:trPr>
          <w:trHeight w:val="280" w:hRule="atLeast"/>
          <w:jc w:val="center"/>
        </w:trPr>
        <w:tc>
          <w:tcPr>
            <w:tcW w:w="8492"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74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63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833"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74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水尺零高标牌</w:t>
            </w:r>
          </w:p>
        </w:tc>
        <w:tc>
          <w:tcPr>
            <w:tcW w:w="2631"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水尺零高标牌制作、安装，不锈钢材质，尺寸300mm*400mm，厚度≥2mm</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904"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166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w:t>
            </w:r>
          </w:p>
        </w:tc>
        <w:tc>
          <w:tcPr>
            <w:tcW w:w="74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人工水尺</w:t>
            </w:r>
          </w:p>
        </w:tc>
        <w:tc>
          <w:tcPr>
            <w:tcW w:w="26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highlight w:val="none"/>
              </w:rPr>
              <w:t>材质:SUS304或大理石贴面，不锈钢1米水尺颜色:白底黑字+黄底黑字（双面）或大理石贴面：黑底+刻字，尺寸:1000mm×80mm×1mm不锈钢材质，需满足视频监控能人工清楚识别水尺数值</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55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3</w:t>
            </w:r>
          </w:p>
        </w:tc>
        <w:tc>
          <w:tcPr>
            <w:tcW w:w="74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靠桩</w:t>
            </w:r>
          </w:p>
        </w:tc>
        <w:tc>
          <w:tcPr>
            <w:tcW w:w="26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highlight w:val="none"/>
              </w:rPr>
              <w:t>直立式，长度≥1100mm，选用不锈钢材质或水泥墩；尺寸不小于:1100mm×100mm×100mm</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0.8</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0.8</w:t>
            </w:r>
          </w:p>
        </w:tc>
      </w:tr>
      <w:tr>
        <w:tblPrEx>
          <w:tblCellMar>
            <w:top w:w="0" w:type="dxa"/>
            <w:left w:w="108" w:type="dxa"/>
            <w:bottom w:w="0" w:type="dxa"/>
            <w:right w:w="108" w:type="dxa"/>
          </w:tblCellMar>
        </w:tblPrEx>
        <w:trPr>
          <w:trHeight w:val="833"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4</w:t>
            </w:r>
          </w:p>
        </w:tc>
        <w:tc>
          <w:tcPr>
            <w:tcW w:w="74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水尺顶高程标识牌</w:t>
            </w:r>
          </w:p>
        </w:tc>
        <w:tc>
          <w:tcPr>
            <w:tcW w:w="26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每支水尺顶增加水尺顶高程标识，使用不锈钢材质，方便读取</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27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5</w:t>
            </w:r>
          </w:p>
        </w:tc>
        <w:tc>
          <w:tcPr>
            <w:tcW w:w="74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631"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588"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904"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2</w:t>
            </w:r>
          </w:p>
        </w:tc>
      </w:tr>
    </w:tbl>
    <w:p>
      <w:pPr>
        <w:rPr>
          <w:rFonts w:hint="eastAsia" w:ascii="仿宋" w:hAnsi="仿宋" w:eastAsia="仿宋" w:cs="仿宋"/>
          <w:color w:val="000000"/>
          <w:sz w:val="24"/>
          <w:highlight w:val="none"/>
        </w:rPr>
      </w:pPr>
    </w:p>
    <w:p>
      <w:pPr>
        <w:rPr>
          <w:rFonts w:hint="eastAsia" w:ascii="仿宋" w:hAnsi="仿宋" w:eastAsia="仿宋" w:cs="仿宋"/>
          <w:color w:val="000000"/>
          <w:sz w:val="24"/>
          <w:highlight w:val="none"/>
        </w:rPr>
      </w:pPr>
      <w:r>
        <w:rPr>
          <w:rFonts w:hint="eastAsia" w:ascii="仿宋" w:hAnsi="仿宋" w:eastAsia="仿宋" w:cs="仿宋"/>
          <w:color w:val="000000"/>
          <w:sz w:val="24"/>
          <w:highlight w:val="none"/>
        </w:rPr>
        <w:t>9、类人工水2站点建设10个</w:t>
      </w:r>
    </w:p>
    <w:tbl>
      <w:tblPr>
        <w:tblStyle w:val="62"/>
        <w:tblW w:w="8492" w:type="dxa"/>
        <w:jc w:val="center"/>
        <w:tblLayout w:type="fixed"/>
        <w:tblCellMar>
          <w:top w:w="0" w:type="dxa"/>
          <w:left w:w="108" w:type="dxa"/>
          <w:bottom w:w="0" w:type="dxa"/>
          <w:right w:w="108" w:type="dxa"/>
        </w:tblCellMar>
      </w:tblPr>
      <w:tblGrid>
        <w:gridCol w:w="437"/>
        <w:gridCol w:w="625"/>
        <w:gridCol w:w="2750"/>
        <w:gridCol w:w="437"/>
        <w:gridCol w:w="437"/>
        <w:gridCol w:w="1903"/>
        <w:gridCol w:w="1903"/>
      </w:tblGrid>
      <w:tr>
        <w:tblPrEx>
          <w:tblCellMar>
            <w:top w:w="0" w:type="dxa"/>
            <w:left w:w="108" w:type="dxa"/>
            <w:bottom w:w="0" w:type="dxa"/>
            <w:right w:w="108" w:type="dxa"/>
          </w:tblCellMar>
        </w:tblPrEx>
        <w:trPr>
          <w:trHeight w:val="280" w:hRule="atLeast"/>
          <w:jc w:val="center"/>
        </w:trPr>
        <w:tc>
          <w:tcPr>
            <w:tcW w:w="3812"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站点建设类型</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数量</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单位</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预算单价（万元）</w:t>
            </w:r>
          </w:p>
        </w:tc>
        <w:tc>
          <w:tcPr>
            <w:tcW w:w="19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280" w:hRule="atLeast"/>
          <w:jc w:val="center"/>
        </w:trPr>
        <w:tc>
          <w:tcPr>
            <w:tcW w:w="3812"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sz w:val="24"/>
                <w:highlight w:val="none"/>
              </w:rPr>
              <w:t>人工水尺2站点建设</w:t>
            </w:r>
          </w:p>
        </w:tc>
        <w:tc>
          <w:tcPr>
            <w:tcW w:w="437"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10</w:t>
            </w:r>
          </w:p>
        </w:tc>
        <w:tc>
          <w:tcPr>
            <w:tcW w:w="43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套</w:t>
            </w:r>
          </w:p>
        </w:tc>
        <w:tc>
          <w:tcPr>
            <w:tcW w:w="190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1.8</w:t>
            </w:r>
          </w:p>
        </w:tc>
        <w:tc>
          <w:tcPr>
            <w:tcW w:w="19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18</w:t>
            </w:r>
          </w:p>
        </w:tc>
      </w:tr>
      <w:tr>
        <w:tblPrEx>
          <w:tblCellMar>
            <w:top w:w="0" w:type="dxa"/>
            <w:left w:w="108" w:type="dxa"/>
            <w:bottom w:w="0" w:type="dxa"/>
            <w:right w:w="108" w:type="dxa"/>
          </w:tblCellMar>
        </w:tblPrEx>
        <w:trPr>
          <w:trHeight w:val="280" w:hRule="atLeast"/>
          <w:jc w:val="center"/>
        </w:trPr>
        <w:tc>
          <w:tcPr>
            <w:tcW w:w="8492"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highlight w:val="none"/>
              </w:rPr>
            </w:pPr>
            <w:r>
              <w:rPr>
                <w:rFonts w:hint="eastAsia" w:ascii="仿宋" w:hAnsi="仿宋" w:eastAsia="仿宋" w:cs="仿宋"/>
                <w:b/>
                <w:bCs/>
                <w:color w:val="000000"/>
                <w:highlight w:val="none"/>
              </w:rPr>
              <w:t>站点设备组成清单（以下为1套设备组成）</w:t>
            </w:r>
          </w:p>
        </w:tc>
      </w:tr>
      <w:tr>
        <w:tblPrEx>
          <w:tblCellMar>
            <w:top w:w="0" w:type="dxa"/>
            <w:left w:w="108" w:type="dxa"/>
            <w:bottom w:w="0" w:type="dxa"/>
            <w:right w:w="108" w:type="dxa"/>
          </w:tblCellMar>
        </w:tblPrEx>
        <w:trPr>
          <w:trHeight w:val="278"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序号</w:t>
            </w:r>
          </w:p>
        </w:tc>
        <w:tc>
          <w:tcPr>
            <w:tcW w:w="6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设备名称</w:t>
            </w:r>
          </w:p>
        </w:tc>
        <w:tc>
          <w:tcPr>
            <w:tcW w:w="27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规格参数</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数量</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单位</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预算单价（万元）</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highlight w:val="none"/>
                <w:lang w:bidi="ar"/>
              </w:rPr>
              <w:t>预算总价（万元）</w:t>
            </w:r>
          </w:p>
        </w:tc>
      </w:tr>
      <w:tr>
        <w:tblPrEx>
          <w:tblCellMar>
            <w:top w:w="0" w:type="dxa"/>
            <w:left w:w="108" w:type="dxa"/>
            <w:bottom w:w="0" w:type="dxa"/>
            <w:right w:w="108" w:type="dxa"/>
          </w:tblCellMar>
        </w:tblPrEx>
        <w:trPr>
          <w:trHeight w:val="833"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62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水尺零高标牌</w:t>
            </w:r>
          </w:p>
        </w:tc>
        <w:tc>
          <w:tcPr>
            <w:tcW w:w="27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水尺零高标牌制作、安装，不锈钢材质，尺寸300mm*400mm，厚度≥2mm</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903"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138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w:t>
            </w:r>
          </w:p>
        </w:tc>
        <w:tc>
          <w:tcPr>
            <w:tcW w:w="6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人工水尺</w:t>
            </w:r>
          </w:p>
        </w:tc>
        <w:tc>
          <w:tcPr>
            <w:tcW w:w="27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highlight w:val="none"/>
              </w:rPr>
              <w:t>材质:SUS304或大理石贴面，不锈钢1米水尺颜色:白底黑字+黄底黑字（双面）或大理石贴面：黑底+刻字，尺寸:1000mm×80mm×1mm不锈钢材质，需满足视频监控能人工清楚识别水尺数值</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0.4</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0.4</w:t>
            </w:r>
          </w:p>
        </w:tc>
      </w:tr>
      <w:tr>
        <w:tblPrEx>
          <w:tblCellMar>
            <w:top w:w="0" w:type="dxa"/>
            <w:left w:w="108" w:type="dxa"/>
            <w:bottom w:w="0" w:type="dxa"/>
            <w:right w:w="108" w:type="dxa"/>
          </w:tblCellMar>
        </w:tblPrEx>
        <w:trPr>
          <w:trHeight w:val="55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3</w:t>
            </w:r>
          </w:p>
        </w:tc>
        <w:tc>
          <w:tcPr>
            <w:tcW w:w="6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靠桩</w:t>
            </w:r>
          </w:p>
        </w:tc>
        <w:tc>
          <w:tcPr>
            <w:tcW w:w="27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highlight w:val="none"/>
              </w:rPr>
              <w:t>直立式，长度≥1100mm，选用不锈钢材质或水泥墩；尺寸不小于:1100mm×100mm×100mm</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0.7</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0.7</w:t>
            </w:r>
          </w:p>
        </w:tc>
      </w:tr>
      <w:tr>
        <w:tblPrEx>
          <w:tblCellMar>
            <w:top w:w="0" w:type="dxa"/>
            <w:left w:w="108" w:type="dxa"/>
            <w:bottom w:w="0" w:type="dxa"/>
            <w:right w:w="108" w:type="dxa"/>
          </w:tblCellMar>
        </w:tblPrEx>
        <w:trPr>
          <w:trHeight w:val="555"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4</w:t>
            </w:r>
          </w:p>
        </w:tc>
        <w:tc>
          <w:tcPr>
            <w:tcW w:w="6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水尺顶高程标识牌</w:t>
            </w:r>
          </w:p>
        </w:tc>
        <w:tc>
          <w:tcPr>
            <w:tcW w:w="27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每支水尺顶增加水尺顶高程标识，使用不锈钢材质，方便读取</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0.1</w:t>
            </w:r>
          </w:p>
        </w:tc>
      </w:tr>
      <w:tr>
        <w:tblPrEx>
          <w:tblCellMar>
            <w:top w:w="0" w:type="dxa"/>
            <w:left w:w="108" w:type="dxa"/>
            <w:bottom w:w="0" w:type="dxa"/>
            <w:right w:w="108" w:type="dxa"/>
          </w:tblCellMar>
        </w:tblPrEx>
        <w:trPr>
          <w:trHeight w:val="278" w:hRule="atLeast"/>
          <w:jc w:val="center"/>
        </w:trPr>
        <w:tc>
          <w:tcPr>
            <w:tcW w:w="4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5</w:t>
            </w:r>
          </w:p>
        </w:tc>
        <w:tc>
          <w:tcPr>
            <w:tcW w:w="625"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高程测量</w:t>
            </w:r>
          </w:p>
        </w:tc>
        <w:tc>
          <w:tcPr>
            <w:tcW w:w="2750"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highlight w:val="none"/>
              </w:rPr>
            </w:pPr>
            <w:r>
              <w:rPr>
                <w:rFonts w:hint="eastAsia" w:ascii="仿宋" w:hAnsi="仿宋" w:eastAsia="仿宋" w:cs="仿宋"/>
                <w:color w:val="000000"/>
                <w:kern w:val="0"/>
                <w:highlight w:val="none"/>
              </w:rPr>
              <w:t>详见2.2.9高程测量</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项</w:t>
            </w:r>
          </w:p>
        </w:tc>
        <w:tc>
          <w:tcPr>
            <w:tcW w:w="437"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0.5</w:t>
            </w:r>
          </w:p>
        </w:tc>
      </w:tr>
      <w:tr>
        <w:tblPrEx>
          <w:tblCellMar>
            <w:top w:w="0" w:type="dxa"/>
            <w:left w:w="108" w:type="dxa"/>
            <w:bottom w:w="0" w:type="dxa"/>
            <w:right w:w="108" w:type="dxa"/>
          </w:tblCellMar>
        </w:tblPrEx>
        <w:trPr>
          <w:trHeight w:val="278" w:hRule="atLeast"/>
          <w:jc w:val="center"/>
        </w:trPr>
        <w:tc>
          <w:tcPr>
            <w:tcW w:w="6589"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0"/>
                <w:szCs w:val="20"/>
                <w:highlight w:val="none"/>
              </w:rPr>
              <w:t>单站点合计</w:t>
            </w:r>
          </w:p>
        </w:tc>
        <w:tc>
          <w:tcPr>
            <w:tcW w:w="1903" w:type="dxa"/>
            <w:tcBorders>
              <w:top w:val="nil"/>
              <w:left w:val="nil"/>
              <w:bottom w:val="single" w:color="auto" w:sz="4" w:space="0"/>
              <w:right w:val="single" w:color="auto" w:sz="4" w:space="0"/>
            </w:tcBorders>
            <w:vAlign w:val="center"/>
          </w:tcPr>
          <w:p>
            <w:pPr>
              <w:widowControl/>
              <w:jc w:val="center"/>
              <w:rPr>
                <w:rFonts w:hint="eastAsia" w:ascii="仿宋" w:hAnsi="仿宋" w:eastAsia="仿宋" w:cs="仿宋"/>
                <w:b/>
                <w:bCs/>
                <w:color w:val="000000"/>
                <w:kern w:val="0"/>
                <w:sz w:val="22"/>
                <w:szCs w:val="22"/>
                <w:highlight w:val="none"/>
              </w:rPr>
            </w:pPr>
            <w:r>
              <w:rPr>
                <w:rFonts w:hint="eastAsia" w:ascii="仿宋" w:hAnsi="仿宋" w:eastAsia="仿宋" w:cs="仿宋"/>
                <w:b/>
                <w:bCs/>
                <w:color w:val="000000"/>
                <w:kern w:val="0"/>
                <w:sz w:val="22"/>
                <w:szCs w:val="22"/>
                <w:highlight w:val="none"/>
              </w:rPr>
              <w:t>1.8</w:t>
            </w:r>
          </w:p>
        </w:tc>
      </w:tr>
    </w:tbl>
    <w:p>
      <w:pPr>
        <w:rPr>
          <w:rFonts w:hint="eastAsia" w:ascii="仿宋" w:hAnsi="仿宋" w:eastAsia="仿宋" w:cs="仿宋"/>
          <w:highlight w:val="none"/>
        </w:rPr>
      </w:pPr>
    </w:p>
    <w:p>
      <w:pPr>
        <w:pStyle w:val="6"/>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2.2主要设备技术要求</w:t>
      </w:r>
    </w:p>
    <w:p>
      <w:pPr>
        <w:pStyle w:val="7"/>
        <w:spacing w:line="15" w:lineRule="auto"/>
        <w:jc w:val="left"/>
        <w:rPr>
          <w:rFonts w:hint="eastAsia" w:ascii="仿宋" w:hAnsi="仿宋" w:eastAsia="仿宋" w:cs="仿宋"/>
          <w:b w:val="0"/>
          <w:bCs w:val="0"/>
          <w:color w:val="000000"/>
          <w:sz w:val="28"/>
          <w:szCs w:val="28"/>
          <w:highlight w:val="none"/>
        </w:rPr>
      </w:pPr>
      <w:r>
        <w:rPr>
          <w:rFonts w:hint="eastAsia" w:ascii="仿宋" w:hAnsi="仿宋" w:eastAsia="仿宋" w:cs="仿宋"/>
          <w:bCs w:val="0"/>
          <w:color w:val="000000"/>
          <w:sz w:val="28"/>
          <w:szCs w:val="28"/>
          <w:highlight w:val="none"/>
        </w:rPr>
        <w:t>2.2.1</w:t>
      </w:r>
      <w:r>
        <w:rPr>
          <w:rFonts w:hint="eastAsia" w:ascii="仿宋" w:hAnsi="仿宋" w:eastAsia="仿宋" w:cs="仿宋"/>
          <w:sz w:val="24"/>
          <w:highlight w:val="none"/>
        </w:rPr>
        <w:t>★</w:t>
      </w:r>
      <w:r>
        <w:rPr>
          <w:rFonts w:hint="eastAsia" w:ascii="仿宋" w:hAnsi="仿宋" w:eastAsia="仿宋" w:cs="仿宋"/>
          <w:bCs w:val="0"/>
          <w:color w:val="000000"/>
          <w:sz w:val="28"/>
          <w:szCs w:val="28"/>
          <w:highlight w:val="none"/>
        </w:rPr>
        <w:t>遥测终端（含网关）</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支持浙江省水利防汛通信平台。</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一、遥测终端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2、现场手动设置各种运行模式和参数。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3、接受中心站远程设置和控制指令。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4、全面支持 4G 全网通通信功能，向下兼容 3G/2G 通信模式，支持三大运营商。同时根据现场的网络情况，提供灵活的频段锁定功能，保证现场网络通信的可靠。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5、实时时钟自动校对和调整功能。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6、可连接多种传感器，包括水位计、雨量计、风向风速仪等各种水文、气象传感器。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7、支持多种通信方式，如 GSM 短信、GPRS/CDMA、北斗卫星等。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8、太阳能供电，保证在无人值守条件下的长期稳定运行。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9、可灵活配置的模块化结构，以适应各种不同的需求。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10、 全密封设计，360 度无死角防护，防水等级可达 IP67，降低环境湿度对设备的影响。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11、 支持浙江省防汛通信平台，支持水利内网。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12、 电源输入： 9-24V DC；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13、 电源输出：24V  100mA，5V  20mA，3 路可控电源输出，除满足传感器电源控制外，可灵活实现下行控制功能。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14、 信号采集：2 路 RS485，1 路 RS232，可接入各种类型的外部传感器，并可扩展北斗等外部通信模块；2 路模拟量采集，可接入标准 4-20mA 变送器，可配置为各种传感器类型；2 路脉冲/开关输入，除接入雨量桶外，还可实现报警监测，用于开箱报警等功能。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15、 为保证遥测站长时间稳定工作采用低功耗设计，静态值守电流≤0.5mA。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16、 设备内置卫星定位模块，系统定期获取设备的位置信息，并上传平台，从而实现设备位置信息和数据的自动绑定，设备位置的交换将不会影响测站的数据统计。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17、 数据补发：遇到信号问题，基站问题，sim 卡问题等情况，系统将暂存采集数据并待网络恢复后自前至后进行逐条补发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18、 看门狗：内部硬件看门狗，外部硬件看门狗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19、 工作温度：-40℃至+70℃；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20、 工作湿度：0-95%，不结露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21、 平均无故障工作时间：≥50000h；</w:t>
      </w:r>
    </w:p>
    <w:p>
      <w:pPr>
        <w:pStyle w:val="7"/>
        <w:spacing w:line="15" w:lineRule="auto"/>
        <w:jc w:val="left"/>
        <w:rPr>
          <w:rFonts w:hint="eastAsia" w:ascii="仿宋" w:hAnsi="仿宋" w:eastAsia="仿宋" w:cs="仿宋"/>
          <w:bCs w:val="0"/>
          <w:color w:val="000000"/>
          <w:sz w:val="28"/>
          <w:szCs w:val="28"/>
          <w:highlight w:val="none"/>
        </w:rPr>
      </w:pPr>
      <w:r>
        <w:rPr>
          <w:rFonts w:hint="eastAsia" w:ascii="仿宋" w:hAnsi="仿宋" w:eastAsia="仿宋" w:cs="仿宋"/>
          <w:bCs w:val="0"/>
          <w:color w:val="000000"/>
          <w:sz w:val="28"/>
          <w:szCs w:val="28"/>
          <w:highlight w:val="none"/>
        </w:rPr>
        <w:t>2.2.2北斗通信模块</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1、定位精度:  ≤ 20m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2、授时精度： 单向100ns，双向20ns</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3、响应时间： ＜10s</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4、终端接口：RS-232C接口，不低于9600波特率</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5、天线波束带宽：俯仰方向10°~ 75°，水平方向0° ~ 360°</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6、天线类型：平板微带天线</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7、天线射频信号发射功率：≥10W</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8、发射EIRP：12dBW≤ EIRP≤ 19dBW</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9、雨雾衰减： ＜0.3db</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10、传输时延： ＜1s</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11、接收机灵敏度：＜-157.6dbW</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12、供电电源：9V ~ 24V DC</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13、天线工作温度：-20 ℃  ~  55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14、工作环境温度： 98%RH，45 ℃</w:t>
      </w:r>
    </w:p>
    <w:p>
      <w:pPr>
        <w:pStyle w:val="7"/>
        <w:spacing w:line="15" w:lineRule="auto"/>
        <w:jc w:val="left"/>
        <w:rPr>
          <w:rFonts w:hint="eastAsia" w:ascii="仿宋" w:hAnsi="仿宋" w:eastAsia="仿宋" w:cs="仿宋"/>
          <w:bCs w:val="0"/>
          <w:color w:val="000000"/>
          <w:sz w:val="28"/>
          <w:szCs w:val="28"/>
          <w:highlight w:val="none"/>
        </w:rPr>
      </w:pPr>
      <w:r>
        <w:rPr>
          <w:rFonts w:hint="eastAsia" w:ascii="仿宋" w:hAnsi="仿宋" w:eastAsia="仿宋" w:cs="仿宋"/>
          <w:bCs w:val="0"/>
          <w:color w:val="000000"/>
          <w:sz w:val="28"/>
          <w:szCs w:val="28"/>
          <w:highlight w:val="none"/>
        </w:rPr>
        <w:t>2.2.3雷达水位传感器</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1）量程：30米</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2）精度：+/- 5MM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3）工作温度：-40--+80度</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4）工作电压：四线制DC 6-28V ，推荐12V DC；两线制18-28V DC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5）接线：四线屏蔽电缆，防水端子M20X1.5，适合电缆外径9-13MM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6）功耗：最大功耗0.6W </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7）输出信号：RS485 标准MODBUS RTU协议；RS232 4-20mA/HART协议</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8）外壳：铸铝，IP67</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9）喇叭天线：不锈钢304，口径76-120MM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10）安装附件：不锈钢六角螺帽G1-1/2</w:t>
      </w:r>
    </w:p>
    <w:p>
      <w:pPr>
        <w:pStyle w:val="7"/>
        <w:spacing w:line="15" w:lineRule="auto"/>
        <w:jc w:val="left"/>
        <w:rPr>
          <w:rFonts w:hint="eastAsia" w:ascii="仿宋" w:hAnsi="仿宋" w:eastAsia="仿宋" w:cs="仿宋"/>
          <w:b w:val="0"/>
          <w:bCs w:val="0"/>
          <w:color w:val="000000"/>
          <w:sz w:val="28"/>
          <w:szCs w:val="28"/>
          <w:highlight w:val="none"/>
        </w:rPr>
      </w:pPr>
      <w:r>
        <w:rPr>
          <w:rFonts w:hint="eastAsia" w:ascii="仿宋" w:hAnsi="仿宋" w:eastAsia="仿宋" w:cs="仿宋"/>
          <w:bCs w:val="0"/>
          <w:color w:val="000000"/>
          <w:sz w:val="28"/>
          <w:szCs w:val="28"/>
          <w:highlight w:val="none"/>
        </w:rPr>
        <w:t>2.2.4浮子式水位传感器</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1、测量范围：不小于0～40m；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2、水位变率：＜100cm/min；</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3、分辨力：1cm；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4、水位轮启动力矩：＜100g·cm；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5、测量准确度：≤±2cm 或0.2% FS；6、显示器：十进制</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6、机械计数器；</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7、格雷码输出：10-13 位；</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8、环境温度：-25℃～85℃（测井水体不结冰）；</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9、相对湿度：＜90%（40℃）。</w:t>
      </w:r>
    </w:p>
    <w:p>
      <w:pPr>
        <w:pStyle w:val="7"/>
        <w:spacing w:line="15" w:lineRule="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2.2.5压力式水位传感器</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1、水位范围：0-10m</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2、测量精度：±0.1%FS </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 xml:space="preserve">3、分辨率：1mm </w:t>
      </w:r>
    </w:p>
    <w:p>
      <w:pPr>
        <w:ind w:firstLine="480" w:firstLineChars="200"/>
        <w:rPr>
          <w:rFonts w:hint="eastAsia" w:ascii="仿宋" w:hAnsi="仿宋" w:eastAsia="仿宋" w:cs="仿宋"/>
          <w:color w:val="000000"/>
          <w:highlight w:val="none"/>
        </w:rPr>
      </w:pPr>
      <w:r>
        <w:rPr>
          <w:rFonts w:hint="eastAsia" w:ascii="仿宋" w:hAnsi="仿宋" w:eastAsia="仿宋" w:cs="仿宋"/>
          <w:bCs/>
          <w:color w:val="000000"/>
          <w:sz w:val="24"/>
          <w:highlight w:val="none"/>
        </w:rPr>
        <w:t>4、温度测量精度：±0.2℃（0-70℃）</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5、温度分辨率：0.01℃</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6、补偿温度：0-50℃</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7、供电电压：12V DC</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8、输出接口：RS485Modbus</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9、过载能力：2*FS</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10、长期稳定性：＜0.1%FS/年  壳体材质：不锈钢316L</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11、电缆材质：聚氨酯</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12、防护等级：IP68级及以上，需提供权威机构出具的防水防尘等级测试报告</w:t>
      </w:r>
    </w:p>
    <w:p>
      <w:pPr>
        <w:spacing w:line="360" w:lineRule="auto"/>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13、工作温度：-10℃-80℃</w:t>
      </w: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2.2.6翻斗式雨量计</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1．承雨口： 内径Φ200+0.60 0mm，外刃口角度40°～45°；</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2．雨量分辨力： 0.5mm；</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3．降雨强度测量范围： ≤4mm/min；</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4．翻斗计量误差：不超出±3%；</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5．输出：开关接点通断信号；</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6．开关接点容量： DC U≤24V ， I≤120mA；</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7．开关接点寿命： ≥10000000次；</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8．工作环境： 温度－10℃～＋50℃，空气相对湿度不限；</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9．贮存环境： 温度－40℃～＋60℃，空气相对湿度≤95%RH；</w:t>
      </w:r>
    </w:p>
    <w:p>
      <w:pPr>
        <w:pStyle w:val="962"/>
        <w:spacing w:line="360" w:lineRule="auto"/>
        <w:rPr>
          <w:rFonts w:hint="eastAsia" w:ascii="仿宋" w:hAnsi="仿宋" w:eastAsia="仿宋" w:cs="仿宋"/>
          <w:color w:val="000000"/>
          <w:highlight w:val="none"/>
        </w:rPr>
      </w:pP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2.2.7太阳能供电系统</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电源系统的设计要求是：</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电池类别：密封免维护电池或固体、胶体电池；</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容量：全部由电池供电时，应能保证设备连续工作 30 天以上，用太阳能浮充蓄电池供电，保证设备能长期可靠工作，采用不小于</w:t>
      </w:r>
      <w:r>
        <w:rPr>
          <w:rFonts w:hint="eastAsia" w:ascii="仿宋" w:hAnsi="仿宋" w:eastAsia="仿宋" w:cs="仿宋"/>
          <w:bCs/>
          <w:color w:val="000000"/>
          <w:sz w:val="24"/>
          <w:highlight w:val="none"/>
          <w:lang w:val="en-US" w:eastAsia="zh-CN"/>
        </w:rPr>
        <w:t>100</w:t>
      </w:r>
      <w:r>
        <w:rPr>
          <w:rFonts w:hint="eastAsia" w:ascii="仿宋" w:hAnsi="仿宋" w:eastAsia="仿宋" w:cs="仿宋"/>
          <w:bCs/>
          <w:color w:val="000000"/>
          <w:sz w:val="24"/>
          <w:highlight w:val="none"/>
        </w:rPr>
        <w:t>AH 蓄电池。</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spacing w:line="360" w:lineRule="auto"/>
        <w:ind w:firstLine="560"/>
        <w:rPr>
          <w:rFonts w:hint="eastAsia" w:ascii="仿宋" w:hAnsi="仿宋" w:eastAsia="仿宋" w:cs="仿宋"/>
          <w:color w:val="000000"/>
          <w:sz w:val="24"/>
          <w:szCs w:val="20"/>
          <w:highlight w:val="none"/>
        </w:rPr>
      </w:pPr>
      <w:r>
        <w:rPr>
          <w:rFonts w:hint="eastAsia" w:ascii="仿宋" w:hAnsi="仿宋" w:eastAsia="仿宋" w:cs="仿宋"/>
          <w:bCs/>
          <w:color w:val="000000"/>
          <w:sz w:val="24"/>
          <w:highlight w:val="none"/>
        </w:rPr>
        <w:t>遥测站太阳能供电系统的设计，由于无人看守，且要求连续不间断供电，考虑计算负载的日用电量、太阳能电池修正系数（考虑灰尘、气候、蓄电池特性）等方面的影响，采用不小于30W的太阳能电池板。</w:t>
      </w:r>
    </w:p>
    <w:p>
      <w:pPr>
        <w:spacing w:line="360" w:lineRule="auto"/>
        <w:ind w:firstLine="56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1、太阳能板技术参数</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1）、单晶，功率不小于30W;</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2)、充电电压不低于18V;</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2、蓄电池技术参数</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自</w:t>
      </w:r>
      <w:r>
        <w:rPr>
          <w:rFonts w:hint="eastAsia" w:ascii="仿宋" w:hAnsi="仿宋" w:eastAsia="仿宋" w:cs="仿宋"/>
          <w:bCs/>
          <w:color w:val="000000"/>
          <w:sz w:val="24"/>
          <w:highlight w:val="none"/>
        </w:rPr>
        <w:t>动遥测站采用</w:t>
      </w:r>
      <w:r>
        <w:rPr>
          <w:rFonts w:hint="eastAsia" w:ascii="仿宋" w:hAnsi="仿宋" w:eastAsia="仿宋" w:cs="仿宋"/>
          <w:bCs/>
          <w:color w:val="000000"/>
          <w:sz w:val="24"/>
          <w:highlight w:val="none"/>
        </w:rPr>
        <w:t>12V蓄</w:t>
      </w:r>
      <w:r>
        <w:rPr>
          <w:rFonts w:hint="eastAsia" w:ascii="仿宋" w:hAnsi="仿宋" w:eastAsia="仿宋" w:cs="仿宋"/>
          <w:bCs/>
          <w:color w:val="000000"/>
          <w:sz w:val="24"/>
          <w:highlight w:val="none"/>
        </w:rPr>
        <w:t>电</w:t>
      </w:r>
      <w:r>
        <w:rPr>
          <w:rFonts w:hint="eastAsia" w:ascii="仿宋" w:hAnsi="仿宋" w:eastAsia="仿宋" w:cs="仿宋"/>
          <w:bCs/>
          <w:color w:val="000000"/>
          <w:sz w:val="24"/>
          <w:highlight w:val="none"/>
        </w:rPr>
        <w:t>池供</w:t>
      </w:r>
      <w:r>
        <w:rPr>
          <w:rFonts w:hint="eastAsia" w:ascii="仿宋" w:hAnsi="仿宋" w:eastAsia="仿宋" w:cs="仿宋"/>
          <w:bCs/>
          <w:color w:val="000000"/>
          <w:sz w:val="24"/>
          <w:highlight w:val="none"/>
        </w:rPr>
        <w:t>电，对电源的设计要求是：</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1）、12V/</w:t>
      </w:r>
      <w:r>
        <w:rPr>
          <w:rFonts w:hint="eastAsia" w:ascii="仿宋" w:hAnsi="仿宋" w:eastAsia="仿宋" w:cs="仿宋"/>
          <w:bCs/>
          <w:color w:val="000000"/>
          <w:sz w:val="24"/>
          <w:highlight w:val="none"/>
          <w:lang w:eastAsia="zh-CN"/>
        </w:rPr>
        <w:t>≥</w:t>
      </w:r>
      <w:r>
        <w:rPr>
          <w:rFonts w:hint="eastAsia" w:ascii="仿宋" w:hAnsi="仿宋" w:eastAsia="仿宋" w:cs="仿宋"/>
          <w:bCs/>
          <w:color w:val="000000"/>
          <w:sz w:val="24"/>
          <w:highlight w:val="none"/>
          <w:lang w:val="en-US" w:eastAsia="zh-CN"/>
        </w:rPr>
        <w:t>100</w:t>
      </w:r>
      <w:r>
        <w:rPr>
          <w:rFonts w:hint="eastAsia" w:ascii="仿宋" w:hAnsi="仿宋" w:eastAsia="仿宋" w:cs="仿宋"/>
          <w:bCs/>
          <w:color w:val="000000"/>
          <w:sz w:val="24"/>
          <w:highlight w:val="none"/>
        </w:rPr>
        <w:t>AH，电源控制器。</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2）、自动遥测站采用 12V 蓄电池供电。</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3）、电池类别：密封免维护电池或固体、胶体电池。</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4）、电压：允许变幅－10％~＋20％。</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5）、电流：发射机功率 5W（GSM）时，应能瞬间提供 3A 电流；</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6）、容量：全部由电池供电时，应能保证设备连续工作 30 天以上，用太阳能浮充蓄电池供电，保证设备能长期可靠工作，采用不小于</w:t>
      </w:r>
      <w:r>
        <w:rPr>
          <w:rFonts w:hint="eastAsia" w:ascii="仿宋" w:hAnsi="仿宋" w:eastAsia="仿宋" w:cs="仿宋"/>
          <w:bCs/>
          <w:color w:val="000000"/>
          <w:sz w:val="24"/>
          <w:highlight w:val="none"/>
          <w:lang w:val="en-US" w:eastAsia="zh-CN"/>
        </w:rPr>
        <w:t>100</w:t>
      </w:r>
      <w:r>
        <w:rPr>
          <w:rFonts w:hint="eastAsia" w:ascii="仿宋" w:hAnsi="仿宋" w:eastAsia="仿宋" w:cs="仿宋"/>
          <w:bCs/>
          <w:color w:val="000000"/>
          <w:sz w:val="24"/>
          <w:highlight w:val="none"/>
        </w:rPr>
        <w:t>AH 蓄电池。</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7）、硅太阳能电池是将光能直接转换成电能的半导体器件，具有体积小、可靠性高、寿命长、无环境污染、使用维护方便等特点。它可以单独使用，也可以多个连接起来组成方阵使用，与蓄电池配合可作为直流电源连续使用。</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8）、遥测站太阳能电源系统的设计，由于无人看守，且要求连续不间断供电，考虑计算负载的日用电量、太阳能电池修正系数（考虑灰尘、气候、蓄电池特性）等方面的影响，采用不小于 30W 的太阳能电池板。</w:t>
      </w: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2.2.8标识标牌</w:t>
      </w:r>
    </w:p>
    <w:p>
      <w:pPr>
        <w:spacing w:line="360" w:lineRule="auto"/>
        <w:ind w:firstLine="56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水文补短板工程建设的各类水文专用站外观形象宜与周边环境适应，应设置醒目的浙江水文行业标识，标识尺寸、位置与建筑物外观匹配；监测平台应设立防护设施，入口处悬挂统一形式站牌及安全警示标志；做到“行业有标识、测站有站牌、设施有防护、安全有警示” 。</w:t>
      </w:r>
    </w:p>
    <w:p>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1.浙江水文行业标识</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（1）水文标志、中文标准字横式（左右）组合</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647315" cy="1183640"/>
            <wp:effectExtent l="0" t="0" r="63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2647315" cy="118364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注：a为一个基本计量单位</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中文：浙江水文字体：华文行楷</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（2）水文标志、中文标准字横式竖式组合</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1760855" cy="2476500"/>
            <wp:effectExtent l="0" t="0" r="1079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1760855" cy="247650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注：a为一个基本计量单位</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中文：浙江水文字体：华文行楷</w:t>
      </w:r>
    </w:p>
    <w:p>
      <w:pPr>
        <w:spacing w:line="360" w:lineRule="auto"/>
        <w:rPr>
          <w:rFonts w:hint="eastAsia" w:ascii="仿宋" w:hAnsi="仿宋" w:eastAsia="仿宋" w:cs="仿宋"/>
          <w:color w:val="000000"/>
          <w:sz w:val="24"/>
          <w:highlight w:val="none"/>
        </w:rPr>
      </w:pPr>
    </w:p>
    <w:p>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2.自动监测站站牌设计</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（1）浙江省水文专用站站牌设计一：</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457450" cy="2101850"/>
            <wp:effectExtent l="0" t="0" r="0"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4"/>
                    <a:stretch>
                      <a:fillRect/>
                    </a:stretch>
                  </pic:blipFill>
                  <pic:spPr>
                    <a:xfrm>
                      <a:off x="0" y="0"/>
                      <a:ext cx="2457450" cy="210185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1、此图用CAD软件制作，文字高度和标准色为CAD格式。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2、尺寸630mm*450mm</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3、文字：“浙江水文”，字体：华文行楷。文字高度: 43;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文字：“站名: </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流量自动监测站”，字体：黑体，文字高度：30；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文字：“</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市水利局”，“二0</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月”：黑体，文字高度：17；</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4、标准色：蓝色三色数值:R：0  G：114  B：183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5、背景色：渐变  R：O   G：114   B：183； R：0   G：0   B：0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6、材质：采用1cm厚304不锈钢板或铜板。</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制作工艺：文字及水文L0G0腐蚀刻入 (凹进)钢板内，按标准色填漆。</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烤漆：不锈钢板平面拉丝，四周留27cm宽亮边。</w:t>
      </w:r>
    </w:p>
    <w:p>
      <w:pPr>
        <w:spacing w:line="360" w:lineRule="auto"/>
        <w:ind w:firstLine="480" w:firstLineChars="200"/>
        <w:rPr>
          <w:rFonts w:hint="eastAsia" w:ascii="仿宋" w:hAnsi="仿宋" w:eastAsia="仿宋" w:cs="仿宋"/>
          <w:b/>
          <w:color w:val="000000"/>
          <w:sz w:val="24"/>
          <w:highlight w:val="none"/>
        </w:rPr>
      </w:pPr>
      <w:r>
        <w:rPr>
          <w:rFonts w:hint="eastAsia" w:ascii="仿宋" w:hAnsi="仿宋" w:eastAsia="仿宋" w:cs="仿宋"/>
          <w:color w:val="000000"/>
          <w:sz w:val="24"/>
          <w:highlight w:val="none"/>
        </w:rPr>
        <w:t>7、安装方式：用于站房的标示牌镶嵌于醒目位置，例如门上方或两侧。</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（2）浙江省水文专用站站牌设计二：</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327910" cy="1976755"/>
            <wp:effectExtent l="0" t="0" r="15240" b="44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5"/>
                    <a:stretch>
                      <a:fillRect/>
                    </a:stretch>
                  </pic:blipFill>
                  <pic:spPr>
                    <a:xfrm>
                      <a:off x="0" y="0"/>
                      <a:ext cx="2327910" cy="197675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1、此图用CAD软件制作，文字高度和标准色为CAD格式。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2、尺寸630mm*450mm</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3、文字：“浙江水文”，字体：华文行楷。文字高度: 43;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文字：“站名：</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水位自动监测站”，字体：黑体，文字高度：30；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文字：“</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市水利局”，“二0</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月”：黑体，文字高度：17；</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4、标准色：蓝色三色数值：R：0  G：114  B：183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5、背景色：渐变  R：O   G：114   B：183； R：0   G：0   B：0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6、材质：采用1cm厚304不锈钢板或铜板。</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制作工艺：文字及水文L0G0腐蚀刻入 (凹进)钢板内，按标准色填漆。</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烤漆：不锈钢板平面拉丝，四周留27cm宽亮边。</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7、安装方式：用于站房的标示牌镶嵌于醒目位置，例如门上方或两侧。</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（3）浙江省水文专用站站牌设计三：</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486025" cy="2137410"/>
            <wp:effectExtent l="0" t="0" r="952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2486025" cy="213741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1、此图用CAD软件制作，文字高度和标准色为CAD格式。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2、尺寸630mm*450mm</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3、文字：“浙江水文”，字体：华文行楷。文字高度：43;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文字：“站名：</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雨量自动监测站”，字体：黑体，文字高度：30；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文字：“</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市水利局”，“二0</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sym w:font="Times New Roman" w:char="0000"/>
      </w:r>
      <w:r>
        <w:rPr>
          <w:rFonts w:hint="eastAsia" w:ascii="仿宋" w:hAnsi="仿宋" w:eastAsia="仿宋" w:cs="仿宋"/>
          <w:color w:val="000000"/>
          <w:sz w:val="24"/>
          <w:highlight w:val="none"/>
        </w:rPr>
        <w:t>月”：黑体，文字高度：17；</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4、标准色：蓝色三色数值：R：0  G：114  B：183</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5、背景色：渐变  R：O   G：114   B：183； R：0   G：0   B：0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6、材质：采用1cm厚304不锈钢板或铜板。</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制作工艺：文字及水文L0G0腐蚀刻入 (凹进)钢板内，按标准色填漆。</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烤漆：不锈钢板平面拉丝，四周留27cm宽亮边。</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7、安装方式：用于站房的标示牌镶嵌于醒目位置，例如门上方或两侧。</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（4）浙江省水文专用站站牌设计四：</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672080" cy="2026920"/>
            <wp:effectExtent l="0" t="0" r="13970"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2672080" cy="2026920"/>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标识牌制作说明:</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1、此图用CAD软件制作，文字高度和标准色为CAD格式。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2、尺寸630mm*450mm</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3、文字：“安全警示牌”，字体：黑体。</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4、标准色：蓝色三色数值：R:：0  G：93  B：160</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白色三色数值：R：0   G：0   B：0</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5、材质：采用1cm厚304不锈钢板或铜板。</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制作工艺：文字及水文LOGO腐蚀刻入(凹进)钢板内，按标准色填漆。</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烤漆：不锈钢板平面拉丝，四周留27cm宽亮边。</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6、安装方式：用于站房的标示牌镶嵌于醒目位置，例如门上方或两侧。</w:t>
      </w:r>
    </w:p>
    <w:p>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3.测站外观标识参考图</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（1）水文标志横式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中文：浙江水文字体：华文行楷</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109470" cy="2519045"/>
            <wp:effectExtent l="0" t="0" r="508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rcRect l="34776" t="12193" r="26715" b="15024"/>
                    <a:stretch>
                      <a:fillRect/>
                    </a:stretch>
                  </pic:blipFill>
                  <pic:spPr>
                    <a:xfrm>
                      <a:off x="0" y="0"/>
                      <a:ext cx="2109470" cy="2519045"/>
                    </a:xfrm>
                    <a:prstGeom prst="rect">
                      <a:avLst/>
                    </a:prstGeom>
                    <a:noFill/>
                    <a:ln>
                      <a:noFill/>
                    </a:ln>
                  </pic:spPr>
                </pic:pic>
              </a:graphicData>
            </a:graphic>
          </wp:inline>
        </w:drawing>
      </w:r>
    </w:p>
    <w:p>
      <w:pPr>
        <w:widowControl/>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（2）水文标志竖式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中文：浙江水文字体：华文行楷</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2948940" cy="3290570"/>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2948940" cy="3290570"/>
                    </a:xfrm>
                    <a:prstGeom prst="rect">
                      <a:avLst/>
                    </a:prstGeom>
                    <a:noFill/>
                    <a:ln>
                      <a:noFill/>
                    </a:ln>
                  </pic:spPr>
                </pic:pic>
              </a:graphicData>
            </a:graphic>
          </wp:inline>
        </w:drawing>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highlight w:val="none"/>
        </w:rPr>
        <w:drawing>
          <wp:inline distT="0" distB="0" distL="114300" distR="114300">
            <wp:extent cx="2978150" cy="1896110"/>
            <wp:effectExtent l="0" t="0" r="1270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2978150" cy="1896110"/>
                    </a:xfrm>
                    <a:prstGeom prst="rect">
                      <a:avLst/>
                    </a:prstGeom>
                    <a:noFill/>
                    <a:ln>
                      <a:noFill/>
                    </a:ln>
                  </pic:spPr>
                </pic:pic>
              </a:graphicData>
            </a:graphic>
          </wp:inline>
        </w:drawing>
      </w:r>
    </w:p>
    <w:p>
      <w:pPr>
        <w:widowControl/>
        <w:spacing w:line="360" w:lineRule="auto"/>
        <w:jc w:val="left"/>
        <w:rPr>
          <w:rFonts w:hint="eastAsia" w:ascii="仿宋" w:hAnsi="仿宋" w:eastAsia="仿宋" w:cs="仿宋"/>
          <w:b/>
          <w:color w:val="000000"/>
          <w:sz w:val="24"/>
          <w:highlight w:val="none"/>
        </w:rPr>
      </w:pP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（3）水位自记台标识设计</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中文字：浙江水文字体：华文行楷</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材料：铜或钛金</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字的大小可根据水位自记台的大小而定。</w:t>
      </w:r>
    </w:p>
    <w:p>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drawing>
          <wp:inline distT="0" distB="0" distL="114300" distR="114300">
            <wp:extent cx="3829050" cy="2438400"/>
            <wp:effectExtent l="0" t="0" r="0" b="0"/>
            <wp:docPr id="12" name="图片 12" descr="C:\Users\sunshine\Desktop\附件3\附件3 测站外观标识参考图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unshine\Desktop\附件3\附件3 测站外观标识参考图_页面_2.jpg"/>
                    <pic:cNvPicPr>
                      <a:picLocks noChangeAspect="1"/>
                    </pic:cNvPicPr>
                  </pic:nvPicPr>
                  <pic:blipFill>
                    <a:blip r:embed="rId31"/>
                    <a:srcRect l="34209" t="57642" r="17043" b="20403"/>
                    <a:stretch>
                      <a:fillRect/>
                    </a:stretch>
                  </pic:blipFill>
                  <pic:spPr>
                    <a:xfrm>
                      <a:off x="0" y="0"/>
                      <a:ext cx="3829050" cy="2438400"/>
                    </a:xfrm>
                    <a:prstGeom prst="rect">
                      <a:avLst/>
                    </a:prstGeom>
                    <a:noFill/>
                    <a:ln>
                      <a:noFill/>
                    </a:ln>
                  </pic:spPr>
                </pic:pic>
              </a:graphicData>
            </a:graphic>
          </wp:inline>
        </w:drawing>
      </w:r>
    </w:p>
    <w:p>
      <w:pPr>
        <w:pStyle w:val="7"/>
        <w:spacing w:line="15" w:lineRule="auto"/>
        <w:jc w:val="left"/>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2.2.9高程测量</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测量高程点要求</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1、基准点的选址与埋设</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基准点是变形监测的基准，应埋设在变形影响区域外稳固可靠的位置。</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（1）标石占用的土地，必须取得土地管理部门和土地使用单位或个人的同意，并办理征地手续。</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（2）标石柱体可先行预制，底盘须在现场浇灌。</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 标石顶面的水准标志，采用加接铁质根络的铜或不锈钢半球顶的标志，也可采用玻璃钢或石质标志。</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标石埋设类型参考下表</w:t>
      </w:r>
    </w:p>
    <w:tbl>
      <w:tblPr>
        <w:tblStyle w:val="62"/>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455"/>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7" w:type="dxa"/>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序号</w:t>
            </w:r>
          </w:p>
        </w:tc>
        <w:tc>
          <w:tcPr>
            <w:tcW w:w="3455" w:type="dxa"/>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标石类型</w:t>
            </w:r>
          </w:p>
        </w:tc>
        <w:tc>
          <w:tcPr>
            <w:tcW w:w="4082" w:type="dxa"/>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适用地区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1</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混凝土普通水准标石</w:t>
            </w:r>
          </w:p>
        </w:tc>
        <w:tc>
          <w:tcPr>
            <w:tcW w:w="4082"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土层不冻或冻土深度小于0.8m的地区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2</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岩层普通水准标石</w:t>
            </w:r>
          </w:p>
        </w:tc>
        <w:tc>
          <w:tcPr>
            <w:tcW w:w="4082"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岩层出露或埋入地面不深于1.5m处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3</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混凝土柱普通水准标石</w:t>
            </w:r>
          </w:p>
        </w:tc>
        <w:tc>
          <w:tcPr>
            <w:tcW w:w="4082" w:type="dxa"/>
            <w:vMerge w:val="restart"/>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冻土深度大于0.8m的地区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4</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钢管普通水准标石</w:t>
            </w:r>
          </w:p>
        </w:tc>
        <w:tc>
          <w:tcPr>
            <w:tcW w:w="4082" w:type="dxa"/>
            <w:vMerge w:val="continue"/>
            <w:vAlign w:val="center"/>
          </w:tcPr>
          <w:p>
            <w:pPr>
              <w:autoSpaceDE w:val="0"/>
              <w:autoSpaceDN w:val="0"/>
              <w:adjustRightInd w:val="0"/>
              <w:ind w:firstLine="360"/>
              <w:jc w:val="center"/>
              <w:rPr>
                <w:rFonts w:hint="eastAsia" w:ascii="仿宋" w:hAnsi="仿宋" w:eastAsia="仿宋" w:cs="仿宋"/>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5</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爆破型混凝土柱普通水准标石</w:t>
            </w:r>
          </w:p>
        </w:tc>
        <w:tc>
          <w:tcPr>
            <w:tcW w:w="4082" w:type="dxa"/>
            <w:vMerge w:val="continue"/>
            <w:vAlign w:val="center"/>
          </w:tcPr>
          <w:p>
            <w:pPr>
              <w:autoSpaceDE w:val="0"/>
              <w:autoSpaceDN w:val="0"/>
              <w:adjustRightInd w:val="0"/>
              <w:ind w:firstLine="360"/>
              <w:jc w:val="center"/>
              <w:rPr>
                <w:rFonts w:hint="eastAsia" w:ascii="仿宋" w:hAnsi="仿宋" w:eastAsia="仿宋" w:cs="仿宋"/>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7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6</w:t>
            </w:r>
          </w:p>
        </w:tc>
        <w:tc>
          <w:tcPr>
            <w:tcW w:w="3455"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墙脚水准标志</w:t>
            </w:r>
          </w:p>
        </w:tc>
        <w:tc>
          <w:tcPr>
            <w:tcW w:w="4082"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坚固建筑物或直立石崖处</w:t>
            </w:r>
          </w:p>
        </w:tc>
      </w:tr>
    </w:tbl>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2、变形观测点选址与埋设</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变形观测点应布设在变形体的闸墩、基础、启闭机房及上部结构等能反应变形特征的敏感位置。水准路线要联测选埋的控制点，成果便于后期相关项目的使用。相关技术要求参考下表。</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标石顶面的水准标志，采用加接铁质根络的铜或不锈钢半球顶的标志，也可采用玻璃钢或石质标志。</w:t>
      </w:r>
    </w:p>
    <w:tbl>
      <w:tblPr>
        <w:tblStyle w:val="62"/>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521"/>
        <w:gridCol w:w="1402"/>
        <w:gridCol w:w="1490"/>
        <w:gridCol w:w="148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 w:hRule="atLeast"/>
          <w:jc w:val="center"/>
        </w:trPr>
        <w:tc>
          <w:tcPr>
            <w:tcW w:w="1357" w:type="dxa"/>
            <w:vMerge w:val="restart"/>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等 级</w:t>
            </w:r>
          </w:p>
        </w:tc>
        <w:tc>
          <w:tcPr>
            <w:tcW w:w="1521" w:type="dxa"/>
            <w:vMerge w:val="restart"/>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测段、路线往返测高差不符值</w:t>
            </w:r>
          </w:p>
        </w:tc>
        <w:tc>
          <w:tcPr>
            <w:tcW w:w="1402" w:type="dxa"/>
            <w:vMerge w:val="restart"/>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测段、路线的左、右路线高差不符值</w:t>
            </w:r>
          </w:p>
        </w:tc>
        <w:tc>
          <w:tcPr>
            <w:tcW w:w="2977" w:type="dxa"/>
            <w:gridSpan w:val="2"/>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附合路线闭合差</w:t>
            </w:r>
          </w:p>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或 环 闭 合 差</w:t>
            </w:r>
          </w:p>
        </w:tc>
        <w:tc>
          <w:tcPr>
            <w:tcW w:w="1491" w:type="dxa"/>
            <w:vMerge w:val="restart"/>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检测已测测段高 差 之 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1357" w:type="dxa"/>
            <w:vMerge w:val="continue"/>
            <w:vAlign w:val="center"/>
          </w:tcPr>
          <w:p>
            <w:pPr>
              <w:autoSpaceDE w:val="0"/>
              <w:autoSpaceDN w:val="0"/>
              <w:adjustRightInd w:val="0"/>
              <w:ind w:firstLine="360"/>
              <w:jc w:val="center"/>
              <w:rPr>
                <w:rFonts w:hint="eastAsia" w:ascii="仿宋" w:hAnsi="仿宋" w:eastAsia="仿宋" w:cs="仿宋"/>
                <w:sz w:val="22"/>
                <w:highlight w:val="none"/>
              </w:rPr>
            </w:pPr>
          </w:p>
        </w:tc>
        <w:tc>
          <w:tcPr>
            <w:tcW w:w="1521" w:type="dxa"/>
            <w:vMerge w:val="continue"/>
            <w:vAlign w:val="center"/>
          </w:tcPr>
          <w:p>
            <w:pPr>
              <w:autoSpaceDE w:val="0"/>
              <w:autoSpaceDN w:val="0"/>
              <w:adjustRightInd w:val="0"/>
              <w:ind w:firstLine="360"/>
              <w:jc w:val="center"/>
              <w:rPr>
                <w:rFonts w:hint="eastAsia" w:ascii="仿宋" w:hAnsi="仿宋" w:eastAsia="仿宋" w:cs="仿宋"/>
                <w:sz w:val="22"/>
                <w:highlight w:val="none"/>
              </w:rPr>
            </w:pPr>
          </w:p>
        </w:tc>
        <w:tc>
          <w:tcPr>
            <w:tcW w:w="1402" w:type="dxa"/>
            <w:vMerge w:val="continue"/>
          </w:tcPr>
          <w:p>
            <w:pPr>
              <w:autoSpaceDE w:val="0"/>
              <w:autoSpaceDN w:val="0"/>
              <w:adjustRightInd w:val="0"/>
              <w:ind w:firstLine="360"/>
              <w:jc w:val="center"/>
              <w:rPr>
                <w:rFonts w:hint="eastAsia" w:ascii="仿宋" w:hAnsi="仿宋" w:eastAsia="仿宋" w:cs="仿宋"/>
                <w:sz w:val="22"/>
                <w:highlight w:val="none"/>
              </w:rPr>
            </w:pPr>
          </w:p>
        </w:tc>
        <w:tc>
          <w:tcPr>
            <w:tcW w:w="1490" w:type="dxa"/>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平原</w:t>
            </w:r>
          </w:p>
        </w:tc>
        <w:tc>
          <w:tcPr>
            <w:tcW w:w="1487" w:type="dxa"/>
            <w:vAlign w:val="center"/>
          </w:tcPr>
          <w:p>
            <w:pPr>
              <w:autoSpaceDE w:val="0"/>
              <w:autoSpaceDN w:val="0"/>
              <w:adjustRightInd w:val="0"/>
              <w:jc w:val="center"/>
              <w:rPr>
                <w:rFonts w:hint="eastAsia" w:ascii="仿宋" w:hAnsi="仿宋" w:eastAsia="仿宋" w:cs="仿宋"/>
                <w:b/>
                <w:bCs/>
                <w:sz w:val="22"/>
                <w:highlight w:val="none"/>
              </w:rPr>
            </w:pPr>
            <w:r>
              <w:rPr>
                <w:rFonts w:hint="eastAsia" w:ascii="仿宋" w:hAnsi="仿宋" w:eastAsia="仿宋" w:cs="仿宋"/>
                <w:b/>
                <w:bCs/>
                <w:sz w:val="22"/>
                <w:highlight w:val="none"/>
              </w:rPr>
              <w:t>山区</w:t>
            </w:r>
          </w:p>
        </w:tc>
        <w:tc>
          <w:tcPr>
            <w:tcW w:w="1491" w:type="dxa"/>
            <w:vMerge w:val="continue"/>
            <w:vAlign w:val="center"/>
          </w:tcPr>
          <w:p>
            <w:pPr>
              <w:autoSpaceDE w:val="0"/>
              <w:autoSpaceDN w:val="0"/>
              <w:adjustRightInd w:val="0"/>
              <w:ind w:firstLine="360"/>
              <w:jc w:val="center"/>
              <w:rPr>
                <w:rFonts w:hint="eastAsia" w:ascii="仿宋" w:hAnsi="仿宋" w:eastAsia="仿宋" w:cs="仿宋"/>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35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三 等</w:t>
            </w:r>
          </w:p>
        </w:tc>
        <w:tc>
          <w:tcPr>
            <w:tcW w:w="1521"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25" o:spt="75" type="#_x0000_t75" style="height:12.6pt;width:31.3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p>
        </w:tc>
        <w:tc>
          <w:tcPr>
            <w:tcW w:w="1402" w:type="dxa"/>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26" o:spt="75" type="#_x0000_t75" style="height:12.6pt;width:28.1pt;" o:ole="t" filled="f" o:preferrelative="t" stroked="f" coordsize="21600,21600">
                  <v:path/>
                  <v:fill on="f" focussize="0,0"/>
                  <v:stroke on="f" joinstyle="miter"/>
                  <v:imagedata r:id="rId35" o:title=""/>
                  <o:lock v:ext="edit" aspectratio="t"/>
                  <w10:wrap type="none"/>
                  <w10:anchorlock/>
                </v:shape>
                <o:OLEObject Type="Embed" ProgID="Equation.3" ShapeID="_x0000_i1026" DrawAspect="Content" ObjectID="_1468075726" r:id="rId34">
                  <o:LockedField>false</o:LockedField>
                </o:OLEObject>
              </w:object>
            </w:r>
          </w:p>
        </w:tc>
        <w:tc>
          <w:tcPr>
            <w:tcW w:w="1490"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27" o:spt="75" type="#_x0000_t75" style="height:12.6pt;width:29.9pt;" o:ole="t" filled="f" o:preferrelative="t" stroked="f" coordsize="21600,21600">
                  <v:path/>
                  <v:fill on="f" focussize="0,0"/>
                  <v:stroke on="f" joinstyle="miter"/>
                  <v:imagedata r:id="rId37" o:title=""/>
                  <o:lock v:ext="edit" aspectratio="t"/>
                  <w10:wrap type="none"/>
                  <w10:anchorlock/>
                </v:shape>
                <o:OLEObject Type="Embed" ProgID="Equation.3" ShapeID="_x0000_i1027" DrawAspect="Content" ObjectID="_1468075727" r:id="rId36">
                  <o:LockedField>false</o:LockedField>
                </o:OLEObject>
              </w:object>
            </w:r>
          </w:p>
        </w:tc>
        <w:tc>
          <w:tcPr>
            <w:tcW w:w="148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28" o:spt="75" type="#_x0000_t75" style="height:12.6pt;width:29.9pt;" o:ole="t" filled="f" o:preferrelative="t" stroked="f" coordsize="21600,21600">
                  <v:path/>
                  <v:fill on="f" focussize="0,0"/>
                  <v:stroke on="f" joinstyle="miter"/>
                  <v:imagedata r:id="rId39" o:title=""/>
                  <o:lock v:ext="edit" aspectratio="t"/>
                  <w10:wrap type="none"/>
                  <w10:anchorlock/>
                </v:shape>
                <o:OLEObject Type="Embed" ProgID="Equation.3" ShapeID="_x0000_i1028" DrawAspect="Content" ObjectID="_1468075728" r:id="rId38">
                  <o:LockedField>false</o:LockedField>
                </o:OLEObject>
              </w:object>
            </w:r>
          </w:p>
        </w:tc>
        <w:tc>
          <w:tcPr>
            <w:tcW w:w="1491"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29" o:spt="75" type="#_x0000_t75" style="height:12.6pt;width:33.5pt;" o:ole="t" filled="f" o:preferrelative="t" stroked="f" coordsize="21600,21600">
                  <v:path/>
                  <v:fill on="f" focussize="0,0"/>
                  <v:stroke on="f" joinstyle="miter"/>
                  <v:imagedata r:id="rId41" o:title=""/>
                  <o:lock v:ext="edit" aspectratio="t"/>
                  <w10:wrap type="none"/>
                  <w10:anchorlock/>
                </v:shape>
                <o:OLEObject Type="Embed" ProgID="Equation.3" ShapeID="_x0000_i1029" DrawAspect="Content" ObjectID="_1468075729" r:id="rId4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35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sz w:val="22"/>
                <w:highlight w:val="none"/>
              </w:rPr>
              <w:t>四 等</w:t>
            </w:r>
          </w:p>
        </w:tc>
        <w:tc>
          <w:tcPr>
            <w:tcW w:w="1521"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30" o:spt="75" type="#_x0000_t75" style="height:12.6pt;width:33.5pt;" o:ole="t" filled="f" o:preferrelative="t" stroked="f" coordsize="21600,21600">
                  <v:path/>
                  <v:fill on="f" focussize="0,0"/>
                  <v:stroke on="f" joinstyle="miter"/>
                  <v:imagedata r:id="rId43" o:title=""/>
                  <o:lock v:ext="edit" aspectratio="t"/>
                  <w10:wrap type="none"/>
                  <w10:anchorlock/>
                </v:shape>
                <o:OLEObject Type="Embed" ProgID="Equation.3" ShapeID="_x0000_i1030" DrawAspect="Content" ObjectID="_1468075730" r:id="rId42">
                  <o:LockedField>false</o:LockedField>
                </o:OLEObject>
              </w:object>
            </w:r>
          </w:p>
        </w:tc>
        <w:tc>
          <w:tcPr>
            <w:tcW w:w="1402" w:type="dxa"/>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31" o:spt="75" type="#_x0000_t75" style="height:12.6pt;width:31.3pt;" o:ole="t" filled="f" o:preferrelative="t" stroked="f" coordsize="21600,21600">
                  <v:path/>
                  <v:fill on="f" focussize="0,0"/>
                  <v:stroke on="f" joinstyle="miter"/>
                  <v:imagedata r:id="rId45" o:title=""/>
                  <o:lock v:ext="edit" aspectratio="t"/>
                  <w10:wrap type="none"/>
                  <w10:anchorlock/>
                </v:shape>
                <o:OLEObject Type="Embed" ProgID="Equation.3" ShapeID="_x0000_i1031" DrawAspect="Content" ObjectID="_1468075731" r:id="rId44">
                  <o:LockedField>false</o:LockedField>
                </o:OLEObject>
              </w:object>
            </w:r>
          </w:p>
        </w:tc>
        <w:tc>
          <w:tcPr>
            <w:tcW w:w="1490"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32" o:spt="75" type="#_x0000_t75" style="height:12.6pt;width:31.3pt;" o:ole="t" filled="f" o:preferrelative="t" stroked="f" coordsize="21600,21600">
                  <v:path/>
                  <v:fill on="f" focussize="0,0"/>
                  <v:stroke on="f" joinstyle="miter"/>
                  <v:imagedata r:id="rId47" o:title=""/>
                  <o:lock v:ext="edit" aspectratio="t"/>
                  <w10:wrap type="none"/>
                  <w10:anchorlock/>
                </v:shape>
                <o:OLEObject Type="Embed" ProgID="Equation.3" ShapeID="_x0000_i1032" DrawAspect="Content" ObjectID="_1468075732" r:id="rId46">
                  <o:LockedField>false</o:LockedField>
                </o:OLEObject>
              </w:object>
            </w:r>
          </w:p>
        </w:tc>
        <w:tc>
          <w:tcPr>
            <w:tcW w:w="1487"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33" o:spt="75" type="#_x0000_t75" style="height:12.6pt;width:31.3pt;" o:ole="t" filled="f" o:preferrelative="t" stroked="f" coordsize="21600,21600">
                  <v:path/>
                  <v:fill on="f" focussize="0,0"/>
                  <v:stroke on="f" joinstyle="miter"/>
                  <v:imagedata r:id="rId49" o:title=""/>
                  <o:lock v:ext="edit" aspectratio="t"/>
                  <w10:wrap type="none"/>
                  <w10:anchorlock/>
                </v:shape>
                <o:OLEObject Type="Embed" ProgID="Equation.3" ShapeID="_x0000_i1033" DrawAspect="Content" ObjectID="_1468075733" r:id="rId48">
                  <o:LockedField>false</o:LockedField>
                </o:OLEObject>
              </w:object>
            </w:r>
          </w:p>
        </w:tc>
        <w:tc>
          <w:tcPr>
            <w:tcW w:w="1491" w:type="dxa"/>
            <w:vAlign w:val="center"/>
          </w:tcPr>
          <w:p>
            <w:pPr>
              <w:autoSpaceDE w:val="0"/>
              <w:autoSpaceDN w:val="0"/>
              <w:adjustRightInd w:val="0"/>
              <w:jc w:val="center"/>
              <w:rPr>
                <w:rFonts w:hint="eastAsia" w:ascii="仿宋" w:hAnsi="仿宋" w:eastAsia="仿宋" w:cs="仿宋"/>
                <w:sz w:val="22"/>
                <w:highlight w:val="none"/>
              </w:rPr>
            </w:pPr>
            <w:r>
              <w:rPr>
                <w:rFonts w:hint="eastAsia" w:ascii="仿宋" w:hAnsi="仿宋" w:eastAsia="仿宋" w:cs="仿宋"/>
                <w:position w:val="-6"/>
                <w:sz w:val="22"/>
                <w:highlight w:val="none"/>
              </w:rPr>
              <w:object>
                <v:shape id="_x0000_i1034" o:spt="75" type="#_x0000_t75" style="height:12.6pt;width:33.5pt;" o:ole="t" filled="f" o:preferrelative="t" stroked="f" coordsize="21600,21600">
                  <v:path/>
                  <v:fill on="f" focussize="0,0"/>
                  <v:stroke on="f" joinstyle="miter"/>
                  <v:imagedata r:id="rId51" o:title=""/>
                  <o:lock v:ext="edit" aspectratio="t"/>
                  <w10:wrap type="none"/>
                  <w10:anchorlock/>
                </v:shape>
                <o:OLEObject Type="Embed" ProgID="Equation.3" ShapeID="_x0000_i1034" DrawAspect="Content" ObjectID="_1468075734" r:id="rId50">
                  <o:LockedField>false</o:LockedField>
                </o:OLEObject>
              </w:object>
            </w:r>
          </w:p>
        </w:tc>
      </w:tr>
    </w:tbl>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3、起算点</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杭州市具有国家三等水准及以上精度的控制点作为高程起算点。高程系统采用1985国家高程系统。</w:t>
      </w:r>
    </w:p>
    <w:p>
      <w:pPr>
        <w:pStyle w:val="6"/>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2.3 设备点位布置及安装要求</w:t>
      </w:r>
    </w:p>
    <w:p>
      <w:pPr>
        <w:pStyle w:val="34"/>
        <w:snapToGrid w:val="0"/>
        <w:spacing w:line="336" w:lineRule="auto"/>
        <w:rPr>
          <w:rFonts w:hint="eastAsia" w:ascii="仿宋" w:hAnsi="仿宋" w:eastAsia="仿宋" w:cs="仿宋"/>
          <w:bCs/>
          <w:color w:val="000000"/>
          <w:sz w:val="24"/>
          <w:highlight w:val="none"/>
        </w:rPr>
      </w:pPr>
      <w:r>
        <w:rPr>
          <w:rFonts w:hint="eastAsia" w:ascii="仿宋" w:hAnsi="仿宋" w:eastAsia="仿宋" w:cs="仿宋"/>
          <w:b/>
          <w:bCs/>
          <w:color w:val="000000"/>
          <w:sz w:val="28"/>
          <w:szCs w:val="28"/>
          <w:highlight w:val="none"/>
        </w:rPr>
        <w:t xml:space="preserve">   </w:t>
      </w:r>
      <w:r>
        <w:rPr>
          <w:rFonts w:hint="eastAsia" w:ascii="仿宋" w:hAnsi="仿宋" w:eastAsia="仿宋" w:cs="仿宋"/>
          <w:bCs/>
          <w:color w:val="000000"/>
          <w:sz w:val="24"/>
          <w:highlight w:val="none"/>
        </w:rPr>
        <w:t>供应商应根据现场实际情况，为保证监测数据准确、传输稳定，拟定新建、改建站设备合理的安装点位，并提供对应设备安装示意图。布点位置及外观形象宜与周边环境适应，设备安装牢固，在汛期水流量较大时设备不发生移位，布点位置需方便检修、维护。</w:t>
      </w:r>
    </w:p>
    <w:p>
      <w:pPr>
        <w:pStyle w:val="6"/>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2.4 实施团队人员要求</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1、供应商应由承诺的项目管理组完成本合同咨询工作，供应商应确保其委派的项目负责人和专业负责人在本合同期间持续稳定地在该项目管理组工作；同时在本合同执行过程中，供应商应按采购单位要求的时间派项目咨询人员到场或参会。</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供应商应当综合实力较为突出，本项目负责人和技术负责人专业职称需达到高级及以上，项目组成人员（不含项目负责人和技术负责人）需8人及以上，具有与本项目相关领域的职称证书及丰富的工作经验。项目团队专业配置齐全、合理、架构清晰。</w:t>
      </w:r>
    </w:p>
    <w:p>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供应商需提供有丰富经验的人员参与本项目，特别是蓄电池安装人员应具有相关专业证书并具有丰富工作经验，如供应商专业人员不足可邀请蓄电池原厂家派遣专业工程师进行安装，在项目进行期间，确保项目组人员的稳定性，未经用户书面同意，不得更换项目组人员。</w:t>
      </w:r>
    </w:p>
    <w:p>
      <w:pPr>
        <w:pStyle w:val="6"/>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2.5 其他要求</w:t>
      </w:r>
    </w:p>
    <w:p>
      <w:pPr>
        <w:autoSpaceDE w:val="0"/>
        <w:autoSpaceDN w:val="0"/>
        <w:adjustRightInd w:val="0"/>
        <w:spacing w:line="480" w:lineRule="exact"/>
        <w:ind w:firstLine="482" w:firstLineChars="200"/>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2.5.1</w:t>
      </w:r>
      <w:r>
        <w:rPr>
          <w:rFonts w:hint="eastAsia" w:ascii="仿宋" w:hAnsi="仿宋" w:eastAsia="仿宋" w:cs="仿宋"/>
          <w:b/>
          <w:sz w:val="24"/>
          <w:szCs w:val="24"/>
          <w:highlight w:val="none"/>
        </w:rPr>
        <w:t>、采购的总体要求：</w:t>
      </w:r>
    </w:p>
    <w:p>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1、必须符合招标文件(包括补充更正，如有)的技术要求和配置；必须是国内相应制造厂商生产并提供的原装合格产品；必须是2021年1月1日以后生产的、符合国家质量技术标准的设备。</w:t>
      </w:r>
    </w:p>
    <w:p>
      <w:pPr>
        <w:autoSpaceDE w:val="0"/>
        <w:autoSpaceDN w:val="0"/>
        <w:adjustRightInd w:val="0"/>
        <w:snapToGrid w:val="0"/>
        <w:spacing w:line="480" w:lineRule="exact"/>
        <w:ind w:left="-181" w:leftChars="-86" w:right="-178" w:rightChars="-85" w:firstLine="480" w:firstLineChars="200"/>
        <w:textAlignment w:val="bottom"/>
        <w:rPr>
          <w:rFonts w:hint="eastAsia" w:ascii="仿宋" w:hAnsi="仿宋" w:eastAsia="仿宋" w:cs="仿宋"/>
          <w:sz w:val="24"/>
          <w:highlight w:val="none"/>
        </w:rPr>
      </w:pPr>
      <w:r>
        <w:rPr>
          <w:rFonts w:hint="eastAsia" w:ascii="仿宋" w:hAnsi="仿宋" w:eastAsia="仿宋" w:cs="仿宋"/>
          <w:sz w:val="24"/>
          <w:szCs w:val="24"/>
          <w:highlight w:val="none"/>
        </w:rPr>
        <w:t>2、售后服务按国家质量监督检验检疫总局和国家其他有关规定执行，国家没有规定的按厂商规定执行。国家规定标准低于厂商标准的按厂商标准执行，但最低免费原厂质保服务期不得少于</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年。</w:t>
      </w:r>
    </w:p>
    <w:p>
      <w:pPr>
        <w:autoSpaceDE w:val="0"/>
        <w:autoSpaceDN w:val="0"/>
        <w:adjustRightInd w:val="0"/>
        <w:snapToGrid w:val="0"/>
        <w:spacing w:line="480" w:lineRule="exact"/>
        <w:ind w:firstLine="354" w:firstLineChars="147"/>
        <w:textAlignment w:val="bottom"/>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2.5.2</w:t>
      </w:r>
      <w:r>
        <w:rPr>
          <w:rFonts w:hint="eastAsia" w:ascii="仿宋" w:hAnsi="仿宋" w:eastAsia="仿宋" w:cs="仿宋"/>
          <w:b/>
          <w:sz w:val="24"/>
          <w:szCs w:val="24"/>
          <w:highlight w:val="none"/>
        </w:rPr>
        <w:t>、售后服务</w:t>
      </w:r>
    </w:p>
    <w:p>
      <w:pPr>
        <w:widowControl/>
        <w:autoSpaceDE w:val="0"/>
        <w:autoSpaceDN w:val="0"/>
        <w:spacing w:line="500" w:lineRule="exact"/>
        <w:ind w:left="-181" w:leftChars="-86" w:right="-178" w:rightChars="-85" w:firstLine="600" w:firstLineChars="250"/>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highlight w:val="none"/>
        </w:rPr>
        <w:t>提供≥2</w:t>
      </w:r>
      <w:r>
        <w:rPr>
          <w:rFonts w:hint="eastAsia" w:ascii="仿宋" w:hAnsi="仿宋" w:eastAsia="仿宋" w:cs="仿宋"/>
          <w:b/>
          <w:sz w:val="24"/>
          <w:highlight w:val="none"/>
        </w:rPr>
        <w:t>年</w:t>
      </w:r>
      <w:r>
        <w:rPr>
          <w:rFonts w:hint="eastAsia" w:ascii="仿宋" w:hAnsi="仿宋" w:eastAsia="仿宋" w:cs="仿宋"/>
          <w:sz w:val="24"/>
          <w:highlight w:val="none"/>
        </w:rPr>
        <w:t>的质保期，配备维护专用车辆定期对设备进行巡检，确保设备正常运行。质保期从验收合格交付使用之日起算；</w:t>
      </w:r>
      <w:r>
        <w:rPr>
          <w:rFonts w:hint="eastAsia" w:ascii="仿宋" w:hAnsi="仿宋" w:eastAsia="仿宋" w:cs="仿宋"/>
          <w:sz w:val="24"/>
          <w:szCs w:val="24"/>
          <w:highlight w:val="none"/>
        </w:rPr>
        <w:t>质保期内因不能排除的故障而影响工作的情况每发生一次，其质保期相应延长60天，质保期内因设备本身缺陷造成各种故障应由卖方免费技术服务和维修。</w:t>
      </w:r>
    </w:p>
    <w:p>
      <w:pPr>
        <w:autoSpaceDE w:val="0"/>
        <w:autoSpaceDN w:val="0"/>
        <w:adjustRightInd w:val="0"/>
        <w:snapToGrid w:val="0"/>
        <w:spacing w:line="460" w:lineRule="exact"/>
        <w:ind w:left="-181" w:leftChars="-86" w:right="-178" w:rightChars="-85" w:firstLine="597" w:firstLineChars="249"/>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pPr>
        <w:autoSpaceDE w:val="0"/>
        <w:autoSpaceDN w:val="0"/>
        <w:adjustRightInd w:val="0"/>
        <w:snapToGrid w:val="0"/>
        <w:spacing w:line="480" w:lineRule="exact"/>
        <w:ind w:firstLine="480" w:firstLineChars="200"/>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3、供应商在投标文件中须说明保修期内提供的服务计划。</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sz w:val="24"/>
          <w:szCs w:val="24"/>
          <w:highlight w:val="none"/>
        </w:rPr>
        <w:t>4、</w:t>
      </w:r>
      <w:r>
        <w:rPr>
          <w:rFonts w:hint="eastAsia" w:ascii="仿宋" w:hAnsi="仿宋" w:eastAsia="仿宋" w:cs="仿宋"/>
          <w:bCs/>
          <w:sz w:val="24"/>
          <w:szCs w:val="24"/>
          <w:highlight w:val="none"/>
        </w:rPr>
        <w:t>质保期内免收包括材料费在内的各种费用及相关服务费用。质保期满后，供应商提供跟踪服务，若需更换零配件，采购方只承担更换零配件的成本费，其余费用均由中标人承担。</w:t>
      </w:r>
    </w:p>
    <w:p>
      <w:pPr>
        <w:spacing w:line="360" w:lineRule="auto"/>
        <w:ind w:firstLine="480"/>
        <w:rPr>
          <w:rFonts w:hint="eastAsia" w:ascii="仿宋" w:hAnsi="仿宋" w:eastAsia="仿宋" w:cs="仿宋"/>
          <w:bCs/>
          <w:sz w:val="24"/>
          <w:szCs w:val="24"/>
          <w:highlight w:val="none"/>
        </w:rPr>
      </w:pPr>
      <w:r>
        <w:rPr>
          <w:rFonts w:hint="eastAsia" w:ascii="仿宋" w:hAnsi="仿宋" w:eastAsia="仿宋" w:cs="仿宋"/>
          <w:bCs/>
          <w:sz w:val="24"/>
          <w:szCs w:val="24"/>
          <w:highlight w:val="none"/>
        </w:rPr>
        <w:t>5、对提供的设备，供应商产品更新换代，不再批量生产该产品，也必须随时有备品零配件供应，并提供终身技术服务。</w:t>
      </w:r>
    </w:p>
    <w:p>
      <w:pPr>
        <w:spacing w:line="360" w:lineRule="auto"/>
        <w:ind w:firstLine="480" w:firstLineChars="200"/>
        <w:rPr>
          <w:rFonts w:hint="eastAsia" w:ascii="仿宋" w:hAnsi="仿宋" w:eastAsia="仿宋" w:cs="仿宋"/>
          <w:bCs/>
          <w:sz w:val="24"/>
          <w:szCs w:val="24"/>
          <w:highlight w:val="none"/>
        </w:rPr>
      </w:pPr>
      <w:r>
        <w:rPr>
          <w:rFonts w:hint="eastAsia" w:ascii="仿宋" w:hAnsi="仿宋" w:eastAsia="仿宋" w:cs="仿宋"/>
          <w:bCs/>
          <w:sz w:val="24"/>
          <w:szCs w:val="24"/>
          <w:highlight w:val="none"/>
        </w:rPr>
        <w:t>6、如供应商未达到以上要求，视为违约，采购方有权要求无条件退货，一切费用将由供应商承担。</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bCs/>
          <w:sz w:val="24"/>
          <w:highlight w:val="none"/>
        </w:rPr>
        <w:t xml:space="preserve">   </w:t>
      </w:r>
      <w:r>
        <w:rPr>
          <w:rFonts w:hint="eastAsia" w:ascii="仿宋" w:hAnsi="仿宋" w:eastAsia="仿宋" w:cs="仿宋"/>
          <w:b/>
          <w:sz w:val="24"/>
          <w:highlight w:val="none"/>
          <w:lang w:val="en-US" w:eastAsia="zh-CN"/>
        </w:rPr>
        <w:t>2.5.3</w:t>
      </w:r>
      <w:r>
        <w:rPr>
          <w:rFonts w:hint="eastAsia" w:ascii="仿宋" w:hAnsi="仿宋" w:eastAsia="仿宋" w:cs="仿宋"/>
          <w:b/>
          <w:sz w:val="24"/>
          <w:highlight w:val="none"/>
        </w:rPr>
        <w:t>、</w:t>
      </w:r>
      <w:r>
        <w:rPr>
          <w:rFonts w:hint="eastAsia" w:ascii="仿宋" w:hAnsi="仿宋" w:eastAsia="仿宋" w:cs="仿宋"/>
          <w:b/>
          <w:bCs/>
          <w:color w:val="000000"/>
          <w:sz w:val="24"/>
          <w:highlight w:val="none"/>
          <w:lang w:eastAsia="zh-CN"/>
        </w:rPr>
        <w:t>交货期限、地点及方式</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highlight w:val="none"/>
        </w:rPr>
        <w:t>交付期限：</w:t>
      </w:r>
      <w:r>
        <w:rPr>
          <w:rFonts w:hint="eastAsia" w:ascii="仿宋" w:hAnsi="仿宋" w:eastAsia="仿宋" w:cs="仿宋"/>
          <w:sz w:val="24"/>
          <w:szCs w:val="24"/>
          <w:highlight w:val="none"/>
        </w:rPr>
        <w:t>供应商中标签订合同后</w:t>
      </w:r>
      <w:r>
        <w:rPr>
          <w:rFonts w:hint="eastAsia" w:ascii="仿宋" w:hAnsi="仿宋" w:eastAsia="仿宋" w:cs="仿宋"/>
          <w:b/>
          <w:bCs/>
          <w:sz w:val="24"/>
          <w:szCs w:val="24"/>
          <w:highlight w:val="none"/>
          <w:u w:val="single"/>
        </w:rPr>
        <w:t>120日历天</w:t>
      </w:r>
      <w:r>
        <w:rPr>
          <w:rFonts w:hint="eastAsia" w:ascii="仿宋" w:hAnsi="仿宋" w:eastAsia="仿宋" w:cs="仿宋"/>
          <w:sz w:val="24"/>
          <w:szCs w:val="24"/>
          <w:highlight w:val="none"/>
        </w:rPr>
        <w:t>内送达并</w:t>
      </w:r>
      <w:r>
        <w:rPr>
          <w:rFonts w:hint="eastAsia" w:ascii="仿宋" w:hAnsi="仿宋" w:eastAsia="仿宋" w:cs="仿宋"/>
          <w:sz w:val="24"/>
          <w:szCs w:val="24"/>
          <w:highlight w:val="none"/>
          <w:lang w:eastAsia="zh-CN"/>
        </w:rPr>
        <w:t>安装调试完成</w:t>
      </w:r>
      <w:r>
        <w:rPr>
          <w:rFonts w:hint="eastAsia" w:ascii="仿宋" w:hAnsi="仿宋" w:eastAsia="仿宋" w:cs="仿宋"/>
          <w:sz w:val="24"/>
          <w:szCs w:val="24"/>
          <w:highlight w:val="none"/>
        </w:rPr>
        <w:t>，如在规定的时间内由于卖方的原因不能送达货物并</w:t>
      </w:r>
      <w:r>
        <w:rPr>
          <w:rFonts w:hint="eastAsia" w:ascii="仿宋" w:hAnsi="仿宋" w:eastAsia="仿宋" w:cs="仿宋"/>
          <w:sz w:val="24"/>
          <w:szCs w:val="24"/>
          <w:highlight w:val="none"/>
          <w:lang w:eastAsia="zh-CN"/>
        </w:rPr>
        <w:t>安装调试完成</w:t>
      </w:r>
      <w:r>
        <w:rPr>
          <w:rFonts w:hint="eastAsia" w:ascii="仿宋" w:hAnsi="仿宋" w:eastAsia="仿宋" w:cs="仿宋"/>
          <w:sz w:val="24"/>
          <w:szCs w:val="24"/>
          <w:highlight w:val="none"/>
        </w:rPr>
        <w:t>通过验收的，中标方应承担由此给用户造成的损失。</w:t>
      </w:r>
    </w:p>
    <w:p>
      <w:pPr>
        <w:pStyle w:val="2"/>
        <w:rPr>
          <w:rFonts w:hint="eastAsia" w:ascii="仿宋" w:hAnsi="仿宋" w:eastAsia="仿宋" w:cs="仿宋"/>
          <w:sz w:val="24"/>
          <w:szCs w:val="24"/>
          <w:highlight w:val="none"/>
        </w:rPr>
      </w:pPr>
      <w:r>
        <w:rPr>
          <w:rFonts w:hint="eastAsia" w:ascii="仿宋" w:hAnsi="仿宋" w:eastAsia="仿宋" w:cs="仿宋"/>
          <w:sz w:val="24"/>
          <w:highlight w:val="none"/>
        </w:rPr>
        <w:t>交付地点：</w:t>
      </w:r>
      <w:r>
        <w:rPr>
          <w:rFonts w:hint="eastAsia" w:ascii="仿宋" w:hAnsi="仿宋" w:eastAsia="仿宋" w:cs="仿宋"/>
          <w:sz w:val="24"/>
          <w:szCs w:val="24"/>
          <w:highlight w:val="none"/>
        </w:rPr>
        <w:t>建德市水文水资源监测站，各水文建设站点。</w:t>
      </w:r>
    </w:p>
    <w:p>
      <w:pPr>
        <w:spacing w:line="360" w:lineRule="auto"/>
        <w:ind w:firstLine="420" w:firstLineChars="175"/>
        <w:rPr>
          <w:rFonts w:hint="eastAsia" w:ascii="仿宋" w:hAnsi="仿宋" w:eastAsia="仿宋" w:cs="仿宋"/>
          <w:sz w:val="24"/>
          <w:szCs w:val="24"/>
          <w:highlight w:val="none"/>
        </w:rPr>
      </w:pPr>
      <w:r>
        <w:rPr>
          <w:rFonts w:hint="eastAsia" w:ascii="仿宋" w:hAnsi="仿宋" w:eastAsia="仿宋" w:cs="仿宋"/>
          <w:sz w:val="24"/>
          <w:highlight w:val="none"/>
        </w:rPr>
        <w:t>交付方式：</w:t>
      </w:r>
      <w:r>
        <w:rPr>
          <w:rFonts w:hint="eastAsia" w:ascii="仿宋" w:hAnsi="仿宋" w:eastAsia="仿宋" w:cs="仿宋"/>
          <w:sz w:val="24"/>
          <w:szCs w:val="24"/>
          <w:highlight w:val="none"/>
        </w:rPr>
        <w:t>中标方提供中标货物的安装</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培训和技术指导</w:t>
      </w:r>
      <w:r>
        <w:rPr>
          <w:rFonts w:hint="eastAsia" w:ascii="仿宋" w:hAnsi="仿宋" w:eastAsia="仿宋" w:cs="仿宋"/>
          <w:sz w:val="24"/>
          <w:szCs w:val="24"/>
          <w:highlight w:val="none"/>
          <w:lang w:eastAsia="zh-CN"/>
        </w:rPr>
        <w:t>。</w:t>
      </w:r>
    </w:p>
    <w:p>
      <w:pPr>
        <w:widowControl/>
        <w:autoSpaceDE w:val="0"/>
        <w:autoSpaceDN w:val="0"/>
        <w:spacing w:line="480" w:lineRule="exact"/>
        <w:ind w:firstLine="482" w:firstLineChars="200"/>
        <w:textAlignment w:val="bottom"/>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val="en-US" w:eastAsia="zh-CN"/>
        </w:rPr>
        <w:t>2.5.4</w:t>
      </w:r>
      <w:r>
        <w:rPr>
          <w:rFonts w:hint="eastAsia" w:ascii="仿宋" w:hAnsi="仿宋" w:eastAsia="仿宋" w:cs="仿宋"/>
          <w:b/>
          <w:sz w:val="24"/>
          <w:szCs w:val="24"/>
          <w:highlight w:val="none"/>
        </w:rPr>
        <w:t>、验收</w:t>
      </w:r>
      <w:r>
        <w:rPr>
          <w:rFonts w:hint="eastAsia" w:ascii="仿宋" w:hAnsi="仿宋" w:eastAsia="仿宋" w:cs="仿宋"/>
          <w:b/>
          <w:sz w:val="24"/>
          <w:szCs w:val="24"/>
          <w:highlight w:val="none"/>
          <w:lang w:eastAsia="zh-CN"/>
        </w:rPr>
        <w:t>方式及标准</w:t>
      </w:r>
    </w:p>
    <w:p>
      <w:pPr>
        <w:widowControl/>
        <w:autoSpaceDE w:val="0"/>
        <w:autoSpaceDN w:val="0"/>
        <w:spacing w:line="480" w:lineRule="exact"/>
        <w:ind w:firstLine="480" w:firstLineChars="200"/>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1、供货方应提供系统设备的有效检验材料，经采购人认可后，与合同的技术指标一起作为验收标准。采购人对系统设备验收合格后，出具验收报告并在《建德市政府采购物品验收反馈表》上签署意见并加盖单位公章。验收中发现系统设备达不到验收标准或合同规定的技术指标，卖方必须更换，并负担由此给用户造成的损失，直到验收合格为止。</w:t>
      </w:r>
    </w:p>
    <w:p>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2、投标方应于投标书中提供系统设备的验收标准和检测办法，并在验收中提供买方认可的相应检测手段，验收标准应符合中国有关的国家、地方、行业的标准，如若中标，经买方确认后作为验收的依据。</w:t>
      </w:r>
    </w:p>
    <w:p>
      <w:pPr>
        <w:spacing w:line="360" w:lineRule="auto"/>
        <w:ind w:firstLine="480" w:firstLineChars="200"/>
        <w:rPr>
          <w:rFonts w:hint="eastAsia" w:ascii="仿宋" w:hAnsi="仿宋" w:eastAsia="仿宋" w:cs="仿宋"/>
          <w:b/>
          <w:bCs/>
          <w:color w:val="000000"/>
          <w:sz w:val="24"/>
          <w:highlight w:val="none"/>
          <w:lang w:val="en-US" w:eastAsia="zh-CN"/>
        </w:rPr>
      </w:pPr>
      <w:r>
        <w:rPr>
          <w:rFonts w:hint="eastAsia" w:ascii="仿宋" w:hAnsi="仿宋" w:eastAsia="仿宋" w:cs="仿宋"/>
          <w:sz w:val="24"/>
          <w:szCs w:val="24"/>
          <w:highlight w:val="none"/>
        </w:rPr>
        <w:t>3、验收费用由产品供应商承担。</w:t>
      </w:r>
    </w:p>
    <w:p>
      <w:pPr>
        <w:spacing w:line="360" w:lineRule="auto"/>
        <w:ind w:firstLine="482" w:firstLineChars="200"/>
        <w:rPr>
          <w:rFonts w:hint="eastAsia" w:ascii="仿宋" w:hAnsi="仿宋" w:eastAsia="仿宋" w:cs="仿宋"/>
          <w:b/>
          <w:bCs/>
          <w:color w:val="000000"/>
          <w:sz w:val="24"/>
          <w:highlight w:val="none"/>
          <w:lang w:eastAsia="zh-CN"/>
        </w:rPr>
      </w:pPr>
      <w:r>
        <w:rPr>
          <w:rFonts w:hint="eastAsia" w:ascii="仿宋" w:hAnsi="仿宋" w:eastAsia="仿宋" w:cs="仿宋"/>
          <w:b/>
          <w:bCs/>
          <w:sz w:val="24"/>
          <w:szCs w:val="24"/>
          <w:highlight w:val="none"/>
          <w:lang w:val="en-US" w:eastAsia="zh-CN"/>
        </w:rPr>
        <w:t>2.5.5</w:t>
      </w:r>
      <w:r>
        <w:rPr>
          <w:rFonts w:hint="eastAsia" w:ascii="仿宋" w:hAnsi="仿宋" w:eastAsia="仿宋" w:cs="仿宋"/>
          <w:b/>
          <w:bCs/>
          <w:sz w:val="24"/>
          <w:szCs w:val="24"/>
          <w:highlight w:val="none"/>
        </w:rPr>
        <w:t>、</w:t>
      </w:r>
      <w:r>
        <w:rPr>
          <w:rFonts w:hint="eastAsia" w:ascii="仿宋" w:hAnsi="仿宋" w:eastAsia="仿宋" w:cs="仿宋"/>
          <w:b/>
          <w:bCs/>
          <w:color w:val="000000"/>
          <w:sz w:val="24"/>
          <w:highlight w:val="none"/>
          <w:lang w:eastAsia="zh-CN"/>
        </w:rPr>
        <w:t>资金支付的方式、时间和条件</w:t>
      </w:r>
    </w:p>
    <w:p>
      <w:pPr>
        <w:spacing w:line="360" w:lineRule="auto"/>
        <w:ind w:firstLine="480" w:firstLineChars="200"/>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采购单位根据合同、投标文件等资料进行验收。</w:t>
      </w:r>
    </w:p>
    <w:p>
      <w:pPr>
        <w:snapToGrid w:val="0"/>
        <w:spacing w:line="360" w:lineRule="auto"/>
        <w:jc w:val="center"/>
        <w:rPr>
          <w:rFonts w:hint="eastAsia" w:ascii="仿宋" w:hAnsi="仿宋" w:eastAsia="仿宋" w:cs="仿宋"/>
          <w:b/>
          <w:sz w:val="36"/>
          <w:szCs w:val="36"/>
          <w:highlight w:val="none"/>
        </w:rPr>
      </w:pPr>
      <w:r>
        <w:rPr>
          <w:rFonts w:hint="eastAsia" w:ascii="仿宋" w:hAnsi="仿宋" w:eastAsia="仿宋" w:cs="仿宋"/>
          <w:b w:val="0"/>
          <w:bCs w:val="0"/>
          <w:sz w:val="24"/>
          <w:highlight w:val="none"/>
        </w:rPr>
        <w:t>合同签订后</w:t>
      </w:r>
      <w:r>
        <w:rPr>
          <w:rFonts w:hint="eastAsia" w:ascii="仿宋" w:hAnsi="仿宋" w:eastAsia="仿宋" w:cs="仿宋"/>
          <w:b w:val="0"/>
          <w:bCs w:val="0"/>
          <w:sz w:val="24"/>
          <w:highlight w:val="none"/>
          <w:lang w:eastAsia="zh-CN"/>
        </w:rPr>
        <w:t>7日历天内</w:t>
      </w:r>
      <w:r>
        <w:rPr>
          <w:rFonts w:hint="eastAsia" w:ascii="仿宋" w:hAnsi="仿宋" w:eastAsia="仿宋" w:cs="仿宋"/>
          <w:b w:val="0"/>
          <w:bCs w:val="0"/>
          <w:sz w:val="24"/>
          <w:highlight w:val="none"/>
        </w:rPr>
        <w:t>，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p>
      <w:pPr>
        <w:spacing w:line="360" w:lineRule="auto"/>
        <w:ind w:firstLine="482" w:firstLineChars="200"/>
        <w:rPr>
          <w:rStyle w:val="352"/>
          <w:rFonts w:hint="eastAsia" w:ascii="仿宋" w:hAnsi="仿宋" w:eastAsia="仿宋" w:cs="仿宋"/>
          <w:b/>
          <w:bCs/>
          <w:highlight w:val="none"/>
        </w:rPr>
      </w:pPr>
      <w:r>
        <w:rPr>
          <w:rFonts w:hint="eastAsia" w:ascii="仿宋" w:hAnsi="仿宋" w:eastAsia="仿宋" w:cs="仿宋"/>
          <w:b/>
          <w:bCs/>
          <w:sz w:val="24"/>
          <w:szCs w:val="24"/>
          <w:highlight w:val="none"/>
          <w:lang w:val="en-US" w:eastAsia="zh-CN"/>
        </w:rPr>
        <w:t>2.5.6</w:t>
      </w:r>
      <w:r>
        <w:rPr>
          <w:rFonts w:hint="eastAsia" w:ascii="仿宋" w:hAnsi="仿宋" w:eastAsia="仿宋" w:cs="仿宋"/>
          <w:b/>
          <w:bCs/>
          <w:sz w:val="24"/>
          <w:szCs w:val="24"/>
          <w:highlight w:val="none"/>
        </w:rPr>
        <w:t>、</w:t>
      </w:r>
      <w:r>
        <w:rPr>
          <w:rStyle w:val="352"/>
          <w:rFonts w:hint="eastAsia" w:ascii="仿宋" w:hAnsi="仿宋" w:eastAsia="仿宋" w:cs="仿宋"/>
          <w:b/>
          <w:bCs/>
          <w:highlight w:val="none"/>
        </w:rPr>
        <w:t>履约保证金</w:t>
      </w:r>
    </w:p>
    <w:p>
      <w:pPr>
        <w:spacing w:line="360" w:lineRule="auto"/>
        <w:ind w:firstLine="472" w:firstLineChars="200"/>
        <w:rPr>
          <w:rFonts w:hint="eastAsia" w:ascii="仿宋" w:hAnsi="仿宋" w:eastAsia="仿宋" w:cs="仿宋"/>
          <w:b/>
          <w:bCs/>
          <w:color w:val="000000"/>
          <w:sz w:val="24"/>
          <w:highlight w:val="none"/>
          <w:lang w:eastAsia="zh-CN"/>
        </w:rPr>
      </w:pPr>
      <w:r>
        <w:rPr>
          <w:rStyle w:val="352"/>
          <w:rFonts w:hint="eastAsia" w:ascii="仿宋" w:hAnsi="仿宋" w:eastAsia="仿宋" w:cs="仿宋"/>
          <w:b w:val="0"/>
          <w:highlight w:val="none"/>
        </w:rPr>
        <w:t>履约保证金</w:t>
      </w:r>
      <w:r>
        <w:rPr>
          <w:rStyle w:val="352"/>
          <w:rFonts w:hint="eastAsia" w:ascii="仿宋" w:hAnsi="仿宋" w:eastAsia="仿宋" w:cs="仿宋"/>
          <w:b w:val="0"/>
          <w:highlight w:val="none"/>
          <w:lang w:eastAsia="zh-CN"/>
        </w:rPr>
        <w:t>：本项目将</w:t>
      </w:r>
      <w:r>
        <w:rPr>
          <w:rFonts w:hint="eastAsia" w:ascii="仿宋" w:hAnsi="仿宋" w:eastAsia="仿宋" w:cs="仿宋"/>
          <w:sz w:val="24"/>
          <w:highlight w:val="none"/>
        </w:rPr>
        <w:t>根据杭州市政府采购网公布的供应商履约评价情况</w:t>
      </w:r>
      <w:r>
        <w:rPr>
          <w:rFonts w:hint="eastAsia" w:ascii="仿宋" w:hAnsi="仿宋" w:eastAsia="仿宋" w:cs="仿宋"/>
          <w:sz w:val="24"/>
          <w:highlight w:val="none"/>
          <w:lang w:eastAsia="zh-CN"/>
        </w:rPr>
        <w:t>收取</w:t>
      </w:r>
      <w:r>
        <w:rPr>
          <w:rFonts w:hint="eastAsia" w:ascii="仿宋" w:hAnsi="仿宋" w:eastAsia="仿宋" w:cs="仿宋"/>
          <w:sz w:val="24"/>
          <w:highlight w:val="none"/>
        </w:rPr>
        <w:t>履约保证金。</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履约验收评价总分为100分的，</w:t>
      </w:r>
      <w:r>
        <w:rPr>
          <w:rFonts w:hint="eastAsia" w:ascii="仿宋" w:hAnsi="仿宋" w:eastAsia="仿宋" w:cs="仿宋"/>
          <w:sz w:val="24"/>
          <w:highlight w:val="none"/>
          <w:lang w:eastAsia="zh-CN"/>
        </w:rPr>
        <w:t>本项目</w:t>
      </w:r>
      <w:r>
        <w:rPr>
          <w:rFonts w:hint="eastAsia" w:ascii="仿宋" w:hAnsi="仿宋" w:eastAsia="仿宋" w:cs="仿宋"/>
          <w:sz w:val="24"/>
          <w:highlight w:val="none"/>
        </w:rPr>
        <w:t>免收履约保证金；</w:t>
      </w:r>
      <w:r>
        <w:rPr>
          <w:rFonts w:hint="eastAsia" w:ascii="仿宋" w:hAnsi="仿宋" w:eastAsia="仿宋" w:cs="仿宋"/>
          <w:sz w:val="24"/>
          <w:highlight w:val="none"/>
          <w:lang w:eastAsia="zh-CN"/>
        </w:rPr>
        <w:t>评价总分在90分以上的，本项目收取履约保证金为合同金额1%；评价总分在不满90分或者暂无评分的，本项目收取履约保证金为合同金额2.5%。需要收取保证金的供应商</w:t>
      </w:r>
      <w:r>
        <w:rPr>
          <w:rStyle w:val="352"/>
          <w:rFonts w:hint="eastAsia" w:ascii="仿宋" w:hAnsi="仿宋" w:eastAsia="仿宋" w:cs="仿宋"/>
          <w:b w:val="0"/>
          <w:bCs w:val="0"/>
          <w:highlight w:val="none"/>
        </w:rPr>
        <w:t>在正式合同签订生效之日起7个工作日内，</w:t>
      </w:r>
      <w:r>
        <w:rPr>
          <w:rFonts w:hint="eastAsia" w:ascii="仿宋" w:hAnsi="仿宋" w:eastAsia="仿宋" w:cs="仿宋"/>
          <w:sz w:val="24"/>
          <w:highlight w:val="none"/>
          <w:lang w:eastAsia="zh-CN"/>
        </w:rPr>
        <w:t>缴纳</w:t>
      </w:r>
      <w:r>
        <w:rPr>
          <w:rStyle w:val="352"/>
          <w:rFonts w:hint="eastAsia" w:ascii="仿宋" w:hAnsi="仿宋" w:eastAsia="仿宋" w:cs="仿宋"/>
          <w:b w:val="0"/>
          <w:bCs w:val="0"/>
          <w:highlight w:val="none"/>
        </w:rPr>
        <w:t>保证金至采购人指定账户（可采用银行、保险公司出具保函形式提交）。在验收合格后经回访正常后凭正式收款收据、履约保证金缴款凭证复印件、《建德市政府采购回访意见单》办理结算手续。</w:t>
      </w:r>
    </w:p>
    <w:p>
      <w:pPr>
        <w:snapToGrid w:val="0"/>
        <w:spacing w:line="360" w:lineRule="auto"/>
        <w:jc w:val="center"/>
        <w:rPr>
          <w:rFonts w:hint="eastAsia" w:ascii="仿宋" w:hAnsi="仿宋" w:eastAsia="仿宋" w:cs="仿宋"/>
          <w:b/>
          <w:sz w:val="36"/>
          <w:szCs w:val="36"/>
          <w:highlight w:val="none"/>
        </w:rPr>
      </w:pPr>
    </w:p>
    <w:p>
      <w:pPr>
        <w:snapToGrid w:val="0"/>
        <w:spacing w:line="360" w:lineRule="auto"/>
        <w:jc w:val="center"/>
        <w:rPr>
          <w:rFonts w:hint="eastAsia" w:ascii="仿宋" w:hAnsi="仿宋" w:eastAsia="仿宋" w:cs="仿宋"/>
          <w:b/>
          <w:sz w:val="36"/>
          <w:szCs w:val="36"/>
          <w:highlight w:val="none"/>
        </w:rPr>
      </w:pPr>
    </w:p>
    <w:p>
      <w:pPr>
        <w:snapToGrid w:val="0"/>
        <w:spacing w:line="360" w:lineRule="auto"/>
        <w:jc w:val="center"/>
        <w:rPr>
          <w:rFonts w:hint="eastAsia" w:ascii="仿宋" w:hAnsi="仿宋" w:eastAsia="仿宋" w:cs="仿宋"/>
          <w:b/>
          <w:sz w:val="36"/>
          <w:szCs w:val="36"/>
          <w:highlight w:val="none"/>
        </w:rPr>
      </w:pPr>
    </w:p>
    <w:p>
      <w:pPr>
        <w:snapToGrid w:val="0"/>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bookmarkStart w:id="27" w:name="_Toc184308096"/>
      <w:bookmarkEnd w:id="27"/>
      <w:bookmarkStart w:id="28" w:name="_Toc184313272"/>
      <w:bookmarkEnd w:id="28"/>
      <w:bookmarkStart w:id="29" w:name="_Toc184313280"/>
      <w:bookmarkEnd w:id="29"/>
      <w:bookmarkStart w:id="30" w:name="_Toc184314427"/>
      <w:bookmarkEnd w:id="30"/>
      <w:bookmarkStart w:id="31" w:name="_Toc184313292"/>
      <w:bookmarkEnd w:id="31"/>
      <w:bookmarkStart w:id="32" w:name="_Toc184308067"/>
      <w:bookmarkEnd w:id="32"/>
      <w:bookmarkStart w:id="33" w:name="_Toc184312118"/>
      <w:bookmarkEnd w:id="33"/>
      <w:bookmarkStart w:id="34" w:name="_Toc184313257"/>
      <w:bookmarkEnd w:id="34"/>
      <w:bookmarkStart w:id="35" w:name="_Toc184313238"/>
      <w:bookmarkEnd w:id="35"/>
      <w:bookmarkStart w:id="36" w:name="_Toc184314422"/>
      <w:bookmarkEnd w:id="36"/>
      <w:bookmarkStart w:id="37" w:name="_Toc184312131"/>
      <w:bookmarkEnd w:id="37"/>
      <w:bookmarkStart w:id="38" w:name="_Toc184314452"/>
      <w:bookmarkEnd w:id="38"/>
      <w:bookmarkStart w:id="39" w:name="_Toc184314460"/>
      <w:bookmarkEnd w:id="39"/>
      <w:bookmarkStart w:id="40" w:name="_Toc184312120"/>
      <w:bookmarkEnd w:id="40"/>
      <w:bookmarkStart w:id="41" w:name="_Toc184310295"/>
      <w:bookmarkEnd w:id="41"/>
      <w:bookmarkStart w:id="42" w:name="_Toc184312138"/>
      <w:bookmarkEnd w:id="42"/>
      <w:bookmarkStart w:id="43" w:name="_Toc184313251"/>
      <w:bookmarkEnd w:id="43"/>
      <w:bookmarkStart w:id="44" w:name="_Toc184310322"/>
      <w:bookmarkEnd w:id="44"/>
      <w:bookmarkStart w:id="45" w:name="_Toc184308042"/>
      <w:bookmarkEnd w:id="45"/>
      <w:bookmarkStart w:id="46" w:name="_Toc184312123"/>
      <w:bookmarkEnd w:id="46"/>
      <w:bookmarkStart w:id="47" w:name="_Toc184310331"/>
      <w:bookmarkEnd w:id="47"/>
      <w:bookmarkStart w:id="48" w:name="_Toc184308086"/>
      <w:bookmarkEnd w:id="48"/>
      <w:bookmarkStart w:id="49" w:name="_Toc184312134"/>
      <w:bookmarkEnd w:id="49"/>
      <w:bookmarkStart w:id="50" w:name="_Toc184314481"/>
      <w:bookmarkEnd w:id="50"/>
      <w:bookmarkStart w:id="51" w:name="_Toc184310301"/>
      <w:bookmarkEnd w:id="51"/>
      <w:bookmarkStart w:id="52" w:name="_Toc184314445"/>
      <w:bookmarkEnd w:id="52"/>
      <w:bookmarkStart w:id="53" w:name="_Toc184313239"/>
      <w:bookmarkEnd w:id="53"/>
      <w:bookmarkStart w:id="54" w:name="_Toc184313278"/>
      <w:bookmarkEnd w:id="54"/>
      <w:bookmarkStart w:id="55" w:name="_Toc184314467"/>
      <w:bookmarkEnd w:id="55"/>
      <w:bookmarkStart w:id="56" w:name="_Toc184310330"/>
      <w:bookmarkEnd w:id="56"/>
      <w:bookmarkStart w:id="57" w:name="_Toc184308101"/>
      <w:bookmarkEnd w:id="57"/>
      <w:bookmarkStart w:id="58" w:name="_Toc184312117"/>
      <w:bookmarkEnd w:id="58"/>
      <w:bookmarkStart w:id="59" w:name="_Toc184310336"/>
      <w:bookmarkEnd w:id="59"/>
      <w:bookmarkStart w:id="60" w:name="_Toc184313294"/>
      <w:bookmarkEnd w:id="60"/>
      <w:bookmarkStart w:id="61" w:name="_Toc184312112"/>
      <w:bookmarkEnd w:id="61"/>
      <w:bookmarkStart w:id="62" w:name="_Toc184310333"/>
      <w:bookmarkEnd w:id="62"/>
      <w:bookmarkStart w:id="63" w:name="_Toc184313285"/>
      <w:bookmarkEnd w:id="63"/>
      <w:bookmarkStart w:id="64" w:name="_Toc184312129"/>
      <w:bookmarkEnd w:id="64"/>
      <w:bookmarkStart w:id="65" w:name="_Toc184312105"/>
      <w:bookmarkEnd w:id="65"/>
      <w:bookmarkStart w:id="66" w:name="_Toc184312068"/>
      <w:bookmarkEnd w:id="66"/>
      <w:bookmarkStart w:id="67" w:name="_Toc184308081"/>
      <w:bookmarkEnd w:id="67"/>
      <w:bookmarkStart w:id="68" w:name="_Toc184313308"/>
      <w:bookmarkEnd w:id="68"/>
      <w:bookmarkStart w:id="69" w:name="_Toc184310343"/>
      <w:bookmarkEnd w:id="69"/>
      <w:bookmarkStart w:id="70" w:name="_Toc184312087"/>
      <w:bookmarkEnd w:id="70"/>
      <w:bookmarkStart w:id="71" w:name="_Toc184313295"/>
      <w:bookmarkEnd w:id="71"/>
      <w:bookmarkStart w:id="72" w:name="_Toc184312094"/>
      <w:bookmarkEnd w:id="72"/>
      <w:bookmarkStart w:id="73" w:name="_Toc184308075"/>
      <w:bookmarkEnd w:id="73"/>
      <w:bookmarkStart w:id="74" w:name="_Toc184314450"/>
      <w:bookmarkEnd w:id="74"/>
      <w:bookmarkStart w:id="75" w:name="_Toc184310287"/>
      <w:bookmarkEnd w:id="75"/>
      <w:bookmarkStart w:id="76" w:name="_Toc184308107"/>
      <w:bookmarkEnd w:id="76"/>
      <w:bookmarkStart w:id="77" w:name="_Toc184314430"/>
      <w:bookmarkEnd w:id="77"/>
      <w:bookmarkStart w:id="78" w:name="_Toc184312135"/>
      <w:bookmarkEnd w:id="78"/>
      <w:bookmarkStart w:id="79" w:name="_Toc184313271"/>
      <w:bookmarkEnd w:id="79"/>
      <w:bookmarkStart w:id="80" w:name="_Toc184308036"/>
      <w:bookmarkEnd w:id="80"/>
      <w:bookmarkStart w:id="81" w:name="_Toc184313264"/>
      <w:bookmarkEnd w:id="81"/>
      <w:bookmarkStart w:id="82" w:name="_Toc184313281"/>
      <w:bookmarkEnd w:id="82"/>
      <w:bookmarkStart w:id="83" w:name="_Toc184312100"/>
      <w:bookmarkEnd w:id="83"/>
      <w:bookmarkStart w:id="84" w:name="_Toc184310308"/>
      <w:bookmarkEnd w:id="84"/>
      <w:bookmarkStart w:id="85" w:name="_Toc184312085"/>
      <w:bookmarkEnd w:id="85"/>
      <w:bookmarkStart w:id="86" w:name="_Toc184314419"/>
      <w:bookmarkEnd w:id="86"/>
      <w:bookmarkStart w:id="87" w:name="_Toc184312113"/>
      <w:bookmarkEnd w:id="87"/>
      <w:bookmarkStart w:id="88" w:name="_Toc184310298"/>
      <w:bookmarkEnd w:id="88"/>
      <w:bookmarkStart w:id="89" w:name="_Toc184313275"/>
      <w:bookmarkEnd w:id="89"/>
      <w:bookmarkStart w:id="90" w:name="_Toc184314434"/>
      <w:bookmarkEnd w:id="90"/>
      <w:bookmarkStart w:id="91" w:name="_Toc184310281"/>
      <w:bookmarkEnd w:id="91"/>
      <w:bookmarkStart w:id="92" w:name="_Toc184312115"/>
      <w:bookmarkEnd w:id="92"/>
      <w:bookmarkStart w:id="93" w:name="_Toc184310275"/>
      <w:bookmarkEnd w:id="93"/>
      <w:bookmarkStart w:id="94" w:name="_Toc184314429"/>
      <w:bookmarkEnd w:id="94"/>
      <w:bookmarkStart w:id="95" w:name="_Toc184313253"/>
      <w:bookmarkEnd w:id="95"/>
      <w:bookmarkStart w:id="96" w:name="_Toc184313306"/>
      <w:bookmarkEnd w:id="96"/>
      <w:bookmarkStart w:id="97" w:name="_Toc184310296"/>
      <w:bookmarkEnd w:id="97"/>
      <w:bookmarkStart w:id="98" w:name="_Toc184313305"/>
      <w:bookmarkEnd w:id="98"/>
      <w:bookmarkStart w:id="99" w:name="_Toc184312122"/>
      <w:bookmarkEnd w:id="99"/>
      <w:bookmarkStart w:id="100" w:name="_Toc184310340"/>
      <w:bookmarkEnd w:id="100"/>
      <w:bookmarkStart w:id="101" w:name="_Toc184312128"/>
      <w:bookmarkEnd w:id="101"/>
      <w:bookmarkStart w:id="102" w:name="_Toc184314463"/>
      <w:bookmarkEnd w:id="102"/>
      <w:bookmarkStart w:id="103" w:name="_Toc184312130"/>
      <w:bookmarkEnd w:id="103"/>
      <w:bookmarkStart w:id="104" w:name="_Toc184312091"/>
      <w:bookmarkEnd w:id="104"/>
      <w:bookmarkStart w:id="105" w:name="_Toc184313299"/>
      <w:bookmarkEnd w:id="105"/>
      <w:bookmarkStart w:id="106" w:name="_Toc184308091"/>
      <w:bookmarkEnd w:id="106"/>
      <w:bookmarkStart w:id="107" w:name="_Toc184313277"/>
      <w:bookmarkEnd w:id="107"/>
      <w:bookmarkStart w:id="108" w:name="_Toc184313256"/>
      <w:bookmarkEnd w:id="108"/>
      <w:bookmarkStart w:id="109" w:name="_Toc184308055"/>
      <w:bookmarkEnd w:id="109"/>
      <w:bookmarkStart w:id="110" w:name="_Toc184313301"/>
      <w:bookmarkEnd w:id="110"/>
      <w:bookmarkStart w:id="111" w:name="_Toc184312104"/>
      <w:bookmarkEnd w:id="111"/>
      <w:bookmarkStart w:id="112" w:name="_Toc184314479"/>
      <w:bookmarkEnd w:id="112"/>
      <w:bookmarkStart w:id="113" w:name="_Toc184308087"/>
      <w:bookmarkEnd w:id="113"/>
      <w:bookmarkStart w:id="114" w:name="_Toc184312107"/>
      <w:bookmarkEnd w:id="114"/>
      <w:bookmarkStart w:id="115" w:name="_Toc184314415"/>
      <w:bookmarkEnd w:id="115"/>
      <w:bookmarkStart w:id="116" w:name="_Toc184310303"/>
      <w:bookmarkEnd w:id="116"/>
      <w:bookmarkStart w:id="117" w:name="_Toc184313293"/>
      <w:bookmarkEnd w:id="117"/>
      <w:bookmarkStart w:id="118" w:name="_Toc184310286"/>
      <w:bookmarkEnd w:id="118"/>
      <w:bookmarkStart w:id="119" w:name="_Toc184312108"/>
      <w:bookmarkEnd w:id="119"/>
      <w:bookmarkStart w:id="120" w:name="_Toc184314480"/>
      <w:bookmarkEnd w:id="120"/>
      <w:bookmarkStart w:id="121" w:name="_Toc184308068"/>
      <w:bookmarkEnd w:id="121"/>
      <w:bookmarkStart w:id="122" w:name="_Toc184314465"/>
      <w:bookmarkEnd w:id="122"/>
      <w:bookmarkStart w:id="123" w:name="_Toc184310309"/>
      <w:bookmarkEnd w:id="123"/>
      <w:bookmarkStart w:id="124" w:name="_Toc184308077"/>
      <w:bookmarkEnd w:id="124"/>
      <w:bookmarkStart w:id="125" w:name="_Toc184308093"/>
      <w:bookmarkEnd w:id="125"/>
      <w:bookmarkStart w:id="126" w:name="_Toc184314457"/>
      <w:bookmarkEnd w:id="126"/>
      <w:bookmarkStart w:id="127" w:name="_Toc184313298"/>
      <w:bookmarkEnd w:id="127"/>
      <w:bookmarkStart w:id="128" w:name="_Toc184308072"/>
      <w:bookmarkEnd w:id="128"/>
      <w:bookmarkStart w:id="129" w:name="_Toc184314423"/>
      <w:bookmarkEnd w:id="129"/>
      <w:bookmarkStart w:id="130" w:name="_Toc184314456"/>
      <w:bookmarkEnd w:id="130"/>
      <w:bookmarkStart w:id="131" w:name="_Toc184312116"/>
      <w:bookmarkEnd w:id="131"/>
      <w:bookmarkStart w:id="132" w:name="_Toc184312136"/>
      <w:bookmarkEnd w:id="132"/>
      <w:bookmarkStart w:id="133" w:name="_Toc184314461"/>
      <w:bookmarkEnd w:id="133"/>
      <w:bookmarkStart w:id="134" w:name="_Toc184314466"/>
      <w:bookmarkEnd w:id="134"/>
      <w:bookmarkStart w:id="135" w:name="_Toc184312126"/>
      <w:bookmarkEnd w:id="135"/>
      <w:bookmarkStart w:id="136" w:name="_Toc184310280"/>
      <w:bookmarkEnd w:id="136"/>
      <w:bookmarkStart w:id="137" w:name="_Toc184312081"/>
      <w:bookmarkEnd w:id="137"/>
      <w:bookmarkStart w:id="138" w:name="_Toc184314476"/>
      <w:bookmarkEnd w:id="138"/>
      <w:bookmarkStart w:id="139" w:name="_Toc184314464"/>
      <w:bookmarkEnd w:id="139"/>
      <w:bookmarkStart w:id="140" w:name="_Toc184310294"/>
      <w:bookmarkEnd w:id="140"/>
      <w:bookmarkStart w:id="141" w:name="_Toc184313283"/>
      <w:bookmarkEnd w:id="141"/>
      <w:bookmarkStart w:id="142" w:name="_Toc184313255"/>
      <w:bookmarkEnd w:id="142"/>
      <w:bookmarkStart w:id="143" w:name="_Toc184312078"/>
      <w:bookmarkEnd w:id="143"/>
      <w:bookmarkStart w:id="144" w:name="_Toc184313307"/>
      <w:bookmarkEnd w:id="144"/>
      <w:bookmarkStart w:id="145" w:name="_Toc184308052"/>
      <w:bookmarkEnd w:id="145"/>
      <w:bookmarkStart w:id="146" w:name="_Toc184310319"/>
      <w:bookmarkEnd w:id="146"/>
      <w:bookmarkStart w:id="147" w:name="_Toc184308051"/>
      <w:bookmarkEnd w:id="147"/>
      <w:bookmarkStart w:id="148" w:name="_Toc184308065"/>
      <w:bookmarkEnd w:id="148"/>
      <w:bookmarkStart w:id="149" w:name="_Toc184310338"/>
      <w:bookmarkEnd w:id="149"/>
      <w:bookmarkStart w:id="150" w:name="_Toc184308050"/>
      <w:bookmarkEnd w:id="150"/>
      <w:bookmarkStart w:id="151" w:name="_Toc184310278"/>
      <w:bookmarkEnd w:id="151"/>
      <w:bookmarkStart w:id="152" w:name="_Toc184312084"/>
      <w:bookmarkEnd w:id="152"/>
      <w:bookmarkStart w:id="153" w:name="_Toc184310335"/>
      <w:bookmarkEnd w:id="153"/>
      <w:bookmarkStart w:id="154" w:name="_Toc184313240"/>
      <w:bookmarkEnd w:id="154"/>
      <w:bookmarkStart w:id="155" w:name="_Toc184312089"/>
      <w:bookmarkEnd w:id="155"/>
      <w:bookmarkStart w:id="156" w:name="_Toc184312067"/>
      <w:bookmarkEnd w:id="156"/>
      <w:bookmarkStart w:id="157" w:name="_Toc184308083"/>
      <w:bookmarkEnd w:id="157"/>
      <w:bookmarkStart w:id="158" w:name="_Toc184310305"/>
      <w:bookmarkEnd w:id="158"/>
      <w:bookmarkStart w:id="159" w:name="_Toc184313254"/>
      <w:bookmarkEnd w:id="159"/>
      <w:bookmarkStart w:id="160" w:name="_Toc184310316"/>
      <w:bookmarkEnd w:id="160"/>
      <w:bookmarkStart w:id="161" w:name="_Toc184313297"/>
      <w:bookmarkEnd w:id="161"/>
      <w:bookmarkStart w:id="162" w:name="_Toc184313258"/>
      <w:bookmarkEnd w:id="162"/>
      <w:bookmarkStart w:id="163" w:name="_Toc184313279"/>
      <w:bookmarkEnd w:id="163"/>
      <w:bookmarkStart w:id="164" w:name="_Toc184308071"/>
      <w:bookmarkEnd w:id="164"/>
      <w:bookmarkStart w:id="165" w:name="_Toc184312114"/>
      <w:bookmarkEnd w:id="165"/>
      <w:bookmarkStart w:id="166" w:name="_Toc184312088"/>
      <w:bookmarkEnd w:id="166"/>
      <w:bookmarkStart w:id="167" w:name="_Toc184312071"/>
      <w:bookmarkEnd w:id="167"/>
      <w:bookmarkStart w:id="168" w:name="_Toc184310325"/>
      <w:bookmarkEnd w:id="168"/>
      <w:bookmarkStart w:id="169" w:name="_Toc184308103"/>
      <w:bookmarkEnd w:id="169"/>
      <w:bookmarkStart w:id="170" w:name="_Toc184310328"/>
      <w:bookmarkEnd w:id="170"/>
      <w:bookmarkStart w:id="171" w:name="_Toc184314472"/>
      <w:bookmarkEnd w:id="171"/>
      <w:bookmarkStart w:id="172" w:name="_Toc184313291"/>
      <w:bookmarkEnd w:id="172"/>
      <w:bookmarkStart w:id="173" w:name="_Toc184310312"/>
      <w:bookmarkEnd w:id="173"/>
      <w:bookmarkStart w:id="174" w:name="_Toc184308070"/>
      <w:bookmarkEnd w:id="174"/>
      <w:bookmarkStart w:id="175" w:name="_Toc184314440"/>
      <w:bookmarkEnd w:id="175"/>
      <w:bookmarkStart w:id="176" w:name="_Toc184308092"/>
      <w:bookmarkEnd w:id="176"/>
      <w:bookmarkStart w:id="177" w:name="_Toc184310318"/>
      <w:bookmarkEnd w:id="177"/>
      <w:bookmarkStart w:id="178" w:name="_Toc184310276"/>
      <w:bookmarkEnd w:id="178"/>
      <w:bookmarkStart w:id="179" w:name="_Toc184308048"/>
      <w:bookmarkEnd w:id="179"/>
      <w:bookmarkStart w:id="180" w:name="_Toc184313296"/>
      <w:bookmarkEnd w:id="180"/>
      <w:bookmarkStart w:id="181" w:name="_Toc184310290"/>
      <w:bookmarkEnd w:id="181"/>
      <w:bookmarkStart w:id="182" w:name="_Toc184314411"/>
      <w:bookmarkEnd w:id="182"/>
      <w:bookmarkStart w:id="183" w:name="_Toc184308039"/>
      <w:bookmarkEnd w:id="183"/>
      <w:bookmarkStart w:id="184" w:name="_Toc184313268"/>
      <w:bookmarkEnd w:id="184"/>
      <w:bookmarkStart w:id="185" w:name="_Toc184308106"/>
      <w:bookmarkEnd w:id="185"/>
      <w:bookmarkStart w:id="186" w:name="_Toc184314439"/>
      <w:bookmarkEnd w:id="186"/>
      <w:bookmarkStart w:id="187" w:name="_Toc184313309"/>
      <w:bookmarkEnd w:id="187"/>
      <w:bookmarkStart w:id="188" w:name="_Toc184310339"/>
      <w:bookmarkEnd w:id="188"/>
      <w:bookmarkStart w:id="189" w:name="_Toc184312074"/>
      <w:bookmarkEnd w:id="189"/>
      <w:bookmarkStart w:id="190" w:name="_Toc184313267"/>
      <w:bookmarkEnd w:id="190"/>
      <w:bookmarkStart w:id="191" w:name="_Toc184313290"/>
      <w:bookmarkEnd w:id="191"/>
      <w:bookmarkStart w:id="192" w:name="_Toc184313263"/>
      <w:bookmarkEnd w:id="192"/>
      <w:bookmarkStart w:id="193" w:name="_Toc184308082"/>
      <w:bookmarkEnd w:id="193"/>
      <w:bookmarkStart w:id="194" w:name="_Toc184310311"/>
      <w:bookmarkEnd w:id="194"/>
      <w:bookmarkStart w:id="195" w:name="_Toc184313248"/>
      <w:bookmarkEnd w:id="195"/>
      <w:bookmarkStart w:id="196" w:name="_Toc184313274"/>
      <w:bookmarkEnd w:id="196"/>
      <w:bookmarkStart w:id="197" w:name="_Toc184308049"/>
      <w:bookmarkEnd w:id="197"/>
      <w:bookmarkStart w:id="198" w:name="_Toc184312109"/>
      <w:bookmarkEnd w:id="198"/>
      <w:bookmarkStart w:id="199" w:name="_Toc184308104"/>
      <w:bookmarkEnd w:id="199"/>
      <w:bookmarkStart w:id="200" w:name="_Toc184308056"/>
      <w:bookmarkEnd w:id="200"/>
      <w:bookmarkStart w:id="201" w:name="_Toc184312101"/>
      <w:bookmarkEnd w:id="201"/>
      <w:bookmarkStart w:id="202" w:name="_Toc184312095"/>
      <w:bookmarkEnd w:id="202"/>
      <w:bookmarkStart w:id="203" w:name="_Toc184313300"/>
      <w:bookmarkEnd w:id="203"/>
      <w:bookmarkStart w:id="204" w:name="_Toc184312092"/>
      <w:bookmarkEnd w:id="204"/>
      <w:bookmarkStart w:id="205" w:name="_Toc184310277"/>
      <w:bookmarkEnd w:id="205"/>
      <w:bookmarkStart w:id="206" w:name="_Toc184312139"/>
      <w:bookmarkEnd w:id="206"/>
      <w:bookmarkStart w:id="207" w:name="_Toc184308038"/>
      <w:bookmarkEnd w:id="207"/>
      <w:bookmarkStart w:id="208" w:name="_Toc184314444"/>
      <w:bookmarkEnd w:id="208"/>
      <w:bookmarkStart w:id="209" w:name="_Toc184314416"/>
      <w:bookmarkEnd w:id="209"/>
      <w:bookmarkStart w:id="210" w:name="_Toc184313269"/>
      <w:bookmarkEnd w:id="210"/>
      <w:bookmarkStart w:id="211" w:name="_Toc184313249"/>
      <w:bookmarkEnd w:id="211"/>
      <w:bookmarkStart w:id="212" w:name="_Toc184312124"/>
      <w:bookmarkEnd w:id="212"/>
      <w:bookmarkStart w:id="213" w:name="_Toc184308066"/>
      <w:bookmarkEnd w:id="213"/>
      <w:bookmarkStart w:id="214" w:name="_Toc184312098"/>
      <w:bookmarkEnd w:id="214"/>
      <w:bookmarkStart w:id="215" w:name="_Toc184312110"/>
      <w:bookmarkEnd w:id="215"/>
      <w:bookmarkStart w:id="216" w:name="_Toc184310314"/>
      <w:bookmarkEnd w:id="216"/>
      <w:bookmarkStart w:id="217" w:name="_Toc184308074"/>
      <w:bookmarkEnd w:id="217"/>
      <w:bookmarkStart w:id="218" w:name="_Toc184308080"/>
      <w:bookmarkEnd w:id="218"/>
      <w:bookmarkStart w:id="219" w:name="_Toc184308088"/>
      <w:bookmarkEnd w:id="219"/>
      <w:bookmarkStart w:id="220" w:name="_Toc184310327"/>
      <w:bookmarkEnd w:id="220"/>
      <w:bookmarkStart w:id="221" w:name="_Toc184308097"/>
      <w:bookmarkEnd w:id="221"/>
      <w:bookmarkStart w:id="222" w:name="_Toc184308095"/>
      <w:bookmarkEnd w:id="222"/>
      <w:bookmarkStart w:id="223" w:name="_Toc184314468"/>
      <w:bookmarkEnd w:id="223"/>
      <w:bookmarkStart w:id="224" w:name="_Toc184312090"/>
      <w:bookmarkEnd w:id="224"/>
      <w:bookmarkStart w:id="225" w:name="_Toc184312096"/>
      <w:bookmarkEnd w:id="225"/>
      <w:bookmarkStart w:id="226" w:name="_Toc184312075"/>
      <w:bookmarkEnd w:id="226"/>
      <w:bookmarkStart w:id="227" w:name="_Toc184314437"/>
      <w:bookmarkEnd w:id="227"/>
      <w:bookmarkStart w:id="228" w:name="_Toc184314412"/>
      <w:bookmarkEnd w:id="228"/>
      <w:bookmarkStart w:id="229" w:name="_Toc184312077"/>
      <w:bookmarkEnd w:id="229"/>
      <w:bookmarkStart w:id="230" w:name="_Toc184312103"/>
      <w:bookmarkEnd w:id="230"/>
      <w:bookmarkStart w:id="231" w:name="_Toc184312097"/>
      <w:bookmarkEnd w:id="231"/>
      <w:bookmarkStart w:id="232" w:name="_Toc184310291"/>
      <w:bookmarkEnd w:id="232"/>
      <w:bookmarkStart w:id="233" w:name="_Toc184314473"/>
      <w:bookmarkEnd w:id="233"/>
      <w:bookmarkStart w:id="234" w:name="_Toc184314418"/>
      <w:bookmarkEnd w:id="234"/>
      <w:bookmarkStart w:id="235" w:name="_Toc184310279"/>
      <w:bookmarkEnd w:id="235"/>
      <w:bookmarkStart w:id="236" w:name="_Toc184313260"/>
      <w:bookmarkEnd w:id="236"/>
      <w:bookmarkStart w:id="237" w:name="_Toc184313282"/>
      <w:bookmarkEnd w:id="237"/>
      <w:bookmarkStart w:id="238" w:name="_Toc184310272"/>
      <w:bookmarkEnd w:id="238"/>
      <w:bookmarkStart w:id="239" w:name="_Toc184312073"/>
      <w:bookmarkEnd w:id="239"/>
      <w:bookmarkStart w:id="240" w:name="_Toc184314433"/>
      <w:bookmarkEnd w:id="240"/>
      <w:bookmarkStart w:id="241" w:name="_Toc184308054"/>
      <w:bookmarkEnd w:id="241"/>
      <w:bookmarkStart w:id="242" w:name="_Toc184310341"/>
      <w:bookmarkEnd w:id="242"/>
      <w:bookmarkStart w:id="243" w:name="_Toc184308062"/>
      <w:bookmarkEnd w:id="243"/>
      <w:bookmarkStart w:id="244" w:name="_Toc184313246"/>
      <w:bookmarkEnd w:id="244"/>
      <w:bookmarkStart w:id="245" w:name="_Toc184312072"/>
      <w:bookmarkEnd w:id="245"/>
      <w:bookmarkStart w:id="246" w:name="_Toc184312082"/>
      <w:bookmarkEnd w:id="246"/>
      <w:bookmarkStart w:id="247" w:name="_Toc184308069"/>
      <w:bookmarkEnd w:id="247"/>
      <w:bookmarkStart w:id="248" w:name="_Toc184308057"/>
      <w:bookmarkEnd w:id="248"/>
      <w:bookmarkStart w:id="249" w:name="_Toc184310292"/>
      <w:bookmarkEnd w:id="249"/>
      <w:bookmarkStart w:id="250" w:name="_Toc184313310"/>
      <w:bookmarkEnd w:id="250"/>
      <w:bookmarkStart w:id="251" w:name="_Toc184308105"/>
      <w:bookmarkEnd w:id="251"/>
      <w:bookmarkStart w:id="252" w:name="_Toc184310289"/>
      <w:bookmarkEnd w:id="252"/>
      <w:bookmarkStart w:id="253" w:name="_Toc184310310"/>
      <w:bookmarkEnd w:id="253"/>
      <w:bookmarkStart w:id="254" w:name="_Toc184312093"/>
      <w:bookmarkEnd w:id="254"/>
      <w:bookmarkStart w:id="255" w:name="_Toc184314453"/>
      <w:bookmarkEnd w:id="255"/>
      <w:bookmarkStart w:id="256" w:name="_Toc184314425"/>
      <w:bookmarkEnd w:id="256"/>
      <w:bookmarkStart w:id="257" w:name="_Toc184313287"/>
      <w:bookmarkEnd w:id="257"/>
      <w:bookmarkStart w:id="258" w:name="_Toc184308060"/>
      <w:bookmarkEnd w:id="258"/>
      <w:bookmarkStart w:id="259" w:name="_Toc184314435"/>
      <w:bookmarkEnd w:id="259"/>
      <w:bookmarkStart w:id="260" w:name="_Toc184313261"/>
      <w:bookmarkEnd w:id="260"/>
      <w:bookmarkStart w:id="261" w:name="_Toc184314413"/>
      <w:bookmarkEnd w:id="261"/>
      <w:bookmarkStart w:id="262" w:name="_Toc184308099"/>
      <w:bookmarkEnd w:id="262"/>
      <w:bookmarkStart w:id="263" w:name="_Toc184314478"/>
      <w:bookmarkEnd w:id="263"/>
      <w:bookmarkStart w:id="264" w:name="_Toc184310317"/>
      <w:bookmarkEnd w:id="264"/>
      <w:bookmarkStart w:id="265" w:name="_Toc184310323"/>
      <w:bookmarkEnd w:id="265"/>
      <w:bookmarkStart w:id="266" w:name="_Toc184313245"/>
      <w:bookmarkEnd w:id="266"/>
      <w:bookmarkStart w:id="267" w:name="_Toc184310285"/>
      <w:bookmarkEnd w:id="267"/>
      <w:bookmarkStart w:id="268" w:name="_Toc184308078"/>
      <w:bookmarkEnd w:id="268"/>
      <w:bookmarkStart w:id="269" w:name="_Toc184310304"/>
      <w:bookmarkEnd w:id="269"/>
      <w:bookmarkStart w:id="270" w:name="_Toc184314410"/>
      <w:bookmarkEnd w:id="270"/>
      <w:bookmarkStart w:id="271" w:name="_Toc184308100"/>
      <w:bookmarkEnd w:id="271"/>
      <w:bookmarkStart w:id="272" w:name="_Toc184310283"/>
      <w:bookmarkEnd w:id="272"/>
      <w:bookmarkStart w:id="273" w:name="_Toc184310274"/>
      <w:bookmarkEnd w:id="273"/>
      <w:bookmarkStart w:id="274" w:name="_Toc184310332"/>
      <w:bookmarkEnd w:id="274"/>
      <w:bookmarkStart w:id="275" w:name="_Toc184314448"/>
      <w:bookmarkEnd w:id="275"/>
      <w:bookmarkStart w:id="276" w:name="_Toc184312083"/>
      <w:bookmarkEnd w:id="276"/>
      <w:bookmarkStart w:id="277" w:name="_Toc184310344"/>
      <w:bookmarkEnd w:id="277"/>
      <w:bookmarkStart w:id="278" w:name="_Toc184312086"/>
      <w:bookmarkEnd w:id="278"/>
      <w:bookmarkStart w:id="279" w:name="_Toc184314459"/>
      <w:bookmarkEnd w:id="279"/>
      <w:bookmarkStart w:id="280" w:name="_Toc184313259"/>
      <w:bookmarkEnd w:id="280"/>
      <w:bookmarkStart w:id="281" w:name="_Toc184308058"/>
      <w:bookmarkEnd w:id="281"/>
      <w:bookmarkStart w:id="282" w:name="_Toc184313243"/>
      <w:bookmarkEnd w:id="282"/>
      <w:bookmarkStart w:id="283" w:name="_Toc184308043"/>
      <w:bookmarkEnd w:id="283"/>
      <w:bookmarkStart w:id="284" w:name="_Toc184314474"/>
      <w:bookmarkEnd w:id="284"/>
      <w:bookmarkStart w:id="285" w:name="_Toc184313276"/>
      <w:bookmarkEnd w:id="285"/>
      <w:bookmarkStart w:id="286" w:name="_Toc184314458"/>
      <w:bookmarkEnd w:id="286"/>
      <w:bookmarkStart w:id="287" w:name="_Toc184314414"/>
      <w:bookmarkEnd w:id="287"/>
      <w:bookmarkStart w:id="288" w:name="_Toc184313247"/>
      <w:bookmarkEnd w:id="288"/>
      <w:bookmarkStart w:id="289" w:name="_Toc184310321"/>
      <w:bookmarkEnd w:id="289"/>
      <w:bookmarkStart w:id="290" w:name="_Toc184314477"/>
      <w:bookmarkEnd w:id="290"/>
      <w:bookmarkStart w:id="291" w:name="_Toc184310337"/>
      <w:bookmarkEnd w:id="291"/>
      <w:bookmarkStart w:id="292" w:name="_Toc184314441"/>
      <w:bookmarkEnd w:id="292"/>
      <w:bookmarkStart w:id="293" w:name="_Toc184310302"/>
      <w:bookmarkEnd w:id="293"/>
      <w:bookmarkStart w:id="294" w:name="_Toc184314436"/>
      <w:bookmarkEnd w:id="294"/>
      <w:bookmarkStart w:id="295" w:name="_Toc184313273"/>
      <w:bookmarkEnd w:id="295"/>
      <w:bookmarkStart w:id="296" w:name="_Toc184314455"/>
      <w:bookmarkEnd w:id="296"/>
      <w:bookmarkStart w:id="297" w:name="_Toc184312119"/>
      <w:bookmarkEnd w:id="297"/>
      <w:bookmarkStart w:id="298" w:name="_Toc184312132"/>
      <w:bookmarkEnd w:id="298"/>
      <w:bookmarkStart w:id="299" w:name="_Toc184308061"/>
      <w:bookmarkEnd w:id="299"/>
      <w:bookmarkStart w:id="300" w:name="_Toc184313250"/>
      <w:bookmarkEnd w:id="300"/>
      <w:bookmarkStart w:id="301" w:name="_Toc184308073"/>
      <w:bookmarkEnd w:id="301"/>
      <w:bookmarkStart w:id="302" w:name="_Toc184314469"/>
      <w:bookmarkEnd w:id="302"/>
      <w:bookmarkStart w:id="303" w:name="_Toc184310326"/>
      <w:bookmarkEnd w:id="303"/>
      <w:bookmarkStart w:id="304" w:name="_Toc184314438"/>
      <w:bookmarkEnd w:id="304"/>
      <w:bookmarkStart w:id="305" w:name="_Toc184308076"/>
      <w:bookmarkEnd w:id="305"/>
      <w:bookmarkStart w:id="306" w:name="_Toc184312121"/>
      <w:bookmarkEnd w:id="306"/>
      <w:bookmarkStart w:id="307" w:name="_Toc184308041"/>
      <w:bookmarkEnd w:id="307"/>
      <w:bookmarkStart w:id="308" w:name="_Toc184308046"/>
      <w:bookmarkEnd w:id="308"/>
      <w:bookmarkStart w:id="309" w:name="_Toc184313242"/>
      <w:bookmarkEnd w:id="309"/>
      <w:bookmarkStart w:id="310" w:name="_Toc184308094"/>
      <w:bookmarkEnd w:id="310"/>
      <w:bookmarkStart w:id="311" w:name="_Toc184312080"/>
      <w:bookmarkEnd w:id="311"/>
      <w:bookmarkStart w:id="312" w:name="_Toc184308102"/>
      <w:bookmarkEnd w:id="312"/>
      <w:bookmarkStart w:id="313" w:name="_Toc184310324"/>
      <w:bookmarkEnd w:id="313"/>
      <w:bookmarkStart w:id="314" w:name="_Toc184308047"/>
      <w:bookmarkEnd w:id="314"/>
      <w:bookmarkStart w:id="315" w:name="_Toc184314417"/>
      <w:bookmarkEnd w:id="315"/>
      <w:bookmarkStart w:id="316" w:name="_Toc184313302"/>
      <w:bookmarkEnd w:id="316"/>
      <w:bookmarkStart w:id="317" w:name="_Toc184312127"/>
      <w:bookmarkEnd w:id="317"/>
      <w:bookmarkStart w:id="318" w:name="_Toc184308040"/>
      <w:bookmarkEnd w:id="318"/>
      <w:bookmarkStart w:id="319" w:name="_Toc184310297"/>
      <w:bookmarkEnd w:id="319"/>
      <w:bookmarkStart w:id="320" w:name="_Toc184313262"/>
      <w:bookmarkEnd w:id="320"/>
      <w:bookmarkStart w:id="321" w:name="_Toc184314428"/>
      <w:bookmarkEnd w:id="321"/>
      <w:bookmarkStart w:id="322" w:name="_Toc184308064"/>
      <w:bookmarkEnd w:id="322"/>
      <w:bookmarkStart w:id="323" w:name="_Toc184314432"/>
      <w:bookmarkEnd w:id="323"/>
      <w:bookmarkStart w:id="324" w:name="_Toc184312070"/>
      <w:bookmarkEnd w:id="324"/>
      <w:bookmarkStart w:id="325" w:name="_Toc184312111"/>
      <w:bookmarkEnd w:id="325"/>
      <w:bookmarkStart w:id="326" w:name="_Toc184310299"/>
      <w:bookmarkEnd w:id="326"/>
      <w:bookmarkStart w:id="327" w:name="_Toc184310342"/>
      <w:bookmarkEnd w:id="327"/>
      <w:bookmarkStart w:id="328" w:name="_Toc184312125"/>
      <w:bookmarkEnd w:id="328"/>
      <w:bookmarkStart w:id="329" w:name="_Toc184310288"/>
      <w:bookmarkEnd w:id="329"/>
      <w:bookmarkStart w:id="330" w:name="_Toc184310273"/>
      <w:bookmarkEnd w:id="330"/>
      <w:bookmarkStart w:id="331" w:name="_Toc184313303"/>
      <w:bookmarkEnd w:id="331"/>
      <w:bookmarkStart w:id="332" w:name="_Toc184313266"/>
      <w:bookmarkEnd w:id="332"/>
      <w:bookmarkStart w:id="333" w:name="_Toc184312069"/>
      <w:bookmarkEnd w:id="333"/>
      <w:bookmarkStart w:id="334" w:name="_Toc184310329"/>
      <w:bookmarkEnd w:id="334"/>
      <w:bookmarkStart w:id="335" w:name="_Toc184308045"/>
      <w:bookmarkEnd w:id="335"/>
      <w:bookmarkStart w:id="336" w:name="_Toc184313244"/>
      <w:bookmarkEnd w:id="336"/>
      <w:bookmarkStart w:id="337" w:name="_Toc184312099"/>
      <w:bookmarkEnd w:id="337"/>
      <w:bookmarkStart w:id="338" w:name="_Toc184308037"/>
      <w:bookmarkEnd w:id="338"/>
      <w:bookmarkStart w:id="339" w:name="_Toc184314420"/>
      <w:bookmarkEnd w:id="339"/>
      <w:bookmarkStart w:id="340" w:name="_Toc184314471"/>
      <w:bookmarkEnd w:id="340"/>
      <w:bookmarkStart w:id="341" w:name="_Toc184310306"/>
      <w:bookmarkEnd w:id="341"/>
      <w:bookmarkStart w:id="342" w:name="_Toc184308108"/>
      <w:bookmarkEnd w:id="342"/>
      <w:bookmarkStart w:id="343" w:name="_Toc184314442"/>
      <w:bookmarkEnd w:id="343"/>
      <w:bookmarkStart w:id="344" w:name="_Toc184308059"/>
      <w:bookmarkEnd w:id="344"/>
      <w:bookmarkStart w:id="345" w:name="_Toc184312102"/>
      <w:bookmarkEnd w:id="345"/>
      <w:bookmarkStart w:id="346" w:name="_Toc184312079"/>
      <w:bookmarkEnd w:id="346"/>
      <w:bookmarkStart w:id="347" w:name="_Toc184314443"/>
      <w:bookmarkEnd w:id="347"/>
      <w:bookmarkStart w:id="348" w:name="_Toc184308084"/>
      <w:bookmarkEnd w:id="348"/>
      <w:bookmarkStart w:id="349" w:name="_Toc184313252"/>
      <w:bookmarkEnd w:id="349"/>
      <w:bookmarkStart w:id="350" w:name="_Toc184314451"/>
      <w:bookmarkEnd w:id="350"/>
      <w:bookmarkStart w:id="351" w:name="_Toc184310320"/>
      <w:bookmarkEnd w:id="351"/>
      <w:bookmarkStart w:id="352" w:name="_Toc184310282"/>
      <w:bookmarkEnd w:id="352"/>
      <w:bookmarkStart w:id="353" w:name="_Toc184313289"/>
      <w:bookmarkEnd w:id="353"/>
      <w:bookmarkStart w:id="354" w:name="_Toc184314475"/>
      <w:bookmarkEnd w:id="354"/>
      <w:bookmarkStart w:id="355" w:name="_Toc184314470"/>
      <w:bookmarkEnd w:id="355"/>
      <w:bookmarkStart w:id="356" w:name="_Toc184313265"/>
      <w:bookmarkEnd w:id="356"/>
      <w:bookmarkStart w:id="357" w:name="_Toc184310307"/>
      <w:bookmarkEnd w:id="357"/>
      <w:bookmarkStart w:id="358" w:name="_Toc184308090"/>
      <w:bookmarkEnd w:id="358"/>
      <w:bookmarkStart w:id="359" w:name="_Toc184313288"/>
      <w:bookmarkEnd w:id="359"/>
      <w:bookmarkStart w:id="360" w:name="_Toc184312076"/>
      <w:bookmarkEnd w:id="360"/>
      <w:bookmarkStart w:id="361" w:name="_Toc184308089"/>
      <w:bookmarkEnd w:id="361"/>
      <w:bookmarkStart w:id="362" w:name="_Toc184314446"/>
      <w:bookmarkEnd w:id="362"/>
      <w:bookmarkStart w:id="363" w:name="_Toc184312106"/>
      <w:bookmarkEnd w:id="363"/>
      <w:bookmarkStart w:id="364" w:name="_Toc184314424"/>
      <w:bookmarkEnd w:id="364"/>
      <w:bookmarkStart w:id="365" w:name="_Toc184314426"/>
      <w:bookmarkEnd w:id="365"/>
      <w:bookmarkStart w:id="366" w:name="_Toc184308044"/>
      <w:bookmarkEnd w:id="366"/>
      <w:bookmarkStart w:id="367" w:name="_Toc184310284"/>
      <w:bookmarkEnd w:id="367"/>
      <w:bookmarkStart w:id="368" w:name="_Toc184313304"/>
      <w:bookmarkEnd w:id="368"/>
      <w:bookmarkStart w:id="369" w:name="_Toc184310300"/>
      <w:bookmarkEnd w:id="369"/>
      <w:bookmarkStart w:id="370" w:name="_Toc184312133"/>
      <w:bookmarkEnd w:id="370"/>
      <w:bookmarkStart w:id="371" w:name="_Toc184314447"/>
      <w:bookmarkEnd w:id="371"/>
      <w:bookmarkStart w:id="372" w:name="_Toc184313286"/>
      <w:bookmarkEnd w:id="372"/>
      <w:bookmarkStart w:id="373" w:name="_Toc184310313"/>
      <w:bookmarkEnd w:id="373"/>
      <w:bookmarkStart w:id="374" w:name="_Toc184314482"/>
      <w:bookmarkEnd w:id="374"/>
      <w:bookmarkStart w:id="375" w:name="_Toc184314431"/>
      <w:bookmarkEnd w:id="375"/>
      <w:bookmarkStart w:id="376" w:name="_Toc184314454"/>
      <w:bookmarkEnd w:id="376"/>
      <w:bookmarkStart w:id="377" w:name="_Toc184313284"/>
      <w:bookmarkEnd w:id="377"/>
      <w:bookmarkStart w:id="378" w:name="_Toc184310334"/>
      <w:bookmarkEnd w:id="378"/>
      <w:bookmarkStart w:id="379" w:name="_Toc184310293"/>
      <w:bookmarkEnd w:id="379"/>
      <w:bookmarkStart w:id="380" w:name="_Toc184314449"/>
      <w:bookmarkEnd w:id="380"/>
      <w:bookmarkStart w:id="381" w:name="_Toc184313270"/>
      <w:bookmarkEnd w:id="381"/>
      <w:bookmarkStart w:id="382" w:name="_Toc184310315"/>
      <w:bookmarkEnd w:id="382"/>
      <w:bookmarkStart w:id="383" w:name="_Toc184308079"/>
      <w:bookmarkEnd w:id="383"/>
      <w:bookmarkStart w:id="384" w:name="_Toc184308098"/>
      <w:bookmarkEnd w:id="384"/>
      <w:bookmarkStart w:id="385" w:name="_Toc184308053"/>
      <w:bookmarkEnd w:id="385"/>
      <w:bookmarkStart w:id="386" w:name="_Toc184312137"/>
      <w:bookmarkEnd w:id="386"/>
      <w:bookmarkStart w:id="387" w:name="_Toc184308063"/>
      <w:bookmarkEnd w:id="387"/>
      <w:bookmarkStart w:id="388" w:name="_Toc184308085"/>
      <w:bookmarkEnd w:id="388"/>
      <w:bookmarkStart w:id="389" w:name="_Toc184313241"/>
      <w:bookmarkEnd w:id="389"/>
      <w:bookmarkStart w:id="390" w:name="_Toc184314462"/>
      <w:bookmarkEnd w:id="390"/>
      <w:bookmarkStart w:id="391" w:name="_Toc184314421"/>
      <w:bookmarkEnd w:id="391"/>
      <w:r>
        <w:rPr>
          <w:rFonts w:hint="eastAsia" w:ascii="仿宋" w:hAnsi="仿宋" w:eastAsia="仿宋" w:cs="仿宋"/>
          <w:b/>
          <w:sz w:val="36"/>
          <w:szCs w:val="36"/>
          <w:highlight w:val="none"/>
        </w:rPr>
        <w:t>评标办法</w:t>
      </w:r>
    </w:p>
    <w:p>
      <w:pPr>
        <w:snapToGrid w:val="0"/>
        <w:spacing w:line="360" w:lineRule="auto"/>
        <w:jc w:val="center"/>
        <w:rPr>
          <w:rFonts w:hint="eastAsia" w:ascii="仿宋" w:hAnsi="仿宋" w:eastAsia="仿宋" w:cs="仿宋"/>
          <w:b/>
          <w:sz w:val="32"/>
          <w:szCs w:val="20"/>
          <w:highlight w:val="none"/>
        </w:rPr>
      </w:pPr>
      <w:r>
        <w:rPr>
          <w:rFonts w:hint="eastAsia" w:ascii="仿宋" w:hAnsi="仿宋" w:eastAsia="仿宋" w:cs="仿宋"/>
          <w:b/>
          <w:sz w:val="32"/>
          <w:szCs w:val="20"/>
          <w:highlight w:val="none"/>
        </w:rPr>
        <w:t>评标办法前附表</w:t>
      </w:r>
    </w:p>
    <w:tbl>
      <w:tblPr>
        <w:tblStyle w:val="62"/>
        <w:tblpPr w:leftFromText="180" w:rightFromText="180" w:vertAnchor="text" w:horzAnchor="page" w:tblpX="1657" w:tblpY="126"/>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4994"/>
        <w:gridCol w:w="658"/>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761" w:type="dxa"/>
            <w:vAlign w:val="center"/>
          </w:tcPr>
          <w:p>
            <w:pPr>
              <w:spacing w:line="360" w:lineRule="auto"/>
              <w:jc w:val="center"/>
              <w:outlineLvl w:val="0"/>
              <w:rPr>
                <w:rFonts w:hint="eastAsia" w:ascii="仿宋" w:hAnsi="仿宋" w:eastAsia="仿宋" w:cs="仿宋"/>
                <w:bCs/>
                <w:sz w:val="24"/>
                <w:highlight w:val="none"/>
              </w:rPr>
            </w:pPr>
            <w:r>
              <w:rPr>
                <w:rFonts w:hint="eastAsia" w:ascii="仿宋" w:hAnsi="仿宋" w:eastAsia="仿宋" w:cs="仿宋"/>
                <w:bCs/>
                <w:sz w:val="24"/>
                <w:highlight w:val="none"/>
              </w:rPr>
              <w:t>序号</w:t>
            </w:r>
          </w:p>
        </w:tc>
        <w:tc>
          <w:tcPr>
            <w:tcW w:w="4994" w:type="dxa"/>
            <w:vAlign w:val="center"/>
          </w:tcPr>
          <w:p>
            <w:pPr>
              <w:spacing w:line="360" w:lineRule="auto"/>
              <w:ind w:firstLine="1560" w:firstLineChars="650"/>
              <w:outlineLvl w:val="0"/>
              <w:rPr>
                <w:rFonts w:hint="eastAsia" w:ascii="仿宋" w:hAnsi="仿宋" w:eastAsia="仿宋" w:cs="仿宋"/>
                <w:bCs/>
                <w:sz w:val="24"/>
                <w:highlight w:val="none"/>
              </w:rPr>
            </w:pPr>
            <w:r>
              <w:rPr>
                <w:rFonts w:hint="eastAsia" w:ascii="仿宋" w:hAnsi="仿宋" w:eastAsia="仿宋" w:cs="仿宋"/>
                <w:bCs/>
                <w:sz w:val="24"/>
                <w:highlight w:val="none"/>
              </w:rPr>
              <w:t>评标标准</w:t>
            </w:r>
          </w:p>
        </w:tc>
        <w:tc>
          <w:tcPr>
            <w:tcW w:w="658" w:type="dxa"/>
            <w:vAlign w:val="center"/>
          </w:tcPr>
          <w:p>
            <w:pPr>
              <w:spacing w:line="360" w:lineRule="auto"/>
              <w:outlineLvl w:val="0"/>
              <w:rPr>
                <w:rFonts w:hint="eastAsia" w:ascii="仿宋" w:hAnsi="仿宋" w:eastAsia="仿宋" w:cs="仿宋"/>
                <w:bCs/>
                <w:sz w:val="24"/>
                <w:highlight w:val="none"/>
              </w:rPr>
            </w:pPr>
            <w:r>
              <w:rPr>
                <w:rFonts w:hint="eastAsia" w:ascii="仿宋" w:hAnsi="仿宋" w:eastAsia="仿宋" w:cs="仿宋"/>
                <w:bCs/>
                <w:sz w:val="24"/>
                <w:highlight w:val="none"/>
              </w:rPr>
              <w:t>权重</w:t>
            </w:r>
          </w:p>
        </w:tc>
        <w:tc>
          <w:tcPr>
            <w:tcW w:w="2150" w:type="dxa"/>
          </w:tcPr>
          <w:p>
            <w:pPr>
              <w:spacing w:line="360" w:lineRule="auto"/>
              <w:outlineLvl w:val="0"/>
              <w:rPr>
                <w:rFonts w:hint="eastAsia" w:ascii="仿宋" w:hAnsi="仿宋" w:eastAsia="仿宋" w:cs="仿宋"/>
                <w:bCs/>
                <w:sz w:val="24"/>
                <w:highlight w:val="none"/>
              </w:rPr>
            </w:pPr>
            <w:r>
              <w:rPr>
                <w:rFonts w:hint="eastAsia" w:ascii="仿宋" w:hAnsi="仿宋" w:eastAsia="仿宋" w:cs="仿宋"/>
                <w:bCs/>
                <w:sz w:val="24"/>
                <w:highlight w:val="none"/>
              </w:rPr>
              <w:t>投标文件中评标标准相应的商务技术资料目录</w:t>
            </w:r>
            <w:r>
              <w:rPr>
                <w:rFonts w:hint="eastAsia" w:ascii="仿宋" w:hAnsi="仿宋" w:eastAsia="仿宋" w:cs="仿宋"/>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761" w:type="dxa"/>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1</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符合明确指标参数得</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分；对非关键技术参数负偏离或缺漏项的每项扣1分，对非关键功能负偏离或缺漏项的每项扣1分，扣完为止。</w:t>
            </w:r>
          </w:p>
        </w:tc>
        <w:tc>
          <w:tcPr>
            <w:tcW w:w="658" w:type="dxa"/>
            <w:vAlign w:val="center"/>
          </w:tcPr>
          <w:p>
            <w:pPr>
              <w:jc w:val="center"/>
              <w:rPr>
                <w:rFonts w:hint="eastAsia" w:ascii="仿宋" w:hAnsi="仿宋" w:eastAsia="仿宋" w:cs="仿宋"/>
                <w:sz w:val="24"/>
                <w:highlight w:val="none"/>
                <w:lang w:val="en-US" w:eastAsia="zh-CN"/>
              </w:rPr>
            </w:pPr>
            <w:r>
              <w:rPr>
                <w:rFonts w:hint="eastAsia" w:ascii="仿宋" w:hAnsi="仿宋" w:eastAsia="仿宋" w:cs="仿宋"/>
                <w:highlight w:val="none"/>
                <w:lang w:val="en-US" w:eastAsia="zh-CN"/>
              </w:rPr>
              <w:t>10</w:t>
            </w:r>
          </w:p>
        </w:tc>
        <w:tc>
          <w:tcPr>
            <w:tcW w:w="2150" w:type="dxa"/>
            <w:vAlign w:val="center"/>
          </w:tcPr>
          <w:p>
            <w:pPr>
              <w:spacing w:line="360" w:lineRule="auto"/>
              <w:jc w:val="center"/>
              <w:outlineLvl w:val="0"/>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61" w:type="dxa"/>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2</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对</w:t>
            </w:r>
            <w:r>
              <w:rPr>
                <w:rFonts w:hint="eastAsia" w:ascii="仿宋" w:hAnsi="仿宋" w:eastAsia="仿宋" w:cs="仿宋"/>
                <w:sz w:val="24"/>
                <w:szCs w:val="24"/>
                <w:highlight w:val="none"/>
                <w:lang w:eastAsia="zh-CN"/>
              </w:rPr>
              <w:t>采购需求中设备的</w:t>
            </w:r>
            <w:r>
              <w:rPr>
                <w:rFonts w:hint="eastAsia" w:ascii="仿宋" w:hAnsi="仿宋" w:eastAsia="仿宋" w:cs="仿宋"/>
                <w:sz w:val="24"/>
                <w:szCs w:val="24"/>
                <w:highlight w:val="none"/>
              </w:rPr>
              <w:t>性能指标、技术参数属正偏离或高配的、有实质性正偏离的每项加1分（最高分为4分），无实质性意义的正偏离不加分</w:t>
            </w:r>
            <w:r>
              <w:rPr>
                <w:rFonts w:hint="eastAsia" w:ascii="仿宋" w:hAnsi="仿宋" w:eastAsia="仿宋" w:cs="仿宋"/>
                <w:sz w:val="24"/>
                <w:szCs w:val="24"/>
                <w:highlight w:val="none"/>
                <w:lang w:eastAsia="zh-CN"/>
              </w:rPr>
              <w:t>，由评委综合评定</w:t>
            </w:r>
            <w:r>
              <w:rPr>
                <w:rFonts w:hint="eastAsia" w:ascii="仿宋" w:hAnsi="仿宋" w:eastAsia="仿宋" w:cs="仿宋"/>
                <w:sz w:val="24"/>
                <w:szCs w:val="24"/>
                <w:highlight w:val="none"/>
              </w:rPr>
              <w:t>。</w:t>
            </w:r>
          </w:p>
        </w:tc>
        <w:tc>
          <w:tcPr>
            <w:tcW w:w="658" w:type="dxa"/>
            <w:vAlign w:val="center"/>
          </w:tcPr>
          <w:p>
            <w:pPr>
              <w:jc w:val="center"/>
              <w:rPr>
                <w:rFonts w:hint="eastAsia" w:ascii="仿宋" w:hAnsi="仿宋" w:eastAsia="仿宋" w:cs="仿宋"/>
                <w:sz w:val="24"/>
                <w:highlight w:val="none"/>
              </w:rPr>
            </w:pPr>
            <w:r>
              <w:rPr>
                <w:rFonts w:hint="eastAsia" w:ascii="仿宋" w:hAnsi="仿宋" w:eastAsia="仿宋" w:cs="仿宋"/>
                <w:highlight w:val="none"/>
              </w:rPr>
              <w:t>4</w:t>
            </w:r>
          </w:p>
        </w:tc>
        <w:tc>
          <w:tcPr>
            <w:tcW w:w="2150" w:type="dxa"/>
          </w:tcPr>
          <w:p>
            <w:pPr>
              <w:spacing w:line="360" w:lineRule="auto"/>
              <w:outlineLvl w:val="0"/>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761" w:type="dxa"/>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3</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投标提供的遥测终端机、北斗通信模块、雷达水位计、压力水位计、浮子水位计、雨量计具有权威检测机构出具的有效期内的检测报告，每具有1份得0.5分，最高得3分。（投标文件中提供检测报告复印件加盖公章）</w:t>
            </w:r>
          </w:p>
        </w:tc>
        <w:tc>
          <w:tcPr>
            <w:tcW w:w="658" w:type="dxa"/>
            <w:vAlign w:val="center"/>
          </w:tcPr>
          <w:p>
            <w:pPr>
              <w:jc w:val="center"/>
              <w:rPr>
                <w:rFonts w:hint="eastAsia" w:ascii="仿宋" w:hAnsi="仿宋" w:eastAsia="仿宋" w:cs="仿宋"/>
                <w:sz w:val="24"/>
                <w:highlight w:val="none"/>
              </w:rPr>
            </w:pPr>
            <w:r>
              <w:rPr>
                <w:rFonts w:hint="eastAsia" w:ascii="仿宋" w:hAnsi="仿宋" w:eastAsia="仿宋" w:cs="仿宋"/>
                <w:highlight w:val="none"/>
              </w:rPr>
              <w:t>3</w:t>
            </w:r>
          </w:p>
        </w:tc>
        <w:tc>
          <w:tcPr>
            <w:tcW w:w="2150" w:type="dxa"/>
          </w:tcPr>
          <w:p>
            <w:pPr>
              <w:spacing w:line="360" w:lineRule="auto"/>
              <w:outlineLvl w:val="0"/>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根据投标单位是否踏勘</w:t>
            </w:r>
            <w:r>
              <w:rPr>
                <w:rFonts w:hint="eastAsia" w:ascii="仿宋" w:hAnsi="仿宋" w:eastAsia="仿宋" w:cs="仿宋"/>
                <w:sz w:val="24"/>
                <w:szCs w:val="24"/>
                <w:highlight w:val="none"/>
                <w:lang w:eastAsia="zh-CN"/>
              </w:rPr>
              <w:t>现场</w:t>
            </w:r>
            <w:r>
              <w:rPr>
                <w:rFonts w:hint="eastAsia" w:ascii="仿宋" w:hAnsi="仿宋" w:eastAsia="仿宋" w:cs="仿宋"/>
                <w:sz w:val="24"/>
                <w:szCs w:val="24"/>
                <w:highlight w:val="none"/>
              </w:rPr>
              <w:t>情况，</w:t>
            </w:r>
            <w:r>
              <w:rPr>
                <w:rFonts w:hint="eastAsia" w:ascii="仿宋" w:hAnsi="仿宋" w:eastAsia="仿宋" w:cs="仿宋"/>
                <w:sz w:val="24"/>
                <w:szCs w:val="24"/>
                <w:highlight w:val="none"/>
                <w:lang w:eastAsia="zh-CN"/>
              </w:rPr>
              <w:t>投标文件中</w:t>
            </w:r>
            <w:r>
              <w:rPr>
                <w:rFonts w:hint="eastAsia" w:ascii="仿宋" w:hAnsi="仿宋" w:eastAsia="仿宋" w:cs="仿宋"/>
                <w:sz w:val="24"/>
                <w:szCs w:val="24"/>
                <w:highlight w:val="none"/>
              </w:rPr>
              <w:t>提供采购单位踏勘确认书</w:t>
            </w:r>
            <w:r>
              <w:rPr>
                <w:rFonts w:hint="eastAsia" w:ascii="仿宋" w:hAnsi="仿宋" w:eastAsia="仿宋" w:cs="仿宋"/>
                <w:sz w:val="24"/>
                <w:szCs w:val="24"/>
                <w:highlight w:val="none"/>
                <w:lang w:eastAsia="zh-CN"/>
              </w:rPr>
              <w:t>（格式详见附件）扫描件或复印件</w:t>
            </w:r>
            <w:r>
              <w:rPr>
                <w:rFonts w:hint="eastAsia" w:ascii="仿宋" w:hAnsi="仿宋" w:eastAsia="仿宋" w:cs="仿宋"/>
                <w:sz w:val="24"/>
                <w:szCs w:val="24"/>
                <w:highlight w:val="none"/>
              </w:rPr>
              <w:t>的得2分。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2</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根据现场实际情况拟定安装点位，提供安装及建设思路，对踏勘的真实性、完整性及建设思路阐述的详细程度、清晰程度进行评分，最高得4分。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4</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根据实际情况提供实施方案包括但不限于实施计划、供货方案、安装调试方案、验收方案的详细、完整程度、合理性和可行性由专家评审，最高4分。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4</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根据供应商针对本项目的进度安排是否合理，包括组织机构、工作时间进度表、工作程序和步骤、管理和协调方法等的合理性和可行性由专家评审，最高3分。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p>
            <w:pPr>
              <w:jc w:val="center"/>
              <w:rPr>
                <w:rFonts w:hint="eastAsia" w:ascii="仿宋" w:hAnsi="仿宋" w:eastAsia="仿宋" w:cs="仿宋"/>
                <w:highlight w:val="none"/>
              </w:rPr>
            </w:pP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根据供应商针对本项目实施过程中提供的质量、安全、文明保证措施是否能满足项目采购需求的合理性、科学性、全面性等方面情况</w:t>
            </w:r>
            <w:r>
              <w:rPr>
                <w:rFonts w:hint="eastAsia" w:ascii="仿宋" w:hAnsi="仿宋" w:eastAsia="仿宋" w:cs="仿宋"/>
                <w:sz w:val="24"/>
                <w:szCs w:val="24"/>
                <w:highlight w:val="none"/>
                <w:lang w:val="zh-CN"/>
              </w:rPr>
              <w:t>，由专家评审，</w:t>
            </w:r>
            <w:r>
              <w:rPr>
                <w:rFonts w:hint="eastAsia" w:ascii="仿宋" w:hAnsi="仿宋" w:eastAsia="仿宋" w:cs="仿宋"/>
                <w:sz w:val="24"/>
                <w:szCs w:val="24"/>
                <w:highlight w:val="none"/>
              </w:rPr>
              <w:t>最高得3分。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9</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根据实际情况对本项目需求的重点和难点进行分析，并提出针对性的、合理性的解决办法，每具有1项内容得1分，最高得</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w:t>
            </w:r>
          </w:p>
        </w:tc>
        <w:tc>
          <w:tcPr>
            <w:tcW w:w="658" w:type="dxa"/>
            <w:vAlign w:val="center"/>
          </w:tcPr>
          <w:p>
            <w:pPr>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4</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项目负责人具有水文与水资源专业教授级高级工程师得3分，高级工程师得1分，其余不得分。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提供证书及近</w:t>
            </w:r>
            <w:r>
              <w:rPr>
                <w:rFonts w:hint="eastAsia" w:ascii="仿宋" w:hAnsi="仿宋" w:eastAsia="仿宋" w:cs="仿宋"/>
                <w:sz w:val="24"/>
                <w:szCs w:val="24"/>
                <w:highlight w:val="none"/>
                <w:lang w:eastAsia="zh-CN"/>
              </w:rPr>
              <w:t>三</w:t>
            </w:r>
            <w:r>
              <w:rPr>
                <w:rFonts w:hint="eastAsia" w:ascii="仿宋" w:hAnsi="仿宋" w:eastAsia="仿宋" w:cs="仿宋"/>
                <w:sz w:val="24"/>
                <w:szCs w:val="24"/>
                <w:highlight w:val="none"/>
              </w:rPr>
              <w:t>个月的社保缴费证明</w:t>
            </w:r>
            <w:r>
              <w:rPr>
                <w:rFonts w:hint="eastAsia" w:ascii="仿宋" w:hAnsi="仿宋" w:eastAsia="仿宋" w:cs="仿宋"/>
                <w:sz w:val="24"/>
                <w:szCs w:val="24"/>
                <w:highlight w:val="none"/>
                <w:lang w:eastAsia="zh-CN"/>
              </w:rPr>
              <w:t>或在本投标单位退休证明</w:t>
            </w:r>
            <w:r>
              <w:rPr>
                <w:rFonts w:hint="eastAsia" w:ascii="仿宋" w:hAnsi="仿宋" w:eastAsia="仿宋" w:cs="仿宋"/>
                <w:sz w:val="24"/>
                <w:szCs w:val="24"/>
                <w:highlight w:val="none"/>
              </w:rPr>
              <w:t>的原件</w:t>
            </w:r>
            <w:r>
              <w:rPr>
                <w:rFonts w:hint="eastAsia" w:ascii="仿宋" w:hAnsi="仿宋" w:eastAsia="仿宋" w:cs="仿宋"/>
                <w:sz w:val="24"/>
                <w:szCs w:val="24"/>
                <w:highlight w:val="none"/>
                <w:lang w:eastAsia="zh-CN"/>
              </w:rPr>
              <w:t>复印件或扫描件</w:t>
            </w:r>
            <w:r>
              <w:rPr>
                <w:rFonts w:hint="eastAsia" w:ascii="仿宋" w:hAnsi="仿宋" w:eastAsia="仿宋" w:cs="仿宋"/>
                <w:sz w:val="24"/>
                <w:szCs w:val="24"/>
                <w:highlight w:val="none"/>
              </w:rPr>
              <w:t>并加盖</w:t>
            </w:r>
            <w:r>
              <w:rPr>
                <w:rFonts w:hint="eastAsia" w:ascii="仿宋" w:hAnsi="仿宋" w:eastAsia="仿宋" w:cs="仿宋"/>
                <w:sz w:val="24"/>
                <w:szCs w:val="24"/>
                <w:highlight w:val="none"/>
                <w:lang w:eastAsia="zh-CN"/>
              </w:rPr>
              <w:t>公章</w:t>
            </w:r>
            <w:r>
              <w:rPr>
                <w:rFonts w:hint="eastAsia" w:ascii="仿宋" w:hAnsi="仿宋" w:eastAsia="仿宋" w:cs="仿宋"/>
                <w:sz w:val="24"/>
                <w:szCs w:val="24"/>
                <w:highlight w:val="none"/>
              </w:rPr>
              <w:t>，否则不得分</w:t>
            </w:r>
            <w:r>
              <w:rPr>
                <w:rFonts w:hint="eastAsia" w:ascii="仿宋" w:hAnsi="仿宋" w:eastAsia="仿宋" w:cs="仿宋"/>
                <w:sz w:val="24"/>
                <w:szCs w:val="24"/>
                <w:highlight w:val="none"/>
                <w:lang w:eastAsia="zh-CN"/>
              </w:rPr>
              <w:t>。）</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技术负责人具有水利工程相关专业教授级高级工程师得3分，高级工程师得1分，其余不得分。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提供证书及近</w:t>
            </w:r>
            <w:r>
              <w:rPr>
                <w:rFonts w:hint="eastAsia" w:ascii="仿宋" w:hAnsi="仿宋" w:eastAsia="仿宋" w:cs="仿宋"/>
                <w:sz w:val="24"/>
                <w:szCs w:val="24"/>
                <w:highlight w:val="none"/>
                <w:lang w:eastAsia="zh-CN"/>
              </w:rPr>
              <w:t>三</w:t>
            </w:r>
            <w:r>
              <w:rPr>
                <w:rFonts w:hint="eastAsia" w:ascii="仿宋" w:hAnsi="仿宋" w:eastAsia="仿宋" w:cs="仿宋"/>
                <w:sz w:val="24"/>
                <w:szCs w:val="24"/>
                <w:highlight w:val="none"/>
              </w:rPr>
              <w:t>个月的社保缴费证明</w:t>
            </w:r>
            <w:r>
              <w:rPr>
                <w:rFonts w:hint="eastAsia" w:ascii="仿宋" w:hAnsi="仿宋" w:eastAsia="仿宋" w:cs="仿宋"/>
                <w:sz w:val="24"/>
                <w:szCs w:val="24"/>
                <w:highlight w:val="none"/>
                <w:lang w:eastAsia="zh-CN"/>
              </w:rPr>
              <w:t>或在本投标单位退休证明</w:t>
            </w:r>
            <w:r>
              <w:rPr>
                <w:rFonts w:hint="eastAsia" w:ascii="仿宋" w:hAnsi="仿宋" w:eastAsia="仿宋" w:cs="仿宋"/>
                <w:sz w:val="24"/>
                <w:szCs w:val="24"/>
                <w:highlight w:val="none"/>
              </w:rPr>
              <w:t>的原件</w:t>
            </w:r>
            <w:r>
              <w:rPr>
                <w:rFonts w:hint="eastAsia" w:ascii="仿宋" w:hAnsi="仿宋" w:eastAsia="仿宋" w:cs="仿宋"/>
                <w:sz w:val="24"/>
                <w:szCs w:val="24"/>
                <w:highlight w:val="none"/>
                <w:lang w:eastAsia="zh-CN"/>
              </w:rPr>
              <w:t>复印件或扫描件</w:t>
            </w:r>
            <w:r>
              <w:rPr>
                <w:rFonts w:hint="eastAsia" w:ascii="仿宋" w:hAnsi="仿宋" w:eastAsia="仿宋" w:cs="仿宋"/>
                <w:sz w:val="24"/>
                <w:szCs w:val="24"/>
                <w:highlight w:val="none"/>
              </w:rPr>
              <w:t>并加盖</w:t>
            </w:r>
            <w:r>
              <w:rPr>
                <w:rFonts w:hint="eastAsia" w:ascii="仿宋" w:hAnsi="仿宋" w:eastAsia="仿宋" w:cs="仿宋"/>
                <w:sz w:val="24"/>
                <w:szCs w:val="24"/>
                <w:highlight w:val="none"/>
                <w:lang w:eastAsia="zh-CN"/>
              </w:rPr>
              <w:t>公章</w:t>
            </w:r>
            <w:r>
              <w:rPr>
                <w:rFonts w:hint="eastAsia" w:ascii="仿宋" w:hAnsi="仿宋" w:eastAsia="仿宋" w:cs="仿宋"/>
                <w:sz w:val="24"/>
                <w:szCs w:val="24"/>
                <w:highlight w:val="none"/>
              </w:rPr>
              <w:t>，否则不得分</w:t>
            </w:r>
            <w:r>
              <w:rPr>
                <w:rFonts w:hint="eastAsia" w:ascii="仿宋" w:hAnsi="仿宋" w:eastAsia="仿宋" w:cs="仿宋"/>
                <w:sz w:val="24"/>
                <w:szCs w:val="24"/>
                <w:highlight w:val="none"/>
                <w:lang w:eastAsia="zh-CN"/>
              </w:rPr>
              <w:t>。）</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项目组其他成员（除项目负责人和技术负责人外）中具有水文水资源专业高级工程师职称的每个得1分，具有以上专业工程师职称的每个得0.5分，本项最多得6分；（项目组其他成员不可重复得分，</w:t>
            </w:r>
            <w:r>
              <w:rPr>
                <w:rFonts w:hint="eastAsia" w:ascii="仿宋" w:hAnsi="仿宋" w:eastAsia="仿宋" w:cs="仿宋"/>
                <w:kern w:val="0"/>
                <w:sz w:val="24"/>
                <w:szCs w:val="24"/>
                <w:highlight w:val="none"/>
              </w:rPr>
              <w:t>须提供三个月及以上的社保证明</w:t>
            </w:r>
            <w:r>
              <w:rPr>
                <w:rFonts w:hint="eastAsia" w:ascii="仿宋" w:hAnsi="仿宋" w:eastAsia="仿宋" w:cs="仿宋"/>
                <w:sz w:val="24"/>
                <w:szCs w:val="24"/>
                <w:highlight w:val="none"/>
                <w:lang w:eastAsia="zh-CN"/>
              </w:rPr>
              <w:t>或在本投标单位退休证明</w:t>
            </w:r>
            <w:r>
              <w:rPr>
                <w:rFonts w:hint="eastAsia" w:ascii="仿宋" w:hAnsi="仿宋" w:eastAsia="仿宋" w:cs="仿宋"/>
                <w:kern w:val="0"/>
                <w:sz w:val="24"/>
                <w:szCs w:val="24"/>
                <w:highlight w:val="none"/>
              </w:rPr>
              <w:t>及证书</w:t>
            </w:r>
            <w:r>
              <w:rPr>
                <w:rFonts w:hint="eastAsia" w:ascii="仿宋" w:hAnsi="仿宋" w:eastAsia="仿宋" w:cs="仿宋"/>
                <w:sz w:val="24"/>
                <w:szCs w:val="24"/>
                <w:highlight w:val="none"/>
                <w:lang w:eastAsia="zh-CN"/>
              </w:rPr>
              <w:t>复印件或扫描件</w:t>
            </w:r>
            <w:r>
              <w:rPr>
                <w:rFonts w:hint="eastAsia" w:ascii="仿宋" w:hAnsi="仿宋" w:eastAsia="仿宋" w:cs="仿宋"/>
                <w:kern w:val="0"/>
                <w:sz w:val="24"/>
                <w:szCs w:val="24"/>
                <w:highlight w:val="none"/>
              </w:rPr>
              <w:t>加盖投标单位公章，否则不得分。职称证书上未能体现专业的以发证单位或学历证书辅助认定。</w:t>
            </w:r>
            <w:r>
              <w:rPr>
                <w:rFonts w:hint="eastAsia" w:ascii="仿宋" w:hAnsi="仿宋" w:eastAsia="仿宋" w:cs="仿宋"/>
                <w:sz w:val="24"/>
                <w:szCs w:val="24"/>
                <w:highlight w:val="none"/>
              </w:rPr>
              <w:t>）</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6</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项目组其他成员（除项目负责人和技术负责人外）中具有</w:t>
            </w:r>
            <w:r>
              <w:rPr>
                <w:rFonts w:hint="eastAsia" w:ascii="仿宋" w:hAnsi="仿宋" w:eastAsia="仿宋" w:cs="仿宋"/>
                <w:color w:val="000000"/>
                <w:sz w:val="24"/>
                <w:szCs w:val="24"/>
                <w:highlight w:val="none"/>
              </w:rPr>
              <w:t>注册土木工程师（水利水电工程）、注册测绘师、一级注册建造师（水利水电工程）资格证书、信息系统项目管理师、注册安全工程师、质量工程师的每提供1个得0.5分，最多得3分。</w:t>
            </w:r>
            <w:r>
              <w:rPr>
                <w:rFonts w:hint="eastAsia" w:ascii="仿宋" w:hAnsi="仿宋" w:eastAsia="仿宋" w:cs="仿宋"/>
                <w:sz w:val="24"/>
                <w:szCs w:val="24"/>
                <w:highlight w:val="none"/>
              </w:rPr>
              <w:t>（项目组其他成员不可重复得分，</w:t>
            </w:r>
            <w:r>
              <w:rPr>
                <w:rFonts w:hint="eastAsia" w:ascii="仿宋" w:hAnsi="仿宋" w:eastAsia="仿宋" w:cs="仿宋"/>
                <w:kern w:val="0"/>
                <w:sz w:val="24"/>
                <w:szCs w:val="24"/>
                <w:highlight w:val="none"/>
              </w:rPr>
              <w:t>须提供三个月及以上的社保证明</w:t>
            </w:r>
            <w:r>
              <w:rPr>
                <w:rFonts w:hint="eastAsia" w:ascii="仿宋" w:hAnsi="仿宋" w:eastAsia="仿宋" w:cs="仿宋"/>
                <w:sz w:val="24"/>
                <w:szCs w:val="24"/>
                <w:highlight w:val="none"/>
                <w:lang w:eastAsia="zh-CN"/>
              </w:rPr>
              <w:t>或在本投标单位退休证明</w:t>
            </w:r>
            <w:r>
              <w:rPr>
                <w:rFonts w:hint="eastAsia" w:ascii="仿宋" w:hAnsi="仿宋" w:eastAsia="仿宋" w:cs="仿宋"/>
                <w:kern w:val="0"/>
                <w:sz w:val="24"/>
                <w:szCs w:val="24"/>
                <w:highlight w:val="none"/>
              </w:rPr>
              <w:t>及证书</w:t>
            </w:r>
            <w:r>
              <w:rPr>
                <w:rFonts w:hint="eastAsia" w:ascii="仿宋" w:hAnsi="仿宋" w:eastAsia="仿宋" w:cs="仿宋"/>
                <w:sz w:val="24"/>
                <w:szCs w:val="24"/>
                <w:highlight w:val="none"/>
                <w:lang w:eastAsia="zh-CN"/>
              </w:rPr>
              <w:t>复印件或扫描件</w:t>
            </w:r>
            <w:r>
              <w:rPr>
                <w:rFonts w:hint="eastAsia" w:ascii="仿宋" w:hAnsi="仿宋" w:eastAsia="仿宋" w:cs="仿宋"/>
                <w:kern w:val="0"/>
                <w:sz w:val="24"/>
                <w:szCs w:val="24"/>
                <w:highlight w:val="none"/>
              </w:rPr>
              <w:t>加盖投标单位公章，否则不得分。职称证书上未能体现专业的以发证单位或学历证书辅助认定。</w:t>
            </w:r>
            <w:r>
              <w:rPr>
                <w:rFonts w:hint="eastAsia" w:ascii="仿宋" w:hAnsi="仿宋" w:eastAsia="仿宋" w:cs="仿宋"/>
                <w:sz w:val="24"/>
                <w:szCs w:val="24"/>
                <w:highlight w:val="none"/>
              </w:rPr>
              <w:t>）</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根据投标供应商承诺的售后服务方案，包括技术支持方案、升级服务方案、维保期内的日常巡检方案、对采购人故障的响应时间、处理、质保期外服务等进行打分，最高3分。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bCs/>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技术培训方案，主要包括培训的内容、培训对象、培训时间、培训地点、培训方式等安排具体、合理等情况由专家综合评分，</w:t>
            </w:r>
            <w:r>
              <w:rPr>
                <w:rFonts w:hint="eastAsia" w:ascii="仿宋" w:hAnsi="仿宋" w:eastAsia="仿宋" w:cs="仿宋"/>
                <w:sz w:val="24"/>
                <w:szCs w:val="24"/>
                <w:highlight w:val="none"/>
              </w:rPr>
              <w:t>最高3分。</w:t>
            </w:r>
          </w:p>
        </w:tc>
        <w:tc>
          <w:tcPr>
            <w:tcW w:w="658" w:type="dxa"/>
            <w:vAlign w:val="center"/>
          </w:tcPr>
          <w:p>
            <w:pPr>
              <w:jc w:val="center"/>
              <w:rPr>
                <w:rFonts w:hint="eastAsia" w:ascii="仿宋" w:hAnsi="仿宋" w:eastAsia="仿宋" w:cs="仿宋"/>
                <w:highlight w:val="none"/>
                <w:lang w:eastAsia="zh-CN"/>
              </w:rPr>
            </w:pPr>
            <w:r>
              <w:rPr>
                <w:rFonts w:hint="eastAsia" w:ascii="仿宋" w:hAnsi="仿宋" w:eastAsia="仿宋" w:cs="仿宋"/>
                <w:bCs/>
                <w:highlight w:val="none"/>
                <w:lang w:val="en-US" w:eastAsia="zh-CN"/>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质保期满足招标文件要求（2年）的不得分，每增加半年加1分，最高得2分。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bCs/>
                <w:highlight w:val="none"/>
              </w:rPr>
              <w:t>2</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售后服务网点</w:t>
            </w:r>
            <w:r>
              <w:rPr>
                <w:rFonts w:hint="eastAsia" w:ascii="仿宋" w:hAnsi="仿宋" w:eastAsia="仿宋" w:cs="仿宋"/>
                <w:color w:val="auto"/>
                <w:sz w:val="24"/>
                <w:szCs w:val="24"/>
                <w:highlight w:val="none"/>
                <w:lang w:eastAsia="zh-CN"/>
              </w:rPr>
              <w:t>设</w:t>
            </w:r>
            <w:r>
              <w:rPr>
                <w:rFonts w:hint="eastAsia" w:ascii="仿宋" w:hAnsi="仿宋" w:eastAsia="仿宋" w:cs="仿宋"/>
                <w:color w:val="auto"/>
                <w:sz w:val="24"/>
                <w:szCs w:val="24"/>
                <w:highlight w:val="none"/>
              </w:rPr>
              <w:t>在建德市范围内的，得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分；售后服务网点设在杭州地区范围内的得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分；售后服务点在杭州地区以外的</w:t>
            </w:r>
            <w:r>
              <w:rPr>
                <w:rFonts w:hint="eastAsia" w:ascii="仿宋" w:hAnsi="仿宋" w:eastAsia="仿宋" w:cs="仿宋"/>
                <w:color w:val="auto"/>
                <w:sz w:val="24"/>
                <w:szCs w:val="24"/>
                <w:highlight w:val="none"/>
                <w:lang w:val="en-US" w:eastAsia="zh-CN"/>
              </w:rPr>
              <w:t>得1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；其余不得分</w:t>
            </w:r>
            <w:r>
              <w:rPr>
                <w:rFonts w:hint="eastAsia" w:ascii="仿宋" w:hAnsi="仿宋" w:eastAsia="仿宋" w:cs="仿宋"/>
                <w:color w:val="auto"/>
                <w:sz w:val="24"/>
                <w:szCs w:val="24"/>
                <w:highlight w:val="none"/>
              </w:rPr>
              <w:t>。</w:t>
            </w:r>
            <w:r>
              <w:rPr>
                <w:rFonts w:hint="eastAsia" w:ascii="仿宋" w:hAnsi="仿宋" w:eastAsia="仿宋" w:cs="仿宋"/>
                <w:kern w:val="0"/>
                <w:sz w:val="24"/>
                <w:szCs w:val="24"/>
                <w:highlight w:val="none"/>
              </w:rPr>
              <w:t>须提供相关证明材料复印件并加盖公章（0-3分）。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highlight w:val="none"/>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投标企业软硬件情况、信誉度情况、专业程度、履约能力等情况打分，最高4分。</w:t>
            </w:r>
          </w:p>
        </w:tc>
        <w:tc>
          <w:tcPr>
            <w:tcW w:w="658" w:type="dxa"/>
            <w:vAlign w:val="center"/>
          </w:tcPr>
          <w:p>
            <w:pPr>
              <w:jc w:val="center"/>
              <w:rPr>
                <w:rFonts w:hint="eastAsia" w:ascii="仿宋" w:hAnsi="仿宋" w:eastAsia="仿宋" w:cs="仿宋"/>
                <w:highlight w:val="none"/>
              </w:rPr>
            </w:pPr>
            <w:r>
              <w:rPr>
                <w:rFonts w:hint="eastAsia" w:ascii="仿宋" w:hAnsi="仿宋" w:eastAsia="仿宋" w:cs="仿宋"/>
                <w:bCs/>
                <w:highlight w:val="none"/>
              </w:rPr>
              <w:t>4</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761" w:type="dxa"/>
            <w:vAlign w:val="center"/>
          </w:tcPr>
          <w:p>
            <w:pPr>
              <w:spacing w:line="360" w:lineRule="auto"/>
              <w:jc w:val="center"/>
              <w:outlineLvl w:val="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4994" w:type="dxa"/>
            <w:vAlign w:val="center"/>
          </w:tcPr>
          <w:p>
            <w:pPr>
              <w:rPr>
                <w:rFonts w:hint="eastAsia" w:ascii="仿宋" w:hAnsi="仿宋" w:eastAsia="仿宋" w:cs="仿宋"/>
                <w:sz w:val="24"/>
                <w:szCs w:val="24"/>
                <w:highlight w:val="none"/>
              </w:rPr>
            </w:pPr>
            <w:r>
              <w:rPr>
                <w:rFonts w:hint="eastAsia" w:ascii="仿宋" w:hAnsi="仿宋" w:eastAsia="仿宋" w:cs="仿宋"/>
                <w:kern w:val="0"/>
                <w:sz w:val="24"/>
                <w:szCs w:val="24"/>
                <w:highlight w:val="none"/>
              </w:rPr>
              <w:t>2018年1月1日以来（以合同签订时间为准）投标人具有同类项目（</w:t>
            </w:r>
            <w:r>
              <w:rPr>
                <w:rFonts w:hint="eastAsia" w:ascii="仿宋" w:hAnsi="仿宋" w:eastAsia="仿宋" w:cs="仿宋"/>
                <w:kern w:val="0"/>
                <w:sz w:val="24"/>
                <w:szCs w:val="24"/>
                <w:highlight w:val="none"/>
                <w:lang w:eastAsia="zh-CN"/>
              </w:rPr>
              <w:t>水文建设项目</w:t>
            </w:r>
            <w:r>
              <w:rPr>
                <w:rFonts w:hint="eastAsia" w:ascii="仿宋" w:hAnsi="仿宋" w:eastAsia="仿宋" w:cs="仿宋"/>
                <w:kern w:val="0"/>
                <w:sz w:val="24"/>
                <w:szCs w:val="24"/>
                <w:highlight w:val="none"/>
              </w:rPr>
              <w:t>）业绩的每个得1分，最多</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提供合同及中标通知书的原件扫描件</w:t>
            </w:r>
            <w:r>
              <w:rPr>
                <w:rFonts w:hint="eastAsia" w:ascii="仿宋" w:hAnsi="仿宋" w:eastAsia="仿宋" w:cs="仿宋"/>
                <w:sz w:val="24"/>
                <w:szCs w:val="24"/>
                <w:highlight w:val="none"/>
                <w:lang w:eastAsia="zh-CN"/>
              </w:rPr>
              <w:t>或复印件</w:t>
            </w:r>
            <w:r>
              <w:rPr>
                <w:rFonts w:hint="eastAsia" w:ascii="仿宋" w:hAnsi="仿宋" w:eastAsia="仿宋" w:cs="仿宋"/>
                <w:kern w:val="0"/>
                <w:sz w:val="24"/>
                <w:szCs w:val="24"/>
                <w:highlight w:val="none"/>
              </w:rPr>
              <w:t>并加盖</w:t>
            </w:r>
            <w:r>
              <w:rPr>
                <w:rFonts w:hint="eastAsia" w:ascii="仿宋" w:hAnsi="仿宋" w:eastAsia="仿宋" w:cs="仿宋"/>
                <w:kern w:val="0"/>
                <w:sz w:val="24"/>
                <w:szCs w:val="24"/>
                <w:highlight w:val="none"/>
                <w:lang w:eastAsia="zh-CN"/>
              </w:rPr>
              <w:t>公章</w:t>
            </w:r>
            <w:r>
              <w:rPr>
                <w:rFonts w:hint="eastAsia" w:ascii="仿宋" w:hAnsi="仿宋" w:eastAsia="仿宋" w:cs="仿宋"/>
                <w:kern w:val="0"/>
                <w:sz w:val="24"/>
                <w:szCs w:val="24"/>
                <w:highlight w:val="none"/>
              </w:rPr>
              <w:t>，否则不得分</w:t>
            </w:r>
            <w:r>
              <w:rPr>
                <w:rFonts w:hint="eastAsia" w:ascii="仿宋" w:hAnsi="仿宋" w:eastAsia="仿宋" w:cs="仿宋"/>
                <w:kern w:val="0"/>
                <w:sz w:val="24"/>
                <w:szCs w:val="24"/>
                <w:highlight w:val="none"/>
                <w:lang w:eastAsia="zh-CN"/>
              </w:rPr>
              <w:t>）</w:t>
            </w:r>
          </w:p>
        </w:tc>
        <w:tc>
          <w:tcPr>
            <w:tcW w:w="658" w:type="dxa"/>
            <w:vAlign w:val="center"/>
          </w:tcPr>
          <w:p>
            <w:pPr>
              <w:jc w:val="center"/>
              <w:rPr>
                <w:rFonts w:hint="eastAsia" w:ascii="仿宋" w:hAnsi="仿宋" w:eastAsia="仿宋" w:cs="仿宋"/>
                <w:highlight w:val="none"/>
                <w:lang w:eastAsia="zh-CN"/>
              </w:rPr>
            </w:pPr>
            <w:r>
              <w:rPr>
                <w:rFonts w:hint="eastAsia" w:ascii="仿宋" w:hAnsi="仿宋" w:eastAsia="仿宋" w:cs="仿宋"/>
                <w:bCs/>
                <w:highlight w:val="none"/>
                <w:lang w:val="en-US" w:eastAsia="zh-CN"/>
              </w:rPr>
              <w:t>3</w:t>
            </w:r>
          </w:p>
        </w:tc>
        <w:tc>
          <w:tcPr>
            <w:tcW w:w="2150" w:type="dxa"/>
          </w:tcPr>
          <w:p>
            <w:pPr>
              <w:rPr>
                <w:rFonts w:hint="eastAsia" w:ascii="仿宋" w:hAnsi="仿宋" w:eastAsia="仿宋" w:cs="仿宋"/>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761" w:type="dxa"/>
            <w:vAlign w:val="center"/>
          </w:tcPr>
          <w:p>
            <w:pPr>
              <w:spacing w:line="360" w:lineRule="auto"/>
              <w:ind w:firstLine="240" w:firstLineChars="100"/>
              <w:outlineLvl w:val="0"/>
              <w:rPr>
                <w:rFonts w:hint="eastAsia" w:ascii="仿宋" w:hAnsi="仿宋" w:eastAsia="仿宋" w:cs="仿宋"/>
                <w:sz w:val="24"/>
                <w:highlight w:val="none"/>
              </w:rPr>
            </w:pPr>
            <w:r>
              <w:rPr>
                <w:rFonts w:hint="eastAsia" w:ascii="仿宋" w:hAnsi="仿宋" w:eastAsia="仿宋" w:cs="仿宋"/>
                <w:sz w:val="24"/>
                <w:highlight w:val="none"/>
                <w:lang w:val="en-US" w:eastAsia="zh-CN"/>
              </w:rPr>
              <w:t>20</w:t>
            </w:r>
            <w:r>
              <w:rPr>
                <w:rFonts w:hint="eastAsia" w:ascii="仿宋" w:hAnsi="仿宋" w:eastAsia="仿宋" w:cs="仿宋"/>
                <w:sz w:val="24"/>
                <w:highlight w:val="none"/>
              </w:rPr>
              <w:t xml:space="preserve"> </w:t>
            </w:r>
          </w:p>
        </w:tc>
        <w:tc>
          <w:tcPr>
            <w:tcW w:w="4994" w:type="dxa"/>
          </w:tcPr>
          <w:p>
            <w:pPr>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评标过程中，不得去掉报价中的最高报价和最低报价。</w:t>
            </w:r>
          </w:p>
          <w:p>
            <w:pPr>
              <w:widowControl/>
              <w:shd w:val="clear" w:color="auto" w:fill="FFFFFF"/>
              <w:adjustRightInd/>
              <w:spacing w:after="225" w:line="315" w:lineRule="atLeast"/>
              <w:ind w:firstLine="42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因落实政府采购政策需要进行价格调整的，以调整后的价格计算评标基准价和投标报价。</w:t>
            </w:r>
          </w:p>
        </w:tc>
        <w:tc>
          <w:tcPr>
            <w:tcW w:w="658" w:type="dxa"/>
            <w:vAlign w:val="center"/>
          </w:tcPr>
          <w:p>
            <w:pPr>
              <w:spacing w:line="360" w:lineRule="auto"/>
              <w:ind w:firstLine="120" w:firstLineChars="50"/>
              <w:outlineLvl w:val="0"/>
              <w:rPr>
                <w:rFonts w:hint="eastAsia" w:ascii="仿宋" w:hAnsi="仿宋" w:eastAsia="仿宋" w:cs="仿宋"/>
                <w:sz w:val="24"/>
                <w:highlight w:val="none"/>
              </w:rPr>
            </w:pPr>
            <w:r>
              <w:rPr>
                <w:rFonts w:hint="eastAsia" w:ascii="仿宋" w:hAnsi="仿宋" w:eastAsia="仿宋" w:cs="仿宋"/>
                <w:sz w:val="24"/>
                <w:highlight w:val="none"/>
              </w:rPr>
              <w:t>30</w:t>
            </w:r>
          </w:p>
        </w:tc>
        <w:tc>
          <w:tcPr>
            <w:tcW w:w="2150" w:type="dxa"/>
            <w:vAlign w:val="center"/>
          </w:tcPr>
          <w:p>
            <w:pPr>
              <w:spacing w:line="360" w:lineRule="auto"/>
              <w:jc w:val="center"/>
              <w:outlineLvl w:val="0"/>
              <w:rPr>
                <w:rFonts w:hint="eastAsia" w:ascii="仿宋" w:hAnsi="仿宋" w:eastAsia="仿宋" w:cs="仿宋"/>
                <w:sz w:val="24"/>
                <w:highlight w:val="none"/>
              </w:rPr>
            </w:pPr>
            <w:r>
              <w:rPr>
                <w:rFonts w:hint="eastAsia" w:ascii="仿宋" w:hAnsi="仿宋" w:eastAsia="仿宋" w:cs="仿宋"/>
                <w:sz w:val="24"/>
                <w:highlight w:val="none"/>
              </w:rPr>
              <w:t>/</w:t>
            </w:r>
          </w:p>
        </w:tc>
      </w:tr>
    </w:tbl>
    <w:p>
      <w:pPr>
        <w:snapToGrid w:val="0"/>
        <w:spacing w:line="360" w:lineRule="auto"/>
        <w:rPr>
          <w:rFonts w:hint="eastAsia" w:ascii="仿宋" w:hAnsi="仿宋" w:eastAsia="仿宋" w:cs="仿宋"/>
          <w:b/>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snapToGrid w:val="0"/>
        <w:spacing w:line="360" w:lineRule="auto"/>
        <w:rPr>
          <w:rFonts w:hint="eastAsia" w:ascii="仿宋" w:hAnsi="仿宋" w:eastAsia="仿宋" w:cs="仿宋"/>
          <w:b/>
          <w:sz w:val="28"/>
          <w:szCs w:val="28"/>
          <w:highlight w:val="none"/>
        </w:rPr>
      </w:pPr>
      <w:r>
        <w:rPr>
          <w:rFonts w:hint="eastAsia" w:ascii="仿宋" w:hAnsi="仿宋" w:eastAsia="仿宋" w:cs="仿宋"/>
          <w:b/>
          <w:sz w:val="32"/>
          <w:highlight w:val="none"/>
        </w:rPr>
        <w:t>一、评标方法</w:t>
      </w:r>
    </w:p>
    <w:p>
      <w:pPr>
        <w:adjustRightInd/>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1.本项目采用综合评分法。</w:t>
      </w:r>
      <w:r>
        <w:rPr>
          <w:rFonts w:hint="eastAsia" w:ascii="仿宋" w:hAnsi="仿宋" w:eastAsia="仿宋" w:cs="仿宋"/>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kern w:val="0"/>
          <w:sz w:val="24"/>
          <w:highlight w:val="none"/>
        </w:rPr>
      </w:pPr>
      <w:r>
        <w:rPr>
          <w:rFonts w:hint="eastAsia" w:ascii="仿宋" w:hAnsi="仿宋" w:eastAsia="仿宋" w:cs="仿宋"/>
          <w:b/>
          <w:sz w:val="32"/>
          <w:highlight w:val="none"/>
        </w:rPr>
        <w:t>二、评标标准</w:t>
      </w:r>
    </w:p>
    <w:p>
      <w:pPr>
        <w:spacing w:line="360" w:lineRule="auto"/>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highlight w:val="none"/>
        </w:rPr>
        <w:t xml:space="preserve"> </w:t>
      </w:r>
      <w:r>
        <w:rPr>
          <w:rFonts w:hint="eastAsia" w:ascii="仿宋" w:hAnsi="仿宋" w:eastAsia="仿宋" w:cs="仿宋"/>
          <w:b/>
          <w:sz w:val="24"/>
          <w:highlight w:val="none"/>
        </w:rPr>
        <w:t>评标标准：</w:t>
      </w:r>
      <w:r>
        <w:rPr>
          <w:rFonts w:hint="eastAsia" w:ascii="仿宋" w:hAnsi="仿宋" w:eastAsia="仿宋" w:cs="仿宋"/>
          <w:kern w:val="0"/>
          <w:sz w:val="24"/>
          <w:highlight w:val="none"/>
        </w:rPr>
        <w:t>见评标办法前附表。</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三、评标程序</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3.1符合性审查。</w:t>
      </w:r>
      <w:r>
        <w:rPr>
          <w:rFonts w:hint="eastAsia" w:ascii="仿宋" w:hAnsi="仿宋" w:eastAsia="仿宋" w:cs="仿宋"/>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3.2 比较与评价。</w:t>
      </w:r>
      <w:r>
        <w:rPr>
          <w:rFonts w:hint="eastAsia" w:ascii="仿宋" w:hAnsi="仿宋" w:eastAsia="仿宋" w:cs="仿宋"/>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3.3汇总商务技术得分。</w:t>
      </w:r>
      <w:r>
        <w:rPr>
          <w:rFonts w:hint="eastAsia" w:ascii="仿宋" w:hAnsi="仿宋" w:eastAsia="仿宋" w:cs="仿宋"/>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kern w:val="0"/>
          <w:sz w:val="24"/>
          <w:highlight w:val="none"/>
        </w:rPr>
      </w:pPr>
      <w:r>
        <w:rPr>
          <w:rFonts w:hint="eastAsia" w:ascii="仿宋" w:hAnsi="仿宋" w:eastAsia="仿宋" w:cs="仿宋"/>
          <w:b/>
          <w:kern w:val="0"/>
          <w:sz w:val="24"/>
          <w:highlight w:val="none"/>
        </w:rPr>
        <w:t>3.4报价评审。</w:t>
      </w:r>
    </w:p>
    <w:p>
      <w:pPr>
        <w:pStyle w:val="128"/>
        <w:spacing w:before="0"/>
        <w:ind w:firstLine="508" w:firstLineChars="212"/>
        <w:rPr>
          <w:rFonts w:hint="eastAsia" w:ascii="仿宋" w:hAnsi="仿宋" w:eastAsia="仿宋" w:cs="仿宋"/>
          <w:kern w:val="0"/>
          <w:highlight w:val="none"/>
        </w:rPr>
      </w:pPr>
      <w:r>
        <w:rPr>
          <w:rFonts w:hint="eastAsia" w:ascii="仿宋" w:hAnsi="仿宋" w:eastAsia="仿宋" w:cs="仿宋"/>
          <w:kern w:val="0"/>
          <w:highlight w:val="none"/>
        </w:rPr>
        <w:t>3.4.1投标文件报价出现前后不一致的，按照下列规定修正：</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3.4.1.1投标文件中开标一览表(报价表)内容与投标文件中相应内容不一致的，以开标一览表(报价表)为准;</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3.4.1.2大写金额和小写金额不一致的，以大写金额为准;</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3.4.1.3单价金额小数点或者百分比有明显错位的，以开标一览表的总价为准，并修改单价;</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3.4.1.4总价金额与按单价汇总金额不一致的，以单价金额计算结果为准。</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3.4.3投标报价超过招标文件中规定的预算金额或者最高限价的，投标无效。</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hint="eastAsia" w:ascii="仿宋" w:hAnsi="仿宋" w:eastAsia="仿宋" w:cs="仿宋"/>
          <w:kern w:val="0"/>
          <w:szCs w:val="24"/>
          <w:highlight w:val="none"/>
        </w:rPr>
      </w:pPr>
      <w:r>
        <w:rPr>
          <w:rFonts w:hint="eastAsia" w:ascii="仿宋" w:hAnsi="仿宋" w:eastAsia="仿宋" w:cs="仿宋"/>
          <w:kern w:val="0"/>
          <w:szCs w:val="24"/>
          <w:highlight w:val="none"/>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kern w:val="0"/>
          <w:sz w:val="24"/>
          <w:highlight w:val="none"/>
        </w:rPr>
      </w:pPr>
      <w:r>
        <w:rPr>
          <w:rFonts w:hint="eastAsia" w:ascii="仿宋" w:hAnsi="仿宋" w:eastAsia="仿宋" w:cs="仿宋"/>
          <w:b/>
          <w:kern w:val="0"/>
          <w:sz w:val="24"/>
          <w:highlight w:val="none"/>
        </w:rPr>
        <w:t>3.5排序与推荐。</w:t>
      </w:r>
      <w:r>
        <w:rPr>
          <w:rFonts w:hint="eastAsia" w:ascii="仿宋" w:hAnsi="仿宋" w:eastAsia="仿宋" w:cs="仿宋"/>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b/>
          <w:kern w:val="0"/>
          <w:sz w:val="24"/>
          <w:highlight w:val="none"/>
        </w:rPr>
      </w:pPr>
      <w:r>
        <w:rPr>
          <w:rFonts w:hint="eastAsia" w:ascii="仿宋" w:hAnsi="仿宋" w:eastAsia="仿宋" w:cs="仿宋"/>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kern w:val="0"/>
          <w:sz w:val="24"/>
          <w:highlight w:val="none"/>
        </w:rPr>
      </w:pPr>
      <w:r>
        <w:rPr>
          <w:rFonts w:hint="eastAsia" w:ascii="仿宋" w:hAnsi="仿宋" w:eastAsia="仿宋" w:cs="仿宋"/>
          <w:b/>
          <w:kern w:val="0"/>
          <w:sz w:val="24"/>
          <w:highlight w:val="none"/>
        </w:rPr>
        <w:t>3.6编写评标报告。</w:t>
      </w:r>
      <w:r>
        <w:rPr>
          <w:rFonts w:hint="eastAsia" w:ascii="仿宋" w:hAnsi="仿宋" w:eastAsia="仿宋" w:cs="仿宋"/>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sz w:val="32"/>
          <w:highlight w:val="none"/>
        </w:rPr>
      </w:pPr>
      <w:r>
        <w:rPr>
          <w:rFonts w:hint="eastAsia" w:ascii="仿宋" w:hAnsi="仿宋" w:eastAsia="仿宋" w:cs="仿宋"/>
          <w:b/>
          <w:sz w:val="32"/>
          <w:highlight w:val="none"/>
        </w:rPr>
        <w:t>四、评标中的其他事项</w:t>
      </w:r>
    </w:p>
    <w:p>
      <w:pPr>
        <w:pStyle w:val="128"/>
        <w:spacing w:before="0"/>
        <w:ind w:firstLine="472" w:firstLineChars="196"/>
        <w:rPr>
          <w:rFonts w:hint="eastAsia" w:ascii="仿宋" w:hAnsi="仿宋" w:eastAsia="仿宋" w:cs="仿宋"/>
          <w:kern w:val="0"/>
          <w:szCs w:val="24"/>
          <w:highlight w:val="none"/>
        </w:rPr>
      </w:pPr>
      <w:r>
        <w:rPr>
          <w:rFonts w:hint="eastAsia" w:ascii="仿宋" w:hAnsi="仿宋" w:eastAsia="仿宋" w:cs="仿宋"/>
          <w:b/>
          <w:kern w:val="0"/>
          <w:szCs w:val="24"/>
          <w:highlight w:val="none"/>
        </w:rPr>
        <w:t>4.1投标人澄清、说明或者补正。</w:t>
      </w:r>
      <w:r>
        <w:rPr>
          <w:rFonts w:hint="eastAsia" w:ascii="仿宋" w:hAnsi="仿宋" w:eastAsia="仿宋" w:cs="仿宋"/>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9"/>
        <w:spacing w:line="360" w:lineRule="auto"/>
        <w:ind w:left="954" w:leftChars="226" w:hanging="479" w:firstLineChars="0"/>
        <w:rPr>
          <w:rFonts w:hint="eastAsia" w:ascii="仿宋" w:hAnsi="仿宋" w:eastAsia="仿宋" w:cs="仿宋"/>
          <w:szCs w:val="21"/>
          <w:highlight w:val="none"/>
        </w:rPr>
      </w:pPr>
      <w:r>
        <w:rPr>
          <w:rFonts w:hint="eastAsia" w:ascii="仿宋" w:hAnsi="仿宋" w:eastAsia="仿宋" w:cs="仿宋"/>
          <w:b/>
          <w:kern w:val="0"/>
          <w:highlight w:val="none"/>
        </w:rPr>
        <w:t>4.2投标无效。</w:t>
      </w:r>
      <w:r>
        <w:rPr>
          <w:rFonts w:hint="eastAsia" w:ascii="仿宋" w:hAnsi="仿宋" w:eastAsia="仿宋" w:cs="仿宋"/>
          <w:szCs w:val="21"/>
          <w:highlight w:val="none"/>
        </w:rPr>
        <w:t>有下列情况之一的，投标无效：</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4.2.2投标文件未按照招标文件要求签署、盖章的；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4.2.4投标文件含有采购人不能接受的附加条件的；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4.2.6投标文件出现不是唯一的、有选择性投标报价的;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4.2.7投标报价超过招标文件中规定的预算金额或者最高限价的;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4.2.9投标人对根据修正原则修正后的报价不确认的；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4.2.10投标人提供虚假材料投标的；</w:t>
      </w:r>
    </w:p>
    <w:p>
      <w:pPr>
        <w:spacing w:line="360" w:lineRule="auto"/>
        <w:ind w:firstLine="240" w:firstLineChars="100"/>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4.2.12投标人仅提交备份投标文件，没有在电子交易平台传输递交投标文件的，投标无效；</w:t>
      </w:r>
    </w:p>
    <w:p>
      <w:pPr>
        <w:pStyle w:val="6"/>
        <w:ind w:left="862" w:leftChars="205"/>
        <w:rPr>
          <w:rFonts w:hint="eastAsia" w:ascii="仿宋" w:hAnsi="仿宋" w:eastAsia="仿宋" w:cs="仿宋"/>
          <w:b w:val="0"/>
          <w:bCs w:val="0"/>
          <w:kern w:val="0"/>
          <w:sz w:val="24"/>
          <w:szCs w:val="24"/>
          <w:highlight w:val="none"/>
          <w:lang w:val="en-US"/>
        </w:rPr>
      </w:pPr>
      <w:r>
        <w:rPr>
          <w:rFonts w:hint="eastAsia" w:ascii="仿宋" w:hAnsi="仿宋" w:eastAsia="仿宋" w:cs="仿宋"/>
          <w:b w:val="0"/>
          <w:bCs w:val="0"/>
          <w:kern w:val="0"/>
          <w:sz w:val="24"/>
          <w:szCs w:val="24"/>
          <w:highlight w:val="none"/>
          <w:lang w:val="en-US"/>
        </w:rPr>
        <w:t>4.2.13 投标文件不满足招标文件的其它实质性要求的；</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4.2.14法律、法规、规章（适用本市的）及省级以上规范性文件（适用本市的）规定的其他无效情形。</w:t>
      </w:r>
    </w:p>
    <w:p>
      <w:pPr>
        <w:pStyle w:val="19"/>
        <w:snapToGrid w:val="0"/>
        <w:spacing w:line="360" w:lineRule="auto"/>
        <w:ind w:firstLine="472" w:firstLineChars="196"/>
        <w:rPr>
          <w:rFonts w:hint="eastAsia" w:ascii="仿宋" w:hAnsi="仿宋" w:eastAsia="仿宋" w:cs="仿宋"/>
          <w:highlight w:val="none"/>
        </w:rPr>
      </w:pPr>
      <w:r>
        <w:rPr>
          <w:rFonts w:hint="eastAsia" w:ascii="仿宋" w:hAnsi="仿宋" w:eastAsia="仿宋" w:cs="仿宋"/>
          <w:b/>
          <w:highlight w:val="none"/>
        </w:rPr>
        <w:t>5.废标。</w:t>
      </w:r>
      <w:r>
        <w:rPr>
          <w:rFonts w:hint="eastAsia" w:ascii="仿宋" w:hAnsi="仿宋" w:eastAsia="仿宋" w:cs="仿宋"/>
          <w:highlight w:val="none"/>
        </w:rPr>
        <w:t>根据《中华人民共和国政府采购法》第三十六条之规定，在采购中，出现下列情形之一的，应予废标：</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5.1符合专业条件的供应商或者对招标文件作实质响应的供应商不足3家的；</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5.2出现影响采购公正的违法、违规行为的；</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5.3投标人的报价均超过了采购预算，采购人不能支付的；</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5.4因重大变故，采购任务取消的。</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废标后，采购机构应当将废标理由通知所有投标人。</w:t>
      </w:r>
    </w:p>
    <w:p>
      <w:pPr>
        <w:pStyle w:val="19"/>
        <w:snapToGrid w:val="0"/>
        <w:spacing w:line="360" w:lineRule="auto"/>
        <w:ind w:firstLine="590" w:firstLineChars="245"/>
        <w:rPr>
          <w:rFonts w:hint="eastAsia" w:ascii="仿宋" w:hAnsi="仿宋" w:eastAsia="仿宋" w:cs="仿宋"/>
          <w:highlight w:val="none"/>
        </w:rPr>
      </w:pPr>
      <w:r>
        <w:rPr>
          <w:rFonts w:hint="eastAsia" w:ascii="仿宋" w:hAnsi="仿宋" w:eastAsia="仿宋" w:cs="仿宋"/>
          <w:b/>
          <w:highlight w:val="none"/>
        </w:rPr>
        <w:t>6.修改招标文件，重新组织采购活动。</w:t>
      </w:r>
      <w:r>
        <w:rPr>
          <w:rFonts w:hint="eastAsia" w:ascii="仿宋" w:hAnsi="仿宋" w:eastAsia="仿宋" w:cs="仿宋"/>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9"/>
        <w:snapToGrid w:val="0"/>
        <w:spacing w:line="360" w:lineRule="auto"/>
        <w:ind w:firstLine="590" w:firstLineChars="245"/>
        <w:rPr>
          <w:rFonts w:hint="eastAsia" w:ascii="仿宋" w:hAnsi="仿宋" w:eastAsia="仿宋" w:cs="仿宋"/>
          <w:highlight w:val="none"/>
        </w:rPr>
      </w:pPr>
      <w:r>
        <w:rPr>
          <w:rFonts w:hint="eastAsia" w:ascii="仿宋" w:hAnsi="仿宋" w:eastAsia="仿宋" w:cs="仿宋"/>
          <w:b/>
          <w:kern w:val="0"/>
          <w:highlight w:val="none"/>
        </w:rPr>
        <w:t>7.重新开展采购。</w:t>
      </w:r>
      <w:r>
        <w:rPr>
          <w:rFonts w:hint="eastAsia" w:ascii="仿宋" w:hAnsi="仿宋" w:eastAsia="仿宋" w:cs="仿宋"/>
          <w:highlight w:val="none"/>
        </w:rPr>
        <w:t>有政府采购法第七十一条、第七十二条规定的违法行为之一，影响或者可能影响中标、成交结果的，依照下列规定处理：</w:t>
      </w:r>
    </w:p>
    <w:p>
      <w:pPr>
        <w:pStyle w:val="19"/>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7.1未确定中标或者中标人的，终止本次政府采购活动，重新开展政府采购活动。</w:t>
      </w:r>
    </w:p>
    <w:p>
      <w:pPr>
        <w:pStyle w:val="19"/>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9"/>
        <w:snapToGrid w:val="0"/>
        <w:spacing w:line="360" w:lineRule="auto"/>
        <w:ind w:firstLine="600" w:firstLineChars="250"/>
        <w:rPr>
          <w:rFonts w:hint="eastAsia" w:ascii="仿宋" w:hAnsi="仿宋" w:eastAsia="仿宋" w:cs="仿宋"/>
          <w:highlight w:val="none"/>
        </w:rPr>
      </w:pPr>
      <w:r>
        <w:rPr>
          <w:rFonts w:hint="eastAsia" w:ascii="仿宋" w:hAnsi="仿宋" w:eastAsia="仿宋" w:cs="仿宋"/>
          <w:highlight w:val="none"/>
        </w:rPr>
        <w:t>7.3政府采购合同已签订但尚未履行的，撤销合同，从合格的中标或者成交候选人中另行确定中标或者中标人；没有合格的中标或者成交候选人的，重新开展政府采购活动。</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7.4政府采购合同已经履行，给采购人、供应商造成损失的，由责任人承担赔偿责任。</w:t>
      </w:r>
    </w:p>
    <w:p>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7.5政府采购当事人有其他违反政府采购法</w:t>
      </w:r>
      <w:r>
        <w:rPr>
          <w:rFonts w:hint="eastAsia" w:ascii="仿宋" w:hAnsi="仿宋" w:eastAsia="仿宋" w:cs="仿宋"/>
          <w:kern w:val="0"/>
          <w:highlight w:val="none"/>
        </w:rPr>
        <w:t>或者政府采购法实施条例等法律法规规定</w:t>
      </w:r>
      <w:r>
        <w:rPr>
          <w:rFonts w:hint="eastAsia" w:ascii="仿宋" w:hAnsi="仿宋" w:eastAsia="仿宋" w:cs="仿宋"/>
          <w:highlight w:val="none"/>
        </w:rPr>
        <w:t>的行为，经改正后仍然影响或者可能影响中标、成交结果或者依法被认定为中标、成交无效的，依照7.1-7.4规定处理。</w:t>
      </w:r>
    </w:p>
    <w:p>
      <w:pPr>
        <w:pStyle w:val="19"/>
        <w:snapToGrid w:val="0"/>
        <w:spacing w:line="360" w:lineRule="auto"/>
        <w:ind w:firstLine="0" w:firstLineChars="0"/>
        <w:rPr>
          <w:rFonts w:hint="eastAsia" w:ascii="仿宋" w:hAnsi="仿宋" w:eastAsia="仿宋" w:cs="仿宋"/>
          <w:highlight w:val="none"/>
        </w:rPr>
      </w:pPr>
    </w:p>
    <w:bookmarkEnd w:id="26"/>
    <w:p>
      <w:pPr>
        <w:spacing w:line="360" w:lineRule="auto"/>
        <w:ind w:left="720" w:leftChars="343" w:firstLine="1084" w:firstLineChars="300"/>
        <w:outlineLvl w:val="0"/>
        <w:rPr>
          <w:rFonts w:hint="eastAsia" w:ascii="仿宋" w:hAnsi="仿宋" w:eastAsia="仿宋" w:cs="仿宋"/>
          <w:b/>
          <w:sz w:val="36"/>
          <w:szCs w:val="36"/>
          <w:highlight w:val="none"/>
        </w:rPr>
      </w:pPr>
      <w:bookmarkStart w:id="392" w:name="第五部分"/>
      <w:bookmarkStart w:id="393" w:name="_Toc86217003"/>
    </w:p>
    <w:p>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    </w:t>
      </w: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4"/>
        <w:rPr>
          <w:rFonts w:hint="eastAsia" w:ascii="仿宋" w:hAnsi="仿宋" w:eastAsia="仿宋" w:cs="仿宋"/>
          <w:b/>
          <w:sz w:val="36"/>
          <w:szCs w:val="36"/>
          <w:highlight w:val="none"/>
        </w:rPr>
      </w:pPr>
    </w:p>
    <w:p>
      <w:pPr>
        <w:rPr>
          <w:rFonts w:hint="eastAsia" w:ascii="仿宋" w:hAnsi="仿宋" w:eastAsia="仿宋" w:cs="仿宋"/>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拟签订的合同文本</w:t>
      </w: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lang w:eastAsia="zh-CN"/>
        </w:rPr>
        <w:t>（</w:t>
      </w:r>
      <w:r>
        <w:rPr>
          <w:rFonts w:hint="eastAsia" w:ascii="仿宋" w:hAnsi="仿宋" w:eastAsia="仿宋" w:cs="仿宋"/>
          <w:b/>
          <w:sz w:val="36"/>
          <w:szCs w:val="36"/>
          <w:highlight w:val="none"/>
          <w:lang w:val="en-US" w:eastAsia="zh-CN"/>
        </w:rPr>
        <w:t>以最终合同为准）</w:t>
      </w: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699"/>
        <w:rPr>
          <w:rFonts w:hint="eastAsia" w:ascii="仿宋" w:hAnsi="仿宋" w:eastAsia="仿宋" w:cs="仿宋"/>
          <w:szCs w:val="24"/>
          <w:highlight w:val="none"/>
        </w:rPr>
      </w:pPr>
    </w:p>
    <w:p>
      <w:pPr>
        <w:pStyle w:val="699"/>
        <w:jc w:val="center"/>
        <w:rPr>
          <w:rFonts w:hint="eastAsia" w:ascii="仿宋" w:hAnsi="仿宋" w:eastAsia="仿宋" w:cs="仿宋"/>
          <w:szCs w:val="24"/>
          <w:highlight w:val="none"/>
        </w:rPr>
      </w:pPr>
    </w:p>
    <w:p>
      <w:pPr>
        <w:pStyle w:val="699"/>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699"/>
        <w:rPr>
          <w:rFonts w:hint="eastAsia" w:ascii="仿宋" w:hAnsi="仿宋" w:eastAsia="仿宋" w:cs="仿宋"/>
          <w:szCs w:val="24"/>
          <w:highlight w:val="none"/>
        </w:rPr>
      </w:pPr>
    </w:p>
    <w:p>
      <w:pPr>
        <w:pStyle w:val="699"/>
        <w:rPr>
          <w:rFonts w:hint="eastAsia" w:ascii="仿宋" w:hAnsi="仿宋" w:eastAsia="仿宋" w:cs="仿宋"/>
          <w:szCs w:val="24"/>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建德市水文测报能力提升项目</w:t>
      </w:r>
      <w:r>
        <w:rPr>
          <w:rFonts w:hint="eastAsia" w:ascii="仿宋" w:hAnsi="仿宋" w:eastAsia="仿宋" w:cs="仿宋"/>
          <w:sz w:val="24"/>
          <w:highlight w:val="none"/>
          <w:u w:val="single"/>
        </w:rPr>
        <w:t xml:space="preserve">     </w:t>
      </w:r>
    </w:p>
    <w:p>
      <w:pPr>
        <w:pStyle w:val="596"/>
        <w:spacing w:before="120" w:line="22" w:lineRule="atLeast"/>
        <w:rPr>
          <w:rFonts w:hint="eastAsia" w:ascii="仿宋" w:hAnsi="仿宋" w:eastAsia="仿宋" w:cs="仿宋"/>
          <w:szCs w:val="24"/>
          <w:highlight w:val="none"/>
        </w:rPr>
      </w:pPr>
    </w:p>
    <w:p>
      <w:pPr>
        <w:pStyle w:val="596"/>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建德市水文水资源监测站</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2022</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474" w:right="1814" w:bottom="1474" w:left="1814" w:header="851" w:footer="851" w:gutter="0"/>
          <w:cols w:space="720" w:num="1"/>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u w:val="single"/>
          <w:lang w:val="en-US" w:eastAsia="zh-CN"/>
        </w:rPr>
        <w:t>2022</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建德市水文水资源监测站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公开招标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建德市水文水资源监测站</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394" w:name="_Toc3029"/>
      <w:bookmarkStart w:id="395" w:name="_Toc2232"/>
      <w:bookmarkStart w:id="396" w:name="_Toc24059"/>
      <w:r>
        <w:rPr>
          <w:rFonts w:hint="eastAsia" w:ascii="仿宋" w:hAnsi="仿宋" w:eastAsia="仿宋" w:cs="仿宋"/>
          <w:b/>
          <w:sz w:val="24"/>
          <w:highlight w:val="none"/>
        </w:rPr>
        <w:t>1.1 合同组成部分</w:t>
      </w:r>
      <w:bookmarkEnd w:id="394"/>
      <w:bookmarkEnd w:id="395"/>
      <w:bookmarkEnd w:id="39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397" w:name="_Toc21295"/>
      <w:bookmarkStart w:id="398" w:name="_Toc24300"/>
      <w:bookmarkStart w:id="399" w:name="_Toc27126"/>
      <w:r>
        <w:rPr>
          <w:rFonts w:hint="eastAsia" w:ascii="仿宋" w:hAnsi="仿宋" w:eastAsia="仿宋" w:cs="仿宋"/>
          <w:b/>
          <w:sz w:val="24"/>
          <w:highlight w:val="none"/>
        </w:rPr>
        <w:t>1.2 货物</w:t>
      </w:r>
      <w:bookmarkEnd w:id="397"/>
      <w:bookmarkEnd w:id="398"/>
      <w:bookmarkEnd w:id="399"/>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00" w:name="_Toc23292"/>
      <w:bookmarkStart w:id="401" w:name="_Toc21631"/>
      <w:bookmarkStart w:id="402" w:name="_Toc21551"/>
      <w:r>
        <w:rPr>
          <w:rFonts w:hint="eastAsia" w:ascii="仿宋" w:hAnsi="仿宋" w:eastAsia="仿宋" w:cs="仿宋"/>
          <w:b/>
          <w:sz w:val="24"/>
          <w:highlight w:val="none"/>
        </w:rPr>
        <w:t>1.3 价款</w:t>
      </w:r>
      <w:bookmarkEnd w:id="400"/>
      <w:bookmarkEnd w:id="401"/>
      <w:bookmarkEnd w:id="40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highlight w:val="none"/>
              </w:rPr>
            </w:pPr>
          </w:p>
        </w:tc>
      </w:tr>
    </w:tbl>
    <w:p>
      <w:pPr>
        <w:spacing w:line="560" w:lineRule="exact"/>
        <w:ind w:firstLine="482" w:firstLineChars="200"/>
        <w:outlineLvl w:val="0"/>
        <w:rPr>
          <w:rFonts w:hint="eastAsia" w:ascii="仿宋" w:hAnsi="仿宋" w:eastAsia="仿宋" w:cs="仿宋"/>
          <w:b/>
          <w:sz w:val="24"/>
          <w:highlight w:val="none"/>
        </w:rPr>
      </w:pPr>
      <w:bookmarkStart w:id="403" w:name="_Toc22618"/>
      <w:bookmarkStart w:id="404" w:name="_Toc10340"/>
      <w:bookmarkStart w:id="405" w:name="_Toc1814"/>
      <w:r>
        <w:rPr>
          <w:rFonts w:hint="eastAsia" w:ascii="仿宋" w:hAnsi="仿宋" w:eastAsia="仿宋" w:cs="仿宋"/>
          <w:b/>
          <w:sz w:val="24"/>
          <w:highlight w:val="none"/>
        </w:rPr>
        <w:t>1.4 付款</w:t>
      </w:r>
      <w:bookmarkEnd w:id="403"/>
      <w:bookmarkEnd w:id="404"/>
      <w:bookmarkEnd w:id="405"/>
      <w:r>
        <w:rPr>
          <w:rFonts w:hint="eastAsia" w:ascii="仿宋" w:hAnsi="仿宋" w:eastAsia="仿宋" w:cs="仿宋"/>
          <w:b/>
          <w:sz w:val="24"/>
          <w:highlight w:val="none"/>
        </w:rPr>
        <w:t>方式、时间和条件</w:t>
      </w:r>
    </w:p>
    <w:p>
      <w:pPr>
        <w:pStyle w:val="957"/>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甲方在政府采购合同中约定预付款，预付款比例为合同金额的30％；项目分年安排预算的，每年预付款比例为项目年度计划支付资金额的30％。采购项目实施以人工投入为主的，可适当降低预付款比例，但不低于10%。甲方可以根据项目特点、乙方信用等实际情况提高预付款比例，最高预付比例可以达到50%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06" w:name="_Toc32071"/>
      <w:bookmarkStart w:id="407" w:name="_Toc2846"/>
      <w:bookmarkStart w:id="408" w:name="_Toc19304"/>
      <w:r>
        <w:rPr>
          <w:rFonts w:hint="eastAsia" w:ascii="仿宋" w:hAnsi="仿宋" w:eastAsia="仿宋" w:cs="仿宋"/>
          <w:b/>
          <w:sz w:val="24"/>
          <w:highlight w:val="none"/>
        </w:rPr>
        <w:t>1.5 货物交付期限、地点和方式</w:t>
      </w:r>
      <w:bookmarkEnd w:id="406"/>
      <w:bookmarkEnd w:id="407"/>
      <w:bookmarkEnd w:id="408"/>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1.5.1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09" w:name="_Toc21423"/>
      <w:bookmarkStart w:id="410" w:name="_Toc27250"/>
      <w:bookmarkStart w:id="411" w:name="_Toc19554"/>
      <w:r>
        <w:rPr>
          <w:rFonts w:hint="eastAsia" w:ascii="仿宋" w:hAnsi="仿宋" w:eastAsia="仿宋" w:cs="仿宋"/>
          <w:b/>
          <w:sz w:val="24"/>
          <w:highlight w:val="none"/>
        </w:rPr>
        <w:t>1.6 违约责任</w:t>
      </w:r>
      <w:bookmarkEnd w:id="409"/>
      <w:bookmarkEnd w:id="410"/>
      <w:bookmarkEnd w:id="41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1.6.7违约责任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412" w:name="_Toc16021"/>
      <w:bookmarkStart w:id="413" w:name="_Toc28375"/>
      <w:bookmarkStart w:id="414" w:name="_Toc15583"/>
      <w:r>
        <w:rPr>
          <w:rFonts w:hint="eastAsia" w:ascii="仿宋" w:hAnsi="仿宋" w:eastAsia="仿宋" w:cs="仿宋"/>
          <w:b/>
          <w:sz w:val="24"/>
          <w:highlight w:val="none"/>
        </w:rPr>
        <w:t>1.7 合同争议的解决</w:t>
      </w:r>
      <w:bookmarkEnd w:id="412"/>
      <w:bookmarkEnd w:id="413"/>
      <w:bookmarkEnd w:id="414"/>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1.7.2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415" w:name="_Toc7245"/>
      <w:bookmarkStart w:id="416" w:name="_Toc15322"/>
      <w:bookmarkStart w:id="417" w:name="_Toc11173"/>
      <w:r>
        <w:rPr>
          <w:rFonts w:hint="eastAsia" w:ascii="仿宋" w:hAnsi="仿宋" w:eastAsia="仿宋" w:cs="仿宋"/>
          <w:b/>
          <w:sz w:val="24"/>
          <w:highlight w:val="none"/>
        </w:rPr>
        <w:t>1.8 合同生效</w:t>
      </w:r>
      <w:bookmarkEnd w:id="415"/>
      <w:bookmarkEnd w:id="416"/>
      <w:bookmarkEnd w:id="417"/>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spacing w:line="560" w:lineRule="exact"/>
        <w:jc w:val="left"/>
        <w:rPr>
          <w:rFonts w:hint="eastAsia" w:ascii="仿宋" w:hAnsi="仿宋" w:eastAsia="仿宋" w:cs="仿宋"/>
          <w:b/>
          <w:sz w:val="24"/>
          <w:highlight w:val="none"/>
        </w:rPr>
      </w:pPr>
      <w:bookmarkStart w:id="418" w:name="_Toc331685783"/>
    </w:p>
    <w:p>
      <w:pPr>
        <w:pStyle w:val="699"/>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bookmarkEnd w:id="418"/>
    </w:p>
    <w:p>
      <w:pPr>
        <w:spacing w:line="560" w:lineRule="exact"/>
        <w:ind w:firstLine="482" w:firstLineChars="200"/>
        <w:outlineLvl w:val="0"/>
        <w:rPr>
          <w:rFonts w:hint="eastAsia" w:ascii="仿宋" w:hAnsi="仿宋" w:eastAsia="仿宋" w:cs="仿宋"/>
          <w:b/>
          <w:sz w:val="24"/>
          <w:highlight w:val="none"/>
        </w:rPr>
      </w:pPr>
      <w:bookmarkStart w:id="419" w:name="_Toc487900349"/>
      <w:bookmarkStart w:id="420" w:name="_Toc279701240"/>
      <w:bookmarkStart w:id="421" w:name="_Ref467378463"/>
      <w:bookmarkStart w:id="422" w:name="_Ref467379225"/>
      <w:bookmarkStart w:id="423" w:name="_Ref467379109"/>
      <w:bookmarkStart w:id="424" w:name="_Ref467378499"/>
      <w:bookmarkStart w:id="425" w:name="_Ref467379205"/>
      <w:bookmarkStart w:id="426" w:name="_Ref467379094"/>
      <w:bookmarkStart w:id="427" w:name="_Toc28763"/>
      <w:bookmarkStart w:id="428" w:name="_Toc259093669"/>
      <w:bookmarkStart w:id="429" w:name="_Ref467379214"/>
      <w:bookmarkStart w:id="430" w:name="_Toc19614"/>
      <w:bookmarkStart w:id="431" w:name="_Toc16917"/>
      <w:bookmarkStart w:id="432" w:name="_Ref467379101"/>
      <w:bookmarkStart w:id="433" w:name="_Ref467379195"/>
      <w:bookmarkStart w:id="434" w:name="_Ref467378404"/>
      <w:r>
        <w:rPr>
          <w:rFonts w:hint="eastAsia" w:ascii="仿宋" w:hAnsi="仿宋" w:eastAsia="仿宋" w:cs="仿宋"/>
          <w:b/>
          <w:sz w:val="24"/>
          <w:highlight w:val="none"/>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highlight w:val="none"/>
        </w:rPr>
      </w:pPr>
      <w:bookmarkStart w:id="435" w:name="_Ref467378840"/>
      <w:r>
        <w:rPr>
          <w:rFonts w:hint="eastAsia" w:ascii="仿宋" w:hAnsi="仿宋" w:eastAsia="仿宋" w:cs="仿宋"/>
          <w:sz w:val="24"/>
          <w:highlight w:val="none"/>
        </w:rPr>
        <w:t>2.1.4 “甲方”系指与中标供应商签署合同的采购人</w:t>
      </w:r>
      <w:bookmarkEnd w:id="435"/>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bookmarkStart w:id="436" w:name="_Ref467379400"/>
      <w:r>
        <w:rPr>
          <w:rFonts w:hint="eastAsia" w:ascii="仿宋" w:hAnsi="仿宋" w:eastAsia="仿宋" w:cs="仿宋"/>
          <w:sz w:val="24"/>
          <w:highlight w:val="none"/>
        </w:rPr>
        <w:t>2.1.5 “乙方”系指根据合同约定交付货物的中标供应商</w:t>
      </w:r>
      <w:bookmarkEnd w:id="436"/>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437" w:name="_Ref467379436"/>
      <w:r>
        <w:rPr>
          <w:rFonts w:hint="eastAsia" w:ascii="仿宋" w:hAnsi="仿宋" w:eastAsia="仿宋" w:cs="仿宋"/>
          <w:sz w:val="24"/>
          <w:highlight w:val="none"/>
        </w:rPr>
        <w:t>2.1.6 “现场”系指合同约定货物将要运至或者安装的地点。</w:t>
      </w:r>
      <w:bookmarkEnd w:id="437"/>
    </w:p>
    <w:p>
      <w:pPr>
        <w:spacing w:line="560" w:lineRule="exact"/>
        <w:ind w:firstLine="482" w:firstLineChars="200"/>
        <w:outlineLvl w:val="0"/>
        <w:rPr>
          <w:rFonts w:hint="eastAsia" w:ascii="仿宋" w:hAnsi="仿宋" w:eastAsia="仿宋" w:cs="仿宋"/>
          <w:b/>
          <w:sz w:val="24"/>
          <w:highlight w:val="none"/>
        </w:rPr>
      </w:pPr>
      <w:bookmarkStart w:id="438" w:name="_Toc279701241"/>
      <w:bookmarkStart w:id="439" w:name="_Toc13336"/>
      <w:bookmarkStart w:id="440" w:name="_Toc32504"/>
      <w:bookmarkStart w:id="441" w:name="_Toc487900350"/>
      <w:bookmarkStart w:id="442" w:name="_Toc27635"/>
      <w:bookmarkStart w:id="443" w:name="_Toc259093670"/>
      <w:r>
        <w:rPr>
          <w:rFonts w:hint="eastAsia" w:ascii="仿宋" w:hAnsi="仿宋" w:eastAsia="仿宋" w:cs="仿宋"/>
          <w:b/>
          <w:sz w:val="24"/>
          <w:highlight w:val="none"/>
        </w:rPr>
        <w:t>2.2 技术规范</w:t>
      </w:r>
      <w:bookmarkEnd w:id="438"/>
      <w:bookmarkEnd w:id="439"/>
      <w:bookmarkEnd w:id="440"/>
      <w:bookmarkEnd w:id="441"/>
      <w:bookmarkEnd w:id="442"/>
      <w:bookmarkEnd w:id="44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444" w:name="_Toc27853"/>
      <w:bookmarkStart w:id="445" w:name="_Toc31634"/>
      <w:bookmarkStart w:id="446" w:name="_Toc487900351"/>
      <w:bookmarkStart w:id="447" w:name="_Toc9829"/>
      <w:bookmarkStart w:id="448" w:name="_Toc259093671"/>
      <w:bookmarkStart w:id="449" w:name="_Toc279701242"/>
      <w:r>
        <w:rPr>
          <w:rFonts w:hint="eastAsia" w:ascii="仿宋" w:hAnsi="仿宋" w:eastAsia="仿宋" w:cs="仿宋"/>
          <w:b/>
          <w:sz w:val="24"/>
          <w:highlight w:val="none"/>
        </w:rPr>
        <w:t>2.3 知识产权</w:t>
      </w:r>
      <w:bookmarkEnd w:id="444"/>
      <w:bookmarkEnd w:id="445"/>
      <w:bookmarkEnd w:id="446"/>
      <w:bookmarkEnd w:id="447"/>
      <w:bookmarkEnd w:id="448"/>
      <w:bookmarkEnd w:id="44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50" w:name="_Toc11932"/>
      <w:bookmarkStart w:id="451" w:name="_Toc4194"/>
      <w:bookmarkStart w:id="452" w:name="_Toc29149"/>
      <w:r>
        <w:rPr>
          <w:rFonts w:hint="eastAsia" w:ascii="仿宋" w:hAnsi="仿宋" w:eastAsia="仿宋" w:cs="仿宋"/>
          <w:b/>
          <w:sz w:val="24"/>
          <w:highlight w:val="none"/>
        </w:rPr>
        <w:t>2.4 包装和装运</w:t>
      </w:r>
      <w:bookmarkEnd w:id="450"/>
      <w:bookmarkEnd w:id="451"/>
      <w:bookmarkEnd w:id="45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53" w:name="_Ref467379536"/>
      <w:bookmarkStart w:id="454" w:name="_Ref467379542"/>
      <w:bookmarkStart w:id="455" w:name="_Ref467378591"/>
      <w:bookmarkStart w:id="456" w:name="_Toc279701245"/>
      <w:bookmarkStart w:id="457" w:name="_Ref467379527"/>
      <w:bookmarkStart w:id="458" w:name="_Toc487900354"/>
      <w:bookmarkStart w:id="459" w:name="_Ref467378541"/>
      <w:bookmarkStart w:id="460" w:name="_Toc259093674"/>
      <w:bookmarkStart w:id="461" w:name="_Toc26182"/>
      <w:bookmarkStart w:id="462" w:name="_Toc30272"/>
      <w:bookmarkStart w:id="463" w:name="_Toc19074"/>
      <w:r>
        <w:rPr>
          <w:rFonts w:hint="eastAsia" w:ascii="仿宋" w:hAnsi="仿宋" w:eastAsia="仿宋" w:cs="仿宋"/>
          <w:b/>
          <w:sz w:val="24"/>
          <w:highlight w:val="none"/>
        </w:rPr>
        <w:t>2.</w:t>
      </w:r>
      <w:bookmarkEnd w:id="453"/>
      <w:bookmarkEnd w:id="454"/>
      <w:bookmarkEnd w:id="455"/>
      <w:bookmarkEnd w:id="456"/>
      <w:bookmarkEnd w:id="457"/>
      <w:bookmarkEnd w:id="458"/>
      <w:bookmarkEnd w:id="459"/>
      <w:bookmarkEnd w:id="460"/>
      <w:r>
        <w:rPr>
          <w:rFonts w:hint="eastAsia" w:ascii="仿宋" w:hAnsi="仿宋" w:eastAsia="仿宋" w:cs="仿宋"/>
          <w:b/>
          <w:sz w:val="24"/>
          <w:highlight w:val="none"/>
        </w:rPr>
        <w:t>5 履约检查和问题反馈</w:t>
      </w:r>
      <w:bookmarkEnd w:id="461"/>
      <w:bookmarkEnd w:id="462"/>
      <w:bookmarkEnd w:id="463"/>
    </w:p>
    <w:p>
      <w:pPr>
        <w:spacing w:line="560" w:lineRule="exact"/>
        <w:ind w:firstLine="480" w:firstLineChars="200"/>
        <w:rPr>
          <w:rFonts w:hint="eastAsia" w:ascii="仿宋" w:hAnsi="仿宋" w:eastAsia="仿宋" w:cs="仿宋"/>
          <w:sz w:val="24"/>
          <w:highlight w:val="none"/>
        </w:rPr>
      </w:pPr>
      <w:bookmarkStart w:id="464" w:name="_Ref467379657"/>
      <w:r>
        <w:rPr>
          <w:rFonts w:hint="eastAsia" w:ascii="仿宋" w:hAnsi="仿宋" w:eastAsia="仿宋" w:cs="仿宋"/>
          <w:sz w:val="24"/>
          <w:highlight w:val="none"/>
        </w:rPr>
        <w:t>2.5.1</w:t>
      </w:r>
      <w:bookmarkEnd w:id="464"/>
      <w:bookmarkStart w:id="465" w:name="_Toc186431854"/>
      <w:bookmarkStart w:id="466" w:name="_Ref467379793"/>
      <w:bookmarkStart w:id="467" w:name="_Toc279701247"/>
      <w:bookmarkStart w:id="468" w:name="_Ref467379807"/>
      <w:bookmarkStart w:id="469" w:name="_Toc259093676"/>
      <w:bookmarkStart w:id="470" w:name="_Toc48790035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465"/>
      <w:bookmarkStart w:id="471" w:name="_Toc186431855"/>
      <w:r>
        <w:rPr>
          <w:rFonts w:hint="eastAsia" w:ascii="仿宋" w:hAnsi="仿宋" w:eastAsia="仿宋" w:cs="仿宋"/>
          <w:sz w:val="24"/>
          <w:highlight w:val="none"/>
        </w:rPr>
        <w:t>。</w:t>
      </w:r>
    </w:p>
    <w:bookmarkEnd w:id="466"/>
    <w:bookmarkEnd w:id="467"/>
    <w:bookmarkEnd w:id="468"/>
    <w:bookmarkEnd w:id="469"/>
    <w:bookmarkEnd w:id="470"/>
    <w:bookmarkEnd w:id="471"/>
    <w:p>
      <w:pPr>
        <w:spacing w:line="560" w:lineRule="exact"/>
        <w:ind w:firstLine="482" w:firstLineChars="200"/>
        <w:outlineLvl w:val="0"/>
        <w:rPr>
          <w:rFonts w:hint="eastAsia" w:ascii="仿宋" w:hAnsi="仿宋" w:eastAsia="仿宋" w:cs="仿宋"/>
          <w:b/>
          <w:sz w:val="24"/>
          <w:highlight w:val="none"/>
        </w:rPr>
      </w:pPr>
      <w:bookmarkStart w:id="472" w:name="_Ref467379923"/>
      <w:bookmarkStart w:id="473" w:name="_Toc259093677"/>
      <w:bookmarkStart w:id="474" w:name="_Toc487900358"/>
      <w:bookmarkStart w:id="475" w:name="_Ref467379863"/>
      <w:bookmarkStart w:id="476" w:name="_Toc279701248"/>
      <w:bookmarkStart w:id="477" w:name="_Ref467379852"/>
      <w:bookmarkStart w:id="478" w:name="_Toc3225"/>
      <w:bookmarkStart w:id="479" w:name="_Toc16110"/>
      <w:bookmarkStart w:id="480" w:name="_Toc774"/>
      <w:r>
        <w:rPr>
          <w:rFonts w:hint="eastAsia" w:ascii="仿宋" w:hAnsi="仿宋" w:eastAsia="仿宋" w:cs="仿宋"/>
          <w:b/>
          <w:sz w:val="24"/>
          <w:highlight w:val="none"/>
        </w:rPr>
        <w:t>2.6 技术资料</w:t>
      </w:r>
      <w:bookmarkEnd w:id="472"/>
      <w:bookmarkEnd w:id="473"/>
      <w:bookmarkEnd w:id="474"/>
      <w:bookmarkEnd w:id="475"/>
      <w:bookmarkEnd w:id="476"/>
      <w:bookmarkEnd w:id="477"/>
      <w:r>
        <w:rPr>
          <w:rFonts w:hint="eastAsia" w:ascii="仿宋" w:hAnsi="仿宋" w:eastAsia="仿宋" w:cs="仿宋"/>
          <w:b/>
          <w:sz w:val="24"/>
          <w:highlight w:val="none"/>
        </w:rPr>
        <w:t>和保密义务</w:t>
      </w:r>
      <w:bookmarkEnd w:id="478"/>
      <w:bookmarkEnd w:id="479"/>
      <w:bookmarkEnd w:id="48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481" w:name="_Toc7860"/>
      <w:r>
        <w:rPr>
          <w:rFonts w:hint="eastAsia" w:ascii="仿宋" w:hAnsi="仿宋" w:eastAsia="仿宋" w:cs="仿宋"/>
          <w:b/>
          <w:sz w:val="24"/>
          <w:highlight w:val="none"/>
        </w:rPr>
        <w:t>2.7 质量保证</w:t>
      </w:r>
      <w:bookmarkEnd w:id="481"/>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482" w:name="_Toc17244"/>
      <w:bookmarkStart w:id="483" w:name="_Toc487900362"/>
      <w:bookmarkStart w:id="484" w:name="_Toc279701252"/>
      <w:bookmarkStart w:id="485" w:name="_Toc259093681"/>
      <w:r>
        <w:rPr>
          <w:rFonts w:hint="eastAsia" w:ascii="仿宋" w:hAnsi="仿宋" w:eastAsia="仿宋" w:cs="仿宋"/>
          <w:b/>
          <w:sz w:val="24"/>
          <w:highlight w:val="none"/>
        </w:rPr>
        <w:t>2.8 货物的风险负担</w:t>
      </w:r>
      <w:bookmarkEnd w:id="482"/>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486" w:name="_Toc14055"/>
      <w:r>
        <w:rPr>
          <w:rFonts w:hint="eastAsia" w:ascii="仿宋" w:hAnsi="仿宋" w:eastAsia="仿宋" w:cs="仿宋"/>
          <w:b/>
          <w:sz w:val="24"/>
          <w:highlight w:val="none"/>
        </w:rPr>
        <w:t>2.9 延迟交货</w:t>
      </w:r>
      <w:bookmarkEnd w:id="483"/>
      <w:bookmarkEnd w:id="484"/>
      <w:bookmarkEnd w:id="485"/>
      <w:bookmarkEnd w:id="48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highlight w:val="none"/>
        </w:rPr>
      </w:pPr>
      <w:bookmarkStart w:id="487" w:name="_Toc7502"/>
      <w:bookmarkStart w:id="488" w:name="_Ref467378121"/>
      <w:bookmarkStart w:id="489" w:name="_Toc487900364"/>
      <w:bookmarkStart w:id="490" w:name="_Toc279701254"/>
      <w:bookmarkStart w:id="491" w:name="_Toc259093683"/>
      <w:r>
        <w:rPr>
          <w:rFonts w:hint="eastAsia" w:ascii="仿宋" w:hAnsi="仿宋" w:eastAsia="仿宋" w:cs="仿宋"/>
          <w:b/>
          <w:sz w:val="24"/>
          <w:highlight w:val="none"/>
        </w:rPr>
        <w:t>2.10 合同变更</w:t>
      </w:r>
      <w:bookmarkEnd w:id="48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492" w:name="_Toc259093688"/>
      <w:bookmarkStart w:id="493" w:name="_Toc279701259"/>
      <w:bookmarkStart w:id="494" w:name="_Toc487900369"/>
    </w:p>
    <w:p>
      <w:pPr>
        <w:spacing w:line="560" w:lineRule="exact"/>
        <w:ind w:firstLine="482" w:firstLineChars="200"/>
        <w:outlineLvl w:val="0"/>
        <w:rPr>
          <w:rFonts w:hint="eastAsia" w:ascii="仿宋" w:hAnsi="仿宋" w:eastAsia="仿宋" w:cs="仿宋"/>
          <w:b/>
          <w:sz w:val="24"/>
          <w:highlight w:val="none"/>
        </w:rPr>
      </w:pPr>
      <w:bookmarkStart w:id="495" w:name="_Toc10366"/>
      <w:bookmarkStart w:id="496" w:name="_Toc15237"/>
      <w:bookmarkStart w:id="497" w:name="_Toc22955"/>
      <w:r>
        <w:rPr>
          <w:rFonts w:hint="eastAsia" w:ascii="仿宋" w:hAnsi="仿宋" w:eastAsia="仿宋" w:cs="仿宋"/>
          <w:b/>
          <w:sz w:val="24"/>
          <w:highlight w:val="none"/>
        </w:rPr>
        <w:t>2.11 合同转让</w:t>
      </w:r>
      <w:bookmarkEnd w:id="492"/>
      <w:bookmarkEnd w:id="493"/>
      <w:bookmarkEnd w:id="494"/>
      <w:r>
        <w:rPr>
          <w:rFonts w:hint="eastAsia" w:ascii="仿宋" w:hAnsi="仿宋" w:eastAsia="仿宋" w:cs="仿宋"/>
          <w:b/>
          <w:sz w:val="24"/>
          <w:highlight w:val="none"/>
        </w:rPr>
        <w:t>和分包</w:t>
      </w:r>
      <w:bookmarkEnd w:id="495"/>
      <w:bookmarkEnd w:id="496"/>
      <w:bookmarkEnd w:id="49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498" w:name="_Toc13566"/>
      <w:bookmarkStart w:id="499" w:name="_Toc16508"/>
      <w:bookmarkStart w:id="500" w:name="_Toc14066"/>
      <w:r>
        <w:rPr>
          <w:rFonts w:hint="eastAsia" w:ascii="仿宋" w:hAnsi="仿宋" w:eastAsia="仿宋" w:cs="仿宋"/>
          <w:b/>
          <w:sz w:val="24"/>
          <w:highlight w:val="none"/>
        </w:rPr>
        <w:t>2.12 不可抗力</w:t>
      </w:r>
      <w:bookmarkEnd w:id="498"/>
      <w:bookmarkEnd w:id="499"/>
      <w:bookmarkEnd w:id="50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501" w:name="_Toc30676"/>
      <w:bookmarkStart w:id="502" w:name="_Toc487900365"/>
      <w:bookmarkStart w:id="503" w:name="_Toc6969"/>
      <w:bookmarkStart w:id="504" w:name="_Toc279701255"/>
      <w:bookmarkStart w:id="505" w:name="_Toc689"/>
      <w:bookmarkStart w:id="506" w:name="_Toc259093684"/>
      <w:r>
        <w:rPr>
          <w:rFonts w:hint="eastAsia" w:ascii="仿宋" w:hAnsi="仿宋" w:eastAsia="仿宋" w:cs="仿宋"/>
          <w:b/>
          <w:sz w:val="24"/>
          <w:highlight w:val="none"/>
        </w:rPr>
        <w:t>2.13 税费</w:t>
      </w:r>
      <w:bookmarkEnd w:id="501"/>
      <w:bookmarkEnd w:id="502"/>
      <w:bookmarkEnd w:id="503"/>
      <w:bookmarkEnd w:id="504"/>
      <w:bookmarkEnd w:id="505"/>
      <w:bookmarkEnd w:id="50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507" w:name="_Toc259093687"/>
      <w:bookmarkStart w:id="508" w:name="_Toc16959"/>
      <w:bookmarkStart w:id="509" w:name="_Toc279701258"/>
      <w:bookmarkStart w:id="510" w:name="_Toc8298"/>
      <w:bookmarkStart w:id="511" w:name="_Toc487900368"/>
      <w:bookmarkStart w:id="512" w:name="_Toc7102"/>
      <w:r>
        <w:rPr>
          <w:rFonts w:hint="eastAsia" w:ascii="仿宋" w:hAnsi="仿宋" w:eastAsia="仿宋" w:cs="仿宋"/>
          <w:b/>
          <w:sz w:val="24"/>
          <w:highlight w:val="none"/>
        </w:rPr>
        <w:t>2.14乙方破产</w:t>
      </w:r>
      <w:bookmarkEnd w:id="507"/>
      <w:bookmarkEnd w:id="508"/>
      <w:bookmarkEnd w:id="509"/>
      <w:bookmarkEnd w:id="510"/>
      <w:bookmarkEnd w:id="511"/>
      <w:bookmarkEnd w:id="51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513" w:name="_Toc6134"/>
      <w:bookmarkStart w:id="514" w:name="_Toc15387"/>
      <w:bookmarkStart w:id="515" w:name="_Toc29333"/>
      <w:r>
        <w:rPr>
          <w:rFonts w:hint="eastAsia" w:ascii="仿宋" w:hAnsi="仿宋" w:eastAsia="仿宋" w:cs="仿宋"/>
          <w:b/>
          <w:sz w:val="24"/>
          <w:highlight w:val="none"/>
        </w:rPr>
        <w:t>2.15 合同中止、终止</w:t>
      </w:r>
      <w:bookmarkEnd w:id="513"/>
      <w:bookmarkEnd w:id="514"/>
      <w:bookmarkEnd w:id="51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516" w:name="_Toc14563"/>
      <w:bookmarkStart w:id="517" w:name="_Toc6596"/>
      <w:bookmarkStart w:id="518" w:name="_Toc1125"/>
      <w:r>
        <w:rPr>
          <w:rFonts w:hint="eastAsia" w:ascii="仿宋" w:hAnsi="仿宋" w:eastAsia="仿宋" w:cs="仿宋"/>
          <w:b/>
          <w:sz w:val="24"/>
          <w:highlight w:val="none"/>
        </w:rPr>
        <w:t>2.16检验和验收</w:t>
      </w:r>
      <w:bookmarkEnd w:id="516"/>
      <w:bookmarkEnd w:id="517"/>
      <w:bookmarkEnd w:id="518"/>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488"/>
    <w:bookmarkEnd w:id="489"/>
    <w:bookmarkEnd w:id="490"/>
    <w:bookmarkEnd w:id="491"/>
    <w:p>
      <w:pPr>
        <w:spacing w:line="560" w:lineRule="exact"/>
        <w:ind w:firstLine="482" w:firstLineChars="200"/>
        <w:outlineLvl w:val="0"/>
        <w:rPr>
          <w:rFonts w:hint="eastAsia" w:ascii="仿宋" w:hAnsi="仿宋" w:eastAsia="仿宋" w:cs="仿宋"/>
          <w:b/>
          <w:sz w:val="24"/>
          <w:highlight w:val="none"/>
        </w:rPr>
      </w:pPr>
      <w:bookmarkStart w:id="519" w:name="_Toc279701261"/>
      <w:bookmarkStart w:id="520" w:name="_Toc259093690"/>
      <w:bookmarkStart w:id="521" w:name="_Toc487900371"/>
      <w:bookmarkStart w:id="522" w:name="_Toc19604"/>
      <w:bookmarkStart w:id="523" w:name="_Toc25182"/>
      <w:bookmarkStart w:id="524" w:name="_Toc11284"/>
      <w:r>
        <w:rPr>
          <w:rFonts w:hint="eastAsia" w:ascii="仿宋" w:hAnsi="仿宋" w:eastAsia="仿宋" w:cs="仿宋"/>
          <w:b/>
          <w:sz w:val="24"/>
          <w:highlight w:val="none"/>
        </w:rPr>
        <w:t>2.17 通知</w:t>
      </w:r>
      <w:bookmarkEnd w:id="519"/>
      <w:bookmarkEnd w:id="520"/>
      <w:bookmarkEnd w:id="521"/>
      <w:r>
        <w:rPr>
          <w:rFonts w:hint="eastAsia" w:ascii="仿宋" w:hAnsi="仿宋" w:eastAsia="仿宋" w:cs="仿宋"/>
          <w:b/>
          <w:sz w:val="24"/>
          <w:highlight w:val="none"/>
        </w:rPr>
        <w:t>和送达</w:t>
      </w:r>
      <w:bookmarkEnd w:id="522"/>
      <w:bookmarkEnd w:id="523"/>
      <w:bookmarkEnd w:id="524"/>
    </w:p>
    <w:p>
      <w:pPr>
        <w:spacing w:line="560" w:lineRule="exact"/>
        <w:ind w:firstLine="480" w:firstLineChars="200"/>
        <w:rPr>
          <w:rFonts w:hint="eastAsia" w:ascii="仿宋" w:hAnsi="仿宋" w:eastAsia="仿宋" w:cs="仿宋"/>
          <w:sz w:val="24"/>
          <w:highlight w:val="none"/>
        </w:rPr>
      </w:pPr>
      <w:bookmarkStart w:id="525" w:name="_Toc3135"/>
      <w:bookmarkStart w:id="526" w:name="_Toc6698"/>
      <w:bookmarkStart w:id="527" w:name="_Toc487900372"/>
      <w:bookmarkStart w:id="528" w:name="_Toc279701262"/>
      <w:bookmarkStart w:id="529" w:name="_Toc25909369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525"/>
      <w:bookmarkEnd w:id="526"/>
    </w:p>
    <w:p>
      <w:pPr>
        <w:spacing w:line="560" w:lineRule="exact"/>
        <w:ind w:firstLine="480" w:firstLineChars="200"/>
        <w:rPr>
          <w:rFonts w:hint="eastAsia" w:ascii="仿宋" w:hAnsi="仿宋" w:eastAsia="仿宋" w:cs="仿宋"/>
          <w:sz w:val="24"/>
          <w:highlight w:val="none"/>
        </w:rPr>
      </w:pPr>
      <w:bookmarkStart w:id="530" w:name="_Toc23294"/>
      <w:bookmarkStart w:id="531"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pPr>
        <w:spacing w:line="560" w:lineRule="exact"/>
        <w:ind w:firstLine="482" w:firstLineChars="200"/>
        <w:outlineLvl w:val="0"/>
        <w:rPr>
          <w:rFonts w:hint="eastAsia" w:ascii="仿宋" w:hAnsi="仿宋" w:eastAsia="仿宋" w:cs="仿宋"/>
          <w:b/>
          <w:sz w:val="24"/>
          <w:highlight w:val="none"/>
        </w:rPr>
      </w:pPr>
      <w:bookmarkStart w:id="532" w:name="_Toc4355"/>
      <w:bookmarkStart w:id="533" w:name="_Toc18540"/>
      <w:bookmarkStart w:id="534" w:name="_Toc30599"/>
      <w:r>
        <w:rPr>
          <w:rFonts w:hint="eastAsia" w:ascii="仿宋" w:hAnsi="仿宋" w:eastAsia="仿宋" w:cs="仿宋"/>
          <w:b/>
          <w:sz w:val="24"/>
          <w:highlight w:val="none"/>
        </w:rPr>
        <w:t>2.18 计量单位</w:t>
      </w:r>
      <w:bookmarkEnd w:id="527"/>
      <w:bookmarkEnd w:id="528"/>
      <w:bookmarkEnd w:id="529"/>
      <w:bookmarkEnd w:id="532"/>
      <w:bookmarkEnd w:id="533"/>
      <w:bookmarkEnd w:id="53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535" w:name="_Toc12773"/>
      <w:bookmarkStart w:id="536" w:name="_Toc279701263"/>
      <w:bookmarkStart w:id="537" w:name="_Toc10330"/>
      <w:bookmarkStart w:id="538" w:name="_Toc259093692"/>
      <w:bookmarkStart w:id="539" w:name="_Toc18567"/>
      <w:bookmarkStart w:id="540" w:name="_Toc487900373"/>
      <w:r>
        <w:rPr>
          <w:rFonts w:hint="eastAsia" w:ascii="仿宋" w:hAnsi="仿宋" w:eastAsia="仿宋" w:cs="仿宋"/>
          <w:b/>
          <w:sz w:val="24"/>
          <w:highlight w:val="none"/>
        </w:rPr>
        <w:t>2.19 合同使用的文字和适用的法律</w:t>
      </w:r>
      <w:bookmarkEnd w:id="535"/>
      <w:bookmarkEnd w:id="536"/>
      <w:bookmarkEnd w:id="537"/>
      <w:bookmarkEnd w:id="538"/>
      <w:bookmarkEnd w:id="539"/>
      <w:bookmarkEnd w:id="54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541" w:name="_Toc12004"/>
      <w:bookmarkStart w:id="542" w:name="_Toc3148"/>
      <w:bookmarkStart w:id="543" w:name="_Toc259093693"/>
      <w:bookmarkStart w:id="544" w:name="_Toc16673"/>
      <w:bookmarkStart w:id="545" w:name="_Toc279701264"/>
      <w:bookmarkStart w:id="546" w:name="_Toc487900374"/>
      <w:r>
        <w:rPr>
          <w:rFonts w:hint="eastAsia" w:ascii="仿宋" w:hAnsi="仿宋" w:eastAsia="仿宋" w:cs="仿宋"/>
          <w:b/>
          <w:sz w:val="24"/>
          <w:highlight w:val="none"/>
        </w:rPr>
        <w:t>2.20 履约保证金</w:t>
      </w:r>
      <w:bookmarkEnd w:id="541"/>
      <w:bookmarkEnd w:id="542"/>
      <w:bookmarkEnd w:id="543"/>
      <w:bookmarkEnd w:id="544"/>
      <w:bookmarkEnd w:id="545"/>
    </w:p>
    <w:p>
      <w:pPr>
        <w:pStyle w:val="957"/>
        <w:spacing w:before="0" w:beforeAutospacing="0" w:after="0" w:afterAutospacing="0" w:line="360" w:lineRule="auto"/>
        <w:ind w:firstLine="420"/>
        <w:rPr>
          <w:rFonts w:hint="eastAsia" w:ascii="仿宋" w:hAnsi="仿宋" w:eastAsia="仿宋" w:cs="仿宋"/>
          <w:highlight w:val="none"/>
        </w:rPr>
      </w:pPr>
      <w:r>
        <w:rPr>
          <w:rFonts w:hint="eastAsia" w:ascii="仿宋" w:hAnsi="仿宋" w:eastAsia="仿宋" w:cs="仿宋"/>
          <w:highlight w:val="none"/>
        </w:rPr>
        <w:t>2.20.1 采购文件要求乙方提交履约保证金的，乙方应按</w:t>
      </w:r>
      <w:r>
        <w:rPr>
          <w:rFonts w:hint="eastAsia" w:ascii="仿宋" w:hAnsi="仿宋" w:eastAsia="仿宋" w:cs="仿宋"/>
          <w:b/>
          <w:i/>
          <w:highlight w:val="none"/>
          <w:u w:val="single"/>
        </w:rPr>
        <w:t>合同专用条款</w:t>
      </w:r>
      <w:r>
        <w:rPr>
          <w:rFonts w:hint="eastAsia" w:ascii="仿宋" w:hAnsi="仿宋" w:eastAsia="仿宋" w:cs="仿宋"/>
          <w:highlight w:val="none"/>
        </w:rPr>
        <w:t>约定的方式，以支票、汇票、本票或者金融机构、担保机构出具的保函等非现金形式，提交不超过合同金额5%的履约保证金；鼓励和支持乙方以银行、保险公司出具的保函形式提供履约保证。</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2.20.2  履约保证金在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约定期间内不予退还。乙方在前述约定期间届满前能履行完合同约定义务事项的，甲方在前述约定期间届满之日起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5 </w:t>
      </w:r>
      <w:r>
        <w:rPr>
          <w:rFonts w:hint="eastAsia" w:ascii="仿宋" w:hAnsi="仿宋" w:eastAsia="仿宋" w:cs="仿宋"/>
          <w:sz w:val="24"/>
          <w:highlight w:val="none"/>
        </w:rPr>
        <w:t>个工作日内，按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%计算，最高限额为本合同履约保证金的</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 xml:space="preserve">%；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2.20.4 甲方根据杭州市政府采购网公布的供应商履约评价情况减免履约保证金。乙方履约验收评价总分为100分的，甲方免收履约保证金；评价总分在90分以上的，收取履约保证金为合同金额</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%；评价总分在不满90分或者暂无评分的，收取履约保证金为合同金额</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5%。</w:t>
      </w:r>
    </w:p>
    <w:p>
      <w:pPr>
        <w:spacing w:line="56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2.20.5甲方在乙方履行完合同约定义务事项后及时退还，延迟退还的，应当按照合同约定和法律规定承担相应的赔偿责任。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2.21对于因甲方原因导致变更、中止或者终止政府采购合同的，甲方应当依照合同约定对供应商受到的损失予以赔偿或者补偿。</w:t>
      </w:r>
    </w:p>
    <w:bookmarkEnd w:id="546"/>
    <w:p>
      <w:pPr>
        <w:spacing w:line="560" w:lineRule="exact"/>
        <w:ind w:firstLine="482" w:firstLineChars="200"/>
        <w:outlineLvl w:val="0"/>
        <w:rPr>
          <w:rFonts w:hint="eastAsia" w:ascii="仿宋" w:hAnsi="仿宋" w:eastAsia="仿宋" w:cs="仿宋"/>
          <w:b/>
          <w:sz w:val="24"/>
          <w:highlight w:val="none"/>
        </w:rPr>
      </w:pPr>
      <w:bookmarkStart w:id="547" w:name="_Toc19890"/>
      <w:bookmarkStart w:id="548" w:name="_Toc14001"/>
      <w:bookmarkStart w:id="549" w:name="_Toc6885"/>
      <w:r>
        <w:rPr>
          <w:rFonts w:hint="eastAsia" w:ascii="仿宋" w:hAnsi="仿宋" w:eastAsia="仿宋" w:cs="仿宋"/>
          <w:b/>
          <w:sz w:val="24"/>
          <w:highlight w:val="none"/>
        </w:rPr>
        <w:t>2.22合同份数</w:t>
      </w:r>
      <w:bookmarkEnd w:id="547"/>
      <w:bookmarkEnd w:id="548"/>
      <w:bookmarkEnd w:id="54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pStyle w:val="699"/>
        <w:spacing w:line="560" w:lineRule="exact"/>
        <w:jc w:val="center"/>
        <w:rPr>
          <w:rFonts w:hint="eastAsia" w:ascii="仿宋" w:hAnsi="仿宋" w:eastAsia="仿宋" w:cs="仿宋"/>
          <w:b/>
          <w:szCs w:val="24"/>
          <w:highlight w:val="none"/>
        </w:rPr>
      </w:pPr>
      <w:r>
        <w:rPr>
          <w:rFonts w:hint="eastAsia" w:ascii="仿宋" w:hAnsi="仿宋" w:eastAsia="仿宋" w:cs="仿宋"/>
          <w:kern w:val="0"/>
          <w:szCs w:val="24"/>
          <w:highlight w:val="none"/>
        </w:rPr>
        <w:br w:type="page"/>
      </w:r>
      <w:bookmarkStart w:id="550" w:name="_Toc331685784"/>
      <w:r>
        <w:rPr>
          <w:rFonts w:hint="eastAsia" w:ascii="仿宋" w:hAnsi="仿宋" w:eastAsia="仿宋" w:cs="仿宋"/>
          <w:b/>
          <w:szCs w:val="24"/>
          <w:highlight w:val="none"/>
        </w:rPr>
        <w:t xml:space="preserve"> </w:t>
      </w:r>
      <w:bookmarkEnd w:id="550"/>
      <w:r>
        <w:rPr>
          <w:rFonts w:hint="eastAsia" w:ascii="仿宋" w:hAnsi="仿宋" w:eastAsia="仿宋" w:cs="仿宋"/>
          <w:b/>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275"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8275" w:type="dxa"/>
            <w:vAlign w:val="center"/>
          </w:tcPr>
          <w:p>
            <w:pPr>
              <w:spacing w:line="360" w:lineRule="auto"/>
              <w:rPr>
                <w:rFonts w:hint="eastAsia" w:ascii="仿宋" w:hAnsi="仿宋" w:eastAsia="仿宋" w:cs="仿宋"/>
                <w:b w:val="0"/>
                <w:bCs w:val="0"/>
                <w:sz w:val="24"/>
                <w:highlight w:val="none"/>
              </w:rPr>
            </w:pPr>
            <w:r>
              <w:rPr>
                <w:rFonts w:hint="eastAsia" w:ascii="仿宋" w:hAnsi="仿宋" w:eastAsia="仿宋" w:cs="仿宋"/>
                <w:sz w:val="24"/>
                <w:highlight w:val="none"/>
              </w:rPr>
              <w:t>资金支付的方式、时间和条件</w:t>
            </w:r>
            <w:r>
              <w:rPr>
                <w:rFonts w:hint="eastAsia" w:ascii="仿宋" w:hAnsi="仿宋" w:eastAsia="仿宋" w:cs="仿宋"/>
                <w:sz w:val="24"/>
                <w:highlight w:val="none"/>
                <w:lang w:eastAsia="zh-CN"/>
              </w:rPr>
              <w:t>：</w:t>
            </w:r>
            <w:r>
              <w:rPr>
                <w:rFonts w:hint="eastAsia" w:ascii="仿宋" w:hAnsi="仿宋" w:eastAsia="仿宋" w:cs="仿宋"/>
                <w:b w:val="0"/>
                <w:bCs w:val="0"/>
                <w:sz w:val="24"/>
                <w:highlight w:val="none"/>
              </w:rPr>
              <w:t>采购单位根据合同、投标文件等资料进行验收。</w:t>
            </w:r>
          </w:p>
          <w:p>
            <w:p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highlight w:val="none"/>
              </w:rPr>
              <w:t>合同签订后</w:t>
            </w:r>
            <w:r>
              <w:rPr>
                <w:rFonts w:hint="eastAsia" w:ascii="仿宋" w:hAnsi="仿宋" w:eastAsia="仿宋" w:cs="仿宋"/>
                <w:b w:val="0"/>
                <w:bCs w:val="0"/>
                <w:sz w:val="24"/>
                <w:highlight w:val="none"/>
                <w:lang w:eastAsia="zh-CN"/>
              </w:rPr>
              <w:t>7日历天内</w:t>
            </w:r>
            <w:r>
              <w:rPr>
                <w:rFonts w:hint="eastAsia" w:ascii="仿宋" w:hAnsi="仿宋" w:eastAsia="仿宋" w:cs="仿宋"/>
                <w:b w:val="0"/>
                <w:bCs w:val="0"/>
                <w:sz w:val="24"/>
                <w:highlight w:val="none"/>
              </w:rPr>
              <w:t>，采购单位向中标单位支付合同价的50%预付款（供应商需提供相应金额的预付款保函至采购单位）；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275" w:type="dxa"/>
            <w:vAlign w:val="center"/>
          </w:tcPr>
          <w:p>
            <w:pPr>
              <w:widowControl/>
              <w:autoSpaceDE w:val="0"/>
              <w:autoSpaceDN w:val="0"/>
              <w:spacing w:line="480" w:lineRule="exact"/>
              <w:textAlignment w:val="bottom"/>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交付期限：</w:t>
            </w:r>
            <w:r>
              <w:rPr>
                <w:rFonts w:hint="eastAsia" w:ascii="仿宋" w:hAnsi="仿宋" w:eastAsia="仿宋" w:cs="仿宋"/>
                <w:sz w:val="24"/>
                <w:szCs w:val="24"/>
                <w:highlight w:val="none"/>
              </w:rPr>
              <w:t>供应商中标签订合同后</w:t>
            </w:r>
            <w:r>
              <w:rPr>
                <w:rFonts w:hint="eastAsia" w:ascii="仿宋" w:hAnsi="仿宋" w:eastAsia="仿宋" w:cs="仿宋"/>
                <w:b/>
                <w:bCs/>
                <w:sz w:val="24"/>
                <w:szCs w:val="24"/>
                <w:highlight w:val="none"/>
                <w:u w:val="single"/>
              </w:rPr>
              <w:t>120日历天</w:t>
            </w:r>
            <w:r>
              <w:rPr>
                <w:rFonts w:hint="eastAsia" w:ascii="仿宋" w:hAnsi="仿宋" w:eastAsia="仿宋" w:cs="仿宋"/>
                <w:sz w:val="24"/>
                <w:szCs w:val="24"/>
                <w:highlight w:val="none"/>
              </w:rPr>
              <w:t>内送达并</w:t>
            </w:r>
            <w:r>
              <w:rPr>
                <w:rFonts w:hint="eastAsia" w:ascii="仿宋" w:hAnsi="仿宋" w:eastAsia="仿宋" w:cs="仿宋"/>
                <w:sz w:val="24"/>
                <w:szCs w:val="24"/>
                <w:highlight w:val="none"/>
                <w:lang w:eastAsia="zh-CN"/>
              </w:rPr>
              <w:t>安装调试完成</w:t>
            </w:r>
            <w:r>
              <w:rPr>
                <w:rFonts w:hint="eastAsia" w:ascii="仿宋" w:hAnsi="仿宋" w:eastAsia="仿宋" w:cs="仿宋"/>
                <w:sz w:val="24"/>
                <w:szCs w:val="24"/>
                <w:highlight w:val="none"/>
              </w:rPr>
              <w:t>，如在规定的时间内由于卖方的原因不能送达货物并</w:t>
            </w:r>
            <w:r>
              <w:rPr>
                <w:rFonts w:hint="eastAsia" w:ascii="仿宋" w:hAnsi="仿宋" w:eastAsia="仿宋" w:cs="仿宋"/>
                <w:sz w:val="24"/>
                <w:szCs w:val="24"/>
                <w:highlight w:val="none"/>
                <w:lang w:eastAsia="zh-CN"/>
              </w:rPr>
              <w:t>安装调试完成</w:t>
            </w:r>
            <w:r>
              <w:rPr>
                <w:rFonts w:hint="eastAsia" w:ascii="仿宋" w:hAnsi="仿宋" w:eastAsia="仿宋" w:cs="仿宋"/>
                <w:sz w:val="24"/>
                <w:szCs w:val="24"/>
                <w:highlight w:val="none"/>
              </w:rPr>
              <w:t>通过验收的，中标方应承担由此给用户造成的损失。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275" w:type="dxa"/>
            <w:vAlign w:val="center"/>
          </w:tcPr>
          <w:p>
            <w:p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交付地点：</w:t>
            </w:r>
            <w:r>
              <w:rPr>
                <w:rFonts w:hint="eastAsia" w:ascii="仿宋" w:hAnsi="仿宋" w:eastAsia="仿宋" w:cs="仿宋"/>
                <w:sz w:val="24"/>
                <w:szCs w:val="24"/>
                <w:highlight w:val="none"/>
              </w:rPr>
              <w:t>建德市水文水资源监测站，各水文建设站点。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275" w:type="dxa"/>
            <w:vAlign w:val="center"/>
          </w:tcPr>
          <w:p>
            <w:pP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交付方式：</w:t>
            </w:r>
            <w:r>
              <w:rPr>
                <w:rFonts w:hint="eastAsia" w:ascii="仿宋" w:hAnsi="仿宋" w:eastAsia="仿宋" w:cs="仿宋"/>
                <w:sz w:val="24"/>
                <w:szCs w:val="24"/>
                <w:highlight w:val="none"/>
              </w:rPr>
              <w:t>中标方提供中标货物的安装</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培训和技术指导</w:t>
            </w:r>
            <w:r>
              <w:rPr>
                <w:rFonts w:hint="eastAsia" w:ascii="仿宋" w:hAnsi="仿宋" w:eastAsia="仿宋" w:cs="仿宋"/>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1.6.7</w:t>
            </w:r>
          </w:p>
        </w:tc>
        <w:tc>
          <w:tcPr>
            <w:tcW w:w="8275" w:type="dxa"/>
            <w:vAlign w:val="center"/>
          </w:tcPr>
          <w:p>
            <w:pPr>
              <w:widowControl/>
              <w:autoSpaceDE w:val="0"/>
              <w:autoSpaceDN w:val="0"/>
              <w:spacing w:line="480" w:lineRule="exact"/>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违约责任</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由于乙方原因(除不可抗力外)不能按期交付合同标的，对超出交付期的每一天，乙方应按合同总价款的千分之三承担违约金，在合同货款支付时一次性扣除。若超出交付期十天(含十天)以上的，甲方有权终止合同，履约保证金不予退还。</w:t>
            </w:r>
          </w:p>
          <w:p>
            <w:pPr>
              <w:widowControl/>
              <w:autoSpaceDE w:val="0"/>
              <w:autoSpaceDN w:val="0"/>
              <w:spacing w:line="480" w:lineRule="exact"/>
              <w:textAlignment w:val="bottom"/>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乙方按合同要求将货物送达甲方后，经验收合格后，甲方超出付款期支付货款的，每逾一天，甲方应向乙方支付合同货物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w:t>
            </w:r>
          </w:p>
        </w:tc>
        <w:tc>
          <w:tcPr>
            <w:tcW w:w="8275" w:type="dxa"/>
            <w:vAlign w:val="center"/>
          </w:tcPr>
          <w:p>
            <w:pP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b/>
                <w:i/>
                <w:sz w:val="24"/>
                <w:highlight w:val="none"/>
                <w:u w:val="single"/>
                <w:lang w:val="en-US" w:eastAsia="zh-CN"/>
              </w:rPr>
              <w:t>1.7.2</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275" w:type="dxa"/>
            <w:vAlign w:val="center"/>
          </w:tcPr>
          <w:p>
            <w:p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向</w:t>
            </w:r>
            <w:r>
              <w:rPr>
                <w:rFonts w:hint="eastAsia" w:ascii="仿宋" w:hAnsi="仿宋" w:eastAsia="仿宋" w:cs="仿宋"/>
                <w:b/>
                <w:i/>
                <w:sz w:val="24"/>
                <w:highlight w:val="none"/>
                <w:u w:val="single"/>
                <w:lang w:eastAsia="zh-CN"/>
              </w:rPr>
              <w:t>建德市人民法院</w:t>
            </w:r>
            <w:r>
              <w:rPr>
                <w:rFonts w:hint="eastAsia" w:ascii="仿宋" w:hAnsi="仿宋" w:eastAsia="仿宋" w:cs="仿宋"/>
                <w:sz w:val="24"/>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具有知识产权的计算机软件等货物的知识产权归属</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eastAsia="zh-CN"/>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2.4.</w:t>
            </w:r>
            <w:r>
              <w:rPr>
                <w:rFonts w:hint="eastAsia" w:ascii="仿宋" w:hAnsi="仿宋" w:eastAsia="仿宋" w:cs="仿宋"/>
                <w:sz w:val="24"/>
                <w:highlight w:val="none"/>
                <w:lang w:val="en-US" w:eastAsia="zh-CN"/>
              </w:rPr>
              <w:t>3</w:t>
            </w:r>
          </w:p>
        </w:tc>
        <w:tc>
          <w:tcPr>
            <w:tcW w:w="8275" w:type="dxa"/>
            <w:vAlign w:val="center"/>
          </w:tcPr>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装运货物的要求和通知</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eastAsia="zh-CN"/>
              </w:rPr>
              <w:t>按乙方投标方案中施工进度要求。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275" w:type="dxa"/>
          </w:tcPr>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货物或者在途货物或者交付给第一承运人后的货物毁损、灭失的风险负担</w:t>
            </w:r>
            <w:r>
              <w:rPr>
                <w:rFonts w:hint="eastAsia" w:ascii="仿宋" w:hAnsi="仿宋" w:eastAsia="仿宋" w:cs="仿宋"/>
                <w:b/>
                <w:bCs/>
                <w:sz w:val="24"/>
                <w:highlight w:val="none"/>
                <w:u w:val="single"/>
                <w:lang w:eastAsia="zh-CN"/>
              </w:rPr>
              <w:t>都有乙方自行负责。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因不可抗力致使合同有变更必要的，双方当事人应在</w:t>
            </w:r>
            <w:r>
              <w:rPr>
                <w:rFonts w:hint="eastAsia" w:ascii="仿宋" w:hAnsi="仿宋" w:eastAsia="仿宋" w:cs="仿宋"/>
                <w:b/>
                <w:i/>
                <w:sz w:val="24"/>
                <w:highlight w:val="none"/>
                <w:u w:val="single"/>
                <w:lang w:val="en-US" w:eastAsia="zh-CN"/>
              </w:rPr>
              <w:t>30日</w:t>
            </w:r>
            <w:r>
              <w:rPr>
                <w:rFonts w:hint="eastAsia" w:ascii="仿宋" w:hAnsi="仿宋" w:eastAsia="仿宋" w:cs="仿宋"/>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受不可抗力影响的一方在不可抗力发生后，应在</w:t>
            </w:r>
            <w:r>
              <w:rPr>
                <w:rFonts w:hint="eastAsia" w:ascii="仿宋" w:hAnsi="仿宋" w:eastAsia="仿宋" w:cs="仿宋"/>
                <w:b/>
                <w:i/>
                <w:sz w:val="24"/>
                <w:highlight w:val="none"/>
                <w:u w:val="single"/>
                <w:lang w:val="en-US" w:eastAsia="zh-CN"/>
              </w:rPr>
              <w:t>7日</w:t>
            </w:r>
            <w:r>
              <w:rPr>
                <w:rFonts w:hint="eastAsia" w:ascii="仿宋" w:hAnsi="仿宋" w:eastAsia="仿宋" w:cs="仿宋"/>
                <w:sz w:val="24"/>
                <w:highlight w:val="none"/>
              </w:rPr>
              <w:t>内以书面形式通知对方当事人，并在</w:t>
            </w:r>
            <w:r>
              <w:rPr>
                <w:rFonts w:hint="eastAsia" w:ascii="仿宋" w:hAnsi="仿宋" w:eastAsia="仿宋" w:cs="仿宋"/>
                <w:b/>
                <w:i/>
                <w:sz w:val="24"/>
                <w:highlight w:val="none"/>
                <w:u w:val="single"/>
                <w:lang w:val="en-US" w:eastAsia="zh-CN"/>
              </w:rPr>
              <w:t>14日</w:t>
            </w:r>
            <w:r>
              <w:rPr>
                <w:rFonts w:hint="eastAsia" w:ascii="仿宋" w:hAnsi="仿宋" w:eastAsia="仿宋" w:cs="仿宋"/>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货物交付前，乙方应对货物的质量、数量等方面进行详细、全面的检验，并向甲方出具证明货物符合合同约定的文件；货物交付时，乙方在</w:t>
            </w:r>
            <w:r>
              <w:rPr>
                <w:rFonts w:hint="eastAsia" w:ascii="仿宋" w:hAnsi="仿宋" w:eastAsia="仿宋" w:cs="仿宋"/>
                <w:b/>
                <w:bCs/>
                <w:sz w:val="24"/>
                <w:highlight w:val="none"/>
                <w:u w:val="single"/>
                <w:lang w:eastAsia="zh-CN"/>
              </w:rPr>
              <w:t>货物安装调试完成</w:t>
            </w:r>
            <w:r>
              <w:rPr>
                <w:rFonts w:hint="eastAsia" w:ascii="仿宋" w:hAnsi="仿宋" w:eastAsia="仿宋" w:cs="仿宋"/>
                <w:b/>
                <w:bCs/>
                <w:sz w:val="24"/>
                <w:highlight w:val="none"/>
                <w:u w:val="single"/>
                <w:lang w:val="en-US" w:eastAsia="zh-CN"/>
              </w:rPr>
              <w:t>3日</w:t>
            </w:r>
            <w:r>
              <w:rPr>
                <w:rFonts w:hint="eastAsia" w:ascii="仿宋" w:hAnsi="仿宋" w:eastAsia="仿宋" w:cs="仿宋"/>
                <w:b/>
                <w:bCs/>
                <w:sz w:val="24"/>
                <w:highlight w:val="none"/>
                <w:u w:val="single"/>
              </w:rPr>
              <w:t>内</w:t>
            </w:r>
            <w:r>
              <w:rPr>
                <w:rFonts w:hint="eastAsia" w:ascii="仿宋" w:hAnsi="仿宋" w:eastAsia="仿宋" w:cs="仿宋"/>
                <w:sz w:val="24"/>
                <w:highlight w:val="none"/>
              </w:rPr>
              <w:t>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检验和验收标准、程序等具体内容</w:t>
            </w:r>
            <w:r>
              <w:rPr>
                <w:rFonts w:hint="eastAsia" w:ascii="仿宋" w:hAnsi="仿宋" w:eastAsia="仿宋" w:cs="仿宋"/>
                <w:sz w:val="24"/>
                <w:highlight w:val="none"/>
                <w:lang w:eastAsia="zh-CN"/>
              </w:rPr>
              <w:t>：</w:t>
            </w:r>
            <w:r>
              <w:rPr>
                <w:rFonts w:hint="eastAsia" w:ascii="仿宋" w:hAnsi="仿宋" w:eastAsia="仿宋" w:cs="仿宋"/>
                <w:sz w:val="24"/>
                <w:highlight w:val="none"/>
              </w:rPr>
              <w:t>1、</w:t>
            </w:r>
            <w:r>
              <w:rPr>
                <w:rFonts w:hint="eastAsia" w:ascii="仿宋" w:hAnsi="仿宋" w:eastAsia="仿宋" w:cs="仿宋"/>
                <w:sz w:val="24"/>
                <w:highlight w:val="none"/>
                <w:lang w:eastAsia="zh-CN"/>
              </w:rPr>
              <w:t>乙方</w:t>
            </w:r>
            <w:r>
              <w:rPr>
                <w:rFonts w:hint="eastAsia" w:ascii="仿宋" w:hAnsi="仿宋" w:eastAsia="仿宋" w:cs="仿宋"/>
                <w:sz w:val="24"/>
                <w:highlight w:val="none"/>
              </w:rPr>
              <w:t>应提供系统设备的有效检验材料，经采购人认可后，与合同的技术指标一起作为验收标准。</w:t>
            </w:r>
            <w:r>
              <w:rPr>
                <w:rFonts w:hint="eastAsia" w:ascii="仿宋" w:hAnsi="仿宋" w:eastAsia="仿宋" w:cs="仿宋"/>
                <w:sz w:val="24"/>
                <w:highlight w:val="none"/>
                <w:lang w:eastAsia="zh-CN"/>
              </w:rPr>
              <w:t>甲方</w:t>
            </w:r>
            <w:r>
              <w:rPr>
                <w:rFonts w:hint="eastAsia" w:ascii="仿宋" w:hAnsi="仿宋" w:eastAsia="仿宋" w:cs="仿宋"/>
                <w:sz w:val="24"/>
                <w:highlight w:val="none"/>
              </w:rPr>
              <w:t>对系统设备验收合格后，出具验收报告并在《建德市政府采购物品验收反馈表》上签署意见并加盖单位公章。验收中发现系统设备达不到验收标准或合同规定的技术指标，</w:t>
            </w:r>
            <w:r>
              <w:rPr>
                <w:rFonts w:hint="eastAsia" w:ascii="仿宋" w:hAnsi="仿宋" w:eastAsia="仿宋" w:cs="仿宋"/>
                <w:sz w:val="24"/>
                <w:highlight w:val="none"/>
                <w:lang w:eastAsia="zh-CN"/>
              </w:rPr>
              <w:t>乙方</w:t>
            </w:r>
            <w:r>
              <w:rPr>
                <w:rFonts w:hint="eastAsia" w:ascii="仿宋" w:hAnsi="仿宋" w:eastAsia="仿宋" w:cs="仿宋"/>
                <w:sz w:val="24"/>
                <w:highlight w:val="none"/>
              </w:rPr>
              <w:t>必须更换，并负担由此给</w:t>
            </w:r>
            <w:r>
              <w:rPr>
                <w:rFonts w:hint="eastAsia" w:ascii="仿宋" w:hAnsi="仿宋" w:eastAsia="仿宋" w:cs="仿宋"/>
                <w:sz w:val="24"/>
                <w:highlight w:val="none"/>
                <w:lang w:eastAsia="zh-CN"/>
              </w:rPr>
              <w:t>甲方</w:t>
            </w:r>
            <w:r>
              <w:rPr>
                <w:rFonts w:hint="eastAsia" w:ascii="仿宋" w:hAnsi="仿宋" w:eastAsia="仿宋" w:cs="仿宋"/>
                <w:sz w:val="24"/>
                <w:highlight w:val="none"/>
              </w:rPr>
              <w:t>造成的损失，直到验收合格为止。</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w:t>
            </w:r>
            <w:r>
              <w:rPr>
                <w:rFonts w:hint="eastAsia" w:ascii="仿宋" w:hAnsi="仿宋" w:eastAsia="仿宋" w:cs="仿宋"/>
                <w:sz w:val="24"/>
                <w:highlight w:val="none"/>
                <w:lang w:eastAsia="zh-CN"/>
              </w:rPr>
              <w:t>乙方</w:t>
            </w:r>
            <w:r>
              <w:rPr>
                <w:rFonts w:hint="eastAsia" w:ascii="仿宋" w:hAnsi="仿宋" w:eastAsia="仿宋" w:cs="仿宋"/>
                <w:sz w:val="24"/>
                <w:highlight w:val="none"/>
              </w:rPr>
              <w:t>应于投标书中提供系统设备的验收标准和检测办法，并在验收中提供</w:t>
            </w:r>
            <w:r>
              <w:rPr>
                <w:rFonts w:hint="eastAsia" w:ascii="仿宋" w:hAnsi="仿宋" w:eastAsia="仿宋" w:cs="仿宋"/>
                <w:sz w:val="24"/>
                <w:highlight w:val="none"/>
                <w:lang w:eastAsia="zh-CN"/>
              </w:rPr>
              <w:t>甲方</w:t>
            </w:r>
            <w:r>
              <w:rPr>
                <w:rFonts w:hint="eastAsia" w:ascii="仿宋" w:hAnsi="仿宋" w:eastAsia="仿宋" w:cs="仿宋"/>
                <w:sz w:val="24"/>
                <w:highlight w:val="none"/>
              </w:rPr>
              <w:t>认可的相应检测手段，验收标准应符合中国有关的国家、地方、行业的标准，如若中标，经</w:t>
            </w:r>
            <w:r>
              <w:rPr>
                <w:rFonts w:hint="eastAsia" w:ascii="仿宋" w:hAnsi="仿宋" w:eastAsia="仿宋" w:cs="仿宋"/>
                <w:sz w:val="24"/>
                <w:highlight w:val="none"/>
                <w:lang w:eastAsia="zh-CN"/>
              </w:rPr>
              <w:t>甲方</w:t>
            </w:r>
            <w:r>
              <w:rPr>
                <w:rFonts w:hint="eastAsia" w:ascii="仿宋" w:hAnsi="仿宋" w:eastAsia="仿宋" w:cs="仿宋"/>
                <w:sz w:val="24"/>
                <w:highlight w:val="none"/>
              </w:rPr>
              <w:t>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2.20.1</w:t>
            </w:r>
          </w:p>
        </w:tc>
        <w:tc>
          <w:tcPr>
            <w:tcW w:w="8275" w:type="dxa"/>
          </w:tcPr>
          <w:p>
            <w:pPr>
              <w:spacing w:line="360" w:lineRule="auto"/>
              <w:rPr>
                <w:rFonts w:hint="eastAsia" w:ascii="仿宋" w:hAnsi="仿宋" w:eastAsia="仿宋" w:cs="仿宋"/>
                <w:sz w:val="24"/>
                <w:highlight w:val="none"/>
                <w:lang w:eastAsia="zh-CN"/>
              </w:rPr>
            </w:pPr>
            <w:r>
              <w:rPr>
                <w:rStyle w:val="352"/>
                <w:rFonts w:hint="eastAsia" w:ascii="仿宋" w:hAnsi="仿宋" w:eastAsia="仿宋" w:cs="仿宋"/>
                <w:b w:val="0"/>
                <w:highlight w:val="none"/>
              </w:rPr>
              <w:t>履约保证金</w:t>
            </w:r>
            <w:r>
              <w:rPr>
                <w:rStyle w:val="352"/>
                <w:rFonts w:hint="eastAsia" w:ascii="仿宋" w:hAnsi="仿宋" w:eastAsia="仿宋" w:cs="仿宋"/>
                <w:b w:val="0"/>
                <w:highlight w:val="none"/>
                <w:lang w:eastAsia="zh-CN"/>
              </w:rPr>
              <w:t>：本项目将</w:t>
            </w:r>
            <w:r>
              <w:rPr>
                <w:rFonts w:hint="eastAsia" w:ascii="仿宋" w:hAnsi="仿宋" w:eastAsia="仿宋" w:cs="仿宋"/>
                <w:sz w:val="24"/>
                <w:highlight w:val="none"/>
              </w:rPr>
              <w:t>根据杭州市政府采购网公布的供应商履约评价情况</w:t>
            </w:r>
            <w:r>
              <w:rPr>
                <w:rFonts w:hint="eastAsia" w:ascii="仿宋" w:hAnsi="仿宋" w:eastAsia="仿宋" w:cs="仿宋"/>
                <w:sz w:val="24"/>
                <w:highlight w:val="none"/>
                <w:lang w:eastAsia="zh-CN"/>
              </w:rPr>
              <w:t>收取</w:t>
            </w:r>
            <w:r>
              <w:rPr>
                <w:rFonts w:hint="eastAsia" w:ascii="仿宋" w:hAnsi="仿宋" w:eastAsia="仿宋" w:cs="仿宋"/>
                <w:sz w:val="24"/>
                <w:highlight w:val="none"/>
              </w:rPr>
              <w:t>履约保证金。乙方履约验收评价总分为100分的，</w:t>
            </w:r>
            <w:r>
              <w:rPr>
                <w:rFonts w:hint="eastAsia" w:ascii="仿宋" w:hAnsi="仿宋" w:eastAsia="仿宋" w:cs="仿宋"/>
                <w:sz w:val="24"/>
                <w:highlight w:val="none"/>
                <w:lang w:eastAsia="zh-CN"/>
              </w:rPr>
              <w:t>本项目</w:t>
            </w:r>
            <w:r>
              <w:rPr>
                <w:rFonts w:hint="eastAsia" w:ascii="仿宋" w:hAnsi="仿宋" w:eastAsia="仿宋" w:cs="仿宋"/>
                <w:sz w:val="24"/>
                <w:highlight w:val="none"/>
              </w:rPr>
              <w:t>免收履约保证金；</w:t>
            </w:r>
            <w:r>
              <w:rPr>
                <w:rFonts w:hint="eastAsia" w:ascii="仿宋" w:hAnsi="仿宋" w:eastAsia="仿宋" w:cs="仿宋"/>
                <w:sz w:val="24"/>
                <w:highlight w:val="none"/>
                <w:lang w:eastAsia="zh-CN"/>
              </w:rPr>
              <w:t>评价总分在90分以上的，本项目收取履约保证金为合同金额1%；评价总分在不满90分或者暂无评分的，本项目收取履约保证金为合同金额2.5%。需要收取保证金的供应商</w:t>
            </w:r>
            <w:r>
              <w:rPr>
                <w:rStyle w:val="352"/>
                <w:rFonts w:hint="eastAsia" w:ascii="仿宋" w:hAnsi="仿宋" w:eastAsia="仿宋" w:cs="仿宋"/>
                <w:b w:val="0"/>
                <w:bCs w:val="0"/>
                <w:highlight w:val="none"/>
              </w:rPr>
              <w:t>在正式合同签订生效之日起7个工作日内，</w:t>
            </w:r>
            <w:r>
              <w:rPr>
                <w:rFonts w:hint="eastAsia" w:ascii="仿宋" w:hAnsi="仿宋" w:eastAsia="仿宋" w:cs="仿宋"/>
                <w:sz w:val="24"/>
                <w:highlight w:val="none"/>
                <w:lang w:eastAsia="zh-CN"/>
              </w:rPr>
              <w:t>缴纳</w:t>
            </w:r>
            <w:r>
              <w:rPr>
                <w:rStyle w:val="352"/>
                <w:rFonts w:hint="eastAsia" w:ascii="仿宋" w:hAnsi="仿宋" w:eastAsia="仿宋" w:cs="仿宋"/>
                <w:b w:val="0"/>
                <w:bCs w:val="0"/>
                <w:highlight w:val="none"/>
              </w:rPr>
              <w:t>保证金至甲方指定账户（可采用银行、保险公司出具保函形式提交）。在验收合格后经回访正常后凭正式收款收据、履约保证金缴款凭证复印件、《建德市政府采购回访意见单》办理结算手续。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2.20.2 </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履约保证金在</w:t>
            </w:r>
            <w:r>
              <w:rPr>
                <w:rFonts w:hint="eastAsia" w:ascii="仿宋" w:hAnsi="仿宋" w:eastAsia="仿宋" w:cs="仿宋"/>
                <w:b/>
                <w:bCs/>
                <w:sz w:val="24"/>
                <w:szCs w:val="24"/>
                <w:highlight w:val="none"/>
                <w:u w:val="single"/>
              </w:rPr>
              <w:t>120日历天</w:t>
            </w:r>
            <w:r>
              <w:rPr>
                <w:rFonts w:hint="eastAsia" w:ascii="仿宋" w:hAnsi="仿宋" w:eastAsia="仿宋" w:cs="仿宋"/>
                <w:sz w:val="24"/>
                <w:highlight w:val="none"/>
              </w:rPr>
              <w:t>期间内不予退还。乙方在前述约定期间届满前能履行完合同约定义务事项的，甲方在前述约定期间届满之日起</w:t>
            </w:r>
            <w:r>
              <w:rPr>
                <w:rFonts w:hint="eastAsia" w:ascii="仿宋" w:hAnsi="仿宋" w:eastAsia="仿宋" w:cs="仿宋"/>
                <w:sz w:val="24"/>
                <w:highlight w:val="none"/>
                <w:u w:val="single"/>
              </w:rPr>
              <w:t xml:space="preserve"> 5 </w:t>
            </w:r>
            <w:r>
              <w:rPr>
                <w:rFonts w:hint="eastAsia" w:ascii="仿宋" w:hAnsi="仿宋" w:eastAsia="仿宋" w:cs="仿宋"/>
                <w:sz w:val="24"/>
                <w:highlight w:val="none"/>
              </w:rPr>
              <w:t>个工作日内，按</w:t>
            </w:r>
            <w:r>
              <w:rPr>
                <w:rFonts w:hint="eastAsia" w:ascii="仿宋" w:hAnsi="仿宋" w:eastAsia="仿宋" w:cs="仿宋"/>
                <w:b/>
                <w:i/>
                <w:sz w:val="24"/>
                <w:highlight w:val="none"/>
                <w:u w:val="single"/>
                <w:lang w:val="en-US" w:eastAsia="zh-CN"/>
              </w:rPr>
              <w:t>100%</w:t>
            </w:r>
            <w:r>
              <w:rPr>
                <w:rFonts w:hint="eastAsia" w:ascii="仿宋" w:hAnsi="仿宋" w:eastAsia="仿宋" w:cs="仿宋"/>
                <w:sz w:val="24"/>
                <w:highlight w:val="none"/>
              </w:rPr>
              <w:t>将履约保证金退还乙方，逾期退还的，乙方可要求甲方支付违约金，违约金按每迟延退还一日的应退还而未退还金额的</w:t>
            </w:r>
            <w:r>
              <w:rPr>
                <w:rFonts w:hint="eastAsia" w:ascii="仿宋" w:hAnsi="仿宋" w:eastAsia="仿宋" w:cs="仿宋"/>
                <w:sz w:val="24"/>
                <w:highlight w:val="none"/>
                <w:u w:val="single"/>
              </w:rPr>
              <w:t xml:space="preserve">  0.05  </w:t>
            </w:r>
            <w:r>
              <w:rPr>
                <w:rFonts w:hint="eastAsia" w:ascii="仿宋" w:hAnsi="仿宋" w:eastAsia="仿宋" w:cs="仿宋"/>
                <w:sz w:val="24"/>
                <w:highlight w:val="none"/>
              </w:rPr>
              <w:t>%计算，最高限额为本合同履约保证金的</w:t>
            </w:r>
            <w:r>
              <w:rPr>
                <w:rFonts w:hint="eastAsia" w:ascii="仿宋" w:hAnsi="仿宋" w:eastAsia="仿宋" w:cs="仿宋"/>
                <w:sz w:val="24"/>
                <w:highlight w:val="none"/>
                <w:u w:val="single"/>
              </w:rPr>
              <w:t xml:space="preserve">  20   </w:t>
            </w:r>
            <w:r>
              <w:rPr>
                <w:rFonts w:hint="eastAsia" w:ascii="仿宋" w:hAnsi="仿宋" w:eastAsia="仿宋" w:cs="仿宋"/>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2.22 </w:t>
            </w:r>
          </w:p>
        </w:tc>
        <w:tc>
          <w:tcPr>
            <w:tcW w:w="8275" w:type="dxa"/>
            <w:vAlign w:val="center"/>
          </w:tcPr>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合同份数</w:t>
            </w:r>
            <w:r>
              <w:rPr>
                <w:rFonts w:hint="eastAsia" w:ascii="仿宋" w:hAnsi="仿宋" w:eastAsia="仿宋" w:cs="仿宋"/>
                <w:sz w:val="24"/>
                <w:highlight w:val="none"/>
                <w:lang w:eastAsia="zh-CN"/>
              </w:rPr>
              <w:t>：</w:t>
            </w:r>
            <w:r>
              <w:rPr>
                <w:rFonts w:hint="eastAsia" w:ascii="仿宋" w:hAnsi="仿宋" w:eastAsia="仿宋" w:cs="仿宋"/>
                <w:kern w:val="0"/>
                <w:sz w:val="24"/>
                <w:highlight w:val="none"/>
              </w:rPr>
              <w:t>本合同壹式</w:t>
            </w:r>
            <w:r>
              <w:rPr>
                <w:rFonts w:hint="eastAsia" w:ascii="仿宋" w:hAnsi="仿宋" w:eastAsia="仿宋" w:cs="仿宋"/>
                <w:kern w:val="0"/>
                <w:sz w:val="24"/>
                <w:highlight w:val="none"/>
                <w:lang w:eastAsia="zh-CN"/>
              </w:rPr>
              <w:t>柒</w:t>
            </w:r>
            <w:r>
              <w:rPr>
                <w:rFonts w:hint="eastAsia" w:ascii="仿宋" w:hAnsi="仿宋" w:eastAsia="仿宋" w:cs="仿宋"/>
                <w:kern w:val="0"/>
                <w:sz w:val="24"/>
                <w:highlight w:val="none"/>
              </w:rPr>
              <w:t>份，甲、乙双方各执</w:t>
            </w:r>
            <w:r>
              <w:rPr>
                <w:rFonts w:hint="eastAsia" w:ascii="仿宋" w:hAnsi="仿宋" w:eastAsia="仿宋" w:cs="仿宋"/>
                <w:kern w:val="0"/>
                <w:sz w:val="24"/>
                <w:highlight w:val="none"/>
                <w:lang w:eastAsia="zh-CN"/>
              </w:rPr>
              <w:t>叁</w:t>
            </w:r>
            <w:r>
              <w:rPr>
                <w:rFonts w:hint="eastAsia" w:ascii="仿宋" w:hAnsi="仿宋" w:eastAsia="仿宋" w:cs="仿宋"/>
                <w:kern w:val="0"/>
                <w:sz w:val="24"/>
                <w:highlight w:val="none"/>
              </w:rPr>
              <w:t>份，见证单位壹份。</w:t>
            </w:r>
          </w:p>
        </w:tc>
      </w:tr>
    </w:tbl>
    <w:p>
      <w:pPr>
        <w:spacing w:line="360" w:lineRule="auto"/>
        <w:ind w:left="-420" w:leftChars="-200" w:right="-420" w:rightChars="-200" w:firstLine="480" w:firstLineChars="200"/>
        <w:rPr>
          <w:rFonts w:hint="eastAsia" w:ascii="仿宋" w:hAnsi="仿宋" w:eastAsia="仿宋" w:cs="仿宋"/>
          <w:sz w:val="24"/>
          <w:highlight w:val="none"/>
        </w:rPr>
      </w:pPr>
    </w:p>
    <w:p>
      <w:pPr>
        <w:spacing w:line="360" w:lineRule="auto"/>
        <w:ind w:left="-420" w:leftChars="-200" w:right="-420" w:rightChars="-200"/>
        <w:rPr>
          <w:rFonts w:hint="eastAsia" w:ascii="仿宋" w:hAnsi="仿宋" w:eastAsia="仿宋" w:cs="仿宋"/>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92"/>
      <w:r>
        <w:rPr>
          <w:rFonts w:hint="eastAsia" w:ascii="仿宋" w:hAnsi="仿宋" w:eastAsia="仿宋" w:cs="仿宋"/>
          <w:b/>
          <w:sz w:val="36"/>
          <w:szCs w:val="20"/>
          <w:highlight w:val="none"/>
        </w:rPr>
        <w:t xml:space="preserve"> </w:t>
      </w:r>
      <w:bookmarkEnd w:id="393"/>
      <w:r>
        <w:rPr>
          <w:rFonts w:hint="eastAsia" w:ascii="仿宋" w:hAnsi="仿宋" w:eastAsia="仿宋" w:cs="仿宋"/>
          <w:b/>
          <w:sz w:val="36"/>
          <w:szCs w:val="20"/>
          <w:highlight w:val="none"/>
        </w:rPr>
        <w:t>应提交的有关格式范例</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w:t>
      </w:r>
      <w:r>
        <w:rPr>
          <w:rFonts w:hint="eastAsia" w:ascii="仿宋" w:hAnsi="仿宋" w:eastAsia="仿宋" w:cs="仿宋"/>
          <w:sz w:val="24"/>
          <w:highlight w:val="none"/>
          <w:lang w:eastAsia="zh-CN"/>
        </w:rPr>
        <w:t>浙江建安工程管理有限公司</w:t>
      </w:r>
      <w:r>
        <w:rPr>
          <w:rFonts w:hint="eastAsia" w:ascii="仿宋" w:hAnsi="仿宋" w:eastAsia="仿宋" w:cs="仿宋"/>
          <w:sz w:val="24"/>
          <w:highlight w:val="none"/>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JD2022BF-007</w:t>
      </w:r>
      <w:r>
        <w:rPr>
          <w:rFonts w:hint="eastAsia" w:ascii="仿宋" w:hAnsi="仿宋" w:eastAsia="仿宋" w:cs="仿宋"/>
          <w:sz w:val="24"/>
          <w:highlight w:val="none"/>
        </w:rPr>
        <w:t>】政府采购活动，郑重承诺：</w:t>
      </w:r>
    </w:p>
    <w:p>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snapToGrid w:val="0"/>
        <w:spacing w:line="360" w:lineRule="auto"/>
        <w:ind w:left="479" w:leftChars="228"/>
        <w:rPr>
          <w:rFonts w:hint="eastAsia" w:ascii="仿宋" w:hAnsi="仿宋" w:eastAsia="仿宋" w:cs="仿宋"/>
          <w:highlight w:val="none"/>
        </w:rPr>
      </w:pPr>
      <w:r>
        <w:rPr>
          <w:rFonts w:hint="eastAsia" w:ascii="仿宋" w:hAnsi="仿宋" w:eastAsia="仿宋" w:cs="仿宋"/>
          <w:sz w:val="24"/>
          <w:highlight w:val="none"/>
        </w:rPr>
        <w:t>（1）投标函</w:t>
      </w:r>
      <w:r>
        <w:rPr>
          <w:rFonts w:hint="eastAsia" w:ascii="仿宋" w:hAnsi="仿宋" w:eastAsia="仿宋" w:cs="仿宋"/>
          <w:highlight w:val="none"/>
        </w:rPr>
        <w:t>…………………………………………………………………………………（页码）</w:t>
      </w:r>
      <w:r>
        <w:rPr>
          <w:rFonts w:hint="eastAsia" w:ascii="仿宋" w:hAnsi="仿宋" w:eastAsia="仿宋" w:cs="仿宋"/>
          <w:sz w:val="24"/>
          <w:highlight w:val="none"/>
        </w:rPr>
        <w:t>（2）授权委托书或法定代表人（单位负责人、自然人本人）身份证明</w:t>
      </w:r>
      <w:r>
        <w:rPr>
          <w:rFonts w:hint="eastAsia" w:ascii="仿宋" w:hAnsi="仿宋" w:eastAsia="仿宋" w:cs="仿宋"/>
          <w:highlight w:val="none"/>
        </w:rPr>
        <w:t>………（页码）</w:t>
      </w:r>
    </w:p>
    <w:p>
      <w:pPr>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）符合性审查资料</w:t>
      </w:r>
      <w:r>
        <w:rPr>
          <w:rFonts w:hint="eastAsia" w:ascii="仿宋" w:hAnsi="仿宋" w:eastAsia="仿宋" w:cs="仿宋"/>
          <w:highlight w:val="none"/>
        </w:rPr>
        <w:t>………………………………………………………………………（页码）</w:t>
      </w:r>
    </w:p>
    <w:p>
      <w:pPr>
        <w:snapToGrid w:val="0"/>
        <w:spacing w:line="360" w:lineRule="auto"/>
        <w:ind w:left="479" w:leftChars="228"/>
        <w:rPr>
          <w:rFonts w:hint="eastAsia" w:ascii="仿宋" w:hAnsi="仿宋" w:eastAsia="仿宋" w:cs="仿宋"/>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）评标标准相应的商务技术资料</w:t>
      </w:r>
      <w:r>
        <w:rPr>
          <w:rFonts w:hint="eastAsia" w:ascii="仿宋" w:hAnsi="仿宋" w:eastAsia="仿宋" w:cs="仿宋"/>
          <w:highlight w:val="none"/>
        </w:rPr>
        <w:t>…………………………</w:t>
      </w:r>
      <w:r>
        <w:rPr>
          <w:rFonts w:hint="eastAsia" w:ascii="仿宋" w:hAnsi="仿宋" w:eastAsia="仿宋" w:cs="仿宋"/>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w:t>
      </w:r>
      <w:r>
        <w:rPr>
          <w:rFonts w:hint="eastAsia" w:ascii="仿宋" w:hAnsi="仿宋" w:eastAsia="仿宋" w:cs="仿宋"/>
          <w:highlight w:val="none"/>
        </w:rPr>
        <w:t>……………（页码）</w:t>
      </w:r>
    </w:p>
    <w:p>
      <w:pPr>
        <w:snapToGrid w:val="0"/>
        <w:spacing w:line="360" w:lineRule="auto"/>
        <w:ind w:left="479" w:leftChars="228"/>
        <w:rPr>
          <w:rFonts w:hint="eastAsia" w:ascii="仿宋" w:hAnsi="仿宋" w:eastAsia="仿宋" w:cs="仿宋"/>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）商务技术偏离表</w:t>
      </w:r>
      <w:r>
        <w:rPr>
          <w:rFonts w:hint="eastAsia" w:ascii="仿宋" w:hAnsi="仿宋" w:eastAsia="仿宋" w:cs="仿宋"/>
          <w:highlight w:val="none"/>
        </w:rPr>
        <w:t>………………………………………………………………………（页码）</w:t>
      </w:r>
    </w:p>
    <w:p>
      <w:pPr>
        <w:snapToGrid w:val="0"/>
        <w:spacing w:line="360" w:lineRule="auto"/>
        <w:ind w:left="479" w:leftChars="228"/>
        <w:rPr>
          <w:rFonts w:hint="eastAsia" w:ascii="仿宋" w:hAnsi="仿宋" w:eastAsia="仿宋" w:cs="仿宋"/>
          <w:highlight w:val="none"/>
        </w:rPr>
      </w:pPr>
      <w:r>
        <w:rPr>
          <w:rFonts w:hint="eastAsia" w:ascii="仿宋" w:hAnsi="仿宋" w:eastAsia="仿宋" w:cs="仿宋"/>
          <w:sz w:val="24"/>
          <w:highlight w:val="none"/>
          <w:lang w:val="zh-CN"/>
        </w:rPr>
        <w:t>（</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）政府采购供应商廉洁自律承诺书</w:t>
      </w:r>
      <w:r>
        <w:rPr>
          <w:rFonts w:hint="eastAsia" w:ascii="仿宋" w:hAnsi="仿宋" w:eastAsia="仿宋" w:cs="仿宋"/>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w:t>
      </w:r>
      <w:r>
        <w:rPr>
          <w:rFonts w:hint="eastAsia" w:ascii="仿宋" w:hAnsi="仿宋" w:eastAsia="仿宋" w:cs="仿宋"/>
          <w:sz w:val="24"/>
          <w:highlight w:val="none"/>
          <w:lang w:eastAsia="zh-CN"/>
        </w:rPr>
        <w:t>浙江建安工程管理有限公司</w:t>
      </w:r>
      <w:r>
        <w:rPr>
          <w:rFonts w:hint="eastAsia" w:ascii="仿宋" w:hAnsi="仿宋" w:eastAsia="仿宋" w:cs="仿宋"/>
          <w:sz w:val="24"/>
          <w:highlight w:val="none"/>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我方参加你方组织的</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JD2022BF-007</w:t>
      </w:r>
      <w:r>
        <w:rPr>
          <w:rFonts w:hint="eastAsia" w:ascii="仿宋" w:hAnsi="仿宋" w:eastAsia="仿宋" w:cs="仿宋"/>
          <w:sz w:val="24"/>
          <w:highlight w:val="none"/>
        </w:rPr>
        <w:t>】招标的有关活动，并对此项目进行投标。为此：</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1、我方承诺投标有效期从提交投标文件的截止之日起</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天（不少于90天）</w:t>
      </w:r>
      <w:r>
        <w:rPr>
          <w:rFonts w:hint="eastAsia" w:ascii="仿宋" w:hAnsi="仿宋" w:eastAsia="仿宋" w:cs="仿宋"/>
          <w:highlight w:val="none"/>
        </w:rPr>
        <w:t>，</w:t>
      </w:r>
      <w:r>
        <w:rPr>
          <w:rFonts w:hint="eastAsia" w:ascii="仿宋" w:hAnsi="仿宋" w:eastAsia="仿宋" w:cs="仿宋"/>
          <w:sz w:val="24"/>
          <w:highlight w:val="none"/>
        </w:rPr>
        <w:t>本投标文件在投标有效期满之前均具有约束力。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2、我方的投标文件包括以下内容：</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2.1资格文件：</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2.1.1承诺函；</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2.1.2落实政府采购政策需满足的资格要求（如果有）；</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2.1.3本项目的特定资格要求（如果有）。</w:t>
      </w:r>
    </w:p>
    <w:p>
      <w:pPr>
        <w:snapToGrid w:val="0"/>
        <w:spacing w:line="360" w:lineRule="auto"/>
        <w:ind w:left="210" w:leftChars="10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商务技术</w:t>
      </w:r>
      <w:r>
        <w:rPr>
          <w:rFonts w:hint="eastAsia" w:ascii="仿宋" w:hAnsi="仿宋" w:eastAsia="仿宋" w:cs="仿宋"/>
          <w:sz w:val="24"/>
          <w:highlight w:val="none"/>
          <w:lang w:val="zh-CN"/>
        </w:rPr>
        <w:t>文件：</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2.2.2授权委托书或法定代表人（单位负责人）身份证明；</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2.2.3联合协议（如果有）；</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2.2.4分包意向协议（如果有）；</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2.2.5符合性审查资料；</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2.2.6评标标准相应的商务技术资料；</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2.2.7商务技术偏离表；</w:t>
      </w:r>
    </w:p>
    <w:p>
      <w:pPr>
        <w:snapToGrid w:val="0"/>
        <w:spacing w:line="360" w:lineRule="auto"/>
        <w:ind w:left="420" w:leftChars="200"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8</w:t>
      </w:r>
      <w:r>
        <w:rPr>
          <w:rFonts w:hint="eastAsia" w:ascii="仿宋" w:hAnsi="仿宋" w:eastAsia="仿宋" w:cs="仿宋"/>
          <w:sz w:val="24"/>
          <w:highlight w:val="none"/>
          <w:lang w:val="zh-CN"/>
        </w:rPr>
        <w:t>政府采购供应商廉洁自律承诺书；</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zh-CN"/>
        </w:rPr>
        <w:t>.</w:t>
      </w:r>
      <w:r>
        <w:rPr>
          <w:rFonts w:hint="eastAsia" w:ascii="仿宋" w:hAnsi="仿宋" w:eastAsia="仿宋" w:cs="仿宋"/>
          <w:sz w:val="24"/>
          <w:highlight w:val="none"/>
        </w:rPr>
        <w:t>3报价文件</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360" w:lineRule="auto"/>
        <w:ind w:left="420" w:leftChars="200" w:firstLine="480" w:firstLineChars="200"/>
        <w:rPr>
          <w:rFonts w:hint="eastAsia"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4、如我方中标，我方承诺：</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sz w:val="24"/>
          <w:highlight w:val="none"/>
        </w:rPr>
      </w:pPr>
      <w:r>
        <w:rPr>
          <w:rFonts w:hint="eastAsia" w:ascii="仿宋" w:hAnsi="仿宋" w:eastAsia="仿宋" w:cs="仿宋"/>
          <w:sz w:val="24"/>
          <w:highlight w:val="none"/>
        </w:rPr>
        <w:t>5、其他补充说明:</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60"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left="420" w:leftChars="200" w:firstLine="4200" w:firstLineChars="1750"/>
        <w:rPr>
          <w:rFonts w:hint="eastAsia" w:ascii="仿宋" w:hAnsi="仿宋" w:eastAsia="仿宋" w:cs="仿宋"/>
          <w:kern w:val="0"/>
          <w:sz w:val="24"/>
          <w:highlight w:val="none"/>
          <w:u w:val="singl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p>
    <w:p>
      <w:pPr>
        <w:jc w:val="center"/>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t>二、授权委托书或法定代表人（单位负责人、自然人本人）身份证明</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w:t>
      </w:r>
    </w:p>
    <w:p>
      <w:pPr>
        <w:snapToGrid w:val="0"/>
        <w:spacing w:line="360" w:lineRule="auto"/>
        <w:ind w:firstLine="2872" w:firstLineChars="894"/>
        <w:rPr>
          <w:rFonts w:hint="eastAsia" w:ascii="仿宋" w:hAnsi="仿宋" w:eastAsia="仿宋" w:cs="仿宋"/>
          <w:highlight w:val="none"/>
        </w:rPr>
      </w:pPr>
      <w:r>
        <w:rPr>
          <w:rFonts w:hint="eastAsia" w:ascii="仿宋" w:hAnsi="仿宋" w:eastAsia="仿宋" w:cs="仿宋"/>
          <w:b/>
          <w:kern w:val="0"/>
          <w:sz w:val="32"/>
          <w:szCs w:val="32"/>
          <w:highlight w:val="none"/>
          <w:lang w:val="zh-CN"/>
        </w:rPr>
        <w:t>授权委托书（适用于非联合体投标）</w:t>
      </w:r>
      <w:r>
        <w:rPr>
          <w:rFonts w:hint="eastAsia" w:ascii="仿宋" w:hAnsi="仿宋" w:eastAsia="仿宋" w:cs="仿宋"/>
          <w:highlight w:val="none"/>
        </w:rPr>
        <w:t xml:space="preserve">                               </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w:t>
      </w:r>
      <w:r>
        <w:rPr>
          <w:rFonts w:hint="eastAsia" w:ascii="仿宋" w:hAnsi="仿宋" w:eastAsia="仿宋" w:cs="仿宋"/>
          <w:sz w:val="24"/>
          <w:highlight w:val="none"/>
          <w:lang w:eastAsia="zh-CN"/>
        </w:rPr>
        <w:t>浙江建安工程管理有限公司</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rPr>
      </w:pPr>
      <w:r>
        <w:rPr>
          <w:rFonts w:hint="eastAsia" w:ascii="仿宋" w:hAnsi="仿宋" w:eastAsia="仿宋" w:cs="仿宋"/>
          <w:kern w:val="0"/>
          <w:sz w:val="24"/>
          <w:highlight w:val="none"/>
        </w:rPr>
        <w:t>现</w:t>
      </w:r>
      <w:r>
        <w:rPr>
          <w:rFonts w:hint="eastAsia" w:ascii="仿宋" w:hAnsi="仿宋" w:eastAsia="仿宋" w:cs="仿宋"/>
          <w:kern w:val="0"/>
          <w:sz w:val="24"/>
          <w:highlight w:val="none"/>
          <w:lang w:val="zh-CN"/>
        </w:rPr>
        <w:t>委托</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（姓名）为我方代理人（身份证号码：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），以我方名义处理</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【招标编号：</w:t>
      </w:r>
      <w:r>
        <w:rPr>
          <w:rFonts w:hint="eastAsia" w:ascii="仿宋" w:hAnsi="仿宋" w:eastAsia="仿宋" w:cs="仿宋"/>
          <w:sz w:val="24"/>
          <w:highlight w:val="none"/>
          <w:lang w:eastAsia="zh-CN"/>
        </w:rPr>
        <w:t>JD2022BF-007</w:t>
      </w:r>
      <w:r>
        <w:rPr>
          <w:rFonts w:hint="eastAsia" w:ascii="仿宋" w:hAnsi="仿宋" w:eastAsia="仿宋" w:cs="仿宋"/>
          <w:sz w:val="24"/>
          <w:highlight w:val="none"/>
        </w:rPr>
        <w:t>】</w:t>
      </w:r>
      <w:r>
        <w:rPr>
          <w:rFonts w:hint="eastAsia" w:ascii="仿宋" w:hAnsi="仿宋" w:eastAsia="仿宋" w:cs="仿宋"/>
          <w:kern w:val="0"/>
          <w:sz w:val="24"/>
          <w:highlight w:val="none"/>
          <w:lang w:val="zh-CN"/>
        </w:rPr>
        <w:t>政府采购投标的一切事项，其法律后果由我方承担。</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委托期限</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自</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日起至</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年</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日止。</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特此告知。</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签发日期：  年  月   日</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zh-CN"/>
        </w:rPr>
        <w:t xml:space="preserve">      </w:t>
      </w:r>
      <w:r>
        <w:rPr>
          <w:rFonts w:hint="eastAsia" w:ascii="仿宋" w:hAnsi="仿宋" w:eastAsia="仿宋" w:cs="仿宋"/>
          <w:b/>
          <w:kern w:val="0"/>
          <w:sz w:val="32"/>
          <w:szCs w:val="32"/>
          <w:highlight w:val="none"/>
        </w:rPr>
        <w:t xml:space="preserve"> </w:t>
      </w:r>
    </w:p>
    <w:p>
      <w:pPr>
        <w:pStyle w:val="2"/>
        <w:rPr>
          <w:rFonts w:hint="eastAsia" w:ascii="仿宋" w:hAnsi="仿宋" w:eastAsia="仿宋" w:cs="仿宋"/>
          <w:b/>
          <w:kern w:val="0"/>
          <w:sz w:val="32"/>
          <w:szCs w:val="32"/>
          <w:highlight w:val="none"/>
        </w:rPr>
      </w:pPr>
    </w:p>
    <w:p>
      <w:pPr>
        <w:pStyle w:val="4"/>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p>
    <w:p>
      <w:pPr>
        <w:pStyle w:val="2"/>
        <w:rPr>
          <w:rFonts w:hint="eastAsia" w:ascii="仿宋" w:hAnsi="仿宋" w:eastAsia="仿宋" w:cs="仿宋"/>
          <w:b/>
          <w:kern w:val="0"/>
          <w:sz w:val="32"/>
          <w:szCs w:val="32"/>
          <w:highlight w:val="none"/>
        </w:rPr>
      </w:pPr>
    </w:p>
    <w:p>
      <w:pPr>
        <w:pStyle w:val="4"/>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p>
    <w:p>
      <w:pPr>
        <w:pStyle w:val="2"/>
        <w:rPr>
          <w:rFonts w:hint="eastAsia" w:ascii="仿宋" w:hAnsi="仿宋" w:eastAsia="仿宋" w:cs="仿宋"/>
          <w:b/>
          <w:kern w:val="0"/>
          <w:sz w:val="32"/>
          <w:szCs w:val="32"/>
          <w:highlight w:val="none"/>
        </w:rPr>
      </w:pPr>
    </w:p>
    <w:p>
      <w:pPr>
        <w:pStyle w:val="4"/>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p>
    <w:p>
      <w:pPr>
        <w:pStyle w:val="2"/>
        <w:rPr>
          <w:rFonts w:hint="eastAsia" w:ascii="仿宋" w:hAnsi="仿宋" w:eastAsia="仿宋" w:cs="仿宋"/>
          <w:b/>
          <w:kern w:val="0"/>
          <w:sz w:val="32"/>
          <w:szCs w:val="32"/>
          <w:highlight w:val="none"/>
        </w:rPr>
      </w:pPr>
    </w:p>
    <w:p>
      <w:pPr>
        <w:pStyle w:val="4"/>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p>
    <w:p>
      <w:pPr>
        <w:pStyle w:val="2"/>
        <w:rPr>
          <w:rFonts w:hint="eastAsia" w:ascii="仿宋" w:hAnsi="仿宋" w:eastAsia="仿宋" w:cs="仿宋"/>
          <w:highlight w:val="none"/>
          <w:lang w:val="zh-CN"/>
        </w:rPr>
      </w:pPr>
    </w:p>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kern w:val="0"/>
          <w:sz w:val="32"/>
          <w:szCs w:val="32"/>
          <w:highlight w:val="none"/>
          <w:lang w:val="zh-CN"/>
        </w:rPr>
        <w:t>法定代表人、单位负责人或自然人本人</w:t>
      </w:r>
      <w:r>
        <w:rPr>
          <w:rFonts w:hint="eastAsia" w:ascii="仿宋" w:hAnsi="仿宋" w:eastAsia="仿宋" w:cs="仿宋"/>
          <w:b/>
          <w:sz w:val="30"/>
          <w:szCs w:val="30"/>
          <w:highlight w:val="none"/>
        </w:rPr>
        <w:t>的身份证明（适用于法定代表人、单位负责人或者自然人本人代表投标人参加投标）</w:t>
      </w:r>
    </w:p>
    <w:p>
      <w:pPr>
        <w:pStyle w:val="146"/>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正面：                                 反面：</w:t>
            </w:r>
          </w:p>
          <w:p>
            <w:pPr>
              <w:pStyle w:val="146"/>
              <w:adjustRightInd w:val="0"/>
              <w:spacing w:line="360" w:lineRule="auto"/>
              <w:rPr>
                <w:rFonts w:hint="eastAsia" w:ascii="仿宋" w:hAnsi="仿宋" w:eastAsia="仿宋" w:cs="仿宋"/>
                <w:bCs/>
                <w:sz w:val="24"/>
                <w:highlight w:val="none"/>
              </w:rPr>
            </w:pPr>
          </w:p>
        </w:tc>
      </w:tr>
    </w:tbl>
    <w:p>
      <w:pPr>
        <w:snapToGrid w:val="0"/>
        <w:spacing w:line="360" w:lineRule="auto"/>
        <w:ind w:firstLine="576"/>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ind w:firstLine="576"/>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                              </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三</w:t>
      </w:r>
      <w:r>
        <w:rPr>
          <w:rFonts w:hint="eastAsia" w:ascii="仿宋" w:hAnsi="仿宋" w:eastAsia="仿宋" w:cs="仿宋"/>
          <w:b/>
          <w:kern w:val="0"/>
          <w:sz w:val="32"/>
          <w:szCs w:val="32"/>
          <w:highlight w:val="none"/>
        </w:rPr>
        <w:t>、符合性审查资料</w:t>
      </w:r>
    </w:p>
    <w:p>
      <w:pPr>
        <w:jc w:val="center"/>
        <w:rPr>
          <w:rFonts w:hint="eastAsia" w:ascii="仿宋" w:hAnsi="仿宋" w:eastAsia="仿宋" w:cs="仿宋"/>
          <w:b/>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4991" w:type="dxa"/>
            <w:vAlign w:val="center"/>
          </w:tcPr>
          <w:p>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实质性要求</w:t>
            </w:r>
          </w:p>
        </w:tc>
        <w:tc>
          <w:tcPr>
            <w:tcW w:w="2551" w:type="dxa"/>
            <w:vAlign w:val="center"/>
          </w:tcPr>
          <w:p>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需要提供的符合性审查资料</w:t>
            </w:r>
          </w:p>
        </w:tc>
        <w:tc>
          <w:tcPr>
            <w:tcW w:w="1418" w:type="dxa"/>
            <w:vAlign w:val="center"/>
          </w:tcPr>
          <w:p>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投标文件中的</w:t>
            </w:r>
          </w:p>
          <w:p>
            <w:pPr>
              <w:snapToGrid w:val="0"/>
              <w:spacing w:line="240" w:lineRule="atLeast"/>
              <w:jc w:val="center"/>
              <w:rPr>
                <w:rFonts w:hint="eastAsia" w:ascii="仿宋" w:hAnsi="仿宋" w:eastAsia="仿宋" w:cs="仿宋"/>
                <w:b/>
                <w:sz w:val="24"/>
                <w:highlight w:val="none"/>
              </w:rPr>
            </w:pPr>
            <w:r>
              <w:rPr>
                <w:rFonts w:hint="eastAsia" w:ascii="仿宋" w:hAnsi="仿宋" w:eastAsia="仿宋" w:cs="仿宋"/>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4991" w:type="dxa"/>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投标文件按照招标文件要求签署、盖章。</w:t>
            </w:r>
          </w:p>
        </w:tc>
        <w:tc>
          <w:tcPr>
            <w:tcW w:w="2551"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需要使用电子签名或者签字盖章的投标文件的组成部分</w:t>
            </w:r>
          </w:p>
        </w:tc>
        <w:tc>
          <w:tcPr>
            <w:tcW w:w="1418" w:type="dxa"/>
          </w:tcPr>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见投标文件</w:t>
            </w:r>
          </w:p>
          <w:p>
            <w:pPr>
              <w:rPr>
                <w:rFonts w:hint="eastAsia" w:ascii="仿宋" w:hAnsi="仿宋" w:eastAsia="仿宋" w:cs="仿宋"/>
                <w:highlight w:val="none"/>
              </w:rPr>
            </w:pPr>
            <w:r>
              <w:rPr>
                <w:rFonts w:hint="eastAsia" w:ascii="仿宋" w:hAnsi="仿宋" w:eastAsia="仿宋" w:cs="仿宋"/>
                <w:sz w:val="24"/>
                <w:highlight w:val="none"/>
              </w:rPr>
              <w:t>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w:t>
            </w:r>
          </w:p>
        </w:tc>
        <w:tc>
          <w:tcPr>
            <w:tcW w:w="4991" w:type="dxa"/>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节能产品认证证书（本项目拟采购的产品不属于政府强制采购的节能产品品目清单范围的，无需提供）</w:t>
            </w:r>
          </w:p>
        </w:tc>
        <w:tc>
          <w:tcPr>
            <w:tcW w:w="1418" w:type="dxa"/>
          </w:tcPr>
          <w:p>
            <w:pPr>
              <w:rPr>
                <w:rFonts w:hint="eastAsia" w:ascii="仿宋" w:hAnsi="仿宋" w:eastAsia="仿宋" w:cs="仿宋"/>
                <w:sz w:val="24"/>
                <w:highlight w:val="none"/>
              </w:rPr>
            </w:pPr>
          </w:p>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见投标文件</w:t>
            </w:r>
          </w:p>
          <w:p>
            <w:pPr>
              <w:pStyle w:val="6"/>
              <w:rPr>
                <w:rFonts w:hint="eastAsia" w:ascii="仿宋" w:hAnsi="仿宋" w:eastAsia="仿宋" w:cs="仿宋"/>
                <w:highlight w:val="none"/>
                <w:lang w:val="en-US"/>
              </w:rPr>
            </w:pPr>
            <w:r>
              <w:rPr>
                <w:rFonts w:hint="eastAsia" w:ascii="仿宋" w:hAnsi="仿宋" w:eastAsia="仿宋" w:cs="仿宋"/>
                <w:b w:val="0"/>
                <w:bCs w:val="0"/>
                <w:sz w:val="24"/>
                <w:szCs w:val="24"/>
                <w:highlight w:val="none"/>
                <w:lang w:val="en-US"/>
              </w:rPr>
              <w:t>第</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4991" w:type="dxa"/>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投标文件中承诺的投标有效期不少于招标文件中载明的投标有效期。</w:t>
            </w:r>
          </w:p>
        </w:tc>
        <w:tc>
          <w:tcPr>
            <w:tcW w:w="2551"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投标函</w:t>
            </w:r>
          </w:p>
        </w:tc>
        <w:tc>
          <w:tcPr>
            <w:tcW w:w="1418" w:type="dxa"/>
          </w:tcPr>
          <w:p>
            <w:pPr>
              <w:rPr>
                <w:rFonts w:hint="eastAsia" w:ascii="仿宋" w:hAnsi="仿宋" w:eastAsia="仿宋" w:cs="仿宋"/>
                <w:highlight w:val="none"/>
              </w:rPr>
            </w:pPr>
            <w:r>
              <w:rPr>
                <w:rFonts w:hint="eastAsia" w:ascii="仿宋" w:hAnsi="仿宋" w:eastAsia="仿宋" w:cs="仿宋"/>
                <w:sz w:val="24"/>
                <w:highlight w:val="none"/>
              </w:rPr>
              <w:t>见投标文件第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4991" w:type="dxa"/>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投标文件满足招标文件的其它实质性要求。</w:t>
            </w:r>
          </w:p>
        </w:tc>
        <w:tc>
          <w:tcPr>
            <w:tcW w:w="2551" w:type="dxa"/>
            <w:vAlign w:val="center"/>
          </w:tcPr>
          <w:p>
            <w:pPr>
              <w:rPr>
                <w:rFonts w:hint="eastAsia" w:ascii="仿宋" w:hAnsi="仿宋" w:eastAsia="仿宋" w:cs="仿宋"/>
                <w:sz w:val="24"/>
                <w:highlight w:val="none"/>
              </w:rPr>
            </w:pPr>
            <w:r>
              <w:rPr>
                <w:rFonts w:hint="eastAsia" w:ascii="仿宋" w:hAnsi="仿宋" w:eastAsia="仿宋" w:cs="仿宋"/>
                <w:kern w:val="0"/>
                <w:sz w:val="24"/>
                <w:highlight w:val="none"/>
              </w:rPr>
              <w:t>招标文件其它实质性要求相应的材料（“▲” 系指实质性要求条款，招标文件无其它实质性要求的，无需提供）</w:t>
            </w:r>
          </w:p>
        </w:tc>
        <w:tc>
          <w:tcPr>
            <w:tcW w:w="1418" w:type="dxa"/>
          </w:tcPr>
          <w:p>
            <w:pPr>
              <w:rPr>
                <w:rFonts w:hint="eastAsia" w:ascii="仿宋" w:hAnsi="仿宋" w:eastAsia="仿宋" w:cs="仿宋"/>
                <w:highlight w:val="none"/>
              </w:rPr>
            </w:pPr>
            <w:r>
              <w:rPr>
                <w:rFonts w:hint="eastAsia" w:ascii="仿宋" w:hAnsi="仿宋" w:eastAsia="仿宋" w:cs="仿宋"/>
                <w:sz w:val="24"/>
                <w:highlight w:val="none"/>
              </w:rPr>
              <w:t>见投标文件第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页</w:t>
            </w:r>
          </w:p>
        </w:tc>
      </w:tr>
    </w:tbl>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 xml:space="preserve">            </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、评标标准相应的商务技术资料</w:t>
      </w:r>
    </w:p>
    <w:p>
      <w:pPr>
        <w:snapToGrid w:val="0"/>
        <w:spacing w:line="360" w:lineRule="auto"/>
        <w:jc w:val="left"/>
        <w:rPr>
          <w:rFonts w:hint="eastAsia" w:ascii="仿宋" w:hAnsi="仿宋" w:eastAsia="仿宋" w:cs="仿宋"/>
          <w:b/>
          <w:sz w:val="24"/>
          <w:highlight w:val="none"/>
        </w:rPr>
      </w:pPr>
      <w:r>
        <w:rPr>
          <w:rFonts w:hint="eastAsia" w:ascii="仿宋" w:hAnsi="仿宋" w:eastAsia="仿宋" w:cs="仿宋"/>
          <w:b/>
          <w:sz w:val="24"/>
          <w:highlight w:val="none"/>
        </w:rPr>
        <w:t>（按招标文件第四部分评标办法前附表中“投标文件中评标标准相应的商务技术资料目录”提供资料）</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bCs/>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2891" w:firstLineChars="900"/>
        <w:rPr>
          <w:rFonts w:hint="eastAsia" w:ascii="仿宋" w:hAnsi="仿宋" w:eastAsia="仿宋" w:cs="仿宋"/>
          <w:b/>
          <w:kern w:val="0"/>
          <w:sz w:val="32"/>
          <w:szCs w:val="32"/>
          <w:highlight w:val="none"/>
        </w:rPr>
      </w:pPr>
    </w:p>
    <w:p>
      <w:pPr>
        <w:ind w:firstLine="1911" w:firstLineChars="595"/>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w:t>
      </w:r>
      <w:r>
        <w:rPr>
          <w:rFonts w:hint="eastAsia" w:ascii="仿宋" w:hAnsi="仿宋" w:eastAsia="仿宋" w:cs="仿宋"/>
          <w:sz w:val="24"/>
          <w:highlight w:val="none"/>
          <w:lang w:eastAsia="zh-CN"/>
        </w:rPr>
        <w:t>浙江建安工程管理有限公司</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lang w:eastAsia="zh-CN"/>
        </w:rPr>
        <w:t>建德市水文水资源监测站</w:t>
      </w:r>
      <w:r>
        <w:rPr>
          <w:rFonts w:hint="eastAsia" w:ascii="仿宋" w:hAnsi="仿宋" w:eastAsia="仿宋" w:cs="仿宋"/>
          <w:sz w:val="24"/>
          <w:highlight w:val="none"/>
        </w:rPr>
        <w:t>、</w:t>
      </w:r>
      <w:r>
        <w:rPr>
          <w:rFonts w:hint="eastAsia" w:ascii="仿宋" w:hAnsi="仿宋" w:eastAsia="仿宋" w:cs="仿宋"/>
          <w:sz w:val="24"/>
          <w:highlight w:val="none"/>
          <w:lang w:eastAsia="zh-CN"/>
        </w:rPr>
        <w:t>浙江建安工程管理有限公司</w:t>
      </w:r>
      <w:r>
        <w:rPr>
          <w:rFonts w:hint="eastAsia" w:ascii="仿宋" w:hAnsi="仿宋" w:eastAsia="仿宋" w:cs="仿宋"/>
          <w:kern w:val="0"/>
          <w:sz w:val="24"/>
          <w:highlight w:val="none"/>
          <w:lang w:val="zh-CN"/>
        </w:rPr>
        <w:t>：</w:t>
      </w:r>
    </w:p>
    <w:p>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lang w:eastAsia="zh-CN"/>
        </w:rPr>
        <w:t>建德市水文测报能力提升项目</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lang w:eastAsia="zh-CN"/>
        </w:rPr>
        <w:t>JD2022BF-007</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规格型号（或具体服务）</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总价</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服务要求（年限）</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417" w:type="dxa"/>
            <w:vAlign w:val="center"/>
          </w:tcPr>
          <w:p>
            <w:pPr>
              <w:snapToGrid w:val="0"/>
              <w:spacing w:line="360" w:lineRule="auto"/>
              <w:jc w:val="center"/>
              <w:rPr>
                <w:rFonts w:hint="eastAsia" w:ascii="仿宋" w:hAnsi="仿宋" w:eastAsia="仿宋" w:cs="仿宋"/>
                <w:sz w:val="24"/>
                <w:highlight w:val="none"/>
              </w:rPr>
            </w:pPr>
          </w:p>
        </w:tc>
        <w:tc>
          <w:tcPr>
            <w:tcW w:w="1843" w:type="dxa"/>
            <w:vAlign w:val="center"/>
          </w:tcPr>
          <w:p>
            <w:pPr>
              <w:snapToGrid w:val="0"/>
              <w:spacing w:line="360" w:lineRule="auto"/>
              <w:jc w:val="center"/>
              <w:rPr>
                <w:rFonts w:hint="eastAsia" w:ascii="仿宋" w:hAnsi="仿宋" w:eastAsia="仿宋" w:cs="仿宋"/>
                <w:sz w:val="24"/>
                <w:highlight w:val="none"/>
              </w:rPr>
            </w:pPr>
          </w:p>
        </w:tc>
        <w:tc>
          <w:tcPr>
            <w:tcW w:w="3118"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1、投标人需按本表格式填写，不得自行更改。</w:t>
      </w:r>
    </w:p>
    <w:p>
      <w:pPr>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投标文件含有采购人不能接受的附加条件的，投标无效</w:t>
      </w:r>
      <w:r>
        <w:rPr>
          <w:rFonts w:hint="eastAsia" w:ascii="仿宋" w:hAnsi="仿宋" w:eastAsia="仿宋" w:cs="仿宋"/>
          <w:b/>
          <w:kern w:val="0"/>
          <w:sz w:val="24"/>
          <w:highlight w:val="none"/>
          <w:lang w:val="zh-CN"/>
        </w:rPr>
        <w:t>。</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5、</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p>
    <w:p>
      <w:pPr>
        <w:widowControl/>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0"/>
        <w:keepNext w:val="0"/>
        <w:pageBreakBefore w:val="0"/>
        <w:tabs>
          <w:tab w:val="clear" w:pos="720"/>
        </w:tabs>
        <w:snapToGrid w:val="0"/>
        <w:spacing w:before="120" w:after="120"/>
        <w:ind w:firstLine="643"/>
        <w:outlineLvl w:val="9"/>
        <w:rPr>
          <w:rFonts w:hint="eastAsia" w:ascii="仿宋" w:hAnsi="仿宋" w:eastAsia="仿宋" w:cs="仿宋"/>
          <w:b w:val="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tabs>
          <w:tab w:val="left" w:pos="8085"/>
        </w:tabs>
        <w:spacing w:line="360" w:lineRule="auto"/>
        <w:ind w:firstLine="1285" w:firstLineChars="400"/>
        <w:jc w:val="left"/>
        <w:rPr>
          <w:rFonts w:hint="eastAsia" w:ascii="仿宋" w:hAnsi="仿宋" w:eastAsia="仿宋" w:cs="仿宋"/>
          <w:b/>
          <w:sz w:val="32"/>
          <w:szCs w:val="32"/>
          <w:highlight w:val="none"/>
        </w:rPr>
      </w:pPr>
      <w:r>
        <w:rPr>
          <w:rFonts w:hint="eastAsia" w:ascii="仿宋" w:hAnsi="仿宋" w:eastAsia="仿宋" w:cs="仿宋"/>
          <w:b/>
          <w:sz w:val="32"/>
          <w:szCs w:val="32"/>
          <w:highlight w:val="none"/>
        </w:rPr>
        <w:t>政府采购支持中小企业信用融资相关事项通知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为贯彻落实中央、省、市关于支持民营经济健康发展有关精神，发挥政府采购在促进中小企业发展中的政策引导作用，缓解中小企业融资难、融资贵问题，建德市财政局、浙江银监局建德监管办事处、建德市人民政府金融工作办公室、建德市经济和信息化局制定《建德市政府采购支持中小企业信用融资实施细则》。相关事项通知如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sz w:val="21"/>
          <w:szCs w:val="21"/>
          <w:highlight w:val="none"/>
        </w:rPr>
      </w:pPr>
      <w:r>
        <w:rPr>
          <w:rFonts w:hint="eastAsia" w:ascii="仿宋" w:hAnsi="仿宋" w:eastAsia="仿宋" w:cs="仿宋"/>
          <w:b/>
          <w:bCs/>
          <w:i w:val="0"/>
          <w:iCs w:val="0"/>
          <w:caps w:val="0"/>
          <w:color w:val="000000"/>
          <w:spacing w:val="0"/>
          <w:kern w:val="0"/>
          <w:sz w:val="24"/>
          <w:szCs w:val="24"/>
          <w:highlight w:val="none"/>
          <w:lang w:val="en-US" w:eastAsia="zh-CN" w:bidi="ar"/>
        </w:rPr>
        <w:t>一、适用对象</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凡已在浙江政府采购网上注册入库，并取得建德市政府采购合同的中小企业供应商（以下简称“供应商”），均可申请政府采购信用融资。</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sz w:val="21"/>
          <w:szCs w:val="21"/>
          <w:highlight w:val="none"/>
        </w:rPr>
      </w:pPr>
      <w:r>
        <w:rPr>
          <w:rFonts w:hint="eastAsia" w:ascii="仿宋" w:hAnsi="仿宋" w:eastAsia="仿宋" w:cs="仿宋"/>
          <w:b/>
          <w:bCs/>
          <w:i w:val="0"/>
          <w:iCs w:val="0"/>
          <w:caps w:val="0"/>
          <w:color w:val="000000"/>
          <w:spacing w:val="0"/>
          <w:kern w:val="0"/>
          <w:sz w:val="24"/>
          <w:szCs w:val="24"/>
          <w:highlight w:val="none"/>
          <w:lang w:val="en-US" w:eastAsia="zh-CN" w:bidi="ar"/>
        </w:rPr>
        <w:t>二、政府采购信用融资操作流程：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（一）线上融资模式（政采云）：</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操作路劲：登录政采云平台—金融服务中心—融资贷款。</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1.供应商根据合作银行提供的方案，自行选择金融产品，并办理开户等手续；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2.采购合同签订后，供应商在“政采云”平台向合作银行发出融资申请。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3.审批通过后，办理放贷手续。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（二）线下融资模式：</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1.供应商根据合作银行提供的方案，自行选择金融产品，向合作银行提出信用资格预审，并办理开户等手续；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2.采购合同签订后，供应商向合作银行发出融资申请；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3.合作银行受理申请后，供应商提供审批材料。合作银行应对申请信用融资的供应商及备案的政府采购合同信息进行核对和审查；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　　4.审批通过后，合作银行应按照合作备忘录中约定的审批放款期限和优惠利率及时予以放款。</w:t>
      </w:r>
    </w:p>
    <w:p>
      <w:pPr>
        <w:pStyle w:val="6"/>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sz w:val="32"/>
          <w:szCs w:val="32"/>
          <w:highlight w:val="none"/>
        </w:rPr>
      </w:pPr>
      <w:r>
        <w:rPr>
          <w:rFonts w:hint="eastAsia" w:ascii="仿宋" w:hAnsi="仿宋" w:eastAsia="仿宋" w:cs="仿宋"/>
          <w:b w:val="0"/>
          <w:bCs w:val="0"/>
          <w:i w:val="0"/>
          <w:iCs w:val="0"/>
          <w:caps w:val="0"/>
          <w:color w:val="000000"/>
          <w:spacing w:val="0"/>
          <w:sz w:val="24"/>
          <w:szCs w:val="24"/>
          <w:highlight w:val="none"/>
        </w:rPr>
        <w:t>（三）杭州e融平台申请融资</w:t>
      </w:r>
    </w:p>
    <w:p>
      <w:pPr>
        <w:pStyle w:val="6"/>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sz w:val="32"/>
          <w:szCs w:val="32"/>
          <w:highlight w:val="none"/>
        </w:rPr>
      </w:pPr>
      <w:r>
        <w:rPr>
          <w:rFonts w:hint="eastAsia" w:ascii="仿宋" w:hAnsi="仿宋" w:eastAsia="仿宋" w:cs="仿宋"/>
          <w:b w:val="0"/>
          <w:bCs w:val="0"/>
          <w:i w:val="0"/>
          <w:iCs w:val="0"/>
          <w:caps w:val="0"/>
          <w:color w:val="000000"/>
          <w:spacing w:val="0"/>
          <w:sz w:val="24"/>
          <w:szCs w:val="24"/>
          <w:highlight w:val="none"/>
        </w:rPr>
        <w:t>供应商通过杭州e融平台政采贷专区，自行选择金融产品，按规定手续办理贷款流程。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sz w:val="21"/>
          <w:szCs w:val="21"/>
          <w:highlight w:val="none"/>
        </w:rPr>
      </w:pPr>
      <w:r>
        <w:rPr>
          <w:rFonts w:hint="eastAsia" w:ascii="仿宋" w:hAnsi="仿宋" w:eastAsia="仿宋" w:cs="仿宋"/>
          <w:b/>
          <w:bCs/>
          <w:i w:val="0"/>
          <w:iCs w:val="0"/>
          <w:caps w:val="0"/>
          <w:color w:val="000000"/>
          <w:spacing w:val="0"/>
          <w:kern w:val="0"/>
          <w:sz w:val="24"/>
          <w:szCs w:val="24"/>
          <w:highlight w:val="none"/>
          <w:lang w:val="en-US" w:eastAsia="zh-CN" w:bidi="ar"/>
        </w:rPr>
        <w:t>三、注意事项</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sz w:val="21"/>
          <w:szCs w:val="21"/>
          <w:highlight w:val="none"/>
        </w:rPr>
      </w:pPr>
      <w:r>
        <w:rPr>
          <w:rFonts w:hint="eastAsia" w:ascii="仿宋" w:hAnsi="仿宋" w:eastAsia="仿宋" w:cs="仿宋"/>
          <w:i w:val="0"/>
          <w:iCs w:val="0"/>
          <w:caps w:val="0"/>
          <w:color w:val="000000"/>
          <w:spacing w:val="0"/>
          <w:kern w:val="0"/>
          <w:sz w:val="24"/>
          <w:szCs w:val="24"/>
          <w:highlight w:val="none"/>
          <w:lang w:val="en-US" w:eastAsia="zh-CN" w:bidi="ar"/>
        </w:rPr>
        <w:t>1、对拟用于信用融资的政府采购合同，供应商在签订合同时应当在合同中注明融资银行名称及账号，作为在该银行的唯一收款账号。</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i w:val="0"/>
          <w:iCs w:val="0"/>
          <w:caps w:val="0"/>
          <w:color w:val="000000"/>
          <w:spacing w:val="0"/>
          <w:kern w:val="0"/>
          <w:sz w:val="24"/>
          <w:szCs w:val="24"/>
          <w:highlight w:val="none"/>
          <w:lang w:val="en-US" w:eastAsia="zh-CN" w:bidi="ar"/>
        </w:rPr>
        <w:t>2、供应商弄虚作假或以伪造政府采购合同等方式违规获取政府采购信用融资，或不及时还款，或出现其他违反规定情形的，按融资合同约定承担违约责任；涉嫌犯罪的，移送司法机关处理。</w:t>
      </w:r>
    </w:p>
    <w:p>
      <w:pPr>
        <w:spacing w:line="360" w:lineRule="auto"/>
        <w:ind w:left="5060" w:hanging="5060" w:hangingChars="2100"/>
        <w:rPr>
          <w:rFonts w:hint="eastAsia" w:ascii="仿宋" w:hAnsi="仿宋" w:eastAsia="仿宋" w:cs="仿宋"/>
          <w:b/>
          <w:bCs/>
          <w:kern w:val="0"/>
          <w:sz w:val="24"/>
          <w:highlight w:val="none"/>
        </w:rPr>
      </w:pPr>
    </w:p>
    <w:p>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551" w:name="_Toc465665161"/>
      <w:r>
        <w:rPr>
          <w:rFonts w:hint="eastAsia" w:ascii="仿宋" w:hAnsi="仿宋" w:eastAsia="仿宋" w:cs="仿宋"/>
          <w:highlight w:val="none"/>
        </w:rPr>
        <w:t>附件</w:t>
      </w:r>
      <w:bookmarkEnd w:id="551"/>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w:t>
      </w:r>
    </w:p>
    <w:p>
      <w:pPr>
        <w:spacing w:line="360" w:lineRule="auto"/>
        <w:jc w:val="center"/>
        <w:rPr>
          <w:rFonts w:hint="eastAsia" w:ascii="仿宋" w:hAnsi="仿宋" w:eastAsia="仿宋" w:cs="仿宋"/>
          <w:b/>
          <w:spacing w:val="6"/>
          <w:sz w:val="32"/>
          <w:szCs w:val="32"/>
          <w:highlight w:val="none"/>
        </w:rPr>
      </w:pPr>
      <w:bookmarkStart w:id="552" w:name="OLE_LINK14"/>
      <w:bookmarkStart w:id="553" w:name="OLE_LINK13"/>
      <w:r>
        <w:rPr>
          <w:rFonts w:hint="eastAsia" w:ascii="仿宋" w:hAnsi="仿宋" w:eastAsia="仿宋" w:cs="仿宋"/>
          <w:b/>
          <w:spacing w:val="6"/>
          <w:sz w:val="32"/>
          <w:szCs w:val="32"/>
          <w:highlight w:val="none"/>
        </w:rPr>
        <w:t>残疾人福利性单位声明函</w:t>
      </w:r>
    </w:p>
    <w:bookmarkEnd w:id="552"/>
    <w:bookmarkEnd w:id="553"/>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spacing w:line="360" w:lineRule="auto"/>
        <w:ind w:firstLine="480" w:firstLineChars="200"/>
        <w:rPr>
          <w:rFonts w:hint="eastAsia" w:ascii="仿宋" w:hAnsi="仿宋" w:eastAsia="仿宋" w:cs="仿宋"/>
          <w:sz w:val="24"/>
          <w:highlight w:val="none"/>
        </w:rPr>
      </w:pPr>
    </w:p>
    <w:p>
      <w:pPr>
        <w:spacing w:line="360" w:lineRule="auto"/>
        <w:ind w:firstLine="420" w:firstLineChars="200"/>
        <w:rPr>
          <w:rFonts w:hint="eastAsia" w:ascii="仿宋" w:hAnsi="仿宋" w:eastAsia="仿宋" w:cs="仿宋"/>
          <w:highlight w:val="none"/>
        </w:rPr>
      </w:pPr>
    </w:p>
    <w:p>
      <w:pPr>
        <w:spacing w:line="360" w:lineRule="auto"/>
        <w:ind w:firstLine="420" w:firstLineChars="200"/>
        <w:rPr>
          <w:rFonts w:hint="eastAsia" w:ascii="仿宋" w:hAnsi="仿宋" w:eastAsia="仿宋" w:cs="仿宋"/>
          <w:highlight w:val="none"/>
        </w:rPr>
      </w:pPr>
    </w:p>
    <w:p>
      <w:pPr>
        <w:spacing w:line="360" w:lineRule="auto"/>
        <w:ind w:firstLine="420" w:firstLineChars="200"/>
        <w:rPr>
          <w:rFonts w:hint="eastAsia" w:ascii="仿宋" w:hAnsi="仿宋" w:eastAsia="仿宋" w:cs="仿宋"/>
          <w:highlight w:val="none"/>
        </w:rPr>
      </w:pPr>
    </w:p>
    <w:p>
      <w:pPr>
        <w:spacing w:line="360" w:lineRule="auto"/>
        <w:ind w:firstLine="420" w:firstLineChars="200"/>
        <w:rPr>
          <w:rFonts w:hint="eastAsia" w:ascii="仿宋" w:hAnsi="仿宋" w:eastAsia="仿宋" w:cs="仿宋"/>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附件3：投诉书范本及制作说明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附件4：</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u w:val="single"/>
          <w:lang w:eastAsia="zh-CN"/>
        </w:rPr>
        <w:t>建德市水文水资源监测站</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浙江建安工程管理有限公司</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项目【招标编号：</w:t>
      </w:r>
      <w:r>
        <w:rPr>
          <w:rFonts w:hint="eastAsia" w:ascii="仿宋" w:hAnsi="仿宋" w:eastAsia="仿宋" w:cs="仿宋"/>
          <w:sz w:val="24"/>
          <w:highlight w:val="none"/>
          <w:lang w:eastAsia="zh-CN"/>
        </w:rPr>
        <w:t>JD2022BF-007</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sz w:val="32"/>
          <w:szCs w:val="32"/>
          <w:highlight w:val="none"/>
        </w:rPr>
        <w:t>中小企业声明函</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中小企业声明函（工程、服务）</w:t>
      </w:r>
    </w:p>
    <w:p>
      <w:pPr>
        <w:spacing w:line="360" w:lineRule="auto"/>
        <w:rPr>
          <w:rFonts w:hint="eastAsia" w:ascii="仿宋" w:hAnsi="仿宋" w:eastAsia="仿宋" w:cs="仿宋"/>
          <w:highlight w:val="none"/>
        </w:rPr>
      </w:pPr>
    </w:p>
    <w:p>
      <w:pPr>
        <w:spacing w:line="360" w:lineRule="auto"/>
        <w:ind w:firstLine="360" w:firstLineChars="150"/>
        <w:jc w:val="left"/>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sz w:val="24"/>
          <w:highlight w:val="none"/>
          <w:lang w:eastAsia="zh-CN"/>
        </w:rPr>
        <w:t>建德市水文测报能力提升项目</w:t>
      </w:r>
      <w:r>
        <w:rPr>
          <w:rFonts w:hint="eastAsia" w:ascii="仿宋" w:hAnsi="仿宋" w:eastAsia="仿宋" w:cs="仿宋"/>
          <w:sz w:val="24"/>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hint="eastAsia" w:ascii="仿宋" w:hAnsi="仿宋" w:eastAsia="仿宋" w:cs="仿宋"/>
          <w:highlight w:val="none"/>
          <w:lang w:val="en-US"/>
        </w:rPr>
      </w:pPr>
    </w:p>
    <w:p>
      <w:pPr>
        <w:rPr>
          <w:rFonts w:hint="eastAsia" w:ascii="仿宋" w:hAnsi="仿宋" w:eastAsia="仿宋" w:cs="仿宋"/>
          <w:highlight w:val="none"/>
          <w:lang w:val="en-US"/>
        </w:rPr>
      </w:pPr>
    </w:p>
    <w:p>
      <w:pPr>
        <w:pStyle w:val="6"/>
        <w:rPr>
          <w:rFonts w:hint="eastAsia" w:ascii="仿宋" w:hAnsi="仿宋" w:eastAsia="仿宋" w:cs="仿宋"/>
          <w:highlight w:val="none"/>
          <w:lang w:val="en-US"/>
        </w:rPr>
      </w:pPr>
    </w:p>
    <w:p>
      <w:pPr>
        <w:rPr>
          <w:rFonts w:hint="eastAsia" w:ascii="仿宋" w:hAnsi="仿宋" w:eastAsia="仿宋" w:cs="仿宋"/>
          <w:highlight w:val="none"/>
          <w:lang w:val="en-US"/>
        </w:rPr>
      </w:pPr>
    </w:p>
    <w:p>
      <w:pPr>
        <w:pStyle w:val="6"/>
        <w:jc w:val="center"/>
        <w:rPr>
          <w:rFonts w:hint="eastAsia" w:ascii="仿宋" w:hAnsi="仿宋" w:eastAsia="仿宋" w:cs="仿宋"/>
          <w:lang w:val="en-US" w:eastAsia="zh-CN"/>
        </w:rPr>
      </w:pPr>
      <w:r>
        <w:rPr>
          <w:rFonts w:hint="eastAsia" w:ascii="仿宋" w:hAnsi="仿宋" w:eastAsia="仿宋" w:cs="仿宋"/>
          <w:b/>
          <w:bCs w:val="0"/>
          <w:spacing w:val="6"/>
          <w:kern w:val="2"/>
          <w:sz w:val="32"/>
          <w:szCs w:val="32"/>
          <w:highlight w:val="none"/>
          <w:lang w:val="en-US" w:eastAsia="zh-CN" w:bidi="ar-SA"/>
        </w:rPr>
        <w:t>附件6：</w:t>
      </w:r>
      <w:r>
        <w:rPr>
          <w:rFonts w:hint="eastAsia" w:ascii="仿宋" w:hAnsi="仿宋" w:eastAsia="仿宋" w:cs="仿宋"/>
          <w:b/>
          <w:bCs/>
          <w:sz w:val="40"/>
          <w:szCs w:val="48"/>
        </w:rPr>
        <w:t>现场踏勘确认书</w:t>
      </w:r>
    </w:p>
    <w:p>
      <w:pPr>
        <w:spacing w:line="360" w:lineRule="auto"/>
        <w:ind w:right="420"/>
        <w:rPr>
          <w:rFonts w:hint="eastAsia" w:ascii="仿宋" w:hAnsi="仿宋" w:eastAsia="仿宋" w:cs="仿宋"/>
          <w:highlight w:val="none"/>
        </w:rPr>
      </w:pPr>
    </w:p>
    <w:p>
      <w:pPr>
        <w:jc w:val="center"/>
        <w:rPr>
          <w:rFonts w:hint="eastAsia" w:ascii="仿宋" w:hAnsi="仿宋" w:eastAsia="仿宋" w:cs="仿宋"/>
          <w:sz w:val="32"/>
          <w:szCs w:val="40"/>
        </w:rPr>
      </w:pPr>
    </w:p>
    <w:p>
      <w:pPr>
        <w:spacing w:line="360" w:lineRule="auto"/>
        <w:rPr>
          <w:rFonts w:hint="eastAsia" w:ascii="仿宋" w:hAnsi="仿宋" w:eastAsia="仿宋" w:cs="仿宋"/>
          <w:sz w:val="28"/>
          <w:szCs w:val="36"/>
        </w:rPr>
      </w:pPr>
      <w:r>
        <w:rPr>
          <w:rFonts w:hint="eastAsia" w:ascii="仿宋" w:hAnsi="仿宋" w:eastAsia="仿宋" w:cs="仿宋"/>
          <w:sz w:val="28"/>
          <w:szCs w:val="36"/>
        </w:rPr>
        <w:t>建德市水文水资源监测站：</w:t>
      </w:r>
    </w:p>
    <w:p>
      <w:pPr>
        <w:spacing w:line="360" w:lineRule="auto"/>
        <w:rPr>
          <w:rFonts w:hint="eastAsia" w:ascii="仿宋" w:hAnsi="仿宋" w:eastAsia="仿宋" w:cs="仿宋"/>
          <w:sz w:val="28"/>
          <w:szCs w:val="36"/>
        </w:rPr>
      </w:pPr>
      <w:r>
        <w:rPr>
          <w:rFonts w:hint="eastAsia" w:ascii="仿宋" w:hAnsi="仿宋" w:eastAsia="仿宋" w:cs="仿宋"/>
          <w:sz w:val="28"/>
          <w:szCs w:val="36"/>
        </w:rPr>
        <w:t xml:space="preserve">   根据招标文件要求，我方已对</w:t>
      </w:r>
      <w:r>
        <w:rPr>
          <w:rFonts w:hint="eastAsia" w:ascii="仿宋" w:hAnsi="仿宋" w:eastAsia="仿宋" w:cs="仿宋"/>
          <w:sz w:val="28"/>
          <w:szCs w:val="36"/>
          <w:u w:val="single"/>
          <w:lang w:eastAsia="zh-CN"/>
        </w:rPr>
        <w:t>建德市水文测报能力提升项目</w:t>
      </w:r>
      <w:r>
        <w:rPr>
          <w:rFonts w:hint="eastAsia" w:ascii="仿宋" w:hAnsi="仿宋" w:eastAsia="仿宋" w:cs="仿宋"/>
          <w:sz w:val="28"/>
          <w:szCs w:val="36"/>
        </w:rPr>
        <w:t>项目现场进行实地踏勘，并获得投标所需要相关数据和资料：</w:t>
      </w:r>
    </w:p>
    <w:p>
      <w:pPr>
        <w:spacing w:line="360" w:lineRule="auto"/>
        <w:rPr>
          <w:rFonts w:hint="eastAsia" w:ascii="仿宋" w:hAnsi="仿宋" w:eastAsia="仿宋" w:cs="仿宋"/>
          <w:sz w:val="28"/>
          <w:szCs w:val="36"/>
        </w:rPr>
      </w:pPr>
      <w:r>
        <w:rPr>
          <w:rFonts w:hint="eastAsia" w:ascii="仿宋" w:hAnsi="仿宋" w:eastAsia="仿宋" w:cs="仿宋"/>
          <w:sz w:val="28"/>
          <w:szCs w:val="36"/>
        </w:rPr>
        <w:t>经现场踏勘，我方对该项目场地现状已充分了解。</w:t>
      </w:r>
    </w:p>
    <w:p>
      <w:pPr>
        <w:spacing w:line="360" w:lineRule="auto"/>
        <w:rPr>
          <w:rFonts w:hint="eastAsia" w:ascii="仿宋" w:hAnsi="仿宋" w:eastAsia="仿宋" w:cs="仿宋"/>
          <w:sz w:val="28"/>
          <w:szCs w:val="36"/>
        </w:rPr>
      </w:pPr>
      <w:r>
        <w:rPr>
          <w:rFonts w:hint="eastAsia" w:ascii="仿宋" w:hAnsi="仿宋" w:eastAsia="仿宋" w:cs="仿宋"/>
          <w:sz w:val="28"/>
          <w:szCs w:val="36"/>
        </w:rPr>
        <w:t>若我方中标，不会对场地现状提出异议，不以场地存在瑕疵为由拒绝签署项目合同书或履行所约定的各项义务。</w:t>
      </w:r>
    </w:p>
    <w:p>
      <w:pPr>
        <w:rPr>
          <w:rFonts w:hint="eastAsia" w:ascii="仿宋" w:hAnsi="仿宋" w:eastAsia="仿宋" w:cs="仿宋"/>
          <w:sz w:val="28"/>
          <w:szCs w:val="36"/>
        </w:rPr>
      </w:pPr>
    </w:p>
    <w:p>
      <w:pPr>
        <w:jc w:val="right"/>
        <w:rPr>
          <w:rFonts w:hint="eastAsia" w:ascii="仿宋" w:hAnsi="仿宋" w:eastAsia="仿宋" w:cs="仿宋"/>
          <w:sz w:val="28"/>
          <w:szCs w:val="36"/>
          <w:u w:val="single"/>
        </w:rPr>
      </w:pPr>
      <w:r>
        <w:rPr>
          <w:rFonts w:hint="eastAsia" w:ascii="仿宋" w:hAnsi="仿宋" w:eastAsia="仿宋" w:cs="仿宋"/>
          <w:sz w:val="28"/>
          <w:szCs w:val="36"/>
        </w:rPr>
        <w:t>采购单位：</w:t>
      </w:r>
      <w:r>
        <w:rPr>
          <w:rFonts w:hint="eastAsia" w:ascii="仿宋" w:hAnsi="仿宋" w:eastAsia="仿宋" w:cs="仿宋"/>
          <w:sz w:val="28"/>
          <w:szCs w:val="36"/>
          <w:u w:val="single"/>
        </w:rPr>
        <w:t xml:space="preserve">                     （签字或盖章）</w:t>
      </w:r>
    </w:p>
    <w:p>
      <w:pPr>
        <w:jc w:val="center"/>
        <w:rPr>
          <w:rFonts w:hint="eastAsia" w:ascii="仿宋" w:hAnsi="仿宋" w:eastAsia="仿宋" w:cs="仿宋"/>
          <w:sz w:val="28"/>
          <w:szCs w:val="36"/>
        </w:rPr>
      </w:pPr>
      <w:r>
        <w:rPr>
          <w:rFonts w:hint="eastAsia" w:ascii="仿宋" w:hAnsi="仿宋" w:eastAsia="仿宋" w:cs="仿宋"/>
          <w:sz w:val="28"/>
          <w:szCs w:val="36"/>
        </w:rPr>
        <w:t xml:space="preserve">                            </w:t>
      </w:r>
    </w:p>
    <w:p>
      <w:pPr>
        <w:jc w:val="right"/>
        <w:rPr>
          <w:rFonts w:hint="eastAsia" w:ascii="仿宋" w:hAnsi="仿宋" w:eastAsia="仿宋" w:cs="仿宋"/>
          <w:sz w:val="28"/>
          <w:szCs w:val="36"/>
        </w:rPr>
      </w:pPr>
      <w:r>
        <w:rPr>
          <w:rFonts w:hint="eastAsia" w:ascii="仿宋" w:hAnsi="仿宋" w:eastAsia="仿宋" w:cs="仿宋"/>
          <w:sz w:val="28"/>
          <w:szCs w:val="36"/>
        </w:rPr>
        <w:t>投标单位名称：</w:t>
      </w:r>
      <w:r>
        <w:rPr>
          <w:rFonts w:hint="eastAsia" w:ascii="仿宋" w:hAnsi="仿宋" w:eastAsia="仿宋" w:cs="仿宋"/>
          <w:sz w:val="28"/>
          <w:szCs w:val="36"/>
          <w:u w:val="single"/>
        </w:rPr>
        <w:t xml:space="preserve">                       （盖章）</w:t>
      </w:r>
    </w:p>
    <w:p>
      <w:pPr>
        <w:jc w:val="right"/>
        <w:rPr>
          <w:rFonts w:hint="eastAsia" w:ascii="仿宋" w:hAnsi="仿宋" w:eastAsia="仿宋" w:cs="仿宋"/>
          <w:sz w:val="28"/>
          <w:szCs w:val="36"/>
        </w:rPr>
      </w:pPr>
    </w:p>
    <w:p>
      <w:pPr>
        <w:spacing w:line="360" w:lineRule="auto"/>
        <w:jc w:val="right"/>
        <w:rPr>
          <w:rFonts w:hint="eastAsia" w:ascii="仿宋" w:hAnsi="仿宋" w:eastAsia="仿宋" w:cs="仿宋"/>
          <w:sz w:val="28"/>
          <w:szCs w:val="36"/>
          <w:u w:val="single"/>
        </w:rPr>
      </w:pPr>
      <w:r>
        <w:rPr>
          <w:rFonts w:hint="eastAsia" w:ascii="仿宋" w:hAnsi="仿宋" w:eastAsia="仿宋" w:cs="仿宋"/>
          <w:sz w:val="28"/>
          <w:szCs w:val="36"/>
        </w:rPr>
        <w:t>投标单位授权代表：</w:t>
      </w:r>
      <w:r>
        <w:rPr>
          <w:rFonts w:hint="eastAsia" w:ascii="仿宋" w:hAnsi="仿宋" w:eastAsia="仿宋" w:cs="仿宋"/>
          <w:sz w:val="28"/>
          <w:szCs w:val="36"/>
          <w:u w:val="single"/>
        </w:rPr>
        <w:t xml:space="preserve">          （签字）</w:t>
      </w:r>
    </w:p>
    <w:p>
      <w:pPr>
        <w:spacing w:line="360" w:lineRule="auto"/>
        <w:jc w:val="right"/>
        <w:rPr>
          <w:rFonts w:hint="eastAsia" w:ascii="仿宋" w:hAnsi="仿宋" w:eastAsia="仿宋" w:cs="仿宋"/>
          <w:sz w:val="28"/>
          <w:szCs w:val="36"/>
        </w:rPr>
      </w:pPr>
      <w:r>
        <w:rPr>
          <w:rFonts w:hint="eastAsia" w:ascii="仿宋" w:hAnsi="仿宋" w:eastAsia="仿宋" w:cs="仿宋"/>
          <w:sz w:val="28"/>
          <w:szCs w:val="36"/>
        </w:rPr>
        <w:t>踏勘日期：202</w:t>
      </w:r>
      <w:r>
        <w:rPr>
          <w:rFonts w:hint="eastAsia" w:ascii="仿宋" w:hAnsi="仿宋" w:eastAsia="仿宋" w:cs="仿宋"/>
          <w:sz w:val="28"/>
          <w:szCs w:val="36"/>
          <w:lang w:val="en-US" w:eastAsia="zh-CN"/>
        </w:rPr>
        <w:t>2</w:t>
      </w:r>
      <w:r>
        <w:rPr>
          <w:rFonts w:hint="eastAsia" w:ascii="仿宋" w:hAnsi="仿宋" w:eastAsia="仿宋" w:cs="仿宋"/>
          <w:sz w:val="28"/>
          <w:szCs w:val="36"/>
        </w:rPr>
        <w:t>年  月  日</w:t>
      </w:r>
    </w:p>
    <w:p>
      <w:pPr>
        <w:spacing w:line="360" w:lineRule="auto"/>
        <w:rPr>
          <w:rFonts w:hint="eastAsia" w:ascii="仿宋" w:hAnsi="仿宋" w:eastAsia="仿宋" w:cs="仿宋"/>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54" w:name="_Toc36110187"/>
    <w:bookmarkStart w:id="555" w:name="_Toc131845147"/>
    <w:bookmarkStart w:id="556" w:name="_Toc164085800"/>
    <w:bookmarkStart w:id="557" w:name="_Toc91899912"/>
    <w:r>
      <w:rPr>
        <w:rFonts w:hint="eastAsia" w:ascii="仿宋_GB2312" w:eastAsia="仿宋_GB2312"/>
        <w:kern w:val="0"/>
        <w:szCs w:val="21"/>
      </w:rPr>
      <w:t xml:space="preserve"> 页</w:t>
    </w:r>
    <w:bookmarkEnd w:id="554"/>
    <w:bookmarkEnd w:id="555"/>
    <w:bookmarkEnd w:id="556"/>
    <w:bookmarkEnd w:id="5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3F2A53"/>
    <w:rsid w:val="026B2E25"/>
    <w:rsid w:val="02824D4D"/>
    <w:rsid w:val="02DC4B10"/>
    <w:rsid w:val="02DD76CE"/>
    <w:rsid w:val="02F36323"/>
    <w:rsid w:val="02F5619C"/>
    <w:rsid w:val="0326446A"/>
    <w:rsid w:val="032D5555"/>
    <w:rsid w:val="03604B36"/>
    <w:rsid w:val="036634D2"/>
    <w:rsid w:val="03DD35E4"/>
    <w:rsid w:val="04076900"/>
    <w:rsid w:val="041A5A3B"/>
    <w:rsid w:val="042311BA"/>
    <w:rsid w:val="04277401"/>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5F245C"/>
    <w:rsid w:val="0779354C"/>
    <w:rsid w:val="07885862"/>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6539C"/>
    <w:rsid w:val="0A3E7710"/>
    <w:rsid w:val="0A5B7E63"/>
    <w:rsid w:val="0A7F7F97"/>
    <w:rsid w:val="0AA374A5"/>
    <w:rsid w:val="0AAB7649"/>
    <w:rsid w:val="0ABC5606"/>
    <w:rsid w:val="0B30404E"/>
    <w:rsid w:val="0B4C6C14"/>
    <w:rsid w:val="0B631A88"/>
    <w:rsid w:val="0B683D45"/>
    <w:rsid w:val="0B7F3F11"/>
    <w:rsid w:val="0B884417"/>
    <w:rsid w:val="0BE80ADC"/>
    <w:rsid w:val="0BF6188C"/>
    <w:rsid w:val="0BF73C91"/>
    <w:rsid w:val="0C0701CD"/>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8F43C2"/>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9768A"/>
    <w:rsid w:val="107D4B15"/>
    <w:rsid w:val="108A3C80"/>
    <w:rsid w:val="10C26171"/>
    <w:rsid w:val="10F33360"/>
    <w:rsid w:val="10FC16EA"/>
    <w:rsid w:val="110E10F1"/>
    <w:rsid w:val="110F1D40"/>
    <w:rsid w:val="11266F33"/>
    <w:rsid w:val="118253BD"/>
    <w:rsid w:val="118963A1"/>
    <w:rsid w:val="11A96BF0"/>
    <w:rsid w:val="11C6522A"/>
    <w:rsid w:val="11E104CC"/>
    <w:rsid w:val="11E20309"/>
    <w:rsid w:val="12255233"/>
    <w:rsid w:val="12530213"/>
    <w:rsid w:val="127723A9"/>
    <w:rsid w:val="12862074"/>
    <w:rsid w:val="12883966"/>
    <w:rsid w:val="129E45B4"/>
    <w:rsid w:val="12D81596"/>
    <w:rsid w:val="13072A44"/>
    <w:rsid w:val="135F4BE2"/>
    <w:rsid w:val="137D0DEC"/>
    <w:rsid w:val="139B1A0A"/>
    <w:rsid w:val="139D25C7"/>
    <w:rsid w:val="13BF3CE4"/>
    <w:rsid w:val="141008D8"/>
    <w:rsid w:val="14125FE6"/>
    <w:rsid w:val="146D271E"/>
    <w:rsid w:val="14982588"/>
    <w:rsid w:val="149A5AD9"/>
    <w:rsid w:val="14A7619D"/>
    <w:rsid w:val="150536C3"/>
    <w:rsid w:val="150C1963"/>
    <w:rsid w:val="151447A0"/>
    <w:rsid w:val="154A6454"/>
    <w:rsid w:val="156669A8"/>
    <w:rsid w:val="15762120"/>
    <w:rsid w:val="15EC04AB"/>
    <w:rsid w:val="16A8729C"/>
    <w:rsid w:val="16B33777"/>
    <w:rsid w:val="16BC70A7"/>
    <w:rsid w:val="16C6339E"/>
    <w:rsid w:val="17042E02"/>
    <w:rsid w:val="170A15C8"/>
    <w:rsid w:val="172F2D79"/>
    <w:rsid w:val="17557BEF"/>
    <w:rsid w:val="17D349C1"/>
    <w:rsid w:val="1830729E"/>
    <w:rsid w:val="1870062C"/>
    <w:rsid w:val="18817102"/>
    <w:rsid w:val="18830A15"/>
    <w:rsid w:val="18852B28"/>
    <w:rsid w:val="188B5321"/>
    <w:rsid w:val="18FC2175"/>
    <w:rsid w:val="193B777F"/>
    <w:rsid w:val="1980756A"/>
    <w:rsid w:val="19932372"/>
    <w:rsid w:val="19A20DD5"/>
    <w:rsid w:val="19AE03F1"/>
    <w:rsid w:val="1A071A03"/>
    <w:rsid w:val="1A1E4D29"/>
    <w:rsid w:val="1A1F16AE"/>
    <w:rsid w:val="1A3B5C77"/>
    <w:rsid w:val="1A984BAD"/>
    <w:rsid w:val="1AB8220E"/>
    <w:rsid w:val="1AE4166C"/>
    <w:rsid w:val="1AF06CFB"/>
    <w:rsid w:val="1AF11B8D"/>
    <w:rsid w:val="1B11359C"/>
    <w:rsid w:val="1B2163C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2212B"/>
    <w:rsid w:val="1EA703CC"/>
    <w:rsid w:val="1EB7330C"/>
    <w:rsid w:val="1F0A0FF3"/>
    <w:rsid w:val="1F5771FF"/>
    <w:rsid w:val="1FE868A9"/>
    <w:rsid w:val="20034907"/>
    <w:rsid w:val="20173E4B"/>
    <w:rsid w:val="204E48BC"/>
    <w:rsid w:val="208921B3"/>
    <w:rsid w:val="20973DEB"/>
    <w:rsid w:val="20A86FEA"/>
    <w:rsid w:val="20B26522"/>
    <w:rsid w:val="20B44310"/>
    <w:rsid w:val="211116EB"/>
    <w:rsid w:val="214C3C4D"/>
    <w:rsid w:val="216133FC"/>
    <w:rsid w:val="21D56769"/>
    <w:rsid w:val="21E52EF3"/>
    <w:rsid w:val="21FB5D7B"/>
    <w:rsid w:val="220129F6"/>
    <w:rsid w:val="220B1C3D"/>
    <w:rsid w:val="221D1D20"/>
    <w:rsid w:val="222039B6"/>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9E759F"/>
    <w:rsid w:val="26A53EF9"/>
    <w:rsid w:val="26A94201"/>
    <w:rsid w:val="26AC274F"/>
    <w:rsid w:val="27044A29"/>
    <w:rsid w:val="271D34C8"/>
    <w:rsid w:val="276142BF"/>
    <w:rsid w:val="27783712"/>
    <w:rsid w:val="27907362"/>
    <w:rsid w:val="27B150B0"/>
    <w:rsid w:val="28333E1D"/>
    <w:rsid w:val="28454BD6"/>
    <w:rsid w:val="28455253"/>
    <w:rsid w:val="28551971"/>
    <w:rsid w:val="285B1C53"/>
    <w:rsid w:val="289F7086"/>
    <w:rsid w:val="28C32028"/>
    <w:rsid w:val="28CC490F"/>
    <w:rsid w:val="28DE40AA"/>
    <w:rsid w:val="2909455A"/>
    <w:rsid w:val="29345E77"/>
    <w:rsid w:val="294C65AD"/>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0F02F4"/>
    <w:rsid w:val="2C191F85"/>
    <w:rsid w:val="2C58133E"/>
    <w:rsid w:val="2C6C7DEF"/>
    <w:rsid w:val="2CE82D6F"/>
    <w:rsid w:val="2D343236"/>
    <w:rsid w:val="2DD15014"/>
    <w:rsid w:val="2DF72DE4"/>
    <w:rsid w:val="2E0220AF"/>
    <w:rsid w:val="2E150147"/>
    <w:rsid w:val="2E4B082A"/>
    <w:rsid w:val="2E5D4E86"/>
    <w:rsid w:val="2E5D790B"/>
    <w:rsid w:val="2E823422"/>
    <w:rsid w:val="2E9A3C18"/>
    <w:rsid w:val="2EBB0FEE"/>
    <w:rsid w:val="2EC63002"/>
    <w:rsid w:val="2F0A6B38"/>
    <w:rsid w:val="2F946CCB"/>
    <w:rsid w:val="2FD25781"/>
    <w:rsid w:val="2FFD7934"/>
    <w:rsid w:val="30733ACD"/>
    <w:rsid w:val="308C3862"/>
    <w:rsid w:val="309379D8"/>
    <w:rsid w:val="30A270F7"/>
    <w:rsid w:val="30DF1478"/>
    <w:rsid w:val="30EC586F"/>
    <w:rsid w:val="3105779E"/>
    <w:rsid w:val="31112756"/>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530223"/>
    <w:rsid w:val="358D5588"/>
    <w:rsid w:val="35AA52D2"/>
    <w:rsid w:val="36140CC0"/>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6817BB"/>
    <w:rsid w:val="38BC0149"/>
    <w:rsid w:val="38D87D1C"/>
    <w:rsid w:val="39636459"/>
    <w:rsid w:val="39647F89"/>
    <w:rsid w:val="396B7F6C"/>
    <w:rsid w:val="39B417A9"/>
    <w:rsid w:val="39FC5695"/>
    <w:rsid w:val="3A006D8E"/>
    <w:rsid w:val="3A3651E5"/>
    <w:rsid w:val="3A744481"/>
    <w:rsid w:val="3A8C7BEF"/>
    <w:rsid w:val="3A906246"/>
    <w:rsid w:val="3B2349B7"/>
    <w:rsid w:val="3B410F13"/>
    <w:rsid w:val="3B616CFF"/>
    <w:rsid w:val="3B6259F6"/>
    <w:rsid w:val="3B976654"/>
    <w:rsid w:val="3BB96BCA"/>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6532F2"/>
    <w:rsid w:val="3F756B8F"/>
    <w:rsid w:val="3F95482B"/>
    <w:rsid w:val="4019356B"/>
    <w:rsid w:val="401F27C9"/>
    <w:rsid w:val="40592157"/>
    <w:rsid w:val="406E1CAE"/>
    <w:rsid w:val="407B27E6"/>
    <w:rsid w:val="40A0133A"/>
    <w:rsid w:val="40C31A53"/>
    <w:rsid w:val="40FF545D"/>
    <w:rsid w:val="410067C8"/>
    <w:rsid w:val="418F0D2A"/>
    <w:rsid w:val="41AF32FF"/>
    <w:rsid w:val="41D01505"/>
    <w:rsid w:val="42474939"/>
    <w:rsid w:val="424C3C57"/>
    <w:rsid w:val="426043A2"/>
    <w:rsid w:val="42613FF3"/>
    <w:rsid w:val="42660D96"/>
    <w:rsid w:val="428667D2"/>
    <w:rsid w:val="42C024C7"/>
    <w:rsid w:val="42CD1CE0"/>
    <w:rsid w:val="42E1381E"/>
    <w:rsid w:val="42ED6459"/>
    <w:rsid w:val="42FE58DD"/>
    <w:rsid w:val="43174B3D"/>
    <w:rsid w:val="434B790E"/>
    <w:rsid w:val="4360274F"/>
    <w:rsid w:val="43977AB6"/>
    <w:rsid w:val="43A3342B"/>
    <w:rsid w:val="43C77C27"/>
    <w:rsid w:val="43DE09EE"/>
    <w:rsid w:val="44002FAD"/>
    <w:rsid w:val="449101DD"/>
    <w:rsid w:val="44A96E38"/>
    <w:rsid w:val="44DE1391"/>
    <w:rsid w:val="45092CD6"/>
    <w:rsid w:val="451B225C"/>
    <w:rsid w:val="452410C9"/>
    <w:rsid w:val="45317DFB"/>
    <w:rsid w:val="456D3CE4"/>
    <w:rsid w:val="4579042C"/>
    <w:rsid w:val="457F0571"/>
    <w:rsid w:val="45851176"/>
    <w:rsid w:val="45BF61BF"/>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481ACB"/>
    <w:rsid w:val="495F5B3E"/>
    <w:rsid w:val="496F77D7"/>
    <w:rsid w:val="497654FD"/>
    <w:rsid w:val="49B64211"/>
    <w:rsid w:val="49F6167F"/>
    <w:rsid w:val="4A064FA0"/>
    <w:rsid w:val="4A16615C"/>
    <w:rsid w:val="4A4424D7"/>
    <w:rsid w:val="4A697CFB"/>
    <w:rsid w:val="4AB82D0F"/>
    <w:rsid w:val="4AEB7664"/>
    <w:rsid w:val="4AFD7C19"/>
    <w:rsid w:val="4B0567D1"/>
    <w:rsid w:val="4B236AAE"/>
    <w:rsid w:val="4B707271"/>
    <w:rsid w:val="4B9739F7"/>
    <w:rsid w:val="4BEE2503"/>
    <w:rsid w:val="4C1A1980"/>
    <w:rsid w:val="4C245A30"/>
    <w:rsid w:val="4CB6685F"/>
    <w:rsid w:val="4CC367FE"/>
    <w:rsid w:val="4D077F3C"/>
    <w:rsid w:val="4D123355"/>
    <w:rsid w:val="4D2A3B31"/>
    <w:rsid w:val="4D312C52"/>
    <w:rsid w:val="4D6A0258"/>
    <w:rsid w:val="4D905305"/>
    <w:rsid w:val="4D964A72"/>
    <w:rsid w:val="4D9C1254"/>
    <w:rsid w:val="4E793892"/>
    <w:rsid w:val="4E800872"/>
    <w:rsid w:val="4EC569ED"/>
    <w:rsid w:val="4ED50EA1"/>
    <w:rsid w:val="4EEC050C"/>
    <w:rsid w:val="4F104EC3"/>
    <w:rsid w:val="4F47354A"/>
    <w:rsid w:val="4F7E1357"/>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1D874A6"/>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8B182B"/>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4B3471"/>
    <w:rsid w:val="58917D2F"/>
    <w:rsid w:val="5894085C"/>
    <w:rsid w:val="58AE4F0C"/>
    <w:rsid w:val="58B85899"/>
    <w:rsid w:val="58E363A9"/>
    <w:rsid w:val="595E1678"/>
    <w:rsid w:val="596D5BD4"/>
    <w:rsid w:val="597E3DD8"/>
    <w:rsid w:val="59F43F22"/>
    <w:rsid w:val="59F80043"/>
    <w:rsid w:val="5A09252F"/>
    <w:rsid w:val="5A0B2778"/>
    <w:rsid w:val="5A2A7C7B"/>
    <w:rsid w:val="5A3E2560"/>
    <w:rsid w:val="5A5D3B6E"/>
    <w:rsid w:val="5A5D684E"/>
    <w:rsid w:val="5A637A76"/>
    <w:rsid w:val="5A6D33BA"/>
    <w:rsid w:val="5A792B1F"/>
    <w:rsid w:val="5A874767"/>
    <w:rsid w:val="5AAD6F28"/>
    <w:rsid w:val="5AD63A24"/>
    <w:rsid w:val="5B2E1A1D"/>
    <w:rsid w:val="5B843A1C"/>
    <w:rsid w:val="5B873E3F"/>
    <w:rsid w:val="5C02690E"/>
    <w:rsid w:val="5C196DA7"/>
    <w:rsid w:val="5C2A048C"/>
    <w:rsid w:val="5C80234E"/>
    <w:rsid w:val="5C8A680C"/>
    <w:rsid w:val="5C9800BC"/>
    <w:rsid w:val="5D0C4701"/>
    <w:rsid w:val="5D0F0395"/>
    <w:rsid w:val="5D221076"/>
    <w:rsid w:val="5D397964"/>
    <w:rsid w:val="5D4A1228"/>
    <w:rsid w:val="5D5A391C"/>
    <w:rsid w:val="5D5F10C0"/>
    <w:rsid w:val="5D736A1E"/>
    <w:rsid w:val="5D891B7B"/>
    <w:rsid w:val="5DAD38EE"/>
    <w:rsid w:val="5E006862"/>
    <w:rsid w:val="5E0207B9"/>
    <w:rsid w:val="5E041912"/>
    <w:rsid w:val="5E1834A1"/>
    <w:rsid w:val="5E261785"/>
    <w:rsid w:val="5E4A7017"/>
    <w:rsid w:val="5E50172C"/>
    <w:rsid w:val="5E552BBA"/>
    <w:rsid w:val="5E611C10"/>
    <w:rsid w:val="5E69089E"/>
    <w:rsid w:val="5E6A4482"/>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013264"/>
    <w:rsid w:val="624F3E49"/>
    <w:rsid w:val="62632286"/>
    <w:rsid w:val="62727F9C"/>
    <w:rsid w:val="6280045C"/>
    <w:rsid w:val="62885958"/>
    <w:rsid w:val="62F40B65"/>
    <w:rsid w:val="62FC2CFE"/>
    <w:rsid w:val="63024505"/>
    <w:rsid w:val="635B1DB5"/>
    <w:rsid w:val="63711FED"/>
    <w:rsid w:val="63880DDC"/>
    <w:rsid w:val="638D750D"/>
    <w:rsid w:val="63AC6CC0"/>
    <w:rsid w:val="63D135A5"/>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6E328B4"/>
    <w:rsid w:val="66F84F97"/>
    <w:rsid w:val="67135CE8"/>
    <w:rsid w:val="672F3F24"/>
    <w:rsid w:val="673E055F"/>
    <w:rsid w:val="67551CE3"/>
    <w:rsid w:val="67A22552"/>
    <w:rsid w:val="67B22DCC"/>
    <w:rsid w:val="67BE71AA"/>
    <w:rsid w:val="67D90273"/>
    <w:rsid w:val="67DE5875"/>
    <w:rsid w:val="67E55852"/>
    <w:rsid w:val="67EB1AB4"/>
    <w:rsid w:val="67FA1285"/>
    <w:rsid w:val="68273FF7"/>
    <w:rsid w:val="68551F4F"/>
    <w:rsid w:val="68737AFB"/>
    <w:rsid w:val="687C10C9"/>
    <w:rsid w:val="68840C16"/>
    <w:rsid w:val="68876EFB"/>
    <w:rsid w:val="68884654"/>
    <w:rsid w:val="689F444F"/>
    <w:rsid w:val="68B96DBB"/>
    <w:rsid w:val="68CA2805"/>
    <w:rsid w:val="68E937A3"/>
    <w:rsid w:val="693E15D3"/>
    <w:rsid w:val="69627681"/>
    <w:rsid w:val="6977531D"/>
    <w:rsid w:val="69CC2BFF"/>
    <w:rsid w:val="69FD55B8"/>
    <w:rsid w:val="6A025FC0"/>
    <w:rsid w:val="6A0B1C62"/>
    <w:rsid w:val="6A2406C8"/>
    <w:rsid w:val="6A343766"/>
    <w:rsid w:val="6ADE0BD1"/>
    <w:rsid w:val="6ADF4614"/>
    <w:rsid w:val="6AE96859"/>
    <w:rsid w:val="6B147746"/>
    <w:rsid w:val="6B24787C"/>
    <w:rsid w:val="6B460C38"/>
    <w:rsid w:val="6B573233"/>
    <w:rsid w:val="6B583B8B"/>
    <w:rsid w:val="6B5B6274"/>
    <w:rsid w:val="6B935D53"/>
    <w:rsid w:val="6C196F71"/>
    <w:rsid w:val="6C226FCB"/>
    <w:rsid w:val="6C31226F"/>
    <w:rsid w:val="6C552F0B"/>
    <w:rsid w:val="6C8C67B7"/>
    <w:rsid w:val="6C9D744C"/>
    <w:rsid w:val="6CA04DB4"/>
    <w:rsid w:val="6D167928"/>
    <w:rsid w:val="6D26299B"/>
    <w:rsid w:val="6D3D22B1"/>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6FF60E7F"/>
    <w:rsid w:val="707723D0"/>
    <w:rsid w:val="70F5661B"/>
    <w:rsid w:val="71360107"/>
    <w:rsid w:val="713B688E"/>
    <w:rsid w:val="7177062A"/>
    <w:rsid w:val="71D43752"/>
    <w:rsid w:val="71F1796A"/>
    <w:rsid w:val="72154626"/>
    <w:rsid w:val="72262B5D"/>
    <w:rsid w:val="72283FF7"/>
    <w:rsid w:val="722E7212"/>
    <w:rsid w:val="723A0474"/>
    <w:rsid w:val="725923E4"/>
    <w:rsid w:val="72864BF7"/>
    <w:rsid w:val="729023FC"/>
    <w:rsid w:val="738B5D82"/>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B33FD"/>
    <w:rsid w:val="777F31F2"/>
    <w:rsid w:val="77D1700D"/>
    <w:rsid w:val="77EC04CC"/>
    <w:rsid w:val="78775729"/>
    <w:rsid w:val="78A42DB0"/>
    <w:rsid w:val="78A656AB"/>
    <w:rsid w:val="78B2245C"/>
    <w:rsid w:val="78E172CC"/>
    <w:rsid w:val="78EA1D1F"/>
    <w:rsid w:val="7904172F"/>
    <w:rsid w:val="790F7E27"/>
    <w:rsid w:val="792A231A"/>
    <w:rsid w:val="79316829"/>
    <w:rsid w:val="797E66A9"/>
    <w:rsid w:val="79986B03"/>
    <w:rsid w:val="79A97383"/>
    <w:rsid w:val="79D52F41"/>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0109D"/>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4"/>
    <w:link w:val="318"/>
    <w:qFormat/>
    <w:uiPriority w:val="0"/>
    <w:pPr>
      <w:ind w:firstLine="420"/>
    </w:pPr>
    <w:rPr>
      <w:rFonts w:hAnsi="Calibri" w:cs="Times New Roman"/>
      <w:snapToGrid/>
      <w:szCs w:val="20"/>
    </w:rPr>
  </w:style>
  <w:style w:type="paragraph" w:styleId="3">
    <w:name w:val="Body Text"/>
    <w:basedOn w:val="1"/>
    <w:next w:val="2"/>
    <w:link w:val="427"/>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Normal Indent"/>
    <w:basedOn w:val="1"/>
    <w:next w:val="19"/>
    <w:link w:val="190"/>
    <w:qFormat/>
    <w:uiPriority w:val="0"/>
    <w:pPr>
      <w:widowControl/>
      <w:snapToGrid w:val="0"/>
      <w:spacing w:line="480" w:lineRule="exact"/>
      <w:ind w:firstLine="567"/>
    </w:pPr>
    <w:rPr>
      <w:rFonts w:ascii="宋体"/>
      <w:snapToGrid w:val="0"/>
      <w:color w:val="000000"/>
      <w:kern w:val="28"/>
      <w:sz w:val="28"/>
      <w:szCs w:val="20"/>
    </w:rPr>
  </w:style>
  <w:style w:type="paragraph" w:styleId="19">
    <w:name w:val="Body Text Indent"/>
    <w:basedOn w:val="1"/>
    <w:next w:val="18"/>
    <w:link w:val="262"/>
    <w:qFormat/>
    <w:uiPriority w:val="0"/>
    <w:pPr>
      <w:spacing w:line="480" w:lineRule="exact"/>
      <w:ind w:firstLine="480" w:firstLineChars="200"/>
    </w:pPr>
    <w:rPr>
      <w:rFonts w:ascii="宋体" w:hAnsi="宋体"/>
      <w:sz w:val="24"/>
    </w:rPr>
  </w:style>
  <w:style w:type="paragraph" w:styleId="20">
    <w:name w:val="caption"/>
    <w:basedOn w:val="1"/>
    <w:next w:val="1"/>
    <w:link w:val="226"/>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199"/>
    <w:qFormat/>
    <w:uiPriority w:val="0"/>
    <w:pPr>
      <w:shd w:val="clear" w:color="auto" w:fill="000080"/>
    </w:pPr>
  </w:style>
  <w:style w:type="paragraph" w:styleId="23">
    <w:name w:val="annotation text"/>
    <w:basedOn w:val="1"/>
    <w:link w:val="341"/>
    <w:qFormat/>
    <w:uiPriority w:val="99"/>
    <w:pPr>
      <w:jc w:val="left"/>
    </w:pPr>
  </w:style>
  <w:style w:type="paragraph" w:styleId="24">
    <w:name w:val="Salutation"/>
    <w:basedOn w:val="1"/>
    <w:next w:val="1"/>
    <w:link w:val="295"/>
    <w:qFormat/>
    <w:uiPriority w:val="0"/>
    <w:rPr>
      <w:rFonts w:ascii="仿宋_GB2312" w:eastAsia="仿宋_GB2312"/>
      <w:sz w:val="28"/>
      <w:szCs w:val="20"/>
    </w:rPr>
  </w:style>
  <w:style w:type="paragraph" w:styleId="25">
    <w:name w:val="Body Text 3"/>
    <w:basedOn w:val="1"/>
    <w:link w:val="327"/>
    <w:qFormat/>
    <w:uiPriority w:val="0"/>
    <w:pPr>
      <w:jc w:val="center"/>
    </w:pPr>
    <w:rPr>
      <w:szCs w:val="20"/>
    </w:rPr>
  </w:style>
  <w:style w:type="paragraph" w:styleId="26">
    <w:name w:val="List Bullet 3"/>
    <w:basedOn w:val="1"/>
    <w:unhideWhenUsed/>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8"/>
    <w:qFormat/>
    <w:uiPriority w:val="0"/>
    <w:pPr>
      <w:ind w:left="100" w:leftChars="2500"/>
    </w:pPr>
    <w:rPr>
      <w:rFonts w:ascii="宋体"/>
      <w:sz w:val="24"/>
      <w:szCs w:val="21"/>
      <w:lang w:val="zh-CN"/>
    </w:rPr>
  </w:style>
  <w:style w:type="paragraph" w:styleId="38">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5"/>
    <w:qFormat/>
    <w:uiPriority w:val="0"/>
    <w:rPr>
      <w:sz w:val="18"/>
      <w:szCs w:val="18"/>
    </w:rPr>
  </w:style>
  <w:style w:type="paragraph" w:styleId="41">
    <w:name w:val="footer"/>
    <w:basedOn w:val="1"/>
    <w:link w:val="380"/>
    <w:qFormat/>
    <w:uiPriority w:val="99"/>
    <w:pPr>
      <w:tabs>
        <w:tab w:val="center" w:pos="4153"/>
        <w:tab w:val="right" w:pos="8306"/>
      </w:tabs>
      <w:snapToGrid w:val="0"/>
      <w:jc w:val="left"/>
    </w:pPr>
    <w:rPr>
      <w:sz w:val="18"/>
      <w:szCs w:val="18"/>
    </w:rPr>
  </w:style>
  <w:style w:type="paragraph" w:styleId="42">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8"/>
    <w:link w:val="307"/>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3"/>
    <w:next w:val="23"/>
    <w:link w:val="93"/>
    <w:qFormat/>
    <w:uiPriority w:val="0"/>
    <w:rPr>
      <w:b/>
      <w:bCs/>
    </w:rPr>
  </w:style>
  <w:style w:type="paragraph" w:styleId="61">
    <w:name w:val="Body Text First Indent 2"/>
    <w:basedOn w:val="19"/>
    <w:next w:val="1"/>
    <w:link w:val="118"/>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61"/>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8"/>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6"/>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7"/>
    <w:qFormat/>
    <w:uiPriority w:val="0"/>
    <w:rPr>
      <w:rFonts w:ascii="宋体"/>
      <w:kern w:val="2"/>
      <w:sz w:val="24"/>
      <w:szCs w:val="21"/>
      <w:lang w:val="zh-CN"/>
    </w:rPr>
  </w:style>
  <w:style w:type="character" w:customStyle="1" w:styleId="179">
    <w:name w:val="标题 9 Char"/>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0"/>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8"/>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2"/>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1"/>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20"/>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19"/>
    <w:qFormat/>
    <w:uiPriority w:val="0"/>
    <w:rPr>
      <w:rFonts w:ascii="宋体" w:hAnsi="宋体"/>
      <w:kern w:val="2"/>
      <w:sz w:val="24"/>
      <w:szCs w:val="24"/>
    </w:rPr>
  </w:style>
  <w:style w:type="character" w:customStyle="1" w:styleId="263">
    <w:name w:val="font01"/>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5"/>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4"/>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1"/>
    <w:qFormat/>
    <w:uiPriority w:val="0"/>
    <w:rPr>
      <w:b/>
      <w:bCs/>
      <w:kern w:val="2"/>
      <w:sz w:val="24"/>
      <w:szCs w:val="24"/>
    </w:rPr>
  </w:style>
  <w:style w:type="character" w:customStyle="1" w:styleId="305">
    <w:name w:val="正文文本缩进 2 Char"/>
    <w:link w:val="38"/>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1"/>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5"/>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3"/>
    <w:qFormat/>
    <w:uiPriority w:val="0"/>
    <w:rPr>
      <w:kern w:val="2"/>
      <w:sz w:val="21"/>
      <w:szCs w:val="24"/>
    </w:rPr>
  </w:style>
  <w:style w:type="character" w:customStyle="1" w:styleId="342">
    <w:name w:val="签名 Char"/>
    <w:link w:val="43"/>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1"/>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2"/>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8"/>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19"/>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6"/>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7"/>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7"/>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19"/>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19"/>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5"/>
    <w:qFormat/>
    <w:uiPriority w:val="0"/>
    <w:pPr>
      <w:tabs>
        <w:tab w:val="left" w:pos="840"/>
      </w:tabs>
      <w:adjustRightInd/>
      <w:ind w:left="840" w:hanging="420"/>
    </w:pPr>
  </w:style>
  <w:style w:type="paragraph" w:customStyle="1" w:styleId="623">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1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7"/>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19"/>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19"/>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2"/>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5"/>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HTML Bottom of Form"/>
    <w:basedOn w:val="1"/>
    <w:next w:val="1"/>
    <w:qFormat/>
    <w:uiPriority w:val="0"/>
    <w:pPr>
      <w:pBdr>
        <w:top w:val="single" w:color="auto" w:sz="6" w:space="1"/>
      </w:pBdr>
      <w:jc w:val="center"/>
    </w:pPr>
    <w:rPr>
      <w:rFonts w:ascii="Arial"/>
      <w:vanish/>
      <w:sz w:val="16"/>
    </w:rPr>
  </w:style>
  <w:style w:type="paragraph" w:customStyle="1" w:styleId="962">
    <w:name w:val="z-窗体底端1"/>
    <w:basedOn w:val="1"/>
    <w:next w:val="1"/>
    <w:qFormat/>
    <w:uiPriority w:val="0"/>
    <w:pPr>
      <w:pBdr>
        <w:top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customXml" Target="../customXml/item1.xml"/><Relationship Id="rId51" Type="http://schemas.openxmlformats.org/officeDocument/2006/relationships/image" Target="media/image20.wmf"/><Relationship Id="rId50" Type="http://schemas.openxmlformats.org/officeDocument/2006/relationships/oleObject" Target="embeddings/oleObject10.bin"/><Relationship Id="rId5" Type="http://schemas.openxmlformats.org/officeDocument/2006/relationships/footer" Target="footer1.xml"/><Relationship Id="rId49" Type="http://schemas.openxmlformats.org/officeDocument/2006/relationships/image" Target="media/image19.wmf"/><Relationship Id="rId48" Type="http://schemas.openxmlformats.org/officeDocument/2006/relationships/oleObject" Target="embeddings/oleObject9.bin"/><Relationship Id="rId47" Type="http://schemas.openxmlformats.org/officeDocument/2006/relationships/image" Target="media/image18.wmf"/><Relationship Id="rId46" Type="http://schemas.openxmlformats.org/officeDocument/2006/relationships/oleObject" Target="embeddings/oleObject8.bin"/><Relationship Id="rId45" Type="http://schemas.openxmlformats.org/officeDocument/2006/relationships/image" Target="media/image17.wmf"/><Relationship Id="rId44" Type="http://schemas.openxmlformats.org/officeDocument/2006/relationships/oleObject" Target="embeddings/oleObject7.bin"/><Relationship Id="rId43" Type="http://schemas.openxmlformats.org/officeDocument/2006/relationships/image" Target="media/image16.wmf"/><Relationship Id="rId42" Type="http://schemas.openxmlformats.org/officeDocument/2006/relationships/oleObject" Target="embeddings/oleObject6.bin"/><Relationship Id="rId41" Type="http://schemas.openxmlformats.org/officeDocument/2006/relationships/image" Target="media/image15.wmf"/><Relationship Id="rId40" Type="http://schemas.openxmlformats.org/officeDocument/2006/relationships/oleObject" Target="embeddings/oleObject5.bin"/><Relationship Id="rId4" Type="http://schemas.openxmlformats.org/officeDocument/2006/relationships/header" Target="header2.xml"/><Relationship Id="rId39" Type="http://schemas.openxmlformats.org/officeDocument/2006/relationships/image" Target="media/image14.wmf"/><Relationship Id="rId38" Type="http://schemas.openxmlformats.org/officeDocument/2006/relationships/oleObject" Target="embeddings/oleObject4.bin"/><Relationship Id="rId37" Type="http://schemas.openxmlformats.org/officeDocument/2006/relationships/image" Target="media/image13.wmf"/><Relationship Id="rId36" Type="http://schemas.openxmlformats.org/officeDocument/2006/relationships/oleObject" Target="embeddings/oleObject3.bin"/><Relationship Id="rId35" Type="http://schemas.openxmlformats.org/officeDocument/2006/relationships/image" Target="media/image12.wmf"/><Relationship Id="rId34" Type="http://schemas.openxmlformats.org/officeDocument/2006/relationships/oleObject" Target="embeddings/oleObject2.bin"/><Relationship Id="rId33" Type="http://schemas.openxmlformats.org/officeDocument/2006/relationships/image" Target="media/image11.wmf"/><Relationship Id="rId32" Type="http://schemas.openxmlformats.org/officeDocument/2006/relationships/oleObject" Target="embeddings/oleObject1.bin"/><Relationship Id="rId31" Type="http://schemas.openxmlformats.org/officeDocument/2006/relationships/image" Target="media/image10.jpe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emf"/><Relationship Id="rId28" Type="http://schemas.openxmlformats.org/officeDocument/2006/relationships/image" Target="media/image7.emf"/><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70</Pages>
  <Words>6061</Words>
  <Characters>34550</Characters>
  <Lines>287</Lines>
  <Paragraphs>81</Paragraphs>
  <TotalTime>5</TotalTime>
  <ScaleCrop>false</ScaleCrop>
  <LinksUpToDate>false</LinksUpToDate>
  <CharactersWithSpaces>40530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Patience</cp:lastModifiedBy>
  <cp:lastPrinted>2022-02-07T08:12:00Z</cp:lastPrinted>
  <dcterms:modified xsi:type="dcterms:W3CDTF">2022-02-07T08:33:36Z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