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lang w:eastAsia="zh-CN"/>
        </w:rPr>
      </w:pPr>
    </w:p>
    <w:p>
      <w:pPr>
        <w:spacing w:line="360" w:lineRule="auto"/>
        <w:jc w:val="center"/>
        <w:rPr>
          <w:rFonts w:hint="eastAsia" w:ascii="仿宋" w:hAnsi="仿宋" w:eastAsia="仿宋" w:cs="仿宋"/>
          <w:b/>
          <w:color w:val="auto"/>
          <w:sz w:val="24"/>
          <w:highlight w:val="none"/>
        </w:rPr>
      </w:pPr>
    </w:p>
    <w:p>
      <w:pPr>
        <w:adjustRightInd/>
        <w:spacing w:line="360" w:lineRule="auto"/>
        <w:jc w:val="center"/>
        <w:rPr>
          <w:rFonts w:hint="eastAsia" w:ascii="仿宋" w:hAnsi="仿宋" w:eastAsia="仿宋" w:cs="仿宋"/>
          <w:color w:val="auto"/>
          <w:sz w:val="48"/>
          <w:szCs w:val="48"/>
          <w:highlight w:val="none"/>
          <w:lang w:eastAsia="zh-CN"/>
        </w:rPr>
      </w:pPr>
      <w:r>
        <w:rPr>
          <w:rFonts w:hint="eastAsia" w:ascii="仿宋" w:hAnsi="仿宋" w:eastAsia="仿宋" w:cs="仿宋"/>
          <w:color w:val="auto"/>
          <w:sz w:val="48"/>
          <w:szCs w:val="48"/>
          <w:highlight w:val="none"/>
          <w:lang w:eastAsia="zh-CN"/>
        </w:rPr>
        <w:t xml:space="preserve"> 建德市看守所迁建工程厨房设备采购项目</w:t>
      </w:r>
    </w:p>
    <w:p>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招标文件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 xml:space="preserve">JD2022BF-175 </w:t>
      </w:r>
    </w:p>
    <w:p>
      <w:pPr>
        <w:adjustRightInd/>
        <w:spacing w:line="360" w:lineRule="auto"/>
        <w:rPr>
          <w:rFonts w:hint="eastAsia" w:ascii="仿宋" w:hAnsi="仿宋" w:eastAsia="仿宋" w:cs="仿宋"/>
          <w:color w:val="auto"/>
          <w:sz w:val="28"/>
          <w:szCs w:val="20"/>
          <w:highlight w:val="none"/>
        </w:rPr>
      </w:pPr>
    </w:p>
    <w:p>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32"/>
          <w:szCs w:val="32"/>
          <w:highlight w:val="none"/>
        </w:rPr>
      </w:pPr>
    </w:p>
    <w:p>
      <w:pPr>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采购人：建德市公安局</w:t>
      </w:r>
    </w:p>
    <w:p>
      <w:pPr>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采购代理机构：浙江建安工程管理有限公司</w:t>
      </w:r>
    </w:p>
    <w:p>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val="en-US" w:eastAsia="zh-CN"/>
        </w:rPr>
        <w:t>2022</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10</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17</w:t>
      </w:r>
      <w:r>
        <w:rPr>
          <w:rFonts w:hint="eastAsia" w:ascii="仿宋" w:hAnsi="仿宋" w:eastAsia="仿宋" w:cs="仿宋"/>
          <w:bCs/>
          <w:color w:val="auto"/>
          <w:sz w:val="32"/>
          <w:szCs w:val="32"/>
          <w:highlight w:val="none"/>
        </w:rPr>
        <w:t>日</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spacing w:line="360" w:lineRule="auto"/>
        <w:rPr>
          <w:rFonts w:hint="eastAsia" w:ascii="仿宋" w:hAnsi="仿宋" w:eastAsia="仿宋" w:cs="仿宋"/>
          <w:color w:val="auto"/>
          <w:sz w:val="32"/>
          <w:szCs w:val="32"/>
          <w:highlight w:val="none"/>
        </w:rPr>
      </w:pPr>
    </w:p>
    <w:p>
      <w:pPr>
        <w:spacing w:line="360" w:lineRule="auto"/>
        <w:rPr>
          <w:rFonts w:hint="eastAsia" w:ascii="仿宋" w:hAnsi="仿宋" w:eastAsia="仿宋" w:cs="仿宋"/>
          <w:color w:val="auto"/>
          <w:sz w:val="32"/>
          <w:szCs w:val="32"/>
          <w:highlight w:val="none"/>
        </w:rPr>
      </w:pP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p>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728647"/>
      <w:bookmarkEnd w:id="4"/>
      <w:bookmarkStart w:id="5" w:name="_Hlt74707423"/>
      <w:bookmarkEnd w:id="5"/>
      <w:bookmarkStart w:id="6" w:name="_Hlt74729822"/>
      <w:bookmarkEnd w:id="6"/>
      <w:bookmarkStart w:id="7" w:name="_Hlt74649545"/>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bookmarkStart w:id="564" w:name="_GoBack"/>
      <w:bookmarkEnd w:id="564"/>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建德市看守所迁建工程厨房设备采购项目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00秒</w:t>
      </w:r>
      <w:r>
        <w:rPr>
          <w:rFonts w:hint="eastAsia" w:ascii="仿宋" w:hAnsi="仿宋" w:eastAsia="仿宋" w:cs="仿宋"/>
          <w:bCs/>
          <w:color w:val="auto"/>
          <w:sz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JD2022BF-175 </w:t>
      </w:r>
    </w:p>
    <w:p>
      <w:pPr>
        <w:spacing w:line="360" w:lineRule="auto"/>
        <w:ind w:left="720" w:hanging="720" w:hanging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建德市看守所迁建工程厨房设备采购项目</w:t>
      </w:r>
    </w:p>
    <w:p>
      <w:pPr>
        <w:spacing w:line="360" w:lineRule="auto"/>
        <w:ind w:left="722" w:leftChars="229" w:hanging="241" w:hangingChars="10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color w:val="auto"/>
          <w:sz w:val="24"/>
          <w:highlight w:val="none"/>
        </w:rPr>
        <w:t>预算金额（元）：</w:t>
      </w:r>
      <w:r>
        <w:rPr>
          <w:rFonts w:hint="eastAsia" w:ascii="仿宋" w:hAnsi="仿宋" w:eastAsia="仿宋" w:cs="仿宋"/>
          <w:color w:val="auto"/>
          <w:kern w:val="0"/>
          <w:sz w:val="24"/>
          <w:szCs w:val="24"/>
          <w:highlight w:val="none"/>
          <w:lang w:val="en-US" w:eastAsia="zh-CN" w:bidi="ar"/>
        </w:rPr>
        <w:t xml:space="preserve">1490000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kern w:val="0"/>
          <w:sz w:val="24"/>
          <w:szCs w:val="24"/>
          <w:highlight w:val="none"/>
          <w:lang w:val="en-US" w:eastAsia="zh-CN" w:bidi="ar"/>
        </w:rPr>
        <w:t>1490000</w:t>
      </w:r>
      <w:r>
        <w:rPr>
          <w:rFonts w:hint="eastAsia" w:ascii="仿宋" w:hAnsi="仿宋" w:eastAsia="仿宋" w:cs="仿宋"/>
          <w:b/>
          <w:bCs/>
          <w:color w:val="auto"/>
          <w:kern w:val="0"/>
          <w:sz w:val="24"/>
          <w:szCs w:val="24"/>
          <w:highlight w:val="none"/>
          <w:lang w:val="en-US" w:eastAsia="zh-CN" w:bidi="ar"/>
        </w:rPr>
        <w:t xml:space="preserve"> </w:t>
      </w:r>
      <w:r>
        <w:rPr>
          <w:rFonts w:hint="eastAsia" w:ascii="仿宋" w:hAnsi="仿宋" w:eastAsia="仿宋" w:cs="仿宋"/>
          <w:color w:val="auto"/>
          <w:sz w:val="24"/>
          <w:highlight w:val="none"/>
        </w:rPr>
        <w:t xml:space="preserve"> </w:t>
      </w:r>
    </w:p>
    <w:p>
      <w:pPr>
        <w:pStyle w:val="1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eastAsia="zh-CN"/>
        </w:rPr>
        <w:t>采购</w:t>
      </w:r>
      <w:r>
        <w:rPr>
          <w:rFonts w:hint="eastAsia" w:ascii="仿宋" w:hAnsi="仿宋" w:eastAsia="仿宋" w:cs="仿宋"/>
          <w:b/>
          <w:bCs/>
          <w:snapToGrid/>
          <w:color w:val="auto"/>
          <w:kern w:val="2"/>
          <w:sz w:val="24"/>
          <w:szCs w:val="24"/>
          <w:highlight w:val="none"/>
          <w:lang w:val="en-US" w:eastAsia="zh-CN" w:bidi="ar-SA"/>
        </w:rPr>
        <w:t>厨房设备一批，包括设计、制作、供货、运输装卸、安装调试、备品备件、辅助工作及售后服务等。详见招标文件第三部分采购需求。</w:t>
      </w:r>
    </w:p>
    <w:p>
      <w:pPr>
        <w:keepNext w:val="0"/>
        <w:keepLines w:val="0"/>
        <w:pageBreakBefore w:val="0"/>
        <w:kinsoku/>
        <w:wordWrap/>
        <w:topLinePunct w:val="0"/>
        <w:bidi w:val="0"/>
        <w:spacing w:beforeAutospacing="0" w:afterAutospacing="0" w:line="500" w:lineRule="exact"/>
        <w:ind w:right="0" w:firstLine="470" w:firstLineChars="223"/>
        <w:rPr>
          <w:rFonts w:hint="eastAsia" w:ascii="仿宋" w:hAnsi="仿宋" w:eastAsia="仿宋" w:cs="仿宋"/>
          <w:bCs/>
          <w:snapToGrid/>
          <w:color w:val="auto"/>
          <w:kern w:val="2"/>
          <w:sz w:val="24"/>
          <w:szCs w:val="24"/>
          <w:highlight w:val="none"/>
          <w:lang w:val="zh-CN" w:eastAsia="zh-CN" w:bidi="ar-SA"/>
        </w:rPr>
      </w:pPr>
      <w:r>
        <w:rPr>
          <w:rFonts w:hint="eastAsia" w:ascii="仿宋" w:hAnsi="仿宋" w:eastAsia="仿宋" w:cs="仿宋"/>
          <w:b/>
          <w:color w:val="auto"/>
          <w:highlight w:val="none"/>
        </w:rPr>
        <w:t>合同履约期限：</w:t>
      </w:r>
      <w:r>
        <w:rPr>
          <w:rFonts w:hint="eastAsia" w:ascii="仿宋" w:hAnsi="仿宋" w:eastAsia="仿宋" w:cs="仿宋"/>
          <w:color w:val="auto"/>
          <w:sz w:val="24"/>
          <w:szCs w:val="24"/>
          <w:highlight w:val="none"/>
        </w:rPr>
        <w:t>供应商中标签订合同后</w:t>
      </w:r>
      <w:r>
        <w:rPr>
          <w:rFonts w:hint="eastAsia" w:ascii="仿宋" w:hAnsi="仿宋" w:eastAsia="仿宋" w:cs="仿宋"/>
          <w:color w:val="auto"/>
          <w:sz w:val="24"/>
          <w:szCs w:val="24"/>
          <w:highlight w:val="none"/>
          <w:u w:val="single"/>
          <w:lang w:val="en-US" w:eastAsia="zh-CN"/>
        </w:rPr>
        <w:t>60</w:t>
      </w:r>
      <w:r>
        <w:rPr>
          <w:rFonts w:hint="eastAsia" w:ascii="仿宋" w:hAnsi="仿宋" w:eastAsia="仿宋" w:cs="仿宋"/>
          <w:b/>
          <w:bCs/>
          <w:color w:val="auto"/>
          <w:sz w:val="24"/>
          <w:szCs w:val="24"/>
          <w:highlight w:val="none"/>
          <w:u w:val="single"/>
        </w:rPr>
        <w:t>日历天</w:t>
      </w:r>
      <w:r>
        <w:rPr>
          <w:rFonts w:hint="eastAsia" w:ascii="仿宋" w:hAnsi="仿宋" w:eastAsia="仿宋" w:cs="仿宋"/>
          <w:color w:val="auto"/>
          <w:sz w:val="24"/>
          <w:szCs w:val="24"/>
          <w:highlight w:val="none"/>
        </w:rPr>
        <w:t>内送达并</w:t>
      </w:r>
      <w:r>
        <w:rPr>
          <w:rFonts w:hint="eastAsia" w:ascii="仿宋" w:hAnsi="仿宋" w:eastAsia="仿宋" w:cs="仿宋"/>
          <w:color w:val="auto"/>
          <w:sz w:val="24"/>
          <w:szCs w:val="24"/>
          <w:highlight w:val="none"/>
          <w:lang w:eastAsia="zh-CN"/>
        </w:rPr>
        <w:t>安装调试完成</w:t>
      </w:r>
      <w:r>
        <w:rPr>
          <w:rFonts w:hint="eastAsia" w:ascii="仿宋" w:hAnsi="仿宋" w:eastAsia="仿宋" w:cs="仿宋"/>
          <w:bCs/>
          <w:snapToGrid/>
          <w:color w:val="auto"/>
          <w:kern w:val="2"/>
          <w:sz w:val="24"/>
          <w:szCs w:val="24"/>
          <w:highlight w:val="none"/>
          <w:lang w:val="zh-CN" w:eastAsia="zh-CN" w:bidi="ar-SA"/>
        </w:rPr>
        <w:t>。</w:t>
      </w:r>
    </w:p>
    <w:p>
      <w:pPr>
        <w:pStyle w:val="15"/>
        <w:spacing w:line="360" w:lineRule="auto"/>
        <w:ind w:firstLine="48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本项目不允许转包。</w:t>
      </w:r>
    </w:p>
    <w:p>
      <w:pPr>
        <w:pStyle w:val="15"/>
        <w:spacing w:line="360" w:lineRule="auto"/>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b/>
          <w:color w:val="auto"/>
          <w:sz w:val="24"/>
          <w:highlight w:val="none"/>
        </w:rPr>
        <w:t>是，</w:t>
      </w:r>
      <w:sdt>
        <w:sdtPr>
          <w:rPr>
            <w:rFonts w:hint="eastAsia" w:ascii="仿宋" w:hAnsi="仿宋" w:eastAsia="仿宋" w:cs="仿宋"/>
            <w:color w:val="auto"/>
            <w:kern w:val="0"/>
            <w:sz w:val="24"/>
            <w:highlight w:val="none"/>
          </w:rPr>
          <w:id w:val="-176552672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snapToGrid w:val="0"/>
              <w:color w:val="auto"/>
              <w:kern w:val="0"/>
              <w:sz w:val="24"/>
              <w:szCs w:val="20"/>
              <w:highlight w:val="none"/>
              <w:lang w:val="en-US" w:eastAsia="zh-CN" w:bidi="ar-SA"/>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.落实政府采购政策需满足的资格要求：</w:t>
      </w:r>
    </w:p>
    <w:p>
      <w:pPr>
        <w:spacing w:line="360" w:lineRule="auto"/>
        <w:ind w:firstLine="480" w:firstLineChars="200"/>
        <w:rPr>
          <w:rFonts w:hint="eastAsia" w:ascii="仿宋" w:hAnsi="仿宋" w:eastAsia="仿宋" w:cs="仿宋"/>
          <w:color w:val="auto"/>
          <w:kern w:val="0"/>
          <w:sz w:val="24"/>
          <w:highlight w:val="none"/>
          <w:lang w:eastAsia="zh-CN"/>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lang w:eastAsia="zh-CN"/>
        </w:rPr>
        <w:t>无；</w:t>
      </w:r>
      <w:r>
        <w:rPr>
          <w:rFonts w:hint="eastAsia" w:ascii="仿宋" w:hAnsi="仿宋" w:eastAsia="仿宋" w:cs="仿宋"/>
          <w:color w:val="auto"/>
          <w:kern w:val="0"/>
          <w:sz w:val="24"/>
          <w:highlight w:val="none"/>
        </w:rPr>
        <w:t>（注：不得限制大中型企业与小微企业组成联合体参与投标）；</w:t>
      </w:r>
    </w:p>
    <w:p>
      <w:pPr>
        <w:spacing w:line="360" w:lineRule="auto"/>
        <w:ind w:firstLine="480" w:firstLineChars="200"/>
        <w:rPr>
          <w:rFonts w:hint="eastAsia" w:ascii="仿宋" w:hAnsi="仿宋" w:eastAsia="仿宋" w:cs="仿宋"/>
          <w:snapToGrid w:val="0"/>
          <w:color w:val="auto"/>
          <w:kern w:val="28"/>
          <w:sz w:val="24"/>
          <w:szCs w:val="20"/>
          <w:highlight w:val="none"/>
          <w:lang w:val="en-US" w:eastAsia="zh-CN"/>
        </w:rPr>
      </w:pPr>
      <w:sdt>
        <w:sdtPr>
          <w:rPr>
            <w:rFonts w:hint="eastAsia" w:ascii="仿宋" w:hAnsi="仿宋" w:eastAsia="仿宋" w:cs="仿宋"/>
            <w:color w:val="auto"/>
            <w:kern w:val="0"/>
            <w:sz w:val="24"/>
            <w:highlight w:val="none"/>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snapToGrid w:val="0"/>
          <w:color w:val="auto"/>
          <w:kern w:val="28"/>
          <w:sz w:val="24"/>
          <w:szCs w:val="20"/>
          <w:highlight w:val="none"/>
        </w:rPr>
        <w:t>专门面向中小企业</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b w:val="0"/>
          <w:bCs w:val="0"/>
          <w:color w:val="auto"/>
          <w:kern w:val="0"/>
          <w:sz w:val="24"/>
          <w:highlight w:val="none"/>
        </w:rPr>
        <w:t>（注：不得限制中型企业与小微企业组成联合体参与投标）</w:t>
      </w:r>
      <w:r>
        <w:rPr>
          <w:rFonts w:hint="eastAsia" w:ascii="仿宋" w:hAnsi="仿宋" w:eastAsia="仿宋" w:cs="仿宋"/>
          <w:snapToGrid w:val="0"/>
          <w:color w:val="auto"/>
          <w:kern w:val="28"/>
          <w:sz w:val="24"/>
          <w:szCs w:val="20"/>
          <w:highlight w:val="none"/>
          <w:lang w:val="en-US" w:eastAsia="zh-CN"/>
        </w:rPr>
        <w:t xml:space="preserve"> </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FE"/>
      </w:r>
      <w:r>
        <w:rPr>
          <w:rFonts w:hint="eastAsia" w:ascii="仿宋" w:hAnsi="仿宋" w:eastAsia="仿宋" w:cs="仿宋"/>
          <w:snapToGrid w:val="0"/>
          <w:color w:val="auto"/>
          <w:kern w:val="28"/>
          <w:sz w:val="24"/>
          <w:szCs w:val="20"/>
          <w:highlight w:val="none"/>
        </w:rPr>
        <w:t>货物全部由符合政策要求的中小企业制造，提供中小企业声明函；</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A8"/>
      </w:r>
      <w:r>
        <w:rPr>
          <w:rFonts w:hint="eastAsia" w:ascii="仿宋" w:hAnsi="仿宋" w:eastAsia="仿宋" w:cs="仿宋"/>
          <w:snapToGrid w:val="0"/>
          <w:color w:val="auto"/>
          <w:kern w:val="28"/>
          <w:sz w:val="24"/>
          <w:szCs w:val="20"/>
          <w:highlight w:val="none"/>
        </w:rPr>
        <w:t>货物全部由符合政策要求的小微企业制造，提供中小企业声明函；</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A8"/>
      </w:r>
      <w:r>
        <w:rPr>
          <w:rFonts w:hint="eastAsia" w:ascii="仿宋" w:hAnsi="仿宋" w:eastAsia="仿宋" w:cs="仿宋"/>
          <w:snapToGrid w:val="0"/>
          <w:color w:val="auto"/>
          <w:kern w:val="28"/>
          <w:sz w:val="24"/>
          <w:szCs w:val="20"/>
          <w:highlight w:val="none"/>
        </w:rPr>
        <w:t>服务全部由符合政策要求的中小企业承接，提供中小企业声明函；</w:t>
      </w:r>
    </w:p>
    <w:p>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sym w:font="Wingdings" w:char="00A8"/>
      </w:r>
      <w:r>
        <w:rPr>
          <w:rFonts w:hint="eastAsia" w:ascii="仿宋" w:hAnsi="仿宋" w:eastAsia="仿宋" w:cs="仿宋"/>
          <w:snapToGrid w:val="0"/>
          <w:color w:val="auto"/>
          <w:kern w:val="28"/>
          <w:sz w:val="24"/>
          <w:szCs w:val="20"/>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bookmarkStart w:id="11" w:name="_Hlk101132524"/>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.本项目的特定资格要求：无；</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 xml:space="preserve">秒 </w:t>
      </w:r>
      <w:r>
        <w:rPr>
          <w:rFonts w:hint="eastAsia" w:ascii="仿宋" w:hAnsi="仿宋" w:eastAsia="仿宋" w:cs="仿宋"/>
          <w:color w:val="auto"/>
          <w:sz w:val="24"/>
          <w:highlight w:val="none"/>
        </w:rPr>
        <w:t>（北京时间）</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秒</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详见附件2。</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桥南法院路</w:t>
      </w:r>
      <w:r>
        <w:rPr>
          <w:rFonts w:hint="eastAsia" w:ascii="仿宋" w:hAnsi="仿宋" w:eastAsia="仿宋" w:cs="仿宋"/>
          <w:color w:val="auto"/>
          <w:sz w:val="24"/>
          <w:highlight w:val="none"/>
          <w:lang w:val="en-US" w:eastAsia="zh-CN"/>
        </w:rPr>
        <w:t>2号</w:t>
      </w:r>
      <w:r>
        <w:rPr>
          <w:rFonts w:hint="eastAsia" w:ascii="仿宋" w:hAnsi="仿宋" w:eastAsia="仿宋" w:cs="仿宋"/>
          <w:color w:val="auto"/>
          <w:sz w:val="24"/>
          <w:highlight w:val="none"/>
        </w:rPr>
        <w:t xml:space="preserve">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朱晓宇</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 xml:space="preserve">  </w:t>
      </w:r>
    </w:p>
    <w:p>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项目联系方式（询问）：</w:t>
      </w:r>
      <w:r>
        <w:rPr>
          <w:rFonts w:hint="eastAsia" w:ascii="仿宋" w:hAnsi="仿宋" w:eastAsia="仿宋" w:cs="仿宋"/>
          <w:color w:val="auto"/>
          <w:sz w:val="24"/>
          <w:highlight w:val="none"/>
          <w:lang w:val="en-US" w:eastAsia="zh-CN"/>
        </w:rPr>
        <w:t xml:space="preserve">13968123333 </w:t>
      </w: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eastAsia="zh-CN"/>
        </w:rPr>
        <w:t>周伟</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highlight w:val="none"/>
          <w:lang w:val="en-US" w:eastAsia="zh-CN"/>
        </w:rPr>
        <w:t xml:space="preserve">  </w:t>
      </w: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13805704690</w:t>
      </w: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highlight w:val="none"/>
          <w:lang w:val="en-US" w:eastAsia="zh-CN"/>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浙江建安工程管理有限公司</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浙江省建德市新安江街道新安财富城</w:t>
      </w:r>
      <w:r>
        <w:rPr>
          <w:rFonts w:hint="eastAsia" w:ascii="仿宋" w:hAnsi="仿宋" w:eastAsia="仿宋" w:cs="仿宋"/>
          <w:color w:val="auto"/>
          <w:sz w:val="24"/>
          <w:highlight w:val="none"/>
          <w:lang w:val="en-US" w:eastAsia="zh-CN"/>
        </w:rPr>
        <w:t>6幢B座2104室</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 xml:space="preserve">杜江龙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项目联系方式（询问）：15058155265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质疑联系人：陈丽             </w:t>
      </w:r>
    </w:p>
    <w:p>
      <w:pPr>
        <w:spacing w:line="360" w:lineRule="auto"/>
        <w:ind w:firstLine="48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质疑联系方式：13567149366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称：建德市</w:t>
      </w:r>
      <w:r>
        <w:rPr>
          <w:rFonts w:hint="eastAsia" w:ascii="仿宋" w:hAnsi="仿宋" w:eastAsia="仿宋" w:cs="仿宋"/>
          <w:color w:val="auto"/>
          <w:sz w:val="24"/>
          <w:highlight w:val="none"/>
          <w:lang w:eastAsia="zh-CN"/>
        </w:rPr>
        <w:t>政府</w:t>
      </w:r>
      <w:r>
        <w:rPr>
          <w:rFonts w:hint="eastAsia" w:ascii="仿宋" w:hAnsi="仿宋" w:eastAsia="仿宋" w:cs="仿宋"/>
          <w:color w:val="auto"/>
          <w:sz w:val="24"/>
          <w:highlight w:val="none"/>
        </w:rPr>
        <w:t xml:space="preserve">采购办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址：建德市财政局 </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：邵</w:t>
      </w:r>
      <w:r>
        <w:rPr>
          <w:rFonts w:hint="eastAsia" w:ascii="仿宋" w:hAnsi="仿宋" w:eastAsia="仿宋" w:cs="仿宋"/>
          <w:color w:val="auto"/>
          <w:sz w:val="24"/>
          <w:highlight w:val="none"/>
          <w:lang w:eastAsia="zh-CN"/>
        </w:rPr>
        <w:t>菁</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监督投诉电话：0571-64718168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spacing w:line="360" w:lineRule="auto"/>
        <w:ind w:firstLine="480" w:firstLineChars="200"/>
        <w:rPr>
          <w:rFonts w:hint="eastAsia" w:ascii="仿宋" w:hAnsi="仿宋" w:eastAsia="仿宋" w:cs="仿宋"/>
          <w:color w:val="auto"/>
          <w:sz w:val="24"/>
          <w:highlight w:val="none"/>
        </w:rPr>
      </w:pP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 xml:space="preserve">                              </w:t>
      </w: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pPr w:leftFromText="181" w:rightFromText="181" w:vertAnchor="text" w:tblpXSpec="left" w:tblpY="1"/>
        <w:tblOverlap w:val="never"/>
        <w:tblW w:w="893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720"/>
        <w:gridCol w:w="65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7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8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20"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color w:val="auto"/>
                <w:sz w:val="24"/>
                <w:highlight w:val="none"/>
              </w:rPr>
              <w:t>开标一览表（报价表）是报价的唯一载体</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提醒：验收时检测费用由中标人承担，包含在投标总价中。</w:t>
            </w:r>
          </w:p>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投标报价出现下列情形的，投标无效：</w:t>
            </w:r>
          </w:p>
          <w:p>
            <w:pPr>
              <w:snapToGrid w:val="0"/>
              <w:spacing w:line="360" w:lineRule="auto"/>
              <w:ind w:firstLine="240"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投标文件出现不是唯一的、有选择性投标报价的；</w:t>
            </w:r>
          </w:p>
          <w:p>
            <w:pPr>
              <w:snapToGrid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lang w:val="zh-CN"/>
              </w:rPr>
              <w:t>投标报价超过招标文件中规定的预算金额或者最高限价的;</w:t>
            </w:r>
          </w:p>
          <w:p>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p>
        </w:tc>
        <w:tc>
          <w:tcPr>
            <w:tcW w:w="1720"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589"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5"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highlight w:val="none"/>
              </w:rPr>
            </w:pPr>
          </w:p>
        </w:tc>
        <w:tc>
          <w:tcPr>
            <w:tcW w:w="1720"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p>
        </w:tc>
        <w:tc>
          <w:tcPr>
            <w:tcW w:w="6589"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p>
            <w:pPr>
              <w:pStyle w:val="26"/>
              <w:ind w:firstLine="420" w:firstLineChars="0"/>
              <w:jc w:val="center"/>
              <w:rPr>
                <w:rFonts w:hint="eastAsia" w:ascii="仿宋" w:hAnsi="仿宋" w:eastAsia="仿宋" w:cs="仿宋"/>
                <w:color w:val="auto"/>
                <w:sz w:val="24"/>
                <w:highlight w:val="none"/>
                <w:lang w:val="en-US" w:eastAsia="zh-CN"/>
              </w:rPr>
            </w:pP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☐A不要求提供。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B要求提供，</w:t>
            </w:r>
          </w:p>
          <w:p>
            <w:pPr>
              <w:adjustRightInd w:val="0"/>
              <w:snapToGrid w:val="0"/>
              <w:spacing w:beforeLines="0" w:line="440" w:lineRule="exact"/>
              <w:jc w:val="left"/>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（1）样品：</w:t>
            </w:r>
            <w:r>
              <w:rPr>
                <w:rFonts w:hint="eastAsia" w:ascii="仿宋" w:hAnsi="仿宋" w:eastAsia="仿宋" w:cs="仿宋"/>
                <w:b/>
                <w:bCs w:val="0"/>
                <w:color w:val="auto"/>
                <w:sz w:val="24"/>
                <w:szCs w:val="24"/>
                <w:highlight w:val="none"/>
                <w:lang w:val="en-US" w:eastAsia="zh-CN"/>
              </w:rPr>
              <w:t>1.二楼-售卖间-序号4-电磁九孔煮面炉连柜 1台</w:t>
            </w:r>
            <w:r>
              <w:rPr>
                <w:rFonts w:hint="eastAsia" w:ascii="仿宋" w:hAnsi="仿宋" w:eastAsia="仿宋" w:cs="仿宋"/>
                <w:b/>
                <w:bCs w:val="0"/>
                <w:color w:val="auto"/>
                <w:sz w:val="24"/>
                <w:szCs w:val="24"/>
                <w:highlight w:val="none"/>
              </w:rPr>
              <w:t>；</w:t>
            </w:r>
            <w:r>
              <w:rPr>
                <w:rFonts w:hint="eastAsia" w:ascii="仿宋" w:hAnsi="仿宋" w:eastAsia="仿宋" w:cs="仿宋"/>
                <w:b/>
                <w:bCs w:val="0"/>
                <w:color w:val="auto"/>
                <w:sz w:val="24"/>
                <w:szCs w:val="24"/>
                <w:highlight w:val="none"/>
                <w:lang w:val="en-US" w:eastAsia="zh-CN"/>
              </w:rPr>
              <w:t>2.二楼-售卖间-序号10-保温送餐车 1</w:t>
            </w:r>
            <w:r>
              <w:rPr>
                <w:rFonts w:hint="eastAsia" w:ascii="仿宋" w:hAnsi="仿宋" w:eastAsia="仿宋" w:cs="仿宋"/>
                <w:b/>
                <w:bCs w:val="0"/>
                <w:i w:val="0"/>
                <w:iCs w:val="0"/>
                <w:color w:val="auto"/>
                <w:kern w:val="0"/>
                <w:sz w:val="20"/>
                <w:szCs w:val="20"/>
                <w:highlight w:val="none"/>
                <w:u w:val="none"/>
                <w:lang w:val="en-US" w:eastAsia="zh-CN" w:bidi="ar"/>
              </w:rPr>
              <w:t>辆；</w:t>
            </w:r>
            <w:r>
              <w:rPr>
                <w:rFonts w:hint="eastAsia" w:ascii="仿宋" w:hAnsi="仿宋" w:eastAsia="仿宋" w:cs="仿宋"/>
                <w:b/>
                <w:bCs w:val="0"/>
                <w:color w:val="auto"/>
                <w:sz w:val="24"/>
                <w:szCs w:val="24"/>
                <w:highlight w:val="none"/>
                <w:lang w:val="en-US" w:eastAsia="zh-CN"/>
              </w:rPr>
              <w:t>3.二楼-粗加工、清洗区-序号11-四层沥水货架 1 台。</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（2）样品制作的标准和要求：</w:t>
            </w:r>
            <w:r>
              <w:rPr>
                <w:rFonts w:hint="eastAsia" w:ascii="仿宋" w:hAnsi="仿宋" w:eastAsia="仿宋" w:cs="仿宋"/>
                <w:color w:val="auto"/>
                <w:kern w:val="0"/>
                <w:sz w:val="24"/>
                <w:highlight w:val="none"/>
                <w:lang w:eastAsia="zh-CN"/>
              </w:rPr>
              <w:t>在每件样品上用标签纸</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lang w:eastAsia="zh-CN"/>
              </w:rPr>
              <w:t>标签纸大小约</w:t>
            </w:r>
            <w:r>
              <w:rPr>
                <w:rFonts w:hint="eastAsia" w:ascii="仿宋" w:hAnsi="仿宋" w:eastAsia="仿宋" w:cs="仿宋"/>
                <w:color w:val="auto"/>
                <w:kern w:val="0"/>
                <w:sz w:val="24"/>
                <w:highlight w:val="none"/>
                <w:lang w:val="en-US" w:eastAsia="zh-CN"/>
              </w:rPr>
              <w:t>1cm*2cm)</w:t>
            </w:r>
            <w:r>
              <w:rPr>
                <w:rFonts w:hint="eastAsia" w:ascii="仿宋" w:hAnsi="仿宋" w:eastAsia="仿宋" w:cs="仿宋"/>
                <w:color w:val="auto"/>
                <w:kern w:val="0"/>
                <w:sz w:val="24"/>
                <w:highlight w:val="none"/>
                <w:lang w:eastAsia="zh-CN"/>
              </w:rPr>
              <w:t>注明投标单位全称</w:t>
            </w:r>
            <w:r>
              <w:rPr>
                <w:rFonts w:hint="eastAsia" w:ascii="仿宋" w:hAnsi="仿宋" w:eastAsia="仿宋" w:cs="仿宋"/>
                <w:color w:val="auto"/>
                <w:kern w:val="0"/>
                <w:sz w:val="24"/>
                <w:highlight w:val="none"/>
                <w:lang w:val="en-US" w:eastAsia="zh-CN"/>
              </w:rPr>
              <w:t>。</w:t>
            </w:r>
            <w:r>
              <w:rPr>
                <w:rFonts w:hint="eastAsia" w:ascii="仿宋" w:hAnsi="仿宋" w:eastAsia="仿宋" w:cs="仿宋"/>
                <w:color w:val="auto"/>
                <w:kern w:val="0"/>
                <w:sz w:val="24"/>
                <w:highlight w:val="none"/>
              </w:rPr>
              <w:t xml:space="preserve"> </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（3）样品的评审方法以及评审标准：详见评标办法；</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 xml:space="preserve">否；☐是: </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（5）提供样品的时间：</w:t>
            </w:r>
            <w:r>
              <w:rPr>
                <w:rFonts w:hint="eastAsia" w:ascii="仿宋" w:hAnsi="仿宋" w:eastAsia="仿宋" w:cs="仿宋"/>
                <w:b/>
                <w:color w:val="auto"/>
                <w:kern w:val="0"/>
                <w:sz w:val="24"/>
                <w:highlight w:val="none"/>
              </w:rPr>
              <w:t>2022年</w:t>
            </w:r>
            <w:r>
              <w:rPr>
                <w:rFonts w:hint="eastAsia" w:ascii="仿宋" w:hAnsi="仿宋" w:eastAsia="仿宋" w:cs="仿宋"/>
                <w:b/>
                <w:color w:val="auto"/>
                <w:kern w:val="0"/>
                <w:sz w:val="24"/>
                <w:highlight w:val="none"/>
                <w:lang w:val="en-US" w:eastAsia="zh-CN"/>
              </w:rPr>
              <w:t>11</w:t>
            </w:r>
            <w:r>
              <w:rPr>
                <w:rFonts w:hint="eastAsia" w:ascii="仿宋" w:hAnsi="仿宋" w:eastAsia="仿宋" w:cs="仿宋"/>
                <w:b/>
                <w:color w:val="auto"/>
                <w:kern w:val="0"/>
                <w:sz w:val="24"/>
                <w:highlight w:val="none"/>
              </w:rPr>
              <w:t>月</w:t>
            </w:r>
            <w:r>
              <w:rPr>
                <w:rFonts w:hint="eastAsia" w:ascii="仿宋" w:hAnsi="仿宋" w:eastAsia="仿宋" w:cs="仿宋"/>
                <w:b/>
                <w:color w:val="auto"/>
                <w:kern w:val="0"/>
                <w:sz w:val="24"/>
                <w:highlight w:val="none"/>
                <w:lang w:val="en-US" w:eastAsia="zh-CN"/>
              </w:rPr>
              <w:t>9</w:t>
            </w:r>
            <w:r>
              <w:rPr>
                <w:rFonts w:hint="eastAsia" w:ascii="仿宋" w:hAnsi="仿宋" w:eastAsia="仿宋" w:cs="仿宋"/>
                <w:b/>
                <w:color w:val="auto"/>
                <w:kern w:val="0"/>
                <w:sz w:val="24"/>
                <w:highlight w:val="none"/>
              </w:rPr>
              <w:t>日</w:t>
            </w:r>
            <w:r>
              <w:rPr>
                <w:rFonts w:hint="eastAsia" w:ascii="仿宋" w:hAnsi="仿宋" w:eastAsia="仿宋" w:cs="仿宋"/>
                <w:b/>
                <w:color w:val="auto"/>
                <w:kern w:val="0"/>
                <w:sz w:val="24"/>
                <w:highlight w:val="none"/>
                <w:lang w:val="en-US" w:eastAsia="zh-CN"/>
              </w:rPr>
              <w:t>14</w:t>
            </w:r>
            <w:r>
              <w:rPr>
                <w:rFonts w:hint="eastAsia" w:ascii="仿宋" w:hAnsi="仿宋" w:eastAsia="仿宋" w:cs="仿宋"/>
                <w:b/>
                <w:color w:val="auto"/>
                <w:kern w:val="0"/>
                <w:sz w:val="24"/>
                <w:highlight w:val="none"/>
              </w:rPr>
              <w:t>时</w:t>
            </w:r>
            <w:r>
              <w:rPr>
                <w:rFonts w:hint="eastAsia" w:ascii="仿宋" w:hAnsi="仿宋" w:eastAsia="仿宋" w:cs="仿宋"/>
                <w:b/>
                <w:color w:val="auto"/>
                <w:kern w:val="0"/>
                <w:sz w:val="24"/>
                <w:highlight w:val="none"/>
                <w:lang w:val="en-US" w:eastAsia="zh-CN"/>
              </w:rPr>
              <w:t>00</w:t>
            </w:r>
            <w:r>
              <w:rPr>
                <w:rFonts w:hint="eastAsia" w:ascii="仿宋" w:hAnsi="仿宋" w:eastAsia="仿宋" w:cs="仿宋"/>
                <w:b/>
                <w:color w:val="auto"/>
                <w:kern w:val="0"/>
                <w:sz w:val="24"/>
                <w:highlight w:val="none"/>
              </w:rPr>
              <w:t>分前</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lang w:eastAsia="zh-CN"/>
              </w:rPr>
              <w:t>杭州市公共资源交易中心建德分中心（</w:t>
            </w:r>
            <w:r>
              <w:rPr>
                <w:rFonts w:hint="eastAsia" w:ascii="仿宋" w:hAnsi="仿宋" w:eastAsia="仿宋" w:cs="仿宋"/>
                <w:color w:val="auto"/>
                <w:kern w:val="0"/>
                <w:sz w:val="24"/>
                <w:highlight w:val="none"/>
              </w:rPr>
              <w:t>建德市洋溪街道洋安社区荷映路113号</w:t>
            </w:r>
            <w:r>
              <w:rPr>
                <w:rFonts w:hint="eastAsia" w:ascii="仿宋" w:hAnsi="仿宋" w:eastAsia="仿宋" w:cs="仿宋"/>
                <w:color w:val="auto"/>
                <w:kern w:val="0"/>
                <w:sz w:val="24"/>
                <w:highlight w:val="none"/>
                <w:lang w:eastAsia="zh-CN"/>
              </w:rPr>
              <w:t>三楼）评标区门口位置</w:t>
            </w:r>
            <w:r>
              <w:rPr>
                <w:rFonts w:hint="eastAsia" w:ascii="仿宋" w:hAnsi="仿宋" w:eastAsia="仿宋" w:cs="仿宋"/>
                <w:color w:val="auto"/>
                <w:kern w:val="0"/>
                <w:sz w:val="24"/>
                <w:highlight w:val="none"/>
              </w:rPr>
              <w:t>；联系人：</w:t>
            </w:r>
            <w:r>
              <w:rPr>
                <w:rFonts w:hint="eastAsia" w:ascii="仿宋" w:hAnsi="仿宋" w:eastAsia="仿宋" w:cs="仿宋"/>
                <w:color w:val="auto"/>
                <w:kern w:val="0"/>
                <w:sz w:val="24"/>
                <w:highlight w:val="none"/>
                <w:lang w:eastAsia="zh-CN"/>
              </w:rPr>
              <w:t>杜江龙</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15058155265</w:t>
            </w:r>
            <w:r>
              <w:rPr>
                <w:rFonts w:hint="eastAsia" w:ascii="仿宋" w:hAnsi="仿宋" w:eastAsia="仿宋" w:cs="仿宋"/>
                <w:color w:val="auto"/>
                <w:kern w:val="0"/>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项目属性与核心产品</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b/>
                <w:bCs/>
                <w:color w:val="auto"/>
                <w:kern w:val="0"/>
                <w:sz w:val="24"/>
                <w:highlight w:val="none"/>
                <w:u w:val="single"/>
              </w:rPr>
              <w:t xml:space="preserve"> </w:t>
            </w:r>
            <w:r>
              <w:rPr>
                <w:rFonts w:hint="eastAsia" w:ascii="仿宋" w:hAnsi="仿宋" w:eastAsia="仿宋" w:cs="仿宋"/>
                <w:b/>
                <w:bCs/>
                <w:color w:val="auto"/>
                <w:kern w:val="0"/>
                <w:sz w:val="24"/>
                <w:highlight w:val="none"/>
                <w:u w:val="single"/>
                <w:lang w:val="en-US" w:eastAsia="zh-CN"/>
              </w:rPr>
              <w:t xml:space="preserve">智能燃气节能双眼大锅灶 </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817"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720"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采购标的对应的中小企业划分标准所属行业</w:t>
            </w:r>
          </w:p>
        </w:tc>
        <w:tc>
          <w:tcPr>
            <w:tcW w:w="6589"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大单星盆台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台式混水厨房龙头</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双层平板工作台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拖把池连拖把架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工具柜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单星盆台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感应龙头</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不锈钢六门更衣柜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智能燃气节能双眼大锅灶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智能燃气节能单眼大锅灶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燃气单眼炒灶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油烟净化一体机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 xml:space="preserve">调料台 </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双通打荷台柜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刀具砧板消毒柜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洗地龙头</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电子秤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风幕机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粘捕式灭蝇灯</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淘米机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燃气立式三层米饭机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四层平板货架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四门双温冰箱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顶开门冷柜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双门热风循环消毒柜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单门留样冰箱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四层格栅货架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29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平板推车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大米架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双星盆台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三星转角污碟台连残食孔</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洁碟台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揭盖式洗碗机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开水器连底座</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bidi w:val="0"/>
              <w:spacing w:line="240" w:lineRule="auto"/>
              <w:ind w:left="0" w:leftChars="0" w:firstLine="0" w:firstLineChars="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lang w:val="en-US" w:eastAsia="zh-CN"/>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eastAsia" w:ascii="仿宋" w:hAnsi="仿宋" w:eastAsia="仿宋" w:cs="仿宋"/>
                <w:color w:val="auto"/>
                <w:sz w:val="24"/>
                <w:highlight w:val="none"/>
                <w:lang w:val="en-US" w:eastAsia="zh-CN"/>
              </w:rPr>
            </w:pPr>
          </w:p>
          <w:p>
            <w:pPr>
              <w:pStyle w:val="62"/>
              <w:keepNext w:val="0"/>
              <w:keepLines w:val="0"/>
              <w:pageBreakBefore w:val="0"/>
              <w:widowControl w:val="0"/>
              <w:kinsoku/>
              <w:wordWrap/>
              <w:overflowPunct/>
              <w:topLinePunct w:val="0"/>
              <w:bidi w:val="0"/>
              <w:spacing w:line="240" w:lineRule="auto"/>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Style w:val="26"/>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highlight w:val="none"/>
              </w:rPr>
            </w:pPr>
          </w:p>
          <w:p>
            <w:pPr>
              <w:keepNext w:val="0"/>
              <w:keepLines w:val="0"/>
              <w:pageBreakBefore w:val="0"/>
              <w:widowControl w:val="0"/>
              <w:numPr>
                <w:ilvl w:val="0"/>
                <w:numId w:val="0"/>
              </w:numPr>
              <w:kinsoku/>
              <w:wordWrap/>
              <w:overflowPunct/>
              <w:topLinePunct w:val="0"/>
              <w:bidi w:val="0"/>
              <w:snapToGrid w:val="0"/>
              <w:spacing w:line="240" w:lineRule="auto"/>
              <w:ind w:leftChars="0"/>
              <w:textAlignment w:val="auto"/>
              <w:rPr>
                <w:rFonts w:hint="eastAsia" w:ascii="仿宋" w:hAnsi="仿宋" w:eastAsia="仿宋" w:cs="仿宋"/>
                <w:color w:val="auto"/>
                <w:highlight w:val="none"/>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54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hint="eastAsia" w:ascii="仿宋" w:hAnsi="仿宋" w:eastAsia="仿宋" w:cs="仿宋"/>
                <w:color w:val="auto"/>
                <w:sz w:val="24"/>
                <w:highlight w:val="none"/>
                <w:lang w:val="en-US" w:eastAsia="zh-CN"/>
              </w:rPr>
            </w:pPr>
          </w:p>
        </w:tc>
        <w:tc>
          <w:tcPr>
            <w:tcW w:w="1720" w:type="dxa"/>
            <w:vMerge w:val="continue"/>
            <w:tcBorders>
              <w:left w:val="single" w:color="000000" w:sz="2" w:space="0"/>
              <w:right w:val="single" w:color="000000" w:sz="8" w:space="0"/>
            </w:tcBorders>
            <w:vAlign w:val="center"/>
          </w:tcPr>
          <w:p>
            <w:pPr>
              <w:snapToGrid w:val="0"/>
              <w:spacing w:line="360" w:lineRule="auto"/>
              <w:rPr>
                <w:rFonts w:hint="eastAsia" w:ascii="仿宋" w:hAnsi="仿宋" w:eastAsia="仿宋" w:cs="仿宋"/>
                <w:b/>
                <w:color w:val="auto"/>
                <w:sz w:val="24"/>
                <w:highlight w:val="none"/>
              </w:rPr>
            </w:pP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四层沥水货架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智能燃气节能广式双眼炒灶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燃气四眼煲仔炉</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39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电力触摸屏万能蒸烤箱10盘连底座</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电热单眼蒸包炉</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木面工作台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面粉车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搅拌机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压面机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商用智能米糊豆浆机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和面机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49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烘手机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自动感应皂液器</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五斗保温售菜台柜连玻璃上罩</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电磁平扒炉连柜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拼台柜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电磁九孔煮面炉连柜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电磁四眼煲仔炉连柜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四门碗柜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保温送餐车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不锈钢滑道</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59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紫外线消毒灯</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单桶暖饭柜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托盘柜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双层回收车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双孔残食柜连桶车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柜式长洗手池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全自动感应取筷器</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2"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hint="eastAsia" w:ascii="仿宋" w:hAnsi="仿宋" w:eastAsia="仿宋" w:cs="仿宋"/>
                <w:color w:val="auto"/>
                <w:sz w:val="24"/>
                <w:highlight w:val="none"/>
                <w:lang w:val="en-US" w:eastAsia="zh-CN"/>
              </w:rPr>
            </w:pPr>
          </w:p>
        </w:tc>
        <w:tc>
          <w:tcPr>
            <w:tcW w:w="1720" w:type="dxa"/>
            <w:vMerge w:val="continue"/>
            <w:tcBorders>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b/>
                <w:color w:val="auto"/>
                <w:sz w:val="24"/>
                <w:highlight w:val="none"/>
              </w:rPr>
            </w:pP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全自动感应取勺器</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浸泡池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简易炉拼台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69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一大一小电磁炉</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单门电汽两用蒸饭车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电饼铛</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电蒸灶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单槽水池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淘米池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75：</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残食柜连桶车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挂墙刀具消毒柜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二层四盘智能电烤箱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78</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发酵箱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79</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四门高身储物柜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四门雪柜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81</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灭火系统单瓶组</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pStyle w:val="62"/>
              <w:keepNext w:val="0"/>
              <w:keepLines w:val="0"/>
              <w:pageBreakBefore w:val="0"/>
              <w:widowControl w:val="0"/>
              <w:kinsoku/>
              <w:wordWrap/>
              <w:overflowPunct/>
              <w:topLinePunct w:val="0"/>
              <w:autoSpaceDE/>
              <w:autoSpaceDN/>
              <w:bidi w:val="0"/>
              <w:snapToGrid/>
              <w:spacing w:line="240" w:lineRule="auto"/>
              <w:ind w:left="0" w:leftChars="0"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82</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不锈钢风管</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83</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灭火系统双瓶组</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84</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吊码</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85</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法兰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keepNext w:val="0"/>
              <w:keepLines w:val="0"/>
              <w:pageBreakBefore w:val="0"/>
              <w:widowControl w:val="0"/>
              <w:kinsoku/>
              <w:wordWrap/>
              <w:overflowPunct/>
              <w:topLinePunct w:val="0"/>
              <w:autoSpaceDE/>
              <w:autoSpaceDN/>
              <w:bidi w:val="0"/>
              <w:snapToGrid/>
              <w:spacing w:line="240"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86</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平板电瓶车带保温箱体</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行业 ；</w:t>
            </w:r>
          </w:p>
          <w:p>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标的</w:t>
            </w:r>
            <w:r>
              <w:rPr>
                <w:rFonts w:hint="eastAsia" w:ascii="仿宋" w:hAnsi="仿宋" w:eastAsia="仿宋" w:cs="仿宋"/>
                <w:color w:val="auto"/>
                <w:sz w:val="24"/>
                <w:highlight w:val="none"/>
                <w:lang w:val="en-US" w:eastAsia="zh-CN"/>
              </w:rPr>
              <w:t>87</w:t>
            </w:r>
            <w:r>
              <w:rPr>
                <w:rFonts w:hint="eastAsia" w:ascii="仿宋" w:hAnsi="仿宋" w:eastAsia="仿宋" w:cs="仿宋"/>
                <w:color w:val="auto"/>
                <w:sz w:val="24"/>
                <w:highlight w:val="none"/>
                <w:lang w:eastAsia="zh-CN"/>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平板电瓶车带箱体</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rPr>
              <w:t xml:space="preserve">行业 </w:t>
            </w:r>
            <w:r>
              <w:rPr>
                <w:rFonts w:hint="eastAsia" w:ascii="仿宋" w:hAnsi="仿宋" w:eastAsia="仿宋" w:cs="仿宋"/>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分包</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sym w:font="Wingdings" w:char="00FE"/>
            </w:r>
            <w:r>
              <w:rPr>
                <w:rFonts w:hint="eastAsia" w:ascii="仿宋" w:hAnsi="仿宋" w:eastAsia="仿宋" w:cs="仿宋"/>
                <w:color w:val="auto"/>
                <w:sz w:val="24"/>
                <w:szCs w:val="24"/>
                <w:highlight w:val="none"/>
              </w:rPr>
              <w:t>A同意将非主体、非关键性的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highlight w:val="none"/>
                <w:u w:val="single"/>
              </w:rPr>
              <w:t>设备运输</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工作分包。</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B不同意分包。</w:t>
            </w:r>
          </w:p>
          <w:p>
            <w:pPr>
              <w:snapToGrid w:val="0"/>
              <w:spacing w:line="360" w:lineRule="auto"/>
              <w:rPr>
                <w:rFonts w:hint="eastAsia" w:ascii="仿宋" w:hAnsi="仿宋" w:eastAsia="仿宋" w:cs="仿宋"/>
                <w:color w:val="auto"/>
                <w:kern w:val="0"/>
                <w:sz w:val="24"/>
                <w:highlight w:val="none"/>
                <w:lang w:eastAsia="zh-CN"/>
              </w:rPr>
            </w:pPr>
            <w:r>
              <w:rPr>
                <w:rFonts w:hint="eastAsia" w:ascii="仿宋" w:hAnsi="仿宋" w:eastAsia="仿宋" w:cs="仿宋"/>
                <w:color w:val="auto"/>
                <w:sz w:val="24"/>
                <w:szCs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1720"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589"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rPr>
                <w:rFonts w:hint="eastAsia" w:ascii="仿宋" w:hAnsi="仿宋" w:eastAsia="仿宋" w:cs="仿宋"/>
                <w:color w:val="auto"/>
                <w:highlight w:val="none"/>
              </w:rPr>
            </w:pPr>
          </w:p>
        </w:tc>
        <w:tc>
          <w:tcPr>
            <w:tcW w:w="1720" w:type="dxa"/>
            <w:vMerge w:val="continue"/>
            <w:tcBorders>
              <w:left w:val="single" w:color="000000" w:sz="2" w:space="0"/>
              <w:right w:val="single" w:color="000000" w:sz="8" w:space="0"/>
            </w:tcBorders>
            <w:vAlign w:val="center"/>
          </w:tcPr>
          <w:p>
            <w:pPr>
              <w:spacing w:line="360" w:lineRule="auto"/>
              <w:ind w:firstLine="420" w:firstLineChars="200"/>
              <w:rPr>
                <w:rFonts w:hint="eastAsia" w:ascii="仿宋" w:hAnsi="仿宋" w:eastAsia="仿宋" w:cs="仿宋"/>
                <w:color w:val="auto"/>
                <w:highlight w:val="none"/>
              </w:rPr>
            </w:pPr>
          </w:p>
        </w:tc>
        <w:tc>
          <w:tcPr>
            <w:tcW w:w="6589" w:type="dxa"/>
            <w:tcBorders>
              <w:top w:val="single" w:color="000000" w:sz="8" w:space="0"/>
              <w:left w:val="single" w:color="000000" w:sz="2" w:space="0"/>
              <w:right w:val="single" w:color="000000" w:sz="8" w:space="0"/>
            </w:tcBorders>
            <w:vAlign w:val="center"/>
          </w:tcPr>
          <w:p>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供应商中标后也可在“政采云”平台</w:t>
            </w:r>
            <w:r>
              <w:rPr>
                <w:rFonts w:hint="eastAsia" w:ascii="仿宋" w:hAnsi="仿宋" w:eastAsia="仿宋" w:cs="仿宋"/>
                <w:color w:val="auto"/>
                <w:kern w:val="0"/>
                <w:sz w:val="24"/>
                <w:highlight w:val="none"/>
                <w:lang w:eastAsia="zh-CN"/>
              </w:rPr>
              <w:t>（登录</w:t>
            </w:r>
            <w:r>
              <w:rPr>
                <w:rFonts w:hint="eastAsia" w:ascii="仿宋" w:hAnsi="仿宋" w:eastAsia="仿宋" w:cs="仿宋"/>
                <w:color w:val="auto"/>
                <w:kern w:val="0"/>
                <w:sz w:val="24"/>
                <w:highlight w:val="none"/>
              </w:rPr>
              <w:t>https://jinrong.zcygov.cn/?utm=a0017.b1540.ct001.11.3a0260f064fd11eba8f1adac56aaf47c</w:t>
            </w:r>
            <w:r>
              <w:rPr>
                <w:rFonts w:hint="eastAsia" w:ascii="仿宋" w:hAnsi="仿宋" w:eastAsia="仿宋" w:cs="仿宋"/>
                <w:color w:val="auto"/>
                <w:kern w:val="0"/>
                <w:sz w:val="24"/>
                <w:highlight w:val="none"/>
                <w:lang w:eastAsia="zh-CN"/>
              </w:rPr>
              <w:t>办理业务）</w:t>
            </w:r>
            <w:r>
              <w:rPr>
                <w:rFonts w:hint="eastAsia" w:ascii="仿宋" w:hAnsi="仿宋" w:eastAsia="仿宋" w:cs="仿宋"/>
                <w:color w:val="auto"/>
                <w:kern w:val="0"/>
                <w:sz w:val="24"/>
                <w:highlight w:val="none"/>
              </w:rPr>
              <w:t>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sz w:val="24"/>
                <w:highlight w:val="none"/>
                <w:u w:val="single"/>
              </w:rPr>
              <w:t xml:space="preserve"> 浙江省杭州市建德市新安江街道新安财富城6幢B座2104室 </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rPr>
              <w:t xml:space="preserve"> 杜江龙，15058155265 </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采购代理机构代理费用</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b/>
                <w:color w:val="auto"/>
                <w:kern w:val="0"/>
                <w:sz w:val="24"/>
                <w:szCs w:val="24"/>
                <w:highlight w:val="none"/>
              </w:rPr>
              <w:t>投标总</w:t>
            </w:r>
            <w:r>
              <w:rPr>
                <w:rFonts w:hint="eastAsia" w:ascii="仿宋" w:hAnsi="仿宋" w:eastAsia="仿宋" w:cs="仿宋"/>
                <w:b/>
                <w:bCs/>
                <w:color w:val="auto"/>
                <w:spacing w:val="-2"/>
                <w:sz w:val="24"/>
                <w:highlight w:val="none"/>
              </w:rPr>
              <w:t>报价应含采购服务费，采购服务费按照国家发展计划委员会计价格[2002]1980 号文《招标代理服务费管理暂行办法》及发改办价格[2003]857号文的收费标准（</w:t>
            </w:r>
            <w:r>
              <w:rPr>
                <w:rFonts w:hint="eastAsia" w:ascii="仿宋" w:hAnsi="仿宋" w:eastAsia="仿宋" w:cs="仿宋"/>
                <w:b/>
                <w:bCs/>
                <w:color w:val="auto"/>
                <w:spacing w:val="-2"/>
                <w:sz w:val="24"/>
                <w:highlight w:val="none"/>
                <w:lang w:eastAsia="zh-CN"/>
              </w:rPr>
              <w:t>货物类</w:t>
            </w:r>
            <w:r>
              <w:rPr>
                <w:rFonts w:hint="eastAsia" w:ascii="仿宋" w:hAnsi="仿宋" w:eastAsia="仿宋" w:cs="仿宋"/>
                <w:b/>
                <w:bCs/>
                <w:color w:val="auto"/>
                <w:spacing w:val="-2"/>
                <w:sz w:val="24"/>
                <w:highlight w:val="none"/>
              </w:rPr>
              <w:t>）计取，为</w:t>
            </w:r>
            <w:r>
              <w:rPr>
                <w:rFonts w:hint="eastAsia" w:ascii="仿宋" w:hAnsi="仿宋" w:eastAsia="仿宋" w:cs="仿宋"/>
                <w:b/>
                <w:bCs/>
                <w:color w:val="auto"/>
                <w:spacing w:val="-2"/>
                <w:sz w:val="24"/>
                <w:highlight w:val="none"/>
              </w:rPr>
              <w:fldChar w:fldCharType="begin"/>
            </w:r>
            <w:r>
              <w:rPr>
                <w:rFonts w:hint="eastAsia" w:ascii="仿宋" w:hAnsi="仿宋" w:eastAsia="仿宋" w:cs="仿宋"/>
                <w:b/>
                <w:bCs/>
                <w:color w:val="auto"/>
                <w:spacing w:val="-2"/>
                <w:sz w:val="24"/>
                <w:highlight w:val="none"/>
              </w:rPr>
              <w:instrText xml:space="preserve"> = 10500 \* CHINESENUM4 \* MERGEFORMAT </w:instrText>
            </w:r>
            <w:r>
              <w:rPr>
                <w:rFonts w:hint="eastAsia" w:ascii="仿宋" w:hAnsi="仿宋" w:eastAsia="仿宋" w:cs="仿宋"/>
                <w:b/>
                <w:bCs/>
                <w:color w:val="auto"/>
                <w:spacing w:val="-2"/>
                <w:sz w:val="24"/>
                <w:highlight w:val="none"/>
              </w:rPr>
              <w:fldChar w:fldCharType="separate"/>
            </w:r>
            <w:r>
              <w:rPr>
                <w:rFonts w:hint="eastAsia" w:ascii="仿宋" w:hAnsi="仿宋" w:eastAsia="仿宋" w:cs="仿宋"/>
                <w:b/>
                <w:bCs/>
                <w:color w:val="auto"/>
                <w:spacing w:val="-2"/>
                <w:sz w:val="24"/>
                <w:highlight w:val="none"/>
                <w:lang w:eastAsia="zh-CN"/>
              </w:rPr>
              <w:t>人民币</w:t>
            </w:r>
            <w:r>
              <w:rPr>
                <w:rFonts w:hint="eastAsia" w:ascii="仿宋" w:hAnsi="仿宋" w:eastAsia="仿宋" w:cs="仿宋"/>
                <w:b/>
                <w:bCs/>
                <w:color w:val="auto"/>
                <w:spacing w:val="-2"/>
                <w:sz w:val="24"/>
                <w:highlight w:val="none"/>
                <w:lang w:val="en-US" w:eastAsia="zh-CN"/>
              </w:rPr>
              <w:fldChar w:fldCharType="begin"/>
            </w:r>
            <w:r>
              <w:rPr>
                <w:rFonts w:hint="eastAsia" w:ascii="仿宋" w:hAnsi="仿宋" w:eastAsia="仿宋" w:cs="仿宋"/>
                <w:b/>
                <w:bCs/>
                <w:color w:val="auto"/>
                <w:spacing w:val="-2"/>
                <w:sz w:val="24"/>
                <w:highlight w:val="none"/>
                <w:lang w:val="en-US" w:eastAsia="zh-CN"/>
              </w:rPr>
              <w:instrText xml:space="preserve"> = 5850 \* CHINESENUM4 \* MERGEFORMAT </w:instrText>
            </w:r>
            <w:r>
              <w:rPr>
                <w:rFonts w:hint="eastAsia" w:ascii="仿宋" w:hAnsi="仿宋" w:eastAsia="仿宋" w:cs="仿宋"/>
                <w:b/>
                <w:bCs/>
                <w:color w:val="auto"/>
                <w:spacing w:val="-2"/>
                <w:sz w:val="24"/>
                <w:highlight w:val="none"/>
                <w:lang w:val="en-US" w:eastAsia="zh-CN"/>
              </w:rPr>
              <w:fldChar w:fldCharType="separate"/>
            </w:r>
            <w:r>
              <w:rPr>
                <w:rFonts w:hint="eastAsia" w:ascii="仿宋" w:hAnsi="仿宋" w:eastAsia="仿宋" w:cs="仿宋"/>
                <w:b/>
                <w:bCs/>
                <w:color w:val="auto"/>
                <w:spacing w:val="-2"/>
                <w:sz w:val="24"/>
                <w:highlight w:val="none"/>
                <w:lang w:val="en-US" w:eastAsia="zh-CN"/>
              </w:rPr>
              <w:t>壹万肆仟贰佰柒拾</w:t>
            </w:r>
            <w:r>
              <w:rPr>
                <w:rFonts w:hint="eastAsia" w:ascii="仿宋" w:hAnsi="仿宋" w:eastAsia="仿宋" w:cs="仿宋"/>
                <w:b/>
                <w:bCs/>
                <w:color w:val="auto"/>
                <w:spacing w:val="-2"/>
                <w:sz w:val="24"/>
                <w:highlight w:val="none"/>
              </w:rPr>
              <w:t>元整</w:t>
            </w:r>
            <w:r>
              <w:rPr>
                <w:rFonts w:hint="eastAsia" w:ascii="仿宋" w:hAnsi="仿宋" w:eastAsia="仿宋" w:cs="仿宋"/>
                <w:b/>
                <w:bCs/>
                <w:color w:val="auto"/>
                <w:spacing w:val="-2"/>
                <w:sz w:val="24"/>
                <w:highlight w:val="none"/>
                <w:lang w:val="en-US" w:eastAsia="zh-CN"/>
              </w:rPr>
              <w:fldChar w:fldCharType="end"/>
            </w:r>
            <w:r>
              <w:rPr>
                <w:rFonts w:hint="eastAsia" w:ascii="仿宋" w:hAnsi="仿宋" w:eastAsia="仿宋" w:cs="仿宋"/>
                <w:b/>
                <w:bCs/>
                <w:color w:val="auto"/>
                <w:spacing w:val="-2"/>
                <w:sz w:val="24"/>
                <w:highlight w:val="none"/>
              </w:rPr>
              <w:t>（￥</w:t>
            </w:r>
            <w:r>
              <w:rPr>
                <w:rFonts w:hint="eastAsia" w:ascii="仿宋" w:hAnsi="仿宋" w:eastAsia="仿宋" w:cs="仿宋"/>
                <w:b/>
                <w:bCs/>
                <w:color w:val="auto"/>
                <w:spacing w:val="-2"/>
                <w:sz w:val="24"/>
                <w:highlight w:val="none"/>
                <w:lang w:val="en-US" w:eastAsia="zh-CN"/>
              </w:rPr>
              <w:t>14270.00</w:t>
            </w:r>
            <w:r>
              <w:rPr>
                <w:rFonts w:hint="eastAsia" w:ascii="仿宋" w:hAnsi="仿宋" w:eastAsia="仿宋" w:cs="仿宋"/>
                <w:b/>
                <w:bCs/>
                <w:color w:val="auto"/>
                <w:spacing w:val="-2"/>
                <w:sz w:val="24"/>
                <w:highlight w:val="none"/>
              </w:rPr>
              <w:t>元）</w:t>
            </w:r>
            <w:r>
              <w:rPr>
                <w:rFonts w:hint="eastAsia" w:ascii="仿宋" w:hAnsi="仿宋" w:eastAsia="仿宋" w:cs="仿宋"/>
                <w:b/>
                <w:bCs/>
                <w:color w:val="auto"/>
                <w:spacing w:val="-2"/>
                <w:sz w:val="24"/>
                <w:highlight w:val="none"/>
              </w:rPr>
              <w:fldChar w:fldCharType="end"/>
            </w:r>
            <w:r>
              <w:rPr>
                <w:rFonts w:hint="eastAsia" w:ascii="仿宋" w:hAnsi="仿宋" w:eastAsia="仿宋" w:cs="仿宋"/>
                <w:b/>
                <w:bCs/>
                <w:color w:val="auto"/>
                <w:spacing w:val="-2"/>
                <w:sz w:val="24"/>
                <w:highlight w:val="none"/>
              </w:rPr>
              <w:t>。由中标单位在领取中标通知书时支付给采购代理公司。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40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违规责任</w:t>
            </w:r>
          </w:p>
        </w:tc>
        <w:tc>
          <w:tcPr>
            <w:tcW w:w="6589" w:type="dxa"/>
            <w:tcBorders>
              <w:top w:val="single" w:color="000000" w:sz="8" w:space="0"/>
              <w:left w:val="single" w:color="000000" w:sz="2" w:space="0"/>
              <w:bottom w:val="single" w:color="000000" w:sz="8" w:space="0"/>
              <w:right w:val="single" w:color="000000" w:sz="8" w:space="0"/>
            </w:tcBorders>
            <w:vAlign w:val="center"/>
          </w:tcPr>
          <w:p>
            <w:pPr>
              <w:pStyle w:val="35"/>
              <w:snapToGrid w:val="0"/>
              <w:spacing w:line="400" w:lineRule="exact"/>
              <w:rPr>
                <w:rFonts w:hint="eastAsia" w:ascii="仿宋" w:hAnsi="仿宋" w:eastAsia="仿宋" w:cs="仿宋"/>
                <w:b/>
                <w:color w:val="auto"/>
                <w:kern w:val="0"/>
                <w:sz w:val="24"/>
                <w:szCs w:val="24"/>
                <w:highlight w:val="none"/>
              </w:rPr>
            </w:pPr>
            <w:r>
              <w:rPr>
                <w:rFonts w:hint="eastAsia" w:ascii="仿宋" w:hAnsi="仿宋" w:eastAsia="仿宋" w:cs="仿宋"/>
                <w:snapToGrid w:val="0"/>
                <w:color w:val="auto"/>
                <w:kern w:val="28"/>
                <w:sz w:val="24"/>
                <w:szCs w:val="24"/>
                <w:highlight w:val="none"/>
                <w:lang w:val="en-US" w:eastAsia="zh-CN" w:bidi="ar-SA"/>
              </w:rPr>
              <w:t>供应商在政府采购活动中违反政府采购相关规定放弃中标（成交）资格的，采购组织机构有权要求其承担采购服务费和专家评审费等费用。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12</w:t>
            </w:r>
          </w:p>
        </w:tc>
        <w:tc>
          <w:tcPr>
            <w:tcW w:w="1720"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589"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联合体投标的或者以分包方式履行合同的，联合体各方（供应商与分包供应商）分别提供与联合体协议（分包意向协议）中规定的分工内容相应的业绩证明材料，业绩数量以提供材料较少的一方为准。</w:t>
            </w:r>
          </w:p>
          <w:p>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pPr>
              <w:pStyle w:val="3"/>
              <w:rPr>
                <w:rFonts w:hint="eastAsia" w:ascii="仿宋" w:hAnsi="仿宋" w:eastAsia="仿宋" w:cs="仿宋"/>
                <w:color w:val="auto"/>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hint="eastAsia" w:ascii="仿宋" w:hAnsi="仿宋" w:eastAsia="仿宋" w:cs="仿宋"/>
          <w:b/>
          <w:color w:val="auto"/>
          <w:sz w:val="32"/>
          <w:szCs w:val="20"/>
          <w:highlight w:val="none"/>
        </w:rPr>
      </w:pPr>
    </w:p>
    <w:bookmarkEnd w:id="10"/>
    <w:p>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2" w:name="第三部分"/>
      <w:bookmarkStart w:id="13" w:name="_Toc164416483"/>
      <w:r>
        <w:rPr>
          <w:rFonts w:hint="eastAsia" w:ascii="仿宋" w:hAnsi="仿宋" w:eastAsia="仿宋" w:cs="仿宋"/>
          <w:b/>
          <w:color w:val="auto"/>
          <w:sz w:val="32"/>
          <w:szCs w:val="20"/>
          <w:highlight w:val="none"/>
        </w:rPr>
        <w:t>一、总则</w:t>
      </w:r>
    </w:p>
    <w:p>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“采购机构”系指招标公告中载明的本项目的采购机构。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系指实质性要求条款，“★”系产品采购项目中单一产品或核心产品，“</w:t>
      </w:r>
      <w:sdt>
        <w:sdtPr>
          <w:rPr>
            <w:rFonts w:hint="eastAsia" w:ascii="仿宋" w:hAnsi="仿宋" w:eastAsia="仿宋" w:cs="仿宋"/>
            <w:color w:val="auto"/>
            <w:kern w:val="0"/>
            <w:sz w:val="24"/>
            <w:highlight w:val="none"/>
          </w:rPr>
          <w:id w:val="404888855"/>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 系指不适用本项目的要求。</w:t>
      </w:r>
    </w:p>
    <w:p>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3.3.2.2在工程采购项目中，工程由中小企业承建，即工程施工单位为中小企业；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3.5中小企业信用融资：</w:t>
      </w:r>
      <w:r>
        <w:rPr>
          <w:rFonts w:hint="eastAsia" w:ascii="仿宋" w:hAnsi="仿宋" w:eastAsia="仿宋" w:cs="仿宋"/>
          <w:color w:val="auto"/>
          <w:kern w:val="0"/>
          <w:sz w:val="24"/>
          <w:highlight w:val="none"/>
        </w:rPr>
        <w:t>为支持和促进中小企业发展，进一步发挥政府采购政策，建德市财政局、浙江银监局建德监管办事处、建德市人民政府金融工作办公室、市经济和信息化局共同出台了《建德市政府采购支持中小企业信用融资实施细则》，供应商若有融资意向，详见《政府采购支持中小企业信用融资相关事项通知》。具体可咨询建德市财政局采购办，联系电话：64718168；</w:t>
      </w:r>
      <w:r>
        <w:rPr>
          <w:rFonts w:hint="eastAsia" w:ascii="仿宋" w:hAnsi="仿宋" w:eastAsia="仿宋" w:cs="仿宋"/>
          <w:snapToGrid w:val="0"/>
          <w:color w:val="auto"/>
          <w:kern w:val="28"/>
          <w:sz w:val="24"/>
          <w:highlight w:val="none"/>
        </w:rPr>
        <w:t>供</w:t>
      </w:r>
      <w:r>
        <w:rPr>
          <w:rFonts w:hint="eastAsia" w:ascii="仿宋" w:hAnsi="仿宋" w:eastAsia="仿宋" w:cs="仿宋"/>
          <w:color w:val="auto"/>
          <w:kern w:val="0"/>
          <w:sz w:val="24"/>
          <w:highlight w:val="none"/>
        </w:rPr>
        <w:t>应商中标后也可在“政采云”平台</w:t>
      </w:r>
      <w:r>
        <w:rPr>
          <w:rFonts w:hint="eastAsia" w:ascii="仿宋" w:hAnsi="仿宋" w:eastAsia="仿宋" w:cs="仿宋"/>
          <w:color w:val="auto"/>
          <w:kern w:val="0"/>
          <w:sz w:val="24"/>
          <w:highlight w:val="none"/>
          <w:lang w:eastAsia="zh-CN"/>
        </w:rPr>
        <w:t>（登录</w:t>
      </w:r>
      <w:r>
        <w:rPr>
          <w:rFonts w:hint="eastAsia" w:ascii="仿宋" w:hAnsi="仿宋" w:eastAsia="仿宋" w:cs="仿宋"/>
          <w:color w:val="auto"/>
          <w:kern w:val="0"/>
          <w:sz w:val="24"/>
          <w:highlight w:val="none"/>
        </w:rPr>
        <w:t>https://jinrong.zcygov.cn/?utm=a0017.b1540.ct001.11.3a0260f064fd11eba8f1adac56aaf47c</w:t>
      </w:r>
      <w:r>
        <w:rPr>
          <w:rFonts w:hint="eastAsia" w:ascii="仿宋" w:hAnsi="仿宋" w:eastAsia="仿宋" w:cs="仿宋"/>
          <w:color w:val="auto"/>
          <w:kern w:val="0"/>
          <w:sz w:val="24"/>
          <w:highlight w:val="none"/>
          <w:lang w:eastAsia="zh-CN"/>
        </w:rPr>
        <w:t>办理业务）</w:t>
      </w:r>
      <w:r>
        <w:rPr>
          <w:rFonts w:hint="eastAsia" w:ascii="仿宋" w:hAnsi="仿宋" w:eastAsia="仿宋" w:cs="仿宋"/>
          <w:color w:val="auto"/>
          <w:kern w:val="0"/>
          <w:sz w:val="24"/>
          <w:highlight w:val="none"/>
        </w:rPr>
        <w:t>申请政采贷：操作路径：登录政采云平台 - 金融服务中心 -【融资服务】，可在热门申请中选择产品直接申请，也可点击云智贷匹配适合产品进行申请，或者在可申请项目中根据该项目进行申请。</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w:t>
      </w:r>
    </w:p>
    <w:p>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4.1供应商询问</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4.2供应商质疑</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4.2.2.1对招标文件提出质疑的，质疑期限为供应商获得招标文件之日或者招标文件公告期限届满之日起计算。</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4.2.2.2对采购过程提出质疑的，质疑期限为各采购程序环节结束之日起计算。对同一采购程序环节的质疑，供应商须一次性提出。</w:t>
      </w:r>
    </w:p>
    <w:p>
      <w:pPr>
        <w:pStyle w:val="3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4.2.2.3对采购结果提出质疑的，质疑期限自采购结果公告期限届满之日起计算。</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4.2.3</w:t>
      </w:r>
      <w:r>
        <w:rPr>
          <w:rFonts w:hint="eastAsia" w:ascii="仿宋" w:hAnsi="仿宋" w:eastAsia="仿宋" w:cs="仿宋"/>
          <w:color w:val="auto"/>
          <w:sz w:val="24"/>
          <w:highlight w:val="none"/>
        </w:rPr>
        <w:t>供应商提出质疑应当提交质疑函和必要的证明材料。质疑函应当包括下列内容：</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4.2.3.1供应商的姓名或者名称、地址、邮编、联系人及联系电话；</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4.2.3.2质疑项目的名称、编号；</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4.2.3.3具体、明确的质疑事项和与质疑事项相关的请求；</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4.2.3.4事实依据；</w:t>
      </w:r>
    </w:p>
    <w:p>
      <w:pPr>
        <w:pStyle w:val="35"/>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4.2.3.5必要的法律依据；</w:t>
      </w:r>
    </w:p>
    <w:p>
      <w:pPr>
        <w:pStyle w:val="35"/>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4.2.3.6提出质疑的日期。</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4.2</w:t>
      </w:r>
      <w:r>
        <w:rPr>
          <w:rFonts w:hint="eastAsia" w:ascii="仿宋" w:hAnsi="仿宋" w:eastAsia="仿宋" w:cs="仿宋"/>
          <w:color w:val="auto"/>
          <w:highlight w:val="none"/>
        </w:rPr>
        <w:t>.4采购人或者采购机构应当在收到供应商的书面质疑后七个工作日内作出答复，并以书面形式通知质疑供应商和其他与质疑处理结果有利害关系的政府采购当事人，但答复的内容不得涉及商业秘密。根据</w:t>
      </w:r>
      <w:r>
        <w:rPr>
          <w:rFonts w:hint="eastAsia" w:ascii="仿宋" w:hAnsi="仿宋" w:eastAsia="仿宋" w:cs="仿宋"/>
          <w:color w:val="auto"/>
          <w:highlight w:val="none"/>
          <w:lang w:eastAsia="zh-CN"/>
        </w:rPr>
        <w:t>建德市财政局关于转发“</w:t>
      </w:r>
      <w:r>
        <w:rPr>
          <w:rFonts w:hint="eastAsia" w:ascii="仿宋" w:hAnsi="仿宋" w:eastAsia="仿宋" w:cs="仿宋"/>
          <w:color w:val="auto"/>
          <w:highlight w:val="none"/>
        </w:rPr>
        <w:t>《杭州市财政局关于进一步加强政府采购信息公开优化营商环境的通知》（杭财采监〔2021〕17号）</w:t>
      </w:r>
      <w:r>
        <w:rPr>
          <w:rFonts w:hint="eastAsia" w:ascii="仿宋" w:hAnsi="仿宋" w:eastAsia="仿宋" w:cs="仿宋"/>
          <w:color w:val="auto"/>
          <w:highlight w:val="none"/>
          <w:lang w:eastAsia="zh-CN"/>
        </w:rPr>
        <w:t>”的通知（</w:t>
      </w:r>
      <w:r>
        <w:rPr>
          <w:rFonts w:hint="eastAsia" w:ascii="仿宋" w:hAnsi="仿宋" w:eastAsia="仿宋" w:cs="仿宋"/>
          <w:color w:val="auto"/>
          <w:szCs w:val="30"/>
          <w:highlight w:val="none"/>
          <w:lang w:val="en-US" w:eastAsia="zh-CN"/>
        </w:rPr>
        <w:t>建财采监〔2021〕68号</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,采购人或者采购机构在质疑回复后5个工作日内，在浙江政府采购网的“其他公告”栏目公开质疑答复，答复内容应当完整。质疑函作为附件上传。</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4.2</w:t>
      </w:r>
      <w:r>
        <w:rPr>
          <w:rFonts w:hint="eastAsia" w:ascii="仿宋" w:hAnsi="仿宋" w:eastAsia="仿宋" w:cs="仿宋"/>
          <w:color w:val="auto"/>
          <w:highlight w:val="none"/>
        </w:rPr>
        <w:t>.5询问或者质疑事项可能影响采购结果的，采购人应当暂停签订合同，已经签订合同的，应当中止履行合同。</w:t>
      </w:r>
    </w:p>
    <w:p>
      <w:pPr>
        <w:pStyle w:val="887"/>
        <w:shd w:val="clear" w:color="auto"/>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4.3供应商投诉</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4.3.3供应商投诉应当有明确的请求和必要的证明材料。</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4.3.5 以联合体形式参加政府采购活动的，其投诉应当由组成联合体的所有供应商共同提出。</w:t>
      </w:r>
    </w:p>
    <w:p>
      <w:pPr>
        <w:pStyle w:val="887"/>
        <w:shd w:val="clear" w:color="auto"/>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134"/>
        <w:snapToGrid w:val="0"/>
        <w:spacing w:before="0"/>
        <w:ind w:firstLine="360"/>
        <w:rPr>
          <w:rFonts w:hint="eastAsia" w:ascii="仿宋" w:hAnsi="仿宋" w:eastAsia="仿宋" w:cs="仿宋"/>
          <w:color w:val="auto"/>
          <w:sz w:val="18"/>
          <w:szCs w:val="18"/>
          <w:highlight w:val="none"/>
        </w:rPr>
      </w:pPr>
    </w:p>
    <w:p>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5"/>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6.1已获取招标文件的潜在投标人，若有问题需要澄清，应于投标截止时间前，以书面形式向采购机构提出。</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5"/>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5"/>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pPr>
        <w:pStyle w:val="15"/>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pPr>
        <w:numPr>
          <w:ilvl w:val="0"/>
          <w:numId w:val="0"/>
        </w:numPr>
        <w:snapToGrid w:val="0"/>
        <w:spacing w:line="360" w:lineRule="auto"/>
        <w:ind w:left="80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pPr>
        <w:numPr>
          <w:ilvl w:val="0"/>
          <w:numId w:val="0"/>
        </w:numPr>
        <w:snapToGrid w:val="0"/>
        <w:spacing w:line="360" w:lineRule="auto"/>
        <w:ind w:left="80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bookmarkStart w:id="14" w:name="_Hlk101259339"/>
      <w:r>
        <w:rPr>
          <w:rFonts w:hint="eastAsia" w:ascii="仿宋" w:hAnsi="仿宋" w:eastAsia="仿宋" w:cs="仿宋"/>
          <w:color w:val="auto"/>
          <w:sz w:val="24"/>
          <w:highlight w:val="none"/>
        </w:rPr>
        <w:t>联合协议</w:t>
      </w:r>
      <w:bookmarkStart w:id="15" w:name="_Hlk101257010"/>
      <w:r>
        <w:rPr>
          <w:rFonts w:hint="eastAsia" w:ascii="仿宋" w:hAnsi="仿宋" w:eastAsia="仿宋" w:cs="仿宋"/>
          <w:color w:val="auto"/>
          <w:sz w:val="24"/>
          <w:highlight w:val="none"/>
        </w:rPr>
        <w:t>（如果有)</w:t>
      </w:r>
      <w:bookmarkEnd w:id="14"/>
      <w:bookmarkEnd w:id="15"/>
      <w:r>
        <w:rPr>
          <w:rFonts w:hint="eastAsia" w:ascii="仿宋" w:hAnsi="仿宋" w:eastAsia="仿宋" w:cs="仿宋"/>
          <w:color w:val="auto"/>
          <w:sz w:val="24"/>
          <w:highlight w:val="none"/>
        </w:rPr>
        <w:t>；</w:t>
      </w:r>
    </w:p>
    <w:p>
      <w:pPr>
        <w:numPr>
          <w:ilvl w:val="0"/>
          <w:numId w:val="0"/>
        </w:numPr>
        <w:snapToGrid w:val="0"/>
        <w:spacing w:line="360" w:lineRule="auto"/>
        <w:ind w:left="800" w:lef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11.1.3</w:t>
      </w:r>
      <w:r>
        <w:rPr>
          <w:rFonts w:hint="eastAsia" w:ascii="仿宋" w:hAnsi="仿宋" w:eastAsia="仿宋" w:cs="仿宋"/>
          <w:color w:val="auto"/>
          <w:sz w:val="24"/>
          <w:highlight w:val="none"/>
          <w:lang w:eastAsia="zh-CN"/>
        </w:rPr>
        <w:t>中小企业声明函</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响应函；</w:t>
      </w:r>
      <w:r>
        <w:rPr>
          <w:rFonts w:hint="eastAsia" w:ascii="仿宋" w:hAnsi="仿宋" w:eastAsia="仿宋" w:cs="仿宋"/>
          <w:color w:val="auto"/>
          <w:sz w:val="24"/>
          <w:highlight w:val="none"/>
          <w:lang w:val="zh-CN"/>
        </w:rPr>
        <w:t xml:space="preserve"> </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授权委托书或法定代表人（单位负责人、自然人本人）身份证明；</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分包意向协议（如果有)；</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符合性审查资料；</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评标标准相应的商务技术资料；</w:t>
      </w:r>
    </w:p>
    <w:p>
      <w:pPr>
        <w:numPr>
          <w:ilvl w:val="2"/>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商务技术偏离表；</w:t>
      </w:r>
    </w:p>
    <w:p>
      <w:pPr>
        <w:numPr>
          <w:ilvl w:val="2"/>
          <w:numId w:val="1"/>
        </w:numPr>
        <w:snapToGrid w:val="0"/>
        <w:spacing w:line="360"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政府采购供应商廉洁自律承诺书。</w:t>
      </w:r>
    </w:p>
    <w:p>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spacing w:line="360" w:lineRule="auto"/>
        <w:ind w:firstLine="723" w:firstLineChars="3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pPr>
        <w:pStyle w:val="134"/>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pPr>
        <w:pStyle w:val="134"/>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4"/>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pPr>
        <w:pStyle w:val="134"/>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4"/>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4"/>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pPr>
        <w:pStyle w:val="35"/>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但采购人、采购机构不强制或变相强制投标人提交备份投标文件。</w:t>
      </w:r>
    </w:p>
    <w:p>
      <w:pPr>
        <w:pStyle w:val="35"/>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7" w:firstLineChars="199"/>
        <w:rPr>
          <w:rFonts w:hint="eastAsia" w:ascii="仿宋" w:hAnsi="仿宋" w:eastAsia="仿宋" w:cs="仿宋"/>
          <w:b/>
          <w:color w:val="auto"/>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15.5投标人仅提交备份投标文件，没有在电子交易平台传输递交投标文件的，投标无效。</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pPr>
        <w:pStyle w:val="16"/>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w:t>
      </w:r>
      <w:r>
        <w:rPr>
          <w:rFonts w:hint="eastAsia" w:ascii="仿宋" w:hAnsi="仿宋" w:eastAsia="仿宋" w:cs="仿宋"/>
          <w:color w:val="auto"/>
          <w:highlight w:val="none"/>
        </w:rPr>
        <w:t>第13项规定</w:t>
      </w:r>
      <w:r>
        <w:rPr>
          <w:rFonts w:hint="eastAsia" w:ascii="仿宋" w:hAnsi="仿宋" w:eastAsia="仿宋" w:cs="仿宋"/>
          <w:color w:val="auto"/>
          <w:szCs w:val="21"/>
          <w:highlight w:val="none"/>
        </w:rPr>
        <w:t>的情形之一的，投标无效：</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34"/>
        <w:spacing w:before="0"/>
        <w:ind w:firstLine="643"/>
        <w:rPr>
          <w:rFonts w:hint="eastAsia" w:ascii="仿宋" w:hAnsi="仿宋" w:eastAsia="仿宋" w:cs="仿宋"/>
          <w:b/>
          <w:color w:val="auto"/>
          <w:sz w:val="32"/>
          <w:highlight w:val="none"/>
        </w:rPr>
      </w:pPr>
    </w:p>
    <w:p>
      <w:pPr>
        <w:pStyle w:val="134"/>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556"/>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pPr>
        <w:pStyle w:val="556"/>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18.1采购机构按照招标文件规定的时间通过电子交易平台组织开标，所有投标人均应当准时在线参加。投标人不足3家的，不得开标。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19.1开标后，采购人或采购机构将依法对投标人的资格进行审查。</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采购人或采购机构依据法律法规和招标文件的规定，对投标人的基本资格条件、特定资格条件进行审查。</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19.3投标人未按照招标文件要求提供与</w:t>
      </w:r>
      <w:r>
        <w:rPr>
          <w:rFonts w:hint="eastAsia" w:ascii="仿宋" w:hAnsi="仿宋" w:eastAsia="仿宋" w:cs="仿宋"/>
          <w:color w:val="auto"/>
          <w:highlight w:val="none"/>
        </w:rPr>
        <w:t>基本资格条件、特定资格条件相应的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4对未通过资格审查的投标人，采购人或采购机构告知其未通过的原因。</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5合格投标人不足3家的，不再评标。</w:t>
      </w:r>
    </w:p>
    <w:p>
      <w:pPr>
        <w:pStyle w:val="134"/>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pPr>
        <w:pStyle w:val="134"/>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20.1信用信息查询渠道及截止时间：采购机构将通过“信用中国”网站(www.creditchina.gov.cn)、中国政府采购网(www.ccgp.gov.cn)渠道查询投标人投标截止时间当天的信用记录。</w:t>
      </w:r>
    </w:p>
    <w:p>
      <w:pPr>
        <w:pStyle w:val="134"/>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134"/>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4"/>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134"/>
        <w:spacing w:before="0"/>
        <w:ind w:firstLine="0" w:firstLineChars="0"/>
        <w:rPr>
          <w:rFonts w:hint="eastAsia" w:ascii="仿宋" w:hAnsi="仿宋" w:eastAsia="仿宋" w:cs="仿宋"/>
          <w:color w:val="auto"/>
          <w:kern w:val="0"/>
          <w:szCs w:val="24"/>
          <w:highlight w:val="none"/>
        </w:rPr>
      </w:pPr>
    </w:p>
    <w:p>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spacing w:line="360" w:lineRule="auto"/>
        <w:rPr>
          <w:rFonts w:hint="eastAsia" w:ascii="仿宋" w:hAnsi="仿宋" w:eastAsia="仿宋" w:cs="仿宋"/>
          <w:color w:val="auto"/>
          <w:sz w:val="24"/>
          <w:highlight w:val="none"/>
        </w:rPr>
      </w:pPr>
      <w:bookmarkStart w:id="16"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w:t>
      </w:r>
      <w:r>
        <w:rPr>
          <w:rFonts w:hint="eastAsia" w:ascii="仿宋" w:hAnsi="仿宋" w:eastAsia="仿宋" w:cs="仿宋"/>
          <w:color w:val="auto"/>
          <w:sz w:val="24"/>
          <w:highlight w:val="none"/>
          <w:lang w:eastAsia="zh-CN"/>
        </w:rPr>
        <w:t>排出</w:t>
      </w:r>
      <w:r>
        <w:rPr>
          <w:rFonts w:hint="eastAsia" w:ascii="仿宋" w:hAnsi="仿宋" w:eastAsia="仿宋" w:cs="仿宋"/>
          <w:color w:val="auto"/>
          <w:sz w:val="24"/>
          <w:highlight w:val="none"/>
        </w:rPr>
        <w:t>得分高低推荐中标单位。</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详见招标文件第四部分评标办法。</w:t>
      </w:r>
    </w:p>
    <w:p>
      <w:pPr>
        <w:spacing w:line="360" w:lineRule="auto"/>
        <w:rPr>
          <w:rFonts w:hint="eastAsia" w:ascii="仿宋" w:hAnsi="仿宋" w:eastAsia="仿宋" w:cs="仿宋"/>
          <w:b/>
          <w:color w:val="auto"/>
          <w:sz w:val="24"/>
          <w:highlight w:val="none"/>
        </w:rPr>
      </w:pPr>
    </w:p>
    <w:p>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pPr>
        <w:pStyle w:val="134"/>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kern w:val="2"/>
          <w:sz w:val="24"/>
          <w:szCs w:val="24"/>
          <w:highlight w:val="none"/>
          <w:lang w:val="en-US" w:eastAsia="zh-CN" w:bidi="ar-SA"/>
        </w:rPr>
        <w:t>本项目由采购人事先授权评标委员会确定预中标人。</w:t>
      </w:r>
    </w:p>
    <w:p>
      <w:pPr>
        <w:pStyle w:val="134"/>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pPr>
        <w:widowControl/>
        <w:shd w:val="clear" w:color="auto"/>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snapToGrid w:val="0"/>
        <w:spacing w:line="360" w:lineRule="auto"/>
        <w:ind w:left="120" w:leftChars="57" w:firstLine="482" w:firstLineChars="150"/>
        <w:jc w:val="center"/>
        <w:rPr>
          <w:rFonts w:hint="eastAsia" w:ascii="仿宋" w:hAnsi="仿宋" w:eastAsia="仿宋" w:cs="仿宋"/>
          <w:b/>
          <w:color w:val="auto"/>
          <w:sz w:val="32"/>
          <w:highlight w:val="none"/>
        </w:rPr>
      </w:pPr>
    </w:p>
    <w:p>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pPr>
        <w:widowControl/>
        <w:shd w:val="clear" w:color="auto"/>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34"/>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4"/>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16"/>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pPr>
        <w:tabs>
          <w:tab w:val="left" w:pos="0"/>
        </w:tabs>
        <w:spacing w:line="360" w:lineRule="auto"/>
        <w:ind w:firstLine="482"/>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%。鼓励和支持供应商以银行、保险公司出具的保函形式提供履约保证金。</w:t>
      </w:r>
      <w:r>
        <w:rPr>
          <w:rFonts w:hint="eastAsia" w:ascii="仿宋" w:hAnsi="仿宋" w:eastAsia="仿宋" w:cs="仿宋"/>
          <w:b/>
          <w:color w:val="auto"/>
          <w:sz w:val="24"/>
          <w:highlight w:val="none"/>
        </w:rPr>
        <w:t>采购人不得拒收履约保函。</w:t>
      </w:r>
    </w:p>
    <w:p>
      <w:pPr>
        <w:tabs>
          <w:tab w:val="left" w:pos="0"/>
        </w:tabs>
        <w:spacing w:line="360" w:lineRule="auto"/>
        <w:ind w:firstLine="482"/>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w:t>
      </w:r>
      <w:r>
        <w:rPr>
          <w:rFonts w:hint="eastAsia" w:ascii="仿宋" w:hAnsi="仿宋" w:eastAsia="仿宋" w:cs="仿宋"/>
          <w:color w:val="auto"/>
          <w:sz w:val="24"/>
          <w:szCs w:val="20"/>
          <w:highlight w:val="none"/>
          <w:lang w:val="en-US" w:eastAsia="zh-CN"/>
        </w:rPr>
        <w:t>0.5</w:t>
      </w:r>
      <w:r>
        <w:rPr>
          <w:rFonts w:hint="eastAsia" w:ascii="仿宋" w:hAnsi="仿宋" w:eastAsia="仿宋" w:cs="仿宋"/>
          <w:color w:val="auto"/>
          <w:sz w:val="24"/>
          <w:szCs w:val="20"/>
          <w:highlight w:val="none"/>
        </w:rPr>
        <w:t>%；评价总分在90分以下或者暂无评分的，收取履约保证金不得高于合同金额</w:t>
      </w:r>
      <w:r>
        <w:rPr>
          <w:rFonts w:hint="eastAsia" w:ascii="仿宋" w:hAnsi="仿宋" w:eastAsia="仿宋" w:cs="仿宋"/>
          <w:color w:val="auto"/>
          <w:sz w:val="24"/>
          <w:szCs w:val="20"/>
          <w:highlight w:val="none"/>
          <w:lang w:val="en-US" w:eastAsia="zh-CN"/>
        </w:rPr>
        <w:t>1</w:t>
      </w:r>
      <w:r>
        <w:rPr>
          <w:rFonts w:hint="eastAsia" w:ascii="仿宋" w:hAnsi="仿宋" w:eastAsia="仿宋" w:cs="仿宋"/>
          <w:color w:val="auto"/>
          <w:sz w:val="24"/>
          <w:szCs w:val="20"/>
          <w:highlight w:val="none"/>
        </w:rPr>
        <w:t>%。</w:t>
      </w:r>
    </w:p>
    <w:p>
      <w:pPr>
        <w:pStyle w:val="3"/>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 w:hAnsi="仿宋" w:eastAsia="仿宋" w:cs="仿宋"/>
          <w:b/>
          <w:color w:val="auto"/>
          <w:sz w:val="32"/>
          <w:highlight w:val="none"/>
        </w:rPr>
      </w:pPr>
    </w:p>
    <w:p>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134"/>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b/>
          <w:color w:val="auto"/>
          <w:szCs w:val="24"/>
          <w:highlight w:val="none"/>
        </w:rPr>
        <w:t>7.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pPr>
        <w:pStyle w:val="134"/>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pPr>
        <w:pStyle w:val="134"/>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color w:val="auto"/>
          <w:sz w:val="24"/>
          <w:highlight w:val="none"/>
        </w:rPr>
      </w:pPr>
    </w:p>
    <w:p>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16"/>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29.验收</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6"/>
    <w:p>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7" w:name="_Hlt75236011"/>
      <w:bookmarkEnd w:id="17"/>
      <w:bookmarkStart w:id="18" w:name="_Hlt68057669"/>
      <w:bookmarkEnd w:id="18"/>
      <w:bookmarkStart w:id="19" w:name="_Hlt68072998"/>
      <w:bookmarkEnd w:id="19"/>
      <w:bookmarkStart w:id="20" w:name="_Hlt68403820"/>
      <w:bookmarkEnd w:id="20"/>
      <w:bookmarkStart w:id="21" w:name="_Hlt74714665"/>
      <w:bookmarkEnd w:id="21"/>
      <w:bookmarkStart w:id="22" w:name="_Hlt68072990"/>
      <w:bookmarkEnd w:id="22"/>
      <w:bookmarkStart w:id="23" w:name="_Hlt75236290"/>
      <w:bookmarkEnd w:id="23"/>
      <w:bookmarkStart w:id="24" w:name="_Hlt74730295"/>
      <w:bookmarkEnd w:id="24"/>
      <w:bookmarkStart w:id="25" w:name="_Hlt74707468"/>
      <w:bookmarkEnd w:id="25"/>
      <w:bookmarkStart w:id="26" w:name="_Hlt74729768"/>
      <w:bookmarkEnd w:id="26"/>
      <w:bookmarkStart w:id="27" w:name="_Hlt68073093"/>
      <w:bookmarkEnd w:id="27"/>
      <w:bookmarkStart w:id="28" w:name="_Hlt75236101"/>
      <w:bookmarkEnd w:id="28"/>
    </w:p>
    <w:bookmarkEnd w:id="12"/>
    <w:bookmarkEnd w:id="13"/>
    <w:p>
      <w:pPr>
        <w:spacing w:line="360" w:lineRule="auto"/>
        <w:jc w:val="center"/>
        <w:outlineLvl w:val="0"/>
        <w:rPr>
          <w:rFonts w:hint="eastAsia" w:ascii="仿宋" w:hAnsi="仿宋" w:eastAsia="仿宋" w:cs="仿宋"/>
          <w:b/>
          <w:color w:val="auto"/>
          <w:sz w:val="36"/>
          <w:szCs w:val="36"/>
          <w:highlight w:val="none"/>
        </w:rPr>
      </w:pPr>
      <w:bookmarkStart w:id="29" w:name="第四部分"/>
      <w:r>
        <w:rPr>
          <w:rFonts w:hint="eastAsia" w:ascii="仿宋" w:hAnsi="仿宋" w:eastAsia="仿宋" w:cs="仿宋"/>
          <w:b/>
          <w:color w:val="auto"/>
          <w:sz w:val="36"/>
          <w:szCs w:val="36"/>
          <w:highlight w:val="none"/>
        </w:rPr>
        <w:t xml:space="preserve">第三部分   </w:t>
      </w:r>
      <w:r>
        <w:rPr>
          <w:rFonts w:hint="eastAsia" w:ascii="仿宋" w:hAnsi="仿宋" w:eastAsia="仿宋" w:cs="仿宋"/>
          <w:b/>
          <w:color w:val="auto"/>
          <w:sz w:val="36"/>
          <w:szCs w:val="36"/>
          <w:highlight w:val="none"/>
        </w:rPr>
        <w:t>采购需求</w:t>
      </w:r>
    </w:p>
    <w:p>
      <w:pPr>
        <w:widowControl/>
        <w:tabs>
          <w:tab w:val="left" w:pos="425"/>
          <w:tab w:val="left" w:pos="747"/>
        </w:tabs>
        <w:spacing w:before="120" w:beforeLines="50" w:after="120" w:afterLines="50" w:line="400" w:lineRule="exact"/>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一、采购内容</w:t>
      </w:r>
    </w:p>
    <w:tbl>
      <w:tblPr>
        <w:tblStyle w:val="6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3663"/>
        <w:gridCol w:w="3719"/>
        <w:gridCol w:w="984"/>
        <w:gridCol w:w="984"/>
        <w:gridCol w:w="2447"/>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15"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9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采购内容</w:t>
            </w:r>
          </w:p>
        </w:tc>
        <w:tc>
          <w:tcPr>
            <w:tcW w:w="131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主要服务技术要求</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868"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预算价（元）</w:t>
            </w:r>
          </w:p>
        </w:tc>
        <w:tc>
          <w:tcPr>
            <w:tcW w:w="39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15"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29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建德市看守所迁建工程厨房设备采购项目</w:t>
            </w:r>
          </w:p>
        </w:tc>
        <w:tc>
          <w:tcPr>
            <w:tcW w:w="131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详见“二、技术要求”</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批</w:t>
            </w:r>
          </w:p>
        </w:tc>
        <w:tc>
          <w:tcPr>
            <w:tcW w:w="349"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68" w:type="pct"/>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1490000.00</w:t>
            </w:r>
          </w:p>
        </w:tc>
        <w:tc>
          <w:tcPr>
            <w:tcW w:w="399" w:type="pct"/>
            <w:vAlign w:val="center"/>
          </w:tcPr>
          <w:p>
            <w:pPr>
              <w:widowControl/>
              <w:tabs>
                <w:tab w:val="left" w:pos="360"/>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000" w:type="pct"/>
            <w:gridSpan w:val="7"/>
            <w:vAlign w:val="center"/>
          </w:tcPr>
          <w:p>
            <w:pPr>
              <w:widowControl/>
              <w:tabs>
                <w:tab w:val="left" w:pos="360"/>
              </w:tabs>
              <w:spacing w:line="400" w:lineRule="exact"/>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rPr>
              <w:t>预算总价：</w:t>
            </w:r>
            <w:r>
              <w:rPr>
                <w:rFonts w:hint="eastAsia" w:ascii="仿宋" w:hAnsi="仿宋" w:eastAsia="仿宋" w:cs="仿宋"/>
                <w:b/>
                <w:bCs/>
                <w:color w:val="auto"/>
                <w:kern w:val="0"/>
                <w:sz w:val="24"/>
                <w:highlight w:val="none"/>
                <w:u w:val="single"/>
              </w:rPr>
              <w:t>人民币（大写）：</w:t>
            </w:r>
            <w:r>
              <w:rPr>
                <w:rFonts w:hint="eastAsia" w:ascii="仿宋" w:hAnsi="仿宋" w:eastAsia="仿宋" w:cs="仿宋"/>
                <w:b/>
                <w:bCs/>
                <w:color w:val="auto"/>
                <w:kern w:val="0"/>
                <w:sz w:val="24"/>
                <w:highlight w:val="none"/>
                <w:u w:val="single"/>
              </w:rPr>
              <w:fldChar w:fldCharType="begin"/>
            </w:r>
            <w:r>
              <w:rPr>
                <w:rFonts w:hint="eastAsia" w:ascii="仿宋" w:hAnsi="仿宋" w:eastAsia="仿宋" w:cs="仿宋"/>
                <w:b/>
                <w:bCs/>
                <w:color w:val="auto"/>
                <w:kern w:val="0"/>
                <w:sz w:val="24"/>
                <w:highlight w:val="none"/>
                <w:u w:val="single"/>
              </w:rPr>
              <w:instrText xml:space="preserve"> = 650000 \* CHINESENUM4 \* MERGEFORMAT </w:instrText>
            </w:r>
            <w:r>
              <w:rPr>
                <w:rFonts w:hint="eastAsia" w:ascii="仿宋" w:hAnsi="仿宋" w:eastAsia="仿宋" w:cs="仿宋"/>
                <w:b/>
                <w:bCs/>
                <w:color w:val="auto"/>
                <w:kern w:val="0"/>
                <w:sz w:val="24"/>
                <w:highlight w:val="none"/>
                <w:u w:val="single"/>
              </w:rPr>
              <w:fldChar w:fldCharType="separate"/>
            </w:r>
            <w:r>
              <w:rPr>
                <w:rFonts w:hint="eastAsia" w:ascii="仿宋" w:hAnsi="仿宋" w:eastAsia="仿宋" w:cs="仿宋"/>
                <w:b/>
                <w:bCs/>
                <w:color w:val="auto"/>
                <w:kern w:val="0"/>
                <w:sz w:val="24"/>
                <w:highlight w:val="none"/>
                <w:u w:val="single"/>
              </w:rPr>
              <w:t>壹佰肆拾玖万元整</w:t>
            </w:r>
            <w:r>
              <w:rPr>
                <w:rFonts w:hint="eastAsia" w:ascii="仿宋" w:hAnsi="仿宋" w:eastAsia="仿宋" w:cs="仿宋"/>
                <w:b/>
                <w:bCs/>
                <w:color w:val="auto"/>
                <w:kern w:val="0"/>
                <w:sz w:val="24"/>
                <w:highlight w:val="none"/>
                <w:u w:val="single"/>
              </w:rPr>
              <w:fldChar w:fldCharType="end"/>
            </w:r>
            <w:r>
              <w:rPr>
                <w:rFonts w:hint="eastAsia" w:ascii="仿宋" w:hAnsi="仿宋" w:eastAsia="仿宋" w:cs="仿宋"/>
                <w:b/>
                <w:bCs/>
                <w:color w:val="auto"/>
                <w:kern w:val="0"/>
                <w:sz w:val="24"/>
                <w:highlight w:val="none"/>
                <w:u w:val="single"/>
              </w:rPr>
              <w:t>（¥：1490000.00元）</w:t>
            </w:r>
          </w:p>
        </w:tc>
      </w:tr>
    </w:tbl>
    <w:p>
      <w:pPr>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 xml:space="preserve"> 以上金额包括设备的设计、制作、供货、包装、装卸运输、安装调试、备品备件、专用工具、保险、培训、税金、验收、辅助工作及售后服务等完成该项目的所有费用。</w:t>
      </w:r>
    </w:p>
    <w:p>
      <w:pPr>
        <w:widowControl/>
        <w:numPr>
          <w:ilvl w:val="0"/>
          <w:numId w:val="2"/>
        </w:numPr>
        <w:tabs>
          <w:tab w:val="left" w:pos="425"/>
          <w:tab w:val="left" w:pos="747"/>
        </w:tabs>
        <w:spacing w:before="120" w:beforeLines="50" w:after="120" w:afterLines="50" w:line="400" w:lineRule="exact"/>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技术要求</w:t>
      </w:r>
    </w:p>
    <w:p>
      <w:pPr>
        <w:pStyle w:val="26"/>
        <w:spacing w:line="400" w:lineRule="exact"/>
        <w:ind w:firstLine="0"/>
        <w:rPr>
          <w:rFonts w:ascii="仿宋" w:hAnsi="仿宋" w:eastAsia="仿宋" w:cs="仿宋"/>
          <w:b/>
          <w:bCs/>
          <w:color w:val="auto"/>
          <w:highlight w:val="none"/>
        </w:rPr>
      </w:pPr>
      <w:r>
        <w:rPr>
          <w:rFonts w:hint="eastAsia" w:ascii="仿宋" w:hAnsi="仿宋" w:eastAsia="仿宋" w:cs="仿宋"/>
          <w:b/>
          <w:bCs/>
          <w:color w:val="auto"/>
          <w:highlight w:val="none"/>
        </w:rPr>
        <w:t>（一）、采购清单</w:t>
      </w:r>
    </w:p>
    <w:tbl>
      <w:tblPr>
        <w:tblStyle w:val="63"/>
        <w:tblW w:w="5000" w:type="pct"/>
        <w:jc w:val="center"/>
        <w:tblLayout w:type="fixed"/>
        <w:tblCellMar>
          <w:top w:w="0" w:type="dxa"/>
          <w:left w:w="108" w:type="dxa"/>
          <w:bottom w:w="0" w:type="dxa"/>
          <w:right w:w="108" w:type="dxa"/>
        </w:tblCellMar>
      </w:tblPr>
      <w:tblGrid>
        <w:gridCol w:w="808"/>
        <w:gridCol w:w="892"/>
        <w:gridCol w:w="844"/>
        <w:gridCol w:w="720"/>
        <w:gridCol w:w="381"/>
        <w:gridCol w:w="7422"/>
        <w:gridCol w:w="775"/>
        <w:gridCol w:w="847"/>
        <w:gridCol w:w="1417"/>
      </w:tblGrid>
      <w:tr>
        <w:tblPrEx>
          <w:tblCellMar>
            <w:top w:w="0" w:type="dxa"/>
            <w:left w:w="108" w:type="dxa"/>
            <w:bottom w:w="0" w:type="dxa"/>
            <w:right w:w="108" w:type="dxa"/>
          </w:tblCellMar>
        </w:tblPrEx>
        <w:trPr>
          <w:trHeight w:val="555" w:hRule="atLeast"/>
          <w:jc w:val="center"/>
        </w:trPr>
        <w:tc>
          <w:tcPr>
            <w:tcW w:w="286" w:type="pct"/>
            <w:tcBorders>
              <w:top w:val="single" w:color="000000" w:sz="8" w:space="0"/>
              <w:left w:val="single" w:color="000000" w:sz="8"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4"/>
                <w:highlight w:val="none"/>
                <w:lang w:bidi="ar"/>
              </w:rPr>
              <w:t>编号</w:t>
            </w:r>
          </w:p>
        </w:tc>
        <w:tc>
          <w:tcPr>
            <w:tcW w:w="316"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4"/>
                <w:highlight w:val="none"/>
                <w:lang w:bidi="ar"/>
              </w:rPr>
              <w:t>产品名称</w:t>
            </w:r>
          </w:p>
        </w:tc>
        <w:tc>
          <w:tcPr>
            <w:tcW w:w="299"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规</w:t>
            </w:r>
            <w:r>
              <w:rPr>
                <w:rStyle w:val="330"/>
                <w:color w:val="auto"/>
                <w:highlight w:val="none"/>
                <w:lang w:bidi="ar"/>
              </w:rPr>
              <w:t xml:space="preserve">    </w:t>
            </w:r>
            <w:r>
              <w:rPr>
                <w:rFonts w:hint="eastAsia" w:ascii="仿宋" w:hAnsi="仿宋" w:eastAsia="仿宋" w:cs="仿宋"/>
                <w:b/>
                <w:bCs/>
                <w:color w:val="auto"/>
                <w:kern w:val="0"/>
                <w:sz w:val="24"/>
                <w:highlight w:val="none"/>
                <w:lang w:bidi="ar"/>
              </w:rPr>
              <w:t>格</w:t>
            </w:r>
            <w:r>
              <w:rPr>
                <w:rStyle w:val="330"/>
                <w:color w:val="auto"/>
                <w:highlight w:val="none"/>
                <w:lang w:bidi="ar"/>
              </w:rPr>
              <w:t xml:space="preserve"> </w:t>
            </w:r>
            <w:r>
              <w:rPr>
                <w:rFonts w:hint="eastAsia" w:ascii="仿宋" w:hAnsi="仿宋" w:eastAsia="仿宋" w:cs="仿宋"/>
                <w:b/>
                <w:bCs/>
                <w:color w:val="auto"/>
                <w:sz w:val="22"/>
                <w:szCs w:val="22"/>
                <w:highlight w:val="none"/>
              </w:rPr>
              <w:t>（mm）</w:t>
            </w:r>
            <w:r>
              <w:rPr>
                <w:rStyle w:val="330"/>
                <w:color w:val="auto"/>
                <w:highlight w:val="none"/>
                <w:lang w:bidi="ar"/>
              </w:rPr>
              <w:t xml:space="preserve"> </w:t>
            </w:r>
          </w:p>
        </w:tc>
        <w:tc>
          <w:tcPr>
            <w:tcW w:w="255"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数量</w:t>
            </w:r>
          </w:p>
        </w:tc>
        <w:tc>
          <w:tcPr>
            <w:tcW w:w="135"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单位</w:t>
            </w:r>
          </w:p>
        </w:tc>
        <w:tc>
          <w:tcPr>
            <w:tcW w:w="2630" w:type="pct"/>
            <w:tcBorders>
              <w:top w:val="single" w:color="000000" w:sz="8"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技术参数</w:t>
            </w:r>
          </w:p>
        </w:tc>
        <w:tc>
          <w:tcPr>
            <w:tcW w:w="274"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jc w:val="center"/>
              <w:textAlignment w:val="bottom"/>
              <w:rPr>
                <w:rFonts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预算单价（元）</w:t>
            </w:r>
          </w:p>
        </w:tc>
        <w:tc>
          <w:tcPr>
            <w:tcW w:w="300"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jc w:val="center"/>
              <w:textAlignment w:val="bottom"/>
              <w:rPr>
                <w:rFonts w:ascii="仿宋" w:hAnsi="仿宋" w:eastAsia="仿宋" w:cs="仿宋"/>
                <w:b/>
                <w:bCs/>
                <w:color w:val="auto"/>
                <w:kern w:val="0"/>
                <w:sz w:val="22"/>
                <w:szCs w:val="22"/>
                <w:highlight w:val="none"/>
                <w:lang w:bidi="ar"/>
              </w:rPr>
            </w:pPr>
            <w:r>
              <w:rPr>
                <w:rFonts w:hint="eastAsia" w:ascii="仿宋" w:hAnsi="仿宋" w:eastAsia="仿宋" w:cs="仿宋"/>
                <w:b/>
                <w:bCs/>
                <w:color w:val="auto"/>
                <w:kern w:val="0"/>
                <w:sz w:val="22"/>
                <w:szCs w:val="22"/>
                <w:highlight w:val="none"/>
                <w:lang w:bidi="ar"/>
              </w:rPr>
              <w:t>预算总价（元）</w:t>
            </w:r>
          </w:p>
        </w:tc>
        <w:tc>
          <w:tcPr>
            <w:tcW w:w="502" w:type="pct"/>
            <w:tcBorders>
              <w:top w:val="single" w:color="000000" w:sz="8" w:space="0"/>
              <w:left w:val="single" w:color="000000" w:sz="4" w:space="0"/>
              <w:bottom w:val="single" w:color="000000" w:sz="4" w:space="0"/>
              <w:right w:val="single" w:color="000000" w:sz="8" w:space="0"/>
            </w:tcBorders>
            <w:shd w:val="clear" w:color="auto" w:fill="auto"/>
            <w:noWrap/>
            <w:vAlign w:val="bottom"/>
          </w:tcPr>
          <w:p>
            <w:pPr>
              <w:widowControl/>
              <w:jc w:val="center"/>
              <w:textAlignment w:val="bottom"/>
              <w:rPr>
                <w:rFonts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lang w:bidi="ar"/>
              </w:rPr>
              <w:t>参考图片</w:t>
            </w:r>
          </w:p>
        </w:tc>
      </w:tr>
      <w:tr>
        <w:tblPrEx>
          <w:tblCellMar>
            <w:top w:w="0" w:type="dxa"/>
            <w:left w:w="108" w:type="dxa"/>
            <w:bottom w:w="0" w:type="dxa"/>
            <w:right w:w="108" w:type="dxa"/>
          </w:tblCellMar>
        </w:tblPrEx>
        <w:trPr>
          <w:trHeight w:val="499" w:hRule="atLeast"/>
          <w:jc w:val="center"/>
        </w:trPr>
        <w:tc>
          <w:tcPr>
            <w:tcW w:w="602" w:type="pct"/>
            <w:gridSpan w:val="2"/>
            <w:tcBorders>
              <w:top w:val="single" w:color="000000" w:sz="4" w:space="0"/>
              <w:left w:val="single" w:color="000000" w:sz="8" w:space="0"/>
              <w:bottom w:val="single" w:color="000000" w:sz="4" w:space="0"/>
              <w:right w:val="single" w:color="000000" w:sz="4" w:space="0"/>
            </w:tcBorders>
            <w:shd w:val="clear" w:color="auto" w:fill="auto"/>
            <w:vAlign w:val="bottom"/>
          </w:tcPr>
          <w:p>
            <w:pPr>
              <w:widowControl/>
              <w:jc w:val="left"/>
              <w:textAlignment w:val="bottom"/>
              <w:rPr>
                <w:rFonts w:ascii="仿宋" w:hAnsi="仿宋" w:eastAsia="仿宋" w:cs="仿宋"/>
                <w:b/>
                <w:bCs/>
                <w:color w:val="auto"/>
                <w:sz w:val="40"/>
                <w:szCs w:val="40"/>
                <w:highlight w:val="none"/>
              </w:rPr>
            </w:pPr>
            <w:r>
              <w:rPr>
                <w:rFonts w:hint="eastAsia" w:ascii="仿宋" w:hAnsi="仿宋" w:eastAsia="仿宋" w:cs="仿宋"/>
                <w:b/>
                <w:bCs/>
                <w:color w:val="auto"/>
                <w:kern w:val="0"/>
                <w:sz w:val="40"/>
                <w:szCs w:val="40"/>
                <w:highlight w:val="none"/>
                <w:lang w:bidi="ar"/>
              </w:rPr>
              <w:t>一楼</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仿宋" w:hAnsi="仿宋" w:eastAsia="仿宋" w:cs="仿宋"/>
                <w:b/>
                <w:bCs/>
                <w:color w:val="auto"/>
                <w:sz w:val="22"/>
                <w:szCs w:val="22"/>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center"/>
              <w:rPr>
                <w:rFonts w:ascii="仿宋" w:hAnsi="仿宋" w:eastAsia="仿宋" w:cs="仿宋"/>
                <w:b/>
                <w:bCs/>
                <w:color w:val="auto"/>
                <w:sz w:val="22"/>
                <w:szCs w:val="22"/>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center"/>
              <w:rPr>
                <w:rFonts w:ascii="仿宋" w:hAnsi="仿宋" w:eastAsia="仿宋" w:cs="仿宋"/>
                <w:b/>
                <w:bCs/>
                <w:color w:val="auto"/>
                <w:sz w:val="22"/>
                <w:szCs w:val="22"/>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bottom"/>
          </w:tcPr>
          <w:p>
            <w:pPr>
              <w:jc w:val="center"/>
              <w:rPr>
                <w:rFonts w:ascii="仿宋" w:hAnsi="仿宋" w:eastAsia="仿宋" w:cs="仿宋"/>
                <w:b/>
                <w:bCs/>
                <w:color w:val="auto"/>
                <w:sz w:val="22"/>
                <w:szCs w:val="22"/>
                <w:highlight w:val="none"/>
              </w:rPr>
            </w:pP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粗加工、清洗区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1312" behindDoc="0" locked="0" layoutInCell="1" allowOverlap="1">
                  <wp:simplePos x="0" y="0"/>
                  <wp:positionH relativeFrom="column">
                    <wp:posOffset>10160</wp:posOffset>
                  </wp:positionH>
                  <wp:positionV relativeFrom="paragraph">
                    <wp:posOffset>234315</wp:posOffset>
                  </wp:positionV>
                  <wp:extent cx="752475" cy="602615"/>
                  <wp:effectExtent l="0" t="0" r="9525" b="6985"/>
                  <wp:wrapNone/>
                  <wp:docPr id="35" name="图片_35"/>
                  <wp:cNvGraphicFramePr/>
                  <a:graphic xmlns:a="http://schemas.openxmlformats.org/drawingml/2006/main">
                    <a:graphicData uri="http://schemas.openxmlformats.org/drawingml/2006/picture">
                      <pic:pic xmlns:pic="http://schemas.openxmlformats.org/drawingml/2006/picture">
                        <pic:nvPicPr>
                          <pic:cNvPr id="35" name="图片_35"/>
                          <pic:cNvPicPr/>
                        </pic:nvPicPr>
                        <pic:blipFill>
                          <a:blip r:embed="rId22"/>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2336" behindDoc="0" locked="0" layoutInCell="1" allowOverlap="1">
                  <wp:simplePos x="0" y="0"/>
                  <wp:positionH relativeFrom="column">
                    <wp:posOffset>57150</wp:posOffset>
                  </wp:positionH>
                  <wp:positionV relativeFrom="paragraph">
                    <wp:posOffset>30480</wp:posOffset>
                  </wp:positionV>
                  <wp:extent cx="704215" cy="584200"/>
                  <wp:effectExtent l="0" t="0" r="635" b="6350"/>
                  <wp:wrapNone/>
                  <wp:docPr id="15" name="图片_8"/>
                  <wp:cNvGraphicFramePr/>
                  <a:graphic xmlns:a="http://schemas.openxmlformats.org/drawingml/2006/main">
                    <a:graphicData uri="http://schemas.openxmlformats.org/drawingml/2006/picture">
                      <pic:pic xmlns:pic="http://schemas.openxmlformats.org/drawingml/2006/picture">
                        <pic:nvPicPr>
                          <pic:cNvPr id="15" name="图片_8"/>
                          <pic:cNvPicPr/>
                        </pic:nvPicPr>
                        <pic:blipFill>
                          <a:blip r:embed="rId23"/>
                          <a:stretch>
                            <a:fillRect/>
                          </a:stretch>
                        </pic:blipFill>
                        <pic:spPr>
                          <a:xfrm>
                            <a:off x="0" y="0"/>
                            <a:ext cx="704215"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1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采用SUS304-2B优质发纹贴塑不锈钢板制做，面板板厚δ≥1.2，下层板板厚δ≥1.0，加强筋全部采用板厚δ≥1.0不锈钢板制作，面板4根，下层板2根，立柱采用φ38X1.2不锈钢管材，配全钢可调子弹脚。</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不锈钢工作台通过QB/T 2139.3-1995</w:t>
            </w:r>
            <w:r>
              <w:rPr>
                <w:rFonts w:hint="eastAsia" w:ascii="仿宋" w:hAnsi="仿宋" w:eastAsia="仿宋" w:cs="仿宋"/>
                <w:color w:val="auto"/>
                <w:kern w:val="0"/>
                <w:sz w:val="20"/>
                <w:szCs w:val="20"/>
                <w:highlight w:val="none"/>
                <w:lang w:eastAsia="zh-CN" w:bidi="ar"/>
              </w:rPr>
              <w:t>不锈钢厨房设备操作台</w:t>
            </w:r>
            <w:r>
              <w:rPr>
                <w:rFonts w:hint="eastAsia" w:ascii="仿宋" w:hAnsi="仿宋" w:eastAsia="仿宋" w:cs="仿宋"/>
                <w:color w:val="auto"/>
                <w:kern w:val="0"/>
                <w:sz w:val="20"/>
                <w:szCs w:val="20"/>
                <w:highlight w:val="none"/>
                <w:lang w:bidi="ar"/>
              </w:rPr>
              <w:t>标准</w:t>
            </w:r>
            <w:r>
              <w:rPr>
                <w:rFonts w:hint="eastAsia" w:ascii="仿宋" w:hAnsi="仿宋" w:eastAsia="仿宋" w:cs="仿宋"/>
                <w:color w:val="auto"/>
                <w:kern w:val="0"/>
                <w:sz w:val="20"/>
                <w:szCs w:val="20"/>
                <w:highlight w:val="none"/>
                <w:lang w:bidi="ar"/>
              </w:rPr>
              <w:t>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3360" behindDoc="0" locked="0" layoutInCell="1" allowOverlap="1">
                  <wp:simplePos x="0" y="0"/>
                  <wp:positionH relativeFrom="column">
                    <wp:posOffset>48260</wp:posOffset>
                  </wp:positionH>
                  <wp:positionV relativeFrom="paragraph">
                    <wp:posOffset>131445</wp:posOffset>
                  </wp:positionV>
                  <wp:extent cx="744220" cy="548640"/>
                  <wp:effectExtent l="0" t="0" r="17780" b="3810"/>
                  <wp:wrapNone/>
                  <wp:docPr id="16" name="图片_32"/>
                  <wp:cNvGraphicFramePr/>
                  <a:graphic xmlns:a="http://schemas.openxmlformats.org/drawingml/2006/main">
                    <a:graphicData uri="http://schemas.openxmlformats.org/drawingml/2006/picture">
                      <pic:pic xmlns:pic="http://schemas.openxmlformats.org/drawingml/2006/picture">
                        <pic:nvPicPr>
                          <pic:cNvPr id="16" name="图片_32"/>
                          <pic:cNvPicPr/>
                        </pic:nvPicPr>
                        <pic:blipFill>
                          <a:blip r:embed="rId24"/>
                          <a:stretch>
                            <a:fillRect/>
                          </a:stretch>
                        </pic:blipFill>
                        <pic:spPr>
                          <a:xfrm>
                            <a:off x="0" y="0"/>
                            <a:ext cx="744220" cy="548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拖把池连拖把架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1200*700*（500+1500）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4384" behindDoc="0" locked="0" layoutInCell="1" allowOverlap="1">
                  <wp:simplePos x="0" y="0"/>
                  <wp:positionH relativeFrom="column">
                    <wp:posOffset>86360</wp:posOffset>
                  </wp:positionH>
                  <wp:positionV relativeFrom="paragraph">
                    <wp:posOffset>141605</wp:posOffset>
                  </wp:positionV>
                  <wp:extent cx="608330" cy="639445"/>
                  <wp:effectExtent l="0" t="0" r="1270" b="8255"/>
                  <wp:wrapNone/>
                  <wp:docPr id="17" name="图片_9"/>
                  <wp:cNvGraphicFramePr/>
                  <a:graphic xmlns:a="http://schemas.openxmlformats.org/drawingml/2006/main">
                    <a:graphicData uri="http://schemas.openxmlformats.org/drawingml/2006/picture">
                      <pic:pic xmlns:pic="http://schemas.openxmlformats.org/drawingml/2006/picture">
                        <pic:nvPicPr>
                          <pic:cNvPr id="17" name="图片_9"/>
                          <pic:cNvPicPr/>
                        </pic:nvPicPr>
                        <pic:blipFill>
                          <a:blip r:embed="rId25"/>
                          <a:stretch>
                            <a:fillRect/>
                          </a:stretch>
                        </pic:blipFill>
                        <pic:spPr>
                          <a:xfrm>
                            <a:off x="0" y="0"/>
                            <a:ext cx="608330" cy="639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工具柜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采用SUS304-2B优质发纹贴塑不锈钢板制做，板厚≥1.2mm，侧板、底板厚≥0.9mm，层板厚≥0.9mm，门板厚≥0.9mm，后背板厚≥0.7mm，挂式不锈钢移门，配Φ50*150不锈钢重力脚。</w:t>
            </w:r>
          </w:p>
          <w:p>
            <w:pPr>
              <w:widowControl/>
              <w:jc w:val="left"/>
              <w:textAlignment w:val="center"/>
              <w:rPr>
                <w:rFonts w:hint="eastAsia" w:ascii="仿宋" w:hAnsi="仿宋" w:eastAsia="仿宋" w:cs="仿宋"/>
                <w:color w:val="auto"/>
                <w:kern w:val="0"/>
                <w:sz w:val="20"/>
                <w:szCs w:val="20"/>
                <w:highlight w:val="none"/>
                <w:lang w:bidi="ar"/>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5408" behindDoc="0" locked="0" layoutInCell="1" allowOverlap="1">
                  <wp:simplePos x="0" y="0"/>
                  <wp:positionH relativeFrom="column">
                    <wp:posOffset>38100</wp:posOffset>
                  </wp:positionH>
                  <wp:positionV relativeFrom="paragraph">
                    <wp:posOffset>113030</wp:posOffset>
                  </wp:positionV>
                  <wp:extent cx="723265" cy="725170"/>
                  <wp:effectExtent l="0" t="0" r="635" b="17780"/>
                  <wp:wrapNone/>
                  <wp:docPr id="19" name="图片_11"/>
                  <wp:cNvGraphicFramePr/>
                  <a:graphic xmlns:a="http://schemas.openxmlformats.org/drawingml/2006/main">
                    <a:graphicData uri="http://schemas.openxmlformats.org/drawingml/2006/picture">
                      <pic:pic xmlns:pic="http://schemas.openxmlformats.org/drawingml/2006/picture">
                        <pic:nvPicPr>
                          <pic:cNvPr id="19" name="图片_11"/>
                          <pic:cNvPicPr/>
                        </pic:nvPicPr>
                        <pic:blipFill>
                          <a:blip r:embed="rId26"/>
                          <a:stretch>
                            <a:fillRect/>
                          </a:stretch>
                        </pic:blipFill>
                        <pic:spPr>
                          <a:xfrm>
                            <a:off x="0" y="0"/>
                            <a:ext cx="723265" cy="725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更衣室</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7456" behindDoc="0" locked="0" layoutInCell="1" allowOverlap="1">
                  <wp:simplePos x="0" y="0"/>
                  <wp:positionH relativeFrom="column">
                    <wp:posOffset>-23495</wp:posOffset>
                  </wp:positionH>
                  <wp:positionV relativeFrom="paragraph">
                    <wp:posOffset>852170</wp:posOffset>
                  </wp:positionV>
                  <wp:extent cx="555625" cy="479425"/>
                  <wp:effectExtent l="0" t="0" r="15875" b="15875"/>
                  <wp:wrapNone/>
                  <wp:docPr id="21" name="图片_4"/>
                  <wp:cNvGraphicFramePr/>
                  <a:graphic xmlns:a="http://schemas.openxmlformats.org/drawingml/2006/main">
                    <a:graphicData uri="http://schemas.openxmlformats.org/drawingml/2006/picture">
                      <pic:pic xmlns:pic="http://schemas.openxmlformats.org/drawingml/2006/picture">
                        <pic:nvPicPr>
                          <pic:cNvPr id="21" name="图片_4"/>
                          <pic:cNvPicPr/>
                        </pic:nvPicPr>
                        <pic:blipFill>
                          <a:blip r:embed="rId27"/>
                          <a:stretch>
                            <a:fillRect/>
                          </a:stretch>
                        </pic:blipFill>
                        <pic:spPr>
                          <a:xfrm>
                            <a:off x="0" y="0"/>
                            <a:ext cx="555625" cy="479425"/>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6432" behindDoc="0" locked="0" layoutInCell="1" allowOverlap="1">
                  <wp:simplePos x="0" y="0"/>
                  <wp:positionH relativeFrom="column">
                    <wp:posOffset>114300</wp:posOffset>
                  </wp:positionH>
                  <wp:positionV relativeFrom="paragraph">
                    <wp:posOffset>81915</wp:posOffset>
                  </wp:positionV>
                  <wp:extent cx="619125" cy="777875"/>
                  <wp:effectExtent l="0" t="0" r="9525" b="3175"/>
                  <wp:wrapNone/>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28"/>
                          <a:stretch>
                            <a:fillRect/>
                          </a:stretch>
                        </pic:blipFill>
                        <pic:spPr>
                          <a:xfrm>
                            <a:off x="0" y="0"/>
                            <a:ext cx="619125" cy="777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不锈钢六门更衣柜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900*350*1800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top"/>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 SUS304-2B 优质发纹贴塑不锈钢板制做，板厚≥1.0mm，带锁。</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8480" behindDoc="0" locked="0" layoutInCell="1" allowOverlap="1">
                  <wp:simplePos x="0" y="0"/>
                  <wp:positionH relativeFrom="column">
                    <wp:posOffset>133350</wp:posOffset>
                  </wp:positionH>
                  <wp:positionV relativeFrom="paragraph">
                    <wp:posOffset>29210</wp:posOffset>
                  </wp:positionV>
                  <wp:extent cx="488315" cy="466725"/>
                  <wp:effectExtent l="0" t="0" r="6985" b="9525"/>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29"/>
                          <a:stretch>
                            <a:fillRect/>
                          </a:stretch>
                        </pic:blipFill>
                        <pic:spPr>
                          <a:xfrm>
                            <a:off x="0" y="0"/>
                            <a:ext cx="488315"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烹饪间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2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智能燃气节能双眼大锅灶（</w:t>
            </w:r>
            <w:r>
              <w:rPr>
                <w:rFonts w:hint="eastAsia" w:ascii="仿宋" w:hAnsi="仿宋" w:eastAsia="仿宋" w:cs="仿宋"/>
                <w:color w:val="auto"/>
                <w:sz w:val="24"/>
                <w:highlight w:val="none"/>
              </w:rPr>
              <w:t>★</w:t>
            </w:r>
            <w:r>
              <w:rPr>
                <w:rFonts w:hint="eastAsia" w:ascii="仿宋" w:hAnsi="仿宋" w:eastAsia="仿宋" w:cs="仿宋"/>
                <w:b/>
                <w:bCs/>
                <w:color w:val="auto"/>
                <w:kern w:val="0"/>
                <w:sz w:val="20"/>
                <w:szCs w:val="20"/>
                <w:highlight w:val="none"/>
                <w:lang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板厚δ≥1.2mm，台面一次压制成型。外旁板、门及后立板板厚δ≥1.0mm，龙骨架国标5#角钢，衬板热轧钢板厚δ≥2.0mm，红丹二度防锈处理，台面20mm厚硅酸铝板隔热层，灶身双层热轧钢板，隔热层厚40mm，炉膛50mm厚耐高温材料围砌，后背出烟，配820mm翻边黑锅，采用金蟾智能控制系统，配节能预混式静音炉头、熄火保护装置，国内名牌鼓风机，配φ60mm可调节脚。</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燃气灶具通过GB 35848-2018（商用燃气燃烧器具）、GB 30531-2014（商用燃气灶具能效限定值及能效等级）标准、产品带有熄火保护装置、运行噪音低于61db（A）的检测并提供检测报告</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燃气灶具内置电动机绕组的绝缘电阻通过在常态下≥50MΩ、在热态下≥5MΩ的检测并提供检测报告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69504" behindDoc="0" locked="0" layoutInCell="1" allowOverlap="1">
                  <wp:simplePos x="0" y="0"/>
                  <wp:positionH relativeFrom="column">
                    <wp:posOffset>19050</wp:posOffset>
                  </wp:positionH>
                  <wp:positionV relativeFrom="paragraph">
                    <wp:posOffset>731520</wp:posOffset>
                  </wp:positionV>
                  <wp:extent cx="750570" cy="554355"/>
                  <wp:effectExtent l="0" t="0" r="11430" b="17145"/>
                  <wp:wrapNone/>
                  <wp:docPr id="23" name="图片_52"/>
                  <wp:cNvGraphicFramePr/>
                  <a:graphic xmlns:a="http://schemas.openxmlformats.org/drawingml/2006/main">
                    <a:graphicData uri="http://schemas.openxmlformats.org/drawingml/2006/picture">
                      <pic:pic xmlns:pic="http://schemas.openxmlformats.org/drawingml/2006/picture">
                        <pic:nvPicPr>
                          <pic:cNvPr id="23" name="图片_52"/>
                          <pic:cNvPicPr/>
                        </pic:nvPicPr>
                        <pic:blipFill>
                          <a:blip r:embed="rId30"/>
                          <a:stretch>
                            <a:fillRect/>
                          </a:stretch>
                        </pic:blipFill>
                        <pic:spPr>
                          <a:xfrm>
                            <a:off x="0" y="0"/>
                            <a:ext cx="750570" cy="5543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2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智能燃气节能单眼大锅灶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mm，台面一次压制成型。外旁板、门及后立板板厚δ≥1.0mm，龙骨架国标5#角钢，衬板热轧钢板厚δ≥2.0mm，红丹二度防锈处理，台面20mm厚硅酸铝板隔热层，灶身双层热轧钢板，隔热层厚40mm，炉膛50mm厚耐高温材料围砌，后背出烟，配820mm翻边黑锅，采用金蟾智能控制系统，配节能预混式静音炉头、熄火保护装置，国内名牌鼓风机，配φ60mm可调节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0528" behindDoc="0" locked="0" layoutInCell="1" allowOverlap="1">
                  <wp:simplePos x="0" y="0"/>
                  <wp:positionH relativeFrom="column">
                    <wp:posOffset>19050</wp:posOffset>
                  </wp:positionH>
                  <wp:positionV relativeFrom="paragraph">
                    <wp:posOffset>659130</wp:posOffset>
                  </wp:positionV>
                  <wp:extent cx="788670" cy="666750"/>
                  <wp:effectExtent l="0" t="0" r="11430" b="0"/>
                  <wp:wrapNone/>
                  <wp:docPr id="24" name="图片_87"/>
                  <wp:cNvGraphicFramePr/>
                  <a:graphic xmlns:a="http://schemas.openxmlformats.org/drawingml/2006/main">
                    <a:graphicData uri="http://schemas.openxmlformats.org/drawingml/2006/picture">
                      <pic:pic xmlns:pic="http://schemas.openxmlformats.org/drawingml/2006/picture">
                        <pic:nvPicPr>
                          <pic:cNvPr id="24" name="图片_87"/>
                          <pic:cNvPicPr/>
                        </pic:nvPicPr>
                        <pic:blipFill>
                          <a:blip r:embed="rId31"/>
                          <a:stretch>
                            <a:fillRect/>
                          </a:stretch>
                        </pic:blipFill>
                        <pic:spPr>
                          <a:xfrm>
                            <a:off x="0" y="0"/>
                            <a:ext cx="788670" cy="6667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5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燃气单眼炒灶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灶圈口径φ570，面板板厚δ≥1.2，台面一次压制成型。外旁板、门及后立板板厚δ≥1.0，龙骨架国标5#角钢，衬板热轧钢板厚δ≥2.0，红丹二度防锈处理，台面20厚硅酸铝板隔热层，灶身双层热轧钢板，隔热层厚40，炉膛50厚耐高温材料围砌，配节能炉头，国内名牌鼓风机，配φ60可调节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1552" behindDoc="0" locked="0" layoutInCell="1" allowOverlap="1">
                  <wp:simplePos x="0" y="0"/>
                  <wp:positionH relativeFrom="column">
                    <wp:posOffset>105410</wp:posOffset>
                  </wp:positionH>
                  <wp:positionV relativeFrom="paragraph">
                    <wp:posOffset>387350</wp:posOffset>
                  </wp:positionV>
                  <wp:extent cx="593090" cy="619125"/>
                  <wp:effectExtent l="0" t="0" r="16510" b="9525"/>
                  <wp:wrapNone/>
                  <wp:docPr id="115" name="图片_47"/>
                  <wp:cNvGraphicFramePr/>
                  <a:graphic xmlns:a="http://schemas.openxmlformats.org/drawingml/2006/main">
                    <a:graphicData uri="http://schemas.openxmlformats.org/drawingml/2006/picture">
                      <pic:pic xmlns:pic="http://schemas.openxmlformats.org/drawingml/2006/picture">
                        <pic:nvPicPr>
                          <pic:cNvPr id="115" name="图片_47"/>
                          <pic:cNvPicPr/>
                        </pic:nvPicPr>
                        <pic:blipFill>
                          <a:blip r:embed="rId32"/>
                          <a:stretch>
                            <a:fillRect/>
                          </a:stretch>
                        </pic:blipFill>
                        <pic:spPr>
                          <a:xfrm>
                            <a:off x="0" y="0"/>
                            <a:ext cx="593090" cy="6191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5900*1300*1370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5.9</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highlight w:val="none"/>
                <w:lang w:eastAsia="zh-CN"/>
              </w:rPr>
            </w:pPr>
          </w:p>
          <w:p>
            <w:pPr>
              <w:widowControl/>
              <w:jc w:val="left"/>
              <w:textAlignment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highlight w:val="none"/>
              </w:rPr>
            </w:pPr>
            <w:r>
              <w:rPr>
                <w:rFonts w:hint="eastAsia" w:ascii="仿宋" w:hAnsi="仿宋" w:eastAsia="仿宋" w:cs="仿宋"/>
                <w:color w:val="auto"/>
                <w:highlight w:val="none"/>
              </w:rPr>
              <w:t>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w:t>
            </w:r>
            <w:r>
              <w:rPr>
                <w:rFonts w:hint="eastAsia" w:ascii="仿宋" w:hAnsi="仿宋" w:eastAsia="仿宋" w:cs="仿宋"/>
                <w:color w:val="auto"/>
                <w:kern w:val="0"/>
                <w:sz w:val="20"/>
                <w:szCs w:val="20"/>
                <w:highlight w:val="none"/>
                <w:lang w:bidi="ar"/>
              </w:rPr>
              <w:t xml:space="preserve">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81420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2576" behindDoc="0" locked="0" layoutInCell="1" allowOverlap="1">
                  <wp:simplePos x="0" y="0"/>
                  <wp:positionH relativeFrom="column">
                    <wp:posOffset>-3810</wp:posOffset>
                  </wp:positionH>
                  <wp:positionV relativeFrom="paragraph">
                    <wp:posOffset>283845</wp:posOffset>
                  </wp:positionV>
                  <wp:extent cx="743585" cy="508000"/>
                  <wp:effectExtent l="0" t="0" r="18415" b="6350"/>
                  <wp:wrapNone/>
                  <wp:docPr id="116" name="图片_119"/>
                  <wp:cNvGraphicFramePr/>
                  <a:graphic xmlns:a="http://schemas.openxmlformats.org/drawingml/2006/main">
                    <a:graphicData uri="http://schemas.openxmlformats.org/drawingml/2006/picture">
                      <pic:pic xmlns:pic="http://schemas.openxmlformats.org/drawingml/2006/picture">
                        <pic:nvPicPr>
                          <pic:cNvPr id="116" name="图片_119"/>
                          <pic:cNvPicPr/>
                        </pic:nvPicPr>
                        <pic:blipFill>
                          <a:blip r:embed="rId33"/>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3600" behindDoc="0" locked="0" layoutInCell="1" allowOverlap="1">
                  <wp:simplePos x="0" y="0"/>
                  <wp:positionH relativeFrom="column">
                    <wp:posOffset>76200</wp:posOffset>
                  </wp:positionH>
                  <wp:positionV relativeFrom="paragraph">
                    <wp:posOffset>219710</wp:posOffset>
                  </wp:positionV>
                  <wp:extent cx="685165" cy="684530"/>
                  <wp:effectExtent l="0" t="0" r="635" b="1270"/>
                  <wp:wrapNone/>
                  <wp:docPr id="117" name="图片_54"/>
                  <wp:cNvGraphicFramePr/>
                  <a:graphic xmlns:a="http://schemas.openxmlformats.org/drawingml/2006/main">
                    <a:graphicData uri="http://schemas.openxmlformats.org/drawingml/2006/picture">
                      <pic:pic xmlns:pic="http://schemas.openxmlformats.org/drawingml/2006/picture">
                        <pic:nvPicPr>
                          <pic:cNvPr id="117" name="图片_54"/>
                          <pic:cNvPicPr/>
                        </pic:nvPicPr>
                        <pic:blipFill>
                          <a:blip r:embed="rId34"/>
                          <a:stretch>
                            <a:fillRect/>
                          </a:stretch>
                        </pic:blipFill>
                        <pic:spPr>
                          <a:xfrm>
                            <a:off x="0" y="0"/>
                            <a:ext cx="685165" cy="684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400*1200*（800+450）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4624" behindDoc="0" locked="0" layoutInCell="1" allowOverlap="1">
                  <wp:simplePos x="0" y="0"/>
                  <wp:positionH relativeFrom="column">
                    <wp:posOffset>95250</wp:posOffset>
                  </wp:positionH>
                  <wp:positionV relativeFrom="paragraph">
                    <wp:posOffset>179705</wp:posOffset>
                  </wp:positionV>
                  <wp:extent cx="685165" cy="685165"/>
                  <wp:effectExtent l="0" t="0" r="635" b="635"/>
                  <wp:wrapNone/>
                  <wp:docPr id="118" name="图片_54_SpCnt_1"/>
                  <wp:cNvGraphicFramePr/>
                  <a:graphic xmlns:a="http://schemas.openxmlformats.org/drawingml/2006/main">
                    <a:graphicData uri="http://schemas.openxmlformats.org/drawingml/2006/picture">
                      <pic:pic xmlns:pic="http://schemas.openxmlformats.org/drawingml/2006/picture">
                        <pic:nvPicPr>
                          <pic:cNvPr id="118" name="图片_54_SpCnt_1"/>
                          <pic:cNvPicPr/>
                        </pic:nvPicPr>
                        <pic:blipFill>
                          <a:blip r:embed="rId35"/>
                          <a:stretch>
                            <a:fillRect/>
                          </a:stretch>
                        </pic:blipFill>
                        <pic:spPr>
                          <a:xfrm>
                            <a:off x="0" y="0"/>
                            <a:ext cx="685165"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不锈钢水池通过GB/T 11170-2008（不锈钢 多元素含量的测定 火花放电原子发射光谱法（常规法））、GB 31604.49-2016（食品安全国家标准 食品接触材料及制品 砷、镉、铬、铅的测定和砷、镉、铬、镍、铅、锑、锌迁移量的测定）、GB/T 6461-2002（金属基体上金属和其他无机覆盖层 经腐蚀试验后的试样和试件的评级）检测标准、通过GB 4806.9-2016（食品安全国家标准《食品接触用金属材料及制品》），GB/T 3280-2015（不锈钢冷轧钢板和钢带）标准检测，通过50g/L氯化钠溶液且盐雾试验≥96h的检测并提供检测报告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5648" behindDoc="0" locked="0" layoutInCell="1" allowOverlap="1">
                  <wp:simplePos x="0" y="0"/>
                  <wp:positionH relativeFrom="column">
                    <wp:posOffset>48260</wp:posOffset>
                  </wp:positionH>
                  <wp:positionV relativeFrom="paragraph">
                    <wp:posOffset>152400</wp:posOffset>
                  </wp:positionV>
                  <wp:extent cx="752475" cy="602615"/>
                  <wp:effectExtent l="0" t="0" r="9525" b="6985"/>
                  <wp:wrapNone/>
                  <wp:docPr id="119" name="图片_35_SpCnt_1"/>
                  <wp:cNvGraphicFramePr/>
                  <a:graphic xmlns:a="http://schemas.openxmlformats.org/drawingml/2006/main">
                    <a:graphicData uri="http://schemas.openxmlformats.org/drawingml/2006/picture">
                      <pic:pic xmlns:pic="http://schemas.openxmlformats.org/drawingml/2006/picture">
                        <pic:nvPicPr>
                          <pic:cNvPr id="119" name="图片_35_SpCnt_1"/>
                          <pic:cNvPicPr/>
                        </pic:nvPicPr>
                        <pic:blipFill>
                          <a:blip r:embed="rId36"/>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6672" behindDoc="0" locked="0" layoutInCell="1" allowOverlap="1">
                  <wp:simplePos x="0" y="0"/>
                  <wp:positionH relativeFrom="column">
                    <wp:posOffset>48260</wp:posOffset>
                  </wp:positionH>
                  <wp:positionV relativeFrom="paragraph">
                    <wp:posOffset>10160</wp:posOffset>
                  </wp:positionV>
                  <wp:extent cx="703580" cy="584200"/>
                  <wp:effectExtent l="0" t="0" r="1270" b="6350"/>
                  <wp:wrapNone/>
                  <wp:docPr id="120" name="图片_8_SpCnt_2"/>
                  <wp:cNvGraphicFramePr/>
                  <a:graphic xmlns:a="http://schemas.openxmlformats.org/drawingml/2006/main">
                    <a:graphicData uri="http://schemas.openxmlformats.org/drawingml/2006/picture">
                      <pic:pic xmlns:pic="http://schemas.openxmlformats.org/drawingml/2006/picture">
                        <pic:nvPicPr>
                          <pic:cNvPr id="120" name="图片_8_SpCnt_2"/>
                          <pic:cNvPicPr/>
                        </pic:nvPicPr>
                        <pic:blipFill>
                          <a:blip r:embed="rId37"/>
                          <a:stretch>
                            <a:fillRect/>
                          </a:stretch>
                        </pic:blipFill>
                        <pic:spPr>
                          <a:xfrm>
                            <a:off x="0" y="0"/>
                            <a:ext cx="703580"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7696" behindDoc="0" locked="0" layoutInCell="1" allowOverlap="1">
                  <wp:simplePos x="0" y="0"/>
                  <wp:positionH relativeFrom="column">
                    <wp:posOffset>38100</wp:posOffset>
                  </wp:positionH>
                  <wp:positionV relativeFrom="paragraph">
                    <wp:posOffset>229235</wp:posOffset>
                  </wp:positionV>
                  <wp:extent cx="741680" cy="522605"/>
                  <wp:effectExtent l="0" t="0" r="1270" b="10795"/>
                  <wp:wrapNone/>
                  <wp:docPr id="121" name="图片_55"/>
                  <wp:cNvGraphicFramePr/>
                  <a:graphic xmlns:a="http://schemas.openxmlformats.org/drawingml/2006/main">
                    <a:graphicData uri="http://schemas.openxmlformats.org/drawingml/2006/picture">
                      <pic:pic xmlns:pic="http://schemas.openxmlformats.org/drawingml/2006/picture">
                        <pic:nvPicPr>
                          <pic:cNvPr id="121" name="图片_55"/>
                          <pic:cNvPicPr/>
                        </pic:nvPicPr>
                        <pic:blipFill>
                          <a:blip r:embed="rId38"/>
                          <a:stretch>
                            <a:fillRect/>
                          </a:stretch>
                        </pic:blipFill>
                        <pic:spPr>
                          <a:xfrm>
                            <a:off x="0" y="0"/>
                            <a:ext cx="741680" cy="5226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刀具砧板消毒柜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1200*600*1800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采用优质不锈钢制，玻璃纤维隔热材料，双温度控制器，定时开关、继电器；采用热风循环消毒。</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8720" behindDoc="0" locked="0" layoutInCell="1" allowOverlap="1">
                  <wp:simplePos x="0" y="0"/>
                  <wp:positionH relativeFrom="column">
                    <wp:posOffset>190500</wp:posOffset>
                  </wp:positionH>
                  <wp:positionV relativeFrom="paragraph">
                    <wp:posOffset>37465</wp:posOffset>
                  </wp:positionV>
                  <wp:extent cx="448310" cy="548005"/>
                  <wp:effectExtent l="0" t="0" r="8890" b="4445"/>
                  <wp:wrapNone/>
                  <wp:docPr id="122" name="图片_6_SpCnt_1"/>
                  <wp:cNvGraphicFramePr/>
                  <a:graphic xmlns:a="http://schemas.openxmlformats.org/drawingml/2006/main">
                    <a:graphicData uri="http://schemas.openxmlformats.org/drawingml/2006/picture">
                      <pic:pic xmlns:pic="http://schemas.openxmlformats.org/drawingml/2006/picture">
                        <pic:nvPicPr>
                          <pic:cNvPr id="122" name="图片_6_SpCnt_1"/>
                          <pic:cNvPicPr/>
                        </pic:nvPicPr>
                        <pic:blipFill>
                          <a:blip r:embed="rId39"/>
                          <a:stretch>
                            <a:fillRect/>
                          </a:stretch>
                        </pic:blipFill>
                        <pic:spPr>
                          <a:xfrm>
                            <a:off x="0" y="0"/>
                            <a:ext cx="448310" cy="5480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79744" behindDoc="0" locked="0" layoutInCell="1" allowOverlap="1">
                  <wp:simplePos x="0" y="0"/>
                  <wp:positionH relativeFrom="column">
                    <wp:posOffset>86360</wp:posOffset>
                  </wp:positionH>
                  <wp:positionV relativeFrom="paragraph">
                    <wp:posOffset>38100</wp:posOffset>
                  </wp:positionV>
                  <wp:extent cx="647700" cy="584200"/>
                  <wp:effectExtent l="0" t="0" r="0" b="6350"/>
                  <wp:wrapNone/>
                  <wp:docPr id="123" name="图片_19"/>
                  <wp:cNvGraphicFramePr/>
                  <a:graphic xmlns:a="http://schemas.openxmlformats.org/drawingml/2006/main">
                    <a:graphicData uri="http://schemas.openxmlformats.org/drawingml/2006/picture">
                      <pic:pic xmlns:pic="http://schemas.openxmlformats.org/drawingml/2006/picture">
                        <pic:nvPicPr>
                          <pic:cNvPr id="123" name="图片_19"/>
                          <pic:cNvPicPr/>
                        </pic:nvPicPr>
                        <pic:blipFill>
                          <a:blip r:embed="rId40"/>
                          <a:stretch>
                            <a:fillRect/>
                          </a:stretch>
                        </pic:blipFill>
                        <pic:spPr>
                          <a:xfrm>
                            <a:off x="0" y="0"/>
                            <a:ext cx="647700" cy="584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5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电子秤</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300KG</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参考品牌：华德；大川；友声</w:t>
            </w: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采用高精度传感器和微电脑技术，称量准确。具有简易计数，计重及百分比，检校HI，OK，LO，滤波稳定范围设定，自动校正，零点追踪，双重过载保护，全段去皮，预去皮，运送保护点等功能。</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0768" behindDoc="0" locked="0" layoutInCell="1" allowOverlap="1">
                  <wp:simplePos x="0" y="0"/>
                  <wp:positionH relativeFrom="column">
                    <wp:posOffset>19050</wp:posOffset>
                  </wp:positionH>
                  <wp:positionV relativeFrom="paragraph">
                    <wp:posOffset>151765</wp:posOffset>
                  </wp:positionV>
                  <wp:extent cx="814070" cy="559435"/>
                  <wp:effectExtent l="0" t="0" r="5080" b="12065"/>
                  <wp:wrapNone/>
                  <wp:docPr id="124" name="图片_16"/>
                  <wp:cNvGraphicFramePr/>
                  <a:graphic xmlns:a="http://schemas.openxmlformats.org/drawingml/2006/main">
                    <a:graphicData uri="http://schemas.openxmlformats.org/drawingml/2006/picture">
                      <pic:pic xmlns:pic="http://schemas.openxmlformats.org/drawingml/2006/picture">
                        <pic:nvPicPr>
                          <pic:cNvPr id="124" name="图片_16"/>
                          <pic:cNvPicPr/>
                        </pic:nvPicPr>
                        <pic:blipFill>
                          <a:blip r:embed="rId41"/>
                          <a:stretch>
                            <a:fillRect/>
                          </a:stretch>
                        </pic:blipFill>
                        <pic:spPr>
                          <a:xfrm>
                            <a:off x="0" y="0"/>
                            <a:ext cx="814070"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风幕机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L=1500MM</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参考品牌：绿岛风；松下；美奈</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说明：电机功率：383W,风口风速:最高≥11m/s，最低≥9m/s，风量：≥1710m3/H,噪音:≤59Hz。</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1792" behindDoc="0" locked="0" layoutInCell="1" allowOverlap="1">
                  <wp:simplePos x="0" y="0"/>
                  <wp:positionH relativeFrom="column">
                    <wp:posOffset>19050</wp:posOffset>
                  </wp:positionH>
                  <wp:positionV relativeFrom="paragraph">
                    <wp:posOffset>113665</wp:posOffset>
                  </wp:positionV>
                  <wp:extent cx="807720" cy="354965"/>
                  <wp:effectExtent l="0" t="0" r="11430" b="6985"/>
                  <wp:wrapNone/>
                  <wp:docPr id="65" name="图片_17"/>
                  <wp:cNvGraphicFramePr/>
                  <a:graphic xmlns:a="http://schemas.openxmlformats.org/drawingml/2006/main">
                    <a:graphicData uri="http://schemas.openxmlformats.org/drawingml/2006/picture">
                      <pic:pic xmlns:pic="http://schemas.openxmlformats.org/drawingml/2006/picture">
                        <pic:nvPicPr>
                          <pic:cNvPr id="65" name="图片_17"/>
                          <pic:cNvPicPr/>
                        </pic:nvPicPr>
                        <pic:blipFill>
                          <a:blip r:embed="rId42"/>
                          <a:stretch>
                            <a:fillRect/>
                          </a:stretch>
                        </pic:blipFill>
                        <pic:spPr>
                          <a:xfrm>
                            <a:off x="0" y="0"/>
                            <a:ext cx="807720" cy="354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2816" behindDoc="0" locked="0" layoutInCell="1" allowOverlap="1">
                  <wp:simplePos x="0" y="0"/>
                  <wp:positionH relativeFrom="column">
                    <wp:posOffset>48260</wp:posOffset>
                  </wp:positionH>
                  <wp:positionV relativeFrom="paragraph">
                    <wp:posOffset>48260</wp:posOffset>
                  </wp:positionV>
                  <wp:extent cx="693420" cy="541020"/>
                  <wp:effectExtent l="0" t="0" r="11430" b="11430"/>
                  <wp:wrapNone/>
                  <wp:docPr id="66" name="图片_62"/>
                  <wp:cNvGraphicFramePr/>
                  <a:graphic xmlns:a="http://schemas.openxmlformats.org/drawingml/2006/main">
                    <a:graphicData uri="http://schemas.openxmlformats.org/drawingml/2006/picture">
                      <pic:pic xmlns:pic="http://schemas.openxmlformats.org/drawingml/2006/picture">
                        <pic:nvPicPr>
                          <pic:cNvPr id="66" name="图片_62"/>
                          <pic:cNvPicPr/>
                        </pic:nvPicPr>
                        <pic:blipFill>
                          <a:blip r:embed="rId43"/>
                          <a:stretch>
                            <a:fillRect/>
                          </a:stretch>
                        </pic:blipFill>
                        <pic:spPr>
                          <a:xfrm>
                            <a:off x="0" y="0"/>
                            <a:ext cx="693420"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蒸煮间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0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可倾式电汤锅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外壳、锅体均采用SUS304-2B优质发纹贴塑3.0mm不锈钢板制作，内支撑架全部使用全不锈钢方管结构。锅口直径：500mm。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3840" behindDoc="0" locked="0" layoutInCell="1" allowOverlap="1">
                  <wp:simplePos x="0" y="0"/>
                  <wp:positionH relativeFrom="column">
                    <wp:posOffset>86360</wp:posOffset>
                  </wp:positionH>
                  <wp:positionV relativeFrom="paragraph">
                    <wp:posOffset>54610</wp:posOffset>
                  </wp:positionV>
                  <wp:extent cx="647700" cy="524510"/>
                  <wp:effectExtent l="0" t="0" r="0" b="8890"/>
                  <wp:wrapNone/>
                  <wp:docPr id="67" name="图片_60"/>
                  <wp:cNvGraphicFramePr/>
                  <a:graphic xmlns:a="http://schemas.openxmlformats.org/drawingml/2006/main">
                    <a:graphicData uri="http://schemas.openxmlformats.org/drawingml/2006/picture">
                      <pic:pic xmlns:pic="http://schemas.openxmlformats.org/drawingml/2006/picture">
                        <pic:nvPicPr>
                          <pic:cNvPr id="67" name="图片_60"/>
                          <pic:cNvPicPr/>
                        </pic:nvPicPr>
                        <pic:blipFill>
                          <a:blip r:embed="rId44"/>
                          <a:stretch>
                            <a:fillRect/>
                          </a:stretch>
                        </pic:blipFill>
                        <pic:spPr>
                          <a:xfrm>
                            <a:off x="0" y="0"/>
                            <a:ext cx="647700" cy="5245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淘米机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100KG</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适用于大米、小麦、玉米、豆类等颗粒粮食淘洗。自来水通过本产品的主体水阀进行加压，将大米送入U形洗米机管内腔进行冲洗，使其达到洗刷大米的效果。</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3083</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3083</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4864" behindDoc="0" locked="0" layoutInCell="1" allowOverlap="1">
                  <wp:simplePos x="0" y="0"/>
                  <wp:positionH relativeFrom="column">
                    <wp:posOffset>76200</wp:posOffset>
                  </wp:positionH>
                  <wp:positionV relativeFrom="paragraph">
                    <wp:posOffset>48260</wp:posOffset>
                  </wp:positionV>
                  <wp:extent cx="657225" cy="671830"/>
                  <wp:effectExtent l="0" t="0" r="9525" b="13970"/>
                  <wp:wrapNone/>
                  <wp:docPr id="68" name="图片_20"/>
                  <wp:cNvGraphicFramePr/>
                  <a:graphic xmlns:a="http://schemas.openxmlformats.org/drawingml/2006/main">
                    <a:graphicData uri="http://schemas.openxmlformats.org/drawingml/2006/picture">
                      <pic:pic xmlns:pic="http://schemas.openxmlformats.org/drawingml/2006/picture">
                        <pic:nvPicPr>
                          <pic:cNvPr id="68" name="图片_20"/>
                          <pic:cNvPicPr/>
                        </pic:nvPicPr>
                        <pic:blipFill>
                          <a:blip r:embed="rId45"/>
                          <a:stretch>
                            <a:fillRect/>
                          </a:stretch>
                        </pic:blipFill>
                        <pic:spPr>
                          <a:xfrm>
                            <a:off x="0" y="0"/>
                            <a:ext cx="657225" cy="6718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燃气立式三层米饭机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745*764*1311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参考品牌：乐鹰；爱丰；林内</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从点火到米饭加工完全采用自动化，利用微电脑控制功能，可以制成菜单要求的理想饭食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采用圆形放射状加热器，保证锅内米饭受热均匀美味可口</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根据菜单要求，附带米饭火候调节功能。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安全性能强，万一发生未点火或失火、干烧的情况，指示灯和蜂鸣器会自动检测并报警提示，同时切断燃气。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功能齐全，可加工白米饭、什锦饭、并带有做粥的功能。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每层微电脑单独控制，每层可以同时加工不同的饭食.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米饭锅采用不粘锅处理。             加工能力：21 kg</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层数：3层</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耗气量：27KW</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耗电量：0.04KW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5888" behindDoc="0" locked="0" layoutInCell="1" allowOverlap="1">
                  <wp:simplePos x="0" y="0"/>
                  <wp:positionH relativeFrom="column">
                    <wp:posOffset>10160</wp:posOffset>
                  </wp:positionH>
                  <wp:positionV relativeFrom="paragraph">
                    <wp:posOffset>1047115</wp:posOffset>
                  </wp:positionV>
                  <wp:extent cx="801370" cy="833755"/>
                  <wp:effectExtent l="0" t="0" r="17780" b="4445"/>
                  <wp:wrapNone/>
                  <wp:docPr id="69" name="图片_60_SpCnt_1"/>
                  <wp:cNvGraphicFramePr/>
                  <a:graphic xmlns:a="http://schemas.openxmlformats.org/drawingml/2006/main">
                    <a:graphicData uri="http://schemas.openxmlformats.org/drawingml/2006/picture">
                      <pic:pic xmlns:pic="http://schemas.openxmlformats.org/drawingml/2006/picture">
                        <pic:nvPicPr>
                          <pic:cNvPr id="69" name="图片_60_SpCnt_1"/>
                          <pic:cNvPicPr/>
                        </pic:nvPicPr>
                        <pic:blipFill>
                          <a:blip r:embed="rId46"/>
                          <a:stretch>
                            <a:fillRect/>
                          </a:stretch>
                        </pic:blipFill>
                        <pic:spPr>
                          <a:xfrm>
                            <a:off x="0" y="0"/>
                            <a:ext cx="801370" cy="8337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14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3360*1300*1370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46368</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6912" behindDoc="0" locked="0" layoutInCell="1" allowOverlap="1">
                  <wp:simplePos x="0" y="0"/>
                  <wp:positionH relativeFrom="column">
                    <wp:posOffset>76200</wp:posOffset>
                  </wp:positionH>
                  <wp:positionV relativeFrom="paragraph">
                    <wp:posOffset>2356485</wp:posOffset>
                  </wp:positionV>
                  <wp:extent cx="743585" cy="508000"/>
                  <wp:effectExtent l="0" t="0" r="18415" b="6350"/>
                  <wp:wrapNone/>
                  <wp:docPr id="49" name="图片_120"/>
                  <wp:cNvGraphicFramePr/>
                  <a:graphic xmlns:a="http://schemas.openxmlformats.org/drawingml/2006/main">
                    <a:graphicData uri="http://schemas.openxmlformats.org/drawingml/2006/picture">
                      <pic:pic xmlns:pic="http://schemas.openxmlformats.org/drawingml/2006/picture">
                        <pic:nvPicPr>
                          <pic:cNvPr id="49" name="图片_120"/>
                          <pic:cNvPicPr/>
                        </pic:nvPicPr>
                        <pic:blipFill>
                          <a:blip r:embed="rId47"/>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27600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8960" behindDoc="0" locked="0" layoutInCell="1" allowOverlap="1">
                  <wp:simplePos x="0" y="0"/>
                  <wp:positionH relativeFrom="column">
                    <wp:posOffset>12700</wp:posOffset>
                  </wp:positionH>
                  <wp:positionV relativeFrom="paragraph">
                    <wp:posOffset>3395980</wp:posOffset>
                  </wp:positionV>
                  <wp:extent cx="648970" cy="579120"/>
                  <wp:effectExtent l="0" t="0" r="17780" b="11430"/>
                  <wp:wrapNone/>
                  <wp:docPr id="47" name="图片_19_SpCnt_1"/>
                  <wp:cNvGraphicFramePr/>
                  <a:graphic xmlns:a="http://schemas.openxmlformats.org/drawingml/2006/main">
                    <a:graphicData uri="http://schemas.openxmlformats.org/drawingml/2006/picture">
                      <pic:pic xmlns:pic="http://schemas.openxmlformats.org/drawingml/2006/picture">
                        <pic:nvPicPr>
                          <pic:cNvPr id="47" name="图片_19_SpCnt_1"/>
                          <pic:cNvPicPr/>
                        </pic:nvPicPr>
                        <pic:blipFill>
                          <a:blip r:embed="rId48"/>
                          <a:stretch>
                            <a:fillRect/>
                          </a:stretch>
                        </pic:blipFill>
                        <pic:spPr>
                          <a:xfrm>
                            <a:off x="0" y="0"/>
                            <a:ext cx="648970" cy="579120"/>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7936" behindDoc="0" locked="0" layoutInCell="1" allowOverlap="1">
                  <wp:simplePos x="0" y="0"/>
                  <wp:positionH relativeFrom="column">
                    <wp:posOffset>57150</wp:posOffset>
                  </wp:positionH>
                  <wp:positionV relativeFrom="paragraph">
                    <wp:posOffset>2356485</wp:posOffset>
                  </wp:positionV>
                  <wp:extent cx="743585" cy="508000"/>
                  <wp:effectExtent l="0" t="0" r="18415" b="6350"/>
                  <wp:wrapNone/>
                  <wp:docPr id="48" name="图片_121"/>
                  <wp:cNvGraphicFramePr/>
                  <a:graphic xmlns:a="http://schemas.openxmlformats.org/drawingml/2006/main">
                    <a:graphicData uri="http://schemas.openxmlformats.org/drawingml/2006/picture">
                      <pic:pic xmlns:pic="http://schemas.openxmlformats.org/drawingml/2006/picture">
                        <pic:nvPicPr>
                          <pic:cNvPr id="48" name="图片_121"/>
                          <pic:cNvPicPr/>
                        </pic:nvPicPr>
                        <pic:blipFill>
                          <a:blip r:embed="rId49"/>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89984" behindDoc="0" locked="0" layoutInCell="1" allowOverlap="1">
                  <wp:simplePos x="0" y="0"/>
                  <wp:positionH relativeFrom="column">
                    <wp:posOffset>48260</wp:posOffset>
                  </wp:positionH>
                  <wp:positionV relativeFrom="paragraph">
                    <wp:posOffset>66040</wp:posOffset>
                  </wp:positionV>
                  <wp:extent cx="694055" cy="538480"/>
                  <wp:effectExtent l="0" t="0" r="10795" b="13970"/>
                  <wp:wrapNone/>
                  <wp:docPr id="70" name="图片_48"/>
                  <wp:cNvGraphicFramePr/>
                  <a:graphic xmlns:a="http://schemas.openxmlformats.org/drawingml/2006/main">
                    <a:graphicData uri="http://schemas.openxmlformats.org/drawingml/2006/picture">
                      <pic:pic xmlns:pic="http://schemas.openxmlformats.org/drawingml/2006/picture">
                        <pic:nvPicPr>
                          <pic:cNvPr id="70" name="图片_48"/>
                          <pic:cNvPicPr/>
                        </pic:nvPicPr>
                        <pic:blipFill>
                          <a:blip r:embed="rId50"/>
                          <a:stretch>
                            <a:fillRect/>
                          </a:stretch>
                        </pic:blipFill>
                        <pic:spPr>
                          <a:xfrm>
                            <a:off x="0" y="0"/>
                            <a:ext cx="694055" cy="538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副食品库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4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采用SUS304-2B优质发纹贴塑不锈钢板制做，骨架δ≥1.2mm,平板δ≥1.2mm；配置φ38mm厚度1.2mm不锈钢圆通腿及可调节重力子弹脚。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1008" behindDoc="0" locked="0" layoutInCell="1" allowOverlap="1">
                  <wp:simplePos x="0" y="0"/>
                  <wp:positionH relativeFrom="column">
                    <wp:posOffset>95250</wp:posOffset>
                  </wp:positionH>
                  <wp:positionV relativeFrom="paragraph">
                    <wp:posOffset>24765</wp:posOffset>
                  </wp:positionV>
                  <wp:extent cx="553085" cy="685800"/>
                  <wp:effectExtent l="0" t="0" r="18415" b="0"/>
                  <wp:wrapNone/>
                  <wp:docPr id="71" name="图片_5"/>
                  <wp:cNvGraphicFramePr/>
                  <a:graphic xmlns:a="http://schemas.openxmlformats.org/drawingml/2006/main">
                    <a:graphicData uri="http://schemas.openxmlformats.org/drawingml/2006/picture">
                      <pic:pic xmlns:pic="http://schemas.openxmlformats.org/drawingml/2006/picture">
                        <pic:nvPicPr>
                          <pic:cNvPr id="71" name="图片_5"/>
                          <pic:cNvPicPr/>
                        </pic:nvPicPr>
                        <pic:blipFill>
                          <a:blip r:embed="rId51"/>
                          <a:stretch>
                            <a:fillRect/>
                          </a:stretch>
                        </pic:blipFill>
                        <pic:spPr>
                          <a:xfrm>
                            <a:off x="0" y="0"/>
                            <a:ext cx="55308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63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四门双温冰箱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1215*750*1930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2032" behindDoc="0" locked="0" layoutInCell="1" allowOverlap="1">
                  <wp:simplePos x="0" y="0"/>
                  <wp:positionH relativeFrom="column">
                    <wp:posOffset>10160</wp:posOffset>
                  </wp:positionH>
                  <wp:positionV relativeFrom="paragraph">
                    <wp:posOffset>457200</wp:posOffset>
                  </wp:positionV>
                  <wp:extent cx="793115" cy="1089025"/>
                  <wp:effectExtent l="0" t="0" r="6985" b="15875"/>
                  <wp:wrapNone/>
                  <wp:docPr id="72" name="图片_25"/>
                  <wp:cNvGraphicFramePr/>
                  <a:graphic xmlns:a="http://schemas.openxmlformats.org/drawingml/2006/main">
                    <a:graphicData uri="http://schemas.openxmlformats.org/drawingml/2006/picture">
                      <pic:pic xmlns:pic="http://schemas.openxmlformats.org/drawingml/2006/picture">
                        <pic:nvPicPr>
                          <pic:cNvPr id="72" name="图片_25"/>
                          <pic:cNvPicPr/>
                        </pic:nvPicPr>
                        <pic:blipFill>
                          <a:blip r:embed="rId52"/>
                          <a:stretch>
                            <a:fillRect/>
                          </a:stretch>
                        </pic:blipFill>
                        <pic:spPr>
                          <a:xfrm>
                            <a:off x="0" y="0"/>
                            <a:ext cx="793115" cy="1089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顶开门冷柜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2105*860*905</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参考品牌：海尔；美的；容声</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五面制冷技术,制冷速度快,冷冻无死角，制冷深度-38°C（当使用环境温度≤20℃时，空箱温度最低可达-38℃）,快速锁定营养,食物更新鲜，环温≤25℃条件下，由-18℃回升到0℃时间大于100小时,保持食品新鲜,断电也不用担心。</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4699</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4699</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3056" behindDoc="0" locked="0" layoutInCell="1" allowOverlap="1">
                  <wp:simplePos x="0" y="0"/>
                  <wp:positionH relativeFrom="column">
                    <wp:posOffset>48260</wp:posOffset>
                  </wp:positionH>
                  <wp:positionV relativeFrom="paragraph">
                    <wp:posOffset>351155</wp:posOffset>
                  </wp:positionV>
                  <wp:extent cx="749935" cy="373380"/>
                  <wp:effectExtent l="0" t="0" r="12065" b="7620"/>
                  <wp:wrapNone/>
                  <wp:docPr id="73" name="图片_26"/>
                  <wp:cNvGraphicFramePr/>
                  <a:graphic xmlns:a="http://schemas.openxmlformats.org/drawingml/2006/main">
                    <a:graphicData uri="http://schemas.openxmlformats.org/drawingml/2006/picture">
                      <pic:pic xmlns:pic="http://schemas.openxmlformats.org/drawingml/2006/picture">
                        <pic:nvPicPr>
                          <pic:cNvPr id="73" name="图片_26"/>
                          <pic:cNvPicPr/>
                        </pic:nvPicPr>
                        <pic:blipFill>
                          <a:blip r:embed="rId53"/>
                          <a:stretch>
                            <a:fillRect/>
                          </a:stretch>
                        </pic:blipFill>
                        <pic:spPr>
                          <a:xfrm>
                            <a:off x="0" y="0"/>
                            <a:ext cx="749935" cy="3733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消毒间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双门热风消毒柜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1310*640*1970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参考品牌：康宝  伊德欣  美厨</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采用优质不锈钢制，玻璃纤维隔热材料，双温度控制器，定时开关、继电器；采用热风循环消毒。内分四层，共配八个消毒筐，烘干温度70℃-150℃，内部容积：720L</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val="en-US" w:eastAsia="zh-CN" w:bidi="ar"/>
              </w:rPr>
              <w:t>热风消毒柜</w:t>
            </w:r>
            <w:r>
              <w:rPr>
                <w:rFonts w:hint="eastAsia" w:ascii="仿宋" w:hAnsi="仿宋" w:eastAsia="仿宋" w:cs="仿宋"/>
                <w:color w:val="auto"/>
                <w:kern w:val="0"/>
                <w:sz w:val="20"/>
                <w:szCs w:val="20"/>
                <w:highlight w:val="none"/>
                <w:lang w:bidi="ar"/>
              </w:rPr>
              <w:t>通过GB17988-2008标准二星级消毒标准且脊髓灰质炎病毒灭活对数值＞4的检测并提供检测报告</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bidi="ar"/>
              </w:rPr>
              <w:t>热风消毒柜</w:t>
            </w:r>
            <w:r>
              <w:rPr>
                <w:rFonts w:hint="eastAsia" w:ascii="仿宋" w:hAnsi="仿宋" w:eastAsia="仿宋" w:cs="仿宋"/>
                <w:color w:val="auto"/>
                <w:kern w:val="0"/>
                <w:sz w:val="20"/>
                <w:szCs w:val="20"/>
                <w:highlight w:val="none"/>
                <w:lang w:bidi="ar"/>
              </w:rPr>
              <w:t>符合GB17988-2008《食具消毒柜安全和卫生要求》标准且大肠杆菌灭杀实测值≥5的检测并提供检测报告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4080" behindDoc="0" locked="0" layoutInCell="1" allowOverlap="1">
                  <wp:simplePos x="0" y="0"/>
                  <wp:positionH relativeFrom="column">
                    <wp:posOffset>76200</wp:posOffset>
                  </wp:positionH>
                  <wp:positionV relativeFrom="paragraph">
                    <wp:posOffset>36195</wp:posOffset>
                  </wp:positionV>
                  <wp:extent cx="588645" cy="702310"/>
                  <wp:effectExtent l="0" t="0" r="1905" b="2540"/>
                  <wp:wrapNone/>
                  <wp:docPr id="74" name="图片_30"/>
                  <wp:cNvGraphicFramePr/>
                  <a:graphic xmlns:a="http://schemas.openxmlformats.org/drawingml/2006/main">
                    <a:graphicData uri="http://schemas.openxmlformats.org/drawingml/2006/picture">
                      <pic:pic xmlns:pic="http://schemas.openxmlformats.org/drawingml/2006/picture">
                        <pic:nvPicPr>
                          <pic:cNvPr id="74" name="图片_30"/>
                          <pic:cNvPicPr/>
                        </pic:nvPicPr>
                        <pic:blipFill>
                          <a:blip r:embed="rId54"/>
                          <a:stretch>
                            <a:fillRect/>
                          </a:stretch>
                        </pic:blipFill>
                        <pic:spPr>
                          <a:xfrm>
                            <a:off x="0" y="0"/>
                            <a:ext cx="588645" cy="7023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5104" behindDoc="0" locked="0" layoutInCell="1" allowOverlap="1">
                  <wp:simplePos x="0" y="0"/>
                  <wp:positionH relativeFrom="column">
                    <wp:posOffset>67310</wp:posOffset>
                  </wp:positionH>
                  <wp:positionV relativeFrom="paragraph">
                    <wp:posOffset>38100</wp:posOffset>
                  </wp:positionV>
                  <wp:extent cx="694055" cy="538480"/>
                  <wp:effectExtent l="0" t="0" r="10795" b="13970"/>
                  <wp:wrapNone/>
                  <wp:docPr id="55" name="图片_48_SpCnt_1"/>
                  <wp:cNvGraphicFramePr/>
                  <a:graphic xmlns:a="http://schemas.openxmlformats.org/drawingml/2006/main">
                    <a:graphicData uri="http://schemas.openxmlformats.org/drawingml/2006/picture">
                      <pic:pic xmlns:pic="http://schemas.openxmlformats.org/drawingml/2006/picture">
                        <pic:nvPicPr>
                          <pic:cNvPr id="55" name="图片_48_SpCnt_1"/>
                          <pic:cNvPicPr/>
                        </pic:nvPicPr>
                        <pic:blipFill>
                          <a:blip r:embed="rId55"/>
                          <a:stretch>
                            <a:fillRect/>
                          </a:stretch>
                        </pic:blipFill>
                        <pic:spPr>
                          <a:xfrm>
                            <a:off x="0" y="0"/>
                            <a:ext cx="694055" cy="538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分餐区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6128" behindDoc="0" locked="0" layoutInCell="1" allowOverlap="1">
                  <wp:simplePos x="0" y="0"/>
                  <wp:positionH relativeFrom="column">
                    <wp:posOffset>29210</wp:posOffset>
                  </wp:positionH>
                  <wp:positionV relativeFrom="paragraph">
                    <wp:posOffset>168910</wp:posOffset>
                  </wp:positionV>
                  <wp:extent cx="742315" cy="548640"/>
                  <wp:effectExtent l="0" t="0" r="635" b="3810"/>
                  <wp:wrapNone/>
                  <wp:docPr id="56" name="图片_32_SpCnt_1"/>
                  <wp:cNvGraphicFramePr/>
                  <a:graphic xmlns:a="http://schemas.openxmlformats.org/drawingml/2006/main">
                    <a:graphicData uri="http://schemas.openxmlformats.org/drawingml/2006/picture">
                      <pic:pic xmlns:pic="http://schemas.openxmlformats.org/drawingml/2006/picture">
                        <pic:nvPicPr>
                          <pic:cNvPr id="56" name="图片_32_SpCnt_1"/>
                          <pic:cNvPicPr/>
                        </pic:nvPicPr>
                        <pic:blipFill>
                          <a:blip r:embed="rId56"/>
                          <a:stretch>
                            <a:fillRect/>
                          </a:stretch>
                        </pic:blipFill>
                        <pic:spPr>
                          <a:xfrm>
                            <a:off x="0" y="0"/>
                            <a:ext cx="742315" cy="548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9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单门留样冰箱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适用温度：0℃～+10℃</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7152" behindDoc="0" locked="0" layoutInCell="1" allowOverlap="1">
                  <wp:simplePos x="0" y="0"/>
                  <wp:positionH relativeFrom="column">
                    <wp:posOffset>48260</wp:posOffset>
                  </wp:positionH>
                  <wp:positionV relativeFrom="paragraph">
                    <wp:posOffset>437515</wp:posOffset>
                  </wp:positionV>
                  <wp:extent cx="741680" cy="1130300"/>
                  <wp:effectExtent l="0" t="0" r="1270" b="12700"/>
                  <wp:wrapNone/>
                  <wp:docPr id="57" name="图片_66"/>
                  <wp:cNvGraphicFramePr/>
                  <a:graphic xmlns:a="http://schemas.openxmlformats.org/drawingml/2006/main">
                    <a:graphicData uri="http://schemas.openxmlformats.org/drawingml/2006/picture">
                      <pic:pic xmlns:pic="http://schemas.openxmlformats.org/drawingml/2006/picture">
                        <pic:nvPicPr>
                          <pic:cNvPr id="57" name="图片_66"/>
                          <pic:cNvPicPr/>
                        </pic:nvPicPr>
                        <pic:blipFill>
                          <a:blip r:embed="rId57"/>
                          <a:stretch>
                            <a:fillRect/>
                          </a:stretch>
                        </pic:blipFill>
                        <pic:spPr>
                          <a:xfrm>
                            <a:off x="0" y="0"/>
                            <a:ext cx="741680" cy="11303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四层格栅货架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选用优质不锈钢板制造，格栅型，腿为φ38mm厚度1.0mm不锈钢圆管，横档为60*20*1.2mm，配不锈钢可调脚。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8176" behindDoc="0" locked="0" layoutInCell="1" allowOverlap="1">
                  <wp:simplePos x="0" y="0"/>
                  <wp:positionH relativeFrom="column">
                    <wp:posOffset>124460</wp:posOffset>
                  </wp:positionH>
                  <wp:positionV relativeFrom="paragraph">
                    <wp:posOffset>19685</wp:posOffset>
                  </wp:positionV>
                  <wp:extent cx="516890" cy="574675"/>
                  <wp:effectExtent l="0" t="0" r="16510" b="15875"/>
                  <wp:wrapNone/>
                  <wp:docPr id="58" name="图片_37"/>
                  <wp:cNvGraphicFramePr/>
                  <a:graphic xmlns:a="http://schemas.openxmlformats.org/drawingml/2006/main">
                    <a:graphicData uri="http://schemas.openxmlformats.org/drawingml/2006/picture">
                      <pic:pic xmlns:pic="http://schemas.openxmlformats.org/drawingml/2006/picture">
                        <pic:nvPicPr>
                          <pic:cNvPr id="58" name="图片_37"/>
                          <pic:cNvPicPr/>
                        </pic:nvPicPr>
                        <pic:blipFill>
                          <a:blip r:embed="rId58"/>
                          <a:stretch>
                            <a:fillRect/>
                          </a:stretch>
                        </pic:blipFill>
                        <pic:spPr>
                          <a:xfrm>
                            <a:off x="0" y="0"/>
                            <a:ext cx="516890"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699200" behindDoc="0" locked="0" layoutInCell="1" allowOverlap="1">
                  <wp:simplePos x="0" y="0"/>
                  <wp:positionH relativeFrom="column">
                    <wp:posOffset>67310</wp:posOffset>
                  </wp:positionH>
                  <wp:positionV relativeFrom="paragraph">
                    <wp:posOffset>85725</wp:posOffset>
                  </wp:positionV>
                  <wp:extent cx="693420" cy="539115"/>
                  <wp:effectExtent l="0" t="0" r="11430" b="13335"/>
                  <wp:wrapNone/>
                  <wp:docPr id="59" name="图片_48_SpCnt_2"/>
                  <wp:cNvGraphicFramePr/>
                  <a:graphic xmlns:a="http://schemas.openxmlformats.org/drawingml/2006/main">
                    <a:graphicData uri="http://schemas.openxmlformats.org/drawingml/2006/picture">
                      <pic:pic xmlns:pic="http://schemas.openxmlformats.org/drawingml/2006/picture">
                        <pic:nvPicPr>
                          <pic:cNvPr id="59" name="图片_48_SpCnt_2"/>
                          <pic:cNvPicPr/>
                        </pic:nvPicPr>
                        <pic:blipFill>
                          <a:blip r:embed="rId59"/>
                          <a:stretch>
                            <a:fillRect/>
                          </a:stretch>
                        </pic:blipFill>
                        <pic:spPr>
                          <a:xfrm>
                            <a:off x="0" y="0"/>
                            <a:ext cx="693420" cy="5391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副食库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4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采用SUS304-2B优质发纹贴塑不锈钢板制做，骨架δ≥1.2mm,平板δ≥1.2mm；配置φ38mm厚度1.2mm不锈钢圆通腿及可调节重力子弹脚。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0224" behindDoc="0" locked="0" layoutInCell="1" allowOverlap="1">
                  <wp:simplePos x="0" y="0"/>
                  <wp:positionH relativeFrom="column">
                    <wp:posOffset>114300</wp:posOffset>
                  </wp:positionH>
                  <wp:positionV relativeFrom="paragraph">
                    <wp:posOffset>43180</wp:posOffset>
                  </wp:positionV>
                  <wp:extent cx="553085" cy="685800"/>
                  <wp:effectExtent l="0" t="0" r="18415" b="0"/>
                  <wp:wrapNone/>
                  <wp:docPr id="60" name="图片_5_SpCnt_1"/>
                  <wp:cNvGraphicFramePr/>
                  <a:graphic xmlns:a="http://schemas.openxmlformats.org/drawingml/2006/main">
                    <a:graphicData uri="http://schemas.openxmlformats.org/drawingml/2006/picture">
                      <pic:pic xmlns:pic="http://schemas.openxmlformats.org/drawingml/2006/picture">
                        <pic:nvPicPr>
                          <pic:cNvPr id="60" name="图片_5_SpCnt_1"/>
                          <pic:cNvPicPr/>
                        </pic:nvPicPr>
                        <pic:blipFill>
                          <a:blip r:embed="rId60"/>
                          <a:stretch>
                            <a:fillRect/>
                          </a:stretch>
                        </pic:blipFill>
                        <pic:spPr>
                          <a:xfrm>
                            <a:off x="0" y="0"/>
                            <a:ext cx="55308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平板推车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850*600*850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采用厚度≥1.2mm304#不锈钢板，下配38X38X1.0规格不锈钢装饰管加强筋，珐纹处理，氩焊处满焊，聚胺脂加重型车轮，其中两个为万向刹车轮。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1248" behindDoc="0" locked="0" layoutInCell="1" allowOverlap="1">
                  <wp:simplePos x="0" y="0"/>
                  <wp:positionH relativeFrom="column">
                    <wp:posOffset>76200</wp:posOffset>
                  </wp:positionH>
                  <wp:positionV relativeFrom="paragraph">
                    <wp:posOffset>113030</wp:posOffset>
                  </wp:positionV>
                  <wp:extent cx="654050" cy="561340"/>
                  <wp:effectExtent l="0" t="0" r="12700" b="10160"/>
                  <wp:wrapNone/>
                  <wp:docPr id="61" name="图片_6_SpCnt_2"/>
                  <wp:cNvGraphicFramePr/>
                  <a:graphic xmlns:a="http://schemas.openxmlformats.org/drawingml/2006/main">
                    <a:graphicData uri="http://schemas.openxmlformats.org/drawingml/2006/picture">
                      <pic:pic xmlns:pic="http://schemas.openxmlformats.org/drawingml/2006/picture">
                        <pic:nvPicPr>
                          <pic:cNvPr id="61" name="图片_6_SpCnt_2"/>
                          <pic:cNvPicPr/>
                        </pic:nvPicPr>
                        <pic:blipFill>
                          <a:blip r:embed="rId61"/>
                          <a:stretch>
                            <a:fillRect/>
                          </a:stretch>
                        </pic:blipFill>
                        <pic:spPr>
                          <a:xfrm>
                            <a:off x="0" y="0"/>
                            <a:ext cx="654050" cy="5613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主食库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大米架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1200*500*250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采用SUS304-2B优质发纹贴塑不锈钢管制做，δ≥1.0mm 50*50全不锈钢方管制作，横档为40*25*1.0mm。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2272" behindDoc="0" locked="0" layoutInCell="1" allowOverlap="1">
                  <wp:simplePos x="0" y="0"/>
                  <wp:positionH relativeFrom="column">
                    <wp:posOffset>76200</wp:posOffset>
                  </wp:positionH>
                  <wp:positionV relativeFrom="paragraph">
                    <wp:posOffset>24765</wp:posOffset>
                  </wp:positionV>
                  <wp:extent cx="598805" cy="415290"/>
                  <wp:effectExtent l="0" t="0" r="10795" b="3810"/>
                  <wp:wrapNone/>
                  <wp:docPr id="62" name="图片_6_SpCnt_3"/>
                  <wp:cNvGraphicFramePr/>
                  <a:graphic xmlns:a="http://schemas.openxmlformats.org/drawingml/2006/main">
                    <a:graphicData uri="http://schemas.openxmlformats.org/drawingml/2006/picture">
                      <pic:pic xmlns:pic="http://schemas.openxmlformats.org/drawingml/2006/picture">
                        <pic:nvPicPr>
                          <pic:cNvPr id="62" name="图片_6_SpCnt_3"/>
                          <pic:cNvPicPr/>
                        </pic:nvPicPr>
                        <pic:blipFill>
                          <a:blip r:embed="rId62"/>
                          <a:stretch>
                            <a:fillRect/>
                          </a:stretch>
                        </pic:blipFill>
                        <pic:spPr>
                          <a:xfrm>
                            <a:off x="0" y="0"/>
                            <a:ext cx="598805" cy="4152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50" w:hRule="atLeast"/>
          <w:jc w:val="center"/>
        </w:trPr>
        <w:tc>
          <w:tcPr>
            <w:tcW w:w="602" w:type="pct"/>
            <w:gridSpan w:val="2"/>
            <w:tcBorders>
              <w:top w:val="single" w:color="000000" w:sz="4" w:space="0"/>
              <w:left w:val="single" w:color="000000" w:sz="8" w:space="0"/>
              <w:bottom w:val="single" w:color="000000" w:sz="4" w:space="0"/>
              <w:right w:val="single" w:color="000000" w:sz="4" w:space="0"/>
            </w:tcBorders>
            <w:shd w:val="clear" w:color="auto" w:fill="auto"/>
            <w:vAlign w:val="bottom"/>
          </w:tcPr>
          <w:p>
            <w:pPr>
              <w:widowControl/>
              <w:jc w:val="left"/>
              <w:textAlignment w:val="bottom"/>
              <w:rPr>
                <w:rFonts w:ascii="仿宋" w:hAnsi="仿宋" w:eastAsia="仿宋" w:cs="仿宋"/>
                <w:b/>
                <w:bCs/>
                <w:color w:val="auto"/>
                <w:sz w:val="40"/>
                <w:szCs w:val="40"/>
                <w:highlight w:val="none"/>
              </w:rPr>
            </w:pPr>
            <w:r>
              <w:rPr>
                <w:rFonts w:hint="eastAsia" w:ascii="仿宋" w:hAnsi="仿宋" w:eastAsia="仿宋" w:cs="仿宋"/>
                <w:b/>
                <w:bCs/>
                <w:color w:val="auto"/>
                <w:kern w:val="0"/>
                <w:sz w:val="40"/>
                <w:szCs w:val="40"/>
                <w:highlight w:val="none"/>
                <w:lang w:bidi="ar"/>
              </w:rPr>
              <w:t>二楼</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4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粗加工、清洗区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1500*750*（800+150）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3296" behindDoc="0" locked="0" layoutInCell="1" allowOverlap="1">
                  <wp:simplePos x="0" y="0"/>
                  <wp:positionH relativeFrom="column">
                    <wp:posOffset>29210</wp:posOffset>
                  </wp:positionH>
                  <wp:positionV relativeFrom="paragraph">
                    <wp:posOffset>152400</wp:posOffset>
                  </wp:positionV>
                  <wp:extent cx="752475" cy="602615"/>
                  <wp:effectExtent l="0" t="0" r="9525" b="6985"/>
                  <wp:wrapNone/>
                  <wp:docPr id="63" name="图片_35_SpCnt_2"/>
                  <wp:cNvGraphicFramePr/>
                  <a:graphic xmlns:a="http://schemas.openxmlformats.org/drawingml/2006/main">
                    <a:graphicData uri="http://schemas.openxmlformats.org/drawingml/2006/picture">
                      <pic:pic xmlns:pic="http://schemas.openxmlformats.org/drawingml/2006/picture">
                        <pic:nvPicPr>
                          <pic:cNvPr id="63" name="图片_35_SpCnt_2"/>
                          <pic:cNvPicPr/>
                        </pic:nvPicPr>
                        <pic:blipFill>
                          <a:blip r:embed="rId63"/>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4320" behindDoc="0" locked="0" layoutInCell="1" allowOverlap="1">
                  <wp:simplePos x="0" y="0"/>
                  <wp:positionH relativeFrom="column">
                    <wp:posOffset>48260</wp:posOffset>
                  </wp:positionH>
                  <wp:positionV relativeFrom="paragraph">
                    <wp:posOffset>27940</wp:posOffset>
                  </wp:positionV>
                  <wp:extent cx="703580" cy="594360"/>
                  <wp:effectExtent l="0" t="0" r="1270" b="15240"/>
                  <wp:wrapNone/>
                  <wp:docPr id="64" name="图片_8_SpCnt_3"/>
                  <wp:cNvGraphicFramePr/>
                  <a:graphic xmlns:a="http://schemas.openxmlformats.org/drawingml/2006/main">
                    <a:graphicData uri="http://schemas.openxmlformats.org/drawingml/2006/picture">
                      <pic:pic xmlns:pic="http://schemas.openxmlformats.org/drawingml/2006/picture">
                        <pic:nvPicPr>
                          <pic:cNvPr id="64" name="图片_8_SpCnt_3"/>
                          <pic:cNvPicPr/>
                        </pic:nvPicPr>
                        <pic:blipFill>
                          <a:blip r:embed="rId64"/>
                          <a:stretch>
                            <a:fillRect/>
                          </a:stretch>
                        </pic:blipFill>
                        <pic:spPr>
                          <a:xfrm>
                            <a:off x="0" y="0"/>
                            <a:ext cx="703580" cy="594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三星转角污碟台连残食孔</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（650+2000）*750*（860+150）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5344" behindDoc="0" locked="0" layoutInCell="1" allowOverlap="1">
                  <wp:simplePos x="0" y="0"/>
                  <wp:positionH relativeFrom="column">
                    <wp:posOffset>86360</wp:posOffset>
                  </wp:positionH>
                  <wp:positionV relativeFrom="paragraph">
                    <wp:posOffset>48260</wp:posOffset>
                  </wp:positionV>
                  <wp:extent cx="617855" cy="840740"/>
                  <wp:effectExtent l="0" t="0" r="10795" b="16510"/>
                  <wp:wrapNone/>
                  <wp:docPr id="105" name="图片_19_SpCnt_2"/>
                  <wp:cNvGraphicFramePr/>
                  <a:graphic xmlns:a="http://schemas.openxmlformats.org/drawingml/2006/main">
                    <a:graphicData uri="http://schemas.openxmlformats.org/drawingml/2006/picture">
                      <pic:pic xmlns:pic="http://schemas.openxmlformats.org/drawingml/2006/picture">
                        <pic:nvPicPr>
                          <pic:cNvPr id="105" name="图片_19_SpCnt_2"/>
                          <pic:cNvPicPr/>
                        </pic:nvPicPr>
                        <pic:blipFill>
                          <a:blip r:embed="rId65"/>
                          <a:stretch>
                            <a:fillRect/>
                          </a:stretch>
                        </pic:blipFill>
                        <pic:spPr>
                          <a:xfrm>
                            <a:off x="0" y="0"/>
                            <a:ext cx="617855" cy="8407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6368" behindDoc="0" locked="0" layoutInCell="1" allowOverlap="1">
                  <wp:simplePos x="0" y="0"/>
                  <wp:positionH relativeFrom="column">
                    <wp:posOffset>76200</wp:posOffset>
                  </wp:positionH>
                  <wp:positionV relativeFrom="paragraph">
                    <wp:posOffset>58420</wp:posOffset>
                  </wp:positionV>
                  <wp:extent cx="648970" cy="579120"/>
                  <wp:effectExtent l="0" t="0" r="17780" b="11430"/>
                  <wp:wrapNone/>
                  <wp:docPr id="106" name="图片_19_SpCnt_3"/>
                  <wp:cNvGraphicFramePr/>
                  <a:graphic xmlns:a="http://schemas.openxmlformats.org/drawingml/2006/main">
                    <a:graphicData uri="http://schemas.openxmlformats.org/drawingml/2006/picture">
                      <pic:pic xmlns:pic="http://schemas.openxmlformats.org/drawingml/2006/picture">
                        <pic:nvPicPr>
                          <pic:cNvPr id="106" name="图片_19_SpCnt_3"/>
                          <pic:cNvPicPr/>
                        </pic:nvPicPr>
                        <pic:blipFill>
                          <a:blip r:embed="rId66"/>
                          <a:stretch>
                            <a:fillRect/>
                          </a:stretch>
                        </pic:blipFill>
                        <pic:spPr>
                          <a:xfrm>
                            <a:off x="0" y="0"/>
                            <a:ext cx="648970" cy="579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洁碟台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1550*750*（860+150）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采用SUS304-2B优质发纹贴塑不锈钢板制做，面板板厚δ≥1.2，下层板板厚δ≥1.0，加强筋全部采用板厚δ≥1.0不锈钢板制作，面板4根，下层板2根，立柱采用φ38X1.2不锈钢管材，配2寸静音滑轮。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7392" behindDoc="0" locked="0" layoutInCell="1" allowOverlap="1">
                  <wp:simplePos x="0" y="0"/>
                  <wp:positionH relativeFrom="column">
                    <wp:posOffset>29210</wp:posOffset>
                  </wp:positionH>
                  <wp:positionV relativeFrom="paragraph">
                    <wp:posOffset>182245</wp:posOffset>
                  </wp:positionV>
                  <wp:extent cx="778510" cy="542925"/>
                  <wp:effectExtent l="0" t="0" r="2540" b="9525"/>
                  <wp:wrapNone/>
                  <wp:docPr id="107" name="图片_18"/>
                  <wp:cNvGraphicFramePr/>
                  <a:graphic xmlns:a="http://schemas.openxmlformats.org/drawingml/2006/main">
                    <a:graphicData uri="http://schemas.openxmlformats.org/drawingml/2006/picture">
                      <pic:pic xmlns:pic="http://schemas.openxmlformats.org/drawingml/2006/picture">
                        <pic:nvPicPr>
                          <pic:cNvPr id="107" name="图片_18"/>
                          <pic:cNvPicPr/>
                        </pic:nvPicPr>
                        <pic:blipFill>
                          <a:blip r:embed="rId67"/>
                          <a:stretch>
                            <a:fillRect/>
                          </a:stretch>
                        </pic:blipFill>
                        <pic:spPr>
                          <a:xfrm>
                            <a:off x="0" y="0"/>
                            <a:ext cx="778510" cy="5429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86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揭盖式洗碗机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770*830*1500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参考品牌：霍巴特；爱丰；爱斯科普</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洗涤周期60s</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门控开关或手动启停，操作安全、方便</w:t>
            </w:r>
          </w:p>
          <w:p>
            <w:pPr>
              <w:widowControl/>
              <w:jc w:val="left"/>
              <w:textAlignment w:val="center"/>
              <w:rPr>
                <w:rFonts w:ascii="仿宋" w:hAnsi="仿宋" w:eastAsia="仿宋" w:cs="仿宋"/>
                <w:color w:val="auto"/>
                <w:kern w:val="0"/>
                <w:sz w:val="20"/>
                <w:szCs w:val="20"/>
                <w:highlight w:val="none"/>
                <w:bdr w:val="single" w:color="000000" w:sz="4" w:space="0"/>
                <w:lang w:bidi="ar"/>
              </w:rPr>
            </w:pPr>
            <w:r>
              <w:rPr>
                <w:rFonts w:hint="eastAsia" w:ascii="仿宋" w:hAnsi="仿宋" w:eastAsia="仿宋" w:cs="仿宋"/>
                <w:color w:val="auto"/>
                <w:kern w:val="0"/>
                <w:sz w:val="20"/>
                <w:szCs w:val="20"/>
                <w:highlight w:val="none"/>
                <w:lang w:bidi="ar"/>
              </w:rPr>
              <w:t>· Thermostop温控功能，确保循环的喷淋水温在82℃以上</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内置喷淋泵，保证水压不稳定环境下同样出色的洗涤效果</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Nozzle Fan独特喷嘴，用水效率更高</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前置控制板，触摸式控制面板及高亮LED温度显示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洗涤周期结束，指示灯提示，方便操作</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L型大水箱设计，确保更好发挥清洗泵性能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带有温度传感器的清洗缸加热器，确保清洗温度大于55℃</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坡形洗室顶防止水滴污染已清洗的餐具</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全自动注水，水位自动控制，防止干烧</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洗涤量：60筐/小时</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耗水量：3 升/筐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清洗温度：55～60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喷淋温度：82～90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电源：380V/50Hz/3N～</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配电量：15kW</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装载高度：420mm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篮筐尺寸：500×500mm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8416" behindDoc="0" locked="0" layoutInCell="1" allowOverlap="1">
                  <wp:simplePos x="0" y="0"/>
                  <wp:positionH relativeFrom="column">
                    <wp:posOffset>-13970</wp:posOffset>
                  </wp:positionH>
                  <wp:positionV relativeFrom="paragraph">
                    <wp:posOffset>1130300</wp:posOffset>
                  </wp:positionV>
                  <wp:extent cx="767715" cy="1122045"/>
                  <wp:effectExtent l="0" t="0" r="13335" b="1905"/>
                  <wp:wrapNone/>
                  <wp:docPr id="108" name="图片_17_SpCnt_1"/>
                  <wp:cNvGraphicFramePr/>
                  <a:graphic xmlns:a="http://schemas.openxmlformats.org/drawingml/2006/main">
                    <a:graphicData uri="http://schemas.openxmlformats.org/drawingml/2006/picture">
                      <pic:pic xmlns:pic="http://schemas.openxmlformats.org/drawingml/2006/picture">
                        <pic:nvPicPr>
                          <pic:cNvPr id="108" name="图片_17_SpCnt_1"/>
                          <pic:cNvPicPr/>
                        </pic:nvPicPr>
                        <pic:blipFill>
                          <a:blip r:embed="rId68"/>
                          <a:stretch>
                            <a:fillRect/>
                          </a:stretch>
                        </pic:blipFill>
                        <pic:spPr>
                          <a:xfrm>
                            <a:off x="0" y="0"/>
                            <a:ext cx="767715" cy="11220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77"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1200*1000*1370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w:t>
            </w:r>
            <w:r>
              <w:rPr>
                <w:rFonts w:hint="eastAsia" w:ascii="仿宋" w:hAnsi="仿宋" w:eastAsia="仿宋" w:cs="仿宋"/>
                <w:color w:val="auto"/>
                <w:kern w:val="0"/>
                <w:sz w:val="20"/>
                <w:szCs w:val="20"/>
                <w:highlight w:val="none"/>
                <w:lang w:bidi="ar"/>
              </w:rPr>
              <w:t>配优质紫外线灯管79W，</w:t>
            </w:r>
            <w:r>
              <w:rPr>
                <w:rFonts w:hint="eastAsia" w:ascii="仿宋" w:hAnsi="仿宋" w:eastAsia="仿宋" w:cs="仿宋"/>
                <w:color w:val="auto"/>
                <w:kern w:val="0"/>
                <w:sz w:val="20"/>
                <w:szCs w:val="20"/>
                <w:highlight w:val="none"/>
                <w:lang w:bidi="ar"/>
              </w:rPr>
              <w:t xml:space="preserve">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27600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09440" behindDoc="0" locked="0" layoutInCell="1" allowOverlap="1">
                  <wp:simplePos x="0" y="0"/>
                  <wp:positionH relativeFrom="column">
                    <wp:posOffset>76200</wp:posOffset>
                  </wp:positionH>
                  <wp:positionV relativeFrom="paragraph">
                    <wp:posOffset>2417445</wp:posOffset>
                  </wp:positionV>
                  <wp:extent cx="743585" cy="508000"/>
                  <wp:effectExtent l="0" t="0" r="18415" b="6350"/>
                  <wp:wrapNone/>
                  <wp:docPr id="36" name="图片_121_SpCnt_1"/>
                  <wp:cNvGraphicFramePr/>
                  <a:graphic xmlns:a="http://schemas.openxmlformats.org/drawingml/2006/main">
                    <a:graphicData uri="http://schemas.openxmlformats.org/drawingml/2006/picture">
                      <pic:pic xmlns:pic="http://schemas.openxmlformats.org/drawingml/2006/picture">
                        <pic:nvPicPr>
                          <pic:cNvPr id="36" name="图片_121_SpCnt_1"/>
                          <pic:cNvPicPr/>
                        </pic:nvPicPr>
                        <pic:blipFill>
                          <a:blip r:embed="rId69"/>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3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开水器连底座</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450*400*1520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参考品牌：裕豪；腾飞；骏诺</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制造，全新步进式分层加热技术，无“混合水”无“千沸水”，25毫米全密闭式聚氨脂保温，外壳温度接近常温，出水温度92—99℃，多重安全保护及报警系统，使用更安全，独特的排污阀设计，排污清洗更便捷，一体式的不锈钢座驾，美观耐用。储水量：80L，用电量：380V/12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0464" behindDoc="0" locked="0" layoutInCell="1" allowOverlap="1">
                  <wp:simplePos x="0" y="0"/>
                  <wp:positionH relativeFrom="column">
                    <wp:posOffset>48260</wp:posOffset>
                  </wp:positionH>
                  <wp:positionV relativeFrom="paragraph">
                    <wp:posOffset>221615</wp:posOffset>
                  </wp:positionV>
                  <wp:extent cx="713105" cy="1020445"/>
                  <wp:effectExtent l="0" t="0" r="10795" b="8255"/>
                  <wp:wrapNone/>
                  <wp:docPr id="109" name="图片_14"/>
                  <wp:cNvGraphicFramePr/>
                  <a:graphic xmlns:a="http://schemas.openxmlformats.org/drawingml/2006/main">
                    <a:graphicData uri="http://schemas.openxmlformats.org/drawingml/2006/picture">
                      <pic:pic xmlns:pic="http://schemas.openxmlformats.org/drawingml/2006/picture">
                        <pic:nvPicPr>
                          <pic:cNvPr id="109" name="图片_14"/>
                          <pic:cNvPicPr/>
                        </pic:nvPicPr>
                        <pic:blipFill>
                          <a:blip r:embed="rId70"/>
                          <a:stretch>
                            <a:fillRect/>
                          </a:stretch>
                        </pic:blipFill>
                        <pic:spPr>
                          <a:xfrm>
                            <a:off x="0" y="0"/>
                            <a:ext cx="713105" cy="1020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采用SUS304-2B优质发纹贴塑不锈钢板制做，面板板厚δ≥1.2，下层板板厚δ≥1.0，加强筋全部采用板厚δ≥1.0不锈钢板制作，面板4根，下层板2根，立柱采用φ38X1.2不锈钢管材，配全钢可调子弹脚。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1488" behindDoc="0" locked="0" layoutInCell="1" allowOverlap="1">
                  <wp:simplePos x="0" y="0"/>
                  <wp:positionH relativeFrom="column">
                    <wp:posOffset>29210</wp:posOffset>
                  </wp:positionH>
                  <wp:positionV relativeFrom="paragraph">
                    <wp:posOffset>210185</wp:posOffset>
                  </wp:positionV>
                  <wp:extent cx="742315" cy="548640"/>
                  <wp:effectExtent l="0" t="0" r="635" b="3810"/>
                  <wp:wrapNone/>
                  <wp:docPr id="110" name="图片_32_SpCnt_2"/>
                  <wp:cNvGraphicFramePr/>
                  <a:graphic xmlns:a="http://schemas.openxmlformats.org/drawingml/2006/main">
                    <a:graphicData uri="http://schemas.openxmlformats.org/drawingml/2006/picture">
                      <pic:pic xmlns:pic="http://schemas.openxmlformats.org/drawingml/2006/picture">
                        <pic:nvPicPr>
                          <pic:cNvPr id="110" name="图片_32_SpCnt_2"/>
                          <pic:cNvPicPr/>
                        </pic:nvPicPr>
                        <pic:blipFill>
                          <a:blip r:embed="rId71"/>
                          <a:stretch>
                            <a:fillRect/>
                          </a:stretch>
                        </pic:blipFill>
                        <pic:spPr>
                          <a:xfrm>
                            <a:off x="0" y="0"/>
                            <a:ext cx="742315" cy="5486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双门热风消毒柜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1310*640*1970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参考品牌：康宝  伊德欣  美厨</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采用优质不锈钢制，玻璃纤维隔热材料，双温度控制器，定时开关、继电器；采用热风循环消毒。内分四层，共配八个消毒筐，烘干温度70℃-150℃，内部容积：720L</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2512" behindDoc="0" locked="0" layoutInCell="1" allowOverlap="1">
                  <wp:simplePos x="0" y="0"/>
                  <wp:positionH relativeFrom="column">
                    <wp:posOffset>86360</wp:posOffset>
                  </wp:positionH>
                  <wp:positionV relativeFrom="paragraph">
                    <wp:posOffset>48260</wp:posOffset>
                  </wp:positionV>
                  <wp:extent cx="598170" cy="714375"/>
                  <wp:effectExtent l="0" t="0" r="11430" b="9525"/>
                  <wp:wrapNone/>
                  <wp:docPr id="111" name="图片_30_SpCnt_1"/>
                  <wp:cNvGraphicFramePr/>
                  <a:graphic xmlns:a="http://schemas.openxmlformats.org/drawingml/2006/main">
                    <a:graphicData uri="http://schemas.openxmlformats.org/drawingml/2006/picture">
                      <pic:pic xmlns:pic="http://schemas.openxmlformats.org/drawingml/2006/picture">
                        <pic:nvPicPr>
                          <pic:cNvPr id="111" name="图片_30_SpCnt_1"/>
                          <pic:cNvPicPr/>
                        </pic:nvPicPr>
                        <pic:blipFill>
                          <a:blip r:embed="rId72"/>
                          <a:stretch>
                            <a:fillRect/>
                          </a:stretch>
                        </pic:blipFill>
                        <pic:spPr>
                          <a:xfrm>
                            <a:off x="0" y="0"/>
                            <a:ext cx="598170" cy="714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四层沥水货架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层板采用 ≥1.2mm 优质304不锈钢板；下衬≥ 1.2mm 优质304不锈钢板加强筋，层板下洼并倾斜式设计，层板前带沥水槽，沥水槽与腿管连接无漏点，沥出的水从脚管底部排出；立柱：38mm*38mm不锈钢扇形管，厚度1.0mm；配全钢可调子弹脚。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3536" behindDoc="0" locked="0" layoutInCell="1" allowOverlap="1">
                  <wp:simplePos x="0" y="0"/>
                  <wp:positionH relativeFrom="column">
                    <wp:posOffset>31750</wp:posOffset>
                  </wp:positionH>
                  <wp:positionV relativeFrom="paragraph">
                    <wp:posOffset>117475</wp:posOffset>
                  </wp:positionV>
                  <wp:extent cx="669290" cy="502285"/>
                  <wp:effectExtent l="0" t="0" r="16510" b="12065"/>
                  <wp:wrapNone/>
                  <wp:docPr id="112" name="图片_151"/>
                  <wp:cNvGraphicFramePr/>
                  <a:graphic xmlns:a="http://schemas.openxmlformats.org/drawingml/2006/main">
                    <a:graphicData uri="http://schemas.openxmlformats.org/drawingml/2006/picture">
                      <pic:pic xmlns:pic="http://schemas.openxmlformats.org/drawingml/2006/picture">
                        <pic:nvPicPr>
                          <pic:cNvPr id="112" name="图片_151"/>
                          <pic:cNvPicPr/>
                        </pic:nvPicPr>
                        <pic:blipFill>
                          <a:blip r:embed="rId73"/>
                          <a:stretch>
                            <a:fillRect/>
                          </a:stretch>
                        </pic:blipFill>
                        <pic:spPr>
                          <a:xfrm>
                            <a:off x="0" y="0"/>
                            <a:ext cx="669290" cy="5022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5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电子秤</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300KG</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参考品牌：华德；大川；友声</w:t>
            </w: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采用高精度传感器和微电脑技术，称量准确。具有简易计数，计重及百分比，检校HI，OK，LO，滤波稳定范围设定，自动校正，零点追踪，双重过载保护，全段去皮，预去皮，运送保护点等功能。</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4560" behindDoc="0" locked="0" layoutInCell="1" allowOverlap="1">
                  <wp:simplePos x="0" y="0"/>
                  <wp:positionH relativeFrom="column">
                    <wp:posOffset>10160</wp:posOffset>
                  </wp:positionH>
                  <wp:positionV relativeFrom="paragraph">
                    <wp:posOffset>122555</wp:posOffset>
                  </wp:positionV>
                  <wp:extent cx="813435" cy="559435"/>
                  <wp:effectExtent l="0" t="0" r="5715" b="12065"/>
                  <wp:wrapNone/>
                  <wp:docPr id="113" name="图片_47_SpCnt_1"/>
                  <wp:cNvGraphicFramePr/>
                  <a:graphic xmlns:a="http://schemas.openxmlformats.org/drawingml/2006/main">
                    <a:graphicData uri="http://schemas.openxmlformats.org/drawingml/2006/picture">
                      <pic:pic xmlns:pic="http://schemas.openxmlformats.org/drawingml/2006/picture">
                        <pic:nvPicPr>
                          <pic:cNvPr id="113" name="图片_47_SpCnt_1"/>
                          <pic:cNvPicPr/>
                        </pic:nvPicPr>
                        <pic:blipFill>
                          <a:blip r:embed="rId74"/>
                          <a:stretch>
                            <a:fillRect/>
                          </a:stretch>
                        </pic:blipFill>
                        <pic:spPr>
                          <a:xfrm>
                            <a:off x="0" y="0"/>
                            <a:ext cx="813435"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5584" behindDoc="0" locked="0" layoutInCell="1" allowOverlap="1">
                  <wp:simplePos x="0" y="0"/>
                  <wp:positionH relativeFrom="column">
                    <wp:posOffset>29210</wp:posOffset>
                  </wp:positionH>
                  <wp:positionV relativeFrom="paragraph">
                    <wp:posOffset>38100</wp:posOffset>
                  </wp:positionV>
                  <wp:extent cx="694055" cy="538480"/>
                  <wp:effectExtent l="0" t="0" r="10795" b="13970"/>
                  <wp:wrapNone/>
                  <wp:docPr id="114" name="图片_48_SpCnt_3"/>
                  <wp:cNvGraphicFramePr/>
                  <a:graphic xmlns:a="http://schemas.openxmlformats.org/drawingml/2006/main">
                    <a:graphicData uri="http://schemas.openxmlformats.org/drawingml/2006/picture">
                      <pic:pic xmlns:pic="http://schemas.openxmlformats.org/drawingml/2006/picture">
                        <pic:nvPicPr>
                          <pic:cNvPr id="114" name="图片_48_SpCnt_3"/>
                          <pic:cNvPicPr/>
                        </pic:nvPicPr>
                        <pic:blipFill>
                          <a:blip r:embed="rId75"/>
                          <a:stretch>
                            <a:fillRect/>
                          </a:stretch>
                        </pic:blipFill>
                        <pic:spPr>
                          <a:xfrm>
                            <a:off x="0" y="0"/>
                            <a:ext cx="694055" cy="538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风幕机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L=1500MM</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参考品牌：绿岛风；松下；美奈</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说明：电机功率：383W,风口风速:最高≥11m/s，最低≥9m/s，风量：≥1710m3/H,噪音:≤59Hz。</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6608" behindDoc="0" locked="0" layoutInCell="1" allowOverlap="1">
                  <wp:simplePos x="0" y="0"/>
                  <wp:positionH relativeFrom="column">
                    <wp:posOffset>19050</wp:posOffset>
                  </wp:positionH>
                  <wp:positionV relativeFrom="paragraph">
                    <wp:posOffset>113665</wp:posOffset>
                  </wp:positionV>
                  <wp:extent cx="807720" cy="354965"/>
                  <wp:effectExtent l="0" t="0" r="11430" b="6985"/>
                  <wp:wrapNone/>
                  <wp:docPr id="75" name="图片_17_SpCnt_2"/>
                  <wp:cNvGraphicFramePr/>
                  <a:graphic xmlns:a="http://schemas.openxmlformats.org/drawingml/2006/main">
                    <a:graphicData uri="http://schemas.openxmlformats.org/drawingml/2006/picture">
                      <pic:pic xmlns:pic="http://schemas.openxmlformats.org/drawingml/2006/picture">
                        <pic:nvPicPr>
                          <pic:cNvPr id="75" name="图片_17_SpCnt_2"/>
                          <pic:cNvPicPr/>
                        </pic:nvPicPr>
                        <pic:blipFill>
                          <a:blip r:embed="rId76"/>
                          <a:stretch>
                            <a:fillRect/>
                          </a:stretch>
                        </pic:blipFill>
                        <pic:spPr>
                          <a:xfrm>
                            <a:off x="0" y="0"/>
                            <a:ext cx="807720" cy="354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烹饪区</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2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智能燃气节能广式双眼炒灶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2000*1000*（800+450）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面板板厚δ≥1.2mm，炮台：570mm，台面一次压制成型。外旁板、门及后立板板厚δ≥1.0mm，龙骨架国标5#角钢，衬板热轧钢板厚δ≥2.0mm，红丹二度防锈处理，台面20mm厚硅酸铝板隔热层，灶身双层热轧钢板，隔热层厚40mm，炉膛50mm厚耐高温材料围砌，后背出烟，采用金蟾智能控制系统，配节能预混式静音炉头、熄火保护装置，国内名牌鼓风机，配φ60mm可调节脚。</w:t>
            </w: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燃气灶具通过GB 35848-2018（商用燃气燃烧器具）、GB 30531-2014（商用燃气灶具能效限定值及能效等级）标准、产品带有熄火保护装置、运行噪音低于61db（A）的检测并提供检测报告</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燃气灶具在通过内漏 15kPa试验条件下，阀门的空气泄漏量≤2.5mL/h的检测并提供检测报告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7632" behindDoc="0" locked="0" layoutInCell="1" allowOverlap="1">
                  <wp:simplePos x="0" y="0"/>
                  <wp:positionH relativeFrom="column">
                    <wp:posOffset>19050</wp:posOffset>
                  </wp:positionH>
                  <wp:positionV relativeFrom="paragraph">
                    <wp:posOffset>851535</wp:posOffset>
                  </wp:positionV>
                  <wp:extent cx="808990" cy="560070"/>
                  <wp:effectExtent l="0" t="0" r="10160" b="11430"/>
                  <wp:wrapNone/>
                  <wp:docPr id="76" name="Picture_11404"/>
                  <wp:cNvGraphicFramePr/>
                  <a:graphic xmlns:a="http://schemas.openxmlformats.org/drawingml/2006/main">
                    <a:graphicData uri="http://schemas.openxmlformats.org/drawingml/2006/picture">
                      <pic:pic xmlns:pic="http://schemas.openxmlformats.org/drawingml/2006/picture">
                        <pic:nvPicPr>
                          <pic:cNvPr id="76" name="Picture_11404"/>
                          <pic:cNvPicPr/>
                        </pic:nvPicPr>
                        <pic:blipFill>
                          <a:blip r:embed="rId77"/>
                          <a:stretch>
                            <a:fillRect/>
                          </a:stretch>
                        </pic:blipFill>
                        <pic:spPr>
                          <a:xfrm>
                            <a:off x="0" y="0"/>
                            <a:ext cx="808990" cy="5600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500*1000*（800+450）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8656" behindDoc="0" locked="0" layoutInCell="1" allowOverlap="1">
                  <wp:simplePos x="0" y="0"/>
                  <wp:positionH relativeFrom="column">
                    <wp:posOffset>48260</wp:posOffset>
                  </wp:positionH>
                  <wp:positionV relativeFrom="paragraph">
                    <wp:posOffset>188595</wp:posOffset>
                  </wp:positionV>
                  <wp:extent cx="684530" cy="685165"/>
                  <wp:effectExtent l="0" t="0" r="1270" b="635"/>
                  <wp:wrapNone/>
                  <wp:docPr id="77" name="图片_54_SpCnt_2"/>
                  <wp:cNvGraphicFramePr/>
                  <a:graphic xmlns:a="http://schemas.openxmlformats.org/drawingml/2006/main">
                    <a:graphicData uri="http://schemas.openxmlformats.org/drawingml/2006/picture">
                      <pic:pic xmlns:pic="http://schemas.openxmlformats.org/drawingml/2006/picture">
                        <pic:nvPicPr>
                          <pic:cNvPr id="77" name="图片_54_SpCnt_2"/>
                          <pic:cNvPicPr/>
                        </pic:nvPicPr>
                        <pic:blipFill>
                          <a:blip r:embed="rId78"/>
                          <a:stretch>
                            <a:fillRect/>
                          </a:stretch>
                        </pic:blipFill>
                        <pic:spPr>
                          <a:xfrm>
                            <a:off x="0" y="0"/>
                            <a:ext cx="684530"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燃气四眼煲仔炉</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700*900*（800+450）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选用SUS304-2B优质不锈钢板制造，板厚≥1.2mm，气阀采用进口波子掣，炉头采用：八角文火炉头，双孔加重炉盘，下置接灰板，配不锈钢可调脚。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19680" behindDoc="0" locked="0" layoutInCell="1" allowOverlap="1">
                  <wp:simplePos x="0" y="0"/>
                  <wp:positionH relativeFrom="column">
                    <wp:posOffset>86360</wp:posOffset>
                  </wp:positionH>
                  <wp:positionV relativeFrom="paragraph">
                    <wp:posOffset>57785</wp:posOffset>
                  </wp:positionV>
                  <wp:extent cx="608330" cy="662305"/>
                  <wp:effectExtent l="0" t="0" r="1270" b="4445"/>
                  <wp:wrapNone/>
                  <wp:docPr id="78" name="图片_58"/>
                  <wp:cNvGraphicFramePr/>
                  <a:graphic xmlns:a="http://schemas.openxmlformats.org/drawingml/2006/main">
                    <a:graphicData uri="http://schemas.openxmlformats.org/drawingml/2006/picture">
                      <pic:pic xmlns:pic="http://schemas.openxmlformats.org/drawingml/2006/picture">
                        <pic:nvPicPr>
                          <pic:cNvPr id="78" name="图片_58"/>
                          <pic:cNvPicPr/>
                        </pic:nvPicPr>
                        <pic:blipFill>
                          <a:blip r:embed="rId79"/>
                          <a:stretch>
                            <a:fillRect/>
                          </a:stretch>
                        </pic:blipFill>
                        <pic:spPr>
                          <a:xfrm>
                            <a:off x="0" y="0"/>
                            <a:ext cx="608330" cy="6623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77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调料台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480*840*（800+450）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加强筋采用板厚δ≥1.2不锈钢板制作，面板2根，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0704" behindDoc="0" locked="0" layoutInCell="1" allowOverlap="1">
                  <wp:simplePos x="0" y="0"/>
                  <wp:positionH relativeFrom="column">
                    <wp:posOffset>48260</wp:posOffset>
                  </wp:positionH>
                  <wp:positionV relativeFrom="paragraph">
                    <wp:posOffset>188595</wp:posOffset>
                  </wp:positionV>
                  <wp:extent cx="684530" cy="685165"/>
                  <wp:effectExtent l="0" t="0" r="1270" b="635"/>
                  <wp:wrapNone/>
                  <wp:docPr id="79" name="图片_54_SpCnt_3"/>
                  <wp:cNvGraphicFramePr/>
                  <a:graphic xmlns:a="http://schemas.openxmlformats.org/drawingml/2006/main">
                    <a:graphicData uri="http://schemas.openxmlformats.org/drawingml/2006/picture">
                      <pic:pic xmlns:pic="http://schemas.openxmlformats.org/drawingml/2006/picture">
                        <pic:nvPicPr>
                          <pic:cNvPr id="79" name="图片_54_SpCnt_3"/>
                          <pic:cNvPicPr/>
                        </pic:nvPicPr>
                        <pic:blipFill>
                          <a:blip r:embed="rId35"/>
                          <a:stretch>
                            <a:fillRect/>
                          </a:stretch>
                        </pic:blipFill>
                        <pic:spPr>
                          <a:xfrm>
                            <a:off x="0" y="0"/>
                            <a:ext cx="684530"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81"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智能燃气节能单眼大锅灶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1000*1000*（800+450）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板厚δ≥1.2mm，台面一次压制成型。外旁板、门及后立板板厚δ≥1.0mm，龙骨架国标5#角钢，衬板热轧钢板厚δ≥2.0mm，红丹二度防锈处理，台面20mm厚硅酸铝板隔热层，灶身双层热轧钢板，隔热层厚40mm，炉膛50mm厚耐高温材料围砌，后背出烟，配820mm翻边黑锅，采用金蟾智能控制系统，配节能预混式静音炉头、熄火保护装置，国内名牌鼓风机，配φ60mm可调节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1728" behindDoc="0" locked="0" layoutInCell="1" allowOverlap="1">
                  <wp:simplePos x="0" y="0"/>
                  <wp:positionH relativeFrom="column">
                    <wp:posOffset>19050</wp:posOffset>
                  </wp:positionH>
                  <wp:positionV relativeFrom="paragraph">
                    <wp:posOffset>650875</wp:posOffset>
                  </wp:positionV>
                  <wp:extent cx="788670" cy="667385"/>
                  <wp:effectExtent l="0" t="0" r="11430" b="18415"/>
                  <wp:wrapNone/>
                  <wp:docPr id="80" name="图片_87_SpCnt_1"/>
                  <wp:cNvGraphicFramePr/>
                  <a:graphic xmlns:a="http://schemas.openxmlformats.org/drawingml/2006/main">
                    <a:graphicData uri="http://schemas.openxmlformats.org/drawingml/2006/picture">
                      <pic:pic xmlns:pic="http://schemas.openxmlformats.org/drawingml/2006/picture">
                        <pic:nvPicPr>
                          <pic:cNvPr id="80" name="图片_87_SpCnt_1"/>
                          <pic:cNvPicPr/>
                        </pic:nvPicPr>
                        <pic:blipFill>
                          <a:blip r:embed="rId80"/>
                          <a:stretch>
                            <a:fillRect/>
                          </a:stretch>
                        </pic:blipFill>
                        <pic:spPr>
                          <a:xfrm>
                            <a:off x="0" y="0"/>
                            <a:ext cx="788670" cy="6673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可倾式电汤锅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外壳、锅体均采用SUS304-2B优质发纹贴塑≥3.0mm不锈钢板制作，内支撑架全部使用全不锈钢方管结构。锅口直径：500mm。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2752" behindDoc="0" locked="0" layoutInCell="1" allowOverlap="1">
                  <wp:simplePos x="0" y="0"/>
                  <wp:positionH relativeFrom="column">
                    <wp:posOffset>114300</wp:posOffset>
                  </wp:positionH>
                  <wp:positionV relativeFrom="paragraph">
                    <wp:posOffset>76200</wp:posOffset>
                  </wp:positionV>
                  <wp:extent cx="647700" cy="524510"/>
                  <wp:effectExtent l="0" t="0" r="0" b="8890"/>
                  <wp:wrapNone/>
                  <wp:docPr id="81" name="图片_60_SpCnt_2"/>
                  <wp:cNvGraphicFramePr/>
                  <a:graphic xmlns:a="http://schemas.openxmlformats.org/drawingml/2006/main">
                    <a:graphicData uri="http://schemas.openxmlformats.org/drawingml/2006/picture">
                      <pic:pic xmlns:pic="http://schemas.openxmlformats.org/drawingml/2006/picture">
                        <pic:nvPicPr>
                          <pic:cNvPr id="81" name="图片_60_SpCnt_2"/>
                          <pic:cNvPicPr/>
                        </pic:nvPicPr>
                        <pic:blipFill>
                          <a:blip r:embed="rId81"/>
                          <a:stretch>
                            <a:fillRect/>
                          </a:stretch>
                        </pic:blipFill>
                        <pic:spPr>
                          <a:xfrm>
                            <a:off x="0" y="0"/>
                            <a:ext cx="647700" cy="5245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5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82800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3776" behindDoc="0" locked="0" layoutInCell="1" allowOverlap="1">
                  <wp:simplePos x="0" y="0"/>
                  <wp:positionH relativeFrom="column">
                    <wp:posOffset>57150</wp:posOffset>
                  </wp:positionH>
                  <wp:positionV relativeFrom="paragraph">
                    <wp:posOffset>2356485</wp:posOffset>
                  </wp:positionV>
                  <wp:extent cx="743585" cy="508000"/>
                  <wp:effectExtent l="0" t="0" r="18415" b="6350"/>
                  <wp:wrapNone/>
                  <wp:docPr id="54" name="图片_122"/>
                  <wp:cNvGraphicFramePr/>
                  <a:graphic xmlns:a="http://schemas.openxmlformats.org/drawingml/2006/main">
                    <a:graphicData uri="http://schemas.openxmlformats.org/drawingml/2006/picture">
                      <pic:pic xmlns:pic="http://schemas.openxmlformats.org/drawingml/2006/picture">
                        <pic:nvPicPr>
                          <pic:cNvPr id="54" name="图片_122"/>
                          <pic:cNvPicPr/>
                        </pic:nvPicPr>
                        <pic:blipFill>
                          <a:blip r:embed="rId82"/>
                          <a:stretch>
                            <a:fillRect/>
                          </a:stretch>
                        </pic:blipFill>
                        <pic:spPr>
                          <a:xfrm>
                            <a:off x="0" y="0"/>
                            <a:ext cx="743585"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4800" behindDoc="0" locked="0" layoutInCell="1" allowOverlap="1">
                  <wp:simplePos x="0" y="0"/>
                  <wp:positionH relativeFrom="column">
                    <wp:posOffset>29210</wp:posOffset>
                  </wp:positionH>
                  <wp:positionV relativeFrom="paragraph">
                    <wp:posOffset>191770</wp:posOffset>
                  </wp:positionV>
                  <wp:extent cx="740410" cy="518160"/>
                  <wp:effectExtent l="0" t="0" r="2540" b="15240"/>
                  <wp:wrapNone/>
                  <wp:docPr id="82" name="图片_55_SpCnt_1"/>
                  <wp:cNvGraphicFramePr/>
                  <a:graphic xmlns:a="http://schemas.openxmlformats.org/drawingml/2006/main">
                    <a:graphicData uri="http://schemas.openxmlformats.org/drawingml/2006/picture">
                      <pic:pic xmlns:pic="http://schemas.openxmlformats.org/drawingml/2006/picture">
                        <pic:nvPicPr>
                          <pic:cNvPr id="82" name="图片_55_SpCnt_1"/>
                          <pic:cNvPicPr/>
                        </pic:nvPicPr>
                        <pic:blipFill>
                          <a:blip r:embed="rId83"/>
                          <a:stretch>
                            <a:fillRect/>
                          </a:stretch>
                        </pic:blipFill>
                        <pic:spPr>
                          <a:xfrm>
                            <a:off x="0" y="0"/>
                            <a:ext cx="740410" cy="518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四层格栅货架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选用优质不锈钢板制造，格栅型，腿为φ38mm厚度1.0mm不锈钢圆管，横档为60*20*1.2mm，配不锈钢可调脚。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5824" behindDoc="0" locked="0" layoutInCell="1" allowOverlap="1">
                  <wp:simplePos x="0" y="0"/>
                  <wp:positionH relativeFrom="column">
                    <wp:posOffset>181610</wp:posOffset>
                  </wp:positionH>
                  <wp:positionV relativeFrom="paragraph">
                    <wp:posOffset>29210</wp:posOffset>
                  </wp:positionV>
                  <wp:extent cx="516890" cy="574675"/>
                  <wp:effectExtent l="0" t="0" r="16510" b="15875"/>
                  <wp:wrapNone/>
                  <wp:docPr id="83" name="图片_37_SpCnt_1"/>
                  <wp:cNvGraphicFramePr/>
                  <a:graphic xmlns:a="http://schemas.openxmlformats.org/drawingml/2006/main">
                    <a:graphicData uri="http://schemas.openxmlformats.org/drawingml/2006/picture">
                      <pic:pic xmlns:pic="http://schemas.openxmlformats.org/drawingml/2006/picture">
                        <pic:nvPicPr>
                          <pic:cNvPr id="83" name="图片_37_SpCnt_1"/>
                          <pic:cNvPicPr/>
                        </pic:nvPicPr>
                        <pic:blipFill>
                          <a:blip r:embed="rId84"/>
                          <a:stretch>
                            <a:fillRect/>
                          </a:stretch>
                        </pic:blipFill>
                        <pic:spPr>
                          <a:xfrm>
                            <a:off x="0" y="0"/>
                            <a:ext cx="516890"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6848" behindDoc="0" locked="0" layoutInCell="1" allowOverlap="1">
                  <wp:simplePos x="0" y="0"/>
                  <wp:positionH relativeFrom="column">
                    <wp:posOffset>48260</wp:posOffset>
                  </wp:positionH>
                  <wp:positionV relativeFrom="paragraph">
                    <wp:posOffset>163830</wp:posOffset>
                  </wp:positionV>
                  <wp:extent cx="704850" cy="561975"/>
                  <wp:effectExtent l="0" t="0" r="0" b="9525"/>
                  <wp:wrapNone/>
                  <wp:docPr id="84" name="图片_35_SpCnt_3"/>
                  <wp:cNvGraphicFramePr/>
                  <a:graphic xmlns:a="http://schemas.openxmlformats.org/drawingml/2006/main">
                    <a:graphicData uri="http://schemas.openxmlformats.org/drawingml/2006/picture">
                      <pic:pic xmlns:pic="http://schemas.openxmlformats.org/drawingml/2006/picture">
                        <pic:nvPicPr>
                          <pic:cNvPr id="84" name="图片_35_SpCnt_3"/>
                          <pic:cNvPicPr/>
                        </pic:nvPicPr>
                        <pic:blipFill>
                          <a:blip r:embed="rId85"/>
                          <a:stretch>
                            <a:fillRect/>
                          </a:stretch>
                        </pic:blipFill>
                        <pic:spPr>
                          <a:xfrm>
                            <a:off x="0" y="0"/>
                            <a:ext cx="704850" cy="5619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7872" behindDoc="0" locked="0" layoutInCell="1" allowOverlap="1">
                  <wp:simplePos x="0" y="0"/>
                  <wp:positionH relativeFrom="column">
                    <wp:posOffset>48260</wp:posOffset>
                  </wp:positionH>
                  <wp:positionV relativeFrom="paragraph">
                    <wp:posOffset>27940</wp:posOffset>
                  </wp:positionV>
                  <wp:extent cx="703580" cy="594360"/>
                  <wp:effectExtent l="0" t="0" r="1270" b="15240"/>
                  <wp:wrapNone/>
                  <wp:docPr id="5" name="图片_8_SpCnt_4"/>
                  <wp:cNvGraphicFramePr/>
                  <a:graphic xmlns:a="http://schemas.openxmlformats.org/drawingml/2006/main">
                    <a:graphicData uri="http://schemas.openxmlformats.org/drawingml/2006/picture">
                      <pic:pic xmlns:pic="http://schemas.openxmlformats.org/drawingml/2006/picture">
                        <pic:nvPicPr>
                          <pic:cNvPr id="5" name="图片_8_SpCnt_4"/>
                          <pic:cNvPicPr/>
                        </pic:nvPicPr>
                        <pic:blipFill>
                          <a:blip r:embed="rId86"/>
                          <a:stretch>
                            <a:fillRect/>
                          </a:stretch>
                        </pic:blipFill>
                        <pic:spPr>
                          <a:xfrm>
                            <a:off x="0" y="0"/>
                            <a:ext cx="703580" cy="594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四门双温冰箱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1215*750*1930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8896" behindDoc="0" locked="0" layoutInCell="1" allowOverlap="1">
                  <wp:simplePos x="0" y="0"/>
                  <wp:positionH relativeFrom="column">
                    <wp:posOffset>19050</wp:posOffset>
                  </wp:positionH>
                  <wp:positionV relativeFrom="paragraph">
                    <wp:posOffset>417830</wp:posOffset>
                  </wp:positionV>
                  <wp:extent cx="793115" cy="1089025"/>
                  <wp:effectExtent l="0" t="0" r="6985" b="15875"/>
                  <wp:wrapNone/>
                  <wp:docPr id="6" name="图片_25_SpCnt_1"/>
                  <wp:cNvGraphicFramePr/>
                  <a:graphic xmlns:a="http://schemas.openxmlformats.org/drawingml/2006/main">
                    <a:graphicData uri="http://schemas.openxmlformats.org/drawingml/2006/picture">
                      <pic:pic xmlns:pic="http://schemas.openxmlformats.org/drawingml/2006/picture">
                        <pic:nvPicPr>
                          <pic:cNvPr id="6" name="图片_25_SpCnt_1"/>
                          <pic:cNvPicPr/>
                        </pic:nvPicPr>
                        <pic:blipFill>
                          <a:blip r:embed="rId52"/>
                          <a:stretch>
                            <a:fillRect/>
                          </a:stretch>
                        </pic:blipFill>
                        <pic:spPr>
                          <a:xfrm>
                            <a:off x="0" y="0"/>
                            <a:ext cx="793115" cy="1089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303"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燃气立式三层米饭机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745*764*1311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参考品牌：乐鹰；爱丰；林内</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从点火到米饭加工完全采用自动化，利用微电脑控制功能，可以制成菜单要求的理想饭食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采用圆形放射状加热器，保证锅内米饭受热均匀美味可口</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根据菜单要求，附带米饭火候调节功能。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安全性能强，万一发生未点火或失火、干烧的情况，指示灯和蜂鸣器会自动检测并报警提示，同时切断燃气。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功能齐全，可加工白米饭、什锦饭、并带有做粥的功能。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每层微电脑单独控制，每层可以同时加工不同的饭食.</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米饭锅采用不粘锅处理。             加工能力：21 kg</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层数：3层</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耗气量：27KW</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耗电量：0.04KW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29920" behindDoc="0" locked="0" layoutInCell="1" allowOverlap="1">
                  <wp:simplePos x="0" y="0"/>
                  <wp:positionH relativeFrom="column">
                    <wp:posOffset>10160</wp:posOffset>
                  </wp:positionH>
                  <wp:positionV relativeFrom="paragraph">
                    <wp:posOffset>1047115</wp:posOffset>
                  </wp:positionV>
                  <wp:extent cx="801370" cy="948055"/>
                  <wp:effectExtent l="0" t="0" r="17780" b="4445"/>
                  <wp:wrapNone/>
                  <wp:docPr id="7" name="图片_60_SpCnt_3"/>
                  <wp:cNvGraphicFramePr/>
                  <a:graphic xmlns:a="http://schemas.openxmlformats.org/drawingml/2006/main">
                    <a:graphicData uri="http://schemas.openxmlformats.org/drawingml/2006/picture">
                      <pic:pic xmlns:pic="http://schemas.openxmlformats.org/drawingml/2006/picture">
                        <pic:nvPicPr>
                          <pic:cNvPr id="7" name="图片_60_SpCnt_3"/>
                          <pic:cNvPicPr/>
                        </pic:nvPicPr>
                        <pic:blipFill>
                          <a:blip r:embed="rId87"/>
                          <a:stretch>
                            <a:fillRect/>
                          </a:stretch>
                        </pic:blipFill>
                        <pic:spPr>
                          <a:xfrm>
                            <a:off x="0" y="0"/>
                            <a:ext cx="801370" cy="9480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0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电力触摸屏万能蒸烤箱（10盘）连底座</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935*795*1100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参考品牌：康福登；乐信；法格</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电压：380V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功率：17.3KW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304不锈钢外壳-316L不锈钢烹饪</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内腔-10层架-干烤、蒸、混合烤三</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种模式-6个程序3步骤-双向风扇-自</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动压力控制（专利）-ECO节能模</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式（节能10%）-食物核心温度探</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针-冷却程序</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0944" behindDoc="0" locked="0" layoutInCell="1" allowOverlap="1">
                  <wp:simplePos x="0" y="0"/>
                  <wp:positionH relativeFrom="column">
                    <wp:posOffset>29210</wp:posOffset>
                  </wp:positionH>
                  <wp:positionV relativeFrom="paragraph">
                    <wp:posOffset>278130</wp:posOffset>
                  </wp:positionV>
                  <wp:extent cx="805180" cy="592455"/>
                  <wp:effectExtent l="0" t="0" r="13970" b="17145"/>
                  <wp:wrapNone/>
                  <wp:docPr id="8" name="图片_16_SpCnt_1"/>
                  <wp:cNvGraphicFramePr/>
                  <a:graphic xmlns:a="http://schemas.openxmlformats.org/drawingml/2006/main">
                    <a:graphicData uri="http://schemas.openxmlformats.org/drawingml/2006/picture">
                      <pic:pic xmlns:pic="http://schemas.openxmlformats.org/drawingml/2006/picture">
                        <pic:nvPicPr>
                          <pic:cNvPr id="8" name="图片_16_SpCnt_1"/>
                          <pic:cNvPicPr/>
                        </pic:nvPicPr>
                        <pic:blipFill>
                          <a:blip r:embed="rId88"/>
                          <a:stretch>
                            <a:fillRect/>
                          </a:stretch>
                        </pic:blipFill>
                        <pic:spPr>
                          <a:xfrm>
                            <a:off x="0" y="0"/>
                            <a:ext cx="805180" cy="59245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电热单眼蒸包炉</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采用SUS304-2B优质发纹贴塑不锈钢板制做，门面板δ≥1.2，内胆板厚δ≥1.5，围板厚δ≥1.0，配6分铜球阀排污，自动进水装置，用电量：380V/12KW。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1968" behindDoc="0" locked="0" layoutInCell="1" allowOverlap="1">
                  <wp:simplePos x="0" y="0"/>
                  <wp:positionH relativeFrom="column">
                    <wp:posOffset>86360</wp:posOffset>
                  </wp:positionH>
                  <wp:positionV relativeFrom="paragraph">
                    <wp:posOffset>46990</wp:posOffset>
                  </wp:positionV>
                  <wp:extent cx="690245" cy="678180"/>
                  <wp:effectExtent l="0" t="0" r="14605" b="7620"/>
                  <wp:wrapNone/>
                  <wp:docPr id="9" name="图片_15"/>
                  <wp:cNvGraphicFramePr/>
                  <a:graphic xmlns:a="http://schemas.openxmlformats.org/drawingml/2006/main">
                    <a:graphicData uri="http://schemas.openxmlformats.org/drawingml/2006/picture">
                      <pic:pic xmlns:pic="http://schemas.openxmlformats.org/drawingml/2006/picture">
                        <pic:nvPicPr>
                          <pic:cNvPr id="9" name="图片_15"/>
                          <pic:cNvPicPr/>
                        </pic:nvPicPr>
                        <pic:blipFill>
                          <a:blip r:embed="rId89"/>
                          <a:stretch>
                            <a:fillRect/>
                          </a:stretch>
                        </pic:blipFill>
                        <pic:spPr>
                          <a:xfrm>
                            <a:off x="0" y="0"/>
                            <a:ext cx="690245" cy="6781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15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4.6</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63480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2992" behindDoc="0" locked="0" layoutInCell="1" allowOverlap="1">
                  <wp:simplePos x="0" y="0"/>
                  <wp:positionH relativeFrom="column">
                    <wp:posOffset>48260</wp:posOffset>
                  </wp:positionH>
                  <wp:positionV relativeFrom="paragraph">
                    <wp:posOffset>2393950</wp:posOffset>
                  </wp:positionV>
                  <wp:extent cx="742950" cy="507365"/>
                  <wp:effectExtent l="0" t="0" r="0" b="6985"/>
                  <wp:wrapNone/>
                  <wp:docPr id="52" name="图片_123"/>
                  <wp:cNvGraphicFramePr/>
                  <a:graphic xmlns:a="http://schemas.openxmlformats.org/drawingml/2006/main">
                    <a:graphicData uri="http://schemas.openxmlformats.org/drawingml/2006/picture">
                      <pic:pic xmlns:pic="http://schemas.openxmlformats.org/drawingml/2006/picture">
                        <pic:nvPicPr>
                          <pic:cNvPr id="52" name="图片_123"/>
                          <pic:cNvPicPr/>
                        </pic:nvPicPr>
                        <pic:blipFill>
                          <a:blip r:embed="rId90"/>
                          <a:stretch>
                            <a:fillRect/>
                          </a:stretch>
                        </pic:blipFill>
                        <pic:spPr>
                          <a:xfrm>
                            <a:off x="0" y="0"/>
                            <a:ext cx="742950" cy="5073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4016" behindDoc="0" locked="0" layoutInCell="1" allowOverlap="1">
                  <wp:simplePos x="0" y="0"/>
                  <wp:positionH relativeFrom="column">
                    <wp:posOffset>48260</wp:posOffset>
                  </wp:positionH>
                  <wp:positionV relativeFrom="paragraph">
                    <wp:posOffset>38100</wp:posOffset>
                  </wp:positionV>
                  <wp:extent cx="694055" cy="541020"/>
                  <wp:effectExtent l="0" t="0" r="10795" b="11430"/>
                  <wp:wrapNone/>
                  <wp:docPr id="10" name="图片_62_SpCnt_1"/>
                  <wp:cNvGraphicFramePr/>
                  <a:graphic xmlns:a="http://schemas.openxmlformats.org/drawingml/2006/main">
                    <a:graphicData uri="http://schemas.openxmlformats.org/drawingml/2006/picture">
                      <pic:pic xmlns:pic="http://schemas.openxmlformats.org/drawingml/2006/picture">
                        <pic:nvPicPr>
                          <pic:cNvPr id="10" name="图片_62_SpCnt_1"/>
                          <pic:cNvPicPr/>
                        </pic:nvPicPr>
                        <pic:blipFill>
                          <a:blip r:embed="rId91"/>
                          <a:stretch>
                            <a:fillRect/>
                          </a:stretch>
                        </pic:blipFill>
                        <pic:spPr>
                          <a:xfrm>
                            <a:off x="0" y="0"/>
                            <a:ext cx="694055"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风幕机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L=1500MM</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参考品牌：绿岛风；松下；美奈</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说明：电机功率：383W,风口风速:最高≥11m/s，最低≥9m/s，风量：≥1710m3/H,噪音:≤59Hz。</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5040" behindDoc="0" locked="0" layoutInCell="1" allowOverlap="1">
                  <wp:simplePos x="0" y="0"/>
                  <wp:positionH relativeFrom="column">
                    <wp:posOffset>19050</wp:posOffset>
                  </wp:positionH>
                  <wp:positionV relativeFrom="paragraph">
                    <wp:posOffset>113665</wp:posOffset>
                  </wp:positionV>
                  <wp:extent cx="807720" cy="354965"/>
                  <wp:effectExtent l="0" t="0" r="11430" b="6985"/>
                  <wp:wrapNone/>
                  <wp:docPr id="11" name="图片_17_SpCnt_3"/>
                  <wp:cNvGraphicFramePr/>
                  <a:graphic xmlns:a="http://schemas.openxmlformats.org/drawingml/2006/main">
                    <a:graphicData uri="http://schemas.openxmlformats.org/drawingml/2006/picture">
                      <pic:pic xmlns:pic="http://schemas.openxmlformats.org/drawingml/2006/picture">
                        <pic:nvPicPr>
                          <pic:cNvPr id="11" name="图片_17_SpCnt_3"/>
                          <pic:cNvPicPr/>
                        </pic:nvPicPr>
                        <pic:blipFill>
                          <a:blip r:embed="rId76"/>
                          <a:stretch>
                            <a:fillRect/>
                          </a:stretch>
                        </pic:blipFill>
                        <pic:spPr>
                          <a:xfrm>
                            <a:off x="0" y="0"/>
                            <a:ext cx="807720" cy="354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5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洗地龙头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低碳钢材喷涂，黑色钢丝编织液压管，长度13米，可拉伸，自动回收，配置水枪，耐高温80-120度。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6064" behindDoc="0" locked="0" layoutInCell="1" allowOverlap="1">
                  <wp:simplePos x="0" y="0"/>
                  <wp:positionH relativeFrom="column">
                    <wp:posOffset>76200</wp:posOffset>
                  </wp:positionH>
                  <wp:positionV relativeFrom="paragraph">
                    <wp:posOffset>58420</wp:posOffset>
                  </wp:positionV>
                  <wp:extent cx="648970" cy="579120"/>
                  <wp:effectExtent l="0" t="0" r="17780" b="11430"/>
                  <wp:wrapNone/>
                  <wp:docPr id="12" name="图片_19_SpCnt_4"/>
                  <wp:cNvGraphicFramePr/>
                  <a:graphic xmlns:a="http://schemas.openxmlformats.org/drawingml/2006/main">
                    <a:graphicData uri="http://schemas.openxmlformats.org/drawingml/2006/picture">
                      <pic:pic xmlns:pic="http://schemas.openxmlformats.org/drawingml/2006/picture">
                        <pic:nvPicPr>
                          <pic:cNvPr id="12" name="图片_19_SpCnt_4"/>
                          <pic:cNvPicPr/>
                        </pic:nvPicPr>
                        <pic:blipFill>
                          <a:blip r:embed="rId92"/>
                          <a:stretch>
                            <a:fillRect/>
                          </a:stretch>
                        </pic:blipFill>
                        <pic:spPr>
                          <a:xfrm>
                            <a:off x="0" y="0"/>
                            <a:ext cx="648970" cy="579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仓库</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5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四门双温冰箱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1215*750*1930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7088" behindDoc="0" locked="0" layoutInCell="1" allowOverlap="1">
                  <wp:simplePos x="0" y="0"/>
                  <wp:positionH relativeFrom="column">
                    <wp:posOffset>29210</wp:posOffset>
                  </wp:positionH>
                  <wp:positionV relativeFrom="paragraph">
                    <wp:posOffset>520700</wp:posOffset>
                  </wp:positionV>
                  <wp:extent cx="793115" cy="1088390"/>
                  <wp:effectExtent l="0" t="0" r="6985" b="16510"/>
                  <wp:wrapNone/>
                  <wp:docPr id="13" name="图片_25_SpCnt_2"/>
                  <wp:cNvGraphicFramePr/>
                  <a:graphic xmlns:a="http://schemas.openxmlformats.org/drawingml/2006/main">
                    <a:graphicData uri="http://schemas.openxmlformats.org/drawingml/2006/picture">
                      <pic:pic xmlns:pic="http://schemas.openxmlformats.org/drawingml/2006/picture">
                        <pic:nvPicPr>
                          <pic:cNvPr id="13" name="图片_25_SpCnt_2"/>
                          <pic:cNvPicPr/>
                        </pic:nvPicPr>
                        <pic:blipFill>
                          <a:blip r:embed="rId52"/>
                          <a:stretch>
                            <a:fillRect/>
                          </a:stretch>
                        </pic:blipFill>
                        <pic:spPr>
                          <a:xfrm>
                            <a:off x="0" y="0"/>
                            <a:ext cx="793115" cy="10883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大米架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1200*500*250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采用SUS304-2B优质发纹贴塑不锈钢管制做，δ≥1.0mm 50*50全不锈钢方管制作，横档为40*25*1.0mm。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8112" behindDoc="0" locked="0" layoutInCell="1" allowOverlap="1">
                  <wp:simplePos x="0" y="0"/>
                  <wp:positionH relativeFrom="column">
                    <wp:posOffset>76200</wp:posOffset>
                  </wp:positionH>
                  <wp:positionV relativeFrom="paragraph">
                    <wp:posOffset>34290</wp:posOffset>
                  </wp:positionV>
                  <wp:extent cx="598805" cy="415290"/>
                  <wp:effectExtent l="0" t="0" r="10795" b="3810"/>
                  <wp:wrapNone/>
                  <wp:docPr id="14" name="图片_6_SpCnt_4"/>
                  <wp:cNvGraphicFramePr/>
                  <a:graphic xmlns:a="http://schemas.openxmlformats.org/drawingml/2006/main">
                    <a:graphicData uri="http://schemas.openxmlformats.org/drawingml/2006/picture">
                      <pic:pic xmlns:pic="http://schemas.openxmlformats.org/drawingml/2006/picture">
                        <pic:nvPicPr>
                          <pic:cNvPr id="14" name="图片_6_SpCnt_4"/>
                          <pic:cNvPicPr/>
                        </pic:nvPicPr>
                        <pic:blipFill>
                          <a:blip r:embed="rId93"/>
                          <a:stretch>
                            <a:fillRect/>
                          </a:stretch>
                        </pic:blipFill>
                        <pic:spPr>
                          <a:xfrm>
                            <a:off x="0" y="0"/>
                            <a:ext cx="598805" cy="4152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四层格栅货架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textAlignment w:val="bottom"/>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选用优质不锈钢板制造，格栅型，腿为φ38mm厚度≥1.0mm不锈钢圆管，横档为60*20*1.2mm，配不锈钢可调脚。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39136" behindDoc="0" locked="0" layoutInCell="1" allowOverlap="1">
                  <wp:simplePos x="0" y="0"/>
                  <wp:positionH relativeFrom="column">
                    <wp:posOffset>114300</wp:posOffset>
                  </wp:positionH>
                  <wp:positionV relativeFrom="paragraph">
                    <wp:posOffset>29210</wp:posOffset>
                  </wp:positionV>
                  <wp:extent cx="518160" cy="574675"/>
                  <wp:effectExtent l="0" t="0" r="15240" b="15875"/>
                  <wp:wrapNone/>
                  <wp:docPr id="95" name="图片_37_SpCnt_2"/>
                  <wp:cNvGraphicFramePr/>
                  <a:graphic xmlns:a="http://schemas.openxmlformats.org/drawingml/2006/main">
                    <a:graphicData uri="http://schemas.openxmlformats.org/drawingml/2006/picture">
                      <pic:pic xmlns:pic="http://schemas.openxmlformats.org/drawingml/2006/picture">
                        <pic:nvPicPr>
                          <pic:cNvPr id="95" name="图片_37_SpCnt_2"/>
                          <pic:cNvPicPr/>
                        </pic:nvPicPr>
                        <pic:blipFill>
                          <a:blip r:embed="rId94"/>
                          <a:stretch>
                            <a:fillRect/>
                          </a:stretch>
                        </pic:blipFill>
                        <pic:spPr>
                          <a:xfrm>
                            <a:off x="0" y="0"/>
                            <a:ext cx="518160" cy="5746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面点间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600*800*（800+150）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0160" behindDoc="0" locked="0" layoutInCell="1" allowOverlap="1">
                  <wp:simplePos x="0" y="0"/>
                  <wp:positionH relativeFrom="column">
                    <wp:posOffset>10160</wp:posOffset>
                  </wp:positionH>
                  <wp:positionV relativeFrom="paragraph">
                    <wp:posOffset>234315</wp:posOffset>
                  </wp:positionV>
                  <wp:extent cx="752475" cy="602615"/>
                  <wp:effectExtent l="0" t="0" r="9525" b="6985"/>
                  <wp:wrapNone/>
                  <wp:docPr id="96" name="图片_35_SpCnt_4"/>
                  <wp:cNvGraphicFramePr/>
                  <a:graphic xmlns:a="http://schemas.openxmlformats.org/drawingml/2006/main">
                    <a:graphicData uri="http://schemas.openxmlformats.org/drawingml/2006/picture">
                      <pic:pic xmlns:pic="http://schemas.openxmlformats.org/drawingml/2006/picture">
                        <pic:nvPicPr>
                          <pic:cNvPr id="96" name="图片_35_SpCnt_4"/>
                          <pic:cNvPicPr/>
                        </pic:nvPicPr>
                        <pic:blipFill>
                          <a:blip r:embed="rId95"/>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台式混水厨房龙头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双孔双把双温装台面鹅颈龙头，管径18MM，开孔22MM，距离台面总高度230MM，黄铜底座，陶瓷阀芯，不锈钢出水管。</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1184" behindDoc="0" locked="0" layoutInCell="1" allowOverlap="1">
                  <wp:simplePos x="0" y="0"/>
                  <wp:positionH relativeFrom="column">
                    <wp:posOffset>48260</wp:posOffset>
                  </wp:positionH>
                  <wp:positionV relativeFrom="paragraph">
                    <wp:posOffset>27940</wp:posOffset>
                  </wp:positionV>
                  <wp:extent cx="703580" cy="594360"/>
                  <wp:effectExtent l="0" t="0" r="1270" b="15240"/>
                  <wp:wrapNone/>
                  <wp:docPr id="97" name="图片_8_SpCnt_5"/>
                  <wp:cNvGraphicFramePr/>
                  <a:graphic xmlns:a="http://schemas.openxmlformats.org/drawingml/2006/main">
                    <a:graphicData uri="http://schemas.openxmlformats.org/drawingml/2006/picture">
                      <pic:pic xmlns:pic="http://schemas.openxmlformats.org/drawingml/2006/picture">
                        <pic:nvPicPr>
                          <pic:cNvPr id="97" name="图片_8_SpCnt_5"/>
                          <pic:cNvPicPr/>
                        </pic:nvPicPr>
                        <pic:blipFill>
                          <a:blip r:embed="rId64"/>
                          <a:stretch>
                            <a:fillRect/>
                          </a:stretch>
                        </pic:blipFill>
                        <pic:spPr>
                          <a:xfrm>
                            <a:off x="0" y="0"/>
                            <a:ext cx="703580" cy="5943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木面工作台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选用优质柳桉木制造，板厚50mm，不锈钢包边，腿立柱采用φ38X1.2不锈钢管材，配全钢可调子弹脚。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2208" behindDoc="0" locked="0" layoutInCell="1" allowOverlap="1">
                  <wp:simplePos x="0" y="0"/>
                  <wp:positionH relativeFrom="column">
                    <wp:posOffset>29210</wp:posOffset>
                  </wp:positionH>
                  <wp:positionV relativeFrom="paragraph">
                    <wp:posOffset>8890</wp:posOffset>
                  </wp:positionV>
                  <wp:extent cx="786130" cy="536575"/>
                  <wp:effectExtent l="0" t="0" r="13970" b="15875"/>
                  <wp:wrapNone/>
                  <wp:docPr id="98" name="图片_49"/>
                  <wp:cNvGraphicFramePr/>
                  <a:graphic xmlns:a="http://schemas.openxmlformats.org/drawingml/2006/main">
                    <a:graphicData uri="http://schemas.openxmlformats.org/drawingml/2006/picture">
                      <pic:pic xmlns:pic="http://schemas.openxmlformats.org/drawingml/2006/picture">
                        <pic:nvPicPr>
                          <pic:cNvPr id="98" name="图片_49"/>
                          <pic:cNvPicPr/>
                        </pic:nvPicPr>
                        <pic:blipFill>
                          <a:blip r:embed="rId96"/>
                          <a:stretch>
                            <a:fillRect/>
                          </a:stretch>
                        </pic:blipFill>
                        <pic:spPr>
                          <a:xfrm>
                            <a:off x="0" y="0"/>
                            <a:ext cx="786130" cy="5365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8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面粉车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500*500*500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辆</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采用SUS304-2B优质发纹贴塑不锈钢板制做，板厚≥1.2mm，配2寸加强轮。</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val="en-US" w:eastAsia="zh-CN" w:bidi="ar"/>
              </w:rPr>
              <w:t>面粉车</w:t>
            </w:r>
            <w:r>
              <w:rPr>
                <w:rFonts w:hint="eastAsia" w:ascii="仿宋" w:hAnsi="仿宋" w:eastAsia="仿宋" w:cs="仿宋"/>
                <w:color w:val="auto"/>
                <w:kern w:val="0"/>
                <w:sz w:val="20"/>
                <w:szCs w:val="20"/>
                <w:highlight w:val="none"/>
                <w:lang w:bidi="ar"/>
              </w:rPr>
              <w:t>通过GB/T 3280-2015（不锈钢冷轧钢板和钢带）、GB/11170-2008（不锈钢多元素含量的测定火花放电原子发射光谱法(常规法)）标准且碳(C）化学成分≤0.05%，铬(Cr）含量17.5-19.5</w:t>
            </w:r>
            <w:r>
              <w:rPr>
                <w:rFonts w:hint="eastAsia" w:ascii="仿宋" w:hAnsi="仿宋" w:eastAsia="仿宋" w:cs="仿宋"/>
                <w:color w:val="auto"/>
                <w:kern w:val="0"/>
                <w:sz w:val="20"/>
                <w:szCs w:val="20"/>
                <w:highlight w:val="none"/>
                <w:lang w:val="en-US" w:eastAsia="zh-CN" w:bidi="ar"/>
              </w:rPr>
              <w:t>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3232" behindDoc="0" locked="0" layoutInCell="1" allowOverlap="1">
                  <wp:simplePos x="0" y="0"/>
                  <wp:positionH relativeFrom="column">
                    <wp:posOffset>190500</wp:posOffset>
                  </wp:positionH>
                  <wp:positionV relativeFrom="paragraph">
                    <wp:posOffset>31115</wp:posOffset>
                  </wp:positionV>
                  <wp:extent cx="435610" cy="497840"/>
                  <wp:effectExtent l="0" t="0" r="2540" b="16510"/>
                  <wp:wrapNone/>
                  <wp:docPr id="99" name="图片_48_SpCnt_4"/>
                  <wp:cNvGraphicFramePr/>
                  <a:graphic xmlns:a="http://schemas.openxmlformats.org/drawingml/2006/main">
                    <a:graphicData uri="http://schemas.openxmlformats.org/drawingml/2006/picture">
                      <pic:pic xmlns:pic="http://schemas.openxmlformats.org/drawingml/2006/picture">
                        <pic:nvPicPr>
                          <pic:cNvPr id="99" name="图片_48_SpCnt_4"/>
                          <pic:cNvPicPr/>
                        </pic:nvPicPr>
                        <pic:blipFill>
                          <a:blip r:embed="rId97"/>
                          <a:stretch>
                            <a:fillRect/>
                          </a:stretch>
                        </pic:blipFill>
                        <pic:spPr>
                          <a:xfrm>
                            <a:off x="0" y="0"/>
                            <a:ext cx="435610" cy="4978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33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搅拌机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620*630*1011</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参考品牌：雷尼斯；新麦；三麦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微电脑数字显示控制板，全自动程序设定，豪华美观，操作方便；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双电机实现双自动速运转，速度快，正反转任意转换；</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采用优质钢材和电器原件，配备过载和缺相保护功能，提高设备使用寿命；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吸水量高，搅出的面团筋度好，进炉烘烤膨胀率高，降低生产成本。</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搅拌钩经过特殊处理，经久不变形配30L不锈钢搅拌桶、勾、扇、球各一个。</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4256" behindDoc="0" locked="0" layoutInCell="1" allowOverlap="1">
                  <wp:simplePos x="0" y="0"/>
                  <wp:positionH relativeFrom="column">
                    <wp:posOffset>29210</wp:posOffset>
                  </wp:positionH>
                  <wp:positionV relativeFrom="paragraph">
                    <wp:posOffset>464185</wp:posOffset>
                  </wp:positionV>
                  <wp:extent cx="757555" cy="929005"/>
                  <wp:effectExtent l="0" t="0" r="4445" b="4445"/>
                  <wp:wrapNone/>
                  <wp:docPr id="100" name="图片_47_SpCnt_2"/>
                  <wp:cNvGraphicFramePr/>
                  <a:graphic xmlns:a="http://schemas.openxmlformats.org/drawingml/2006/main">
                    <a:graphicData uri="http://schemas.openxmlformats.org/drawingml/2006/picture">
                      <pic:pic xmlns:pic="http://schemas.openxmlformats.org/drawingml/2006/picture">
                        <pic:nvPicPr>
                          <pic:cNvPr id="100" name="图片_47_SpCnt_2"/>
                          <pic:cNvPicPr/>
                        </pic:nvPicPr>
                        <pic:blipFill>
                          <a:blip r:embed="rId98"/>
                          <a:stretch>
                            <a:fillRect/>
                          </a:stretch>
                        </pic:blipFill>
                        <pic:spPr>
                          <a:xfrm>
                            <a:off x="0" y="0"/>
                            <a:ext cx="757555" cy="9290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压面机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626*490*1090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参考品牌：雷尼斯；新麦；三麦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额定电压 : 2~220V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电机功率 : 1.5kW</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压面厚度 : 2~32mm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压面宽度 : 350mm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5280" behindDoc="0" locked="0" layoutInCell="1" allowOverlap="1">
                  <wp:simplePos x="0" y="0"/>
                  <wp:positionH relativeFrom="column">
                    <wp:posOffset>67310</wp:posOffset>
                  </wp:positionH>
                  <wp:positionV relativeFrom="paragraph">
                    <wp:posOffset>27940</wp:posOffset>
                  </wp:positionV>
                  <wp:extent cx="628650" cy="609600"/>
                  <wp:effectExtent l="0" t="0" r="0" b="0"/>
                  <wp:wrapNone/>
                  <wp:docPr id="101" name="图片_48_SpCnt_5"/>
                  <wp:cNvGraphicFramePr/>
                  <a:graphic xmlns:a="http://schemas.openxmlformats.org/drawingml/2006/main">
                    <a:graphicData uri="http://schemas.openxmlformats.org/drawingml/2006/picture">
                      <pic:pic xmlns:pic="http://schemas.openxmlformats.org/drawingml/2006/picture">
                        <pic:nvPicPr>
                          <pic:cNvPr id="101" name="图片_48_SpCnt_5"/>
                          <pic:cNvPicPr/>
                        </pic:nvPicPr>
                        <pic:blipFill>
                          <a:blip r:embed="rId99"/>
                          <a:stretch>
                            <a:fillRect/>
                          </a:stretch>
                        </pic:blipFill>
                        <pic:spPr>
                          <a:xfrm>
                            <a:off x="0" y="0"/>
                            <a:ext cx="628650" cy="6096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和面机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502*835*1052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参考品牌：雷尼斯；新麦；三麦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采用轻触式电脑控制面板，双电机实现双自动速运转；</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搅拌钩经过特殊处理，经久不变形；</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皮带式传动，噪音小；</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设有安全网罩，保护使用者安全。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吸水量高，可达60%；</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合资品牌电机，噪音小。电量：3KW/380V；</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容量：45L</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6304" behindDoc="0" locked="0" layoutInCell="1" allowOverlap="1">
                  <wp:simplePos x="0" y="0"/>
                  <wp:positionH relativeFrom="column">
                    <wp:posOffset>76200</wp:posOffset>
                  </wp:positionH>
                  <wp:positionV relativeFrom="paragraph">
                    <wp:posOffset>428625</wp:posOffset>
                  </wp:positionV>
                  <wp:extent cx="679450" cy="779780"/>
                  <wp:effectExtent l="0" t="0" r="6350" b="1270"/>
                  <wp:wrapNone/>
                  <wp:docPr id="102" name="图片_46"/>
                  <wp:cNvGraphicFramePr/>
                  <a:graphic xmlns:a="http://schemas.openxmlformats.org/drawingml/2006/main">
                    <a:graphicData uri="http://schemas.openxmlformats.org/drawingml/2006/picture">
                      <pic:pic xmlns:pic="http://schemas.openxmlformats.org/drawingml/2006/picture">
                        <pic:nvPicPr>
                          <pic:cNvPr id="102" name="图片_46"/>
                          <pic:cNvPicPr/>
                        </pic:nvPicPr>
                        <pic:blipFill>
                          <a:blip r:embed="rId100"/>
                          <a:stretch>
                            <a:fillRect/>
                          </a:stretch>
                        </pic:blipFill>
                        <pic:spPr>
                          <a:xfrm>
                            <a:off x="0" y="0"/>
                            <a:ext cx="679450" cy="7797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5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商用智能米糊豆浆机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Φ484*1170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参考品牌：禾元；九阳；宝丰</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桶身采用食品304不锈钢制作，具有优良的不锈耐腐蚀性能和较好的抗晶间腐蚀性能。框架采用201不锈钢，脚垫防滑橡胶，产品功能：“豆浆”“营养米糊”“绿豆沙”“玉米糊”“果蔬糜粥”“调味搅拌”“预约烧水”“复位”。</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制作饮品种类：豆浆、米糊、玉米汁、紫薯糊、南瓜糊、果蔬糜粥等饮品。生产容量： 45-50升，功率：220V/6800W。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7328" behindDoc="0" locked="0" layoutInCell="1" allowOverlap="1">
                  <wp:simplePos x="0" y="0"/>
                  <wp:positionH relativeFrom="column">
                    <wp:posOffset>48260</wp:posOffset>
                  </wp:positionH>
                  <wp:positionV relativeFrom="paragraph">
                    <wp:posOffset>192405</wp:posOffset>
                  </wp:positionV>
                  <wp:extent cx="703580" cy="1181100"/>
                  <wp:effectExtent l="0" t="0" r="1270" b="0"/>
                  <wp:wrapNone/>
                  <wp:docPr id="103" name="图片_4_SpCnt_1"/>
                  <wp:cNvGraphicFramePr/>
                  <a:graphic xmlns:a="http://schemas.openxmlformats.org/drawingml/2006/main">
                    <a:graphicData uri="http://schemas.openxmlformats.org/drawingml/2006/picture">
                      <pic:pic xmlns:pic="http://schemas.openxmlformats.org/drawingml/2006/picture">
                        <pic:nvPicPr>
                          <pic:cNvPr id="103" name="图片_4_SpCnt_1"/>
                          <pic:cNvPicPr/>
                        </pic:nvPicPr>
                        <pic:blipFill>
                          <a:blip r:embed="rId101"/>
                          <a:stretch>
                            <a:fillRect/>
                          </a:stretch>
                        </pic:blipFill>
                        <pic:spPr>
                          <a:xfrm>
                            <a:off x="0" y="0"/>
                            <a:ext cx="703580" cy="11811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8352" behindDoc="0" locked="0" layoutInCell="1" allowOverlap="1">
                  <wp:simplePos x="0" y="0"/>
                  <wp:positionH relativeFrom="column">
                    <wp:posOffset>48260</wp:posOffset>
                  </wp:positionH>
                  <wp:positionV relativeFrom="paragraph">
                    <wp:posOffset>38100</wp:posOffset>
                  </wp:positionV>
                  <wp:extent cx="694055" cy="541020"/>
                  <wp:effectExtent l="0" t="0" r="10795" b="11430"/>
                  <wp:wrapNone/>
                  <wp:docPr id="104" name="图片_62_SpCnt_2"/>
                  <wp:cNvGraphicFramePr/>
                  <a:graphic xmlns:a="http://schemas.openxmlformats.org/drawingml/2006/main">
                    <a:graphicData uri="http://schemas.openxmlformats.org/drawingml/2006/picture">
                      <pic:pic xmlns:pic="http://schemas.openxmlformats.org/drawingml/2006/picture">
                        <pic:nvPicPr>
                          <pic:cNvPr id="104" name="图片_62_SpCnt_2"/>
                          <pic:cNvPicPr/>
                        </pic:nvPicPr>
                        <pic:blipFill>
                          <a:blip r:embed="rId59"/>
                          <a:stretch>
                            <a:fillRect/>
                          </a:stretch>
                        </pic:blipFill>
                        <pic:spPr>
                          <a:xfrm>
                            <a:off x="0" y="0"/>
                            <a:ext cx="694055"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二次更衣</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49376" behindDoc="0" locked="0" layoutInCell="1" allowOverlap="1">
                  <wp:simplePos x="0" y="0"/>
                  <wp:positionH relativeFrom="column">
                    <wp:posOffset>76200</wp:posOffset>
                  </wp:positionH>
                  <wp:positionV relativeFrom="paragraph">
                    <wp:posOffset>44450</wp:posOffset>
                  </wp:positionV>
                  <wp:extent cx="619125" cy="777875"/>
                  <wp:effectExtent l="0" t="0" r="9525" b="3175"/>
                  <wp:wrapNone/>
                  <wp:docPr id="85" name="图片_7_SpCnt_1"/>
                  <wp:cNvGraphicFramePr/>
                  <a:graphic xmlns:a="http://schemas.openxmlformats.org/drawingml/2006/main">
                    <a:graphicData uri="http://schemas.openxmlformats.org/drawingml/2006/picture">
                      <pic:pic xmlns:pic="http://schemas.openxmlformats.org/drawingml/2006/picture">
                        <pic:nvPicPr>
                          <pic:cNvPr id="85" name="图片_7_SpCnt_1"/>
                          <pic:cNvPicPr/>
                        </pic:nvPicPr>
                        <pic:blipFill>
                          <a:blip r:embed="rId102"/>
                          <a:stretch>
                            <a:fillRect/>
                          </a:stretch>
                        </pic:blipFill>
                        <pic:spPr>
                          <a:xfrm>
                            <a:off x="0" y="0"/>
                            <a:ext cx="619125" cy="777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87"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0400" behindDoc="0" locked="0" layoutInCell="1" allowOverlap="1">
                  <wp:simplePos x="0" y="0"/>
                  <wp:positionH relativeFrom="column">
                    <wp:posOffset>38100</wp:posOffset>
                  </wp:positionH>
                  <wp:positionV relativeFrom="paragraph">
                    <wp:posOffset>20320</wp:posOffset>
                  </wp:positionV>
                  <wp:extent cx="681990" cy="563880"/>
                  <wp:effectExtent l="0" t="0" r="3810" b="7620"/>
                  <wp:wrapNone/>
                  <wp:docPr id="86" name="图片_4_SpCnt_2"/>
                  <wp:cNvGraphicFramePr/>
                  <a:graphic xmlns:a="http://schemas.openxmlformats.org/drawingml/2006/main">
                    <a:graphicData uri="http://schemas.openxmlformats.org/drawingml/2006/picture">
                      <pic:pic xmlns:pic="http://schemas.openxmlformats.org/drawingml/2006/picture">
                        <pic:nvPicPr>
                          <pic:cNvPr id="86" name="图片_4_SpCnt_2"/>
                          <pic:cNvPicPr/>
                        </pic:nvPicPr>
                        <pic:blipFill>
                          <a:blip r:embed="rId103"/>
                          <a:stretch>
                            <a:fillRect/>
                          </a:stretch>
                        </pic:blipFill>
                        <pic:spPr>
                          <a:xfrm>
                            <a:off x="0" y="0"/>
                            <a:ext cx="681990" cy="5638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烘手机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参考品牌：科瑞德；松下；美林</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挂墙式干手机，高速马达，涡轮增压出风； 红外线自动感应，阻燃材质与双重断电保护，安全可靠，冷/热风可切换。 感应距离：80-100mm，功率：220V/冷风550W 热风1350W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1424" behindDoc="0" locked="0" layoutInCell="1" allowOverlap="1">
                  <wp:simplePos x="0" y="0"/>
                  <wp:positionH relativeFrom="column">
                    <wp:posOffset>67310</wp:posOffset>
                  </wp:positionH>
                  <wp:positionV relativeFrom="paragraph">
                    <wp:posOffset>172720</wp:posOffset>
                  </wp:positionV>
                  <wp:extent cx="703580" cy="511175"/>
                  <wp:effectExtent l="0" t="0" r="1270" b="3175"/>
                  <wp:wrapNone/>
                  <wp:docPr id="87" name="图片_63"/>
                  <wp:cNvGraphicFramePr/>
                  <a:graphic xmlns:a="http://schemas.openxmlformats.org/drawingml/2006/main">
                    <a:graphicData uri="http://schemas.openxmlformats.org/drawingml/2006/picture">
                      <pic:pic xmlns:pic="http://schemas.openxmlformats.org/drawingml/2006/picture">
                        <pic:nvPicPr>
                          <pic:cNvPr id="87" name="图片_63"/>
                          <pic:cNvPicPr/>
                        </pic:nvPicPr>
                        <pic:blipFill>
                          <a:blip r:embed="rId104"/>
                          <a:stretch>
                            <a:fillRect/>
                          </a:stretch>
                        </pic:blipFill>
                        <pic:spPr>
                          <a:xfrm>
                            <a:off x="0" y="0"/>
                            <a:ext cx="703580" cy="511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48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自动感应皂液器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参考品牌：科瑞德；松下；美林</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容      量:1000ML</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滴      量: 1ML</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      池:   直流电110-220V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产品规格：37.5*23.0*15.0CM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材      料：工程ABS环保料</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2448" behindDoc="0" locked="0" layoutInCell="1" allowOverlap="1">
                  <wp:simplePos x="0" y="0"/>
                  <wp:positionH relativeFrom="column">
                    <wp:posOffset>86360</wp:posOffset>
                  </wp:positionH>
                  <wp:positionV relativeFrom="paragraph">
                    <wp:posOffset>151765</wp:posOffset>
                  </wp:positionV>
                  <wp:extent cx="654685" cy="1241425"/>
                  <wp:effectExtent l="0" t="0" r="12065" b="15875"/>
                  <wp:wrapNone/>
                  <wp:docPr id="88" name="图片_3"/>
                  <wp:cNvGraphicFramePr/>
                  <a:graphic xmlns:a="http://schemas.openxmlformats.org/drawingml/2006/main">
                    <a:graphicData uri="http://schemas.openxmlformats.org/drawingml/2006/picture">
                      <pic:pic xmlns:pic="http://schemas.openxmlformats.org/drawingml/2006/picture">
                        <pic:nvPicPr>
                          <pic:cNvPr id="88" name="图片_3"/>
                          <pic:cNvPicPr/>
                        </pic:nvPicPr>
                        <pic:blipFill>
                          <a:blip r:embed="rId105"/>
                          <a:stretch>
                            <a:fillRect/>
                          </a:stretch>
                        </pic:blipFill>
                        <pic:spPr>
                          <a:xfrm>
                            <a:off x="0" y="0"/>
                            <a:ext cx="654685" cy="1241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售卖间</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5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五斗保温售菜台柜连玻璃上罩</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2100*800*（800+750）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板厚≥1.2mm，电热恒温控制，5KW/220V电热管加热，配温控器，4个GN1/1*15cm”食物盆，不锈钢框架式强筋，单边移门，内置搁档，配Φ50*150不锈钢重力脚。配美控面板，自动进水，缺水保护。弧形钢化玻璃顶板；立柱SUS 304-2B不锈钢方管50*25*1.0；带防水吸顶220V/40W。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37600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3472" behindDoc="0" locked="0" layoutInCell="1" allowOverlap="1">
                  <wp:simplePos x="0" y="0"/>
                  <wp:positionH relativeFrom="column">
                    <wp:posOffset>48260</wp:posOffset>
                  </wp:positionH>
                  <wp:positionV relativeFrom="paragraph">
                    <wp:posOffset>525145</wp:posOffset>
                  </wp:positionV>
                  <wp:extent cx="735965" cy="706120"/>
                  <wp:effectExtent l="0" t="0" r="6985" b="17780"/>
                  <wp:wrapNone/>
                  <wp:docPr id="89" name="图片_70"/>
                  <wp:cNvGraphicFramePr/>
                  <a:graphic xmlns:a="http://schemas.openxmlformats.org/drawingml/2006/main">
                    <a:graphicData uri="http://schemas.openxmlformats.org/drawingml/2006/picture">
                      <pic:pic xmlns:pic="http://schemas.openxmlformats.org/drawingml/2006/picture">
                        <pic:nvPicPr>
                          <pic:cNvPr id="89" name="图片_70"/>
                          <pic:cNvPicPr/>
                        </pic:nvPicPr>
                        <pic:blipFill>
                          <a:blip r:embed="rId106"/>
                          <a:stretch>
                            <a:fillRect/>
                          </a:stretch>
                        </pic:blipFill>
                        <pic:spPr>
                          <a:xfrm>
                            <a:off x="0" y="0"/>
                            <a:ext cx="735965" cy="706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64"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电磁平扒炉连柜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选用SUS304-2B优质不锈钢板制造，面板厚度δ≥1.2，侧板厚度δ≥1.0。                                                     1、要求直接显示火力大小。不能采用模糊的档位显示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2、要求显示用电量，功率实时显示，集成电压显示，集成数字电表。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3、使用故障原因，要求全部用中文显示，方便维修处理。</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4、定点沸腾控制，沸腾冲力集中于煮面筛下方，让面条不结块，味道更好。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5、泡沫溢流导向设计，配合适当进水，让煮面产生的泡沫自动溢出。                           6、要求具有3种常用功能：定时关,定温,预约开功能。缺一不可。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7、要求具有：节能模式、不糊底烹饪模式，一键搞定，可实现无人值守,缺一不可。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8、快捷保温，有5个快捷键，设定温度保存下来后，一键保温。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9、9档360度旋转火力调节，并集中于显示板上，操作方便。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10、采用工业级CPU处理器，真正的数字技术，采用优质品牌电容、电阻,拥有二级电路保护系统，可启动30种保护功能。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11、用电量：380V/12KW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4496" behindDoc="0" locked="0" layoutInCell="1" allowOverlap="1">
                  <wp:simplePos x="0" y="0"/>
                  <wp:positionH relativeFrom="column">
                    <wp:posOffset>48260</wp:posOffset>
                  </wp:positionH>
                  <wp:positionV relativeFrom="paragraph">
                    <wp:posOffset>1980565</wp:posOffset>
                  </wp:positionV>
                  <wp:extent cx="770255" cy="773430"/>
                  <wp:effectExtent l="0" t="0" r="10795" b="7620"/>
                  <wp:wrapNone/>
                  <wp:docPr id="51" name="图片_18_SpCnt_1"/>
                  <wp:cNvGraphicFramePr/>
                  <a:graphic xmlns:a="http://schemas.openxmlformats.org/drawingml/2006/main">
                    <a:graphicData uri="http://schemas.openxmlformats.org/drawingml/2006/picture">
                      <pic:pic xmlns:pic="http://schemas.openxmlformats.org/drawingml/2006/picture">
                        <pic:nvPicPr>
                          <pic:cNvPr id="51" name="图片_18_SpCnt_1"/>
                          <pic:cNvPicPr/>
                        </pic:nvPicPr>
                        <pic:blipFill>
                          <a:blip r:embed="rId107"/>
                          <a:stretch>
                            <a:fillRect/>
                          </a:stretch>
                        </pic:blipFill>
                        <pic:spPr>
                          <a:xfrm>
                            <a:off x="0" y="0"/>
                            <a:ext cx="770255" cy="7734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拼台柜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560*800*800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5520" behindDoc="0" locked="0" layoutInCell="1" allowOverlap="1">
                  <wp:simplePos x="0" y="0"/>
                  <wp:positionH relativeFrom="column">
                    <wp:posOffset>29210</wp:posOffset>
                  </wp:positionH>
                  <wp:positionV relativeFrom="paragraph">
                    <wp:posOffset>191770</wp:posOffset>
                  </wp:positionV>
                  <wp:extent cx="739775" cy="521970"/>
                  <wp:effectExtent l="0" t="0" r="3175" b="11430"/>
                  <wp:wrapNone/>
                  <wp:docPr id="90" name="图片_55_SpCnt_2"/>
                  <wp:cNvGraphicFramePr/>
                  <a:graphic xmlns:a="http://schemas.openxmlformats.org/drawingml/2006/main">
                    <a:graphicData uri="http://schemas.openxmlformats.org/drawingml/2006/picture">
                      <pic:pic xmlns:pic="http://schemas.openxmlformats.org/drawingml/2006/picture">
                        <pic:nvPicPr>
                          <pic:cNvPr id="90" name="图片_55_SpCnt_2"/>
                          <pic:cNvPicPr/>
                        </pic:nvPicPr>
                        <pic:blipFill>
                          <a:blip r:embed="rId108"/>
                          <a:stretch>
                            <a:fillRect/>
                          </a:stretch>
                        </pic:blipFill>
                        <pic:spPr>
                          <a:xfrm>
                            <a:off x="0" y="0"/>
                            <a:ext cx="739775" cy="5219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9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电磁九孔煮面炉连柜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选用SUS304-2B优质不锈钢板制造，面板厚度δ≥1.2，侧板厚度δ≥1.0。                                                     1、要求直接显示火力大小。不能采用模糊的档位显示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2、要求显示用电量，功率实时显示，集成电压显示，集成数字电表。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3、使用故障原因，要求全部用中文显示，方便维修处理。</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4、定点沸腾控制，沸腾冲力集中于煮面筛下方，让面条不结块，味道更好。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5、泡沫溢流导向设计，配合适当进水，让煮面产生的泡沫自动溢出。                           6、要求具有3种常用功能：定时关,定温,预约开功能。缺一不可。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7、要求具有：节能模式、不糊底烹饪模式，一键搞定，可实现无人值守,缺一不可。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8、快捷保温，有5个快捷键，设定温度保存下来后，一键保温。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9、档360度旋转火力调节，并集中于显示板上，操作方便。</w:t>
            </w:r>
          </w:p>
          <w:p>
            <w:pPr>
              <w:widowControl/>
              <w:numPr>
                <w:ilvl w:val="0"/>
                <w:numId w:val="3"/>
              </w:numPr>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采用工业级CPU处理器，真正的数字技术，采用优质品牌电容、电阻,拥有二级电路保护系统，可启动30种保护功能。                             </w:t>
            </w:r>
          </w:p>
          <w:p>
            <w:pPr>
              <w:widowControl/>
              <w:numPr>
                <w:ilvl w:val="0"/>
                <w:numId w:val="3"/>
              </w:numPr>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用电量：380V/12KW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6544" behindDoc="0" locked="0" layoutInCell="1" allowOverlap="1">
                  <wp:simplePos x="0" y="0"/>
                  <wp:positionH relativeFrom="column">
                    <wp:posOffset>-26035</wp:posOffset>
                  </wp:positionH>
                  <wp:positionV relativeFrom="paragraph">
                    <wp:posOffset>133985</wp:posOffset>
                  </wp:positionV>
                  <wp:extent cx="739140" cy="735965"/>
                  <wp:effectExtent l="0" t="0" r="3810" b="6985"/>
                  <wp:wrapNone/>
                  <wp:docPr id="50" name="图片_15_SpCnt_1"/>
                  <wp:cNvGraphicFramePr/>
                  <a:graphic xmlns:a="http://schemas.openxmlformats.org/drawingml/2006/main">
                    <a:graphicData uri="http://schemas.openxmlformats.org/drawingml/2006/picture">
                      <pic:pic xmlns:pic="http://schemas.openxmlformats.org/drawingml/2006/picture">
                        <pic:nvPicPr>
                          <pic:cNvPr id="50" name="图片_15_SpCnt_1"/>
                          <pic:cNvPicPr/>
                        </pic:nvPicPr>
                        <pic:blipFill>
                          <a:blip r:embed="rId109"/>
                          <a:stretch>
                            <a:fillRect/>
                          </a:stretch>
                        </pic:blipFill>
                        <pic:spPr>
                          <a:xfrm>
                            <a:off x="0" y="0"/>
                            <a:ext cx="739140" cy="7359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96"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电磁四眼煲仔炉连柜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选用SUS304-2B优质不锈钢板制造，面板厚度δ≥1.2，侧板厚度δ≥1.0。                                                     1、要求直接显示火力大小。不能采用模糊的档位显示</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2、要求显示用电量，功率实时显示，集成电压显示，集成数字电表。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3、使用故障原因，要求全部用中文显示，方便维修处理。</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4、定点沸腾控制，沸腾冲力集中于锅体下方。</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5、泡沫溢流导向设计，配合适当进水，让煮面产生的泡沫自动溢出。                           6、要求具有3种常用功能：定时关,定温,预约开功能。缺一不可。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7、要求具有：节能模式、不糊底烹饪模式，一键搞定，可实现无人值守,缺一不可。</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8、快捷保温，有5个快捷键，设定温度保存下来后，一键保温。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9、档360度旋转火力调节，并集中于显示板上，操作方便。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10、采用工业级CPU处理器，真正的数字技术，采用优质品牌电容、电阻,拥有二级电路保护系统，可启动30种保护功能。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11、用电量：380V/12KW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7568" behindDoc="0" locked="0" layoutInCell="1" allowOverlap="1">
                  <wp:simplePos x="0" y="0"/>
                  <wp:positionH relativeFrom="column">
                    <wp:posOffset>38100</wp:posOffset>
                  </wp:positionH>
                  <wp:positionV relativeFrom="paragraph">
                    <wp:posOffset>184785</wp:posOffset>
                  </wp:positionV>
                  <wp:extent cx="776605" cy="712470"/>
                  <wp:effectExtent l="0" t="0" r="4445" b="11430"/>
                  <wp:wrapNone/>
                  <wp:docPr id="91" name="图片_19_SpCnt_5"/>
                  <wp:cNvGraphicFramePr/>
                  <a:graphic xmlns:a="http://schemas.openxmlformats.org/drawingml/2006/main">
                    <a:graphicData uri="http://schemas.openxmlformats.org/drawingml/2006/picture">
                      <pic:pic xmlns:pic="http://schemas.openxmlformats.org/drawingml/2006/picture">
                        <pic:nvPicPr>
                          <pic:cNvPr id="91" name="图片_19_SpCnt_5"/>
                          <pic:cNvPicPr/>
                        </pic:nvPicPr>
                        <pic:blipFill>
                          <a:blip r:embed="rId110"/>
                          <a:stretch>
                            <a:fillRect/>
                          </a:stretch>
                        </pic:blipFill>
                        <pic:spPr>
                          <a:xfrm>
                            <a:off x="0" y="0"/>
                            <a:ext cx="776605" cy="7124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油烟净化一体机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2800*1300*1370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r>
              <w:rPr>
                <w:rFonts w:hint="eastAsia" w:ascii="仿宋" w:hAnsi="仿宋" w:eastAsia="仿宋" w:cs="仿宋"/>
                <w:color w:val="auto"/>
                <w:highlight w:val="none"/>
                <w:lang w:eastAsia="zh-CN"/>
              </w:rPr>
              <w:t>参考品牌：净平、智厨、科蓝</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一次：冷凝碰撞原理，利用气态污染物在不同的温度及压力下具有不同的饱和蒸汽压，在降低温度或提高压力下，某此污染物凝结出来，以达到净化回收的目的。二次：动态处理物理屏蔽作用当屏蔽净化器以每分钟1400转的转速转动时，对气流中的颗粒物产生有效的屏蔽拦截作用，由于高速旋转的屏蔽净化器有较大的离心作用力，被告拦截的颗粒物随即被甩入接油槽回收到集油盒，完成油气分离和高效净化回收油颗粒的全过程。                                      三次：中效过滤原理，V型高分子复合材料，对油烟颗粒有极佳的阻拦作用，主要拦截一级净化后气流中滤过的细小油烟颗粒，可以屏蔽掉5微米的固体颗粒物。                     四次：电子静电原理，通过升压变压设备，把低压交流电流升压所需的高电压，然后经过整流后，得到所需的高压直流电源，加到净化设备的电场上，达到高压分解油烟颗粒，低压吸附来进行处理的原理。                                         五次：光解降味原理，UV-C紫外线C波段（185nm)的光束在工作时与空气中的氧气反应生成臭氧。臭氧对有机的增味分子氧化从而生成水和二氧化碳及棕榈酸粉末，减少异味；                                                            1、当油烟经过油烟净化一体机五级净化处理之后油烟净化率高达97%以上，净烟率98%、净味率70%、达到低空排放的最高境界；    2、抽排效果好，每米烟罩排烟量2400立方/小时左右；       3、噪音低，约65分贝左右；   4、清洗维护方便快捷，无其它费用消耗；  5、防火、节能、变废为宝，回收的废油可用于制造生物柴油；   6、省电50%,前置净化吸烟,出风口无油,无需洗风管和风机;    材质采用优质磨砂不锈钢板，配优质紫外线灯管79W，产生臭氧和紫外线无异味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38640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8592" behindDoc="0" locked="0" layoutInCell="1" allowOverlap="1">
                  <wp:simplePos x="0" y="0"/>
                  <wp:positionH relativeFrom="column">
                    <wp:posOffset>67310</wp:posOffset>
                  </wp:positionH>
                  <wp:positionV relativeFrom="paragraph">
                    <wp:posOffset>2356485</wp:posOffset>
                  </wp:positionV>
                  <wp:extent cx="742950" cy="508000"/>
                  <wp:effectExtent l="0" t="0" r="0" b="6350"/>
                  <wp:wrapNone/>
                  <wp:docPr id="53" name="图片_124"/>
                  <wp:cNvGraphicFramePr/>
                  <a:graphic xmlns:a="http://schemas.openxmlformats.org/drawingml/2006/main">
                    <a:graphicData uri="http://schemas.openxmlformats.org/drawingml/2006/picture">
                      <pic:pic xmlns:pic="http://schemas.openxmlformats.org/drawingml/2006/picture">
                        <pic:nvPicPr>
                          <pic:cNvPr id="53" name="图片_124"/>
                          <pic:cNvPicPr/>
                        </pic:nvPicPr>
                        <pic:blipFill>
                          <a:blip r:embed="rId90"/>
                          <a:stretch>
                            <a:fillRect/>
                          </a:stretch>
                        </pic:blipFill>
                        <pic:spPr>
                          <a:xfrm>
                            <a:off x="0" y="0"/>
                            <a:ext cx="742950" cy="5080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1500*500*800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59616" behindDoc="0" locked="0" layoutInCell="1" allowOverlap="1">
                  <wp:simplePos x="0" y="0"/>
                  <wp:positionH relativeFrom="column">
                    <wp:posOffset>48260</wp:posOffset>
                  </wp:positionH>
                  <wp:positionV relativeFrom="paragraph">
                    <wp:posOffset>161290</wp:posOffset>
                  </wp:positionV>
                  <wp:extent cx="740410" cy="522605"/>
                  <wp:effectExtent l="0" t="0" r="2540" b="10795"/>
                  <wp:wrapNone/>
                  <wp:docPr id="92" name="图片_55_SpCnt_3"/>
                  <wp:cNvGraphicFramePr/>
                  <a:graphic xmlns:a="http://schemas.openxmlformats.org/drawingml/2006/main">
                    <a:graphicData uri="http://schemas.openxmlformats.org/drawingml/2006/picture">
                      <pic:pic xmlns:pic="http://schemas.openxmlformats.org/drawingml/2006/picture">
                        <pic:nvPicPr>
                          <pic:cNvPr id="92" name="图片_55_SpCnt_3"/>
                          <pic:cNvPicPr/>
                        </pic:nvPicPr>
                        <pic:blipFill>
                          <a:blip r:embed="rId111"/>
                          <a:stretch>
                            <a:fillRect/>
                          </a:stretch>
                        </pic:blipFill>
                        <pic:spPr>
                          <a:xfrm>
                            <a:off x="0" y="0"/>
                            <a:ext cx="740410" cy="52260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四门碗柜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hint="eastAsia"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采用SUS304-2B优质发纹贴塑不锈钢板制做，板厚≥1.2mm，侧板、底板厚≥0.9mm，层板厚≥0.9mm，门板厚≥0.9mm，后背板厚≥0.7mm，挂式不锈钢移门，配Φ50*150不锈钢重力脚。</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不锈钢碗柜通过QB/T 2139.4-1995</w:t>
            </w:r>
            <w:r>
              <w:rPr>
                <w:rFonts w:hint="eastAsia" w:ascii="仿宋" w:hAnsi="仿宋" w:eastAsia="仿宋" w:cs="仿宋"/>
                <w:color w:val="auto"/>
                <w:kern w:val="0"/>
                <w:sz w:val="20"/>
                <w:szCs w:val="20"/>
                <w:highlight w:val="none"/>
                <w:lang w:eastAsia="zh-CN" w:bidi="ar"/>
              </w:rPr>
              <w:t>不锈钢厨房设备贮藏柜、吊柜</w:t>
            </w:r>
            <w:r>
              <w:rPr>
                <w:rFonts w:hint="eastAsia" w:ascii="仿宋" w:hAnsi="仿宋" w:eastAsia="仿宋" w:cs="仿宋"/>
                <w:color w:val="auto"/>
                <w:kern w:val="0"/>
                <w:sz w:val="20"/>
                <w:szCs w:val="20"/>
                <w:highlight w:val="none"/>
                <w:lang w:bidi="ar"/>
              </w:rPr>
              <w:t>标准的检测并提供检测报告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0640" behindDoc="0" locked="0" layoutInCell="1" allowOverlap="1">
                  <wp:simplePos x="0" y="0"/>
                  <wp:positionH relativeFrom="column">
                    <wp:posOffset>48260</wp:posOffset>
                  </wp:positionH>
                  <wp:positionV relativeFrom="paragraph">
                    <wp:posOffset>93980</wp:posOffset>
                  </wp:positionV>
                  <wp:extent cx="723265" cy="725170"/>
                  <wp:effectExtent l="0" t="0" r="635" b="17780"/>
                  <wp:wrapNone/>
                  <wp:docPr id="93" name="图片_10"/>
                  <wp:cNvGraphicFramePr/>
                  <a:graphic xmlns:a="http://schemas.openxmlformats.org/drawingml/2006/main">
                    <a:graphicData uri="http://schemas.openxmlformats.org/drawingml/2006/picture">
                      <pic:pic xmlns:pic="http://schemas.openxmlformats.org/drawingml/2006/picture">
                        <pic:nvPicPr>
                          <pic:cNvPr id="93" name="图片_10"/>
                          <pic:cNvPicPr/>
                        </pic:nvPicPr>
                        <pic:blipFill>
                          <a:blip r:embed="rId112"/>
                          <a:stretch>
                            <a:fillRect/>
                          </a:stretch>
                        </pic:blipFill>
                        <pic:spPr>
                          <a:xfrm>
                            <a:off x="0" y="0"/>
                            <a:ext cx="723265" cy="725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9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单门留样冰箱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微电脑控制器，对柜温、化霜、风机等有精细化控制，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适用温度：0℃～+10℃</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1664" behindDoc="0" locked="0" layoutInCell="1" allowOverlap="1">
                  <wp:simplePos x="0" y="0"/>
                  <wp:positionH relativeFrom="column">
                    <wp:posOffset>38100</wp:posOffset>
                  </wp:positionH>
                  <wp:positionV relativeFrom="paragraph">
                    <wp:posOffset>320675</wp:posOffset>
                  </wp:positionV>
                  <wp:extent cx="742315" cy="1130300"/>
                  <wp:effectExtent l="0" t="0" r="635" b="12700"/>
                  <wp:wrapNone/>
                  <wp:docPr id="94" name="图片_66_SpCnt_1"/>
                  <wp:cNvGraphicFramePr/>
                  <a:graphic xmlns:a="http://schemas.openxmlformats.org/drawingml/2006/main">
                    <a:graphicData uri="http://schemas.openxmlformats.org/drawingml/2006/picture">
                      <pic:pic xmlns:pic="http://schemas.openxmlformats.org/drawingml/2006/picture">
                        <pic:nvPicPr>
                          <pic:cNvPr id="94" name="图片_66_SpCnt_1"/>
                          <pic:cNvPicPr/>
                        </pic:nvPicPr>
                        <pic:blipFill>
                          <a:blip r:embed="rId113"/>
                          <a:stretch>
                            <a:fillRect/>
                          </a:stretch>
                        </pic:blipFill>
                        <pic:spPr>
                          <a:xfrm>
                            <a:off x="0" y="0"/>
                            <a:ext cx="742315" cy="11303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保温送餐车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约1280*740*1440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辆</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1.采用可控，均匀发热的环形加热技术，环绕在食物周围，使得食物出品时，具有更好的色泽、口味；</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2.超低能耗，额定功率1700W，220V单相电源；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3.机身全部为食品级不锈钢，保温腔采用发泡工艺进行保温；</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4.保温车两侧均设推动把手，高强度六轮移动结构（4个活动轮，2个固定轮），转弯半径小，且配备刹车结构；</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5.可调的电子温控：常温--90℃，2个单独的保温内腔，温度可分别设置；</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2688" behindDoc="0" locked="0" layoutInCell="1" allowOverlap="1">
                  <wp:simplePos x="0" y="0"/>
                  <wp:positionH relativeFrom="column">
                    <wp:posOffset>5937885</wp:posOffset>
                  </wp:positionH>
                  <wp:positionV relativeFrom="paragraph">
                    <wp:posOffset>76200</wp:posOffset>
                  </wp:positionV>
                  <wp:extent cx="380365" cy="480695"/>
                  <wp:effectExtent l="0" t="0" r="635" b="14605"/>
                  <wp:wrapNone/>
                  <wp:docPr id="37" name="图片_1"/>
                  <wp:cNvGraphicFramePr/>
                  <a:graphic xmlns:a="http://schemas.openxmlformats.org/drawingml/2006/main">
                    <a:graphicData uri="http://schemas.openxmlformats.org/drawingml/2006/picture">
                      <pic:pic xmlns:pic="http://schemas.openxmlformats.org/drawingml/2006/picture">
                        <pic:nvPicPr>
                          <pic:cNvPr id="37" name="图片_1"/>
                          <pic:cNvPicPr/>
                        </pic:nvPicPr>
                        <pic:blipFill>
                          <a:blip r:embed="rId114"/>
                          <a:stretch>
                            <a:fillRect/>
                          </a:stretch>
                        </pic:blipFill>
                        <pic:spPr>
                          <a:xfrm>
                            <a:off x="0" y="0"/>
                            <a:ext cx="380365" cy="480695"/>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lang w:bidi="ar"/>
              </w:rPr>
              <w:t>6.数码温度显示，实时监测内部温度；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7.配备路况显示和防撞机构，移动过程中避免磕碰；</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8.双门双室，单室11层，附不锈钢层架篦子；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9.左门最大开启角度：180°，右门最大开启角度：240°；</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10.控制面板下发设置小桌板，撑起时可临时放置物品。</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【功率/电压】 1700W/220V~50Hz</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【容积】 约420L </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【温度调节】 PLC温控，可分别控制调节</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【温度范围】 常温--85℃</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【保温工艺】环保材料发泡保温</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【路况显示】配备高清显示屏，实时显示前方路况</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单星盆台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500*500*（800+150）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3712" behindDoc="0" locked="0" layoutInCell="1" allowOverlap="1">
                  <wp:simplePos x="0" y="0"/>
                  <wp:positionH relativeFrom="column">
                    <wp:posOffset>105410</wp:posOffset>
                  </wp:positionH>
                  <wp:positionV relativeFrom="paragraph">
                    <wp:posOffset>55880</wp:posOffset>
                  </wp:positionV>
                  <wp:extent cx="617855" cy="777875"/>
                  <wp:effectExtent l="0" t="0" r="10795" b="3175"/>
                  <wp:wrapNone/>
                  <wp:docPr id="38" name="图片_7_SpCnt_2"/>
                  <wp:cNvGraphicFramePr/>
                  <a:graphic xmlns:a="http://schemas.openxmlformats.org/drawingml/2006/main">
                    <a:graphicData uri="http://schemas.openxmlformats.org/drawingml/2006/picture">
                      <pic:pic xmlns:pic="http://schemas.openxmlformats.org/drawingml/2006/picture">
                        <pic:nvPicPr>
                          <pic:cNvPr id="38" name="图片_7_SpCnt_2"/>
                          <pic:cNvPicPr/>
                        </pic:nvPicPr>
                        <pic:blipFill>
                          <a:blip r:embed="rId115"/>
                          <a:stretch>
                            <a:fillRect/>
                          </a:stretch>
                        </pic:blipFill>
                        <pic:spPr>
                          <a:xfrm>
                            <a:off x="0" y="0"/>
                            <a:ext cx="617855" cy="777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4736" behindDoc="0" locked="0" layoutInCell="1" allowOverlap="1">
                  <wp:simplePos x="0" y="0"/>
                  <wp:positionH relativeFrom="column">
                    <wp:posOffset>86360</wp:posOffset>
                  </wp:positionH>
                  <wp:positionV relativeFrom="paragraph">
                    <wp:posOffset>48260</wp:posOffset>
                  </wp:positionV>
                  <wp:extent cx="681355" cy="566420"/>
                  <wp:effectExtent l="0" t="0" r="4445" b="5080"/>
                  <wp:wrapNone/>
                  <wp:docPr id="39" name="图片_4_SpCnt_3"/>
                  <wp:cNvGraphicFramePr/>
                  <a:graphic xmlns:a="http://schemas.openxmlformats.org/drawingml/2006/main">
                    <a:graphicData uri="http://schemas.openxmlformats.org/drawingml/2006/picture">
                      <pic:pic xmlns:pic="http://schemas.openxmlformats.org/drawingml/2006/picture">
                        <pic:nvPicPr>
                          <pic:cNvPr id="39" name="图片_4_SpCnt_3"/>
                          <pic:cNvPicPr/>
                        </pic:nvPicPr>
                        <pic:blipFill>
                          <a:blip r:embed="rId116"/>
                          <a:stretch>
                            <a:fillRect/>
                          </a:stretch>
                        </pic:blipFill>
                        <pic:spPr>
                          <a:xfrm>
                            <a:off x="0" y="0"/>
                            <a:ext cx="681355" cy="5664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不锈钢滑道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7000*450*30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m</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采用SUS304-2B优质发纹贴塑不锈钢板制做，台面板厚1.5mm。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5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紫外线消毒灯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支</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参考品牌：星运；飞利浦；巨光</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5760" behindDoc="0" locked="0" layoutInCell="1" allowOverlap="1">
                  <wp:simplePos x="0" y="0"/>
                  <wp:positionH relativeFrom="column">
                    <wp:posOffset>86360</wp:posOffset>
                  </wp:positionH>
                  <wp:positionV relativeFrom="paragraph">
                    <wp:posOffset>48895</wp:posOffset>
                  </wp:positionV>
                  <wp:extent cx="694055" cy="420370"/>
                  <wp:effectExtent l="0" t="0" r="10795" b="17780"/>
                  <wp:wrapNone/>
                  <wp:docPr id="40" name="图片_38"/>
                  <wp:cNvGraphicFramePr/>
                  <a:graphic xmlns:a="http://schemas.openxmlformats.org/drawingml/2006/main">
                    <a:graphicData uri="http://schemas.openxmlformats.org/drawingml/2006/picture">
                      <pic:pic xmlns:pic="http://schemas.openxmlformats.org/drawingml/2006/picture">
                        <pic:nvPicPr>
                          <pic:cNvPr id="40" name="图片_38"/>
                          <pic:cNvPicPr/>
                        </pic:nvPicPr>
                        <pic:blipFill>
                          <a:blip r:embed="rId117"/>
                          <a:stretch>
                            <a:fillRect/>
                          </a:stretch>
                        </pic:blipFill>
                        <pic:spPr>
                          <a:xfrm>
                            <a:off x="0" y="0"/>
                            <a:ext cx="694055" cy="4203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粘捕式灭蝇灯</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650*220*450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参考品牌：亨得利；亿高；海克</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以诱蝇光波和粘蝇纸结合来捕杀苍蝇等飞虫，无残骸飞溅，无嗅味，选用飞利浦灯管，电量：55W/1PH/220V；</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6784" behindDoc="0" locked="0" layoutInCell="1" allowOverlap="1">
                  <wp:simplePos x="0" y="0"/>
                  <wp:positionH relativeFrom="column">
                    <wp:posOffset>48260</wp:posOffset>
                  </wp:positionH>
                  <wp:positionV relativeFrom="paragraph">
                    <wp:posOffset>38100</wp:posOffset>
                  </wp:positionV>
                  <wp:extent cx="694055" cy="541020"/>
                  <wp:effectExtent l="0" t="0" r="10795" b="11430"/>
                  <wp:wrapNone/>
                  <wp:docPr id="41" name="图片_62_SpCnt_3"/>
                  <wp:cNvGraphicFramePr/>
                  <a:graphic xmlns:a="http://schemas.openxmlformats.org/drawingml/2006/main">
                    <a:graphicData uri="http://schemas.openxmlformats.org/drawingml/2006/picture">
                      <pic:pic xmlns:pic="http://schemas.openxmlformats.org/drawingml/2006/picture">
                        <pic:nvPicPr>
                          <pic:cNvPr id="41" name="图片_62_SpCnt_3"/>
                          <pic:cNvPicPr/>
                        </pic:nvPicPr>
                        <pic:blipFill>
                          <a:blip r:embed="rId118"/>
                          <a:stretch>
                            <a:fillRect/>
                          </a:stretch>
                        </pic:blipFill>
                        <pic:spPr>
                          <a:xfrm>
                            <a:off x="0" y="0"/>
                            <a:ext cx="694055" cy="5410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餐厅</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7808" behindDoc="0" locked="0" layoutInCell="1" allowOverlap="1">
                  <wp:simplePos x="0" y="0"/>
                  <wp:positionH relativeFrom="column">
                    <wp:posOffset>48260</wp:posOffset>
                  </wp:positionH>
                  <wp:positionV relativeFrom="paragraph">
                    <wp:posOffset>213995</wp:posOffset>
                  </wp:positionV>
                  <wp:extent cx="740410" cy="526415"/>
                  <wp:effectExtent l="0" t="0" r="2540" b="6985"/>
                  <wp:wrapNone/>
                  <wp:docPr id="42" name="图片_55_SpCnt_4"/>
                  <wp:cNvGraphicFramePr/>
                  <a:graphic xmlns:a="http://schemas.openxmlformats.org/drawingml/2006/main">
                    <a:graphicData uri="http://schemas.openxmlformats.org/drawingml/2006/picture">
                      <pic:pic xmlns:pic="http://schemas.openxmlformats.org/drawingml/2006/picture">
                        <pic:nvPicPr>
                          <pic:cNvPr id="42" name="图片_55_SpCnt_4"/>
                          <pic:cNvPicPr/>
                        </pic:nvPicPr>
                        <pic:blipFill>
                          <a:blip r:embed="rId119"/>
                          <a:stretch>
                            <a:fillRect/>
                          </a:stretch>
                        </pic:blipFill>
                        <pic:spPr>
                          <a:xfrm>
                            <a:off x="0" y="0"/>
                            <a:ext cx="740410" cy="5264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单桶暖饭柜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采用SUS304-2B优质发纹贴塑不锈钢板制作，δ≥1.2mm。配2KW/220V电热管，配电热恒温控制器，单边移门，配Φ50*150不锈钢重力脚。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3100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9300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8832" behindDoc="0" locked="0" layoutInCell="1" allowOverlap="1">
                  <wp:simplePos x="0" y="0"/>
                  <wp:positionH relativeFrom="column">
                    <wp:posOffset>38100</wp:posOffset>
                  </wp:positionH>
                  <wp:positionV relativeFrom="paragraph">
                    <wp:posOffset>19050</wp:posOffset>
                  </wp:positionV>
                  <wp:extent cx="691515" cy="765175"/>
                  <wp:effectExtent l="0" t="0" r="13335" b="15875"/>
                  <wp:wrapNone/>
                  <wp:docPr id="43" name="Picture_14151"/>
                  <wp:cNvGraphicFramePr/>
                  <a:graphic xmlns:a="http://schemas.openxmlformats.org/drawingml/2006/main">
                    <a:graphicData uri="http://schemas.openxmlformats.org/drawingml/2006/picture">
                      <pic:pic xmlns:pic="http://schemas.openxmlformats.org/drawingml/2006/picture">
                        <pic:nvPicPr>
                          <pic:cNvPr id="43" name="Picture_14151"/>
                          <pic:cNvPicPr/>
                        </pic:nvPicPr>
                        <pic:blipFill>
                          <a:blip r:embed="rId120"/>
                          <a:stretch>
                            <a:fillRect/>
                          </a:stretch>
                        </pic:blipFill>
                        <pic:spPr>
                          <a:xfrm>
                            <a:off x="0" y="0"/>
                            <a:ext cx="691515" cy="765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1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托盘柜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采用SUS304-2B优质发纹贴塑不锈钢板制做，台面板厚≥1.35mm，侧板、底板厚≥0.9mm，层板厚≥0.9mm，门板厚≥0.9mm，后背板厚≥0.7mm不锈钢框架式强筋，单边移门，内置搁档，配Φ50*150不锈钢重力脚。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69856" behindDoc="0" locked="0" layoutInCell="1" allowOverlap="1">
                  <wp:simplePos x="0" y="0"/>
                  <wp:positionH relativeFrom="column">
                    <wp:posOffset>48260</wp:posOffset>
                  </wp:positionH>
                  <wp:positionV relativeFrom="paragraph">
                    <wp:posOffset>199390</wp:posOffset>
                  </wp:positionV>
                  <wp:extent cx="740410" cy="521970"/>
                  <wp:effectExtent l="0" t="0" r="2540" b="11430"/>
                  <wp:wrapNone/>
                  <wp:docPr id="44" name="图片_55_SpCnt_5"/>
                  <wp:cNvGraphicFramePr/>
                  <a:graphic xmlns:a="http://schemas.openxmlformats.org/drawingml/2006/main">
                    <a:graphicData uri="http://schemas.openxmlformats.org/drawingml/2006/picture">
                      <pic:pic xmlns:pic="http://schemas.openxmlformats.org/drawingml/2006/picture">
                        <pic:nvPicPr>
                          <pic:cNvPr id="44" name="图片_55_SpCnt_5"/>
                          <pic:cNvPicPr/>
                        </pic:nvPicPr>
                        <pic:blipFill>
                          <a:blip r:embed="rId38"/>
                          <a:stretch>
                            <a:fillRect/>
                          </a:stretch>
                        </pic:blipFill>
                        <pic:spPr>
                          <a:xfrm>
                            <a:off x="0" y="0"/>
                            <a:ext cx="740410" cy="5219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双层回收车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850*500*850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选用SUS304-2B优质不锈钢板制造，板厚≥1.2mm，分两层，深斗式，模压推车手，下配静音脚轮。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0880" behindDoc="0" locked="0" layoutInCell="1" allowOverlap="1">
                  <wp:simplePos x="0" y="0"/>
                  <wp:positionH relativeFrom="column">
                    <wp:posOffset>133350</wp:posOffset>
                  </wp:positionH>
                  <wp:positionV relativeFrom="paragraph">
                    <wp:posOffset>19050</wp:posOffset>
                  </wp:positionV>
                  <wp:extent cx="568960" cy="583565"/>
                  <wp:effectExtent l="0" t="0" r="2540" b="6985"/>
                  <wp:wrapNone/>
                  <wp:docPr id="45" name="图片_21"/>
                  <wp:cNvGraphicFramePr/>
                  <a:graphic xmlns:a="http://schemas.openxmlformats.org/drawingml/2006/main">
                    <a:graphicData uri="http://schemas.openxmlformats.org/drawingml/2006/picture">
                      <pic:pic xmlns:pic="http://schemas.openxmlformats.org/drawingml/2006/picture">
                        <pic:nvPicPr>
                          <pic:cNvPr id="45" name="图片_21"/>
                          <pic:cNvPicPr/>
                        </pic:nvPicPr>
                        <pic:blipFill>
                          <a:blip r:embed="rId121"/>
                          <a:stretch>
                            <a:fillRect/>
                          </a:stretch>
                        </pic:blipFill>
                        <pic:spPr>
                          <a:xfrm>
                            <a:off x="0" y="0"/>
                            <a:ext cx="568960" cy="5835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7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双孔残食柜连桶车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采用SUS304-2B优质发纹贴塑不锈钢板制作，台面δ≥1.2mm，侧板、后板δ≥1.0mm；配平板推车2辆及加厚不锈钢桶2只；重力脚Φ50*150不锈钢重力脚。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1904" behindDoc="0" locked="0" layoutInCell="1" allowOverlap="1">
                  <wp:simplePos x="0" y="0"/>
                  <wp:positionH relativeFrom="column">
                    <wp:posOffset>48260</wp:posOffset>
                  </wp:positionH>
                  <wp:positionV relativeFrom="paragraph">
                    <wp:posOffset>94615</wp:posOffset>
                  </wp:positionV>
                  <wp:extent cx="655955" cy="560070"/>
                  <wp:effectExtent l="0" t="0" r="10795" b="11430"/>
                  <wp:wrapNone/>
                  <wp:docPr id="46" name="图片_20_SpCnt_1"/>
                  <wp:cNvGraphicFramePr/>
                  <a:graphic xmlns:a="http://schemas.openxmlformats.org/drawingml/2006/main">
                    <a:graphicData uri="http://schemas.openxmlformats.org/drawingml/2006/picture">
                      <pic:pic xmlns:pic="http://schemas.openxmlformats.org/drawingml/2006/picture">
                        <pic:nvPicPr>
                          <pic:cNvPr id="46" name="图片_20_SpCnt_1"/>
                          <pic:cNvPicPr/>
                        </pic:nvPicPr>
                        <pic:blipFill>
                          <a:blip r:embed="rId122"/>
                          <a:stretch>
                            <a:fillRect/>
                          </a:stretch>
                        </pic:blipFill>
                        <pic:spPr>
                          <a:xfrm>
                            <a:off x="0" y="0"/>
                            <a:ext cx="655955" cy="5600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柜式长洗手池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4300*600*（800+150）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面板及水斗板厚均δ≥1.2，侧板、底板厚≥0.9mm，层板厚≥0.9mm，门板厚≥0.9mm，后背板厚≥0.7mm不锈钢框架式强筋，单边开门，配优质不锈钢大号带孔接污斗落水器。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2928" behindDoc="0" locked="0" layoutInCell="1" allowOverlap="1">
                  <wp:simplePos x="0" y="0"/>
                  <wp:positionH relativeFrom="column">
                    <wp:posOffset>38100</wp:posOffset>
                  </wp:positionH>
                  <wp:positionV relativeFrom="paragraph">
                    <wp:posOffset>321945</wp:posOffset>
                  </wp:positionV>
                  <wp:extent cx="734060" cy="628650"/>
                  <wp:effectExtent l="0" t="0" r="8890" b="0"/>
                  <wp:wrapNone/>
                  <wp:docPr id="25" name="图片_4_SpCnt_4"/>
                  <wp:cNvGraphicFramePr/>
                  <a:graphic xmlns:a="http://schemas.openxmlformats.org/drawingml/2006/main">
                    <a:graphicData uri="http://schemas.openxmlformats.org/drawingml/2006/picture">
                      <pic:pic xmlns:pic="http://schemas.openxmlformats.org/drawingml/2006/picture">
                        <pic:nvPicPr>
                          <pic:cNvPr id="25" name="图片_4_SpCnt_4"/>
                          <pic:cNvPicPr/>
                        </pic:nvPicPr>
                        <pic:blipFill>
                          <a:blip r:embed="rId123"/>
                          <a:stretch>
                            <a:fillRect/>
                          </a:stretch>
                        </pic:blipFill>
                        <pic:spPr>
                          <a:xfrm>
                            <a:off x="0" y="0"/>
                            <a:ext cx="734060" cy="6286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感应龙头</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只</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参考品牌：君畅；领导；天仕</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感应距离200MM内,底座开单孔30MM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3952" behindDoc="0" locked="0" layoutInCell="1" allowOverlap="1">
                  <wp:simplePos x="0" y="0"/>
                  <wp:positionH relativeFrom="column">
                    <wp:posOffset>86360</wp:posOffset>
                  </wp:positionH>
                  <wp:positionV relativeFrom="paragraph">
                    <wp:posOffset>48260</wp:posOffset>
                  </wp:positionV>
                  <wp:extent cx="681355" cy="566420"/>
                  <wp:effectExtent l="0" t="0" r="4445" b="5080"/>
                  <wp:wrapNone/>
                  <wp:docPr id="26" name="图片_4_SpCnt_5"/>
                  <wp:cNvGraphicFramePr/>
                  <a:graphic xmlns:a="http://schemas.openxmlformats.org/drawingml/2006/main">
                    <a:graphicData uri="http://schemas.openxmlformats.org/drawingml/2006/picture">
                      <pic:pic xmlns:pic="http://schemas.openxmlformats.org/drawingml/2006/picture">
                        <pic:nvPicPr>
                          <pic:cNvPr id="26" name="图片_4_SpCnt_5"/>
                          <pic:cNvPicPr/>
                        </pic:nvPicPr>
                        <pic:blipFill>
                          <a:blip r:embed="rId124"/>
                          <a:stretch>
                            <a:fillRect/>
                          </a:stretch>
                        </pic:blipFill>
                        <pic:spPr>
                          <a:xfrm>
                            <a:off x="0" y="0"/>
                            <a:ext cx="681355" cy="5664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其他</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00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采用SUS304-2B优质发纹贴塑不锈钢板制做，台面板厚≥1.2mm，不锈钢框架式强筋，单边移门，内置搁档，配Φ50*150不锈钢重力脚。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4976" behindDoc="0" locked="0" layoutInCell="1" allowOverlap="1">
                  <wp:simplePos x="0" y="0"/>
                  <wp:positionH relativeFrom="column">
                    <wp:posOffset>38100</wp:posOffset>
                  </wp:positionH>
                  <wp:positionV relativeFrom="paragraph">
                    <wp:posOffset>62230</wp:posOffset>
                  </wp:positionV>
                  <wp:extent cx="741680" cy="523875"/>
                  <wp:effectExtent l="0" t="0" r="1270" b="9525"/>
                  <wp:wrapNone/>
                  <wp:docPr id="27" name="图片_55_SpCnt_6"/>
                  <wp:cNvGraphicFramePr/>
                  <a:graphic xmlns:a="http://schemas.openxmlformats.org/drawingml/2006/main">
                    <a:graphicData uri="http://schemas.openxmlformats.org/drawingml/2006/picture">
                      <pic:pic xmlns:pic="http://schemas.openxmlformats.org/drawingml/2006/picture">
                        <pic:nvPicPr>
                          <pic:cNvPr id="27" name="图片_55_SpCnt_6"/>
                          <pic:cNvPicPr/>
                        </pic:nvPicPr>
                        <pic:blipFill>
                          <a:blip r:embed="rId125"/>
                          <a:stretch>
                            <a:fillRect/>
                          </a:stretch>
                        </pic:blipFill>
                        <pic:spPr>
                          <a:xfrm>
                            <a:off x="0" y="0"/>
                            <a:ext cx="741680" cy="5238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全自动感应取筷器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内置200双筷</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7200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全自动感应取勺器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内置200只勺</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525" w:hRule="atLeast"/>
          <w:jc w:val="center"/>
        </w:trPr>
        <w:tc>
          <w:tcPr>
            <w:tcW w:w="602" w:type="pct"/>
            <w:gridSpan w:val="2"/>
            <w:tcBorders>
              <w:top w:val="single" w:color="000000" w:sz="4" w:space="0"/>
              <w:left w:val="single" w:color="000000" w:sz="8" w:space="0"/>
              <w:bottom w:val="single" w:color="000000" w:sz="4" w:space="0"/>
              <w:right w:val="single" w:color="000000" w:sz="4" w:space="0"/>
            </w:tcBorders>
            <w:shd w:val="clear" w:color="auto" w:fill="auto"/>
            <w:vAlign w:val="bottom"/>
          </w:tcPr>
          <w:p>
            <w:pPr>
              <w:widowControl/>
              <w:jc w:val="left"/>
              <w:textAlignment w:val="bottom"/>
              <w:rPr>
                <w:rFonts w:ascii="仿宋" w:hAnsi="仿宋" w:eastAsia="仿宋" w:cs="仿宋"/>
                <w:b/>
                <w:bCs/>
                <w:color w:val="auto"/>
                <w:sz w:val="40"/>
                <w:szCs w:val="40"/>
                <w:highlight w:val="none"/>
              </w:rPr>
            </w:pPr>
            <w:r>
              <w:rPr>
                <w:rFonts w:hint="eastAsia" w:ascii="仿宋" w:hAnsi="仿宋" w:eastAsia="仿宋" w:cs="仿宋"/>
                <w:b/>
                <w:bCs/>
                <w:color w:val="auto"/>
                <w:kern w:val="0"/>
                <w:sz w:val="40"/>
                <w:szCs w:val="40"/>
                <w:highlight w:val="none"/>
                <w:lang w:bidi="ar"/>
              </w:rPr>
              <w:t>武警厨房</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4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洗涤区</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6000" behindDoc="0" locked="0" layoutInCell="1" allowOverlap="1">
                  <wp:simplePos x="0" y="0"/>
                  <wp:positionH relativeFrom="column">
                    <wp:posOffset>48260</wp:posOffset>
                  </wp:positionH>
                  <wp:positionV relativeFrom="paragraph">
                    <wp:posOffset>133985</wp:posOffset>
                  </wp:positionV>
                  <wp:extent cx="744220" cy="547370"/>
                  <wp:effectExtent l="0" t="0" r="17780" b="5080"/>
                  <wp:wrapNone/>
                  <wp:docPr id="28" name="图片_32_SpCnt_3"/>
                  <wp:cNvGraphicFramePr/>
                  <a:graphic xmlns:a="http://schemas.openxmlformats.org/drawingml/2006/main">
                    <a:graphicData uri="http://schemas.openxmlformats.org/drawingml/2006/picture">
                      <pic:pic xmlns:pic="http://schemas.openxmlformats.org/drawingml/2006/picture">
                        <pic:nvPicPr>
                          <pic:cNvPr id="28" name="图片_32_SpCnt_3"/>
                          <pic:cNvPicPr/>
                        </pic:nvPicPr>
                        <pic:blipFill>
                          <a:blip r:embed="rId126"/>
                          <a:stretch>
                            <a:fillRect/>
                          </a:stretch>
                        </pic:blipFill>
                        <pic:spPr>
                          <a:xfrm>
                            <a:off x="0" y="0"/>
                            <a:ext cx="744220" cy="5473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浸泡池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7024" behindDoc="0" locked="0" layoutInCell="1" allowOverlap="1">
                  <wp:simplePos x="0" y="0"/>
                  <wp:positionH relativeFrom="column">
                    <wp:posOffset>10160</wp:posOffset>
                  </wp:positionH>
                  <wp:positionV relativeFrom="paragraph">
                    <wp:posOffset>232410</wp:posOffset>
                  </wp:positionV>
                  <wp:extent cx="752475" cy="602615"/>
                  <wp:effectExtent l="0" t="0" r="9525" b="6985"/>
                  <wp:wrapNone/>
                  <wp:docPr id="29" name="图片_35_SpCnt_5"/>
                  <wp:cNvGraphicFramePr/>
                  <a:graphic xmlns:a="http://schemas.openxmlformats.org/drawingml/2006/main">
                    <a:graphicData uri="http://schemas.openxmlformats.org/drawingml/2006/picture">
                      <pic:pic xmlns:pic="http://schemas.openxmlformats.org/drawingml/2006/picture">
                        <pic:nvPicPr>
                          <pic:cNvPr id="29" name="图片_35_SpCnt_5"/>
                          <pic:cNvPicPr/>
                        </pic:nvPicPr>
                        <pic:blipFill>
                          <a:blip r:embed="rId127"/>
                          <a:stretch>
                            <a:fillRect/>
                          </a:stretch>
                        </pic:blipFill>
                        <pic:spPr>
                          <a:xfrm>
                            <a:off x="0" y="0"/>
                            <a:ext cx="752475" cy="6026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1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1130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4520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8048" behindDoc="0" locked="0" layoutInCell="1" allowOverlap="1">
                  <wp:simplePos x="0" y="0"/>
                  <wp:positionH relativeFrom="column">
                    <wp:posOffset>95250</wp:posOffset>
                  </wp:positionH>
                  <wp:positionV relativeFrom="paragraph">
                    <wp:posOffset>25400</wp:posOffset>
                  </wp:positionV>
                  <wp:extent cx="553085" cy="684530"/>
                  <wp:effectExtent l="0" t="0" r="18415" b="1270"/>
                  <wp:wrapNone/>
                  <wp:docPr id="30" name="图片_5_SpCnt_2"/>
                  <wp:cNvGraphicFramePr/>
                  <a:graphic xmlns:a="http://schemas.openxmlformats.org/drawingml/2006/main">
                    <a:graphicData uri="http://schemas.openxmlformats.org/drawingml/2006/picture">
                      <pic:pic xmlns:pic="http://schemas.openxmlformats.org/drawingml/2006/picture">
                        <pic:nvPicPr>
                          <pic:cNvPr id="30" name="图片_5_SpCnt_2"/>
                          <pic:cNvPicPr/>
                        </pic:nvPicPr>
                        <pic:blipFill>
                          <a:blip r:embed="rId128"/>
                          <a:stretch>
                            <a:fillRect/>
                          </a:stretch>
                        </pic:blipFill>
                        <pic:spPr>
                          <a:xfrm>
                            <a:off x="0" y="0"/>
                            <a:ext cx="553085" cy="684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厨房间</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4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四层平板货架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采用优质发纹贴塑不锈钢板制做，配置φ38mm厚度1.2mm不锈钢圆通腿及可调节重力子弹脚。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1130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2260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79072" behindDoc="0" locked="0" layoutInCell="1" allowOverlap="1">
                  <wp:simplePos x="0" y="0"/>
                  <wp:positionH relativeFrom="column">
                    <wp:posOffset>95250</wp:posOffset>
                  </wp:positionH>
                  <wp:positionV relativeFrom="paragraph">
                    <wp:posOffset>24765</wp:posOffset>
                  </wp:positionV>
                  <wp:extent cx="553085" cy="685800"/>
                  <wp:effectExtent l="0" t="0" r="18415" b="0"/>
                  <wp:wrapNone/>
                  <wp:docPr id="31" name="图片_5_SpCnt_3"/>
                  <wp:cNvGraphicFramePr/>
                  <a:graphic xmlns:a="http://schemas.openxmlformats.org/drawingml/2006/main">
                    <a:graphicData uri="http://schemas.openxmlformats.org/drawingml/2006/picture">
                      <pic:pic xmlns:pic="http://schemas.openxmlformats.org/drawingml/2006/picture">
                        <pic:nvPicPr>
                          <pic:cNvPr id="31" name="图片_5_SpCnt_3"/>
                          <pic:cNvPicPr/>
                        </pic:nvPicPr>
                        <pic:blipFill>
                          <a:blip r:embed="rId129"/>
                          <a:stretch>
                            <a:fillRect/>
                          </a:stretch>
                        </pic:blipFill>
                        <pic:spPr>
                          <a:xfrm>
                            <a:off x="0" y="0"/>
                            <a:ext cx="553085" cy="6858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简易炉拼台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500*1000*800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采用优质发纹贴塑不锈钢板制做，后立板板厚δ≥1.0不锈钢板制作高同炉灶。立柱采用φ38X1.2不锈钢管材，拉档采用φ25X1.0不锈钢管，配全钢可调子弹脚。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0096" behindDoc="0" locked="0" layoutInCell="1" allowOverlap="1">
                  <wp:simplePos x="0" y="0"/>
                  <wp:positionH relativeFrom="column">
                    <wp:posOffset>48260</wp:posOffset>
                  </wp:positionH>
                  <wp:positionV relativeFrom="paragraph">
                    <wp:posOffset>208915</wp:posOffset>
                  </wp:positionV>
                  <wp:extent cx="684530" cy="685165"/>
                  <wp:effectExtent l="0" t="0" r="1270" b="635"/>
                  <wp:wrapNone/>
                  <wp:docPr id="32" name="图片_54_SpCnt_4"/>
                  <wp:cNvGraphicFramePr/>
                  <a:graphic xmlns:a="http://schemas.openxmlformats.org/drawingml/2006/main">
                    <a:graphicData uri="http://schemas.openxmlformats.org/drawingml/2006/picture">
                      <pic:pic xmlns:pic="http://schemas.openxmlformats.org/drawingml/2006/picture">
                        <pic:nvPicPr>
                          <pic:cNvPr id="32" name="图片_54_SpCnt_4"/>
                          <pic:cNvPicPr/>
                        </pic:nvPicPr>
                        <pic:blipFill>
                          <a:blip r:embed="rId130"/>
                          <a:stretch>
                            <a:fillRect/>
                          </a:stretch>
                        </pic:blipFill>
                        <pic:spPr>
                          <a:xfrm>
                            <a:off x="0" y="0"/>
                            <a:ext cx="684530" cy="6851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Style w:val="209"/>
                <w:color w:val="auto"/>
                <w:highlight w:val="none"/>
                <w:lang w:bidi="ar"/>
              </w:rPr>
              <w:t>一大一小电磁炉</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2000*1000*800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Style w:val="287"/>
                <w:rFonts w:hint="eastAsia" w:ascii="仿宋" w:hAnsi="仿宋" w:eastAsia="仿宋" w:cs="仿宋"/>
                <w:color w:val="auto"/>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1、材质：面板采用优质SUS304不锈钢板，实厚</w:t>
            </w:r>
            <w:r>
              <w:rPr>
                <w:rFonts w:hint="eastAsia" w:ascii="仿宋" w:hAnsi="仿宋" w:eastAsia="仿宋" w:cs="仿宋"/>
                <w:color w:val="auto"/>
                <w:kern w:val="0"/>
                <w:sz w:val="20"/>
                <w:szCs w:val="20"/>
                <w:highlight w:val="none"/>
                <w:lang w:bidi="ar"/>
              </w:rPr>
              <w:t>≥</w:t>
            </w:r>
            <w:r>
              <w:rPr>
                <w:rStyle w:val="125"/>
                <w:rFonts w:hint="eastAsia" w:ascii="仿宋" w:hAnsi="仿宋" w:eastAsia="仿宋" w:cs="仿宋"/>
                <w:color w:val="auto"/>
                <w:highlight w:val="none"/>
                <w:lang w:bidi="ar"/>
              </w:rPr>
              <w:t>1.25，侧板201,实厚</w:t>
            </w:r>
            <w:r>
              <w:rPr>
                <w:rFonts w:hint="eastAsia" w:ascii="仿宋" w:hAnsi="仿宋" w:eastAsia="仿宋" w:cs="仿宋"/>
                <w:color w:val="auto"/>
                <w:kern w:val="0"/>
                <w:sz w:val="20"/>
                <w:szCs w:val="20"/>
                <w:highlight w:val="none"/>
                <w:lang w:bidi="ar"/>
              </w:rPr>
              <w:t>≥</w:t>
            </w:r>
            <w:r>
              <w:rPr>
                <w:rStyle w:val="125"/>
                <w:rFonts w:hint="eastAsia" w:ascii="仿宋" w:hAnsi="仿宋" w:eastAsia="仿宋" w:cs="仿宋"/>
                <w:color w:val="auto"/>
                <w:highlight w:val="none"/>
                <w:lang w:bidi="ar"/>
              </w:rPr>
              <w:t>1.0。</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2、规格（长*宽*高）：</w:t>
            </w:r>
            <w:r>
              <w:rPr>
                <w:rFonts w:hint="eastAsia" w:ascii="仿宋" w:hAnsi="仿宋" w:eastAsia="仿宋" w:cs="仿宋"/>
                <w:color w:val="auto"/>
                <w:kern w:val="0"/>
                <w:sz w:val="20"/>
                <w:szCs w:val="20"/>
                <w:highlight w:val="none"/>
                <w:lang w:bidi="ar"/>
              </w:rPr>
              <w:t>2000*1000*800</w:t>
            </w:r>
            <w:r>
              <w:rPr>
                <w:rStyle w:val="125"/>
                <w:rFonts w:hint="eastAsia" w:ascii="仿宋" w:hAnsi="仿宋" w:eastAsia="仿宋" w:cs="仿宋"/>
                <w:color w:val="auto"/>
                <w:highlight w:val="none"/>
                <w:lang w:bidi="ar"/>
              </w:rPr>
              <w:t>，所配锅的口径700mm大锅、广锅</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3、功率/电压：20KW+15KW/380V</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4、5档直滑磁控开关</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5、台面一体折弯，拼板采用内嵌式设计，可任意冲水，杜绝漏水，</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6、设备所用连接线，风扇均采用防水设计，</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7、设备电子元器件均采用知名品牌合格环保部件。</w:t>
            </w:r>
          </w:p>
          <w:p>
            <w:pPr>
              <w:widowControl/>
              <w:jc w:val="left"/>
              <w:textAlignment w:val="center"/>
              <w:rPr>
                <w:rStyle w:val="125"/>
                <w:rFonts w:ascii="仿宋" w:hAnsi="仿宋" w:eastAsia="仿宋" w:cs="仿宋"/>
                <w:color w:val="auto"/>
                <w:highlight w:val="none"/>
                <w:lang w:bidi="ar"/>
              </w:rPr>
            </w:pPr>
            <w:r>
              <w:rPr>
                <w:rStyle w:val="125"/>
                <w:rFonts w:hint="eastAsia" w:ascii="仿宋" w:hAnsi="仿宋" w:eastAsia="仿宋" w:cs="仿宋"/>
                <w:color w:val="auto"/>
                <w:highlight w:val="none"/>
                <w:lang w:bidi="ar"/>
              </w:rPr>
              <w:t xml:space="preserve">8、显示屏集成电压，累计用电量，故障中文显示， </w:t>
            </w:r>
          </w:p>
          <w:p>
            <w:pPr>
              <w:widowControl/>
              <w:jc w:val="left"/>
              <w:textAlignment w:val="center"/>
              <w:rPr>
                <w:rFonts w:ascii="仿宋" w:hAnsi="仿宋" w:eastAsia="仿宋" w:cs="仿宋"/>
                <w:color w:val="auto"/>
                <w:sz w:val="20"/>
                <w:szCs w:val="20"/>
                <w:highlight w:val="none"/>
                <w:lang w:bidi="ar"/>
              </w:rPr>
            </w:pPr>
            <w:r>
              <w:rPr>
                <w:rStyle w:val="125"/>
                <w:rFonts w:hint="eastAsia" w:ascii="仿宋" w:hAnsi="仿宋" w:eastAsia="仿宋" w:cs="仿宋"/>
                <w:color w:val="auto"/>
                <w:highlight w:val="none"/>
                <w:lang w:bidi="ar"/>
              </w:rPr>
              <w:t xml:space="preserve">9、恒功率输出，不受电压波动影响 ， 最小连续加功率，可做到额定功率15%                                                                                                                                                                                                                                                                                                                                                                                                                                                </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28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单门电汽两用蒸饭车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304-2B优质发纹贴塑不锈钢板制做，门面板δ≥1.2，储水槽及内胆板厚均δ≥1.5，外胆板厚δ＝0.7,龙骨架国标4#角钢，全不锈钢手轮式紧固件,40厚硅酸铝板保温，下托蒸汽水管及内胆为304板厚δ≥1.2制作，配聚胺脂5寸轮4只,手工饭盘580*430*50 12只，配6分铜球阀排污，自动进水装置。</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1120" behindDoc="0" locked="0" layoutInCell="1" allowOverlap="1">
                  <wp:simplePos x="0" y="0"/>
                  <wp:positionH relativeFrom="column">
                    <wp:posOffset>29210</wp:posOffset>
                  </wp:positionH>
                  <wp:positionV relativeFrom="paragraph">
                    <wp:posOffset>333375</wp:posOffset>
                  </wp:positionV>
                  <wp:extent cx="768985" cy="775335"/>
                  <wp:effectExtent l="0" t="0" r="12065" b="5715"/>
                  <wp:wrapNone/>
                  <wp:docPr id="33" name="图片_33"/>
                  <wp:cNvGraphicFramePr/>
                  <a:graphic xmlns:a="http://schemas.openxmlformats.org/drawingml/2006/main">
                    <a:graphicData uri="http://schemas.openxmlformats.org/drawingml/2006/picture">
                      <pic:pic xmlns:pic="http://schemas.openxmlformats.org/drawingml/2006/picture">
                        <pic:nvPicPr>
                          <pic:cNvPr id="33" name="图片_33"/>
                          <pic:cNvPicPr/>
                        </pic:nvPicPr>
                        <pic:blipFill>
                          <a:blip r:embed="rId131"/>
                          <a:stretch>
                            <a:fillRect/>
                          </a:stretch>
                        </pic:blipFill>
                        <pic:spPr>
                          <a:xfrm>
                            <a:off x="0" y="0"/>
                            <a:ext cx="768985" cy="775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电饼铛</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660*810*750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参考品牌：恒联；威尔宝；华美</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电压：380V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功率：5KW</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工作温度：0~250度</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2144" behindDoc="0" locked="0" layoutInCell="1" allowOverlap="1">
                  <wp:simplePos x="0" y="0"/>
                  <wp:positionH relativeFrom="column">
                    <wp:posOffset>171450</wp:posOffset>
                  </wp:positionH>
                  <wp:positionV relativeFrom="paragraph">
                    <wp:posOffset>47625</wp:posOffset>
                  </wp:positionV>
                  <wp:extent cx="459105" cy="535940"/>
                  <wp:effectExtent l="0" t="0" r="17145" b="16510"/>
                  <wp:wrapNone/>
                  <wp:docPr id="34" name="图片_49_SpCnt_1"/>
                  <wp:cNvGraphicFramePr/>
                  <a:graphic xmlns:a="http://schemas.openxmlformats.org/drawingml/2006/main">
                    <a:graphicData uri="http://schemas.openxmlformats.org/drawingml/2006/picture">
                      <pic:pic xmlns:pic="http://schemas.openxmlformats.org/drawingml/2006/picture">
                        <pic:nvPicPr>
                          <pic:cNvPr id="34" name="图片_49_SpCnt_1"/>
                          <pic:cNvPicPr/>
                        </pic:nvPicPr>
                        <pic:blipFill>
                          <a:blip r:embed="rId132"/>
                          <a:stretch>
                            <a:fillRect/>
                          </a:stretch>
                        </pic:blipFill>
                        <pic:spPr>
                          <a:xfrm>
                            <a:off x="0" y="0"/>
                            <a:ext cx="459105" cy="5359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6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电蒸灶</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采用优质发纹贴塑不锈钢板制作，台面δ≥1.2mm 9KW</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3168" behindDoc="0" locked="0" layoutInCell="1" allowOverlap="1">
                  <wp:simplePos x="0" y="0"/>
                  <wp:positionH relativeFrom="column">
                    <wp:posOffset>38100</wp:posOffset>
                  </wp:positionH>
                  <wp:positionV relativeFrom="paragraph">
                    <wp:posOffset>230505</wp:posOffset>
                  </wp:positionV>
                  <wp:extent cx="741680" cy="521335"/>
                  <wp:effectExtent l="0" t="0" r="1270" b="12065"/>
                  <wp:wrapNone/>
                  <wp:docPr id="143" name="图片_55_SpCnt_7"/>
                  <wp:cNvGraphicFramePr/>
                  <a:graphic xmlns:a="http://schemas.openxmlformats.org/drawingml/2006/main">
                    <a:graphicData uri="http://schemas.openxmlformats.org/drawingml/2006/picture">
                      <pic:pic xmlns:pic="http://schemas.openxmlformats.org/drawingml/2006/picture">
                        <pic:nvPicPr>
                          <pic:cNvPr id="143" name="图片_55_SpCnt_7"/>
                          <pic:cNvPicPr/>
                        </pic:nvPicPr>
                        <pic:blipFill>
                          <a:blip r:embed="rId133"/>
                          <a:stretch>
                            <a:fillRect/>
                          </a:stretch>
                        </pic:blipFill>
                        <pic:spPr>
                          <a:xfrm>
                            <a:off x="0" y="0"/>
                            <a:ext cx="741680" cy="521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4192" behindDoc="0" locked="0" layoutInCell="1" allowOverlap="1">
                  <wp:simplePos x="0" y="0"/>
                  <wp:positionH relativeFrom="column">
                    <wp:posOffset>38100</wp:posOffset>
                  </wp:positionH>
                  <wp:positionV relativeFrom="paragraph">
                    <wp:posOffset>230505</wp:posOffset>
                  </wp:positionV>
                  <wp:extent cx="741680" cy="521335"/>
                  <wp:effectExtent l="0" t="0" r="1270" b="12065"/>
                  <wp:wrapNone/>
                  <wp:docPr id="144" name="图片_55_SpCnt_8"/>
                  <wp:cNvGraphicFramePr/>
                  <a:graphic xmlns:a="http://schemas.openxmlformats.org/drawingml/2006/main">
                    <a:graphicData uri="http://schemas.openxmlformats.org/drawingml/2006/picture">
                      <pic:pic xmlns:pic="http://schemas.openxmlformats.org/drawingml/2006/picture">
                        <pic:nvPicPr>
                          <pic:cNvPr id="144" name="图片_55_SpCnt_8"/>
                          <pic:cNvPicPr/>
                        </pic:nvPicPr>
                        <pic:blipFill>
                          <a:blip r:embed="rId134"/>
                          <a:stretch>
                            <a:fillRect/>
                          </a:stretch>
                        </pic:blipFill>
                        <pic:spPr>
                          <a:xfrm>
                            <a:off x="0" y="0"/>
                            <a:ext cx="741680" cy="521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9</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单槽水池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5216" behindDoc="0" locked="0" layoutInCell="1" allowOverlap="1">
                  <wp:simplePos x="0" y="0"/>
                  <wp:positionH relativeFrom="column">
                    <wp:posOffset>76200</wp:posOffset>
                  </wp:positionH>
                  <wp:positionV relativeFrom="paragraph">
                    <wp:posOffset>44450</wp:posOffset>
                  </wp:positionV>
                  <wp:extent cx="619125" cy="777240"/>
                  <wp:effectExtent l="0" t="0" r="9525" b="3810"/>
                  <wp:wrapNone/>
                  <wp:docPr id="145" name="图片_7_SpCnt_3"/>
                  <wp:cNvGraphicFramePr/>
                  <a:graphic xmlns:a="http://schemas.openxmlformats.org/drawingml/2006/main">
                    <a:graphicData uri="http://schemas.openxmlformats.org/drawingml/2006/picture">
                      <pic:pic xmlns:pic="http://schemas.openxmlformats.org/drawingml/2006/picture">
                        <pic:nvPicPr>
                          <pic:cNvPr id="145" name="图片_7_SpCnt_3"/>
                          <pic:cNvPicPr/>
                        </pic:nvPicPr>
                        <pic:blipFill>
                          <a:blip r:embed="rId135"/>
                          <a:stretch>
                            <a:fillRect/>
                          </a:stretch>
                        </pic:blipFill>
                        <pic:spPr>
                          <a:xfrm>
                            <a:off x="0" y="0"/>
                            <a:ext cx="619125" cy="777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10</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淘米池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6240" behindDoc="0" locked="0" layoutInCell="1" allowOverlap="1">
                  <wp:simplePos x="0" y="0"/>
                  <wp:positionH relativeFrom="column">
                    <wp:posOffset>48260</wp:posOffset>
                  </wp:positionH>
                  <wp:positionV relativeFrom="paragraph">
                    <wp:posOffset>191770</wp:posOffset>
                  </wp:positionV>
                  <wp:extent cx="706120" cy="563245"/>
                  <wp:effectExtent l="0" t="0" r="17780" b="8255"/>
                  <wp:wrapNone/>
                  <wp:docPr id="146" name="图片_35_SpCnt_6"/>
                  <wp:cNvGraphicFramePr/>
                  <a:graphic xmlns:a="http://schemas.openxmlformats.org/drawingml/2006/main">
                    <a:graphicData uri="http://schemas.openxmlformats.org/drawingml/2006/picture">
                      <pic:pic xmlns:pic="http://schemas.openxmlformats.org/drawingml/2006/picture">
                        <pic:nvPicPr>
                          <pic:cNvPr id="146" name="图片_35_SpCnt_6"/>
                          <pic:cNvPicPr/>
                        </pic:nvPicPr>
                        <pic:blipFill>
                          <a:blip r:embed="rId136"/>
                          <a:stretch>
                            <a:fillRect/>
                          </a:stretch>
                        </pic:blipFill>
                        <pic:spPr>
                          <a:xfrm>
                            <a:off x="0" y="0"/>
                            <a:ext cx="706120" cy="5632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双层平板工作台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700*700*800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采用优质发纹贴塑不锈钢板制做，面板板厚δ≥1.2，下层板板厚δ≥1.0，加强筋全部采用板厚δ≥1.0不锈钢板制作，面板4根，下层板2根，立柱采用φ38X1.2不锈钢管材，配全钢可调子弹脚。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7264" behindDoc="0" locked="0" layoutInCell="1" allowOverlap="1">
                  <wp:simplePos x="0" y="0"/>
                  <wp:positionH relativeFrom="column">
                    <wp:posOffset>48260</wp:posOffset>
                  </wp:positionH>
                  <wp:positionV relativeFrom="paragraph">
                    <wp:posOffset>130175</wp:posOffset>
                  </wp:positionV>
                  <wp:extent cx="744220" cy="550545"/>
                  <wp:effectExtent l="0" t="0" r="17780" b="1905"/>
                  <wp:wrapNone/>
                  <wp:docPr id="147" name="图片_32_SpCnt_4"/>
                  <wp:cNvGraphicFramePr/>
                  <a:graphic xmlns:a="http://schemas.openxmlformats.org/drawingml/2006/main">
                    <a:graphicData uri="http://schemas.openxmlformats.org/drawingml/2006/picture">
                      <pic:pic xmlns:pic="http://schemas.openxmlformats.org/drawingml/2006/picture">
                        <pic:nvPicPr>
                          <pic:cNvPr id="147" name="图片_32_SpCnt_4"/>
                          <pic:cNvPicPr/>
                        </pic:nvPicPr>
                        <pic:blipFill>
                          <a:blip r:embed="rId137"/>
                          <a:stretch>
                            <a:fillRect/>
                          </a:stretch>
                        </pic:blipFill>
                        <pic:spPr>
                          <a:xfrm>
                            <a:off x="0" y="0"/>
                            <a:ext cx="744220" cy="5505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2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残食柜连桶车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采用优质发纹贴塑不锈钢板制作，台面δ=1.2mm，侧板、后板δ≥1.0mm；配平板推车1辆及加厚不锈钢桶1只；重力脚Φ50*150不锈钢重力脚。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8288" behindDoc="0" locked="0" layoutInCell="1" allowOverlap="1">
                  <wp:simplePos x="0" y="0"/>
                  <wp:positionH relativeFrom="column">
                    <wp:posOffset>67310</wp:posOffset>
                  </wp:positionH>
                  <wp:positionV relativeFrom="paragraph">
                    <wp:posOffset>93980</wp:posOffset>
                  </wp:positionV>
                  <wp:extent cx="655955" cy="559435"/>
                  <wp:effectExtent l="0" t="0" r="10795" b="12065"/>
                  <wp:wrapNone/>
                  <wp:docPr id="148" name="图片_20_SpCnt_2"/>
                  <wp:cNvGraphicFramePr/>
                  <a:graphic xmlns:a="http://schemas.openxmlformats.org/drawingml/2006/main">
                    <a:graphicData uri="http://schemas.openxmlformats.org/drawingml/2006/picture">
                      <pic:pic xmlns:pic="http://schemas.openxmlformats.org/drawingml/2006/picture">
                        <pic:nvPicPr>
                          <pic:cNvPr id="148" name="图片_20_SpCnt_2"/>
                          <pic:cNvPicPr/>
                        </pic:nvPicPr>
                        <pic:blipFill>
                          <a:blip r:embed="rId138"/>
                          <a:stretch>
                            <a:fillRect/>
                          </a:stretch>
                        </pic:blipFill>
                        <pic:spPr>
                          <a:xfrm>
                            <a:off x="0" y="0"/>
                            <a:ext cx="655955"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3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开水器连底座</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450*400*1520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参考品牌：裕豪；腾飞；骏诺</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选用优质不锈钢制造，全新步进式分层加热技术，无“混合水”无“千沸水”，25毫米全密闭式聚氨脂保温，外壳温度接近常温，出水温度92—99℃，多重安全保护及报警系统，使用更安全，独特的排污阀设计，排污清洗更便捷，一体式的不锈钢座驾，美观耐用。储水量：80L，用电量：380V/9KW。</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89312" behindDoc="0" locked="0" layoutInCell="1" allowOverlap="1">
                  <wp:simplePos x="0" y="0"/>
                  <wp:positionH relativeFrom="column">
                    <wp:posOffset>48260</wp:posOffset>
                  </wp:positionH>
                  <wp:positionV relativeFrom="paragraph">
                    <wp:posOffset>221615</wp:posOffset>
                  </wp:positionV>
                  <wp:extent cx="713105" cy="1020445"/>
                  <wp:effectExtent l="0" t="0" r="10795" b="8255"/>
                  <wp:wrapNone/>
                  <wp:docPr id="149" name="图片_14_SpCnt_1"/>
                  <wp:cNvGraphicFramePr/>
                  <a:graphic xmlns:a="http://schemas.openxmlformats.org/drawingml/2006/main">
                    <a:graphicData uri="http://schemas.openxmlformats.org/drawingml/2006/picture">
                      <pic:pic xmlns:pic="http://schemas.openxmlformats.org/drawingml/2006/picture">
                        <pic:nvPicPr>
                          <pic:cNvPr id="149" name="图片_14_SpCnt_1"/>
                          <pic:cNvPicPr/>
                        </pic:nvPicPr>
                        <pic:blipFill>
                          <a:blip r:embed="rId139"/>
                          <a:stretch>
                            <a:fillRect/>
                          </a:stretch>
                        </pic:blipFill>
                        <pic:spPr>
                          <a:xfrm>
                            <a:off x="0" y="0"/>
                            <a:ext cx="713105" cy="10204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挂墙刀具消毒柜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540*135*646</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防辐射有机玻璃、安全可靠 、紫外线消毒技术、清洁卫生、120分钟定时器 、带有钥匙锁具、方便管理 、可放置8~10把刀具。</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1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面点间</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228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二层四盘智能电烤箱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1360*1030*1745</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1.烤箱门由双层钢化玻璃构成；</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2.箱体内部不锈钢，中间夹层为保温材料，有效隔热，防止烫伤；</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3.可放置工业用400*600mm铝烤盘和不沾烤盘及模具，加大炉膛空间；</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4.温度范围0-300度，加温时间从常温至200度一般只需20-25分钟。功率：380V/19.5KW。</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5500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5500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0336" behindDoc="0" locked="0" layoutInCell="1" allowOverlap="1">
                  <wp:simplePos x="0" y="0"/>
                  <wp:positionH relativeFrom="column">
                    <wp:posOffset>48260</wp:posOffset>
                  </wp:positionH>
                  <wp:positionV relativeFrom="paragraph">
                    <wp:posOffset>424180</wp:posOffset>
                  </wp:positionV>
                  <wp:extent cx="732155" cy="650240"/>
                  <wp:effectExtent l="0" t="0" r="10795" b="16510"/>
                  <wp:wrapNone/>
                  <wp:docPr id="150" name="图片_116"/>
                  <wp:cNvGraphicFramePr/>
                  <a:graphic xmlns:a="http://schemas.openxmlformats.org/drawingml/2006/main">
                    <a:graphicData uri="http://schemas.openxmlformats.org/drawingml/2006/picture">
                      <pic:pic xmlns:pic="http://schemas.openxmlformats.org/drawingml/2006/picture">
                        <pic:nvPicPr>
                          <pic:cNvPr id="150" name="图片_116"/>
                          <pic:cNvPicPr/>
                        </pic:nvPicPr>
                        <pic:blipFill>
                          <a:blip r:embed="rId140"/>
                          <a:stretch>
                            <a:fillRect/>
                          </a:stretch>
                        </pic:blipFill>
                        <pic:spPr>
                          <a:xfrm>
                            <a:off x="0" y="0"/>
                            <a:ext cx="732155" cy="650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发酵箱</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1、 聚氨酯发泡箱体，内部为不锈钢结构，清理方便</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2、 设定的温湿度与显示的温湿度相符，数字显示，箱体内配有进口风机，使温湿度均匀，醒发效果好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3、 进口发热管、电器元件，在高温高湿环境里耐用性好，故障率低</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4、 升温速度快，可在超短的时间内完成醒发，缩短面包生产时间</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 醒发箱门上有隔热的宽大窗口可清晰观察发酵过程，内顶没有水滴落在面团上</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1360" behindDoc="0" locked="0" layoutInCell="1" allowOverlap="1">
                  <wp:simplePos x="0" y="0"/>
                  <wp:positionH relativeFrom="column">
                    <wp:posOffset>38100</wp:posOffset>
                  </wp:positionH>
                  <wp:positionV relativeFrom="paragraph">
                    <wp:posOffset>598170</wp:posOffset>
                  </wp:positionV>
                  <wp:extent cx="790575" cy="793115"/>
                  <wp:effectExtent l="0" t="0" r="9525" b="6985"/>
                  <wp:wrapNone/>
                  <wp:docPr id="151" name="图片_117"/>
                  <wp:cNvGraphicFramePr/>
                  <a:graphic xmlns:a="http://schemas.openxmlformats.org/drawingml/2006/main">
                    <a:graphicData uri="http://schemas.openxmlformats.org/drawingml/2006/picture">
                      <pic:pic xmlns:pic="http://schemas.openxmlformats.org/drawingml/2006/picture">
                        <pic:nvPicPr>
                          <pic:cNvPr id="151" name="图片_117"/>
                          <pic:cNvPicPr/>
                        </pic:nvPicPr>
                        <pic:blipFill>
                          <a:blip r:embed="rId141"/>
                          <a:stretch>
                            <a:fillRect/>
                          </a:stretch>
                        </pic:blipFill>
                        <pic:spPr>
                          <a:xfrm>
                            <a:off x="0" y="0"/>
                            <a:ext cx="790575" cy="7931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单槽水池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600*600*（800+150）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2384" behindDoc="0" locked="0" layoutInCell="1" allowOverlap="1">
                  <wp:simplePos x="0" y="0"/>
                  <wp:positionH relativeFrom="column">
                    <wp:posOffset>76200</wp:posOffset>
                  </wp:positionH>
                  <wp:positionV relativeFrom="paragraph">
                    <wp:posOffset>44450</wp:posOffset>
                  </wp:positionV>
                  <wp:extent cx="619125" cy="777240"/>
                  <wp:effectExtent l="0" t="0" r="9525" b="3810"/>
                  <wp:wrapNone/>
                  <wp:docPr id="152" name="图片_7_SpCnt_4"/>
                  <wp:cNvGraphicFramePr/>
                  <a:graphic xmlns:a="http://schemas.openxmlformats.org/drawingml/2006/main">
                    <a:graphicData uri="http://schemas.openxmlformats.org/drawingml/2006/picture">
                      <pic:pic xmlns:pic="http://schemas.openxmlformats.org/drawingml/2006/picture">
                        <pic:nvPicPr>
                          <pic:cNvPr id="152" name="图片_7_SpCnt_4"/>
                          <pic:cNvPicPr/>
                        </pic:nvPicPr>
                        <pic:blipFill>
                          <a:blip r:embed="rId28"/>
                          <a:stretch>
                            <a:fillRect/>
                          </a:stretch>
                        </pic:blipFill>
                        <pic:spPr>
                          <a:xfrm>
                            <a:off x="0" y="0"/>
                            <a:ext cx="619125" cy="777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单通打荷台柜</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1500*800*800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采用优质发纹贴塑不锈钢板制做，台面板厚≥1.35mm，侧板、底板厚≥0.9mm，层板厚≥0.9mm，门板厚≥0.9mm，后背板厚≥0.7mm，不锈钢框架式强筋，双边移门，内置搁档，配Φ50*150不锈钢重力脚。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3408" behindDoc="0" locked="0" layoutInCell="1" allowOverlap="1">
                  <wp:simplePos x="0" y="0"/>
                  <wp:positionH relativeFrom="column">
                    <wp:posOffset>38100</wp:posOffset>
                  </wp:positionH>
                  <wp:positionV relativeFrom="paragraph">
                    <wp:posOffset>230505</wp:posOffset>
                  </wp:positionV>
                  <wp:extent cx="741680" cy="521335"/>
                  <wp:effectExtent l="0" t="0" r="1270" b="12065"/>
                  <wp:wrapNone/>
                  <wp:docPr id="125" name="图片_55_SpCnt_9"/>
                  <wp:cNvGraphicFramePr/>
                  <a:graphic xmlns:a="http://schemas.openxmlformats.org/drawingml/2006/main">
                    <a:graphicData uri="http://schemas.openxmlformats.org/drawingml/2006/picture">
                      <pic:pic xmlns:pic="http://schemas.openxmlformats.org/drawingml/2006/picture">
                        <pic:nvPicPr>
                          <pic:cNvPr id="125" name="图片_55_SpCnt_9"/>
                          <pic:cNvPicPr/>
                        </pic:nvPicPr>
                        <pic:blipFill>
                          <a:blip r:embed="rId142"/>
                          <a:stretch>
                            <a:fillRect/>
                          </a:stretch>
                        </pic:blipFill>
                        <pic:spPr>
                          <a:xfrm>
                            <a:off x="0" y="0"/>
                            <a:ext cx="741680" cy="5213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879"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搅拌机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620*630*1011</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采用优质钢材和电器原件，配备过载和缺相保护功能，提高设备使用寿命；</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吸水量高，搅出的面团筋度好，进炉烘烤膨胀率高，降低生产成本。</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搅拌钩经过特殊处理，经久不变形配30L不锈钢搅拌桶、勾、扇、球各一个。</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4432" behindDoc="0" locked="0" layoutInCell="1" allowOverlap="1">
                  <wp:simplePos x="0" y="0"/>
                  <wp:positionH relativeFrom="column">
                    <wp:posOffset>55245</wp:posOffset>
                  </wp:positionH>
                  <wp:positionV relativeFrom="paragraph">
                    <wp:posOffset>105410</wp:posOffset>
                  </wp:positionV>
                  <wp:extent cx="757555" cy="919480"/>
                  <wp:effectExtent l="0" t="0" r="4445" b="13970"/>
                  <wp:wrapNone/>
                  <wp:docPr id="126" name="图片_47_SpCnt_3"/>
                  <wp:cNvGraphicFramePr/>
                  <a:graphic xmlns:a="http://schemas.openxmlformats.org/drawingml/2006/main">
                    <a:graphicData uri="http://schemas.openxmlformats.org/drawingml/2006/picture">
                      <pic:pic xmlns:pic="http://schemas.openxmlformats.org/drawingml/2006/picture">
                        <pic:nvPicPr>
                          <pic:cNvPr id="126" name="图片_47_SpCnt_3"/>
                          <pic:cNvPicPr/>
                        </pic:nvPicPr>
                        <pic:blipFill>
                          <a:blip r:embed="rId143"/>
                          <a:stretch>
                            <a:fillRect/>
                          </a:stretch>
                        </pic:blipFill>
                        <pic:spPr>
                          <a:xfrm>
                            <a:off x="0" y="0"/>
                            <a:ext cx="757555" cy="9194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02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6</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压面机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626*490*1090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额定电压 : 2~220V</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电机功率 : 1.5kW</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压面厚度 : 2~32mm</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压面宽度 : 350mm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3650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5456" behindDoc="0" locked="0" layoutInCell="1" allowOverlap="1">
                  <wp:simplePos x="0" y="0"/>
                  <wp:positionH relativeFrom="column">
                    <wp:posOffset>86360</wp:posOffset>
                  </wp:positionH>
                  <wp:positionV relativeFrom="paragraph">
                    <wp:posOffset>20320</wp:posOffset>
                  </wp:positionV>
                  <wp:extent cx="628650" cy="607060"/>
                  <wp:effectExtent l="0" t="0" r="0" b="2540"/>
                  <wp:wrapNone/>
                  <wp:docPr id="127" name="图片_48_SpCnt_6"/>
                  <wp:cNvGraphicFramePr/>
                  <a:graphic xmlns:a="http://schemas.openxmlformats.org/drawingml/2006/main">
                    <a:graphicData uri="http://schemas.openxmlformats.org/drawingml/2006/picture">
                      <pic:pic xmlns:pic="http://schemas.openxmlformats.org/drawingml/2006/picture">
                        <pic:nvPicPr>
                          <pic:cNvPr id="127" name="图片_48_SpCnt_6"/>
                          <pic:cNvPicPr/>
                        </pic:nvPicPr>
                        <pic:blipFill>
                          <a:blip r:embed="rId144"/>
                          <a:stretch>
                            <a:fillRect/>
                          </a:stretch>
                        </pic:blipFill>
                        <pic:spPr>
                          <a:xfrm>
                            <a:off x="0" y="0"/>
                            <a:ext cx="628650" cy="6070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6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7</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和面机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502*835*1052</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参考品牌：恒联；泓锋；新麦</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搅拌钩经过特殊处理，经久不变形；</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皮带式传动，噪音小；</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设有安全网罩，保护使用者安全。</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吸水量高，可达60%；</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合资品牌电机，噪音小。电量：3KW/380V；</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容量：45L</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5850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5850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6480" behindDoc="0" locked="0" layoutInCell="1" allowOverlap="1">
                  <wp:simplePos x="0" y="0"/>
                  <wp:positionH relativeFrom="column">
                    <wp:posOffset>67310</wp:posOffset>
                  </wp:positionH>
                  <wp:positionV relativeFrom="paragraph">
                    <wp:posOffset>303530</wp:posOffset>
                  </wp:positionV>
                  <wp:extent cx="678815" cy="781050"/>
                  <wp:effectExtent l="0" t="0" r="6985" b="0"/>
                  <wp:wrapNone/>
                  <wp:docPr id="128" name="图片_46_SpCnt_1"/>
                  <wp:cNvGraphicFramePr/>
                  <a:graphic xmlns:a="http://schemas.openxmlformats.org/drawingml/2006/main">
                    <a:graphicData uri="http://schemas.openxmlformats.org/drawingml/2006/picture">
                      <pic:pic xmlns:pic="http://schemas.openxmlformats.org/drawingml/2006/picture">
                        <pic:nvPicPr>
                          <pic:cNvPr id="128" name="图片_46_SpCnt_1"/>
                          <pic:cNvPicPr/>
                        </pic:nvPicPr>
                        <pic:blipFill>
                          <a:blip r:embed="rId145"/>
                          <a:stretch>
                            <a:fillRect/>
                          </a:stretch>
                        </pic:blipFill>
                        <pic:spPr>
                          <a:xfrm>
                            <a:off x="0" y="0"/>
                            <a:ext cx="678815" cy="781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仓库</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4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不锈钢六门更衣柜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900*400*1500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top"/>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 优质发纹贴塑不锈钢板制做，板厚 1.0mm，带锁。</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7504" behindDoc="0" locked="0" layoutInCell="1" allowOverlap="1">
                  <wp:simplePos x="0" y="0"/>
                  <wp:positionH relativeFrom="column">
                    <wp:posOffset>133350</wp:posOffset>
                  </wp:positionH>
                  <wp:positionV relativeFrom="paragraph">
                    <wp:posOffset>29210</wp:posOffset>
                  </wp:positionV>
                  <wp:extent cx="488315" cy="466725"/>
                  <wp:effectExtent l="0" t="0" r="6985" b="9525"/>
                  <wp:wrapNone/>
                  <wp:docPr id="129" name="图片_106"/>
                  <wp:cNvGraphicFramePr/>
                  <a:graphic xmlns:a="http://schemas.openxmlformats.org/drawingml/2006/main">
                    <a:graphicData uri="http://schemas.openxmlformats.org/drawingml/2006/picture">
                      <pic:pic xmlns:pic="http://schemas.openxmlformats.org/drawingml/2006/picture">
                        <pic:nvPicPr>
                          <pic:cNvPr id="129" name="图片_106"/>
                          <pic:cNvPicPr/>
                        </pic:nvPicPr>
                        <pic:blipFill>
                          <a:blip r:embed="rId146"/>
                          <a:stretch>
                            <a:fillRect/>
                          </a:stretch>
                        </pic:blipFill>
                        <pic:spPr>
                          <a:xfrm>
                            <a:off x="0" y="0"/>
                            <a:ext cx="488315" cy="466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8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大米架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1200*500*200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采用优质发纹贴塑不锈钢管制做，δ≥1.0mm 50*50全不锈钢方管制作，横档为40*25*1.0mm。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565</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1130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8528" behindDoc="0" locked="0" layoutInCell="1" allowOverlap="1">
                  <wp:simplePos x="0" y="0"/>
                  <wp:positionH relativeFrom="column">
                    <wp:posOffset>76200</wp:posOffset>
                  </wp:positionH>
                  <wp:positionV relativeFrom="paragraph">
                    <wp:posOffset>25400</wp:posOffset>
                  </wp:positionV>
                  <wp:extent cx="598805" cy="415925"/>
                  <wp:effectExtent l="0" t="0" r="10795" b="3175"/>
                  <wp:wrapNone/>
                  <wp:docPr id="130" name="图片_6_SpCnt_5"/>
                  <wp:cNvGraphicFramePr/>
                  <a:graphic xmlns:a="http://schemas.openxmlformats.org/drawingml/2006/main">
                    <a:graphicData uri="http://schemas.openxmlformats.org/drawingml/2006/picture">
                      <pic:pic xmlns:pic="http://schemas.openxmlformats.org/drawingml/2006/picture">
                        <pic:nvPicPr>
                          <pic:cNvPr id="130" name="图片_6_SpCnt_5"/>
                          <pic:cNvPicPr/>
                        </pic:nvPicPr>
                        <pic:blipFill>
                          <a:blip r:embed="rId147"/>
                          <a:stretch>
                            <a:fillRect/>
                          </a:stretch>
                        </pic:blipFill>
                        <pic:spPr>
                          <a:xfrm>
                            <a:off x="0" y="0"/>
                            <a:ext cx="598805" cy="4159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四门高身储物柜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1200*500*1800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采用优质发纹贴塑不锈钢板制做，板厚≥1.2mm，侧板、底板厚≥0.9mm，层板厚≥0.9mm，门板厚≥0.9mm，后背板厚≥0.7mm，挂式不锈钢移门，配Φ50*150不锈钢重力脚。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799552" behindDoc="0" locked="0" layoutInCell="1" allowOverlap="1">
                  <wp:simplePos x="0" y="0"/>
                  <wp:positionH relativeFrom="column">
                    <wp:posOffset>86360</wp:posOffset>
                  </wp:positionH>
                  <wp:positionV relativeFrom="paragraph">
                    <wp:posOffset>74295</wp:posOffset>
                  </wp:positionV>
                  <wp:extent cx="628015" cy="811530"/>
                  <wp:effectExtent l="0" t="0" r="635" b="7620"/>
                  <wp:wrapNone/>
                  <wp:docPr id="131" name="图片_1_SpCnt_1"/>
                  <wp:cNvGraphicFramePr/>
                  <a:graphic xmlns:a="http://schemas.openxmlformats.org/drawingml/2006/main">
                    <a:graphicData uri="http://schemas.openxmlformats.org/drawingml/2006/picture">
                      <pic:pic xmlns:pic="http://schemas.openxmlformats.org/drawingml/2006/picture">
                        <pic:nvPicPr>
                          <pic:cNvPr id="131" name="图片_1_SpCnt_1"/>
                          <pic:cNvPicPr/>
                        </pic:nvPicPr>
                        <pic:blipFill>
                          <a:blip r:embed="rId148"/>
                          <a:stretch>
                            <a:fillRect/>
                          </a:stretch>
                        </pic:blipFill>
                        <pic:spPr>
                          <a:xfrm>
                            <a:off x="0" y="0"/>
                            <a:ext cx="628015" cy="811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7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四门雪柜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1220*760*1950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参考品牌：洛德；三洋；特博尔</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选用优质变频高效压缩机，43℃环境温度可正常运转；选用优质全套发泡设备，箱体发泡厚度68mm，铜管翅片式换热器效率高、耐用性好；机组可抽拉方便维修及更换；强制蒸发化霜水、柜内无排水保证厨房洁净；噪音低；强制风循环制冷高效节能；自闭门结构，降低热损耗操作方便。</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适用温度：-5℃～+5℃；-6℃～-18℃</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0576" behindDoc="0" locked="0" layoutInCell="1" allowOverlap="1">
                  <wp:simplePos x="0" y="0"/>
                  <wp:positionH relativeFrom="column">
                    <wp:posOffset>10160</wp:posOffset>
                  </wp:positionH>
                  <wp:positionV relativeFrom="paragraph">
                    <wp:posOffset>381635</wp:posOffset>
                  </wp:positionV>
                  <wp:extent cx="793115" cy="1085215"/>
                  <wp:effectExtent l="0" t="0" r="6985" b="635"/>
                  <wp:wrapNone/>
                  <wp:docPr id="132" name="图片_109"/>
                  <wp:cNvGraphicFramePr/>
                  <a:graphic xmlns:a="http://schemas.openxmlformats.org/drawingml/2006/main">
                    <a:graphicData uri="http://schemas.openxmlformats.org/drawingml/2006/picture">
                      <pic:pic xmlns:pic="http://schemas.openxmlformats.org/drawingml/2006/picture">
                        <pic:nvPicPr>
                          <pic:cNvPr id="132" name="图片_109"/>
                          <pic:cNvPicPr/>
                        </pic:nvPicPr>
                        <pic:blipFill>
                          <a:blip r:embed="rId149"/>
                          <a:stretch>
                            <a:fillRect/>
                          </a:stretch>
                        </pic:blipFill>
                        <pic:spPr>
                          <a:xfrm>
                            <a:off x="0" y="0"/>
                            <a:ext cx="7931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5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米柜</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1200*500*1500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采用优质发纹贴塑不锈钢板制做，板厚≥1.2mm，侧板、底板厚≥0.9mm，层板厚≥0.9mm，门板厚≥0.9mm，后背板厚≥0.7mm，挂式不锈钢移门，配Φ50*150不锈钢重力脚。</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1600" behindDoc="0" locked="0" layoutInCell="1" allowOverlap="1">
                  <wp:simplePos x="0" y="0"/>
                  <wp:positionH relativeFrom="column">
                    <wp:posOffset>57150</wp:posOffset>
                  </wp:positionH>
                  <wp:positionV relativeFrom="paragraph">
                    <wp:posOffset>66675</wp:posOffset>
                  </wp:positionV>
                  <wp:extent cx="628015" cy="811530"/>
                  <wp:effectExtent l="0" t="0" r="635" b="7620"/>
                  <wp:wrapNone/>
                  <wp:docPr id="133" name="图片_1_SpCnt_2"/>
                  <wp:cNvGraphicFramePr/>
                  <a:graphic xmlns:a="http://schemas.openxmlformats.org/drawingml/2006/main">
                    <a:graphicData uri="http://schemas.openxmlformats.org/drawingml/2006/picture">
                      <pic:pic xmlns:pic="http://schemas.openxmlformats.org/drawingml/2006/picture">
                        <pic:nvPicPr>
                          <pic:cNvPr id="133" name="图片_1_SpCnt_2"/>
                          <pic:cNvPicPr/>
                        </pic:nvPicPr>
                        <pic:blipFill>
                          <a:blip r:embed="rId150"/>
                          <a:stretch>
                            <a:fillRect/>
                          </a:stretch>
                        </pic:blipFill>
                        <pic:spPr>
                          <a:xfrm>
                            <a:off x="0" y="0"/>
                            <a:ext cx="628015" cy="8115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餐厅</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2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残食柜连桶车</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采用优质发纹贴塑不锈钢板制作，台面δ≥1.2mm，侧板、后板δ≥1.0mm；配平板推车1辆及加厚不锈钢桶1只；重力脚Φ50*150不锈钢重力脚。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2624" behindDoc="0" locked="0" layoutInCell="1" allowOverlap="1">
                  <wp:simplePos x="0" y="0"/>
                  <wp:positionH relativeFrom="column">
                    <wp:posOffset>67310</wp:posOffset>
                  </wp:positionH>
                  <wp:positionV relativeFrom="paragraph">
                    <wp:posOffset>93980</wp:posOffset>
                  </wp:positionV>
                  <wp:extent cx="655955" cy="559435"/>
                  <wp:effectExtent l="0" t="0" r="10795" b="12065"/>
                  <wp:wrapNone/>
                  <wp:docPr id="134" name="图片_20_SpCnt_3"/>
                  <wp:cNvGraphicFramePr/>
                  <a:graphic xmlns:a="http://schemas.openxmlformats.org/drawingml/2006/main">
                    <a:graphicData uri="http://schemas.openxmlformats.org/drawingml/2006/picture">
                      <pic:pic xmlns:pic="http://schemas.openxmlformats.org/drawingml/2006/picture">
                        <pic:nvPicPr>
                          <pic:cNvPr id="134" name="图片_20_SpCnt_3"/>
                          <pic:cNvPicPr/>
                        </pic:nvPicPr>
                        <pic:blipFill>
                          <a:blip r:embed="rId151"/>
                          <a:stretch>
                            <a:fillRect/>
                          </a:stretch>
                        </pic:blipFill>
                        <pic:spPr>
                          <a:xfrm>
                            <a:off x="0" y="0"/>
                            <a:ext cx="655955" cy="5594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85"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洗手池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1000*700*（800+150）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采用优质发纹贴塑不锈钢板制做，面板及水斗板厚均δ≥1.2，立柱采用φ38X1.2不锈钢管材，拉档采用φ25X1.0不锈钢管，配全钢可调子弹脚，配优质不锈钢大号带孔接污斗落水器。</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2400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3648" behindDoc="0" locked="0" layoutInCell="1" allowOverlap="1">
                  <wp:simplePos x="0" y="0"/>
                  <wp:positionH relativeFrom="column">
                    <wp:posOffset>19050</wp:posOffset>
                  </wp:positionH>
                  <wp:positionV relativeFrom="paragraph">
                    <wp:posOffset>239395</wp:posOffset>
                  </wp:positionV>
                  <wp:extent cx="753110" cy="600710"/>
                  <wp:effectExtent l="0" t="0" r="8890" b="8890"/>
                  <wp:wrapNone/>
                  <wp:docPr id="135" name="图片_35_SpCnt_7"/>
                  <wp:cNvGraphicFramePr/>
                  <a:graphic xmlns:a="http://schemas.openxmlformats.org/drawingml/2006/main">
                    <a:graphicData uri="http://schemas.openxmlformats.org/drawingml/2006/picture">
                      <pic:pic xmlns:pic="http://schemas.openxmlformats.org/drawingml/2006/picture">
                        <pic:nvPicPr>
                          <pic:cNvPr id="135" name="图片_35_SpCnt_7"/>
                          <pic:cNvPicPr/>
                        </pic:nvPicPr>
                        <pic:blipFill>
                          <a:blip r:embed="rId152"/>
                          <a:stretch>
                            <a:fillRect/>
                          </a:stretch>
                        </pic:blipFill>
                        <pic:spPr>
                          <a:xfrm>
                            <a:off x="0" y="0"/>
                            <a:ext cx="753110" cy="6007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其它</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安装材料配件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满足厨房内设备的水龙头、软管、下水斗等安装完成，达到使用标准。</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不锈钢挂墙架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5000*300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采用优质发纹贴塑不锈钢板制做，面板板厚均δ≥1.2</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5000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不锈钢水槽</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5000*600*800</w:t>
            </w: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套</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采用优质发纹贴塑不锈钢板制做，面板板厚均δ≥1.2</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6000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灭火系统（单瓶组）</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组</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参考品牌：环峰；博特安；安素</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—启动方式:机械式自动启动和机械应急启动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—药剂充装量：单瓶组药剂装置≥11.5L，双瓶组药剂装置≥23L                                                                                                                                                                                                                                                                                                                                                                                                                                                                                                                                                                                                                                                                                                                                                                     —联动性能单瓶组喷射时间≥19.2秒，喷射延迟时间≥1.0秒，水流联动阀自动切换时间≥2秒                                                                                                                                                                                                                                                    —联动性能双瓶组喷射时间≥23.1秒，喷射延迟时间≥1.0秒，水流联动阀自动切换时间≥3.1秒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4672" behindDoc="0" locked="0" layoutInCell="1" allowOverlap="1">
                  <wp:simplePos x="0" y="0"/>
                  <wp:positionH relativeFrom="column">
                    <wp:posOffset>36195</wp:posOffset>
                  </wp:positionH>
                  <wp:positionV relativeFrom="paragraph">
                    <wp:posOffset>436245</wp:posOffset>
                  </wp:positionV>
                  <wp:extent cx="700405" cy="974725"/>
                  <wp:effectExtent l="0" t="0" r="4445" b="15875"/>
                  <wp:wrapNone/>
                  <wp:docPr id="136" name="图片_4_SpCnt_6"/>
                  <wp:cNvGraphicFramePr/>
                  <a:graphic xmlns:a="http://schemas.openxmlformats.org/drawingml/2006/main">
                    <a:graphicData uri="http://schemas.openxmlformats.org/drawingml/2006/picture">
                      <pic:pic xmlns:pic="http://schemas.openxmlformats.org/drawingml/2006/picture">
                        <pic:nvPicPr>
                          <pic:cNvPr id="136" name="图片_4_SpCnt_6"/>
                          <pic:cNvPicPr/>
                        </pic:nvPicPr>
                        <pic:blipFill>
                          <a:blip r:embed="rId153"/>
                          <a:stretch>
                            <a:fillRect/>
                          </a:stretch>
                        </pic:blipFill>
                        <pic:spPr>
                          <a:xfrm>
                            <a:off x="0" y="0"/>
                            <a:ext cx="700405" cy="974725"/>
                          </a:xfrm>
                          <a:prstGeom prst="rect">
                            <a:avLst/>
                          </a:prstGeom>
                          <a:noFill/>
                          <a:ln>
                            <a:noFill/>
                          </a:ln>
                        </pic:spPr>
                      </pic:pic>
                    </a:graphicData>
                  </a:graphic>
                </wp:anchor>
              </w:drawing>
            </w: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5696" behindDoc="0" locked="0" layoutInCell="1" allowOverlap="1">
                  <wp:simplePos x="0" y="0"/>
                  <wp:positionH relativeFrom="column">
                    <wp:posOffset>105410</wp:posOffset>
                  </wp:positionH>
                  <wp:positionV relativeFrom="paragraph">
                    <wp:posOffset>1795780</wp:posOffset>
                  </wp:positionV>
                  <wp:extent cx="700405" cy="3175"/>
                  <wp:effectExtent l="0" t="0" r="0" b="0"/>
                  <wp:wrapNone/>
                  <wp:docPr id="137" name="图片_4_SpCnt_7"/>
                  <wp:cNvGraphicFramePr/>
                  <a:graphic xmlns:a="http://schemas.openxmlformats.org/drawingml/2006/main">
                    <a:graphicData uri="http://schemas.openxmlformats.org/drawingml/2006/picture">
                      <pic:pic xmlns:pic="http://schemas.openxmlformats.org/drawingml/2006/picture">
                        <pic:nvPicPr>
                          <pic:cNvPr id="137" name="图片_4_SpCnt_7"/>
                          <pic:cNvPicPr/>
                        </pic:nvPicPr>
                        <pic:blipFill>
                          <a:blip r:embed="rId154"/>
                          <a:stretch>
                            <a:fillRect/>
                          </a:stretch>
                        </pic:blipFill>
                        <pic:spPr>
                          <a:xfrm>
                            <a:off x="0" y="0"/>
                            <a:ext cx="700405" cy="3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40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排烟系统</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仿宋"/>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96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不锈钢风管</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w:t>
            </w: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采用SUS201-2B优质发纹贴塑不锈钢板制做，板厚≥1.0mm。</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28000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6720" behindDoc="0" locked="0" layoutInCell="1" allowOverlap="1">
                  <wp:simplePos x="0" y="0"/>
                  <wp:positionH relativeFrom="column">
                    <wp:posOffset>48260</wp:posOffset>
                  </wp:positionH>
                  <wp:positionV relativeFrom="paragraph">
                    <wp:posOffset>16510</wp:posOffset>
                  </wp:positionV>
                  <wp:extent cx="716915" cy="561975"/>
                  <wp:effectExtent l="0" t="0" r="6985" b="9525"/>
                  <wp:wrapNone/>
                  <wp:docPr id="138" name="图片_78"/>
                  <wp:cNvGraphicFramePr/>
                  <a:graphic xmlns:a="http://schemas.openxmlformats.org/drawingml/2006/main">
                    <a:graphicData uri="http://schemas.openxmlformats.org/drawingml/2006/picture">
                      <pic:pic xmlns:pic="http://schemas.openxmlformats.org/drawingml/2006/picture">
                        <pic:nvPicPr>
                          <pic:cNvPr id="138" name="图片_78"/>
                          <pic:cNvPicPr/>
                        </pic:nvPicPr>
                        <pic:blipFill>
                          <a:blip r:embed="rId155"/>
                          <a:stretch>
                            <a:fillRect/>
                          </a:stretch>
                        </pic:blipFill>
                        <pic:spPr>
                          <a:xfrm>
                            <a:off x="0" y="0"/>
                            <a:ext cx="716915" cy="5619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灭火系统（单瓶组）</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组</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参考品牌：环峰；博特安；安素</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—启动方式:机械式自动启动和机械应急启动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—药剂充装量：单瓶组药剂装置≥11.5L，双瓶组药剂装置≥23L                                                                                                                                                                                                                                                                                                                                                                                                                                                                                                                                                                                                                                                                                                                                                                      —联动性能单瓶组喷射时间≥19.2秒，喷射延迟时间≥1.0秒，水流联动阀自动切换时间≥2秒                                                                                                                                                                                                                                                    —联动性能双瓶组喷射时间≥23.1秒，喷射延迟时间≥1.0秒，水流联动阀自动切换时间≥3.1秒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17800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7744" behindDoc="0" locked="0" layoutInCell="1" allowOverlap="1">
                  <wp:simplePos x="0" y="0"/>
                  <wp:positionH relativeFrom="column">
                    <wp:posOffset>67310</wp:posOffset>
                  </wp:positionH>
                  <wp:positionV relativeFrom="paragraph">
                    <wp:posOffset>132080</wp:posOffset>
                  </wp:positionV>
                  <wp:extent cx="700405" cy="974725"/>
                  <wp:effectExtent l="0" t="0" r="4445" b="15875"/>
                  <wp:wrapNone/>
                  <wp:docPr id="139" name="图片_4_SpCnt_8"/>
                  <wp:cNvGraphicFramePr/>
                  <a:graphic xmlns:a="http://schemas.openxmlformats.org/drawingml/2006/main">
                    <a:graphicData uri="http://schemas.openxmlformats.org/drawingml/2006/picture">
                      <pic:pic xmlns:pic="http://schemas.openxmlformats.org/drawingml/2006/picture">
                        <pic:nvPicPr>
                          <pic:cNvPr id="139" name="图片_4_SpCnt_8"/>
                          <pic:cNvPicPr/>
                        </pic:nvPicPr>
                        <pic:blipFill>
                          <a:blip r:embed="rId156"/>
                          <a:stretch>
                            <a:fillRect/>
                          </a:stretch>
                        </pic:blipFill>
                        <pic:spPr>
                          <a:xfrm>
                            <a:off x="0" y="0"/>
                            <a:ext cx="700405" cy="9747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9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灭火系统（双瓶组）</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组</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参考品牌：环峰；博特安；安素</w:t>
            </w:r>
          </w:p>
          <w:p>
            <w:pPr>
              <w:widowControl/>
              <w:jc w:val="left"/>
              <w:textAlignment w:val="center"/>
              <w:rPr>
                <w:rFonts w:ascii="仿宋" w:hAnsi="仿宋" w:eastAsia="仿宋" w:cs="仿宋"/>
                <w:color w:val="auto"/>
                <w:kern w:val="0"/>
                <w:sz w:val="20"/>
                <w:szCs w:val="20"/>
                <w:highlight w:val="none"/>
                <w:lang w:bidi="ar"/>
              </w:rPr>
            </w:pPr>
            <w:r>
              <w:rPr>
                <w:rFonts w:hint="eastAsia" w:ascii="仿宋" w:hAnsi="仿宋" w:eastAsia="仿宋" w:cs="仿宋"/>
                <w:color w:val="auto"/>
                <w:kern w:val="0"/>
                <w:sz w:val="20"/>
                <w:szCs w:val="20"/>
                <w:highlight w:val="none"/>
                <w:lang w:bidi="ar"/>
              </w:rPr>
              <w:t xml:space="preserve">—启动方式:机械式自动启动和机械应急启动  </w:t>
            </w: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 xml:space="preserve">—药剂充装量：单瓶组药剂装置≥11.5L，双瓶组药剂装置≥23L                                                                                                                                                                                                                                                                                                                                                                                                                                                                                                                                                                                                                                                                                                                                                                         —联动性能单瓶组喷射时间≥19.2秒，喷射延迟时间≥1.0秒，水流联动阀自动切换时间≥2秒                                                                                                                                                                                                                                                    —联动性能双瓶组喷射时间≥23.1秒，喷射延迟时间≥1.0秒，水流联动阀自动切换时间≥3.1秒                                                                                                                        </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19800</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39600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8768" behindDoc="0" locked="0" layoutInCell="1" allowOverlap="1">
                  <wp:simplePos x="0" y="0"/>
                  <wp:positionH relativeFrom="column">
                    <wp:posOffset>125730</wp:posOffset>
                  </wp:positionH>
                  <wp:positionV relativeFrom="paragraph">
                    <wp:posOffset>120015</wp:posOffset>
                  </wp:positionV>
                  <wp:extent cx="701040" cy="960120"/>
                  <wp:effectExtent l="0" t="0" r="3810" b="11430"/>
                  <wp:wrapNone/>
                  <wp:docPr id="140" name="图片_3_SpCnt_1"/>
                  <wp:cNvGraphicFramePr/>
                  <a:graphic xmlns:a="http://schemas.openxmlformats.org/drawingml/2006/main">
                    <a:graphicData uri="http://schemas.openxmlformats.org/drawingml/2006/picture">
                      <pic:pic xmlns:pic="http://schemas.openxmlformats.org/drawingml/2006/picture">
                        <pic:nvPicPr>
                          <pic:cNvPr id="140" name="图片_3_SpCnt_1"/>
                          <pic:cNvPicPr/>
                        </pic:nvPicPr>
                        <pic:blipFill>
                          <a:blip r:embed="rId157"/>
                          <a:stretch>
                            <a:fillRect/>
                          </a:stretch>
                        </pic:blipFill>
                        <pic:spPr>
                          <a:xfrm>
                            <a:off x="0" y="0"/>
                            <a:ext cx="701040" cy="9601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吊码</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副</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采用优质螺纹杆制作。</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5</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法兰</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180</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副</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采用优质镀锌板制作。</w:t>
            </w:r>
          </w:p>
        </w:tc>
        <w:tc>
          <w:tcPr>
            <w:tcW w:w="274"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25</w:t>
            </w:r>
          </w:p>
        </w:tc>
        <w:tc>
          <w:tcPr>
            <w:tcW w:w="300" w:type="pct"/>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4500</w:t>
            </w:r>
          </w:p>
        </w:tc>
        <w:tc>
          <w:tcPr>
            <w:tcW w:w="502"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30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其他</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 w:val="20"/>
                <w:szCs w:val="20"/>
                <w:highlight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仿宋" w:hAnsi="仿宋" w:eastAsia="仿宋" w:cs="仿宋"/>
                <w:b/>
                <w:bCs/>
                <w:color w:val="auto"/>
                <w:sz w:val="20"/>
                <w:szCs w:val="20"/>
                <w:highlight w:val="none"/>
              </w:rPr>
            </w:pP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1442"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1</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平板电瓶车带保温箱体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1850*980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3</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3毫米的加厚铁板，电瓶采用超威电瓶，后桥是大六齿的，纯橡胶实心轮胎，不用充气。整机柜体全部采用304t1.0不锈钢优质板材制作，包括内部全不锈钢加强，箱体任何部位都用吸铁石测试无磁。保证长期使用结构安全可靠，无腐蚀现象，柜体采用高密度保温材料，保温性能优良，出厂带托盘。</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14900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44700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10816" behindDoc="0" locked="0" layoutInCell="1" allowOverlap="1">
                  <wp:simplePos x="0" y="0"/>
                  <wp:positionH relativeFrom="column">
                    <wp:posOffset>82550</wp:posOffset>
                  </wp:positionH>
                  <wp:positionV relativeFrom="paragraph">
                    <wp:posOffset>55245</wp:posOffset>
                  </wp:positionV>
                  <wp:extent cx="580390" cy="772160"/>
                  <wp:effectExtent l="0" t="0" r="10160" b="8890"/>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158"/>
                          <a:stretch>
                            <a:fillRect/>
                          </a:stretch>
                        </pic:blipFill>
                        <pic:spPr>
                          <a:xfrm>
                            <a:off x="0" y="0"/>
                            <a:ext cx="580390" cy="772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430" w:hRule="atLeast"/>
          <w:jc w:val="center"/>
        </w:trPr>
        <w:tc>
          <w:tcPr>
            <w:tcW w:w="286"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2</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平板电瓶车带箱体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1850*980</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台</w:t>
            </w:r>
          </w:p>
        </w:tc>
        <w:tc>
          <w:tcPr>
            <w:tcW w:w="26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color w:val="auto"/>
                <w:kern w:val="0"/>
                <w:sz w:val="20"/>
                <w:szCs w:val="20"/>
                <w:highlight w:val="none"/>
                <w:lang w:eastAsia="zh-CN" w:bidi="ar"/>
              </w:rPr>
            </w:pPr>
          </w:p>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采用优质3毫米的加厚铁板，电瓶采用超威电瓶，后桥是大六齿的，纯橡胶实心轮胎，不用充气。整机柜体全部采用201-1.0不锈钢优质板材制作，包括内部全不锈钢加强。</w:t>
            </w:r>
          </w:p>
        </w:tc>
        <w:tc>
          <w:tcPr>
            <w:tcW w:w="274"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4900</w:t>
            </w:r>
          </w:p>
        </w:tc>
        <w:tc>
          <w:tcPr>
            <w:tcW w:w="300"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4900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bdr w:val="single" w:color="000000" w:sz="4" w:space="0"/>
              </w:rPr>
              <w:drawing>
                <wp:anchor distT="0" distB="0" distL="114300" distR="114300" simplePos="0" relativeHeight="251809792" behindDoc="0" locked="0" layoutInCell="1" allowOverlap="1">
                  <wp:simplePos x="0" y="0"/>
                  <wp:positionH relativeFrom="column">
                    <wp:posOffset>67310</wp:posOffset>
                  </wp:positionH>
                  <wp:positionV relativeFrom="paragraph">
                    <wp:posOffset>47625</wp:posOffset>
                  </wp:positionV>
                  <wp:extent cx="580390" cy="772160"/>
                  <wp:effectExtent l="0" t="0" r="10160" b="8890"/>
                  <wp:wrapNone/>
                  <wp:docPr id="142" name="图片_2"/>
                  <wp:cNvGraphicFramePr/>
                  <a:graphic xmlns:a="http://schemas.openxmlformats.org/drawingml/2006/main">
                    <a:graphicData uri="http://schemas.openxmlformats.org/drawingml/2006/picture">
                      <pic:pic xmlns:pic="http://schemas.openxmlformats.org/drawingml/2006/picture">
                        <pic:nvPicPr>
                          <pic:cNvPr id="142" name="图片_2"/>
                          <pic:cNvPicPr/>
                        </pic:nvPicPr>
                        <pic:blipFill>
                          <a:blip r:embed="rId158"/>
                          <a:stretch>
                            <a:fillRect/>
                          </a:stretch>
                        </pic:blipFill>
                        <pic:spPr>
                          <a:xfrm>
                            <a:off x="0" y="0"/>
                            <a:ext cx="580390" cy="77216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705" w:hRule="atLeast"/>
          <w:jc w:val="center"/>
        </w:trPr>
        <w:tc>
          <w:tcPr>
            <w:tcW w:w="286" w:type="pct"/>
            <w:tcBorders>
              <w:top w:val="single" w:color="000000" w:sz="4" w:space="0"/>
              <w:left w:val="single" w:color="000000" w:sz="8" w:space="0"/>
              <w:bottom w:val="single" w:color="auto" w:sz="4" w:space="0"/>
              <w:right w:val="single" w:color="000000"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3</w:t>
            </w:r>
          </w:p>
        </w:tc>
        <w:tc>
          <w:tcPr>
            <w:tcW w:w="316"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安装材料集成</w:t>
            </w:r>
          </w:p>
        </w:tc>
        <w:tc>
          <w:tcPr>
            <w:tcW w:w="299" w:type="pct"/>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仿宋" w:hAnsi="仿宋" w:eastAsia="仿宋" w:cs="仿宋"/>
                <w:color w:val="auto"/>
                <w:sz w:val="20"/>
                <w:szCs w:val="20"/>
                <w:highlight w:val="none"/>
              </w:rPr>
            </w:pPr>
          </w:p>
        </w:tc>
        <w:tc>
          <w:tcPr>
            <w:tcW w:w="25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w:t>
            </w:r>
          </w:p>
        </w:tc>
        <w:tc>
          <w:tcPr>
            <w:tcW w:w="135"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项</w:t>
            </w:r>
          </w:p>
        </w:tc>
        <w:tc>
          <w:tcPr>
            <w:tcW w:w="2630" w:type="pct"/>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满足厨房内设备的水龙头、软管、下水斗等安装完成，达到使用标准。</w:t>
            </w:r>
          </w:p>
        </w:tc>
        <w:tc>
          <w:tcPr>
            <w:tcW w:w="274" w:type="pct"/>
            <w:tcBorders>
              <w:top w:val="single" w:color="000000" w:sz="4" w:space="0"/>
              <w:left w:val="single" w:color="000000" w:sz="4" w:space="0"/>
              <w:bottom w:val="single" w:color="auto"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10000</w:t>
            </w:r>
          </w:p>
        </w:tc>
        <w:tc>
          <w:tcPr>
            <w:tcW w:w="300" w:type="pct"/>
            <w:tcBorders>
              <w:top w:val="single" w:color="000000" w:sz="4" w:space="0"/>
              <w:left w:val="single" w:color="000000" w:sz="4" w:space="0"/>
              <w:bottom w:val="single" w:color="auto" w:sz="4" w:space="0"/>
              <w:right w:val="single" w:color="000000" w:sz="8"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10000</w:t>
            </w:r>
          </w:p>
        </w:tc>
        <w:tc>
          <w:tcPr>
            <w:tcW w:w="502" w:type="pct"/>
            <w:tcBorders>
              <w:top w:val="single" w:color="000000" w:sz="4" w:space="0"/>
              <w:left w:val="single" w:color="000000" w:sz="4" w:space="0"/>
              <w:bottom w:val="single" w:color="auto" w:sz="4" w:space="0"/>
              <w:right w:val="single" w:color="000000" w:sz="8" w:space="0"/>
            </w:tcBorders>
            <w:shd w:val="clear" w:color="auto" w:fill="auto"/>
            <w:vAlign w:val="center"/>
          </w:tcPr>
          <w:p>
            <w:pPr>
              <w:jc w:val="center"/>
              <w:rPr>
                <w:rFonts w:ascii="仿宋" w:hAnsi="仿宋" w:eastAsia="仿宋" w:cs="仿宋"/>
                <w:color w:val="auto"/>
                <w:sz w:val="20"/>
                <w:szCs w:val="20"/>
                <w:highlight w:val="none"/>
              </w:rPr>
            </w:pPr>
          </w:p>
        </w:tc>
      </w:tr>
      <w:tr>
        <w:tblPrEx>
          <w:tblCellMar>
            <w:top w:w="0" w:type="dxa"/>
            <w:left w:w="108" w:type="dxa"/>
            <w:bottom w:w="0" w:type="dxa"/>
            <w:right w:w="108" w:type="dxa"/>
          </w:tblCellMar>
        </w:tblPrEx>
        <w:trPr>
          <w:trHeight w:val="810" w:hRule="atLeast"/>
          <w:jc w:val="center"/>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4</w:t>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b/>
                <w:bCs/>
                <w:color w:val="auto"/>
                <w:sz w:val="20"/>
                <w:szCs w:val="20"/>
                <w:highlight w:val="none"/>
              </w:rPr>
            </w:pPr>
            <w:r>
              <w:rPr>
                <w:rFonts w:hint="eastAsia" w:ascii="仿宋" w:hAnsi="仿宋" w:eastAsia="仿宋" w:cs="仿宋"/>
                <w:b/>
                <w:bCs/>
                <w:color w:val="auto"/>
                <w:kern w:val="0"/>
                <w:sz w:val="20"/>
                <w:szCs w:val="20"/>
                <w:highlight w:val="none"/>
                <w:lang w:bidi="ar"/>
              </w:rPr>
              <w:t>餐盒</w:t>
            </w:r>
          </w:p>
        </w:tc>
        <w:tc>
          <w:tcPr>
            <w:tcW w:w="2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14*25</w:t>
            </w:r>
          </w:p>
        </w:tc>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1000</w:t>
            </w:r>
          </w:p>
        </w:tc>
        <w:tc>
          <w:tcPr>
            <w:tcW w:w="13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个</w:t>
            </w:r>
          </w:p>
        </w:tc>
        <w:tc>
          <w:tcPr>
            <w:tcW w:w="26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塑料餐盒</w:t>
            </w:r>
          </w:p>
        </w:tc>
        <w:tc>
          <w:tcPr>
            <w:tcW w:w="27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w:t>
            </w: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auto"/>
                <w:sz w:val="20"/>
                <w:szCs w:val="20"/>
                <w:highlight w:val="none"/>
              </w:rPr>
            </w:pPr>
            <w:r>
              <w:rPr>
                <w:rFonts w:hint="eastAsia" w:ascii="仿宋" w:hAnsi="仿宋" w:eastAsia="仿宋" w:cs="仿宋"/>
                <w:color w:val="auto"/>
                <w:kern w:val="0"/>
                <w:sz w:val="20"/>
                <w:szCs w:val="20"/>
                <w:highlight w:val="none"/>
                <w:lang w:bidi="ar"/>
              </w:rPr>
              <w:t>12000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color w:val="auto"/>
                <w:sz w:val="20"/>
                <w:szCs w:val="20"/>
                <w:highlight w:val="none"/>
              </w:rPr>
            </w:pPr>
          </w:p>
        </w:tc>
      </w:tr>
    </w:tbl>
    <w:p>
      <w:pPr>
        <w:spacing w:line="400" w:lineRule="exact"/>
        <w:ind w:firstLine="422" w:firstLineChars="200"/>
        <w:rPr>
          <w:rFonts w:ascii="仿宋" w:hAnsi="仿宋" w:eastAsia="仿宋" w:cs="仿宋"/>
          <w:b/>
          <w:bCs/>
          <w:color w:val="auto"/>
          <w:highlight w:val="none"/>
        </w:rPr>
      </w:pPr>
    </w:p>
    <w:p>
      <w:pPr>
        <w:spacing w:line="400" w:lineRule="exact"/>
        <w:ind w:firstLine="422" w:firstLineChars="200"/>
        <w:rPr>
          <w:rFonts w:ascii="仿宋" w:hAnsi="仿宋" w:eastAsia="仿宋" w:cs="仿宋"/>
          <w:b/>
          <w:bCs/>
          <w:color w:val="auto"/>
          <w:highlight w:val="none"/>
        </w:rPr>
      </w:pPr>
      <w:r>
        <w:rPr>
          <w:rFonts w:hint="eastAsia" w:ascii="仿宋" w:hAnsi="仿宋" w:eastAsia="仿宋" w:cs="仿宋"/>
          <w:b/>
          <w:bCs/>
          <w:color w:val="auto"/>
          <w:highlight w:val="none"/>
        </w:rPr>
        <w:t>备注：1、除采购文件参考的品牌外，欢迎其他能满足本项目技术需求及性能与所参考品牌相当的产品参加。</w:t>
      </w:r>
    </w:p>
    <w:p>
      <w:pPr>
        <w:spacing w:line="400" w:lineRule="exact"/>
        <w:ind w:firstLine="1054" w:firstLineChars="500"/>
        <w:rPr>
          <w:rFonts w:ascii="仿宋" w:hAnsi="仿宋" w:eastAsia="仿宋" w:cs="仿宋"/>
          <w:b/>
          <w:bCs/>
          <w:color w:val="auto"/>
          <w:highlight w:val="none"/>
        </w:rPr>
      </w:pPr>
      <w:r>
        <w:rPr>
          <w:rFonts w:hint="eastAsia" w:ascii="仿宋" w:hAnsi="仿宋" w:eastAsia="仿宋" w:cs="仿宋"/>
          <w:b/>
          <w:bCs/>
          <w:color w:val="auto"/>
          <w:highlight w:val="none"/>
        </w:rPr>
        <w:t>2、如产品根据采购单位的实际需要进行规格尺寸等小幅度调整，调整产生的费用包含在</w:t>
      </w:r>
      <w:r>
        <w:rPr>
          <w:rFonts w:hint="eastAsia" w:ascii="仿宋" w:hAnsi="仿宋" w:eastAsia="仿宋" w:cs="仿宋"/>
          <w:b/>
          <w:bCs/>
          <w:color w:val="auto"/>
          <w:highlight w:val="none"/>
          <w:lang w:eastAsia="zh-CN"/>
        </w:rPr>
        <w:t>投标总价</w:t>
      </w:r>
      <w:r>
        <w:rPr>
          <w:rFonts w:hint="eastAsia" w:ascii="仿宋" w:hAnsi="仿宋" w:eastAsia="仿宋" w:cs="仿宋"/>
          <w:b/>
          <w:bCs/>
          <w:color w:val="auto"/>
          <w:highlight w:val="none"/>
        </w:rPr>
        <w:t>内，不在另行增加费用。</w:t>
      </w:r>
    </w:p>
    <w:p>
      <w:pPr>
        <w:spacing w:line="400" w:lineRule="exact"/>
        <w:ind w:firstLine="1054" w:firstLineChars="500"/>
        <w:rPr>
          <w:rFonts w:ascii="仿宋" w:eastAsia="仿宋" w:cs="仿宋"/>
          <w:color w:val="auto"/>
          <w:sz w:val="28"/>
          <w:szCs w:val="28"/>
          <w:highlight w:val="none"/>
        </w:rPr>
        <w:sectPr>
          <w:pgSz w:w="16838" w:h="11905" w:orient="landscape"/>
          <w:pgMar w:top="1814" w:right="1474" w:bottom="1814" w:left="1474" w:header="851" w:footer="850" w:gutter="0"/>
          <w:cols w:space="0" w:num="1"/>
        </w:sectPr>
      </w:pPr>
      <w:r>
        <w:rPr>
          <w:rFonts w:hint="eastAsia" w:ascii="仿宋" w:hAnsi="仿宋" w:eastAsia="仿宋" w:cs="仿宋"/>
          <w:b/>
          <w:bCs/>
          <w:color w:val="auto"/>
          <w:highlight w:val="none"/>
        </w:rPr>
        <w:t>3、供应商需对项目的水电点位现场测量及符合标准等情况确认，包括施工界面、分墙及水电图要求、具体实施要点、安装方案等的设定情况出具方案。现场基础图纸作为本项目招标文件的附件上传，供应商自行下载查看</w:t>
      </w:r>
      <w:r>
        <w:rPr>
          <w:rFonts w:hint="eastAsia" w:ascii="仿宋" w:hAnsi="仿宋" w:eastAsia="仿宋" w:cs="仿宋"/>
          <w:b/>
          <w:bCs/>
          <w:color w:val="auto"/>
          <w:highlight w:val="none"/>
          <w:lang w:eastAsia="zh-CN"/>
        </w:rPr>
        <w:t>，该图纸仅供投标单位制作项目投标文件参考之用，不得外传</w:t>
      </w:r>
      <w:r>
        <w:rPr>
          <w:rFonts w:hint="eastAsia" w:ascii="仿宋" w:hAnsi="仿宋" w:eastAsia="仿宋" w:cs="仿宋"/>
          <w:b/>
          <w:bCs/>
          <w:color w:val="auto"/>
          <w:highlight w:val="none"/>
        </w:rPr>
        <w:t>。</w:t>
      </w:r>
    </w:p>
    <w:p>
      <w:pPr>
        <w:pageBreakBefore w:val="0"/>
        <w:kinsoku/>
        <w:wordWrap/>
        <w:overflowPunct/>
        <w:topLinePunct w:val="0"/>
        <w:bidi w:val="0"/>
        <w:spacing w:line="400" w:lineRule="exact"/>
        <w:rPr>
          <w:rFonts w:hint="eastAsia" w:ascii="仿宋" w:hAnsi="仿宋" w:eastAsia="仿宋" w:cs="仿宋"/>
          <w:b/>
          <w:bCs/>
          <w:color w:val="auto"/>
          <w:highlight w:val="none"/>
          <w:lang w:val="en-US" w:eastAsia="zh-CN"/>
        </w:rPr>
      </w:pPr>
    </w:p>
    <w:p>
      <w:pPr>
        <w:pStyle w:val="3"/>
        <w:pageBreakBefore w:val="0"/>
        <w:kinsoku/>
        <w:wordWrap/>
        <w:overflowPunct/>
        <w:topLinePunct w:val="0"/>
        <w:bidi w:val="0"/>
        <w:spacing w:line="4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四、其他要求</w:t>
      </w:r>
    </w:p>
    <w:p>
      <w:pPr>
        <w:pageBreakBefore w:val="0"/>
        <w:kinsoku/>
        <w:wordWrap/>
        <w:overflowPunct/>
        <w:topLinePunct w:val="0"/>
        <w:autoSpaceDE w:val="0"/>
        <w:autoSpaceDN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4.1、采购设备的总体要求：</w:t>
      </w:r>
    </w:p>
    <w:p>
      <w:pPr>
        <w:pageBreakBefore w:val="0"/>
        <w:kinsoku/>
        <w:wordWrap/>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1、供应商保证所供商品(包括商品部件、配件)是</w:t>
      </w:r>
      <w:r>
        <w:rPr>
          <w:rFonts w:hint="eastAsia" w:ascii="仿宋" w:hAnsi="仿宋" w:eastAsia="仿宋" w:cs="仿宋"/>
          <w:color w:val="auto"/>
          <w:sz w:val="24"/>
          <w:highlight w:val="none"/>
          <w:lang w:eastAsia="zh-CN"/>
        </w:rPr>
        <w:t>2022年1月1日</w:t>
      </w:r>
      <w:r>
        <w:rPr>
          <w:rFonts w:hint="eastAsia" w:ascii="仿宋" w:hAnsi="仿宋" w:eastAsia="仿宋" w:cs="仿宋"/>
          <w:color w:val="auto"/>
          <w:sz w:val="24"/>
          <w:highlight w:val="none"/>
        </w:rPr>
        <w:t>以后新生产的、未使用过的，符合国家规定的技术规格和质量标准的合格产品，并且是完全符合本次招标文件(包括补充更正，如有)中采购货物要求所规定的技术参数和质量要求。</w:t>
      </w:r>
    </w:p>
    <w:p>
      <w:pPr>
        <w:pageBreakBefore w:val="0"/>
        <w:kinsoku/>
        <w:wordWrap/>
        <w:overflowPunct/>
        <w:topLinePunct w:val="0"/>
        <w:autoSpaceDE w:val="0"/>
        <w:autoSpaceDN w:val="0"/>
        <w:bidi w:val="0"/>
        <w:snapToGrid w:val="0"/>
        <w:spacing w:line="400" w:lineRule="exact"/>
        <w:ind w:left="-181" w:leftChars="-86" w:right="-178" w:rightChars="-85" w:firstLine="480" w:firstLineChars="20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rPr>
        <w:t>2、售后服务按国家质量监督管理总局和国家其他有关规定执行，国家没有规定的按厂商规定执行。国家规定标准低于厂商标准的按厂商标准执行，但最低免费原厂质保服务期不得少于</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w:t>
      </w:r>
    </w:p>
    <w:p>
      <w:pPr>
        <w:pageBreakBefore w:val="0"/>
        <w:kinsoku/>
        <w:wordWrap/>
        <w:overflowPunct/>
        <w:topLinePunct w:val="0"/>
        <w:autoSpaceDE w:val="0"/>
        <w:autoSpaceDN w:val="0"/>
        <w:bidi w:val="0"/>
        <w:snapToGrid w:val="0"/>
        <w:spacing w:line="400" w:lineRule="exact"/>
        <w:ind w:firstLine="354" w:firstLineChars="147"/>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4.2、售后服务</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1、本项目提供≥</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、在质保期内，中标供应商应负责对其提供的设备进行现场维修、损坏件更换，不收取额外费用，响应时间必须满足采购人工作正常运行的要求。</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、供应商在投标文件中须说明保修期内提供的服务计划。</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 xml:space="preserve">其他商务要求（包装和运输、保险等）。                        </w:t>
      </w:r>
    </w:p>
    <w:p>
      <w:pPr>
        <w:pageBreakBefore w:val="0"/>
        <w:kinsoku/>
        <w:wordWrap/>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4.3、</w:t>
      </w:r>
      <w:r>
        <w:rPr>
          <w:rFonts w:hint="eastAsia" w:ascii="仿宋" w:hAnsi="仿宋" w:eastAsia="仿宋" w:cs="仿宋"/>
          <w:b/>
          <w:bCs/>
          <w:color w:val="auto"/>
          <w:sz w:val="24"/>
          <w:highlight w:val="none"/>
        </w:rPr>
        <w:t>交货期限、地点及方式</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1.中标人在签订合同后，必须在 </w:t>
      </w:r>
      <w:r>
        <w:rPr>
          <w:rFonts w:hint="eastAsia" w:ascii="仿宋" w:hAnsi="仿宋" w:eastAsia="仿宋" w:cs="仿宋"/>
          <w:bCs/>
          <w:color w:val="auto"/>
          <w:sz w:val="24"/>
          <w:highlight w:val="none"/>
          <w:u w:val="single"/>
          <w:lang w:val="en-US" w:eastAsia="zh-CN"/>
        </w:rPr>
        <w:t>60</w:t>
      </w:r>
      <w:r>
        <w:rPr>
          <w:rFonts w:hint="eastAsia" w:ascii="仿宋" w:hAnsi="仿宋" w:eastAsia="仿宋" w:cs="仿宋"/>
          <w:bCs/>
          <w:color w:val="auto"/>
          <w:sz w:val="24"/>
          <w:highlight w:val="none"/>
          <w:u w:val="single"/>
        </w:rPr>
        <w:t>日历天</w:t>
      </w:r>
      <w:r>
        <w:rPr>
          <w:rFonts w:hint="eastAsia" w:ascii="仿宋" w:hAnsi="仿宋" w:eastAsia="仿宋" w:cs="仿宋"/>
          <w:bCs/>
          <w:color w:val="auto"/>
          <w:sz w:val="24"/>
          <w:highlight w:val="none"/>
        </w:rPr>
        <w:t>内按采购单位要求完成交货、安装调试并交付使用。如在规定的时间内由于供应商的原因不能完成交货的，供应商应承担由此给采购单位造成的损失。</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 安装地点：采购单位指定。</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 安装标准：符合我国国家有关技术规范要求和技术标准，所有的软件和硬件必须保证同时安装到位。</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 中标方免费提供中标设备（软件和硬件）的安装调试服务。</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 投标方应在投标文件中应提供安装计划、对安装场地和环境的要求。</w:t>
      </w:r>
    </w:p>
    <w:p>
      <w:pPr>
        <w:pageBreakBefore w:val="0"/>
        <w:kinsoku/>
        <w:wordWrap/>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6.交付方式：中标方提供中标货物的安装、培训和技术指导。</w:t>
      </w:r>
    </w:p>
    <w:p>
      <w:pPr>
        <w:pageBreakBefore w:val="0"/>
        <w:kinsoku/>
        <w:wordWrap/>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4.4、验收方式及标准</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1、中标单位应提供系统设备的有效检验材料，经采购单位认可后，与合同的技术指标一起作为验收标准。</w:t>
      </w:r>
      <w:r>
        <w:rPr>
          <w:rFonts w:hint="eastAsia" w:ascii="仿宋" w:hAnsi="仿宋" w:eastAsia="仿宋" w:cs="仿宋"/>
          <w:color w:val="auto"/>
          <w:sz w:val="24"/>
          <w:highlight w:val="none"/>
        </w:rPr>
        <w:t>安装调试完毕试运行1个月</w:t>
      </w:r>
      <w:r>
        <w:rPr>
          <w:rFonts w:hint="eastAsia" w:ascii="仿宋" w:hAnsi="仿宋" w:eastAsia="仿宋" w:cs="仿宋"/>
          <w:color w:val="auto"/>
          <w:sz w:val="24"/>
          <w:highlight w:val="none"/>
          <w:lang w:eastAsia="zh-CN"/>
        </w:rPr>
        <w:t>后的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日内进行项目验收，</w:t>
      </w:r>
      <w:r>
        <w:rPr>
          <w:rFonts w:hint="eastAsia" w:ascii="仿宋" w:hAnsi="仿宋" w:eastAsia="仿宋" w:cs="仿宋"/>
          <w:bCs/>
          <w:color w:val="auto"/>
          <w:sz w:val="24"/>
          <w:highlight w:val="none"/>
        </w:rPr>
        <w:t>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2、投标方应于投标书中提供系统设备的验收标准和检测办法，并在验收中提供买方认可的相应检测手段，验收标准应符合中国有关的国家、地方、行业的标准，如若中标，经买方确认后作为验收的依据。</w:t>
      </w:r>
    </w:p>
    <w:p>
      <w:pPr>
        <w:pageBreakBefore w:val="0"/>
        <w:kinsoku/>
        <w:wordWrap/>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、验收费用由产品供应商承担。</w:t>
      </w:r>
    </w:p>
    <w:p>
      <w:pPr>
        <w:pageBreakBefore w:val="0"/>
        <w:kinsoku/>
        <w:wordWrap/>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4.5、资金支付的方式、时间和条件</w:t>
      </w:r>
    </w:p>
    <w:p>
      <w:pPr>
        <w:pageBreakBefore w:val="0"/>
        <w:kinsoku/>
        <w:wordWrap/>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采购单位根据合同、投标文件等资料进行验收。</w:t>
      </w:r>
    </w:p>
    <w:p>
      <w:pPr>
        <w:pageBreakBefore w:val="0"/>
        <w:kinsoku/>
        <w:wordWrap/>
        <w:overflowPunct/>
        <w:topLinePunct w:val="0"/>
        <w:bidi w:val="0"/>
        <w:snapToGrid w:val="0"/>
        <w:spacing w:line="400" w:lineRule="exact"/>
        <w:jc w:val="left"/>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lang w:eastAsia="zh-CN"/>
        </w:rPr>
        <w:t>合同生效以及具备实施条件后7个工作日内</w:t>
      </w:r>
      <w:r>
        <w:rPr>
          <w:rFonts w:hint="eastAsia" w:ascii="仿宋" w:hAnsi="仿宋" w:eastAsia="仿宋" w:cs="仿宋"/>
          <w:color w:val="auto"/>
          <w:sz w:val="24"/>
          <w:highlight w:val="none"/>
        </w:rPr>
        <w:t>，采购单位向中标单位支付合同价的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%预付款</w:t>
      </w:r>
      <w:r>
        <w:rPr>
          <w:rFonts w:hint="eastAsia" w:ascii="仿宋" w:hAnsi="仿宋" w:eastAsia="仿宋" w:cs="仿宋"/>
          <w:color w:val="auto"/>
          <w:sz w:val="24"/>
          <w:highlight w:val="none"/>
        </w:rPr>
        <w:t>（供应商需提供相应金额的预付款保函至采购单位）</w:t>
      </w:r>
      <w:r>
        <w:rPr>
          <w:rFonts w:hint="eastAsia" w:ascii="仿宋" w:hAnsi="仿宋" w:eastAsia="仿宋" w:cs="仿宋"/>
          <w:color w:val="auto"/>
          <w:sz w:val="24"/>
          <w:highlight w:val="none"/>
        </w:rPr>
        <w:t>；安装调试完毕试运行1个月，最终竣工验收合格通过后支付合同价的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%项目款。结算时供应商将结款申请1份、发票原件及复印件1份、合同复印件1份和经采购人验收确认的《建德市政府采购验收反馈表》提交采购人，采购人应自收到发票后5个工作日内支付相应款项。</w:t>
      </w:r>
    </w:p>
    <w:p>
      <w:pPr>
        <w:pageBreakBefore w:val="0"/>
        <w:kinsoku/>
        <w:wordWrap/>
        <w:overflowPunct/>
        <w:topLinePunct w:val="0"/>
        <w:bidi w:val="0"/>
        <w:spacing w:line="400" w:lineRule="exact"/>
        <w:ind w:firstLine="482" w:firstLineChars="200"/>
        <w:rPr>
          <w:rStyle w:val="354"/>
          <w:rFonts w:hint="eastAsia" w:ascii="仿宋" w:hAnsi="仿宋" w:eastAsia="仿宋" w:cs="仿宋"/>
          <w:bCs/>
          <w:color w:val="auto"/>
          <w:highlight w:val="none"/>
        </w:rPr>
      </w:pPr>
      <w:r>
        <w:rPr>
          <w:rFonts w:hint="eastAsia" w:ascii="仿宋" w:hAnsi="仿宋" w:eastAsia="仿宋" w:cs="仿宋"/>
          <w:b/>
          <w:bCs/>
          <w:color w:val="auto"/>
          <w:sz w:val="24"/>
          <w:highlight w:val="none"/>
        </w:rPr>
        <w:t>4.6、</w:t>
      </w:r>
      <w:r>
        <w:rPr>
          <w:rStyle w:val="354"/>
          <w:rFonts w:hint="eastAsia" w:ascii="仿宋" w:hAnsi="仿宋" w:eastAsia="仿宋" w:cs="仿宋"/>
          <w:bCs/>
          <w:color w:val="auto"/>
          <w:highlight w:val="none"/>
        </w:rPr>
        <w:t>履约保证金</w:t>
      </w:r>
    </w:p>
    <w:p>
      <w:pPr>
        <w:pStyle w:val="964"/>
        <w:pageBreakBefore w:val="0"/>
        <w:kinsoku/>
        <w:wordWrap/>
        <w:overflowPunct/>
        <w:topLinePunct w:val="0"/>
        <w:bidi w:val="0"/>
        <w:spacing w:line="400" w:lineRule="exact"/>
        <w:ind w:left="0" w:leftChars="0"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履约保证金：本项目将根据杭州市政府采购网公布的供应商履约评价情况收取履约保证金。供应商履约验收评价总分为100分的，本项目免收履约保证金；评价总分在90分以上的，本项目收取履约保证金为合同金额0.5%；评价总分在不满90分或者暂无评分的，本项目收取履约保证金为合同金额1%。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pPr>
        <w:spacing w:line="360" w:lineRule="auto"/>
        <w:ind w:firstLine="482" w:firstLineChars="200"/>
        <w:rPr>
          <w:rFonts w:hint="eastAsia" w:ascii="仿宋" w:hAnsi="仿宋" w:eastAsia="仿宋" w:cs="仿宋"/>
          <w:b/>
          <w:bCs/>
          <w:color w:val="auto"/>
          <w:sz w:val="24"/>
          <w:highlight w:val="none"/>
        </w:rPr>
      </w:pPr>
    </w:p>
    <w:p>
      <w:pPr>
        <w:spacing w:line="360" w:lineRule="auto"/>
        <w:ind w:firstLine="482" w:firstLineChars="200"/>
        <w:rPr>
          <w:rFonts w:hint="eastAsia" w:ascii="仿宋" w:hAnsi="仿宋" w:eastAsia="仿宋" w:cs="仿宋"/>
          <w:b/>
          <w:bCs/>
          <w:color w:val="auto"/>
          <w:sz w:val="24"/>
          <w:highlight w:val="none"/>
          <w:lang w:eastAsia="zh-CN"/>
        </w:rPr>
      </w:pPr>
    </w:p>
    <w:p>
      <w:pPr>
        <w:pStyle w:val="25"/>
        <w:rPr>
          <w:rFonts w:hint="eastAsia" w:ascii="仿宋" w:hAnsi="仿宋" w:eastAsia="仿宋" w:cs="仿宋"/>
          <w:b/>
          <w:color w:val="auto"/>
          <w:sz w:val="36"/>
          <w:szCs w:val="36"/>
          <w:highlight w:val="none"/>
        </w:rPr>
      </w:pPr>
    </w:p>
    <w:p>
      <w:pPr>
        <w:pStyle w:val="26"/>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sz w:val="36"/>
          <w:szCs w:val="36"/>
          <w:highlight w:val="none"/>
        </w:rPr>
      </w:pPr>
    </w:p>
    <w:p>
      <w:pPr>
        <w:snapToGrid w:val="0"/>
        <w:spacing w:line="360" w:lineRule="auto"/>
        <w:jc w:val="center"/>
        <w:rPr>
          <w:rFonts w:hint="eastAsia" w:ascii="仿宋" w:hAnsi="仿宋" w:eastAsia="仿宋" w:cs="仿宋"/>
          <w:b/>
          <w:color w:val="auto"/>
          <w:sz w:val="36"/>
          <w:szCs w:val="36"/>
          <w:highlight w:val="none"/>
        </w:rPr>
      </w:pPr>
    </w:p>
    <w:p>
      <w:pPr>
        <w:numPr>
          <w:ilvl w:val="0"/>
          <w:numId w:val="4"/>
        </w:numPr>
        <w:snapToGrid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bookmarkStart w:id="30" w:name="_Toc184312098"/>
      <w:bookmarkEnd w:id="30"/>
      <w:bookmarkStart w:id="31" w:name="_Toc184310315"/>
      <w:bookmarkEnd w:id="31"/>
      <w:bookmarkStart w:id="32" w:name="_Toc184308063"/>
      <w:bookmarkEnd w:id="32"/>
      <w:bookmarkStart w:id="33" w:name="_Toc184313264"/>
      <w:bookmarkEnd w:id="33"/>
      <w:bookmarkStart w:id="34" w:name="_Toc184310305"/>
      <w:bookmarkEnd w:id="34"/>
      <w:bookmarkStart w:id="35" w:name="_Toc184312070"/>
      <w:bookmarkEnd w:id="35"/>
      <w:bookmarkStart w:id="36" w:name="_Toc184310302"/>
      <w:bookmarkEnd w:id="36"/>
      <w:bookmarkStart w:id="37" w:name="_Toc184310284"/>
      <w:bookmarkEnd w:id="37"/>
      <w:bookmarkStart w:id="38" w:name="_Toc184312133"/>
      <w:bookmarkEnd w:id="38"/>
      <w:bookmarkStart w:id="39" w:name="_Toc184314482"/>
      <w:bookmarkEnd w:id="39"/>
      <w:bookmarkStart w:id="40" w:name="_Toc184314428"/>
      <w:bookmarkEnd w:id="40"/>
      <w:bookmarkStart w:id="41" w:name="_Toc184308084"/>
      <w:bookmarkEnd w:id="41"/>
      <w:bookmarkStart w:id="42" w:name="_Toc184314466"/>
      <w:bookmarkEnd w:id="42"/>
      <w:bookmarkStart w:id="43" w:name="_Toc184308079"/>
      <w:bookmarkEnd w:id="43"/>
      <w:bookmarkStart w:id="44" w:name="_Toc184308041"/>
      <w:bookmarkEnd w:id="44"/>
      <w:bookmarkStart w:id="45" w:name="_Toc184308073"/>
      <w:bookmarkEnd w:id="45"/>
      <w:bookmarkStart w:id="46" w:name="_Toc184314442"/>
      <w:bookmarkEnd w:id="46"/>
      <w:bookmarkStart w:id="47" w:name="_Toc184314424"/>
      <w:bookmarkEnd w:id="47"/>
      <w:bookmarkStart w:id="48" w:name="_Toc184312079"/>
      <w:bookmarkEnd w:id="48"/>
      <w:bookmarkStart w:id="49" w:name="_Toc184308102"/>
      <w:bookmarkEnd w:id="49"/>
      <w:bookmarkStart w:id="50" w:name="_Toc184313242"/>
      <w:bookmarkEnd w:id="50"/>
      <w:bookmarkStart w:id="51" w:name="_Toc184312106"/>
      <w:bookmarkEnd w:id="51"/>
      <w:bookmarkStart w:id="52" w:name="_Toc184313286"/>
      <w:bookmarkEnd w:id="52"/>
      <w:bookmarkStart w:id="53" w:name="_Toc184310273"/>
      <w:bookmarkEnd w:id="53"/>
      <w:bookmarkStart w:id="54" w:name="_Toc184313270"/>
      <w:bookmarkEnd w:id="54"/>
      <w:bookmarkStart w:id="55" w:name="_Toc184312080"/>
      <w:bookmarkEnd w:id="55"/>
      <w:bookmarkStart w:id="56" w:name="_Toc184313273"/>
      <w:bookmarkEnd w:id="56"/>
      <w:bookmarkStart w:id="57" w:name="_Toc184313297"/>
      <w:bookmarkEnd w:id="57"/>
      <w:bookmarkStart w:id="58" w:name="_Toc184313247"/>
      <w:bookmarkEnd w:id="58"/>
      <w:bookmarkStart w:id="59" w:name="_Toc184314446"/>
      <w:bookmarkEnd w:id="59"/>
      <w:bookmarkStart w:id="60" w:name="_Toc184310297"/>
      <w:bookmarkEnd w:id="60"/>
      <w:bookmarkStart w:id="61" w:name="_Toc184308064"/>
      <w:bookmarkEnd w:id="61"/>
      <w:bookmarkStart w:id="62" w:name="_Toc184314454"/>
      <w:bookmarkEnd w:id="62"/>
      <w:bookmarkStart w:id="63" w:name="_Toc184310306"/>
      <w:bookmarkEnd w:id="63"/>
      <w:bookmarkStart w:id="64" w:name="_Toc184308045"/>
      <w:bookmarkEnd w:id="64"/>
      <w:bookmarkStart w:id="65" w:name="_Toc184313289"/>
      <w:bookmarkEnd w:id="65"/>
      <w:bookmarkStart w:id="66" w:name="_Toc184308094"/>
      <w:bookmarkEnd w:id="66"/>
      <w:bookmarkStart w:id="67" w:name="_Toc184313250"/>
      <w:bookmarkEnd w:id="67"/>
      <w:bookmarkStart w:id="68" w:name="_Toc184308059"/>
      <w:bookmarkEnd w:id="68"/>
      <w:bookmarkStart w:id="69" w:name="_Toc184310326"/>
      <w:bookmarkEnd w:id="69"/>
      <w:bookmarkStart w:id="70" w:name="_Toc184314468"/>
      <w:bookmarkEnd w:id="70"/>
      <w:bookmarkStart w:id="71" w:name="_Toc184312125"/>
      <w:bookmarkEnd w:id="71"/>
      <w:bookmarkStart w:id="72" w:name="_Toc184314436"/>
      <w:bookmarkEnd w:id="72"/>
      <w:bookmarkStart w:id="73" w:name="_Toc184314411"/>
      <w:bookmarkEnd w:id="73"/>
      <w:bookmarkStart w:id="74" w:name="_Toc184312074"/>
      <w:bookmarkEnd w:id="74"/>
      <w:bookmarkStart w:id="75" w:name="_Toc184313304"/>
      <w:bookmarkEnd w:id="75"/>
      <w:bookmarkStart w:id="76" w:name="_Toc184308090"/>
      <w:bookmarkEnd w:id="76"/>
      <w:bookmarkStart w:id="77" w:name="_Toc184308081"/>
      <w:bookmarkEnd w:id="77"/>
      <w:bookmarkStart w:id="78" w:name="_Toc184312137"/>
      <w:bookmarkEnd w:id="78"/>
      <w:bookmarkStart w:id="79" w:name="_Toc184308108"/>
      <w:bookmarkEnd w:id="79"/>
      <w:bookmarkStart w:id="80" w:name="_Toc184308056"/>
      <w:bookmarkEnd w:id="80"/>
      <w:bookmarkStart w:id="81" w:name="_Toc184313307"/>
      <w:bookmarkEnd w:id="81"/>
      <w:bookmarkStart w:id="82" w:name="_Toc184314471"/>
      <w:bookmarkEnd w:id="82"/>
      <w:bookmarkStart w:id="83" w:name="_Toc184314444"/>
      <w:bookmarkEnd w:id="83"/>
      <w:bookmarkStart w:id="84" w:name="_Toc184308106"/>
      <w:bookmarkEnd w:id="84"/>
      <w:bookmarkStart w:id="85" w:name="_Toc184310308"/>
      <w:bookmarkEnd w:id="85"/>
      <w:bookmarkStart w:id="86" w:name="_Toc184308077"/>
      <w:bookmarkEnd w:id="86"/>
      <w:bookmarkStart w:id="87" w:name="_Toc184313306"/>
      <w:bookmarkEnd w:id="87"/>
      <w:bookmarkStart w:id="88" w:name="_Toc184312107"/>
      <w:bookmarkEnd w:id="88"/>
      <w:bookmarkStart w:id="89" w:name="_Toc184314448"/>
      <w:bookmarkEnd w:id="89"/>
      <w:bookmarkStart w:id="90" w:name="_Toc184310343"/>
      <w:bookmarkEnd w:id="90"/>
      <w:bookmarkStart w:id="91" w:name="_Toc184314463"/>
      <w:bookmarkEnd w:id="91"/>
      <w:bookmarkStart w:id="92" w:name="_Toc184310337"/>
      <w:bookmarkEnd w:id="92"/>
      <w:bookmarkStart w:id="93" w:name="_Toc184312129"/>
      <w:bookmarkEnd w:id="93"/>
      <w:bookmarkStart w:id="94" w:name="_Toc184313298"/>
      <w:bookmarkEnd w:id="94"/>
      <w:bookmarkStart w:id="95" w:name="_Toc184312128"/>
      <w:bookmarkEnd w:id="95"/>
      <w:bookmarkStart w:id="96" w:name="_Toc184310322"/>
      <w:bookmarkEnd w:id="96"/>
      <w:bookmarkStart w:id="97" w:name="_Toc184314421"/>
      <w:bookmarkEnd w:id="97"/>
      <w:bookmarkStart w:id="98" w:name="_Toc184308055"/>
      <w:bookmarkEnd w:id="98"/>
      <w:bookmarkStart w:id="99" w:name="_Toc184314445"/>
      <w:bookmarkEnd w:id="99"/>
      <w:bookmarkStart w:id="100" w:name="_Toc184308051"/>
      <w:bookmarkEnd w:id="100"/>
      <w:bookmarkStart w:id="101" w:name="_Toc184314415"/>
      <w:bookmarkEnd w:id="101"/>
      <w:bookmarkStart w:id="102" w:name="_Toc184314456"/>
      <w:bookmarkEnd w:id="102"/>
      <w:bookmarkStart w:id="103" w:name="_Toc184314467"/>
      <w:bookmarkEnd w:id="103"/>
      <w:bookmarkStart w:id="104" w:name="_Toc184313293"/>
      <w:bookmarkEnd w:id="104"/>
      <w:bookmarkStart w:id="105" w:name="_Toc184313305"/>
      <w:bookmarkEnd w:id="105"/>
      <w:bookmarkStart w:id="106" w:name="_Toc184312091"/>
      <w:bookmarkEnd w:id="106"/>
      <w:bookmarkStart w:id="107" w:name="_Toc184312130"/>
      <w:bookmarkEnd w:id="107"/>
      <w:bookmarkStart w:id="108" w:name="_Toc184313241"/>
      <w:bookmarkEnd w:id="108"/>
      <w:bookmarkStart w:id="109" w:name="_Toc184314450"/>
      <w:bookmarkEnd w:id="109"/>
      <w:bookmarkStart w:id="110" w:name="_Toc184310286"/>
      <w:bookmarkEnd w:id="110"/>
      <w:bookmarkStart w:id="111" w:name="_Toc184313257"/>
      <w:bookmarkEnd w:id="111"/>
      <w:bookmarkStart w:id="112" w:name="_Toc184310298"/>
      <w:bookmarkEnd w:id="112"/>
      <w:bookmarkStart w:id="113" w:name="_Toc184314480"/>
      <w:bookmarkEnd w:id="113"/>
      <w:bookmarkStart w:id="114" w:name="_Toc184312083"/>
      <w:bookmarkEnd w:id="114"/>
      <w:bookmarkStart w:id="115" w:name="_Toc184312067"/>
      <w:bookmarkEnd w:id="115"/>
      <w:bookmarkStart w:id="116" w:name="_Toc184314423"/>
      <w:bookmarkEnd w:id="116"/>
      <w:bookmarkStart w:id="117" w:name="_Toc184312108"/>
      <w:bookmarkEnd w:id="117"/>
      <w:bookmarkStart w:id="118" w:name="_Toc184308072"/>
      <w:bookmarkEnd w:id="118"/>
      <w:bookmarkStart w:id="119" w:name="_Toc184308087"/>
      <w:bookmarkEnd w:id="119"/>
      <w:bookmarkStart w:id="120" w:name="_Toc184314419"/>
      <w:bookmarkEnd w:id="120"/>
      <w:bookmarkStart w:id="121" w:name="_Toc184308070"/>
      <w:bookmarkEnd w:id="121"/>
      <w:bookmarkStart w:id="122" w:name="_Toc184308093"/>
      <w:bookmarkEnd w:id="122"/>
      <w:bookmarkStart w:id="123" w:name="_Toc184312082"/>
      <w:bookmarkEnd w:id="123"/>
      <w:bookmarkStart w:id="124" w:name="_Toc184314433"/>
      <w:bookmarkEnd w:id="124"/>
      <w:bookmarkStart w:id="125" w:name="_Toc184314412"/>
      <w:bookmarkEnd w:id="125"/>
      <w:bookmarkStart w:id="126" w:name="_Toc184310309"/>
      <w:bookmarkEnd w:id="126"/>
      <w:bookmarkStart w:id="127" w:name="_Toc184314462"/>
      <w:bookmarkEnd w:id="127"/>
      <w:bookmarkStart w:id="128" w:name="_Toc184312078"/>
      <w:bookmarkEnd w:id="128"/>
      <w:bookmarkStart w:id="129" w:name="_Toc184308065"/>
      <w:bookmarkEnd w:id="129"/>
      <w:bookmarkStart w:id="130" w:name="_Toc184313253"/>
      <w:bookmarkEnd w:id="130"/>
      <w:bookmarkStart w:id="131" w:name="_Toc184313299"/>
      <w:bookmarkEnd w:id="131"/>
      <w:bookmarkStart w:id="132" w:name="_Toc184312127"/>
      <w:bookmarkEnd w:id="132"/>
      <w:bookmarkStart w:id="133" w:name="_Toc184308047"/>
      <w:bookmarkEnd w:id="133"/>
      <w:bookmarkStart w:id="134" w:name="_Toc184310278"/>
      <w:bookmarkEnd w:id="134"/>
      <w:bookmarkStart w:id="135" w:name="_Toc184308066"/>
      <w:bookmarkEnd w:id="135"/>
      <w:bookmarkStart w:id="136" w:name="_Toc184314416"/>
      <w:bookmarkEnd w:id="136"/>
      <w:bookmarkStart w:id="137" w:name="_Toc184313272"/>
      <w:bookmarkEnd w:id="137"/>
      <w:bookmarkStart w:id="138" w:name="_Toc184314469"/>
      <w:bookmarkEnd w:id="138"/>
      <w:bookmarkStart w:id="139" w:name="_Toc184308069"/>
      <w:bookmarkEnd w:id="139"/>
      <w:bookmarkStart w:id="140" w:name="_Toc184313254"/>
      <w:bookmarkEnd w:id="140"/>
      <w:bookmarkStart w:id="141" w:name="_Toc184313295"/>
      <w:bookmarkEnd w:id="141"/>
      <w:bookmarkStart w:id="142" w:name="_Toc184310277"/>
      <w:bookmarkEnd w:id="142"/>
      <w:bookmarkStart w:id="143" w:name="_Toc184313267"/>
      <w:bookmarkEnd w:id="143"/>
      <w:bookmarkStart w:id="144" w:name="_Toc184308092"/>
      <w:bookmarkEnd w:id="144"/>
      <w:bookmarkStart w:id="145" w:name="_Toc184308038"/>
      <w:bookmarkEnd w:id="145"/>
      <w:bookmarkStart w:id="146" w:name="_Toc184308083"/>
      <w:bookmarkEnd w:id="146"/>
      <w:bookmarkStart w:id="147" w:name="_Toc184313291"/>
      <w:bookmarkEnd w:id="147"/>
      <w:bookmarkStart w:id="148" w:name="_Toc184310336"/>
      <w:bookmarkEnd w:id="148"/>
      <w:bookmarkStart w:id="149" w:name="_Toc184310321"/>
      <w:bookmarkEnd w:id="149"/>
      <w:bookmarkStart w:id="150" w:name="_Toc184314477"/>
      <w:bookmarkEnd w:id="150"/>
      <w:bookmarkStart w:id="151" w:name="_Toc184310304"/>
      <w:bookmarkEnd w:id="151"/>
      <w:bookmarkStart w:id="152" w:name="_Toc184314478"/>
      <w:bookmarkEnd w:id="152"/>
      <w:bookmarkStart w:id="153" w:name="_Toc184313266"/>
      <w:bookmarkEnd w:id="153"/>
      <w:bookmarkStart w:id="154" w:name="_Toc184314432"/>
      <w:bookmarkEnd w:id="154"/>
      <w:bookmarkStart w:id="155" w:name="_Toc184314443"/>
      <w:bookmarkEnd w:id="155"/>
      <w:bookmarkStart w:id="156" w:name="_Toc184313259"/>
      <w:bookmarkEnd w:id="156"/>
      <w:bookmarkStart w:id="157" w:name="_Toc184314410"/>
      <w:bookmarkEnd w:id="157"/>
      <w:bookmarkStart w:id="158" w:name="_Toc184314458"/>
      <w:bookmarkEnd w:id="158"/>
      <w:bookmarkStart w:id="159" w:name="_Toc184313282"/>
      <w:bookmarkEnd w:id="159"/>
      <w:bookmarkStart w:id="160" w:name="_Toc184308058"/>
      <w:bookmarkEnd w:id="160"/>
      <w:bookmarkStart w:id="161" w:name="_Toc184314425"/>
      <w:bookmarkEnd w:id="161"/>
      <w:bookmarkStart w:id="162" w:name="_Toc184308100"/>
      <w:bookmarkEnd w:id="162"/>
      <w:bookmarkStart w:id="163" w:name="_Toc184310285"/>
      <w:bookmarkEnd w:id="163"/>
      <w:bookmarkStart w:id="164" w:name="_Toc184310332"/>
      <w:bookmarkEnd w:id="164"/>
      <w:bookmarkStart w:id="165" w:name="_Toc184312085"/>
      <w:bookmarkEnd w:id="165"/>
      <w:bookmarkStart w:id="166" w:name="_Toc184308043"/>
      <w:bookmarkEnd w:id="166"/>
      <w:bookmarkStart w:id="167" w:name="_Toc184314435"/>
      <w:bookmarkEnd w:id="167"/>
      <w:bookmarkStart w:id="168" w:name="_Toc184312121"/>
      <w:bookmarkEnd w:id="168"/>
      <w:bookmarkStart w:id="169" w:name="_Toc184313274"/>
      <w:bookmarkEnd w:id="169"/>
      <w:bookmarkStart w:id="170" w:name="_Toc184308057"/>
      <w:bookmarkEnd w:id="170"/>
      <w:bookmarkStart w:id="171" w:name="_Toc184312103"/>
      <w:bookmarkEnd w:id="171"/>
      <w:bookmarkStart w:id="172" w:name="_Toc184313245"/>
      <w:bookmarkEnd w:id="172"/>
      <w:bookmarkStart w:id="173" w:name="_Toc184310287"/>
      <w:bookmarkEnd w:id="173"/>
      <w:bookmarkStart w:id="174" w:name="_Toc184310275"/>
      <w:bookmarkEnd w:id="174"/>
      <w:bookmarkStart w:id="175" w:name="_Toc184308061"/>
      <w:bookmarkEnd w:id="175"/>
      <w:bookmarkStart w:id="176" w:name="_Toc184313302"/>
      <w:bookmarkEnd w:id="176"/>
      <w:bookmarkStart w:id="177" w:name="_Toc184314420"/>
      <w:bookmarkEnd w:id="177"/>
      <w:bookmarkStart w:id="178" w:name="_Toc184314430"/>
      <w:bookmarkEnd w:id="178"/>
      <w:bookmarkStart w:id="179" w:name="_Toc184310317"/>
      <w:bookmarkEnd w:id="179"/>
      <w:bookmarkStart w:id="180" w:name="_Toc184308088"/>
      <w:bookmarkEnd w:id="180"/>
      <w:bookmarkStart w:id="181" w:name="_Toc184308078"/>
      <w:bookmarkEnd w:id="181"/>
      <w:bookmarkStart w:id="182" w:name="_Toc184312114"/>
      <w:bookmarkEnd w:id="182"/>
      <w:bookmarkStart w:id="183" w:name="_Toc184310310"/>
      <w:bookmarkEnd w:id="183"/>
      <w:bookmarkStart w:id="184" w:name="_Toc184314472"/>
      <w:bookmarkEnd w:id="184"/>
      <w:bookmarkStart w:id="185" w:name="_Toc184308103"/>
      <w:bookmarkEnd w:id="185"/>
      <w:bookmarkStart w:id="186" w:name="_Toc184314414"/>
      <w:bookmarkEnd w:id="186"/>
      <w:bookmarkStart w:id="187" w:name="_Toc184314418"/>
      <w:bookmarkEnd w:id="187"/>
      <w:bookmarkStart w:id="188" w:name="_Toc184308044"/>
      <w:bookmarkEnd w:id="188"/>
      <w:bookmarkStart w:id="189" w:name="_Toc184310300"/>
      <w:bookmarkEnd w:id="189"/>
      <w:bookmarkStart w:id="190" w:name="_Toc184310314"/>
      <w:bookmarkEnd w:id="190"/>
      <w:bookmarkStart w:id="191" w:name="_Toc184314427"/>
      <w:bookmarkEnd w:id="191"/>
      <w:bookmarkStart w:id="192" w:name="_Toc184310324"/>
      <w:bookmarkEnd w:id="192"/>
      <w:bookmarkStart w:id="193" w:name="_Toc184313284"/>
      <w:bookmarkEnd w:id="193"/>
      <w:bookmarkStart w:id="194" w:name="_Toc184313288"/>
      <w:bookmarkEnd w:id="194"/>
      <w:bookmarkStart w:id="195" w:name="_Toc184313263"/>
      <w:bookmarkEnd w:id="195"/>
      <w:bookmarkStart w:id="196" w:name="_Toc184308040"/>
      <w:bookmarkEnd w:id="196"/>
      <w:bookmarkStart w:id="197" w:name="_Toc184314417"/>
      <w:bookmarkEnd w:id="197"/>
      <w:bookmarkStart w:id="198" w:name="_Toc184310318"/>
      <w:bookmarkEnd w:id="198"/>
      <w:bookmarkStart w:id="199" w:name="_Toc184314449"/>
      <w:bookmarkEnd w:id="199"/>
      <w:bookmarkStart w:id="200" w:name="_Toc184310307"/>
      <w:bookmarkEnd w:id="200"/>
      <w:bookmarkStart w:id="201" w:name="_Toc184308089"/>
      <w:bookmarkEnd w:id="201"/>
      <w:bookmarkStart w:id="202" w:name="_Toc184314451"/>
      <w:bookmarkEnd w:id="202"/>
      <w:bookmarkStart w:id="203" w:name="_Toc184314447"/>
      <w:bookmarkEnd w:id="203"/>
      <w:bookmarkStart w:id="204" w:name="_Toc184312075"/>
      <w:bookmarkEnd w:id="204"/>
      <w:bookmarkStart w:id="205" w:name="_Toc184308098"/>
      <w:bookmarkEnd w:id="205"/>
      <w:bookmarkStart w:id="206" w:name="_Toc184310320"/>
      <w:bookmarkEnd w:id="206"/>
      <w:bookmarkStart w:id="207" w:name="_Toc184314475"/>
      <w:bookmarkEnd w:id="207"/>
      <w:bookmarkStart w:id="208" w:name="_Toc184313300"/>
      <w:bookmarkEnd w:id="208"/>
      <w:bookmarkStart w:id="209" w:name="_Toc184312111"/>
      <w:bookmarkEnd w:id="209"/>
      <w:bookmarkStart w:id="210" w:name="_Toc184314434"/>
      <w:bookmarkEnd w:id="210"/>
      <w:bookmarkStart w:id="211" w:name="_Toc184310334"/>
      <w:bookmarkEnd w:id="211"/>
      <w:bookmarkStart w:id="212" w:name="_Toc184313275"/>
      <w:bookmarkEnd w:id="212"/>
      <w:bookmarkStart w:id="213" w:name="_Toc184312076"/>
      <w:bookmarkEnd w:id="213"/>
      <w:bookmarkStart w:id="214" w:name="_Toc184314464"/>
      <w:bookmarkEnd w:id="214"/>
      <w:bookmarkStart w:id="215" w:name="_Toc184312131"/>
      <w:bookmarkEnd w:id="215"/>
      <w:bookmarkStart w:id="216" w:name="_Toc184314426"/>
      <w:bookmarkEnd w:id="216"/>
      <w:bookmarkStart w:id="217" w:name="_Toc184310294"/>
      <w:bookmarkEnd w:id="217"/>
      <w:bookmarkStart w:id="218" w:name="_Toc184312102"/>
      <w:bookmarkEnd w:id="218"/>
      <w:bookmarkStart w:id="219" w:name="_Toc184312068"/>
      <w:bookmarkEnd w:id="219"/>
      <w:bookmarkStart w:id="220" w:name="_Toc184313262"/>
      <w:bookmarkEnd w:id="220"/>
      <w:bookmarkStart w:id="221" w:name="_Toc184314470"/>
      <w:bookmarkEnd w:id="221"/>
      <w:bookmarkStart w:id="222" w:name="_Toc184314438"/>
      <w:bookmarkEnd w:id="222"/>
      <w:bookmarkStart w:id="223" w:name="_Toc184312117"/>
      <w:bookmarkEnd w:id="223"/>
      <w:bookmarkStart w:id="224" w:name="_Toc184313303"/>
      <w:bookmarkEnd w:id="224"/>
      <w:bookmarkStart w:id="225" w:name="_Toc184308037"/>
      <w:bookmarkEnd w:id="225"/>
      <w:bookmarkStart w:id="226" w:name="_Toc184310313"/>
      <w:bookmarkEnd w:id="226"/>
      <w:bookmarkStart w:id="227" w:name="_Toc184313252"/>
      <w:bookmarkEnd w:id="227"/>
      <w:bookmarkStart w:id="228" w:name="_Toc184308085"/>
      <w:bookmarkEnd w:id="228"/>
      <w:bookmarkStart w:id="229" w:name="_Toc184308053"/>
      <w:bookmarkEnd w:id="229"/>
      <w:bookmarkStart w:id="230" w:name="_Toc184310282"/>
      <w:bookmarkEnd w:id="230"/>
      <w:bookmarkStart w:id="231" w:name="_Toc184312099"/>
      <w:bookmarkEnd w:id="231"/>
      <w:bookmarkStart w:id="232" w:name="_Toc184310290"/>
      <w:bookmarkEnd w:id="232"/>
      <w:bookmarkStart w:id="233" w:name="_Toc184314441"/>
      <w:bookmarkEnd w:id="233"/>
      <w:bookmarkStart w:id="234" w:name="_Toc184310293"/>
      <w:bookmarkEnd w:id="234"/>
      <w:bookmarkStart w:id="235" w:name="_Toc184312069"/>
      <w:bookmarkEnd w:id="235"/>
      <w:bookmarkStart w:id="236" w:name="_Toc184313265"/>
      <w:bookmarkEnd w:id="236"/>
      <w:bookmarkStart w:id="237" w:name="_Toc184310279"/>
      <w:bookmarkEnd w:id="237"/>
      <w:bookmarkStart w:id="238" w:name="_Toc184310344"/>
      <w:bookmarkEnd w:id="238"/>
      <w:bookmarkStart w:id="239" w:name="_Toc184308046"/>
      <w:bookmarkEnd w:id="239"/>
      <w:bookmarkStart w:id="240" w:name="_Toc184313260"/>
      <w:bookmarkEnd w:id="240"/>
      <w:bookmarkStart w:id="241" w:name="_Toc184314459"/>
      <w:bookmarkEnd w:id="241"/>
      <w:bookmarkStart w:id="242" w:name="_Toc184310319"/>
      <w:bookmarkEnd w:id="242"/>
      <w:bookmarkStart w:id="243" w:name="_Toc184310299"/>
      <w:bookmarkEnd w:id="243"/>
      <w:bookmarkStart w:id="244" w:name="_Toc184312116"/>
      <w:bookmarkEnd w:id="244"/>
      <w:bookmarkStart w:id="245" w:name="_Toc184314413"/>
      <w:bookmarkEnd w:id="245"/>
      <w:bookmarkStart w:id="246" w:name="_Toc184308071"/>
      <w:bookmarkEnd w:id="246"/>
      <w:bookmarkStart w:id="247" w:name="_Toc184310272"/>
      <w:bookmarkEnd w:id="247"/>
      <w:bookmarkStart w:id="248" w:name="_Toc184312132"/>
      <w:bookmarkEnd w:id="248"/>
      <w:bookmarkStart w:id="249" w:name="_Toc184310323"/>
      <w:bookmarkEnd w:id="249"/>
      <w:bookmarkStart w:id="250" w:name="_Toc184310283"/>
      <w:bookmarkEnd w:id="250"/>
      <w:bookmarkStart w:id="251" w:name="_Toc184308097"/>
      <w:bookmarkEnd w:id="251"/>
      <w:bookmarkStart w:id="252" w:name="_Toc184312088"/>
      <w:bookmarkEnd w:id="252"/>
      <w:bookmarkStart w:id="253" w:name="_Toc184312101"/>
      <w:bookmarkEnd w:id="253"/>
      <w:bookmarkStart w:id="254" w:name="_Toc184312109"/>
      <w:bookmarkEnd w:id="254"/>
      <w:bookmarkStart w:id="255" w:name="_Toc184313290"/>
      <w:bookmarkEnd w:id="255"/>
      <w:bookmarkStart w:id="256" w:name="_Toc184313296"/>
      <w:bookmarkEnd w:id="256"/>
      <w:bookmarkStart w:id="257" w:name="_Toc184310342"/>
      <w:bookmarkEnd w:id="257"/>
      <w:bookmarkStart w:id="258" w:name="_Toc184313276"/>
      <w:bookmarkEnd w:id="258"/>
      <w:bookmarkStart w:id="259" w:name="_Toc184313255"/>
      <w:bookmarkEnd w:id="259"/>
      <w:bookmarkStart w:id="260" w:name="_Toc184308104"/>
      <w:bookmarkEnd w:id="260"/>
      <w:bookmarkStart w:id="261" w:name="_Toc184308050"/>
      <w:bookmarkEnd w:id="261"/>
      <w:bookmarkStart w:id="262" w:name="_Toc184308060"/>
      <w:bookmarkEnd w:id="262"/>
      <w:bookmarkStart w:id="263" w:name="_Toc184312084"/>
      <w:bookmarkEnd w:id="263"/>
      <w:bookmarkStart w:id="264" w:name="_Toc184310327"/>
      <w:bookmarkEnd w:id="264"/>
      <w:bookmarkStart w:id="265" w:name="_Toc184312089"/>
      <w:bookmarkEnd w:id="265"/>
      <w:bookmarkStart w:id="266" w:name="_Toc184310338"/>
      <w:bookmarkEnd w:id="266"/>
      <w:bookmarkStart w:id="267" w:name="_Toc184312112"/>
      <w:bookmarkEnd w:id="267"/>
      <w:bookmarkStart w:id="268" w:name="_Toc184310325"/>
      <w:bookmarkEnd w:id="268"/>
      <w:bookmarkStart w:id="269" w:name="_Toc184313238"/>
      <w:bookmarkEnd w:id="269"/>
      <w:bookmarkStart w:id="270" w:name="_Toc184312120"/>
      <w:bookmarkEnd w:id="270"/>
      <w:bookmarkStart w:id="271" w:name="_Toc184314461"/>
      <w:bookmarkEnd w:id="271"/>
      <w:bookmarkStart w:id="272" w:name="_Toc184313268"/>
      <w:bookmarkEnd w:id="272"/>
      <w:bookmarkStart w:id="273" w:name="_Toc184310303"/>
      <w:bookmarkEnd w:id="273"/>
      <w:bookmarkStart w:id="274" w:name="_Toc184310341"/>
      <w:bookmarkEnd w:id="274"/>
      <w:bookmarkStart w:id="275" w:name="_Toc184312139"/>
      <w:bookmarkEnd w:id="275"/>
      <w:bookmarkStart w:id="276" w:name="_Toc184308068"/>
      <w:bookmarkEnd w:id="276"/>
      <w:bookmarkStart w:id="277" w:name="_Toc184312072"/>
      <w:bookmarkEnd w:id="277"/>
      <w:bookmarkStart w:id="278" w:name="_Toc184313261"/>
      <w:bookmarkEnd w:id="278"/>
      <w:bookmarkStart w:id="279" w:name="_Toc184314465"/>
      <w:bookmarkEnd w:id="279"/>
      <w:bookmarkStart w:id="280" w:name="_Toc184312086"/>
      <w:bookmarkEnd w:id="280"/>
      <w:bookmarkStart w:id="281" w:name="_Toc184310296"/>
      <w:bookmarkEnd w:id="281"/>
      <w:bookmarkStart w:id="282" w:name="_Toc184310340"/>
      <w:bookmarkEnd w:id="282"/>
      <w:bookmarkStart w:id="283" w:name="_Toc184313287"/>
      <w:bookmarkEnd w:id="283"/>
      <w:bookmarkStart w:id="284" w:name="_Toc184313246"/>
      <w:bookmarkEnd w:id="284"/>
      <w:bookmarkStart w:id="285" w:name="_Toc184310274"/>
      <w:bookmarkEnd w:id="285"/>
      <w:bookmarkStart w:id="286" w:name="_Toc184312105"/>
      <w:bookmarkEnd w:id="286"/>
      <w:bookmarkStart w:id="287" w:name="_Toc184313240"/>
      <w:bookmarkEnd w:id="287"/>
      <w:bookmarkStart w:id="288" w:name="_Toc184310311"/>
      <w:bookmarkEnd w:id="288"/>
      <w:bookmarkStart w:id="289" w:name="_Toc184314431"/>
      <w:bookmarkEnd w:id="289"/>
      <w:bookmarkStart w:id="290" w:name="_Toc184308062"/>
      <w:bookmarkEnd w:id="290"/>
      <w:bookmarkStart w:id="291" w:name="_Toc184308039"/>
      <w:bookmarkEnd w:id="291"/>
      <w:bookmarkStart w:id="292" w:name="_Toc184313292"/>
      <w:bookmarkEnd w:id="292"/>
      <w:bookmarkStart w:id="293" w:name="_Toc184312100"/>
      <w:bookmarkEnd w:id="293"/>
      <w:bookmarkStart w:id="294" w:name="_Toc184310335"/>
      <w:bookmarkEnd w:id="294"/>
      <w:bookmarkStart w:id="295" w:name="_Toc184313239"/>
      <w:bookmarkEnd w:id="295"/>
      <w:bookmarkStart w:id="296" w:name="_Toc184312094"/>
      <w:bookmarkEnd w:id="296"/>
      <w:bookmarkStart w:id="297" w:name="_Toc184312092"/>
      <w:bookmarkEnd w:id="297"/>
      <w:bookmarkStart w:id="298" w:name="_Toc184314452"/>
      <w:bookmarkEnd w:id="298"/>
      <w:bookmarkStart w:id="299" w:name="_Toc184313301"/>
      <w:bookmarkEnd w:id="299"/>
      <w:bookmarkStart w:id="300" w:name="_Toc184313271"/>
      <w:bookmarkEnd w:id="300"/>
      <w:bookmarkStart w:id="301" w:name="_Toc184314481"/>
      <w:bookmarkEnd w:id="301"/>
      <w:bookmarkStart w:id="302" w:name="_Toc184312113"/>
      <w:bookmarkEnd w:id="302"/>
      <w:bookmarkStart w:id="303" w:name="_Toc184314455"/>
      <w:bookmarkEnd w:id="303"/>
      <w:bookmarkStart w:id="304" w:name="_Toc184312115"/>
      <w:bookmarkEnd w:id="304"/>
      <w:bookmarkStart w:id="305" w:name="_Toc184308091"/>
      <w:bookmarkEnd w:id="305"/>
      <w:bookmarkStart w:id="306" w:name="_Toc184314429"/>
      <w:bookmarkEnd w:id="306"/>
      <w:bookmarkStart w:id="307" w:name="_Toc184313277"/>
      <w:bookmarkEnd w:id="307"/>
      <w:bookmarkStart w:id="308" w:name="_Toc184313285"/>
      <w:bookmarkEnd w:id="308"/>
      <w:bookmarkStart w:id="309" w:name="_Toc184312122"/>
      <w:bookmarkEnd w:id="309"/>
      <w:bookmarkStart w:id="310" w:name="_Toc184312104"/>
      <w:bookmarkEnd w:id="310"/>
      <w:bookmarkStart w:id="311" w:name="_Toc184312123"/>
      <w:bookmarkEnd w:id="311"/>
      <w:bookmarkStart w:id="312" w:name="_Toc184314479"/>
      <w:bookmarkEnd w:id="312"/>
      <w:bookmarkStart w:id="313" w:name="_Toc184308067"/>
      <w:bookmarkEnd w:id="313"/>
      <w:bookmarkStart w:id="314" w:name="_Toc184310288"/>
      <w:bookmarkEnd w:id="314"/>
      <w:bookmarkStart w:id="315" w:name="_Toc184314457"/>
      <w:bookmarkEnd w:id="315"/>
      <w:bookmarkStart w:id="316" w:name="_Toc184310301"/>
      <w:bookmarkEnd w:id="316"/>
      <w:bookmarkStart w:id="317" w:name="_Toc184312119"/>
      <w:bookmarkEnd w:id="317"/>
      <w:bookmarkStart w:id="318" w:name="_Toc184308107"/>
      <w:bookmarkEnd w:id="318"/>
      <w:bookmarkStart w:id="319" w:name="_Toc184314439"/>
      <w:bookmarkEnd w:id="319"/>
      <w:bookmarkStart w:id="320" w:name="_Toc184310289"/>
      <w:bookmarkEnd w:id="320"/>
      <w:bookmarkStart w:id="321" w:name="_Toc184310339"/>
      <w:bookmarkEnd w:id="321"/>
      <w:bookmarkStart w:id="322" w:name="_Toc184312090"/>
      <w:bookmarkEnd w:id="322"/>
      <w:bookmarkStart w:id="323" w:name="_Toc184308095"/>
      <w:bookmarkEnd w:id="323"/>
      <w:bookmarkStart w:id="324" w:name="_Toc184312073"/>
      <w:bookmarkEnd w:id="324"/>
      <w:bookmarkStart w:id="325" w:name="_Toc184310329"/>
      <w:bookmarkEnd w:id="325"/>
      <w:bookmarkStart w:id="326" w:name="_Toc184313269"/>
      <w:bookmarkEnd w:id="326"/>
      <w:bookmarkStart w:id="327" w:name="_Toc184313258"/>
      <w:bookmarkEnd w:id="327"/>
      <w:bookmarkStart w:id="328" w:name="_Toc184312081"/>
      <w:bookmarkEnd w:id="328"/>
      <w:bookmarkStart w:id="329" w:name="_Toc184308076"/>
      <w:bookmarkEnd w:id="329"/>
      <w:bookmarkStart w:id="330" w:name="_Toc184308101"/>
      <w:bookmarkEnd w:id="330"/>
      <w:bookmarkStart w:id="331" w:name="_Toc184308054"/>
      <w:bookmarkEnd w:id="331"/>
      <w:bookmarkStart w:id="332" w:name="_Toc184308082"/>
      <w:bookmarkEnd w:id="332"/>
      <w:bookmarkStart w:id="333" w:name="_Toc184314453"/>
      <w:bookmarkEnd w:id="333"/>
      <w:bookmarkStart w:id="334" w:name="_Toc184308105"/>
      <w:bookmarkEnd w:id="334"/>
      <w:bookmarkStart w:id="335" w:name="_Toc184308080"/>
      <w:bookmarkEnd w:id="335"/>
      <w:bookmarkStart w:id="336" w:name="_Toc184312077"/>
      <w:bookmarkEnd w:id="336"/>
      <w:bookmarkStart w:id="337" w:name="_Toc184310291"/>
      <w:bookmarkEnd w:id="337"/>
      <w:bookmarkStart w:id="338" w:name="_Toc184308099"/>
      <w:bookmarkEnd w:id="338"/>
      <w:bookmarkStart w:id="339" w:name="_Toc184314474"/>
      <w:bookmarkEnd w:id="339"/>
      <w:bookmarkStart w:id="340" w:name="_Toc184312110"/>
      <w:bookmarkEnd w:id="340"/>
      <w:bookmarkStart w:id="341" w:name="_Toc184310281"/>
      <w:bookmarkEnd w:id="341"/>
      <w:bookmarkStart w:id="342" w:name="_Toc184310292"/>
      <w:bookmarkEnd w:id="342"/>
      <w:bookmarkStart w:id="343" w:name="_Toc184313243"/>
      <w:bookmarkEnd w:id="343"/>
      <w:bookmarkStart w:id="344" w:name="_Toc184312097"/>
      <w:bookmarkEnd w:id="344"/>
      <w:bookmarkStart w:id="345" w:name="_Toc184308096"/>
      <w:bookmarkEnd w:id="345"/>
      <w:bookmarkStart w:id="346" w:name="_Toc184313309"/>
      <w:bookmarkEnd w:id="346"/>
      <w:bookmarkStart w:id="347" w:name="_Toc184308036"/>
      <w:bookmarkEnd w:id="347"/>
      <w:bookmarkStart w:id="348" w:name="_Toc184313244"/>
      <w:bookmarkEnd w:id="348"/>
      <w:bookmarkStart w:id="349" w:name="_Toc184314422"/>
      <w:bookmarkEnd w:id="349"/>
      <w:bookmarkStart w:id="350" w:name="_Toc184308049"/>
      <w:bookmarkEnd w:id="350"/>
      <w:bookmarkStart w:id="351" w:name="_Toc184310328"/>
      <w:bookmarkEnd w:id="351"/>
      <w:bookmarkStart w:id="352" w:name="_Toc184310276"/>
      <w:bookmarkEnd w:id="352"/>
      <w:bookmarkStart w:id="353" w:name="_Toc184314473"/>
      <w:bookmarkEnd w:id="353"/>
      <w:bookmarkStart w:id="354" w:name="_Toc184312126"/>
      <w:bookmarkEnd w:id="354"/>
      <w:bookmarkStart w:id="355" w:name="_Toc184310280"/>
      <w:bookmarkEnd w:id="355"/>
      <w:bookmarkStart w:id="356" w:name="_Toc184308086"/>
      <w:bookmarkEnd w:id="356"/>
      <w:bookmarkStart w:id="357" w:name="_Toc184310333"/>
      <w:bookmarkEnd w:id="357"/>
      <w:bookmarkStart w:id="358" w:name="_Toc184308052"/>
      <w:bookmarkEnd w:id="358"/>
      <w:bookmarkStart w:id="359" w:name="_Toc184312096"/>
      <w:bookmarkEnd w:id="359"/>
      <w:bookmarkStart w:id="360" w:name="_Toc184310295"/>
      <w:bookmarkEnd w:id="360"/>
      <w:bookmarkStart w:id="361" w:name="_Toc184313256"/>
      <w:bookmarkEnd w:id="361"/>
      <w:bookmarkStart w:id="362" w:name="_Toc184312093"/>
      <w:bookmarkEnd w:id="362"/>
      <w:bookmarkStart w:id="363" w:name="_Toc184314476"/>
      <w:bookmarkEnd w:id="363"/>
      <w:bookmarkStart w:id="364" w:name="_Toc184313308"/>
      <w:bookmarkEnd w:id="364"/>
      <w:bookmarkStart w:id="365" w:name="_Toc184314437"/>
      <w:bookmarkEnd w:id="365"/>
      <w:bookmarkStart w:id="366" w:name="_Toc184308042"/>
      <w:bookmarkEnd w:id="366"/>
      <w:bookmarkStart w:id="367" w:name="_Toc184313280"/>
      <w:bookmarkEnd w:id="367"/>
      <w:bookmarkStart w:id="368" w:name="_Toc184313251"/>
      <w:bookmarkEnd w:id="368"/>
      <w:bookmarkStart w:id="369" w:name="_Toc184313283"/>
      <w:bookmarkEnd w:id="369"/>
      <w:bookmarkStart w:id="370" w:name="_Toc184308075"/>
      <w:bookmarkEnd w:id="370"/>
      <w:bookmarkStart w:id="371" w:name="_Toc184313278"/>
      <w:bookmarkEnd w:id="371"/>
      <w:bookmarkStart w:id="372" w:name="_Toc184312135"/>
      <w:bookmarkEnd w:id="372"/>
      <w:bookmarkStart w:id="373" w:name="_Toc184312136"/>
      <w:bookmarkEnd w:id="373"/>
      <w:bookmarkStart w:id="374" w:name="_Toc184308074"/>
      <w:bookmarkEnd w:id="374"/>
      <w:bookmarkStart w:id="375" w:name="_Toc184314440"/>
      <w:bookmarkEnd w:id="375"/>
      <w:bookmarkStart w:id="376" w:name="_Toc184308048"/>
      <w:bookmarkEnd w:id="376"/>
      <w:bookmarkStart w:id="377" w:name="_Toc184312087"/>
      <w:bookmarkEnd w:id="377"/>
      <w:bookmarkStart w:id="378" w:name="_Toc184313294"/>
      <w:bookmarkEnd w:id="378"/>
      <w:bookmarkStart w:id="379" w:name="_Toc184310331"/>
      <w:bookmarkEnd w:id="379"/>
      <w:bookmarkStart w:id="380" w:name="_Toc184312124"/>
      <w:bookmarkEnd w:id="380"/>
      <w:bookmarkStart w:id="381" w:name="_Toc184310316"/>
      <w:bookmarkEnd w:id="381"/>
      <w:bookmarkStart w:id="382" w:name="_Toc184313281"/>
      <w:bookmarkEnd w:id="382"/>
      <w:bookmarkStart w:id="383" w:name="_Toc184314460"/>
      <w:bookmarkEnd w:id="383"/>
      <w:bookmarkStart w:id="384" w:name="_Toc184312134"/>
      <w:bookmarkEnd w:id="384"/>
      <w:bookmarkStart w:id="385" w:name="_Toc184312071"/>
      <w:bookmarkEnd w:id="385"/>
      <w:bookmarkStart w:id="386" w:name="_Toc184313310"/>
      <w:bookmarkEnd w:id="386"/>
      <w:bookmarkStart w:id="387" w:name="_Toc184313279"/>
      <w:bookmarkEnd w:id="387"/>
      <w:bookmarkStart w:id="388" w:name="_Toc184313248"/>
      <w:bookmarkEnd w:id="388"/>
      <w:bookmarkStart w:id="389" w:name="_Toc184312138"/>
      <w:bookmarkEnd w:id="389"/>
      <w:bookmarkStart w:id="390" w:name="_Toc184310330"/>
      <w:bookmarkEnd w:id="390"/>
      <w:bookmarkStart w:id="391" w:name="_Toc184310312"/>
      <w:bookmarkEnd w:id="391"/>
      <w:bookmarkStart w:id="392" w:name="_Toc184313249"/>
      <w:bookmarkEnd w:id="392"/>
      <w:bookmarkStart w:id="393" w:name="_Toc184312095"/>
      <w:bookmarkEnd w:id="393"/>
      <w:bookmarkStart w:id="394" w:name="_Toc184312118"/>
      <w:bookmarkEnd w:id="394"/>
      <w:r>
        <w:rPr>
          <w:rFonts w:hint="eastAsia" w:ascii="仿宋" w:hAnsi="仿宋" w:eastAsia="仿宋" w:cs="仿宋"/>
          <w:b/>
          <w:color w:val="auto"/>
          <w:sz w:val="36"/>
          <w:szCs w:val="36"/>
          <w:highlight w:val="none"/>
        </w:rPr>
        <w:t>评标办法</w:t>
      </w:r>
    </w:p>
    <w:p>
      <w:pPr>
        <w:pStyle w:val="62"/>
        <w:numPr>
          <w:ilvl w:val="0"/>
          <w:numId w:val="0"/>
        </w:numPr>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3"/>
        <w:tblpPr w:leftFromText="180" w:rightFromText="180" w:vertAnchor="text" w:horzAnchor="page" w:tblpXSpec="center" w:tblpY="126"/>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5251"/>
        <w:gridCol w:w="918"/>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98"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评标标准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权重</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center"/>
              <w:outlineLvl w:val="0"/>
              <w:rPr>
                <w:rFonts w:hint="eastAsia" w:ascii="仿宋" w:hAnsi="仿宋" w:eastAsia="仿宋" w:cs="仿宋"/>
                <w:color w:val="auto"/>
                <w:highlight w:val="none"/>
              </w:rPr>
            </w:pPr>
            <w:r>
              <w:rPr>
                <w:rFonts w:hint="eastAsia" w:ascii="仿宋" w:hAnsi="仿宋" w:eastAsia="仿宋" w:cs="仿宋"/>
                <w:bCs/>
                <w:color w:val="auto"/>
                <w:sz w:val="24"/>
                <w:highlight w:val="none"/>
              </w:rPr>
              <w:t>投标文件中评标标准相应的商务技术资料目录</w:t>
            </w:r>
            <w:r>
              <w:rPr>
                <w:rFonts w:hint="eastAsia" w:ascii="仿宋" w:hAnsi="仿宋" w:eastAsia="仿宋" w:cs="仿宋"/>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lang w:val="zh-CN" w:eastAsia="zh-CN"/>
              </w:rPr>
              <w:t>根据投标人所投产品技术参数及性能要求响应情况，考察其符合性、合理性及先进性。全部满足招标文件明确的功能、性能和技术指标要求的得</w:t>
            </w:r>
            <w:r>
              <w:rPr>
                <w:rFonts w:hint="eastAsia" w:ascii="仿宋" w:hAnsi="仿宋" w:eastAsia="仿宋" w:cs="仿宋"/>
                <w:bCs/>
                <w:color w:val="auto"/>
                <w:sz w:val="24"/>
                <w:szCs w:val="24"/>
                <w:highlight w:val="none"/>
                <w:lang w:val="en-US" w:eastAsia="zh-CN"/>
              </w:rPr>
              <w:t>20</w:t>
            </w:r>
            <w:r>
              <w:rPr>
                <w:rFonts w:hint="eastAsia" w:ascii="仿宋" w:hAnsi="仿宋" w:eastAsia="仿宋" w:cs="仿宋"/>
                <w:bCs/>
                <w:color w:val="auto"/>
                <w:sz w:val="24"/>
                <w:szCs w:val="24"/>
                <w:highlight w:val="none"/>
                <w:lang w:val="zh-CN" w:eastAsia="zh-CN"/>
              </w:rPr>
              <w:t>分。</w:t>
            </w:r>
            <w:r>
              <w:rPr>
                <w:rFonts w:hint="eastAsia" w:ascii="仿宋" w:hAnsi="仿宋" w:eastAsia="仿宋" w:cs="仿宋"/>
                <w:bCs/>
                <w:color w:val="auto"/>
                <w:sz w:val="24"/>
                <w:szCs w:val="24"/>
                <w:highlight w:val="none"/>
                <w:lang w:val="en-US" w:eastAsia="zh-CN"/>
              </w:rPr>
              <w:t>技术指标存在负偏离或未响应或缺漏项的，每项扣2分</w:t>
            </w:r>
            <w:r>
              <w:rPr>
                <w:rFonts w:hint="eastAsia" w:ascii="仿宋" w:hAnsi="仿宋" w:eastAsia="仿宋" w:cs="仿宋"/>
                <w:bCs/>
                <w:color w:val="auto"/>
                <w:sz w:val="24"/>
                <w:szCs w:val="24"/>
                <w:highlight w:val="none"/>
                <w:lang w:val="zh-CN" w:eastAsia="zh-CN"/>
              </w:rPr>
              <w:t>，扣完为止（技术参数及性能要求响应需按采购需求提供检测报告等证明材料）。</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w:t>
            </w:r>
          </w:p>
        </w:tc>
        <w:tc>
          <w:tcPr>
            <w:tcW w:w="5251" w:type="dxa"/>
            <w:vAlign w:val="top"/>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所投产品（厂制品）具有</w:t>
            </w:r>
            <w:r>
              <w:rPr>
                <w:rFonts w:hint="eastAsia" w:ascii="仿宋" w:hAnsi="仿宋" w:eastAsia="仿宋" w:cs="仿宋"/>
                <w:bCs/>
                <w:color w:val="auto"/>
                <w:sz w:val="24"/>
                <w:szCs w:val="24"/>
                <w:highlight w:val="none"/>
              </w:rPr>
              <w:t>中国质量认证中心认证</w:t>
            </w:r>
            <w:r>
              <w:rPr>
                <w:rFonts w:hint="eastAsia" w:ascii="仿宋" w:hAnsi="仿宋" w:eastAsia="仿宋" w:cs="仿宋"/>
                <w:bCs/>
                <w:color w:val="auto"/>
                <w:sz w:val="24"/>
                <w:szCs w:val="24"/>
                <w:highlight w:val="none"/>
                <w:lang w:eastAsia="zh-CN"/>
              </w:rPr>
              <w:t>出具</w:t>
            </w:r>
            <w:r>
              <w:rPr>
                <w:rFonts w:hint="eastAsia" w:ascii="仿宋" w:hAnsi="仿宋" w:eastAsia="仿宋" w:cs="仿宋"/>
                <w:bCs/>
                <w:color w:val="auto"/>
                <w:sz w:val="24"/>
                <w:szCs w:val="24"/>
                <w:highlight w:val="none"/>
              </w:rPr>
              <w:t>的《食品接触产品安全认证证书》（CQC），每提供一份得</w:t>
            </w:r>
            <w:r>
              <w:rPr>
                <w:rFonts w:hint="eastAsia" w:ascii="仿宋" w:hAnsi="仿宋" w:eastAsia="仿宋" w:cs="仿宋"/>
                <w:bCs/>
                <w:color w:val="auto"/>
                <w:sz w:val="24"/>
                <w:szCs w:val="24"/>
                <w:highlight w:val="none"/>
                <w:lang w:val="en-US" w:eastAsia="zh-CN"/>
              </w:rPr>
              <w:t>0.5</w:t>
            </w:r>
            <w:r>
              <w:rPr>
                <w:rFonts w:hint="eastAsia" w:ascii="仿宋" w:hAnsi="仿宋" w:eastAsia="仿宋" w:cs="仿宋"/>
                <w:bCs/>
                <w:color w:val="auto"/>
                <w:sz w:val="24"/>
                <w:szCs w:val="24"/>
                <w:highlight w:val="none"/>
              </w:rPr>
              <w:t>分，最高得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分，未提供不得分</w:t>
            </w:r>
            <w:r>
              <w:rPr>
                <w:rFonts w:hint="eastAsia" w:ascii="仿宋" w:hAnsi="仿宋" w:eastAsia="仿宋" w:cs="仿宋"/>
                <w:bCs/>
                <w:color w:val="auto"/>
                <w:sz w:val="24"/>
                <w:szCs w:val="24"/>
                <w:highlight w:val="none"/>
                <w:lang w:eastAsia="zh-CN"/>
              </w:rPr>
              <w:t>。</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3</w:t>
            </w:r>
          </w:p>
        </w:tc>
        <w:tc>
          <w:tcPr>
            <w:tcW w:w="5251" w:type="dxa"/>
            <w:vAlign w:val="top"/>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所投产品（</w:t>
            </w:r>
            <w:r>
              <w:rPr>
                <w:rFonts w:hint="eastAsia" w:ascii="仿宋" w:hAnsi="仿宋" w:eastAsia="仿宋" w:cs="仿宋"/>
                <w:bCs/>
                <w:color w:val="auto"/>
                <w:sz w:val="24"/>
                <w:szCs w:val="24"/>
                <w:highlight w:val="none"/>
              </w:rPr>
              <w:t>中餐燃气炒菜灶、燃气大锅灶</w:t>
            </w:r>
            <w:r>
              <w:rPr>
                <w:rFonts w:hint="eastAsia" w:ascii="仿宋" w:hAnsi="仿宋" w:eastAsia="仿宋" w:cs="仿宋"/>
                <w:bCs/>
                <w:color w:val="auto"/>
                <w:sz w:val="24"/>
                <w:szCs w:val="24"/>
                <w:highlight w:val="none"/>
                <w:lang w:eastAsia="zh-CN"/>
              </w:rPr>
              <w:t>）具有</w:t>
            </w:r>
            <w:r>
              <w:rPr>
                <w:rFonts w:hint="eastAsia" w:ascii="仿宋" w:hAnsi="仿宋" w:eastAsia="仿宋" w:cs="仿宋"/>
                <w:bCs/>
                <w:color w:val="auto"/>
                <w:sz w:val="24"/>
                <w:szCs w:val="24"/>
                <w:highlight w:val="none"/>
              </w:rPr>
              <w:t>中国质量认证中心认证</w:t>
            </w:r>
            <w:r>
              <w:rPr>
                <w:rFonts w:hint="eastAsia" w:ascii="仿宋" w:hAnsi="仿宋" w:eastAsia="仿宋" w:cs="仿宋"/>
                <w:bCs/>
                <w:color w:val="auto"/>
                <w:sz w:val="24"/>
                <w:szCs w:val="24"/>
                <w:highlight w:val="none"/>
                <w:lang w:eastAsia="zh-CN"/>
              </w:rPr>
              <w:t>出具</w:t>
            </w:r>
            <w:r>
              <w:rPr>
                <w:rFonts w:hint="eastAsia" w:ascii="仿宋" w:hAnsi="仿宋" w:eastAsia="仿宋" w:cs="仿宋"/>
                <w:bCs/>
                <w:color w:val="auto"/>
                <w:sz w:val="24"/>
                <w:szCs w:val="24"/>
                <w:highlight w:val="none"/>
              </w:rPr>
              <w:t>的《中国节能产品认证证书》（CQC），每提供一份得0.5分，最高得1分，未提供不得分</w:t>
            </w:r>
            <w:r>
              <w:rPr>
                <w:rFonts w:hint="eastAsia" w:ascii="仿宋" w:hAnsi="仿宋" w:eastAsia="仿宋" w:cs="仿宋"/>
                <w:bCs/>
                <w:color w:val="auto"/>
                <w:sz w:val="24"/>
                <w:szCs w:val="24"/>
                <w:highlight w:val="none"/>
                <w:lang w:eastAsia="zh-CN"/>
              </w:rPr>
              <w:t>。</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4</w:t>
            </w:r>
          </w:p>
        </w:tc>
        <w:tc>
          <w:tcPr>
            <w:tcW w:w="5251" w:type="dxa"/>
            <w:vAlign w:val="top"/>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eastAsia="zh-CN"/>
              </w:rPr>
              <w:t>所投产品（</w:t>
            </w:r>
            <w:r>
              <w:rPr>
                <w:rFonts w:hint="eastAsia" w:ascii="仿宋" w:hAnsi="仿宋" w:eastAsia="仿宋" w:cs="仿宋"/>
                <w:bCs/>
                <w:color w:val="auto"/>
                <w:sz w:val="24"/>
                <w:szCs w:val="24"/>
                <w:highlight w:val="none"/>
              </w:rPr>
              <w:t>中餐燃气炒菜灶、燃气大锅灶</w:t>
            </w:r>
            <w:r>
              <w:rPr>
                <w:rFonts w:hint="eastAsia" w:ascii="仿宋" w:hAnsi="仿宋" w:eastAsia="仿宋" w:cs="仿宋"/>
                <w:bCs/>
                <w:color w:val="auto"/>
                <w:sz w:val="24"/>
                <w:szCs w:val="24"/>
                <w:highlight w:val="none"/>
                <w:lang w:eastAsia="zh-CN"/>
              </w:rPr>
              <w:t>）具有</w:t>
            </w:r>
            <w:r>
              <w:rPr>
                <w:rFonts w:hint="eastAsia" w:ascii="仿宋" w:hAnsi="仿宋" w:eastAsia="仿宋" w:cs="仿宋"/>
                <w:bCs/>
                <w:color w:val="auto"/>
                <w:sz w:val="24"/>
                <w:szCs w:val="24"/>
                <w:highlight w:val="none"/>
              </w:rPr>
              <w:t>中国质量认证中心认证</w:t>
            </w:r>
            <w:r>
              <w:rPr>
                <w:rFonts w:hint="eastAsia" w:ascii="仿宋" w:hAnsi="仿宋" w:eastAsia="仿宋" w:cs="仿宋"/>
                <w:bCs/>
                <w:color w:val="auto"/>
                <w:sz w:val="24"/>
                <w:szCs w:val="24"/>
                <w:highlight w:val="none"/>
                <w:lang w:eastAsia="zh-CN"/>
              </w:rPr>
              <w:t>出具</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lang w:val="en-US" w:eastAsia="zh-CN"/>
              </w:rPr>
              <w:t>《中国环保产品认证证书》（CQC），每提供一份得0.5分，最高得1分，未提供不得分。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5</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投标</w:t>
            </w:r>
            <w:r>
              <w:rPr>
                <w:rFonts w:hint="eastAsia" w:ascii="仿宋" w:hAnsi="仿宋" w:eastAsia="仿宋" w:cs="仿宋"/>
                <w:bCs/>
                <w:color w:val="auto"/>
                <w:sz w:val="24"/>
                <w:szCs w:val="24"/>
                <w:highlight w:val="none"/>
                <w:lang w:val="en-US" w:eastAsia="zh-CN"/>
              </w:rPr>
              <w:t>人</w:t>
            </w:r>
            <w:r>
              <w:rPr>
                <w:rFonts w:hint="eastAsia" w:ascii="仿宋" w:hAnsi="仿宋" w:eastAsia="仿宋" w:cs="仿宋"/>
                <w:bCs/>
                <w:color w:val="auto"/>
                <w:sz w:val="24"/>
                <w:szCs w:val="24"/>
                <w:highlight w:val="none"/>
              </w:rPr>
              <w:t>进行现场踏勘的得3分（以采购单位</w:t>
            </w:r>
            <w:r>
              <w:rPr>
                <w:rFonts w:hint="eastAsia" w:ascii="仿宋" w:hAnsi="仿宋" w:eastAsia="仿宋" w:cs="仿宋"/>
                <w:bCs/>
                <w:color w:val="auto"/>
                <w:sz w:val="24"/>
                <w:szCs w:val="24"/>
                <w:highlight w:val="none"/>
                <w:lang w:eastAsia="zh-CN"/>
              </w:rPr>
              <w:t>确认的</w:t>
            </w:r>
            <w:r>
              <w:rPr>
                <w:rFonts w:hint="eastAsia" w:ascii="仿宋" w:hAnsi="仿宋" w:eastAsia="仿宋" w:cs="仿宋"/>
                <w:bCs/>
                <w:color w:val="auto"/>
                <w:sz w:val="24"/>
                <w:szCs w:val="24"/>
                <w:highlight w:val="none"/>
              </w:rPr>
              <w:t>现场踏勘证明材料为准,提供现场踏勘证明材料复印件加盖公章）。</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6</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投标人针对本项目的组织实施方案符合项目要求，确保供货的组织措施，投标人组织实施方案的科学性、合理性、规范性和可操作性等情况对比综合评分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7</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根据各投标人设备进场前工序：水电点位现场测量及符合标准等情况打分（包括施工界面、分墙及水电图要求、具体实施要点、</w:t>
            </w:r>
            <w:r>
              <w:rPr>
                <w:rFonts w:hint="eastAsia" w:ascii="仿宋" w:hAnsi="仿宋" w:eastAsia="仿宋" w:cs="仿宋"/>
                <w:bCs/>
                <w:color w:val="auto"/>
                <w:sz w:val="24"/>
                <w:szCs w:val="24"/>
                <w:highlight w:val="none"/>
                <w:lang w:eastAsia="zh-CN"/>
              </w:rPr>
              <w:t>安装方案</w:t>
            </w:r>
            <w:r>
              <w:rPr>
                <w:rFonts w:hint="eastAsia" w:ascii="仿宋" w:hAnsi="仿宋" w:eastAsia="仿宋" w:cs="仿宋"/>
                <w:bCs/>
                <w:color w:val="auto"/>
                <w:sz w:val="24"/>
                <w:szCs w:val="24"/>
                <w:highlight w:val="none"/>
              </w:rPr>
              <w:t>等）。（0-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8</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rPr>
            </w:pPr>
            <w:r>
              <w:rPr>
                <w:rFonts w:hint="eastAsia" w:ascii="仿宋" w:hAnsi="仿宋" w:eastAsia="仿宋" w:cs="仿宋"/>
                <w:bCs/>
                <w:color w:val="auto"/>
                <w:sz w:val="24"/>
                <w:szCs w:val="24"/>
                <w:highlight w:val="none"/>
              </w:rPr>
              <w:t>针对本项目的成品设备在运输、保管等保障方案可靠性、完整性，运输、保管等保障方案等情况对比综合评分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9</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eastAsia="zh-CN"/>
              </w:rPr>
            </w:pPr>
            <w:r>
              <w:rPr>
                <w:rFonts w:hint="eastAsia" w:ascii="仿宋" w:hAnsi="仿宋" w:eastAsia="仿宋" w:cs="仿宋"/>
                <w:bCs/>
                <w:color w:val="auto"/>
                <w:sz w:val="24"/>
                <w:szCs w:val="24"/>
                <w:highlight w:val="none"/>
              </w:rPr>
              <w:t>针对本项目产品的安装方案、调试方案、产品的验收方案的完整性及可操作性等情况对比综合评分</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10</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投标人拟配备技术人员中有具备焊接与热切割作业操作证、售后服务高级管理师、安全员、燃气具安装维修工证、高压电工作业证、低压电工作业证的每提供一个得0.5分，最高</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注：以上人员须提供相关证书（证书须在有效期内）及在</w:t>
            </w:r>
            <w:r>
              <w:rPr>
                <w:rFonts w:hint="eastAsia" w:ascii="仿宋" w:hAnsi="仿宋" w:eastAsia="仿宋" w:cs="仿宋"/>
                <w:bCs/>
                <w:color w:val="auto"/>
                <w:sz w:val="24"/>
                <w:szCs w:val="24"/>
                <w:highlight w:val="none"/>
                <w:lang w:eastAsia="zh-CN"/>
              </w:rPr>
              <w:t>投标单位</w:t>
            </w:r>
            <w:r>
              <w:rPr>
                <w:rFonts w:hint="eastAsia" w:ascii="仿宋" w:hAnsi="仿宋" w:eastAsia="仿宋" w:cs="仿宋"/>
                <w:bCs/>
                <w:color w:val="auto"/>
                <w:sz w:val="24"/>
                <w:szCs w:val="24"/>
                <w:highlight w:val="none"/>
                <w:lang w:val="en-US" w:eastAsia="zh-CN"/>
              </w:rPr>
              <w:t>近三个月</w:t>
            </w:r>
            <w:r>
              <w:rPr>
                <w:rFonts w:hint="eastAsia" w:ascii="仿宋" w:hAnsi="仿宋" w:eastAsia="仿宋" w:cs="仿宋"/>
                <w:bCs/>
                <w:color w:val="auto"/>
                <w:sz w:val="24"/>
                <w:szCs w:val="24"/>
                <w:highlight w:val="none"/>
              </w:rPr>
              <w:t>社保缴纳证明材料复印件，不提供或不满足要求的不得分。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default"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11</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投标人提供的售后服务方案是否满足采购人的要求，服务承诺的可行性、完整性以及服务承诺落实的保障措施，最高</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12</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质保期内外的后续技术支持和维护能力情况等；（0-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13</w:t>
            </w:r>
          </w:p>
        </w:tc>
        <w:tc>
          <w:tcPr>
            <w:tcW w:w="5251" w:type="dxa"/>
            <w:vAlign w:val="center"/>
          </w:tcPr>
          <w:p>
            <w:pPr>
              <w:keepNext w:val="0"/>
              <w:keepLines w:val="0"/>
              <w:pageBreakBefore w:val="0"/>
              <w:kinsoku/>
              <w:wordWrap/>
              <w:overflowPunct/>
              <w:topLinePunct w:val="0"/>
              <w:autoSpaceDE/>
              <w:autoSpaceDN/>
              <w:bidi w:val="0"/>
              <w:adjustRightInd w:val="0"/>
              <w:snapToGrid w:val="0"/>
              <w:spacing w:beforeLines="0"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满足采购文件要求且满足现实的情况下，售后响应时间优于采购文件得</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分，满足采购文件得1分，其余不得分</w:t>
            </w:r>
            <w:r>
              <w:rPr>
                <w:rFonts w:hint="eastAsia" w:ascii="仿宋" w:hAnsi="仿宋" w:eastAsia="仿宋" w:cs="仿宋"/>
                <w:bCs/>
                <w:color w:val="auto"/>
                <w:sz w:val="24"/>
                <w:szCs w:val="24"/>
                <w:highlight w:val="none"/>
                <w:lang w:eastAsia="zh-CN"/>
              </w:rPr>
              <w:t>（配以实际证据说明）</w:t>
            </w:r>
            <w:r>
              <w:rPr>
                <w:rFonts w:hint="eastAsia" w:ascii="仿宋" w:hAnsi="仿宋" w:eastAsia="仿宋" w:cs="仿宋"/>
                <w:bCs/>
                <w:color w:val="auto"/>
                <w:sz w:val="24"/>
                <w:szCs w:val="24"/>
                <w:highlight w:val="none"/>
              </w:rPr>
              <w:t>。（0-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14</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投标人已设立或承诺中标后7日历天内在建德</w:t>
            </w:r>
            <w:r>
              <w:rPr>
                <w:rFonts w:hint="eastAsia" w:ascii="仿宋" w:hAnsi="仿宋" w:eastAsia="仿宋" w:cs="仿宋"/>
                <w:bCs/>
                <w:color w:val="auto"/>
                <w:sz w:val="24"/>
                <w:szCs w:val="24"/>
                <w:highlight w:val="none"/>
              </w:rPr>
              <w:t>地区范围内</w:t>
            </w:r>
            <w:r>
              <w:rPr>
                <w:rFonts w:hint="eastAsia" w:ascii="仿宋" w:hAnsi="仿宋" w:eastAsia="仿宋" w:cs="仿宋"/>
                <w:bCs/>
                <w:color w:val="auto"/>
                <w:sz w:val="24"/>
                <w:szCs w:val="24"/>
                <w:highlight w:val="none"/>
                <w:lang w:val="en-US" w:eastAsia="zh-CN"/>
              </w:rPr>
              <w:t>设立</w:t>
            </w:r>
            <w:r>
              <w:rPr>
                <w:rFonts w:hint="eastAsia" w:ascii="仿宋" w:hAnsi="仿宋" w:eastAsia="仿宋" w:cs="仿宋"/>
                <w:bCs/>
                <w:color w:val="auto"/>
                <w:sz w:val="24"/>
                <w:szCs w:val="24"/>
                <w:highlight w:val="none"/>
              </w:rPr>
              <w:t>售后服务网点在的得</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r>
              <w:rPr>
                <w:rFonts w:hint="eastAsia" w:ascii="仿宋" w:hAnsi="仿宋" w:eastAsia="仿宋" w:cs="仿宋"/>
                <w:bCs/>
                <w:color w:val="auto"/>
                <w:sz w:val="24"/>
                <w:szCs w:val="24"/>
                <w:highlight w:val="none"/>
                <w:lang w:val="en-US" w:eastAsia="zh-CN"/>
              </w:rPr>
              <w:t>在杭州地区范围内的得2分，</w:t>
            </w:r>
            <w:r>
              <w:rPr>
                <w:rFonts w:hint="eastAsia" w:ascii="仿宋" w:hAnsi="仿宋" w:eastAsia="仿宋" w:cs="仿宋"/>
                <w:bCs/>
                <w:color w:val="auto"/>
                <w:sz w:val="24"/>
                <w:szCs w:val="24"/>
                <w:highlight w:val="none"/>
              </w:rPr>
              <w:t>在浙江省境内的得1分。（</w:t>
            </w:r>
            <w:r>
              <w:rPr>
                <w:rFonts w:hint="eastAsia" w:ascii="仿宋" w:hAnsi="仿宋" w:eastAsia="仿宋" w:cs="仿宋"/>
                <w:bCs/>
                <w:color w:val="auto"/>
                <w:sz w:val="24"/>
                <w:szCs w:val="24"/>
                <w:highlight w:val="none"/>
                <w:lang w:val="en-US" w:eastAsia="zh-CN"/>
              </w:rPr>
              <w:t>售后服务网点需具备设备维修能力，提供营业执照或售后服务合同或承诺等证明材料</w:t>
            </w:r>
            <w:r>
              <w:rPr>
                <w:rFonts w:hint="eastAsia" w:ascii="仿宋" w:hAnsi="仿宋" w:eastAsia="仿宋" w:cs="仿宋"/>
                <w:bCs/>
                <w:color w:val="auto"/>
                <w:sz w:val="24"/>
                <w:szCs w:val="24"/>
                <w:highlight w:val="none"/>
              </w:rPr>
              <w:t>）</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15</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所有设备</w:t>
            </w:r>
            <w:r>
              <w:rPr>
                <w:rFonts w:hint="eastAsia" w:ascii="仿宋" w:hAnsi="仿宋" w:eastAsia="仿宋" w:cs="仿宋"/>
                <w:color w:val="auto"/>
                <w:sz w:val="24"/>
                <w:highlight w:val="none"/>
                <w:lang w:eastAsia="zh-CN"/>
              </w:rPr>
              <w:t>（消耗品或易耗件除外）</w:t>
            </w:r>
            <w:r>
              <w:rPr>
                <w:rFonts w:hint="eastAsia" w:ascii="仿宋" w:hAnsi="仿宋" w:eastAsia="仿宋" w:cs="仿宋"/>
                <w:color w:val="auto"/>
                <w:sz w:val="24"/>
                <w:highlight w:val="none"/>
              </w:rPr>
              <w:t>响应招标文件质保</w:t>
            </w:r>
            <w:r>
              <w:rPr>
                <w:rFonts w:hint="eastAsia" w:ascii="仿宋" w:hAnsi="仿宋" w:eastAsia="仿宋" w:cs="仿宋"/>
                <w:color w:val="auto"/>
                <w:sz w:val="24"/>
                <w:highlight w:val="none"/>
                <w:lang w:eastAsia="zh-CN"/>
              </w:rPr>
              <w:t>时间</w:t>
            </w:r>
            <w:r>
              <w:rPr>
                <w:rFonts w:hint="eastAsia" w:ascii="仿宋" w:hAnsi="仿宋" w:eastAsia="仿宋" w:cs="仿宋"/>
                <w:color w:val="auto"/>
                <w:sz w:val="24"/>
                <w:highlight w:val="none"/>
              </w:rPr>
              <w:t>要求</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的不得分，质保年限每延长一年得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分，最高</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16</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bCs/>
                <w:color w:val="auto"/>
                <w:sz w:val="24"/>
                <w:szCs w:val="24"/>
                <w:highlight w:val="none"/>
              </w:rPr>
            </w:pPr>
            <w:r>
              <w:rPr>
                <w:rFonts w:hint="eastAsia" w:ascii="仿宋" w:hAnsi="仿宋" w:eastAsia="仿宋" w:cs="仿宋"/>
                <w:color w:val="auto"/>
                <w:kern w:val="0"/>
                <w:sz w:val="24"/>
                <w:highlight w:val="none"/>
              </w:rPr>
              <w:t>供应商投标截止时间自2019年1月1日以后（以合同签订时间为准）的同类案例，每个案例需提供合同和验收报告复印件，每提供一个案例得1分，最高得3分。（同类案例是指与采购标的同品类的产品案例）。</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w:t>
            </w:r>
          </w:p>
        </w:tc>
        <w:tc>
          <w:tcPr>
            <w:tcW w:w="5251" w:type="dxa"/>
            <w:vAlign w:val="center"/>
          </w:tcPr>
          <w:p>
            <w:pPr>
              <w:jc w:val="left"/>
              <w:outlineLvl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lang w:eastAsia="zh-CN"/>
              </w:rPr>
              <w:t>样品评分，</w:t>
            </w:r>
            <w:r>
              <w:rPr>
                <w:rFonts w:hint="eastAsia" w:ascii="仿宋" w:hAnsi="仿宋" w:eastAsia="仿宋" w:cs="仿宋"/>
                <w:b/>
                <w:color w:val="auto"/>
                <w:kern w:val="0"/>
                <w:sz w:val="24"/>
                <w:highlight w:val="none"/>
              </w:rPr>
              <w:t>样品评标内容及标准</w:t>
            </w:r>
            <w:r>
              <w:rPr>
                <w:rFonts w:hint="eastAsia" w:ascii="仿宋" w:hAnsi="仿宋" w:eastAsia="仿宋" w:cs="仿宋"/>
                <w:color w:val="auto"/>
                <w:kern w:val="0"/>
                <w:sz w:val="24"/>
                <w:highlight w:val="none"/>
              </w:rPr>
              <w:t>附后。</w:t>
            </w:r>
            <w:r>
              <w:rPr>
                <w:rFonts w:hint="eastAsia" w:ascii="仿宋" w:hAnsi="仿宋" w:eastAsia="仿宋" w:cs="仿宋"/>
                <w:b/>
                <w:color w:val="auto"/>
                <w:kern w:val="0"/>
                <w:sz w:val="24"/>
                <w:highlight w:val="none"/>
              </w:rPr>
              <w:t>（未提供样品</w:t>
            </w:r>
            <w:r>
              <w:rPr>
                <w:rFonts w:hint="eastAsia" w:ascii="仿宋" w:hAnsi="仿宋" w:eastAsia="仿宋" w:cs="仿宋"/>
                <w:b/>
                <w:color w:val="auto"/>
                <w:kern w:val="0"/>
                <w:sz w:val="24"/>
                <w:highlight w:val="none"/>
                <w:lang w:eastAsia="zh-CN"/>
              </w:rPr>
              <w:t>作零分处理</w:t>
            </w:r>
            <w:r>
              <w:rPr>
                <w:rFonts w:hint="eastAsia" w:ascii="仿宋" w:hAnsi="仿宋" w:eastAsia="仿宋" w:cs="仿宋"/>
                <w:b/>
                <w:color w:val="auto"/>
                <w:kern w:val="0"/>
                <w:sz w:val="24"/>
                <w:highlight w:val="none"/>
              </w:rPr>
              <w:t>）</w:t>
            </w:r>
            <w:r>
              <w:rPr>
                <w:rFonts w:hint="eastAsia" w:ascii="仿宋" w:hAnsi="仿宋" w:eastAsia="仿宋" w:cs="仿宋"/>
                <w:color w:val="auto"/>
                <w:kern w:val="0"/>
                <w:sz w:val="24"/>
                <w:highlight w:val="none"/>
              </w:rPr>
              <w:t>。</w:t>
            </w:r>
          </w:p>
        </w:tc>
        <w:tc>
          <w:tcPr>
            <w:tcW w:w="918" w:type="dxa"/>
            <w:vAlign w:val="center"/>
          </w:tcPr>
          <w:p>
            <w:pPr>
              <w:spacing w:line="360" w:lineRule="auto"/>
              <w:ind w:firstLine="120" w:firstLineChars="50"/>
              <w:outlineLvl w:val="0"/>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val="en-US" w:eastAsia="zh-CN"/>
              </w:rPr>
              <w:t>10</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98" w:type="dxa"/>
            <w:vAlign w:val="center"/>
          </w:tcPr>
          <w:p>
            <w:pPr>
              <w:keepNext w:val="0"/>
              <w:keepLines w:val="0"/>
              <w:pageBreakBefore w:val="0"/>
              <w:widowControl/>
              <w:suppressLineNumbers w:val="0"/>
              <w:kinsoku/>
              <w:wordWrap/>
              <w:overflowPunct/>
              <w:topLinePunct w:val="0"/>
              <w:autoSpaceDE/>
              <w:autoSpaceDN/>
              <w:bidi w:val="0"/>
              <w:adjustRightInd w:val="0"/>
              <w:spacing w:line="420" w:lineRule="exact"/>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18</w:t>
            </w:r>
          </w:p>
        </w:tc>
        <w:tc>
          <w:tcPr>
            <w:tcW w:w="5251" w:type="dxa"/>
            <w:vAlign w:val="center"/>
          </w:tcPr>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有效投标报价的最低价作为评标基准价，其最低报价为满分；按［投标报价得分=（评标基准价/投标报价）*30］的计算公式计算。</w:t>
            </w:r>
          </w:p>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评标过程中，不得去掉报价中的最高报价和最低报价。</w:t>
            </w:r>
          </w:p>
          <w:p>
            <w:pPr>
              <w:keepNext w:val="0"/>
              <w:keepLines w:val="0"/>
              <w:pageBreakBefore w:val="0"/>
              <w:kinsoku/>
              <w:wordWrap/>
              <w:overflowPunct/>
              <w:topLinePunct w:val="0"/>
              <w:autoSpaceDE/>
              <w:autoSpaceDN/>
              <w:bidi w:val="0"/>
              <w:adjustRightInd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因落实政府采购政策需要进行价格调整的，以调整后的价格计算评标基准价和投标报价。</w:t>
            </w:r>
          </w:p>
        </w:tc>
        <w:tc>
          <w:tcPr>
            <w:tcW w:w="918" w:type="dxa"/>
            <w:vAlign w:val="center"/>
          </w:tcPr>
          <w:p>
            <w:pPr>
              <w:keepNext w:val="0"/>
              <w:keepLines w:val="0"/>
              <w:pageBreakBefore w:val="0"/>
              <w:kinsoku/>
              <w:wordWrap/>
              <w:overflowPunct/>
              <w:topLinePunct w:val="0"/>
              <w:autoSpaceDE/>
              <w:autoSpaceDN/>
              <w:bidi w:val="0"/>
              <w:adjustRightInd w:val="0"/>
              <w:spacing w:line="420" w:lineRule="exact"/>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30</w:t>
            </w:r>
          </w:p>
        </w:tc>
        <w:tc>
          <w:tcPr>
            <w:tcW w:w="2249" w:type="dxa"/>
            <w:vAlign w:val="center"/>
          </w:tcPr>
          <w:p>
            <w:pPr>
              <w:keepNext w:val="0"/>
              <w:keepLines w:val="0"/>
              <w:pageBreakBefore w:val="0"/>
              <w:kinsoku/>
              <w:wordWrap/>
              <w:overflowPunct/>
              <w:topLinePunct w:val="0"/>
              <w:autoSpaceDE/>
              <w:autoSpaceDN/>
              <w:bidi w:val="0"/>
              <w:adjustRightInd w:val="0"/>
              <w:spacing w:line="42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bl>
    <w:p>
      <w:pPr>
        <w:spacing w:line="360" w:lineRule="exact"/>
        <w:rPr>
          <w:rFonts w:hint="eastAsia" w:ascii="仿宋" w:hAnsi="仿宋" w:eastAsia="仿宋" w:cs="仿宋"/>
          <w:b/>
          <w:color w:val="auto"/>
          <w:kern w:val="0"/>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spacing w:line="360" w:lineRule="exact"/>
        <w:ind w:firstLine="2650" w:firstLineChars="1100"/>
        <w:rPr>
          <w:rFonts w:hint="eastAsia" w:ascii="仿宋" w:hAnsi="仿宋" w:eastAsia="仿宋" w:cs="仿宋"/>
          <w:b/>
          <w:color w:val="auto"/>
          <w:kern w:val="0"/>
          <w:sz w:val="24"/>
          <w:highlight w:val="none"/>
        </w:rPr>
      </w:pPr>
    </w:p>
    <w:p>
      <w:pPr>
        <w:spacing w:line="360" w:lineRule="exact"/>
        <w:ind w:firstLine="2650" w:firstLineChars="1100"/>
        <w:rPr>
          <w:rFonts w:hint="eastAsia" w:ascii="仿宋" w:hAnsi="仿宋" w:eastAsia="仿宋" w:cs="仿宋"/>
          <w:b/>
          <w:color w:val="auto"/>
          <w:kern w:val="0"/>
          <w:sz w:val="24"/>
          <w:highlight w:val="none"/>
        </w:rPr>
      </w:pPr>
    </w:p>
    <w:p>
      <w:pPr>
        <w:spacing w:line="360" w:lineRule="exact"/>
        <w:ind w:firstLine="2650" w:firstLineChars="11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样品评标内容及标准</w:t>
      </w:r>
    </w:p>
    <w:p>
      <w:pPr>
        <w:spacing w:line="360" w:lineRule="exact"/>
        <w:ind w:firstLine="7349" w:firstLineChars="3050"/>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rPr>
        <w:t>分值：</w:t>
      </w:r>
      <w:r>
        <w:rPr>
          <w:rFonts w:hint="eastAsia" w:ascii="仿宋" w:hAnsi="仿宋" w:eastAsia="仿宋" w:cs="仿宋"/>
          <w:b/>
          <w:color w:val="auto"/>
          <w:kern w:val="0"/>
          <w:sz w:val="24"/>
          <w:highlight w:val="none"/>
          <w:lang w:val="en-US" w:eastAsia="zh-CN"/>
        </w:rPr>
        <w:t>10</w:t>
      </w:r>
    </w:p>
    <w:tbl>
      <w:tblPr>
        <w:tblStyle w:val="63"/>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851"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  目</w:t>
            </w:r>
          </w:p>
        </w:tc>
        <w:tc>
          <w:tcPr>
            <w:tcW w:w="7371"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评分内容和标准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样品质量评价（</w:t>
            </w:r>
            <w:r>
              <w:rPr>
                <w:rFonts w:hint="eastAsia" w:ascii="仿宋" w:hAnsi="仿宋" w:eastAsia="仿宋" w:cs="仿宋"/>
                <w:color w:val="auto"/>
                <w:kern w:val="0"/>
                <w:sz w:val="24"/>
                <w:highlight w:val="none"/>
                <w:lang w:eastAsia="zh-CN"/>
              </w:rPr>
              <w:t>整体及材料要求</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分</w:t>
            </w:r>
          </w:p>
        </w:tc>
        <w:tc>
          <w:tcPr>
            <w:tcW w:w="7371"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Lines="0" w:line="44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样品的整体规格、材料的品质及厚度符合招标文件要求得</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分；每有一处不符合扣1分，扣完为止。（0-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spacing w:line="400" w:lineRule="exact"/>
              <w:ind w:right="-107" w:rightChars="-51"/>
              <w:jc w:val="left"/>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样品质量评价（</w:t>
            </w:r>
            <w:r>
              <w:rPr>
                <w:rFonts w:hint="eastAsia" w:ascii="仿宋" w:hAnsi="仿宋" w:eastAsia="仿宋" w:cs="仿宋"/>
                <w:color w:val="auto"/>
                <w:kern w:val="0"/>
                <w:sz w:val="24"/>
                <w:highlight w:val="none"/>
                <w:lang w:eastAsia="zh-CN"/>
              </w:rPr>
              <w:t>制作工艺</w:t>
            </w:r>
            <w:r>
              <w:rPr>
                <w:rFonts w:hint="eastAsia" w:ascii="仿宋" w:hAnsi="仿宋" w:eastAsia="仿宋" w:cs="仿宋"/>
                <w:color w:val="auto"/>
                <w:kern w:val="0"/>
                <w:sz w:val="24"/>
                <w:highlight w:val="none"/>
              </w:rPr>
              <w:t>）3分</w:t>
            </w:r>
          </w:p>
        </w:tc>
        <w:tc>
          <w:tcPr>
            <w:tcW w:w="7371" w:type="dxa"/>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beforeLines="0" w:line="44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样品制作工艺：样品外表应光滑，倒棱、圆角、圆线应均匀一致，调节脚铸铁浇筑成型、平整、端正、牢固，结合处应无开裂等情况。每有一处不符合扣1分，扣完为止。（0-</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p>
            <w:pPr>
              <w:spacing w:line="400" w:lineRule="exact"/>
              <w:ind w:right="-107" w:rightChars="-51"/>
              <w:jc w:val="left"/>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eastAsia="zh-CN"/>
              </w:rPr>
              <w:t>功能性要求</w:t>
            </w:r>
            <w:r>
              <w:rPr>
                <w:rFonts w:hint="eastAsia" w:ascii="仿宋" w:hAnsi="仿宋" w:eastAsia="仿宋" w:cs="仿宋"/>
                <w:color w:val="auto"/>
                <w:kern w:val="0"/>
                <w:sz w:val="24"/>
                <w:highlight w:val="none"/>
                <w:lang w:val="en-US" w:eastAsia="zh-CN"/>
              </w:rPr>
              <w:t>2分</w:t>
            </w:r>
          </w:p>
        </w:tc>
        <w:tc>
          <w:tcPr>
            <w:tcW w:w="7371"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right="-107" w:rightChars="-51"/>
              <w:jc w:val="left"/>
              <w:rPr>
                <w:rFonts w:hint="eastAsia" w:ascii="仿宋" w:hAnsi="仿宋" w:eastAsia="仿宋" w:cs="仿宋"/>
                <w:color w:val="auto"/>
                <w:kern w:val="0"/>
                <w:sz w:val="24"/>
                <w:highlight w:val="none"/>
              </w:rPr>
            </w:pPr>
            <w:r>
              <w:rPr>
                <w:rFonts w:hint="eastAsia" w:ascii="仿宋" w:hAnsi="仿宋" w:eastAsia="仿宋" w:cs="仿宋"/>
                <w:bCs/>
                <w:color w:val="auto"/>
                <w:sz w:val="24"/>
                <w:szCs w:val="24"/>
                <w:highlight w:val="none"/>
              </w:rPr>
              <w:t>功能是否符合招标文件要求的得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分，每有一处不符合扣1分，扣完为止。（0-</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right="-107" w:rightChars="-51"/>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外观式样</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tc>
        <w:tc>
          <w:tcPr>
            <w:tcW w:w="7371"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right="-107" w:rightChars="-51"/>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根据样品外观新颖、美观、整洁、实用等情况打分，最高分得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r>
    </w:tbl>
    <w:p>
      <w:pPr>
        <w:adjustRightInd/>
        <w:rPr>
          <w:rFonts w:hint="eastAsia" w:ascii="仿宋" w:hAnsi="仿宋" w:eastAsia="仿宋" w:cs="仿宋"/>
          <w:b/>
          <w:color w:val="auto"/>
          <w:kern w:val="0"/>
          <w:sz w:val="24"/>
          <w:highlight w:val="none"/>
        </w:rPr>
      </w:pP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w:t>
      </w:r>
    </w:p>
    <w:p>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pPr>
        <w:spacing w:line="360" w:lineRule="auto"/>
        <w:outlineLvl w:val="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三、评标程序</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134"/>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4"/>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134"/>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有下列情况之一的，投标无效：</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pPr>
        <w:pStyle w:val="3"/>
        <w:ind w:left="105" w:leftChars="50" w:firstLine="360" w:firstLineChars="15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pPr>
        <w:pStyle w:val="16"/>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pPr>
        <w:pStyle w:val="16"/>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6"/>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16"/>
        <w:snapToGrid w:val="0"/>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16"/>
        <w:snapToGrid w:val="0"/>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16"/>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bookmarkEnd w:id="29"/>
    <w:p>
      <w:pPr>
        <w:spacing w:line="360" w:lineRule="auto"/>
        <w:ind w:left="720" w:leftChars="343" w:firstLine="1084" w:firstLineChars="300"/>
        <w:outlineLvl w:val="0"/>
        <w:rPr>
          <w:rFonts w:hint="eastAsia" w:ascii="仿宋" w:hAnsi="仿宋" w:eastAsia="仿宋" w:cs="仿宋"/>
          <w:b/>
          <w:color w:val="auto"/>
          <w:sz w:val="36"/>
          <w:szCs w:val="36"/>
          <w:highlight w:val="none"/>
        </w:rPr>
      </w:pPr>
      <w:bookmarkStart w:id="395" w:name="第五部分"/>
      <w:bookmarkStart w:id="396" w:name="_Toc86217003"/>
      <w:r>
        <w:rPr>
          <w:rFonts w:hint="eastAsia" w:ascii="仿宋" w:hAnsi="仿宋" w:eastAsia="仿宋" w:cs="仿宋"/>
          <w:b/>
          <w:color w:val="auto"/>
          <w:sz w:val="36"/>
          <w:szCs w:val="36"/>
          <w:highlight w:val="none"/>
        </w:rPr>
        <w:t>第五部分 拟签订的合同文本</w:t>
      </w: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lang w:eastAsia="zh-CN"/>
        </w:rPr>
        <w:t>（</w:t>
      </w:r>
      <w:r>
        <w:rPr>
          <w:rFonts w:hint="eastAsia" w:ascii="仿宋" w:hAnsi="仿宋" w:eastAsia="仿宋" w:cs="仿宋"/>
          <w:b/>
          <w:color w:val="auto"/>
          <w:sz w:val="36"/>
          <w:szCs w:val="36"/>
          <w:highlight w:val="none"/>
          <w:lang w:val="en-US" w:eastAsia="zh-CN"/>
        </w:rPr>
        <w:t>以最终合同为准）</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700"/>
        <w:rPr>
          <w:rFonts w:hint="eastAsia" w:ascii="仿宋" w:hAnsi="仿宋" w:eastAsia="仿宋" w:cs="仿宋"/>
          <w:color w:val="auto"/>
          <w:szCs w:val="24"/>
          <w:highlight w:val="none"/>
        </w:rPr>
      </w:pPr>
    </w:p>
    <w:p>
      <w:pPr>
        <w:pStyle w:val="700"/>
        <w:jc w:val="center"/>
        <w:rPr>
          <w:rFonts w:hint="eastAsia" w:ascii="仿宋" w:hAnsi="仿宋" w:eastAsia="仿宋" w:cs="仿宋"/>
          <w:color w:val="auto"/>
          <w:szCs w:val="24"/>
          <w:highlight w:val="none"/>
        </w:rPr>
      </w:pP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700"/>
        <w:rPr>
          <w:rFonts w:hint="eastAsia" w:ascii="仿宋" w:hAnsi="仿宋" w:eastAsia="仿宋" w:cs="仿宋"/>
          <w:color w:val="auto"/>
          <w:szCs w:val="24"/>
          <w:highlight w:val="none"/>
        </w:rPr>
      </w:pPr>
    </w:p>
    <w:p>
      <w:pPr>
        <w:pStyle w:val="700"/>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建德市看守所迁建工程厨房设备采购项目</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2022</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5" w:h="16838"/>
          <w:pgMar w:top="1474" w:right="1814" w:bottom="1474" w:left="1814" w:header="851" w:footer="850" w:gutter="0"/>
          <w:cols w:space="0" w:num="1"/>
          <w:rtlGutter w:val="0"/>
          <w:docGrid w:linePitch="0"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lang w:val="en-US" w:eastAsia="zh-CN"/>
        </w:rPr>
        <w:t>2022</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公开招标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建德市看守所迁建工程厨房设备采购项目</w:t>
      </w:r>
      <w:r>
        <w:rPr>
          <w:rFonts w:hint="eastAsia" w:ascii="仿宋" w:hAnsi="仿宋" w:eastAsia="仿宋" w:cs="仿宋"/>
          <w:color w:val="auto"/>
          <w:sz w:val="24"/>
          <w:highlight w:val="none"/>
          <w:u w:val="single"/>
        </w:rPr>
        <w:t xml:space="preserve">（同前页项目名称）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建德市看守所迁建工程厨房设备采购项目评标委员会</w:t>
      </w:r>
      <w:r>
        <w:rPr>
          <w:rFonts w:hint="eastAsia" w:ascii="仿宋" w:hAnsi="仿宋" w:eastAsia="仿宋" w:cs="仿宋"/>
          <w:color w:val="auto"/>
          <w:sz w:val="24"/>
          <w:highlight w:val="none"/>
          <w:u w:val="single"/>
        </w:rPr>
        <w:t xml:space="preserve">（相关评定主体名称）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397" w:name="_Toc3029"/>
      <w:bookmarkStart w:id="398" w:name="_Toc24059"/>
      <w:bookmarkStart w:id="399" w:name="_Toc2232"/>
      <w:r>
        <w:rPr>
          <w:rFonts w:hint="eastAsia" w:ascii="仿宋" w:hAnsi="仿宋" w:eastAsia="仿宋" w:cs="仿宋"/>
          <w:b/>
          <w:color w:val="auto"/>
          <w:sz w:val="24"/>
          <w:highlight w:val="none"/>
        </w:rPr>
        <w:t>1.1 合同组成部分</w:t>
      </w:r>
      <w:bookmarkEnd w:id="397"/>
      <w:bookmarkEnd w:id="398"/>
      <w:bookmarkEnd w:id="3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00" w:name="_Toc21295"/>
      <w:bookmarkStart w:id="401" w:name="_Toc27126"/>
      <w:bookmarkStart w:id="402" w:name="_Toc24300"/>
      <w:r>
        <w:rPr>
          <w:rFonts w:hint="eastAsia" w:ascii="仿宋" w:hAnsi="仿宋" w:eastAsia="仿宋" w:cs="仿宋"/>
          <w:b/>
          <w:color w:val="auto"/>
          <w:sz w:val="24"/>
          <w:highlight w:val="none"/>
        </w:rPr>
        <w:t>1.2 货物</w:t>
      </w:r>
      <w:bookmarkEnd w:id="400"/>
      <w:bookmarkEnd w:id="401"/>
      <w:bookmarkEnd w:id="402"/>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03" w:name="_Toc21631"/>
      <w:bookmarkStart w:id="404" w:name="_Toc23292"/>
      <w:bookmarkStart w:id="405" w:name="_Toc21551"/>
      <w:r>
        <w:rPr>
          <w:rFonts w:hint="eastAsia" w:ascii="仿宋" w:hAnsi="仿宋" w:eastAsia="仿宋" w:cs="仿宋"/>
          <w:b/>
          <w:color w:val="auto"/>
          <w:sz w:val="24"/>
          <w:highlight w:val="none"/>
        </w:rPr>
        <w:t>1.3 价款</w:t>
      </w:r>
      <w:bookmarkEnd w:id="403"/>
      <w:bookmarkEnd w:id="404"/>
      <w:bookmarkEnd w:id="40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color w:val="auto"/>
                <w:sz w:val="24"/>
                <w:szCs w:val="24"/>
                <w:highlight w:val="none"/>
              </w:rPr>
            </w:pPr>
          </w:p>
        </w:tc>
      </w:tr>
    </w:tbl>
    <w:p>
      <w:pPr>
        <w:spacing w:line="560" w:lineRule="exact"/>
        <w:ind w:firstLine="482" w:firstLineChars="200"/>
        <w:outlineLvl w:val="0"/>
        <w:rPr>
          <w:rFonts w:hint="eastAsia" w:ascii="仿宋" w:hAnsi="仿宋" w:eastAsia="仿宋" w:cs="仿宋"/>
          <w:b/>
          <w:color w:val="auto"/>
          <w:sz w:val="24"/>
          <w:highlight w:val="none"/>
        </w:rPr>
      </w:pPr>
      <w:bookmarkStart w:id="406" w:name="_Toc1814"/>
      <w:bookmarkStart w:id="407" w:name="_Toc10340"/>
      <w:bookmarkStart w:id="408" w:name="_Toc22618"/>
      <w:r>
        <w:rPr>
          <w:rFonts w:hint="eastAsia" w:ascii="仿宋" w:hAnsi="仿宋" w:eastAsia="仿宋" w:cs="仿宋"/>
          <w:b/>
          <w:color w:val="auto"/>
          <w:sz w:val="24"/>
          <w:highlight w:val="none"/>
        </w:rPr>
        <w:t>1.4 付款</w:t>
      </w:r>
      <w:bookmarkEnd w:id="406"/>
      <w:bookmarkEnd w:id="407"/>
      <w:bookmarkEnd w:id="408"/>
      <w:r>
        <w:rPr>
          <w:rFonts w:hint="eastAsia" w:ascii="仿宋" w:hAnsi="仿宋" w:eastAsia="仿宋" w:cs="仿宋"/>
          <w:b/>
          <w:color w:val="auto"/>
          <w:sz w:val="24"/>
          <w:highlight w:val="none"/>
        </w:rPr>
        <w:t>方式、时间和条件</w:t>
      </w:r>
    </w:p>
    <w:p>
      <w:pPr>
        <w:pStyle w:val="958"/>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r>
        <w:rPr>
          <w:rFonts w:hint="eastAsia" w:ascii="仿宋" w:hAnsi="仿宋" w:eastAsia="仿宋" w:cs="仿宋"/>
          <w:color w:val="auto"/>
          <w:sz w:val="24"/>
          <w:highlight w:val="none"/>
        </w:rPr>
        <w:t>甲方在政府采购合同中约定预付款，对于中小企业合同预付款比例原则上不低于合同金额的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%，不高于合同金额的70%；项目分年安排预算的，每年预付款比例不低于合同金额的</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0％，不高于年度计划支付资金额的70%。采购项目实施以人工投入为主的，可适当降低预付款比例，但不低于20%。乙方可登录政采云前台大厅选择金融服务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09" w:name="_Toc32071"/>
      <w:bookmarkStart w:id="410" w:name="_Toc19304"/>
      <w:bookmarkStart w:id="411" w:name="_Toc2846"/>
      <w:r>
        <w:rPr>
          <w:rFonts w:hint="eastAsia" w:ascii="仿宋" w:hAnsi="仿宋" w:eastAsia="仿宋" w:cs="仿宋"/>
          <w:b/>
          <w:color w:val="auto"/>
          <w:sz w:val="24"/>
          <w:highlight w:val="none"/>
        </w:rPr>
        <w:t>1.5 货物交付期限、地点和方式</w:t>
      </w:r>
      <w:bookmarkEnd w:id="409"/>
      <w:bookmarkEnd w:id="410"/>
      <w:bookmarkEnd w:id="411"/>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12" w:name="_Toc21423"/>
      <w:bookmarkStart w:id="413" w:name="_Toc27250"/>
      <w:bookmarkStart w:id="414" w:name="_Toc19554"/>
      <w:r>
        <w:rPr>
          <w:rFonts w:hint="eastAsia" w:ascii="仿宋" w:hAnsi="仿宋" w:eastAsia="仿宋" w:cs="仿宋"/>
          <w:b/>
          <w:color w:val="auto"/>
          <w:sz w:val="24"/>
          <w:highlight w:val="none"/>
        </w:rPr>
        <w:t>1.6 违约责任</w:t>
      </w:r>
      <w:bookmarkEnd w:id="412"/>
      <w:bookmarkEnd w:id="413"/>
      <w:bookmarkEnd w:id="4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415" w:name="_Toc28375"/>
      <w:bookmarkStart w:id="416" w:name="_Toc15583"/>
      <w:bookmarkStart w:id="417" w:name="_Toc16021"/>
      <w:r>
        <w:rPr>
          <w:rFonts w:hint="eastAsia" w:ascii="仿宋" w:hAnsi="仿宋" w:eastAsia="仿宋" w:cs="仿宋"/>
          <w:b/>
          <w:color w:val="auto"/>
          <w:sz w:val="24"/>
          <w:highlight w:val="none"/>
        </w:rPr>
        <w:t>1.7 合同争议的解决</w:t>
      </w:r>
      <w:bookmarkEnd w:id="415"/>
      <w:bookmarkEnd w:id="416"/>
      <w:bookmarkEnd w:id="417"/>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418" w:name="_Toc11173"/>
      <w:bookmarkStart w:id="419" w:name="_Toc7245"/>
      <w:bookmarkStart w:id="420" w:name="_Toc15322"/>
      <w:r>
        <w:rPr>
          <w:rFonts w:hint="eastAsia" w:ascii="仿宋" w:hAnsi="仿宋" w:eastAsia="仿宋" w:cs="仿宋"/>
          <w:b/>
          <w:color w:val="auto"/>
          <w:sz w:val="24"/>
          <w:highlight w:val="none"/>
        </w:rPr>
        <w:t>1.8 合同生效</w:t>
      </w:r>
      <w:bookmarkEnd w:id="418"/>
      <w:bookmarkEnd w:id="419"/>
      <w:bookmarkEnd w:id="42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hint="eastAsia" w:ascii="仿宋" w:hAnsi="仿宋" w:eastAsia="仿宋" w:cs="仿宋"/>
          <w:b/>
          <w:color w:val="auto"/>
          <w:sz w:val="24"/>
          <w:highlight w:val="none"/>
        </w:rPr>
      </w:pPr>
      <w:bookmarkStart w:id="421" w:name="_Toc331685783"/>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bookmarkEnd w:id="421"/>
    </w:p>
    <w:p>
      <w:pPr>
        <w:spacing w:line="560" w:lineRule="exact"/>
        <w:ind w:firstLine="482" w:firstLineChars="200"/>
        <w:outlineLvl w:val="0"/>
        <w:rPr>
          <w:rFonts w:hint="eastAsia" w:ascii="仿宋" w:hAnsi="仿宋" w:eastAsia="仿宋" w:cs="仿宋"/>
          <w:b/>
          <w:color w:val="auto"/>
          <w:sz w:val="24"/>
          <w:highlight w:val="none"/>
        </w:rPr>
      </w:pPr>
      <w:bookmarkStart w:id="422" w:name="_Toc487900349"/>
      <w:bookmarkStart w:id="423" w:name="_Ref467379205"/>
      <w:bookmarkStart w:id="424" w:name="_Ref467379195"/>
      <w:bookmarkStart w:id="425" w:name="_Toc19614"/>
      <w:bookmarkStart w:id="426" w:name="_Ref467379101"/>
      <w:bookmarkStart w:id="427" w:name="_Ref467379094"/>
      <w:bookmarkStart w:id="428" w:name="_Ref467378499"/>
      <w:bookmarkStart w:id="429" w:name="_Toc16917"/>
      <w:bookmarkStart w:id="430" w:name="_Ref467379225"/>
      <w:bookmarkStart w:id="431" w:name="_Toc28763"/>
      <w:bookmarkStart w:id="432" w:name="_Ref467379214"/>
      <w:bookmarkStart w:id="433" w:name="_Toc279701240"/>
      <w:bookmarkStart w:id="434" w:name="_Toc259093669"/>
      <w:bookmarkStart w:id="435" w:name="_Ref467378404"/>
      <w:bookmarkStart w:id="436" w:name="_Ref467378463"/>
      <w:bookmarkStart w:id="437" w:name="_Ref467379109"/>
      <w:r>
        <w:rPr>
          <w:rFonts w:hint="eastAsia" w:ascii="仿宋" w:hAnsi="仿宋" w:eastAsia="仿宋" w:cs="仿宋"/>
          <w:b/>
          <w:color w:val="auto"/>
          <w:sz w:val="24"/>
          <w:highlight w:val="none"/>
        </w:rPr>
        <w:t>2.1 定义</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438" w:name="_Ref467378840"/>
      <w:r>
        <w:rPr>
          <w:rFonts w:hint="eastAsia" w:ascii="仿宋" w:hAnsi="仿宋" w:eastAsia="仿宋" w:cs="仿宋"/>
          <w:color w:val="auto"/>
          <w:sz w:val="24"/>
          <w:highlight w:val="none"/>
        </w:rPr>
        <w:t>2.1.4 “甲方”系指与中标供应商签署合同的采购人</w:t>
      </w:r>
      <w:bookmarkEnd w:id="438"/>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439" w:name="_Ref467379400"/>
      <w:r>
        <w:rPr>
          <w:rFonts w:hint="eastAsia" w:ascii="仿宋" w:hAnsi="仿宋" w:eastAsia="仿宋" w:cs="仿宋"/>
          <w:color w:val="auto"/>
          <w:sz w:val="24"/>
          <w:highlight w:val="none"/>
        </w:rPr>
        <w:t>2.1.5 “乙方”系指根据合同约定交付货物的中标供应商</w:t>
      </w:r>
      <w:bookmarkEnd w:id="43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440" w:name="_Ref467379436"/>
      <w:r>
        <w:rPr>
          <w:rFonts w:hint="eastAsia" w:ascii="仿宋" w:hAnsi="仿宋" w:eastAsia="仿宋" w:cs="仿宋"/>
          <w:color w:val="auto"/>
          <w:sz w:val="24"/>
          <w:highlight w:val="none"/>
        </w:rPr>
        <w:t>2.1.6 “现场”系指合同约定货物将要运至或者安装的地点。</w:t>
      </w:r>
      <w:bookmarkEnd w:id="440"/>
    </w:p>
    <w:p>
      <w:pPr>
        <w:spacing w:line="560" w:lineRule="exact"/>
        <w:ind w:firstLine="482" w:firstLineChars="200"/>
        <w:outlineLvl w:val="0"/>
        <w:rPr>
          <w:rFonts w:hint="eastAsia" w:ascii="仿宋" w:hAnsi="仿宋" w:eastAsia="仿宋" w:cs="仿宋"/>
          <w:b/>
          <w:color w:val="auto"/>
          <w:sz w:val="24"/>
          <w:highlight w:val="none"/>
        </w:rPr>
      </w:pPr>
      <w:bookmarkStart w:id="441" w:name="_Toc13336"/>
      <w:bookmarkStart w:id="442" w:name="_Toc27635"/>
      <w:bookmarkStart w:id="443" w:name="_Toc259093670"/>
      <w:bookmarkStart w:id="444" w:name="_Toc32504"/>
      <w:bookmarkStart w:id="445" w:name="_Toc279701241"/>
      <w:bookmarkStart w:id="446" w:name="_Toc487900350"/>
      <w:r>
        <w:rPr>
          <w:rFonts w:hint="eastAsia" w:ascii="仿宋" w:hAnsi="仿宋" w:eastAsia="仿宋" w:cs="仿宋"/>
          <w:b/>
          <w:color w:val="auto"/>
          <w:sz w:val="24"/>
          <w:highlight w:val="none"/>
        </w:rPr>
        <w:t>2.2 技术规范</w:t>
      </w:r>
      <w:bookmarkEnd w:id="441"/>
      <w:bookmarkEnd w:id="442"/>
      <w:bookmarkEnd w:id="443"/>
      <w:bookmarkEnd w:id="444"/>
      <w:bookmarkEnd w:id="445"/>
      <w:bookmarkEnd w:id="44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447" w:name="_Toc487900351"/>
      <w:bookmarkStart w:id="448" w:name="_Toc259093671"/>
      <w:bookmarkStart w:id="449" w:name="_Toc27853"/>
      <w:bookmarkStart w:id="450" w:name="_Toc31634"/>
      <w:bookmarkStart w:id="451" w:name="_Toc9829"/>
      <w:bookmarkStart w:id="452" w:name="_Toc279701242"/>
      <w:r>
        <w:rPr>
          <w:rFonts w:hint="eastAsia" w:ascii="仿宋" w:hAnsi="仿宋" w:eastAsia="仿宋" w:cs="仿宋"/>
          <w:b/>
          <w:color w:val="auto"/>
          <w:sz w:val="24"/>
          <w:highlight w:val="none"/>
        </w:rPr>
        <w:t>2.3 知识产权</w:t>
      </w:r>
      <w:bookmarkEnd w:id="447"/>
      <w:bookmarkEnd w:id="448"/>
      <w:bookmarkEnd w:id="449"/>
      <w:bookmarkEnd w:id="450"/>
      <w:bookmarkEnd w:id="451"/>
      <w:bookmarkEnd w:id="4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53" w:name="_Toc29149"/>
      <w:bookmarkStart w:id="454" w:name="_Toc11932"/>
      <w:bookmarkStart w:id="455" w:name="_Toc4194"/>
      <w:r>
        <w:rPr>
          <w:rFonts w:hint="eastAsia" w:ascii="仿宋" w:hAnsi="仿宋" w:eastAsia="仿宋" w:cs="仿宋"/>
          <w:b/>
          <w:color w:val="auto"/>
          <w:sz w:val="24"/>
          <w:highlight w:val="none"/>
        </w:rPr>
        <w:t>2.4 包装和装运</w:t>
      </w:r>
      <w:bookmarkEnd w:id="453"/>
      <w:bookmarkEnd w:id="454"/>
      <w:bookmarkEnd w:id="45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56" w:name="_Ref467379527"/>
      <w:bookmarkStart w:id="457" w:name="_Ref467378591"/>
      <w:bookmarkStart w:id="458" w:name="_Ref467378541"/>
      <w:bookmarkStart w:id="459" w:name="_Toc487900354"/>
      <w:bookmarkStart w:id="460" w:name="_Toc259093674"/>
      <w:bookmarkStart w:id="461" w:name="_Ref467379536"/>
      <w:bookmarkStart w:id="462" w:name="_Toc279701245"/>
      <w:bookmarkStart w:id="463" w:name="_Ref467379542"/>
      <w:bookmarkStart w:id="464" w:name="_Toc30272"/>
      <w:bookmarkStart w:id="465" w:name="_Toc19074"/>
      <w:bookmarkStart w:id="466" w:name="_Toc26182"/>
      <w:r>
        <w:rPr>
          <w:rFonts w:hint="eastAsia" w:ascii="仿宋" w:hAnsi="仿宋" w:eastAsia="仿宋" w:cs="仿宋"/>
          <w:b/>
          <w:color w:val="auto"/>
          <w:sz w:val="24"/>
          <w:highlight w:val="none"/>
        </w:rPr>
        <w:t>2.</w:t>
      </w:r>
      <w:bookmarkEnd w:id="456"/>
      <w:bookmarkEnd w:id="457"/>
      <w:bookmarkEnd w:id="458"/>
      <w:bookmarkEnd w:id="459"/>
      <w:bookmarkEnd w:id="460"/>
      <w:bookmarkEnd w:id="461"/>
      <w:bookmarkEnd w:id="462"/>
      <w:bookmarkEnd w:id="463"/>
      <w:r>
        <w:rPr>
          <w:rFonts w:hint="eastAsia" w:ascii="仿宋" w:hAnsi="仿宋" w:eastAsia="仿宋" w:cs="仿宋"/>
          <w:b/>
          <w:color w:val="auto"/>
          <w:sz w:val="24"/>
          <w:highlight w:val="none"/>
        </w:rPr>
        <w:t>5 履约检查和问题反馈</w:t>
      </w:r>
      <w:bookmarkEnd w:id="464"/>
      <w:bookmarkEnd w:id="465"/>
      <w:bookmarkEnd w:id="466"/>
    </w:p>
    <w:p>
      <w:pPr>
        <w:spacing w:line="560" w:lineRule="exact"/>
        <w:ind w:firstLine="480" w:firstLineChars="200"/>
        <w:rPr>
          <w:rFonts w:hint="eastAsia" w:ascii="仿宋" w:hAnsi="仿宋" w:eastAsia="仿宋" w:cs="仿宋"/>
          <w:color w:val="auto"/>
          <w:sz w:val="24"/>
          <w:highlight w:val="none"/>
        </w:rPr>
      </w:pPr>
      <w:bookmarkStart w:id="467" w:name="_Ref467379657"/>
      <w:r>
        <w:rPr>
          <w:rFonts w:hint="eastAsia" w:ascii="仿宋" w:hAnsi="仿宋" w:eastAsia="仿宋" w:cs="仿宋"/>
          <w:color w:val="auto"/>
          <w:sz w:val="24"/>
          <w:highlight w:val="none"/>
        </w:rPr>
        <w:t>2.5.1</w:t>
      </w:r>
      <w:bookmarkEnd w:id="467"/>
      <w:bookmarkStart w:id="468" w:name="_Toc186431854"/>
      <w:bookmarkStart w:id="469" w:name="_Toc487900357"/>
      <w:bookmarkStart w:id="470" w:name="_Toc279701247"/>
      <w:bookmarkStart w:id="471" w:name="_Toc259093676"/>
      <w:bookmarkStart w:id="472" w:name="_Ref467379807"/>
      <w:bookmarkStart w:id="473"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468"/>
      <w:bookmarkStart w:id="474" w:name="_Toc186431855"/>
      <w:r>
        <w:rPr>
          <w:rFonts w:hint="eastAsia" w:ascii="仿宋" w:hAnsi="仿宋" w:eastAsia="仿宋" w:cs="仿宋"/>
          <w:color w:val="auto"/>
          <w:sz w:val="24"/>
          <w:highlight w:val="none"/>
        </w:rPr>
        <w:t>。</w:t>
      </w:r>
    </w:p>
    <w:bookmarkEnd w:id="469"/>
    <w:bookmarkEnd w:id="470"/>
    <w:bookmarkEnd w:id="471"/>
    <w:bookmarkEnd w:id="472"/>
    <w:bookmarkEnd w:id="473"/>
    <w:bookmarkEnd w:id="474"/>
    <w:p>
      <w:pPr>
        <w:spacing w:line="560" w:lineRule="exact"/>
        <w:ind w:firstLine="482" w:firstLineChars="200"/>
        <w:outlineLvl w:val="0"/>
        <w:rPr>
          <w:rFonts w:hint="eastAsia" w:ascii="仿宋" w:hAnsi="仿宋" w:eastAsia="仿宋" w:cs="仿宋"/>
          <w:b/>
          <w:color w:val="auto"/>
          <w:sz w:val="24"/>
          <w:highlight w:val="none"/>
        </w:rPr>
      </w:pPr>
      <w:bookmarkStart w:id="475" w:name="_Toc487900358"/>
      <w:bookmarkStart w:id="476" w:name="_Ref467379863"/>
      <w:bookmarkStart w:id="477" w:name="_Ref467379852"/>
      <w:bookmarkStart w:id="478" w:name="_Toc259093677"/>
      <w:bookmarkStart w:id="479" w:name="_Toc279701248"/>
      <w:bookmarkStart w:id="480" w:name="_Ref467379923"/>
      <w:bookmarkStart w:id="481" w:name="_Toc3225"/>
      <w:bookmarkStart w:id="482" w:name="_Toc16110"/>
      <w:bookmarkStart w:id="483" w:name="_Toc774"/>
      <w:r>
        <w:rPr>
          <w:rFonts w:hint="eastAsia" w:ascii="仿宋" w:hAnsi="仿宋" w:eastAsia="仿宋" w:cs="仿宋"/>
          <w:b/>
          <w:color w:val="auto"/>
          <w:sz w:val="24"/>
          <w:highlight w:val="none"/>
        </w:rPr>
        <w:t>2.6 技术资料</w:t>
      </w:r>
      <w:bookmarkEnd w:id="475"/>
      <w:bookmarkEnd w:id="476"/>
      <w:bookmarkEnd w:id="477"/>
      <w:bookmarkEnd w:id="478"/>
      <w:bookmarkEnd w:id="479"/>
      <w:bookmarkEnd w:id="480"/>
      <w:r>
        <w:rPr>
          <w:rFonts w:hint="eastAsia" w:ascii="仿宋" w:hAnsi="仿宋" w:eastAsia="仿宋" w:cs="仿宋"/>
          <w:b/>
          <w:color w:val="auto"/>
          <w:sz w:val="24"/>
          <w:highlight w:val="none"/>
        </w:rPr>
        <w:t>和保密义务</w:t>
      </w:r>
      <w:bookmarkEnd w:id="481"/>
      <w:bookmarkEnd w:id="482"/>
      <w:bookmarkEnd w:id="48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484" w:name="_Toc7860"/>
      <w:r>
        <w:rPr>
          <w:rFonts w:hint="eastAsia" w:ascii="仿宋" w:hAnsi="仿宋" w:eastAsia="仿宋" w:cs="仿宋"/>
          <w:b/>
          <w:color w:val="auto"/>
          <w:sz w:val="24"/>
          <w:highlight w:val="none"/>
        </w:rPr>
        <w:t>2.7 质量保证</w:t>
      </w:r>
      <w:bookmarkEnd w:id="4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485" w:name="_Toc17244"/>
      <w:bookmarkStart w:id="486" w:name="_Toc259093681"/>
      <w:bookmarkStart w:id="487" w:name="_Toc487900362"/>
      <w:bookmarkStart w:id="488" w:name="_Toc279701252"/>
      <w:r>
        <w:rPr>
          <w:rFonts w:hint="eastAsia" w:ascii="仿宋" w:hAnsi="仿宋" w:eastAsia="仿宋" w:cs="仿宋"/>
          <w:b/>
          <w:color w:val="auto"/>
          <w:sz w:val="24"/>
          <w:highlight w:val="none"/>
        </w:rPr>
        <w:t>2.8 货物的风险负担</w:t>
      </w:r>
      <w:bookmarkEnd w:id="48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89" w:name="_Toc14055"/>
      <w:r>
        <w:rPr>
          <w:rFonts w:hint="eastAsia" w:ascii="仿宋" w:hAnsi="仿宋" w:eastAsia="仿宋" w:cs="仿宋"/>
          <w:b/>
          <w:color w:val="auto"/>
          <w:sz w:val="24"/>
          <w:highlight w:val="none"/>
        </w:rPr>
        <w:t>2.9 延迟交货</w:t>
      </w:r>
      <w:bookmarkEnd w:id="486"/>
      <w:bookmarkEnd w:id="487"/>
      <w:bookmarkEnd w:id="488"/>
      <w:bookmarkEnd w:id="4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490" w:name="_Toc7502"/>
      <w:bookmarkStart w:id="491" w:name="_Toc487900364"/>
      <w:bookmarkStart w:id="492" w:name="_Toc279701254"/>
      <w:bookmarkStart w:id="493" w:name="_Toc259093683"/>
      <w:bookmarkStart w:id="494" w:name="_Ref467378121"/>
      <w:r>
        <w:rPr>
          <w:rFonts w:hint="eastAsia" w:ascii="仿宋" w:hAnsi="仿宋" w:eastAsia="仿宋" w:cs="仿宋"/>
          <w:b/>
          <w:color w:val="auto"/>
          <w:sz w:val="24"/>
          <w:highlight w:val="none"/>
        </w:rPr>
        <w:t>2.10 合同变更</w:t>
      </w:r>
      <w:bookmarkEnd w:id="4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5" w:name="_Toc259093688"/>
      <w:bookmarkStart w:id="496" w:name="_Toc279701259"/>
      <w:bookmarkStart w:id="497" w:name="_Toc487900369"/>
    </w:p>
    <w:p>
      <w:pPr>
        <w:spacing w:line="560" w:lineRule="exact"/>
        <w:ind w:firstLine="482" w:firstLineChars="200"/>
        <w:outlineLvl w:val="0"/>
        <w:rPr>
          <w:rFonts w:hint="eastAsia" w:ascii="仿宋" w:hAnsi="仿宋" w:eastAsia="仿宋" w:cs="仿宋"/>
          <w:b/>
          <w:color w:val="auto"/>
          <w:sz w:val="24"/>
          <w:highlight w:val="none"/>
        </w:rPr>
      </w:pPr>
      <w:bookmarkStart w:id="498" w:name="_Toc10366"/>
      <w:bookmarkStart w:id="499" w:name="_Toc22955"/>
      <w:bookmarkStart w:id="500" w:name="_Toc15237"/>
      <w:r>
        <w:rPr>
          <w:rFonts w:hint="eastAsia" w:ascii="仿宋" w:hAnsi="仿宋" w:eastAsia="仿宋" w:cs="仿宋"/>
          <w:b/>
          <w:color w:val="auto"/>
          <w:sz w:val="24"/>
          <w:highlight w:val="none"/>
        </w:rPr>
        <w:t>2.11 合同转让</w:t>
      </w:r>
      <w:bookmarkEnd w:id="495"/>
      <w:bookmarkEnd w:id="496"/>
      <w:bookmarkEnd w:id="497"/>
      <w:r>
        <w:rPr>
          <w:rFonts w:hint="eastAsia" w:ascii="仿宋" w:hAnsi="仿宋" w:eastAsia="仿宋" w:cs="仿宋"/>
          <w:b/>
          <w:color w:val="auto"/>
          <w:sz w:val="24"/>
          <w:highlight w:val="none"/>
        </w:rPr>
        <w:t>和分包</w:t>
      </w:r>
      <w:bookmarkEnd w:id="498"/>
      <w:bookmarkEnd w:id="499"/>
      <w:bookmarkEnd w:id="50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501" w:name="_Toc16508"/>
      <w:bookmarkStart w:id="502" w:name="_Toc14066"/>
      <w:bookmarkStart w:id="503" w:name="_Toc13566"/>
      <w:r>
        <w:rPr>
          <w:rFonts w:hint="eastAsia" w:ascii="仿宋" w:hAnsi="仿宋" w:eastAsia="仿宋" w:cs="仿宋"/>
          <w:b/>
          <w:color w:val="auto"/>
          <w:sz w:val="24"/>
          <w:highlight w:val="none"/>
        </w:rPr>
        <w:t>2.12 不可抗力</w:t>
      </w:r>
      <w:bookmarkEnd w:id="501"/>
      <w:bookmarkEnd w:id="502"/>
      <w:bookmarkEnd w:id="5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504" w:name="_Toc689"/>
      <w:bookmarkStart w:id="505" w:name="_Toc279701255"/>
      <w:bookmarkStart w:id="506" w:name="_Toc6969"/>
      <w:bookmarkStart w:id="507" w:name="_Toc30676"/>
      <w:bookmarkStart w:id="508" w:name="_Toc259093684"/>
      <w:bookmarkStart w:id="509" w:name="_Toc487900365"/>
      <w:r>
        <w:rPr>
          <w:rFonts w:hint="eastAsia" w:ascii="仿宋" w:hAnsi="仿宋" w:eastAsia="仿宋" w:cs="仿宋"/>
          <w:b/>
          <w:color w:val="auto"/>
          <w:sz w:val="24"/>
          <w:highlight w:val="none"/>
        </w:rPr>
        <w:t>2.13 税费</w:t>
      </w:r>
      <w:bookmarkEnd w:id="504"/>
      <w:bookmarkEnd w:id="505"/>
      <w:bookmarkEnd w:id="506"/>
      <w:bookmarkEnd w:id="507"/>
      <w:bookmarkEnd w:id="508"/>
      <w:bookmarkEnd w:id="5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510" w:name="_Toc7102"/>
      <w:bookmarkStart w:id="511" w:name="_Toc487900368"/>
      <w:bookmarkStart w:id="512" w:name="_Toc16959"/>
      <w:bookmarkStart w:id="513" w:name="_Toc8298"/>
      <w:bookmarkStart w:id="514" w:name="_Toc279701258"/>
      <w:bookmarkStart w:id="515" w:name="_Toc259093687"/>
      <w:r>
        <w:rPr>
          <w:rFonts w:hint="eastAsia" w:ascii="仿宋" w:hAnsi="仿宋" w:eastAsia="仿宋" w:cs="仿宋"/>
          <w:b/>
          <w:color w:val="auto"/>
          <w:sz w:val="24"/>
          <w:highlight w:val="none"/>
        </w:rPr>
        <w:t>2.14乙方破产</w:t>
      </w:r>
      <w:bookmarkEnd w:id="510"/>
      <w:bookmarkEnd w:id="511"/>
      <w:bookmarkEnd w:id="512"/>
      <w:bookmarkEnd w:id="513"/>
      <w:bookmarkEnd w:id="514"/>
      <w:bookmarkEnd w:id="51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516" w:name="_Toc6134"/>
      <w:bookmarkStart w:id="517" w:name="_Toc29333"/>
      <w:bookmarkStart w:id="518" w:name="_Toc15387"/>
      <w:r>
        <w:rPr>
          <w:rFonts w:hint="eastAsia" w:ascii="仿宋" w:hAnsi="仿宋" w:eastAsia="仿宋" w:cs="仿宋"/>
          <w:b/>
          <w:color w:val="auto"/>
          <w:sz w:val="24"/>
          <w:highlight w:val="none"/>
        </w:rPr>
        <w:t>2.15 合同中止、终止</w:t>
      </w:r>
      <w:bookmarkEnd w:id="516"/>
      <w:bookmarkEnd w:id="517"/>
      <w:bookmarkEnd w:id="51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519" w:name="_Toc14563"/>
      <w:bookmarkStart w:id="520" w:name="_Toc1125"/>
      <w:bookmarkStart w:id="521" w:name="_Toc6596"/>
      <w:r>
        <w:rPr>
          <w:rFonts w:hint="eastAsia" w:ascii="仿宋" w:hAnsi="仿宋" w:eastAsia="仿宋" w:cs="仿宋"/>
          <w:b/>
          <w:color w:val="auto"/>
          <w:sz w:val="24"/>
          <w:highlight w:val="none"/>
        </w:rPr>
        <w:t>2.16检验和验收</w:t>
      </w:r>
      <w:bookmarkEnd w:id="519"/>
      <w:bookmarkEnd w:id="520"/>
      <w:bookmarkEnd w:id="52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491"/>
    <w:bookmarkEnd w:id="492"/>
    <w:bookmarkEnd w:id="493"/>
    <w:bookmarkEnd w:id="494"/>
    <w:p>
      <w:pPr>
        <w:spacing w:line="560" w:lineRule="exact"/>
        <w:ind w:firstLine="482" w:firstLineChars="200"/>
        <w:outlineLvl w:val="0"/>
        <w:rPr>
          <w:rFonts w:hint="eastAsia" w:ascii="仿宋" w:hAnsi="仿宋" w:eastAsia="仿宋" w:cs="仿宋"/>
          <w:b/>
          <w:color w:val="auto"/>
          <w:sz w:val="24"/>
          <w:highlight w:val="none"/>
        </w:rPr>
      </w:pPr>
      <w:bookmarkStart w:id="522" w:name="_Toc487900371"/>
      <w:bookmarkStart w:id="523" w:name="_Toc279701261"/>
      <w:bookmarkStart w:id="524" w:name="_Toc259093690"/>
      <w:bookmarkStart w:id="525" w:name="_Toc25182"/>
      <w:bookmarkStart w:id="526" w:name="_Toc11284"/>
      <w:bookmarkStart w:id="527" w:name="_Toc19604"/>
      <w:r>
        <w:rPr>
          <w:rFonts w:hint="eastAsia" w:ascii="仿宋" w:hAnsi="仿宋" w:eastAsia="仿宋" w:cs="仿宋"/>
          <w:b/>
          <w:color w:val="auto"/>
          <w:sz w:val="24"/>
          <w:highlight w:val="none"/>
        </w:rPr>
        <w:t>2.17 通知</w:t>
      </w:r>
      <w:bookmarkEnd w:id="522"/>
      <w:bookmarkEnd w:id="523"/>
      <w:bookmarkEnd w:id="524"/>
      <w:r>
        <w:rPr>
          <w:rFonts w:hint="eastAsia" w:ascii="仿宋" w:hAnsi="仿宋" w:eastAsia="仿宋" w:cs="仿宋"/>
          <w:b/>
          <w:color w:val="auto"/>
          <w:sz w:val="24"/>
          <w:highlight w:val="none"/>
        </w:rPr>
        <w:t>和送达</w:t>
      </w:r>
      <w:bookmarkEnd w:id="525"/>
      <w:bookmarkEnd w:id="526"/>
      <w:bookmarkEnd w:id="527"/>
    </w:p>
    <w:p>
      <w:pPr>
        <w:spacing w:line="560" w:lineRule="exact"/>
        <w:ind w:firstLine="480" w:firstLineChars="200"/>
        <w:rPr>
          <w:rFonts w:hint="eastAsia" w:ascii="仿宋" w:hAnsi="仿宋" w:eastAsia="仿宋" w:cs="仿宋"/>
          <w:color w:val="auto"/>
          <w:sz w:val="24"/>
          <w:highlight w:val="none"/>
        </w:rPr>
      </w:pPr>
      <w:bookmarkStart w:id="528" w:name="_Toc6698"/>
      <w:bookmarkStart w:id="529" w:name="_Toc3135"/>
      <w:bookmarkStart w:id="530" w:name="_Toc259093691"/>
      <w:bookmarkStart w:id="531" w:name="_Toc279701262"/>
      <w:bookmarkStart w:id="532"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528"/>
      <w:bookmarkEnd w:id="529"/>
    </w:p>
    <w:p>
      <w:pPr>
        <w:spacing w:line="560" w:lineRule="exact"/>
        <w:ind w:firstLine="480" w:firstLineChars="200"/>
        <w:rPr>
          <w:rFonts w:hint="eastAsia" w:ascii="仿宋" w:hAnsi="仿宋" w:eastAsia="仿宋" w:cs="仿宋"/>
          <w:color w:val="auto"/>
          <w:sz w:val="24"/>
          <w:highlight w:val="none"/>
        </w:rPr>
      </w:pPr>
      <w:bookmarkStart w:id="533" w:name="_Toc23294"/>
      <w:bookmarkStart w:id="53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3"/>
      <w:bookmarkEnd w:id="534"/>
    </w:p>
    <w:p>
      <w:pPr>
        <w:spacing w:line="560" w:lineRule="exact"/>
        <w:ind w:firstLine="482" w:firstLineChars="200"/>
        <w:outlineLvl w:val="0"/>
        <w:rPr>
          <w:rFonts w:hint="eastAsia" w:ascii="仿宋" w:hAnsi="仿宋" w:eastAsia="仿宋" w:cs="仿宋"/>
          <w:b/>
          <w:color w:val="auto"/>
          <w:sz w:val="24"/>
          <w:highlight w:val="none"/>
        </w:rPr>
      </w:pPr>
      <w:bookmarkStart w:id="535" w:name="_Toc30599"/>
      <w:bookmarkStart w:id="536" w:name="_Toc4355"/>
      <w:bookmarkStart w:id="537" w:name="_Toc18540"/>
      <w:r>
        <w:rPr>
          <w:rFonts w:hint="eastAsia" w:ascii="仿宋" w:hAnsi="仿宋" w:eastAsia="仿宋" w:cs="仿宋"/>
          <w:b/>
          <w:color w:val="auto"/>
          <w:sz w:val="24"/>
          <w:highlight w:val="none"/>
        </w:rPr>
        <w:t>2.18 计量单位</w:t>
      </w:r>
      <w:bookmarkEnd w:id="530"/>
      <w:bookmarkEnd w:id="531"/>
      <w:bookmarkEnd w:id="532"/>
      <w:bookmarkEnd w:id="535"/>
      <w:bookmarkEnd w:id="536"/>
      <w:bookmarkEnd w:id="5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538" w:name="_Toc12773"/>
      <w:bookmarkStart w:id="539" w:name="_Toc487900373"/>
      <w:bookmarkStart w:id="540" w:name="_Toc259093692"/>
      <w:bookmarkStart w:id="541" w:name="_Toc10330"/>
      <w:bookmarkStart w:id="542" w:name="_Toc279701263"/>
      <w:bookmarkStart w:id="543" w:name="_Toc18567"/>
      <w:r>
        <w:rPr>
          <w:rFonts w:hint="eastAsia" w:ascii="仿宋" w:hAnsi="仿宋" w:eastAsia="仿宋" w:cs="仿宋"/>
          <w:b/>
          <w:color w:val="auto"/>
          <w:sz w:val="24"/>
          <w:highlight w:val="none"/>
        </w:rPr>
        <w:t>2.19 合同使用的文字和适用的法律</w:t>
      </w:r>
      <w:bookmarkEnd w:id="538"/>
      <w:bookmarkEnd w:id="539"/>
      <w:bookmarkEnd w:id="540"/>
      <w:bookmarkEnd w:id="541"/>
      <w:bookmarkEnd w:id="542"/>
      <w:bookmarkEnd w:id="54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544" w:name="_Toc259093693"/>
      <w:bookmarkStart w:id="545" w:name="_Toc16673"/>
      <w:bookmarkStart w:id="546" w:name="_Toc3148"/>
      <w:bookmarkStart w:id="547" w:name="_Toc279701264"/>
      <w:bookmarkStart w:id="548" w:name="_Toc12004"/>
      <w:bookmarkStart w:id="549" w:name="_Toc487900374"/>
      <w:r>
        <w:rPr>
          <w:rFonts w:hint="eastAsia" w:ascii="仿宋" w:hAnsi="仿宋" w:eastAsia="仿宋" w:cs="仿宋"/>
          <w:b/>
          <w:color w:val="auto"/>
          <w:sz w:val="24"/>
          <w:highlight w:val="none"/>
        </w:rPr>
        <w:t>2.20 履约保证金</w:t>
      </w:r>
      <w:bookmarkEnd w:id="544"/>
      <w:bookmarkEnd w:id="545"/>
      <w:bookmarkEnd w:id="546"/>
      <w:bookmarkEnd w:id="547"/>
      <w:bookmarkEnd w:id="548"/>
    </w:p>
    <w:p>
      <w:pPr>
        <w:pStyle w:val="958"/>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 xml:space="preserve">%；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2.20.4 甲方根据杭州市政府采购网公布的供应商履约评价情况减免履约保证金。乙方履约验收评价总分为100分的，甲方免收履约保证金；评价总分在90分以上的，收取履约保证金为合同金额</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%；评价总分在不满90分或者暂无评分的，收取履约保证金为合同金额</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2.20.5甲方在乙方履行完合同约定义务事项后及时退还，延迟退还的，应当按照合同约定和法律规定承担相应的赔偿责任。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549"/>
    <w:p>
      <w:pPr>
        <w:spacing w:line="560" w:lineRule="exact"/>
        <w:ind w:firstLine="482" w:firstLineChars="200"/>
        <w:outlineLvl w:val="0"/>
        <w:rPr>
          <w:rFonts w:hint="eastAsia" w:ascii="仿宋" w:hAnsi="仿宋" w:eastAsia="仿宋" w:cs="仿宋"/>
          <w:b/>
          <w:color w:val="auto"/>
          <w:sz w:val="24"/>
          <w:highlight w:val="none"/>
        </w:rPr>
      </w:pPr>
      <w:bookmarkStart w:id="550" w:name="_Toc19890"/>
      <w:bookmarkStart w:id="551" w:name="_Toc14001"/>
      <w:bookmarkStart w:id="552" w:name="_Toc6885"/>
      <w:r>
        <w:rPr>
          <w:rFonts w:hint="eastAsia" w:ascii="仿宋" w:hAnsi="仿宋" w:eastAsia="仿宋" w:cs="仿宋"/>
          <w:b/>
          <w:color w:val="auto"/>
          <w:sz w:val="24"/>
          <w:highlight w:val="none"/>
        </w:rPr>
        <w:t>2.22合同份数</w:t>
      </w:r>
      <w:bookmarkEnd w:id="550"/>
      <w:bookmarkEnd w:id="551"/>
      <w:bookmarkEnd w:id="55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700"/>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553" w:name="_Toc331685784"/>
      <w:r>
        <w:rPr>
          <w:rFonts w:hint="eastAsia" w:ascii="仿宋" w:hAnsi="仿宋" w:eastAsia="仿宋" w:cs="仿宋"/>
          <w:b/>
          <w:color w:val="auto"/>
          <w:szCs w:val="24"/>
          <w:highlight w:val="none"/>
        </w:rPr>
        <w:t xml:space="preserve"> </w:t>
      </w:r>
      <w:bookmarkEnd w:id="553"/>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rPr>
              <w:t>资金支付的方式、时间和条件</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sz w:val="24"/>
                <w:highlight w:val="none"/>
              </w:rPr>
              <w:t>采购单位根据合同、投标文件等资料进行验收。</w:t>
            </w:r>
          </w:p>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highlight w:val="none"/>
                <w:lang w:eastAsia="zh-CN"/>
              </w:rPr>
              <w:t>合同生效以及具备实施条件后7个工作日内</w:t>
            </w:r>
            <w:r>
              <w:rPr>
                <w:rFonts w:hint="eastAsia" w:ascii="仿宋" w:hAnsi="仿宋" w:eastAsia="仿宋" w:cs="仿宋"/>
                <w:b w:val="0"/>
                <w:bCs w:val="0"/>
                <w:color w:val="auto"/>
                <w:sz w:val="24"/>
                <w:highlight w:val="none"/>
              </w:rPr>
              <w:t>，采购单位向中标单位支付合同价的</w:t>
            </w:r>
            <w:r>
              <w:rPr>
                <w:rFonts w:hint="eastAsia" w:ascii="仿宋" w:hAnsi="仿宋" w:eastAsia="仿宋" w:cs="仿宋"/>
                <w:b w:val="0"/>
                <w:bCs w:val="0"/>
                <w:color w:val="auto"/>
                <w:sz w:val="24"/>
                <w:highlight w:val="none"/>
                <w:lang w:val="en-US" w:eastAsia="zh-CN"/>
              </w:rPr>
              <w:t>50</w:t>
            </w:r>
            <w:r>
              <w:rPr>
                <w:rFonts w:hint="eastAsia" w:ascii="仿宋" w:hAnsi="仿宋" w:eastAsia="仿宋" w:cs="仿宋"/>
                <w:b w:val="0"/>
                <w:bCs w:val="0"/>
                <w:color w:val="auto"/>
                <w:sz w:val="24"/>
                <w:highlight w:val="none"/>
              </w:rPr>
              <w:t>%预付款</w:t>
            </w:r>
            <w:r>
              <w:rPr>
                <w:rFonts w:hint="eastAsia" w:ascii="仿宋" w:hAnsi="仿宋" w:eastAsia="仿宋" w:cs="仿宋"/>
                <w:color w:val="auto"/>
                <w:sz w:val="24"/>
                <w:highlight w:val="none"/>
              </w:rPr>
              <w:t>（供应商需提供相应金额的预付款保函至采购单位）</w:t>
            </w:r>
            <w:r>
              <w:rPr>
                <w:rFonts w:hint="eastAsia" w:ascii="仿宋" w:hAnsi="仿宋" w:eastAsia="仿宋" w:cs="仿宋"/>
                <w:b w:val="0"/>
                <w:bCs w:val="0"/>
                <w:color w:val="auto"/>
                <w:sz w:val="24"/>
                <w:highlight w:val="none"/>
              </w:rPr>
              <w:t>；安装调试完毕试运行1个月，最终竣工验收合格通过后支付合同价的</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0%项目款</w:t>
            </w:r>
            <w:r>
              <w:rPr>
                <w:rFonts w:hint="eastAsia" w:ascii="仿宋" w:hAnsi="仿宋" w:eastAsia="仿宋" w:cs="仿宋"/>
                <w:b w:val="0"/>
                <w:bCs w:val="0"/>
                <w:color w:val="auto"/>
                <w:sz w:val="24"/>
                <w:highlight w:val="none"/>
                <w:lang w:eastAsia="zh-CN"/>
              </w:rPr>
              <w:t>。</w:t>
            </w:r>
            <w:r>
              <w:rPr>
                <w:rFonts w:hint="eastAsia" w:ascii="仿宋" w:hAnsi="仿宋" w:eastAsia="仿宋" w:cs="仿宋"/>
                <w:color w:val="auto"/>
                <w:sz w:val="24"/>
                <w:highlight w:val="none"/>
              </w:rPr>
              <w:t>结算时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将结款申请1份、发票原件及复印件1份、合同复印件1份和经</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验收确认的《建德市政府采购验收反馈表》提交</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应自收到发票后5个工作日内支付相应款项。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widowControl/>
              <w:autoSpaceDE w:val="0"/>
              <w:autoSpaceDN w:val="0"/>
              <w:spacing w:line="480" w:lineRule="exac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交付期限：</w:t>
            </w:r>
            <w:r>
              <w:rPr>
                <w:rFonts w:hint="eastAsia" w:ascii="仿宋" w:hAnsi="仿宋" w:eastAsia="仿宋" w:cs="仿宋"/>
                <w:color w:val="auto"/>
                <w:sz w:val="24"/>
                <w:szCs w:val="24"/>
                <w:highlight w:val="none"/>
              </w:rPr>
              <w:t>供应商中标签订合同后</w:t>
            </w:r>
            <w:r>
              <w:rPr>
                <w:rFonts w:hint="eastAsia" w:ascii="仿宋" w:hAnsi="仿宋" w:eastAsia="仿宋" w:cs="仿宋"/>
                <w:b/>
                <w:bCs/>
                <w:color w:val="auto"/>
                <w:sz w:val="24"/>
                <w:szCs w:val="24"/>
                <w:highlight w:val="none"/>
                <w:u w:val="single"/>
                <w:lang w:val="en-US" w:eastAsia="zh-CN"/>
              </w:rPr>
              <w:t>60</w:t>
            </w:r>
            <w:r>
              <w:rPr>
                <w:rFonts w:hint="eastAsia" w:ascii="仿宋" w:hAnsi="仿宋" w:eastAsia="仿宋" w:cs="仿宋"/>
                <w:b/>
                <w:bCs/>
                <w:color w:val="auto"/>
                <w:sz w:val="24"/>
                <w:szCs w:val="24"/>
                <w:highlight w:val="none"/>
                <w:u w:val="single"/>
              </w:rPr>
              <w:t>日历天</w:t>
            </w:r>
            <w:r>
              <w:rPr>
                <w:rFonts w:hint="eastAsia" w:ascii="仿宋" w:hAnsi="仿宋" w:eastAsia="仿宋" w:cs="仿宋"/>
                <w:color w:val="auto"/>
                <w:sz w:val="24"/>
                <w:szCs w:val="24"/>
                <w:highlight w:val="none"/>
              </w:rPr>
              <w:t>内送达并</w:t>
            </w:r>
            <w:r>
              <w:rPr>
                <w:rFonts w:hint="eastAsia" w:ascii="仿宋" w:hAnsi="仿宋" w:eastAsia="仿宋" w:cs="仿宋"/>
                <w:color w:val="auto"/>
                <w:sz w:val="24"/>
                <w:szCs w:val="24"/>
                <w:highlight w:val="none"/>
                <w:lang w:eastAsia="zh-CN"/>
              </w:rPr>
              <w:t>安装调试完成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并通过</w:t>
            </w:r>
            <w:r>
              <w:rPr>
                <w:rFonts w:hint="eastAsia" w:ascii="仿宋" w:hAnsi="仿宋" w:eastAsia="仿宋" w:cs="仿宋"/>
                <w:color w:val="auto"/>
                <w:sz w:val="24"/>
                <w:szCs w:val="24"/>
                <w:highlight w:val="none"/>
                <w:lang w:val="en-US" w:eastAsia="zh-CN"/>
              </w:rPr>
              <w:t>1个月的试运行后进行</w:t>
            </w:r>
            <w:r>
              <w:rPr>
                <w:rFonts w:hint="eastAsia" w:ascii="仿宋" w:hAnsi="仿宋" w:eastAsia="仿宋" w:cs="仿宋"/>
                <w:b w:val="0"/>
                <w:bCs w:val="0"/>
                <w:color w:val="auto"/>
                <w:sz w:val="24"/>
                <w:highlight w:val="none"/>
              </w:rPr>
              <w:t>竣工</w:t>
            </w:r>
            <w:r>
              <w:rPr>
                <w:rFonts w:hint="eastAsia" w:ascii="仿宋" w:hAnsi="仿宋" w:eastAsia="仿宋" w:cs="仿宋"/>
                <w:color w:val="auto"/>
                <w:sz w:val="24"/>
                <w:szCs w:val="24"/>
                <w:highlight w:val="none"/>
                <w:lang w:val="en-US" w:eastAsia="zh-CN"/>
              </w:rPr>
              <w:t>验收，</w:t>
            </w:r>
            <w:r>
              <w:rPr>
                <w:rFonts w:hint="eastAsia" w:ascii="仿宋" w:hAnsi="仿宋" w:eastAsia="仿宋" w:cs="仿宋"/>
                <w:color w:val="auto"/>
                <w:sz w:val="24"/>
                <w:szCs w:val="24"/>
                <w:highlight w:val="none"/>
              </w:rPr>
              <w:t>如在规定的时间内由于卖方的原因不能送达货物并</w:t>
            </w:r>
            <w:r>
              <w:rPr>
                <w:rFonts w:hint="eastAsia" w:ascii="仿宋" w:hAnsi="仿宋" w:eastAsia="仿宋" w:cs="仿宋"/>
                <w:color w:val="auto"/>
                <w:sz w:val="24"/>
                <w:szCs w:val="24"/>
                <w:highlight w:val="none"/>
                <w:lang w:eastAsia="zh-CN"/>
              </w:rPr>
              <w:t>安装调试完成</w:t>
            </w:r>
            <w:r>
              <w:rPr>
                <w:rFonts w:hint="eastAsia" w:ascii="仿宋" w:hAnsi="仿宋" w:eastAsia="仿宋" w:cs="仿宋"/>
                <w:color w:val="auto"/>
                <w:sz w:val="24"/>
                <w:szCs w:val="24"/>
                <w:highlight w:val="none"/>
              </w:rPr>
              <w:t>通过验收的，中标方应承担由此给用户造成的损失。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交付地点：</w:t>
            </w:r>
            <w:r>
              <w:rPr>
                <w:rFonts w:hint="eastAsia" w:ascii="仿宋" w:hAnsi="仿宋" w:eastAsia="仿宋" w:cs="仿宋"/>
                <w:color w:val="auto"/>
                <w:sz w:val="24"/>
                <w:szCs w:val="24"/>
                <w:highlight w:val="none"/>
                <w:lang w:eastAsia="zh-CN"/>
              </w:rPr>
              <w:t>采购单位指定</w:t>
            </w:r>
            <w:r>
              <w:rPr>
                <w:rFonts w:hint="eastAsia" w:ascii="仿宋" w:hAnsi="仿宋" w:eastAsia="仿宋" w:cs="仿宋"/>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交付方式：</w:t>
            </w:r>
            <w:r>
              <w:rPr>
                <w:rFonts w:hint="eastAsia" w:ascii="仿宋" w:hAnsi="仿宋" w:eastAsia="仿宋" w:cs="仿宋"/>
                <w:color w:val="auto"/>
                <w:sz w:val="24"/>
                <w:szCs w:val="24"/>
                <w:highlight w:val="none"/>
              </w:rPr>
              <w:t>中标方提供中标货物的安装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培训和技术指导</w:t>
            </w:r>
            <w:r>
              <w:rPr>
                <w:rFonts w:hint="eastAsia" w:ascii="仿宋" w:hAnsi="仿宋" w:eastAsia="仿宋" w:cs="仿宋"/>
                <w:color w:val="auto"/>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widowControl/>
              <w:autoSpaceDE w:val="0"/>
              <w:autoSpaceDN w:val="0"/>
              <w:spacing w:line="480" w:lineRule="exact"/>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违约责任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由于乙方原因(除不可抗力外)不能按期交付合同标的，对超出交付期的每一天，乙方应按合同总价款的千分之三承担违约金，在合同货款支付时一次性扣除。若超出交付期十天(含十天)以上的，甲方有权终止合同，履约保证金不予退还。</w:t>
            </w:r>
          </w:p>
          <w:p>
            <w:pPr>
              <w:widowControl/>
              <w:autoSpaceDE w:val="0"/>
              <w:autoSpaceDN w:val="0"/>
              <w:spacing w:line="480" w:lineRule="exact"/>
              <w:textAlignment w:val="bottom"/>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乙方按合同要求将货物送达甲方后，经验收合格后，甲方超出付款期支付货款的，每逾一天，甲方应向乙方支付合同货物金额的千分之三的滞纳金。如遇特殊情况甲方要求推迟供货或验收的，必须事先征得乙方的同意，否则应承担由此给乙方造成的损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b/>
                <w:i/>
                <w:color w:val="auto"/>
                <w:sz w:val="24"/>
                <w:highlight w:val="none"/>
                <w:u w:val="single"/>
                <w:lang w:val="en-US" w:eastAsia="zh-CN"/>
              </w:rPr>
              <w:t>1.7.2</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向</w:t>
            </w:r>
            <w:r>
              <w:rPr>
                <w:rFonts w:hint="eastAsia" w:ascii="仿宋" w:hAnsi="仿宋" w:eastAsia="仿宋" w:cs="仿宋"/>
                <w:b/>
                <w:i/>
                <w:color w:val="auto"/>
                <w:sz w:val="24"/>
                <w:highlight w:val="none"/>
                <w:u w:val="single"/>
                <w:lang w:eastAsia="zh-CN"/>
              </w:rPr>
              <w:t>建德市人民法院</w:t>
            </w:r>
            <w:r>
              <w:rPr>
                <w:rFonts w:hint="eastAsia" w:ascii="仿宋" w:hAnsi="仿宋" w:eastAsia="仿宋" w:cs="仿宋"/>
                <w:color w:val="auto"/>
                <w:sz w:val="24"/>
                <w:highlight w:val="none"/>
              </w:rPr>
              <w:t>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具有知识产权的计算机软件等货物的知识产权归属</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eastAsia="zh-CN"/>
              </w:rPr>
              <w:t>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2.4.</w:t>
            </w:r>
            <w:r>
              <w:rPr>
                <w:rFonts w:hint="eastAsia" w:ascii="仿宋" w:hAnsi="仿宋" w:eastAsia="仿宋" w:cs="仿宋"/>
                <w:color w:val="auto"/>
                <w:sz w:val="24"/>
                <w:highlight w:val="none"/>
                <w:lang w:val="en-US" w:eastAsia="zh-CN"/>
              </w:rPr>
              <w:t>3</w:t>
            </w:r>
          </w:p>
        </w:tc>
        <w:tc>
          <w:tcPr>
            <w:tcW w:w="8275" w:type="dxa"/>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装运货物的要求和通知</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eastAsia="zh-CN"/>
              </w:rPr>
              <w:t>按乙方投标方案中施工进度要求。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货物或者在途货物或者交付给第一承运人后的货物毁损、灭失的风险负担</w:t>
            </w:r>
            <w:r>
              <w:rPr>
                <w:rFonts w:hint="eastAsia" w:ascii="仿宋" w:hAnsi="仿宋" w:eastAsia="仿宋" w:cs="仿宋"/>
                <w:b/>
                <w:bCs/>
                <w:color w:val="auto"/>
                <w:sz w:val="24"/>
                <w:highlight w:val="none"/>
                <w:u w:val="single"/>
                <w:lang w:eastAsia="zh-CN"/>
              </w:rPr>
              <w:t>都有乙方自行负责。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因不可抗力致使合同有变更必要的，双方当事人应在</w:t>
            </w:r>
            <w:r>
              <w:rPr>
                <w:rFonts w:hint="eastAsia" w:ascii="仿宋" w:hAnsi="仿宋" w:eastAsia="仿宋" w:cs="仿宋"/>
                <w:b/>
                <w:i/>
                <w:color w:val="auto"/>
                <w:sz w:val="24"/>
                <w:highlight w:val="none"/>
                <w:u w:val="single"/>
                <w:lang w:val="en-US" w:eastAsia="zh-CN"/>
              </w:rPr>
              <w:t>30日</w:t>
            </w:r>
            <w:r>
              <w:rPr>
                <w:rFonts w:hint="eastAsia" w:ascii="仿宋" w:hAnsi="仿宋" w:eastAsia="仿宋" w:cs="仿宋"/>
                <w:color w:val="auto"/>
                <w:sz w:val="24"/>
                <w:highlight w:val="none"/>
              </w:rPr>
              <w:t>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b/>
                <w:i/>
                <w:color w:val="auto"/>
                <w:sz w:val="24"/>
                <w:highlight w:val="none"/>
                <w:u w:val="single"/>
                <w:lang w:val="en-US" w:eastAsia="zh-CN"/>
              </w:rPr>
              <w:t>7日</w:t>
            </w:r>
            <w:r>
              <w:rPr>
                <w:rFonts w:hint="eastAsia" w:ascii="仿宋" w:hAnsi="仿宋" w:eastAsia="仿宋" w:cs="仿宋"/>
                <w:color w:val="auto"/>
                <w:sz w:val="24"/>
                <w:highlight w:val="none"/>
              </w:rPr>
              <w:t>内以书面形式通知对方当事人，并在</w:t>
            </w:r>
            <w:r>
              <w:rPr>
                <w:rFonts w:hint="eastAsia" w:ascii="仿宋" w:hAnsi="仿宋" w:eastAsia="仿宋" w:cs="仿宋"/>
                <w:b/>
                <w:i/>
                <w:color w:val="auto"/>
                <w:sz w:val="24"/>
                <w:highlight w:val="none"/>
                <w:u w:val="single"/>
                <w:lang w:val="en-US" w:eastAsia="zh-CN"/>
              </w:rPr>
              <w:t>14日</w:t>
            </w:r>
            <w:r>
              <w:rPr>
                <w:rFonts w:hint="eastAsia" w:ascii="仿宋" w:hAnsi="仿宋" w:eastAsia="仿宋" w:cs="仿宋"/>
                <w:color w:val="auto"/>
                <w:sz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货物交付前，乙方应对货物的质量、数量等方面进行详细、全面的检验，并向甲方出具证明货物符合合同约定的文件；货物交付时，乙方在</w:t>
            </w:r>
            <w:r>
              <w:rPr>
                <w:rFonts w:hint="eastAsia" w:ascii="仿宋" w:hAnsi="仿宋" w:eastAsia="仿宋" w:cs="仿宋"/>
                <w:b/>
                <w:bCs/>
                <w:color w:val="auto"/>
                <w:sz w:val="24"/>
                <w:highlight w:val="none"/>
                <w:u w:val="single"/>
                <w:lang w:eastAsia="zh-CN"/>
              </w:rPr>
              <w:t>货物安装调试完成</w:t>
            </w:r>
            <w:r>
              <w:rPr>
                <w:rFonts w:hint="eastAsia" w:ascii="仿宋" w:hAnsi="仿宋" w:eastAsia="仿宋" w:cs="仿宋"/>
                <w:b/>
                <w:bCs/>
                <w:color w:val="auto"/>
                <w:sz w:val="24"/>
                <w:highlight w:val="none"/>
                <w:u w:val="single"/>
                <w:lang w:val="en-US" w:eastAsia="zh-CN"/>
              </w:rPr>
              <w:t>3日</w:t>
            </w:r>
            <w:r>
              <w:rPr>
                <w:rFonts w:hint="eastAsia" w:ascii="仿宋" w:hAnsi="仿宋" w:eastAsia="仿宋" w:cs="仿宋"/>
                <w:b/>
                <w:bCs/>
                <w:color w:val="auto"/>
                <w:sz w:val="24"/>
                <w:highlight w:val="none"/>
                <w:u w:val="single"/>
              </w:rPr>
              <w:t>内</w:t>
            </w:r>
            <w:r>
              <w:rPr>
                <w:rFonts w:hint="eastAsia" w:ascii="仿宋" w:hAnsi="仿宋" w:eastAsia="仿宋" w:cs="仿宋"/>
                <w:color w:val="auto"/>
                <w:sz w:val="24"/>
                <w:highlight w:val="none"/>
              </w:rPr>
              <w:t>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检验和验收标准、程序等具体内容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highlight w:val="none"/>
              </w:rPr>
              <w:t>应提供系统设备的有效检验材料，经采购人认可后，与合同的技术指标一起作为验收标准。</w:t>
            </w:r>
            <w:r>
              <w:rPr>
                <w:rFonts w:hint="eastAsia" w:ascii="仿宋" w:hAnsi="仿宋" w:eastAsia="仿宋" w:cs="仿宋"/>
                <w:color w:val="auto"/>
                <w:sz w:val="24"/>
                <w:highlight w:val="none"/>
              </w:rPr>
              <w:t>安装调试完毕试运行1个月</w:t>
            </w:r>
            <w:r>
              <w:rPr>
                <w:rFonts w:hint="eastAsia" w:ascii="仿宋" w:hAnsi="仿宋" w:eastAsia="仿宋" w:cs="仿宋"/>
                <w:color w:val="auto"/>
                <w:sz w:val="24"/>
                <w:highlight w:val="none"/>
                <w:lang w:eastAsia="zh-CN"/>
              </w:rPr>
              <w:t>后进行项目验收，</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对系统设备验收合格后，出具验收报告并在《建德市政府采购物品验收反馈表》上签署意见并加盖单位公章。验收中发现系统设备达不到验收标准或合同规定的技术指标，</w:t>
            </w: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highlight w:val="none"/>
              </w:rPr>
              <w:t>必须更换，并负担由此给</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造成的损失，直到验收合格为止。</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highlight w:val="none"/>
              </w:rPr>
              <w:t>应于投标书中提供系统设备的验收标准和检测办法，并在验收中提供</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认可的相应检测手段，验收标准应符合中国有关的国家、地方、行业的标准，如若中标，经</w:t>
            </w:r>
            <w:r>
              <w:rPr>
                <w:rFonts w:hint="eastAsia" w:ascii="仿宋" w:hAnsi="仿宋" w:eastAsia="仿宋" w:cs="仿宋"/>
                <w:color w:val="auto"/>
                <w:sz w:val="24"/>
                <w:highlight w:val="none"/>
                <w:lang w:eastAsia="zh-CN"/>
              </w:rPr>
              <w:t>甲方</w:t>
            </w:r>
            <w:r>
              <w:rPr>
                <w:rFonts w:hint="eastAsia" w:ascii="仿宋" w:hAnsi="仿宋" w:eastAsia="仿宋" w:cs="仿宋"/>
                <w:color w:val="auto"/>
                <w:sz w:val="24"/>
                <w:highlight w:val="none"/>
              </w:rPr>
              <w:t>确认后作为验收的依据。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lang w:eastAsia="zh-CN"/>
              </w:rPr>
            </w:pPr>
            <w:r>
              <w:rPr>
                <w:rStyle w:val="354"/>
                <w:rFonts w:hint="eastAsia" w:ascii="仿宋" w:hAnsi="仿宋" w:eastAsia="仿宋" w:cs="仿宋"/>
                <w:b w:val="0"/>
                <w:color w:val="auto"/>
                <w:highlight w:val="none"/>
              </w:rPr>
              <w:t>履约保证金</w:t>
            </w:r>
            <w:r>
              <w:rPr>
                <w:rStyle w:val="354"/>
                <w:rFonts w:hint="eastAsia" w:ascii="仿宋" w:hAnsi="仿宋" w:eastAsia="仿宋" w:cs="仿宋"/>
                <w:b w:val="0"/>
                <w:color w:val="auto"/>
                <w:highlight w:val="none"/>
                <w:lang w:eastAsia="zh-CN"/>
              </w:rPr>
              <w:t>：本项目将</w:t>
            </w:r>
            <w:r>
              <w:rPr>
                <w:rFonts w:hint="eastAsia" w:ascii="仿宋" w:hAnsi="仿宋" w:eastAsia="仿宋" w:cs="仿宋"/>
                <w:color w:val="auto"/>
                <w:sz w:val="24"/>
                <w:highlight w:val="none"/>
              </w:rPr>
              <w:t>根据杭州市政府采购网公布的供应商履约评价情况</w:t>
            </w:r>
            <w:r>
              <w:rPr>
                <w:rFonts w:hint="eastAsia" w:ascii="仿宋" w:hAnsi="仿宋" w:eastAsia="仿宋" w:cs="仿宋"/>
                <w:color w:val="auto"/>
                <w:sz w:val="24"/>
                <w:highlight w:val="none"/>
                <w:lang w:eastAsia="zh-CN"/>
              </w:rPr>
              <w:t>收取</w:t>
            </w:r>
            <w:r>
              <w:rPr>
                <w:rFonts w:hint="eastAsia" w:ascii="仿宋" w:hAnsi="仿宋" w:eastAsia="仿宋" w:cs="仿宋"/>
                <w:color w:val="auto"/>
                <w:sz w:val="24"/>
                <w:highlight w:val="none"/>
              </w:rPr>
              <w:t>履约保证金。乙方履约验收评价总分为100分的，</w:t>
            </w:r>
            <w:r>
              <w:rPr>
                <w:rFonts w:hint="eastAsia" w:ascii="仿宋" w:hAnsi="仿宋" w:eastAsia="仿宋" w:cs="仿宋"/>
                <w:color w:val="auto"/>
                <w:sz w:val="24"/>
                <w:highlight w:val="none"/>
                <w:lang w:eastAsia="zh-CN"/>
              </w:rPr>
              <w:t>本项目</w:t>
            </w:r>
            <w:r>
              <w:rPr>
                <w:rFonts w:hint="eastAsia" w:ascii="仿宋" w:hAnsi="仿宋" w:eastAsia="仿宋" w:cs="仿宋"/>
                <w:color w:val="auto"/>
                <w:sz w:val="24"/>
                <w:highlight w:val="none"/>
              </w:rPr>
              <w:t>免收履约保证金；</w:t>
            </w:r>
            <w:r>
              <w:rPr>
                <w:rFonts w:hint="eastAsia" w:ascii="仿宋" w:hAnsi="仿宋" w:eastAsia="仿宋" w:cs="仿宋"/>
                <w:color w:val="auto"/>
                <w:sz w:val="24"/>
                <w:highlight w:val="none"/>
                <w:lang w:eastAsia="zh-CN"/>
              </w:rPr>
              <w:t>评价总分在90分以上的，本项目收取履约保证金为合同金额</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lang w:eastAsia="zh-CN"/>
              </w:rPr>
              <w:t>%；评价总分在不满90分或者暂无评分的，本项目收取履约保证金为合同金额</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%。需要收取保证金的供应商</w:t>
            </w:r>
            <w:r>
              <w:rPr>
                <w:rStyle w:val="354"/>
                <w:rFonts w:hint="eastAsia" w:ascii="仿宋" w:hAnsi="仿宋" w:eastAsia="仿宋" w:cs="仿宋"/>
                <w:b w:val="0"/>
                <w:bCs w:val="0"/>
                <w:color w:val="auto"/>
                <w:highlight w:val="none"/>
              </w:rPr>
              <w:t>在正式合同签订生效之日起7个工作日内，</w:t>
            </w:r>
            <w:r>
              <w:rPr>
                <w:rFonts w:hint="eastAsia" w:ascii="仿宋" w:hAnsi="仿宋" w:eastAsia="仿宋" w:cs="仿宋"/>
                <w:color w:val="auto"/>
                <w:sz w:val="24"/>
                <w:highlight w:val="none"/>
                <w:lang w:eastAsia="zh-CN"/>
              </w:rPr>
              <w:t>缴纳</w:t>
            </w:r>
            <w:r>
              <w:rPr>
                <w:rStyle w:val="354"/>
                <w:rFonts w:hint="eastAsia" w:ascii="仿宋" w:hAnsi="仿宋" w:eastAsia="仿宋" w:cs="仿宋"/>
                <w:b w:val="0"/>
                <w:bCs w:val="0"/>
                <w:color w:val="auto"/>
                <w:highlight w:val="none"/>
              </w:rPr>
              <w:t>保证金至甲方指定账户（可采用银行、保险公司出具保函形式提交）。在验收合格后经回访正常后凭正式收款收据、履约保证金缴款凭证复印件、《建德市政府采购回访意见单》办理结算手续。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履约保证金在</w:t>
            </w:r>
            <w:r>
              <w:rPr>
                <w:rFonts w:hint="eastAsia" w:ascii="仿宋" w:hAnsi="仿宋" w:eastAsia="仿宋" w:cs="仿宋"/>
                <w:b/>
                <w:bCs/>
                <w:color w:val="auto"/>
                <w:sz w:val="24"/>
                <w:szCs w:val="24"/>
                <w:highlight w:val="none"/>
                <w:u w:val="single"/>
                <w:lang w:val="en-US" w:eastAsia="zh-CN"/>
              </w:rPr>
              <w:t>60</w:t>
            </w:r>
            <w:r>
              <w:rPr>
                <w:rFonts w:hint="eastAsia" w:ascii="仿宋" w:hAnsi="仿宋" w:eastAsia="仿宋" w:cs="仿宋"/>
                <w:b/>
                <w:bCs/>
                <w:color w:val="auto"/>
                <w:sz w:val="24"/>
                <w:szCs w:val="24"/>
                <w:highlight w:val="none"/>
                <w:u w:val="single"/>
              </w:rPr>
              <w:t>日历天</w:t>
            </w:r>
            <w:r>
              <w:rPr>
                <w:rFonts w:hint="eastAsia" w:ascii="仿宋" w:hAnsi="仿宋" w:eastAsia="仿宋" w:cs="仿宋"/>
                <w:color w:val="auto"/>
                <w:sz w:val="24"/>
                <w:highlight w:val="none"/>
              </w:rPr>
              <w:t>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lang w:val="en-US" w:eastAsia="zh-CN"/>
              </w:rPr>
              <w:t>100%</w:t>
            </w:r>
            <w:r>
              <w:rPr>
                <w:rFonts w:hint="eastAsia" w:ascii="仿宋" w:hAnsi="仿宋" w:eastAsia="仿宋" w:cs="仿宋"/>
                <w:color w:val="auto"/>
                <w:sz w:val="24"/>
                <w:highlight w:val="none"/>
              </w:rPr>
              <w:t>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合同份数</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本合同壹式</w:t>
            </w:r>
            <w:r>
              <w:rPr>
                <w:rFonts w:hint="eastAsia" w:ascii="仿宋" w:hAnsi="仿宋" w:eastAsia="仿宋" w:cs="仿宋"/>
                <w:color w:val="auto"/>
                <w:kern w:val="0"/>
                <w:sz w:val="24"/>
                <w:highlight w:val="none"/>
                <w:lang w:eastAsia="zh-CN"/>
              </w:rPr>
              <w:t>柒</w:t>
            </w:r>
            <w:r>
              <w:rPr>
                <w:rFonts w:hint="eastAsia" w:ascii="仿宋" w:hAnsi="仿宋" w:eastAsia="仿宋" w:cs="仿宋"/>
                <w:color w:val="auto"/>
                <w:kern w:val="0"/>
                <w:sz w:val="24"/>
                <w:highlight w:val="none"/>
              </w:rPr>
              <w:t>份，甲、乙双方各执</w:t>
            </w:r>
            <w:r>
              <w:rPr>
                <w:rFonts w:hint="eastAsia" w:ascii="仿宋" w:hAnsi="仿宋" w:eastAsia="仿宋" w:cs="仿宋"/>
                <w:color w:val="auto"/>
                <w:kern w:val="0"/>
                <w:sz w:val="24"/>
                <w:highlight w:val="none"/>
                <w:lang w:eastAsia="zh-CN"/>
              </w:rPr>
              <w:t>叁</w:t>
            </w:r>
            <w:r>
              <w:rPr>
                <w:rFonts w:hint="eastAsia" w:ascii="仿宋" w:hAnsi="仿宋" w:eastAsia="仿宋" w:cs="仿宋"/>
                <w:color w:val="auto"/>
                <w:kern w:val="0"/>
                <w:sz w:val="24"/>
                <w:highlight w:val="none"/>
              </w:rPr>
              <w:t>份，见证单位壹份。</w:t>
            </w: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rPr>
          <w:rFonts w:hint="eastAsia" w:ascii="仿宋" w:hAnsi="仿宋" w:eastAsia="仿宋" w:cs="仿宋"/>
          <w:color w:val="auto"/>
          <w:sz w:val="24"/>
          <w:highlight w:val="none"/>
        </w:rPr>
      </w:pPr>
    </w:p>
    <w:p>
      <w:pPr>
        <w:pStyle w:val="17"/>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pStyle w:val="17"/>
        <w:rPr>
          <w:rFonts w:hint="eastAsia" w:ascii="仿宋" w:hAnsi="仿宋" w:eastAsia="仿宋" w:cs="仿宋"/>
          <w:color w:val="auto"/>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ind w:left="720" w:firstLine="723" w:firstLineChars="200"/>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5"/>
      <w:r>
        <w:rPr>
          <w:rFonts w:hint="eastAsia" w:ascii="仿宋" w:hAnsi="仿宋" w:eastAsia="仿宋" w:cs="仿宋"/>
          <w:b/>
          <w:color w:val="auto"/>
          <w:sz w:val="36"/>
          <w:szCs w:val="20"/>
          <w:highlight w:val="none"/>
        </w:rPr>
        <w:t xml:space="preserve"> </w:t>
      </w:r>
      <w:bookmarkEnd w:id="396"/>
      <w:r>
        <w:rPr>
          <w:rFonts w:hint="eastAsia" w:ascii="仿宋" w:hAnsi="仿宋" w:eastAsia="仿宋" w:cs="仿宋"/>
          <w:b/>
          <w:color w:val="auto"/>
          <w:sz w:val="36"/>
          <w:szCs w:val="20"/>
          <w:highlight w:val="none"/>
        </w:rPr>
        <w:t>应提交的有关格式范例</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（2）联合协议………………………………………………………………（页码）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中小企业声明函</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 </w:t>
      </w:r>
      <w:r>
        <w:rPr>
          <w:rFonts w:hint="eastAsia" w:ascii="仿宋" w:hAnsi="仿宋" w:eastAsia="仿宋" w:cs="仿宋"/>
          <w:color w:val="auto"/>
          <w:sz w:val="24"/>
          <w:highlight w:val="none"/>
        </w:rPr>
        <w:t>】政府采购活动，郑重承诺：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）；本项目不接受联合体投标或者投标人不以联合体形式投标的，则不需要提供]</w:t>
      </w:r>
    </w:p>
    <w:p>
      <w:pPr>
        <w:pStyle w:val="3"/>
        <w:numPr>
          <w:ilvl w:val="0"/>
          <w:numId w:val="0"/>
        </w:numPr>
        <w:ind w:left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三、</w:t>
      </w:r>
      <w:r>
        <w:rPr>
          <w:rFonts w:hint="eastAsia" w:ascii="仿宋" w:hAnsi="仿宋" w:eastAsia="仿宋" w:cs="仿宋"/>
          <w:b/>
          <w:color w:val="auto"/>
          <w:kern w:val="0"/>
          <w:sz w:val="32"/>
          <w:szCs w:val="32"/>
          <w:highlight w:val="none"/>
          <w:lang w:eastAsia="zh-CN"/>
        </w:rPr>
        <w:t>中小企业声明函</w:t>
      </w:r>
    </w:p>
    <w:p>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本项目专门</w:t>
      </w:r>
      <w:r>
        <w:rPr>
          <w:rFonts w:hint="eastAsia" w:ascii="仿宋" w:hAnsi="仿宋" w:eastAsia="仿宋" w:cs="仿宋"/>
          <w:color w:val="auto"/>
          <w:sz w:val="24"/>
          <w:highlight w:val="none"/>
        </w:rPr>
        <w:t>面向中小企业，</w:t>
      </w:r>
      <w:r>
        <w:rPr>
          <w:rFonts w:hint="eastAsia" w:ascii="仿宋" w:hAnsi="仿宋" w:eastAsia="仿宋" w:cs="仿宋"/>
          <w:color w:val="auto"/>
          <w:sz w:val="24"/>
          <w:highlight w:val="none"/>
          <w:lang w:eastAsia="zh-CN"/>
        </w:rPr>
        <w:t>服务</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eastAsia="zh-CN"/>
        </w:rPr>
        <w:t>提供</w:t>
      </w:r>
      <w:r>
        <w:rPr>
          <w:rFonts w:hint="eastAsia" w:ascii="仿宋" w:hAnsi="仿宋" w:eastAsia="仿宋" w:cs="仿宋"/>
          <w:color w:val="auto"/>
          <w:sz w:val="24"/>
          <w:highlight w:val="none"/>
        </w:rPr>
        <w:t>的，提供相应的中小企业声明函（附件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pacing w:line="360" w:lineRule="auto"/>
        <w:ind w:right="420" w:firstLine="2530" w:firstLineChars="7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numPr>
          <w:ilvl w:val="0"/>
          <w:numId w:val="5"/>
        </w:num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响应函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）分包意向协议………………………………………………………（页码）</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）符合性审查资料</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pStyle w:val="26"/>
        <w:rPr>
          <w:rFonts w:hint="eastAsia"/>
          <w:color w:val="auto"/>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 </w:t>
      </w:r>
      <w:r>
        <w:rPr>
          <w:rFonts w:hint="eastAsia" w:ascii="仿宋" w:hAnsi="仿宋" w:eastAsia="仿宋" w:cs="仿宋"/>
          <w:color w:val="auto"/>
          <w:sz w:val="24"/>
          <w:highlight w:val="none"/>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pPr>
        <w:keepNext w:val="0"/>
        <w:keepLines w:val="0"/>
        <w:pageBreakBefore w:val="0"/>
        <w:widowControl w:val="0"/>
        <w:numPr>
          <w:ilvl w:val="2"/>
          <w:numId w:val="6"/>
        </w:numPr>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符合参加政府采购活动应当具备的一般条件的承诺函；</w:t>
      </w:r>
    </w:p>
    <w:p>
      <w:pPr>
        <w:keepNext w:val="0"/>
        <w:keepLines w:val="0"/>
        <w:pageBreakBefore w:val="0"/>
        <w:widowControl w:val="0"/>
        <w:numPr>
          <w:ilvl w:val="2"/>
          <w:numId w:val="6"/>
        </w:numPr>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zh-CN"/>
        </w:rPr>
        <w:t>联合协议（如果有）</w:t>
      </w:r>
      <w:r>
        <w:rPr>
          <w:rFonts w:hint="eastAsia" w:ascii="仿宋" w:hAnsi="仿宋" w:eastAsia="仿宋" w:cs="仿宋"/>
          <w:bCs/>
          <w:color w:val="auto"/>
          <w:sz w:val="24"/>
          <w:highlight w:val="none"/>
        </w:rPr>
        <w:t>；</w:t>
      </w:r>
    </w:p>
    <w:p>
      <w:pPr>
        <w:keepNext w:val="0"/>
        <w:keepLines w:val="0"/>
        <w:pageBreakBefore w:val="0"/>
        <w:widowControl w:val="0"/>
        <w:numPr>
          <w:ilvl w:val="2"/>
          <w:numId w:val="6"/>
        </w:numPr>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zh-CN"/>
        </w:rPr>
        <w:t>中小企业声明函</w:t>
      </w:r>
      <w:r>
        <w:rPr>
          <w:rFonts w:hint="eastAsia" w:ascii="仿宋" w:hAnsi="仿宋" w:eastAsia="仿宋" w:cs="仿宋"/>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商务技术偏离表；</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政府采购供应商廉洁自律承诺书；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960" w:firstLineChars="400"/>
        <w:textAlignment w:val="auto"/>
        <w:rPr>
          <w:rFonts w:hint="eastAsia" w:ascii="仿宋" w:hAnsi="仿宋" w:eastAsia="仿宋" w:cs="仿宋"/>
          <w:color w:val="auto"/>
          <w:highlight w:val="none"/>
        </w:rPr>
      </w:pP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zh-CN" w:eastAsia="zh-CN" w:bidi="ar-SA"/>
        </w:rPr>
        <w:t>.</w:t>
      </w:r>
      <w:r>
        <w:rPr>
          <w:rFonts w:hint="eastAsia" w:ascii="仿宋" w:hAnsi="仿宋" w:eastAsia="仿宋" w:cs="仿宋"/>
          <w:b w:val="0"/>
          <w:bCs w:val="0"/>
          <w:color w:val="auto"/>
          <w:kern w:val="2"/>
          <w:sz w:val="24"/>
          <w:szCs w:val="24"/>
          <w:highlight w:val="none"/>
          <w:lang w:val="en-US" w:eastAsia="zh-CN" w:bidi="ar-SA"/>
        </w:rPr>
        <w:t>2</w:t>
      </w:r>
      <w:r>
        <w:rPr>
          <w:rFonts w:hint="eastAsia" w:ascii="仿宋" w:hAnsi="仿宋" w:eastAsia="仿宋" w:cs="仿宋"/>
          <w:b w:val="0"/>
          <w:bCs w:val="0"/>
          <w:color w:val="auto"/>
          <w:kern w:val="2"/>
          <w:sz w:val="24"/>
          <w:szCs w:val="24"/>
          <w:highlight w:val="none"/>
          <w:lang w:val="zh-CN" w:eastAsia="zh-CN" w:bidi="ar-SA"/>
        </w:rPr>
        <w:t>.</w:t>
      </w:r>
      <w:r>
        <w:rPr>
          <w:rFonts w:hint="eastAsia" w:ascii="仿宋" w:hAnsi="仿宋" w:eastAsia="仿宋" w:cs="仿宋"/>
          <w:b w:val="0"/>
          <w:bCs w:val="0"/>
          <w:color w:val="auto"/>
          <w:kern w:val="2"/>
          <w:sz w:val="24"/>
          <w:szCs w:val="24"/>
          <w:highlight w:val="none"/>
          <w:lang w:val="en-US" w:eastAsia="zh-CN" w:bidi="ar-SA"/>
        </w:rPr>
        <w:t>7</w:t>
      </w:r>
      <w:r>
        <w:rPr>
          <w:rFonts w:hint="eastAsia" w:ascii="仿宋" w:hAnsi="仿宋" w:eastAsia="仿宋" w:cs="仿宋"/>
          <w:bCs/>
          <w:color w:val="auto"/>
          <w:sz w:val="24"/>
          <w:highlight w:val="none"/>
          <w:lang w:eastAsia="zh-CN"/>
        </w:rPr>
        <w:t>分包意向协议（如果有）</w:t>
      </w:r>
      <w:r>
        <w:rPr>
          <w:rFonts w:hint="eastAsia" w:ascii="仿宋" w:hAnsi="仿宋" w:eastAsia="仿宋" w:cs="仿宋"/>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keepNext w:val="0"/>
        <w:keepLines w:val="0"/>
        <w:pageBreakBefore w:val="0"/>
        <w:widowControl w:val="0"/>
        <w:kinsoku/>
        <w:wordWrap/>
        <w:overflowPunct/>
        <w:topLinePunct w:val="0"/>
        <w:autoSpaceDE/>
        <w:autoSpaceDN/>
        <w:bidi w:val="0"/>
        <w:adjustRightInd w:val="0"/>
        <w:snapToGrid w:val="0"/>
        <w:spacing w:line="40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40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pacing w:line="400" w:lineRule="exact"/>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keepNext w:val="0"/>
        <w:keepLines w:val="0"/>
        <w:pageBreakBefore w:val="0"/>
        <w:widowControl w:val="0"/>
        <w:kinsoku/>
        <w:wordWrap/>
        <w:overflowPunct/>
        <w:topLinePunct w:val="0"/>
        <w:autoSpaceDE/>
        <w:autoSpaceDN/>
        <w:bidi w:val="0"/>
        <w:adjustRightInd w:val="0"/>
        <w:spacing w:line="400" w:lineRule="exact"/>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color w:val="auto"/>
          <w:sz w:val="24"/>
          <w:highlight w:val="none"/>
        </w:rPr>
        <w:t xml:space="preserve">     日期：  年   月   日</w:t>
      </w:r>
    </w:p>
    <w:p>
      <w:pPr>
        <w:pStyle w:val="16"/>
        <w:rPr>
          <w:rFonts w:hint="eastAsia" w:ascii="仿宋" w:hAnsi="仿宋" w:eastAsia="仿宋" w:cs="仿宋"/>
          <w:color w:val="auto"/>
          <w:highlight w:val="none"/>
          <w:lang w:val="zh-CN"/>
        </w:rPr>
      </w:pPr>
    </w:p>
    <w:p>
      <w:pPr>
        <w:jc w:val="center"/>
        <w:rPr>
          <w:rFonts w:hint="eastAsia" w:ascii="仿宋" w:hAnsi="仿宋" w:eastAsia="仿宋" w:cs="仿宋"/>
          <w:b/>
          <w:color w:val="auto"/>
          <w:kern w:val="0"/>
          <w:sz w:val="32"/>
          <w:szCs w:val="32"/>
          <w:highlight w:val="none"/>
          <w:lang w:val="zh-CN"/>
        </w:rPr>
      </w:pPr>
    </w:p>
    <w:p>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浙江建安工程管理有限公司</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JD2022BF-175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152"/>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2"/>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52"/>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分包意向协议</w:t>
      </w:r>
      <w:r>
        <w:rPr>
          <w:rFonts w:hint="eastAsia" w:ascii="仿宋" w:hAnsi="仿宋" w:eastAsia="仿宋" w:cs="仿宋"/>
          <w:b/>
          <w:color w:val="auto"/>
          <w:kern w:val="0"/>
          <w:sz w:val="32"/>
          <w:szCs w:val="32"/>
          <w:highlight w:val="none"/>
          <w:lang w:eastAsia="zh-CN"/>
        </w:rPr>
        <w:t>（如果有）</w:t>
      </w:r>
    </w:p>
    <w:p>
      <w:pPr>
        <w:widowControl/>
        <w:spacing w:line="360" w:lineRule="auto"/>
        <w:ind w:firstLine="120" w:firstLineChars="50"/>
        <w:jc w:val="left"/>
        <w:rPr>
          <w:rFonts w:hint="eastAsia" w:ascii="仿宋" w:hAnsi="仿宋" w:eastAsia="仿宋" w:cs="仿宋"/>
          <w:color w:val="auto"/>
          <w:sz w:val="24"/>
          <w:highlight w:val="none"/>
        </w:rPr>
      </w:pPr>
      <w:bookmarkStart w:id="554" w:name="_Hlk101169080"/>
      <w:r>
        <w:rPr>
          <w:rFonts w:hint="eastAsia" w:ascii="仿宋" w:hAnsi="仿宋" w:eastAsia="仿宋" w:cs="仿宋"/>
          <w:color w:val="auto"/>
          <w:sz w:val="24"/>
          <w:highlight w:val="none"/>
        </w:rPr>
        <w:t>[</w:t>
      </w:r>
      <w:r>
        <w:rPr>
          <w:rFonts w:hint="eastAsia" w:ascii="仿宋" w:hAnsi="仿宋" w:eastAsia="仿宋" w:cs="仿宋"/>
          <w:b/>
          <w:color w:val="auto"/>
          <w:sz w:val="24"/>
          <w:highlight w:val="none"/>
          <w:lang w:eastAsia="zh-CN"/>
        </w:rPr>
        <w:t>成交后</w:t>
      </w:r>
      <w:r>
        <w:rPr>
          <w:rFonts w:hint="eastAsia" w:ascii="仿宋" w:hAnsi="仿宋" w:eastAsia="仿宋" w:cs="仿宋"/>
          <w:b/>
          <w:color w:val="auto"/>
          <w:sz w:val="24"/>
          <w:highlight w:val="none"/>
        </w:rPr>
        <w:t>以分包方式履行合同的，提供分包意向协议(附件</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)；采购人不同意分包或者</w:t>
      </w:r>
      <w:r>
        <w:rPr>
          <w:rFonts w:hint="eastAsia" w:ascii="仿宋" w:hAnsi="仿宋" w:eastAsia="仿宋" w:cs="仿宋"/>
          <w:b/>
          <w:color w:val="auto"/>
          <w:sz w:val="24"/>
          <w:highlight w:val="none"/>
          <w:lang w:eastAsia="zh-CN"/>
        </w:rPr>
        <w:t>供应商成交</w:t>
      </w:r>
      <w:r>
        <w:rPr>
          <w:rFonts w:hint="eastAsia" w:ascii="仿宋" w:hAnsi="仿宋" w:eastAsia="仿宋" w:cs="仿宋"/>
          <w:b/>
          <w:color w:val="auto"/>
          <w:sz w:val="24"/>
          <w:highlight w:val="none"/>
        </w:rPr>
        <w:t>后不以分包方式履行合同的，则不需要提供。</w:t>
      </w:r>
      <w:r>
        <w:rPr>
          <w:rFonts w:hint="eastAsia" w:ascii="仿宋" w:hAnsi="仿宋" w:eastAsia="仿宋" w:cs="仿宋"/>
          <w:color w:val="auto"/>
          <w:sz w:val="24"/>
          <w:highlight w:val="none"/>
        </w:rPr>
        <w:t>]</w:t>
      </w:r>
    </w:p>
    <w:bookmarkEnd w:id="554"/>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三</w:t>
      </w:r>
      <w:r>
        <w:rPr>
          <w:rFonts w:hint="eastAsia" w:ascii="仿宋" w:hAnsi="仿宋" w:eastAsia="仿宋" w:cs="仿宋"/>
          <w:b/>
          <w:color w:val="auto"/>
          <w:kern w:val="0"/>
          <w:sz w:val="32"/>
          <w:szCs w:val="32"/>
          <w:highlight w:val="none"/>
        </w:rPr>
        <w:t>、符合性审查资料</w:t>
      </w:r>
    </w:p>
    <w:p>
      <w:pPr>
        <w:jc w:val="center"/>
        <w:rPr>
          <w:rFonts w:hint="eastAsia" w:ascii="仿宋" w:hAnsi="仿宋" w:eastAsia="仿宋" w:cs="仿宋"/>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节能产品认证证书（本项目拟采购的产品不属于政府强制采购的节能产品品目清单范围的，无需提供）</w:t>
            </w:r>
          </w:p>
        </w:tc>
        <w:tc>
          <w:tcPr>
            <w:tcW w:w="1418" w:type="dxa"/>
          </w:tcPr>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pStyle w:val="3"/>
              <w:rPr>
                <w:rFonts w:hint="eastAsia" w:ascii="仿宋" w:hAnsi="仿宋" w:eastAsia="仿宋" w:cs="仿宋"/>
                <w:color w:val="auto"/>
                <w:highlight w:val="none"/>
                <w:lang w:val="en-US"/>
              </w:rPr>
            </w:pPr>
            <w:r>
              <w:rPr>
                <w:rFonts w:hint="eastAsia" w:ascii="仿宋" w:hAnsi="仿宋" w:eastAsia="仿宋" w:cs="仿宋"/>
                <w:b w:val="0"/>
                <w:bCs w:val="0"/>
                <w:color w:val="auto"/>
                <w:sz w:val="24"/>
                <w:szCs w:val="24"/>
                <w:highlight w:val="none"/>
                <w:lang w:val="en-US"/>
              </w:rPr>
              <w:t>第</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4991" w:type="dxa"/>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vAlign w:val="center"/>
          </w:tcPr>
          <w:p>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418" w:type="dxa"/>
          </w:tcPr>
          <w:p>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、评标标准相应的商务技术资料</w:t>
      </w:r>
    </w:p>
    <w:p>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bCs/>
          <w:color w:val="auto"/>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2891" w:firstLineChars="900"/>
        <w:rPr>
          <w:rFonts w:hint="eastAsia" w:ascii="仿宋" w:hAnsi="仿宋" w:eastAsia="仿宋" w:cs="仿宋"/>
          <w:b/>
          <w:color w:val="auto"/>
          <w:kern w:val="0"/>
          <w:sz w:val="32"/>
          <w:szCs w:val="32"/>
          <w:highlight w:val="none"/>
        </w:rPr>
      </w:pPr>
    </w:p>
    <w:p>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sectPr>
          <w:headerReference r:id="rId9" w:type="first"/>
          <w:footerReference r:id="rId11" w:type="first"/>
          <w:headerReference r:id="rId8" w:type="default"/>
          <w:footerReference r:id="rId10" w:type="default"/>
          <w:pgSz w:w="11905" w:h="16838"/>
          <w:pgMar w:top="1474" w:right="1814" w:bottom="1474" w:left="1814" w:header="851" w:footer="850" w:gutter="0"/>
          <w:cols w:space="0" w:num="1"/>
          <w:rtlGutter w:val="0"/>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both"/>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5" w:h="16838"/>
          <w:pgMar w:top="1474" w:right="1814" w:bottom="1474" w:left="1814" w:header="851" w:footer="850" w:gutter="0"/>
          <w:cols w:space="0" w:num="1"/>
          <w:rtlGutter w:val="0"/>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建德市公安局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浙江建安工程管理有限公司</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 xml:space="preserve">JD2022BF-175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621"/>
        <w:gridCol w:w="1521"/>
        <w:gridCol w:w="2179"/>
        <w:gridCol w:w="622"/>
        <w:gridCol w:w="622"/>
        <w:gridCol w:w="622"/>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0" w:type="auto"/>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规格型号（或具体服务）</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0" w:type="auto"/>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总价</w:t>
            </w:r>
          </w:p>
        </w:tc>
        <w:tc>
          <w:tcPr>
            <w:tcW w:w="0" w:type="auto"/>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服务要求（年限）</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0" w:type="auto"/>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napToGrid w:val="0"/>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c>
          <w:tcPr>
            <w:tcW w:w="0" w:type="auto"/>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0" w:type="auto"/>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0" w:type="auto"/>
            <w:gridSpan w:val="4"/>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0" w:type="auto"/>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0" w:type="auto"/>
            <w:gridSpan w:val="4"/>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1、投标人需按本表格式填写，不得自行更改。</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投标文件含有采购人不能接受的附加条件的，投标无效</w:t>
      </w:r>
      <w:r>
        <w:rPr>
          <w:rFonts w:hint="eastAsia" w:ascii="仿宋" w:hAnsi="仿宋" w:eastAsia="仿宋" w:cs="仿宋"/>
          <w:b/>
          <w:color w:val="auto"/>
          <w:kern w:val="0"/>
          <w:sz w:val="24"/>
          <w:highlight w:val="none"/>
          <w:lang w:val="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5、</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5" w:h="16838"/>
          <w:pgMar w:top="1474" w:right="1814" w:bottom="1474" w:left="1814" w:header="851" w:footer="850" w:gutter="0"/>
          <w:cols w:space="0" w:num="1"/>
          <w:rtlGutter w:val="0"/>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tabs>
          <w:tab w:val="left" w:pos="8085"/>
        </w:tabs>
        <w:spacing w:line="360" w:lineRule="auto"/>
        <w:ind w:firstLine="1285" w:firstLineChars="400"/>
        <w:jc w:val="lef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政府采购支持中小企业信用融资相关事项通知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为贯彻落实中央、省、市关于支持民营经济健康发展有关精神，发挥政府采购在促进中小企业发展中的政策引导作用，缓解中小企业融资难、融资贵问题，建德市财政局、浙江银监局建德监管办事处、建德市人民政府金融工作办公室、建德市经济和信息化局制定《建德市政府采购支持中小企业信用融资实施细则》。相关事项通知如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color w:val="auto"/>
          <w:sz w:val="21"/>
          <w:szCs w:val="21"/>
          <w:highlight w:val="none"/>
        </w:rPr>
      </w:pPr>
      <w:r>
        <w:rPr>
          <w:rFonts w:hint="eastAsia" w:ascii="仿宋" w:hAnsi="仿宋" w:eastAsia="仿宋" w:cs="仿宋"/>
          <w:b/>
          <w:bCs/>
          <w:i w:val="0"/>
          <w:iCs w:val="0"/>
          <w:caps w:val="0"/>
          <w:color w:val="auto"/>
          <w:spacing w:val="0"/>
          <w:kern w:val="0"/>
          <w:sz w:val="24"/>
          <w:szCs w:val="24"/>
          <w:highlight w:val="none"/>
          <w:lang w:val="en-US" w:eastAsia="zh-CN" w:bidi="ar"/>
        </w:rPr>
        <w:t>一、适用对象</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凡已在浙江政府采购网上注册入库，并取得建德市政府采购合同的中小企业供应商（以下简称“供应商”），均可申请政府采购信用融资。</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color w:val="auto"/>
          <w:sz w:val="21"/>
          <w:szCs w:val="21"/>
          <w:highlight w:val="none"/>
        </w:rPr>
      </w:pPr>
      <w:r>
        <w:rPr>
          <w:rFonts w:hint="eastAsia" w:ascii="仿宋" w:hAnsi="仿宋" w:eastAsia="仿宋" w:cs="仿宋"/>
          <w:b/>
          <w:bCs/>
          <w:i w:val="0"/>
          <w:iCs w:val="0"/>
          <w:caps w:val="0"/>
          <w:color w:val="auto"/>
          <w:spacing w:val="0"/>
          <w:kern w:val="0"/>
          <w:sz w:val="24"/>
          <w:szCs w:val="24"/>
          <w:highlight w:val="none"/>
          <w:lang w:val="en-US" w:eastAsia="zh-CN" w:bidi="ar"/>
        </w:rPr>
        <w:t>二、政府采购信用融资操作流程：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96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（一）线上融资模式（政采云）：</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96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操作路径：登录政采云平台—金融服务中心—融资贷款。</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1.供应商根据合作银行提供的方案，自行选择金融产品，并办理开户等手续；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2.采购合同签订后，供应商在“政采云”平台向合作银行发出融资申请。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3.审批通过后，办理放贷手续。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（二）线下融资模式：</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1.供应商根据合作银行提供的方案，自行选择金融产品，向合作银行提出信用资格预审，并办理开户等手续；</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2.采购合同签订后，供应商向合作银行发出融资申请；</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3.合作银行受理申请后，供应商提供审批材料。合作银行应对申请信用融资的供应商及备案的政府采购合同信息进行核对和审查；</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　　4.审批通过后，合作银行应按照合作备忘录中约定的审批放款期限和优惠利率及时予以放款。</w:t>
      </w:r>
    </w:p>
    <w:p>
      <w:pPr>
        <w:pStyle w:val="3"/>
        <w:keepNext w:val="0"/>
        <w:keepLines w:val="0"/>
        <w:pageBreakBefore w:val="0"/>
        <w:widowControl/>
        <w:suppressLineNumbers w:val="0"/>
        <w:kinsoku/>
        <w:wordWrap/>
        <w:overflowPunct/>
        <w:topLinePunct w:val="0"/>
        <w:autoSpaceDE/>
        <w:autoSpaceDN/>
        <w:bidi w:val="0"/>
        <w:snapToGrid/>
        <w:spacing w:line="440" w:lineRule="exact"/>
        <w:ind w:left="432" w:firstLine="960"/>
        <w:jc w:val="left"/>
        <w:textAlignment w:val="auto"/>
        <w:rPr>
          <w:rFonts w:hint="eastAsia" w:ascii="仿宋" w:hAnsi="仿宋" w:eastAsia="仿宋" w:cs="仿宋"/>
          <w:b/>
          <w:bCs/>
          <w:color w:val="auto"/>
          <w:sz w:val="32"/>
          <w:szCs w:val="32"/>
          <w:highlight w:val="none"/>
        </w:rPr>
      </w:pPr>
      <w:r>
        <w:rPr>
          <w:rFonts w:hint="eastAsia" w:ascii="仿宋" w:hAnsi="仿宋" w:eastAsia="仿宋" w:cs="仿宋"/>
          <w:b w:val="0"/>
          <w:bCs w:val="0"/>
          <w:i w:val="0"/>
          <w:iCs w:val="0"/>
          <w:caps w:val="0"/>
          <w:color w:val="auto"/>
          <w:spacing w:val="0"/>
          <w:sz w:val="24"/>
          <w:szCs w:val="24"/>
          <w:highlight w:val="none"/>
        </w:rPr>
        <w:t>（三）杭州e融平台申请融资</w:t>
      </w:r>
    </w:p>
    <w:p>
      <w:pPr>
        <w:pStyle w:val="3"/>
        <w:keepNext w:val="0"/>
        <w:keepLines w:val="0"/>
        <w:pageBreakBefore w:val="0"/>
        <w:widowControl/>
        <w:suppressLineNumbers w:val="0"/>
        <w:kinsoku/>
        <w:wordWrap/>
        <w:overflowPunct/>
        <w:topLinePunct w:val="0"/>
        <w:autoSpaceDE/>
        <w:autoSpaceDN/>
        <w:bidi w:val="0"/>
        <w:snapToGrid/>
        <w:spacing w:line="440" w:lineRule="exact"/>
        <w:ind w:left="432" w:firstLine="960"/>
        <w:jc w:val="left"/>
        <w:textAlignment w:val="auto"/>
        <w:rPr>
          <w:rFonts w:hint="eastAsia" w:ascii="仿宋" w:hAnsi="仿宋" w:eastAsia="仿宋" w:cs="仿宋"/>
          <w:b/>
          <w:bCs/>
          <w:color w:val="auto"/>
          <w:sz w:val="32"/>
          <w:szCs w:val="32"/>
          <w:highlight w:val="none"/>
        </w:rPr>
      </w:pPr>
      <w:r>
        <w:rPr>
          <w:rFonts w:hint="eastAsia" w:ascii="仿宋" w:hAnsi="仿宋" w:eastAsia="仿宋" w:cs="仿宋"/>
          <w:b w:val="0"/>
          <w:bCs w:val="0"/>
          <w:i w:val="0"/>
          <w:iCs w:val="0"/>
          <w:caps w:val="0"/>
          <w:color w:val="auto"/>
          <w:spacing w:val="0"/>
          <w:sz w:val="24"/>
          <w:szCs w:val="24"/>
          <w:highlight w:val="none"/>
        </w:rPr>
        <w:t>供应商通过杭州e融平台政采贷专区，自行选择金融产品，按规定手续办理贷款流程。</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2"/>
        <w:jc w:val="both"/>
        <w:textAlignment w:val="auto"/>
        <w:rPr>
          <w:rFonts w:hint="eastAsia" w:ascii="仿宋" w:hAnsi="仿宋" w:eastAsia="仿宋" w:cs="仿宋"/>
          <w:color w:val="auto"/>
          <w:sz w:val="21"/>
          <w:szCs w:val="21"/>
          <w:highlight w:val="none"/>
        </w:rPr>
      </w:pPr>
      <w:r>
        <w:rPr>
          <w:rFonts w:hint="eastAsia" w:ascii="仿宋" w:hAnsi="仿宋" w:eastAsia="仿宋" w:cs="仿宋"/>
          <w:b/>
          <w:bCs/>
          <w:i w:val="0"/>
          <w:iCs w:val="0"/>
          <w:caps w:val="0"/>
          <w:color w:val="auto"/>
          <w:spacing w:val="0"/>
          <w:kern w:val="0"/>
          <w:sz w:val="24"/>
          <w:szCs w:val="24"/>
          <w:highlight w:val="none"/>
          <w:lang w:val="en-US" w:eastAsia="zh-CN" w:bidi="ar"/>
        </w:rPr>
        <w:t>三、注意事项</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440" w:lineRule="exact"/>
        <w:ind w:left="0" w:right="0" w:firstLine="480"/>
        <w:jc w:val="both"/>
        <w:textAlignment w:val="auto"/>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4"/>
          <w:szCs w:val="24"/>
          <w:highlight w:val="none"/>
          <w:lang w:val="en-US" w:eastAsia="zh-CN" w:bidi="ar"/>
        </w:rPr>
        <w:t>1、对拟用于信用融资的政府采购合同，供应商在签订合同时应当在合同中注明融资银行名称及账号，作为在该银行的唯一收款账号。</w:t>
      </w:r>
    </w:p>
    <w:p>
      <w:pPr>
        <w:keepNext w:val="0"/>
        <w:keepLines w:val="0"/>
        <w:pageBreakBefore w:val="0"/>
        <w:kinsoku/>
        <w:wordWrap/>
        <w:overflowPunct/>
        <w:topLinePunct w:val="0"/>
        <w:autoSpaceDE/>
        <w:autoSpaceDN/>
        <w:bidi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i w:val="0"/>
          <w:iCs w:val="0"/>
          <w:caps w:val="0"/>
          <w:color w:val="auto"/>
          <w:spacing w:val="0"/>
          <w:kern w:val="0"/>
          <w:sz w:val="24"/>
          <w:szCs w:val="24"/>
          <w:highlight w:val="none"/>
          <w:lang w:val="en-US" w:eastAsia="zh-CN" w:bidi="ar"/>
        </w:rPr>
        <w:t>2、供应商弄虚作假或以伪造政府采购合同等方式违规获取政府采购信用融资，或不及时还款，或出现其他违反规定情形的，按融资合同约定承担违约责任；涉嫌犯罪的，移送司法机关处理。</w:t>
      </w:r>
    </w:p>
    <w:p>
      <w:pPr>
        <w:spacing w:line="360" w:lineRule="auto"/>
        <w:ind w:left="5060" w:hanging="5060" w:hangingChars="2100"/>
        <w:rPr>
          <w:rFonts w:hint="eastAsia" w:ascii="仿宋" w:hAnsi="仿宋" w:eastAsia="仿宋" w:cs="仿宋"/>
          <w:b/>
          <w:bCs/>
          <w:color w:val="auto"/>
          <w:kern w:val="0"/>
          <w:sz w:val="24"/>
          <w:highlight w:val="none"/>
        </w:rPr>
      </w:pPr>
    </w:p>
    <w:p>
      <w:pPr>
        <w:pStyle w:val="2"/>
        <w:keepNext w:val="0"/>
        <w:keepLines w:val="0"/>
        <w:pageBreakBefore/>
        <w:widowControl/>
        <w:spacing w:before="100" w:beforeAutospacing="1" w:after="100" w:afterAutospacing="1" w:line="360" w:lineRule="auto"/>
        <w:jc w:val="center"/>
        <w:rPr>
          <w:rFonts w:hint="eastAsia" w:ascii="仿宋" w:hAnsi="仿宋" w:eastAsia="仿宋" w:cs="仿宋"/>
          <w:color w:val="auto"/>
          <w:highlight w:val="none"/>
        </w:rPr>
      </w:pPr>
      <w:bookmarkStart w:id="555" w:name="_Toc465665161"/>
      <w:r>
        <w:rPr>
          <w:rFonts w:hint="eastAsia" w:ascii="仿宋" w:hAnsi="仿宋" w:eastAsia="仿宋" w:cs="仿宋"/>
          <w:color w:val="auto"/>
          <w:highlight w:val="none"/>
        </w:rPr>
        <w:t>附件</w:t>
      </w:r>
      <w:bookmarkEnd w:id="555"/>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hint="eastAsia" w:ascii="仿宋" w:hAnsi="仿宋" w:eastAsia="仿宋" w:cs="仿宋"/>
          <w:b/>
          <w:color w:val="auto"/>
          <w:spacing w:val="6"/>
          <w:sz w:val="32"/>
          <w:szCs w:val="32"/>
          <w:highlight w:val="none"/>
        </w:rPr>
      </w:pPr>
      <w:bookmarkStart w:id="556" w:name="OLE_LINK13"/>
      <w:bookmarkStart w:id="557" w:name="OLE_LINK14"/>
      <w:r>
        <w:rPr>
          <w:rFonts w:hint="eastAsia" w:ascii="仿宋" w:hAnsi="仿宋" w:eastAsia="仿宋" w:cs="仿宋"/>
          <w:b/>
          <w:color w:val="auto"/>
          <w:spacing w:val="6"/>
          <w:sz w:val="32"/>
          <w:szCs w:val="32"/>
          <w:highlight w:val="none"/>
        </w:rPr>
        <w:t>残疾人福利性单位声明函</w:t>
      </w:r>
    </w:p>
    <w:bookmarkEnd w:id="556"/>
    <w:bookmarkEnd w:id="557"/>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pStyle w:val="26"/>
        <w:rPr>
          <w:rFonts w:hint="eastAsia" w:ascii="仿宋" w:hAnsi="仿宋" w:eastAsia="仿宋" w:cs="仿宋"/>
          <w:b/>
          <w:color w:val="auto"/>
          <w:spacing w:val="6"/>
          <w:sz w:val="32"/>
          <w:szCs w:val="32"/>
          <w:highlight w:val="none"/>
        </w:rPr>
      </w:pPr>
    </w:p>
    <w:p>
      <w:pPr>
        <w:pStyle w:val="27"/>
        <w:rPr>
          <w:rFonts w:hint="eastAsia" w:ascii="仿宋" w:hAnsi="仿宋" w:eastAsia="仿宋" w:cs="仿宋"/>
          <w:b/>
          <w:color w:val="auto"/>
          <w:spacing w:val="6"/>
          <w:sz w:val="32"/>
          <w:szCs w:val="32"/>
          <w:highlight w:val="none"/>
        </w:rPr>
      </w:pPr>
    </w:p>
    <w:p>
      <w:pPr>
        <w:rPr>
          <w:rFonts w:hint="eastAsia" w:ascii="仿宋" w:hAnsi="仿宋" w:eastAsia="仿宋" w:cs="仿宋"/>
          <w:color w:val="auto"/>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u w:val="single"/>
          <w:lang w:eastAsia="zh-CN"/>
        </w:rPr>
        <w:t>建德市公安局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浙江建安工程管理有限公司</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JD2022BF-175 </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大单星盆台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台式混水厨房龙头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双层平板工作台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拖把池连拖把架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工具柜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单星盆台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感应龙头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不锈钢六门更衣柜</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（智能燃气节能双眼大锅灶）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2"/>
          <w:sz w:val="24"/>
          <w:szCs w:val="24"/>
          <w:highlight w:val="none"/>
          <w:u w:val="single"/>
          <w:lang w:val="en-US" w:eastAsia="zh-CN" w:bidi="ar-SA"/>
        </w:rPr>
        <w:t>智能燃气节能单眼大锅灶）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（燃气单眼炒灶）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2"/>
          <w:sz w:val="24"/>
          <w:szCs w:val="24"/>
          <w:highlight w:val="none"/>
          <w:u w:val="single"/>
          <w:lang w:val="en-US" w:eastAsia="zh-CN" w:bidi="ar-SA"/>
        </w:rPr>
        <w:t>油烟净化一体机）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kern w:val="2"/>
          <w:sz w:val="24"/>
          <w:szCs w:val="24"/>
          <w:highlight w:val="none"/>
          <w:u w:val="single"/>
          <w:lang w:val="en-US" w:eastAsia="zh-CN" w:bidi="ar-SA"/>
        </w:rPr>
        <w:t>调料台 ）</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（双通打荷台柜）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（刀具砧板消毒柜）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2"/>
          <w:sz w:val="24"/>
          <w:szCs w:val="24"/>
          <w:highlight w:val="none"/>
          <w:u w:val="single"/>
          <w:lang w:val="en-US" w:eastAsia="zh-CN" w:bidi="ar-SA"/>
        </w:rPr>
        <w:t>（洗地龙头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（电子秤）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（风幕机）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（粘捕式灭蝇灯）</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（淘米机）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（燃气立式三层米饭机）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（四层平板货架）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（四门双温冰箱）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（顶开门冷柜）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（双门热风循环消毒柜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（单门留样冰箱）</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（四层格栅货架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29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（平板推车）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（大米架）</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 xml:space="preserve">（双星盆台） </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（三星转角污碟台连残食孔）</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（洁碟台）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（揭盖式洗碗机）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（开水器连底座）</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（四层沥水货架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智能燃气节能广式双眼炒灶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燃气四眼煲仔炉</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39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可倾式电汤锅</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单通打荷台柜）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（电力触摸屏万能蒸烤箱（10盘）连底座</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lang w:val="en-US" w:eastAsia="zh-CN"/>
        </w:rPr>
        <w:t>（电热单眼蒸包炉</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木面工作台）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面粉车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搅拌机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压面机）</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商用智能米糊豆浆机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和面机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49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烘手机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自动感应皂液器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五斗保温售菜台柜连玻璃上罩）</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电磁平扒炉连柜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拼台柜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电磁九孔煮面炉连柜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电磁四眼煲仔炉连柜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四门碗柜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保温送餐车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不锈钢滑道</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59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紫外线消毒灯</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单桶暖饭柜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托盘柜）</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双层回收车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双孔残食柜连桶车）</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柜式长洗手池）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全自动感应取筷器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全自动感应取勺器</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浸泡池）</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简易炉拼台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69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一大一小电磁炉</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单门电汽两用蒸饭车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电饼铛</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电蒸灶</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单槽水池</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淘米池</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75.</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残食柜连桶车</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挂墙刀具消毒柜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二层四盘智能电烤箱</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78</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发酵箱</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79</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四门高身储物柜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四门雪柜</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81</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灭火系统（单瓶组）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62"/>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82</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不锈钢风管</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83</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灭火系统（双瓶组）</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84</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吊码</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85</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法兰</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86</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平板电瓶车带保温箱体</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87</w:t>
      </w:r>
      <w:r>
        <w:rPr>
          <w:rFonts w:hint="eastAsia" w:ascii="仿宋" w:hAnsi="仿宋" w:eastAsia="仿宋" w:cs="仿宋"/>
          <w:color w:val="auto"/>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平板电瓶车带箱体</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工业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pStyle w:val="26"/>
        <w:rPr>
          <w:rFonts w:hint="eastAsia" w:ascii="仿宋" w:hAnsi="仿宋" w:eastAsia="仿宋" w:cs="仿宋"/>
          <w:color w:val="auto"/>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p>
    <w:p>
      <w:pPr>
        <w:adjustRightIn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从业人员、营业收入、资产总额填报上一年度数据，无上一年度数据的新成立企业可不填报。</w:t>
      </w:r>
    </w:p>
    <w:p>
      <w:pPr>
        <w:adjustRightInd w:val="0"/>
        <w:spacing w:line="360" w:lineRule="auto"/>
        <w:ind w:right="4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注：1.填写要求：①“标的名称”、“采购文件中明确的所属行业”依据采购文件第二部分供应商须知前附表中“采购标的及其对应的中小企业划分标准所属行业”的指引，</w:t>
      </w:r>
      <w:r>
        <w:rPr>
          <w:rFonts w:hint="eastAsia" w:ascii="仿宋" w:hAnsi="仿宋" w:eastAsia="仿宋" w:cs="仿宋"/>
          <w:b/>
          <w:bCs/>
          <w:color w:val="auto"/>
          <w:sz w:val="24"/>
          <w:szCs w:val="24"/>
          <w:highlight w:val="none"/>
        </w:rPr>
        <w:t>逐一填写，不得缺漏</w:t>
      </w:r>
      <w:r>
        <w:rPr>
          <w:rFonts w:hint="eastAsia" w:ascii="仿宋" w:hAnsi="仿宋" w:eastAsia="仿宋" w:cs="仿宋"/>
          <w:color w:val="auto"/>
          <w:sz w:val="24"/>
          <w:szCs w:val="24"/>
          <w:highlight w:val="none"/>
        </w:rPr>
        <w:t>；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ascii="仿宋" w:hAnsi="仿宋" w:eastAsia="仿宋" w:cs="仿宋"/>
          <w:b/>
          <w:bCs/>
          <w:color w:val="auto"/>
          <w:sz w:val="24"/>
          <w:szCs w:val="24"/>
          <w:highlight w:val="none"/>
        </w:rPr>
        <w:t>供应商提供的《中小企业声明函》与实际情况不符的或者未按以上要求填写的，中小企业声明函无效，不享受中小企业扶持政策</w:t>
      </w:r>
      <w:r>
        <w:rPr>
          <w:rFonts w:hint="eastAsia" w:ascii="仿宋" w:hAnsi="仿宋" w:eastAsia="仿宋" w:cs="仿宋"/>
          <w:color w:val="auto"/>
          <w:sz w:val="24"/>
          <w:szCs w:val="24"/>
          <w:highlight w:val="none"/>
        </w:rPr>
        <w:t>。声明内容不实的，属于提供虚假材料谋取中标、成交的，依法承担法律责任。</w:t>
      </w:r>
    </w:p>
    <w:p>
      <w:pPr>
        <w:numPr>
          <w:ilvl w:val="0"/>
          <w:numId w:val="6"/>
        </w:numPr>
        <w:adjustRightInd w:val="0"/>
        <w:spacing w:line="360" w:lineRule="auto"/>
        <w:ind w:left="425" w:leftChars="0" w:right="420" w:hanging="425"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36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JD2022BF-175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bookmarkStart w:id="558"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58"/>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（未预留份额专门面向中小企业采购的采购项目，以及预留份额中的非预留部分采购包，接受联合体投标的，联合协议约定小微企业的合同份额占到合同总金额30%以上的，对联合体报价给予</w:t>
      </w: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lang w:val="zh-CN"/>
        </w:rPr>
        <w:t>%的扣除。供应商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36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360" w:lineRule="exact"/>
        <w:ind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eepNext w:val="0"/>
        <w:keepLines w:val="0"/>
        <w:pageBreakBefore w:val="0"/>
        <w:kinsoku/>
        <w:wordWrap/>
        <w:overflowPunct/>
        <w:topLinePunct w:val="0"/>
        <w:autoSpaceDE/>
        <w:autoSpaceDN/>
        <w:bidi w:val="0"/>
        <w:adjustRightInd w:val="0"/>
        <w:spacing w:line="360" w:lineRule="exact"/>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pageBreakBefore w:val="0"/>
        <w:kinsoku/>
        <w:wordWrap/>
        <w:overflowPunct/>
        <w:topLinePunct w:val="0"/>
        <w:autoSpaceDE/>
        <w:autoSpaceDN/>
        <w:bidi w:val="0"/>
        <w:snapToGrid w:val="0"/>
        <w:spacing w:line="38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7</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380" w:lineRule="exact"/>
        <w:ind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建德市看守所迁建工程厨房设备采购项目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JD2022BF-175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numPr>
          <w:ilvl w:val="0"/>
          <w:numId w:val="0"/>
        </w:numPr>
        <w:kinsoku/>
        <w:wordWrap/>
        <w:overflowPunct/>
        <w:topLinePunct w:val="0"/>
        <w:autoSpaceDE/>
        <w:autoSpaceDN/>
        <w:bidi w:val="0"/>
        <w:spacing w:line="380" w:lineRule="exact"/>
        <w:ind w:leftChars="411"/>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380" w:lineRule="exact"/>
        <w:ind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lang w:val="zh-CN"/>
        </w:rPr>
        <w:t>%的扣除。供应商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380" w:lineRule="exact"/>
        <w:ind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5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59"/>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keepNext w:val="0"/>
        <w:keepLines w:val="0"/>
        <w:pageBreakBefore w:val="0"/>
        <w:widowControl w:val="0"/>
        <w:kinsoku/>
        <w:wordWrap/>
        <w:overflowPunct/>
        <w:topLinePunct w:val="0"/>
        <w:autoSpaceDE/>
        <w:autoSpaceDN/>
        <w:bidi w:val="0"/>
        <w:snapToGrid w:val="0"/>
        <w:spacing w:line="380" w:lineRule="exact"/>
        <w:ind w:left="573" w:leftChars="273"/>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left="573" w:leftChars="273"/>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keepNext w:val="0"/>
        <w:keepLines w:val="0"/>
        <w:pageBreakBefore w:val="0"/>
        <w:widowControl w:val="0"/>
        <w:kinsoku/>
        <w:wordWrap/>
        <w:overflowPunct/>
        <w:topLinePunct w:val="0"/>
        <w:autoSpaceDE/>
        <w:autoSpaceDN/>
        <w:bidi w:val="0"/>
        <w:snapToGrid w:val="0"/>
        <w:spacing w:line="380" w:lineRule="exact"/>
        <w:ind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keepNext w:val="0"/>
        <w:keepLines w:val="0"/>
        <w:pageBreakBefore w:val="0"/>
        <w:widowControl w:val="0"/>
        <w:kinsoku/>
        <w:wordWrap/>
        <w:overflowPunct/>
        <w:topLinePunct w:val="0"/>
        <w:autoSpaceDE/>
        <w:autoSpaceDN/>
        <w:bidi w:val="0"/>
        <w:snapToGrid w:val="0"/>
        <w:spacing w:line="380" w:lineRule="exact"/>
        <w:ind w:left="5758" w:leftChars="342"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keepNext w:val="0"/>
        <w:keepLines w:val="0"/>
        <w:pageBreakBefore w:val="0"/>
        <w:widowControl w:val="0"/>
        <w:kinsoku/>
        <w:wordWrap/>
        <w:overflowPunct/>
        <w:topLinePunct w:val="0"/>
        <w:autoSpaceDE/>
        <w:autoSpaceDN/>
        <w:bidi w:val="0"/>
        <w:snapToGrid w:val="0"/>
        <w:spacing w:line="380" w:lineRule="exact"/>
        <w:ind w:firstLine="5640" w:firstLineChars="23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keepNext w:val="0"/>
        <w:keepLines w:val="0"/>
        <w:pageBreakBefore w:val="0"/>
        <w:widowControl w:val="0"/>
        <w:kinsoku/>
        <w:wordWrap/>
        <w:overflowPunct/>
        <w:topLinePunct w:val="0"/>
        <w:autoSpaceDE/>
        <w:autoSpaceDN/>
        <w:bidi w:val="0"/>
        <w:snapToGrid w:val="0"/>
        <w:spacing w:line="380" w:lineRule="exact"/>
        <w:ind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380" w:lineRule="exact"/>
        <w:jc w:val="center"/>
        <w:textAlignment w:val="auto"/>
        <w:outlineLvl w:val="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p>
    <w:p>
      <w:pPr>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：现场踏勘确认书</w:t>
      </w:r>
    </w:p>
    <w:p>
      <w:pPr>
        <w:spacing w:line="360" w:lineRule="auto"/>
        <w:rPr>
          <w:rFonts w:hint="eastAsia" w:ascii="仿宋" w:hAnsi="仿宋" w:eastAsia="仿宋" w:cs="仿宋"/>
          <w:color w:val="auto"/>
          <w:sz w:val="28"/>
          <w:szCs w:val="36"/>
          <w:highlight w:val="none"/>
          <w:u w:val="single"/>
        </w:rPr>
      </w:pP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u w:val="single"/>
          <w:lang w:eastAsia="zh-CN"/>
        </w:rPr>
        <w:t>建德市公安局</w:t>
      </w:r>
      <w:r>
        <w:rPr>
          <w:rFonts w:hint="eastAsia" w:ascii="仿宋" w:hAnsi="仿宋" w:eastAsia="仿宋" w:cs="仿宋"/>
          <w:color w:val="auto"/>
          <w:sz w:val="28"/>
          <w:szCs w:val="36"/>
          <w:highlight w:val="none"/>
          <w:u w:val="single"/>
        </w:rPr>
        <w:t>：</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 xml:space="preserve">   根据招标文件要求，我方已对</w:t>
      </w:r>
      <w:r>
        <w:rPr>
          <w:rFonts w:hint="eastAsia" w:ascii="仿宋" w:hAnsi="仿宋" w:eastAsia="仿宋" w:cs="仿宋"/>
          <w:color w:val="auto"/>
          <w:sz w:val="28"/>
          <w:szCs w:val="36"/>
          <w:highlight w:val="none"/>
          <w:u w:val="single"/>
          <w:lang w:eastAsia="zh-CN"/>
        </w:rPr>
        <w:t>建德市看守所迁建工程厨房设备采购项目</w:t>
      </w:r>
      <w:r>
        <w:rPr>
          <w:rFonts w:hint="eastAsia" w:ascii="仿宋" w:hAnsi="仿宋" w:eastAsia="仿宋" w:cs="仿宋"/>
          <w:color w:val="auto"/>
          <w:sz w:val="28"/>
          <w:szCs w:val="36"/>
          <w:highlight w:val="none"/>
        </w:rPr>
        <w:t>现场进行实地踏勘，并获得投标所需要相关数据和资料：</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经现场踏勘，我方对该项目场地现状已充分了解。</w:t>
      </w:r>
    </w:p>
    <w:p>
      <w:pPr>
        <w:spacing w:line="360" w:lineRule="auto"/>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若我方中标，不会对场地现状提出异议，不以场地存在瑕疵为由拒绝签署项目合同书或履行所约定的各项义务。</w:t>
      </w:r>
    </w:p>
    <w:p>
      <w:pPr>
        <w:rPr>
          <w:rFonts w:hint="eastAsia" w:ascii="仿宋" w:hAnsi="仿宋" w:eastAsia="仿宋" w:cs="仿宋"/>
          <w:color w:val="auto"/>
          <w:sz w:val="28"/>
          <w:szCs w:val="36"/>
          <w:highlight w:val="none"/>
        </w:rPr>
      </w:pPr>
    </w:p>
    <w:p>
      <w:pPr>
        <w:jc w:val="right"/>
        <w:rPr>
          <w:rFonts w:hint="eastAsia" w:ascii="仿宋" w:hAnsi="仿宋" w:eastAsia="仿宋" w:cs="仿宋"/>
          <w:color w:val="auto"/>
          <w:sz w:val="28"/>
          <w:szCs w:val="36"/>
          <w:highlight w:val="none"/>
          <w:u w:val="single"/>
        </w:rPr>
      </w:pPr>
      <w:r>
        <w:rPr>
          <w:rFonts w:hint="eastAsia" w:ascii="仿宋" w:hAnsi="仿宋" w:eastAsia="仿宋" w:cs="仿宋"/>
          <w:color w:val="auto"/>
          <w:sz w:val="28"/>
          <w:szCs w:val="36"/>
          <w:highlight w:val="none"/>
        </w:rPr>
        <w:t>采购单位：</w:t>
      </w:r>
      <w:r>
        <w:rPr>
          <w:rFonts w:hint="eastAsia" w:ascii="仿宋" w:hAnsi="仿宋" w:eastAsia="仿宋" w:cs="仿宋"/>
          <w:color w:val="auto"/>
          <w:sz w:val="28"/>
          <w:szCs w:val="36"/>
          <w:highlight w:val="none"/>
          <w:u w:val="single"/>
        </w:rPr>
        <w:t xml:space="preserve">                     （签字或盖章）</w:t>
      </w:r>
    </w:p>
    <w:p>
      <w:pPr>
        <w:jc w:val="center"/>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 xml:space="preserve">                            </w:t>
      </w:r>
    </w:p>
    <w:p>
      <w:pPr>
        <w:jc w:val="righ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投标单位名称：</w:t>
      </w:r>
      <w:r>
        <w:rPr>
          <w:rFonts w:hint="eastAsia" w:ascii="仿宋" w:hAnsi="仿宋" w:eastAsia="仿宋" w:cs="仿宋"/>
          <w:color w:val="auto"/>
          <w:sz w:val="28"/>
          <w:szCs w:val="36"/>
          <w:highlight w:val="none"/>
          <w:u w:val="single"/>
        </w:rPr>
        <w:t xml:space="preserve">                       （盖章）</w:t>
      </w:r>
    </w:p>
    <w:p>
      <w:pPr>
        <w:jc w:val="right"/>
        <w:rPr>
          <w:rFonts w:hint="eastAsia" w:ascii="仿宋" w:hAnsi="仿宋" w:eastAsia="仿宋" w:cs="仿宋"/>
          <w:color w:val="auto"/>
          <w:sz w:val="28"/>
          <w:szCs w:val="36"/>
          <w:highlight w:val="none"/>
        </w:rPr>
      </w:pPr>
    </w:p>
    <w:p>
      <w:pPr>
        <w:spacing w:line="360" w:lineRule="auto"/>
        <w:jc w:val="right"/>
        <w:rPr>
          <w:rFonts w:hint="eastAsia" w:ascii="仿宋" w:hAnsi="仿宋" w:eastAsia="仿宋" w:cs="仿宋"/>
          <w:color w:val="auto"/>
          <w:sz w:val="28"/>
          <w:szCs w:val="36"/>
          <w:highlight w:val="none"/>
          <w:u w:val="single"/>
        </w:rPr>
      </w:pPr>
      <w:r>
        <w:rPr>
          <w:rFonts w:hint="eastAsia" w:ascii="仿宋" w:hAnsi="仿宋" w:eastAsia="仿宋" w:cs="仿宋"/>
          <w:color w:val="auto"/>
          <w:sz w:val="28"/>
          <w:szCs w:val="36"/>
          <w:highlight w:val="none"/>
        </w:rPr>
        <w:t>投标单位授权代表：</w:t>
      </w:r>
      <w:r>
        <w:rPr>
          <w:rFonts w:hint="eastAsia" w:ascii="仿宋" w:hAnsi="仿宋" w:eastAsia="仿宋" w:cs="仿宋"/>
          <w:color w:val="auto"/>
          <w:sz w:val="28"/>
          <w:szCs w:val="36"/>
          <w:highlight w:val="none"/>
          <w:u w:val="single"/>
        </w:rPr>
        <w:t xml:space="preserve">          （签字）</w:t>
      </w:r>
    </w:p>
    <w:p>
      <w:pPr>
        <w:spacing w:line="360" w:lineRule="auto"/>
        <w:jc w:val="righ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踏勘日期：2022年  月  日</w:t>
      </w:r>
    </w:p>
    <w:p>
      <w:pPr>
        <w:pStyle w:val="3"/>
        <w:rPr>
          <w:rFonts w:hint="eastAsia" w:ascii="仿宋" w:hAnsi="仿宋" w:eastAsia="仿宋" w:cs="仿宋"/>
          <w:color w:val="auto"/>
          <w:highlight w:val="none"/>
          <w:lang w:val="en-US"/>
        </w:rPr>
      </w:pPr>
    </w:p>
    <w:sectPr>
      <w:headerReference r:id="rId17" w:type="first"/>
      <w:footerReference r:id="rId20" w:type="first"/>
      <w:headerReference r:id="rId16" w:type="default"/>
      <w:footerReference r:id="rId18" w:type="default"/>
      <w:footerReference r:id="rId19" w:type="even"/>
      <w:pgSz w:w="11905" w:h="16838"/>
      <w:pgMar w:top="1474" w:right="1814" w:bottom="1474" w:left="1814" w:header="851" w:footer="85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Courier New"/>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60" w:name="_Toc91899912"/>
    <w:bookmarkStart w:id="561" w:name="_Toc164085800"/>
    <w:bookmarkStart w:id="562" w:name="_Toc131845147"/>
    <w:bookmarkStart w:id="563" w:name="_Toc36110187"/>
    <w:r>
      <w:rPr>
        <w:rFonts w:hint="eastAsia" w:ascii="仿宋_GB2312" w:eastAsia="仿宋_GB2312"/>
        <w:kern w:val="0"/>
        <w:szCs w:val="21"/>
      </w:rPr>
      <w:t xml:space="preserve"> 页</w:t>
    </w:r>
    <w:bookmarkEnd w:id="560"/>
    <w:bookmarkEnd w:id="561"/>
    <w:bookmarkEnd w:id="562"/>
    <w:bookmarkEnd w:id="56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20B7A"/>
    <w:multiLevelType w:val="multilevel"/>
    <w:tmpl w:val="8E020B7A"/>
    <w:lvl w:ilvl="0" w:tentative="0">
      <w:start w:val="11"/>
      <w:numFmt w:val="decimal"/>
      <w:lvlText w:val="%1."/>
      <w:lvlJc w:val="left"/>
      <w:pPr>
        <w:ind w:left="425" w:hanging="425"/>
      </w:pPr>
      <w:rPr>
        <w:rFonts w:hint="default" w:ascii="宋体" w:hAnsi="宋体" w:eastAsia="宋体" w:cs="宋体"/>
      </w:rPr>
    </w:lvl>
    <w:lvl w:ilvl="1" w:tentative="0">
      <w:start w:val="2"/>
      <w:numFmt w:val="decimal"/>
      <w:lvlText w:val="%1.%2."/>
      <w:lvlJc w:val="left"/>
      <w:pPr>
        <w:ind w:left="850"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ascii="宋体" w:hAnsi="宋体" w:eastAsia="宋体" w:cs="宋体"/>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DD7EBF0E"/>
    <w:multiLevelType w:val="singleLevel"/>
    <w:tmpl w:val="DD7EBF0E"/>
    <w:lvl w:ilvl="0" w:tentative="0">
      <w:start w:val="1"/>
      <w:numFmt w:val="decimal"/>
      <w:suff w:val="nothing"/>
      <w:lvlText w:val="（%1）"/>
      <w:lvlJc w:val="left"/>
    </w:lvl>
  </w:abstractNum>
  <w:abstractNum w:abstractNumId="2">
    <w:nsid w:val="E256ED80"/>
    <w:multiLevelType w:val="singleLevel"/>
    <w:tmpl w:val="E256ED80"/>
    <w:lvl w:ilvl="0" w:tentative="0">
      <w:start w:val="2"/>
      <w:numFmt w:val="chineseCounting"/>
      <w:suff w:val="nothing"/>
      <w:lvlText w:val="%1、"/>
      <w:lvlJc w:val="left"/>
      <w:rPr>
        <w:rFonts w:hint="eastAsia"/>
      </w:rPr>
    </w:lvl>
  </w:abstractNum>
  <w:abstractNum w:abstractNumId="3">
    <w:nsid w:val="F9D91313"/>
    <w:multiLevelType w:val="singleLevel"/>
    <w:tmpl w:val="F9D91313"/>
    <w:lvl w:ilvl="0" w:tentative="0">
      <w:start w:val="4"/>
      <w:numFmt w:val="chineseCounting"/>
      <w:suff w:val="space"/>
      <w:lvlText w:val="第%1部分"/>
      <w:lvlJc w:val="left"/>
      <w:rPr>
        <w:rFonts w:hint="eastAsia"/>
      </w:rPr>
    </w:lvl>
  </w:abstractNum>
  <w:abstractNum w:abstractNumId="4">
    <w:nsid w:val="11B78940"/>
    <w:multiLevelType w:val="singleLevel"/>
    <w:tmpl w:val="11B78940"/>
    <w:lvl w:ilvl="0" w:tentative="0">
      <w:start w:val="10"/>
      <w:numFmt w:val="decimal"/>
      <w:suff w:val="nothing"/>
      <w:lvlText w:val="%1、"/>
      <w:lvlJc w:val="left"/>
    </w:lvl>
  </w:abstractNum>
  <w:abstractNum w:abstractNumId="5">
    <w:nsid w:val="52B48799"/>
    <w:multiLevelType w:val="multilevel"/>
    <w:tmpl w:val="52B48799"/>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873" w:hanging="453"/>
      </w:pPr>
      <w:rPr>
        <w:rFonts w:hint="default" w:ascii="宋体" w:hAnsi="宋体" w:eastAsia="宋体" w:cs="宋体"/>
      </w:rPr>
    </w:lvl>
    <w:lvl w:ilvl="2" w:tentative="0">
      <w:start w:val="1"/>
      <w:numFmt w:val="decimal"/>
      <w:lvlText w:val="%1.%2.%3"/>
      <w:lvlJc w:val="left"/>
      <w:pPr>
        <w:ind w:left="1508" w:hanging="708"/>
      </w:pPr>
      <w:rPr>
        <w:rFonts w:hint="default" w:ascii="宋体" w:hAnsi="宋体" w:eastAsia="宋体" w:cs="宋体"/>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xZTk0YTM2YWVmNjg2OGIyMTU3N2YxODNiZjFhMD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1EF"/>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3E1F"/>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0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4C66"/>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B06"/>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137EB"/>
    <w:rsid w:val="01236AFB"/>
    <w:rsid w:val="017165B7"/>
    <w:rsid w:val="018A0D56"/>
    <w:rsid w:val="019F7441"/>
    <w:rsid w:val="01B37585"/>
    <w:rsid w:val="01C22832"/>
    <w:rsid w:val="01D55165"/>
    <w:rsid w:val="01DF6BF8"/>
    <w:rsid w:val="01EC2C57"/>
    <w:rsid w:val="023F2A53"/>
    <w:rsid w:val="026B2E25"/>
    <w:rsid w:val="02824D4D"/>
    <w:rsid w:val="02DC4B10"/>
    <w:rsid w:val="02DD76CE"/>
    <w:rsid w:val="02F36323"/>
    <w:rsid w:val="02F5619C"/>
    <w:rsid w:val="02F66A70"/>
    <w:rsid w:val="0326446A"/>
    <w:rsid w:val="032D5555"/>
    <w:rsid w:val="03535009"/>
    <w:rsid w:val="0356652E"/>
    <w:rsid w:val="035750F0"/>
    <w:rsid w:val="03604B36"/>
    <w:rsid w:val="036634D2"/>
    <w:rsid w:val="03A422CA"/>
    <w:rsid w:val="03B80F4C"/>
    <w:rsid w:val="03DD35E4"/>
    <w:rsid w:val="03F82FC0"/>
    <w:rsid w:val="04076900"/>
    <w:rsid w:val="041A5A3B"/>
    <w:rsid w:val="042311BA"/>
    <w:rsid w:val="04277401"/>
    <w:rsid w:val="042B157A"/>
    <w:rsid w:val="04327D97"/>
    <w:rsid w:val="04581455"/>
    <w:rsid w:val="04895D53"/>
    <w:rsid w:val="048A0C82"/>
    <w:rsid w:val="048F763B"/>
    <w:rsid w:val="04905E6E"/>
    <w:rsid w:val="049806A8"/>
    <w:rsid w:val="049F330E"/>
    <w:rsid w:val="04AA775C"/>
    <w:rsid w:val="04AF1889"/>
    <w:rsid w:val="04C832B6"/>
    <w:rsid w:val="04E840BF"/>
    <w:rsid w:val="04F66F48"/>
    <w:rsid w:val="050068B7"/>
    <w:rsid w:val="05251E14"/>
    <w:rsid w:val="0580405B"/>
    <w:rsid w:val="05A16594"/>
    <w:rsid w:val="05A7762D"/>
    <w:rsid w:val="05C37529"/>
    <w:rsid w:val="05CF40C4"/>
    <w:rsid w:val="05DC3F1F"/>
    <w:rsid w:val="05E76E48"/>
    <w:rsid w:val="05F044AE"/>
    <w:rsid w:val="060519C4"/>
    <w:rsid w:val="060E5941"/>
    <w:rsid w:val="06110FAF"/>
    <w:rsid w:val="06142298"/>
    <w:rsid w:val="061816F7"/>
    <w:rsid w:val="06205CD1"/>
    <w:rsid w:val="06304798"/>
    <w:rsid w:val="06493CA7"/>
    <w:rsid w:val="065A6178"/>
    <w:rsid w:val="066F1CF3"/>
    <w:rsid w:val="06930BB8"/>
    <w:rsid w:val="06C275FF"/>
    <w:rsid w:val="06F23CF7"/>
    <w:rsid w:val="070D6DD5"/>
    <w:rsid w:val="07245D42"/>
    <w:rsid w:val="07264C62"/>
    <w:rsid w:val="075F245C"/>
    <w:rsid w:val="0779354C"/>
    <w:rsid w:val="0781602F"/>
    <w:rsid w:val="07885862"/>
    <w:rsid w:val="07A53B7C"/>
    <w:rsid w:val="08061376"/>
    <w:rsid w:val="08212A0A"/>
    <w:rsid w:val="083823C5"/>
    <w:rsid w:val="08452D77"/>
    <w:rsid w:val="085905F8"/>
    <w:rsid w:val="086401F8"/>
    <w:rsid w:val="08751CAA"/>
    <w:rsid w:val="087E4C40"/>
    <w:rsid w:val="08A106DD"/>
    <w:rsid w:val="08D66AD6"/>
    <w:rsid w:val="08DA33A3"/>
    <w:rsid w:val="08E80F13"/>
    <w:rsid w:val="09072659"/>
    <w:rsid w:val="091C32AD"/>
    <w:rsid w:val="09300B06"/>
    <w:rsid w:val="09335624"/>
    <w:rsid w:val="0944690F"/>
    <w:rsid w:val="09535675"/>
    <w:rsid w:val="095C7B4D"/>
    <w:rsid w:val="095F057D"/>
    <w:rsid w:val="09630EDC"/>
    <w:rsid w:val="09642282"/>
    <w:rsid w:val="09733572"/>
    <w:rsid w:val="09772C16"/>
    <w:rsid w:val="098353B5"/>
    <w:rsid w:val="09A92330"/>
    <w:rsid w:val="09B06B87"/>
    <w:rsid w:val="09C13146"/>
    <w:rsid w:val="09E04166"/>
    <w:rsid w:val="09F71624"/>
    <w:rsid w:val="09FE03F4"/>
    <w:rsid w:val="0A1C0718"/>
    <w:rsid w:val="0A36539C"/>
    <w:rsid w:val="0A3E7710"/>
    <w:rsid w:val="0A5B7E63"/>
    <w:rsid w:val="0A727109"/>
    <w:rsid w:val="0A7F7F97"/>
    <w:rsid w:val="0AA374A5"/>
    <w:rsid w:val="0AAB7649"/>
    <w:rsid w:val="0ABC5606"/>
    <w:rsid w:val="0AE57975"/>
    <w:rsid w:val="0B30404E"/>
    <w:rsid w:val="0B4C6C14"/>
    <w:rsid w:val="0B631A88"/>
    <w:rsid w:val="0B683D45"/>
    <w:rsid w:val="0B7F3F11"/>
    <w:rsid w:val="0B884417"/>
    <w:rsid w:val="0B8D2240"/>
    <w:rsid w:val="0B9A4EF6"/>
    <w:rsid w:val="0B9B429E"/>
    <w:rsid w:val="0BE80ADC"/>
    <w:rsid w:val="0BF6188C"/>
    <w:rsid w:val="0BF73C91"/>
    <w:rsid w:val="0C016970"/>
    <w:rsid w:val="0C0701CD"/>
    <w:rsid w:val="0C122745"/>
    <w:rsid w:val="0C170175"/>
    <w:rsid w:val="0C571A41"/>
    <w:rsid w:val="0C5C1171"/>
    <w:rsid w:val="0C5E1CBC"/>
    <w:rsid w:val="0C615B50"/>
    <w:rsid w:val="0C8445DA"/>
    <w:rsid w:val="0C87121B"/>
    <w:rsid w:val="0CC007F7"/>
    <w:rsid w:val="0CC92714"/>
    <w:rsid w:val="0CFE707A"/>
    <w:rsid w:val="0D063BDA"/>
    <w:rsid w:val="0D08375F"/>
    <w:rsid w:val="0D184CFB"/>
    <w:rsid w:val="0D200E92"/>
    <w:rsid w:val="0D46523D"/>
    <w:rsid w:val="0D4A7419"/>
    <w:rsid w:val="0D756F85"/>
    <w:rsid w:val="0D827401"/>
    <w:rsid w:val="0D84094E"/>
    <w:rsid w:val="0D8A00E9"/>
    <w:rsid w:val="0D8D589E"/>
    <w:rsid w:val="0DA01C73"/>
    <w:rsid w:val="0DD63300"/>
    <w:rsid w:val="0DF50604"/>
    <w:rsid w:val="0DF702FE"/>
    <w:rsid w:val="0E060E51"/>
    <w:rsid w:val="0E2315D2"/>
    <w:rsid w:val="0E524C78"/>
    <w:rsid w:val="0E5604B2"/>
    <w:rsid w:val="0E6D5D79"/>
    <w:rsid w:val="0E8536A2"/>
    <w:rsid w:val="0E8F43C2"/>
    <w:rsid w:val="0E9D0089"/>
    <w:rsid w:val="0EB803EE"/>
    <w:rsid w:val="0ECE7B3A"/>
    <w:rsid w:val="0EDA356D"/>
    <w:rsid w:val="0EF600FC"/>
    <w:rsid w:val="0EF94D4B"/>
    <w:rsid w:val="0F113188"/>
    <w:rsid w:val="0F460883"/>
    <w:rsid w:val="0F4958DC"/>
    <w:rsid w:val="0F515DF7"/>
    <w:rsid w:val="0F596BA8"/>
    <w:rsid w:val="0F6248D2"/>
    <w:rsid w:val="0F693536"/>
    <w:rsid w:val="0F7B0511"/>
    <w:rsid w:val="0F7B76D9"/>
    <w:rsid w:val="0F7F4595"/>
    <w:rsid w:val="0F816ACD"/>
    <w:rsid w:val="0F9832DB"/>
    <w:rsid w:val="0FBF3FD2"/>
    <w:rsid w:val="0FBF7FF3"/>
    <w:rsid w:val="0FC1439D"/>
    <w:rsid w:val="10646583"/>
    <w:rsid w:val="1079768A"/>
    <w:rsid w:val="107D4B15"/>
    <w:rsid w:val="10863702"/>
    <w:rsid w:val="108A3C80"/>
    <w:rsid w:val="10C26171"/>
    <w:rsid w:val="10D17A80"/>
    <w:rsid w:val="10F33360"/>
    <w:rsid w:val="10FC16EA"/>
    <w:rsid w:val="110E10F1"/>
    <w:rsid w:val="110F1D40"/>
    <w:rsid w:val="11266F33"/>
    <w:rsid w:val="118253BD"/>
    <w:rsid w:val="118963A1"/>
    <w:rsid w:val="11A96BF0"/>
    <w:rsid w:val="11C6522A"/>
    <w:rsid w:val="11E104CC"/>
    <w:rsid w:val="11E20309"/>
    <w:rsid w:val="11E37D58"/>
    <w:rsid w:val="11F85597"/>
    <w:rsid w:val="12255233"/>
    <w:rsid w:val="12530213"/>
    <w:rsid w:val="127723A9"/>
    <w:rsid w:val="12862074"/>
    <w:rsid w:val="12883966"/>
    <w:rsid w:val="129E45B4"/>
    <w:rsid w:val="12C7617B"/>
    <w:rsid w:val="12D81596"/>
    <w:rsid w:val="13072A44"/>
    <w:rsid w:val="133B6A25"/>
    <w:rsid w:val="13560601"/>
    <w:rsid w:val="135F4BE2"/>
    <w:rsid w:val="137D0DEC"/>
    <w:rsid w:val="139B1A0A"/>
    <w:rsid w:val="139D25C7"/>
    <w:rsid w:val="13BF3CE4"/>
    <w:rsid w:val="140861EA"/>
    <w:rsid w:val="141008D8"/>
    <w:rsid w:val="14125FE6"/>
    <w:rsid w:val="1443778C"/>
    <w:rsid w:val="146D271E"/>
    <w:rsid w:val="14982588"/>
    <w:rsid w:val="149A5AD9"/>
    <w:rsid w:val="14A670A5"/>
    <w:rsid w:val="14A7619D"/>
    <w:rsid w:val="14C558F7"/>
    <w:rsid w:val="150536C3"/>
    <w:rsid w:val="150C1963"/>
    <w:rsid w:val="151447A0"/>
    <w:rsid w:val="1528635A"/>
    <w:rsid w:val="154A6454"/>
    <w:rsid w:val="156669A8"/>
    <w:rsid w:val="15762120"/>
    <w:rsid w:val="158272E5"/>
    <w:rsid w:val="15857852"/>
    <w:rsid w:val="15C22E6B"/>
    <w:rsid w:val="15CC605B"/>
    <w:rsid w:val="15EC04AB"/>
    <w:rsid w:val="161C2F50"/>
    <w:rsid w:val="16361726"/>
    <w:rsid w:val="164756E1"/>
    <w:rsid w:val="166F3685"/>
    <w:rsid w:val="167D5E37"/>
    <w:rsid w:val="16A8729C"/>
    <w:rsid w:val="16B33777"/>
    <w:rsid w:val="16B33FF7"/>
    <w:rsid w:val="16BC70A7"/>
    <w:rsid w:val="16C6339E"/>
    <w:rsid w:val="16D740E6"/>
    <w:rsid w:val="17042E02"/>
    <w:rsid w:val="170A15C8"/>
    <w:rsid w:val="172F2D79"/>
    <w:rsid w:val="17393BB1"/>
    <w:rsid w:val="174A5489"/>
    <w:rsid w:val="174B3D3F"/>
    <w:rsid w:val="17557BEF"/>
    <w:rsid w:val="17D349C1"/>
    <w:rsid w:val="18133B65"/>
    <w:rsid w:val="1815156F"/>
    <w:rsid w:val="1830729E"/>
    <w:rsid w:val="183932B6"/>
    <w:rsid w:val="18506ACF"/>
    <w:rsid w:val="18616F2E"/>
    <w:rsid w:val="1870062C"/>
    <w:rsid w:val="18817102"/>
    <w:rsid w:val="18830A15"/>
    <w:rsid w:val="18852B28"/>
    <w:rsid w:val="18890E77"/>
    <w:rsid w:val="188B5321"/>
    <w:rsid w:val="18FC2175"/>
    <w:rsid w:val="193B777F"/>
    <w:rsid w:val="19404D95"/>
    <w:rsid w:val="1980756A"/>
    <w:rsid w:val="19932372"/>
    <w:rsid w:val="19A20DD5"/>
    <w:rsid w:val="19AE03F1"/>
    <w:rsid w:val="19C71013"/>
    <w:rsid w:val="1A071A03"/>
    <w:rsid w:val="1A1E4D29"/>
    <w:rsid w:val="1A1F16AE"/>
    <w:rsid w:val="1A26714F"/>
    <w:rsid w:val="1A3B5C77"/>
    <w:rsid w:val="1A626F8D"/>
    <w:rsid w:val="1A705206"/>
    <w:rsid w:val="1A7B1124"/>
    <w:rsid w:val="1A827D41"/>
    <w:rsid w:val="1A984BAD"/>
    <w:rsid w:val="1AB8220E"/>
    <w:rsid w:val="1ABA46D4"/>
    <w:rsid w:val="1AE4166C"/>
    <w:rsid w:val="1AF06CFB"/>
    <w:rsid w:val="1AF11B8D"/>
    <w:rsid w:val="1B11359C"/>
    <w:rsid w:val="1B2163CC"/>
    <w:rsid w:val="1B2A271F"/>
    <w:rsid w:val="1B345693"/>
    <w:rsid w:val="1B530544"/>
    <w:rsid w:val="1B713184"/>
    <w:rsid w:val="1B945A89"/>
    <w:rsid w:val="1BA209CF"/>
    <w:rsid w:val="1BB4777D"/>
    <w:rsid w:val="1BD75AB8"/>
    <w:rsid w:val="1C03373C"/>
    <w:rsid w:val="1C0459C2"/>
    <w:rsid w:val="1C1B3B4A"/>
    <w:rsid w:val="1C300F03"/>
    <w:rsid w:val="1C38784E"/>
    <w:rsid w:val="1C44279A"/>
    <w:rsid w:val="1C88086E"/>
    <w:rsid w:val="1C8A49D9"/>
    <w:rsid w:val="1CC300FA"/>
    <w:rsid w:val="1CC979D3"/>
    <w:rsid w:val="1D266CE1"/>
    <w:rsid w:val="1D3963AF"/>
    <w:rsid w:val="1D396442"/>
    <w:rsid w:val="1D621CC3"/>
    <w:rsid w:val="1D6A673C"/>
    <w:rsid w:val="1D9247AE"/>
    <w:rsid w:val="1D960CBD"/>
    <w:rsid w:val="1DA52039"/>
    <w:rsid w:val="1DB567EC"/>
    <w:rsid w:val="1DF51A98"/>
    <w:rsid w:val="1E3D060F"/>
    <w:rsid w:val="1E3F7D2E"/>
    <w:rsid w:val="1E4134E4"/>
    <w:rsid w:val="1E5062B3"/>
    <w:rsid w:val="1E523514"/>
    <w:rsid w:val="1E714A66"/>
    <w:rsid w:val="1E802593"/>
    <w:rsid w:val="1E82212B"/>
    <w:rsid w:val="1EA703CC"/>
    <w:rsid w:val="1EB7330C"/>
    <w:rsid w:val="1EBA276E"/>
    <w:rsid w:val="1EDC3233"/>
    <w:rsid w:val="1EEA530C"/>
    <w:rsid w:val="1F0A0FF3"/>
    <w:rsid w:val="1F1030E0"/>
    <w:rsid w:val="1F2E5690"/>
    <w:rsid w:val="1F5771FF"/>
    <w:rsid w:val="1F5C6639"/>
    <w:rsid w:val="1F721A21"/>
    <w:rsid w:val="1FBF453A"/>
    <w:rsid w:val="1FE868A9"/>
    <w:rsid w:val="20034907"/>
    <w:rsid w:val="200B777F"/>
    <w:rsid w:val="20173E4B"/>
    <w:rsid w:val="202C7E22"/>
    <w:rsid w:val="20417272"/>
    <w:rsid w:val="204E48BC"/>
    <w:rsid w:val="205360FA"/>
    <w:rsid w:val="208921B3"/>
    <w:rsid w:val="20923DE0"/>
    <w:rsid w:val="20973DEB"/>
    <w:rsid w:val="20A200E4"/>
    <w:rsid w:val="20A86FEA"/>
    <w:rsid w:val="20B26522"/>
    <w:rsid w:val="20B44310"/>
    <w:rsid w:val="210E39CB"/>
    <w:rsid w:val="211116EB"/>
    <w:rsid w:val="21117C4F"/>
    <w:rsid w:val="214C3C4D"/>
    <w:rsid w:val="216133FC"/>
    <w:rsid w:val="21696E53"/>
    <w:rsid w:val="21D56769"/>
    <w:rsid w:val="21E52EF3"/>
    <w:rsid w:val="21FB5D7B"/>
    <w:rsid w:val="220129F6"/>
    <w:rsid w:val="2202335D"/>
    <w:rsid w:val="220B1C3D"/>
    <w:rsid w:val="22121F35"/>
    <w:rsid w:val="221D1D20"/>
    <w:rsid w:val="222039B6"/>
    <w:rsid w:val="22334A87"/>
    <w:rsid w:val="224E2666"/>
    <w:rsid w:val="22573150"/>
    <w:rsid w:val="227619B0"/>
    <w:rsid w:val="229A2E6F"/>
    <w:rsid w:val="22B365D8"/>
    <w:rsid w:val="22BE6801"/>
    <w:rsid w:val="231A12C4"/>
    <w:rsid w:val="233500BF"/>
    <w:rsid w:val="23377FF7"/>
    <w:rsid w:val="236B425F"/>
    <w:rsid w:val="23793344"/>
    <w:rsid w:val="23836192"/>
    <w:rsid w:val="23901F29"/>
    <w:rsid w:val="239C0061"/>
    <w:rsid w:val="23B908A4"/>
    <w:rsid w:val="23E95BEF"/>
    <w:rsid w:val="23FD0064"/>
    <w:rsid w:val="24526BF4"/>
    <w:rsid w:val="245375B0"/>
    <w:rsid w:val="24642C0A"/>
    <w:rsid w:val="24A07339"/>
    <w:rsid w:val="24B22173"/>
    <w:rsid w:val="24B95AD9"/>
    <w:rsid w:val="24BE24DA"/>
    <w:rsid w:val="24CF5825"/>
    <w:rsid w:val="24D663E6"/>
    <w:rsid w:val="24D77F2B"/>
    <w:rsid w:val="24F40155"/>
    <w:rsid w:val="252F768F"/>
    <w:rsid w:val="257162D7"/>
    <w:rsid w:val="258B00E2"/>
    <w:rsid w:val="259F2E44"/>
    <w:rsid w:val="25A917A6"/>
    <w:rsid w:val="25AE3905"/>
    <w:rsid w:val="25BE27CC"/>
    <w:rsid w:val="25F034CA"/>
    <w:rsid w:val="25F74A5C"/>
    <w:rsid w:val="260A1191"/>
    <w:rsid w:val="2628662C"/>
    <w:rsid w:val="262D45DE"/>
    <w:rsid w:val="265951C3"/>
    <w:rsid w:val="26656A1C"/>
    <w:rsid w:val="26695200"/>
    <w:rsid w:val="268564DD"/>
    <w:rsid w:val="269E759F"/>
    <w:rsid w:val="26A53EF9"/>
    <w:rsid w:val="26A94201"/>
    <w:rsid w:val="26AC274F"/>
    <w:rsid w:val="27044A29"/>
    <w:rsid w:val="271D34C8"/>
    <w:rsid w:val="271F6C7E"/>
    <w:rsid w:val="27223D2C"/>
    <w:rsid w:val="272D72C9"/>
    <w:rsid w:val="27493637"/>
    <w:rsid w:val="276142BF"/>
    <w:rsid w:val="27766D17"/>
    <w:rsid w:val="27783712"/>
    <w:rsid w:val="27881DD7"/>
    <w:rsid w:val="27907362"/>
    <w:rsid w:val="27B150B0"/>
    <w:rsid w:val="27BA7B6B"/>
    <w:rsid w:val="28333E1D"/>
    <w:rsid w:val="28454BD6"/>
    <w:rsid w:val="28455253"/>
    <w:rsid w:val="28551971"/>
    <w:rsid w:val="285B1C53"/>
    <w:rsid w:val="28607F37"/>
    <w:rsid w:val="2864047E"/>
    <w:rsid w:val="28810F26"/>
    <w:rsid w:val="289F7086"/>
    <w:rsid w:val="28C32028"/>
    <w:rsid w:val="28CC490F"/>
    <w:rsid w:val="28DE40AA"/>
    <w:rsid w:val="2909455A"/>
    <w:rsid w:val="290D5E47"/>
    <w:rsid w:val="29345E77"/>
    <w:rsid w:val="29497409"/>
    <w:rsid w:val="294C65AD"/>
    <w:rsid w:val="29806583"/>
    <w:rsid w:val="298B3C4C"/>
    <w:rsid w:val="29F26D24"/>
    <w:rsid w:val="2A041085"/>
    <w:rsid w:val="2A15033F"/>
    <w:rsid w:val="2A1662C1"/>
    <w:rsid w:val="2A1C7367"/>
    <w:rsid w:val="2A2815FA"/>
    <w:rsid w:val="2A2B4A0D"/>
    <w:rsid w:val="2A331DAD"/>
    <w:rsid w:val="2A3A6487"/>
    <w:rsid w:val="2A6D6092"/>
    <w:rsid w:val="2A7D76B4"/>
    <w:rsid w:val="2ADE4398"/>
    <w:rsid w:val="2AF27EBA"/>
    <w:rsid w:val="2AF76710"/>
    <w:rsid w:val="2B083783"/>
    <w:rsid w:val="2B0A5203"/>
    <w:rsid w:val="2B437463"/>
    <w:rsid w:val="2B7807EE"/>
    <w:rsid w:val="2B886A31"/>
    <w:rsid w:val="2B9E76FA"/>
    <w:rsid w:val="2BBF00EC"/>
    <w:rsid w:val="2BC13D54"/>
    <w:rsid w:val="2BC37CFD"/>
    <w:rsid w:val="2BD5237F"/>
    <w:rsid w:val="2BE536CE"/>
    <w:rsid w:val="2BE758D9"/>
    <w:rsid w:val="2C09049E"/>
    <w:rsid w:val="2C0A653C"/>
    <w:rsid w:val="2C0E487F"/>
    <w:rsid w:val="2C0F02F4"/>
    <w:rsid w:val="2C191F85"/>
    <w:rsid w:val="2C45008E"/>
    <w:rsid w:val="2C58133E"/>
    <w:rsid w:val="2C6C7DEF"/>
    <w:rsid w:val="2CD23AFF"/>
    <w:rsid w:val="2CD46C9D"/>
    <w:rsid w:val="2CE82D6F"/>
    <w:rsid w:val="2CF02A7E"/>
    <w:rsid w:val="2D204AD1"/>
    <w:rsid w:val="2D343236"/>
    <w:rsid w:val="2D646EBC"/>
    <w:rsid w:val="2DD15014"/>
    <w:rsid w:val="2DDA1BD4"/>
    <w:rsid w:val="2DF5500F"/>
    <w:rsid w:val="2DF72DE4"/>
    <w:rsid w:val="2E0220AF"/>
    <w:rsid w:val="2E150147"/>
    <w:rsid w:val="2E24488E"/>
    <w:rsid w:val="2E4B082A"/>
    <w:rsid w:val="2E4B3B69"/>
    <w:rsid w:val="2E54221F"/>
    <w:rsid w:val="2E5D4E86"/>
    <w:rsid w:val="2E5D790B"/>
    <w:rsid w:val="2E823422"/>
    <w:rsid w:val="2E8E7B8B"/>
    <w:rsid w:val="2E9A3C18"/>
    <w:rsid w:val="2EBB0FEE"/>
    <w:rsid w:val="2EC63002"/>
    <w:rsid w:val="2F0508B7"/>
    <w:rsid w:val="2F0A6B38"/>
    <w:rsid w:val="2F1D5CEB"/>
    <w:rsid w:val="2F236953"/>
    <w:rsid w:val="2F26135D"/>
    <w:rsid w:val="2F946CCB"/>
    <w:rsid w:val="2FC33BD3"/>
    <w:rsid w:val="2FD25781"/>
    <w:rsid w:val="2FDF6677"/>
    <w:rsid w:val="2FFD7934"/>
    <w:rsid w:val="300F652B"/>
    <w:rsid w:val="30172D3B"/>
    <w:rsid w:val="3068737C"/>
    <w:rsid w:val="30733ACD"/>
    <w:rsid w:val="308C3862"/>
    <w:rsid w:val="309379D8"/>
    <w:rsid w:val="30A270F7"/>
    <w:rsid w:val="30DF1478"/>
    <w:rsid w:val="30E1791C"/>
    <w:rsid w:val="30EC586F"/>
    <w:rsid w:val="30FD52C9"/>
    <w:rsid w:val="3105779E"/>
    <w:rsid w:val="31112756"/>
    <w:rsid w:val="316E7B6E"/>
    <w:rsid w:val="3183159E"/>
    <w:rsid w:val="319C6071"/>
    <w:rsid w:val="31AC537E"/>
    <w:rsid w:val="31D04050"/>
    <w:rsid w:val="31E3679B"/>
    <w:rsid w:val="31E732FD"/>
    <w:rsid w:val="32517576"/>
    <w:rsid w:val="32A36F3E"/>
    <w:rsid w:val="32A76D1A"/>
    <w:rsid w:val="32BE5C2C"/>
    <w:rsid w:val="32FB6478"/>
    <w:rsid w:val="33263B3F"/>
    <w:rsid w:val="336963EB"/>
    <w:rsid w:val="33726391"/>
    <w:rsid w:val="33816EEB"/>
    <w:rsid w:val="338B3346"/>
    <w:rsid w:val="33A42CFD"/>
    <w:rsid w:val="33C63C91"/>
    <w:rsid w:val="33CE7B7C"/>
    <w:rsid w:val="33EB55CD"/>
    <w:rsid w:val="33EC4C02"/>
    <w:rsid w:val="340D2360"/>
    <w:rsid w:val="3410665D"/>
    <w:rsid w:val="34211214"/>
    <w:rsid w:val="342E63AB"/>
    <w:rsid w:val="345918E6"/>
    <w:rsid w:val="345B6AD0"/>
    <w:rsid w:val="34950E68"/>
    <w:rsid w:val="34986E94"/>
    <w:rsid w:val="34AF62C9"/>
    <w:rsid w:val="34CB4388"/>
    <w:rsid w:val="34F67643"/>
    <w:rsid w:val="34FA6E12"/>
    <w:rsid w:val="35530223"/>
    <w:rsid w:val="35640D2B"/>
    <w:rsid w:val="356A4759"/>
    <w:rsid w:val="357A6A98"/>
    <w:rsid w:val="358D5588"/>
    <w:rsid w:val="35AA52D2"/>
    <w:rsid w:val="35D80964"/>
    <w:rsid w:val="35DC0A48"/>
    <w:rsid w:val="35EA6A3B"/>
    <w:rsid w:val="360C62D3"/>
    <w:rsid w:val="36140CC0"/>
    <w:rsid w:val="361452B2"/>
    <w:rsid w:val="363A3B40"/>
    <w:rsid w:val="365302AE"/>
    <w:rsid w:val="36545584"/>
    <w:rsid w:val="36607A0A"/>
    <w:rsid w:val="366E227C"/>
    <w:rsid w:val="366F2E0D"/>
    <w:rsid w:val="367B6A5C"/>
    <w:rsid w:val="36A735DC"/>
    <w:rsid w:val="36A74ADA"/>
    <w:rsid w:val="36AD60D5"/>
    <w:rsid w:val="36B224F9"/>
    <w:rsid w:val="36E2019E"/>
    <w:rsid w:val="36EC0CC9"/>
    <w:rsid w:val="36F86858"/>
    <w:rsid w:val="370D0FD4"/>
    <w:rsid w:val="373F410B"/>
    <w:rsid w:val="374571AC"/>
    <w:rsid w:val="37EE7094"/>
    <w:rsid w:val="38296C89"/>
    <w:rsid w:val="383002EB"/>
    <w:rsid w:val="38532469"/>
    <w:rsid w:val="38586797"/>
    <w:rsid w:val="386817BB"/>
    <w:rsid w:val="38BC0149"/>
    <w:rsid w:val="38C61C00"/>
    <w:rsid w:val="38D87D1C"/>
    <w:rsid w:val="38E46F0D"/>
    <w:rsid w:val="38EF5CE8"/>
    <w:rsid w:val="3946433F"/>
    <w:rsid w:val="39513FFD"/>
    <w:rsid w:val="39555099"/>
    <w:rsid w:val="39636459"/>
    <w:rsid w:val="39647F89"/>
    <w:rsid w:val="396B7F6C"/>
    <w:rsid w:val="39872F73"/>
    <w:rsid w:val="39A32DAC"/>
    <w:rsid w:val="39AF787F"/>
    <w:rsid w:val="39B417A9"/>
    <w:rsid w:val="39FC5695"/>
    <w:rsid w:val="3A006D8E"/>
    <w:rsid w:val="3A3651E5"/>
    <w:rsid w:val="3A744481"/>
    <w:rsid w:val="3A8A4678"/>
    <w:rsid w:val="3A8C7BEF"/>
    <w:rsid w:val="3A8E0630"/>
    <w:rsid w:val="3A906246"/>
    <w:rsid w:val="3AE61129"/>
    <w:rsid w:val="3AEF7DF1"/>
    <w:rsid w:val="3B2349B7"/>
    <w:rsid w:val="3B410F13"/>
    <w:rsid w:val="3B5E3171"/>
    <w:rsid w:val="3B616CFF"/>
    <w:rsid w:val="3B6259F6"/>
    <w:rsid w:val="3B673FAC"/>
    <w:rsid w:val="3B787F67"/>
    <w:rsid w:val="3B976654"/>
    <w:rsid w:val="3B9F3A51"/>
    <w:rsid w:val="3BB96BCA"/>
    <w:rsid w:val="3BC01EFC"/>
    <w:rsid w:val="3BCA786A"/>
    <w:rsid w:val="3BD31E2F"/>
    <w:rsid w:val="3BF15831"/>
    <w:rsid w:val="3C105946"/>
    <w:rsid w:val="3C314920"/>
    <w:rsid w:val="3C315BF1"/>
    <w:rsid w:val="3C471448"/>
    <w:rsid w:val="3C5F759A"/>
    <w:rsid w:val="3C6C525A"/>
    <w:rsid w:val="3CA23D10"/>
    <w:rsid w:val="3CCE23CB"/>
    <w:rsid w:val="3CD17D17"/>
    <w:rsid w:val="3CEA279F"/>
    <w:rsid w:val="3D3C7F39"/>
    <w:rsid w:val="3D440F09"/>
    <w:rsid w:val="3D4504A0"/>
    <w:rsid w:val="3D8734BB"/>
    <w:rsid w:val="3D9174C1"/>
    <w:rsid w:val="3D9A11D4"/>
    <w:rsid w:val="3DA16D89"/>
    <w:rsid w:val="3DA364BE"/>
    <w:rsid w:val="3DE041CB"/>
    <w:rsid w:val="3E0D48F6"/>
    <w:rsid w:val="3E1868B4"/>
    <w:rsid w:val="3E1A70B4"/>
    <w:rsid w:val="3E265A58"/>
    <w:rsid w:val="3E377251"/>
    <w:rsid w:val="3E42664B"/>
    <w:rsid w:val="3E4B3711"/>
    <w:rsid w:val="3E5A7334"/>
    <w:rsid w:val="3E7B5D6B"/>
    <w:rsid w:val="3E843E66"/>
    <w:rsid w:val="3E8F51FE"/>
    <w:rsid w:val="3E926F87"/>
    <w:rsid w:val="3E9A59DE"/>
    <w:rsid w:val="3EAF4836"/>
    <w:rsid w:val="3EC33DFA"/>
    <w:rsid w:val="3EC911EC"/>
    <w:rsid w:val="3ECB4D14"/>
    <w:rsid w:val="3F024B84"/>
    <w:rsid w:val="3F060E16"/>
    <w:rsid w:val="3F1D1096"/>
    <w:rsid w:val="3F2F0234"/>
    <w:rsid w:val="3F6363FE"/>
    <w:rsid w:val="3F6532F2"/>
    <w:rsid w:val="3F756B8F"/>
    <w:rsid w:val="3F79409B"/>
    <w:rsid w:val="3F95482B"/>
    <w:rsid w:val="3FA7379D"/>
    <w:rsid w:val="3FD17C46"/>
    <w:rsid w:val="3FDC3741"/>
    <w:rsid w:val="4019356B"/>
    <w:rsid w:val="401F27C9"/>
    <w:rsid w:val="40592157"/>
    <w:rsid w:val="406E1CAE"/>
    <w:rsid w:val="407B27E6"/>
    <w:rsid w:val="408C1680"/>
    <w:rsid w:val="40A0133A"/>
    <w:rsid w:val="40AA1C33"/>
    <w:rsid w:val="40AA3CE4"/>
    <w:rsid w:val="40C31A53"/>
    <w:rsid w:val="40D95004"/>
    <w:rsid w:val="40E8494C"/>
    <w:rsid w:val="40FF545D"/>
    <w:rsid w:val="410067C8"/>
    <w:rsid w:val="410127AD"/>
    <w:rsid w:val="416B38CC"/>
    <w:rsid w:val="4172247D"/>
    <w:rsid w:val="418F0D2A"/>
    <w:rsid w:val="419C3D47"/>
    <w:rsid w:val="41AA4282"/>
    <w:rsid w:val="41AF32FF"/>
    <w:rsid w:val="41D01505"/>
    <w:rsid w:val="41D71F9B"/>
    <w:rsid w:val="42474939"/>
    <w:rsid w:val="424C3C57"/>
    <w:rsid w:val="426043A2"/>
    <w:rsid w:val="42613FF3"/>
    <w:rsid w:val="42660D96"/>
    <w:rsid w:val="428667D2"/>
    <w:rsid w:val="428A5D95"/>
    <w:rsid w:val="428C5B26"/>
    <w:rsid w:val="42C024C7"/>
    <w:rsid w:val="42CD1CE0"/>
    <w:rsid w:val="42E1381E"/>
    <w:rsid w:val="42ED6459"/>
    <w:rsid w:val="42FE58DD"/>
    <w:rsid w:val="43174B3D"/>
    <w:rsid w:val="431C567C"/>
    <w:rsid w:val="434B790E"/>
    <w:rsid w:val="4360274F"/>
    <w:rsid w:val="43977AB6"/>
    <w:rsid w:val="43A3342B"/>
    <w:rsid w:val="43C77C27"/>
    <w:rsid w:val="43DE09EE"/>
    <w:rsid w:val="44002FAD"/>
    <w:rsid w:val="44181C2D"/>
    <w:rsid w:val="441B083D"/>
    <w:rsid w:val="441F04C9"/>
    <w:rsid w:val="4427372B"/>
    <w:rsid w:val="449101DD"/>
    <w:rsid w:val="44A96E38"/>
    <w:rsid w:val="44B57B36"/>
    <w:rsid w:val="44BA1126"/>
    <w:rsid w:val="44DE1391"/>
    <w:rsid w:val="44DF5201"/>
    <w:rsid w:val="45092CD6"/>
    <w:rsid w:val="451B225C"/>
    <w:rsid w:val="452410C9"/>
    <w:rsid w:val="45317DFB"/>
    <w:rsid w:val="456D3CE4"/>
    <w:rsid w:val="4579042C"/>
    <w:rsid w:val="457F0571"/>
    <w:rsid w:val="45851176"/>
    <w:rsid w:val="45BF61BF"/>
    <w:rsid w:val="45C63B94"/>
    <w:rsid w:val="45EB20B8"/>
    <w:rsid w:val="460E7DA5"/>
    <w:rsid w:val="46422483"/>
    <w:rsid w:val="46472A10"/>
    <w:rsid w:val="4659254A"/>
    <w:rsid w:val="465B0637"/>
    <w:rsid w:val="465E3F0D"/>
    <w:rsid w:val="466A16E6"/>
    <w:rsid w:val="46893F2B"/>
    <w:rsid w:val="46C4686E"/>
    <w:rsid w:val="475A2C17"/>
    <w:rsid w:val="477B778F"/>
    <w:rsid w:val="478203EC"/>
    <w:rsid w:val="478E1C5C"/>
    <w:rsid w:val="47B025FA"/>
    <w:rsid w:val="4809698F"/>
    <w:rsid w:val="4811697D"/>
    <w:rsid w:val="483A5C3C"/>
    <w:rsid w:val="487A3E25"/>
    <w:rsid w:val="488B5503"/>
    <w:rsid w:val="48937E21"/>
    <w:rsid w:val="489A0361"/>
    <w:rsid w:val="48A75B4F"/>
    <w:rsid w:val="48AF0597"/>
    <w:rsid w:val="48B94FF3"/>
    <w:rsid w:val="48E37AAB"/>
    <w:rsid w:val="48FD4B4C"/>
    <w:rsid w:val="49075D88"/>
    <w:rsid w:val="490A68E0"/>
    <w:rsid w:val="491055FE"/>
    <w:rsid w:val="49481ACB"/>
    <w:rsid w:val="495F5B3E"/>
    <w:rsid w:val="496F77D7"/>
    <w:rsid w:val="497654FD"/>
    <w:rsid w:val="499A4597"/>
    <w:rsid w:val="49B64211"/>
    <w:rsid w:val="49F6167F"/>
    <w:rsid w:val="4A064FA0"/>
    <w:rsid w:val="4A16615C"/>
    <w:rsid w:val="4A296BD1"/>
    <w:rsid w:val="4A2E2C6A"/>
    <w:rsid w:val="4A4424D7"/>
    <w:rsid w:val="4A697CFB"/>
    <w:rsid w:val="4A8568AE"/>
    <w:rsid w:val="4AB82D0F"/>
    <w:rsid w:val="4AEB7664"/>
    <w:rsid w:val="4AFD7C19"/>
    <w:rsid w:val="4B0567D1"/>
    <w:rsid w:val="4B236AAE"/>
    <w:rsid w:val="4B682032"/>
    <w:rsid w:val="4B707271"/>
    <w:rsid w:val="4B9739F7"/>
    <w:rsid w:val="4BE63259"/>
    <w:rsid w:val="4BEE2503"/>
    <w:rsid w:val="4C1A1980"/>
    <w:rsid w:val="4C245A30"/>
    <w:rsid w:val="4C656A0F"/>
    <w:rsid w:val="4C6C1422"/>
    <w:rsid w:val="4CA11061"/>
    <w:rsid w:val="4CA5038F"/>
    <w:rsid w:val="4CB6685F"/>
    <w:rsid w:val="4CC367FE"/>
    <w:rsid w:val="4CD174D7"/>
    <w:rsid w:val="4CFA4CE4"/>
    <w:rsid w:val="4D077F3C"/>
    <w:rsid w:val="4D123355"/>
    <w:rsid w:val="4D1744FE"/>
    <w:rsid w:val="4D274090"/>
    <w:rsid w:val="4D2A3B31"/>
    <w:rsid w:val="4D312C52"/>
    <w:rsid w:val="4D622825"/>
    <w:rsid w:val="4D6A0258"/>
    <w:rsid w:val="4D8F1DD6"/>
    <w:rsid w:val="4D905305"/>
    <w:rsid w:val="4D964A72"/>
    <w:rsid w:val="4D9C1254"/>
    <w:rsid w:val="4E263853"/>
    <w:rsid w:val="4E362EB9"/>
    <w:rsid w:val="4E793892"/>
    <w:rsid w:val="4E7D6D7D"/>
    <w:rsid w:val="4E800872"/>
    <w:rsid w:val="4E832A53"/>
    <w:rsid w:val="4EA50C1B"/>
    <w:rsid w:val="4EC569ED"/>
    <w:rsid w:val="4EC65B6A"/>
    <w:rsid w:val="4ED50EA1"/>
    <w:rsid w:val="4EEC050C"/>
    <w:rsid w:val="4F07654A"/>
    <w:rsid w:val="4F104EC3"/>
    <w:rsid w:val="4F24780C"/>
    <w:rsid w:val="4F47354A"/>
    <w:rsid w:val="4F486369"/>
    <w:rsid w:val="4F555F1E"/>
    <w:rsid w:val="4F7E1357"/>
    <w:rsid w:val="4F911C54"/>
    <w:rsid w:val="4FC1543F"/>
    <w:rsid w:val="4FDE24B2"/>
    <w:rsid w:val="4FE625E0"/>
    <w:rsid w:val="4FF43C08"/>
    <w:rsid w:val="50063693"/>
    <w:rsid w:val="5021480F"/>
    <w:rsid w:val="508272AB"/>
    <w:rsid w:val="508C66F8"/>
    <w:rsid w:val="50902753"/>
    <w:rsid w:val="50962ECB"/>
    <w:rsid w:val="50A42E38"/>
    <w:rsid w:val="50A4577F"/>
    <w:rsid w:val="50B01C39"/>
    <w:rsid w:val="50B73D1F"/>
    <w:rsid w:val="50BD5BC9"/>
    <w:rsid w:val="50C11703"/>
    <w:rsid w:val="50C11EEE"/>
    <w:rsid w:val="50C80D4E"/>
    <w:rsid w:val="50E97CFC"/>
    <w:rsid w:val="50FA4028"/>
    <w:rsid w:val="510D65B7"/>
    <w:rsid w:val="511157AB"/>
    <w:rsid w:val="5142540C"/>
    <w:rsid w:val="51571C00"/>
    <w:rsid w:val="51692C3D"/>
    <w:rsid w:val="517B21F2"/>
    <w:rsid w:val="518832C8"/>
    <w:rsid w:val="51942060"/>
    <w:rsid w:val="51A0432A"/>
    <w:rsid w:val="51A86090"/>
    <w:rsid w:val="51B7396D"/>
    <w:rsid w:val="51BC21CA"/>
    <w:rsid w:val="51D874A6"/>
    <w:rsid w:val="51F42DA3"/>
    <w:rsid w:val="522E4CC3"/>
    <w:rsid w:val="5244713B"/>
    <w:rsid w:val="525E180D"/>
    <w:rsid w:val="52615633"/>
    <w:rsid w:val="526369B7"/>
    <w:rsid w:val="52721538"/>
    <w:rsid w:val="52977FD4"/>
    <w:rsid w:val="52A25790"/>
    <w:rsid w:val="52A96B6F"/>
    <w:rsid w:val="52B00917"/>
    <w:rsid w:val="52B45975"/>
    <w:rsid w:val="52D94AA4"/>
    <w:rsid w:val="52EA3A62"/>
    <w:rsid w:val="52EC6E19"/>
    <w:rsid w:val="52F50BB8"/>
    <w:rsid w:val="53030CC7"/>
    <w:rsid w:val="53097272"/>
    <w:rsid w:val="53430A03"/>
    <w:rsid w:val="53544462"/>
    <w:rsid w:val="535D4506"/>
    <w:rsid w:val="5397158E"/>
    <w:rsid w:val="54013861"/>
    <w:rsid w:val="541D24A0"/>
    <w:rsid w:val="54461244"/>
    <w:rsid w:val="54487265"/>
    <w:rsid w:val="544D6070"/>
    <w:rsid w:val="54605E1E"/>
    <w:rsid w:val="54700C1E"/>
    <w:rsid w:val="548B182B"/>
    <w:rsid w:val="54B3506A"/>
    <w:rsid w:val="54CA0D16"/>
    <w:rsid w:val="54DD4057"/>
    <w:rsid w:val="54E7490F"/>
    <w:rsid w:val="54EC6B14"/>
    <w:rsid w:val="550764A4"/>
    <w:rsid w:val="550A63E5"/>
    <w:rsid w:val="550B2BF6"/>
    <w:rsid w:val="55214EB5"/>
    <w:rsid w:val="55364EFD"/>
    <w:rsid w:val="555D4828"/>
    <w:rsid w:val="557A4C8B"/>
    <w:rsid w:val="5584050A"/>
    <w:rsid w:val="558931E1"/>
    <w:rsid w:val="55923347"/>
    <w:rsid w:val="55925180"/>
    <w:rsid w:val="55983B1B"/>
    <w:rsid w:val="559F61F2"/>
    <w:rsid w:val="55A8376B"/>
    <w:rsid w:val="55DC29B6"/>
    <w:rsid w:val="55DD4241"/>
    <w:rsid w:val="56487BA0"/>
    <w:rsid w:val="566B6D1E"/>
    <w:rsid w:val="56A8574D"/>
    <w:rsid w:val="56C37E91"/>
    <w:rsid w:val="56EE46AD"/>
    <w:rsid w:val="57032A2C"/>
    <w:rsid w:val="570945E7"/>
    <w:rsid w:val="570F5219"/>
    <w:rsid w:val="57230924"/>
    <w:rsid w:val="574977CE"/>
    <w:rsid w:val="575D12B5"/>
    <w:rsid w:val="57610A87"/>
    <w:rsid w:val="576D10A9"/>
    <w:rsid w:val="577B1140"/>
    <w:rsid w:val="577B7F21"/>
    <w:rsid w:val="577F181B"/>
    <w:rsid w:val="57871B73"/>
    <w:rsid w:val="578D47FA"/>
    <w:rsid w:val="57921984"/>
    <w:rsid w:val="579737F0"/>
    <w:rsid w:val="57AB7B30"/>
    <w:rsid w:val="57AF5251"/>
    <w:rsid w:val="57B26373"/>
    <w:rsid w:val="57B27F05"/>
    <w:rsid w:val="57B63F04"/>
    <w:rsid w:val="57CD20C2"/>
    <w:rsid w:val="57D675AB"/>
    <w:rsid w:val="57D95FDD"/>
    <w:rsid w:val="57E17F85"/>
    <w:rsid w:val="584B3471"/>
    <w:rsid w:val="58917D2F"/>
    <w:rsid w:val="5894085C"/>
    <w:rsid w:val="58AE4F0C"/>
    <w:rsid w:val="58B85899"/>
    <w:rsid w:val="58D5679B"/>
    <w:rsid w:val="58E363A9"/>
    <w:rsid w:val="59105C57"/>
    <w:rsid w:val="592349B3"/>
    <w:rsid w:val="59244959"/>
    <w:rsid w:val="595E1678"/>
    <w:rsid w:val="596D5BD4"/>
    <w:rsid w:val="596E328E"/>
    <w:rsid w:val="597E3DD8"/>
    <w:rsid w:val="59F43F22"/>
    <w:rsid w:val="59F80043"/>
    <w:rsid w:val="5A09252F"/>
    <w:rsid w:val="5A0B2778"/>
    <w:rsid w:val="5A2A7C7B"/>
    <w:rsid w:val="5A3E2560"/>
    <w:rsid w:val="5A5D3B6E"/>
    <w:rsid w:val="5A5D684E"/>
    <w:rsid w:val="5A637A76"/>
    <w:rsid w:val="5A6D33BA"/>
    <w:rsid w:val="5A792B1F"/>
    <w:rsid w:val="5A7C2ADE"/>
    <w:rsid w:val="5A874767"/>
    <w:rsid w:val="5A8913F1"/>
    <w:rsid w:val="5AA36FAC"/>
    <w:rsid w:val="5AAD6F28"/>
    <w:rsid w:val="5AB53F94"/>
    <w:rsid w:val="5AD63A24"/>
    <w:rsid w:val="5B2E1A1D"/>
    <w:rsid w:val="5B4A24A8"/>
    <w:rsid w:val="5B4C45BE"/>
    <w:rsid w:val="5B843A1C"/>
    <w:rsid w:val="5B873E3F"/>
    <w:rsid w:val="5C02690E"/>
    <w:rsid w:val="5C196DA7"/>
    <w:rsid w:val="5C2A048C"/>
    <w:rsid w:val="5C80234E"/>
    <w:rsid w:val="5C8A680C"/>
    <w:rsid w:val="5C9800BC"/>
    <w:rsid w:val="5C9A1694"/>
    <w:rsid w:val="5CB80361"/>
    <w:rsid w:val="5D0C4701"/>
    <w:rsid w:val="5D0F0395"/>
    <w:rsid w:val="5D221076"/>
    <w:rsid w:val="5D397964"/>
    <w:rsid w:val="5D3E2291"/>
    <w:rsid w:val="5D4A1228"/>
    <w:rsid w:val="5D5A391C"/>
    <w:rsid w:val="5D5F10C0"/>
    <w:rsid w:val="5D644278"/>
    <w:rsid w:val="5D717078"/>
    <w:rsid w:val="5D72616D"/>
    <w:rsid w:val="5D736A1E"/>
    <w:rsid w:val="5D891B7B"/>
    <w:rsid w:val="5DA6050C"/>
    <w:rsid w:val="5DAD38EE"/>
    <w:rsid w:val="5E006862"/>
    <w:rsid w:val="5E0207B9"/>
    <w:rsid w:val="5E041912"/>
    <w:rsid w:val="5E112D59"/>
    <w:rsid w:val="5E1834A1"/>
    <w:rsid w:val="5E224037"/>
    <w:rsid w:val="5E261785"/>
    <w:rsid w:val="5E372726"/>
    <w:rsid w:val="5E4A7017"/>
    <w:rsid w:val="5E50172C"/>
    <w:rsid w:val="5E552BBA"/>
    <w:rsid w:val="5E611C10"/>
    <w:rsid w:val="5E69089E"/>
    <w:rsid w:val="5E6A4482"/>
    <w:rsid w:val="5E8F0FA0"/>
    <w:rsid w:val="5ED407A3"/>
    <w:rsid w:val="5EFC7377"/>
    <w:rsid w:val="5F06174D"/>
    <w:rsid w:val="5F36603A"/>
    <w:rsid w:val="5F3A3602"/>
    <w:rsid w:val="5F604A84"/>
    <w:rsid w:val="5F6277C6"/>
    <w:rsid w:val="5F6D0B1D"/>
    <w:rsid w:val="5F8D0B82"/>
    <w:rsid w:val="5F8D54E0"/>
    <w:rsid w:val="5FB4164E"/>
    <w:rsid w:val="5FB42194"/>
    <w:rsid w:val="5FB85ADB"/>
    <w:rsid w:val="5FC74C5F"/>
    <w:rsid w:val="5FCC5339"/>
    <w:rsid w:val="5FE34A5B"/>
    <w:rsid w:val="5FFA4E12"/>
    <w:rsid w:val="5FFE1E36"/>
    <w:rsid w:val="60232584"/>
    <w:rsid w:val="604C0D0F"/>
    <w:rsid w:val="607330CE"/>
    <w:rsid w:val="60825176"/>
    <w:rsid w:val="609F2AC4"/>
    <w:rsid w:val="60C40090"/>
    <w:rsid w:val="60FA2EE8"/>
    <w:rsid w:val="61054A27"/>
    <w:rsid w:val="610A52BC"/>
    <w:rsid w:val="61125FA1"/>
    <w:rsid w:val="611A0FF5"/>
    <w:rsid w:val="611D2366"/>
    <w:rsid w:val="613B0F6B"/>
    <w:rsid w:val="61421856"/>
    <w:rsid w:val="614770C9"/>
    <w:rsid w:val="615227C4"/>
    <w:rsid w:val="61654E3F"/>
    <w:rsid w:val="61655CDB"/>
    <w:rsid w:val="6182292A"/>
    <w:rsid w:val="619F7F92"/>
    <w:rsid w:val="61BB393C"/>
    <w:rsid w:val="61CB7179"/>
    <w:rsid w:val="61F94C26"/>
    <w:rsid w:val="62000E56"/>
    <w:rsid w:val="62013264"/>
    <w:rsid w:val="62345E1A"/>
    <w:rsid w:val="62361E5F"/>
    <w:rsid w:val="624F3E49"/>
    <w:rsid w:val="62632286"/>
    <w:rsid w:val="62727F9C"/>
    <w:rsid w:val="6280045C"/>
    <w:rsid w:val="628250A4"/>
    <w:rsid w:val="62885958"/>
    <w:rsid w:val="62D32DCD"/>
    <w:rsid w:val="62F40B65"/>
    <w:rsid w:val="62F46444"/>
    <w:rsid w:val="62FC2CFE"/>
    <w:rsid w:val="63024505"/>
    <w:rsid w:val="63500C1D"/>
    <w:rsid w:val="635B1DB5"/>
    <w:rsid w:val="63711FED"/>
    <w:rsid w:val="63867A9F"/>
    <w:rsid w:val="63880DDC"/>
    <w:rsid w:val="638C00FA"/>
    <w:rsid w:val="638D750D"/>
    <w:rsid w:val="63A31465"/>
    <w:rsid w:val="63AC6CC0"/>
    <w:rsid w:val="63D135A5"/>
    <w:rsid w:val="64055776"/>
    <w:rsid w:val="64240056"/>
    <w:rsid w:val="643E143A"/>
    <w:rsid w:val="648B6EEF"/>
    <w:rsid w:val="64C158BF"/>
    <w:rsid w:val="64CE2EAA"/>
    <w:rsid w:val="64F65E3E"/>
    <w:rsid w:val="650C1EE3"/>
    <w:rsid w:val="652B7DD1"/>
    <w:rsid w:val="653C3090"/>
    <w:rsid w:val="658457DB"/>
    <w:rsid w:val="65854376"/>
    <w:rsid w:val="658767BE"/>
    <w:rsid w:val="65892531"/>
    <w:rsid w:val="65B0017A"/>
    <w:rsid w:val="65D33518"/>
    <w:rsid w:val="65DB15A1"/>
    <w:rsid w:val="65E675F5"/>
    <w:rsid w:val="66195831"/>
    <w:rsid w:val="662E75B1"/>
    <w:rsid w:val="66342C2E"/>
    <w:rsid w:val="66382D4A"/>
    <w:rsid w:val="663E784C"/>
    <w:rsid w:val="665609B7"/>
    <w:rsid w:val="66652553"/>
    <w:rsid w:val="668B6A45"/>
    <w:rsid w:val="669230A8"/>
    <w:rsid w:val="669B07D0"/>
    <w:rsid w:val="66AE0BC3"/>
    <w:rsid w:val="66E328B4"/>
    <w:rsid w:val="66F84F97"/>
    <w:rsid w:val="66FE3167"/>
    <w:rsid w:val="67135CE8"/>
    <w:rsid w:val="672F3F24"/>
    <w:rsid w:val="673E055F"/>
    <w:rsid w:val="67551CE3"/>
    <w:rsid w:val="67A22552"/>
    <w:rsid w:val="67B22DCC"/>
    <w:rsid w:val="67BE71AA"/>
    <w:rsid w:val="67D90273"/>
    <w:rsid w:val="67DE5875"/>
    <w:rsid w:val="67E55852"/>
    <w:rsid w:val="67EB1AB4"/>
    <w:rsid w:val="67F67F0B"/>
    <w:rsid w:val="67FA1285"/>
    <w:rsid w:val="68055AE3"/>
    <w:rsid w:val="68273FF7"/>
    <w:rsid w:val="683706DE"/>
    <w:rsid w:val="68551F4F"/>
    <w:rsid w:val="68737AFB"/>
    <w:rsid w:val="687C10C9"/>
    <w:rsid w:val="68840C16"/>
    <w:rsid w:val="68876EFB"/>
    <w:rsid w:val="68884654"/>
    <w:rsid w:val="689F444F"/>
    <w:rsid w:val="68B96DBB"/>
    <w:rsid w:val="68CA2805"/>
    <w:rsid w:val="68E048D2"/>
    <w:rsid w:val="68E937A3"/>
    <w:rsid w:val="691E76C8"/>
    <w:rsid w:val="69366BE8"/>
    <w:rsid w:val="693E15D3"/>
    <w:rsid w:val="69627681"/>
    <w:rsid w:val="6977531D"/>
    <w:rsid w:val="69B53592"/>
    <w:rsid w:val="69C064B2"/>
    <w:rsid w:val="69CC2BFF"/>
    <w:rsid w:val="69CC5A54"/>
    <w:rsid w:val="69FD55B8"/>
    <w:rsid w:val="6A025FC0"/>
    <w:rsid w:val="6A0B1C62"/>
    <w:rsid w:val="6A2406C8"/>
    <w:rsid w:val="6A343766"/>
    <w:rsid w:val="6A3749C6"/>
    <w:rsid w:val="6A7259FE"/>
    <w:rsid w:val="6A7C4ACE"/>
    <w:rsid w:val="6ADE0BD1"/>
    <w:rsid w:val="6ADF4614"/>
    <w:rsid w:val="6AE96859"/>
    <w:rsid w:val="6AF44665"/>
    <w:rsid w:val="6B147746"/>
    <w:rsid w:val="6B24787C"/>
    <w:rsid w:val="6B460C38"/>
    <w:rsid w:val="6B5061F2"/>
    <w:rsid w:val="6B573233"/>
    <w:rsid w:val="6B583B8B"/>
    <w:rsid w:val="6B5B6274"/>
    <w:rsid w:val="6B935D53"/>
    <w:rsid w:val="6BF56026"/>
    <w:rsid w:val="6C196F71"/>
    <w:rsid w:val="6C226FCB"/>
    <w:rsid w:val="6C31226F"/>
    <w:rsid w:val="6C4B170D"/>
    <w:rsid w:val="6C552F0B"/>
    <w:rsid w:val="6C8C67B7"/>
    <w:rsid w:val="6C8D15AB"/>
    <w:rsid w:val="6C9D744C"/>
    <w:rsid w:val="6CA04DB4"/>
    <w:rsid w:val="6CE64F0E"/>
    <w:rsid w:val="6CF546C4"/>
    <w:rsid w:val="6D167928"/>
    <w:rsid w:val="6D26299B"/>
    <w:rsid w:val="6D2A53CB"/>
    <w:rsid w:val="6D3D22B1"/>
    <w:rsid w:val="6D4772EC"/>
    <w:rsid w:val="6D77332B"/>
    <w:rsid w:val="6D9078AF"/>
    <w:rsid w:val="6DAA3FEF"/>
    <w:rsid w:val="6DC0172B"/>
    <w:rsid w:val="6DCB690C"/>
    <w:rsid w:val="6DD17091"/>
    <w:rsid w:val="6DD41A5B"/>
    <w:rsid w:val="6DF43C2E"/>
    <w:rsid w:val="6DF51CA3"/>
    <w:rsid w:val="6E0B3D57"/>
    <w:rsid w:val="6E600263"/>
    <w:rsid w:val="6E717E07"/>
    <w:rsid w:val="6E8335BD"/>
    <w:rsid w:val="6E8E12EF"/>
    <w:rsid w:val="6E972936"/>
    <w:rsid w:val="6EC152CC"/>
    <w:rsid w:val="6ED446C5"/>
    <w:rsid w:val="6F0D5D2B"/>
    <w:rsid w:val="6F106433"/>
    <w:rsid w:val="6F2A7D94"/>
    <w:rsid w:val="6F4440DB"/>
    <w:rsid w:val="6F8331F1"/>
    <w:rsid w:val="6FAE1A09"/>
    <w:rsid w:val="6FD75BF8"/>
    <w:rsid w:val="6FF60E7F"/>
    <w:rsid w:val="6FFF4B71"/>
    <w:rsid w:val="70744886"/>
    <w:rsid w:val="707723D0"/>
    <w:rsid w:val="70F5661B"/>
    <w:rsid w:val="71360107"/>
    <w:rsid w:val="713B688E"/>
    <w:rsid w:val="714D3349"/>
    <w:rsid w:val="715B5CD9"/>
    <w:rsid w:val="7177062A"/>
    <w:rsid w:val="71835196"/>
    <w:rsid w:val="71AF5789"/>
    <w:rsid w:val="71C30398"/>
    <w:rsid w:val="71D43752"/>
    <w:rsid w:val="71DE0A38"/>
    <w:rsid w:val="71E469FB"/>
    <w:rsid w:val="71F1796A"/>
    <w:rsid w:val="72071122"/>
    <w:rsid w:val="72154626"/>
    <w:rsid w:val="72262B5D"/>
    <w:rsid w:val="72283FF7"/>
    <w:rsid w:val="722E7212"/>
    <w:rsid w:val="723A0474"/>
    <w:rsid w:val="725923E4"/>
    <w:rsid w:val="725E6EF4"/>
    <w:rsid w:val="72615834"/>
    <w:rsid w:val="72864BF7"/>
    <w:rsid w:val="729023FC"/>
    <w:rsid w:val="729159EB"/>
    <w:rsid w:val="72A00CB3"/>
    <w:rsid w:val="730C5C8F"/>
    <w:rsid w:val="73350703"/>
    <w:rsid w:val="73543F39"/>
    <w:rsid w:val="735956FC"/>
    <w:rsid w:val="738B5D82"/>
    <w:rsid w:val="73C0646E"/>
    <w:rsid w:val="73E90B4B"/>
    <w:rsid w:val="73FB6A64"/>
    <w:rsid w:val="741268A4"/>
    <w:rsid w:val="74133C11"/>
    <w:rsid w:val="742222F5"/>
    <w:rsid w:val="74476126"/>
    <w:rsid w:val="74706664"/>
    <w:rsid w:val="747F3682"/>
    <w:rsid w:val="749C4185"/>
    <w:rsid w:val="75067759"/>
    <w:rsid w:val="75150CCC"/>
    <w:rsid w:val="752D5AF1"/>
    <w:rsid w:val="752E6DCD"/>
    <w:rsid w:val="7551380D"/>
    <w:rsid w:val="75600BE5"/>
    <w:rsid w:val="7564475C"/>
    <w:rsid w:val="7583797F"/>
    <w:rsid w:val="75BA64AB"/>
    <w:rsid w:val="75D20F1D"/>
    <w:rsid w:val="75DA2C18"/>
    <w:rsid w:val="75F54412"/>
    <w:rsid w:val="760134BF"/>
    <w:rsid w:val="76191F3F"/>
    <w:rsid w:val="761D08E0"/>
    <w:rsid w:val="76267907"/>
    <w:rsid w:val="765D347C"/>
    <w:rsid w:val="76777F1C"/>
    <w:rsid w:val="76826699"/>
    <w:rsid w:val="76C87133"/>
    <w:rsid w:val="76CD08D5"/>
    <w:rsid w:val="76CF5992"/>
    <w:rsid w:val="76DB4B92"/>
    <w:rsid w:val="77052AA4"/>
    <w:rsid w:val="770E4D00"/>
    <w:rsid w:val="77136511"/>
    <w:rsid w:val="77340A39"/>
    <w:rsid w:val="77351FD0"/>
    <w:rsid w:val="774637A0"/>
    <w:rsid w:val="77472422"/>
    <w:rsid w:val="777B33FD"/>
    <w:rsid w:val="777F31F2"/>
    <w:rsid w:val="77D1700D"/>
    <w:rsid w:val="77DB4929"/>
    <w:rsid w:val="77EC04CC"/>
    <w:rsid w:val="78235625"/>
    <w:rsid w:val="783573D1"/>
    <w:rsid w:val="783B674F"/>
    <w:rsid w:val="784566A9"/>
    <w:rsid w:val="78775729"/>
    <w:rsid w:val="78A42DB0"/>
    <w:rsid w:val="78A656AB"/>
    <w:rsid w:val="78B217AA"/>
    <w:rsid w:val="78B2245C"/>
    <w:rsid w:val="78B52452"/>
    <w:rsid w:val="78B8508F"/>
    <w:rsid w:val="78C7160B"/>
    <w:rsid w:val="78E172CC"/>
    <w:rsid w:val="78EA1D1F"/>
    <w:rsid w:val="7904172F"/>
    <w:rsid w:val="790A7749"/>
    <w:rsid w:val="790F7E27"/>
    <w:rsid w:val="79200D1B"/>
    <w:rsid w:val="7921512B"/>
    <w:rsid w:val="792A231A"/>
    <w:rsid w:val="79316829"/>
    <w:rsid w:val="7938285A"/>
    <w:rsid w:val="797E66A9"/>
    <w:rsid w:val="79986B03"/>
    <w:rsid w:val="79A97383"/>
    <w:rsid w:val="79BA4CCB"/>
    <w:rsid w:val="79C57DF2"/>
    <w:rsid w:val="79C90396"/>
    <w:rsid w:val="79D52F41"/>
    <w:rsid w:val="79E27E8B"/>
    <w:rsid w:val="79F850CE"/>
    <w:rsid w:val="79FD443C"/>
    <w:rsid w:val="7A1D1975"/>
    <w:rsid w:val="7A3E5150"/>
    <w:rsid w:val="7A3F7689"/>
    <w:rsid w:val="7A4670D6"/>
    <w:rsid w:val="7A534B63"/>
    <w:rsid w:val="7A615382"/>
    <w:rsid w:val="7A67303B"/>
    <w:rsid w:val="7AAB1D04"/>
    <w:rsid w:val="7ABA4368"/>
    <w:rsid w:val="7AD05746"/>
    <w:rsid w:val="7B00726C"/>
    <w:rsid w:val="7B03366C"/>
    <w:rsid w:val="7B03623F"/>
    <w:rsid w:val="7B114DBF"/>
    <w:rsid w:val="7B257FFD"/>
    <w:rsid w:val="7B343476"/>
    <w:rsid w:val="7B5A2978"/>
    <w:rsid w:val="7B5A7E4C"/>
    <w:rsid w:val="7B667AF9"/>
    <w:rsid w:val="7B7468F8"/>
    <w:rsid w:val="7BC241FC"/>
    <w:rsid w:val="7BEE0103"/>
    <w:rsid w:val="7C0A0FE4"/>
    <w:rsid w:val="7C254906"/>
    <w:rsid w:val="7C590818"/>
    <w:rsid w:val="7C7C10F6"/>
    <w:rsid w:val="7C853BEA"/>
    <w:rsid w:val="7C881368"/>
    <w:rsid w:val="7C8A79D2"/>
    <w:rsid w:val="7C8F2CC6"/>
    <w:rsid w:val="7CE27788"/>
    <w:rsid w:val="7D0C32F1"/>
    <w:rsid w:val="7D0F408D"/>
    <w:rsid w:val="7D491C6C"/>
    <w:rsid w:val="7D5429C0"/>
    <w:rsid w:val="7D6E6D43"/>
    <w:rsid w:val="7DB0109D"/>
    <w:rsid w:val="7DB57A34"/>
    <w:rsid w:val="7DB639FC"/>
    <w:rsid w:val="7DE60973"/>
    <w:rsid w:val="7DEF0916"/>
    <w:rsid w:val="7E1E5218"/>
    <w:rsid w:val="7E5F69DA"/>
    <w:rsid w:val="7E7E0F36"/>
    <w:rsid w:val="7E9A4E1F"/>
    <w:rsid w:val="7EA7723A"/>
    <w:rsid w:val="7EBC1C60"/>
    <w:rsid w:val="7EF56FBB"/>
    <w:rsid w:val="7F0768EB"/>
    <w:rsid w:val="7F143BEC"/>
    <w:rsid w:val="7F3F5145"/>
    <w:rsid w:val="7F715AF2"/>
    <w:rsid w:val="7F886E69"/>
    <w:rsid w:val="7FCF181A"/>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6"/>
    <w:link w:val="196"/>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
    <w:link w:val="266"/>
    <w:qFormat/>
    <w:uiPriority w:val="0"/>
    <w:pPr>
      <w:spacing w:line="480" w:lineRule="exact"/>
      <w:ind w:firstLine="480" w:firstLineChars="200"/>
    </w:pPr>
    <w:rPr>
      <w:rFonts w:ascii="宋体" w:hAnsi="宋体"/>
      <w:sz w:val="24"/>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toa heading"/>
    <w:basedOn w:val="1"/>
    <w:next w:val="1"/>
    <w:qFormat/>
    <w:uiPriority w:val="0"/>
    <w:pPr>
      <w:spacing w:before="120"/>
    </w:pPr>
    <w:rPr>
      <w:rFonts w:ascii="Arial"/>
      <w:kern w:val="0"/>
      <w:sz w:val="24"/>
      <w:szCs w:val="20"/>
    </w:r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unhideWhenUsed/>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qFormat/>
    <w:uiPriority w:val="0"/>
    <w:pPr>
      <w:ind w:firstLine="420"/>
    </w:pPr>
    <w:rPr>
      <w:rFonts w:hAnsi="Calibri" w:cs="Times New Roman"/>
      <w:snapToGrid/>
      <w:szCs w:val="20"/>
    </w:rPr>
  </w:style>
  <w:style w:type="paragraph" w:styleId="27">
    <w:name w:val="toc 6"/>
    <w:basedOn w:val="1"/>
    <w:next w:val="1"/>
    <w:qFormat/>
    <w:uiPriority w:val="0"/>
    <w:pPr>
      <w:ind w:left="2100" w:leftChars="1000"/>
    </w:p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8"/>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4"/>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91"/>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9"/>
    <w:qFormat/>
    <w:uiPriority w:val="0"/>
    <w:rPr>
      <w:b/>
      <w:bCs/>
    </w:rPr>
  </w:style>
  <w:style w:type="paragraph" w:styleId="62">
    <w:name w:val="Body Text First Indent 2"/>
    <w:basedOn w:val="16"/>
    <w:next w:val="26"/>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1">
    <w:name w:val="标题 5 Char"/>
    <w:link w:val="6"/>
    <w:qFormat/>
    <w:uiPriority w:val="9"/>
    <w:rPr>
      <w:b/>
      <w:bCs/>
      <w:kern w:val="2"/>
      <w:sz w:val="28"/>
      <w:szCs w:val="28"/>
    </w:rPr>
  </w:style>
  <w:style w:type="character" w:customStyle="1" w:styleId="82">
    <w:name w:val="标题 1 Char"/>
    <w:link w:val="2"/>
    <w:qFormat/>
    <w:uiPriority w:val="9"/>
    <w:rPr>
      <w:b/>
      <w:bCs/>
      <w:kern w:val="44"/>
      <w:sz w:val="44"/>
      <w:szCs w:val="44"/>
    </w:rPr>
  </w:style>
  <w:style w:type="character" w:customStyle="1" w:styleId="83">
    <w:name w:val="标题 2 Char"/>
    <w:qFormat/>
    <w:uiPriority w:val="0"/>
    <w:rPr>
      <w:rFonts w:ascii="Arial" w:hAnsi="Arial" w:eastAsia="黑体"/>
      <w:b/>
      <w:kern w:val="2"/>
      <w:sz w:val="32"/>
      <w:lang w:val="en-US" w:eastAsia="zh-CN"/>
    </w:rPr>
  </w:style>
  <w:style w:type="paragraph" w:customStyle="1" w:styleId="8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2"/>
    <w:qFormat/>
    <w:uiPriority w:val="0"/>
    <w:rPr>
      <w:rFonts w:ascii="宋体" w:hAnsi="宋体"/>
      <w:kern w:val="2"/>
      <w:sz w:val="21"/>
      <w:szCs w:val="24"/>
    </w:rPr>
  </w:style>
  <w:style w:type="character" w:customStyle="1" w:styleId="125">
    <w:name w:val="font11"/>
    <w:basedOn w:val="70"/>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9"/>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7"/>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locked/>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3"/>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semiHidden/>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semiHidden/>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8"/>
    <w:qFormat/>
    <w:uiPriority w:val="0"/>
    <w:rPr>
      <w:rFonts w:ascii="宋体"/>
      <w:kern w:val="2"/>
      <w:sz w:val="24"/>
      <w:szCs w:val="21"/>
      <w:lang w:val="zh-CN"/>
    </w:rPr>
  </w:style>
  <w:style w:type="character" w:customStyle="1" w:styleId="185">
    <w:name w:val="标题 9 Char"/>
    <w:link w:val="10"/>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semiHidden/>
    <w:qFormat/>
    <w:uiPriority w:val="99"/>
    <w:rPr>
      <w:rFonts w:ascii="Times New Roman" w:hAnsi="Times New Roman" w:eastAsia="宋体" w:cs="Times New Roman"/>
      <w:szCs w:val="24"/>
    </w:rPr>
  </w:style>
  <w:style w:type="character" w:customStyle="1" w:styleId="191">
    <w:name w:val="批注框文本 Char"/>
    <w:link w:val="41"/>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locked/>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1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basedOn w:val="70"/>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2"/>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0"/>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1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basedOn w:val="70"/>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basedOn w:val="70"/>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0"/>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basedOn w:val="70"/>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1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1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9"/>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HTML Bottom of Form"/>
    <w:basedOn w:val="1"/>
    <w:next w:val="1"/>
    <w:qFormat/>
    <w:uiPriority w:val="0"/>
    <w:pPr>
      <w:pBdr>
        <w:top w:val="single" w:color="auto" w:sz="6" w:space="1"/>
      </w:pBdr>
      <w:jc w:val="center"/>
    </w:pPr>
    <w:rPr>
      <w:rFonts w:ascii="Arial"/>
      <w:vanish/>
      <w:sz w:val="16"/>
    </w:rPr>
  </w:style>
  <w:style w:type="paragraph" w:customStyle="1" w:styleId="963">
    <w:name w:val="z-窗体底端1"/>
    <w:basedOn w:val="1"/>
    <w:next w:val="1"/>
    <w:qFormat/>
    <w:uiPriority w:val="0"/>
    <w:pPr>
      <w:pBdr>
        <w:top w:val="single" w:color="auto" w:sz="6" w:space="1"/>
      </w:pBdr>
      <w:jc w:val="center"/>
    </w:pPr>
    <w:rPr>
      <w:rFonts w:ascii="Arial"/>
      <w:vanish/>
      <w:sz w:val="16"/>
    </w:rPr>
  </w:style>
  <w:style w:type="paragraph" w:customStyle="1" w:styleId="964">
    <w:name w:val="List2"/>
    <w:basedOn w:val="1"/>
    <w:qFormat/>
    <w:uiPriority w:val="0"/>
    <w:pPr>
      <w:ind w:left="100" w:leftChars="200" w:hanging="200" w:hangingChars="200"/>
      <w:contextualSpacing/>
      <w:jc w:val="both"/>
      <w:textAlignment w:val="baseline"/>
    </w:pPr>
    <w:rPr>
      <w:kern w:val="2"/>
      <w:sz w:val="21"/>
      <w:szCs w:val="20"/>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header" Target="head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2" Type="http://schemas.openxmlformats.org/officeDocument/2006/relationships/fontTable" Target="fontTable.xml"/><Relationship Id="rId161" Type="http://schemas.openxmlformats.org/officeDocument/2006/relationships/customXml" Target="../customXml/item2.xml"/><Relationship Id="rId160" Type="http://schemas.openxmlformats.org/officeDocument/2006/relationships/numbering" Target="numbering.xml"/><Relationship Id="rId16" Type="http://schemas.openxmlformats.org/officeDocument/2006/relationships/header" Target="header7.xml"/><Relationship Id="rId159" Type="http://schemas.openxmlformats.org/officeDocument/2006/relationships/customXml" Target="../customXml/item1.xml"/><Relationship Id="rId158" Type="http://schemas.openxmlformats.org/officeDocument/2006/relationships/image" Target="media/image137.png"/><Relationship Id="rId157" Type="http://schemas.openxmlformats.org/officeDocument/2006/relationships/image" Target="media/image136.png"/><Relationship Id="rId156" Type="http://schemas.openxmlformats.org/officeDocument/2006/relationships/image" Target="media/image135.png"/><Relationship Id="rId155" Type="http://schemas.openxmlformats.org/officeDocument/2006/relationships/image" Target="media/image134.png"/><Relationship Id="rId154" Type="http://schemas.openxmlformats.org/officeDocument/2006/relationships/image" Target="media/image133.png"/><Relationship Id="rId153" Type="http://schemas.openxmlformats.org/officeDocument/2006/relationships/image" Target="media/image132.png"/><Relationship Id="rId152" Type="http://schemas.openxmlformats.org/officeDocument/2006/relationships/image" Target="media/image131.png"/><Relationship Id="rId151" Type="http://schemas.openxmlformats.org/officeDocument/2006/relationships/image" Target="media/image130.png"/><Relationship Id="rId150" Type="http://schemas.openxmlformats.org/officeDocument/2006/relationships/image" Target="media/image129.png"/><Relationship Id="rId15" Type="http://schemas.openxmlformats.org/officeDocument/2006/relationships/footer" Target="footer7.xml"/><Relationship Id="rId149" Type="http://schemas.openxmlformats.org/officeDocument/2006/relationships/image" Target="media/image128.png"/><Relationship Id="rId148" Type="http://schemas.openxmlformats.org/officeDocument/2006/relationships/image" Target="media/image127.png"/><Relationship Id="rId147" Type="http://schemas.openxmlformats.org/officeDocument/2006/relationships/image" Target="media/image126.png"/><Relationship Id="rId146" Type="http://schemas.openxmlformats.org/officeDocument/2006/relationships/image" Target="media/image125.png"/><Relationship Id="rId145" Type="http://schemas.openxmlformats.org/officeDocument/2006/relationships/image" Target="media/image124.png"/><Relationship Id="rId144" Type="http://schemas.openxmlformats.org/officeDocument/2006/relationships/image" Target="media/image123.png"/><Relationship Id="rId143" Type="http://schemas.openxmlformats.org/officeDocument/2006/relationships/image" Target="media/image122.png"/><Relationship Id="rId142" Type="http://schemas.openxmlformats.org/officeDocument/2006/relationships/image" Target="media/image121.png"/><Relationship Id="rId141" Type="http://schemas.openxmlformats.org/officeDocument/2006/relationships/image" Target="media/image120.png"/><Relationship Id="rId140" Type="http://schemas.openxmlformats.org/officeDocument/2006/relationships/image" Target="media/image119.png"/><Relationship Id="rId14" Type="http://schemas.openxmlformats.org/officeDocument/2006/relationships/footer" Target="footer6.xml"/><Relationship Id="rId139" Type="http://schemas.openxmlformats.org/officeDocument/2006/relationships/image" Target="media/image118.png"/><Relationship Id="rId138" Type="http://schemas.openxmlformats.org/officeDocument/2006/relationships/image" Target="media/image117.png"/><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header" Target="head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footer" Target="foot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122</Pages>
  <Words>63385</Words>
  <Characters>71224</Characters>
  <Lines>287</Lines>
  <Paragraphs>81</Paragraphs>
  <TotalTime>65</TotalTime>
  <ScaleCrop>false</ScaleCrop>
  <LinksUpToDate>false</LinksUpToDate>
  <CharactersWithSpaces>83847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Patience</cp:lastModifiedBy>
  <cp:lastPrinted>2022-10-13T04:59:00Z</cp:lastPrinted>
  <dcterms:modified xsi:type="dcterms:W3CDTF">2022-10-17T09:17:24Z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E150888A88224FF9AA5AF0258EEC6FF7</vt:lpwstr>
  </property>
</Properties>
</file>