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FF0000"/>
          <w:sz w:val="44"/>
          <w:szCs w:val="48"/>
        </w:rPr>
      </w:pPr>
    </w:p>
    <w:p>
      <w:pPr>
        <w:spacing w:line="600" w:lineRule="auto"/>
        <w:jc w:val="center"/>
        <w:rPr>
          <w:rFonts w:ascii="仿宋" w:hAnsi="仿宋" w:eastAsia="仿宋" w:cs="仿宋"/>
          <w:b/>
          <w:sz w:val="44"/>
          <w:szCs w:val="48"/>
        </w:rPr>
      </w:pPr>
      <w:r>
        <w:rPr>
          <w:rFonts w:hint="eastAsia" w:ascii="仿宋" w:hAnsi="仿宋" w:eastAsia="仿宋" w:cs="仿宋"/>
          <w:b/>
          <w:sz w:val="44"/>
          <w:szCs w:val="48"/>
        </w:rPr>
        <w:t>前进***弱电智能化采购项目</w:t>
      </w:r>
    </w:p>
    <w:p>
      <w:pPr>
        <w:spacing w:line="600" w:lineRule="auto"/>
        <w:jc w:val="center"/>
        <w:rPr>
          <w:rFonts w:hint="default" w:ascii="仿宋" w:hAnsi="仿宋" w:eastAsia="仿宋" w:cs="仿宋"/>
          <w:color w:val="auto"/>
          <w:sz w:val="24"/>
          <w:lang w:val="en-US" w:eastAsia="zh-CN"/>
        </w:rPr>
      </w:pPr>
      <w:r>
        <w:rPr>
          <w:rFonts w:hint="eastAsia" w:ascii="仿宋" w:hAnsi="仿宋" w:eastAsia="仿宋" w:cs="仿宋"/>
          <w:b/>
          <w:color w:val="auto"/>
          <w:sz w:val="36"/>
          <w:szCs w:val="36"/>
        </w:rPr>
        <w:t>采购编号：JDCG2019-GK-</w:t>
      </w:r>
      <w:r>
        <w:rPr>
          <w:rFonts w:hint="eastAsia" w:ascii="仿宋" w:hAnsi="仿宋" w:eastAsia="仿宋" w:cs="仿宋"/>
          <w:b/>
          <w:color w:val="auto"/>
          <w:sz w:val="36"/>
          <w:szCs w:val="36"/>
          <w:lang w:val="en-US" w:eastAsia="zh-CN"/>
        </w:rPr>
        <w:t>058</w:t>
      </w:r>
    </w:p>
    <w:p>
      <w:pPr>
        <w:spacing w:line="360" w:lineRule="auto"/>
        <w:jc w:val="center"/>
        <w:rPr>
          <w:rFonts w:ascii="仿宋" w:hAnsi="仿宋" w:eastAsia="仿宋" w:cs="仿宋"/>
          <w:color w:val="000000"/>
          <w:sz w:val="24"/>
        </w:rPr>
      </w:pPr>
    </w:p>
    <w:p>
      <w:pPr>
        <w:spacing w:line="360" w:lineRule="auto"/>
        <w:jc w:val="center"/>
        <w:rPr>
          <w:rFonts w:ascii="仿宋" w:hAnsi="仿宋" w:eastAsia="仿宋" w:cs="仿宋"/>
          <w:color w:val="000000"/>
          <w:sz w:val="24"/>
        </w:rPr>
      </w:pPr>
    </w:p>
    <w:p>
      <w:pPr>
        <w:spacing w:line="360" w:lineRule="auto"/>
        <w:jc w:val="center"/>
        <w:rPr>
          <w:rFonts w:ascii="仿宋" w:hAnsi="仿宋" w:eastAsia="仿宋" w:cs="仿宋"/>
          <w:color w:val="000000"/>
          <w:sz w:val="24"/>
        </w:rPr>
      </w:pPr>
    </w:p>
    <w:p>
      <w:pPr>
        <w:jc w:val="center"/>
        <w:rPr>
          <w:rFonts w:ascii="仿宋" w:hAnsi="仿宋" w:eastAsia="仿宋" w:cs="仿宋"/>
          <w:b/>
          <w:bCs/>
          <w:color w:val="000000"/>
          <w:sz w:val="96"/>
          <w:szCs w:val="96"/>
        </w:rPr>
      </w:pPr>
      <w:r>
        <w:rPr>
          <w:rFonts w:hint="eastAsia" w:ascii="仿宋" w:hAnsi="仿宋" w:eastAsia="仿宋" w:cs="仿宋"/>
          <w:b/>
          <w:bCs/>
          <w:color w:val="000000"/>
          <w:sz w:val="96"/>
          <w:szCs w:val="96"/>
        </w:rPr>
        <w:t>采</w:t>
      </w:r>
    </w:p>
    <w:p>
      <w:pPr>
        <w:jc w:val="center"/>
        <w:rPr>
          <w:rFonts w:ascii="仿宋" w:hAnsi="仿宋" w:eastAsia="仿宋" w:cs="仿宋"/>
          <w:b/>
          <w:bCs/>
          <w:color w:val="000000"/>
          <w:sz w:val="96"/>
          <w:szCs w:val="96"/>
        </w:rPr>
      </w:pPr>
      <w:r>
        <w:rPr>
          <w:rFonts w:hint="eastAsia" w:ascii="仿宋" w:hAnsi="仿宋" w:eastAsia="仿宋" w:cs="仿宋"/>
          <w:b/>
          <w:bCs/>
          <w:color w:val="000000"/>
          <w:sz w:val="96"/>
          <w:szCs w:val="96"/>
        </w:rPr>
        <w:t>购</w:t>
      </w:r>
    </w:p>
    <w:p>
      <w:pPr>
        <w:jc w:val="center"/>
        <w:rPr>
          <w:rFonts w:ascii="仿宋" w:hAnsi="仿宋" w:eastAsia="仿宋" w:cs="仿宋"/>
          <w:b/>
          <w:bCs/>
          <w:color w:val="000000"/>
          <w:sz w:val="96"/>
          <w:szCs w:val="96"/>
        </w:rPr>
      </w:pPr>
      <w:r>
        <w:rPr>
          <w:rFonts w:hint="eastAsia" w:ascii="仿宋" w:hAnsi="仿宋" w:eastAsia="仿宋" w:cs="仿宋"/>
          <w:b/>
          <w:bCs/>
          <w:color w:val="000000"/>
          <w:sz w:val="96"/>
          <w:szCs w:val="96"/>
        </w:rPr>
        <w:t>文</w:t>
      </w:r>
    </w:p>
    <w:p>
      <w:pPr>
        <w:jc w:val="center"/>
        <w:rPr>
          <w:rFonts w:ascii="仿宋" w:hAnsi="仿宋" w:eastAsia="仿宋" w:cs="仿宋"/>
          <w:b/>
          <w:bCs/>
          <w:color w:val="000000"/>
          <w:sz w:val="96"/>
          <w:szCs w:val="96"/>
        </w:rPr>
      </w:pPr>
      <w:r>
        <w:rPr>
          <w:rFonts w:hint="eastAsia" w:ascii="仿宋" w:hAnsi="仿宋" w:eastAsia="仿宋" w:cs="仿宋"/>
          <w:b/>
          <w:bCs/>
          <w:color w:val="000000"/>
          <w:sz w:val="96"/>
          <w:szCs w:val="96"/>
        </w:rPr>
        <w:t>件</w:t>
      </w:r>
    </w:p>
    <w:p>
      <w:pPr>
        <w:spacing w:line="360" w:lineRule="auto"/>
        <w:jc w:val="center"/>
        <w:rPr>
          <w:rFonts w:ascii="仿宋" w:hAnsi="仿宋" w:eastAsia="仿宋" w:cs="仿宋"/>
          <w:color w:val="000000"/>
          <w:sz w:val="24"/>
        </w:rPr>
      </w:pPr>
    </w:p>
    <w:p>
      <w:pPr>
        <w:spacing w:line="360" w:lineRule="auto"/>
        <w:rPr>
          <w:rFonts w:ascii="仿宋" w:hAnsi="仿宋" w:eastAsia="仿宋" w:cs="仿宋"/>
          <w:color w:val="000000"/>
          <w:sz w:val="24"/>
        </w:rPr>
      </w:pPr>
    </w:p>
    <w:p>
      <w:pPr>
        <w:spacing w:line="360" w:lineRule="auto"/>
        <w:rPr>
          <w:rFonts w:ascii="仿宋" w:hAnsi="仿宋" w:eastAsia="仿宋" w:cs="仿宋"/>
          <w:color w:val="000000"/>
          <w:sz w:val="24"/>
        </w:rPr>
      </w:pPr>
    </w:p>
    <w:p>
      <w:pPr>
        <w:spacing w:line="360" w:lineRule="auto"/>
        <w:rPr>
          <w:rFonts w:ascii="仿宋" w:hAnsi="仿宋" w:eastAsia="仿宋" w:cs="仿宋"/>
          <w:color w:val="000000"/>
          <w:sz w:val="24"/>
        </w:rPr>
      </w:pPr>
    </w:p>
    <w:p>
      <w:pPr>
        <w:spacing w:line="360" w:lineRule="auto"/>
        <w:rPr>
          <w:rFonts w:ascii="仿宋" w:hAnsi="仿宋" w:eastAsia="仿宋" w:cs="仿宋"/>
          <w:color w:val="000000"/>
          <w:sz w:val="24"/>
        </w:rPr>
      </w:pPr>
    </w:p>
    <w:p>
      <w:pPr>
        <w:spacing w:line="480" w:lineRule="auto"/>
        <w:jc w:val="distribute"/>
        <w:rPr>
          <w:rFonts w:ascii="仿宋" w:hAnsi="仿宋" w:eastAsia="仿宋" w:cs="仿宋"/>
          <w:b/>
          <w:bCs/>
          <w:sz w:val="32"/>
          <w:szCs w:val="32"/>
        </w:rPr>
      </w:pPr>
      <w:r>
        <w:rPr>
          <w:rFonts w:hint="eastAsia" w:ascii="仿宋" w:hAnsi="仿宋" w:eastAsia="仿宋" w:cs="仿宋"/>
          <w:b/>
          <w:bCs/>
          <w:color w:val="000000"/>
          <w:sz w:val="32"/>
          <w:szCs w:val="32"/>
        </w:rPr>
        <w:t>采购人（加盖公章）：</w:t>
      </w:r>
      <w:r>
        <w:rPr>
          <w:rFonts w:hint="eastAsia" w:ascii="仿宋" w:hAnsi="仿宋" w:eastAsia="仿宋" w:cs="仿宋"/>
          <w:b/>
          <w:bCs/>
          <w:vanish/>
          <w:sz w:val="32"/>
          <w:szCs w:val="32"/>
        </w:rPr>
        <w:t>中学大学</w:t>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vanish/>
          <w:sz w:val="32"/>
          <w:szCs w:val="32"/>
        </w:rPr>
        <w:pgNum/>
      </w:r>
      <w:r>
        <w:rPr>
          <w:rFonts w:hint="eastAsia" w:ascii="仿宋" w:hAnsi="仿宋" w:eastAsia="仿宋" w:cs="仿宋"/>
          <w:b/>
          <w:bCs/>
          <w:sz w:val="32"/>
          <w:szCs w:val="32"/>
        </w:rPr>
        <w:t>杭州市萧山区人民政府前进街道办事处</w:t>
      </w:r>
    </w:p>
    <w:p>
      <w:pPr>
        <w:spacing w:line="480" w:lineRule="auto"/>
        <w:jc w:val="distribute"/>
        <w:rPr>
          <w:rFonts w:ascii="仿宋" w:hAnsi="仿宋" w:eastAsia="仿宋" w:cs="仿宋"/>
          <w:b/>
          <w:bCs/>
          <w:spacing w:val="-20"/>
          <w:sz w:val="32"/>
          <w:szCs w:val="32"/>
        </w:rPr>
      </w:pPr>
      <w:r>
        <w:rPr>
          <w:rFonts w:hint="eastAsia" w:ascii="仿宋" w:hAnsi="仿宋" w:eastAsia="仿宋" w:cs="仿宋"/>
          <w:b/>
          <w:bCs/>
          <w:spacing w:val="-20"/>
          <w:sz w:val="32"/>
          <w:szCs w:val="32"/>
        </w:rPr>
        <w:t>采购代理机构（加盖公章）：浙江中明工程咨询有限公司</w:t>
      </w:r>
    </w:p>
    <w:p>
      <w:pPr>
        <w:spacing w:line="480" w:lineRule="auto"/>
        <w:jc w:val="center"/>
        <w:rPr>
          <w:rFonts w:ascii="仿宋" w:hAnsi="仿宋" w:eastAsia="仿宋" w:cs="仿宋"/>
          <w:b/>
          <w:sz w:val="32"/>
          <w:szCs w:val="32"/>
        </w:rPr>
      </w:pPr>
      <w:r>
        <w:rPr>
          <w:rFonts w:hint="eastAsia" w:ascii="仿宋" w:hAnsi="仿宋" w:eastAsia="仿宋" w:cs="仿宋"/>
          <w:b/>
          <w:bCs/>
          <w:sz w:val="32"/>
          <w:szCs w:val="32"/>
        </w:rPr>
        <w:t>二○一九年九月</w:t>
      </w:r>
    </w:p>
    <w:p>
      <w:pPr>
        <w:spacing w:line="360" w:lineRule="auto"/>
        <w:rPr>
          <w:rFonts w:ascii="宋体" w:hAnsi="宋体" w:cs="宋体"/>
          <w:b/>
          <w:color w:val="000000"/>
          <w:sz w:val="44"/>
          <w:szCs w:val="48"/>
        </w:rPr>
      </w:pPr>
    </w:p>
    <w:p>
      <w:pPr>
        <w:spacing w:line="440" w:lineRule="exact"/>
        <w:jc w:val="center"/>
        <w:rPr>
          <w:rFonts w:ascii="仿宋" w:hAnsi="仿宋" w:eastAsia="仿宋" w:cs="仿宋"/>
          <w:b/>
          <w:sz w:val="32"/>
          <w:szCs w:val="32"/>
        </w:rPr>
      </w:pPr>
    </w:p>
    <w:p>
      <w:pPr>
        <w:spacing w:line="440" w:lineRule="exact"/>
        <w:jc w:val="center"/>
        <w:rPr>
          <w:rFonts w:ascii="仿宋" w:hAnsi="仿宋" w:eastAsia="仿宋" w:cs="仿宋"/>
          <w:b/>
          <w:sz w:val="32"/>
          <w:szCs w:val="32"/>
        </w:rPr>
      </w:pPr>
      <w:r>
        <w:rPr>
          <w:rFonts w:hint="eastAsia" w:ascii="仿宋" w:hAnsi="仿宋" w:eastAsia="仿宋" w:cs="仿宋"/>
          <w:b/>
          <w:sz w:val="32"/>
          <w:szCs w:val="32"/>
        </w:rPr>
        <w:t>投标人注意事项</w:t>
      </w:r>
    </w:p>
    <w:p>
      <w:pPr>
        <w:spacing w:line="440" w:lineRule="exact"/>
        <w:jc w:val="center"/>
        <w:rPr>
          <w:rFonts w:ascii="仿宋" w:hAnsi="仿宋" w:eastAsia="仿宋" w:cs="仿宋"/>
          <w:b/>
          <w:sz w:val="32"/>
          <w:szCs w:val="32"/>
        </w:rPr>
      </w:pPr>
    </w:p>
    <w:p>
      <w:pPr>
        <w:spacing w:line="360" w:lineRule="auto"/>
        <w:ind w:firstLine="480" w:firstLineChars="200"/>
        <w:rPr>
          <w:rFonts w:ascii="仿宋" w:hAnsi="仿宋" w:eastAsia="仿宋" w:cs="仿宋"/>
          <w:sz w:val="24"/>
        </w:rPr>
      </w:pPr>
      <w:r>
        <w:rPr>
          <w:rFonts w:hint="eastAsia" w:ascii="仿宋" w:hAnsi="仿宋" w:eastAsia="仿宋" w:cs="仿宋"/>
          <w:sz w:val="24"/>
        </w:rPr>
        <w:t>一、投标人获得采购文件后请仔细审阅，如发现采购文件及其评标办法中存在含糊不清、相互矛盾、歧义条款或是歧视性、排他性等不公正条款或存在违法违规内容时，请在采购文件规定的提疑截止之日前以书面形式向采购人或采购代理机构提交询问或质疑书，逾期提交无效。</w:t>
      </w:r>
    </w:p>
    <w:p>
      <w:pPr>
        <w:spacing w:line="360" w:lineRule="auto"/>
        <w:ind w:firstLine="480" w:firstLineChars="200"/>
        <w:rPr>
          <w:rFonts w:ascii="仿宋" w:hAnsi="仿宋" w:eastAsia="仿宋" w:cs="仿宋"/>
          <w:sz w:val="24"/>
        </w:rPr>
      </w:pPr>
      <w:r>
        <w:rPr>
          <w:rFonts w:hint="eastAsia" w:ascii="仿宋" w:hAnsi="仿宋" w:eastAsia="仿宋" w:cs="仿宋"/>
          <w:sz w:val="24"/>
        </w:rPr>
        <w:t>二、投标人在制作投标文件前务必仔细阅读投标人须知中的前附表、评标程序、被拒绝投标、无效投标、废标等条款及有关表格样张。投标文件必须按要求胶装装订。</w:t>
      </w:r>
    </w:p>
    <w:p>
      <w:pPr>
        <w:spacing w:line="360" w:lineRule="auto"/>
        <w:ind w:firstLine="480" w:firstLineChars="200"/>
        <w:rPr>
          <w:rFonts w:ascii="仿宋" w:hAnsi="仿宋" w:eastAsia="仿宋" w:cs="仿宋"/>
          <w:sz w:val="24"/>
        </w:rPr>
      </w:pPr>
      <w:r>
        <w:rPr>
          <w:rFonts w:hint="eastAsia" w:ascii="仿宋" w:hAnsi="仿宋" w:eastAsia="仿宋" w:cs="仿宋"/>
          <w:sz w:val="24"/>
        </w:rPr>
        <w:t>三、如遇投标截止时间推迟、采购需求变动等，采购代理机构将会在网上发布更正答疑，请投标人及时关注浙江政府采购网，并请投标人在阅读更正公告后，将更正公告内容打印并盖上投标人公章，传真或书面反馈至采购代理机构，未传真或书面反馈的视为默认。</w:t>
      </w:r>
    </w:p>
    <w:p>
      <w:pPr>
        <w:spacing w:line="360" w:lineRule="auto"/>
        <w:ind w:firstLine="480" w:firstLineChars="200"/>
        <w:rPr>
          <w:rFonts w:ascii="仿宋" w:hAnsi="仿宋" w:eastAsia="仿宋" w:cs="仿宋"/>
          <w:sz w:val="24"/>
        </w:rPr>
      </w:pPr>
      <w:r>
        <w:rPr>
          <w:rFonts w:hint="eastAsia" w:ascii="仿宋" w:hAnsi="仿宋" w:eastAsia="仿宋" w:cs="仿宋"/>
          <w:sz w:val="24"/>
        </w:rPr>
        <w:t>四、本项目投标人的资格由采购人在开标时进行审查。投标人应按照采购文件的规定和要求在投标文件中附上所有的资格证明文件，要求提供的复印件须加盖投标人单位公章。</w:t>
      </w:r>
    </w:p>
    <w:p>
      <w:pPr>
        <w:spacing w:line="360" w:lineRule="auto"/>
        <w:ind w:firstLine="480" w:firstLineChars="200"/>
        <w:rPr>
          <w:rFonts w:ascii="仿宋" w:hAnsi="仿宋" w:eastAsia="仿宋" w:cs="仿宋"/>
          <w:sz w:val="24"/>
        </w:rPr>
      </w:pPr>
      <w:r>
        <w:rPr>
          <w:rFonts w:hint="eastAsia" w:ascii="仿宋" w:hAnsi="仿宋" w:eastAsia="仿宋" w:cs="仿宋"/>
          <w:sz w:val="24"/>
        </w:rPr>
        <w:t>五、投标人代表是指法定代表人或负责人（特指符合浙财采监【2013】24号《关于规范政府采购供应商资格设定及资格审查的通知》第六条规定的情形）或经授权的委托人。</w:t>
      </w:r>
    </w:p>
    <w:p>
      <w:pPr>
        <w:spacing w:line="360" w:lineRule="auto"/>
        <w:ind w:firstLine="480" w:firstLineChars="200"/>
        <w:rPr>
          <w:rFonts w:ascii="仿宋" w:hAnsi="仿宋" w:eastAsia="仿宋" w:cs="仿宋"/>
          <w:sz w:val="24"/>
        </w:rPr>
      </w:pPr>
      <w:r>
        <w:rPr>
          <w:rFonts w:hint="eastAsia" w:ascii="仿宋" w:hAnsi="仿宋" w:eastAsia="仿宋" w:cs="仿宋"/>
          <w:sz w:val="24"/>
        </w:rPr>
        <w:t>六、投标人应尽可能避免因资料不全等原因导致延误报名，建议提前到采购文件约定的受理处递交报名资料。</w:t>
      </w:r>
    </w:p>
    <w:p>
      <w:pPr>
        <w:spacing w:line="360" w:lineRule="auto"/>
        <w:ind w:firstLine="480" w:firstLineChars="200"/>
        <w:rPr>
          <w:rFonts w:ascii="仿宋" w:hAnsi="仿宋" w:eastAsia="仿宋" w:cs="仿宋"/>
          <w:sz w:val="24"/>
        </w:rPr>
      </w:pPr>
      <w:r>
        <w:rPr>
          <w:rFonts w:hint="eastAsia" w:ascii="仿宋" w:hAnsi="仿宋" w:eastAsia="仿宋" w:cs="仿宋"/>
          <w:sz w:val="24"/>
        </w:rPr>
        <w:t>七、开标时间（投标截止时间）以开标厅悬挂时钟的提示时间为准，投标人应当在开标时间前到达开标厅并递交投标文件，否则投标文件将被拒绝接收。</w:t>
      </w:r>
    </w:p>
    <w:p>
      <w:pPr>
        <w:spacing w:line="360" w:lineRule="auto"/>
        <w:ind w:firstLine="480" w:firstLineChars="200"/>
        <w:rPr>
          <w:rFonts w:ascii="仿宋" w:hAnsi="仿宋" w:eastAsia="仿宋" w:cs="仿宋"/>
          <w:sz w:val="24"/>
        </w:rPr>
      </w:pPr>
      <w:r>
        <w:rPr>
          <w:rFonts w:hint="eastAsia" w:ascii="仿宋" w:hAnsi="仿宋" w:eastAsia="仿宋" w:cs="仿宋"/>
          <w:sz w:val="24"/>
        </w:rPr>
        <w:t>八、开评标期间，投标人未经同意擅自离开开评标现场的将可能被作自动弃权处理。</w:t>
      </w:r>
    </w:p>
    <w:p>
      <w:pPr>
        <w:spacing w:line="360" w:lineRule="auto"/>
        <w:ind w:firstLine="120" w:firstLineChars="50"/>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 xml:space="preserve">浙江政府采购网   </w:t>
      </w:r>
      <w:r>
        <w:fldChar w:fldCharType="begin"/>
      </w:r>
      <w:r>
        <w:instrText xml:space="preserve"> HYPERLINK "http://www.zjzfcg.gov.cn" </w:instrText>
      </w:r>
      <w:r>
        <w:fldChar w:fldCharType="separate"/>
      </w:r>
      <w:r>
        <w:rPr>
          <w:rFonts w:hint="eastAsia" w:ascii="仿宋" w:hAnsi="仿宋" w:eastAsia="仿宋" w:cs="仿宋"/>
          <w:sz w:val="24"/>
        </w:rPr>
        <w:t>http://www.zjzfcg.gov.cn</w:t>
      </w:r>
      <w:r>
        <w:rPr>
          <w:rFonts w:hint="eastAsia" w:ascii="仿宋" w:hAnsi="仿宋" w:eastAsia="仿宋" w:cs="仿宋"/>
          <w:sz w:val="24"/>
        </w:rPr>
        <w:fldChar w:fldCharType="end"/>
      </w:r>
    </w:p>
    <w:p>
      <w:pPr>
        <w:pStyle w:val="13"/>
        <w:tabs>
          <w:tab w:val="right" w:leader="dot" w:pos="9070"/>
        </w:tabs>
        <w:jc w:val="center"/>
        <w:rPr>
          <w:rFonts w:ascii="仿宋" w:hAnsi="仿宋" w:eastAsia="仿宋" w:cs="仿宋"/>
          <w:bCs/>
          <w:color w:val="000000"/>
          <w:kern w:val="44"/>
          <w:sz w:val="36"/>
          <w:szCs w:val="36"/>
        </w:rPr>
      </w:pPr>
      <w:bookmarkStart w:id="0" w:name="_Hlt74728647"/>
      <w:bookmarkEnd w:id="0"/>
      <w:bookmarkStart w:id="1" w:name="_Hlt74707423"/>
      <w:bookmarkEnd w:id="1"/>
      <w:bookmarkStart w:id="2" w:name="_Hlt74729822"/>
      <w:bookmarkEnd w:id="2"/>
      <w:bookmarkStart w:id="3" w:name="_Toc320870800"/>
      <w:bookmarkEnd w:id="3"/>
      <w:bookmarkStart w:id="4" w:name="_Hlt74649545"/>
      <w:bookmarkEnd w:id="4"/>
    </w:p>
    <w:p>
      <w:pPr>
        <w:pStyle w:val="13"/>
        <w:tabs>
          <w:tab w:val="right" w:leader="dot" w:pos="9070"/>
        </w:tabs>
        <w:jc w:val="center"/>
        <w:rPr>
          <w:rFonts w:ascii="仿宋" w:hAnsi="仿宋" w:eastAsia="仿宋" w:cs="仿宋"/>
          <w:bCs/>
          <w:color w:val="000000"/>
          <w:kern w:val="44"/>
          <w:sz w:val="36"/>
          <w:szCs w:val="36"/>
        </w:rPr>
      </w:pPr>
    </w:p>
    <w:p>
      <w:pPr>
        <w:pStyle w:val="13"/>
        <w:tabs>
          <w:tab w:val="right" w:leader="dot" w:pos="9070"/>
        </w:tabs>
        <w:jc w:val="center"/>
        <w:rPr>
          <w:rFonts w:ascii="仿宋" w:hAnsi="仿宋" w:eastAsia="仿宋" w:cs="仿宋"/>
          <w:bCs/>
          <w:color w:val="000000"/>
          <w:kern w:val="44"/>
          <w:sz w:val="36"/>
          <w:szCs w:val="36"/>
        </w:rPr>
      </w:pPr>
    </w:p>
    <w:p>
      <w:pPr>
        <w:pStyle w:val="13"/>
        <w:tabs>
          <w:tab w:val="right" w:leader="dot" w:pos="9070"/>
        </w:tabs>
        <w:jc w:val="center"/>
        <w:rPr>
          <w:rFonts w:ascii="仿宋" w:hAnsi="仿宋" w:eastAsia="仿宋" w:cs="仿宋"/>
          <w:bCs/>
          <w:color w:val="000000"/>
          <w:kern w:val="44"/>
          <w:sz w:val="36"/>
          <w:szCs w:val="36"/>
        </w:rPr>
      </w:pPr>
    </w:p>
    <w:p>
      <w:pPr>
        <w:pStyle w:val="13"/>
        <w:tabs>
          <w:tab w:val="right" w:leader="dot" w:pos="9070"/>
        </w:tabs>
        <w:jc w:val="center"/>
        <w:rPr>
          <w:rFonts w:ascii="仿宋" w:hAnsi="仿宋" w:eastAsia="仿宋" w:cs="仿宋"/>
          <w:bCs/>
          <w:color w:val="000000"/>
          <w:kern w:val="44"/>
          <w:sz w:val="36"/>
          <w:szCs w:val="36"/>
        </w:rPr>
      </w:pPr>
      <w:r>
        <w:rPr>
          <w:rFonts w:hint="eastAsia" w:ascii="仿宋" w:hAnsi="仿宋" w:eastAsia="仿宋" w:cs="仿宋"/>
          <w:bCs/>
          <w:color w:val="000000"/>
          <w:kern w:val="44"/>
          <w:sz w:val="36"/>
          <w:szCs w:val="36"/>
        </w:rPr>
        <w:t>目录</w:t>
      </w:r>
    </w:p>
    <w:p>
      <w:pPr>
        <w:pStyle w:val="13"/>
        <w:tabs>
          <w:tab w:val="right" w:leader="dot" w:pos="9070"/>
        </w:tabs>
        <w:rPr>
          <w:rFonts w:ascii="仿宋" w:hAnsi="仿宋" w:eastAsia="仿宋" w:cs="仿宋"/>
          <w:sz w:val="24"/>
          <w:szCs w:val="24"/>
        </w:rPr>
      </w:pPr>
      <w:r>
        <w:rPr>
          <w:rFonts w:hint="eastAsia" w:ascii="仿宋" w:hAnsi="仿宋" w:eastAsia="仿宋" w:cs="仿宋"/>
          <w:bCs/>
          <w:color w:val="000000"/>
          <w:kern w:val="44"/>
          <w:sz w:val="24"/>
          <w:szCs w:val="24"/>
        </w:rPr>
        <w:fldChar w:fldCharType="begin"/>
      </w:r>
      <w:r>
        <w:rPr>
          <w:rFonts w:hint="eastAsia" w:ascii="仿宋" w:hAnsi="仿宋" w:eastAsia="仿宋" w:cs="仿宋"/>
          <w:bCs/>
          <w:color w:val="000000"/>
          <w:kern w:val="44"/>
          <w:sz w:val="24"/>
          <w:szCs w:val="24"/>
        </w:rPr>
        <w:instrText xml:space="preserve">TOC \o "1-3" \h \z \u </w:instrText>
      </w:r>
      <w:r>
        <w:rPr>
          <w:rFonts w:hint="eastAsia" w:ascii="仿宋" w:hAnsi="仿宋" w:eastAsia="仿宋" w:cs="仿宋"/>
          <w:bCs/>
          <w:color w:val="000000"/>
          <w:kern w:val="44"/>
          <w:sz w:val="24"/>
          <w:szCs w:val="24"/>
        </w:rPr>
        <w:fldChar w:fldCharType="separate"/>
      </w:r>
      <w:r>
        <w:fldChar w:fldCharType="begin"/>
      </w:r>
      <w:r>
        <w:instrText xml:space="preserve"> HYPERLINK \l "_Toc21755" </w:instrText>
      </w:r>
      <w:r>
        <w:fldChar w:fldCharType="separate"/>
      </w:r>
      <w:r>
        <w:rPr>
          <w:rFonts w:hint="eastAsia" w:ascii="仿宋" w:hAnsi="仿宋" w:eastAsia="仿宋" w:cs="仿宋"/>
          <w:bCs/>
          <w:kern w:val="44"/>
          <w:sz w:val="24"/>
          <w:szCs w:val="24"/>
        </w:rPr>
        <w:t xml:space="preserve">第一部分 </w:t>
      </w:r>
      <w:r>
        <w:rPr>
          <w:rFonts w:hint="eastAsia" w:ascii="仿宋" w:hAnsi="仿宋" w:eastAsia="仿宋" w:cs="仿宋"/>
          <w:sz w:val="24"/>
          <w:szCs w:val="24"/>
        </w:rPr>
        <w:t>采购公告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_Toc21755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rPr>
          <w:rFonts w:ascii="仿宋" w:hAnsi="仿宋" w:eastAsia="仿宋" w:cs="仿宋"/>
          <w:sz w:val="24"/>
          <w:szCs w:val="24"/>
        </w:rPr>
      </w:pPr>
      <w:r>
        <w:fldChar w:fldCharType="begin"/>
      </w:r>
      <w:r>
        <w:instrText xml:space="preserve"> HYPERLINK \l "_Toc10817" </w:instrText>
      </w:r>
      <w:r>
        <w:fldChar w:fldCharType="separate"/>
      </w:r>
      <w:r>
        <w:rPr>
          <w:rFonts w:hint="eastAsia" w:ascii="仿宋" w:hAnsi="仿宋" w:eastAsia="仿宋" w:cs="仿宋"/>
          <w:sz w:val="24"/>
          <w:szCs w:val="24"/>
        </w:rPr>
        <w:t>第二部分 编制和提交采购响应文件须知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_Toc10817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ind w:firstLine="402" w:firstLineChars="200"/>
        <w:rPr>
          <w:rFonts w:ascii="仿宋" w:hAnsi="仿宋" w:eastAsia="仿宋" w:cs="仿宋"/>
          <w:sz w:val="24"/>
          <w:szCs w:val="24"/>
        </w:rPr>
      </w:pPr>
      <w:r>
        <w:fldChar w:fldCharType="begin"/>
      </w:r>
      <w:r>
        <w:instrText xml:space="preserve"> HYPERLINK \l "_Toc771" </w:instrText>
      </w:r>
      <w:r>
        <w:fldChar w:fldCharType="separate"/>
      </w:r>
      <w:r>
        <w:rPr>
          <w:rFonts w:hint="eastAsia" w:ascii="仿宋" w:hAnsi="仿宋" w:eastAsia="仿宋" w:cs="仿宋"/>
          <w:sz w:val="24"/>
          <w:szCs w:val="24"/>
        </w:rPr>
        <w:t>一、 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_Toc771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ind w:firstLine="402" w:firstLineChars="200"/>
        <w:rPr>
          <w:rFonts w:ascii="仿宋" w:hAnsi="仿宋" w:eastAsia="仿宋" w:cs="仿宋"/>
          <w:sz w:val="24"/>
          <w:szCs w:val="24"/>
        </w:rPr>
      </w:pPr>
      <w:r>
        <w:fldChar w:fldCharType="begin"/>
      </w:r>
      <w:r>
        <w:instrText xml:space="preserve"> HYPERLINK \l "_Toc4986" </w:instrText>
      </w:r>
      <w:r>
        <w:fldChar w:fldCharType="separate"/>
      </w:r>
      <w:r>
        <w:rPr>
          <w:rFonts w:hint="eastAsia" w:ascii="仿宋" w:hAnsi="仿宋" w:eastAsia="仿宋" w:cs="仿宋"/>
          <w:sz w:val="24"/>
          <w:szCs w:val="24"/>
        </w:rPr>
        <w:t>二、 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_Toc4986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ind w:firstLine="402" w:firstLineChars="200"/>
        <w:rPr>
          <w:rFonts w:ascii="仿宋" w:hAnsi="仿宋" w:eastAsia="仿宋" w:cs="仿宋"/>
          <w:sz w:val="24"/>
          <w:szCs w:val="24"/>
        </w:rPr>
      </w:pPr>
      <w:r>
        <w:fldChar w:fldCharType="begin"/>
      </w:r>
      <w:r>
        <w:instrText xml:space="preserve"> HYPERLINK \l "_Toc25598" </w:instrText>
      </w:r>
      <w:r>
        <w:fldChar w:fldCharType="separate"/>
      </w:r>
      <w:r>
        <w:rPr>
          <w:rFonts w:hint="eastAsia" w:ascii="仿宋" w:hAnsi="仿宋" w:eastAsia="仿宋" w:cs="仿宋"/>
          <w:sz w:val="24"/>
          <w:szCs w:val="24"/>
        </w:rPr>
        <w:t>三、 采购文件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_Toc25598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ind w:firstLine="402" w:firstLineChars="200"/>
        <w:rPr>
          <w:rFonts w:ascii="仿宋" w:hAnsi="仿宋" w:eastAsia="仿宋" w:cs="仿宋"/>
          <w:sz w:val="24"/>
          <w:szCs w:val="24"/>
        </w:rPr>
      </w:pPr>
      <w:r>
        <w:fldChar w:fldCharType="begin"/>
      </w:r>
      <w:r>
        <w:instrText xml:space="preserve"> HYPERLINK \l "_Toc322" </w:instrText>
      </w:r>
      <w:r>
        <w:fldChar w:fldCharType="separate"/>
      </w:r>
      <w:r>
        <w:rPr>
          <w:rFonts w:hint="eastAsia" w:ascii="仿宋" w:hAnsi="仿宋" w:eastAsia="仿宋" w:cs="仿宋"/>
          <w:sz w:val="24"/>
          <w:szCs w:val="24"/>
        </w:rPr>
        <w:t>四、 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_Toc322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ind w:firstLine="402" w:firstLineChars="200"/>
        <w:rPr>
          <w:rFonts w:ascii="仿宋" w:hAnsi="仿宋" w:eastAsia="仿宋" w:cs="仿宋"/>
          <w:sz w:val="24"/>
          <w:szCs w:val="24"/>
        </w:rPr>
      </w:pPr>
      <w:r>
        <w:fldChar w:fldCharType="begin"/>
      </w:r>
      <w:r>
        <w:instrText xml:space="preserve"> HYPERLINK \l "_Toc23220" </w:instrText>
      </w:r>
      <w:r>
        <w:fldChar w:fldCharType="separate"/>
      </w:r>
      <w:r>
        <w:rPr>
          <w:rFonts w:hint="eastAsia" w:ascii="仿宋" w:hAnsi="仿宋" w:eastAsia="仿宋" w:cs="仿宋"/>
          <w:sz w:val="24"/>
          <w:szCs w:val="24"/>
        </w:rPr>
        <w:t>五、 投标文件的递交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_Toc23220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rPr>
          <w:rFonts w:ascii="仿宋" w:hAnsi="仿宋" w:eastAsia="仿宋" w:cs="仿宋"/>
          <w:sz w:val="24"/>
          <w:szCs w:val="24"/>
        </w:rPr>
      </w:pPr>
      <w:r>
        <w:rPr>
          <w:rFonts w:hint="eastAsia" w:ascii="仿宋" w:hAnsi="仿宋" w:eastAsia="仿宋" w:cs="仿宋"/>
          <w:sz w:val="24"/>
          <w:szCs w:val="24"/>
        </w:rPr>
        <w:t xml:space="preserve">    </w:t>
      </w:r>
      <w:r>
        <w:fldChar w:fldCharType="begin"/>
      </w:r>
      <w:r>
        <w:instrText xml:space="preserve"> HYPERLINK \l "_Toc9926" </w:instrText>
      </w:r>
      <w:r>
        <w:fldChar w:fldCharType="separate"/>
      </w:r>
      <w:r>
        <w:rPr>
          <w:rFonts w:hint="eastAsia" w:ascii="仿宋" w:hAnsi="仿宋" w:eastAsia="仿宋" w:cs="仿宋"/>
          <w:sz w:val="24"/>
          <w:szCs w:val="24"/>
        </w:rPr>
        <w:t>六、 开标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_Toc9926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rPr>
          <w:rFonts w:ascii="仿宋" w:hAnsi="仿宋" w:eastAsia="仿宋" w:cs="仿宋"/>
          <w:sz w:val="24"/>
          <w:szCs w:val="24"/>
        </w:rPr>
      </w:pPr>
      <w:r>
        <w:rPr>
          <w:rFonts w:hint="eastAsia" w:ascii="仿宋" w:hAnsi="仿宋" w:eastAsia="仿宋" w:cs="仿宋"/>
          <w:sz w:val="24"/>
          <w:szCs w:val="24"/>
        </w:rPr>
        <w:t xml:space="preserve">    </w:t>
      </w:r>
      <w:r>
        <w:fldChar w:fldCharType="begin"/>
      </w:r>
      <w:r>
        <w:instrText xml:space="preserve"> HYPERLINK \l "_Toc24185" </w:instrText>
      </w:r>
      <w:r>
        <w:fldChar w:fldCharType="separate"/>
      </w:r>
      <w:r>
        <w:rPr>
          <w:rFonts w:hint="eastAsia" w:ascii="仿宋" w:hAnsi="仿宋" w:eastAsia="仿宋" w:cs="仿宋"/>
          <w:sz w:val="24"/>
          <w:szCs w:val="24"/>
        </w:rPr>
        <w:t>七、 评标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_Toc24185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rPr>
          <w:rFonts w:ascii="仿宋" w:hAnsi="仿宋" w:eastAsia="仿宋" w:cs="仿宋"/>
          <w:sz w:val="24"/>
          <w:szCs w:val="24"/>
        </w:rPr>
      </w:pPr>
      <w:r>
        <w:rPr>
          <w:rFonts w:hint="eastAsia" w:ascii="仿宋" w:hAnsi="仿宋" w:eastAsia="仿宋" w:cs="仿宋"/>
          <w:sz w:val="24"/>
          <w:szCs w:val="24"/>
        </w:rPr>
        <w:t xml:space="preserve">    </w:t>
      </w:r>
      <w:r>
        <w:fldChar w:fldCharType="begin"/>
      </w:r>
      <w:r>
        <w:instrText xml:space="preserve"> HYPERLINK \l "_Toc20536" </w:instrText>
      </w:r>
      <w:r>
        <w:fldChar w:fldCharType="separate"/>
      </w:r>
      <w:r>
        <w:rPr>
          <w:rFonts w:hint="eastAsia" w:ascii="仿宋" w:hAnsi="仿宋" w:eastAsia="仿宋" w:cs="仿宋"/>
          <w:sz w:val="24"/>
          <w:szCs w:val="24"/>
        </w:rPr>
        <w:t>八、 定标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_Toc20536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rPr>
          <w:rFonts w:ascii="仿宋" w:hAnsi="仿宋" w:eastAsia="仿宋" w:cs="仿宋"/>
          <w:sz w:val="24"/>
          <w:szCs w:val="24"/>
        </w:rPr>
      </w:pPr>
      <w:r>
        <w:rPr>
          <w:rFonts w:hint="eastAsia" w:ascii="仿宋" w:hAnsi="仿宋" w:eastAsia="仿宋" w:cs="仿宋"/>
          <w:sz w:val="24"/>
          <w:szCs w:val="24"/>
        </w:rPr>
        <w:t xml:space="preserve">    </w:t>
      </w:r>
      <w:r>
        <w:fldChar w:fldCharType="begin"/>
      </w:r>
      <w:r>
        <w:instrText xml:space="preserve"> HYPERLINK \l "_Toc9135" </w:instrText>
      </w:r>
      <w:r>
        <w:fldChar w:fldCharType="separate"/>
      </w:r>
      <w:r>
        <w:rPr>
          <w:rFonts w:hint="eastAsia" w:ascii="仿宋" w:hAnsi="仿宋" w:eastAsia="仿宋" w:cs="仿宋"/>
          <w:sz w:val="24"/>
          <w:szCs w:val="24"/>
        </w:rPr>
        <w:t>九、 合同签订及其他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_Toc9135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rPr>
          <w:rFonts w:ascii="仿宋" w:hAnsi="仿宋" w:eastAsia="仿宋" w:cs="仿宋"/>
          <w:sz w:val="24"/>
          <w:szCs w:val="24"/>
        </w:rPr>
      </w:pPr>
      <w:r>
        <w:rPr>
          <w:rFonts w:hint="eastAsia" w:ascii="仿宋" w:hAnsi="仿宋" w:eastAsia="仿宋" w:cs="仿宋"/>
          <w:sz w:val="24"/>
          <w:szCs w:val="24"/>
        </w:rPr>
        <w:t xml:space="preserve">    </w:t>
      </w:r>
      <w:r>
        <w:fldChar w:fldCharType="begin"/>
      </w:r>
      <w:r>
        <w:instrText xml:space="preserve"> HYPERLINK \l "_Toc11669" </w:instrText>
      </w:r>
      <w:r>
        <w:fldChar w:fldCharType="separate"/>
      </w:r>
      <w:r>
        <w:rPr>
          <w:rFonts w:hint="eastAsia" w:ascii="仿宋" w:hAnsi="仿宋" w:eastAsia="仿宋" w:cs="仿宋"/>
          <w:sz w:val="24"/>
          <w:szCs w:val="24"/>
        </w:rPr>
        <w:t>十、 质疑与投诉</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_Toc11669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rPr>
          <w:rFonts w:ascii="仿宋" w:hAnsi="仿宋" w:eastAsia="仿宋" w:cs="仿宋"/>
          <w:sz w:val="24"/>
          <w:szCs w:val="24"/>
        </w:rPr>
      </w:pPr>
      <w:r>
        <w:rPr>
          <w:rFonts w:hint="eastAsia" w:ascii="仿宋" w:hAnsi="仿宋" w:eastAsia="仿宋" w:cs="仿宋"/>
          <w:sz w:val="24"/>
          <w:szCs w:val="24"/>
        </w:rPr>
        <w:t xml:space="preserve">    </w:t>
      </w:r>
      <w:r>
        <w:fldChar w:fldCharType="begin"/>
      </w:r>
      <w:r>
        <w:instrText xml:space="preserve"> HYPERLINK \l "_Toc19116" </w:instrText>
      </w:r>
      <w:r>
        <w:fldChar w:fldCharType="separate"/>
      </w:r>
      <w:r>
        <w:rPr>
          <w:rFonts w:hint="eastAsia" w:ascii="仿宋" w:hAnsi="仿宋" w:eastAsia="仿宋" w:cs="仿宋"/>
          <w:sz w:val="24"/>
          <w:szCs w:val="24"/>
        </w:rPr>
        <w:t>十一、 解释权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_Toc19116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rPr>
          <w:rFonts w:ascii="仿宋" w:hAnsi="仿宋" w:eastAsia="仿宋" w:cs="仿宋"/>
          <w:sz w:val="24"/>
          <w:szCs w:val="24"/>
        </w:rPr>
      </w:pPr>
      <w:r>
        <w:fldChar w:fldCharType="begin"/>
      </w:r>
      <w:r>
        <w:instrText xml:space="preserve"> HYPERLINK \l "_Toc28884" </w:instrText>
      </w:r>
      <w:r>
        <w:fldChar w:fldCharType="separate"/>
      </w:r>
      <w:r>
        <w:rPr>
          <w:rFonts w:hint="eastAsia" w:ascii="仿宋" w:hAnsi="仿宋" w:eastAsia="仿宋" w:cs="仿宋"/>
          <w:sz w:val="24"/>
          <w:szCs w:val="24"/>
        </w:rPr>
        <w:t>第三部分 评分办法及评分标准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_Toc28884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ind w:firstLine="402" w:firstLineChars="200"/>
        <w:rPr>
          <w:rFonts w:ascii="仿宋" w:hAnsi="仿宋" w:eastAsia="仿宋" w:cs="仿宋"/>
          <w:sz w:val="24"/>
          <w:szCs w:val="24"/>
        </w:rPr>
      </w:pPr>
      <w:r>
        <w:fldChar w:fldCharType="begin"/>
      </w:r>
      <w:r>
        <w:instrText xml:space="preserve"> HYPERLINK \l "_Toc31481" </w:instrText>
      </w:r>
      <w:r>
        <w:fldChar w:fldCharType="separate"/>
      </w:r>
      <w:r>
        <w:rPr>
          <w:rFonts w:hint="eastAsia" w:ascii="仿宋" w:hAnsi="仿宋" w:eastAsia="仿宋" w:cs="仿宋"/>
          <w:sz w:val="24"/>
          <w:szCs w:val="24"/>
        </w:rPr>
        <w:t>一、 评分办法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_Toc31481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rPr>
          <w:rFonts w:ascii="仿宋" w:hAnsi="仿宋" w:eastAsia="仿宋" w:cs="仿宋"/>
          <w:sz w:val="24"/>
          <w:szCs w:val="24"/>
        </w:rPr>
      </w:pPr>
      <w:r>
        <w:rPr>
          <w:rFonts w:hint="eastAsia" w:ascii="仿宋" w:hAnsi="仿宋" w:eastAsia="仿宋" w:cs="仿宋"/>
          <w:sz w:val="24"/>
          <w:szCs w:val="24"/>
        </w:rPr>
        <w:t xml:space="preserve">    </w:t>
      </w:r>
      <w:r>
        <w:fldChar w:fldCharType="begin"/>
      </w:r>
      <w:r>
        <w:instrText xml:space="preserve"> HYPERLINK \l "_Toc8929" </w:instrText>
      </w:r>
      <w:r>
        <w:fldChar w:fldCharType="separate"/>
      </w:r>
      <w:r>
        <w:rPr>
          <w:rFonts w:hint="eastAsia" w:ascii="仿宋" w:hAnsi="仿宋" w:eastAsia="仿宋" w:cs="仿宋"/>
          <w:sz w:val="24"/>
          <w:szCs w:val="24"/>
        </w:rPr>
        <w:t>二、 评分标准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_Toc8929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rPr>
          <w:rFonts w:ascii="仿宋" w:hAnsi="仿宋" w:eastAsia="仿宋" w:cs="仿宋"/>
          <w:sz w:val="24"/>
          <w:szCs w:val="24"/>
        </w:rPr>
      </w:pPr>
      <w:r>
        <w:fldChar w:fldCharType="begin"/>
      </w:r>
      <w:r>
        <w:instrText xml:space="preserve"> HYPERLINK \l "_Toc17506" </w:instrText>
      </w:r>
      <w:r>
        <w:fldChar w:fldCharType="separate"/>
      </w:r>
      <w:r>
        <w:rPr>
          <w:rFonts w:hint="eastAsia" w:ascii="仿宋" w:hAnsi="仿宋" w:eastAsia="仿宋" w:cs="仿宋"/>
          <w:sz w:val="24"/>
          <w:szCs w:val="24"/>
        </w:rPr>
        <w:t>第四部分 项目技术规范和服务要求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_Toc17506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rPr>
          <w:rFonts w:ascii="仿宋" w:hAnsi="仿宋" w:eastAsia="仿宋" w:cs="仿宋"/>
          <w:sz w:val="24"/>
          <w:szCs w:val="24"/>
        </w:rPr>
      </w:pPr>
      <w:r>
        <w:fldChar w:fldCharType="begin"/>
      </w:r>
      <w:r>
        <w:instrText xml:space="preserve"> HYPERLINK \l "_Toc14618" </w:instrText>
      </w:r>
      <w:r>
        <w:fldChar w:fldCharType="separate"/>
      </w:r>
      <w:r>
        <w:rPr>
          <w:rFonts w:hint="eastAsia" w:ascii="仿宋" w:hAnsi="仿宋" w:eastAsia="仿宋" w:cs="仿宋"/>
          <w:sz w:val="24"/>
          <w:szCs w:val="24"/>
        </w:rPr>
        <w:t>第五部分 拟签订的合同文本</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_Toc14618 </w:instrText>
      </w:r>
      <w:r>
        <w:rPr>
          <w:rFonts w:hint="eastAsia" w:ascii="仿宋" w:hAnsi="仿宋" w:eastAsia="仿宋" w:cs="仿宋"/>
          <w:sz w:val="24"/>
          <w:szCs w:val="24"/>
        </w:rPr>
        <w:fldChar w:fldCharType="separate"/>
      </w:r>
      <w:r>
        <w:rPr>
          <w:rFonts w:hint="eastAsia" w:ascii="仿宋" w:hAnsi="仿宋" w:eastAsia="仿宋" w:cs="仿宋"/>
          <w:sz w:val="24"/>
          <w:szCs w:val="24"/>
        </w:rPr>
        <w:t>88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rPr>
          <w:rFonts w:ascii="仿宋" w:hAnsi="仿宋" w:eastAsia="仿宋" w:cs="仿宋"/>
          <w:sz w:val="24"/>
          <w:szCs w:val="24"/>
        </w:rPr>
      </w:pPr>
      <w:r>
        <w:fldChar w:fldCharType="begin"/>
      </w:r>
      <w:r>
        <w:instrText xml:space="preserve"> HYPERLINK \l "_Toc1244" </w:instrText>
      </w:r>
      <w:r>
        <w:fldChar w:fldCharType="separate"/>
      </w:r>
      <w:r>
        <w:rPr>
          <w:rFonts w:hint="eastAsia" w:ascii="仿宋" w:hAnsi="仿宋" w:eastAsia="仿宋" w:cs="仿宋"/>
          <w:sz w:val="24"/>
          <w:szCs w:val="24"/>
        </w:rPr>
        <w:t>第六部分 应提交的有关格式范例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_Toc1244 </w:instrText>
      </w:r>
      <w:r>
        <w:rPr>
          <w:rFonts w:hint="eastAsia" w:ascii="仿宋" w:hAnsi="仿宋" w:eastAsia="仿宋" w:cs="仿宋"/>
          <w:sz w:val="24"/>
          <w:szCs w:val="24"/>
        </w:rPr>
        <w:fldChar w:fldCharType="separate"/>
      </w:r>
      <w:r>
        <w:rPr>
          <w:rFonts w:hint="eastAsia" w:ascii="仿宋" w:hAnsi="仿宋" w:eastAsia="仿宋" w:cs="仿宋"/>
          <w:sz w:val="24"/>
          <w:szCs w:val="24"/>
        </w:rPr>
        <w:t>96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rPr>
          <w:rFonts w:ascii="仿宋" w:hAnsi="仿宋" w:eastAsia="仿宋" w:cs="仿宋"/>
          <w:sz w:val="24"/>
          <w:szCs w:val="24"/>
        </w:rPr>
      </w:pPr>
      <w:r>
        <w:rPr>
          <w:rFonts w:hint="eastAsia" w:ascii="仿宋" w:hAnsi="仿宋" w:eastAsia="仿宋" w:cs="仿宋"/>
          <w:sz w:val="24"/>
          <w:szCs w:val="24"/>
        </w:rPr>
        <w:t xml:space="preserve">    </w:t>
      </w:r>
      <w:r>
        <w:fldChar w:fldCharType="begin"/>
      </w:r>
      <w:r>
        <w:instrText xml:space="preserve"> HYPERLINK \l "_Toc31993" </w:instrText>
      </w:r>
      <w:r>
        <w:fldChar w:fldCharType="separate"/>
      </w:r>
      <w:r>
        <w:rPr>
          <w:rFonts w:hint="eastAsia" w:ascii="仿宋" w:hAnsi="仿宋" w:eastAsia="仿宋" w:cs="仿宋"/>
          <w:sz w:val="24"/>
          <w:szCs w:val="24"/>
        </w:rPr>
        <w:t>一、 投标人提交投标文件须知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_Toc31993 </w:instrText>
      </w:r>
      <w:r>
        <w:rPr>
          <w:rFonts w:hint="eastAsia" w:ascii="仿宋" w:hAnsi="仿宋" w:eastAsia="仿宋" w:cs="仿宋"/>
          <w:sz w:val="24"/>
          <w:szCs w:val="24"/>
        </w:rPr>
        <w:fldChar w:fldCharType="separate"/>
      </w:r>
      <w:r>
        <w:rPr>
          <w:rFonts w:hint="eastAsia" w:ascii="仿宋" w:hAnsi="仿宋" w:eastAsia="仿宋" w:cs="仿宋"/>
          <w:sz w:val="24"/>
          <w:szCs w:val="24"/>
        </w:rPr>
        <w:t>96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rPr>
          <w:rFonts w:ascii="仿宋" w:hAnsi="仿宋" w:eastAsia="仿宋" w:cs="仿宋"/>
          <w:sz w:val="24"/>
          <w:szCs w:val="24"/>
        </w:rPr>
      </w:pPr>
      <w:r>
        <w:rPr>
          <w:rFonts w:hint="eastAsia" w:ascii="仿宋" w:hAnsi="仿宋" w:eastAsia="仿宋" w:cs="仿宋"/>
          <w:sz w:val="24"/>
          <w:szCs w:val="24"/>
        </w:rPr>
        <w:t xml:space="preserve">    </w:t>
      </w:r>
      <w:r>
        <w:fldChar w:fldCharType="begin"/>
      </w:r>
      <w:r>
        <w:instrText xml:space="preserve"> HYPERLINK \l "_Toc19917" </w:instrText>
      </w:r>
      <w:r>
        <w:fldChar w:fldCharType="separate"/>
      </w:r>
      <w:r>
        <w:rPr>
          <w:rFonts w:hint="eastAsia" w:ascii="仿宋" w:hAnsi="仿宋" w:eastAsia="仿宋" w:cs="仿宋"/>
          <w:sz w:val="24"/>
          <w:szCs w:val="24"/>
        </w:rPr>
        <w:t>二、 资格文件部分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_Toc19917 </w:instrText>
      </w:r>
      <w:r>
        <w:rPr>
          <w:rFonts w:hint="eastAsia" w:ascii="仿宋" w:hAnsi="仿宋" w:eastAsia="仿宋" w:cs="仿宋"/>
          <w:sz w:val="24"/>
          <w:szCs w:val="24"/>
        </w:rPr>
        <w:fldChar w:fldCharType="separate"/>
      </w:r>
      <w:r>
        <w:rPr>
          <w:rFonts w:hint="eastAsia" w:ascii="仿宋" w:hAnsi="仿宋" w:eastAsia="仿宋" w:cs="仿宋"/>
          <w:sz w:val="24"/>
          <w:szCs w:val="24"/>
        </w:rPr>
        <w:t>97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rPr>
          <w:rFonts w:ascii="仿宋" w:hAnsi="仿宋" w:eastAsia="仿宋" w:cs="仿宋"/>
          <w:sz w:val="24"/>
          <w:szCs w:val="24"/>
        </w:rPr>
      </w:pPr>
      <w:r>
        <w:rPr>
          <w:rFonts w:hint="eastAsia" w:ascii="仿宋" w:hAnsi="仿宋" w:eastAsia="仿宋" w:cs="仿宋"/>
          <w:sz w:val="24"/>
          <w:szCs w:val="24"/>
        </w:rPr>
        <w:t xml:space="preserve">    </w:t>
      </w:r>
      <w:r>
        <w:fldChar w:fldCharType="begin"/>
      </w:r>
      <w:r>
        <w:instrText xml:space="preserve"> HYPERLINK \l "_Toc21211" </w:instrText>
      </w:r>
      <w:r>
        <w:fldChar w:fldCharType="separate"/>
      </w:r>
      <w:r>
        <w:rPr>
          <w:rFonts w:hint="eastAsia" w:ascii="仿宋" w:hAnsi="仿宋" w:eastAsia="仿宋" w:cs="仿宋"/>
          <w:sz w:val="24"/>
          <w:szCs w:val="24"/>
        </w:rPr>
        <w:t>三、 报价文件部分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_Toc21211 </w:instrText>
      </w:r>
      <w:r>
        <w:rPr>
          <w:rFonts w:hint="eastAsia" w:ascii="仿宋" w:hAnsi="仿宋" w:eastAsia="仿宋" w:cs="仿宋"/>
          <w:sz w:val="24"/>
          <w:szCs w:val="24"/>
        </w:rPr>
        <w:fldChar w:fldCharType="separate"/>
      </w:r>
      <w:r>
        <w:rPr>
          <w:rFonts w:hint="eastAsia" w:ascii="仿宋" w:hAnsi="仿宋" w:eastAsia="仿宋" w:cs="仿宋"/>
          <w:sz w:val="24"/>
          <w:szCs w:val="24"/>
        </w:rPr>
        <w:t>99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9070"/>
        </w:tabs>
        <w:rPr>
          <w:rFonts w:ascii="仿宋" w:hAnsi="仿宋" w:eastAsia="仿宋" w:cs="仿宋"/>
          <w:bCs/>
          <w:color w:val="000000"/>
          <w:kern w:val="44"/>
          <w:sz w:val="24"/>
          <w:szCs w:val="24"/>
        </w:rPr>
        <w:sectPr>
          <w:footerReference r:id="rId3" w:type="default"/>
          <w:pgSz w:w="11906" w:h="16838"/>
          <w:pgMar w:top="680" w:right="1418" w:bottom="1038" w:left="1418" w:header="850" w:footer="992" w:gutter="0"/>
          <w:pgNumType w:start="1"/>
          <w:cols w:space="720" w:num="1"/>
          <w:docGrid w:linePitch="312" w:charSpace="0"/>
        </w:sectPr>
      </w:pPr>
      <w:r>
        <w:rPr>
          <w:rFonts w:hint="eastAsia" w:ascii="仿宋" w:hAnsi="仿宋" w:eastAsia="仿宋" w:cs="仿宋"/>
          <w:sz w:val="24"/>
          <w:szCs w:val="24"/>
        </w:rPr>
        <w:t xml:space="preserve">    </w:t>
      </w:r>
      <w:r>
        <w:fldChar w:fldCharType="begin"/>
      </w:r>
      <w:r>
        <w:instrText xml:space="preserve"> HYPERLINK \l "_Toc30412" </w:instrText>
      </w:r>
      <w:r>
        <w:fldChar w:fldCharType="separate"/>
      </w:r>
      <w:r>
        <w:rPr>
          <w:rFonts w:hint="eastAsia" w:ascii="仿宋" w:hAnsi="仿宋" w:eastAsia="仿宋" w:cs="仿宋"/>
          <w:sz w:val="24"/>
          <w:szCs w:val="24"/>
        </w:rPr>
        <w:t>四、 商务技术文件部分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_Toc30412 </w:instrText>
      </w:r>
      <w:r>
        <w:rPr>
          <w:rFonts w:hint="eastAsia" w:ascii="仿宋" w:hAnsi="仿宋" w:eastAsia="仿宋" w:cs="仿宋"/>
          <w:sz w:val="24"/>
          <w:szCs w:val="24"/>
        </w:rPr>
        <w:fldChar w:fldCharType="separate"/>
      </w:r>
      <w:r>
        <w:rPr>
          <w:rFonts w:hint="eastAsia" w:ascii="仿宋" w:hAnsi="仿宋" w:eastAsia="仿宋" w:cs="仿宋"/>
          <w:sz w:val="24"/>
          <w:szCs w:val="24"/>
        </w:rPr>
        <w:t>103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numPr>
          <w:ilvl w:val="0"/>
          <w:numId w:val="2"/>
        </w:numPr>
        <w:spacing w:line="360" w:lineRule="auto"/>
        <w:jc w:val="center"/>
        <w:outlineLvl w:val="0"/>
        <w:rPr>
          <w:rFonts w:ascii="仿宋" w:hAnsi="仿宋" w:eastAsia="仿宋" w:cs="仿宋"/>
          <w:b/>
          <w:bCs/>
          <w:color w:val="000000"/>
          <w:kern w:val="44"/>
          <w:sz w:val="36"/>
          <w:szCs w:val="36"/>
        </w:rPr>
      </w:pPr>
      <w:bookmarkStart w:id="5" w:name="_Toc21755"/>
      <w:r>
        <w:rPr>
          <w:rFonts w:hint="eastAsia" w:ascii="仿宋" w:hAnsi="仿宋" w:eastAsia="仿宋" w:cs="仿宋"/>
          <w:b/>
          <w:sz w:val="36"/>
          <w:szCs w:val="36"/>
        </w:rPr>
        <w:t>采购公告</w:t>
      </w:r>
      <w:bookmarkEnd w:id="5"/>
    </w:p>
    <w:p>
      <w:pPr>
        <w:spacing w:line="360" w:lineRule="auto"/>
        <w:ind w:firstLine="480" w:firstLineChars="200"/>
        <w:rPr>
          <w:rFonts w:ascii="仿宋" w:hAnsi="仿宋" w:eastAsia="仿宋" w:cs="仿宋"/>
          <w:b/>
          <w:bCs/>
          <w:color w:val="000000"/>
          <w:kern w:val="44"/>
          <w:sz w:val="36"/>
          <w:szCs w:val="36"/>
        </w:rPr>
      </w:pPr>
      <w:r>
        <w:rPr>
          <w:rFonts w:hint="eastAsia" w:ascii="仿宋" w:hAnsi="仿宋" w:eastAsia="仿宋" w:cs="仿宋"/>
          <w:color w:val="000000"/>
          <w:sz w:val="24"/>
        </w:rPr>
        <w:t>根据《中华人民共和国政府采购法》、《政府采购货物和服务招标投标管理办法》等有关规定，经政府采购监督管理部门批准，浙江中明工程咨询有限公司作为采购代理机构，受杭州市萧山区人民政府前进街道办事处委托，就“前进***弱电智能化采购项目”公开招标。具体如下：</w:t>
      </w:r>
    </w:p>
    <w:p>
      <w:pPr>
        <w:numPr>
          <w:ilvl w:val="1"/>
          <w:numId w:val="2"/>
        </w:numPr>
        <w:tabs>
          <w:tab w:val="left" w:pos="220"/>
          <w:tab w:val="clear" w:pos="0"/>
        </w:tabs>
        <w:spacing w:line="360" w:lineRule="auto"/>
        <w:ind w:firstLine="482" w:firstLineChars="200"/>
        <w:outlineLvl w:val="0"/>
        <w:rPr>
          <w:rFonts w:ascii="仿宋" w:hAnsi="仿宋" w:eastAsia="仿宋" w:cs="仿宋"/>
          <w:b/>
          <w:bCs/>
          <w:color w:val="auto"/>
          <w:kern w:val="44"/>
          <w:sz w:val="24"/>
        </w:rPr>
      </w:pPr>
      <w:bookmarkStart w:id="6" w:name="_Toc13375"/>
      <w:bookmarkStart w:id="7" w:name="_Toc6413"/>
      <w:r>
        <w:rPr>
          <w:rFonts w:hint="eastAsia" w:ascii="仿宋" w:hAnsi="仿宋" w:eastAsia="仿宋" w:cs="仿宋"/>
          <w:b/>
          <w:color w:val="auto"/>
          <w:sz w:val="24"/>
        </w:rPr>
        <w:t>采购编号：</w:t>
      </w:r>
      <w:bookmarkEnd w:id="6"/>
      <w:bookmarkEnd w:id="7"/>
      <w:r>
        <w:rPr>
          <w:rFonts w:hint="eastAsia" w:ascii="仿宋" w:hAnsi="仿宋" w:eastAsia="仿宋" w:cs="仿宋"/>
          <w:color w:val="auto"/>
          <w:sz w:val="24"/>
        </w:rPr>
        <w:t>JDCG2019-GK-</w:t>
      </w:r>
      <w:r>
        <w:rPr>
          <w:rFonts w:hint="eastAsia" w:ascii="仿宋" w:hAnsi="仿宋" w:eastAsia="仿宋" w:cs="仿宋"/>
          <w:color w:val="auto"/>
          <w:sz w:val="24"/>
          <w:lang w:val="en-US" w:eastAsia="zh-CN"/>
        </w:rPr>
        <w:t>058</w:t>
      </w:r>
    </w:p>
    <w:p>
      <w:pPr>
        <w:numPr>
          <w:ilvl w:val="1"/>
          <w:numId w:val="2"/>
        </w:numPr>
        <w:tabs>
          <w:tab w:val="left" w:pos="220"/>
          <w:tab w:val="clear" w:pos="0"/>
        </w:tabs>
        <w:spacing w:line="360" w:lineRule="auto"/>
        <w:ind w:firstLine="482" w:firstLineChars="200"/>
        <w:outlineLvl w:val="0"/>
        <w:rPr>
          <w:rFonts w:ascii="仿宋" w:hAnsi="仿宋" w:eastAsia="仿宋" w:cs="仿宋"/>
          <w:b/>
          <w:bCs/>
          <w:color w:val="000000"/>
          <w:kern w:val="44"/>
          <w:sz w:val="24"/>
        </w:rPr>
      </w:pPr>
      <w:bookmarkStart w:id="8" w:name="_Toc4245"/>
      <w:bookmarkStart w:id="9" w:name="_Toc3064"/>
      <w:r>
        <w:rPr>
          <w:rFonts w:hint="eastAsia" w:ascii="仿宋" w:hAnsi="仿宋" w:eastAsia="仿宋" w:cs="仿宋"/>
          <w:b/>
          <w:sz w:val="24"/>
        </w:rPr>
        <w:t>项目名称：</w:t>
      </w:r>
      <w:bookmarkEnd w:id="8"/>
      <w:bookmarkEnd w:id="9"/>
      <w:r>
        <w:rPr>
          <w:rFonts w:hint="eastAsia" w:ascii="仿宋" w:hAnsi="仿宋" w:eastAsia="仿宋" w:cs="仿宋"/>
          <w:color w:val="000000"/>
          <w:sz w:val="24"/>
        </w:rPr>
        <w:t>前进***弱电智能化采购项目</w:t>
      </w:r>
    </w:p>
    <w:p>
      <w:pPr>
        <w:numPr>
          <w:ilvl w:val="1"/>
          <w:numId w:val="2"/>
        </w:numPr>
        <w:tabs>
          <w:tab w:val="left" w:pos="220"/>
          <w:tab w:val="clear" w:pos="0"/>
        </w:tabs>
        <w:spacing w:line="360" w:lineRule="auto"/>
        <w:ind w:firstLine="482" w:firstLineChars="200"/>
        <w:outlineLvl w:val="0"/>
        <w:rPr>
          <w:rFonts w:ascii="仿宋" w:hAnsi="仿宋" w:eastAsia="仿宋" w:cs="仿宋"/>
          <w:color w:val="000000"/>
          <w:kern w:val="44"/>
          <w:sz w:val="24"/>
        </w:rPr>
      </w:pPr>
      <w:bookmarkStart w:id="10" w:name="_Toc14640"/>
      <w:bookmarkStart w:id="11" w:name="_Toc30255"/>
      <w:r>
        <w:rPr>
          <w:rFonts w:hint="eastAsia" w:ascii="仿宋" w:hAnsi="仿宋" w:eastAsia="仿宋" w:cs="仿宋"/>
          <w:b/>
          <w:bCs/>
          <w:color w:val="000000"/>
          <w:kern w:val="44"/>
          <w:sz w:val="24"/>
        </w:rPr>
        <w:t>采购预算：</w:t>
      </w:r>
      <w:bookmarkEnd w:id="10"/>
      <w:r>
        <w:rPr>
          <w:rFonts w:hint="eastAsia" w:ascii="仿宋" w:hAnsi="仿宋" w:eastAsia="仿宋" w:cs="仿宋"/>
          <w:color w:val="000000"/>
          <w:kern w:val="44"/>
          <w:sz w:val="24"/>
        </w:rPr>
        <w:t>人民币687.2101万元</w:t>
      </w:r>
      <w:bookmarkEnd w:id="11"/>
    </w:p>
    <w:p>
      <w:pPr>
        <w:numPr>
          <w:ilvl w:val="1"/>
          <w:numId w:val="2"/>
        </w:numPr>
        <w:tabs>
          <w:tab w:val="left" w:pos="220"/>
          <w:tab w:val="clear" w:pos="0"/>
        </w:tabs>
        <w:spacing w:line="360" w:lineRule="auto"/>
        <w:ind w:firstLine="482" w:firstLineChars="200"/>
        <w:outlineLvl w:val="0"/>
        <w:rPr>
          <w:rFonts w:ascii="仿宋" w:hAnsi="仿宋" w:eastAsia="仿宋" w:cs="仿宋"/>
          <w:b/>
          <w:bCs/>
          <w:color w:val="000000"/>
          <w:kern w:val="44"/>
          <w:sz w:val="24"/>
        </w:rPr>
      </w:pPr>
      <w:bookmarkStart w:id="12" w:name="_Toc23161"/>
      <w:bookmarkStart w:id="13" w:name="_Toc24013"/>
      <w:r>
        <w:rPr>
          <w:rFonts w:hint="eastAsia" w:ascii="仿宋" w:hAnsi="仿宋" w:eastAsia="仿宋" w:cs="仿宋"/>
          <w:b/>
          <w:bCs/>
          <w:color w:val="000000"/>
          <w:kern w:val="44"/>
          <w:sz w:val="24"/>
        </w:rPr>
        <w:t>采购内容：</w:t>
      </w:r>
      <w:r>
        <w:rPr>
          <w:rFonts w:hint="eastAsia" w:ascii="仿宋" w:hAnsi="仿宋" w:eastAsia="仿宋" w:cs="仿宋"/>
          <w:color w:val="000000"/>
          <w:sz w:val="24"/>
        </w:rPr>
        <w:t>详见招标文件第四部分项目技术规范和服务要求</w:t>
      </w:r>
      <w:bookmarkEnd w:id="12"/>
      <w:bookmarkEnd w:id="13"/>
    </w:p>
    <w:p>
      <w:pPr>
        <w:numPr>
          <w:ilvl w:val="1"/>
          <w:numId w:val="2"/>
        </w:numPr>
        <w:tabs>
          <w:tab w:val="left" w:pos="220"/>
          <w:tab w:val="clear" w:pos="0"/>
        </w:tabs>
        <w:spacing w:line="360" w:lineRule="auto"/>
        <w:ind w:firstLine="482" w:firstLineChars="200"/>
        <w:outlineLvl w:val="0"/>
        <w:rPr>
          <w:rFonts w:ascii="仿宋" w:hAnsi="仿宋" w:eastAsia="仿宋" w:cs="仿宋"/>
          <w:b/>
          <w:bCs/>
          <w:color w:val="000000"/>
          <w:kern w:val="44"/>
          <w:sz w:val="24"/>
        </w:rPr>
      </w:pPr>
      <w:bookmarkStart w:id="14" w:name="_Toc16708"/>
      <w:r>
        <w:rPr>
          <w:rFonts w:hint="eastAsia" w:ascii="仿宋" w:hAnsi="仿宋" w:eastAsia="仿宋" w:cs="仿宋"/>
          <w:b/>
          <w:bCs/>
          <w:color w:val="000000"/>
          <w:sz w:val="24"/>
        </w:rPr>
        <w:t>采购方式：</w:t>
      </w:r>
      <w:r>
        <w:rPr>
          <w:rFonts w:hint="eastAsia" w:ascii="仿宋" w:hAnsi="仿宋" w:eastAsia="仿宋" w:cs="仿宋"/>
          <w:color w:val="000000"/>
          <w:sz w:val="24"/>
        </w:rPr>
        <w:t>公开招标</w:t>
      </w:r>
      <w:bookmarkEnd w:id="14"/>
    </w:p>
    <w:p>
      <w:pPr>
        <w:numPr>
          <w:ilvl w:val="1"/>
          <w:numId w:val="2"/>
        </w:numPr>
        <w:tabs>
          <w:tab w:val="left" w:pos="220"/>
          <w:tab w:val="clear" w:pos="0"/>
        </w:tabs>
        <w:spacing w:line="360" w:lineRule="auto"/>
        <w:ind w:firstLine="482" w:firstLineChars="200"/>
        <w:outlineLvl w:val="0"/>
        <w:rPr>
          <w:rFonts w:ascii="仿宋" w:hAnsi="仿宋" w:eastAsia="仿宋" w:cs="仿宋"/>
          <w:b/>
          <w:bCs/>
          <w:color w:val="000000"/>
          <w:kern w:val="44"/>
          <w:sz w:val="24"/>
        </w:rPr>
      </w:pPr>
      <w:bookmarkStart w:id="15" w:name="_Toc6428"/>
      <w:r>
        <w:rPr>
          <w:rFonts w:hint="eastAsia" w:ascii="仿宋" w:hAnsi="仿宋" w:eastAsia="仿宋" w:cs="仿宋"/>
          <w:b/>
          <w:color w:val="000000"/>
          <w:sz w:val="24"/>
        </w:rPr>
        <w:t>需要落实的政府采购政策：</w:t>
      </w:r>
      <w:r>
        <w:rPr>
          <w:rFonts w:hint="eastAsia" w:ascii="仿宋" w:hAnsi="仿宋" w:eastAsia="仿宋" w:cs="仿宋"/>
          <w:sz w:val="24"/>
        </w:rPr>
        <w:t>包括保护环境、节约能源、促进中小企业发展等，详见招标文件的二部分前附表。</w:t>
      </w:r>
      <w:bookmarkEnd w:id="15"/>
    </w:p>
    <w:p>
      <w:pPr>
        <w:numPr>
          <w:ilvl w:val="1"/>
          <w:numId w:val="2"/>
        </w:numPr>
        <w:tabs>
          <w:tab w:val="left" w:pos="220"/>
          <w:tab w:val="clear" w:pos="0"/>
        </w:tabs>
        <w:spacing w:line="360" w:lineRule="auto"/>
        <w:ind w:firstLine="482" w:firstLineChars="200"/>
        <w:outlineLvl w:val="0"/>
        <w:rPr>
          <w:rFonts w:ascii="仿宋" w:hAnsi="仿宋" w:eastAsia="仿宋" w:cs="仿宋"/>
          <w:b/>
          <w:sz w:val="24"/>
        </w:rPr>
      </w:pPr>
      <w:bookmarkStart w:id="16" w:name="_Toc22364"/>
      <w:bookmarkStart w:id="17" w:name="_Toc20183"/>
      <w:r>
        <w:rPr>
          <w:rFonts w:hint="eastAsia" w:ascii="仿宋" w:hAnsi="仿宋" w:eastAsia="仿宋" w:cs="仿宋"/>
          <w:b/>
          <w:sz w:val="24"/>
        </w:rPr>
        <w:t>合格的投标人应具备的资格要求：</w:t>
      </w:r>
      <w:bookmarkEnd w:id="16"/>
      <w:bookmarkEnd w:id="17"/>
    </w:p>
    <w:p>
      <w:pPr>
        <w:spacing w:line="360" w:lineRule="auto"/>
        <w:ind w:firstLine="48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pacing w:val="-6"/>
          <w:kern w:val="0"/>
          <w:sz w:val="24"/>
        </w:rPr>
        <w:t>基本资格条件：符合《中华人民共和国政府采购法》第二十二条的规定和符合浙财采监〔2013〕24号《关于规范政府采购供应商资格设定及资格审查的通知》第六条规定</w:t>
      </w:r>
      <w:r>
        <w:rPr>
          <w:rFonts w:hint="eastAsia" w:ascii="仿宋" w:hAnsi="仿宋" w:eastAsia="仿宋" w:cs="仿宋"/>
          <w:kern w:val="0"/>
          <w:sz w:val="24"/>
        </w:rPr>
        <w:t>。</w:t>
      </w:r>
    </w:p>
    <w:p>
      <w:pPr>
        <w:spacing w:line="360" w:lineRule="auto"/>
        <w:rPr>
          <w:rFonts w:ascii="仿宋" w:hAnsi="仿宋" w:eastAsia="仿宋" w:cs="仿宋"/>
          <w:spacing w:val="-6"/>
          <w:kern w:val="0"/>
          <w:sz w:val="24"/>
        </w:rPr>
      </w:pPr>
      <w:r>
        <w:rPr>
          <w:rFonts w:hint="eastAsia" w:ascii="仿宋" w:hAnsi="仿宋" w:eastAsia="仿宋" w:cs="仿宋"/>
          <w:kern w:val="0"/>
          <w:sz w:val="24"/>
        </w:rPr>
        <w:t xml:space="preserve">    2</w:t>
      </w:r>
      <w:r>
        <w:rPr>
          <w:rFonts w:hint="eastAsia" w:ascii="仿宋" w:hAnsi="仿宋" w:eastAsia="仿宋" w:cs="仿宋"/>
          <w:color w:val="000000"/>
          <w:kern w:val="0"/>
          <w:sz w:val="24"/>
        </w:rPr>
        <w:t>、</w:t>
      </w:r>
      <w:r>
        <w:rPr>
          <w:rFonts w:hint="eastAsia" w:ascii="仿宋" w:hAnsi="仿宋" w:eastAsia="仿宋" w:cs="仿宋"/>
          <w:color w:val="000000"/>
          <w:spacing w:val="-6"/>
          <w:kern w:val="0"/>
          <w:sz w:val="24"/>
        </w:rPr>
        <w:t>未被“信用中国”（www.creditchina.gov.cn）、中国政府采购网（www.ccgp.gov.cn）列入失信被执行人、重大税收违法案件当事人名单、政府采购严重违法失信行为记录名单 。</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3、特定资格条件</w:t>
      </w:r>
    </w:p>
    <w:p>
      <w:pPr>
        <w:spacing w:line="360" w:lineRule="auto"/>
        <w:ind w:firstLine="480" w:firstLineChars="200"/>
        <w:rPr>
          <w:rFonts w:ascii="仿宋" w:hAnsi="仿宋" w:eastAsia="仿宋" w:cs="仿宋"/>
          <w:kern w:val="0"/>
          <w:sz w:val="24"/>
        </w:rPr>
      </w:pPr>
      <w:r>
        <w:rPr>
          <w:rFonts w:ascii="仿宋" w:hAnsi="仿宋" w:eastAsia="仿宋" w:cs="仿宋"/>
          <w:kern w:val="0"/>
          <w:sz w:val="24"/>
        </w:rPr>
        <w:t>企业资质：设计与施工企业建筑智能化工程贰级及以上或专业承包企业电子与智能化工程贰级及以上。</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rPr>
        <w:t>4、不允许联合体投标。</w:t>
      </w:r>
    </w:p>
    <w:p>
      <w:pPr>
        <w:numPr>
          <w:ilvl w:val="1"/>
          <w:numId w:val="2"/>
        </w:numPr>
        <w:tabs>
          <w:tab w:val="left" w:pos="220"/>
          <w:tab w:val="clear" w:pos="0"/>
        </w:tabs>
        <w:spacing w:line="360" w:lineRule="auto"/>
        <w:ind w:firstLine="482" w:firstLineChars="200"/>
        <w:outlineLvl w:val="0"/>
        <w:rPr>
          <w:rFonts w:ascii="仿宋" w:hAnsi="仿宋" w:eastAsia="仿宋" w:cs="仿宋"/>
          <w:b/>
          <w:color w:val="auto"/>
          <w:sz w:val="24"/>
          <w:shd w:val="clear" w:color="auto" w:fill="auto"/>
        </w:rPr>
      </w:pPr>
      <w:bookmarkStart w:id="18" w:name="_Toc7353"/>
      <w:bookmarkStart w:id="19" w:name="_Toc19443"/>
      <w:r>
        <w:rPr>
          <w:rFonts w:hint="eastAsia" w:ascii="仿宋" w:hAnsi="仿宋" w:eastAsia="仿宋" w:cs="仿宋"/>
          <w:b/>
          <w:color w:val="auto"/>
          <w:sz w:val="24"/>
          <w:shd w:val="clear" w:color="auto" w:fill="auto"/>
        </w:rPr>
        <w:t>供应商报名方式：</w:t>
      </w:r>
      <w:bookmarkEnd w:id="18"/>
      <w:bookmarkEnd w:id="19"/>
    </w:p>
    <w:p>
      <w:pPr>
        <w:pStyle w:val="51"/>
        <w:rPr>
          <w:color w:val="auto"/>
          <w:shd w:val="clear" w:color="auto" w:fill="auto"/>
        </w:rPr>
      </w:pPr>
      <w:bookmarkStart w:id="20" w:name="_Toc7707"/>
      <w:bookmarkStart w:id="21" w:name="_Toc5705"/>
      <w:r>
        <w:rPr>
          <w:color w:val="auto"/>
          <w:shd w:val="clear" w:color="auto" w:fill="auto"/>
        </w:rPr>
        <w:t>窗体顶端</w:t>
      </w:r>
    </w:p>
    <w:p>
      <w:pPr>
        <w:spacing w:line="360" w:lineRule="auto"/>
        <w:ind w:firstLine="482"/>
        <w:rPr>
          <w:rFonts w:ascii="仿宋" w:hAnsi="仿宋" w:eastAsia="仿宋" w:cs="仿宋"/>
          <w:color w:val="auto"/>
          <w:spacing w:val="-6"/>
          <w:kern w:val="0"/>
          <w:sz w:val="24"/>
          <w:shd w:val="clear" w:color="auto" w:fill="auto"/>
        </w:rPr>
      </w:pPr>
      <w:r>
        <w:rPr>
          <w:rFonts w:hint="eastAsia" w:ascii="仿宋" w:hAnsi="仿宋" w:eastAsia="仿宋" w:cs="仿宋"/>
          <w:color w:val="auto"/>
          <w:spacing w:val="-6"/>
          <w:kern w:val="0"/>
          <w:sz w:val="24"/>
          <w:shd w:val="clear" w:color="auto" w:fill="auto"/>
        </w:rPr>
        <w:t>采购文件发售时间：2019-</w:t>
      </w:r>
      <w:r>
        <w:rPr>
          <w:rFonts w:hint="eastAsia" w:ascii="仿宋" w:hAnsi="仿宋" w:eastAsia="仿宋" w:cs="仿宋"/>
          <w:color w:val="auto"/>
          <w:spacing w:val="-6"/>
          <w:kern w:val="0"/>
          <w:sz w:val="24"/>
          <w:shd w:val="clear" w:color="auto" w:fill="auto"/>
          <w:lang w:val="en-US" w:eastAsia="zh-CN"/>
        </w:rPr>
        <w:t>9</w:t>
      </w:r>
      <w:r>
        <w:rPr>
          <w:rFonts w:hint="eastAsia" w:ascii="仿宋" w:hAnsi="仿宋" w:eastAsia="仿宋" w:cs="仿宋"/>
          <w:color w:val="auto"/>
          <w:spacing w:val="-6"/>
          <w:kern w:val="0"/>
          <w:sz w:val="24"/>
          <w:shd w:val="clear" w:color="auto" w:fill="auto"/>
        </w:rPr>
        <w:t>-</w:t>
      </w:r>
      <w:r>
        <w:rPr>
          <w:rFonts w:hint="eastAsia" w:ascii="仿宋" w:hAnsi="仿宋" w:eastAsia="仿宋" w:cs="仿宋"/>
          <w:color w:val="auto"/>
          <w:spacing w:val="-6"/>
          <w:kern w:val="0"/>
          <w:sz w:val="24"/>
          <w:shd w:val="clear" w:color="auto" w:fill="auto"/>
          <w:lang w:val="en-US" w:eastAsia="zh-CN"/>
        </w:rPr>
        <w:t>20</w:t>
      </w:r>
      <w:r>
        <w:rPr>
          <w:rFonts w:hint="eastAsia" w:ascii="仿宋" w:hAnsi="仿宋" w:eastAsia="仿宋" w:cs="仿宋"/>
          <w:color w:val="auto"/>
          <w:spacing w:val="-6"/>
          <w:kern w:val="0"/>
          <w:sz w:val="24"/>
          <w:shd w:val="clear" w:color="auto" w:fill="auto"/>
        </w:rPr>
        <w:t xml:space="preserve"> 至2019-</w:t>
      </w:r>
      <w:r>
        <w:rPr>
          <w:rFonts w:hint="eastAsia" w:ascii="仿宋" w:hAnsi="仿宋" w:eastAsia="仿宋" w:cs="仿宋"/>
          <w:color w:val="auto"/>
          <w:spacing w:val="-6"/>
          <w:kern w:val="0"/>
          <w:sz w:val="24"/>
          <w:shd w:val="clear" w:color="auto" w:fill="auto"/>
          <w:lang w:val="en-US" w:eastAsia="zh-CN"/>
        </w:rPr>
        <w:t>9</w:t>
      </w:r>
      <w:r>
        <w:rPr>
          <w:rFonts w:hint="eastAsia" w:ascii="仿宋" w:hAnsi="仿宋" w:eastAsia="仿宋" w:cs="仿宋"/>
          <w:color w:val="auto"/>
          <w:spacing w:val="-6"/>
          <w:kern w:val="0"/>
          <w:sz w:val="24"/>
          <w:shd w:val="clear" w:color="auto" w:fill="auto"/>
        </w:rPr>
        <w:t>-</w:t>
      </w:r>
      <w:r>
        <w:rPr>
          <w:rFonts w:hint="eastAsia" w:ascii="仿宋" w:hAnsi="仿宋" w:eastAsia="仿宋" w:cs="仿宋"/>
          <w:color w:val="auto"/>
          <w:spacing w:val="-6"/>
          <w:kern w:val="0"/>
          <w:sz w:val="24"/>
          <w:shd w:val="clear" w:color="auto" w:fill="auto"/>
          <w:lang w:val="en-US" w:eastAsia="zh-CN"/>
        </w:rPr>
        <w:t>27</w:t>
      </w:r>
      <w:r>
        <w:rPr>
          <w:rFonts w:hint="eastAsia" w:ascii="仿宋" w:hAnsi="仿宋" w:eastAsia="仿宋" w:cs="仿宋"/>
          <w:color w:val="auto"/>
          <w:spacing w:val="-6"/>
          <w:kern w:val="0"/>
          <w:sz w:val="24"/>
          <w:shd w:val="clear" w:color="auto" w:fill="auto"/>
        </w:rPr>
        <w:t xml:space="preserve">  （双休日及法定节假日除外）</w:t>
      </w:r>
    </w:p>
    <w:p>
      <w:pPr>
        <w:spacing w:line="360" w:lineRule="auto"/>
        <w:ind w:firstLine="482"/>
        <w:rPr>
          <w:rFonts w:ascii="仿宋" w:hAnsi="仿宋" w:eastAsia="仿宋" w:cs="仿宋"/>
          <w:color w:val="auto"/>
          <w:spacing w:val="-6"/>
          <w:kern w:val="0"/>
          <w:sz w:val="24"/>
          <w:shd w:val="clear" w:color="auto" w:fill="auto"/>
        </w:rPr>
      </w:pPr>
      <w:r>
        <w:rPr>
          <w:rFonts w:hint="eastAsia" w:ascii="仿宋" w:hAnsi="仿宋" w:eastAsia="仿宋" w:cs="仿宋"/>
          <w:color w:val="auto"/>
          <w:spacing w:val="-6"/>
          <w:kern w:val="0"/>
          <w:sz w:val="24"/>
          <w:shd w:val="clear" w:color="auto" w:fill="auto"/>
        </w:rPr>
        <w:t>上午：8:30至11:30 下午：13:30至17:00</w:t>
      </w:r>
    </w:p>
    <w:p>
      <w:pPr>
        <w:spacing w:line="360" w:lineRule="auto"/>
        <w:ind w:firstLine="482"/>
        <w:rPr>
          <w:rFonts w:ascii="仿宋" w:hAnsi="仿宋" w:eastAsia="仿宋" w:cs="仿宋"/>
          <w:color w:val="auto"/>
          <w:spacing w:val="-6"/>
          <w:kern w:val="0"/>
          <w:sz w:val="24"/>
          <w:shd w:val="clear" w:color="auto" w:fill="auto"/>
        </w:rPr>
      </w:pPr>
      <w:r>
        <w:rPr>
          <w:rFonts w:hint="eastAsia" w:ascii="仿宋" w:hAnsi="仿宋" w:eastAsia="仿宋" w:cs="仿宋"/>
          <w:color w:val="auto"/>
          <w:spacing w:val="-6"/>
          <w:kern w:val="0"/>
          <w:sz w:val="24"/>
          <w:shd w:val="clear" w:color="auto" w:fill="auto"/>
        </w:rPr>
        <w:t>地点：杭州市萧山区靖江街道京明凤凰家园13幢2单元1102室</w:t>
      </w:r>
    </w:p>
    <w:p>
      <w:pPr>
        <w:spacing w:line="360" w:lineRule="auto"/>
        <w:ind w:firstLine="482"/>
        <w:rPr>
          <w:rFonts w:ascii="仿宋" w:hAnsi="仿宋" w:eastAsia="仿宋" w:cs="仿宋"/>
          <w:spacing w:val="-6"/>
          <w:kern w:val="0"/>
          <w:sz w:val="24"/>
        </w:rPr>
      </w:pPr>
      <w:r>
        <w:rPr>
          <w:rFonts w:hint="eastAsia" w:ascii="仿宋" w:hAnsi="仿宋" w:eastAsia="仿宋" w:cs="仿宋"/>
          <w:spacing w:val="-6"/>
          <w:kern w:val="0"/>
          <w:sz w:val="24"/>
        </w:rPr>
        <w:t>标书售价：每本500.00元（售后不退）</w:t>
      </w:r>
    </w:p>
    <w:p>
      <w:pPr>
        <w:spacing w:line="360" w:lineRule="auto"/>
        <w:ind w:firstLine="482"/>
        <w:rPr>
          <w:rFonts w:ascii="仿宋" w:hAnsi="仿宋" w:eastAsia="仿宋" w:cs="仿宋"/>
          <w:spacing w:val="-6"/>
          <w:kern w:val="0"/>
          <w:sz w:val="24"/>
        </w:rPr>
      </w:pPr>
      <w:r>
        <w:rPr>
          <w:rFonts w:hint="eastAsia" w:ascii="仿宋" w:hAnsi="仿宋" w:eastAsia="仿宋" w:cs="仿宋"/>
          <w:spacing w:val="-6"/>
          <w:kern w:val="0"/>
          <w:sz w:val="24"/>
        </w:rPr>
        <w:t>缴纳方式：现金</w:t>
      </w:r>
    </w:p>
    <w:p>
      <w:pPr>
        <w:spacing w:line="360" w:lineRule="auto"/>
        <w:ind w:firstLine="482"/>
        <w:rPr>
          <w:rFonts w:ascii="仿宋" w:hAnsi="仿宋" w:eastAsia="仿宋" w:cs="仿宋"/>
          <w:spacing w:val="-6"/>
          <w:kern w:val="0"/>
          <w:sz w:val="24"/>
        </w:rPr>
      </w:pPr>
      <w:r>
        <w:rPr>
          <w:rFonts w:hint="eastAsia" w:ascii="仿宋" w:hAnsi="仿宋" w:eastAsia="仿宋" w:cs="仿宋"/>
          <w:spacing w:val="-6"/>
          <w:kern w:val="0"/>
          <w:sz w:val="24"/>
        </w:rPr>
        <w:t>供应商报名方式：现场报名</w:t>
      </w:r>
    </w:p>
    <w:p>
      <w:pPr>
        <w:spacing w:line="360" w:lineRule="auto"/>
        <w:ind w:firstLine="482"/>
        <w:rPr>
          <w:rFonts w:ascii="仿宋" w:hAnsi="仿宋" w:eastAsia="仿宋" w:cs="仿宋"/>
          <w:spacing w:val="-6"/>
          <w:kern w:val="0"/>
          <w:sz w:val="24"/>
        </w:rPr>
      </w:pPr>
      <w:r>
        <w:rPr>
          <w:rFonts w:hint="eastAsia" w:ascii="仿宋" w:hAnsi="仿宋" w:eastAsia="仿宋" w:cs="仿宋"/>
          <w:spacing w:val="-6"/>
          <w:kern w:val="0"/>
          <w:sz w:val="24"/>
        </w:rPr>
        <w:t>获取标书时须提交的文件资料：</w:t>
      </w:r>
    </w:p>
    <w:p>
      <w:pPr>
        <w:spacing w:line="360" w:lineRule="auto"/>
        <w:ind w:firstLine="482"/>
        <w:rPr>
          <w:rFonts w:ascii="仿宋" w:hAnsi="仿宋" w:eastAsia="仿宋" w:cs="仿宋"/>
          <w:spacing w:val="-6"/>
          <w:kern w:val="0"/>
          <w:sz w:val="24"/>
        </w:rPr>
      </w:pPr>
      <w:r>
        <w:rPr>
          <w:rFonts w:hint="eastAsia" w:ascii="仿宋" w:hAnsi="仿宋" w:eastAsia="仿宋" w:cs="仿宋"/>
          <w:spacing w:val="-6"/>
          <w:kern w:val="0"/>
          <w:sz w:val="24"/>
        </w:rPr>
        <w:t>(1) 现场报名需提交的文件资料:单位介绍信或法定代表人授权书、企业营业执照复印件（加盖公章）、企业资质证书复印件（加盖公章）、报名人身份证复印件（加盖公章）。</w:t>
      </w:r>
    </w:p>
    <w:p>
      <w:pPr>
        <w:spacing w:line="360" w:lineRule="auto"/>
        <w:ind w:firstLine="482"/>
        <w:rPr>
          <w:rFonts w:ascii="仿宋" w:hAnsi="仿宋" w:eastAsia="仿宋" w:cs="仿宋"/>
          <w:spacing w:val="-6"/>
          <w:kern w:val="0"/>
          <w:sz w:val="24"/>
        </w:rPr>
      </w:pPr>
      <w:r>
        <w:rPr>
          <w:rFonts w:hint="eastAsia" w:ascii="仿宋" w:hAnsi="仿宋" w:eastAsia="仿宋" w:cs="仿宋"/>
          <w:spacing w:val="-6"/>
          <w:kern w:val="0"/>
          <w:sz w:val="24"/>
        </w:rPr>
        <w:t>提示：</w:t>
      </w:r>
    </w:p>
    <w:p>
      <w:pPr>
        <w:spacing w:line="360" w:lineRule="auto"/>
        <w:ind w:firstLine="482"/>
        <w:rPr>
          <w:rFonts w:ascii="仿宋" w:hAnsi="仿宋" w:eastAsia="仿宋" w:cs="仿宋"/>
          <w:spacing w:val="-6"/>
          <w:kern w:val="0"/>
          <w:sz w:val="24"/>
        </w:rPr>
      </w:pPr>
      <w:r>
        <w:rPr>
          <w:rFonts w:hint="eastAsia" w:ascii="仿宋" w:hAnsi="仿宋" w:eastAsia="仿宋" w:cs="仿宋"/>
          <w:spacing w:val="-6"/>
          <w:kern w:val="0"/>
          <w:sz w:val="24"/>
        </w:rPr>
        <w:t>（1）采购机构将拒绝接受非现场报名供应商的投标文件。</w:t>
      </w:r>
    </w:p>
    <w:p>
      <w:pPr>
        <w:spacing w:line="360" w:lineRule="auto"/>
        <w:ind w:firstLine="482"/>
        <w:rPr>
          <w:rFonts w:ascii="仿宋" w:hAnsi="仿宋" w:eastAsia="仿宋" w:cs="仿宋"/>
          <w:spacing w:val="-6"/>
          <w:kern w:val="0"/>
          <w:sz w:val="24"/>
        </w:rPr>
      </w:pPr>
      <w:r>
        <w:rPr>
          <w:rFonts w:hint="eastAsia" w:ascii="仿宋" w:hAnsi="仿宋" w:eastAsia="仿宋" w:cs="仿宋"/>
          <w:spacing w:val="-6"/>
          <w:kern w:val="0"/>
          <w:sz w:val="24"/>
        </w:rPr>
        <w:t>（2）采购文件领取截止时间之后有潜在供应商提出要求获取采购文件的，采购机构将允许其获取，但该供应商如对采购文件有异议的，应于自采购文件领取截止时间之日起七个工作日内以书面形式向采购机构提出。</w:t>
      </w:r>
    </w:p>
    <w:p>
      <w:pPr>
        <w:pStyle w:val="52"/>
      </w:pPr>
      <w:r>
        <w:t>窗体底端</w:t>
      </w:r>
    </w:p>
    <w:p>
      <w:pPr>
        <w:numPr>
          <w:ilvl w:val="1"/>
          <w:numId w:val="2"/>
        </w:numPr>
        <w:tabs>
          <w:tab w:val="left" w:pos="220"/>
          <w:tab w:val="clear" w:pos="0"/>
        </w:tabs>
        <w:adjustRightInd w:val="0"/>
        <w:snapToGrid w:val="0"/>
        <w:spacing w:line="360" w:lineRule="auto"/>
        <w:ind w:firstLine="482" w:firstLineChars="200"/>
        <w:outlineLvl w:val="0"/>
        <w:rPr>
          <w:rFonts w:ascii="仿宋" w:hAnsi="仿宋" w:eastAsia="仿宋" w:cs="仿宋"/>
          <w:b/>
          <w:bCs/>
          <w:color w:val="000000"/>
          <w:kern w:val="44"/>
          <w:sz w:val="24"/>
        </w:rPr>
      </w:pPr>
      <w:r>
        <w:rPr>
          <w:rFonts w:hint="eastAsia" w:ascii="仿宋" w:hAnsi="仿宋" w:eastAsia="仿宋" w:cs="仿宋"/>
          <w:b/>
          <w:bCs/>
          <w:color w:val="000000"/>
          <w:kern w:val="44"/>
          <w:sz w:val="24"/>
          <w:lang w:eastAsia="zh-CN"/>
        </w:rPr>
        <w:t>投标保证金：无</w:t>
      </w:r>
    </w:p>
    <w:p>
      <w:pPr>
        <w:numPr>
          <w:ilvl w:val="1"/>
          <w:numId w:val="2"/>
        </w:numPr>
        <w:tabs>
          <w:tab w:val="left" w:pos="220"/>
          <w:tab w:val="clear" w:pos="0"/>
        </w:tabs>
        <w:adjustRightInd w:val="0"/>
        <w:snapToGrid w:val="0"/>
        <w:spacing w:line="360" w:lineRule="auto"/>
        <w:ind w:firstLine="482" w:firstLineChars="200"/>
        <w:outlineLvl w:val="0"/>
        <w:rPr>
          <w:rFonts w:ascii="仿宋" w:hAnsi="仿宋" w:eastAsia="仿宋" w:cs="仿宋"/>
          <w:b/>
          <w:bCs/>
          <w:color w:val="auto"/>
          <w:kern w:val="44"/>
          <w:sz w:val="24"/>
        </w:rPr>
      </w:pPr>
      <w:r>
        <w:rPr>
          <w:rFonts w:hint="eastAsia" w:ascii="仿宋" w:hAnsi="仿宋" w:eastAsia="仿宋" w:cs="仿宋"/>
          <w:b/>
          <w:color w:val="auto"/>
          <w:sz w:val="24"/>
        </w:rPr>
        <w:t>投标文件递交时间与地点：</w:t>
      </w:r>
      <w:bookmarkEnd w:id="20"/>
      <w:bookmarkEnd w:id="21"/>
    </w:p>
    <w:p>
      <w:pPr>
        <w:tabs>
          <w:tab w:val="left" w:pos="220"/>
        </w:tabs>
        <w:adjustRightInd w:val="0"/>
        <w:snapToGrid w:val="0"/>
        <w:spacing w:line="360" w:lineRule="auto"/>
        <w:ind w:firstLine="480" w:firstLineChars="200"/>
        <w:outlineLvl w:val="0"/>
        <w:rPr>
          <w:rFonts w:ascii="仿宋" w:hAnsi="仿宋" w:eastAsia="仿宋" w:cs="仿宋"/>
          <w:b/>
          <w:bCs/>
          <w:color w:val="auto"/>
          <w:kern w:val="44"/>
          <w:sz w:val="24"/>
        </w:rPr>
      </w:pPr>
      <w:bookmarkStart w:id="22" w:name="_Toc22879"/>
      <w:bookmarkStart w:id="23" w:name="_Toc7695"/>
      <w:r>
        <w:rPr>
          <w:rFonts w:hint="eastAsia" w:ascii="仿宋" w:hAnsi="仿宋" w:eastAsia="仿宋" w:cs="仿宋"/>
          <w:bCs/>
          <w:color w:val="auto"/>
          <w:sz w:val="24"/>
        </w:rPr>
        <w:t>2019年</w:t>
      </w:r>
      <w:r>
        <w:rPr>
          <w:rFonts w:hint="eastAsia" w:ascii="仿宋" w:hAnsi="仿宋" w:eastAsia="仿宋" w:cs="仿宋"/>
          <w:bCs/>
          <w:color w:val="auto"/>
          <w:sz w:val="24"/>
          <w:lang w:val="en-US" w:eastAsia="zh-CN"/>
        </w:rPr>
        <w:t>10</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16</w:t>
      </w:r>
      <w:r>
        <w:rPr>
          <w:rFonts w:hint="eastAsia" w:ascii="仿宋" w:hAnsi="仿宋" w:eastAsia="仿宋" w:cs="仿宋"/>
          <w:bCs/>
          <w:color w:val="auto"/>
          <w:sz w:val="24"/>
        </w:rPr>
        <w:t>日0</w:t>
      </w:r>
      <w:r>
        <w:rPr>
          <w:rFonts w:hint="eastAsia" w:ascii="仿宋" w:hAnsi="仿宋" w:eastAsia="仿宋" w:cs="仿宋"/>
          <w:color w:val="auto"/>
          <w:sz w:val="24"/>
        </w:rPr>
        <w:t>9时</w:t>
      </w:r>
      <w:r>
        <w:rPr>
          <w:rFonts w:hint="eastAsia" w:ascii="仿宋" w:hAnsi="仿宋" w:eastAsia="仿宋" w:cs="仿宋"/>
          <w:color w:val="auto"/>
          <w:sz w:val="24"/>
          <w:lang w:val="en-US" w:eastAsia="zh-CN"/>
        </w:rPr>
        <w:t>3</w:t>
      </w:r>
      <w:r>
        <w:rPr>
          <w:rFonts w:hint="eastAsia" w:ascii="仿宋" w:hAnsi="仿宋" w:eastAsia="仿宋" w:cs="仿宋"/>
          <w:color w:val="auto"/>
          <w:sz w:val="24"/>
        </w:rPr>
        <w:t>0分至</w:t>
      </w:r>
      <w:r>
        <w:rPr>
          <w:rFonts w:hint="eastAsia" w:ascii="仿宋" w:hAnsi="仿宋" w:eastAsia="仿宋" w:cs="仿宋"/>
          <w:bCs/>
          <w:color w:val="auto"/>
          <w:sz w:val="24"/>
          <w:lang w:val="en-US" w:eastAsia="zh-CN"/>
        </w:rPr>
        <w:t>10</w:t>
      </w:r>
      <w:r>
        <w:rPr>
          <w:rFonts w:hint="eastAsia" w:ascii="仿宋" w:hAnsi="仿宋" w:eastAsia="仿宋" w:cs="仿宋"/>
          <w:color w:val="auto"/>
          <w:sz w:val="24"/>
        </w:rPr>
        <w:t>时</w:t>
      </w:r>
      <w:r>
        <w:rPr>
          <w:rFonts w:hint="eastAsia" w:ascii="仿宋" w:hAnsi="仿宋" w:eastAsia="仿宋" w:cs="仿宋"/>
          <w:color w:val="auto"/>
          <w:sz w:val="24"/>
          <w:lang w:val="en-US" w:eastAsia="zh-CN"/>
        </w:rPr>
        <w:t>0</w:t>
      </w:r>
      <w:r>
        <w:rPr>
          <w:rFonts w:hint="eastAsia" w:ascii="仿宋" w:hAnsi="仿宋" w:eastAsia="仿宋" w:cs="仿宋"/>
          <w:color w:val="auto"/>
          <w:sz w:val="24"/>
        </w:rPr>
        <w:t>0分止，地点：杭州钱塘新区公共资源交易中心四楼</w:t>
      </w:r>
      <w:r>
        <w:rPr>
          <w:rFonts w:hint="eastAsia" w:ascii="仿宋" w:hAnsi="仿宋" w:eastAsia="仿宋" w:cs="仿宋"/>
          <w:color w:val="auto"/>
          <w:sz w:val="24"/>
          <w:lang w:val="en-US" w:eastAsia="zh-CN"/>
        </w:rPr>
        <w:t>421</w:t>
      </w:r>
      <w:r>
        <w:rPr>
          <w:rFonts w:hint="eastAsia" w:ascii="仿宋" w:hAnsi="仿宋" w:eastAsia="仿宋" w:cs="仿宋"/>
          <w:color w:val="auto"/>
          <w:sz w:val="24"/>
        </w:rPr>
        <w:t>开标室(下沙幸福南路1116号和茂大厦)</w:t>
      </w:r>
      <w:r>
        <w:rPr>
          <w:rFonts w:hint="eastAsia" w:ascii="仿宋" w:hAnsi="仿宋" w:eastAsia="仿宋" w:cs="仿宋"/>
          <w:color w:val="auto"/>
          <w:kern w:val="0"/>
          <w:sz w:val="24"/>
        </w:rPr>
        <w:t>。</w:t>
      </w:r>
      <w:bookmarkEnd w:id="22"/>
      <w:bookmarkEnd w:id="23"/>
    </w:p>
    <w:p>
      <w:pPr>
        <w:numPr>
          <w:ilvl w:val="1"/>
          <w:numId w:val="2"/>
        </w:numPr>
        <w:tabs>
          <w:tab w:val="left" w:pos="220"/>
          <w:tab w:val="clear" w:pos="0"/>
        </w:tabs>
        <w:spacing w:line="360" w:lineRule="auto"/>
        <w:ind w:firstLine="482" w:firstLineChars="200"/>
        <w:outlineLvl w:val="0"/>
        <w:rPr>
          <w:rFonts w:ascii="仿宋" w:hAnsi="仿宋" w:eastAsia="仿宋" w:cs="仿宋"/>
          <w:b/>
          <w:bCs/>
          <w:color w:val="auto"/>
          <w:kern w:val="44"/>
          <w:sz w:val="24"/>
        </w:rPr>
      </w:pPr>
      <w:bookmarkStart w:id="24" w:name="_Toc26716"/>
      <w:bookmarkStart w:id="25" w:name="_Toc8376"/>
      <w:r>
        <w:rPr>
          <w:rFonts w:hint="eastAsia" w:ascii="仿宋" w:hAnsi="仿宋" w:eastAsia="仿宋" w:cs="仿宋"/>
          <w:b/>
          <w:bCs/>
          <w:color w:val="auto"/>
          <w:kern w:val="44"/>
          <w:sz w:val="24"/>
        </w:rPr>
        <w:t>开标时间与地点：</w:t>
      </w:r>
      <w:bookmarkEnd w:id="24"/>
      <w:bookmarkEnd w:id="25"/>
    </w:p>
    <w:p>
      <w:pPr>
        <w:tabs>
          <w:tab w:val="left" w:pos="220"/>
        </w:tabs>
        <w:adjustRightInd w:val="0"/>
        <w:snapToGrid w:val="0"/>
        <w:spacing w:line="360" w:lineRule="auto"/>
        <w:ind w:firstLine="480" w:firstLineChars="200"/>
        <w:outlineLvl w:val="0"/>
        <w:rPr>
          <w:rFonts w:ascii="仿宋" w:hAnsi="仿宋" w:eastAsia="仿宋" w:cs="仿宋"/>
          <w:b/>
          <w:bCs/>
          <w:color w:val="auto"/>
          <w:kern w:val="44"/>
          <w:sz w:val="24"/>
        </w:rPr>
      </w:pPr>
      <w:bookmarkStart w:id="26" w:name="_Toc5881"/>
      <w:bookmarkStart w:id="27" w:name="_Toc11002"/>
      <w:r>
        <w:rPr>
          <w:rFonts w:hint="eastAsia" w:ascii="仿宋" w:hAnsi="仿宋" w:eastAsia="仿宋" w:cs="仿宋"/>
          <w:bCs/>
          <w:color w:val="auto"/>
          <w:sz w:val="24"/>
        </w:rPr>
        <w:t>2019年</w:t>
      </w:r>
      <w:r>
        <w:rPr>
          <w:rFonts w:hint="eastAsia" w:ascii="仿宋" w:hAnsi="仿宋" w:eastAsia="仿宋" w:cs="仿宋"/>
          <w:bCs/>
          <w:color w:val="auto"/>
          <w:sz w:val="24"/>
          <w:lang w:val="en-US" w:eastAsia="zh-CN"/>
        </w:rPr>
        <w:t>10</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16</w:t>
      </w:r>
      <w:r>
        <w:rPr>
          <w:rFonts w:hint="eastAsia" w:ascii="仿宋" w:hAnsi="仿宋" w:eastAsia="仿宋" w:cs="仿宋"/>
          <w:bCs/>
          <w:color w:val="auto"/>
          <w:sz w:val="24"/>
        </w:rPr>
        <w:t>日</w:t>
      </w:r>
      <w:r>
        <w:rPr>
          <w:rFonts w:hint="eastAsia" w:ascii="仿宋" w:hAnsi="仿宋" w:eastAsia="仿宋" w:cs="仿宋"/>
          <w:bCs/>
          <w:color w:val="auto"/>
          <w:sz w:val="24"/>
          <w:lang w:val="en-US" w:eastAsia="zh-CN"/>
        </w:rPr>
        <w:t>10</w:t>
      </w:r>
      <w:r>
        <w:rPr>
          <w:rFonts w:hint="eastAsia" w:ascii="仿宋" w:hAnsi="仿宋" w:eastAsia="仿宋" w:cs="仿宋"/>
          <w:color w:val="auto"/>
          <w:sz w:val="24"/>
        </w:rPr>
        <w:t>时</w:t>
      </w:r>
      <w:r>
        <w:rPr>
          <w:rFonts w:hint="eastAsia" w:ascii="仿宋" w:hAnsi="仿宋" w:eastAsia="仿宋" w:cs="仿宋"/>
          <w:color w:val="auto"/>
          <w:sz w:val="24"/>
          <w:lang w:val="en-US" w:eastAsia="zh-CN"/>
        </w:rPr>
        <w:t>00</w:t>
      </w:r>
      <w:r>
        <w:rPr>
          <w:rFonts w:hint="eastAsia" w:ascii="仿宋" w:hAnsi="仿宋" w:eastAsia="仿宋" w:cs="仿宋"/>
          <w:color w:val="auto"/>
          <w:sz w:val="24"/>
        </w:rPr>
        <w:t>分止， 地点：杭州钱塘新区公共资源交易中心四楼</w:t>
      </w:r>
      <w:r>
        <w:rPr>
          <w:rFonts w:hint="eastAsia" w:ascii="仿宋" w:hAnsi="仿宋" w:eastAsia="仿宋" w:cs="仿宋"/>
          <w:color w:val="auto"/>
          <w:sz w:val="24"/>
          <w:lang w:val="en-US" w:eastAsia="zh-CN"/>
        </w:rPr>
        <w:t>421</w:t>
      </w:r>
      <w:r>
        <w:rPr>
          <w:rFonts w:hint="eastAsia" w:ascii="仿宋" w:hAnsi="仿宋" w:eastAsia="仿宋" w:cs="仿宋"/>
          <w:color w:val="auto"/>
          <w:sz w:val="24"/>
        </w:rPr>
        <w:t>开标室(下沙幸福南路1116号和茂大厦)</w:t>
      </w:r>
      <w:r>
        <w:rPr>
          <w:rFonts w:hint="eastAsia" w:ascii="仿宋" w:hAnsi="仿宋" w:eastAsia="仿宋" w:cs="仿宋"/>
          <w:color w:val="auto"/>
          <w:kern w:val="0"/>
          <w:sz w:val="24"/>
        </w:rPr>
        <w:t>。</w:t>
      </w:r>
    </w:p>
    <w:p>
      <w:pPr>
        <w:numPr>
          <w:ilvl w:val="1"/>
          <w:numId w:val="2"/>
        </w:numPr>
        <w:tabs>
          <w:tab w:val="left" w:pos="220"/>
          <w:tab w:val="clear" w:pos="0"/>
        </w:tabs>
        <w:spacing w:line="360" w:lineRule="auto"/>
        <w:ind w:firstLine="482" w:firstLineChars="200"/>
        <w:outlineLvl w:val="0"/>
        <w:rPr>
          <w:rFonts w:ascii="仿宋" w:hAnsi="仿宋" w:eastAsia="仿宋" w:cs="仿宋"/>
          <w:b/>
          <w:bCs/>
          <w:color w:val="000000"/>
          <w:kern w:val="44"/>
          <w:sz w:val="24"/>
        </w:rPr>
      </w:pPr>
      <w:r>
        <w:rPr>
          <w:rFonts w:hint="eastAsia" w:ascii="仿宋" w:hAnsi="仿宋" w:eastAsia="仿宋" w:cs="仿宋"/>
          <w:b/>
          <w:bCs/>
          <w:color w:val="000000"/>
          <w:kern w:val="44"/>
          <w:sz w:val="24"/>
        </w:rPr>
        <w:t>质疑和投诉：</w:t>
      </w:r>
      <w:bookmarkEnd w:id="26"/>
      <w:bookmarkEnd w:id="27"/>
    </w:p>
    <w:p>
      <w:pPr>
        <w:pStyle w:val="25"/>
        <w:snapToGrid w:val="0"/>
        <w:spacing w:before="0"/>
        <w:ind w:firstLine="480"/>
        <w:rPr>
          <w:rFonts w:ascii="仿宋" w:hAnsi="仿宋" w:eastAsia="仿宋" w:cs="仿宋"/>
          <w:bCs/>
          <w:snapToGrid w:val="0"/>
          <w:kern w:val="28"/>
          <w:szCs w:val="24"/>
        </w:rPr>
      </w:pPr>
      <w:r>
        <w:rPr>
          <w:rFonts w:hint="eastAsia" w:ascii="仿宋" w:hAnsi="仿宋" w:eastAsia="仿宋" w:cs="仿宋"/>
          <w:bCs/>
          <w:snapToGrid w:val="0"/>
          <w:kern w:val="28"/>
          <w:szCs w:val="24"/>
        </w:rPr>
        <w:t>供应商认为采购文件、采购过程和中标、成交结果使自己的权益受到损害的，可以在知道或者应知其权益受到损害之日起七个工作日内，以书面形式向采购人或者采购代理机构提出质疑。</w:t>
      </w:r>
    </w:p>
    <w:p>
      <w:pPr>
        <w:pStyle w:val="5"/>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供应商对采购人或者采购代理机构的质疑答复不满意或者采购人或采购代理机构未在规定时间内作出答复的，可以在答复期满后十五个工作日内向同级政府采购监督管理部门投诉。</w:t>
      </w:r>
    </w:p>
    <w:p>
      <w:pPr>
        <w:pStyle w:val="5"/>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kern w:val="2"/>
          <w:sz w:val="24"/>
        </w:rPr>
        <w:t>质疑接收人：俞工</w:t>
      </w:r>
      <w:r>
        <w:rPr>
          <w:rFonts w:hint="eastAsia" w:ascii="仿宋" w:hAnsi="仿宋" w:eastAsia="仿宋" w:cs="仿宋"/>
          <w:bCs/>
          <w:color w:val="auto"/>
          <w:sz w:val="24"/>
          <w:szCs w:val="24"/>
        </w:rPr>
        <w:t>；联系电话：15258813704</w:t>
      </w:r>
      <w:r>
        <w:rPr>
          <w:rFonts w:hint="eastAsia" w:ascii="仿宋" w:hAnsi="仿宋" w:eastAsia="仿宋" w:cs="仿宋"/>
          <w:color w:val="auto"/>
          <w:kern w:val="2"/>
          <w:sz w:val="24"/>
        </w:rPr>
        <w:t>，</w:t>
      </w:r>
      <w:r>
        <w:rPr>
          <w:rFonts w:hint="eastAsia" w:ascii="仿宋" w:hAnsi="仿宋" w:eastAsia="仿宋" w:cs="仿宋"/>
          <w:color w:val="auto"/>
          <w:sz w:val="24"/>
          <w:szCs w:val="24"/>
        </w:rPr>
        <w:t>地址：浙江中明工程咨询有限公司（杭州市萧山区靖江街道京明凤凰家园13幢2单元1102室</w:t>
      </w:r>
      <w:r>
        <w:rPr>
          <w:rFonts w:hint="eastAsia" w:ascii="仿宋" w:hAnsi="仿宋" w:eastAsia="仿宋" w:cs="仿宋"/>
          <w:color w:val="auto"/>
          <w:kern w:val="2"/>
          <w:sz w:val="24"/>
        </w:rPr>
        <w:t>）</w:t>
      </w:r>
      <w:r>
        <w:rPr>
          <w:rFonts w:hint="eastAsia" w:ascii="仿宋" w:hAnsi="仿宋" w:eastAsia="仿宋" w:cs="仿宋"/>
          <w:bCs/>
          <w:color w:val="auto"/>
          <w:sz w:val="24"/>
          <w:szCs w:val="24"/>
        </w:rPr>
        <w:t>。</w:t>
      </w:r>
    </w:p>
    <w:p>
      <w:pPr>
        <w:widowControl/>
        <w:spacing w:line="360" w:lineRule="auto"/>
        <w:ind w:firstLine="480" w:firstLineChars="200"/>
        <w:jc w:val="left"/>
        <w:rPr>
          <w:rFonts w:ascii="仿宋" w:hAnsi="仿宋" w:eastAsia="仿宋" w:cs="仿宋"/>
          <w:b/>
          <w:bCs/>
          <w:color w:val="000000"/>
          <w:kern w:val="44"/>
          <w:sz w:val="24"/>
        </w:rPr>
      </w:pPr>
      <w:r>
        <w:rPr>
          <w:rFonts w:hint="eastAsia" w:ascii="仿宋" w:hAnsi="仿宋" w:eastAsia="仿宋" w:cs="仿宋"/>
          <w:sz w:val="24"/>
          <w:szCs w:val="20"/>
        </w:rPr>
        <w:t>投诉受理人：任女士；联系电话：0571-82987260，</w:t>
      </w:r>
      <w:r>
        <w:rPr>
          <w:rFonts w:hint="eastAsia" w:ascii="仿宋" w:hAnsi="仿宋" w:eastAsia="仿宋" w:cs="仿宋"/>
          <w:sz w:val="24"/>
        </w:rPr>
        <w:t>地址：</w:t>
      </w:r>
      <w:r>
        <w:rPr>
          <w:rFonts w:hint="eastAsia" w:ascii="仿宋" w:hAnsi="仿宋" w:eastAsia="仿宋" w:cs="仿宋"/>
          <w:sz w:val="24"/>
          <w:szCs w:val="20"/>
        </w:rPr>
        <w:t>杭州钱塘新区财政金融局（杭州钱塘新区江东大道3899号办事服务中心11楼）。</w:t>
      </w:r>
    </w:p>
    <w:p>
      <w:pPr>
        <w:numPr>
          <w:ilvl w:val="1"/>
          <w:numId w:val="2"/>
        </w:numPr>
        <w:tabs>
          <w:tab w:val="left" w:pos="220"/>
          <w:tab w:val="clear" w:pos="0"/>
        </w:tabs>
        <w:spacing w:line="360" w:lineRule="auto"/>
        <w:ind w:firstLine="482" w:firstLineChars="200"/>
        <w:outlineLvl w:val="0"/>
        <w:rPr>
          <w:rFonts w:ascii="仿宋" w:hAnsi="仿宋" w:eastAsia="仿宋" w:cs="仿宋"/>
          <w:b/>
          <w:bCs/>
          <w:color w:val="000000"/>
          <w:kern w:val="44"/>
          <w:sz w:val="24"/>
        </w:rPr>
      </w:pPr>
      <w:bookmarkStart w:id="28" w:name="_Toc24009"/>
      <w:bookmarkStart w:id="29" w:name="_Toc10604"/>
      <w:r>
        <w:rPr>
          <w:rFonts w:hint="eastAsia" w:ascii="仿宋" w:hAnsi="仿宋" w:eastAsia="仿宋" w:cs="仿宋"/>
          <w:b/>
          <w:bCs/>
          <w:color w:val="000000"/>
          <w:kern w:val="44"/>
          <w:sz w:val="24"/>
        </w:rPr>
        <w:t>联系方式：</w:t>
      </w:r>
      <w:bookmarkEnd w:id="28"/>
      <w:bookmarkEnd w:id="29"/>
    </w:p>
    <w:p>
      <w:pPr>
        <w:pStyle w:val="1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采购单位联系人：王先生           联系电话：0571-82106615   </w:t>
      </w:r>
    </w:p>
    <w:p>
      <w:pPr>
        <w:pStyle w:val="10"/>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采购代理机构联系人：俞先生       联系电话：15258813704</w:t>
      </w:r>
    </w:p>
    <w:p>
      <w:pPr>
        <w:pStyle w:val="10"/>
        <w:adjustRightInd w:val="0"/>
        <w:snapToGrid w:val="0"/>
        <w:spacing w:line="360" w:lineRule="auto"/>
        <w:ind w:firstLine="480" w:firstLineChars="200"/>
        <w:rPr>
          <w:rFonts w:ascii="仿宋" w:hAnsi="仿宋" w:eastAsia="仿宋" w:cs="仿宋"/>
          <w:color w:val="000000"/>
          <w:sz w:val="24"/>
          <w:szCs w:val="24"/>
        </w:rPr>
      </w:pPr>
    </w:p>
    <w:p>
      <w:pPr>
        <w:pStyle w:val="10"/>
        <w:adjustRightInd w:val="0"/>
        <w:snapToGrid w:val="0"/>
        <w:spacing w:line="360" w:lineRule="auto"/>
        <w:jc w:val="right"/>
        <w:rPr>
          <w:rFonts w:ascii="仿宋" w:hAnsi="仿宋" w:eastAsia="仿宋" w:cs="仿宋"/>
          <w:color w:val="000000"/>
          <w:sz w:val="24"/>
          <w:szCs w:val="24"/>
        </w:rPr>
      </w:pPr>
      <w:r>
        <w:rPr>
          <w:rFonts w:hint="eastAsia" w:ascii="仿宋" w:hAnsi="仿宋" w:eastAsia="仿宋" w:cs="仿宋"/>
          <w:color w:val="000000"/>
          <w:sz w:val="24"/>
          <w:szCs w:val="24"/>
        </w:rPr>
        <w:t>采购人：</w:t>
      </w:r>
      <w:r>
        <w:rPr>
          <w:rFonts w:hint="eastAsia" w:ascii="仿宋" w:hAnsi="仿宋" w:eastAsia="仿宋" w:cs="仿宋"/>
          <w:color w:val="000000"/>
          <w:sz w:val="24"/>
        </w:rPr>
        <w:t>杭州市萧山区人民政府前进街道办事处</w:t>
      </w:r>
      <w:r>
        <w:rPr>
          <w:rFonts w:hint="eastAsia" w:ascii="仿宋" w:hAnsi="仿宋" w:eastAsia="仿宋" w:cs="仿宋"/>
          <w:color w:val="000000"/>
          <w:sz w:val="24"/>
          <w:szCs w:val="24"/>
        </w:rPr>
        <w:t xml:space="preserve">                                           </w:t>
      </w:r>
    </w:p>
    <w:p>
      <w:pPr>
        <w:pStyle w:val="10"/>
        <w:adjustRightInd w:val="0"/>
        <w:snapToGrid w:val="0"/>
        <w:spacing w:line="360" w:lineRule="auto"/>
        <w:ind w:firstLine="2160" w:firstLineChars="900"/>
        <w:jc w:val="right"/>
        <w:rPr>
          <w:rFonts w:ascii="仿宋" w:hAnsi="仿宋" w:eastAsia="仿宋" w:cs="仿宋"/>
          <w:color w:val="000000"/>
          <w:sz w:val="24"/>
          <w:szCs w:val="24"/>
        </w:rPr>
      </w:pPr>
      <w:r>
        <w:rPr>
          <w:rFonts w:hint="eastAsia" w:ascii="仿宋" w:hAnsi="仿宋" w:eastAsia="仿宋" w:cs="仿宋"/>
          <w:color w:val="000000"/>
          <w:sz w:val="24"/>
          <w:szCs w:val="24"/>
        </w:rPr>
        <w:t>采购代理机构：浙江中明工程咨询有限公司</w:t>
      </w:r>
    </w:p>
    <w:p>
      <w:pPr>
        <w:tabs>
          <w:tab w:val="left" w:pos="220"/>
        </w:tabs>
        <w:spacing w:line="360" w:lineRule="auto"/>
        <w:ind w:left="420" w:leftChars="200"/>
        <w:jc w:val="right"/>
        <w:outlineLvl w:val="0"/>
        <w:rPr>
          <w:rFonts w:ascii="仿宋" w:hAnsi="仿宋" w:eastAsia="仿宋" w:cs="仿宋"/>
          <w:color w:val="FF0000"/>
          <w:sz w:val="24"/>
        </w:rPr>
      </w:pPr>
      <w:r>
        <w:rPr>
          <w:rFonts w:hint="eastAsia" w:ascii="仿宋" w:hAnsi="仿宋" w:eastAsia="仿宋" w:cs="仿宋"/>
          <w:color w:val="000000"/>
          <w:sz w:val="24"/>
        </w:rPr>
        <w:t xml:space="preserve">                                 </w:t>
      </w:r>
      <w:r>
        <w:rPr>
          <w:rFonts w:hint="eastAsia" w:ascii="仿宋" w:hAnsi="仿宋" w:eastAsia="仿宋" w:cs="仿宋"/>
          <w:sz w:val="24"/>
        </w:rPr>
        <w:t xml:space="preserve">      </w:t>
      </w:r>
      <w:bookmarkStart w:id="30" w:name="_Toc25622"/>
      <w:bookmarkStart w:id="31" w:name="_Toc21265"/>
      <w:r>
        <w:rPr>
          <w:rFonts w:hint="eastAsia" w:ascii="仿宋" w:hAnsi="仿宋" w:eastAsia="仿宋" w:cs="仿宋"/>
          <w:sz w:val="24"/>
        </w:rPr>
        <w:t>2019年9月</w:t>
      </w:r>
      <w:bookmarkEnd w:id="30"/>
      <w:bookmarkEnd w:id="31"/>
      <w:r>
        <w:rPr>
          <w:rFonts w:hint="eastAsia" w:ascii="仿宋" w:hAnsi="仿宋" w:eastAsia="仿宋" w:cs="仿宋"/>
          <w:sz w:val="24"/>
        </w:rPr>
        <w:t xml:space="preserve">  </w:t>
      </w:r>
    </w:p>
    <w:p>
      <w:pPr>
        <w:tabs>
          <w:tab w:val="left" w:pos="220"/>
        </w:tabs>
        <w:spacing w:line="360" w:lineRule="auto"/>
        <w:ind w:left="420" w:leftChars="200"/>
        <w:jc w:val="right"/>
        <w:outlineLvl w:val="0"/>
        <w:rPr>
          <w:rFonts w:ascii="仿宋" w:hAnsi="仿宋" w:eastAsia="仿宋" w:cs="仿宋"/>
          <w:color w:val="FF0000"/>
          <w:sz w:val="24"/>
        </w:rPr>
        <w:sectPr>
          <w:footerReference r:id="rId4" w:type="default"/>
          <w:pgSz w:w="11906" w:h="16838"/>
          <w:pgMar w:top="680" w:right="1418" w:bottom="1038" w:left="1418" w:header="850" w:footer="850" w:gutter="0"/>
          <w:pgNumType w:start="1"/>
          <w:cols w:space="720" w:num="1"/>
          <w:docGrid w:linePitch="312" w:charSpace="0"/>
        </w:sectPr>
      </w:pPr>
    </w:p>
    <w:p>
      <w:pPr>
        <w:tabs>
          <w:tab w:val="left" w:pos="220"/>
        </w:tabs>
        <w:spacing w:line="360" w:lineRule="auto"/>
        <w:outlineLvl w:val="0"/>
        <w:rPr>
          <w:rFonts w:hAnsi="宋体" w:cs="宋体"/>
          <w:color w:val="000000"/>
          <w:sz w:val="24"/>
        </w:rPr>
      </w:pPr>
    </w:p>
    <w:p>
      <w:pPr>
        <w:numPr>
          <w:ilvl w:val="0"/>
          <w:numId w:val="2"/>
        </w:numPr>
        <w:spacing w:line="360" w:lineRule="auto"/>
        <w:jc w:val="center"/>
        <w:outlineLvl w:val="0"/>
        <w:rPr>
          <w:rFonts w:ascii="仿宋" w:hAnsi="仿宋" w:eastAsia="仿宋" w:cs="仿宋"/>
          <w:b/>
          <w:sz w:val="36"/>
          <w:szCs w:val="36"/>
        </w:rPr>
      </w:pPr>
      <w:bookmarkStart w:id="32" w:name="_Toc10817"/>
      <w:r>
        <w:rPr>
          <w:rFonts w:hint="eastAsia" w:ascii="仿宋" w:hAnsi="仿宋" w:eastAsia="仿宋" w:cs="仿宋"/>
          <w:b/>
          <w:sz w:val="36"/>
          <w:szCs w:val="36"/>
        </w:rPr>
        <w:t>编制和提交采购响应文件须知</w:t>
      </w:r>
      <w:bookmarkEnd w:id="32"/>
    </w:p>
    <w:p>
      <w:pPr>
        <w:numPr>
          <w:ilvl w:val="1"/>
          <w:numId w:val="2"/>
        </w:numPr>
        <w:spacing w:line="360" w:lineRule="auto"/>
        <w:jc w:val="center"/>
        <w:outlineLvl w:val="0"/>
        <w:rPr>
          <w:rFonts w:ascii="仿宋" w:hAnsi="仿宋" w:eastAsia="仿宋" w:cs="仿宋"/>
          <w:b/>
          <w:sz w:val="32"/>
          <w:szCs w:val="32"/>
        </w:rPr>
      </w:pPr>
      <w:bookmarkStart w:id="33" w:name="_Toc771"/>
      <w:r>
        <w:rPr>
          <w:rFonts w:hint="eastAsia" w:ascii="仿宋" w:hAnsi="仿宋" w:eastAsia="仿宋" w:cs="仿宋"/>
          <w:b/>
          <w:sz w:val="32"/>
          <w:szCs w:val="32"/>
        </w:rPr>
        <w:t>前附表</w:t>
      </w:r>
      <w:bookmarkEnd w:id="33"/>
    </w:p>
    <w:tbl>
      <w:tblPr>
        <w:tblStyle w:val="17"/>
        <w:tblW w:w="9344" w:type="dxa"/>
        <w:jc w:val="center"/>
        <w:tblInd w:w="0" w:type="dxa"/>
        <w:tblLayout w:type="fixed"/>
        <w:tblCellMar>
          <w:top w:w="0" w:type="dxa"/>
          <w:left w:w="0" w:type="dxa"/>
          <w:bottom w:w="0" w:type="dxa"/>
          <w:right w:w="0" w:type="dxa"/>
        </w:tblCellMar>
      </w:tblPr>
      <w:tblGrid>
        <w:gridCol w:w="719"/>
        <w:gridCol w:w="8625"/>
      </w:tblGrid>
      <w:tr>
        <w:tblPrEx>
          <w:tblLayout w:type="fixed"/>
          <w:tblCellMar>
            <w:top w:w="0" w:type="dxa"/>
            <w:left w:w="0" w:type="dxa"/>
            <w:bottom w:w="0" w:type="dxa"/>
            <w:right w:w="0" w:type="dxa"/>
          </w:tblCellMar>
        </w:tblPrEx>
        <w:trPr>
          <w:trHeight w:val="90" w:hRule="atLeast"/>
          <w:jc w:val="center"/>
        </w:trPr>
        <w:tc>
          <w:tcPr>
            <w:tcW w:w="719" w:type="dxa"/>
            <w:tcBorders>
              <w:top w:val="single" w:color="000000" w:sz="8" w:space="0"/>
              <w:left w:val="single" w:color="auto" w:sz="8" w:space="0"/>
              <w:bottom w:val="single" w:color="000000"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jc w:val="center"/>
              <w:rPr>
                <w:rFonts w:ascii="仿宋" w:hAnsi="仿宋" w:eastAsia="仿宋" w:cs="仿宋"/>
                <w:kern w:val="0"/>
                <w:sz w:val="24"/>
              </w:rPr>
            </w:pPr>
            <w:r>
              <w:rPr>
                <w:rFonts w:hint="eastAsia" w:ascii="仿宋" w:hAnsi="仿宋" w:eastAsia="仿宋" w:cs="仿宋"/>
                <w:b/>
                <w:bCs/>
                <w:spacing w:val="-11"/>
                <w:kern w:val="0"/>
                <w:sz w:val="24"/>
              </w:rPr>
              <w:t>条款</w:t>
            </w:r>
          </w:p>
        </w:tc>
        <w:tc>
          <w:tcPr>
            <w:tcW w:w="8625" w:type="dxa"/>
            <w:tcBorders>
              <w:top w:val="single" w:color="000000" w:sz="8" w:space="0"/>
              <w:left w:val="single" w:color="auto" w:sz="8" w:space="0"/>
              <w:bottom w:val="single" w:color="000000"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仿宋"/>
                <w:kern w:val="0"/>
                <w:sz w:val="24"/>
              </w:rPr>
            </w:pPr>
            <w:r>
              <w:rPr>
                <w:rFonts w:hint="eastAsia" w:ascii="仿宋" w:hAnsi="仿宋" w:eastAsia="仿宋" w:cs="仿宋"/>
                <w:b/>
                <w:bCs/>
                <w:kern w:val="0"/>
                <w:sz w:val="24"/>
              </w:rPr>
              <w:t>内容规定</w:t>
            </w:r>
          </w:p>
        </w:tc>
      </w:tr>
      <w:tr>
        <w:tblPrEx>
          <w:tblLayout w:type="fixed"/>
          <w:tblCellMar>
            <w:top w:w="0" w:type="dxa"/>
            <w:left w:w="0" w:type="dxa"/>
            <w:bottom w:w="0" w:type="dxa"/>
            <w:right w:w="0" w:type="dxa"/>
          </w:tblCellMar>
        </w:tblPrEx>
        <w:trPr>
          <w:cantSplit/>
          <w:trHeight w:val="5808" w:hRule="atLeast"/>
          <w:jc w:val="center"/>
        </w:trPr>
        <w:tc>
          <w:tcPr>
            <w:tcW w:w="719" w:type="dxa"/>
            <w:tcBorders>
              <w:top w:val="single" w:color="000000" w:sz="8" w:space="0"/>
              <w:left w:val="single" w:color="auto" w:sz="8" w:space="0"/>
              <w:bottom w:val="nil"/>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仿宋"/>
                <w:kern w:val="0"/>
                <w:sz w:val="24"/>
              </w:rPr>
            </w:pPr>
            <w:r>
              <w:rPr>
                <w:rFonts w:hint="eastAsia" w:ascii="仿宋" w:hAnsi="仿宋" w:eastAsia="仿宋" w:cs="仿宋"/>
                <w:kern w:val="0"/>
                <w:sz w:val="24"/>
              </w:rPr>
              <w:t>1</w:t>
            </w:r>
          </w:p>
        </w:tc>
        <w:tc>
          <w:tcPr>
            <w:tcW w:w="8625" w:type="dxa"/>
            <w:tcBorders>
              <w:top w:val="single" w:color="000000" w:sz="8" w:space="0"/>
              <w:left w:val="single" w:color="auto" w:sz="8" w:space="0"/>
              <w:bottom w:val="single" w:color="000000" w:sz="8" w:space="0"/>
              <w:right w:val="single" w:color="auto" w:sz="8" w:space="0"/>
            </w:tcBorders>
            <w:tcMar>
              <w:top w:w="0" w:type="dxa"/>
              <w:left w:w="108" w:type="dxa"/>
              <w:bottom w:w="0" w:type="dxa"/>
              <w:right w:w="108" w:type="dxa"/>
            </w:tcMar>
            <w:vAlign w:val="center"/>
          </w:tcPr>
          <w:p>
            <w:pPr>
              <w:widowControl/>
              <w:adjustRightInd w:val="0"/>
              <w:spacing w:line="360" w:lineRule="auto"/>
              <w:jc w:val="center"/>
              <w:rPr>
                <w:rFonts w:ascii="仿宋" w:hAnsi="仿宋" w:eastAsia="仿宋" w:cs="仿宋"/>
                <w:kern w:val="0"/>
                <w:sz w:val="24"/>
              </w:rPr>
            </w:pPr>
            <w:r>
              <w:rPr>
                <w:rFonts w:hint="eastAsia" w:ascii="仿宋" w:hAnsi="仿宋" w:eastAsia="仿宋" w:cs="仿宋"/>
                <w:kern w:val="0"/>
                <w:sz w:val="24"/>
              </w:rPr>
              <w:t>项目说明</w:t>
            </w:r>
          </w:p>
          <w:p>
            <w:pPr>
              <w:adjustRightInd w:val="0"/>
              <w:spacing w:line="360" w:lineRule="auto"/>
              <w:ind w:firstLine="475" w:firstLineChars="197"/>
              <w:rPr>
                <w:rFonts w:ascii="仿宋" w:hAnsi="仿宋" w:eastAsia="仿宋" w:cs="仿宋"/>
                <w:sz w:val="24"/>
              </w:rPr>
            </w:pPr>
            <w:r>
              <w:rPr>
                <w:rFonts w:hint="eastAsia" w:ascii="仿宋" w:hAnsi="仿宋" w:eastAsia="仿宋" w:cs="仿宋"/>
                <w:b/>
                <w:sz w:val="24"/>
              </w:rPr>
              <w:t>一、项目名称：</w:t>
            </w:r>
            <w:r>
              <w:rPr>
                <w:rFonts w:hint="eastAsia" w:ascii="仿宋" w:hAnsi="仿宋" w:eastAsia="仿宋" w:cs="仿宋"/>
                <w:color w:val="000000"/>
                <w:sz w:val="24"/>
              </w:rPr>
              <w:t>前进***弱电智能化采购项目</w:t>
            </w:r>
          </w:p>
          <w:p>
            <w:pPr>
              <w:pStyle w:val="10"/>
              <w:adjustRightInd w:val="0"/>
              <w:spacing w:line="360" w:lineRule="auto"/>
              <w:ind w:firstLine="482" w:firstLineChars="200"/>
              <w:rPr>
                <w:rFonts w:ascii="仿宋" w:hAnsi="仿宋" w:eastAsia="仿宋" w:cs="仿宋"/>
                <w:b/>
                <w:bCs/>
                <w:sz w:val="24"/>
                <w:lang w:val="zh-CN"/>
              </w:rPr>
            </w:pPr>
            <w:r>
              <w:rPr>
                <w:rFonts w:hint="eastAsia" w:ascii="仿宋" w:hAnsi="仿宋" w:eastAsia="仿宋" w:cs="仿宋"/>
                <w:b/>
                <w:sz w:val="24"/>
                <w:lang w:val="zh-CN"/>
              </w:rPr>
              <w:t>二、采购预算：</w:t>
            </w:r>
            <w:r>
              <w:rPr>
                <w:rFonts w:hint="eastAsia" w:ascii="仿宋" w:hAnsi="仿宋" w:eastAsia="仿宋" w:cs="仿宋"/>
                <w:sz w:val="24"/>
              </w:rPr>
              <w:t>本项目采购预算为人民币687.2101万元</w:t>
            </w:r>
          </w:p>
          <w:p>
            <w:pPr>
              <w:adjustRightInd w:val="0"/>
              <w:spacing w:line="360" w:lineRule="auto"/>
              <w:ind w:firstLine="472" w:firstLineChars="196"/>
              <w:rPr>
                <w:rFonts w:ascii="仿宋" w:hAnsi="仿宋" w:eastAsia="仿宋" w:cs="仿宋"/>
                <w:color w:val="auto"/>
                <w:sz w:val="24"/>
              </w:rPr>
            </w:pPr>
            <w:r>
              <w:rPr>
                <w:rFonts w:hint="eastAsia" w:ascii="仿宋" w:hAnsi="仿宋" w:eastAsia="仿宋" w:cs="仿宋"/>
                <w:b/>
                <w:sz w:val="24"/>
              </w:rPr>
              <w:t>三、项目技术规范和服</w:t>
            </w:r>
            <w:r>
              <w:rPr>
                <w:rFonts w:hint="eastAsia" w:ascii="仿宋" w:hAnsi="仿宋" w:eastAsia="仿宋" w:cs="仿宋"/>
                <w:b/>
                <w:color w:val="auto"/>
                <w:sz w:val="24"/>
              </w:rPr>
              <w:t>务要求：</w:t>
            </w:r>
            <w:r>
              <w:rPr>
                <w:rFonts w:hint="eastAsia" w:ascii="仿宋" w:hAnsi="仿宋" w:eastAsia="仿宋" w:cs="仿宋"/>
                <w:color w:val="auto"/>
                <w:sz w:val="24"/>
              </w:rPr>
              <w:t>详见采购文件第四部分</w:t>
            </w:r>
          </w:p>
          <w:p>
            <w:pPr>
              <w:adjustRightInd w:val="0"/>
              <w:spacing w:line="360" w:lineRule="auto"/>
              <w:ind w:firstLine="472" w:firstLineChars="196"/>
              <w:rPr>
                <w:rFonts w:ascii="仿宋" w:hAnsi="仿宋" w:eastAsia="仿宋" w:cs="仿宋"/>
                <w:color w:val="auto"/>
                <w:sz w:val="24"/>
              </w:rPr>
            </w:pPr>
            <w:r>
              <w:rPr>
                <w:rFonts w:hint="eastAsia" w:ascii="仿宋" w:hAnsi="仿宋" w:eastAsia="仿宋" w:cs="仿宋"/>
                <w:b/>
                <w:color w:val="auto"/>
                <w:sz w:val="24"/>
              </w:rPr>
              <w:t>四、项目实施地点：</w:t>
            </w:r>
            <w:r>
              <w:rPr>
                <w:rFonts w:hint="eastAsia" w:ascii="仿宋" w:hAnsi="仿宋" w:eastAsia="仿宋" w:cs="仿宋"/>
                <w:color w:val="auto"/>
                <w:sz w:val="24"/>
              </w:rPr>
              <w:t>采购人</w:t>
            </w:r>
            <w:r>
              <w:rPr>
                <w:rFonts w:hint="eastAsia" w:ascii="仿宋" w:hAnsi="仿宋" w:eastAsia="仿宋" w:cs="仿宋"/>
                <w:color w:val="auto"/>
                <w:sz w:val="24"/>
                <w:lang w:val="zh-CN"/>
              </w:rPr>
              <w:t>指定地点</w:t>
            </w:r>
          </w:p>
          <w:p>
            <w:pPr>
              <w:adjustRightInd w:val="0"/>
              <w:snapToGrid w:val="0"/>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五、项目实施时间：暂定工期</w:t>
            </w:r>
            <w:r>
              <w:rPr>
                <w:rFonts w:hint="eastAsia" w:ascii="仿宋" w:hAnsi="仿宋" w:eastAsia="仿宋" w:cs="仿宋"/>
                <w:b/>
                <w:color w:val="auto"/>
                <w:sz w:val="24"/>
                <w:lang w:val="en-US" w:eastAsia="zh-CN"/>
              </w:rPr>
              <w:t>90</w:t>
            </w:r>
            <w:r>
              <w:rPr>
                <w:rFonts w:hint="eastAsia" w:ascii="仿宋" w:hAnsi="仿宋" w:eastAsia="仿宋" w:cs="仿宋"/>
                <w:b/>
                <w:color w:val="auto"/>
                <w:sz w:val="24"/>
              </w:rPr>
              <w:t>天。</w:t>
            </w:r>
          </w:p>
          <w:p>
            <w:pPr>
              <w:adjustRightInd w:val="0"/>
              <w:snapToGrid w:val="0"/>
              <w:spacing w:line="360" w:lineRule="auto"/>
              <w:ind w:firstLine="482"/>
              <w:rPr>
                <w:rFonts w:ascii="仿宋" w:hAnsi="仿宋" w:eastAsia="仿宋" w:cs="仿宋"/>
                <w:sz w:val="24"/>
                <w:lang w:val="zh-CN"/>
              </w:rPr>
            </w:pPr>
            <w:r>
              <w:rPr>
                <w:rFonts w:hint="eastAsia" w:ascii="仿宋" w:hAnsi="仿宋" w:eastAsia="仿宋" w:cs="仿宋"/>
                <w:b/>
                <w:color w:val="auto"/>
                <w:sz w:val="24"/>
              </w:rPr>
              <w:t>六、投标报价</w:t>
            </w:r>
            <w:r>
              <w:rPr>
                <w:rFonts w:hint="eastAsia" w:ascii="仿宋" w:hAnsi="仿宋" w:eastAsia="仿宋" w:cs="仿宋"/>
                <w:b/>
                <w:color w:val="auto"/>
                <w:kern w:val="0"/>
                <w:sz w:val="24"/>
                <w:lang w:val="zh-CN"/>
              </w:rPr>
              <w:t>：</w:t>
            </w:r>
            <w:r>
              <w:rPr>
                <w:rFonts w:hint="eastAsia" w:ascii="仿宋" w:hAnsi="仿宋" w:eastAsia="仿宋" w:cs="仿宋"/>
                <w:color w:val="auto"/>
                <w:sz w:val="24"/>
              </w:rPr>
              <w:t>投标报价包含完成本招</w:t>
            </w:r>
            <w:r>
              <w:rPr>
                <w:rFonts w:hint="eastAsia" w:ascii="仿宋" w:hAnsi="仿宋" w:eastAsia="仿宋" w:cs="仿宋"/>
                <w:sz w:val="24"/>
              </w:rPr>
              <w:t>标文件所述的工作内容所需的全部费用。报价包含：设备供货、系统改造、安装调试、系统集成、运行维护、项目验收、售后服务以及技术培训等所有费用。</w:t>
            </w:r>
            <w:r>
              <w:rPr>
                <w:rFonts w:hint="eastAsia" w:ascii="仿宋" w:hAnsi="仿宋" w:eastAsia="仿宋" w:cs="仿宋"/>
                <w:b/>
                <w:sz w:val="24"/>
              </w:rPr>
              <w:t>《投标（开标）一览表》是报价的唯一载体</w:t>
            </w:r>
            <w:r>
              <w:rPr>
                <w:rFonts w:hint="eastAsia" w:ascii="仿宋" w:hAnsi="仿宋" w:eastAsia="仿宋" w:cs="仿宋"/>
                <w:sz w:val="24"/>
              </w:rPr>
              <w:t>。</w:t>
            </w:r>
          </w:p>
          <w:p>
            <w:pPr>
              <w:widowControl/>
              <w:adjustRightInd w:val="0"/>
              <w:spacing w:line="360" w:lineRule="auto"/>
              <w:ind w:firstLine="482" w:firstLineChars="200"/>
              <w:rPr>
                <w:rFonts w:ascii="仿宋" w:hAnsi="仿宋" w:eastAsia="仿宋" w:cs="仿宋"/>
                <w:kern w:val="0"/>
                <w:sz w:val="24"/>
              </w:rPr>
            </w:pPr>
            <w:r>
              <w:rPr>
                <w:rFonts w:hint="eastAsia" w:ascii="仿宋" w:hAnsi="仿宋" w:eastAsia="仿宋" w:cs="仿宋"/>
                <w:b/>
                <w:sz w:val="24"/>
                <w:lang w:val="zh-CN"/>
              </w:rPr>
              <w:t>八、</w:t>
            </w:r>
            <w:r>
              <w:rPr>
                <w:rFonts w:hint="eastAsia" w:ascii="仿宋" w:hAnsi="仿宋" w:eastAsia="仿宋" w:cs="仿宋"/>
                <w:b/>
                <w:sz w:val="24"/>
              </w:rPr>
              <w:t>政府采购当事人及监管部门：</w:t>
            </w:r>
            <w:r>
              <w:rPr>
                <w:rFonts w:hint="eastAsia" w:ascii="仿宋" w:hAnsi="仿宋" w:eastAsia="仿宋" w:cs="仿宋"/>
                <w:color w:val="000000"/>
                <w:sz w:val="24"/>
              </w:rPr>
              <w:t>杭州市萧山区人民政府前进街道办事处</w:t>
            </w:r>
            <w:r>
              <w:rPr>
                <w:rFonts w:hint="eastAsia" w:ascii="仿宋" w:hAnsi="仿宋" w:eastAsia="仿宋" w:cs="仿宋"/>
                <w:spacing w:val="-6"/>
                <w:sz w:val="24"/>
              </w:rPr>
              <w:t>为本项目的采购人（合同中的甲方），浙江中明工程咨询有限公司为采购代理机构，响应招标、参加投标竞争的法人、其他组织或者自然人为投标人，经评审产生并经批准的投标人为中标人，经公示无异议，并签订合同后的中标人为供应商（合同中的乙方），杭州钱塘新区财政金融局为政府采购监督管理部门。</w:t>
            </w:r>
          </w:p>
        </w:tc>
      </w:tr>
      <w:tr>
        <w:tblPrEx>
          <w:tblLayout w:type="fixed"/>
          <w:tblCellMar>
            <w:top w:w="0" w:type="dxa"/>
            <w:left w:w="0" w:type="dxa"/>
            <w:bottom w:w="0" w:type="dxa"/>
            <w:right w:w="0" w:type="dxa"/>
          </w:tblCellMar>
        </w:tblPrEx>
        <w:trPr>
          <w:trHeight w:val="652" w:hRule="atLeast"/>
          <w:jc w:val="center"/>
        </w:trPr>
        <w:tc>
          <w:tcPr>
            <w:tcW w:w="719"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仿宋"/>
                <w:kern w:val="0"/>
                <w:sz w:val="24"/>
              </w:rPr>
            </w:pPr>
            <w:r>
              <w:rPr>
                <w:rFonts w:hint="eastAsia" w:ascii="仿宋" w:hAnsi="仿宋" w:eastAsia="仿宋" w:cs="仿宋"/>
                <w:kern w:val="0"/>
                <w:sz w:val="24"/>
              </w:rPr>
              <w:t>2</w:t>
            </w:r>
          </w:p>
        </w:tc>
        <w:tc>
          <w:tcPr>
            <w:tcW w:w="862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rPr>
                <w:rFonts w:ascii="仿宋" w:hAnsi="仿宋" w:eastAsia="仿宋" w:cs="仿宋"/>
                <w:kern w:val="0"/>
                <w:sz w:val="24"/>
              </w:rPr>
            </w:pPr>
            <w:r>
              <w:rPr>
                <w:rFonts w:hint="eastAsia" w:ascii="仿宋" w:hAnsi="仿宋" w:eastAsia="仿宋" w:cs="仿宋"/>
                <w:b/>
                <w:sz w:val="24"/>
                <w:lang w:val="zh-CN"/>
              </w:rPr>
              <w:t>投标</w:t>
            </w:r>
            <w:r>
              <w:rPr>
                <w:rFonts w:hint="eastAsia" w:ascii="仿宋" w:hAnsi="仿宋" w:eastAsia="仿宋" w:cs="仿宋"/>
                <w:b/>
                <w:sz w:val="24"/>
              </w:rPr>
              <w:t>有效期：</w:t>
            </w:r>
            <w:r>
              <w:rPr>
                <w:rFonts w:hint="eastAsia" w:ascii="仿宋" w:hAnsi="仿宋" w:eastAsia="仿宋" w:cs="仿宋"/>
                <w:sz w:val="24"/>
              </w:rPr>
              <w:t>从提交投标文件的截止之日起90天。</w:t>
            </w:r>
          </w:p>
        </w:tc>
      </w:tr>
      <w:tr>
        <w:tblPrEx>
          <w:tblLayout w:type="fixed"/>
          <w:tblCellMar>
            <w:top w:w="0" w:type="dxa"/>
            <w:left w:w="0" w:type="dxa"/>
            <w:bottom w:w="0" w:type="dxa"/>
            <w:right w:w="0" w:type="dxa"/>
          </w:tblCellMar>
        </w:tblPrEx>
        <w:trPr>
          <w:trHeight w:val="406" w:hRule="atLeast"/>
          <w:jc w:val="center"/>
        </w:trPr>
        <w:tc>
          <w:tcPr>
            <w:tcW w:w="719"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仿宋"/>
                <w:kern w:val="0"/>
                <w:sz w:val="24"/>
              </w:rPr>
            </w:pPr>
            <w:r>
              <w:rPr>
                <w:rFonts w:hint="eastAsia" w:ascii="仿宋" w:hAnsi="仿宋" w:eastAsia="仿宋" w:cs="仿宋"/>
                <w:kern w:val="0"/>
                <w:sz w:val="24"/>
              </w:rPr>
              <w:t>3</w:t>
            </w:r>
          </w:p>
        </w:tc>
        <w:tc>
          <w:tcPr>
            <w:tcW w:w="862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rPr>
                <w:rFonts w:ascii="仿宋" w:hAnsi="仿宋" w:eastAsia="仿宋" w:cs="仿宋"/>
                <w:kern w:val="0"/>
                <w:sz w:val="24"/>
              </w:rPr>
            </w:pPr>
            <w:r>
              <w:rPr>
                <w:rFonts w:hint="eastAsia" w:ascii="仿宋" w:hAnsi="仿宋" w:eastAsia="仿宋" w:cs="仿宋"/>
                <w:b/>
                <w:bCs/>
                <w:sz w:val="24"/>
              </w:rPr>
              <w:t>投标保证金：</w:t>
            </w:r>
            <w:r>
              <w:rPr>
                <w:rFonts w:hint="eastAsia" w:ascii="仿宋" w:hAnsi="仿宋" w:eastAsia="仿宋" w:cs="仿宋"/>
                <w:sz w:val="24"/>
              </w:rPr>
              <w:t>见采购公告要求</w:t>
            </w:r>
          </w:p>
        </w:tc>
      </w:tr>
      <w:tr>
        <w:tblPrEx>
          <w:tblLayout w:type="fixed"/>
          <w:tblCellMar>
            <w:top w:w="0" w:type="dxa"/>
            <w:left w:w="0" w:type="dxa"/>
            <w:bottom w:w="0" w:type="dxa"/>
            <w:right w:w="0" w:type="dxa"/>
          </w:tblCellMar>
        </w:tblPrEx>
        <w:trPr>
          <w:trHeight w:val="498" w:hRule="atLeast"/>
          <w:jc w:val="center"/>
        </w:trPr>
        <w:tc>
          <w:tcPr>
            <w:tcW w:w="719" w:type="dxa"/>
            <w:tcBorders>
              <w:top w:val="single" w:color="000000" w:sz="8" w:space="0"/>
              <w:left w:val="single" w:color="auto" w:sz="8" w:space="0"/>
              <w:bottom w:val="single" w:color="auto"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仿宋"/>
                <w:kern w:val="0"/>
                <w:sz w:val="24"/>
              </w:rPr>
            </w:pPr>
            <w:r>
              <w:rPr>
                <w:rFonts w:hint="eastAsia" w:ascii="仿宋" w:hAnsi="仿宋" w:eastAsia="仿宋" w:cs="仿宋"/>
                <w:kern w:val="0"/>
                <w:sz w:val="24"/>
              </w:rPr>
              <w:t>4</w:t>
            </w:r>
          </w:p>
        </w:tc>
        <w:tc>
          <w:tcPr>
            <w:tcW w:w="8625" w:type="dxa"/>
            <w:tcBorders>
              <w:top w:val="single" w:color="000000" w:sz="8" w:space="0"/>
              <w:left w:val="single" w:color="000000" w:sz="8" w:space="0"/>
              <w:bottom w:val="single" w:color="auto" w:sz="8" w:space="0"/>
              <w:right w:val="single" w:color="auto" w:sz="8" w:space="0"/>
            </w:tcBorders>
            <w:tcMar>
              <w:top w:w="0" w:type="dxa"/>
              <w:left w:w="108" w:type="dxa"/>
              <w:bottom w:w="0" w:type="dxa"/>
              <w:right w:w="108" w:type="dxa"/>
            </w:tcMar>
            <w:vAlign w:val="center"/>
          </w:tcPr>
          <w:p>
            <w:pPr>
              <w:widowControl/>
              <w:adjustRightInd w:val="0"/>
              <w:rPr>
                <w:rFonts w:ascii="仿宋" w:hAnsi="仿宋" w:eastAsia="仿宋" w:cs="仿宋"/>
                <w:kern w:val="0"/>
                <w:sz w:val="24"/>
              </w:rPr>
            </w:pPr>
            <w:r>
              <w:rPr>
                <w:rFonts w:hint="eastAsia" w:ascii="仿宋" w:hAnsi="仿宋" w:eastAsia="仿宋" w:cs="仿宋"/>
                <w:b/>
                <w:sz w:val="24"/>
              </w:rPr>
              <w:t>合同名称：</w:t>
            </w:r>
            <w:r>
              <w:rPr>
                <w:rFonts w:hint="eastAsia" w:ascii="仿宋" w:hAnsi="仿宋" w:eastAsia="仿宋" w:cs="仿宋"/>
                <w:sz w:val="24"/>
              </w:rPr>
              <w:t>《</w:t>
            </w:r>
            <w:r>
              <w:rPr>
                <w:rFonts w:hint="eastAsia" w:ascii="仿宋" w:hAnsi="仿宋" w:eastAsia="仿宋" w:cs="仿宋"/>
                <w:color w:val="000000"/>
                <w:sz w:val="24"/>
              </w:rPr>
              <w:t>前进***弱电智能化采购项目</w:t>
            </w:r>
            <w:r>
              <w:rPr>
                <w:rFonts w:hint="eastAsia" w:ascii="仿宋" w:hAnsi="仿宋" w:eastAsia="仿宋" w:cs="仿宋"/>
                <w:sz w:val="24"/>
                <w:lang w:val="zh-CN"/>
              </w:rPr>
              <w:t>合同</w:t>
            </w:r>
            <w:r>
              <w:rPr>
                <w:rFonts w:hint="eastAsia" w:ascii="仿宋" w:hAnsi="仿宋" w:eastAsia="仿宋" w:cs="仿宋"/>
                <w:sz w:val="24"/>
              </w:rPr>
              <w:t>》</w:t>
            </w:r>
          </w:p>
        </w:tc>
      </w:tr>
      <w:tr>
        <w:tblPrEx>
          <w:tblLayout w:type="fixed"/>
          <w:tblCellMar>
            <w:top w:w="0" w:type="dxa"/>
            <w:left w:w="0" w:type="dxa"/>
            <w:bottom w:w="0" w:type="dxa"/>
            <w:right w:w="0" w:type="dxa"/>
          </w:tblCellMar>
        </w:tblPrEx>
        <w:trPr>
          <w:trHeight w:val="356" w:hRule="atLeast"/>
          <w:jc w:val="center"/>
        </w:trPr>
        <w:tc>
          <w:tcPr>
            <w:tcW w:w="719" w:type="dxa"/>
            <w:tcBorders>
              <w:top w:val="single" w:color="000000" w:sz="8" w:space="0"/>
              <w:left w:val="single" w:color="auto" w:sz="8" w:space="0"/>
              <w:bottom w:val="single" w:color="auto"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仿宋"/>
                <w:kern w:val="0"/>
                <w:sz w:val="24"/>
              </w:rPr>
            </w:pPr>
            <w:r>
              <w:rPr>
                <w:rFonts w:hint="eastAsia" w:ascii="仿宋" w:hAnsi="仿宋" w:eastAsia="仿宋" w:cs="仿宋"/>
                <w:kern w:val="0"/>
                <w:sz w:val="24"/>
              </w:rPr>
              <w:t>5</w:t>
            </w:r>
          </w:p>
        </w:tc>
        <w:tc>
          <w:tcPr>
            <w:tcW w:w="8625" w:type="dxa"/>
            <w:tcBorders>
              <w:top w:val="single" w:color="000000" w:sz="8" w:space="0"/>
              <w:left w:val="single" w:color="000000" w:sz="8" w:space="0"/>
              <w:bottom w:val="single" w:color="auto" w:sz="8" w:space="0"/>
              <w:right w:val="single" w:color="auto" w:sz="8" w:space="0"/>
            </w:tcBorders>
            <w:tcMar>
              <w:top w:w="0" w:type="dxa"/>
              <w:left w:w="108" w:type="dxa"/>
              <w:bottom w:w="0" w:type="dxa"/>
              <w:right w:w="108" w:type="dxa"/>
            </w:tcMar>
            <w:vAlign w:val="center"/>
          </w:tcPr>
          <w:p>
            <w:pPr>
              <w:widowControl/>
              <w:wordWrap w:val="0"/>
              <w:adjustRightInd w:val="0"/>
              <w:spacing w:line="360" w:lineRule="auto"/>
              <w:rPr>
                <w:rFonts w:ascii="仿宋" w:hAnsi="仿宋" w:eastAsia="仿宋" w:cs="仿宋"/>
                <w:kern w:val="0"/>
                <w:sz w:val="24"/>
              </w:rPr>
            </w:pPr>
            <w:r>
              <w:rPr>
                <w:rFonts w:hint="eastAsia" w:ascii="仿宋" w:hAnsi="仿宋" w:eastAsia="仿宋" w:cs="仿宋"/>
                <w:b/>
                <w:bCs/>
                <w:color w:val="auto"/>
                <w:kern w:val="0"/>
                <w:sz w:val="24"/>
              </w:rPr>
              <w:t>采购答疑：</w:t>
            </w:r>
            <w:r>
              <w:rPr>
                <w:rFonts w:hint="eastAsia" w:ascii="仿宋" w:hAnsi="仿宋" w:eastAsia="仿宋" w:cs="仿宋"/>
                <w:color w:val="auto"/>
                <w:spacing w:val="-6"/>
                <w:sz w:val="24"/>
              </w:rPr>
              <w:t>本次采购不召开集中答疑会，若有疑问请在2019年</w:t>
            </w:r>
            <w:r>
              <w:rPr>
                <w:rFonts w:hint="eastAsia" w:ascii="仿宋" w:hAnsi="仿宋" w:eastAsia="仿宋" w:cs="仿宋"/>
                <w:color w:val="auto"/>
                <w:spacing w:val="-6"/>
                <w:sz w:val="24"/>
                <w:lang w:val="en-US" w:eastAsia="zh-CN"/>
              </w:rPr>
              <w:t>10</w:t>
            </w:r>
            <w:r>
              <w:rPr>
                <w:rFonts w:hint="eastAsia" w:ascii="仿宋" w:hAnsi="仿宋" w:eastAsia="仿宋" w:cs="仿宋"/>
                <w:color w:val="auto"/>
                <w:spacing w:val="-6"/>
                <w:sz w:val="24"/>
              </w:rPr>
              <w:t>月</w:t>
            </w:r>
            <w:r>
              <w:rPr>
                <w:rFonts w:hint="eastAsia" w:ascii="仿宋" w:hAnsi="仿宋" w:eastAsia="仿宋" w:cs="仿宋"/>
                <w:color w:val="auto"/>
                <w:spacing w:val="-6"/>
                <w:sz w:val="24"/>
                <w:lang w:val="en-US" w:eastAsia="zh-CN"/>
              </w:rPr>
              <w:t>6</w:t>
            </w:r>
            <w:r>
              <w:rPr>
                <w:rFonts w:hint="eastAsia" w:ascii="仿宋" w:hAnsi="仿宋" w:eastAsia="仿宋" w:cs="仿宋"/>
                <w:color w:val="auto"/>
                <w:spacing w:val="-6"/>
                <w:sz w:val="24"/>
              </w:rPr>
              <w:t>日17时之前以书面形式递交，</w:t>
            </w:r>
            <w:r>
              <w:rPr>
                <w:color w:val="auto"/>
              </w:rPr>
              <w:fldChar w:fldCharType="begin"/>
            </w:r>
            <w:r>
              <w:rPr>
                <w:color w:val="auto"/>
              </w:rPr>
              <w:instrText xml:space="preserve"> HYPERLINK "mailto:%3F%3F%3FWORD%3F%3F%3F%3FE%3Fmail%3F501381511%40qq%2Ecom%3F%3F%3F%3F%3F2017%3F" </w:instrText>
            </w:r>
            <w:r>
              <w:rPr>
                <w:color w:val="auto"/>
              </w:rPr>
              <w:fldChar w:fldCharType="separate"/>
            </w:r>
            <w:r>
              <w:rPr>
                <w:rFonts w:hint="eastAsia" w:ascii="仿宋" w:hAnsi="仿宋" w:eastAsia="仿宋" w:cs="仿宋"/>
                <w:color w:val="auto"/>
                <w:spacing w:val="-6"/>
                <w:sz w:val="24"/>
              </w:rPr>
              <w:t>同时将</w:t>
            </w:r>
            <w:r>
              <w:rPr>
                <w:rFonts w:hint="eastAsia" w:ascii="仿宋" w:hAnsi="仿宋" w:eastAsia="仿宋" w:cs="仿宋"/>
                <w:color w:val="auto"/>
                <w:spacing w:val="-6"/>
                <w:sz w:val="24"/>
              </w:rPr>
              <w:fldChar w:fldCharType="end"/>
            </w:r>
            <w:r>
              <w:rPr>
                <w:rFonts w:hint="eastAsia" w:ascii="仿宋" w:hAnsi="仿宋" w:eastAsia="仿宋" w:cs="仿宋"/>
                <w:color w:val="auto"/>
                <w:spacing w:val="-6"/>
                <w:sz w:val="24"/>
              </w:rPr>
              <w:t>word</w:t>
            </w:r>
            <w:r>
              <w:rPr>
                <w:color w:val="auto"/>
              </w:rPr>
              <w:fldChar w:fldCharType="begin"/>
            </w:r>
            <w:r>
              <w:rPr>
                <w:color w:val="auto"/>
              </w:rPr>
              <w:instrText xml:space="preserve"> HYPERLINK "mailto:%3F%3F%3FWORD%3F%3F%3F%3FE%3Fmail%3F501381511%40qq%2Ecom%3F%3F%3F%3F%3F2017%3F" </w:instrText>
            </w:r>
            <w:r>
              <w:rPr>
                <w:color w:val="auto"/>
              </w:rPr>
              <w:fldChar w:fldCharType="separate"/>
            </w:r>
            <w:r>
              <w:rPr>
                <w:rFonts w:hint="eastAsia" w:ascii="仿宋" w:hAnsi="仿宋" w:eastAsia="仿宋" w:cs="仿宋"/>
                <w:color w:val="auto"/>
                <w:spacing w:val="-6"/>
                <w:sz w:val="24"/>
              </w:rPr>
              <w:t>版疑问发</w:t>
            </w:r>
            <w:r>
              <w:rPr>
                <w:rFonts w:hint="eastAsia" w:ascii="仿宋" w:hAnsi="仿宋" w:eastAsia="仿宋" w:cs="仿宋"/>
                <w:color w:val="auto"/>
                <w:spacing w:val="-6"/>
                <w:sz w:val="24"/>
              </w:rPr>
              <w:fldChar w:fldCharType="end"/>
            </w:r>
            <w:r>
              <w:rPr>
                <w:rFonts w:hint="eastAsia" w:ascii="仿宋" w:hAnsi="仿宋" w:eastAsia="仿宋" w:cs="仿宋"/>
                <w:color w:val="auto"/>
                <w:spacing w:val="-6"/>
                <w:sz w:val="24"/>
              </w:rPr>
              <w:t>e</w:t>
            </w:r>
            <w:r>
              <w:rPr>
                <w:color w:val="auto"/>
              </w:rPr>
              <w:fldChar w:fldCharType="begin"/>
            </w:r>
            <w:r>
              <w:rPr>
                <w:color w:val="auto"/>
              </w:rPr>
              <w:instrText xml:space="preserve"> HYPERLINK "mailto:%3F%3F%3FWORD%3F%3F%3F%3FE%3Fmail%3F501381511%40qq%2Ecom%3F%3F%3F%3F%3F2017%3F" </w:instrText>
            </w:r>
            <w:r>
              <w:rPr>
                <w:color w:val="auto"/>
              </w:rPr>
              <w:fldChar w:fldCharType="separate"/>
            </w:r>
            <w:r>
              <w:rPr>
                <w:rFonts w:hint="eastAsia" w:ascii="仿宋" w:hAnsi="仿宋" w:eastAsia="仿宋" w:cs="仿宋"/>
                <w:color w:val="auto"/>
                <w:spacing w:val="-6"/>
                <w:sz w:val="24"/>
              </w:rPr>
              <w:t>mail</w:t>
            </w:r>
            <w:r>
              <w:rPr>
                <w:rFonts w:hint="eastAsia" w:ascii="仿宋" w:hAnsi="仿宋" w:eastAsia="仿宋" w:cs="仿宋"/>
                <w:color w:val="auto"/>
                <w:spacing w:val="-6"/>
                <w:sz w:val="24"/>
              </w:rPr>
              <w:fldChar w:fldCharType="end"/>
            </w:r>
            <w:r>
              <w:rPr>
                <w:color w:val="auto"/>
              </w:rPr>
              <w:fldChar w:fldCharType="begin"/>
            </w:r>
            <w:r>
              <w:rPr>
                <w:color w:val="auto"/>
              </w:rPr>
              <w:instrText xml:space="preserve"> HYPERLINK "mailto:%3F%3F%3FWORD%3F%3F%3F%3FE%3Fmail%3F501381511%40qq%2Ecom%3F%3F%3F%3F%3F2017%3F" </w:instrText>
            </w:r>
            <w:r>
              <w:rPr>
                <w:color w:val="auto"/>
              </w:rPr>
              <w:fldChar w:fldCharType="separate"/>
            </w:r>
            <w:r>
              <w:rPr>
                <w:rFonts w:hint="eastAsia" w:ascii="仿宋" w:hAnsi="仿宋" w:eastAsia="仿宋" w:cs="仿宋"/>
                <w:color w:val="auto"/>
                <w:spacing w:val="-6"/>
                <w:sz w:val="24"/>
              </w:rPr>
              <w:t>至</w:t>
            </w:r>
            <w:r>
              <w:rPr>
                <w:rFonts w:hint="eastAsia" w:ascii="仿宋" w:hAnsi="仿宋" w:eastAsia="仿宋" w:cs="仿宋"/>
                <w:color w:val="auto"/>
                <w:spacing w:val="-6"/>
                <w:sz w:val="24"/>
              </w:rPr>
              <w:fldChar w:fldCharType="end"/>
            </w:r>
            <w:r>
              <w:rPr>
                <w:color w:val="auto"/>
              </w:rPr>
              <w:fldChar w:fldCharType="begin"/>
            </w:r>
            <w:r>
              <w:rPr>
                <w:color w:val="auto"/>
              </w:rPr>
              <w:instrText xml:space="preserve"> HYPERLINK "mailto:574581256@qq.com" </w:instrText>
            </w:r>
            <w:r>
              <w:rPr>
                <w:color w:val="auto"/>
              </w:rPr>
              <w:fldChar w:fldCharType="separate"/>
            </w:r>
            <w:r>
              <w:rPr>
                <w:rFonts w:hint="eastAsia" w:ascii="仿宋" w:hAnsi="仿宋" w:eastAsia="仿宋" w:cs="仿宋"/>
                <w:color w:val="auto"/>
                <w:spacing w:val="-6"/>
                <w:sz w:val="24"/>
              </w:rPr>
              <w:t>278732413 @qq.com</w:t>
            </w:r>
            <w:r>
              <w:rPr>
                <w:rFonts w:hint="eastAsia" w:ascii="仿宋" w:hAnsi="仿宋" w:eastAsia="仿宋" w:cs="仿宋"/>
                <w:color w:val="auto"/>
                <w:spacing w:val="-6"/>
                <w:sz w:val="24"/>
              </w:rPr>
              <w:fldChar w:fldCharType="end"/>
            </w:r>
            <w:r>
              <w:rPr>
                <w:color w:val="auto"/>
              </w:rPr>
              <w:fldChar w:fldCharType="begin"/>
            </w:r>
            <w:r>
              <w:rPr>
                <w:color w:val="auto"/>
              </w:rPr>
              <w:instrText xml:space="preserve"> HYPERLINK "mailto:%3F%3F%3FWORD%3F%3F%3F%3FE%3Fmail%3F501381511%40qq%2Ecom%3F%3F%3F%3F%3F2017%3F" </w:instrText>
            </w:r>
            <w:r>
              <w:rPr>
                <w:color w:val="auto"/>
              </w:rPr>
              <w:fldChar w:fldCharType="separate"/>
            </w:r>
            <w:r>
              <w:rPr>
                <w:rFonts w:hint="eastAsia" w:ascii="仿宋" w:hAnsi="仿宋" w:eastAsia="仿宋" w:cs="仿宋"/>
                <w:color w:val="auto"/>
                <w:spacing w:val="-6"/>
                <w:sz w:val="24"/>
              </w:rPr>
              <w:t>。</w:t>
            </w:r>
            <w:r>
              <w:rPr>
                <w:rFonts w:hint="eastAsia" w:ascii="仿宋" w:hAnsi="仿宋" w:eastAsia="仿宋" w:cs="仿宋"/>
                <w:color w:val="auto"/>
                <w:spacing w:val="-6"/>
                <w:sz w:val="24"/>
              </w:rPr>
              <w:fldChar w:fldCharType="end"/>
            </w:r>
            <w:r>
              <w:rPr>
                <w:color w:val="auto"/>
              </w:rPr>
              <w:fldChar w:fldCharType="begin"/>
            </w:r>
            <w:r>
              <w:rPr>
                <w:color w:val="auto"/>
              </w:rPr>
              <w:instrText xml:space="preserve"> HYPERLINK "mailto:%3F%3F%3FWORD%3F%3F%3F%3FE%3Fmail%3F501381511%40qq%2Ecom%3F%3F%3F%3F%3F2017%3F" </w:instrText>
            </w:r>
            <w:r>
              <w:rPr>
                <w:color w:val="auto"/>
              </w:rPr>
              <w:fldChar w:fldCharType="separate"/>
            </w:r>
            <w:r>
              <w:rPr>
                <w:rFonts w:hint="eastAsia" w:ascii="仿宋" w:hAnsi="仿宋" w:eastAsia="仿宋" w:cs="仿宋"/>
                <w:color w:val="auto"/>
                <w:spacing w:val="-6"/>
                <w:sz w:val="24"/>
              </w:rPr>
              <w:t>采购人将</w:t>
            </w:r>
            <w:r>
              <w:rPr>
                <w:rFonts w:hint="eastAsia" w:ascii="仿宋" w:hAnsi="仿宋" w:eastAsia="仿宋" w:cs="仿宋"/>
                <w:color w:val="auto"/>
                <w:spacing w:val="-6"/>
                <w:sz w:val="24"/>
              </w:rPr>
              <w:fldChar w:fldCharType="end"/>
            </w:r>
            <w:r>
              <w:rPr>
                <w:rFonts w:hint="eastAsia" w:ascii="仿宋" w:hAnsi="仿宋" w:eastAsia="仿宋" w:cs="仿宋"/>
                <w:color w:val="auto"/>
                <w:spacing w:val="-6"/>
                <w:sz w:val="24"/>
              </w:rPr>
              <w:t>在2019</w:t>
            </w:r>
            <w:r>
              <w:rPr>
                <w:color w:val="auto"/>
              </w:rPr>
              <w:fldChar w:fldCharType="begin"/>
            </w:r>
            <w:r>
              <w:rPr>
                <w:color w:val="auto"/>
              </w:rPr>
              <w:instrText xml:space="preserve"> HYPERLINK "mailto:%3F%3F%3FWORD%3F%3F%3F%3FE%3Fmail%3F501381511%40qq%2Ecom%3F%3F%3F%3F%3F2017%3F" </w:instrText>
            </w:r>
            <w:r>
              <w:rPr>
                <w:color w:val="auto"/>
              </w:rPr>
              <w:fldChar w:fldCharType="separate"/>
            </w:r>
            <w:r>
              <w:rPr>
                <w:rFonts w:hint="eastAsia" w:ascii="仿宋" w:hAnsi="仿宋" w:eastAsia="仿宋" w:cs="仿宋"/>
                <w:color w:val="auto"/>
                <w:spacing w:val="-6"/>
                <w:sz w:val="24"/>
              </w:rPr>
              <w:t>年</w:t>
            </w:r>
            <w:r>
              <w:rPr>
                <w:rFonts w:hint="eastAsia" w:ascii="仿宋" w:hAnsi="仿宋" w:eastAsia="仿宋" w:cs="仿宋"/>
                <w:color w:val="auto"/>
                <w:spacing w:val="-6"/>
                <w:sz w:val="24"/>
              </w:rPr>
              <w:fldChar w:fldCharType="end"/>
            </w:r>
            <w:r>
              <w:rPr>
                <w:rFonts w:hint="eastAsia" w:ascii="仿宋" w:hAnsi="仿宋" w:eastAsia="仿宋" w:cs="仿宋"/>
                <w:color w:val="auto"/>
                <w:spacing w:val="-6"/>
                <w:sz w:val="24"/>
                <w:lang w:val="en-US" w:eastAsia="zh-CN"/>
              </w:rPr>
              <w:t>10</w:t>
            </w:r>
            <w:r>
              <w:rPr>
                <w:rFonts w:hint="eastAsia" w:ascii="仿宋" w:hAnsi="仿宋" w:eastAsia="仿宋" w:cs="仿宋"/>
                <w:color w:val="auto"/>
                <w:spacing w:val="-6"/>
                <w:sz w:val="24"/>
              </w:rPr>
              <w:t>月</w:t>
            </w:r>
            <w:r>
              <w:rPr>
                <w:rFonts w:hint="eastAsia" w:ascii="仿宋" w:hAnsi="仿宋" w:eastAsia="仿宋" w:cs="仿宋"/>
                <w:color w:val="auto"/>
                <w:spacing w:val="-6"/>
                <w:sz w:val="24"/>
                <w:lang w:val="en-US" w:eastAsia="zh-CN"/>
              </w:rPr>
              <w:t>9</w:t>
            </w:r>
            <w:r>
              <w:rPr>
                <w:rFonts w:hint="eastAsia" w:ascii="仿宋" w:hAnsi="仿宋" w:eastAsia="仿宋" w:cs="仿宋"/>
                <w:color w:val="auto"/>
                <w:spacing w:val="-6"/>
                <w:sz w:val="24"/>
              </w:rPr>
              <w:t>日17时前对投标人疑问作出统一的解答，并以更正公告的形式，在浙江政府采购网上发布。在开标前，投标人须随时关注网站的最新更正公告信息。如投标人在开标前未关注最新更正公告信息，其所造成的一切后果由投标人自行承担。采购补充文件视为采购文件的组成部分，具有约束作用。联系人：俞工   联系电话：15258813704.</w:t>
            </w:r>
          </w:p>
        </w:tc>
      </w:tr>
      <w:tr>
        <w:tblPrEx>
          <w:tblLayout w:type="fixed"/>
          <w:tblCellMar>
            <w:top w:w="0" w:type="dxa"/>
            <w:left w:w="0" w:type="dxa"/>
            <w:bottom w:w="0" w:type="dxa"/>
            <w:right w:w="0" w:type="dxa"/>
          </w:tblCellMar>
        </w:tblPrEx>
        <w:trPr>
          <w:trHeight w:val="1205" w:hRule="atLeast"/>
          <w:jc w:val="center"/>
        </w:trPr>
        <w:tc>
          <w:tcPr>
            <w:tcW w:w="719" w:type="dxa"/>
            <w:tcBorders>
              <w:top w:val="single" w:color="000000" w:sz="8" w:space="0"/>
              <w:left w:val="single" w:color="auto" w:sz="8" w:space="0"/>
              <w:bottom w:val="single" w:color="auto"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仿宋"/>
                <w:kern w:val="0"/>
                <w:sz w:val="24"/>
              </w:rPr>
            </w:pPr>
            <w:r>
              <w:rPr>
                <w:rFonts w:hint="eastAsia" w:ascii="仿宋" w:hAnsi="仿宋" w:eastAsia="仿宋" w:cs="仿宋"/>
                <w:kern w:val="0"/>
                <w:sz w:val="24"/>
              </w:rPr>
              <w:t>7</w:t>
            </w:r>
          </w:p>
        </w:tc>
        <w:tc>
          <w:tcPr>
            <w:tcW w:w="8625" w:type="dxa"/>
            <w:tcBorders>
              <w:top w:val="single" w:color="000000" w:sz="8" w:space="0"/>
              <w:left w:val="single" w:color="000000" w:sz="8" w:space="0"/>
              <w:bottom w:val="single" w:color="auto" w:sz="8" w:space="0"/>
              <w:right w:val="single" w:color="auto" w:sz="8" w:space="0"/>
            </w:tcBorders>
            <w:tcMar>
              <w:top w:w="0" w:type="dxa"/>
              <w:left w:w="108" w:type="dxa"/>
              <w:bottom w:w="0" w:type="dxa"/>
              <w:right w:w="108" w:type="dxa"/>
            </w:tcMar>
            <w:vAlign w:val="center"/>
          </w:tcPr>
          <w:p>
            <w:pPr>
              <w:widowControl/>
              <w:adjustRightInd w:val="0"/>
              <w:spacing w:line="360" w:lineRule="auto"/>
              <w:ind w:right="62"/>
              <w:rPr>
                <w:rFonts w:ascii="仿宋" w:hAnsi="仿宋" w:eastAsia="仿宋" w:cs="仿宋"/>
                <w:color w:val="auto"/>
                <w:kern w:val="0"/>
                <w:sz w:val="24"/>
              </w:rPr>
            </w:pPr>
            <w:r>
              <w:rPr>
                <w:rFonts w:hint="eastAsia" w:ascii="仿宋" w:hAnsi="仿宋" w:eastAsia="仿宋" w:cs="仿宋"/>
                <w:b/>
                <w:color w:val="auto"/>
                <w:sz w:val="24"/>
              </w:rPr>
              <w:t>投标文件递交时间</w:t>
            </w:r>
            <w:r>
              <w:rPr>
                <w:rFonts w:hint="eastAsia" w:ascii="仿宋" w:hAnsi="仿宋" w:eastAsia="仿宋" w:cs="仿宋"/>
                <w:b/>
                <w:bCs/>
                <w:color w:val="auto"/>
                <w:kern w:val="0"/>
                <w:sz w:val="24"/>
              </w:rPr>
              <w:t>：</w:t>
            </w:r>
            <w:r>
              <w:rPr>
                <w:rFonts w:hint="eastAsia" w:ascii="仿宋" w:hAnsi="仿宋" w:eastAsia="仿宋" w:cs="仿宋"/>
                <w:color w:val="auto"/>
                <w:sz w:val="24"/>
              </w:rPr>
              <w:t>2019年</w:t>
            </w:r>
            <w:r>
              <w:rPr>
                <w:rFonts w:hint="eastAsia" w:ascii="仿宋" w:hAnsi="仿宋" w:eastAsia="仿宋" w:cs="仿宋"/>
                <w:color w:val="auto"/>
                <w:sz w:val="24"/>
                <w:lang w:val="en-US" w:eastAsia="zh-CN"/>
              </w:rPr>
              <w:t>10</w:t>
            </w:r>
            <w:r>
              <w:rPr>
                <w:rFonts w:hint="eastAsia" w:ascii="仿宋" w:hAnsi="仿宋" w:eastAsia="仿宋" w:cs="仿宋"/>
                <w:color w:val="auto"/>
                <w:sz w:val="24"/>
              </w:rPr>
              <w:t>月</w:t>
            </w:r>
            <w:r>
              <w:rPr>
                <w:rFonts w:hint="eastAsia" w:ascii="仿宋" w:hAnsi="仿宋" w:eastAsia="仿宋" w:cs="仿宋"/>
                <w:color w:val="auto"/>
                <w:sz w:val="24"/>
                <w:lang w:val="en-US" w:eastAsia="zh-CN"/>
              </w:rPr>
              <w:t>16</w:t>
            </w:r>
            <w:r>
              <w:rPr>
                <w:rFonts w:hint="eastAsia" w:ascii="仿宋" w:hAnsi="仿宋" w:eastAsia="仿宋" w:cs="仿宋"/>
                <w:color w:val="auto"/>
                <w:sz w:val="24"/>
              </w:rPr>
              <w:t>日09时</w:t>
            </w:r>
            <w:r>
              <w:rPr>
                <w:rFonts w:hint="eastAsia" w:ascii="仿宋" w:hAnsi="仿宋" w:eastAsia="仿宋" w:cs="仿宋"/>
                <w:color w:val="auto"/>
                <w:sz w:val="24"/>
                <w:lang w:val="en-US" w:eastAsia="zh-CN"/>
              </w:rPr>
              <w:t>3</w:t>
            </w:r>
            <w:r>
              <w:rPr>
                <w:rFonts w:hint="eastAsia" w:ascii="仿宋" w:hAnsi="仿宋" w:eastAsia="仿宋" w:cs="仿宋"/>
                <w:color w:val="auto"/>
                <w:sz w:val="24"/>
              </w:rPr>
              <w:t>0分至</w:t>
            </w:r>
            <w:r>
              <w:rPr>
                <w:rFonts w:hint="eastAsia" w:ascii="仿宋" w:hAnsi="仿宋" w:eastAsia="仿宋" w:cs="仿宋"/>
                <w:color w:val="auto"/>
                <w:sz w:val="24"/>
                <w:lang w:val="en-US" w:eastAsia="zh-CN"/>
              </w:rPr>
              <w:t>10</w:t>
            </w:r>
            <w:r>
              <w:rPr>
                <w:rFonts w:hint="eastAsia" w:ascii="仿宋" w:hAnsi="仿宋" w:eastAsia="仿宋" w:cs="仿宋"/>
                <w:color w:val="auto"/>
                <w:sz w:val="24"/>
              </w:rPr>
              <w:t>时</w:t>
            </w:r>
            <w:r>
              <w:rPr>
                <w:rFonts w:hint="eastAsia" w:ascii="仿宋" w:hAnsi="仿宋" w:eastAsia="仿宋" w:cs="仿宋"/>
                <w:color w:val="auto"/>
                <w:sz w:val="24"/>
                <w:lang w:val="en-US" w:eastAsia="zh-CN"/>
              </w:rPr>
              <w:t>0</w:t>
            </w:r>
            <w:r>
              <w:rPr>
                <w:rFonts w:hint="eastAsia" w:ascii="仿宋" w:hAnsi="仿宋" w:eastAsia="仿宋" w:cs="仿宋"/>
                <w:color w:val="auto"/>
                <w:sz w:val="24"/>
              </w:rPr>
              <w:t>0分止</w:t>
            </w:r>
          </w:p>
          <w:p>
            <w:pPr>
              <w:widowControl/>
              <w:adjustRightInd w:val="0"/>
              <w:spacing w:line="360" w:lineRule="auto"/>
              <w:ind w:right="62"/>
              <w:rPr>
                <w:rFonts w:ascii="仿宋" w:hAnsi="仿宋" w:eastAsia="仿宋" w:cs="仿宋"/>
                <w:color w:val="auto"/>
                <w:kern w:val="0"/>
                <w:sz w:val="24"/>
              </w:rPr>
            </w:pPr>
            <w:r>
              <w:rPr>
                <w:rFonts w:hint="eastAsia" w:ascii="仿宋" w:hAnsi="仿宋" w:eastAsia="仿宋" w:cs="仿宋"/>
                <w:color w:val="auto"/>
                <w:kern w:val="0"/>
                <w:sz w:val="24"/>
              </w:rPr>
              <w:t>递交地点：杭州钱塘新区公共资源交易中</w:t>
            </w:r>
            <w:bookmarkStart w:id="179" w:name="_GoBack"/>
            <w:bookmarkEnd w:id="179"/>
            <w:r>
              <w:rPr>
                <w:rFonts w:hint="eastAsia" w:ascii="仿宋" w:hAnsi="仿宋" w:eastAsia="仿宋" w:cs="仿宋"/>
                <w:color w:val="auto"/>
                <w:kern w:val="0"/>
                <w:sz w:val="24"/>
              </w:rPr>
              <w:t>心四楼</w:t>
            </w:r>
            <w:r>
              <w:rPr>
                <w:rFonts w:hint="eastAsia" w:ascii="仿宋" w:hAnsi="仿宋" w:eastAsia="仿宋" w:cs="仿宋"/>
                <w:color w:val="auto"/>
                <w:kern w:val="0"/>
                <w:sz w:val="24"/>
                <w:lang w:val="en-US" w:eastAsia="zh-CN"/>
              </w:rPr>
              <w:t>421</w:t>
            </w:r>
            <w:r>
              <w:rPr>
                <w:rFonts w:hint="eastAsia" w:ascii="仿宋" w:hAnsi="仿宋" w:eastAsia="仿宋" w:cs="仿宋"/>
                <w:color w:val="auto"/>
                <w:kern w:val="0"/>
                <w:sz w:val="24"/>
              </w:rPr>
              <w:t>开标室(下沙幸福南路1116号和茂大厦)</w:t>
            </w:r>
          </w:p>
        </w:tc>
      </w:tr>
      <w:tr>
        <w:tblPrEx>
          <w:tblLayout w:type="fixed"/>
          <w:tblCellMar>
            <w:top w:w="0" w:type="dxa"/>
            <w:left w:w="0" w:type="dxa"/>
            <w:bottom w:w="0" w:type="dxa"/>
            <w:right w:w="0" w:type="dxa"/>
          </w:tblCellMar>
        </w:tblPrEx>
        <w:trPr>
          <w:trHeight w:val="880" w:hRule="atLeast"/>
          <w:jc w:val="center"/>
        </w:trPr>
        <w:tc>
          <w:tcPr>
            <w:tcW w:w="719" w:type="dxa"/>
            <w:tcBorders>
              <w:top w:val="single" w:color="auto" w:sz="8" w:space="0"/>
              <w:left w:val="single" w:color="auto"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仿宋"/>
                <w:kern w:val="0"/>
                <w:sz w:val="24"/>
              </w:rPr>
            </w:pPr>
            <w:r>
              <w:rPr>
                <w:rFonts w:hint="eastAsia" w:ascii="仿宋" w:hAnsi="仿宋" w:eastAsia="仿宋" w:cs="仿宋"/>
                <w:kern w:val="0"/>
                <w:sz w:val="24"/>
              </w:rPr>
              <w:t>8</w:t>
            </w:r>
          </w:p>
        </w:tc>
        <w:tc>
          <w:tcPr>
            <w:tcW w:w="8625" w:type="dxa"/>
            <w:tcBorders>
              <w:top w:val="single" w:color="auto" w:sz="8" w:space="0"/>
              <w:left w:val="single" w:color="000000" w:sz="8" w:space="0"/>
              <w:bottom w:val="single" w:color="000000" w:sz="8" w:space="0"/>
              <w:right w:val="single" w:color="auto" w:sz="8" w:space="0"/>
            </w:tcBorders>
            <w:tcMar>
              <w:top w:w="0" w:type="dxa"/>
              <w:left w:w="108" w:type="dxa"/>
              <w:bottom w:w="0" w:type="dxa"/>
              <w:right w:w="108" w:type="dxa"/>
            </w:tcMar>
            <w:vAlign w:val="center"/>
          </w:tcPr>
          <w:p>
            <w:pPr>
              <w:widowControl/>
              <w:adjustRightInd w:val="0"/>
              <w:spacing w:line="360" w:lineRule="auto"/>
              <w:ind w:right="62"/>
              <w:rPr>
                <w:rFonts w:ascii="仿宋" w:hAnsi="仿宋" w:eastAsia="仿宋" w:cs="仿宋"/>
                <w:color w:val="auto"/>
                <w:kern w:val="0"/>
                <w:sz w:val="24"/>
              </w:rPr>
            </w:pPr>
            <w:r>
              <w:rPr>
                <w:rFonts w:hint="eastAsia" w:ascii="仿宋" w:hAnsi="仿宋" w:eastAsia="仿宋" w:cs="仿宋"/>
                <w:b/>
                <w:bCs/>
                <w:color w:val="auto"/>
                <w:kern w:val="0"/>
                <w:sz w:val="24"/>
              </w:rPr>
              <w:t>开标时间：</w:t>
            </w:r>
            <w:r>
              <w:rPr>
                <w:rFonts w:hint="eastAsia" w:ascii="仿宋" w:hAnsi="仿宋" w:eastAsia="仿宋" w:cs="仿宋"/>
                <w:color w:val="auto"/>
                <w:sz w:val="24"/>
              </w:rPr>
              <w:t>2019年</w:t>
            </w:r>
            <w:r>
              <w:rPr>
                <w:rFonts w:hint="eastAsia" w:ascii="仿宋" w:hAnsi="仿宋" w:eastAsia="仿宋" w:cs="仿宋"/>
                <w:color w:val="auto"/>
                <w:sz w:val="24"/>
                <w:lang w:val="en-US" w:eastAsia="zh-CN"/>
              </w:rPr>
              <w:t>10</w:t>
            </w:r>
            <w:r>
              <w:rPr>
                <w:rFonts w:hint="eastAsia" w:ascii="仿宋" w:hAnsi="仿宋" w:eastAsia="仿宋" w:cs="仿宋"/>
                <w:color w:val="auto"/>
                <w:sz w:val="24"/>
              </w:rPr>
              <w:t>月</w:t>
            </w:r>
            <w:r>
              <w:rPr>
                <w:rFonts w:hint="eastAsia" w:ascii="仿宋" w:hAnsi="仿宋" w:eastAsia="仿宋" w:cs="仿宋"/>
                <w:color w:val="auto"/>
                <w:sz w:val="24"/>
                <w:lang w:val="en-US" w:eastAsia="zh-CN"/>
              </w:rPr>
              <w:t>16</w:t>
            </w:r>
            <w:r>
              <w:rPr>
                <w:rFonts w:hint="eastAsia" w:ascii="仿宋" w:hAnsi="仿宋" w:eastAsia="仿宋" w:cs="仿宋"/>
                <w:color w:val="auto"/>
                <w:sz w:val="24"/>
              </w:rPr>
              <w:t>日</w:t>
            </w:r>
            <w:r>
              <w:rPr>
                <w:rFonts w:hint="eastAsia" w:ascii="仿宋" w:hAnsi="仿宋" w:eastAsia="仿宋" w:cs="仿宋"/>
                <w:color w:val="auto"/>
                <w:sz w:val="24"/>
                <w:lang w:val="en-US" w:eastAsia="zh-CN"/>
              </w:rPr>
              <w:t>10</w:t>
            </w:r>
            <w:r>
              <w:rPr>
                <w:rFonts w:hint="eastAsia" w:ascii="仿宋" w:hAnsi="仿宋" w:eastAsia="仿宋" w:cs="仿宋"/>
                <w:color w:val="auto"/>
                <w:sz w:val="24"/>
              </w:rPr>
              <w:t>时</w:t>
            </w:r>
            <w:r>
              <w:rPr>
                <w:rFonts w:hint="eastAsia" w:ascii="仿宋" w:hAnsi="仿宋" w:eastAsia="仿宋" w:cs="仿宋"/>
                <w:color w:val="auto"/>
                <w:sz w:val="24"/>
                <w:lang w:val="en-US" w:eastAsia="zh-CN"/>
              </w:rPr>
              <w:t>0</w:t>
            </w:r>
            <w:r>
              <w:rPr>
                <w:rFonts w:hint="eastAsia" w:ascii="仿宋" w:hAnsi="仿宋" w:eastAsia="仿宋" w:cs="仿宋"/>
                <w:color w:val="auto"/>
                <w:sz w:val="24"/>
              </w:rPr>
              <w:t>0分</w:t>
            </w:r>
          </w:p>
          <w:p>
            <w:pPr>
              <w:widowControl/>
              <w:adjustRightInd w:val="0"/>
              <w:spacing w:line="360" w:lineRule="auto"/>
              <w:rPr>
                <w:rFonts w:ascii="仿宋" w:hAnsi="仿宋" w:eastAsia="仿宋" w:cs="仿宋"/>
                <w:color w:val="auto"/>
                <w:kern w:val="0"/>
                <w:sz w:val="24"/>
              </w:rPr>
            </w:pPr>
            <w:r>
              <w:rPr>
                <w:rFonts w:hint="eastAsia" w:ascii="仿宋" w:hAnsi="仿宋" w:eastAsia="仿宋" w:cs="仿宋"/>
                <w:b/>
                <w:bCs/>
                <w:color w:val="auto"/>
                <w:kern w:val="0"/>
                <w:sz w:val="24"/>
              </w:rPr>
              <w:t>开标地点</w:t>
            </w:r>
            <w:r>
              <w:rPr>
                <w:rFonts w:hint="eastAsia" w:ascii="仿宋" w:hAnsi="仿宋" w:eastAsia="仿宋" w:cs="仿宋"/>
                <w:color w:val="auto"/>
                <w:kern w:val="0"/>
                <w:sz w:val="24"/>
              </w:rPr>
              <w:t>：杭州钱塘新区公共资源交易中心四楼</w:t>
            </w:r>
            <w:r>
              <w:rPr>
                <w:rFonts w:hint="eastAsia" w:ascii="仿宋" w:hAnsi="仿宋" w:eastAsia="仿宋" w:cs="仿宋"/>
                <w:color w:val="auto"/>
                <w:kern w:val="0"/>
                <w:sz w:val="24"/>
                <w:lang w:val="en-US" w:eastAsia="zh-CN"/>
              </w:rPr>
              <w:t>421</w:t>
            </w:r>
            <w:r>
              <w:rPr>
                <w:rFonts w:hint="eastAsia" w:ascii="仿宋" w:hAnsi="仿宋" w:eastAsia="仿宋" w:cs="仿宋"/>
                <w:color w:val="auto"/>
                <w:kern w:val="0"/>
                <w:sz w:val="24"/>
              </w:rPr>
              <w:t>开标室(下沙幸福南路1116号和茂大厦)</w:t>
            </w:r>
          </w:p>
        </w:tc>
      </w:tr>
      <w:tr>
        <w:tblPrEx>
          <w:tblLayout w:type="fixed"/>
          <w:tblCellMar>
            <w:top w:w="0" w:type="dxa"/>
            <w:left w:w="0" w:type="dxa"/>
            <w:bottom w:w="0" w:type="dxa"/>
            <w:right w:w="0" w:type="dxa"/>
          </w:tblCellMar>
        </w:tblPrEx>
        <w:trPr>
          <w:trHeight w:val="467" w:hRule="atLeast"/>
          <w:jc w:val="center"/>
        </w:trPr>
        <w:tc>
          <w:tcPr>
            <w:tcW w:w="719"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仿宋"/>
                <w:kern w:val="0"/>
                <w:sz w:val="24"/>
              </w:rPr>
            </w:pPr>
            <w:r>
              <w:rPr>
                <w:rFonts w:hint="eastAsia" w:ascii="仿宋" w:hAnsi="仿宋" w:eastAsia="仿宋" w:cs="仿宋"/>
                <w:kern w:val="0"/>
                <w:sz w:val="24"/>
              </w:rPr>
              <w:t>9</w:t>
            </w:r>
          </w:p>
        </w:tc>
        <w:tc>
          <w:tcPr>
            <w:tcW w:w="8625" w:type="dxa"/>
            <w:tcBorders>
              <w:top w:val="single" w:color="000000" w:sz="8" w:space="0"/>
              <w:left w:val="single" w:color="000000" w:sz="8" w:space="0"/>
              <w:bottom w:val="single" w:color="000000" w:sz="8" w:space="0"/>
              <w:right w:val="single" w:color="auto" w:sz="8" w:space="0"/>
            </w:tcBorders>
            <w:tcMar>
              <w:top w:w="0" w:type="dxa"/>
              <w:left w:w="108" w:type="dxa"/>
              <w:bottom w:w="0" w:type="dxa"/>
              <w:right w:w="108" w:type="dxa"/>
            </w:tcMar>
            <w:vAlign w:val="center"/>
          </w:tcPr>
          <w:p>
            <w:pPr>
              <w:widowControl/>
              <w:adjustRightInd w:val="0"/>
              <w:snapToGrid w:val="0"/>
              <w:rPr>
                <w:rFonts w:ascii="仿宋" w:hAnsi="仿宋" w:eastAsia="仿宋" w:cs="仿宋"/>
                <w:kern w:val="0"/>
                <w:sz w:val="24"/>
              </w:rPr>
            </w:pPr>
            <w:r>
              <w:rPr>
                <w:rFonts w:hint="eastAsia" w:ascii="仿宋" w:hAnsi="仿宋" w:eastAsia="仿宋" w:cs="仿宋"/>
                <w:b/>
                <w:bCs/>
                <w:spacing w:val="-6"/>
                <w:kern w:val="0"/>
                <w:sz w:val="24"/>
              </w:rPr>
              <w:t>投标文件组成：资格文件、报价文件、商务技术文件，正本各1份，副本各4份。</w:t>
            </w:r>
          </w:p>
        </w:tc>
      </w:tr>
      <w:tr>
        <w:tblPrEx>
          <w:tblLayout w:type="fixed"/>
          <w:tblCellMar>
            <w:top w:w="0" w:type="dxa"/>
            <w:left w:w="0" w:type="dxa"/>
            <w:bottom w:w="0" w:type="dxa"/>
            <w:right w:w="0" w:type="dxa"/>
          </w:tblCellMar>
        </w:tblPrEx>
        <w:trPr>
          <w:trHeight w:val="440" w:hRule="atLeast"/>
          <w:jc w:val="center"/>
        </w:trPr>
        <w:tc>
          <w:tcPr>
            <w:tcW w:w="719"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仿宋"/>
                <w:kern w:val="0"/>
                <w:sz w:val="24"/>
              </w:rPr>
            </w:pPr>
            <w:r>
              <w:rPr>
                <w:rFonts w:hint="eastAsia" w:ascii="仿宋" w:hAnsi="仿宋" w:eastAsia="仿宋" w:cs="仿宋"/>
                <w:kern w:val="0"/>
                <w:sz w:val="24"/>
              </w:rPr>
              <w:t>10</w:t>
            </w:r>
          </w:p>
        </w:tc>
        <w:tc>
          <w:tcPr>
            <w:tcW w:w="8625" w:type="dxa"/>
            <w:tcBorders>
              <w:top w:val="single" w:color="000000" w:sz="8" w:space="0"/>
              <w:left w:val="single" w:color="000000" w:sz="8" w:space="0"/>
              <w:bottom w:val="single" w:color="000000" w:sz="8" w:space="0"/>
              <w:right w:val="single" w:color="auto" w:sz="8" w:space="0"/>
            </w:tcBorders>
            <w:tcMar>
              <w:top w:w="0" w:type="dxa"/>
              <w:left w:w="108" w:type="dxa"/>
              <w:bottom w:w="0" w:type="dxa"/>
              <w:right w:w="108" w:type="dxa"/>
            </w:tcMar>
            <w:vAlign w:val="center"/>
          </w:tcPr>
          <w:p>
            <w:pPr>
              <w:adjustRightInd w:val="0"/>
              <w:rPr>
                <w:rFonts w:ascii="仿宋" w:hAnsi="仿宋" w:eastAsia="仿宋" w:cs="仿宋"/>
                <w:kern w:val="0"/>
                <w:sz w:val="24"/>
              </w:rPr>
            </w:pPr>
            <w:r>
              <w:rPr>
                <w:rFonts w:hint="eastAsia" w:ascii="仿宋" w:hAnsi="仿宋" w:eastAsia="仿宋" w:cs="仿宋"/>
                <w:b/>
                <w:bCs/>
                <w:kern w:val="0"/>
                <w:sz w:val="24"/>
              </w:rPr>
              <w:t>中标结果公示媒体：</w:t>
            </w:r>
            <w:r>
              <w:rPr>
                <w:rFonts w:hint="eastAsia" w:ascii="仿宋" w:hAnsi="仿宋" w:eastAsia="仿宋" w:cs="仿宋"/>
                <w:sz w:val="24"/>
              </w:rPr>
              <w:t xml:space="preserve">浙江政府采购网 </w:t>
            </w:r>
          </w:p>
        </w:tc>
      </w:tr>
      <w:tr>
        <w:tblPrEx>
          <w:tblLayout w:type="fixed"/>
          <w:tblCellMar>
            <w:top w:w="0" w:type="dxa"/>
            <w:left w:w="0" w:type="dxa"/>
            <w:bottom w:w="0" w:type="dxa"/>
            <w:right w:w="0" w:type="dxa"/>
          </w:tblCellMar>
        </w:tblPrEx>
        <w:trPr>
          <w:trHeight w:val="2019" w:hRule="atLeast"/>
          <w:jc w:val="center"/>
        </w:trPr>
        <w:tc>
          <w:tcPr>
            <w:tcW w:w="719"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仿宋"/>
                <w:kern w:val="0"/>
                <w:sz w:val="24"/>
              </w:rPr>
            </w:pPr>
            <w:r>
              <w:rPr>
                <w:rFonts w:hint="eastAsia" w:ascii="仿宋" w:hAnsi="仿宋" w:eastAsia="仿宋" w:cs="仿宋"/>
                <w:kern w:val="0"/>
                <w:sz w:val="24"/>
              </w:rPr>
              <w:t>11</w:t>
            </w:r>
          </w:p>
        </w:tc>
        <w:tc>
          <w:tcPr>
            <w:tcW w:w="8625" w:type="dxa"/>
            <w:tcBorders>
              <w:top w:val="single" w:color="000000" w:sz="8" w:space="0"/>
              <w:left w:val="single" w:color="000000" w:sz="8" w:space="0"/>
              <w:bottom w:val="single" w:color="000000" w:sz="8" w:space="0"/>
              <w:right w:val="single" w:color="auto" w:sz="8" w:space="0"/>
            </w:tcBorders>
            <w:tcMar>
              <w:top w:w="0" w:type="dxa"/>
              <w:left w:w="108" w:type="dxa"/>
              <w:bottom w:w="0" w:type="dxa"/>
              <w:right w:w="108" w:type="dxa"/>
            </w:tcMar>
          </w:tcPr>
          <w:p>
            <w:pPr>
              <w:snapToGrid w:val="0"/>
              <w:rPr>
                <w:rFonts w:ascii="仿宋" w:hAnsi="仿宋" w:eastAsia="仿宋" w:cs="仿宋"/>
                <w:b/>
                <w:bCs/>
                <w:sz w:val="24"/>
              </w:rPr>
            </w:pPr>
            <w:r>
              <w:rPr>
                <w:rFonts w:hint="eastAsia" w:ascii="仿宋" w:hAnsi="仿宋" w:eastAsia="仿宋" w:cs="仿宋"/>
                <w:b/>
                <w:bCs/>
                <w:sz w:val="24"/>
              </w:rPr>
              <w:t>节能环保要求：</w:t>
            </w:r>
          </w:p>
          <w:p>
            <w:pPr>
              <w:snapToGrid w:val="0"/>
              <w:spacing w:line="360" w:lineRule="auto"/>
              <w:jc w:val="left"/>
              <w:rPr>
                <w:rFonts w:ascii="仿宋" w:hAnsi="仿宋" w:eastAsia="仿宋" w:cs="仿宋"/>
                <w:spacing w:val="-6"/>
                <w:sz w:val="24"/>
              </w:rPr>
            </w:pPr>
            <w:r>
              <w:rPr>
                <w:rFonts w:hint="eastAsia" w:ascii="仿宋" w:hAnsi="仿宋" w:eastAsia="仿宋" w:cs="仿宋"/>
                <w:sz w:val="24"/>
                <w:szCs w:val="21"/>
              </w:rPr>
              <w:t>（</w:t>
            </w:r>
            <w:r>
              <w:rPr>
                <w:rFonts w:hint="eastAsia" w:ascii="仿宋" w:hAnsi="仿宋" w:eastAsia="仿宋" w:cs="仿宋"/>
                <w:spacing w:val="-6"/>
                <w:sz w:val="24"/>
              </w:rPr>
              <w:t>1）招标文件中投标产品根据</w:t>
            </w:r>
            <w:r>
              <w:rPr>
                <w:rFonts w:ascii="仿宋" w:hAnsi="仿宋" w:eastAsia="仿宋" w:cs="仿宋"/>
                <w:spacing w:val="-6"/>
                <w:sz w:val="24"/>
              </w:rPr>
              <w:t>财政部分别与发展改革委、生态环境部联合出台《节能产品政府采购品目清单》和《环境标志产品政府采购品目清单》</w:t>
            </w:r>
            <w:r>
              <w:rPr>
                <w:rFonts w:hint="eastAsia" w:ascii="仿宋" w:hAnsi="仿宋" w:eastAsia="仿宋" w:cs="仿宋"/>
                <w:spacing w:val="-6"/>
                <w:sz w:val="24"/>
              </w:rPr>
              <w:t>中有强制性采购要求的产品须提供品目清单证明，否则投标无效。</w:t>
            </w:r>
          </w:p>
          <w:p>
            <w:pPr>
              <w:snapToGrid w:val="0"/>
              <w:spacing w:line="360" w:lineRule="auto"/>
              <w:jc w:val="left"/>
              <w:rPr>
                <w:rFonts w:ascii="仿宋" w:hAnsi="仿宋" w:eastAsia="仿宋" w:cs="仿宋"/>
                <w:sz w:val="24"/>
                <w:szCs w:val="21"/>
              </w:rPr>
            </w:pPr>
            <w:r>
              <w:rPr>
                <w:rFonts w:hint="eastAsia" w:ascii="仿宋" w:hAnsi="仿宋" w:eastAsia="仿宋" w:cs="仿宋"/>
                <w:spacing w:val="-6"/>
                <w:sz w:val="24"/>
              </w:rPr>
              <w:t>注：施行优先采购的产品按照优先采购执行。</w:t>
            </w:r>
          </w:p>
        </w:tc>
      </w:tr>
      <w:tr>
        <w:tblPrEx>
          <w:tblLayout w:type="fixed"/>
          <w:tblCellMar>
            <w:top w:w="0" w:type="dxa"/>
            <w:left w:w="0" w:type="dxa"/>
            <w:bottom w:w="0" w:type="dxa"/>
            <w:right w:w="0" w:type="dxa"/>
          </w:tblCellMar>
        </w:tblPrEx>
        <w:trPr>
          <w:trHeight w:val="601" w:hRule="atLeast"/>
          <w:jc w:val="center"/>
        </w:trPr>
        <w:tc>
          <w:tcPr>
            <w:tcW w:w="719"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仿宋"/>
                <w:kern w:val="0"/>
                <w:sz w:val="24"/>
              </w:rPr>
            </w:pPr>
            <w:r>
              <w:rPr>
                <w:rFonts w:hint="eastAsia" w:ascii="仿宋" w:hAnsi="仿宋" w:eastAsia="仿宋" w:cs="仿宋"/>
                <w:kern w:val="0"/>
                <w:sz w:val="24"/>
              </w:rPr>
              <w:t>12</w:t>
            </w:r>
          </w:p>
        </w:tc>
        <w:tc>
          <w:tcPr>
            <w:tcW w:w="8625" w:type="dxa"/>
            <w:tcBorders>
              <w:top w:val="single" w:color="000000" w:sz="8" w:space="0"/>
              <w:left w:val="single" w:color="000000" w:sz="8" w:space="0"/>
              <w:bottom w:val="single" w:color="000000" w:sz="8" w:space="0"/>
              <w:right w:val="single" w:color="auto" w:sz="8" w:space="0"/>
            </w:tcBorders>
            <w:tcMar>
              <w:top w:w="0" w:type="dxa"/>
              <w:left w:w="108" w:type="dxa"/>
              <w:bottom w:w="0" w:type="dxa"/>
              <w:right w:w="108" w:type="dxa"/>
            </w:tcMar>
            <w:vAlign w:val="center"/>
          </w:tcPr>
          <w:p>
            <w:pPr>
              <w:snapToGrid w:val="0"/>
              <w:rPr>
                <w:rFonts w:ascii="仿宋" w:hAnsi="仿宋" w:eastAsia="仿宋" w:cs="仿宋"/>
                <w:b/>
                <w:sz w:val="24"/>
              </w:rPr>
            </w:pPr>
            <w:r>
              <w:rPr>
                <w:rFonts w:hint="eastAsia" w:ascii="仿宋" w:hAnsi="仿宋" w:eastAsia="仿宋" w:cs="仿宋"/>
                <w:b/>
                <w:sz w:val="24"/>
              </w:rPr>
              <w:t>支持中小企业</w:t>
            </w:r>
          </w:p>
          <w:p>
            <w:pPr>
              <w:snapToGrid w:val="0"/>
              <w:spacing w:line="360" w:lineRule="auto"/>
              <w:rPr>
                <w:rFonts w:ascii="仿宋" w:hAnsi="仿宋" w:eastAsia="仿宋" w:cs="仿宋"/>
                <w:sz w:val="24"/>
              </w:rPr>
            </w:pPr>
            <w:r>
              <w:rPr>
                <w:rFonts w:hint="eastAsia" w:ascii="仿宋" w:hAnsi="仿宋" w:eastAsia="仿宋" w:cs="仿宋"/>
                <w:b/>
                <w:sz w:val="24"/>
              </w:rPr>
              <w:t>价格扣除</w:t>
            </w:r>
            <w:r>
              <w:rPr>
                <w:rFonts w:hint="eastAsia" w:ascii="仿宋" w:hAnsi="仿宋" w:eastAsia="仿宋" w:cs="仿宋"/>
                <w:sz w:val="24"/>
              </w:rPr>
              <w:t>：根据工信部等部委发布的《关于印发中小企业划型标准规定的通知》（工信部联企业〔2011〕300号），根据具体品目确定相应标准。符合上述条件的中小微型企业应按照采购文件附件1的格式要求提供《中小企业声明函》，《中小企业资格确认意见书》（或者投标截止时间前7日内“国家企业信用信息公示系统—小微企业名录”页面查询结果）。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根据财政部发布的《政府采购促进中小企业发展暂行办法》规定，对于非专门面向此类企业的项目，对小型和微型企业产品的投标价格给予6 %的扣除，用扣除后的价格参与评审。</w:t>
            </w:r>
          </w:p>
          <w:p>
            <w:pPr>
              <w:snapToGrid w:val="0"/>
              <w:spacing w:line="360" w:lineRule="auto"/>
              <w:ind w:firstLine="456" w:firstLineChars="200"/>
              <w:jc w:val="left"/>
              <w:rPr>
                <w:rFonts w:ascii="仿宋" w:hAnsi="仿宋" w:eastAsia="仿宋" w:cs="仿宋"/>
                <w:szCs w:val="21"/>
              </w:rPr>
            </w:pPr>
            <w:r>
              <w:rPr>
                <w:rFonts w:hint="eastAsia" w:ascii="仿宋" w:hAnsi="仿宋" w:eastAsia="仿宋" w:cs="仿宋"/>
                <w:spacing w:val="-6"/>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tc>
      </w:tr>
      <w:tr>
        <w:tblPrEx>
          <w:tblLayout w:type="fixed"/>
          <w:tblCellMar>
            <w:top w:w="0" w:type="dxa"/>
            <w:left w:w="0" w:type="dxa"/>
            <w:bottom w:w="0" w:type="dxa"/>
            <w:right w:w="0" w:type="dxa"/>
          </w:tblCellMar>
        </w:tblPrEx>
        <w:trPr>
          <w:trHeight w:val="435" w:hRule="atLeast"/>
          <w:jc w:val="center"/>
        </w:trPr>
        <w:tc>
          <w:tcPr>
            <w:tcW w:w="719"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仿宋"/>
                <w:kern w:val="0"/>
                <w:sz w:val="24"/>
              </w:rPr>
            </w:pPr>
            <w:r>
              <w:rPr>
                <w:rFonts w:hint="eastAsia" w:ascii="仿宋" w:hAnsi="仿宋" w:eastAsia="仿宋" w:cs="仿宋"/>
                <w:kern w:val="0"/>
                <w:sz w:val="24"/>
              </w:rPr>
              <w:t>13</w:t>
            </w:r>
          </w:p>
        </w:tc>
        <w:tc>
          <w:tcPr>
            <w:tcW w:w="8625" w:type="dxa"/>
            <w:tcBorders>
              <w:top w:val="single" w:color="000000" w:sz="8" w:space="0"/>
              <w:left w:val="single" w:color="000000" w:sz="8" w:space="0"/>
              <w:bottom w:val="single" w:color="000000" w:sz="8" w:space="0"/>
              <w:right w:val="single" w:color="auto" w:sz="8" w:space="0"/>
            </w:tcBorders>
            <w:tcMar>
              <w:top w:w="0" w:type="dxa"/>
              <w:left w:w="108" w:type="dxa"/>
              <w:bottom w:w="0" w:type="dxa"/>
              <w:right w:w="108" w:type="dxa"/>
            </w:tcMar>
            <w:vAlign w:val="center"/>
          </w:tcPr>
          <w:p>
            <w:pPr>
              <w:pStyle w:val="27"/>
              <w:wordWrap w:val="0"/>
              <w:spacing w:after="0" w:line="360" w:lineRule="auto"/>
              <w:ind w:firstLine="0"/>
              <w:rPr>
                <w:rFonts w:hint="default" w:ascii="仿宋" w:hAnsi="仿宋" w:eastAsia="仿宋" w:cs="仿宋"/>
                <w:color w:val="auto"/>
                <w:szCs w:val="21"/>
              </w:rPr>
            </w:pPr>
            <w:r>
              <w:rPr>
                <w:rFonts w:ascii="仿宋" w:hAnsi="仿宋" w:eastAsia="仿宋" w:cs="仿宋"/>
                <w:b/>
                <w:color w:val="auto"/>
                <w:spacing w:val="-6"/>
              </w:rPr>
              <w:t>企业信用融资：</w:t>
            </w:r>
            <w:r>
              <w:rPr>
                <w:rFonts w:ascii="仿宋" w:hAnsi="仿宋" w:eastAsia="仿宋" w:cs="仿宋"/>
                <w:spacing w:val="-6"/>
                <w:kern w:val="2"/>
              </w:rPr>
              <w:t>为支持和促进中小企业发展，进一步发挥政府采购政策功能，杭州市财政局与省银监局、市金融办、市经信委共同出台了《杭州市政府采购支持中小企业信用融资暂行办法》，供应商若有融资意向，详见本采购文件尾页《政府采购支持中小企业信用融资相关事项通知》，或登陆杭州市政府采购网（http://cg.hzft.gov.cn）“中小企业信用融资”专栏，查看信用融资政策文件及各相关银行服务方案</w:t>
            </w:r>
            <w:r>
              <w:rPr>
                <w:rFonts w:ascii="仿宋" w:hAnsi="仿宋" w:eastAsia="仿宋" w:cs="仿宋"/>
                <w:color w:val="auto"/>
                <w:spacing w:val="-6"/>
              </w:rPr>
              <w:t>。</w:t>
            </w:r>
          </w:p>
        </w:tc>
      </w:tr>
      <w:tr>
        <w:tblPrEx>
          <w:tblLayout w:type="fixed"/>
          <w:tblCellMar>
            <w:top w:w="0" w:type="dxa"/>
            <w:left w:w="0" w:type="dxa"/>
            <w:bottom w:w="0" w:type="dxa"/>
            <w:right w:w="0" w:type="dxa"/>
          </w:tblCellMar>
        </w:tblPrEx>
        <w:trPr>
          <w:trHeight w:val="435" w:hRule="atLeast"/>
          <w:jc w:val="center"/>
        </w:trPr>
        <w:tc>
          <w:tcPr>
            <w:tcW w:w="719"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仿宋"/>
                <w:kern w:val="0"/>
                <w:sz w:val="24"/>
              </w:rPr>
            </w:pPr>
            <w:r>
              <w:rPr>
                <w:rFonts w:hint="eastAsia" w:ascii="仿宋" w:hAnsi="仿宋" w:eastAsia="仿宋" w:cs="仿宋"/>
                <w:kern w:val="0"/>
                <w:sz w:val="24"/>
              </w:rPr>
              <w:t>14</w:t>
            </w:r>
          </w:p>
        </w:tc>
        <w:tc>
          <w:tcPr>
            <w:tcW w:w="8625" w:type="dxa"/>
            <w:tcBorders>
              <w:top w:val="single" w:color="000000" w:sz="8" w:space="0"/>
              <w:left w:val="single" w:color="000000" w:sz="8" w:space="0"/>
              <w:bottom w:val="single" w:color="000000" w:sz="8" w:space="0"/>
              <w:right w:val="single" w:color="auto" w:sz="8" w:space="0"/>
            </w:tcBorders>
            <w:tcMar>
              <w:top w:w="0" w:type="dxa"/>
              <w:left w:w="108" w:type="dxa"/>
              <w:bottom w:w="0" w:type="dxa"/>
              <w:right w:w="108" w:type="dxa"/>
            </w:tcMar>
            <w:vAlign w:val="center"/>
          </w:tcPr>
          <w:p>
            <w:pPr>
              <w:pStyle w:val="27"/>
              <w:spacing w:after="0"/>
              <w:ind w:firstLine="0"/>
              <w:jc w:val="left"/>
              <w:rPr>
                <w:rFonts w:hint="default" w:ascii="仿宋" w:hAnsi="仿宋" w:eastAsia="仿宋" w:cs="仿宋"/>
                <w:b/>
                <w:color w:val="auto"/>
              </w:rPr>
            </w:pPr>
            <w:r>
              <w:rPr>
                <w:rFonts w:ascii="仿宋" w:hAnsi="仿宋" w:eastAsia="仿宋" w:cs="仿宋"/>
                <w:b/>
                <w:color w:val="auto"/>
              </w:rPr>
              <w:t>投标人信用信息事项：</w:t>
            </w:r>
          </w:p>
          <w:p>
            <w:pPr>
              <w:pStyle w:val="27"/>
              <w:spacing w:after="0" w:line="360" w:lineRule="auto"/>
              <w:ind w:firstLine="0"/>
              <w:rPr>
                <w:rFonts w:hint="default" w:ascii="仿宋" w:hAnsi="仿宋" w:eastAsia="仿宋" w:cs="仿宋"/>
                <w:spacing w:val="-6"/>
              </w:rPr>
            </w:pPr>
            <w:r>
              <w:rPr>
                <w:rFonts w:ascii="仿宋" w:hAnsi="仿宋" w:eastAsia="仿宋" w:cs="仿宋"/>
                <w:b/>
                <w:spacing w:val="-6"/>
              </w:rPr>
              <w:t>(1)信用信息查询渠道及截止时间：</w:t>
            </w:r>
            <w:r>
              <w:rPr>
                <w:rFonts w:ascii="仿宋" w:hAnsi="仿宋" w:eastAsia="仿宋" w:cs="仿宋"/>
                <w:b/>
                <w:bCs/>
                <w:spacing w:val="-6"/>
              </w:rPr>
              <w:t>项目评审组织人员</w:t>
            </w:r>
            <w:r>
              <w:rPr>
                <w:rFonts w:ascii="仿宋" w:hAnsi="仿宋" w:eastAsia="仿宋" w:cs="仿宋"/>
                <w:spacing w:val="-6"/>
              </w:rPr>
              <w:t>将通过“信用中国”网站(www.creditchina.gov.cn)、中国政府采购网(www.ccgp.gov.cn)渠道查询投标人</w:t>
            </w:r>
            <w:r>
              <w:rPr>
                <w:rFonts w:ascii="仿宋" w:hAnsi="仿宋" w:eastAsia="仿宋" w:cs="仿宋"/>
                <w:b/>
                <w:spacing w:val="-6"/>
              </w:rPr>
              <w:t>投标截止时间前</w:t>
            </w:r>
            <w:r>
              <w:rPr>
                <w:rFonts w:ascii="仿宋" w:hAnsi="仿宋" w:eastAsia="仿宋" w:cs="仿宋"/>
                <w:spacing w:val="-6"/>
              </w:rPr>
              <w:t>的信用记录。</w:t>
            </w:r>
          </w:p>
          <w:p>
            <w:pPr>
              <w:adjustRightInd w:val="0"/>
              <w:snapToGrid w:val="0"/>
              <w:spacing w:line="360" w:lineRule="auto"/>
              <w:rPr>
                <w:rFonts w:ascii="仿宋" w:hAnsi="仿宋" w:eastAsia="仿宋" w:cs="仿宋"/>
                <w:color w:val="000000"/>
                <w:spacing w:val="-6"/>
                <w:sz w:val="24"/>
              </w:rPr>
            </w:pPr>
            <w:r>
              <w:rPr>
                <w:rFonts w:hint="eastAsia" w:ascii="仿宋" w:hAnsi="仿宋" w:eastAsia="仿宋" w:cs="仿宋"/>
                <w:b/>
                <w:bCs/>
                <w:color w:val="000000"/>
                <w:spacing w:val="-6"/>
                <w:kern w:val="0"/>
                <w:sz w:val="24"/>
              </w:rPr>
              <w:t>(2)截止时点：</w:t>
            </w:r>
            <w:r>
              <w:rPr>
                <w:rFonts w:hint="eastAsia" w:ascii="仿宋" w:hAnsi="仿宋" w:eastAsia="仿宋" w:cs="仿宋"/>
                <w:color w:val="000000"/>
                <w:spacing w:val="-6"/>
                <w:kern w:val="0"/>
                <w:sz w:val="24"/>
              </w:rPr>
              <w:t>提交投标文件（响应文件）截止时间前3年内。</w:t>
            </w:r>
          </w:p>
          <w:p>
            <w:pPr>
              <w:pStyle w:val="27"/>
              <w:spacing w:after="0" w:line="360" w:lineRule="auto"/>
              <w:ind w:firstLine="0"/>
              <w:rPr>
                <w:rFonts w:hint="default" w:ascii="仿宋" w:hAnsi="仿宋" w:eastAsia="仿宋" w:cs="仿宋"/>
                <w:spacing w:val="-6"/>
              </w:rPr>
            </w:pPr>
            <w:r>
              <w:rPr>
                <w:rFonts w:ascii="仿宋" w:hAnsi="仿宋" w:eastAsia="仿宋" w:cs="仿宋"/>
                <w:b/>
                <w:spacing w:val="-6"/>
              </w:rPr>
              <w:t>(3)信用信息查询记录和证据留存的具体方式：</w:t>
            </w:r>
            <w:r>
              <w:rPr>
                <w:rFonts w:ascii="仿宋" w:hAnsi="仿宋" w:eastAsia="仿宋" w:cs="仿宋"/>
                <w:spacing w:val="-6"/>
              </w:rPr>
              <w:t>项目评审组织人员现场查询投标人的信用记录，查询结果经确认后与采购文件一起存档。</w:t>
            </w:r>
          </w:p>
          <w:p>
            <w:pPr>
              <w:pStyle w:val="27"/>
              <w:spacing w:after="0" w:line="360" w:lineRule="auto"/>
              <w:ind w:firstLine="0"/>
              <w:rPr>
                <w:rFonts w:hint="default" w:ascii="仿宋" w:hAnsi="仿宋" w:eastAsia="仿宋" w:cs="仿宋"/>
                <w:spacing w:val="-6"/>
              </w:rPr>
            </w:pPr>
            <w:r>
              <w:rPr>
                <w:rFonts w:ascii="仿宋" w:hAnsi="仿宋" w:eastAsia="仿宋" w:cs="仿宋"/>
                <w:b/>
                <w:spacing w:val="-6"/>
              </w:rPr>
              <w:t>(4)信用信息的使用规则：</w:t>
            </w:r>
            <w:r>
              <w:rPr>
                <w:rFonts w:ascii="仿宋" w:hAnsi="仿宋" w:eastAsia="仿宋" w:cs="仿宋"/>
                <w:spacing w:val="-6"/>
              </w:rPr>
              <w:t>经查询列入失信被执行人名单、重大税收违法案件当事人名单、政府采购严重违法失信行为记录名单的投标人的投标文件将做无效标处理。</w:t>
            </w:r>
          </w:p>
          <w:p>
            <w:pPr>
              <w:pStyle w:val="27"/>
              <w:spacing w:after="0" w:line="360" w:lineRule="auto"/>
              <w:ind w:firstLine="0"/>
              <w:rPr>
                <w:rFonts w:hint="default" w:ascii="仿宋" w:hAnsi="仿宋" w:eastAsia="仿宋" w:cs="仿宋"/>
              </w:rPr>
            </w:pPr>
            <w:r>
              <w:rPr>
                <w:rFonts w:ascii="仿宋" w:hAnsi="仿宋" w:eastAsia="仿宋" w:cs="仿宋"/>
                <w:b/>
                <w:bCs/>
                <w:spacing w:val="-6"/>
              </w:rPr>
              <w:t>(5)</w:t>
            </w:r>
            <w:r>
              <w:rPr>
                <w:rFonts w:ascii="仿宋" w:hAnsi="仿宋" w:eastAsia="仿宋" w:cs="仿宋"/>
                <w:spacing w:val="-6"/>
              </w:rPr>
              <w:t>联合体成员任意一方存在不良信用记录的，视同联合体存在不良信用记录。</w:t>
            </w:r>
          </w:p>
        </w:tc>
      </w:tr>
      <w:tr>
        <w:tblPrEx>
          <w:tblLayout w:type="fixed"/>
          <w:tblCellMar>
            <w:top w:w="0" w:type="dxa"/>
            <w:left w:w="0" w:type="dxa"/>
            <w:bottom w:w="0" w:type="dxa"/>
            <w:right w:w="0" w:type="dxa"/>
          </w:tblCellMar>
        </w:tblPrEx>
        <w:trPr>
          <w:trHeight w:val="435" w:hRule="atLeast"/>
          <w:jc w:val="center"/>
        </w:trPr>
        <w:tc>
          <w:tcPr>
            <w:tcW w:w="719"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仿宋"/>
                <w:kern w:val="0"/>
                <w:sz w:val="24"/>
              </w:rPr>
            </w:pPr>
            <w:r>
              <w:rPr>
                <w:rFonts w:hint="eastAsia" w:ascii="仿宋" w:hAnsi="仿宋" w:eastAsia="仿宋" w:cs="仿宋"/>
                <w:kern w:val="0"/>
                <w:sz w:val="24"/>
              </w:rPr>
              <w:t>16</w:t>
            </w:r>
          </w:p>
        </w:tc>
        <w:tc>
          <w:tcPr>
            <w:tcW w:w="8625" w:type="dxa"/>
            <w:tcBorders>
              <w:top w:val="single" w:color="000000" w:sz="8" w:space="0"/>
              <w:left w:val="single" w:color="000000" w:sz="8" w:space="0"/>
              <w:bottom w:val="single" w:color="000000" w:sz="8" w:space="0"/>
              <w:right w:val="single" w:color="auto" w:sz="8" w:space="0"/>
            </w:tcBorders>
            <w:tcMar>
              <w:top w:w="0" w:type="dxa"/>
              <w:left w:w="108" w:type="dxa"/>
              <w:bottom w:w="0" w:type="dxa"/>
              <w:right w:w="108" w:type="dxa"/>
            </w:tcMar>
            <w:vAlign w:val="center"/>
          </w:tcPr>
          <w:p>
            <w:pPr>
              <w:pStyle w:val="27"/>
              <w:spacing w:after="0" w:line="360" w:lineRule="auto"/>
              <w:ind w:firstLine="0"/>
              <w:rPr>
                <w:rFonts w:hint="default" w:ascii="仿宋" w:hAnsi="仿宋" w:eastAsia="仿宋" w:cs="仿宋"/>
                <w:b/>
                <w:bCs/>
                <w:color w:val="auto"/>
              </w:rPr>
            </w:pPr>
            <w:r>
              <w:rPr>
                <w:rFonts w:ascii="仿宋" w:hAnsi="仿宋" w:eastAsia="仿宋" w:cs="仿宋"/>
                <w:b/>
                <w:bCs/>
                <w:color w:val="auto"/>
              </w:rPr>
              <w:t>采购代理服务费以中标价为基数按国家计委【计价格[2011]534号】文件规定标准的73.6%计取。不足2000元按2000元计取。中标人应在接到中标通知书后两个工作日内向采购代理机构支付采购代理服务费。采购代理服务费须包含在投标报价中，并以人民币方式支付。</w:t>
            </w:r>
          </w:p>
          <w:p>
            <w:pPr>
              <w:pStyle w:val="27"/>
              <w:spacing w:after="0" w:line="360" w:lineRule="auto"/>
              <w:ind w:firstLine="0"/>
              <w:rPr>
                <w:rFonts w:hint="default" w:ascii="仿宋" w:hAnsi="仿宋" w:eastAsia="仿宋" w:cs="仿宋"/>
                <w:color w:val="auto"/>
              </w:rPr>
            </w:pPr>
            <w:r>
              <w:rPr>
                <w:rFonts w:ascii="仿宋" w:hAnsi="仿宋" w:eastAsia="仿宋" w:cs="仿宋"/>
                <w:b/>
                <w:bCs/>
                <w:color w:val="auto"/>
              </w:rPr>
              <w:t>特别需要注意事项：</w:t>
            </w:r>
            <w:r>
              <w:rPr>
                <w:rFonts w:ascii="仿宋" w:hAnsi="仿宋" w:eastAsia="仿宋" w:cs="仿宋"/>
                <w:color w:val="auto"/>
              </w:rPr>
              <w:t>采购文件中标注“★”处（如果有）为不允许负偏离的实质性要求和条件。</w:t>
            </w:r>
          </w:p>
        </w:tc>
      </w:tr>
    </w:tbl>
    <w:p>
      <w:pPr>
        <w:rPr>
          <w:rFonts w:ascii="仿宋" w:hAnsi="仿宋" w:eastAsia="仿宋" w:cs="仿宋"/>
          <w:b/>
          <w:sz w:val="32"/>
          <w:szCs w:val="32"/>
        </w:rPr>
      </w:pPr>
      <w:bookmarkStart w:id="34" w:name="_Toc4986"/>
      <w:r>
        <w:rPr>
          <w:rFonts w:hint="eastAsia" w:ascii="仿宋" w:hAnsi="仿宋" w:eastAsia="仿宋" w:cs="仿宋"/>
          <w:b/>
          <w:sz w:val="32"/>
          <w:szCs w:val="32"/>
        </w:rPr>
        <w:br w:type="page"/>
      </w:r>
    </w:p>
    <w:p>
      <w:pPr>
        <w:numPr>
          <w:ilvl w:val="1"/>
          <w:numId w:val="2"/>
        </w:numPr>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总则</w:t>
      </w:r>
      <w:bookmarkEnd w:id="34"/>
    </w:p>
    <w:p>
      <w:pPr>
        <w:numPr>
          <w:ilvl w:val="2"/>
          <w:numId w:val="2"/>
        </w:numPr>
        <w:spacing w:line="360" w:lineRule="auto"/>
        <w:ind w:firstLine="482" w:firstLineChars="200"/>
        <w:outlineLvl w:val="0"/>
        <w:rPr>
          <w:rFonts w:ascii="仿宋" w:hAnsi="仿宋" w:eastAsia="仿宋" w:cs="仿宋"/>
          <w:b/>
          <w:sz w:val="24"/>
        </w:rPr>
      </w:pPr>
      <w:bookmarkStart w:id="35" w:name="_Toc12498"/>
      <w:bookmarkStart w:id="36" w:name="_Toc14415"/>
      <w:r>
        <w:rPr>
          <w:rFonts w:hint="eastAsia" w:ascii="仿宋" w:hAnsi="仿宋" w:eastAsia="仿宋" w:cs="仿宋"/>
          <w:b/>
          <w:sz w:val="24"/>
        </w:rPr>
        <w:t>项目说明</w:t>
      </w:r>
      <w:bookmarkEnd w:id="35"/>
      <w:bookmarkEnd w:id="36"/>
    </w:p>
    <w:p>
      <w:pPr>
        <w:widowControl/>
        <w:numPr>
          <w:ilvl w:val="1"/>
          <w:numId w:val="3"/>
        </w:numPr>
        <w:spacing w:line="360" w:lineRule="auto"/>
        <w:ind w:firstLine="480" w:firstLineChars="200"/>
        <w:rPr>
          <w:rFonts w:ascii="仿宋" w:hAnsi="仿宋" w:eastAsia="仿宋" w:cs="仿宋"/>
          <w:sz w:val="24"/>
        </w:rPr>
      </w:pPr>
      <w:r>
        <w:rPr>
          <w:rFonts w:hint="eastAsia" w:ascii="仿宋" w:hAnsi="仿宋" w:eastAsia="仿宋" w:cs="仿宋"/>
          <w:color w:val="000000"/>
          <w:kern w:val="0"/>
          <w:sz w:val="24"/>
        </w:rPr>
        <w:t>项目说明见第一部分采购公告和投标人须知前附表。</w:t>
      </w:r>
      <w:bookmarkStart w:id="37" w:name="_Toc91899873"/>
      <w:bookmarkEnd w:id="37"/>
    </w:p>
    <w:p>
      <w:pPr>
        <w:widowControl/>
        <w:numPr>
          <w:ilvl w:val="1"/>
          <w:numId w:val="3"/>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投标人一旦参与本次采购活动，即被视为接受了本采购文件的所有内容，如有任何异议，均已在法定时间内提出。</w:t>
      </w:r>
    </w:p>
    <w:p>
      <w:pPr>
        <w:widowControl/>
        <w:numPr>
          <w:ilvl w:val="1"/>
          <w:numId w:val="3"/>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仿宋" w:hAnsi="仿宋" w:eastAsia="仿宋" w:cs="仿宋"/>
          <w:color w:val="000000"/>
          <w:kern w:val="0"/>
          <w:sz w:val="24"/>
          <w:lang w:val="zh-CN"/>
        </w:rPr>
        <w:t>供应商</w:t>
      </w:r>
      <w:r>
        <w:rPr>
          <w:rFonts w:hint="eastAsia" w:ascii="仿宋" w:hAnsi="仿宋" w:eastAsia="仿宋" w:cs="仿宋"/>
          <w:color w:val="000000"/>
          <w:kern w:val="0"/>
          <w:sz w:val="24"/>
        </w:rPr>
        <w:t>应承担相应后果，</w:t>
      </w:r>
      <w:r>
        <w:rPr>
          <w:rFonts w:hint="eastAsia" w:ascii="仿宋" w:hAnsi="仿宋" w:eastAsia="仿宋" w:cs="仿宋"/>
          <w:color w:val="000000"/>
          <w:kern w:val="0"/>
          <w:sz w:val="24"/>
          <w:lang w:val="zh-CN"/>
        </w:rPr>
        <w:t>并负责赔偿。</w:t>
      </w:r>
      <w:r>
        <w:rPr>
          <w:rFonts w:hint="eastAsia" w:ascii="仿宋" w:hAnsi="仿宋" w:eastAsia="仿宋" w:cs="仿宋"/>
          <w:color w:val="000000"/>
          <w:kern w:val="0"/>
          <w:sz w:val="24"/>
        </w:rPr>
        <w:t>供应商为执行本项目合同而提供的技术资料等归采购人所有。</w:t>
      </w:r>
    </w:p>
    <w:p>
      <w:pPr>
        <w:widowControl/>
        <w:numPr>
          <w:ilvl w:val="1"/>
          <w:numId w:val="3"/>
        </w:numPr>
        <w:spacing w:line="360" w:lineRule="auto"/>
        <w:ind w:firstLine="480" w:firstLineChars="200"/>
        <w:rPr>
          <w:rFonts w:ascii="仿宋" w:hAnsi="仿宋" w:eastAsia="仿宋" w:cs="仿宋"/>
          <w:sz w:val="24"/>
        </w:rPr>
      </w:pPr>
      <w:r>
        <w:rPr>
          <w:rFonts w:hint="eastAsia" w:ascii="仿宋" w:hAnsi="仿宋" w:eastAsia="仿宋" w:cs="仿宋"/>
          <w:color w:val="000000"/>
          <w:kern w:val="0"/>
          <w:sz w:val="24"/>
        </w:rPr>
        <w:t>本采购文件所称公章是指单位法定名称章或者冠以法定名称的投标业务专用章。</w:t>
      </w:r>
    </w:p>
    <w:p>
      <w:pPr>
        <w:numPr>
          <w:ilvl w:val="2"/>
          <w:numId w:val="2"/>
        </w:numPr>
        <w:spacing w:line="360" w:lineRule="auto"/>
        <w:ind w:firstLine="482" w:firstLineChars="200"/>
        <w:outlineLvl w:val="0"/>
        <w:rPr>
          <w:rFonts w:ascii="仿宋" w:hAnsi="仿宋" w:eastAsia="仿宋" w:cs="仿宋"/>
          <w:b/>
          <w:sz w:val="24"/>
        </w:rPr>
      </w:pPr>
      <w:bookmarkStart w:id="38" w:name="_Toc3844"/>
      <w:bookmarkStart w:id="39" w:name="_Toc20413"/>
      <w:r>
        <w:rPr>
          <w:rFonts w:hint="eastAsia" w:ascii="仿宋" w:hAnsi="仿宋" w:eastAsia="仿宋" w:cs="仿宋"/>
          <w:b/>
          <w:sz w:val="24"/>
        </w:rPr>
        <w:t>采购方式</w:t>
      </w:r>
      <w:bookmarkEnd w:id="38"/>
      <w:bookmarkEnd w:id="39"/>
    </w:p>
    <w:p>
      <w:pPr>
        <w:tabs>
          <w:tab w:val="left" w:pos="0"/>
        </w:tabs>
        <w:spacing w:line="360" w:lineRule="auto"/>
        <w:ind w:firstLine="480" w:firstLineChars="200"/>
        <w:outlineLvl w:val="0"/>
        <w:rPr>
          <w:rFonts w:ascii="仿宋" w:hAnsi="仿宋" w:eastAsia="仿宋" w:cs="仿宋"/>
          <w:bCs/>
          <w:sz w:val="24"/>
        </w:rPr>
      </w:pPr>
      <w:bookmarkStart w:id="40" w:name="_Toc9364"/>
      <w:bookmarkStart w:id="41" w:name="_Toc23915"/>
      <w:r>
        <w:rPr>
          <w:rFonts w:hint="eastAsia" w:ascii="仿宋" w:hAnsi="仿宋" w:eastAsia="仿宋" w:cs="仿宋"/>
          <w:bCs/>
          <w:sz w:val="24"/>
        </w:rPr>
        <w:t>公开招标。</w:t>
      </w:r>
      <w:bookmarkEnd w:id="40"/>
      <w:bookmarkEnd w:id="41"/>
    </w:p>
    <w:p>
      <w:pPr>
        <w:numPr>
          <w:ilvl w:val="2"/>
          <w:numId w:val="2"/>
        </w:numPr>
        <w:spacing w:line="360" w:lineRule="auto"/>
        <w:ind w:firstLine="482" w:firstLineChars="200"/>
        <w:outlineLvl w:val="0"/>
        <w:rPr>
          <w:rFonts w:ascii="仿宋" w:hAnsi="仿宋" w:eastAsia="仿宋" w:cs="仿宋"/>
          <w:b/>
          <w:sz w:val="24"/>
        </w:rPr>
      </w:pPr>
      <w:bookmarkStart w:id="42" w:name="_Toc3577"/>
      <w:bookmarkStart w:id="43" w:name="_Toc6102"/>
      <w:r>
        <w:rPr>
          <w:rFonts w:hint="eastAsia" w:ascii="仿宋" w:hAnsi="仿宋" w:eastAsia="仿宋" w:cs="仿宋"/>
          <w:b/>
          <w:sz w:val="24"/>
        </w:rPr>
        <w:t>投标费用</w:t>
      </w:r>
      <w:bookmarkEnd w:id="42"/>
      <w:bookmarkEnd w:id="43"/>
    </w:p>
    <w:p>
      <w:pPr>
        <w:widowControl/>
        <w:spacing w:line="360" w:lineRule="auto"/>
        <w:ind w:firstLine="480" w:firstLineChars="200"/>
        <w:rPr>
          <w:rFonts w:ascii="仿宋" w:hAnsi="仿宋" w:eastAsia="仿宋" w:cs="仿宋"/>
          <w:color w:val="000000"/>
          <w:kern w:val="0"/>
          <w:sz w:val="24"/>
          <w:lang w:val="zh-CN"/>
        </w:rPr>
      </w:pPr>
      <w:r>
        <w:rPr>
          <w:rFonts w:hint="eastAsia" w:ascii="仿宋" w:hAnsi="仿宋" w:eastAsia="仿宋" w:cs="仿宋"/>
          <w:color w:val="000000"/>
          <w:kern w:val="0"/>
          <w:sz w:val="24"/>
        </w:rPr>
        <w:t>投标人需自行承担涉及投标的一切费用</w:t>
      </w:r>
      <w:r>
        <w:rPr>
          <w:rFonts w:hint="eastAsia" w:ascii="仿宋" w:hAnsi="仿宋" w:eastAsia="仿宋" w:cs="仿宋"/>
          <w:color w:val="000000"/>
          <w:kern w:val="0"/>
          <w:sz w:val="24"/>
          <w:lang w:val="zh-CN"/>
        </w:rPr>
        <w:t>。</w:t>
      </w:r>
    </w:p>
    <w:p>
      <w:pPr>
        <w:numPr>
          <w:ilvl w:val="1"/>
          <w:numId w:val="2"/>
        </w:numPr>
        <w:spacing w:line="360" w:lineRule="auto"/>
        <w:jc w:val="center"/>
        <w:outlineLvl w:val="0"/>
        <w:rPr>
          <w:rFonts w:ascii="仿宋" w:hAnsi="仿宋" w:eastAsia="仿宋" w:cs="仿宋"/>
          <w:b/>
          <w:sz w:val="32"/>
          <w:szCs w:val="32"/>
        </w:rPr>
      </w:pPr>
      <w:bookmarkStart w:id="44" w:name="_Toc25598"/>
      <w:r>
        <w:rPr>
          <w:rFonts w:hint="eastAsia" w:ascii="仿宋" w:hAnsi="仿宋" w:eastAsia="仿宋" w:cs="仿宋"/>
          <w:b/>
          <w:sz w:val="32"/>
          <w:szCs w:val="32"/>
        </w:rPr>
        <w:t>采购文件</w:t>
      </w:r>
      <w:bookmarkEnd w:id="44"/>
    </w:p>
    <w:p>
      <w:pPr>
        <w:numPr>
          <w:ilvl w:val="0"/>
          <w:numId w:val="4"/>
        </w:numPr>
        <w:tabs>
          <w:tab w:val="left" w:pos="0"/>
        </w:tabs>
        <w:spacing w:line="360" w:lineRule="auto"/>
        <w:ind w:firstLine="482" w:firstLineChars="200"/>
        <w:outlineLvl w:val="0"/>
        <w:rPr>
          <w:rFonts w:ascii="仿宋" w:hAnsi="仿宋" w:eastAsia="仿宋" w:cs="仿宋"/>
          <w:b/>
          <w:sz w:val="24"/>
        </w:rPr>
      </w:pPr>
      <w:bookmarkStart w:id="45" w:name="_Toc10030"/>
      <w:bookmarkStart w:id="46" w:name="_Toc3461"/>
      <w:r>
        <w:rPr>
          <w:rFonts w:hint="eastAsia" w:ascii="仿宋" w:hAnsi="仿宋" w:eastAsia="仿宋" w:cs="仿宋"/>
          <w:b/>
          <w:sz w:val="24"/>
        </w:rPr>
        <w:t>采购文件的构成</w:t>
      </w:r>
      <w:bookmarkEnd w:id="45"/>
      <w:bookmarkEnd w:id="46"/>
    </w:p>
    <w:p>
      <w:pPr>
        <w:numPr>
          <w:ilvl w:val="1"/>
          <w:numId w:val="4"/>
        </w:numPr>
        <w:tabs>
          <w:tab w:val="left" w:pos="0"/>
        </w:tabs>
        <w:spacing w:line="360" w:lineRule="auto"/>
        <w:ind w:firstLine="480" w:firstLineChars="200"/>
        <w:outlineLvl w:val="0"/>
        <w:rPr>
          <w:rFonts w:ascii="仿宋" w:hAnsi="仿宋" w:eastAsia="仿宋" w:cs="仿宋"/>
          <w:sz w:val="24"/>
        </w:rPr>
      </w:pPr>
      <w:bookmarkStart w:id="47" w:name="_Toc7705"/>
      <w:bookmarkStart w:id="48" w:name="_Toc10136"/>
      <w:r>
        <w:rPr>
          <w:rFonts w:hint="eastAsia" w:ascii="仿宋" w:hAnsi="仿宋" w:eastAsia="仿宋" w:cs="仿宋"/>
          <w:color w:val="000000"/>
          <w:sz w:val="24"/>
        </w:rPr>
        <w:t>采购文件包括下列文件及附件：</w:t>
      </w:r>
      <w:bookmarkEnd w:id="47"/>
      <w:bookmarkEnd w:id="48"/>
    </w:p>
    <w:p>
      <w:pPr>
        <w:pStyle w:val="10"/>
        <w:numPr>
          <w:ilvl w:val="0"/>
          <w:numId w:val="5"/>
        </w:numPr>
        <w:spacing w:line="360" w:lineRule="auto"/>
        <w:ind w:left="420" w:firstLine="480" w:firstLineChars="200"/>
        <w:rPr>
          <w:rFonts w:ascii="仿宋" w:hAnsi="仿宋" w:eastAsia="仿宋" w:cs="仿宋"/>
          <w:sz w:val="24"/>
          <w:szCs w:val="24"/>
        </w:rPr>
      </w:pPr>
      <w:r>
        <w:rPr>
          <w:rFonts w:hint="eastAsia" w:ascii="仿宋" w:hAnsi="仿宋" w:eastAsia="仿宋" w:cs="仿宋"/>
          <w:sz w:val="24"/>
          <w:szCs w:val="24"/>
        </w:rPr>
        <w:t>第一部分 采购公告</w:t>
      </w:r>
    </w:p>
    <w:p>
      <w:pPr>
        <w:pStyle w:val="10"/>
        <w:numPr>
          <w:ilvl w:val="0"/>
          <w:numId w:val="5"/>
        </w:numPr>
        <w:spacing w:line="360" w:lineRule="auto"/>
        <w:ind w:left="420" w:firstLine="480" w:firstLineChars="200"/>
        <w:rPr>
          <w:rFonts w:ascii="仿宋" w:hAnsi="仿宋" w:eastAsia="仿宋" w:cs="仿宋"/>
          <w:sz w:val="24"/>
          <w:szCs w:val="24"/>
        </w:rPr>
      </w:pPr>
      <w:r>
        <w:rPr>
          <w:rFonts w:hint="eastAsia" w:ascii="仿宋" w:hAnsi="仿宋" w:eastAsia="仿宋" w:cs="仿宋"/>
          <w:sz w:val="24"/>
          <w:szCs w:val="24"/>
        </w:rPr>
        <w:t>第二部分 编制和提交采购响应文件须知</w:t>
      </w:r>
    </w:p>
    <w:p>
      <w:pPr>
        <w:pStyle w:val="10"/>
        <w:numPr>
          <w:ilvl w:val="0"/>
          <w:numId w:val="5"/>
        </w:numPr>
        <w:spacing w:line="360" w:lineRule="auto"/>
        <w:ind w:left="420" w:firstLine="480" w:firstLineChars="200"/>
        <w:rPr>
          <w:rFonts w:ascii="仿宋" w:hAnsi="仿宋" w:eastAsia="仿宋" w:cs="仿宋"/>
          <w:sz w:val="24"/>
          <w:szCs w:val="24"/>
        </w:rPr>
      </w:pPr>
      <w:r>
        <w:rPr>
          <w:rFonts w:hint="eastAsia" w:ascii="仿宋" w:hAnsi="仿宋" w:eastAsia="仿宋" w:cs="仿宋"/>
          <w:sz w:val="24"/>
          <w:szCs w:val="24"/>
        </w:rPr>
        <w:t>第三部分 评标办法及评分标准</w:t>
      </w:r>
    </w:p>
    <w:p>
      <w:pPr>
        <w:pStyle w:val="10"/>
        <w:numPr>
          <w:ilvl w:val="0"/>
          <w:numId w:val="5"/>
        </w:numPr>
        <w:spacing w:line="360" w:lineRule="auto"/>
        <w:ind w:left="420" w:firstLine="480" w:firstLineChars="200"/>
        <w:rPr>
          <w:rFonts w:ascii="仿宋" w:hAnsi="仿宋" w:eastAsia="仿宋" w:cs="仿宋"/>
          <w:sz w:val="24"/>
          <w:szCs w:val="24"/>
        </w:rPr>
      </w:pPr>
      <w:r>
        <w:rPr>
          <w:rFonts w:hint="eastAsia" w:ascii="仿宋" w:hAnsi="仿宋" w:eastAsia="仿宋" w:cs="仿宋"/>
          <w:sz w:val="24"/>
          <w:szCs w:val="24"/>
        </w:rPr>
        <w:t>第四部分 项目技术规范和服务要求</w:t>
      </w:r>
    </w:p>
    <w:p>
      <w:pPr>
        <w:pStyle w:val="10"/>
        <w:numPr>
          <w:ilvl w:val="0"/>
          <w:numId w:val="5"/>
        </w:numPr>
        <w:spacing w:line="360" w:lineRule="auto"/>
        <w:ind w:left="420" w:firstLine="480" w:firstLineChars="200"/>
        <w:rPr>
          <w:rFonts w:ascii="仿宋" w:hAnsi="仿宋" w:eastAsia="仿宋" w:cs="仿宋"/>
          <w:sz w:val="24"/>
          <w:szCs w:val="24"/>
        </w:rPr>
      </w:pPr>
      <w:r>
        <w:rPr>
          <w:rFonts w:hint="eastAsia" w:ascii="仿宋" w:hAnsi="仿宋" w:eastAsia="仿宋" w:cs="仿宋"/>
          <w:sz w:val="24"/>
          <w:szCs w:val="24"/>
        </w:rPr>
        <w:t>第五部分 拟签订的合同文本</w:t>
      </w:r>
    </w:p>
    <w:p>
      <w:pPr>
        <w:pStyle w:val="10"/>
        <w:numPr>
          <w:ilvl w:val="0"/>
          <w:numId w:val="5"/>
        </w:numPr>
        <w:spacing w:line="360" w:lineRule="auto"/>
        <w:ind w:left="420" w:firstLine="480" w:firstLineChars="200"/>
        <w:rPr>
          <w:rFonts w:ascii="仿宋" w:hAnsi="仿宋" w:eastAsia="仿宋" w:cs="仿宋"/>
          <w:color w:val="000000"/>
          <w:kern w:val="0"/>
          <w:sz w:val="24"/>
          <w:szCs w:val="24"/>
        </w:rPr>
      </w:pPr>
      <w:r>
        <w:rPr>
          <w:rFonts w:hint="eastAsia" w:ascii="仿宋" w:hAnsi="仿宋" w:eastAsia="仿宋" w:cs="仿宋"/>
          <w:sz w:val="24"/>
          <w:szCs w:val="24"/>
        </w:rPr>
        <w:t>第六部分 应提交的有关格式范例</w:t>
      </w:r>
    </w:p>
    <w:p>
      <w:pPr>
        <w:numPr>
          <w:ilvl w:val="1"/>
          <w:numId w:val="4"/>
        </w:numPr>
        <w:tabs>
          <w:tab w:val="left" w:pos="0"/>
        </w:tabs>
        <w:spacing w:line="360" w:lineRule="auto"/>
        <w:ind w:firstLine="480" w:firstLineChars="200"/>
        <w:outlineLvl w:val="0"/>
        <w:rPr>
          <w:rFonts w:ascii="仿宋" w:hAnsi="仿宋" w:eastAsia="仿宋" w:cs="仿宋"/>
          <w:sz w:val="24"/>
        </w:rPr>
      </w:pPr>
      <w:bookmarkStart w:id="49" w:name="_Toc4485"/>
      <w:bookmarkStart w:id="50" w:name="_Toc2324"/>
      <w:r>
        <w:rPr>
          <w:rFonts w:hint="eastAsia" w:ascii="仿宋" w:hAnsi="仿宋" w:eastAsia="仿宋" w:cs="仿宋"/>
          <w:color w:val="000000"/>
          <w:kern w:val="0"/>
          <w:sz w:val="24"/>
        </w:rPr>
        <w:t>投标人应认真审阅采购文件中所有的内容，包括编制和提交采购响应文件须知、</w:t>
      </w:r>
      <w:bookmarkEnd w:id="49"/>
      <w:bookmarkStart w:id="51" w:name="_Toc14891"/>
      <w:r>
        <w:rPr>
          <w:rFonts w:hint="eastAsia" w:ascii="仿宋" w:hAnsi="仿宋" w:eastAsia="仿宋" w:cs="仿宋"/>
          <w:color w:val="000000"/>
          <w:kern w:val="0"/>
          <w:sz w:val="24"/>
        </w:rPr>
        <w:t>评标办法及评分标准、项目技术规范和服务要求、拟签订的合同文本、应提交的有关格式范例等。如果投标人编制的投标文件没有从实质上响应采购文件的要求，其投标文件将在评标过程中被判断为无效。</w:t>
      </w:r>
      <w:bookmarkEnd w:id="50"/>
      <w:bookmarkEnd w:id="51"/>
    </w:p>
    <w:p>
      <w:pPr>
        <w:numPr>
          <w:ilvl w:val="0"/>
          <w:numId w:val="4"/>
        </w:numPr>
        <w:tabs>
          <w:tab w:val="left" w:pos="0"/>
        </w:tabs>
        <w:spacing w:line="360" w:lineRule="auto"/>
        <w:ind w:firstLine="482" w:firstLineChars="200"/>
        <w:outlineLvl w:val="0"/>
        <w:rPr>
          <w:rFonts w:ascii="仿宋" w:hAnsi="仿宋" w:eastAsia="仿宋" w:cs="仿宋"/>
          <w:b/>
          <w:sz w:val="24"/>
        </w:rPr>
      </w:pPr>
      <w:bookmarkStart w:id="52" w:name="_Toc14964"/>
      <w:bookmarkStart w:id="53" w:name="_Toc21798"/>
      <w:r>
        <w:rPr>
          <w:rFonts w:hint="eastAsia" w:ascii="仿宋" w:hAnsi="仿宋" w:eastAsia="仿宋" w:cs="仿宋"/>
          <w:b/>
          <w:color w:val="000000"/>
          <w:sz w:val="24"/>
        </w:rPr>
        <w:t>采购文件的解释</w:t>
      </w:r>
      <w:bookmarkEnd w:id="52"/>
      <w:bookmarkEnd w:id="53"/>
    </w:p>
    <w:p>
      <w:pPr>
        <w:pStyle w:val="25"/>
        <w:numPr>
          <w:ilvl w:val="1"/>
          <w:numId w:val="4"/>
        </w:numPr>
        <w:adjustRightInd w:val="0"/>
        <w:snapToGrid w:val="0"/>
        <w:spacing w:before="0"/>
        <w:ind w:firstLine="480"/>
        <w:rPr>
          <w:rFonts w:ascii="仿宋" w:hAnsi="仿宋" w:eastAsia="仿宋" w:cs="仿宋"/>
          <w:color w:val="000000"/>
        </w:rPr>
      </w:pPr>
      <w:r>
        <w:rPr>
          <w:rFonts w:hint="eastAsia" w:ascii="仿宋" w:hAnsi="仿宋" w:eastAsia="仿宋" w:cs="仿宋"/>
          <w:color w:val="000000"/>
        </w:rPr>
        <w:t>投标人一旦参与本</w:t>
      </w:r>
      <w:r>
        <w:rPr>
          <w:rFonts w:hint="eastAsia" w:ascii="仿宋" w:hAnsi="仿宋" w:eastAsia="仿宋" w:cs="仿宋"/>
          <w:color w:val="000000"/>
          <w:szCs w:val="21"/>
        </w:rPr>
        <w:t>次采购活动，即被视为接受了本采购文件的所有内容，如有任何异议，均已在答疑截止时间前提出。</w:t>
      </w:r>
      <w:r>
        <w:rPr>
          <w:rFonts w:hint="eastAsia" w:ascii="仿宋" w:hAnsi="仿宋" w:eastAsia="仿宋" w:cs="仿宋"/>
          <w:color w:val="000000"/>
          <w:kern w:val="0"/>
          <w:szCs w:val="24"/>
        </w:rPr>
        <w:t>项目提疑截止时间之后如潜在供应商，对采购文件有异议，</w:t>
      </w:r>
      <w:r>
        <w:rPr>
          <w:rFonts w:hint="eastAsia" w:ascii="仿宋" w:hAnsi="仿宋" w:eastAsia="仿宋" w:cs="仿宋"/>
          <w:color w:val="000000"/>
          <w:szCs w:val="24"/>
        </w:rPr>
        <w:t>采购单位和</w:t>
      </w:r>
      <w:r>
        <w:rPr>
          <w:rFonts w:hint="eastAsia" w:ascii="仿宋" w:hAnsi="仿宋" w:eastAsia="仿宋" w:cs="仿宋"/>
          <w:color w:val="000000"/>
          <w:kern w:val="0"/>
          <w:szCs w:val="24"/>
        </w:rPr>
        <w:t>采购代理机构将不予受理和答复。</w:t>
      </w:r>
    </w:p>
    <w:p>
      <w:pPr>
        <w:pStyle w:val="25"/>
        <w:numPr>
          <w:ilvl w:val="1"/>
          <w:numId w:val="4"/>
        </w:numPr>
        <w:spacing w:before="0"/>
        <w:ind w:firstLine="480"/>
        <w:rPr>
          <w:rFonts w:ascii="仿宋" w:hAnsi="仿宋" w:eastAsia="仿宋" w:cs="仿宋"/>
          <w:color w:val="000000"/>
          <w:szCs w:val="21"/>
        </w:rPr>
      </w:pPr>
      <w:r>
        <w:rPr>
          <w:rFonts w:hint="eastAsia" w:ascii="仿宋" w:hAnsi="仿宋" w:eastAsia="仿宋" w:cs="仿宋"/>
          <w:color w:val="000000"/>
          <w:szCs w:val="21"/>
        </w:rPr>
        <w:t>采购代理机构如对已发出的采购文件进行必要澄清或者修改的，将在发布采购公告的网站上发布更正公告，同时视情况延长投标截止时间和开标时间。该澄清或者修改的内容为采购文件的组成部分。</w:t>
      </w:r>
    </w:p>
    <w:p>
      <w:pPr>
        <w:numPr>
          <w:ilvl w:val="1"/>
          <w:numId w:val="4"/>
        </w:numPr>
        <w:tabs>
          <w:tab w:val="left" w:pos="0"/>
        </w:tabs>
        <w:spacing w:line="360" w:lineRule="auto"/>
        <w:ind w:firstLine="480" w:firstLineChars="200"/>
        <w:outlineLvl w:val="0"/>
        <w:rPr>
          <w:rFonts w:ascii="仿宋" w:hAnsi="仿宋" w:eastAsia="仿宋" w:cs="仿宋"/>
          <w:color w:val="000000"/>
          <w:sz w:val="24"/>
          <w:szCs w:val="21"/>
        </w:rPr>
      </w:pPr>
      <w:bookmarkStart w:id="54" w:name="_Toc11358"/>
      <w:bookmarkStart w:id="55" w:name="_Toc13835"/>
      <w:r>
        <w:rPr>
          <w:rFonts w:hint="eastAsia" w:ascii="仿宋" w:hAnsi="仿宋" w:eastAsia="仿宋" w:cs="仿宋"/>
          <w:color w:val="000000"/>
          <w:sz w:val="24"/>
          <w:szCs w:val="21"/>
        </w:rPr>
        <w:t>不论采购代理机构向投标人发送的资料文件，还是投标人提出的问题，均采用</w:t>
      </w:r>
      <w:bookmarkEnd w:id="54"/>
      <w:bookmarkStart w:id="56" w:name="_Toc14699"/>
      <w:r>
        <w:rPr>
          <w:rFonts w:hint="eastAsia" w:ascii="仿宋" w:hAnsi="仿宋" w:eastAsia="仿宋" w:cs="仿宋"/>
          <w:color w:val="000000"/>
          <w:sz w:val="24"/>
          <w:szCs w:val="21"/>
        </w:rPr>
        <w:t>书面形式，任何口头提问及答复一律无效。</w:t>
      </w:r>
      <w:bookmarkEnd w:id="55"/>
      <w:bookmarkEnd w:id="56"/>
    </w:p>
    <w:p>
      <w:pPr>
        <w:numPr>
          <w:ilvl w:val="0"/>
          <w:numId w:val="4"/>
        </w:numPr>
        <w:tabs>
          <w:tab w:val="left" w:pos="0"/>
        </w:tabs>
        <w:spacing w:line="360" w:lineRule="auto"/>
        <w:ind w:firstLine="482" w:firstLineChars="200"/>
        <w:outlineLvl w:val="0"/>
        <w:rPr>
          <w:rFonts w:ascii="仿宋" w:hAnsi="仿宋" w:eastAsia="仿宋" w:cs="仿宋"/>
          <w:b/>
          <w:sz w:val="24"/>
        </w:rPr>
      </w:pPr>
      <w:bookmarkStart w:id="57" w:name="_Toc30870"/>
      <w:bookmarkStart w:id="58" w:name="_Toc8333"/>
      <w:r>
        <w:rPr>
          <w:rFonts w:hint="eastAsia" w:ascii="仿宋" w:hAnsi="仿宋" w:eastAsia="仿宋" w:cs="仿宋"/>
          <w:b/>
          <w:color w:val="000000"/>
          <w:sz w:val="24"/>
        </w:rPr>
        <w:t>采购文件的修改</w:t>
      </w:r>
      <w:bookmarkEnd w:id="57"/>
      <w:bookmarkEnd w:id="58"/>
    </w:p>
    <w:p>
      <w:pPr>
        <w:pStyle w:val="25"/>
        <w:numPr>
          <w:ilvl w:val="1"/>
          <w:numId w:val="4"/>
        </w:numPr>
        <w:wordWrap w:val="0"/>
        <w:spacing w:before="0"/>
        <w:ind w:firstLine="480"/>
        <w:rPr>
          <w:rFonts w:ascii="仿宋" w:hAnsi="仿宋" w:eastAsia="仿宋" w:cs="仿宋"/>
          <w:color w:val="000000"/>
        </w:rPr>
      </w:pPr>
      <w:r>
        <w:rPr>
          <w:rFonts w:hint="eastAsia" w:ascii="仿宋" w:hAnsi="仿宋" w:eastAsia="仿宋" w:cs="仿宋"/>
          <w:color w:val="000000"/>
          <w:szCs w:val="24"/>
        </w:rPr>
        <w:t>从采购文件发出至投标截止日期，采购代理机构可能会以补充通知的方式修改采购文件。补充通知作为采购文件的组成部分，在浙江政府采购网（</w:t>
      </w:r>
      <w:r>
        <w:fldChar w:fldCharType="begin"/>
      </w:r>
      <w:r>
        <w:instrText xml:space="preserve"> HYPERLINK "http://www.zjzfcg.gov.cn" </w:instrText>
      </w:r>
      <w:r>
        <w:fldChar w:fldCharType="separate"/>
      </w:r>
      <w:r>
        <w:rPr>
          <w:rFonts w:hint="eastAsia" w:ascii="仿宋" w:hAnsi="仿宋" w:eastAsia="仿宋" w:cs="仿宋"/>
        </w:rPr>
        <w:t>http://www.zjzfcg.gov.cn</w:t>
      </w:r>
      <w:r>
        <w:rPr>
          <w:rFonts w:hint="eastAsia" w:ascii="仿宋" w:hAnsi="仿宋" w:eastAsia="仿宋" w:cs="仿宋"/>
        </w:rPr>
        <w:fldChar w:fldCharType="end"/>
      </w:r>
      <w:r>
        <w:rPr>
          <w:rFonts w:hint="eastAsia" w:ascii="仿宋" w:hAnsi="仿宋" w:eastAsia="仿宋" w:cs="仿宋"/>
        </w:rPr>
        <w:t>）</w:t>
      </w:r>
      <w:r>
        <w:rPr>
          <w:rFonts w:hint="eastAsia" w:ascii="仿宋" w:hAnsi="仿宋" w:eastAsia="仿宋" w:cs="仿宋"/>
          <w:color w:val="000000"/>
          <w:szCs w:val="24"/>
        </w:rPr>
        <w:t>上发布</w:t>
      </w:r>
      <w:r>
        <w:rPr>
          <w:rFonts w:hint="eastAsia" w:ascii="仿宋" w:hAnsi="仿宋" w:eastAsia="仿宋" w:cs="仿宋"/>
          <w:color w:val="000000"/>
        </w:rPr>
        <w:t>。</w:t>
      </w:r>
    </w:p>
    <w:p>
      <w:pPr>
        <w:numPr>
          <w:ilvl w:val="1"/>
          <w:numId w:val="4"/>
        </w:num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color w:val="000000"/>
          <w:sz w:val="24"/>
        </w:rPr>
        <w:t>若有必要，采购代理机构将酌情延长递交投标文件的截止日期。</w:t>
      </w:r>
    </w:p>
    <w:p>
      <w:pPr>
        <w:numPr>
          <w:ilvl w:val="0"/>
          <w:numId w:val="4"/>
        </w:numPr>
        <w:tabs>
          <w:tab w:val="left" w:pos="0"/>
        </w:tabs>
        <w:spacing w:line="360" w:lineRule="auto"/>
        <w:ind w:firstLine="482" w:firstLineChars="200"/>
        <w:outlineLvl w:val="0"/>
        <w:rPr>
          <w:rFonts w:ascii="仿宋" w:hAnsi="仿宋" w:eastAsia="仿宋" w:cs="仿宋"/>
          <w:b/>
          <w:sz w:val="24"/>
        </w:rPr>
      </w:pPr>
      <w:bookmarkStart w:id="59" w:name="_Toc27856"/>
      <w:bookmarkStart w:id="60" w:name="_Toc25570"/>
      <w:r>
        <w:rPr>
          <w:rFonts w:hint="eastAsia" w:ascii="仿宋" w:hAnsi="仿宋" w:eastAsia="仿宋" w:cs="仿宋"/>
          <w:b/>
          <w:sz w:val="24"/>
        </w:rPr>
        <w:t>投标报价</w:t>
      </w:r>
      <w:bookmarkEnd w:id="59"/>
      <w:bookmarkEnd w:id="60"/>
    </w:p>
    <w:p>
      <w:pPr>
        <w:numPr>
          <w:ilvl w:val="1"/>
          <w:numId w:val="4"/>
        </w:numPr>
        <w:spacing w:line="360" w:lineRule="auto"/>
        <w:ind w:firstLine="482" w:firstLineChars="200"/>
        <w:rPr>
          <w:rFonts w:ascii="仿宋" w:hAnsi="仿宋" w:eastAsia="仿宋" w:cs="仿宋"/>
          <w:b/>
          <w:color w:val="000000"/>
          <w:sz w:val="24"/>
        </w:rPr>
      </w:pPr>
      <w:bookmarkStart w:id="61" w:name="_Toc91899884"/>
      <w:r>
        <w:rPr>
          <w:rFonts w:hint="eastAsia" w:ascii="仿宋" w:hAnsi="仿宋" w:eastAsia="仿宋" w:cs="仿宋"/>
          <w:b/>
          <w:sz w:val="24"/>
        </w:rPr>
        <w:t>报价范围：采购预算价格为人民币687.2101万元，本项目最高限价为：687.2101万元。</w:t>
      </w:r>
      <w:r>
        <w:rPr>
          <w:rFonts w:hint="eastAsia" w:ascii="仿宋" w:hAnsi="仿宋" w:eastAsia="仿宋" w:cs="仿宋"/>
          <w:b/>
          <w:color w:val="000000"/>
          <w:sz w:val="24"/>
        </w:rPr>
        <w:t>超过最高限价的，作为无效标处理。</w:t>
      </w:r>
    </w:p>
    <w:p>
      <w:pPr>
        <w:pStyle w:val="25"/>
        <w:numPr>
          <w:ilvl w:val="1"/>
          <w:numId w:val="4"/>
        </w:numPr>
        <w:spacing w:before="0"/>
        <w:ind w:firstLine="480"/>
        <w:rPr>
          <w:rFonts w:ascii="仿宋" w:hAnsi="仿宋" w:eastAsia="仿宋" w:cs="仿宋"/>
          <w:color w:val="000000"/>
          <w:szCs w:val="24"/>
        </w:rPr>
      </w:pPr>
      <w:r>
        <w:rPr>
          <w:rFonts w:hint="eastAsia" w:ascii="仿宋" w:hAnsi="仿宋" w:eastAsia="仿宋" w:cs="仿宋"/>
          <w:color w:val="000000"/>
          <w:szCs w:val="24"/>
        </w:rPr>
        <w:t>其它费用处理</w:t>
      </w:r>
    </w:p>
    <w:p>
      <w:pPr>
        <w:pStyle w:val="25"/>
        <w:spacing w:before="0"/>
        <w:ind w:firstLine="480"/>
        <w:rPr>
          <w:rFonts w:ascii="仿宋" w:hAnsi="仿宋" w:eastAsia="仿宋" w:cs="仿宋"/>
          <w:color w:val="000000"/>
          <w:szCs w:val="24"/>
        </w:rPr>
      </w:pPr>
      <w:r>
        <w:rPr>
          <w:rFonts w:hint="eastAsia" w:ascii="仿宋" w:hAnsi="仿宋" w:eastAsia="仿宋" w:cs="仿宋"/>
          <w:color w:val="000000"/>
          <w:szCs w:val="24"/>
        </w:rPr>
        <w:t>采购文件未列明，而投标人认为必需的费用也需列入报价。</w:t>
      </w:r>
    </w:p>
    <w:p>
      <w:pPr>
        <w:pStyle w:val="25"/>
        <w:numPr>
          <w:ilvl w:val="1"/>
          <w:numId w:val="4"/>
        </w:numPr>
        <w:spacing w:before="0"/>
        <w:ind w:firstLine="480"/>
        <w:rPr>
          <w:rFonts w:ascii="仿宋" w:hAnsi="仿宋" w:eastAsia="仿宋" w:cs="仿宋"/>
          <w:color w:val="000000"/>
        </w:rPr>
      </w:pPr>
      <w:r>
        <w:rPr>
          <w:rFonts w:hint="eastAsia" w:ascii="仿宋" w:hAnsi="仿宋" w:eastAsia="仿宋" w:cs="仿宋"/>
          <w:color w:val="000000"/>
        </w:rPr>
        <w:t>投标货币</w:t>
      </w:r>
    </w:p>
    <w:p>
      <w:pPr>
        <w:pStyle w:val="7"/>
        <w:snapToGrid w:val="0"/>
        <w:ind w:firstLine="480" w:firstLineChars="200"/>
        <w:rPr>
          <w:rFonts w:ascii="仿宋" w:hAnsi="仿宋" w:eastAsia="仿宋" w:cs="仿宋"/>
          <w:b/>
          <w:szCs w:val="24"/>
        </w:rPr>
      </w:pPr>
      <w:r>
        <w:rPr>
          <w:rFonts w:hint="eastAsia" w:ascii="仿宋" w:hAnsi="仿宋" w:eastAsia="仿宋" w:cs="仿宋"/>
          <w:color w:val="000000"/>
        </w:rPr>
        <w:t>投标文件中价格全部采用人民币报价。报价应是唯一的, 采购代理机构将不接受有选择的报价。</w:t>
      </w:r>
      <w:bookmarkEnd w:id="61"/>
    </w:p>
    <w:p>
      <w:pPr>
        <w:numPr>
          <w:ilvl w:val="1"/>
          <w:numId w:val="2"/>
        </w:numPr>
        <w:spacing w:line="360" w:lineRule="auto"/>
        <w:jc w:val="center"/>
        <w:outlineLvl w:val="0"/>
        <w:rPr>
          <w:rFonts w:ascii="仿宋" w:hAnsi="仿宋" w:eastAsia="仿宋" w:cs="仿宋"/>
          <w:b/>
          <w:sz w:val="32"/>
          <w:szCs w:val="32"/>
        </w:rPr>
      </w:pPr>
      <w:bookmarkStart w:id="62" w:name="_Toc322"/>
      <w:r>
        <w:rPr>
          <w:rFonts w:hint="eastAsia" w:ascii="仿宋" w:hAnsi="仿宋" w:eastAsia="仿宋" w:cs="仿宋"/>
          <w:b/>
          <w:sz w:val="32"/>
          <w:szCs w:val="32"/>
        </w:rPr>
        <w:t>投标文件的编制</w:t>
      </w:r>
      <w:bookmarkEnd w:id="62"/>
    </w:p>
    <w:p>
      <w:pPr>
        <w:numPr>
          <w:ilvl w:val="0"/>
          <w:numId w:val="4"/>
        </w:numPr>
        <w:tabs>
          <w:tab w:val="left" w:pos="0"/>
        </w:tabs>
        <w:spacing w:line="360" w:lineRule="auto"/>
        <w:ind w:firstLine="482" w:firstLineChars="200"/>
        <w:outlineLvl w:val="0"/>
        <w:rPr>
          <w:rFonts w:ascii="仿宋" w:hAnsi="仿宋" w:eastAsia="仿宋" w:cs="仿宋"/>
          <w:b/>
          <w:sz w:val="24"/>
        </w:rPr>
      </w:pPr>
      <w:bookmarkStart w:id="63" w:name="_Toc16553"/>
      <w:bookmarkStart w:id="64" w:name="_Toc25399"/>
      <w:r>
        <w:rPr>
          <w:rFonts w:hint="eastAsia" w:ascii="仿宋" w:hAnsi="仿宋" w:eastAsia="仿宋" w:cs="仿宋"/>
          <w:b/>
          <w:sz w:val="24"/>
        </w:rPr>
        <w:t>投标文件的语言</w:t>
      </w:r>
      <w:bookmarkEnd w:id="63"/>
      <w:bookmarkEnd w:id="64"/>
    </w:p>
    <w:p>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及投标人与采购有关的来往通知、函件和文件均应使用中文。投标文件中如附有外文资料，必须逐一对应翻译成中文并加盖投标人公章后附在相关外文资料后面，否则外文资料不予认可。翻译的中文资料与外文资料不符的，以中文文本为准。翻译严重错误的，将视同提供虚假资料，不予退还投标保证金。</w:t>
      </w:r>
    </w:p>
    <w:p>
      <w:pPr>
        <w:widowControl/>
        <w:numPr>
          <w:ilvl w:val="0"/>
          <w:numId w:val="4"/>
        </w:numPr>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投标文件的组成</w:t>
      </w:r>
    </w:p>
    <w:p>
      <w:pPr>
        <w:spacing w:line="360" w:lineRule="auto"/>
        <w:ind w:firstLine="480" w:firstLineChars="200"/>
        <w:rPr>
          <w:rFonts w:ascii="仿宋" w:hAnsi="仿宋" w:eastAsia="仿宋" w:cs="仿宋"/>
          <w:b/>
          <w:bCs/>
          <w:color w:val="FF0000"/>
          <w:sz w:val="22"/>
        </w:rPr>
      </w:pPr>
      <w:r>
        <w:rPr>
          <w:rFonts w:hint="eastAsia" w:ascii="仿宋" w:hAnsi="仿宋" w:eastAsia="仿宋" w:cs="仿宋"/>
          <w:color w:val="000000"/>
          <w:kern w:val="0"/>
          <w:sz w:val="24"/>
        </w:rPr>
        <w:t>投标人的投标文件应包括</w:t>
      </w:r>
      <w:r>
        <w:rPr>
          <w:rFonts w:hint="eastAsia" w:ascii="仿宋" w:hAnsi="仿宋" w:eastAsia="仿宋" w:cs="仿宋"/>
          <w:b/>
          <w:bCs/>
          <w:color w:val="000000"/>
          <w:kern w:val="0"/>
          <w:sz w:val="24"/>
        </w:rPr>
        <w:t>资格文件、报价文件、商务技术文件</w:t>
      </w:r>
      <w:r>
        <w:rPr>
          <w:rFonts w:hint="eastAsia" w:ascii="仿宋" w:hAnsi="仿宋" w:eastAsia="仿宋" w:cs="仿宋"/>
          <w:color w:val="000000"/>
          <w:kern w:val="0"/>
          <w:sz w:val="24"/>
        </w:rPr>
        <w:t>。</w:t>
      </w:r>
      <w:r>
        <w:rPr>
          <w:rFonts w:hint="eastAsia" w:ascii="仿宋" w:hAnsi="仿宋" w:eastAsia="仿宋" w:cs="仿宋"/>
          <w:b/>
          <w:bCs/>
          <w:color w:val="FF0000"/>
          <w:kern w:val="0"/>
          <w:sz w:val="24"/>
        </w:rPr>
        <w:t>（带“</w:t>
      </w:r>
      <w:r>
        <w:rPr>
          <w:rFonts w:hint="eastAsia" w:ascii="仿宋" w:hAnsi="仿宋" w:eastAsia="仿宋" w:cs="仿宋"/>
          <w:color w:val="FF0000"/>
          <w:sz w:val="24"/>
        </w:rPr>
        <w:t>★</w:t>
      </w:r>
      <w:r>
        <w:rPr>
          <w:rFonts w:hint="eastAsia" w:ascii="仿宋" w:hAnsi="仿宋" w:eastAsia="仿宋" w:cs="仿宋"/>
          <w:b/>
          <w:bCs/>
          <w:color w:val="FF0000"/>
          <w:kern w:val="0"/>
          <w:sz w:val="24"/>
        </w:rPr>
        <w:t>”资料的为必须提供的，否则将作为无效标处理）</w:t>
      </w:r>
      <w:r>
        <w:rPr>
          <w:rFonts w:hint="eastAsia" w:ascii="仿宋" w:hAnsi="仿宋" w:eastAsia="仿宋" w:cs="仿宋"/>
          <w:b/>
          <w:bCs/>
          <w:color w:val="FF0000"/>
          <w:sz w:val="22"/>
        </w:rPr>
        <w:t xml:space="preserve"> </w:t>
      </w:r>
    </w:p>
    <w:p>
      <w:pPr>
        <w:spacing w:line="360" w:lineRule="auto"/>
        <w:ind w:firstLine="482" w:firstLineChars="200"/>
        <w:rPr>
          <w:rFonts w:ascii="仿宋" w:hAnsi="仿宋" w:eastAsia="仿宋" w:cs="仿宋"/>
          <w:b/>
          <w:sz w:val="24"/>
        </w:rPr>
      </w:pPr>
      <w:r>
        <w:rPr>
          <w:rFonts w:hint="eastAsia" w:ascii="仿宋" w:hAnsi="仿宋" w:eastAsia="仿宋" w:cs="仿宋"/>
          <w:b/>
          <w:sz w:val="24"/>
        </w:rPr>
        <w:t>（1）资格文件(以下内容均需加盖公章)</w:t>
      </w:r>
    </w:p>
    <w:p>
      <w:pPr>
        <w:spacing w:line="360" w:lineRule="auto"/>
        <w:ind w:firstLine="480" w:firstLineChars="200"/>
        <w:rPr>
          <w:rFonts w:ascii="仿宋" w:hAnsi="仿宋" w:eastAsia="仿宋" w:cs="仿宋"/>
          <w:sz w:val="24"/>
        </w:rPr>
      </w:pPr>
      <w:r>
        <w:rPr>
          <w:rFonts w:hint="eastAsia" w:ascii="仿宋" w:hAnsi="仿宋" w:eastAsia="仿宋" w:cs="仿宋"/>
          <w:sz w:val="24"/>
        </w:rPr>
        <w:t>资格文件应包括以下内容（均需加盖公章）：证明其符合《中华人民共和国政府采购法》规定的供应商基本条件和采购项目对供应商的特定要求（如果项目要求）的有关资格证明文件。以联合体形式进行政府采购的，联合体成员各方均应提供如下1）、2）、3）、4）、5）、6）的基本资格证明文件；承担需要具备特定资格条件（如果项目要求）的工作的联合体成员，提供其符合特定资格条件（如果项目要求）的有关资质证明材料，多方共同承担该工作的，均需提供其符合特定资格条件（如果项目要求）的有关证明材料并按照资质等级较低的供应商确定该联合体的资质等级。</w:t>
      </w:r>
    </w:p>
    <w:p>
      <w:pPr>
        <w:spacing w:line="360" w:lineRule="auto"/>
        <w:ind w:firstLine="240" w:firstLineChars="100"/>
        <w:rPr>
          <w:rFonts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sz w:val="24"/>
        </w:rPr>
        <w:t>1）法定代表人授权委托书(格式见附件)；</w:t>
      </w:r>
    </w:p>
    <w:p>
      <w:pPr>
        <w:spacing w:line="360" w:lineRule="auto"/>
        <w:ind w:firstLine="240" w:firstLineChars="100"/>
        <w:rPr>
          <w:rFonts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sz w:val="24"/>
        </w:rPr>
        <w:t>2）法定代表人身份证和授权委托人身份证复印件；</w:t>
      </w:r>
    </w:p>
    <w:p>
      <w:pPr>
        <w:spacing w:line="360" w:lineRule="auto"/>
        <w:ind w:firstLine="480" w:firstLineChars="200"/>
        <w:rPr>
          <w:rFonts w:ascii="仿宋" w:hAnsi="仿宋" w:eastAsia="仿宋" w:cs="仿宋"/>
          <w:sz w:val="24"/>
        </w:rPr>
      </w:pPr>
      <w:r>
        <w:rPr>
          <w:rFonts w:hint="eastAsia" w:ascii="仿宋" w:hAnsi="仿宋" w:eastAsia="仿宋" w:cs="仿宋"/>
          <w:color w:val="000000"/>
          <w:kern w:val="0"/>
          <w:sz w:val="24"/>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果有）</w:t>
      </w:r>
    </w:p>
    <w:p>
      <w:pPr>
        <w:spacing w:line="360" w:lineRule="auto"/>
        <w:ind w:firstLine="240" w:firstLineChars="100"/>
        <w:rPr>
          <w:rFonts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sz w:val="24"/>
        </w:rPr>
        <w:t>3）营业执照(或事业法人登记证或其他工商等登记证明材料)复印件；</w:t>
      </w:r>
    </w:p>
    <w:p>
      <w:pPr>
        <w:spacing w:line="360" w:lineRule="auto"/>
        <w:ind w:firstLine="480" w:firstLineChars="200"/>
        <w:rPr>
          <w:rFonts w:ascii="仿宋" w:hAnsi="仿宋" w:eastAsia="仿宋" w:cs="仿宋"/>
          <w:sz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240" w:firstLineChars="100"/>
        <w:rPr>
          <w:rFonts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sz w:val="24"/>
        </w:rPr>
        <w:t>4）近一年度资产负债表等财务报表资料文件(新成立的公司，必须提供情况说明)；</w:t>
      </w:r>
    </w:p>
    <w:p>
      <w:pPr>
        <w:pStyle w:val="10"/>
        <w:spacing w:line="360" w:lineRule="auto"/>
        <w:ind w:firstLine="240" w:firstLineChars="100"/>
        <w:rPr>
          <w:rFonts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sz w:val="24"/>
        </w:rPr>
        <w:t>5）</w:t>
      </w:r>
      <w:r>
        <w:rPr>
          <w:rFonts w:hint="eastAsia" w:ascii="仿宋" w:hAnsi="仿宋" w:eastAsia="仿宋" w:cs="仿宋"/>
          <w:sz w:val="24"/>
          <w:szCs w:val="24"/>
        </w:rPr>
        <w:t>具有履行合同所必需的设备和专业技术能力的承诺函；</w:t>
      </w:r>
    </w:p>
    <w:p>
      <w:pPr>
        <w:spacing w:line="360" w:lineRule="auto"/>
        <w:ind w:firstLine="240" w:firstLineChars="100"/>
        <w:rPr>
          <w:rFonts w:ascii="仿宋" w:hAnsi="仿宋" w:eastAsia="仿宋" w:cs="仿宋"/>
          <w:kern w:val="0"/>
          <w:sz w:val="24"/>
        </w:rPr>
      </w:pPr>
      <w:r>
        <w:rPr>
          <w:rFonts w:hint="eastAsia" w:ascii="仿宋" w:hAnsi="仿宋" w:eastAsia="仿宋" w:cs="仿宋"/>
          <w:color w:val="000000"/>
          <w:sz w:val="24"/>
        </w:rPr>
        <w:t>★</w:t>
      </w:r>
      <w:r>
        <w:rPr>
          <w:rFonts w:hint="eastAsia" w:ascii="仿宋" w:hAnsi="仿宋" w:eastAsia="仿宋" w:cs="仿宋"/>
          <w:kern w:val="0"/>
          <w:sz w:val="24"/>
        </w:rPr>
        <w:t>6）参加政府采购活动前三年内，在经营活动中没有重大违法记录的声明（需要特别声明“没有因违反《浙江省政府采购供应商注册及诚信管理暂行办法》及《杭州大江东产业集聚区政府采购、工程建设招投标市场“黑名单”管理办法（试行）》被列入‘黑名单’，在投标限制期内”）；</w:t>
      </w:r>
    </w:p>
    <w:p>
      <w:pPr>
        <w:spacing w:line="360" w:lineRule="auto"/>
        <w:ind w:firstLine="480" w:firstLineChars="200"/>
        <w:rPr>
          <w:rFonts w:ascii="仿宋" w:hAnsi="仿宋" w:eastAsia="仿宋" w:cs="仿宋"/>
          <w:sz w:val="24"/>
        </w:rPr>
      </w:pPr>
      <w:r>
        <w:rPr>
          <w:rFonts w:hint="eastAsia" w:ascii="仿宋" w:hAnsi="仿宋" w:eastAsia="仿宋" w:cs="仿宋"/>
          <w:sz w:val="24"/>
        </w:rPr>
        <w:t>7）符合特定资格条件（如果项目要求）的有关证明材料（复印件）；</w:t>
      </w:r>
    </w:p>
    <w:p>
      <w:pPr>
        <w:spacing w:line="360" w:lineRule="auto"/>
        <w:ind w:firstLine="480" w:firstLineChars="200"/>
        <w:rPr>
          <w:rFonts w:ascii="仿宋" w:hAnsi="仿宋" w:eastAsia="仿宋" w:cs="仿宋"/>
          <w:sz w:val="24"/>
        </w:rPr>
      </w:pPr>
      <w:r>
        <w:rPr>
          <w:rFonts w:hint="eastAsia" w:ascii="仿宋" w:hAnsi="仿宋" w:eastAsia="仿宋" w:cs="仿宋"/>
          <w:sz w:val="24"/>
        </w:rPr>
        <w:t>8）联合投标协议书（如果有）；</w:t>
      </w:r>
    </w:p>
    <w:p>
      <w:pPr>
        <w:spacing w:line="360" w:lineRule="auto"/>
        <w:ind w:firstLine="480" w:firstLineChars="200"/>
        <w:rPr>
          <w:rFonts w:ascii="仿宋" w:hAnsi="仿宋" w:eastAsia="仿宋" w:cs="仿宋"/>
          <w:sz w:val="24"/>
        </w:rPr>
      </w:pPr>
      <w:r>
        <w:rPr>
          <w:rFonts w:hint="eastAsia" w:ascii="仿宋" w:hAnsi="仿宋" w:eastAsia="仿宋" w:cs="仿宋"/>
          <w:sz w:val="24"/>
        </w:rPr>
        <w:t>9）联合投标授权委托书（如果有）。</w:t>
      </w:r>
    </w:p>
    <w:p>
      <w:pPr>
        <w:spacing w:line="360" w:lineRule="auto"/>
        <w:ind w:firstLine="482" w:firstLineChars="200"/>
        <w:rPr>
          <w:rFonts w:ascii="仿宋" w:hAnsi="仿宋" w:eastAsia="仿宋" w:cs="仿宋"/>
          <w:sz w:val="24"/>
        </w:rPr>
      </w:pPr>
      <w:r>
        <w:rPr>
          <w:rFonts w:hint="eastAsia" w:ascii="仿宋" w:hAnsi="仿宋" w:eastAsia="仿宋" w:cs="仿宋"/>
          <w:b/>
          <w:sz w:val="24"/>
        </w:rPr>
        <w:t>（2）报价文件</w:t>
      </w:r>
      <w:r>
        <w:rPr>
          <w:rFonts w:hint="eastAsia" w:ascii="仿宋" w:hAnsi="仿宋" w:eastAsia="仿宋" w:cs="仿宋"/>
          <w:sz w:val="24"/>
        </w:rPr>
        <w:tab/>
      </w:r>
      <w:r>
        <w:rPr>
          <w:rFonts w:hint="eastAsia" w:ascii="仿宋" w:hAnsi="仿宋" w:eastAsia="仿宋" w:cs="仿宋"/>
          <w:b/>
          <w:sz w:val="24"/>
        </w:rPr>
        <w:t>(以下内容均需加盖公章)</w:t>
      </w:r>
    </w:p>
    <w:p>
      <w:pPr>
        <w:spacing w:line="360" w:lineRule="auto"/>
        <w:ind w:firstLine="240" w:firstLineChars="100"/>
        <w:rPr>
          <w:rFonts w:ascii="仿宋" w:hAnsi="仿宋" w:eastAsia="仿宋" w:cs="仿宋"/>
          <w:color w:val="000000"/>
          <w:kern w:val="0"/>
          <w:sz w:val="24"/>
        </w:rPr>
      </w:pPr>
      <w:r>
        <w:rPr>
          <w:rFonts w:hint="eastAsia" w:ascii="仿宋" w:hAnsi="仿宋" w:eastAsia="仿宋" w:cs="仿宋"/>
          <w:color w:val="000000"/>
          <w:sz w:val="24"/>
        </w:rPr>
        <w:t>★</w:t>
      </w:r>
      <w:r>
        <w:rPr>
          <w:rFonts w:hint="eastAsia" w:ascii="仿宋" w:hAnsi="仿宋" w:eastAsia="仿宋" w:cs="仿宋"/>
          <w:color w:val="000000"/>
          <w:kern w:val="0"/>
          <w:sz w:val="24"/>
        </w:rPr>
        <w:t>1）投标响应函；</w:t>
      </w:r>
    </w:p>
    <w:p>
      <w:pPr>
        <w:spacing w:line="360" w:lineRule="auto"/>
        <w:ind w:firstLine="240" w:firstLineChars="100"/>
        <w:rPr>
          <w:rFonts w:ascii="仿宋" w:hAnsi="仿宋" w:eastAsia="仿宋" w:cs="仿宋"/>
          <w:color w:val="000000"/>
          <w:kern w:val="0"/>
          <w:sz w:val="24"/>
        </w:rPr>
      </w:pPr>
      <w:r>
        <w:rPr>
          <w:rFonts w:hint="eastAsia" w:ascii="仿宋" w:hAnsi="仿宋" w:eastAsia="仿宋" w:cs="仿宋"/>
          <w:color w:val="000000"/>
          <w:sz w:val="24"/>
        </w:rPr>
        <w:t>★</w:t>
      </w:r>
      <w:r>
        <w:rPr>
          <w:rFonts w:hint="eastAsia" w:ascii="仿宋" w:hAnsi="仿宋" w:eastAsia="仿宋" w:cs="仿宋"/>
          <w:color w:val="000000"/>
          <w:kern w:val="0"/>
          <w:sz w:val="24"/>
        </w:rPr>
        <w:t>2）投标（开标）一览表；</w:t>
      </w:r>
    </w:p>
    <w:p>
      <w:pPr>
        <w:spacing w:line="360" w:lineRule="auto"/>
        <w:ind w:firstLine="240" w:firstLineChars="100"/>
        <w:rPr>
          <w:rFonts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color w:val="000000"/>
          <w:kern w:val="0"/>
          <w:sz w:val="24"/>
        </w:rPr>
        <w:t>3）报价明细清单。</w:t>
      </w:r>
      <w:r>
        <w:rPr>
          <w:rFonts w:hint="eastAsia" w:ascii="仿宋" w:hAnsi="仿宋" w:eastAsia="仿宋" w:cs="仿宋"/>
          <w:sz w:val="22"/>
        </w:rPr>
        <w:t xml:space="preserve">       </w:t>
      </w:r>
    </w:p>
    <w:p>
      <w:pPr>
        <w:spacing w:line="360" w:lineRule="auto"/>
        <w:ind w:firstLine="482" w:firstLineChars="200"/>
        <w:rPr>
          <w:rFonts w:ascii="仿宋" w:hAnsi="仿宋" w:eastAsia="仿宋" w:cs="仿宋"/>
          <w:bCs/>
          <w:color w:val="000000"/>
          <w:kern w:val="0"/>
          <w:sz w:val="24"/>
        </w:rPr>
      </w:pPr>
      <w:r>
        <w:rPr>
          <w:rFonts w:hint="eastAsia" w:ascii="仿宋" w:hAnsi="仿宋" w:eastAsia="仿宋" w:cs="仿宋"/>
          <w:b/>
          <w:sz w:val="24"/>
        </w:rPr>
        <w:t>（3）商务技术文件应包括：</w:t>
      </w:r>
      <w:r>
        <w:rPr>
          <w:rFonts w:hint="eastAsia" w:ascii="仿宋" w:hAnsi="仿宋" w:eastAsia="仿宋" w:cs="仿宋"/>
          <w:bCs/>
          <w:color w:val="000000"/>
          <w:kern w:val="0"/>
          <w:sz w:val="24"/>
        </w:rPr>
        <w:t>证明其为合格供应商和所提供的为合格产品的有关资格证明文件，采购文件要求提供的其他资料</w:t>
      </w:r>
      <w:r>
        <w:rPr>
          <w:rFonts w:hint="eastAsia" w:ascii="仿宋" w:hAnsi="仿宋" w:eastAsia="仿宋" w:cs="仿宋"/>
          <w:bCs/>
          <w:color w:val="000000"/>
          <w:kern w:val="0"/>
          <w:sz w:val="24"/>
          <w:lang w:val="zh-CN"/>
        </w:rPr>
        <w:t>等</w:t>
      </w:r>
      <w:r>
        <w:rPr>
          <w:rFonts w:hint="eastAsia" w:ascii="仿宋" w:hAnsi="仿宋" w:eastAsia="仿宋" w:cs="仿宋"/>
          <w:bCs/>
          <w:color w:val="000000"/>
          <w:kern w:val="0"/>
          <w:sz w:val="24"/>
        </w:rPr>
        <w:t>（均需加盖公章）。</w:t>
      </w:r>
    </w:p>
    <w:p>
      <w:pPr>
        <w:spacing w:line="360" w:lineRule="auto"/>
        <w:ind w:firstLine="240" w:firstLineChars="100"/>
        <w:rPr>
          <w:rFonts w:ascii="仿宋" w:hAnsi="仿宋" w:eastAsia="仿宋" w:cs="仿宋"/>
          <w:color w:val="FF0000"/>
          <w:kern w:val="0"/>
          <w:sz w:val="24"/>
        </w:rPr>
      </w:pPr>
      <w:r>
        <w:rPr>
          <w:rFonts w:hint="eastAsia" w:ascii="仿宋" w:hAnsi="仿宋" w:eastAsia="仿宋" w:cs="仿宋"/>
          <w:color w:val="000000"/>
          <w:sz w:val="24"/>
        </w:rPr>
        <w:t>★</w:t>
      </w:r>
      <w:r>
        <w:rPr>
          <w:rFonts w:hint="eastAsia" w:ascii="仿宋" w:hAnsi="仿宋" w:eastAsia="仿宋" w:cs="仿宋"/>
          <w:color w:val="000000"/>
          <w:kern w:val="0"/>
          <w:sz w:val="24"/>
        </w:rPr>
        <w:t>1）</w:t>
      </w:r>
      <w:r>
        <w:rPr>
          <w:rFonts w:hint="eastAsia" w:ascii="仿宋" w:hAnsi="仿宋" w:eastAsia="仿宋" w:cs="仿宋"/>
          <w:color w:val="000000"/>
          <w:sz w:val="24"/>
        </w:rPr>
        <w:t>评分索引；</w:t>
      </w:r>
    </w:p>
    <w:p>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2）法定代表人授权书，法定代表人及其授权代表的身份证复印件（正反面复印件）；如法定代表人直接参加投标并对相应文件签字的，只需提供其身份证复印件（正反面复印件）；</w:t>
      </w:r>
    </w:p>
    <w:p>
      <w:pPr>
        <w:spacing w:line="360" w:lineRule="auto"/>
        <w:ind w:firstLine="240" w:firstLineChars="100"/>
        <w:rPr>
          <w:rFonts w:ascii="仿宋" w:hAnsi="仿宋" w:eastAsia="仿宋" w:cs="仿宋"/>
          <w:color w:val="000000"/>
          <w:kern w:val="0"/>
          <w:sz w:val="24"/>
        </w:rPr>
      </w:pPr>
      <w:r>
        <w:rPr>
          <w:rFonts w:hint="eastAsia" w:ascii="仿宋" w:hAnsi="仿宋" w:eastAsia="仿宋" w:cs="仿宋"/>
          <w:color w:val="000000"/>
          <w:sz w:val="24"/>
        </w:rPr>
        <w:t>★3</w:t>
      </w:r>
      <w:r>
        <w:rPr>
          <w:rFonts w:hint="eastAsia" w:ascii="仿宋" w:hAnsi="仿宋" w:eastAsia="仿宋" w:cs="仿宋"/>
          <w:color w:val="000000"/>
          <w:kern w:val="0"/>
          <w:sz w:val="24"/>
        </w:rPr>
        <w:t>）声明书；</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4）非本地投标人售后服务机构证明材料。非本地投标人</w:t>
      </w:r>
      <w:r>
        <w:rPr>
          <w:rFonts w:hint="eastAsia" w:ascii="仿宋" w:hAnsi="仿宋" w:eastAsia="仿宋" w:cs="仿宋"/>
          <w:kern w:val="0"/>
          <w:sz w:val="24"/>
          <w:lang w:val="zh-CN"/>
        </w:rPr>
        <w:t>在杭州的分公司</w:t>
      </w:r>
      <w:r>
        <w:rPr>
          <w:rFonts w:hint="eastAsia" w:ascii="仿宋" w:hAnsi="仿宋" w:eastAsia="仿宋" w:cs="仿宋"/>
          <w:kern w:val="0"/>
          <w:sz w:val="24"/>
        </w:rPr>
        <w:t>（</w:t>
      </w:r>
      <w:r>
        <w:rPr>
          <w:rFonts w:hint="eastAsia" w:ascii="仿宋" w:hAnsi="仿宋" w:eastAsia="仿宋" w:cs="仿宋"/>
          <w:kern w:val="0"/>
          <w:sz w:val="24"/>
          <w:lang w:val="zh-CN"/>
        </w:rPr>
        <w:t>需提供本地工商注册</w:t>
      </w:r>
      <w:r>
        <w:rPr>
          <w:rFonts w:hint="eastAsia" w:ascii="仿宋" w:hAnsi="仿宋" w:eastAsia="仿宋" w:cs="仿宋"/>
          <w:kern w:val="0"/>
          <w:sz w:val="24"/>
        </w:rPr>
        <w:t>登记</w:t>
      </w:r>
      <w:r>
        <w:rPr>
          <w:rFonts w:hint="eastAsia" w:ascii="仿宋" w:hAnsi="仿宋" w:eastAsia="仿宋" w:cs="仿宋"/>
          <w:kern w:val="0"/>
          <w:sz w:val="24"/>
          <w:lang w:val="zh-CN"/>
        </w:rPr>
        <w:t>资料）或办事处</w:t>
      </w:r>
      <w:r>
        <w:rPr>
          <w:rFonts w:hint="eastAsia" w:ascii="仿宋" w:hAnsi="仿宋" w:eastAsia="仿宋" w:cs="仿宋"/>
          <w:kern w:val="0"/>
          <w:sz w:val="24"/>
        </w:rPr>
        <w:t>（</w:t>
      </w:r>
      <w:r>
        <w:rPr>
          <w:rFonts w:hint="eastAsia" w:ascii="仿宋" w:hAnsi="仿宋" w:eastAsia="仿宋" w:cs="仿宋"/>
          <w:kern w:val="0"/>
          <w:sz w:val="24"/>
          <w:lang w:val="zh-CN"/>
        </w:rPr>
        <w:t>需提供本地国内经济合作办注册资料</w:t>
      </w:r>
      <w:r>
        <w:rPr>
          <w:rFonts w:hint="eastAsia" w:ascii="仿宋" w:hAnsi="仿宋" w:eastAsia="仿宋" w:cs="仿宋"/>
          <w:kern w:val="0"/>
          <w:sz w:val="24"/>
        </w:rPr>
        <w:t>）或符合本项目服务能力并签订合作协议的第三方机构或者在中标（成交）公示后在本地设立售后服务机构作</w:t>
      </w:r>
      <w:r>
        <w:rPr>
          <w:rFonts w:hint="eastAsia" w:ascii="仿宋" w:hAnsi="仿宋" w:eastAsia="仿宋" w:cs="仿宋"/>
          <w:kern w:val="0"/>
          <w:sz w:val="24"/>
          <w:lang w:val="zh-CN"/>
        </w:rPr>
        <w:t>为常驻服务和技术支持机构；</w:t>
      </w:r>
      <w:r>
        <w:rPr>
          <w:rFonts w:hint="eastAsia" w:ascii="仿宋" w:hAnsi="仿宋" w:eastAsia="仿宋" w:cs="仿宋"/>
          <w:color w:val="000000"/>
          <w:kern w:val="0"/>
          <w:sz w:val="24"/>
        </w:rPr>
        <w:t>（如果有）</w:t>
      </w:r>
    </w:p>
    <w:p>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5）与符合性审查有关的资信文件：</w:t>
      </w:r>
      <w:r>
        <w:rPr>
          <w:rFonts w:hint="eastAsia" w:ascii="仿宋" w:hAnsi="仿宋" w:eastAsia="仿宋" w:cs="仿宋"/>
          <w:kern w:val="0"/>
          <w:sz w:val="24"/>
        </w:rPr>
        <w:t>质量管理体系认证证书、环境管理体系认证证书、职业健康安全管理体系认证、中国质量环保产品认证证书、中国环境标志产品认证证书、列入财政部和国家环保总局公布的“环境标志产品政府采购清单”的证明、拥有的专利技术证书等证明文件复印件等。</w:t>
      </w:r>
      <w:r>
        <w:rPr>
          <w:rFonts w:hint="eastAsia" w:ascii="仿宋" w:hAnsi="仿宋" w:eastAsia="仿宋" w:cs="仿宋"/>
          <w:color w:val="000000"/>
          <w:kern w:val="0"/>
          <w:sz w:val="24"/>
        </w:rPr>
        <w:t>（如果有）</w:t>
      </w:r>
    </w:p>
    <w:p>
      <w:pPr>
        <w:spacing w:line="360" w:lineRule="auto"/>
        <w:ind w:firstLine="480" w:firstLineChars="200"/>
        <w:rPr>
          <w:rFonts w:ascii="仿宋" w:hAnsi="仿宋" w:eastAsia="仿宋" w:cs="仿宋"/>
          <w:color w:val="000000"/>
          <w:kern w:val="0"/>
          <w:sz w:val="24"/>
          <w:lang w:val="zh-CN"/>
        </w:rPr>
      </w:pPr>
      <w:r>
        <w:rPr>
          <w:rFonts w:hint="eastAsia" w:ascii="仿宋" w:hAnsi="仿宋" w:eastAsia="仿宋" w:cs="仿宋"/>
          <w:color w:val="000000"/>
          <w:kern w:val="0"/>
          <w:sz w:val="24"/>
        </w:rPr>
        <w:t>6）截止投标时间近三年以来投标人的主要业绩证明材料即</w:t>
      </w:r>
      <w:r>
        <w:rPr>
          <w:rFonts w:hint="eastAsia" w:ascii="仿宋" w:hAnsi="仿宋" w:eastAsia="仿宋" w:cs="仿宋"/>
          <w:color w:val="000000"/>
          <w:kern w:val="0"/>
          <w:sz w:val="24"/>
          <w:lang w:val="zh-CN"/>
        </w:rPr>
        <w:t>合同</w:t>
      </w:r>
      <w:r>
        <w:rPr>
          <w:rFonts w:hint="eastAsia" w:ascii="仿宋" w:hAnsi="仿宋" w:eastAsia="仿宋" w:cs="仿宋"/>
          <w:color w:val="000000"/>
          <w:kern w:val="0"/>
          <w:sz w:val="24"/>
        </w:rPr>
        <w:t>和用户验收报告（联合体投标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如果有）</w:t>
      </w:r>
    </w:p>
    <w:p>
      <w:pPr>
        <w:spacing w:line="360" w:lineRule="auto"/>
        <w:ind w:firstLine="240" w:firstLineChars="100"/>
        <w:rPr>
          <w:rFonts w:ascii="仿宋" w:hAnsi="仿宋" w:eastAsia="仿宋" w:cs="仿宋"/>
          <w:color w:val="000000"/>
          <w:kern w:val="0"/>
          <w:sz w:val="24"/>
        </w:rPr>
      </w:pPr>
      <w:r>
        <w:rPr>
          <w:rFonts w:hint="eastAsia" w:ascii="仿宋" w:hAnsi="仿宋" w:eastAsia="仿宋" w:cs="仿宋"/>
          <w:color w:val="000000"/>
          <w:sz w:val="24"/>
        </w:rPr>
        <w:t>★7</w:t>
      </w:r>
      <w:r>
        <w:rPr>
          <w:rFonts w:hint="eastAsia" w:ascii="仿宋" w:hAnsi="仿宋" w:eastAsia="仿宋" w:cs="仿宋"/>
          <w:color w:val="000000"/>
          <w:kern w:val="0"/>
          <w:sz w:val="24"/>
        </w:rPr>
        <w:t>）商务偏离说明表；</w:t>
      </w:r>
    </w:p>
    <w:p>
      <w:pPr>
        <w:spacing w:line="360" w:lineRule="auto"/>
        <w:ind w:firstLine="480" w:firstLineChars="200"/>
        <w:rPr>
          <w:rFonts w:ascii="仿宋" w:hAnsi="仿宋" w:eastAsia="仿宋" w:cs="仿宋"/>
          <w:color w:val="000000"/>
          <w:kern w:val="0"/>
          <w:sz w:val="24"/>
          <w:lang w:val="zh-CN"/>
        </w:rPr>
      </w:pPr>
      <w:r>
        <w:rPr>
          <w:rFonts w:hint="eastAsia" w:ascii="仿宋" w:hAnsi="仿宋" w:eastAsia="仿宋" w:cs="仿宋"/>
          <w:color w:val="000000"/>
          <w:kern w:val="0"/>
          <w:sz w:val="24"/>
        </w:rPr>
        <w:t>8）</w:t>
      </w:r>
      <w:r>
        <w:rPr>
          <w:rFonts w:hint="eastAsia" w:ascii="仿宋" w:hAnsi="仿宋" w:eastAsia="仿宋" w:cs="仿宋"/>
          <w:color w:val="000000"/>
          <w:kern w:val="0"/>
          <w:sz w:val="24"/>
          <w:lang w:val="zh-CN"/>
        </w:rPr>
        <w:t>关于对采购文件中有关商务条款的拒绝声明；(如果有)</w:t>
      </w:r>
    </w:p>
    <w:p>
      <w:pPr>
        <w:spacing w:line="360" w:lineRule="auto"/>
        <w:ind w:firstLine="240" w:firstLineChars="100"/>
        <w:rPr>
          <w:rFonts w:ascii="仿宋" w:hAnsi="仿宋" w:eastAsia="仿宋" w:cs="仿宋"/>
          <w:color w:val="000000"/>
          <w:kern w:val="0"/>
          <w:sz w:val="24"/>
          <w:lang w:val="zh-CN"/>
        </w:rPr>
      </w:pPr>
      <w:r>
        <w:rPr>
          <w:rFonts w:hint="eastAsia" w:ascii="仿宋" w:hAnsi="仿宋" w:eastAsia="仿宋" w:cs="仿宋"/>
          <w:color w:val="000000"/>
          <w:sz w:val="24"/>
        </w:rPr>
        <w:t>★9</w:t>
      </w:r>
      <w:r>
        <w:rPr>
          <w:rFonts w:hint="eastAsia" w:ascii="仿宋" w:hAnsi="仿宋" w:eastAsia="仿宋" w:cs="仿宋"/>
          <w:color w:val="000000"/>
          <w:kern w:val="0"/>
          <w:sz w:val="24"/>
          <w:lang w:val="zh-CN"/>
        </w:rPr>
        <w:t>）廉政承诺书</w:t>
      </w:r>
    </w:p>
    <w:p>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10）</w:t>
      </w:r>
      <w:r>
        <w:rPr>
          <w:rFonts w:hint="eastAsia" w:ascii="仿宋" w:hAnsi="仿宋" w:eastAsia="仿宋" w:cs="仿宋"/>
          <w:color w:val="000000"/>
          <w:kern w:val="0"/>
          <w:sz w:val="24"/>
          <w:lang w:val="zh-CN"/>
        </w:rPr>
        <w:t>投标人认为需要的其他商务文件或说明；(如果有)</w:t>
      </w:r>
    </w:p>
    <w:p>
      <w:pPr>
        <w:spacing w:line="360" w:lineRule="auto"/>
        <w:ind w:firstLine="240" w:firstLineChars="100"/>
        <w:rPr>
          <w:rFonts w:ascii="仿宋" w:hAnsi="仿宋" w:eastAsia="仿宋" w:cs="仿宋"/>
          <w:color w:val="000000"/>
          <w:kern w:val="0"/>
          <w:sz w:val="24"/>
          <w:lang w:val="zh-CN"/>
        </w:rPr>
      </w:pPr>
      <w:r>
        <w:rPr>
          <w:rFonts w:hint="eastAsia" w:ascii="仿宋" w:hAnsi="仿宋" w:eastAsia="仿宋" w:cs="仿宋"/>
          <w:color w:val="000000"/>
          <w:sz w:val="24"/>
        </w:rPr>
        <w:t>★</w:t>
      </w:r>
      <w:r>
        <w:rPr>
          <w:rFonts w:hint="eastAsia" w:ascii="仿宋" w:hAnsi="仿宋" w:eastAsia="仿宋" w:cs="仿宋"/>
          <w:color w:val="000000"/>
          <w:kern w:val="0"/>
          <w:sz w:val="24"/>
        </w:rPr>
        <w:t>11</w:t>
      </w:r>
      <w:r>
        <w:rPr>
          <w:rFonts w:hint="eastAsia" w:ascii="仿宋" w:hAnsi="仿宋" w:eastAsia="仿宋" w:cs="仿宋"/>
          <w:color w:val="000000"/>
          <w:kern w:val="0"/>
          <w:sz w:val="24"/>
          <w:lang w:val="zh-CN"/>
        </w:rPr>
        <w:t>）投标人应提供针对项目的完整技术解决方案：</w:t>
      </w:r>
    </w:p>
    <w:p>
      <w:pPr>
        <w:spacing w:line="360" w:lineRule="auto"/>
        <w:ind w:firstLine="480" w:firstLineChars="200"/>
        <w:rPr>
          <w:rFonts w:ascii="仿宋" w:hAnsi="仿宋" w:eastAsia="仿宋" w:cs="仿宋"/>
          <w:color w:val="000000"/>
          <w:kern w:val="0"/>
          <w:sz w:val="24"/>
          <w:lang w:val="zh-CN"/>
        </w:rPr>
      </w:pPr>
      <w:r>
        <w:rPr>
          <w:rFonts w:hint="eastAsia" w:ascii="仿宋" w:hAnsi="仿宋" w:eastAsia="仿宋" w:cs="仿宋"/>
          <w:color w:val="000000"/>
          <w:kern w:val="0"/>
          <w:sz w:val="24"/>
          <w:lang w:val="zh-CN"/>
        </w:rPr>
        <w:t>针对本项目的完整技术解决方案和实施方案；详细阐述项目方案的实现思路及关键技术；符合本项目对当前和未来发展的要求；以及对功能设计和实施计划的建议；</w:t>
      </w:r>
    </w:p>
    <w:p>
      <w:pPr>
        <w:spacing w:line="360" w:lineRule="auto"/>
        <w:ind w:firstLine="482" w:firstLineChars="200"/>
        <w:rPr>
          <w:rFonts w:ascii="仿宋" w:hAnsi="仿宋" w:eastAsia="仿宋" w:cs="仿宋"/>
          <w:b/>
          <w:bCs/>
          <w:color w:val="000000"/>
          <w:kern w:val="0"/>
          <w:sz w:val="24"/>
          <w:lang w:val="zh-CN"/>
        </w:rPr>
      </w:pPr>
      <w:r>
        <w:rPr>
          <w:rFonts w:hint="eastAsia" w:ascii="仿宋" w:hAnsi="仿宋" w:eastAsia="仿宋" w:cs="仿宋"/>
          <w:b/>
          <w:bCs/>
          <w:color w:val="000000"/>
          <w:kern w:val="0"/>
          <w:sz w:val="24"/>
        </w:rPr>
        <w:t>如果本项目涉及硬件设备采购，还需提供相关设备完整配置方案（设备名称、品牌、规格型号、数量、主要技术参数等），提供主要投标产品的技术参数证明材料（如官网截图、产品彩页、原厂技术说明等），明确表示该项指标所涉及的软硬件是标准配置还是选择配置（所有技术指标表述均应采用中文，如当前公布的技术指标只有英文表述的，必须由投标人作出中文注释，否则</w:t>
      </w:r>
      <w:r>
        <w:rPr>
          <w:rFonts w:hint="eastAsia" w:ascii="仿宋" w:hAnsi="仿宋" w:eastAsia="仿宋" w:cs="仿宋"/>
          <w:b/>
          <w:bCs/>
          <w:color w:val="000000"/>
          <w:kern w:val="0"/>
          <w:sz w:val="24"/>
          <w:lang w:val="zh-CN"/>
        </w:rPr>
        <w:t>任何含糊不清的</w:t>
      </w:r>
      <w:r>
        <w:rPr>
          <w:rFonts w:hint="eastAsia" w:ascii="仿宋" w:hAnsi="仿宋" w:eastAsia="仿宋" w:cs="仿宋"/>
          <w:b/>
          <w:bCs/>
          <w:color w:val="000000"/>
          <w:kern w:val="0"/>
          <w:sz w:val="24"/>
        </w:rPr>
        <w:t>表述导致</w:t>
      </w:r>
      <w:r>
        <w:rPr>
          <w:rFonts w:hint="eastAsia" w:ascii="仿宋" w:hAnsi="仿宋" w:eastAsia="仿宋" w:cs="仿宋"/>
          <w:b/>
          <w:bCs/>
          <w:color w:val="000000"/>
          <w:kern w:val="0"/>
          <w:sz w:val="24"/>
          <w:lang w:val="zh-CN"/>
        </w:rPr>
        <w:t>评标委员会技术扣分直至认定为投标无效都将是投标人的责任）</w:t>
      </w:r>
      <w:r>
        <w:rPr>
          <w:rFonts w:hint="eastAsia" w:ascii="仿宋" w:hAnsi="仿宋" w:eastAsia="仿宋" w:cs="仿宋"/>
          <w:b/>
          <w:bCs/>
          <w:color w:val="000000"/>
          <w:kern w:val="0"/>
          <w:sz w:val="24"/>
        </w:rPr>
        <w:t>。</w:t>
      </w:r>
    </w:p>
    <w:p>
      <w:pPr>
        <w:spacing w:line="360" w:lineRule="auto"/>
        <w:ind w:firstLine="240" w:firstLineChars="100"/>
        <w:rPr>
          <w:rFonts w:ascii="仿宋" w:hAnsi="仿宋" w:eastAsia="仿宋" w:cs="仿宋"/>
          <w:color w:val="000000"/>
          <w:kern w:val="0"/>
          <w:sz w:val="24"/>
          <w:lang w:val="zh-CN"/>
        </w:rPr>
      </w:pPr>
      <w:r>
        <w:rPr>
          <w:rFonts w:hint="eastAsia" w:ascii="仿宋" w:hAnsi="仿宋" w:eastAsia="仿宋" w:cs="仿宋"/>
          <w:color w:val="000000"/>
          <w:sz w:val="24"/>
        </w:rPr>
        <w:t>★</w:t>
      </w:r>
      <w:r>
        <w:rPr>
          <w:rFonts w:hint="eastAsia" w:ascii="仿宋" w:hAnsi="仿宋" w:eastAsia="仿宋" w:cs="仿宋"/>
          <w:color w:val="000000"/>
          <w:kern w:val="0"/>
          <w:sz w:val="24"/>
        </w:rPr>
        <w:t>12）投标人在投标文件技术偏离说明表中，</w:t>
      </w:r>
      <w:r>
        <w:rPr>
          <w:rFonts w:hint="eastAsia" w:ascii="仿宋" w:hAnsi="仿宋" w:eastAsia="仿宋" w:cs="仿宋"/>
          <w:color w:val="000000"/>
          <w:kern w:val="0"/>
          <w:sz w:val="24"/>
          <w:lang w:val="zh-CN"/>
        </w:rPr>
        <w:t>应对</w:t>
      </w:r>
      <w:r>
        <w:rPr>
          <w:rFonts w:hint="eastAsia" w:ascii="仿宋" w:hAnsi="仿宋" w:eastAsia="仿宋" w:cs="仿宋"/>
          <w:color w:val="000000"/>
          <w:kern w:val="0"/>
          <w:sz w:val="24"/>
        </w:rPr>
        <w:t>项目技术规范和服务要求</w:t>
      </w:r>
      <w:r>
        <w:rPr>
          <w:rFonts w:hint="eastAsia" w:ascii="仿宋" w:hAnsi="仿宋" w:eastAsia="仿宋" w:cs="仿宋"/>
          <w:color w:val="000000"/>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代理机构将把这一情况报送采购监管部门。</w:t>
      </w:r>
    </w:p>
    <w:p>
      <w:pPr>
        <w:tabs>
          <w:tab w:val="left" w:pos="0"/>
          <w:tab w:val="left" w:pos="840"/>
          <w:tab w:val="left" w:pos="900"/>
          <w:tab w:val="left" w:pos="1080"/>
        </w:tabs>
        <w:autoSpaceDE w:val="0"/>
        <w:autoSpaceDN w:val="0"/>
        <w:snapToGrid w:val="0"/>
        <w:spacing w:line="360" w:lineRule="auto"/>
        <w:ind w:firstLine="240" w:firstLineChars="100"/>
        <w:rPr>
          <w:rFonts w:ascii="仿宋" w:hAnsi="仿宋" w:eastAsia="仿宋"/>
          <w:sz w:val="24"/>
        </w:rPr>
      </w:pPr>
      <w:r>
        <w:rPr>
          <w:rFonts w:hint="eastAsia" w:ascii="仿宋" w:hAnsi="仿宋" w:eastAsia="仿宋" w:cs="仿宋"/>
          <w:color w:val="000000"/>
          <w:sz w:val="24"/>
        </w:rPr>
        <w:t>★</w:t>
      </w:r>
      <w:r>
        <w:rPr>
          <w:rFonts w:hint="eastAsia" w:ascii="仿宋" w:hAnsi="仿宋" w:eastAsia="仿宋" w:cs="仿宋_GB2312"/>
          <w:sz w:val="24"/>
        </w:rPr>
        <w:t>13</w:t>
      </w:r>
      <w:r>
        <w:rPr>
          <w:rFonts w:hint="eastAsia" w:ascii="仿宋" w:hAnsi="仿宋" w:eastAsia="仿宋" w:cs="仿宋_GB2312"/>
          <w:sz w:val="24"/>
          <w:lang w:val="zh-CN"/>
        </w:rPr>
        <w:t>）拟派出维护机构的项目经理、技术负责人情况表、拟派出项目技术人员情况表；</w:t>
      </w:r>
      <w:r>
        <w:rPr>
          <w:rFonts w:hint="eastAsia" w:ascii="仿宋" w:hAnsi="仿宋" w:eastAsia="仿宋" w:cs="仿宋_GB2312"/>
          <w:kern w:val="0"/>
          <w:sz w:val="24"/>
          <w:lang w:val="zh-CN"/>
        </w:rPr>
        <w:t>投标人为完成本项目组建的工作小组人员情况，每个专业人员的情况和在杭州人员数应该明确表示，明确各阶段投入人数，在提交的标书中安排的人员，须为公司的固定职员；每个参加项目人员的履历表应随标书一并提交，主要内容包括学历(学院、大学和其他职业教育，列出大学的名称，就学日期以及所取得的学位)、经验与业绩</w:t>
      </w:r>
      <w:r>
        <w:rPr>
          <w:rFonts w:hint="eastAsia" w:ascii="仿宋" w:hAnsi="仿宋" w:eastAsia="仿宋" w:cs="仿宋_GB2312"/>
          <w:sz w:val="24"/>
          <w:lang w:val="zh-CN"/>
        </w:rPr>
        <w:t>；</w:t>
      </w:r>
      <w:r>
        <w:rPr>
          <w:rFonts w:hint="eastAsia" w:ascii="仿宋" w:hAnsi="仿宋" w:eastAsia="仿宋"/>
          <w:sz w:val="24"/>
        </w:rPr>
        <w:t>项目组人员的有关资质证书等</w:t>
      </w:r>
      <w:r>
        <w:rPr>
          <w:rFonts w:hint="eastAsia" w:ascii="仿宋" w:hAnsi="仿宋" w:eastAsia="仿宋" w:cs="仿宋_GB2312"/>
          <w:kern w:val="0"/>
          <w:sz w:val="24"/>
          <w:lang w:val="zh-CN"/>
        </w:rPr>
        <w:t>；</w:t>
      </w:r>
    </w:p>
    <w:p>
      <w:pPr>
        <w:tabs>
          <w:tab w:val="left" w:pos="840"/>
          <w:tab w:val="left" w:pos="900"/>
          <w:tab w:val="left" w:pos="1080"/>
        </w:tabs>
        <w:autoSpaceDE w:val="0"/>
        <w:autoSpaceDN w:val="0"/>
        <w:snapToGrid w:val="0"/>
        <w:spacing w:line="360" w:lineRule="auto"/>
        <w:ind w:firstLine="480" w:firstLineChars="200"/>
        <w:rPr>
          <w:rFonts w:ascii="仿宋" w:hAnsi="仿宋" w:eastAsia="仿宋"/>
          <w:sz w:val="24"/>
        </w:rPr>
      </w:pPr>
      <w:r>
        <w:rPr>
          <w:rFonts w:hint="eastAsia" w:ascii="仿宋" w:hAnsi="仿宋" w:eastAsia="仿宋" w:cs="仿宋_GB2312"/>
          <w:sz w:val="24"/>
        </w:rPr>
        <w:t>14</w:t>
      </w:r>
      <w:r>
        <w:rPr>
          <w:rFonts w:hint="eastAsia" w:ascii="仿宋" w:hAnsi="仿宋" w:eastAsia="仿宋" w:cs="仿宋_GB2312"/>
          <w:sz w:val="24"/>
          <w:lang w:val="zh-CN"/>
        </w:rPr>
        <w:t>）针对本项目的项目实施规划；</w:t>
      </w:r>
    </w:p>
    <w:p>
      <w:pPr>
        <w:tabs>
          <w:tab w:val="left" w:pos="840"/>
          <w:tab w:val="left" w:pos="900"/>
          <w:tab w:val="left" w:pos="1080"/>
        </w:tabs>
        <w:autoSpaceDE w:val="0"/>
        <w:autoSpaceDN w:val="0"/>
        <w:snapToGrid w:val="0"/>
        <w:spacing w:line="360" w:lineRule="auto"/>
        <w:ind w:firstLine="480" w:firstLineChars="200"/>
        <w:rPr>
          <w:rFonts w:ascii="仿宋" w:hAnsi="仿宋" w:eastAsia="仿宋"/>
          <w:sz w:val="24"/>
        </w:rPr>
      </w:pPr>
      <w:r>
        <w:rPr>
          <w:rFonts w:hint="eastAsia" w:ascii="仿宋" w:hAnsi="仿宋" w:eastAsia="仿宋" w:cs="仿宋_GB2312"/>
          <w:sz w:val="24"/>
        </w:rPr>
        <w:t>15</w:t>
      </w:r>
      <w:r>
        <w:rPr>
          <w:rFonts w:hint="eastAsia" w:ascii="仿宋" w:hAnsi="仿宋" w:eastAsia="仿宋" w:cs="仿宋_GB2312"/>
          <w:sz w:val="24"/>
          <w:lang w:val="zh-CN"/>
        </w:rPr>
        <w:t>）项目综合分析和实施建议；</w:t>
      </w:r>
    </w:p>
    <w:p>
      <w:pPr>
        <w:tabs>
          <w:tab w:val="left" w:pos="840"/>
          <w:tab w:val="left" w:pos="900"/>
          <w:tab w:val="left" w:pos="1080"/>
        </w:tabs>
        <w:autoSpaceDE w:val="0"/>
        <w:autoSpaceDN w:val="0"/>
        <w:snapToGrid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16</w:t>
      </w:r>
      <w:r>
        <w:rPr>
          <w:rFonts w:hint="eastAsia" w:ascii="仿宋" w:hAnsi="仿宋" w:eastAsia="仿宋" w:cs="仿宋_GB2312"/>
          <w:sz w:val="24"/>
          <w:lang w:val="zh-CN"/>
        </w:rPr>
        <w:t>）</w:t>
      </w:r>
      <w:r>
        <w:rPr>
          <w:rFonts w:ascii="仿宋" w:hAnsi="仿宋" w:eastAsia="仿宋" w:cs="仿宋_GB2312"/>
          <w:sz w:val="24"/>
          <w:lang w:val="zh-CN"/>
        </w:rPr>
        <w:t>服务质量保证和服务质量体系保障体系</w:t>
      </w:r>
      <w:r>
        <w:rPr>
          <w:rFonts w:hint="eastAsia" w:ascii="仿宋" w:hAnsi="仿宋" w:eastAsia="仿宋" w:cs="仿宋_GB2312"/>
          <w:sz w:val="24"/>
          <w:lang w:val="zh-CN"/>
        </w:rPr>
        <w:t>；</w:t>
      </w:r>
    </w:p>
    <w:p>
      <w:pPr>
        <w:tabs>
          <w:tab w:val="left" w:pos="840"/>
          <w:tab w:val="left" w:pos="900"/>
          <w:tab w:val="left" w:pos="1080"/>
        </w:tabs>
        <w:autoSpaceDE w:val="0"/>
        <w:autoSpaceDN w:val="0"/>
        <w:snapToGrid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17</w:t>
      </w:r>
      <w:r>
        <w:rPr>
          <w:rFonts w:hint="eastAsia" w:ascii="仿宋" w:hAnsi="仿宋" w:eastAsia="仿宋" w:cs="仿宋_GB2312"/>
          <w:sz w:val="24"/>
          <w:lang w:val="zh-CN"/>
        </w:rPr>
        <w:t>）项目验收方法的建议；</w:t>
      </w:r>
    </w:p>
    <w:p>
      <w:pPr>
        <w:pStyle w:val="25"/>
        <w:tabs>
          <w:tab w:val="left" w:pos="900"/>
          <w:tab w:val="left" w:pos="1080"/>
        </w:tabs>
        <w:snapToGrid w:val="0"/>
        <w:spacing w:before="0"/>
        <w:ind w:firstLine="480"/>
        <w:rPr>
          <w:rFonts w:ascii="仿宋" w:hAnsi="仿宋" w:eastAsia="仿宋" w:cs="仿宋_GB2312"/>
          <w:kern w:val="0"/>
          <w:lang w:val="zh-CN"/>
        </w:rPr>
      </w:pPr>
      <w:r>
        <w:rPr>
          <w:rFonts w:hint="eastAsia" w:ascii="仿宋" w:hAnsi="仿宋" w:eastAsia="仿宋" w:cs="仿宋_GB2312"/>
        </w:rPr>
        <w:t>18</w:t>
      </w:r>
      <w:r>
        <w:rPr>
          <w:rFonts w:hint="eastAsia" w:ascii="仿宋" w:hAnsi="仿宋" w:eastAsia="仿宋" w:cs="仿宋_GB2312"/>
          <w:lang w:val="zh-CN"/>
        </w:rPr>
        <w:t>）</w:t>
      </w:r>
      <w:r>
        <w:rPr>
          <w:rFonts w:hint="eastAsia" w:ascii="仿宋" w:hAnsi="仿宋" w:eastAsia="仿宋" w:cs="仿宋_GB2312"/>
          <w:kern w:val="0"/>
          <w:lang w:val="zh-CN"/>
        </w:rPr>
        <w:t>优惠条件及特殊承诺。</w:t>
      </w:r>
    </w:p>
    <w:p>
      <w:pPr>
        <w:tabs>
          <w:tab w:val="left" w:pos="900"/>
          <w:tab w:val="left" w:pos="1080"/>
        </w:tabs>
        <w:autoSpaceDE w:val="0"/>
        <w:autoSpaceDN w:val="0"/>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sz w:val="24"/>
        </w:rPr>
        <w:t>19</w:t>
      </w:r>
      <w:r>
        <w:rPr>
          <w:rFonts w:hint="eastAsia" w:ascii="仿宋" w:hAnsi="仿宋" w:eastAsia="仿宋" w:cs="仿宋_GB2312"/>
          <w:sz w:val="24"/>
          <w:lang w:val="zh-CN"/>
        </w:rPr>
        <w:t>）</w:t>
      </w:r>
      <w:r>
        <w:rPr>
          <w:rFonts w:hint="eastAsia" w:ascii="仿宋" w:hAnsi="仿宋" w:eastAsia="仿宋" w:cs="仿宋_GB2312"/>
          <w:kern w:val="0"/>
          <w:sz w:val="24"/>
          <w:lang w:val="zh-CN"/>
        </w:rPr>
        <w:t>关于对招标文件中有关条款的拒绝声明（如果有）。</w:t>
      </w:r>
    </w:p>
    <w:p>
      <w:pPr>
        <w:spacing w:line="360" w:lineRule="auto"/>
        <w:ind w:firstLine="480" w:firstLineChars="200"/>
        <w:rPr>
          <w:rFonts w:ascii="仿宋" w:hAnsi="仿宋" w:eastAsia="仿宋" w:cs="仿宋"/>
          <w:color w:val="000000"/>
          <w:kern w:val="0"/>
          <w:sz w:val="24"/>
        </w:rPr>
      </w:pPr>
      <w:r>
        <w:rPr>
          <w:rFonts w:hint="eastAsia" w:ascii="仿宋" w:hAnsi="仿宋" w:eastAsia="仿宋" w:cs="仿宋_GB2312"/>
          <w:sz w:val="24"/>
        </w:rPr>
        <w:t>20</w:t>
      </w:r>
      <w:r>
        <w:rPr>
          <w:rFonts w:hint="eastAsia" w:ascii="仿宋" w:hAnsi="仿宋" w:eastAsia="仿宋" w:cs="仿宋_GB2312"/>
          <w:sz w:val="24"/>
          <w:lang w:val="zh-CN"/>
        </w:rPr>
        <w:t>）</w:t>
      </w:r>
      <w:r>
        <w:rPr>
          <w:rFonts w:hint="eastAsia" w:ascii="仿宋" w:hAnsi="仿宋" w:eastAsia="仿宋" w:cs="仿宋_GB2312"/>
          <w:kern w:val="0"/>
          <w:sz w:val="24"/>
          <w:lang w:val="zh-CN"/>
        </w:rPr>
        <w:t>投标人认为需要的其他技术文件或说明。</w:t>
      </w:r>
      <w:r>
        <w:rPr>
          <w:rFonts w:hint="eastAsia" w:ascii="宋体" w:hAnsi="宋体" w:cs="宋体"/>
          <w:sz w:val="22"/>
        </w:rPr>
        <w:t xml:space="preserve"> </w:t>
      </w:r>
      <w:r>
        <w:rPr>
          <w:rFonts w:hint="eastAsia" w:ascii="仿宋" w:hAnsi="仿宋" w:eastAsia="仿宋" w:cs="仿宋"/>
          <w:color w:val="000000"/>
          <w:kern w:val="0"/>
          <w:sz w:val="24"/>
        </w:rPr>
        <w:t xml:space="preserve">  </w:t>
      </w:r>
      <w:r>
        <w:rPr>
          <w:rFonts w:hint="eastAsia" w:ascii="仿宋" w:hAnsi="仿宋" w:eastAsia="仿宋" w:cs="仿宋"/>
          <w:b/>
          <w:bCs/>
          <w:color w:val="000000"/>
          <w:kern w:val="0"/>
          <w:sz w:val="24"/>
        </w:rPr>
        <w:t xml:space="preserve">    </w:t>
      </w:r>
      <w:r>
        <w:rPr>
          <w:rFonts w:hint="eastAsia" w:ascii="仿宋" w:hAnsi="仿宋" w:eastAsia="仿宋" w:cs="仿宋"/>
          <w:color w:val="000000"/>
          <w:kern w:val="0"/>
          <w:sz w:val="24"/>
        </w:rPr>
        <w:t xml:space="preserve">                 </w:t>
      </w:r>
      <w:r>
        <w:rPr>
          <w:rFonts w:hint="eastAsia" w:ascii="仿宋" w:hAnsi="仿宋" w:eastAsia="仿宋" w:cs="仿宋"/>
          <w:sz w:val="22"/>
        </w:rPr>
        <w:t xml:space="preserve">          </w:t>
      </w:r>
    </w:p>
    <w:p>
      <w:pPr>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以上文件均需加盖单位公章。</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注：投标人应根据采购文件中所提供的格式，内容按顺序填写并装订成册，分别装于资格文件、</w:t>
      </w:r>
      <w:r>
        <w:rPr>
          <w:rFonts w:hint="eastAsia" w:ascii="仿宋" w:hAnsi="仿宋" w:eastAsia="仿宋" w:cs="仿宋"/>
          <w:b/>
          <w:bCs/>
          <w:kern w:val="0"/>
          <w:sz w:val="24"/>
        </w:rPr>
        <w:t>商务技术文件</w:t>
      </w:r>
      <w:r>
        <w:rPr>
          <w:rFonts w:hint="eastAsia" w:ascii="仿宋" w:hAnsi="仿宋" w:eastAsia="仿宋" w:cs="仿宋"/>
          <w:b/>
          <w:bCs/>
          <w:sz w:val="24"/>
        </w:rPr>
        <w:t>、报价文件内。</w:t>
      </w:r>
    </w:p>
    <w:p>
      <w:pPr>
        <w:numPr>
          <w:ilvl w:val="0"/>
          <w:numId w:val="4"/>
        </w:numPr>
        <w:spacing w:line="360" w:lineRule="auto"/>
        <w:ind w:firstLine="482" w:firstLineChars="200"/>
        <w:rPr>
          <w:rFonts w:ascii="仿宋" w:hAnsi="仿宋" w:eastAsia="仿宋" w:cs="仿宋"/>
          <w:b/>
          <w:bCs/>
          <w:sz w:val="24"/>
        </w:rPr>
      </w:pPr>
      <w:r>
        <w:rPr>
          <w:rFonts w:hint="eastAsia" w:ascii="仿宋" w:hAnsi="仿宋" w:eastAsia="仿宋" w:cs="仿宋"/>
          <w:b/>
          <w:bCs/>
          <w:sz w:val="24"/>
        </w:rPr>
        <w:t>投标有效期</w:t>
      </w:r>
    </w:p>
    <w:p>
      <w:pPr>
        <w:numPr>
          <w:ilvl w:val="1"/>
          <w:numId w:val="4"/>
        </w:numPr>
        <w:spacing w:line="360" w:lineRule="auto"/>
        <w:ind w:firstLine="480" w:firstLineChars="200"/>
        <w:rPr>
          <w:rFonts w:ascii="仿宋" w:hAnsi="仿宋" w:eastAsia="仿宋" w:cs="仿宋"/>
          <w:b/>
          <w:bCs/>
          <w:sz w:val="24"/>
        </w:rPr>
      </w:pPr>
      <w:r>
        <w:rPr>
          <w:rFonts w:hint="eastAsia" w:ascii="仿宋" w:hAnsi="仿宋" w:eastAsia="仿宋" w:cs="仿宋"/>
          <w:color w:val="000000"/>
          <w:kern w:val="0"/>
          <w:sz w:val="24"/>
        </w:rPr>
        <w:t>投标文件合格投递后，自投标截止日期起，至前附表所列的日期内有效。</w:t>
      </w:r>
    </w:p>
    <w:p>
      <w:pPr>
        <w:numPr>
          <w:ilvl w:val="1"/>
          <w:numId w:val="4"/>
        </w:numPr>
        <w:spacing w:line="360" w:lineRule="auto"/>
        <w:ind w:firstLine="480" w:firstLineChars="200"/>
        <w:rPr>
          <w:rFonts w:ascii="仿宋" w:hAnsi="仿宋" w:eastAsia="仿宋" w:cs="仿宋"/>
          <w:b/>
          <w:bCs/>
          <w:sz w:val="24"/>
        </w:rPr>
      </w:pPr>
      <w:r>
        <w:rPr>
          <w:rFonts w:hint="eastAsia" w:ascii="仿宋" w:hAnsi="仿宋" w:eastAsia="仿宋" w:cs="仿宋"/>
          <w:color w:val="000000"/>
          <w:kern w:val="0"/>
          <w:sz w:val="24"/>
        </w:rPr>
        <w:t>在原定投标有效期之前，如果出现特殊情况，采购代理机构可以以书面形式通知投标人延长投标有效期。</w:t>
      </w:r>
    </w:p>
    <w:p>
      <w:pPr>
        <w:numPr>
          <w:ilvl w:val="0"/>
          <w:numId w:val="4"/>
        </w:numPr>
        <w:spacing w:line="360" w:lineRule="auto"/>
        <w:ind w:firstLine="482" w:firstLineChars="200"/>
        <w:rPr>
          <w:rFonts w:ascii="仿宋" w:hAnsi="仿宋" w:eastAsia="仿宋" w:cs="仿宋"/>
          <w:b/>
          <w:bCs/>
          <w:sz w:val="24"/>
        </w:rPr>
      </w:pPr>
      <w:r>
        <w:rPr>
          <w:rFonts w:hint="eastAsia" w:ascii="仿宋" w:hAnsi="仿宋" w:eastAsia="仿宋" w:cs="仿宋"/>
          <w:b/>
          <w:bCs/>
          <w:sz w:val="24"/>
        </w:rPr>
        <w:t>投标保证金</w:t>
      </w:r>
    </w:p>
    <w:p>
      <w:pPr>
        <w:widowControl/>
        <w:numPr>
          <w:ilvl w:val="1"/>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投标保证金必须以采购公告规定的要求缴纳</w:t>
      </w:r>
      <w:r>
        <w:rPr>
          <w:rFonts w:hint="eastAsia" w:ascii="仿宋" w:hAnsi="仿宋" w:eastAsia="仿宋" w:cs="仿宋"/>
        </w:rPr>
        <w:t>，</w:t>
      </w:r>
      <w:r>
        <w:rPr>
          <w:rFonts w:hint="eastAsia" w:ascii="仿宋" w:hAnsi="仿宋" w:eastAsia="仿宋" w:cs="仿宋"/>
          <w:color w:val="000000"/>
          <w:kern w:val="0"/>
          <w:sz w:val="24"/>
        </w:rPr>
        <w:t>作为投标文件的一个组成部分。</w:t>
      </w:r>
    </w:p>
    <w:p>
      <w:pPr>
        <w:widowControl/>
        <w:numPr>
          <w:ilvl w:val="1"/>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联合体投标的，可以由联合体中的一方或者共同提交投标保证金，以一方名义提交投标保证金的，对联合体各方均具有约束力。</w:t>
      </w:r>
    </w:p>
    <w:p>
      <w:pPr>
        <w:widowControl/>
        <w:numPr>
          <w:ilvl w:val="1"/>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采购代理机构将拒绝未能按规定方式、时间和数额交纳投标保证金的投标人。</w:t>
      </w:r>
    </w:p>
    <w:p>
      <w:pPr>
        <w:widowControl/>
        <w:numPr>
          <w:ilvl w:val="1"/>
          <w:numId w:val="4"/>
        </w:numPr>
        <w:spacing w:line="360" w:lineRule="auto"/>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投标保证金一经缴入均需成交公示期满无异议后方可转帐退付。</w:t>
      </w:r>
      <w:r>
        <w:rPr>
          <w:rFonts w:hint="eastAsia" w:ascii="仿宋" w:hAnsi="仿宋" w:eastAsia="仿宋" w:cs="仿宋"/>
          <w:color w:val="000000"/>
          <w:kern w:val="0"/>
          <w:sz w:val="24"/>
        </w:rPr>
        <w:t>中标人按要求提交资料后，在五个工作日内全额计息退还其投标保证金。</w:t>
      </w:r>
      <w:r>
        <w:rPr>
          <w:rFonts w:hint="eastAsia" w:ascii="仿宋" w:hAnsi="仿宋" w:eastAsia="仿宋" w:cs="仿宋"/>
          <w:color w:val="000000"/>
          <w:kern w:val="0"/>
          <w:sz w:val="24"/>
          <w:lang w:val="zh-CN"/>
        </w:rPr>
        <w:t>未中标人的投标保证金将在中标通知书发出后五个工作日内全额计息退还，未中标单位</w:t>
      </w:r>
      <w:r>
        <w:rPr>
          <w:rFonts w:hint="eastAsia" w:ascii="仿宋" w:hAnsi="仿宋" w:eastAsia="仿宋" w:cs="仿宋"/>
          <w:color w:val="000000"/>
          <w:kern w:val="0"/>
          <w:sz w:val="24"/>
        </w:rPr>
        <w:t>投标保证金由银行直接退付至投标人缴纳保证金的账户，无需投标人至现场办理。</w:t>
      </w:r>
    </w:p>
    <w:p>
      <w:pPr>
        <w:widowControl/>
        <w:numPr>
          <w:ilvl w:val="1"/>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lang w:val="zh-CN"/>
        </w:rPr>
        <w:t>如投标人有下列情况，将不予退还投标保证金：</w:t>
      </w:r>
    </w:p>
    <w:p>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（1）投标人在投标有效期内撤销投标文件；</w:t>
      </w:r>
    </w:p>
    <w:p>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（2）中标人未按规定提供履约保证金的；</w:t>
      </w:r>
    </w:p>
    <w:p>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（3）投标人在投标过程中弄虚作假，提供虚假材料的；</w:t>
      </w:r>
    </w:p>
    <w:p>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（4）中标人无正当理由不与采购人签订合同的；</w:t>
      </w:r>
    </w:p>
    <w:p>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（5）将中标项目转让给他人或者在投标文件中未说明且未经采购人同意，将中标项目转让给他人的；</w:t>
      </w:r>
    </w:p>
    <w:p>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（6）认定串标或者其他严重扰乱招投标程序的；</w:t>
      </w:r>
    </w:p>
    <w:p>
      <w:pPr>
        <w:widowControl/>
        <w:spacing w:line="360" w:lineRule="auto"/>
        <w:ind w:firstLine="480" w:firstLineChars="200"/>
        <w:rPr>
          <w:rFonts w:ascii="仿宋" w:hAnsi="仿宋" w:eastAsia="仿宋" w:cs="仿宋"/>
          <w:b/>
          <w:bCs/>
          <w:sz w:val="24"/>
        </w:rPr>
      </w:pPr>
      <w:r>
        <w:rPr>
          <w:rFonts w:hint="eastAsia" w:ascii="仿宋" w:hAnsi="仿宋" w:eastAsia="仿宋" w:cs="仿宋"/>
          <w:color w:val="000000"/>
          <w:kern w:val="0"/>
          <w:sz w:val="24"/>
        </w:rPr>
        <w:t>（7）其他违反本采购文件规定的情形。</w:t>
      </w:r>
    </w:p>
    <w:p>
      <w:pPr>
        <w:numPr>
          <w:ilvl w:val="0"/>
          <w:numId w:val="4"/>
        </w:numPr>
        <w:spacing w:line="360" w:lineRule="auto"/>
        <w:ind w:firstLine="482" w:firstLineChars="200"/>
        <w:rPr>
          <w:rFonts w:ascii="仿宋" w:hAnsi="仿宋" w:eastAsia="仿宋" w:cs="仿宋"/>
          <w:b/>
          <w:bCs/>
          <w:sz w:val="24"/>
        </w:rPr>
      </w:pPr>
      <w:r>
        <w:rPr>
          <w:rFonts w:hint="eastAsia" w:ascii="仿宋" w:hAnsi="仿宋" w:eastAsia="仿宋" w:cs="仿宋"/>
          <w:b/>
          <w:bCs/>
          <w:color w:val="000000"/>
          <w:kern w:val="0"/>
          <w:sz w:val="24"/>
        </w:rPr>
        <w:t>投标文件的编制、签署</w:t>
      </w:r>
    </w:p>
    <w:p>
      <w:pPr>
        <w:widowControl/>
        <w:numPr>
          <w:ilvl w:val="1"/>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每个标项投标文件分为</w:t>
      </w:r>
      <w:r>
        <w:rPr>
          <w:rFonts w:hint="eastAsia" w:ascii="仿宋" w:hAnsi="仿宋" w:eastAsia="仿宋" w:cs="仿宋"/>
          <w:b/>
          <w:bCs/>
          <w:color w:val="000000"/>
          <w:kern w:val="0"/>
          <w:sz w:val="24"/>
        </w:rPr>
        <w:t>资格文件、报价文件、商务技术文件三部分，并将三部分分别装订成册，投标文件的装订必须采用胶订或线订形式，不得采用活页装订方式（胶订或线订以外装订形式视为活页装订），报价文件（含封面）为3页纸及以下的可不胶装装订。</w:t>
      </w:r>
      <w:r>
        <w:rPr>
          <w:rFonts w:hint="eastAsia" w:ascii="仿宋" w:hAnsi="仿宋" w:eastAsia="仿宋" w:cs="仿宋"/>
          <w:color w:val="000000"/>
          <w:kern w:val="0"/>
          <w:sz w:val="24"/>
        </w:rPr>
        <w:t>各投标人在编制投标文件时请按照采购文件第六部分规定的格式进行，混乱的编排导致投标文件被误读或评标委员会查找不到有效文件是投标人的风险。</w:t>
      </w:r>
    </w:p>
    <w:p>
      <w:pPr>
        <w:widowControl/>
        <w:numPr>
          <w:ilvl w:val="1"/>
          <w:numId w:val="4"/>
        </w:numPr>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投标人按前附表规定的份数编制投标文件，并在封面上标明“正本”和“副本”字样，项目名称、标项号（如果有）并加盖投标人公章。正本内容与副本不一致时，以正本为准。投标文件正本和副本如有不一致之处，以正本为准。</w:t>
      </w:r>
    </w:p>
    <w:p>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参考格式详见本采购文件第六部分。</w:t>
      </w:r>
    </w:p>
    <w:p>
      <w:pPr>
        <w:widowControl/>
        <w:numPr>
          <w:ilvl w:val="1"/>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投标文件正本应使用不能擦去的墨水打印或书写，并按照采购文件第六部分要求进行签字、盖章。</w:t>
      </w:r>
    </w:p>
    <w:p>
      <w:pPr>
        <w:widowControl/>
        <w:numPr>
          <w:ilvl w:val="1"/>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全套投标文件应无涂改和行间插字，除非这些删改是根据采购代理机构要求进行，或者是投标人造成的必须修改的错误。所修改处应由投标人代表签字予以确认，否则，修改处不予认可。</w:t>
      </w:r>
    </w:p>
    <w:p>
      <w:pPr>
        <w:widowControl/>
        <w:numPr>
          <w:ilvl w:val="1"/>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投标文件提倡A4幅面双面打印，并按顺序统一编目编码装订成册。</w:t>
      </w:r>
    </w:p>
    <w:p>
      <w:pPr>
        <w:widowControl/>
        <w:numPr>
          <w:ilvl w:val="0"/>
          <w:numId w:val="4"/>
        </w:numPr>
        <w:spacing w:line="360" w:lineRule="auto"/>
        <w:ind w:firstLine="482" w:firstLineChars="200"/>
        <w:outlineLvl w:val="2"/>
        <w:rPr>
          <w:rFonts w:ascii="仿宋" w:hAnsi="仿宋" w:eastAsia="仿宋" w:cs="仿宋"/>
          <w:b/>
          <w:bCs/>
          <w:color w:val="000000"/>
          <w:kern w:val="0"/>
          <w:sz w:val="24"/>
        </w:rPr>
      </w:pPr>
      <w:bookmarkStart w:id="65" w:name="_Toc2768"/>
      <w:bookmarkStart w:id="66" w:name="_Toc32392"/>
      <w:r>
        <w:rPr>
          <w:rFonts w:hint="eastAsia" w:ascii="仿宋" w:hAnsi="仿宋" w:eastAsia="仿宋" w:cs="仿宋"/>
          <w:b/>
          <w:bCs/>
          <w:color w:val="000000"/>
          <w:kern w:val="0"/>
          <w:sz w:val="24"/>
        </w:rPr>
        <w:t>投标文件的密封与标志</w:t>
      </w:r>
      <w:bookmarkEnd w:id="65"/>
      <w:bookmarkEnd w:id="66"/>
    </w:p>
    <w:p>
      <w:pPr>
        <w:widowControl/>
        <w:numPr>
          <w:ilvl w:val="1"/>
          <w:numId w:val="4"/>
        </w:numPr>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投标文件须密封包装并在包装封面上加盖投标人公章。</w:t>
      </w:r>
    </w:p>
    <w:p>
      <w:pPr>
        <w:widowControl/>
        <w:numPr>
          <w:ilvl w:val="1"/>
          <w:numId w:val="4"/>
        </w:numPr>
        <w:spacing w:line="360" w:lineRule="auto"/>
        <w:ind w:firstLine="482" w:firstLineChars="200"/>
        <w:rPr>
          <w:rFonts w:ascii="仿宋" w:hAnsi="仿宋" w:eastAsia="仿宋" w:cs="仿宋"/>
          <w:color w:val="FF0000"/>
          <w:kern w:val="0"/>
          <w:sz w:val="24"/>
        </w:rPr>
      </w:pPr>
      <w:r>
        <w:rPr>
          <w:rFonts w:hint="eastAsia" w:ascii="仿宋" w:hAnsi="仿宋" w:eastAsia="仿宋" w:cs="仿宋"/>
          <w:b/>
          <w:bCs/>
          <w:color w:val="FF0000"/>
          <w:kern w:val="0"/>
          <w:sz w:val="24"/>
        </w:rPr>
        <w:t>资格文件、报价文件、商务技术文件分别单独密封包装</w:t>
      </w:r>
      <w:r>
        <w:rPr>
          <w:rFonts w:hint="eastAsia" w:ascii="仿宋" w:hAnsi="仿宋" w:eastAsia="仿宋" w:cs="仿宋"/>
          <w:b/>
          <w:bCs/>
          <w:kern w:val="0"/>
          <w:sz w:val="24"/>
        </w:rPr>
        <w:t>；密封袋上须注明项目名称及类似（报价文件或资格文件或商务技术文件）字样并加盖投标人公章。不同标项的报价文件须各自单独密封与标注。任何其他投标文件中不得出现投标报价。</w:t>
      </w:r>
    </w:p>
    <w:p>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参考格式详情见本采购文件第六部分。</w:t>
      </w:r>
    </w:p>
    <w:p>
      <w:pPr>
        <w:widowControl/>
        <w:numPr>
          <w:ilvl w:val="1"/>
          <w:numId w:val="4"/>
        </w:numPr>
        <w:spacing w:line="360" w:lineRule="auto"/>
        <w:ind w:firstLine="482" w:firstLineChars="200"/>
        <w:rPr>
          <w:rFonts w:ascii="仿宋" w:hAnsi="仿宋" w:eastAsia="仿宋" w:cs="仿宋"/>
          <w:b/>
          <w:bCs/>
          <w:sz w:val="24"/>
        </w:rPr>
      </w:pPr>
      <w:r>
        <w:rPr>
          <w:rFonts w:hint="eastAsia" w:ascii="仿宋" w:hAnsi="仿宋" w:eastAsia="仿宋" w:cs="仿宋"/>
          <w:b/>
          <w:bCs/>
          <w:color w:val="000000"/>
          <w:kern w:val="0"/>
          <w:sz w:val="24"/>
        </w:rPr>
        <w:t>投标文件中授权委托书、投标函、投标报价明细表、声明书等相关文件须按采购文件第六部分格式要求签署、盖章。</w:t>
      </w:r>
    </w:p>
    <w:p>
      <w:pPr>
        <w:numPr>
          <w:ilvl w:val="1"/>
          <w:numId w:val="2"/>
        </w:numPr>
        <w:spacing w:line="360" w:lineRule="auto"/>
        <w:jc w:val="center"/>
        <w:outlineLvl w:val="0"/>
        <w:rPr>
          <w:rFonts w:ascii="仿宋" w:hAnsi="仿宋" w:eastAsia="仿宋" w:cs="仿宋"/>
          <w:b/>
          <w:sz w:val="32"/>
          <w:szCs w:val="32"/>
        </w:rPr>
      </w:pPr>
      <w:bookmarkStart w:id="67" w:name="_Toc23220"/>
      <w:r>
        <w:rPr>
          <w:rFonts w:hint="eastAsia" w:ascii="仿宋" w:hAnsi="仿宋" w:eastAsia="仿宋" w:cs="仿宋"/>
          <w:b/>
          <w:sz w:val="32"/>
          <w:szCs w:val="32"/>
        </w:rPr>
        <w:t>投标文件的递交</w:t>
      </w:r>
      <w:bookmarkEnd w:id="67"/>
    </w:p>
    <w:p>
      <w:pPr>
        <w:widowControl/>
        <w:numPr>
          <w:ilvl w:val="0"/>
          <w:numId w:val="4"/>
        </w:numPr>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投标截止时间</w:t>
      </w:r>
    </w:p>
    <w:p>
      <w:pPr>
        <w:widowControl/>
        <w:numPr>
          <w:ilvl w:val="1"/>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投标人应按前附表规定的时间、地点向采购代理机构递交投标文件，采购代理机构拒绝接受逾期送达的投标文件及其该项目的投标。</w:t>
      </w:r>
    </w:p>
    <w:p>
      <w:pPr>
        <w:widowControl/>
        <w:numPr>
          <w:ilvl w:val="1"/>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采购代理机构可以按本须知规定以补充通知的方式，酌情延长递交投标文件的截止时间。在上述情况下，采购代理机构与投标人此前在投标截止时间方面的全部权利、责任和义务，将适用于延长后新的投标截止时间。</w:t>
      </w:r>
    </w:p>
    <w:p>
      <w:pPr>
        <w:widowControl/>
        <w:numPr>
          <w:ilvl w:val="1"/>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不论投标人中标与否，已拆封的投标文件均不予退回。</w:t>
      </w:r>
    </w:p>
    <w:p>
      <w:pPr>
        <w:widowControl/>
        <w:numPr>
          <w:ilvl w:val="0"/>
          <w:numId w:val="4"/>
        </w:numPr>
        <w:spacing w:line="360" w:lineRule="auto"/>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投标文件的修改</w:t>
      </w:r>
    </w:p>
    <w:p>
      <w:pPr>
        <w:widowControl/>
        <w:numPr>
          <w:ilvl w:val="1"/>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投标人递交投标文件以后，在规定的投标截止时间之前，可以书面形式对投</w:t>
      </w:r>
    </w:p>
    <w:p>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标文件进行补充、修改，并由投标人代表签字确认；在投标截止时间以后，不能修改、补充投标文件。</w:t>
      </w:r>
    </w:p>
    <w:p>
      <w:pPr>
        <w:widowControl/>
        <w:numPr>
          <w:ilvl w:val="1"/>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投标人的修改通知，应按本须知规定编制、密封、标志和递交，如果一份标书有几份函件时，应注明哪一份有效，否则所作修改视为无效。</w:t>
      </w:r>
    </w:p>
    <w:p>
      <w:pPr>
        <w:widowControl/>
        <w:numPr>
          <w:ilvl w:val="1"/>
          <w:numId w:val="4"/>
        </w:numPr>
        <w:spacing w:line="360" w:lineRule="auto"/>
        <w:ind w:firstLine="480" w:firstLineChars="200"/>
        <w:rPr>
          <w:rFonts w:ascii="仿宋" w:hAnsi="仿宋" w:eastAsia="仿宋" w:cs="仿宋"/>
          <w:sz w:val="24"/>
        </w:rPr>
      </w:pPr>
      <w:r>
        <w:rPr>
          <w:rFonts w:hint="eastAsia" w:ascii="仿宋" w:hAnsi="仿宋" w:eastAsia="仿宋" w:cs="仿宋"/>
          <w:color w:val="000000"/>
          <w:kern w:val="0"/>
          <w:sz w:val="24"/>
        </w:rPr>
        <w:t>自投标截止时间起至采购文件中规定的有效时间止，投标人不能撤回投标文件，否则其投标保证金将不予退还。</w:t>
      </w:r>
    </w:p>
    <w:p>
      <w:pPr>
        <w:numPr>
          <w:ilvl w:val="1"/>
          <w:numId w:val="2"/>
        </w:numPr>
        <w:spacing w:line="360" w:lineRule="auto"/>
        <w:jc w:val="center"/>
        <w:outlineLvl w:val="0"/>
        <w:rPr>
          <w:rFonts w:ascii="仿宋" w:hAnsi="仿宋" w:eastAsia="仿宋" w:cs="仿宋"/>
          <w:b/>
          <w:sz w:val="32"/>
          <w:szCs w:val="32"/>
        </w:rPr>
      </w:pPr>
      <w:bookmarkStart w:id="68" w:name="_Toc9926"/>
      <w:r>
        <w:rPr>
          <w:rFonts w:hint="eastAsia" w:ascii="仿宋" w:hAnsi="仿宋" w:eastAsia="仿宋" w:cs="仿宋"/>
          <w:b/>
          <w:sz w:val="32"/>
          <w:szCs w:val="32"/>
        </w:rPr>
        <w:t>开标</w:t>
      </w:r>
      <w:bookmarkEnd w:id="68"/>
    </w:p>
    <w:p>
      <w:pPr>
        <w:numPr>
          <w:ilvl w:val="0"/>
          <w:numId w:val="4"/>
        </w:numPr>
        <w:tabs>
          <w:tab w:val="left" w:pos="0"/>
        </w:tabs>
        <w:spacing w:line="360" w:lineRule="auto"/>
        <w:ind w:firstLine="482" w:firstLineChars="200"/>
        <w:outlineLvl w:val="0"/>
        <w:rPr>
          <w:rFonts w:ascii="仿宋" w:hAnsi="仿宋" w:eastAsia="仿宋" w:cs="仿宋"/>
          <w:b/>
          <w:sz w:val="24"/>
        </w:rPr>
      </w:pPr>
      <w:bookmarkStart w:id="69" w:name="_Toc8191"/>
      <w:bookmarkStart w:id="70" w:name="_Toc871"/>
      <w:r>
        <w:rPr>
          <w:rFonts w:hint="eastAsia" w:ascii="仿宋" w:hAnsi="仿宋" w:eastAsia="仿宋" w:cs="仿宋"/>
          <w:b/>
          <w:sz w:val="24"/>
        </w:rPr>
        <w:t>开标</w:t>
      </w:r>
      <w:bookmarkEnd w:id="69"/>
      <w:bookmarkEnd w:id="70"/>
    </w:p>
    <w:p>
      <w:pPr>
        <w:pStyle w:val="28"/>
        <w:numPr>
          <w:ilvl w:val="1"/>
          <w:numId w:val="4"/>
        </w:numPr>
        <w:spacing w:before="0"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采购代理机构将按照采购公告规定的时间、地点组织开标，开标采取先拆封资格文件，后拆封商务技术文件，商务技术评审后拆封报价文件的顺序进行。具体按以下程序进行。</w:t>
      </w:r>
    </w:p>
    <w:p>
      <w:pPr>
        <w:pStyle w:val="28"/>
        <w:numPr>
          <w:ilvl w:val="1"/>
          <w:numId w:val="4"/>
        </w:numPr>
        <w:spacing w:before="0"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采购代理机构将核验出席开标活动现场的各投标人法定代表人或其授权代表及相关单位人员身份，并组织其分别登记、签到，无关人员不得进入现场。各投标人法定代表人或其授权代表应准时参加，携带本人有效证件原件（身份证、驾驶证或护照），投标文件中按要求提供法定代表人授权书。投标人如不派代表参加开标大会的，事后不得对采购相关人员、开标过程和开标结果提出异议。</w:t>
      </w:r>
    </w:p>
    <w:p>
      <w:pPr>
        <w:pStyle w:val="28"/>
        <w:numPr>
          <w:ilvl w:val="1"/>
          <w:numId w:val="4"/>
        </w:numPr>
        <w:spacing w:before="0" w:line="360" w:lineRule="auto"/>
        <w:ind w:firstLine="480" w:firstLineChars="200"/>
        <w:rPr>
          <w:rFonts w:ascii="仿宋" w:hAnsi="仿宋" w:eastAsia="仿宋" w:cs="仿宋"/>
          <w:sz w:val="24"/>
          <w:szCs w:val="24"/>
        </w:rPr>
      </w:pPr>
      <w:r>
        <w:rPr>
          <w:rFonts w:hint="eastAsia" w:ascii="仿宋" w:hAnsi="仿宋" w:eastAsia="仿宋" w:cs="仿宋"/>
          <w:sz w:val="24"/>
          <w:szCs w:val="24"/>
        </w:rPr>
        <w:t>对现场接受采购响应文件的，由现场工作人员接收采购响应文件并登记，请供应商代表对采购响应文件的递交记录情况进行签字确认。</w:t>
      </w:r>
    </w:p>
    <w:p>
      <w:pPr>
        <w:pStyle w:val="25"/>
        <w:numPr>
          <w:ilvl w:val="1"/>
          <w:numId w:val="4"/>
        </w:numPr>
        <w:spacing w:before="0"/>
        <w:ind w:firstLine="482"/>
        <w:rPr>
          <w:rFonts w:ascii="仿宋" w:hAnsi="仿宋" w:eastAsia="仿宋" w:cs="仿宋"/>
          <w:b/>
          <w:bCs/>
          <w:color w:val="000000"/>
          <w:kern w:val="0"/>
          <w:szCs w:val="24"/>
        </w:rPr>
      </w:pPr>
      <w:r>
        <w:rPr>
          <w:rFonts w:hint="eastAsia" w:ascii="仿宋" w:hAnsi="仿宋" w:eastAsia="仿宋" w:cs="仿宋"/>
          <w:b/>
          <w:bCs/>
          <w:color w:val="000000"/>
          <w:kern w:val="0"/>
          <w:szCs w:val="24"/>
        </w:rPr>
        <w:t>有下列情况之一者，投标文件将被拒绝接受：</w:t>
      </w:r>
    </w:p>
    <w:p>
      <w:pPr>
        <w:pStyle w:val="25"/>
        <w:numPr>
          <w:ilvl w:val="2"/>
          <w:numId w:val="4"/>
        </w:numPr>
        <w:spacing w:before="0"/>
        <w:ind w:firstLine="480"/>
        <w:rPr>
          <w:rFonts w:ascii="仿宋" w:hAnsi="仿宋" w:eastAsia="仿宋" w:cs="仿宋"/>
          <w:color w:val="000000"/>
          <w:kern w:val="0"/>
          <w:szCs w:val="24"/>
        </w:rPr>
      </w:pPr>
      <w:r>
        <w:rPr>
          <w:rFonts w:hint="eastAsia" w:ascii="仿宋" w:hAnsi="仿宋" w:eastAsia="仿宋" w:cs="仿宋"/>
          <w:color w:val="000000"/>
          <w:kern w:val="0"/>
          <w:szCs w:val="24"/>
        </w:rPr>
        <w:t>在采购文件要求提交投标文件的截止时间之后送达投标文件的；</w:t>
      </w:r>
    </w:p>
    <w:p>
      <w:pPr>
        <w:pStyle w:val="25"/>
        <w:numPr>
          <w:ilvl w:val="2"/>
          <w:numId w:val="4"/>
        </w:numPr>
        <w:spacing w:before="0"/>
        <w:ind w:firstLine="480"/>
        <w:rPr>
          <w:rFonts w:ascii="仿宋" w:hAnsi="仿宋" w:eastAsia="仿宋" w:cs="仿宋"/>
          <w:color w:val="000000"/>
          <w:kern w:val="0"/>
          <w:szCs w:val="24"/>
        </w:rPr>
      </w:pPr>
      <w:r>
        <w:rPr>
          <w:rFonts w:hint="eastAsia" w:ascii="仿宋" w:hAnsi="仿宋" w:eastAsia="仿宋" w:cs="仿宋"/>
          <w:color w:val="000000"/>
          <w:kern w:val="0"/>
          <w:szCs w:val="24"/>
        </w:rPr>
        <w:t>投标人代表未在规定时间到达开标现场或未出具有效身份证明原件的；</w:t>
      </w:r>
    </w:p>
    <w:p>
      <w:pPr>
        <w:widowControl/>
        <w:numPr>
          <w:ilvl w:val="2"/>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由于包装不妥严重破损或失散的；</w:t>
      </w:r>
    </w:p>
    <w:p>
      <w:pPr>
        <w:widowControl/>
        <w:numPr>
          <w:ilvl w:val="2"/>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未按照采购文件规定要求包装、或未签字、盖章、密封的；</w:t>
      </w:r>
    </w:p>
    <w:p>
      <w:pPr>
        <w:widowControl/>
        <w:numPr>
          <w:ilvl w:val="2"/>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以电讯、邮寄形式投标的；</w:t>
      </w:r>
    </w:p>
    <w:p>
      <w:pPr>
        <w:widowControl/>
        <w:numPr>
          <w:ilvl w:val="2"/>
          <w:numId w:val="4"/>
        </w:numPr>
        <w:tabs>
          <w:tab w:val="left" w:pos="439"/>
        </w:tabs>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投标文件包装封面上单位与报名单位不一致的；</w:t>
      </w:r>
    </w:p>
    <w:p>
      <w:pPr>
        <w:widowControl/>
        <w:numPr>
          <w:ilvl w:val="2"/>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投标人未提交规定数量投标文件的；</w:t>
      </w:r>
    </w:p>
    <w:p>
      <w:pPr>
        <w:pStyle w:val="25"/>
        <w:numPr>
          <w:ilvl w:val="2"/>
          <w:numId w:val="4"/>
        </w:numPr>
        <w:spacing w:before="0"/>
        <w:ind w:firstLine="480"/>
        <w:rPr>
          <w:rFonts w:ascii="仿宋" w:hAnsi="仿宋" w:eastAsia="仿宋" w:cs="仿宋"/>
          <w:szCs w:val="24"/>
        </w:rPr>
      </w:pPr>
      <w:r>
        <w:rPr>
          <w:rFonts w:hint="eastAsia" w:ascii="仿宋" w:hAnsi="仿宋" w:eastAsia="仿宋" w:cs="仿宋"/>
          <w:color w:val="000000"/>
          <w:kern w:val="0"/>
          <w:szCs w:val="24"/>
        </w:rPr>
        <w:t xml:space="preserve">其他应当被拒绝投标的事项。 </w:t>
      </w:r>
    </w:p>
    <w:p>
      <w:pPr>
        <w:pStyle w:val="28"/>
        <w:numPr>
          <w:ilvl w:val="1"/>
          <w:numId w:val="4"/>
        </w:numPr>
        <w:spacing w:before="0" w:line="360" w:lineRule="auto"/>
        <w:ind w:firstLine="480" w:firstLineChars="200"/>
        <w:rPr>
          <w:rFonts w:ascii="仿宋" w:hAnsi="仿宋" w:eastAsia="仿宋" w:cs="仿宋"/>
          <w:sz w:val="24"/>
          <w:szCs w:val="24"/>
        </w:rPr>
      </w:pPr>
      <w:r>
        <w:rPr>
          <w:rFonts w:hint="eastAsia" w:ascii="仿宋" w:hAnsi="仿宋" w:eastAsia="仿宋" w:cs="仿宋"/>
          <w:sz w:val="24"/>
          <w:szCs w:val="24"/>
        </w:rPr>
        <w:t>主持人宣布开标，介绍开标现场的人员情况，宣读递交投标文件的投标人名单、开标纪律、应当回避的情形等注意事项，组织投标人签署不存在影响公平竞争的《政府采购活动现场确认声明书》。</w:t>
      </w:r>
    </w:p>
    <w:p>
      <w:pPr>
        <w:numPr>
          <w:ilvl w:val="1"/>
          <w:numId w:val="4"/>
        </w:num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提请供应商代表查验采购响应文件密封情况。</w:t>
      </w:r>
    </w:p>
    <w:p>
      <w:pPr>
        <w:numPr>
          <w:ilvl w:val="1"/>
          <w:numId w:val="4"/>
        </w:numPr>
        <w:spacing w:line="360" w:lineRule="auto"/>
        <w:ind w:firstLine="480" w:firstLineChars="200"/>
        <w:rPr>
          <w:rFonts w:ascii="仿宋" w:hAnsi="仿宋" w:eastAsia="仿宋" w:cs="仿宋"/>
          <w:bCs/>
          <w:sz w:val="24"/>
        </w:rPr>
      </w:pPr>
      <w:r>
        <w:rPr>
          <w:rFonts w:hint="eastAsia" w:ascii="仿宋" w:hAnsi="仿宋" w:eastAsia="仿宋" w:cs="仿宋"/>
          <w:bCs/>
          <w:sz w:val="24"/>
        </w:rPr>
        <w:t>投标人资格审查：本项目资格文件拆封后，采购人将依法对投标人的资格进行审查，</w:t>
      </w:r>
      <w:r>
        <w:rPr>
          <w:rFonts w:hint="eastAsia" w:ascii="仿宋" w:hAnsi="仿宋" w:eastAsia="仿宋" w:cs="仿宋"/>
          <w:color w:val="000000"/>
          <w:kern w:val="0"/>
          <w:sz w:val="24"/>
        </w:rPr>
        <w:t>对投标人保证金（含投标、谈判、磋商、报价保证金，下同）缴纳情况进行查验、核实，</w:t>
      </w:r>
      <w:r>
        <w:rPr>
          <w:rFonts w:hint="eastAsia" w:ascii="仿宋" w:hAnsi="仿宋" w:eastAsia="仿宋" w:cs="仿宋"/>
          <w:bCs/>
          <w:sz w:val="24"/>
        </w:rPr>
        <w:t>采购人或采购代理机构对投标人所提供的资格证明材料仅负审核的责任。如发现投标人所提供的资格证明材料不合法或不真实，采购人可取消其中标资格并追究法律责任。</w:t>
      </w:r>
    </w:p>
    <w:p>
      <w:pPr>
        <w:numPr>
          <w:ilvl w:val="1"/>
          <w:numId w:val="4"/>
        </w:numPr>
        <w:spacing w:line="360" w:lineRule="auto"/>
        <w:ind w:firstLine="480" w:firstLineChars="200"/>
        <w:rPr>
          <w:rFonts w:ascii="仿宋" w:hAnsi="仿宋" w:eastAsia="仿宋" w:cs="仿宋"/>
          <w:bCs/>
          <w:sz w:val="24"/>
        </w:rPr>
      </w:pPr>
      <w:r>
        <w:rPr>
          <w:rFonts w:hint="eastAsia" w:ascii="仿宋" w:hAnsi="仿宋" w:eastAsia="仿宋" w:cs="仿宋"/>
          <w:bCs/>
          <w:sz w:val="24"/>
        </w:rPr>
        <w:t>采购人或采购代理机构将通过“信用中国”网站(www.creditchina.gov.cn)、中国政府采购网(www.ccgp.gov.cn)渠道查询投标人投标截止时间前的信用记录。经查询投标人列入失信被执行人名单、重大税收违法案件当事人名单、政府采购严重违法失信行为记录名单的，其投标文件将被当做无效标处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两个以上的自然人、法人或者其他组织组成一个联合体，以投标人的身份共同参加政府采购活动的，应当对所有联合体成员进行信用记录查询，联合体成员存在不良信用记录的，视同联合体存在不良信用记录。</w:t>
      </w:r>
    </w:p>
    <w:p>
      <w:pPr>
        <w:pStyle w:val="28"/>
        <w:numPr>
          <w:ilvl w:val="1"/>
          <w:numId w:val="4"/>
        </w:numPr>
        <w:spacing w:before="0" w:line="360" w:lineRule="auto"/>
        <w:ind w:firstLine="480" w:firstLineChars="200"/>
        <w:rPr>
          <w:rFonts w:ascii="仿宋" w:hAnsi="仿宋" w:eastAsia="仿宋" w:cs="仿宋"/>
          <w:sz w:val="24"/>
          <w:szCs w:val="24"/>
        </w:rPr>
      </w:pPr>
      <w:r>
        <w:rPr>
          <w:rFonts w:hint="eastAsia" w:ascii="仿宋" w:hAnsi="仿宋" w:eastAsia="仿宋" w:cs="仿宋"/>
          <w:sz w:val="24"/>
          <w:szCs w:val="24"/>
        </w:rPr>
        <w:t>按投标人提交投标文件的先后顺序当众拆封、清点投标文件（包括正本、副本）数量，将其中密封的报价文件现场集中封存保管等候拆封。将拆封后的商务和技术文件由现场工作人员护送至指定的评审地点，同时告知投标人代表拆封报价文件的预计时间。对不符合装订要求的采购响应文件，由现场工作人员退还供应商代表。投标人提交的投标文件应当将其中的报价文件单独密封，否则如开标时发生报价泄露的，由投标人自行承担相关责任。</w:t>
      </w:r>
    </w:p>
    <w:p>
      <w:pPr>
        <w:pStyle w:val="28"/>
        <w:numPr>
          <w:ilvl w:val="1"/>
          <w:numId w:val="4"/>
        </w:numPr>
        <w:spacing w:before="0" w:line="360" w:lineRule="auto"/>
        <w:ind w:firstLine="480" w:firstLineChars="200"/>
        <w:rPr>
          <w:rFonts w:ascii="仿宋" w:hAnsi="仿宋" w:eastAsia="仿宋" w:cs="仿宋"/>
          <w:sz w:val="24"/>
          <w:szCs w:val="24"/>
        </w:rPr>
      </w:pPr>
      <w:r>
        <w:rPr>
          <w:rFonts w:hint="eastAsia" w:ascii="仿宋" w:hAnsi="仿宋" w:eastAsia="仿宋" w:cs="仿宋"/>
          <w:sz w:val="24"/>
          <w:szCs w:val="24"/>
        </w:rPr>
        <w:t>商务技术评审结束后，主持人宣告商务技术评审无效投标人名称及理由，投标人代表可收回未拆封的报价文件并签字确认；公布经商务技术评审符合采购需求的投标人名单，采用综合评分法的，应同时公布其商务技术得分情况。</w:t>
      </w:r>
    </w:p>
    <w:p>
      <w:pPr>
        <w:pStyle w:val="28"/>
        <w:numPr>
          <w:ilvl w:val="1"/>
          <w:numId w:val="4"/>
        </w:numPr>
        <w:spacing w:before="0" w:line="360" w:lineRule="auto"/>
        <w:ind w:firstLine="480" w:firstLineChars="200"/>
        <w:rPr>
          <w:rFonts w:ascii="仿宋" w:hAnsi="仿宋" w:eastAsia="仿宋" w:cs="仿宋"/>
          <w:sz w:val="24"/>
          <w:szCs w:val="24"/>
        </w:rPr>
      </w:pPr>
      <w:r>
        <w:rPr>
          <w:rFonts w:hint="eastAsia" w:ascii="仿宋" w:hAnsi="仿宋" w:eastAsia="仿宋" w:cs="仿宋"/>
          <w:sz w:val="24"/>
          <w:szCs w:val="24"/>
        </w:rPr>
        <w:t>拆封投标人报价文件，宣读开标（报价）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审小组对报价的合理性、准确性等进行审查核实。</w:t>
      </w:r>
    </w:p>
    <w:p>
      <w:pPr>
        <w:pStyle w:val="28"/>
        <w:spacing w:before="0"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28"/>
        <w:spacing w:before="0"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报价文件开标后，不论投标人中标与否，投标文件均不退回。</w:t>
      </w:r>
    </w:p>
    <w:p>
      <w:pPr>
        <w:numPr>
          <w:ilvl w:val="1"/>
          <w:numId w:val="4"/>
        </w:numPr>
        <w:spacing w:line="360" w:lineRule="auto"/>
        <w:ind w:firstLine="480" w:firstLineChars="200"/>
        <w:rPr>
          <w:rFonts w:ascii="仿宋" w:hAnsi="仿宋" w:eastAsia="仿宋" w:cs="仿宋"/>
          <w:sz w:val="24"/>
        </w:rPr>
      </w:pPr>
      <w:r>
        <w:rPr>
          <w:rFonts w:hint="eastAsia" w:ascii="仿宋" w:hAnsi="仿宋" w:eastAsia="仿宋" w:cs="仿宋"/>
          <w:sz w:val="24"/>
        </w:rPr>
        <w:t>评审结束后，主持人公布中标（成交）候选投标人名单，及采购人最终确定中标或成交投标人名单的时间和公告方式等。</w:t>
      </w:r>
    </w:p>
    <w:p>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因特殊原因确需将商务技术文件与报价文件同时拆封的，在完成各投标人采购响应文件拆封、清点工作，宣读开标（报价）一览表有关内容后，应按本办法规定做好记录、确认和已拆封报价文件的封存工程，之后按本条第16.7至第16.11项的顺序完成送审、监督和告知等工作。</w:t>
      </w:r>
    </w:p>
    <w:p>
      <w:pPr>
        <w:numPr>
          <w:ilvl w:val="1"/>
          <w:numId w:val="2"/>
        </w:numPr>
        <w:spacing w:line="360" w:lineRule="auto"/>
        <w:jc w:val="center"/>
        <w:outlineLvl w:val="0"/>
        <w:rPr>
          <w:rFonts w:ascii="仿宋" w:hAnsi="仿宋" w:eastAsia="仿宋" w:cs="仿宋"/>
          <w:b/>
          <w:sz w:val="32"/>
          <w:szCs w:val="32"/>
        </w:rPr>
      </w:pPr>
      <w:bookmarkStart w:id="71" w:name="_Toc24185"/>
      <w:r>
        <w:rPr>
          <w:rFonts w:hint="eastAsia" w:ascii="仿宋" w:hAnsi="仿宋" w:eastAsia="仿宋" w:cs="仿宋"/>
          <w:b/>
          <w:sz w:val="32"/>
          <w:szCs w:val="32"/>
        </w:rPr>
        <w:t>评标</w:t>
      </w:r>
      <w:bookmarkEnd w:id="71"/>
    </w:p>
    <w:p>
      <w:pPr>
        <w:pStyle w:val="10"/>
        <w:numPr>
          <w:ilvl w:val="0"/>
          <w:numId w:val="4"/>
        </w:numPr>
        <w:spacing w:line="360" w:lineRule="auto"/>
        <w:ind w:firstLine="482" w:firstLineChars="200"/>
        <w:outlineLvl w:val="0"/>
        <w:rPr>
          <w:rFonts w:ascii="仿宋" w:hAnsi="仿宋" w:eastAsia="仿宋" w:cs="仿宋"/>
          <w:b/>
          <w:color w:val="000000"/>
          <w:sz w:val="24"/>
          <w:szCs w:val="24"/>
        </w:rPr>
      </w:pPr>
      <w:bookmarkStart w:id="72" w:name="_Toc7497"/>
      <w:bookmarkStart w:id="73" w:name="_Toc15287"/>
      <w:r>
        <w:rPr>
          <w:rFonts w:hint="eastAsia" w:ascii="仿宋" w:hAnsi="仿宋" w:eastAsia="仿宋" w:cs="仿宋"/>
          <w:b/>
          <w:color w:val="000000"/>
          <w:sz w:val="24"/>
          <w:szCs w:val="24"/>
        </w:rPr>
        <w:t>评标原则</w:t>
      </w:r>
      <w:bookmarkEnd w:id="72"/>
      <w:bookmarkEnd w:id="73"/>
    </w:p>
    <w:p>
      <w:pPr>
        <w:pStyle w:val="10"/>
        <w:numPr>
          <w:ilvl w:val="1"/>
          <w:numId w:val="4"/>
        </w:num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竞争优选；</w:t>
      </w:r>
    </w:p>
    <w:p>
      <w:pPr>
        <w:pStyle w:val="10"/>
        <w:numPr>
          <w:ilvl w:val="1"/>
          <w:numId w:val="4"/>
        </w:num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lang w:val="zh-CN"/>
        </w:rPr>
        <w:t>坚持公开</w:t>
      </w:r>
      <w:r>
        <w:rPr>
          <w:rFonts w:hint="eastAsia" w:ascii="仿宋" w:hAnsi="仿宋" w:eastAsia="仿宋" w:cs="仿宋"/>
          <w:color w:val="000000"/>
          <w:sz w:val="24"/>
          <w:szCs w:val="24"/>
        </w:rPr>
        <w:t>、公平、公正、科学合理</w:t>
      </w:r>
      <w:r>
        <w:rPr>
          <w:rFonts w:hint="eastAsia" w:ascii="仿宋" w:hAnsi="仿宋" w:eastAsia="仿宋" w:cs="仿宋"/>
          <w:color w:val="000000"/>
          <w:sz w:val="24"/>
          <w:szCs w:val="24"/>
          <w:lang w:val="zh-CN"/>
        </w:rPr>
        <w:t>的原则；</w:t>
      </w:r>
    </w:p>
    <w:p>
      <w:pPr>
        <w:pStyle w:val="10"/>
        <w:numPr>
          <w:ilvl w:val="1"/>
          <w:numId w:val="4"/>
        </w:num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价格合理，方案、产品先进可行；</w:t>
      </w:r>
    </w:p>
    <w:p>
      <w:pPr>
        <w:pStyle w:val="10"/>
        <w:numPr>
          <w:ilvl w:val="1"/>
          <w:numId w:val="4"/>
        </w:num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lang w:val="zh-CN"/>
        </w:rPr>
        <w:t>反对不正当竞争。</w:t>
      </w:r>
    </w:p>
    <w:p>
      <w:pPr>
        <w:pStyle w:val="10"/>
        <w:numPr>
          <w:ilvl w:val="0"/>
          <w:numId w:val="4"/>
        </w:numPr>
        <w:spacing w:line="360" w:lineRule="auto"/>
        <w:ind w:firstLine="482" w:firstLineChars="200"/>
        <w:outlineLvl w:val="0"/>
        <w:rPr>
          <w:rFonts w:ascii="仿宋" w:hAnsi="仿宋" w:eastAsia="仿宋" w:cs="仿宋"/>
          <w:b/>
          <w:color w:val="000000"/>
          <w:sz w:val="24"/>
          <w:szCs w:val="24"/>
        </w:rPr>
      </w:pPr>
      <w:bookmarkStart w:id="74" w:name="_Toc27484"/>
      <w:bookmarkStart w:id="75" w:name="_Toc18451"/>
      <w:r>
        <w:rPr>
          <w:rFonts w:hint="eastAsia" w:ascii="仿宋" w:hAnsi="仿宋" w:eastAsia="仿宋" w:cs="仿宋"/>
          <w:b/>
          <w:color w:val="000000"/>
          <w:sz w:val="24"/>
          <w:szCs w:val="24"/>
        </w:rPr>
        <w:t>评标组织</w:t>
      </w:r>
      <w:bookmarkEnd w:id="74"/>
      <w:bookmarkEnd w:id="75"/>
    </w:p>
    <w:p>
      <w:pPr>
        <w:pStyle w:val="10"/>
        <w:numPr>
          <w:ilvl w:val="1"/>
          <w:numId w:val="4"/>
        </w:num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采购代理机构依法组建由5人（含）以上奇数的人员组成的评标小组，负责对投标文件进行审查、质询、评审和比较等。评标小组</w:t>
      </w:r>
      <w:r>
        <w:rPr>
          <w:rFonts w:hint="eastAsia" w:ascii="仿宋" w:hAnsi="仿宋" w:eastAsia="仿宋" w:cs="仿宋"/>
          <w:color w:val="000000"/>
          <w:sz w:val="24"/>
          <w:szCs w:val="24"/>
          <w:lang w:val="zh-CN"/>
        </w:rPr>
        <w:t>由采购单位代表和政府采购咨询专家组成，其中政府采购咨询专家人数不少于成员总数的三分之二。</w:t>
      </w:r>
    </w:p>
    <w:p>
      <w:pPr>
        <w:pStyle w:val="10"/>
        <w:numPr>
          <w:ilvl w:val="0"/>
          <w:numId w:val="4"/>
        </w:numPr>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评标办法</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本项目评标办法是综合评分法，具体评标内容及评分标准等详见采购文件第三部分。</w:t>
      </w:r>
    </w:p>
    <w:p>
      <w:pPr>
        <w:pStyle w:val="10"/>
        <w:numPr>
          <w:ilvl w:val="0"/>
          <w:numId w:val="4"/>
        </w:numPr>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投标文件符合性审查</w:t>
      </w:r>
    </w:p>
    <w:p>
      <w:pPr>
        <w:pStyle w:val="10"/>
        <w:numPr>
          <w:ilvl w:val="1"/>
          <w:numId w:val="4"/>
        </w:num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投标文件符合性审查：评标委员会依据采购文件的规定，从投标文件的有效性、完整性和对采购文件的响应程度进行审查，以确定是否对采购文件的要求作出实质性响应。</w:t>
      </w:r>
    </w:p>
    <w:p>
      <w:pPr>
        <w:pStyle w:val="10"/>
        <w:numPr>
          <w:ilvl w:val="1"/>
          <w:numId w:val="4"/>
        </w:num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实质性响应的投标应该是与采购文件要求的主要条款相符，没有重大偏离或保留的投标。所谓重大偏离或保留是指影响合同的内容、项目建设质量，或者在实质上与采购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pStyle w:val="10"/>
        <w:numPr>
          <w:ilvl w:val="1"/>
          <w:numId w:val="4"/>
        </w:num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如果投标文件没有实质上响应采购文件的要求，评标委员会将判定无效，投标人不得通过修改或撤销不合要求的偏离或保留而使其投标成为实质性响应的投标。 </w:t>
      </w:r>
    </w:p>
    <w:p>
      <w:pPr>
        <w:pStyle w:val="10"/>
        <w:numPr>
          <w:ilvl w:val="1"/>
          <w:numId w:val="4"/>
        </w:num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修正原则</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投标文件报价出现前后不一致的，按照下列规定修正：</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（1）投标文件中开标一览表(报价表)内容与投标文件中相应内容不一致的，以开标一览表(报价表)为准;</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（2）大写金额和小写金额不一致的，以大写金额为准;</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（3）单价金额小数点或者百分比有明显错位的，以开标一览表的总价为准，并修改单价;</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（4）总价金额与按单价汇总金额不一致的，以单价金额计算结果为准。</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pStyle w:val="10"/>
        <w:numPr>
          <w:ilvl w:val="0"/>
          <w:numId w:val="4"/>
        </w:numPr>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投标文件的澄清</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10"/>
        <w:numPr>
          <w:ilvl w:val="0"/>
          <w:numId w:val="4"/>
        </w:numPr>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无效标 </w:t>
      </w:r>
    </w:p>
    <w:p>
      <w:pPr>
        <w:pStyle w:val="10"/>
        <w:spacing w:line="360" w:lineRule="auto"/>
        <w:ind w:firstLine="482" w:firstLineChars="200"/>
        <w:rPr>
          <w:rFonts w:ascii="仿宋" w:hAnsi="仿宋" w:eastAsia="仿宋" w:cs="仿宋"/>
          <w:color w:val="000000"/>
          <w:sz w:val="24"/>
          <w:szCs w:val="24"/>
        </w:rPr>
      </w:pPr>
      <w:r>
        <w:rPr>
          <w:rFonts w:hint="eastAsia" w:ascii="仿宋" w:hAnsi="仿宋" w:eastAsia="仿宋" w:cs="仿宋"/>
          <w:b/>
          <w:bCs/>
          <w:color w:val="000000"/>
          <w:sz w:val="24"/>
          <w:szCs w:val="24"/>
        </w:rPr>
        <w:t>在资格审查时</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投标文件有下列情况之一的，其投标文件作无效处理：</w:t>
      </w:r>
    </w:p>
    <w:p>
      <w:pPr>
        <w:widowControl/>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kern w:val="0"/>
          <w:sz w:val="24"/>
        </w:rPr>
        <w:t>（1）投标人不满足采购文件规定的资格要求的；</w:t>
      </w:r>
    </w:p>
    <w:p>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sz w:val="24"/>
        </w:rPr>
        <w:t>（2）</w:t>
      </w:r>
      <w:r>
        <w:rPr>
          <w:rFonts w:hint="eastAsia" w:ascii="仿宋" w:hAnsi="仿宋" w:eastAsia="仿宋" w:cs="仿宋"/>
          <w:color w:val="000000"/>
          <w:kern w:val="0"/>
          <w:sz w:val="24"/>
        </w:rPr>
        <w:t>未按招标文件要求编制（</w:t>
      </w:r>
      <w:r>
        <w:rPr>
          <w:rFonts w:hint="eastAsia" w:ascii="仿宋" w:hAnsi="仿宋" w:eastAsia="仿宋" w:cs="仿宋"/>
          <w:b/>
          <w:bCs/>
          <w:color w:val="000000"/>
          <w:kern w:val="0"/>
          <w:sz w:val="24"/>
        </w:rPr>
        <w:t>包括采用活页装订方式的</w:t>
      </w:r>
      <w:r>
        <w:rPr>
          <w:rFonts w:hint="eastAsia" w:ascii="仿宋" w:hAnsi="仿宋" w:eastAsia="仿宋" w:cs="仿宋"/>
          <w:color w:val="000000"/>
          <w:kern w:val="0"/>
          <w:sz w:val="24"/>
        </w:rPr>
        <w:t>），字迹模糊不可辨，未按招标文件要求签署、盖章的；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（3）投标人未按采购文件的规定提交“投标保证金缴存确认表”的；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（4）法律、法规、规章及省级以上规范性文件规定的其他无效情形。</w:t>
      </w:r>
    </w:p>
    <w:p>
      <w:pPr>
        <w:pStyle w:val="10"/>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在商务技术报价评审及其他开评标时</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投标文件有下列情况之一的，其投标文件作无效处理：</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（1）投标文件未按照采购文件要求签署、盖章的；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（2）投标文件中法定代表人授权书所载内容与本项目内容有异的；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（3）投标文件组成漏项或未按规定的格式编制或投标文件正、副本份数不足，内容不全或内容字迹模糊辨认不清的；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（4）投标人的报价明显低于其他通过符合性审查投标人的报价，有可能影响产品质量或者不能诚信履约的，未能按要求提供书面说明或者提交相关证明材料，不能证明其报价合理性的；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（5）投标报价高于本项目最高限价的；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（6）投标文件的编制内容未按采购文件的要求编制的；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（7）投标人未按采购文件变更通知编制投标文件的；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（8）《投标（开标）一览表》填写不完整或字迹不能辨认的；</w:t>
      </w:r>
    </w:p>
    <w:p>
      <w:pPr>
        <w:pStyle w:val="1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sz w:val="24"/>
          <w:szCs w:val="24"/>
        </w:rPr>
        <w:t>（9）经评标委员会审核，投标人所投内容</w:t>
      </w:r>
      <w:r>
        <w:rPr>
          <w:rFonts w:hint="eastAsia" w:ascii="仿宋" w:hAnsi="仿宋" w:eastAsia="仿宋" w:cs="仿宋"/>
          <w:color w:val="000000"/>
          <w:kern w:val="0"/>
          <w:sz w:val="24"/>
          <w:szCs w:val="24"/>
        </w:rPr>
        <w:t>对“★”实质性条款不响应</w:t>
      </w:r>
      <w:r>
        <w:rPr>
          <w:rFonts w:hint="eastAsia" w:ascii="仿宋" w:hAnsi="仿宋" w:eastAsia="仿宋" w:cs="仿宋"/>
          <w:color w:val="000000"/>
          <w:sz w:val="24"/>
          <w:szCs w:val="24"/>
        </w:rPr>
        <w:t>的，</w:t>
      </w:r>
      <w:r>
        <w:rPr>
          <w:rFonts w:hint="eastAsia" w:ascii="仿宋" w:hAnsi="仿宋" w:eastAsia="仿宋" w:cs="仿宋"/>
          <w:color w:val="000000"/>
          <w:kern w:val="0"/>
          <w:sz w:val="24"/>
          <w:szCs w:val="24"/>
        </w:rPr>
        <w:t>或评标委员会认为的实质性条款不响应的；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（10）投标人拒绝按采购文件规定的修正原则对投标文件进行修改的；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（11）投标人提供虚假材料投标的；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（12）经评标委员会审核，投标人的投标文件有类同或有串标嫌疑的；</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（13）</w:t>
      </w:r>
      <w:r>
        <w:rPr>
          <w:rFonts w:hint="eastAsia" w:ascii="仿宋" w:hAnsi="仿宋" w:eastAsia="仿宋" w:cs="仿宋"/>
          <w:kern w:val="0"/>
          <w:sz w:val="24"/>
        </w:rPr>
        <w:t>参加政府采购活动前三年内，在经营活动中有重大违法记录的，有违反《浙江省政府采购供应商注册及诚信管理暂行办法》及《杭州大江东产业集聚区政府采购、工程建设招投标市场“黑名单”管理办法（试行）》被列入‘黑名单’，在处罚有效期”）；</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（14）本项目如需采购节能清单中的政府强制采购的节能产品的，投标人未按采购文件要求的提供所投产品节能产品政府采购清单页的；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（15）投标文件中承诺的投标有效期少于采购文件中载明的投标有效期的；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（16）投标文件含有采购人不能接受的附加条件的;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（17）法律、法规、规章及省级以上规范性文件规定的其他无效情形。</w:t>
      </w:r>
    </w:p>
    <w:p>
      <w:pPr>
        <w:pStyle w:val="10"/>
        <w:numPr>
          <w:ilvl w:val="0"/>
          <w:numId w:val="4"/>
        </w:numPr>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废标  </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根据《中华人民共和国政府采购法》第三十六条之规定，在采购中，出现下列情形之一的，应予废标：</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（1）符合专业条件的投标人或者对采购文件作实质响应的投标人不足3家的；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（2）出现影响采购公正的违法、违规行为的；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（3）投标人的报价均超过了采购预算，采购人不能支付的；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（4）因重大变故，采购任务取消的。</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废标后，采购代理机构应当将废标理由通知所有投标人。</w:t>
      </w:r>
    </w:p>
    <w:p>
      <w:pPr>
        <w:pStyle w:val="10"/>
        <w:numPr>
          <w:ilvl w:val="0"/>
          <w:numId w:val="4"/>
        </w:numPr>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重新组织采购</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pPr>
        <w:pStyle w:val="10"/>
        <w:numPr>
          <w:ilvl w:val="0"/>
          <w:numId w:val="4"/>
        </w:numPr>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评标内容的保密</w:t>
      </w:r>
    </w:p>
    <w:p>
      <w:pPr>
        <w:pStyle w:val="10"/>
        <w:numPr>
          <w:ilvl w:val="1"/>
          <w:numId w:val="4"/>
        </w:num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公开开标后，直到宣布中标人止，凡属于审查、澄清、评价和比较投标的所有资料，都不应向投标人或与评标无关的其他人泄露。</w:t>
      </w:r>
    </w:p>
    <w:p>
      <w:pPr>
        <w:pStyle w:val="10"/>
        <w:numPr>
          <w:ilvl w:val="1"/>
          <w:numId w:val="4"/>
        </w:numPr>
        <w:spacing w:line="360" w:lineRule="auto"/>
        <w:ind w:firstLine="480" w:firstLineChars="200"/>
        <w:rPr>
          <w:rFonts w:ascii="仿宋" w:hAnsi="仿宋" w:eastAsia="仿宋" w:cs="仿宋"/>
          <w:sz w:val="24"/>
          <w:szCs w:val="24"/>
        </w:rPr>
      </w:pPr>
      <w:r>
        <w:rPr>
          <w:rFonts w:hint="eastAsia" w:ascii="仿宋" w:hAnsi="仿宋" w:eastAsia="仿宋" w:cs="仿宋"/>
          <w:color w:val="000000"/>
          <w:sz w:val="24"/>
          <w:szCs w:val="24"/>
        </w:rPr>
        <w:t>在投标文件的审查、澄清、评价和比较以及确定中标人过程中，投标人对采购代理机构和评标机构施加影响的任何行为，都将导致取消资格。</w:t>
      </w:r>
    </w:p>
    <w:p>
      <w:pPr>
        <w:numPr>
          <w:ilvl w:val="1"/>
          <w:numId w:val="2"/>
        </w:numPr>
        <w:spacing w:line="360" w:lineRule="auto"/>
        <w:jc w:val="center"/>
        <w:outlineLvl w:val="0"/>
        <w:rPr>
          <w:rFonts w:ascii="仿宋" w:hAnsi="仿宋" w:eastAsia="仿宋" w:cs="仿宋"/>
          <w:b/>
          <w:sz w:val="32"/>
          <w:szCs w:val="32"/>
        </w:rPr>
      </w:pPr>
      <w:bookmarkStart w:id="76" w:name="_Toc20536"/>
      <w:r>
        <w:rPr>
          <w:rFonts w:hint="eastAsia" w:ascii="仿宋" w:hAnsi="仿宋" w:eastAsia="仿宋" w:cs="仿宋"/>
          <w:b/>
          <w:sz w:val="32"/>
          <w:szCs w:val="32"/>
        </w:rPr>
        <w:t>定标</w:t>
      </w:r>
      <w:bookmarkEnd w:id="76"/>
    </w:p>
    <w:p>
      <w:pPr>
        <w:pStyle w:val="10"/>
        <w:numPr>
          <w:ilvl w:val="0"/>
          <w:numId w:val="4"/>
        </w:numPr>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授标建议</w:t>
      </w:r>
    </w:p>
    <w:p>
      <w:pPr>
        <w:pStyle w:val="1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评标委员会将根据采购文件和有关规定，履行评标工作职责，以评标原则和评标办法为标准，全面衡量各投标人对采购文件的响应情况。对实质上响应采购文件的投标人，</w:t>
      </w:r>
      <w:r>
        <w:rPr>
          <w:rFonts w:hint="eastAsia" w:ascii="仿宋" w:hAnsi="仿宋" w:eastAsia="仿宋" w:cs="仿宋"/>
          <w:color w:val="000000"/>
          <w:sz w:val="24"/>
          <w:szCs w:val="24"/>
          <w:lang w:val="zh-CN"/>
        </w:rPr>
        <w:t>以打分的方法</w:t>
      </w:r>
      <w:r>
        <w:rPr>
          <w:rFonts w:hint="eastAsia" w:ascii="仿宋" w:hAnsi="仿宋" w:eastAsia="仿宋" w:cs="仿宋"/>
          <w:color w:val="000000"/>
          <w:sz w:val="24"/>
          <w:szCs w:val="24"/>
        </w:rPr>
        <w:t>，排出推荐中标候选人的先后顺序</w:t>
      </w:r>
      <w:r>
        <w:rPr>
          <w:rFonts w:hint="eastAsia" w:ascii="仿宋" w:hAnsi="仿宋" w:eastAsia="仿宋" w:cs="仿宋"/>
          <w:color w:val="000000"/>
          <w:sz w:val="24"/>
          <w:szCs w:val="24"/>
          <w:lang w:val="zh-CN"/>
        </w:rPr>
        <w:t>，并按</w:t>
      </w:r>
      <w:r>
        <w:rPr>
          <w:rFonts w:hint="eastAsia" w:ascii="仿宋" w:hAnsi="仿宋" w:eastAsia="仿宋" w:cs="仿宋"/>
          <w:color w:val="000000"/>
          <w:sz w:val="24"/>
          <w:szCs w:val="24"/>
        </w:rPr>
        <w:t>顺序</w:t>
      </w:r>
      <w:r>
        <w:rPr>
          <w:rFonts w:hint="eastAsia" w:ascii="仿宋" w:hAnsi="仿宋" w:eastAsia="仿宋" w:cs="仿宋"/>
          <w:color w:val="000000"/>
          <w:sz w:val="24"/>
          <w:szCs w:val="24"/>
          <w:lang w:val="zh-CN"/>
        </w:rPr>
        <w:t>提出授标建议</w:t>
      </w:r>
      <w:r>
        <w:rPr>
          <w:rFonts w:hint="eastAsia" w:ascii="仿宋" w:hAnsi="仿宋" w:eastAsia="仿宋" w:cs="仿宋"/>
          <w:color w:val="000000"/>
          <w:sz w:val="24"/>
          <w:szCs w:val="24"/>
        </w:rPr>
        <w:t>。评标结果经采购人确认，最终确定1名中标人。</w:t>
      </w:r>
    </w:p>
    <w:p>
      <w:pPr>
        <w:pStyle w:val="10"/>
        <w:numPr>
          <w:ilvl w:val="0"/>
          <w:numId w:val="4"/>
        </w:numPr>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中标通知</w:t>
      </w:r>
    </w:p>
    <w:p>
      <w:pPr>
        <w:pStyle w:val="10"/>
        <w:numPr>
          <w:ilvl w:val="1"/>
          <w:numId w:val="4"/>
        </w:num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采购代理机构将在中标人确定中标单位后，发布采购公告的网站上公告中标结果并发出中标通知书，中标公告期限为</w:t>
      </w:r>
      <w:r>
        <w:rPr>
          <w:rFonts w:hint="eastAsia" w:ascii="仿宋" w:hAnsi="仿宋" w:eastAsia="仿宋" w:cs="仿宋"/>
          <w:color w:val="000000"/>
          <w:sz w:val="24"/>
          <w:szCs w:val="24"/>
        </w:rPr>
        <w:t>1个工作日。</w:t>
      </w:r>
    </w:p>
    <w:p>
      <w:pPr>
        <w:pStyle w:val="10"/>
        <w:numPr>
          <w:ilvl w:val="1"/>
          <w:numId w:val="4"/>
        </w:num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中标人全部接受合同条件并签订合同后，中标通知书亦成为合同的组成部分。</w:t>
      </w:r>
    </w:p>
    <w:p>
      <w:pPr>
        <w:pStyle w:val="10"/>
        <w:numPr>
          <w:ilvl w:val="1"/>
          <w:numId w:val="4"/>
        </w:num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中标人拒绝与采购人签订合同的，采购人可以按照评审报告推荐的中标或者成交候选人名单排序，确定下一候选人为中标或者成交供应商，或者重新开展政府采购活动。</w:t>
      </w:r>
    </w:p>
    <w:p>
      <w:pPr>
        <w:pStyle w:val="10"/>
        <w:numPr>
          <w:ilvl w:val="1"/>
          <w:numId w:val="4"/>
        </w:num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中标人应为浙江省政府采购注册供应商，如尚未注册，应在签订合同前，登陆浙江政府采购网（http://www.zjzfcg.gov.cn/）进行注册并将书面资料提交采购代理机构复核备案。</w:t>
      </w:r>
    </w:p>
    <w:p>
      <w:pPr>
        <w:numPr>
          <w:ilvl w:val="1"/>
          <w:numId w:val="4"/>
        </w:numPr>
        <w:snapToGrid w:val="0"/>
        <w:spacing w:line="360" w:lineRule="auto"/>
        <w:ind w:firstLine="480" w:firstLineChars="200"/>
        <w:rPr>
          <w:rFonts w:ascii="仿宋" w:hAnsi="仿宋" w:eastAsia="仿宋" w:cs="仿宋"/>
          <w:sz w:val="24"/>
        </w:rPr>
      </w:pPr>
      <w:r>
        <w:rPr>
          <w:rFonts w:hint="eastAsia" w:ascii="仿宋" w:hAnsi="仿宋" w:eastAsia="仿宋" w:cs="仿宋"/>
          <w:color w:val="000000"/>
          <w:sz w:val="24"/>
          <w:lang w:val="zh-CN"/>
        </w:rPr>
        <w:t>在中标人签订合同并生效后，中标人即为供应商，采购代理机构及时将未中标的结果通知其他投标人。</w:t>
      </w:r>
    </w:p>
    <w:p>
      <w:pPr>
        <w:numPr>
          <w:ilvl w:val="1"/>
          <w:numId w:val="2"/>
        </w:numPr>
        <w:spacing w:line="360" w:lineRule="auto"/>
        <w:jc w:val="center"/>
        <w:outlineLvl w:val="0"/>
        <w:rPr>
          <w:rFonts w:ascii="仿宋" w:hAnsi="仿宋" w:eastAsia="仿宋" w:cs="仿宋"/>
          <w:b/>
          <w:sz w:val="32"/>
          <w:szCs w:val="32"/>
        </w:rPr>
      </w:pPr>
      <w:bookmarkStart w:id="77" w:name="_Toc9135"/>
      <w:r>
        <w:rPr>
          <w:rFonts w:hint="eastAsia" w:ascii="仿宋" w:hAnsi="仿宋" w:eastAsia="仿宋" w:cs="仿宋"/>
          <w:b/>
          <w:sz w:val="32"/>
          <w:szCs w:val="32"/>
        </w:rPr>
        <w:t>合同签订及其他</w:t>
      </w:r>
      <w:bookmarkEnd w:id="77"/>
    </w:p>
    <w:p>
      <w:pPr>
        <w:pStyle w:val="10"/>
        <w:numPr>
          <w:ilvl w:val="0"/>
          <w:numId w:val="4"/>
        </w:numPr>
        <w:spacing w:line="360" w:lineRule="auto"/>
        <w:ind w:firstLine="482" w:firstLineChars="200"/>
        <w:rPr>
          <w:rFonts w:ascii="仿宋" w:hAnsi="仿宋" w:eastAsia="仿宋" w:cs="仿宋"/>
          <w:b/>
          <w:bCs/>
          <w:color w:val="000000"/>
          <w:sz w:val="24"/>
          <w:lang w:val="zh-CN"/>
        </w:rPr>
      </w:pPr>
      <w:r>
        <w:rPr>
          <w:rFonts w:hint="eastAsia" w:ascii="仿宋" w:hAnsi="仿宋" w:eastAsia="仿宋" w:cs="仿宋"/>
          <w:b/>
          <w:bCs/>
          <w:color w:val="000000"/>
          <w:sz w:val="24"/>
          <w:lang w:val="zh-CN"/>
        </w:rPr>
        <w:t>合同的签订</w:t>
      </w:r>
    </w:p>
    <w:p>
      <w:pPr>
        <w:pStyle w:val="10"/>
        <w:numPr>
          <w:ilvl w:val="1"/>
          <w:numId w:val="4"/>
        </w:num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合同将由采购人与经评审最终确定的中标人结合本项目具体情况协商后签订。</w:t>
      </w:r>
    </w:p>
    <w:p>
      <w:pPr>
        <w:pStyle w:val="1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采购文件第五部分《拟签订的合同文本》为采购人提出的主要条款，投标人在投标文件中应对其进行确认或拒绝。如投标人在其投标文件中未做拒绝或提出修改要求的，采购人将视作认同。</w:t>
      </w:r>
    </w:p>
    <w:p>
      <w:pPr>
        <w:pStyle w:val="10"/>
        <w:numPr>
          <w:ilvl w:val="1"/>
          <w:numId w:val="4"/>
        </w:num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中标人按规定的日期、时间、地点，由法定代表人或其授权代表与采购人代表签订合同。如中标人为联合体的，由联合体成员各方法定代表人或其授权代表与采购人代表签订合同。</w:t>
      </w:r>
    </w:p>
    <w:p>
      <w:pPr>
        <w:pStyle w:val="10"/>
        <w:numPr>
          <w:ilvl w:val="1"/>
          <w:numId w:val="4"/>
        </w:num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如签订合同并生效后，供应商无故拒绝或延期，除按照合同条款处理外，列入不良行为记录一次，并给予通报。</w:t>
      </w:r>
    </w:p>
    <w:p>
      <w:pPr>
        <w:pStyle w:val="10"/>
        <w:numPr>
          <w:ilvl w:val="0"/>
          <w:numId w:val="4"/>
        </w:numPr>
        <w:adjustRightInd w:val="0"/>
        <w:snapToGrid w:val="0"/>
        <w:spacing w:line="360" w:lineRule="auto"/>
        <w:ind w:firstLine="482" w:firstLineChars="200"/>
        <w:rPr>
          <w:rFonts w:ascii="仿宋" w:hAnsi="仿宋" w:eastAsia="仿宋" w:cs="仿宋"/>
          <w:b/>
          <w:bCs/>
          <w:color w:val="000000"/>
          <w:sz w:val="24"/>
          <w:lang w:val="zh-CN"/>
        </w:rPr>
      </w:pPr>
      <w:r>
        <w:rPr>
          <w:rFonts w:hint="eastAsia" w:ascii="仿宋" w:hAnsi="仿宋" w:eastAsia="仿宋" w:cs="仿宋"/>
          <w:b/>
          <w:bCs/>
          <w:color w:val="000000"/>
          <w:sz w:val="24"/>
          <w:lang w:val="zh-CN"/>
        </w:rPr>
        <w:t>履约保证金</w:t>
      </w:r>
    </w:p>
    <w:p>
      <w:pPr>
        <w:pStyle w:val="25"/>
        <w:numPr>
          <w:ilvl w:val="1"/>
          <w:numId w:val="4"/>
        </w:numPr>
        <w:adjustRightInd w:val="0"/>
        <w:snapToGrid w:val="0"/>
        <w:spacing w:before="0"/>
        <w:ind w:firstLine="480"/>
        <w:rPr>
          <w:rFonts w:ascii="仿宋" w:hAnsi="仿宋" w:eastAsia="仿宋" w:cs="仿宋"/>
          <w:color w:val="000000"/>
        </w:rPr>
      </w:pPr>
      <w:r>
        <w:rPr>
          <w:rFonts w:hint="eastAsia" w:ascii="仿宋" w:hAnsi="仿宋" w:eastAsia="仿宋" w:cs="仿宋"/>
          <w:color w:val="000000"/>
        </w:rPr>
        <w:t>签订合同前，中标人须向采购单位交纳相当于合同总额10%的履约保证金。服务良好，无投诉、质疑问题，服务期满后归还履约保证金。</w:t>
      </w:r>
    </w:p>
    <w:p>
      <w:pPr>
        <w:pStyle w:val="25"/>
        <w:numPr>
          <w:ilvl w:val="1"/>
          <w:numId w:val="4"/>
        </w:numPr>
        <w:adjustRightInd w:val="0"/>
        <w:snapToGrid w:val="0"/>
        <w:spacing w:before="0"/>
        <w:ind w:firstLine="480"/>
        <w:rPr>
          <w:rFonts w:ascii="仿宋" w:hAnsi="仿宋" w:eastAsia="仿宋" w:cs="仿宋"/>
          <w:color w:val="000000"/>
        </w:rPr>
      </w:pPr>
      <w:r>
        <w:rPr>
          <w:rFonts w:hint="eastAsia" w:ascii="仿宋" w:hAnsi="仿宋" w:eastAsia="仿宋" w:cs="仿宋"/>
          <w:color w:val="000000"/>
        </w:rPr>
        <w:t>履约保证金可以用支票、网银或业主认可的其他形式交纳。</w:t>
      </w:r>
    </w:p>
    <w:p>
      <w:pPr>
        <w:pStyle w:val="10"/>
        <w:numPr>
          <w:ilvl w:val="0"/>
          <w:numId w:val="4"/>
        </w:numPr>
        <w:spacing w:line="360" w:lineRule="auto"/>
        <w:ind w:firstLine="482" w:firstLineChars="200"/>
        <w:rPr>
          <w:rFonts w:ascii="仿宋" w:hAnsi="仿宋" w:eastAsia="仿宋" w:cs="仿宋"/>
          <w:b/>
          <w:bCs/>
          <w:color w:val="000000"/>
          <w:sz w:val="24"/>
          <w:lang w:val="zh-CN"/>
        </w:rPr>
      </w:pPr>
      <w:r>
        <w:rPr>
          <w:rFonts w:hint="eastAsia" w:ascii="仿宋" w:hAnsi="仿宋" w:eastAsia="仿宋" w:cs="仿宋"/>
          <w:b/>
          <w:bCs/>
          <w:color w:val="000000"/>
          <w:sz w:val="24"/>
          <w:lang w:val="zh-CN"/>
        </w:rPr>
        <w:t>验收</w:t>
      </w:r>
    </w:p>
    <w:p>
      <w:pPr>
        <w:pStyle w:val="10"/>
        <w:numPr>
          <w:ilvl w:val="1"/>
          <w:numId w:val="4"/>
        </w:num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10"/>
        <w:numPr>
          <w:ilvl w:val="1"/>
          <w:numId w:val="4"/>
        </w:num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采购人可以邀请参加本项目的其他投标人或者第三方机构参与验收。参与验收的投标人或者第三方机构的意见作为验收书的参考资料一并存档。</w:t>
      </w:r>
    </w:p>
    <w:p>
      <w:pPr>
        <w:pStyle w:val="10"/>
        <w:numPr>
          <w:ilvl w:val="1"/>
          <w:numId w:val="4"/>
        </w:num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采购人负责加强对中标人的履约管理，并按照采购合同约定，及时向中标人支付采购资金。对于中标人违反采购合同约定的行为，采购人应当及时处理，依法追究其违约责任。</w:t>
      </w:r>
    </w:p>
    <w:p>
      <w:pPr>
        <w:pStyle w:val="10"/>
        <w:numPr>
          <w:ilvl w:val="0"/>
          <w:numId w:val="4"/>
        </w:numPr>
        <w:spacing w:line="360" w:lineRule="auto"/>
        <w:ind w:firstLine="482" w:firstLineChars="200"/>
        <w:rPr>
          <w:rFonts w:ascii="仿宋" w:hAnsi="仿宋" w:eastAsia="仿宋" w:cs="仿宋"/>
          <w:b/>
          <w:bCs/>
          <w:color w:val="000000"/>
          <w:sz w:val="24"/>
          <w:lang w:val="zh-CN"/>
        </w:rPr>
      </w:pPr>
      <w:r>
        <w:rPr>
          <w:rFonts w:hint="eastAsia" w:ascii="仿宋" w:hAnsi="仿宋" w:eastAsia="仿宋" w:cs="仿宋"/>
          <w:b/>
          <w:bCs/>
          <w:color w:val="000000"/>
          <w:sz w:val="24"/>
          <w:lang w:val="zh-CN"/>
        </w:rPr>
        <w:t>货款结算方式</w:t>
      </w:r>
    </w:p>
    <w:p>
      <w:pPr>
        <w:pStyle w:val="1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付款方式：采购人与中标人依照前附表规定的付款方式进行项目款项的结算。</w:t>
      </w:r>
    </w:p>
    <w:p>
      <w:pPr>
        <w:pStyle w:val="10"/>
        <w:numPr>
          <w:ilvl w:val="0"/>
          <w:numId w:val="4"/>
        </w:numPr>
        <w:spacing w:line="360" w:lineRule="auto"/>
        <w:ind w:firstLine="482" w:firstLineChars="200"/>
        <w:rPr>
          <w:rFonts w:ascii="仿宋" w:hAnsi="仿宋" w:eastAsia="仿宋" w:cs="仿宋"/>
          <w:b/>
          <w:bCs/>
          <w:color w:val="000000"/>
          <w:sz w:val="24"/>
          <w:lang w:val="zh-CN"/>
        </w:rPr>
      </w:pPr>
      <w:r>
        <w:rPr>
          <w:rFonts w:hint="eastAsia" w:ascii="仿宋" w:hAnsi="仿宋" w:eastAsia="仿宋" w:cs="仿宋"/>
          <w:b/>
          <w:bCs/>
          <w:color w:val="000000"/>
          <w:sz w:val="24"/>
          <w:lang w:val="zh-CN"/>
        </w:rPr>
        <w:t>售后服务考核</w:t>
      </w:r>
    </w:p>
    <w:p>
      <w:pPr>
        <w:pStyle w:val="1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采购代理机构将配合政府采购监管部门不定期对合同的履约情况进行检查，发现弄虚作假，偷工减料，以次充好，达不到国家、行业有关标准和技术文件规定的，一经查实，由政府采购监督管理部门给予相应处罚。</w:t>
      </w:r>
    </w:p>
    <w:p>
      <w:pPr>
        <w:numPr>
          <w:ilvl w:val="0"/>
          <w:numId w:val="4"/>
        </w:numPr>
        <w:tabs>
          <w:tab w:val="left" w:pos="0"/>
        </w:tabs>
        <w:spacing w:line="360" w:lineRule="auto"/>
        <w:ind w:firstLine="482" w:firstLineChars="200"/>
        <w:outlineLvl w:val="0"/>
        <w:rPr>
          <w:rFonts w:ascii="仿宋" w:hAnsi="仿宋" w:eastAsia="仿宋" w:cs="仿宋"/>
          <w:b/>
          <w:bCs/>
          <w:color w:val="000000"/>
          <w:sz w:val="24"/>
        </w:rPr>
      </w:pPr>
      <w:bookmarkStart w:id="78" w:name="_Toc19719"/>
      <w:bookmarkStart w:id="79" w:name="_Toc5441"/>
      <w:r>
        <w:rPr>
          <w:rFonts w:hint="eastAsia" w:ascii="仿宋" w:hAnsi="仿宋" w:eastAsia="仿宋" w:cs="仿宋"/>
          <w:b/>
          <w:bCs/>
          <w:color w:val="000000"/>
          <w:sz w:val="24"/>
        </w:rPr>
        <w:t>采购方式改变</w:t>
      </w:r>
      <w:bookmarkEnd w:id="78"/>
      <w:bookmarkEnd w:id="79"/>
    </w:p>
    <w:p>
      <w:pPr>
        <w:pStyle w:val="25"/>
        <w:spacing w:before="0"/>
        <w:ind w:firstLine="480"/>
        <w:rPr>
          <w:rFonts w:ascii="仿宋" w:hAnsi="仿宋" w:eastAsia="仿宋" w:cs="仿宋"/>
          <w:b/>
          <w:sz w:val="32"/>
          <w:szCs w:val="32"/>
        </w:rPr>
      </w:pPr>
      <w:r>
        <w:rPr>
          <w:rFonts w:hint="eastAsia" w:ascii="仿宋" w:hAnsi="仿宋" w:eastAsia="仿宋" w:cs="仿宋"/>
          <w:color w:val="000000"/>
        </w:rPr>
        <w:t>在符合资格的投标人不足规定数量或投标人提供的货物及其报价、售后服务承诺等不能满足采购人要求，以及采购过程中出现其他不正常情况时，经批准，采购代理机构</w:t>
      </w:r>
      <w:r>
        <w:rPr>
          <w:rFonts w:hint="eastAsia" w:ascii="仿宋" w:hAnsi="仿宋" w:eastAsia="仿宋" w:cs="仿宋"/>
          <w:color w:val="000000"/>
          <w:lang w:val="zh-CN"/>
        </w:rPr>
        <w:t>将根据中华人民共和国财政部第</w:t>
      </w:r>
      <w:r>
        <w:rPr>
          <w:rFonts w:hint="eastAsia" w:ascii="仿宋" w:hAnsi="仿宋" w:eastAsia="仿宋" w:cs="仿宋"/>
          <w:color w:val="000000"/>
        </w:rPr>
        <w:t>87</w:t>
      </w:r>
      <w:r>
        <w:rPr>
          <w:rFonts w:hint="eastAsia" w:ascii="仿宋" w:hAnsi="仿宋" w:eastAsia="仿宋" w:cs="仿宋"/>
          <w:color w:val="000000"/>
          <w:lang w:val="zh-CN"/>
        </w:rPr>
        <w:t>号令《政府采购货物和服务招标投标管理办法》第四十三条之规定，</w:t>
      </w:r>
      <w:r>
        <w:rPr>
          <w:rFonts w:hint="eastAsia" w:ascii="仿宋" w:hAnsi="仿宋" w:eastAsia="仿宋" w:cs="仿宋"/>
          <w:color w:val="000000"/>
        </w:rPr>
        <w:t>重新选择合适的方式进行采购。</w:t>
      </w:r>
    </w:p>
    <w:p>
      <w:pPr>
        <w:numPr>
          <w:ilvl w:val="1"/>
          <w:numId w:val="2"/>
        </w:numPr>
        <w:spacing w:line="360" w:lineRule="auto"/>
        <w:jc w:val="center"/>
        <w:outlineLvl w:val="0"/>
        <w:rPr>
          <w:rFonts w:ascii="仿宋" w:hAnsi="仿宋" w:eastAsia="仿宋" w:cs="仿宋"/>
          <w:b/>
          <w:sz w:val="32"/>
          <w:szCs w:val="32"/>
        </w:rPr>
      </w:pPr>
      <w:bookmarkStart w:id="80" w:name="_Toc11669"/>
      <w:r>
        <w:rPr>
          <w:rFonts w:hint="eastAsia" w:ascii="仿宋" w:hAnsi="仿宋" w:eastAsia="仿宋" w:cs="仿宋"/>
          <w:b/>
          <w:sz w:val="32"/>
          <w:szCs w:val="32"/>
        </w:rPr>
        <w:t>质疑与投诉</w:t>
      </w:r>
      <w:bookmarkEnd w:id="80"/>
    </w:p>
    <w:p>
      <w:pPr>
        <w:pStyle w:val="1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根据《中华人民共和国政府采购法》、《中华人民共和国政府采购法实施条例》、《政府采购质疑和投诉办法》(财政部令第94号)、 《财政部关于加强政府采购供应商投诉受理审查工作的通知》(财库〔2007〕1号)和《浙江省政府采购供应商质疑处理办法》（浙财采监[2012]18号）的规定，政府采购供应商可以依法提起质疑和投诉。</w:t>
      </w:r>
    </w:p>
    <w:p>
      <w:pPr>
        <w:pStyle w:val="10"/>
        <w:numPr>
          <w:ilvl w:val="0"/>
          <w:numId w:val="4"/>
        </w:numPr>
        <w:spacing w:line="360" w:lineRule="auto"/>
        <w:ind w:firstLine="482" w:firstLineChars="200"/>
        <w:rPr>
          <w:rFonts w:ascii="仿宋" w:hAnsi="仿宋" w:eastAsia="仿宋" w:cs="仿宋"/>
          <w:b/>
          <w:bCs/>
          <w:color w:val="000000"/>
          <w:sz w:val="24"/>
          <w:lang w:val="zh-CN"/>
        </w:rPr>
      </w:pPr>
      <w:r>
        <w:rPr>
          <w:rFonts w:hint="eastAsia" w:ascii="仿宋" w:hAnsi="仿宋" w:eastAsia="仿宋" w:cs="仿宋"/>
          <w:b/>
          <w:bCs/>
          <w:color w:val="000000"/>
          <w:sz w:val="24"/>
          <w:lang w:val="zh-CN"/>
        </w:rPr>
        <w:t>供应商询问</w:t>
      </w:r>
    </w:p>
    <w:p>
      <w:pPr>
        <w:pStyle w:val="1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根据采购人与</w:t>
      </w:r>
      <w:r>
        <w:rPr>
          <w:rFonts w:hint="eastAsia" w:ascii="仿宋" w:hAnsi="仿宋" w:eastAsia="仿宋" w:cs="仿宋"/>
          <w:sz w:val="24"/>
          <w:lang w:val="zh-CN"/>
        </w:rPr>
        <w:t>采购代理机构签订的《政府采购年度委托协议书》的规定：</w:t>
      </w:r>
      <w:r>
        <w:rPr>
          <w:rFonts w:hint="eastAsia" w:ascii="仿宋" w:hAnsi="仿宋" w:eastAsia="仿宋" w:cs="仿宋"/>
          <w:color w:val="000000"/>
          <w:sz w:val="24"/>
          <w:lang w:val="zh-CN"/>
        </w:rPr>
        <w:t>供应商可以就采购文件中特定资格条件、采购需求、评分办法，中标、成交结果进行释疑与答复及采购过程中有关现场考察或开标前答疑会事项向采购人提出询问，采购人将对此作出答复；供应商可以就采购活动中的采购程序向采购代理机构提出询问，采购代理机构将对此作出答复。答复的内容不得涉及商业秘密。</w:t>
      </w:r>
    </w:p>
    <w:p>
      <w:pPr>
        <w:pStyle w:val="10"/>
        <w:numPr>
          <w:ilvl w:val="0"/>
          <w:numId w:val="4"/>
        </w:numPr>
        <w:spacing w:line="360" w:lineRule="auto"/>
        <w:ind w:firstLine="482" w:firstLineChars="200"/>
        <w:rPr>
          <w:rFonts w:ascii="仿宋" w:hAnsi="仿宋" w:eastAsia="仿宋" w:cs="仿宋"/>
          <w:b/>
          <w:bCs/>
          <w:color w:val="000000"/>
          <w:sz w:val="24"/>
          <w:lang w:val="zh-CN"/>
        </w:rPr>
      </w:pPr>
      <w:r>
        <w:rPr>
          <w:rFonts w:hint="eastAsia" w:ascii="仿宋" w:hAnsi="仿宋" w:eastAsia="仿宋" w:cs="仿宋"/>
          <w:b/>
          <w:bCs/>
          <w:color w:val="000000"/>
          <w:sz w:val="24"/>
          <w:lang w:val="zh-CN"/>
        </w:rPr>
        <w:t>供应商质疑</w:t>
      </w:r>
    </w:p>
    <w:p>
      <w:pPr>
        <w:pStyle w:val="10"/>
        <w:numPr>
          <w:ilvl w:val="1"/>
          <w:numId w:val="4"/>
        </w:num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提出质疑的供应商应当是参与所质疑项目采购活动的供应商。潜在供应商已依法获取其可质疑的采购文件的，可以对该文件提出质疑。</w:t>
      </w:r>
    </w:p>
    <w:p>
      <w:pPr>
        <w:pStyle w:val="10"/>
        <w:numPr>
          <w:ilvl w:val="1"/>
          <w:numId w:val="4"/>
        </w:num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根据采购人与采购代理机构签订的《政府采购年度委托协议书》的规定：对采购文件中特定资格条件、采购需求、评分办法提出的质疑，原则上由采购人负责答复；对采购文件中其他内容提出的质疑，原则上由采购代理机构负责答复。</w:t>
      </w:r>
    </w:p>
    <w:p>
      <w:pPr>
        <w:pStyle w:val="1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（2）对采购过程提出质疑的，质疑期限为各采购程序环节结束之日起计算。　对同一采购程序环节的质疑，供应商须一次性提出。根据采购人与采购代理机构签订的《政府采购年度委托协议书》的规定：对采购过程中有关现场考察或开标前答疑会事项提出的质疑，原则上由采购人负责答复；对采购过程中其它事项提出的质疑，原则上由采购代理机构负责答复。</w:t>
      </w:r>
    </w:p>
    <w:p>
      <w:pPr>
        <w:pStyle w:val="1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（3）对采购结果提出质疑的，质疑期限自采购结果公告（包括公示、预公告、结果变更公告等）期限届满之日起计算。</w:t>
      </w:r>
    </w:p>
    <w:p>
      <w:pPr>
        <w:pStyle w:val="10"/>
        <w:numPr>
          <w:ilvl w:val="1"/>
          <w:numId w:val="4"/>
        </w:num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供应商商提出质疑应当提交质疑函和必要的证明材料。质疑函应当包括下列内容：</w:t>
      </w:r>
    </w:p>
    <w:p>
      <w:pPr>
        <w:pStyle w:val="1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（一）供应商的姓名或者名称、地址、邮编、联系人及联系电话；</w:t>
      </w:r>
    </w:p>
    <w:p>
      <w:pPr>
        <w:pStyle w:val="1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（二）质疑项目的名称、编号；</w:t>
      </w:r>
    </w:p>
    <w:p>
      <w:pPr>
        <w:pStyle w:val="1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（三）具体、明确的质疑事项和与质疑事项相关的请求；</w:t>
      </w:r>
    </w:p>
    <w:p>
      <w:pPr>
        <w:pStyle w:val="1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（四）事实依据；</w:t>
      </w:r>
    </w:p>
    <w:p>
      <w:pPr>
        <w:pStyle w:val="1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（五）必要的法律依据；</w:t>
      </w:r>
    </w:p>
    <w:p>
      <w:pPr>
        <w:pStyle w:val="1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（六）提出质疑的日期。</w:t>
      </w:r>
    </w:p>
    <w:p>
      <w:pPr>
        <w:pStyle w:val="1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1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lang w:val="zh-CN"/>
        </w:rPr>
        <w:t>质疑函范本及制作说明详见附件</w:t>
      </w:r>
      <w:r>
        <w:rPr>
          <w:rFonts w:hint="eastAsia" w:ascii="仿宋" w:hAnsi="仿宋" w:eastAsia="仿宋" w:cs="仿宋"/>
          <w:color w:val="000000"/>
          <w:sz w:val="24"/>
        </w:rPr>
        <w:t>3</w:t>
      </w:r>
    </w:p>
    <w:p>
      <w:pPr>
        <w:pStyle w:val="10"/>
        <w:numPr>
          <w:ilvl w:val="1"/>
          <w:numId w:val="4"/>
        </w:num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10"/>
        <w:numPr>
          <w:ilvl w:val="1"/>
          <w:numId w:val="4"/>
        </w:num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询问或者质疑事项可能影响采购结果的，采购人应当暂停签订合同，已经签订合同的，应当中止履行合同。</w:t>
      </w:r>
    </w:p>
    <w:p>
      <w:pPr>
        <w:pStyle w:val="10"/>
        <w:numPr>
          <w:ilvl w:val="0"/>
          <w:numId w:val="4"/>
        </w:numPr>
        <w:spacing w:line="360" w:lineRule="auto"/>
        <w:ind w:firstLine="482" w:firstLineChars="200"/>
        <w:rPr>
          <w:rFonts w:ascii="仿宋" w:hAnsi="仿宋" w:eastAsia="仿宋" w:cs="仿宋"/>
          <w:b/>
          <w:bCs/>
          <w:color w:val="000000"/>
          <w:sz w:val="24"/>
          <w:lang w:val="zh-CN"/>
        </w:rPr>
      </w:pPr>
      <w:r>
        <w:rPr>
          <w:rFonts w:hint="eastAsia" w:ascii="仿宋" w:hAnsi="仿宋" w:eastAsia="仿宋" w:cs="仿宋"/>
          <w:b/>
          <w:bCs/>
          <w:color w:val="000000"/>
          <w:sz w:val="24"/>
          <w:lang w:val="zh-CN"/>
        </w:rPr>
        <w:t>供应商投诉</w:t>
      </w:r>
    </w:p>
    <w:p>
      <w:pPr>
        <w:pStyle w:val="10"/>
        <w:numPr>
          <w:ilvl w:val="1"/>
          <w:numId w:val="4"/>
        </w:num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质疑供应商对采购人、采购代理机构的答复不满意或者采购人、采购代理机构未在规定的时间内作出答复的，可以在答复期满后十五个工作日内向同级政府采购监督管理部门提出投诉。</w:t>
      </w:r>
    </w:p>
    <w:p>
      <w:pPr>
        <w:pStyle w:val="10"/>
        <w:numPr>
          <w:ilvl w:val="1"/>
          <w:numId w:val="4"/>
        </w:num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供应商投诉的事项不得超出已质疑事项的范围。</w:t>
      </w:r>
    </w:p>
    <w:p>
      <w:pPr>
        <w:pStyle w:val="10"/>
        <w:numPr>
          <w:ilvl w:val="1"/>
          <w:numId w:val="4"/>
        </w:num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供应商投诉应当有明确的请求和必要的证明材料。投诉书范本及制作说明详见附件</w:t>
      </w:r>
      <w:r>
        <w:rPr>
          <w:rFonts w:hint="eastAsia" w:ascii="仿宋" w:hAnsi="仿宋" w:eastAsia="仿宋" w:cs="仿宋"/>
          <w:color w:val="000000"/>
          <w:sz w:val="24"/>
        </w:rPr>
        <w:t>4</w:t>
      </w:r>
      <w:r>
        <w:rPr>
          <w:rFonts w:hint="eastAsia" w:ascii="仿宋" w:hAnsi="仿宋" w:eastAsia="仿宋" w:cs="仿宋"/>
          <w:color w:val="000000"/>
          <w:sz w:val="24"/>
          <w:lang w:val="zh-CN"/>
        </w:rPr>
        <w:t>.</w:t>
      </w:r>
    </w:p>
    <w:p>
      <w:pPr>
        <w:pStyle w:val="10"/>
        <w:numPr>
          <w:ilvl w:val="1"/>
          <w:numId w:val="4"/>
        </w:numPr>
        <w:spacing w:line="360" w:lineRule="auto"/>
        <w:ind w:firstLine="480" w:firstLineChars="200"/>
        <w:rPr>
          <w:rFonts w:ascii="仿宋" w:hAnsi="仿宋" w:eastAsia="仿宋" w:cs="仿宋"/>
          <w:sz w:val="24"/>
          <w:szCs w:val="24"/>
        </w:rPr>
      </w:pPr>
      <w:r>
        <w:rPr>
          <w:rFonts w:hint="eastAsia" w:ascii="仿宋" w:hAnsi="仿宋" w:eastAsia="仿宋" w:cs="仿宋"/>
          <w:color w:val="000000"/>
          <w:sz w:val="24"/>
          <w:szCs w:val="24"/>
          <w:lang w:val="zh-CN"/>
        </w:rPr>
        <w:t>以联合体形式参加政府采购活动的，其投诉应当由组成联合体的所有供应商共同提出。</w:t>
      </w:r>
    </w:p>
    <w:p>
      <w:pPr>
        <w:numPr>
          <w:ilvl w:val="1"/>
          <w:numId w:val="2"/>
        </w:numPr>
        <w:spacing w:line="360" w:lineRule="auto"/>
        <w:jc w:val="center"/>
        <w:outlineLvl w:val="0"/>
        <w:rPr>
          <w:rFonts w:ascii="仿宋" w:hAnsi="仿宋" w:eastAsia="仿宋" w:cs="仿宋"/>
          <w:b/>
          <w:sz w:val="32"/>
          <w:szCs w:val="32"/>
        </w:rPr>
      </w:pPr>
      <w:bookmarkStart w:id="81" w:name="_Toc19116"/>
      <w:r>
        <w:rPr>
          <w:rFonts w:hint="eastAsia" w:ascii="仿宋" w:hAnsi="仿宋" w:eastAsia="仿宋" w:cs="仿宋"/>
          <w:b/>
          <w:sz w:val="32"/>
          <w:szCs w:val="32"/>
        </w:rPr>
        <w:t>解释权</w:t>
      </w:r>
      <w:bookmarkEnd w:id="81"/>
    </w:p>
    <w:p>
      <w:pPr>
        <w:pStyle w:val="10"/>
        <w:numPr>
          <w:ilvl w:val="0"/>
          <w:numId w:val="4"/>
        </w:numPr>
        <w:spacing w:line="360" w:lineRule="auto"/>
        <w:ind w:firstLine="482" w:firstLineChars="200"/>
        <w:rPr>
          <w:rFonts w:ascii="仿宋" w:hAnsi="仿宋" w:eastAsia="仿宋" w:cs="仿宋"/>
          <w:b/>
          <w:bCs/>
          <w:color w:val="000000"/>
          <w:sz w:val="24"/>
          <w:lang w:val="zh-CN"/>
        </w:rPr>
      </w:pPr>
      <w:r>
        <w:rPr>
          <w:rFonts w:hint="eastAsia" w:ascii="仿宋" w:hAnsi="仿宋" w:eastAsia="仿宋" w:cs="仿宋"/>
          <w:b/>
          <w:bCs/>
          <w:color w:val="000000"/>
          <w:sz w:val="24"/>
          <w:lang w:val="zh-CN"/>
        </w:rPr>
        <w:t>解释权</w:t>
      </w:r>
    </w:p>
    <w:p>
      <w:pPr>
        <w:pStyle w:val="10"/>
        <w:spacing w:line="360" w:lineRule="auto"/>
        <w:ind w:firstLine="480" w:firstLineChars="200"/>
        <w:outlineLvl w:val="0"/>
        <w:rPr>
          <w:rFonts w:ascii="仿宋" w:hAnsi="仿宋" w:eastAsia="仿宋" w:cs="仿宋"/>
          <w:b/>
          <w:sz w:val="32"/>
          <w:szCs w:val="32"/>
        </w:rPr>
        <w:sectPr>
          <w:pgSz w:w="11906" w:h="16838"/>
          <w:pgMar w:top="680" w:right="1418" w:bottom="1038" w:left="1418" w:header="850" w:footer="992" w:gutter="0"/>
          <w:cols w:space="720" w:num="1"/>
          <w:docGrid w:linePitch="312" w:charSpace="0"/>
        </w:sectPr>
      </w:pPr>
      <w:bookmarkStart w:id="82" w:name="_Toc31135"/>
      <w:bookmarkStart w:id="83" w:name="_Toc29449"/>
      <w:r>
        <w:rPr>
          <w:rFonts w:hint="eastAsia" w:ascii="仿宋" w:hAnsi="仿宋" w:eastAsia="仿宋" w:cs="仿宋"/>
          <w:color w:val="000000"/>
          <w:sz w:val="24"/>
          <w:lang w:val="zh-CN"/>
        </w:rPr>
        <w:t>凡涉及本采购文件的解释权均属于浙江中明工程咨询有限公司和采购人。</w:t>
      </w:r>
      <w:bookmarkEnd w:id="82"/>
      <w:bookmarkEnd w:id="83"/>
    </w:p>
    <w:p>
      <w:pPr>
        <w:tabs>
          <w:tab w:val="left" w:pos="0"/>
        </w:tabs>
        <w:spacing w:line="360" w:lineRule="auto"/>
        <w:ind w:firstLine="643" w:firstLineChars="200"/>
        <w:outlineLvl w:val="0"/>
        <w:rPr>
          <w:rFonts w:ascii="仿宋" w:hAnsi="仿宋" w:eastAsia="仿宋" w:cs="仿宋"/>
          <w:b/>
          <w:sz w:val="32"/>
          <w:szCs w:val="32"/>
        </w:rPr>
      </w:pPr>
    </w:p>
    <w:p>
      <w:pPr>
        <w:numPr>
          <w:ilvl w:val="0"/>
          <w:numId w:val="2"/>
        </w:numPr>
        <w:spacing w:line="360" w:lineRule="auto"/>
        <w:ind w:firstLine="723" w:firstLineChars="200"/>
        <w:jc w:val="center"/>
        <w:outlineLvl w:val="0"/>
        <w:rPr>
          <w:rFonts w:ascii="仿宋" w:hAnsi="仿宋" w:eastAsia="仿宋" w:cs="仿宋"/>
          <w:b/>
          <w:sz w:val="36"/>
          <w:szCs w:val="36"/>
        </w:rPr>
      </w:pPr>
      <w:bookmarkStart w:id="84" w:name="_Toc28884"/>
      <w:r>
        <w:rPr>
          <w:rFonts w:hint="eastAsia" w:ascii="仿宋" w:hAnsi="仿宋" w:eastAsia="仿宋" w:cs="仿宋"/>
          <w:b/>
          <w:sz w:val="36"/>
          <w:szCs w:val="36"/>
        </w:rPr>
        <w:t>评分办法及评分标准</w:t>
      </w:r>
      <w:bookmarkEnd w:id="84"/>
    </w:p>
    <w:p>
      <w:pPr>
        <w:numPr>
          <w:ilvl w:val="1"/>
          <w:numId w:val="2"/>
        </w:numPr>
        <w:spacing w:line="360" w:lineRule="auto"/>
        <w:jc w:val="center"/>
        <w:outlineLvl w:val="0"/>
        <w:rPr>
          <w:rFonts w:ascii="仿宋" w:hAnsi="仿宋" w:eastAsia="仿宋" w:cs="仿宋"/>
          <w:b/>
          <w:sz w:val="32"/>
          <w:szCs w:val="32"/>
        </w:rPr>
      </w:pPr>
      <w:bookmarkStart w:id="85" w:name="_Toc31481"/>
      <w:r>
        <w:rPr>
          <w:rFonts w:hint="eastAsia" w:ascii="仿宋" w:hAnsi="仿宋" w:eastAsia="仿宋" w:cs="仿宋"/>
          <w:b/>
          <w:sz w:val="32"/>
          <w:szCs w:val="32"/>
        </w:rPr>
        <w:t>评分办法</w:t>
      </w:r>
      <w:bookmarkEnd w:id="85"/>
    </w:p>
    <w:p>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sz w:val="24"/>
        </w:rPr>
        <w:t>本项目采用综合评分法</w:t>
      </w:r>
      <w:r>
        <w:rPr>
          <w:rFonts w:hint="eastAsia" w:ascii="仿宋" w:hAnsi="仿宋" w:eastAsia="仿宋" w:cs="仿宋"/>
          <w:sz w:val="24"/>
        </w:rPr>
        <w:t>，评标委员会将对各投标人的投标报价、</w:t>
      </w:r>
      <w:r>
        <w:rPr>
          <w:rFonts w:hint="eastAsia" w:ascii="仿宋" w:hAnsi="仿宋" w:eastAsia="仿宋" w:cs="仿宋"/>
          <w:bCs/>
          <w:sz w:val="24"/>
        </w:rPr>
        <w:t>技术和服务方案</w:t>
      </w:r>
      <w:r>
        <w:rPr>
          <w:rFonts w:hint="eastAsia" w:ascii="仿宋" w:hAnsi="仿宋" w:eastAsia="仿宋" w:cs="仿宋"/>
          <w:sz w:val="24"/>
        </w:rPr>
        <w:t xml:space="preserve">、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按技术指标优劣顺序排列，并形成评标意见。 </w:t>
      </w:r>
    </w:p>
    <w:p>
      <w:pPr>
        <w:spacing w:line="360" w:lineRule="auto"/>
        <w:ind w:firstLine="480" w:firstLineChars="200"/>
        <w:rPr>
          <w:rFonts w:ascii="仿宋" w:hAnsi="仿宋" w:eastAsia="仿宋" w:cs="仿宋"/>
          <w:b/>
          <w:sz w:val="24"/>
        </w:rPr>
      </w:pPr>
      <w:r>
        <w:rPr>
          <w:rFonts w:hint="eastAsia" w:ascii="仿宋" w:hAnsi="仿宋" w:eastAsia="仿宋" w:cs="仿宋"/>
          <w:sz w:val="24"/>
        </w:rPr>
        <w:t>各投标人的综合得分为：投标价格得分+</w:t>
      </w:r>
      <w:r>
        <w:rPr>
          <w:rFonts w:hint="eastAsia" w:ascii="仿宋" w:hAnsi="仿宋" w:eastAsia="仿宋" w:cs="仿宋"/>
          <w:bCs/>
          <w:sz w:val="24"/>
        </w:rPr>
        <w:t>技术和服务方案</w:t>
      </w:r>
      <w:r>
        <w:rPr>
          <w:rFonts w:hint="eastAsia" w:ascii="仿宋" w:hAnsi="仿宋" w:eastAsia="仿宋" w:cs="仿宋"/>
          <w:sz w:val="24"/>
        </w:rPr>
        <w:t>得分+投标人的资质和业绩情况得分之和，</w:t>
      </w:r>
      <w:r>
        <w:rPr>
          <w:rFonts w:hint="eastAsia" w:ascii="仿宋" w:hAnsi="仿宋" w:eastAsia="仿宋" w:cs="仿宋"/>
          <w:b/>
          <w:sz w:val="24"/>
        </w:rPr>
        <w:t>总和为</w:t>
      </w:r>
      <w:r>
        <w:rPr>
          <w:rFonts w:hint="eastAsia" w:ascii="仿宋" w:hAnsi="仿宋" w:eastAsia="仿宋" w:cs="仿宋"/>
          <w:b/>
          <w:sz w:val="24"/>
          <w:u w:val="single"/>
        </w:rPr>
        <w:t>100</w:t>
      </w:r>
      <w:r>
        <w:rPr>
          <w:rFonts w:hint="eastAsia" w:ascii="仿宋" w:hAnsi="仿宋" w:eastAsia="仿宋" w:cs="仿宋"/>
          <w:b/>
          <w:sz w:val="24"/>
        </w:rPr>
        <w:t>分</w:t>
      </w:r>
      <w:r>
        <w:rPr>
          <w:rFonts w:hint="eastAsia" w:ascii="仿宋" w:hAnsi="仿宋" w:eastAsia="仿宋" w:cs="仿宋"/>
          <w:sz w:val="24"/>
        </w:rPr>
        <w:t>，其中：</w:t>
      </w:r>
      <w:r>
        <w:rPr>
          <w:rFonts w:hint="eastAsia" w:ascii="仿宋" w:hAnsi="仿宋" w:eastAsia="仿宋" w:cs="仿宋"/>
          <w:b/>
          <w:sz w:val="24"/>
        </w:rPr>
        <w:t>投标价格得分</w:t>
      </w:r>
      <w:r>
        <w:rPr>
          <w:rFonts w:hint="eastAsia" w:ascii="仿宋" w:hAnsi="仿宋" w:eastAsia="仿宋" w:cs="仿宋"/>
          <w:b/>
          <w:sz w:val="24"/>
          <w:u w:val="single"/>
        </w:rPr>
        <w:t>30</w:t>
      </w:r>
      <w:r>
        <w:rPr>
          <w:rFonts w:hint="eastAsia" w:ascii="仿宋" w:hAnsi="仿宋" w:eastAsia="仿宋" w:cs="仿宋"/>
          <w:b/>
          <w:sz w:val="24"/>
        </w:rPr>
        <w:t>分，</w:t>
      </w:r>
      <w:r>
        <w:rPr>
          <w:rFonts w:hint="eastAsia" w:ascii="仿宋" w:hAnsi="仿宋" w:eastAsia="仿宋" w:cs="仿宋"/>
          <w:b/>
          <w:bCs/>
          <w:sz w:val="24"/>
        </w:rPr>
        <w:t>商务技术得分</w:t>
      </w:r>
      <w:r>
        <w:rPr>
          <w:rFonts w:hint="eastAsia" w:ascii="仿宋" w:hAnsi="仿宋" w:eastAsia="仿宋" w:cs="仿宋"/>
          <w:b/>
          <w:sz w:val="24"/>
          <w:u w:val="single"/>
        </w:rPr>
        <w:t>70</w:t>
      </w:r>
      <w:r>
        <w:rPr>
          <w:rFonts w:hint="eastAsia" w:ascii="仿宋" w:hAnsi="仿宋" w:eastAsia="仿宋" w:cs="仿宋"/>
          <w:b/>
          <w:sz w:val="24"/>
        </w:rPr>
        <w:t>分。</w:t>
      </w:r>
    </w:p>
    <w:p>
      <w:pPr>
        <w:tabs>
          <w:tab w:val="left" w:pos="0"/>
        </w:tabs>
        <w:spacing w:line="360" w:lineRule="auto"/>
        <w:ind w:firstLine="482" w:firstLineChars="200"/>
        <w:outlineLvl w:val="0"/>
        <w:rPr>
          <w:rFonts w:ascii="仿宋" w:hAnsi="仿宋" w:eastAsia="仿宋" w:cs="仿宋"/>
          <w:b/>
          <w:sz w:val="32"/>
          <w:szCs w:val="32"/>
        </w:rPr>
      </w:pPr>
      <w:bookmarkStart w:id="86" w:name="_Toc22892"/>
      <w:bookmarkStart w:id="87" w:name="_Toc23299"/>
      <w:r>
        <w:rPr>
          <w:rFonts w:hint="eastAsia" w:ascii="仿宋" w:hAnsi="仿宋" w:eastAsia="仿宋" w:cs="仿宋"/>
          <w:b/>
          <w:sz w:val="24"/>
        </w:rPr>
        <w:t>各投标人的投标价格得分按投标价格评分</w:t>
      </w:r>
      <w:r>
        <w:rPr>
          <w:rFonts w:hint="eastAsia" w:ascii="仿宋" w:hAnsi="仿宋" w:eastAsia="仿宋" w:cs="仿宋"/>
          <w:b/>
          <w:kern w:val="0"/>
          <w:sz w:val="24"/>
        </w:rPr>
        <w:t>公式由采购代理机构计算，</w:t>
      </w:r>
      <w:r>
        <w:rPr>
          <w:rFonts w:hint="eastAsia" w:ascii="仿宋" w:hAnsi="仿宋" w:eastAsia="仿宋" w:cs="仿宋"/>
          <w:b/>
          <w:sz w:val="24"/>
        </w:rPr>
        <w:t>评标委员会审核。</w:t>
      </w:r>
      <w:bookmarkEnd w:id="86"/>
      <w:bookmarkEnd w:id="87"/>
    </w:p>
    <w:p>
      <w:pPr>
        <w:numPr>
          <w:ilvl w:val="1"/>
          <w:numId w:val="2"/>
        </w:numPr>
        <w:spacing w:line="360" w:lineRule="auto"/>
        <w:jc w:val="center"/>
        <w:outlineLvl w:val="0"/>
        <w:rPr>
          <w:rFonts w:ascii="仿宋" w:hAnsi="仿宋" w:eastAsia="仿宋" w:cs="仿宋"/>
          <w:b/>
          <w:sz w:val="32"/>
          <w:szCs w:val="32"/>
        </w:rPr>
      </w:pPr>
      <w:bookmarkStart w:id="88" w:name="_Toc8929"/>
      <w:r>
        <w:rPr>
          <w:rFonts w:hint="eastAsia" w:ascii="仿宋" w:hAnsi="仿宋" w:eastAsia="仿宋" w:cs="仿宋"/>
          <w:b/>
          <w:sz w:val="32"/>
          <w:szCs w:val="32"/>
        </w:rPr>
        <w:t>评分标准</w:t>
      </w:r>
      <w:bookmarkEnd w:id="88"/>
    </w:p>
    <w:p>
      <w:pPr>
        <w:tabs>
          <w:tab w:val="left" w:pos="0"/>
        </w:tabs>
        <w:spacing w:line="360" w:lineRule="auto"/>
        <w:ind w:firstLine="480" w:firstLineChars="200"/>
        <w:rPr>
          <w:rFonts w:ascii="仿宋" w:hAnsi="仿宋" w:eastAsia="仿宋" w:cs="仿宋"/>
          <w:sz w:val="24"/>
        </w:rPr>
      </w:pPr>
      <w:r>
        <w:rPr>
          <w:rFonts w:hint="eastAsia" w:ascii="仿宋" w:hAnsi="仿宋" w:eastAsia="仿宋" w:cs="仿宋"/>
          <w:sz w:val="24"/>
        </w:rPr>
        <w:t>根据上述评标原则，分值安排如下：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投标价格（A=30分）：</w:t>
      </w:r>
    </w:p>
    <w:p>
      <w:pPr>
        <w:widowControl/>
        <w:spacing w:line="360" w:lineRule="auto"/>
        <w:ind w:firstLine="482" w:firstLineChars="200"/>
        <w:jc w:val="left"/>
        <w:rPr>
          <w:rFonts w:ascii="仿宋" w:hAnsi="仿宋" w:eastAsia="仿宋" w:cs="仿宋"/>
          <w:b/>
          <w:color w:val="000000"/>
          <w:sz w:val="24"/>
        </w:rPr>
      </w:pPr>
      <w:r>
        <w:rPr>
          <w:rFonts w:hint="eastAsia" w:ascii="仿宋" w:hAnsi="仿宋" w:eastAsia="仿宋" w:cs="仿宋"/>
          <w:b/>
          <w:bCs/>
          <w:sz w:val="24"/>
          <w:lang w:val="zh-CN"/>
        </w:rPr>
        <w:t>报价的合理性：</w:t>
      </w:r>
      <w:r>
        <w:rPr>
          <w:rFonts w:hint="eastAsia" w:ascii="仿宋" w:hAnsi="仿宋" w:eastAsia="仿宋" w:cs="仿宋"/>
          <w:sz w:val="24"/>
          <w:lang w:val="zh-CN"/>
        </w:rPr>
        <w:t>分析总报价及各个分项报价是否合理，报价范围是否完整，有否重大错漏项</w:t>
      </w:r>
      <w:r>
        <w:rPr>
          <w:rFonts w:hint="eastAsia" w:ascii="仿宋" w:hAnsi="仿宋" w:eastAsia="仿宋" w:cs="仿宋"/>
          <w:sz w:val="24"/>
        </w:rPr>
        <w:t>，评标委员会认为投标报价出现异常时，有权要求投标人在评标期间对投标报价的详细组成和投标产品的供应渠道等事项作出解释和澄清，并确认其投标报价是否有效</w:t>
      </w:r>
      <w:r>
        <w:rPr>
          <w:rFonts w:hint="eastAsia" w:ascii="仿宋" w:hAnsi="仿宋" w:eastAsia="仿宋" w:cs="仿宋"/>
          <w:sz w:val="24"/>
          <w:lang w:val="zh-CN"/>
        </w:rPr>
        <w:t>。如</w:t>
      </w:r>
      <w:r>
        <w:rPr>
          <w:rFonts w:hint="eastAsia" w:ascii="仿宋" w:hAnsi="仿宋" w:eastAsia="仿宋" w:cs="仿宋"/>
          <w:b/>
          <w:color w:val="000000"/>
          <w:sz w:val="24"/>
        </w:rPr>
        <w:t>该供应商不能合理说明原因并提供证明材料，评标委员会有权将该供应商的投标文件作无效处理，同时采购代理机构应将情况报同级财政部门，并视情况将其列入不良供应商名单。</w:t>
      </w:r>
    </w:p>
    <w:p>
      <w:pPr>
        <w:widowControl/>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价格扣除：</w:t>
      </w:r>
      <w:r>
        <w:rPr>
          <w:rFonts w:hint="eastAsia" w:ascii="仿宋" w:hAnsi="仿宋" w:eastAsia="仿宋" w:cs="仿宋"/>
          <w:bCs/>
          <w:color w:val="000000"/>
          <w:sz w:val="24"/>
        </w:rPr>
        <w:t>投标人属于中小企业的，按前附表13项进行价格扣除。</w:t>
      </w:r>
    </w:p>
    <w:p>
      <w:pPr>
        <w:widowControl/>
        <w:spacing w:line="360" w:lineRule="auto"/>
        <w:ind w:firstLine="482" w:firstLineChars="200"/>
        <w:jc w:val="left"/>
        <w:rPr>
          <w:rFonts w:ascii="仿宋" w:hAnsi="仿宋" w:eastAsia="仿宋" w:cs="仿宋"/>
          <w:sz w:val="24"/>
          <w:lang w:val="zh-CN"/>
        </w:rPr>
      </w:pPr>
      <w:r>
        <w:rPr>
          <w:rFonts w:hint="eastAsia" w:ascii="仿宋" w:hAnsi="仿宋" w:eastAsia="仿宋" w:cs="仿宋"/>
          <w:b/>
          <w:bCs/>
          <w:sz w:val="24"/>
          <w:lang w:val="zh-CN"/>
        </w:rPr>
        <w:t>报价分计算方法：</w:t>
      </w:r>
      <w:r>
        <w:rPr>
          <w:rFonts w:hint="eastAsia" w:ascii="仿宋" w:hAnsi="仿宋" w:eastAsia="仿宋" w:cs="仿宋"/>
          <w:sz w:val="24"/>
          <w:lang w:val="zh-CN"/>
        </w:rPr>
        <w:t>根据各投标人的有效投标报价，以满足采购文件要求且有效投标价格的最低的投标报价为评标基准价，其价格分为</w:t>
      </w:r>
      <w:r>
        <w:rPr>
          <w:rFonts w:hint="eastAsia" w:ascii="仿宋" w:hAnsi="仿宋" w:eastAsia="仿宋" w:cs="仿宋"/>
          <w:sz w:val="24"/>
        </w:rPr>
        <w:t>30</w:t>
      </w:r>
      <w:r>
        <w:rPr>
          <w:rFonts w:hint="eastAsia" w:ascii="仿宋" w:hAnsi="仿宋" w:eastAsia="仿宋" w:cs="仿宋"/>
          <w:sz w:val="24"/>
          <w:lang w:val="zh-CN"/>
        </w:rPr>
        <w:t>分。其他投标人的价格分统一按照下列公式计算：投标报价得分＝(评标基准价/有效投标报价)</w:t>
      </w:r>
      <w:r>
        <w:rPr>
          <w:rFonts w:hint="eastAsia" w:ascii="仿宋" w:hAnsi="仿宋" w:eastAsia="仿宋" w:cs="仿宋"/>
          <w:sz w:val="24"/>
        </w:rPr>
        <w:t>×</w:t>
      </w:r>
      <w:r>
        <w:rPr>
          <w:rFonts w:hint="eastAsia" w:ascii="仿宋" w:hAnsi="仿宋" w:eastAsia="仿宋" w:cs="仿宋"/>
          <w:sz w:val="24"/>
          <w:lang w:val="zh-CN"/>
        </w:rPr>
        <w:t>价格权值</w:t>
      </w:r>
      <w:r>
        <w:rPr>
          <w:rFonts w:hint="eastAsia" w:ascii="仿宋" w:hAnsi="仿宋" w:eastAsia="仿宋" w:cs="仿宋"/>
          <w:sz w:val="24"/>
        </w:rPr>
        <w:t>×</w:t>
      </w:r>
      <w:r>
        <w:rPr>
          <w:rFonts w:hint="eastAsia" w:ascii="仿宋" w:hAnsi="仿宋" w:eastAsia="仿宋" w:cs="仿宋"/>
          <w:sz w:val="24"/>
          <w:lang w:val="zh-CN"/>
        </w:rPr>
        <w:t>100(精确到小数点后二位，由采购代理机构当场统一计算)。</w:t>
      </w: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商务技术部分</w:t>
      </w:r>
      <w:r>
        <w:rPr>
          <w:rFonts w:hint="eastAsia" w:ascii="仿宋" w:hAnsi="仿宋" w:eastAsia="仿宋" w:cs="仿宋"/>
          <w:b/>
          <w:bCs/>
          <w:sz w:val="24"/>
        </w:rPr>
        <w:t>（B=70分）</w:t>
      </w:r>
    </w:p>
    <w:p>
      <w:pPr>
        <w:pStyle w:val="25"/>
        <w:spacing w:before="0"/>
        <w:ind w:firstLine="482"/>
        <w:rPr>
          <w:rFonts w:ascii="仿宋" w:hAnsi="仿宋" w:eastAsia="仿宋" w:cs="仿宋"/>
          <w:b/>
          <w:color w:val="000000"/>
        </w:rPr>
      </w:pPr>
      <w:r>
        <w:rPr>
          <w:rFonts w:hint="eastAsia" w:ascii="仿宋" w:hAnsi="仿宋" w:eastAsia="仿宋" w:cs="仿宋"/>
          <w:b/>
          <w:color w:val="000000"/>
        </w:rPr>
        <w:t>（1）商务技术分的计算：</w:t>
      </w:r>
    </w:p>
    <w:p>
      <w:pPr>
        <w:pStyle w:val="25"/>
        <w:spacing w:before="0"/>
        <w:ind w:firstLine="480"/>
        <w:rPr>
          <w:rFonts w:ascii="仿宋" w:hAnsi="仿宋" w:eastAsia="仿宋" w:cs="仿宋"/>
          <w:b/>
        </w:rPr>
      </w:pPr>
      <w:r>
        <w:rPr>
          <w:rFonts w:hint="eastAsia" w:ascii="仿宋" w:hAnsi="仿宋" w:eastAsia="仿宋" w:cs="仿宋"/>
          <w:color w:val="000000"/>
        </w:rPr>
        <w:t>商务技术分按照评标委员会成员的独立评分结果汇总数的算术平均分计算，计算公式为：商务技术分=评标委员会所有成员评分合计数/评标委员会组成人员数。</w:t>
      </w:r>
    </w:p>
    <w:p>
      <w:pPr>
        <w:numPr>
          <w:ilvl w:val="0"/>
          <w:numId w:val="6"/>
        </w:numPr>
        <w:tabs>
          <w:tab w:val="left" w:pos="0"/>
        </w:tabs>
        <w:spacing w:line="360" w:lineRule="auto"/>
        <w:ind w:firstLine="482" w:firstLineChars="200"/>
        <w:outlineLvl w:val="0"/>
        <w:rPr>
          <w:rFonts w:ascii="仿宋" w:hAnsi="仿宋" w:eastAsia="仿宋" w:cs="仿宋"/>
          <w:b/>
          <w:color w:val="000000"/>
          <w:sz w:val="24"/>
          <w:szCs w:val="20"/>
        </w:rPr>
      </w:pPr>
      <w:bookmarkStart w:id="89" w:name="_Toc17860"/>
      <w:bookmarkStart w:id="90" w:name="_Toc24652"/>
      <w:r>
        <w:rPr>
          <w:rFonts w:hint="eastAsia" w:ascii="仿宋" w:hAnsi="仿宋" w:eastAsia="仿宋" w:cs="仿宋"/>
          <w:b/>
          <w:color w:val="000000"/>
          <w:sz w:val="24"/>
          <w:szCs w:val="20"/>
        </w:rPr>
        <w:t>评分细则如下：</w:t>
      </w:r>
      <w:bookmarkEnd w:id="89"/>
      <w:bookmarkEnd w:id="90"/>
    </w:p>
    <w:tbl>
      <w:tblPr>
        <w:tblStyle w:val="17"/>
        <w:tblW w:w="9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248"/>
        <w:gridCol w:w="850"/>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jc w:val="center"/>
              <w:rPr>
                <w:rFonts w:ascii="宋体" w:hAnsi="宋体" w:cs="宋体"/>
              </w:rPr>
            </w:pPr>
            <w:r>
              <w:rPr>
                <w:rFonts w:hint="eastAsia" w:ascii="宋体" w:hAnsi="宋体" w:cs="宋体"/>
              </w:rPr>
              <w:t>序号</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jc w:val="center"/>
              <w:rPr>
                <w:rFonts w:ascii="宋体" w:hAnsi="宋体" w:cs="宋体"/>
              </w:rPr>
            </w:pPr>
            <w:r>
              <w:rPr>
                <w:rFonts w:hint="eastAsia" w:ascii="宋体" w:hAnsi="宋体" w:cs="宋体"/>
              </w:rPr>
              <w:t>评审因素</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jc w:val="center"/>
              <w:rPr>
                <w:rFonts w:ascii="宋体" w:hAnsi="宋体" w:cs="宋体"/>
              </w:rPr>
            </w:pPr>
            <w:r>
              <w:rPr>
                <w:rFonts w:hint="eastAsia" w:ascii="宋体" w:hAnsi="宋体" w:cs="宋体"/>
              </w:rPr>
              <w:t>分值</w:t>
            </w:r>
          </w:p>
        </w:tc>
        <w:tc>
          <w:tcPr>
            <w:tcW w:w="6829"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firstLine="472" w:firstLineChars="225"/>
              <w:jc w:val="center"/>
              <w:rPr>
                <w:rFonts w:ascii="宋体" w:hAnsi="宋体" w:cs="宋体"/>
              </w:rPr>
            </w:pPr>
            <w:r>
              <w:rPr>
                <w:rFonts w:hint="eastAsia" w:ascii="宋体" w:hAnsi="宋体" w:cs="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360" w:lineRule="auto"/>
              <w:ind w:right="281" w:rightChars="134"/>
              <w:jc w:val="center"/>
              <w:rPr>
                <w:rFonts w:ascii="宋体" w:hAnsi="宋体" w:cs="宋体"/>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rPr>
                <w:rFonts w:ascii="宋体" w:hAnsi="宋体" w:cs="宋体"/>
              </w:rPr>
            </w:pPr>
            <w:r>
              <w:rPr>
                <w:rFonts w:hint="eastAsia" w:ascii="宋体" w:hAnsi="宋体" w:cs="宋体"/>
              </w:rPr>
              <w:t>整体技术方案</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rPr>
                <w:rFonts w:ascii="宋体" w:hAnsi="宋体" w:cs="宋体"/>
              </w:rPr>
            </w:pPr>
            <w:r>
              <w:rPr>
                <w:rFonts w:hint="eastAsia" w:ascii="宋体" w:hAnsi="宋体" w:cs="宋体"/>
              </w:rPr>
              <w:t>20分</w:t>
            </w:r>
          </w:p>
        </w:tc>
        <w:tc>
          <w:tcPr>
            <w:tcW w:w="6829"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360" w:lineRule="auto"/>
              <w:rPr>
                <w:rFonts w:ascii="宋体" w:hAnsi="宋体" w:cs="宋体"/>
              </w:rPr>
            </w:pPr>
            <w:r>
              <w:rPr>
                <w:rFonts w:hint="eastAsia" w:ascii="宋体" w:hAnsi="宋体" w:cs="宋体"/>
              </w:rPr>
              <w:t>技术方案：本项1-10分，技术方案的合理性、科学性、全面性等。</w:t>
            </w:r>
          </w:p>
          <w:p>
            <w:pPr>
              <w:spacing w:line="360" w:lineRule="auto"/>
              <w:rPr>
                <w:rFonts w:ascii="宋体" w:hAnsi="宋体" w:cs="宋体"/>
              </w:rPr>
            </w:pPr>
            <w:r>
              <w:rPr>
                <w:rFonts w:hint="eastAsia" w:ascii="宋体" w:hAnsi="宋体" w:cs="宋体"/>
                <w:kern w:val="0"/>
                <w:lang w:val="zh-CN"/>
              </w:rPr>
              <w:t>一般情况的得1-</w:t>
            </w:r>
            <w:r>
              <w:rPr>
                <w:rFonts w:hint="eastAsia" w:ascii="宋体" w:hAnsi="宋体" w:cs="宋体"/>
                <w:kern w:val="0"/>
              </w:rPr>
              <w:t>3</w:t>
            </w:r>
            <w:r>
              <w:rPr>
                <w:rFonts w:hint="eastAsia" w:ascii="宋体" w:hAnsi="宋体" w:cs="宋体"/>
                <w:kern w:val="0"/>
                <w:lang w:val="zh-CN"/>
              </w:rPr>
              <w:t>分；较好的得</w:t>
            </w:r>
            <w:r>
              <w:rPr>
                <w:rFonts w:hint="eastAsia" w:ascii="宋体" w:hAnsi="宋体" w:cs="宋体"/>
                <w:kern w:val="0"/>
              </w:rPr>
              <w:t>4</w:t>
            </w: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分；细致详尽的得</w:t>
            </w:r>
            <w:r>
              <w:rPr>
                <w:rFonts w:hint="eastAsia" w:ascii="宋体" w:hAnsi="宋体" w:cs="宋体"/>
                <w:kern w:val="0"/>
              </w:rPr>
              <w:t>7</w:t>
            </w: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分</w:t>
            </w:r>
          </w:p>
          <w:p>
            <w:pPr>
              <w:numPr>
                <w:ilvl w:val="0"/>
                <w:numId w:val="8"/>
              </w:numPr>
              <w:spacing w:line="360" w:lineRule="auto"/>
              <w:ind w:right="281" w:rightChars="134"/>
              <w:rPr>
                <w:rFonts w:ascii="宋体" w:hAnsi="宋体"/>
              </w:rPr>
            </w:pPr>
            <w:r>
              <w:rPr>
                <w:rFonts w:hint="eastAsia" w:ascii="宋体" w:hAnsi="宋体"/>
              </w:rPr>
              <w:t>配置参数：本项1-10分，根据招标要求，产品品牌、参数、指标等是否实质性响应，（打“★”标记为必须响应的重要指标，负偏离或未响应将视为无效投标；）。</w:t>
            </w:r>
          </w:p>
          <w:p>
            <w:pPr>
              <w:spacing w:line="360" w:lineRule="auto"/>
              <w:ind w:right="281" w:rightChars="134"/>
              <w:rPr>
                <w:rFonts w:ascii="宋体" w:hAnsi="宋体"/>
              </w:rPr>
            </w:pPr>
            <w:r>
              <w:rPr>
                <w:rFonts w:hint="eastAsia" w:ascii="宋体" w:hAnsi="宋体" w:cs="宋体"/>
                <w:kern w:val="0"/>
                <w:lang w:val="zh-CN"/>
              </w:rPr>
              <w:t>一般情况的得1-</w:t>
            </w:r>
            <w:r>
              <w:rPr>
                <w:rFonts w:hint="eastAsia" w:ascii="宋体" w:hAnsi="宋体" w:cs="宋体"/>
                <w:kern w:val="0"/>
              </w:rPr>
              <w:t>3</w:t>
            </w:r>
            <w:r>
              <w:rPr>
                <w:rFonts w:hint="eastAsia" w:ascii="宋体" w:hAnsi="宋体" w:cs="宋体"/>
                <w:kern w:val="0"/>
                <w:lang w:val="zh-CN"/>
              </w:rPr>
              <w:t>分；较好的得</w:t>
            </w:r>
            <w:r>
              <w:rPr>
                <w:rFonts w:hint="eastAsia" w:ascii="宋体" w:hAnsi="宋体" w:cs="宋体"/>
                <w:kern w:val="0"/>
              </w:rPr>
              <w:t>4</w:t>
            </w: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分；细致详尽的得</w:t>
            </w:r>
            <w:r>
              <w:rPr>
                <w:rFonts w:hint="eastAsia" w:ascii="宋体" w:hAnsi="宋体" w:cs="宋体"/>
                <w:kern w:val="0"/>
              </w:rPr>
              <w:t>7</w:t>
            </w: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360" w:lineRule="auto"/>
              <w:ind w:right="281" w:rightChars="134"/>
              <w:jc w:val="center"/>
              <w:rPr>
                <w:rFonts w:ascii="宋体" w:hAnsi="宋体" w:cs="宋体"/>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rPr>
                <w:rFonts w:ascii="宋体" w:hAnsi="宋体" w:cs="宋体"/>
              </w:rPr>
            </w:pPr>
            <w:r>
              <w:rPr>
                <w:rFonts w:hint="eastAsia" w:ascii="宋体" w:hAnsi="宋体" w:cs="宋体"/>
              </w:rPr>
              <w:t>系统集成方案</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rPr>
                <w:rFonts w:ascii="宋体" w:hAnsi="宋体" w:cs="宋体"/>
              </w:rPr>
            </w:pPr>
            <w:r>
              <w:rPr>
                <w:rFonts w:hint="eastAsia" w:ascii="宋体" w:hAnsi="宋体" w:cs="宋体"/>
              </w:rPr>
              <w:t>15分</w:t>
            </w:r>
          </w:p>
        </w:tc>
        <w:tc>
          <w:tcPr>
            <w:tcW w:w="6829"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rPr>
                <w:rFonts w:ascii="宋体" w:hAnsi="宋体"/>
              </w:rPr>
            </w:pPr>
            <w:r>
              <w:rPr>
                <w:rFonts w:hint="eastAsia" w:ascii="宋体" w:hAnsi="宋体"/>
              </w:rPr>
              <w:t>各子系统集成方案：本项目中各个子系统方案设计的合理性、技术的先进性、稳定性、安全性、实际应用规模、对用户需求的理解程度等方面进行综合评分。</w:t>
            </w:r>
          </w:p>
          <w:p>
            <w:pPr>
              <w:spacing w:line="360" w:lineRule="auto"/>
              <w:ind w:right="281" w:rightChars="134"/>
              <w:rPr>
                <w:rFonts w:ascii="宋体" w:hAnsi="宋体" w:cs="宋体"/>
                <w:kern w:val="0"/>
                <w:lang w:val="zh-CN"/>
              </w:rPr>
            </w:pPr>
            <w:r>
              <w:rPr>
                <w:rFonts w:hint="eastAsia" w:ascii="宋体" w:hAnsi="宋体" w:cs="宋体"/>
                <w:kern w:val="0"/>
                <w:lang w:val="zh-CN"/>
              </w:rPr>
              <w:t>一般情况的得1-</w:t>
            </w:r>
            <w:r>
              <w:rPr>
                <w:rFonts w:hint="eastAsia" w:ascii="宋体" w:hAnsi="宋体" w:cs="宋体"/>
                <w:kern w:val="0"/>
              </w:rPr>
              <w:t>3</w:t>
            </w:r>
            <w:r>
              <w:rPr>
                <w:rFonts w:hint="eastAsia" w:ascii="宋体" w:hAnsi="宋体" w:cs="宋体"/>
                <w:kern w:val="0"/>
                <w:lang w:val="zh-CN"/>
              </w:rPr>
              <w:t>分；较好的得</w:t>
            </w:r>
            <w:r>
              <w:rPr>
                <w:rFonts w:hint="eastAsia" w:ascii="宋体" w:hAnsi="宋体" w:cs="宋体"/>
                <w:kern w:val="0"/>
              </w:rPr>
              <w:t>4</w:t>
            </w: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分；细致详尽的得</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12</w:t>
            </w:r>
            <w:r>
              <w:rPr>
                <w:rFonts w:hint="eastAsia" w:ascii="宋体" w:hAnsi="宋体" w:cs="宋体"/>
                <w:kern w:val="0"/>
                <w:lang w:val="zh-CN"/>
              </w:rPr>
              <w:t>分；</w:t>
            </w:r>
          </w:p>
          <w:p>
            <w:pPr>
              <w:spacing w:line="360" w:lineRule="auto"/>
              <w:ind w:right="281" w:rightChars="134"/>
              <w:rPr>
                <w:rFonts w:ascii="宋体" w:hAnsi="宋体" w:cs="宋体"/>
                <w:kern w:val="0"/>
                <w:lang w:val="zh-CN"/>
              </w:rPr>
            </w:pPr>
            <w:r>
              <w:rPr>
                <w:rFonts w:hint="eastAsia" w:ascii="宋体" w:hAnsi="宋体" w:cs="宋体"/>
                <w:kern w:val="0"/>
                <w:lang w:val="zh-CN"/>
              </w:rPr>
              <w:t>具有信息系统集成资质二级及以上的得2分；</w:t>
            </w:r>
          </w:p>
          <w:p>
            <w:pPr>
              <w:spacing w:line="360" w:lineRule="auto"/>
              <w:ind w:right="281" w:rightChars="134"/>
              <w:rPr>
                <w:rFonts w:ascii="宋体" w:hAnsi="宋体"/>
              </w:rPr>
            </w:pPr>
            <w:r>
              <w:rPr>
                <w:rFonts w:hint="eastAsia" w:ascii="宋体" w:hAnsi="宋体" w:cs="宋体"/>
                <w:kern w:val="0"/>
                <w:lang w:val="zh-CN"/>
              </w:rPr>
              <w:t>具有国家保密局颁发的涉密信息系统集成资质的得1分；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360" w:lineRule="auto"/>
              <w:ind w:right="281" w:rightChars="134"/>
              <w:jc w:val="center"/>
              <w:rPr>
                <w:rFonts w:ascii="宋体" w:hAnsi="宋体" w:cs="宋体"/>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rPr>
                <w:rFonts w:ascii="宋体" w:hAnsi="宋体" w:cs="宋体"/>
              </w:rPr>
            </w:pPr>
            <w:r>
              <w:rPr>
                <w:rFonts w:hint="eastAsia" w:ascii="宋体" w:hAnsi="宋体" w:cs="宋体"/>
              </w:rPr>
              <w:t>品牌情况</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rPr>
                <w:rFonts w:ascii="宋体" w:hAnsi="宋体" w:cs="宋体"/>
              </w:rPr>
            </w:pPr>
            <w:r>
              <w:rPr>
                <w:rFonts w:hint="eastAsia" w:ascii="宋体" w:hAnsi="宋体" w:cs="宋体"/>
              </w:rPr>
              <w:t>5分</w:t>
            </w:r>
          </w:p>
        </w:tc>
        <w:tc>
          <w:tcPr>
            <w:tcW w:w="6829"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rPr>
                <w:rFonts w:ascii="宋体" w:hAnsi="宋体" w:cs="宋体"/>
              </w:rPr>
            </w:pPr>
            <w:r>
              <w:rPr>
                <w:rFonts w:hint="eastAsia" w:ascii="宋体" w:hAnsi="宋体" w:cs="宋体"/>
              </w:rPr>
              <w:t>根据所投产品的品牌性能、信誉度、市场占有率等进行综合打分</w:t>
            </w:r>
          </w:p>
          <w:p>
            <w:pPr>
              <w:spacing w:line="360" w:lineRule="auto"/>
              <w:ind w:right="281" w:rightChars="134"/>
              <w:rPr>
                <w:rFonts w:ascii="宋体" w:hAnsi="宋体" w:cs="宋体"/>
              </w:rPr>
            </w:pPr>
            <w:r>
              <w:rPr>
                <w:rFonts w:hint="eastAsia" w:ascii="宋体" w:hAnsi="宋体" w:cs="宋体"/>
              </w:rPr>
              <w:t>由评委进行横向比较打分,0-5分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360" w:lineRule="auto"/>
              <w:ind w:right="281" w:rightChars="134"/>
              <w:jc w:val="center"/>
              <w:rPr>
                <w:rFonts w:ascii="宋体" w:hAnsi="宋体" w:cs="宋体"/>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rPr>
                <w:rFonts w:ascii="宋体" w:hAnsi="宋体" w:cs="宋体"/>
              </w:rPr>
            </w:pPr>
            <w:r>
              <w:rPr>
                <w:rFonts w:hint="eastAsia" w:ascii="宋体" w:hAnsi="宋体" w:cs="宋体"/>
              </w:rPr>
              <w:t>售后服务保障体系</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rPr>
                <w:rFonts w:ascii="宋体" w:hAnsi="宋体" w:cs="宋体"/>
              </w:rPr>
            </w:pPr>
            <w:r>
              <w:rPr>
                <w:rFonts w:hint="eastAsia" w:ascii="宋体" w:hAnsi="宋体" w:cs="宋体"/>
              </w:rPr>
              <w:t>8分</w:t>
            </w:r>
          </w:p>
        </w:tc>
        <w:tc>
          <w:tcPr>
            <w:tcW w:w="6829" w:type="dxa"/>
            <w:tcBorders>
              <w:top w:val="single" w:color="auto" w:sz="4" w:space="0"/>
              <w:left w:val="single" w:color="auto" w:sz="4" w:space="0"/>
              <w:bottom w:val="single" w:color="auto" w:sz="4" w:space="0"/>
              <w:right w:val="single" w:color="auto" w:sz="4" w:space="0"/>
            </w:tcBorders>
            <w:vAlign w:val="center"/>
          </w:tcPr>
          <w:p>
            <w:pPr>
              <w:numPr>
                <w:ilvl w:val="0"/>
                <w:numId w:val="9"/>
              </w:numPr>
              <w:spacing w:line="360" w:lineRule="auto"/>
              <w:ind w:right="281" w:rightChars="134"/>
              <w:rPr>
                <w:rFonts w:ascii="宋体" w:hAnsi="宋体"/>
              </w:rPr>
            </w:pPr>
            <w:r>
              <w:rPr>
                <w:rFonts w:hint="eastAsia" w:ascii="宋体" w:hAnsi="宋体"/>
              </w:rPr>
              <w:t>售后服务方案：本项1-3分，售后服务方案的完整性、周期性及时效性等。</w:t>
            </w:r>
            <w:r>
              <w:rPr>
                <w:rFonts w:hint="eastAsia" w:ascii="宋体" w:hAnsi="宋体" w:cs="宋体"/>
                <w:kern w:val="0"/>
                <w:lang w:val="zh-CN"/>
              </w:rPr>
              <w:t>一般情况的得1分；较好的得</w:t>
            </w:r>
            <w:r>
              <w:rPr>
                <w:rFonts w:hint="eastAsia" w:ascii="宋体" w:hAnsi="宋体" w:cs="宋体"/>
                <w:kern w:val="0"/>
              </w:rPr>
              <w:t>2</w:t>
            </w:r>
            <w:r>
              <w:rPr>
                <w:rFonts w:hint="eastAsia" w:ascii="宋体" w:hAnsi="宋体" w:cs="宋体"/>
                <w:kern w:val="0"/>
                <w:lang w:val="zh-CN"/>
              </w:rPr>
              <w:t>分；细致详尽合理的得</w:t>
            </w:r>
            <w:r>
              <w:rPr>
                <w:rFonts w:hint="eastAsia" w:ascii="宋体" w:hAnsi="宋体" w:cs="宋体"/>
                <w:kern w:val="0"/>
              </w:rPr>
              <w:t>3分。</w:t>
            </w:r>
          </w:p>
          <w:p>
            <w:pPr>
              <w:numPr>
                <w:ilvl w:val="0"/>
                <w:numId w:val="9"/>
              </w:numPr>
              <w:spacing w:line="360" w:lineRule="auto"/>
              <w:ind w:right="281" w:rightChars="134"/>
              <w:rPr>
                <w:rFonts w:ascii="宋体" w:hAnsi="宋体"/>
              </w:rPr>
            </w:pPr>
            <w:r>
              <w:rPr>
                <w:rFonts w:hint="eastAsia" w:ascii="宋体" w:hAnsi="宋体" w:cs="宋体"/>
              </w:rPr>
              <w:t>根据项目服务计划（对用户问题的响应、处理、定期回访等情况）的有效性，由评委进行横向比较打分,0-2分；</w:t>
            </w:r>
            <w:r>
              <w:rPr>
                <w:rFonts w:hint="eastAsia" w:ascii="宋体" w:hAnsi="宋体"/>
              </w:rPr>
              <w:t xml:space="preserve"> </w:t>
            </w:r>
          </w:p>
          <w:p>
            <w:pPr>
              <w:numPr>
                <w:ilvl w:val="0"/>
                <w:numId w:val="9"/>
              </w:numPr>
              <w:spacing w:line="360" w:lineRule="auto"/>
              <w:ind w:right="281" w:rightChars="134"/>
              <w:rPr>
                <w:rFonts w:ascii="宋体" w:hAnsi="宋体"/>
              </w:rPr>
            </w:pPr>
            <w:r>
              <w:rPr>
                <w:rFonts w:hint="eastAsia" w:ascii="宋体" w:hAnsi="宋体" w:cs="宋体"/>
              </w:rPr>
              <w:t>根据服务承诺（详细完整的“三包”、免费保修及售后服务措施和方案，包括质保年限、服务措施、回访、技术培训计划、售后服务外的服务承诺等）对客户使用中提出的问题能及时、有效的提出解决方案。由评委进行横向比较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360" w:lineRule="auto"/>
              <w:ind w:right="281" w:rightChars="134"/>
              <w:jc w:val="center"/>
              <w:rPr>
                <w:rFonts w:ascii="宋体" w:hAnsi="宋体" w:cs="宋体"/>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rPr>
                <w:rFonts w:ascii="宋体" w:hAnsi="宋体" w:cs="宋体"/>
              </w:rPr>
            </w:pPr>
            <w:r>
              <w:rPr>
                <w:rFonts w:hint="eastAsia" w:ascii="宋体" w:hAnsi="宋体" w:cs="宋体"/>
              </w:rPr>
              <w:t>企业资质及项目班组实力</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rPr>
                <w:rFonts w:ascii="宋体" w:hAnsi="宋体" w:cs="宋体"/>
              </w:rPr>
            </w:pPr>
            <w:r>
              <w:rPr>
                <w:rFonts w:hint="eastAsia" w:ascii="宋体" w:hAnsi="宋体" w:cs="宋体"/>
              </w:rPr>
              <w:t>10分</w:t>
            </w:r>
          </w:p>
        </w:tc>
        <w:tc>
          <w:tcPr>
            <w:tcW w:w="6829" w:type="dxa"/>
            <w:tcBorders>
              <w:top w:val="single" w:color="auto" w:sz="4" w:space="0"/>
              <w:left w:val="single" w:color="auto" w:sz="4" w:space="0"/>
              <w:bottom w:val="single" w:color="auto" w:sz="4" w:space="0"/>
              <w:right w:val="single" w:color="auto" w:sz="4" w:space="0"/>
            </w:tcBorders>
            <w:vAlign w:val="center"/>
          </w:tcPr>
          <w:p>
            <w:pPr>
              <w:numPr>
                <w:ilvl w:val="0"/>
                <w:numId w:val="10"/>
              </w:numPr>
              <w:spacing w:line="360" w:lineRule="auto"/>
              <w:ind w:right="281" w:rightChars="134"/>
              <w:rPr>
                <w:rFonts w:ascii="宋体" w:hAnsi="宋体"/>
              </w:rPr>
            </w:pPr>
            <w:r>
              <w:rPr>
                <w:rFonts w:hint="eastAsia" w:ascii="宋体" w:hAnsi="宋体" w:cs="宋体"/>
              </w:rPr>
              <w:t>投标人</w:t>
            </w:r>
            <w:r>
              <w:rPr>
                <w:rFonts w:hint="eastAsia" w:ascii="宋体" w:hAnsi="宋体"/>
              </w:rPr>
              <w:t>具备设计与施工企业建筑智能化工程一级或电子与智能化工程专业承包一级资质的得2分，设计与施工企业建筑智能化工程二级或电子与智能化工程专业承包二级的得1分；</w:t>
            </w:r>
          </w:p>
          <w:p>
            <w:pPr>
              <w:numPr>
                <w:ilvl w:val="0"/>
                <w:numId w:val="10"/>
              </w:numPr>
              <w:spacing w:line="360" w:lineRule="auto"/>
              <w:ind w:right="281" w:rightChars="134"/>
              <w:rPr>
                <w:rFonts w:ascii="宋体" w:hAnsi="宋体"/>
              </w:rPr>
            </w:pPr>
            <w:r>
              <w:rPr>
                <w:rFonts w:hint="eastAsia" w:ascii="宋体" w:hAnsi="宋体" w:cs="宋体"/>
              </w:rPr>
              <w:t>投标人具有安全技术防范行业资信等级一级的得2分，二级的得1分；</w:t>
            </w:r>
          </w:p>
          <w:p>
            <w:pPr>
              <w:numPr>
                <w:ilvl w:val="0"/>
                <w:numId w:val="10"/>
              </w:numPr>
              <w:spacing w:line="360" w:lineRule="auto"/>
              <w:ind w:right="281" w:rightChars="134"/>
              <w:rPr>
                <w:rFonts w:ascii="宋体" w:hAnsi="宋体"/>
              </w:rPr>
            </w:pPr>
            <w:r>
              <w:rPr>
                <w:rFonts w:hint="eastAsia" w:ascii="宋体" w:hAnsi="宋体" w:cs="宋体"/>
              </w:rPr>
              <w:t>投标人具有专业音响工程设计施工一体化一级资质的得2分，二级资质的得1分；</w:t>
            </w:r>
          </w:p>
          <w:p>
            <w:pPr>
              <w:numPr>
                <w:ilvl w:val="0"/>
                <w:numId w:val="10"/>
              </w:numPr>
              <w:spacing w:line="360" w:lineRule="auto"/>
              <w:ind w:right="281" w:rightChars="134"/>
              <w:rPr>
                <w:rFonts w:ascii="宋体" w:hAnsi="宋体"/>
              </w:rPr>
            </w:pPr>
            <w:r>
              <w:rPr>
                <w:rFonts w:hint="eastAsia" w:ascii="宋体" w:hAnsi="宋体" w:cs="宋体"/>
              </w:rPr>
              <w:t>投标人属软件企业，具有软件企业证书的得1分；</w:t>
            </w:r>
          </w:p>
          <w:p>
            <w:pPr>
              <w:numPr>
                <w:ilvl w:val="0"/>
                <w:numId w:val="10"/>
              </w:numPr>
              <w:spacing w:line="360" w:lineRule="auto"/>
              <w:ind w:right="281" w:rightChars="134"/>
              <w:rPr>
                <w:rFonts w:ascii="宋体" w:hAnsi="宋体"/>
              </w:rPr>
            </w:pPr>
            <w:r>
              <w:rPr>
                <w:rFonts w:hint="eastAsia" w:ascii="宋体" w:hAnsi="宋体" w:cs="宋体"/>
              </w:rPr>
              <w:t>投标人属省级及以上高新技术企业的得1分；</w:t>
            </w:r>
          </w:p>
          <w:p>
            <w:pPr>
              <w:numPr>
                <w:ilvl w:val="0"/>
                <w:numId w:val="10"/>
              </w:numPr>
              <w:spacing w:line="360" w:lineRule="auto"/>
              <w:ind w:right="281" w:rightChars="134"/>
              <w:rPr>
                <w:rFonts w:ascii="宋体" w:hAnsi="宋体"/>
              </w:rPr>
            </w:pPr>
            <w:r>
              <w:rPr>
                <w:rFonts w:hint="eastAsia" w:ascii="宋体" w:hAnsi="宋体"/>
              </w:rPr>
              <w:t>担任本项目的项目经理同时具有高级工程师的（其职称或学历专业须为计算机、电子、通信、自动化或电气）得1分，其余不得分；（须提供投标单位近三月缴纳社保的社保部门证明及相关证件，原件备查）</w:t>
            </w:r>
          </w:p>
          <w:p>
            <w:pPr>
              <w:numPr>
                <w:ilvl w:val="0"/>
                <w:numId w:val="10"/>
              </w:numPr>
              <w:spacing w:line="360" w:lineRule="auto"/>
              <w:ind w:right="281" w:rightChars="134"/>
              <w:rPr>
                <w:rFonts w:ascii="宋体" w:hAnsi="宋体"/>
              </w:rPr>
            </w:pPr>
            <w:r>
              <w:rPr>
                <w:rFonts w:hint="eastAsia" w:ascii="宋体" w:hAnsi="宋体"/>
              </w:rPr>
              <w:t>担任本项目的技术负责人同时具有中级工程师或以上的（其职称或学历专业须为计算机、电子、通信、自动化或电气）得1分，其余不得分。（须提供投标单位近三月缴纳社保的社保部门证明及相关证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360" w:lineRule="auto"/>
              <w:ind w:right="281" w:rightChars="134"/>
              <w:jc w:val="center"/>
              <w:rPr>
                <w:rFonts w:ascii="宋体" w:hAnsi="宋体" w:cs="宋体"/>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rPr>
                <w:rFonts w:ascii="宋体" w:hAnsi="宋体" w:cs="宋体"/>
              </w:rPr>
            </w:pPr>
            <w:r>
              <w:rPr>
                <w:rFonts w:hint="eastAsia" w:ascii="宋体" w:hAnsi="宋体" w:cs="宋体"/>
              </w:rPr>
              <w:t>商务资信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right="281" w:rightChars="134"/>
              <w:rPr>
                <w:rFonts w:ascii="宋体" w:hAnsi="宋体" w:cs="宋体"/>
              </w:rPr>
            </w:pPr>
            <w:r>
              <w:rPr>
                <w:rFonts w:hint="eastAsia" w:ascii="宋体" w:hAnsi="宋体" w:cs="宋体"/>
              </w:rPr>
              <w:t>12分</w:t>
            </w:r>
          </w:p>
        </w:tc>
        <w:tc>
          <w:tcPr>
            <w:tcW w:w="6829" w:type="dxa"/>
            <w:tcBorders>
              <w:top w:val="single" w:color="auto" w:sz="4" w:space="0"/>
              <w:left w:val="single" w:color="auto" w:sz="4" w:space="0"/>
              <w:bottom w:val="single" w:color="auto" w:sz="4" w:space="0"/>
              <w:right w:val="single" w:color="auto" w:sz="4" w:space="0"/>
            </w:tcBorders>
            <w:vAlign w:val="center"/>
          </w:tcPr>
          <w:p>
            <w:pPr>
              <w:numPr>
                <w:ilvl w:val="0"/>
                <w:numId w:val="11"/>
              </w:numPr>
              <w:spacing w:line="360" w:lineRule="auto"/>
              <w:ind w:right="281" w:rightChars="134"/>
              <w:rPr>
                <w:rFonts w:ascii="宋体" w:hAnsi="宋体" w:cs="宋体"/>
              </w:rPr>
            </w:pPr>
            <w:r>
              <w:rPr>
                <w:rFonts w:hint="eastAsia" w:ascii="宋体" w:hAnsi="宋体" w:cs="宋体"/>
              </w:rPr>
              <w:t>投标人具有GB/T 28001 职业健康安全管理体系认证、ISO 9001 质量管理体系认证、ISO 27001 信息安全管理体系认证、ISO14001环境管理体系认证证书的，每个得1分，最多得4分；</w:t>
            </w:r>
          </w:p>
          <w:p>
            <w:pPr>
              <w:numPr>
                <w:ilvl w:val="0"/>
                <w:numId w:val="11"/>
              </w:numPr>
              <w:spacing w:line="360" w:lineRule="auto"/>
              <w:ind w:right="281" w:rightChars="134"/>
              <w:rPr>
                <w:rFonts w:ascii="宋体" w:hAnsi="宋体" w:cs="宋体"/>
              </w:rPr>
            </w:pPr>
            <w:r>
              <w:rPr>
                <w:rFonts w:hint="eastAsia" w:ascii="宋体" w:hAnsi="宋体" w:cs="宋体"/>
              </w:rPr>
              <w:t>投标人具有省级工商行政主管部门颁发的“守合同、重信用”（或“重合同、守信用”）证书的得3分，具有市级工商行政主管部门颁发的“守合同、重信用”（或“重合同、守信用”）证书的得2分；</w:t>
            </w:r>
          </w:p>
          <w:p>
            <w:pPr>
              <w:numPr>
                <w:ilvl w:val="0"/>
                <w:numId w:val="11"/>
              </w:numPr>
              <w:spacing w:line="360" w:lineRule="auto"/>
              <w:ind w:right="281" w:rightChars="134"/>
              <w:rPr>
                <w:rFonts w:ascii="宋体" w:hAnsi="宋体" w:cs="宋体"/>
              </w:rPr>
            </w:pPr>
            <w:r>
              <w:rPr>
                <w:rFonts w:hint="eastAsia" w:ascii="宋体" w:hAnsi="宋体" w:cs="宋体"/>
              </w:rPr>
              <w:t>投标人近三年内具有公安系统单个合同金额500万元及以上智能化采购或施工合同的，得3分；(证明资料：合同)</w:t>
            </w:r>
          </w:p>
          <w:p>
            <w:pPr>
              <w:numPr>
                <w:ilvl w:val="0"/>
                <w:numId w:val="11"/>
              </w:numPr>
              <w:spacing w:line="360" w:lineRule="auto"/>
              <w:ind w:right="281" w:rightChars="134"/>
              <w:rPr>
                <w:rFonts w:ascii="宋体" w:hAnsi="宋体" w:cs="宋体"/>
              </w:rPr>
            </w:pPr>
            <w:r>
              <w:rPr>
                <w:rFonts w:hint="eastAsia" w:ascii="宋体" w:hAnsi="宋体" w:cs="宋体"/>
              </w:rPr>
              <w:t>投标人近三年内针获得过省级及以上行政主管部门或行业协会颁发的智能化类奖项的得2分。</w:t>
            </w:r>
          </w:p>
          <w:p>
            <w:pPr>
              <w:spacing w:line="420" w:lineRule="auto"/>
              <w:ind w:right="281" w:rightChars="134"/>
              <w:rPr>
                <w:rFonts w:ascii="宋体" w:hAnsi="宋体" w:cs="宋体"/>
              </w:rPr>
            </w:pPr>
            <w:r>
              <w:rPr>
                <w:rFonts w:hint="eastAsia" w:ascii="宋体" w:hAnsi="宋体" w:cs="宋体"/>
              </w:rPr>
              <w:t>（以上证书均须在有效期内，提供复印件并加盖公章）</w:t>
            </w:r>
          </w:p>
        </w:tc>
      </w:tr>
    </w:tbl>
    <w:p>
      <w:pPr>
        <w:spacing w:line="360" w:lineRule="auto"/>
        <w:rPr>
          <w:rFonts w:ascii="仿宋" w:hAnsi="仿宋" w:eastAsia="仿宋" w:cs="仿宋"/>
          <w:color w:val="000000"/>
          <w:sz w:val="24"/>
        </w:rPr>
      </w:pPr>
      <w:r>
        <w:rPr>
          <w:rFonts w:hint="eastAsia" w:ascii="仿宋" w:hAnsi="仿宋" w:eastAsia="仿宋" w:cs="仿宋"/>
          <w:color w:val="000000"/>
          <w:sz w:val="24"/>
        </w:rPr>
        <w:t>注：1）、上述内容，商务技术文件未涉及的得0分。</w:t>
      </w:r>
    </w:p>
    <w:p>
      <w:pPr>
        <w:spacing w:line="360" w:lineRule="auto"/>
        <w:ind w:firstLine="480"/>
        <w:rPr>
          <w:rFonts w:ascii="仿宋" w:hAnsi="仿宋" w:eastAsia="仿宋" w:cs="仿宋"/>
          <w:color w:val="000000"/>
          <w:sz w:val="24"/>
        </w:rPr>
      </w:pPr>
      <w:r>
        <w:rPr>
          <w:rFonts w:hint="eastAsia" w:ascii="仿宋" w:hAnsi="仿宋" w:eastAsia="仿宋" w:cs="仿宋"/>
          <w:color w:val="000000"/>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不予退还投标保证金。</w:t>
      </w:r>
    </w:p>
    <w:p>
      <w:pPr>
        <w:spacing w:line="360" w:lineRule="auto"/>
        <w:ind w:firstLine="480"/>
        <w:rPr>
          <w:rFonts w:ascii="仿宋" w:hAnsi="仿宋" w:eastAsia="仿宋" w:cs="仿宋"/>
          <w:color w:val="000000"/>
          <w:sz w:val="24"/>
        </w:rPr>
      </w:pPr>
      <w:r>
        <w:rPr>
          <w:rFonts w:hint="eastAsia" w:ascii="仿宋" w:hAnsi="仿宋" w:eastAsia="仿宋" w:cs="仿宋"/>
          <w:color w:val="000000"/>
          <w:sz w:val="24"/>
        </w:rPr>
        <w:t>3）、投标人应提供权威部门认定的各类有效证明文件及资料,未提供或者资料无效不得分，凡由采购人提出的有关供应商条件和采购项目对供应商的特定要求，由采购人负责查验材料的真伪。</w:t>
      </w:r>
    </w:p>
    <w:p>
      <w:pPr>
        <w:spacing w:line="360" w:lineRule="auto"/>
        <w:ind w:firstLine="467" w:firstLineChars="194"/>
        <w:rPr>
          <w:rFonts w:ascii="仿宋" w:hAnsi="仿宋" w:eastAsia="仿宋" w:cs="仿宋"/>
          <w:b/>
          <w:color w:val="000000"/>
          <w:sz w:val="24"/>
        </w:rPr>
      </w:pPr>
      <w:r>
        <w:rPr>
          <w:rFonts w:hint="eastAsia" w:ascii="仿宋" w:hAnsi="仿宋" w:eastAsia="仿宋" w:cs="仿宋"/>
          <w:b/>
          <w:color w:val="000000"/>
          <w:sz w:val="24"/>
        </w:rPr>
        <w:t>商务技术部分得分=评标委员会所有成员评分合计数/评标委员会组成人员数</w:t>
      </w:r>
    </w:p>
    <w:p>
      <w:pPr>
        <w:spacing w:line="360" w:lineRule="auto"/>
        <w:ind w:firstLine="467" w:firstLineChars="194"/>
        <w:rPr>
          <w:rFonts w:ascii="仿宋" w:hAnsi="仿宋" w:eastAsia="仿宋" w:cs="仿宋"/>
          <w:color w:val="000000"/>
          <w:sz w:val="24"/>
        </w:rPr>
      </w:pPr>
      <w:r>
        <w:rPr>
          <w:rFonts w:hint="eastAsia" w:ascii="仿宋" w:hAnsi="仿宋" w:eastAsia="仿宋" w:cs="仿宋"/>
          <w:b/>
          <w:color w:val="000000"/>
          <w:sz w:val="24"/>
        </w:rPr>
        <w:t>总分=A+B</w:t>
      </w:r>
    </w:p>
    <w:p>
      <w:pPr>
        <w:spacing w:line="360" w:lineRule="auto"/>
        <w:ind w:firstLine="480"/>
        <w:rPr>
          <w:rFonts w:ascii="仿宋" w:hAnsi="仿宋" w:eastAsia="仿宋" w:cs="仿宋"/>
          <w:color w:val="000000"/>
          <w:sz w:val="24"/>
        </w:rPr>
      </w:pPr>
      <w:r>
        <w:rPr>
          <w:rFonts w:hint="eastAsia" w:ascii="仿宋" w:hAnsi="仿宋" w:eastAsia="仿宋" w:cs="仿宋"/>
          <w:color w:val="000000"/>
          <w:sz w:val="24"/>
        </w:rPr>
        <w:t>一、评标委员会根据投标人提供的有效证明材料和采购代理机构提供的相关数据进行打分。</w:t>
      </w:r>
    </w:p>
    <w:p>
      <w:pPr>
        <w:spacing w:line="360" w:lineRule="auto"/>
        <w:ind w:firstLine="480"/>
        <w:rPr>
          <w:rFonts w:ascii="仿宋" w:hAnsi="仿宋" w:eastAsia="仿宋" w:cs="仿宋"/>
          <w:color w:val="000000"/>
          <w:sz w:val="24"/>
        </w:rPr>
      </w:pPr>
      <w:r>
        <w:rPr>
          <w:rFonts w:hint="eastAsia" w:ascii="仿宋" w:hAnsi="仿宋" w:eastAsia="仿宋" w:cs="仿宋"/>
          <w:color w:val="000000"/>
          <w:sz w:val="24"/>
        </w:rPr>
        <w:t>二、采购代理机构有权对评标委员会各成员的评分情况和评审意见进行合理性和合规性审查，如发现评标委员会成员的评审意见带有明显倾向性，或不按规定程序和标准评审、计分的，评标委员会成员应进行书面澄清和说明；评标委员会成员拒不接受采购代理机构审查的，采购代理机构将向同级政府采购监督管理部门报告并予以处理。</w:t>
      </w:r>
    </w:p>
    <w:p>
      <w:pPr>
        <w:spacing w:line="360" w:lineRule="auto"/>
        <w:ind w:firstLine="480"/>
        <w:rPr>
          <w:rFonts w:ascii="仿宋" w:hAnsi="仿宋" w:eastAsia="仿宋" w:cs="仿宋"/>
          <w:color w:val="000000"/>
          <w:sz w:val="24"/>
        </w:rPr>
      </w:pPr>
    </w:p>
    <w:p>
      <w:pPr>
        <w:spacing w:line="360" w:lineRule="auto"/>
        <w:ind w:firstLine="480"/>
        <w:rPr>
          <w:rFonts w:ascii="仿宋" w:hAnsi="仿宋" w:eastAsia="仿宋" w:cs="仿宋"/>
          <w:color w:val="000000"/>
          <w:sz w:val="24"/>
        </w:rPr>
        <w:sectPr>
          <w:pgSz w:w="11906" w:h="16838"/>
          <w:pgMar w:top="680" w:right="1418" w:bottom="1038" w:left="1418" w:header="397" w:footer="992" w:gutter="0"/>
          <w:cols w:space="720" w:num="1"/>
          <w:docGrid w:linePitch="312" w:charSpace="0"/>
        </w:sectPr>
      </w:pPr>
    </w:p>
    <w:p>
      <w:pPr>
        <w:numPr>
          <w:ilvl w:val="0"/>
          <w:numId w:val="2"/>
        </w:numPr>
        <w:spacing w:line="360" w:lineRule="auto"/>
        <w:jc w:val="center"/>
        <w:outlineLvl w:val="0"/>
        <w:rPr>
          <w:rFonts w:ascii="仿宋" w:hAnsi="仿宋" w:eastAsia="仿宋" w:cs="仿宋"/>
          <w:b/>
          <w:sz w:val="36"/>
          <w:szCs w:val="36"/>
        </w:rPr>
      </w:pPr>
      <w:bookmarkStart w:id="91" w:name="_Toc17506"/>
      <w:r>
        <w:rPr>
          <w:rFonts w:hint="eastAsia" w:ascii="仿宋" w:hAnsi="仿宋" w:eastAsia="仿宋" w:cs="仿宋"/>
          <w:b/>
          <w:sz w:val="36"/>
          <w:szCs w:val="36"/>
        </w:rPr>
        <w:t>项目技术规范和服务要求</w:t>
      </w:r>
      <w:bookmarkEnd w:id="91"/>
    </w:p>
    <w:p>
      <w:pPr>
        <w:adjustRightInd w:val="0"/>
        <w:snapToGrid w:val="0"/>
        <w:spacing w:line="360" w:lineRule="auto"/>
        <w:jc w:val="center"/>
        <w:outlineLvl w:val="0"/>
        <w:rPr>
          <w:rFonts w:ascii="宋体" w:hAnsi="宋体" w:cs="Arial"/>
          <w:b/>
          <w:color w:val="000000"/>
          <w:sz w:val="32"/>
          <w:szCs w:val="32"/>
        </w:rPr>
      </w:pPr>
      <w:bookmarkStart w:id="92" w:name="_Toc426996356"/>
      <w:r>
        <w:rPr>
          <w:rFonts w:hint="eastAsia" w:ascii="宋体" w:hAnsi="宋体" w:cs="Arial"/>
          <w:b/>
          <w:color w:val="000000"/>
          <w:sz w:val="32"/>
          <w:szCs w:val="32"/>
        </w:rPr>
        <w:t>大江东集聚区前进***用户需求</w:t>
      </w:r>
      <w:bookmarkStart w:id="93" w:name="_Toc515222961"/>
    </w:p>
    <w:bookmarkEnd w:id="93"/>
    <w:p>
      <w:pPr>
        <w:keepNext/>
        <w:keepLines/>
        <w:spacing w:before="260" w:after="260" w:line="416" w:lineRule="auto"/>
        <w:outlineLvl w:val="1"/>
        <w:rPr>
          <w:rFonts w:asciiTheme="minorEastAsia" w:hAnsiTheme="minorEastAsia" w:eastAsiaTheme="minorEastAsia"/>
          <w:b/>
          <w:bCs/>
          <w:sz w:val="24"/>
        </w:rPr>
      </w:pPr>
      <w:r>
        <w:rPr>
          <w:rFonts w:hint="eastAsia" w:asciiTheme="minorEastAsia" w:hAnsiTheme="minorEastAsia" w:eastAsiaTheme="minorEastAsia"/>
          <w:b/>
          <w:bCs/>
          <w:sz w:val="24"/>
        </w:rPr>
        <w:t>一、项目概述</w:t>
      </w:r>
    </w:p>
    <w:p>
      <w:pPr>
        <w:rPr>
          <w:rFonts w:cs="仿宋" w:asciiTheme="minorEastAsia" w:hAnsiTheme="minorEastAsia" w:eastAsiaTheme="minorEastAsia"/>
          <w:sz w:val="24"/>
        </w:rPr>
      </w:pPr>
      <w:r>
        <w:rPr>
          <w:rFonts w:hint="eastAsia" w:cs="Arial" w:asciiTheme="minorEastAsia" w:hAnsiTheme="minorEastAsia" w:eastAsiaTheme="minorEastAsia"/>
          <w:color w:val="000000"/>
          <w:sz w:val="24"/>
        </w:rPr>
        <w:t xml:space="preserve">    </w:t>
      </w:r>
      <w:r>
        <w:rPr>
          <w:rFonts w:hint="eastAsia" w:cs="仿宋" w:asciiTheme="minorEastAsia" w:hAnsiTheme="minorEastAsia" w:eastAsiaTheme="minorEastAsia"/>
          <w:sz w:val="24"/>
        </w:rPr>
        <w:t>前进***等单位业务用房项目位于大江东产业集聚区前进街道，建筑面积约为4291平方米，主体分为地上三层、地下一层。</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 xml:space="preserve">    承包范围内的工程由承包人包工包料、包检测、包质量、包安全防护、包文明施工、包工期、包验收。建设工程安全防护、文明施工措施费用不得作为竞争性费用，其他措施项目费均包含在投标总价中，任何情况都不再调整。与施工相关的管理要求所需要的费用包含在投标总报价中。</w:t>
      </w:r>
    </w:p>
    <w:p>
      <w:pPr>
        <w:keepNext/>
        <w:keepLines/>
        <w:spacing w:before="260" w:after="260" w:line="416" w:lineRule="auto"/>
        <w:outlineLvl w:val="1"/>
        <w:rPr>
          <w:rFonts w:asciiTheme="minorEastAsia" w:hAnsiTheme="minorEastAsia" w:eastAsiaTheme="minorEastAsia"/>
          <w:b/>
          <w:bCs/>
          <w:sz w:val="24"/>
        </w:rPr>
      </w:pPr>
      <w:r>
        <w:rPr>
          <w:rFonts w:hint="eastAsia" w:asciiTheme="minorEastAsia" w:hAnsiTheme="minorEastAsia" w:eastAsiaTheme="minorEastAsia"/>
          <w:b/>
          <w:bCs/>
          <w:sz w:val="24"/>
        </w:rPr>
        <w:t>二、项目范围</w:t>
      </w:r>
    </w:p>
    <w:p>
      <w:pPr>
        <w:rPr>
          <w:rFonts w:cs="仿宋" w:asciiTheme="minorEastAsia" w:hAnsiTheme="minorEastAsia" w:eastAsiaTheme="minorEastAsia"/>
          <w:sz w:val="24"/>
        </w:rPr>
      </w:pPr>
      <w:r>
        <w:rPr>
          <w:rFonts w:hint="eastAsia" w:cs="仿宋" w:asciiTheme="minorEastAsia" w:hAnsiTheme="minorEastAsia" w:eastAsiaTheme="minorEastAsia"/>
          <w:sz w:val="24"/>
        </w:rPr>
        <w:t xml:space="preserve">前进***等单位业务用房项目的主要内容包括以下系统： </w:t>
      </w:r>
    </w:p>
    <w:p>
      <w:pPr>
        <w:widowControl/>
        <w:numPr>
          <w:ilvl w:val="0"/>
          <w:numId w:val="12"/>
        </w:numPr>
        <w:rPr>
          <w:rFonts w:cs="仿宋" w:asciiTheme="minorEastAsia" w:hAnsiTheme="minorEastAsia" w:eastAsiaTheme="minorEastAsia"/>
          <w:sz w:val="24"/>
        </w:rPr>
      </w:pPr>
      <w:r>
        <w:rPr>
          <w:rFonts w:hint="eastAsia" w:cs="仿宋" w:asciiTheme="minorEastAsia" w:hAnsiTheme="minorEastAsia" w:eastAsiaTheme="minorEastAsia"/>
          <w:sz w:val="24"/>
        </w:rPr>
        <w:t xml:space="preserve">**监控系统   2、审讯系统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 3、网络系统及无线W</w:t>
      </w:r>
      <w:r>
        <w:rPr>
          <w:rFonts w:cs="仿宋" w:asciiTheme="minorEastAsia" w:hAnsiTheme="minorEastAsia" w:eastAsiaTheme="minorEastAsia"/>
          <w:sz w:val="24"/>
        </w:rPr>
        <w:t>iFi</w:t>
      </w:r>
      <w:r>
        <w:rPr>
          <w:rFonts w:hint="eastAsia" w:cs="仿宋" w:asciiTheme="minorEastAsia" w:hAnsiTheme="minorEastAsia" w:eastAsiaTheme="minorEastAsia"/>
          <w:sz w:val="24"/>
        </w:rPr>
        <w:t>网络A</w:t>
      </w:r>
      <w:r>
        <w:rPr>
          <w:rFonts w:cs="仿宋" w:asciiTheme="minorEastAsia" w:hAnsiTheme="minorEastAsia" w:eastAsiaTheme="minorEastAsia"/>
          <w:sz w:val="24"/>
        </w:rPr>
        <w:t>P</w:t>
      </w:r>
      <w:r>
        <w:rPr>
          <w:rFonts w:hint="eastAsia" w:cs="仿宋" w:asciiTheme="minorEastAsia" w:hAnsiTheme="minorEastAsia" w:eastAsiaTheme="minorEastAsia"/>
          <w:sz w:val="24"/>
        </w:rPr>
        <w:t>覆盖系统</w:t>
      </w:r>
    </w:p>
    <w:p>
      <w:pPr>
        <w:rPr>
          <w:rFonts w:cs="仿宋" w:asciiTheme="minorEastAsia" w:hAnsiTheme="minorEastAsia" w:eastAsiaTheme="minorEastAsia"/>
          <w:sz w:val="24"/>
        </w:rPr>
      </w:pPr>
      <w:r>
        <w:rPr>
          <w:rFonts w:hint="eastAsia" w:cs="仿宋" w:asciiTheme="minorEastAsia" w:hAnsiTheme="minorEastAsia" w:eastAsiaTheme="minorEastAsia"/>
          <w:sz w:val="24"/>
        </w:rPr>
        <w:t>4、一卡通系统     5、L</w:t>
      </w:r>
      <w:r>
        <w:rPr>
          <w:rFonts w:cs="仿宋" w:asciiTheme="minorEastAsia" w:hAnsiTheme="minorEastAsia" w:eastAsiaTheme="minorEastAsia"/>
          <w:sz w:val="24"/>
        </w:rPr>
        <w:t>ED</w:t>
      </w:r>
      <w:r>
        <w:rPr>
          <w:rFonts w:hint="eastAsia" w:cs="仿宋" w:asciiTheme="minorEastAsia" w:hAnsiTheme="minorEastAsia" w:eastAsiaTheme="minorEastAsia"/>
          <w:sz w:val="24"/>
        </w:rPr>
        <w:t xml:space="preserve">电子屏显示系统   </w:t>
      </w:r>
    </w:p>
    <w:p>
      <w:pPr>
        <w:rPr>
          <w:rFonts w:cs="仿宋" w:asciiTheme="minorEastAsia" w:hAnsiTheme="minorEastAsia" w:eastAsiaTheme="minorEastAsia"/>
          <w:sz w:val="24"/>
        </w:rPr>
      </w:pPr>
      <w:r>
        <w:rPr>
          <w:rFonts w:hint="eastAsia" w:cs="仿宋" w:asciiTheme="minorEastAsia" w:hAnsiTheme="minorEastAsia" w:eastAsiaTheme="minorEastAsia"/>
          <w:sz w:val="24"/>
        </w:rPr>
        <w:t>6、U</w:t>
      </w:r>
      <w:r>
        <w:rPr>
          <w:rFonts w:cs="仿宋" w:asciiTheme="minorEastAsia" w:hAnsiTheme="minorEastAsia" w:eastAsiaTheme="minorEastAsia"/>
          <w:sz w:val="24"/>
        </w:rPr>
        <w:t>PS</w:t>
      </w:r>
      <w:r>
        <w:rPr>
          <w:rFonts w:hint="eastAsia" w:cs="仿宋" w:asciiTheme="minorEastAsia" w:hAnsiTheme="minorEastAsia" w:eastAsiaTheme="minorEastAsia"/>
          <w:sz w:val="24"/>
        </w:rPr>
        <w:t>不间断电源系统</w:t>
      </w:r>
    </w:p>
    <w:p>
      <w:pPr>
        <w:rPr>
          <w:rFonts w:cs="仿宋" w:asciiTheme="minorEastAsia" w:hAnsiTheme="minorEastAsia" w:eastAsiaTheme="minorEastAsia"/>
          <w:sz w:val="24"/>
        </w:rPr>
      </w:pPr>
      <w:r>
        <w:rPr>
          <w:rFonts w:hint="eastAsia" w:cs="仿宋" w:asciiTheme="minorEastAsia" w:hAnsiTheme="minorEastAsia" w:eastAsiaTheme="minorEastAsia"/>
          <w:sz w:val="24"/>
        </w:rPr>
        <w:t xml:space="preserve">7、排队叫号系统   8、紧急呼叫报警系统           9、二层电视电话会议系统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10、审讯指挥系统       11、二层大会议室系统   </w:t>
      </w:r>
    </w:p>
    <w:p>
      <w:pPr>
        <w:rPr>
          <w:rFonts w:cs="仿宋" w:asciiTheme="minorEastAsia" w:hAnsiTheme="minorEastAsia" w:eastAsiaTheme="minorEastAsia"/>
          <w:sz w:val="24"/>
        </w:rPr>
      </w:pPr>
      <w:r>
        <w:rPr>
          <w:rFonts w:hint="eastAsia" w:cs="仿宋" w:asciiTheme="minorEastAsia" w:hAnsiTheme="minorEastAsia" w:eastAsiaTheme="minorEastAsia"/>
          <w:sz w:val="24"/>
        </w:rPr>
        <w:t xml:space="preserve">12、三层大会议室系统            13、背景音乐系统   </w:t>
      </w:r>
    </w:p>
    <w:p>
      <w:pPr>
        <w:rPr>
          <w:rFonts w:cs="仿宋" w:asciiTheme="minorEastAsia" w:hAnsiTheme="minorEastAsia" w:eastAsiaTheme="minorEastAsia"/>
          <w:sz w:val="24"/>
        </w:rPr>
      </w:pPr>
      <w:r>
        <w:rPr>
          <w:rFonts w:hint="eastAsia" w:cs="仿宋" w:asciiTheme="minorEastAsia" w:hAnsiTheme="minorEastAsia" w:eastAsiaTheme="minorEastAsia"/>
          <w:sz w:val="24"/>
        </w:rPr>
        <w:t xml:space="preserve">14、售饭系统   15、执法管理中心拼接屏系统      </w:t>
      </w:r>
    </w:p>
    <w:p>
      <w:pPr>
        <w:rPr>
          <w:rFonts w:cs="仿宋" w:asciiTheme="minorEastAsia" w:hAnsiTheme="minorEastAsia" w:eastAsiaTheme="minorEastAsia"/>
          <w:sz w:val="24"/>
        </w:rPr>
      </w:pPr>
      <w:r>
        <w:rPr>
          <w:rFonts w:hint="eastAsia" w:cs="仿宋" w:asciiTheme="minorEastAsia" w:hAnsiTheme="minorEastAsia" w:eastAsiaTheme="minorEastAsia"/>
          <w:sz w:val="24"/>
        </w:rPr>
        <w:t>16、监控中心L</w:t>
      </w:r>
      <w:r>
        <w:rPr>
          <w:rFonts w:cs="仿宋" w:asciiTheme="minorEastAsia" w:hAnsiTheme="minorEastAsia" w:eastAsiaTheme="minorEastAsia"/>
          <w:sz w:val="24"/>
        </w:rPr>
        <w:t>ED</w:t>
      </w:r>
      <w:r>
        <w:rPr>
          <w:rFonts w:hint="eastAsia" w:cs="仿宋" w:asciiTheme="minorEastAsia" w:hAnsiTheme="minorEastAsia" w:eastAsiaTheme="minorEastAsia"/>
          <w:sz w:val="24"/>
        </w:rPr>
        <w:t>大屏及机房建设            17、访客系统</w:t>
      </w:r>
    </w:p>
    <w:p>
      <w:pPr>
        <w:rPr>
          <w:rFonts w:cs="仿宋" w:asciiTheme="minorEastAsia" w:hAnsiTheme="minorEastAsia" w:eastAsiaTheme="minorEastAsia"/>
          <w:sz w:val="24"/>
        </w:rPr>
      </w:pPr>
      <w:r>
        <w:rPr>
          <w:rFonts w:hint="eastAsia" w:cs="仿宋" w:asciiTheme="minorEastAsia" w:hAnsiTheme="minorEastAsia" w:eastAsiaTheme="minorEastAsia"/>
          <w:sz w:val="24"/>
        </w:rPr>
        <w:t>18、合成作战拼接屏系统      19、综合布线系统</w:t>
      </w:r>
    </w:p>
    <w:p>
      <w:pPr>
        <w:keepNext/>
        <w:keepLines/>
        <w:spacing w:before="260" w:after="260" w:line="416" w:lineRule="auto"/>
        <w:outlineLvl w:val="1"/>
        <w:rPr>
          <w:rFonts w:asciiTheme="minorEastAsia" w:hAnsiTheme="minorEastAsia" w:eastAsiaTheme="minorEastAsia"/>
          <w:b/>
          <w:bCs/>
          <w:sz w:val="24"/>
        </w:rPr>
      </w:pPr>
      <w:r>
        <w:rPr>
          <w:rFonts w:hint="eastAsia" w:asciiTheme="minorEastAsia" w:hAnsiTheme="minorEastAsia" w:eastAsiaTheme="minorEastAsia"/>
          <w:b/>
          <w:bCs/>
          <w:sz w:val="24"/>
        </w:rPr>
        <w:t>三、规划设计方案</w:t>
      </w:r>
    </w:p>
    <w:p>
      <w:pPr>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根据政府现状及采购需求，本次前进所改造项目将分为19个子系统建设项目。</w:t>
      </w:r>
    </w:p>
    <w:p>
      <w:pPr>
        <w:keepNext/>
        <w:keepLines/>
        <w:spacing w:before="260" w:after="260" w:line="416" w:lineRule="auto"/>
        <w:outlineLvl w:val="1"/>
        <w:rPr>
          <w:rFonts w:asciiTheme="minorEastAsia" w:hAnsiTheme="minorEastAsia" w:eastAsiaTheme="minorEastAsia"/>
          <w:b/>
          <w:bCs/>
          <w:sz w:val="24"/>
        </w:rPr>
      </w:pPr>
      <w:r>
        <w:rPr>
          <w:rFonts w:hint="eastAsia" w:asciiTheme="minorEastAsia" w:hAnsiTheme="minorEastAsia" w:eastAsiaTheme="minorEastAsia"/>
          <w:b/>
          <w:bCs/>
          <w:sz w:val="24"/>
        </w:rPr>
        <w:t>四、各系统技术要求和特点</w:t>
      </w:r>
    </w:p>
    <w:p>
      <w:pPr>
        <w:spacing w:line="360" w:lineRule="auto"/>
        <w:ind w:firstLine="482" w:firstLineChars="200"/>
        <w:rPr>
          <w:rFonts w:cs="Arial" w:asciiTheme="minorEastAsia" w:hAnsiTheme="minorEastAsia" w:eastAsiaTheme="minorEastAsia"/>
          <w:b/>
          <w:sz w:val="24"/>
        </w:rPr>
      </w:pPr>
      <w:r>
        <w:rPr>
          <w:rFonts w:hint="eastAsia" w:cs="Arial" w:asciiTheme="minorEastAsia" w:hAnsiTheme="minorEastAsia" w:eastAsiaTheme="minorEastAsia"/>
          <w:b/>
          <w:sz w:val="24"/>
        </w:rPr>
        <w:t>1、</w:t>
      </w:r>
      <w:r>
        <w:rPr>
          <w:rFonts w:hint="eastAsia" w:cs="宋体" w:asciiTheme="minorEastAsia" w:hAnsiTheme="minorEastAsia" w:eastAsiaTheme="minorEastAsia"/>
          <w:color w:val="000000"/>
          <w:kern w:val="0"/>
          <w:sz w:val="24"/>
        </w:rPr>
        <w:t>★</w:t>
      </w:r>
      <w:r>
        <w:rPr>
          <w:rFonts w:hint="eastAsia" w:cs="Arial" w:asciiTheme="minorEastAsia" w:hAnsiTheme="minorEastAsia" w:eastAsiaTheme="minorEastAsia"/>
          <w:b/>
          <w:sz w:val="24"/>
        </w:rPr>
        <w:t>为</w:t>
      </w:r>
      <w:r>
        <w:rPr>
          <w:rFonts w:cs="Arial" w:asciiTheme="minorEastAsia" w:hAnsiTheme="minorEastAsia" w:eastAsiaTheme="minorEastAsia"/>
          <w:b/>
          <w:sz w:val="24"/>
        </w:rPr>
        <w:t>保障系统</w:t>
      </w:r>
      <w:r>
        <w:rPr>
          <w:rFonts w:hint="eastAsia" w:cs="Arial" w:asciiTheme="minorEastAsia" w:hAnsiTheme="minorEastAsia" w:eastAsiaTheme="minorEastAsia"/>
          <w:b/>
          <w:sz w:val="24"/>
        </w:rPr>
        <w:t>稳定</w:t>
      </w:r>
      <w:r>
        <w:rPr>
          <w:rFonts w:cs="Arial" w:asciiTheme="minorEastAsia" w:hAnsiTheme="minorEastAsia" w:eastAsiaTheme="minorEastAsia"/>
          <w:b/>
          <w:sz w:val="24"/>
        </w:rPr>
        <w:t>性及效果，所投</w:t>
      </w:r>
      <w:r>
        <w:rPr>
          <w:rFonts w:hint="eastAsia" w:cs="Arial" w:asciiTheme="minorEastAsia" w:hAnsiTheme="minorEastAsia" w:eastAsiaTheme="minorEastAsia"/>
          <w:b/>
          <w:sz w:val="24"/>
        </w:rPr>
        <w:t>属同</w:t>
      </w:r>
      <w:r>
        <w:rPr>
          <w:rFonts w:cs="Arial" w:asciiTheme="minorEastAsia" w:hAnsiTheme="minorEastAsia" w:eastAsiaTheme="minorEastAsia"/>
          <w:b/>
          <w:sz w:val="24"/>
        </w:rPr>
        <w:t>一功能或类别</w:t>
      </w:r>
      <w:r>
        <w:rPr>
          <w:rFonts w:hint="eastAsia" w:cs="Arial" w:asciiTheme="minorEastAsia" w:hAnsiTheme="minorEastAsia" w:eastAsiaTheme="minorEastAsia"/>
          <w:b/>
          <w:sz w:val="24"/>
        </w:rPr>
        <w:t>的</w:t>
      </w:r>
      <w:r>
        <w:rPr>
          <w:rFonts w:cs="Arial" w:asciiTheme="minorEastAsia" w:hAnsiTheme="minorEastAsia" w:eastAsiaTheme="minorEastAsia"/>
          <w:b/>
          <w:sz w:val="24"/>
        </w:rPr>
        <w:t>产</w:t>
      </w:r>
      <w:r>
        <w:rPr>
          <w:rFonts w:hint="eastAsia" w:cs="Arial" w:asciiTheme="minorEastAsia" w:hAnsiTheme="minorEastAsia" w:eastAsiaTheme="minorEastAsia"/>
          <w:b/>
          <w:sz w:val="24"/>
        </w:rPr>
        <w:t>品</w:t>
      </w:r>
      <w:r>
        <w:rPr>
          <w:rFonts w:cs="Arial" w:asciiTheme="minorEastAsia" w:hAnsiTheme="minorEastAsia" w:eastAsiaTheme="minorEastAsia"/>
          <w:b/>
          <w:sz w:val="24"/>
        </w:rPr>
        <w:t>需为同一品牌</w:t>
      </w:r>
      <w:r>
        <w:rPr>
          <w:rFonts w:hint="eastAsia" w:cs="Arial" w:asciiTheme="minorEastAsia" w:hAnsiTheme="minorEastAsia" w:eastAsiaTheme="minorEastAsia"/>
          <w:b/>
          <w:sz w:val="24"/>
        </w:rPr>
        <w:t>,具体如下</w:t>
      </w:r>
      <w:r>
        <w:rPr>
          <w:rFonts w:cs="Arial" w:asciiTheme="minorEastAsia" w:hAnsiTheme="minorEastAsia" w:eastAsiaTheme="minorEastAsia"/>
          <w:b/>
          <w:sz w:val="24"/>
        </w:rPr>
        <w:t>：</w:t>
      </w:r>
    </w:p>
    <w:p>
      <w:pPr>
        <w:spacing w:line="360" w:lineRule="auto"/>
        <w:ind w:firstLine="482" w:firstLineChars="200"/>
        <w:rPr>
          <w:rFonts w:cs="Arial" w:asciiTheme="minorEastAsia" w:hAnsiTheme="minorEastAsia" w:eastAsiaTheme="minorEastAsia"/>
          <w:b/>
          <w:sz w:val="24"/>
        </w:rPr>
      </w:pPr>
      <w:r>
        <w:rPr>
          <w:rFonts w:hint="eastAsia" w:cs="Arial" w:asciiTheme="minorEastAsia" w:hAnsiTheme="minorEastAsia" w:eastAsiaTheme="minorEastAsia"/>
          <w:b/>
          <w:sz w:val="24"/>
        </w:rPr>
        <w:t>视</w:t>
      </w:r>
      <w:r>
        <w:rPr>
          <w:rFonts w:cs="Arial" w:asciiTheme="minorEastAsia" w:hAnsiTheme="minorEastAsia" w:eastAsiaTheme="minorEastAsia"/>
          <w:b/>
          <w:sz w:val="24"/>
        </w:rPr>
        <w:t>频</w:t>
      </w:r>
      <w:r>
        <w:rPr>
          <w:rFonts w:hint="eastAsia" w:cs="Arial" w:asciiTheme="minorEastAsia" w:hAnsiTheme="minorEastAsia" w:eastAsiaTheme="minorEastAsia"/>
          <w:b/>
          <w:sz w:val="24"/>
        </w:rPr>
        <w:t>监控类</w:t>
      </w:r>
      <w:r>
        <w:rPr>
          <w:rFonts w:cs="Arial" w:asciiTheme="minorEastAsia" w:hAnsiTheme="minorEastAsia" w:eastAsiaTheme="minorEastAsia"/>
          <w:b/>
          <w:sz w:val="24"/>
        </w:rPr>
        <w:t>：包含（</w:t>
      </w:r>
      <w:r>
        <w:rPr>
          <w:rFonts w:hint="eastAsia" w:cs="Arial" w:asciiTheme="minorEastAsia" w:hAnsiTheme="minorEastAsia" w:eastAsiaTheme="minorEastAsia"/>
          <w:b/>
          <w:sz w:val="24"/>
        </w:rPr>
        <w:t>高清</w:t>
      </w:r>
      <w:r>
        <w:rPr>
          <w:rFonts w:cs="Arial" w:asciiTheme="minorEastAsia" w:hAnsiTheme="minorEastAsia" w:eastAsiaTheme="minorEastAsia"/>
          <w:b/>
          <w:sz w:val="24"/>
        </w:rPr>
        <w:t>摄像机、NVR录像机、</w:t>
      </w:r>
      <w:r>
        <w:rPr>
          <w:rFonts w:hint="eastAsia" w:cs="Arial" w:asciiTheme="minorEastAsia" w:hAnsiTheme="minorEastAsia" w:eastAsiaTheme="minorEastAsia"/>
          <w:b/>
          <w:sz w:val="24"/>
        </w:rPr>
        <w:t>审讯主机、拼接屏、室内小间距LED显示屏、视频综合平台</w:t>
      </w:r>
      <w:r>
        <w:rPr>
          <w:rFonts w:cs="Arial" w:asciiTheme="minorEastAsia" w:hAnsiTheme="minorEastAsia" w:eastAsiaTheme="minorEastAsia"/>
          <w:b/>
          <w:sz w:val="24"/>
        </w:rPr>
        <w:t>）</w:t>
      </w:r>
    </w:p>
    <w:p>
      <w:pPr>
        <w:spacing w:line="360" w:lineRule="auto"/>
        <w:ind w:firstLine="482" w:firstLineChars="200"/>
        <w:rPr>
          <w:rFonts w:cs="Arial" w:asciiTheme="minorEastAsia" w:hAnsiTheme="minorEastAsia" w:eastAsiaTheme="minorEastAsia"/>
          <w:b/>
          <w:sz w:val="24"/>
        </w:rPr>
      </w:pPr>
      <w:r>
        <w:rPr>
          <w:rFonts w:hint="eastAsia" w:cs="Arial" w:asciiTheme="minorEastAsia" w:hAnsiTheme="minorEastAsia" w:eastAsiaTheme="minorEastAsia"/>
          <w:b/>
          <w:sz w:val="24"/>
        </w:rPr>
        <w:t>门禁及出</w:t>
      </w:r>
      <w:r>
        <w:rPr>
          <w:rFonts w:cs="Arial" w:asciiTheme="minorEastAsia" w:hAnsiTheme="minorEastAsia" w:eastAsiaTheme="minorEastAsia"/>
          <w:b/>
          <w:sz w:val="24"/>
        </w:rPr>
        <w:t>入口类：包含（</w:t>
      </w:r>
      <w:r>
        <w:rPr>
          <w:rFonts w:hint="eastAsia" w:cs="Arial" w:asciiTheme="minorEastAsia" w:hAnsiTheme="minorEastAsia" w:eastAsiaTheme="minorEastAsia"/>
          <w:b/>
          <w:sz w:val="24"/>
        </w:rPr>
        <w:t>门禁控制器、人脸识别门禁、出入口控制终端、报警对讲主机</w:t>
      </w:r>
      <w:r>
        <w:rPr>
          <w:rFonts w:cs="Arial" w:asciiTheme="minorEastAsia" w:hAnsiTheme="minorEastAsia" w:eastAsiaTheme="minorEastAsia"/>
          <w:b/>
          <w:sz w:val="24"/>
        </w:rPr>
        <w:t>）</w:t>
      </w:r>
    </w:p>
    <w:p>
      <w:pPr>
        <w:spacing w:line="360" w:lineRule="auto"/>
        <w:ind w:firstLine="482" w:firstLineChars="200"/>
        <w:rPr>
          <w:rFonts w:cs="Arial" w:asciiTheme="minorEastAsia" w:hAnsiTheme="minorEastAsia" w:eastAsiaTheme="minorEastAsia"/>
          <w:b/>
          <w:sz w:val="24"/>
        </w:rPr>
      </w:pPr>
      <w:r>
        <w:rPr>
          <w:rFonts w:hint="eastAsia" w:cs="Arial" w:asciiTheme="minorEastAsia" w:hAnsiTheme="minorEastAsia" w:eastAsiaTheme="minorEastAsia"/>
          <w:b/>
          <w:sz w:val="24"/>
        </w:rPr>
        <w:t>UPS不间断电源系统（UPS主机、电池）</w:t>
      </w:r>
    </w:p>
    <w:p>
      <w:pPr>
        <w:spacing w:line="360" w:lineRule="auto"/>
        <w:ind w:firstLine="482" w:firstLineChars="200"/>
        <w:rPr>
          <w:rFonts w:cs="Arial" w:asciiTheme="minorEastAsia" w:hAnsiTheme="minorEastAsia" w:eastAsiaTheme="minorEastAsia"/>
          <w:b/>
          <w:sz w:val="24"/>
        </w:rPr>
      </w:pPr>
      <w:r>
        <w:rPr>
          <w:rFonts w:hint="eastAsia" w:cs="Arial" w:asciiTheme="minorEastAsia" w:hAnsiTheme="minorEastAsia" w:eastAsiaTheme="minorEastAsia"/>
          <w:b/>
          <w:sz w:val="24"/>
        </w:rPr>
        <w:t>2、</w:t>
      </w:r>
      <w:r>
        <w:rPr>
          <w:rFonts w:hint="eastAsia" w:cs="宋体" w:asciiTheme="minorEastAsia" w:hAnsiTheme="minorEastAsia" w:eastAsiaTheme="minorEastAsia"/>
          <w:color w:val="000000"/>
          <w:kern w:val="0"/>
          <w:sz w:val="24"/>
        </w:rPr>
        <w:t>★</w:t>
      </w:r>
      <w:r>
        <w:rPr>
          <w:rFonts w:hint="eastAsia" w:cs="Arial" w:asciiTheme="minorEastAsia" w:hAnsiTheme="minorEastAsia" w:eastAsiaTheme="minorEastAsia"/>
          <w:b/>
          <w:sz w:val="24"/>
        </w:rPr>
        <w:t>为保障所投主要系统设备能顺利与公安系统对接，中标单位需在中标公告后对所投的主要产品设备进行系统对接测试；满足投标参数并且可实现与平台对接的出具接入测试证明（投标人就该项内容在投标文件中作出书面承诺，未承诺的做无效投标处理）。中标单位接入测试不通过或中标单位不进行接入测试，采购人有权拒绝签订合同。</w:t>
      </w:r>
    </w:p>
    <w:p>
      <w:pPr>
        <w:spacing w:line="360" w:lineRule="auto"/>
        <w:ind w:firstLine="482" w:firstLineChars="200"/>
        <w:rPr>
          <w:rFonts w:cs="Arial" w:asciiTheme="minorEastAsia" w:hAnsiTheme="minorEastAsia" w:eastAsiaTheme="minorEastAsia"/>
          <w:b/>
          <w:color w:val="000000"/>
          <w:sz w:val="24"/>
        </w:rPr>
      </w:pPr>
      <w:r>
        <w:rPr>
          <w:rFonts w:cs="Arial" w:asciiTheme="minorEastAsia" w:hAnsiTheme="minorEastAsia" w:eastAsiaTheme="minorEastAsia"/>
          <w:b/>
          <w:color w:val="000000"/>
          <w:sz w:val="24"/>
        </w:rPr>
        <w:t>3</w:t>
      </w:r>
      <w:r>
        <w:rPr>
          <w:rFonts w:hint="eastAsia" w:cs="Arial" w:asciiTheme="minorEastAsia" w:hAnsiTheme="minorEastAsia" w:eastAsiaTheme="minorEastAsia"/>
          <w:b/>
          <w:color w:val="000000"/>
          <w:sz w:val="24"/>
        </w:rPr>
        <w:t>、</w:t>
      </w:r>
      <w:r>
        <w:rPr>
          <w:rFonts w:hint="eastAsia" w:cs="宋体" w:asciiTheme="minorEastAsia" w:hAnsiTheme="minorEastAsia" w:eastAsiaTheme="minorEastAsia"/>
          <w:color w:val="000000"/>
          <w:kern w:val="0"/>
          <w:sz w:val="24"/>
        </w:rPr>
        <w:t>★</w:t>
      </w:r>
      <w:r>
        <w:rPr>
          <w:rFonts w:hint="eastAsia" w:cs="Arial" w:asciiTheme="minorEastAsia" w:hAnsiTheme="minorEastAsia" w:eastAsiaTheme="minorEastAsia"/>
          <w:b/>
          <w:color w:val="000000"/>
          <w:sz w:val="24"/>
        </w:rPr>
        <w:t>所有材料设备必须符合采购人要求，投标人在投标时应根据采购文件、要求明确规格型号和报价。采购人有推荐品牌/厂家的，投标人须在推荐品牌/厂家中选择其一或选择与其相当的其他品牌/厂家。如投标人选择其他品牌/厂家，则投标人应选择与招标人推荐品牌/厂家的参数性能相当的产品进行应标（并提供能反应设备的性能参数的相关文件）。</w:t>
      </w:r>
    </w:p>
    <w:p>
      <w:pPr>
        <w:spacing w:line="360" w:lineRule="auto"/>
        <w:rPr>
          <w:rFonts w:cs="Arial" w:asciiTheme="minorEastAsia" w:hAnsiTheme="minorEastAsia" w:eastAsiaTheme="minorEastAsia"/>
          <w:b/>
          <w:color w:val="000000"/>
          <w:sz w:val="24"/>
        </w:rPr>
      </w:pPr>
    </w:p>
    <w:p>
      <w:pPr>
        <w:spacing w:line="360" w:lineRule="auto"/>
        <w:rPr>
          <w:rFonts w:cs="Arial" w:asciiTheme="minorEastAsia" w:hAnsiTheme="minorEastAsia" w:eastAsiaTheme="minorEastAsia"/>
          <w:color w:val="000000"/>
          <w:sz w:val="24"/>
        </w:rPr>
      </w:pPr>
      <w:bookmarkStart w:id="94" w:name="_Toc113719879"/>
      <w:bookmarkStart w:id="95" w:name="_Toc466388587"/>
      <w:bookmarkStart w:id="96" w:name="_Toc350174766"/>
      <w:bookmarkStart w:id="97" w:name="_Toc144866917"/>
      <w:bookmarkStart w:id="98" w:name="_Toc477447315"/>
      <w:bookmarkStart w:id="99" w:name="_Toc350168211"/>
      <w:r>
        <w:rPr>
          <w:rFonts w:hint="eastAsia" w:cs="Arial" w:asciiTheme="minorEastAsia" w:hAnsiTheme="minorEastAsia" w:eastAsiaTheme="minorEastAsia"/>
          <w:color w:val="000000"/>
          <w:sz w:val="24"/>
        </w:rPr>
        <w:t>（一）</w:t>
      </w:r>
      <w:bookmarkEnd w:id="94"/>
      <w:bookmarkEnd w:id="95"/>
      <w:bookmarkEnd w:id="96"/>
      <w:bookmarkEnd w:id="97"/>
      <w:bookmarkEnd w:id="98"/>
      <w:bookmarkEnd w:id="99"/>
      <w:r>
        <w:rPr>
          <w:rFonts w:hint="eastAsia" w:cs="Arial" w:asciiTheme="minorEastAsia" w:hAnsiTheme="minorEastAsia" w:eastAsiaTheme="minorEastAsia"/>
          <w:color w:val="000000"/>
          <w:sz w:val="24"/>
        </w:rPr>
        <w:t>内部监控系统</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1、本项目建设1套内部智能监控系统，其中包括前端高清摄像机、存储设备、高清监视器、人脸服务器、交换机等。整个监控系统覆盖全所，进行无死角智能监管。</w:t>
      </w:r>
    </w:p>
    <w:p>
      <w:pPr>
        <w:spacing w:line="360" w:lineRule="auto"/>
        <w:rPr>
          <w:rFonts w:cs="Arial" w:asciiTheme="minorEastAsia" w:hAnsiTheme="minorEastAsia" w:eastAsiaTheme="minorEastAsia"/>
          <w:color w:val="000000"/>
          <w:sz w:val="24"/>
        </w:rPr>
      </w:pPr>
      <w:bookmarkStart w:id="100" w:name="_Toc113719880"/>
      <w:bookmarkStart w:id="101" w:name="_Toc477447316"/>
      <w:bookmarkStart w:id="102" w:name="_Toc350174767"/>
      <w:bookmarkStart w:id="103" w:name="_Toc350168212"/>
      <w:bookmarkStart w:id="104" w:name="_Toc466388588"/>
      <w:bookmarkStart w:id="105" w:name="_Toc144866918"/>
      <w:r>
        <w:rPr>
          <w:rFonts w:cs="Arial" w:asciiTheme="minorEastAsia" w:hAnsiTheme="minorEastAsia" w:eastAsiaTheme="minorEastAsia"/>
          <w:color w:val="000000"/>
          <w:sz w:val="24"/>
        </w:rPr>
        <w:t>2</w:t>
      </w:r>
      <w:r>
        <w:rPr>
          <w:rFonts w:hint="eastAsia" w:cs="Arial" w:asciiTheme="minorEastAsia" w:hAnsiTheme="minorEastAsia" w:eastAsiaTheme="minorEastAsia"/>
          <w:color w:val="000000"/>
          <w:sz w:val="24"/>
        </w:rPr>
        <w:t>、视频监控摄像机，办公区域</w:t>
      </w:r>
      <w:r>
        <w:rPr>
          <w:rFonts w:cs="Arial" w:asciiTheme="minorEastAsia" w:hAnsiTheme="minorEastAsia" w:eastAsiaTheme="minorEastAsia"/>
          <w:color w:val="000000"/>
          <w:sz w:val="24"/>
        </w:rPr>
        <w:t>91</w:t>
      </w:r>
      <w:r>
        <w:rPr>
          <w:rFonts w:hint="eastAsia" w:cs="Arial" w:asciiTheme="minorEastAsia" w:hAnsiTheme="minorEastAsia" w:eastAsiaTheme="minorEastAsia"/>
          <w:color w:val="000000"/>
          <w:sz w:val="24"/>
        </w:rPr>
        <w:t>个摄像机，所有前端监控存储至少在</w:t>
      </w:r>
      <w:r>
        <w:rPr>
          <w:rFonts w:cs="Arial" w:asciiTheme="minorEastAsia" w:hAnsiTheme="minorEastAsia" w:eastAsiaTheme="minorEastAsia"/>
          <w:color w:val="000000"/>
          <w:sz w:val="24"/>
        </w:rPr>
        <w:t>90</w:t>
      </w:r>
      <w:r>
        <w:rPr>
          <w:rFonts w:hint="eastAsia" w:cs="Arial" w:asciiTheme="minorEastAsia" w:hAnsiTheme="minorEastAsia" w:eastAsiaTheme="minorEastAsia"/>
          <w:color w:val="000000"/>
          <w:sz w:val="24"/>
        </w:rPr>
        <w:t>天以上。</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w:t>
      </w:r>
      <w:r>
        <w:rPr>
          <w:rFonts w:cs="Arial" w:asciiTheme="minorEastAsia" w:hAnsiTheme="minorEastAsia" w:eastAsiaTheme="minorEastAsia"/>
          <w:color w:val="000000"/>
          <w:sz w:val="24"/>
        </w:rPr>
        <w:t>3</w:t>
      </w:r>
      <w:r>
        <w:rPr>
          <w:rFonts w:hint="eastAsia" w:cs="Arial" w:asciiTheme="minorEastAsia" w:hAnsiTheme="minorEastAsia" w:eastAsiaTheme="minorEastAsia"/>
          <w:color w:val="000000"/>
          <w:sz w:val="24"/>
        </w:rPr>
        <w:t>、视频监控摄像机，办案区域</w:t>
      </w:r>
      <w:r>
        <w:rPr>
          <w:rFonts w:cs="Arial" w:asciiTheme="minorEastAsia" w:hAnsiTheme="minorEastAsia" w:eastAsiaTheme="minorEastAsia"/>
          <w:color w:val="000000"/>
          <w:sz w:val="24"/>
        </w:rPr>
        <w:t>30</w:t>
      </w:r>
      <w:r>
        <w:rPr>
          <w:rFonts w:hint="eastAsia" w:cs="Arial" w:asciiTheme="minorEastAsia" w:hAnsiTheme="minorEastAsia" w:eastAsiaTheme="minorEastAsia"/>
          <w:color w:val="000000"/>
          <w:sz w:val="24"/>
        </w:rPr>
        <w:t>个摄像机，所有前端监控存储至少在</w:t>
      </w:r>
      <w:r>
        <w:rPr>
          <w:rFonts w:cs="Arial" w:asciiTheme="minorEastAsia" w:hAnsiTheme="minorEastAsia" w:eastAsiaTheme="minorEastAsia"/>
          <w:color w:val="000000"/>
          <w:sz w:val="24"/>
        </w:rPr>
        <w:t>180</w:t>
      </w:r>
      <w:r>
        <w:rPr>
          <w:rFonts w:hint="eastAsia" w:cs="Arial" w:asciiTheme="minorEastAsia" w:hAnsiTheme="minorEastAsia" w:eastAsiaTheme="minorEastAsia"/>
          <w:color w:val="000000"/>
          <w:sz w:val="24"/>
        </w:rPr>
        <w:t>天以上。</w:t>
      </w:r>
    </w:p>
    <w:p>
      <w:pPr>
        <w:spacing w:line="360" w:lineRule="auto"/>
        <w:rPr>
          <w:rFonts w:cs="Arial" w:asciiTheme="minorEastAsia" w:hAnsiTheme="minorEastAsia" w:eastAsiaTheme="minorEastAsia"/>
          <w:color w:val="000000"/>
          <w:sz w:val="24"/>
        </w:rPr>
      </w:pP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（二）</w:t>
      </w:r>
      <w:bookmarkEnd w:id="100"/>
      <w:bookmarkEnd w:id="101"/>
      <w:bookmarkEnd w:id="102"/>
      <w:bookmarkEnd w:id="103"/>
      <w:bookmarkEnd w:id="104"/>
      <w:bookmarkEnd w:id="105"/>
      <w:r>
        <w:rPr>
          <w:rFonts w:hint="eastAsia" w:cs="Arial" w:asciiTheme="minorEastAsia" w:hAnsiTheme="minorEastAsia" w:eastAsiaTheme="minorEastAsia"/>
          <w:color w:val="000000"/>
          <w:sz w:val="24"/>
        </w:rPr>
        <w:t>审讯系统</w:t>
      </w:r>
    </w:p>
    <w:p>
      <w:pPr>
        <w:spacing w:line="360" w:lineRule="auto"/>
        <w:rPr>
          <w:rFonts w:cs="Arial" w:asciiTheme="minorEastAsia" w:hAnsiTheme="minorEastAsia" w:eastAsiaTheme="minorEastAsia"/>
          <w:color w:val="000000"/>
          <w:sz w:val="24"/>
        </w:rPr>
      </w:pPr>
      <w:bookmarkStart w:id="106" w:name="_Toc477447318"/>
      <w:bookmarkStart w:id="107" w:name="_Toc466388590"/>
      <w:bookmarkStart w:id="108" w:name="_Toc350174769"/>
      <w:bookmarkStart w:id="109" w:name="_Toc350168214"/>
      <w:r>
        <w:rPr>
          <w:rFonts w:hint="eastAsia" w:cs="Arial" w:asciiTheme="minorEastAsia" w:hAnsiTheme="minorEastAsia" w:eastAsiaTheme="minorEastAsia"/>
          <w:color w:val="000000"/>
          <w:sz w:val="24"/>
        </w:rPr>
        <w:t>1、本项目建设1套审讯系统，内部共有5个审讯室，根据审讯业务流程，审讯室内需建设摄像机、审讯主机以及温湿度屏等。</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2、审讯系统要求：每个审讯室都需配置2个前端摄像机，即审讯室的正面和顶部，高清审讯主机1台，温湿度显示屏1块。</w:t>
      </w:r>
    </w:p>
    <w:p>
      <w:pPr>
        <w:spacing w:line="360" w:lineRule="auto"/>
        <w:rPr>
          <w:rFonts w:cs="Arial" w:asciiTheme="minorEastAsia" w:hAnsiTheme="minorEastAsia" w:eastAsiaTheme="minorEastAsia"/>
          <w:color w:val="000000"/>
          <w:sz w:val="24"/>
        </w:rPr>
      </w:pPr>
    </w:p>
    <w:bookmarkEnd w:id="106"/>
    <w:bookmarkEnd w:id="107"/>
    <w:bookmarkEnd w:id="108"/>
    <w:bookmarkEnd w:id="109"/>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（三）</w:t>
      </w:r>
      <w:bookmarkStart w:id="110" w:name="_Toc57367705"/>
      <w:bookmarkStart w:id="111" w:name="_Toc54087257"/>
      <w:bookmarkStart w:id="112" w:name="_Toc54087218"/>
      <w:bookmarkStart w:id="113" w:name="_Toc146189192"/>
      <w:bookmarkStart w:id="114" w:name="_Toc146705143"/>
      <w:r>
        <w:rPr>
          <w:rFonts w:hint="eastAsia" w:cs="Arial" w:asciiTheme="minorEastAsia" w:hAnsiTheme="minorEastAsia" w:eastAsiaTheme="minorEastAsia"/>
          <w:color w:val="000000"/>
          <w:sz w:val="24"/>
        </w:rPr>
        <w:t>网络系统及无线WiFi网络AP覆盖系统</w:t>
      </w:r>
      <w:bookmarkEnd w:id="110"/>
      <w:bookmarkEnd w:id="111"/>
      <w:bookmarkEnd w:id="112"/>
    </w:p>
    <w:bookmarkEnd w:id="113"/>
    <w:bookmarkEnd w:id="114"/>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1、概述：办公区域全覆盖</w:t>
      </w:r>
    </w:p>
    <w:p>
      <w:pPr>
        <w:spacing w:line="360" w:lineRule="auto"/>
        <w:rPr>
          <w:rFonts w:cs="Arial" w:asciiTheme="minorEastAsia" w:hAnsiTheme="minorEastAsia" w:eastAsiaTheme="minorEastAsia"/>
          <w:color w:val="000000"/>
          <w:sz w:val="24"/>
        </w:rPr>
      </w:pPr>
      <w:r>
        <w:rPr>
          <w:rFonts w:cs="Arial" w:asciiTheme="minorEastAsia" w:hAnsiTheme="minorEastAsia" w:eastAsiaTheme="minorEastAsia"/>
          <w:color w:val="000000"/>
          <w:sz w:val="24"/>
        </w:rPr>
        <w:t>2</w:t>
      </w:r>
      <w:r>
        <w:rPr>
          <w:rFonts w:hint="eastAsia" w:cs="Arial" w:asciiTheme="minorEastAsia" w:hAnsiTheme="minorEastAsia" w:eastAsiaTheme="minorEastAsia"/>
          <w:color w:val="000000"/>
          <w:sz w:val="24"/>
        </w:rPr>
        <w:t>、网络系统包含：公安业务专网（主要应用于公安PC电脑及公安业务系统）；公安物联专网（主要用于公安**内部监控、门禁系统、车辆出入口管理系统、审讯系统等物联网设备）；互联网（主要用于公共WIFI、外网业务等）；视频监控专网（主要用于监控中心的大屏显示与监控巡查调度）。</w:t>
      </w:r>
    </w:p>
    <w:p>
      <w:pPr>
        <w:spacing w:line="360" w:lineRule="auto"/>
        <w:rPr>
          <w:rFonts w:cs="Arial" w:asciiTheme="minorEastAsia" w:hAnsiTheme="minorEastAsia" w:eastAsiaTheme="minorEastAsia"/>
          <w:color w:val="000000"/>
          <w:sz w:val="24"/>
        </w:rPr>
      </w:pP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（四）一卡通系统</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1、概述：办公区域用人脸门禁，办案区门禁用卡加密码</w:t>
      </w:r>
    </w:p>
    <w:p>
      <w:pPr>
        <w:spacing w:line="360" w:lineRule="auto"/>
        <w:rPr>
          <w:rFonts w:cs="Arial" w:asciiTheme="minorEastAsia" w:hAnsiTheme="minorEastAsia" w:eastAsiaTheme="minorEastAsia"/>
          <w:color w:val="000000"/>
          <w:sz w:val="24"/>
        </w:rPr>
      </w:pPr>
      <w:r>
        <w:rPr>
          <w:rFonts w:cs="Arial" w:asciiTheme="minorEastAsia" w:hAnsiTheme="minorEastAsia" w:eastAsiaTheme="minorEastAsia"/>
          <w:color w:val="000000"/>
          <w:sz w:val="24"/>
        </w:rPr>
        <w:t>2</w:t>
      </w:r>
      <w:r>
        <w:rPr>
          <w:rFonts w:hint="eastAsia" w:cs="Arial" w:asciiTheme="minorEastAsia" w:hAnsiTheme="minorEastAsia" w:eastAsiaTheme="minorEastAsia"/>
          <w:color w:val="000000"/>
          <w:sz w:val="24"/>
        </w:rPr>
        <w:t>、本系统主要在出入口、讯问室、侯问室等区域布置门禁。</w:t>
      </w:r>
    </w:p>
    <w:p>
      <w:pPr>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门禁系统能控制内部人员或来访人员只有在规定的时间和在有权限的门禁点刷卡或刷脸后，门禁点才能自动开门放行允许出入，否则对非法入侵拒绝开门并输出报警信号。</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由于门禁权限可以随时更改，因此，无论人员怎样变化和流动，都可及时更新门禁权限，不存在钥匙开门方式时的盗用风险。</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同时，门禁出入记录被及时保存，可以为调查安全事件提供直接依据。</w:t>
      </w:r>
    </w:p>
    <w:p>
      <w:pPr>
        <w:spacing w:line="360" w:lineRule="auto"/>
        <w:rPr>
          <w:rFonts w:cs="Arial" w:asciiTheme="minorEastAsia" w:hAnsiTheme="minorEastAsia" w:eastAsiaTheme="minorEastAsia"/>
          <w:color w:val="000000"/>
          <w:sz w:val="24"/>
        </w:rPr>
      </w:pP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（五） LED电子屏显示系统</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1、本项目在2处设置电子屏。</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2、电子屏系统要求：系统屏分为双基色屏体、交互式屏、信息发布屏。</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3、交互式屏，86寸及以上大屏，内置安卓模块，支持手机、PC、平板无线投屏，支持任意通道画面放大功能，支持黑屏绿色节能功能。</w:t>
      </w:r>
    </w:p>
    <w:p>
      <w:pPr>
        <w:spacing w:line="360" w:lineRule="auto"/>
        <w:rPr>
          <w:rFonts w:cs="Arial" w:asciiTheme="minorEastAsia" w:hAnsiTheme="minorEastAsia" w:eastAsiaTheme="minorEastAsia"/>
          <w:color w:val="000000"/>
          <w:sz w:val="24"/>
        </w:rPr>
      </w:pP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（六）UPS不间断电源系统</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1、概述：保证电脑网络机房不间断8小时后备电池</w:t>
      </w:r>
    </w:p>
    <w:p>
      <w:pPr>
        <w:spacing w:line="360" w:lineRule="auto"/>
        <w:rPr>
          <w:rFonts w:cs="Arial" w:asciiTheme="minorEastAsia" w:hAnsiTheme="minorEastAsia" w:eastAsiaTheme="minorEastAsia"/>
          <w:color w:val="000000"/>
          <w:sz w:val="24"/>
        </w:rPr>
      </w:pPr>
      <w:r>
        <w:rPr>
          <w:rFonts w:cs="Arial" w:asciiTheme="minorEastAsia" w:hAnsiTheme="minorEastAsia" w:eastAsiaTheme="minorEastAsia"/>
          <w:color w:val="000000"/>
          <w:sz w:val="24"/>
        </w:rPr>
        <w:t>2</w:t>
      </w:r>
      <w:r>
        <w:rPr>
          <w:rFonts w:hint="eastAsia" w:cs="Arial" w:asciiTheme="minorEastAsia" w:hAnsiTheme="minorEastAsia" w:eastAsiaTheme="minorEastAsia"/>
          <w:color w:val="000000"/>
          <w:sz w:val="24"/>
        </w:rPr>
        <w:t>、产品参数要求：能在断电后保证重要设备能继续稳定运行8小时。</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（七）排队叫号系统</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1、概述：让用户有序排队，能有效管理排队秩序。</w:t>
      </w:r>
    </w:p>
    <w:p>
      <w:pPr>
        <w:spacing w:line="360" w:lineRule="auto"/>
        <w:rPr>
          <w:rFonts w:cs="Arial" w:asciiTheme="minorEastAsia" w:hAnsiTheme="minorEastAsia" w:eastAsiaTheme="minorEastAsia"/>
          <w:color w:val="000000"/>
          <w:sz w:val="24"/>
        </w:rPr>
      </w:pPr>
      <w:r>
        <w:rPr>
          <w:rFonts w:cs="Arial" w:asciiTheme="minorEastAsia" w:hAnsiTheme="minorEastAsia" w:eastAsiaTheme="minorEastAsia"/>
          <w:color w:val="000000"/>
          <w:sz w:val="24"/>
        </w:rPr>
        <w:t>2</w:t>
      </w:r>
      <w:r>
        <w:rPr>
          <w:rFonts w:hint="eastAsia" w:cs="Arial" w:asciiTheme="minorEastAsia" w:hAnsiTheme="minorEastAsia" w:eastAsiaTheme="minorEastAsia"/>
          <w:color w:val="000000"/>
          <w:sz w:val="24"/>
        </w:rPr>
        <w:t>、产品参数要求：标配身份证阅读器及人脸采集设备，评价接入分局现有多媒体满意度评价系统。</w:t>
      </w:r>
    </w:p>
    <w:p>
      <w:pPr>
        <w:spacing w:line="360" w:lineRule="auto"/>
        <w:rPr>
          <w:rFonts w:cs="Arial" w:asciiTheme="minorEastAsia" w:hAnsiTheme="minorEastAsia" w:eastAsiaTheme="minorEastAsia"/>
          <w:color w:val="000000"/>
          <w:sz w:val="24"/>
        </w:rPr>
      </w:pP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（八）紧急呼叫报警系统</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1、概述：应对突发情况，能紧急通知指挥中心。</w:t>
      </w:r>
    </w:p>
    <w:p>
      <w:pPr>
        <w:spacing w:line="360" w:lineRule="auto"/>
        <w:rPr>
          <w:rFonts w:cs="Arial" w:asciiTheme="minorEastAsia" w:hAnsiTheme="minorEastAsia" w:eastAsiaTheme="minorEastAsia"/>
          <w:color w:val="000000"/>
          <w:sz w:val="24"/>
        </w:rPr>
      </w:pPr>
      <w:r>
        <w:rPr>
          <w:rFonts w:cs="Arial" w:asciiTheme="minorEastAsia" w:hAnsiTheme="minorEastAsia" w:eastAsiaTheme="minorEastAsia"/>
          <w:color w:val="000000"/>
          <w:sz w:val="24"/>
        </w:rPr>
        <w:t>2</w:t>
      </w:r>
      <w:r>
        <w:rPr>
          <w:rFonts w:hint="eastAsia" w:cs="Arial" w:asciiTheme="minorEastAsia" w:hAnsiTheme="minorEastAsia" w:eastAsiaTheme="minorEastAsia"/>
          <w:color w:val="000000"/>
          <w:sz w:val="24"/>
        </w:rPr>
        <w:t>、产品参数要求：能一键报警，能有效确认报警位置。</w:t>
      </w:r>
    </w:p>
    <w:p>
      <w:pPr>
        <w:spacing w:line="360" w:lineRule="auto"/>
        <w:rPr>
          <w:rFonts w:cs="Arial" w:asciiTheme="minorEastAsia" w:hAnsiTheme="minorEastAsia" w:eastAsiaTheme="minorEastAsia"/>
          <w:color w:val="000000"/>
          <w:sz w:val="24"/>
        </w:rPr>
      </w:pP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（九）会议音响系统</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本系统共设计</w:t>
      </w:r>
      <w:r>
        <w:rPr>
          <w:rFonts w:cs="Arial" w:asciiTheme="minorEastAsia" w:hAnsiTheme="minorEastAsia" w:eastAsiaTheme="minorEastAsia"/>
          <w:color w:val="000000"/>
          <w:sz w:val="24"/>
        </w:rPr>
        <w:t>5</w:t>
      </w:r>
      <w:r>
        <w:rPr>
          <w:rFonts w:hint="eastAsia" w:cs="Arial" w:asciiTheme="minorEastAsia" w:hAnsiTheme="minorEastAsia" w:eastAsiaTheme="minorEastAsia"/>
          <w:color w:val="000000"/>
          <w:sz w:val="24"/>
        </w:rPr>
        <w:t>套会议音响系统。</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1、二层电视电话会议室：配置2只全频扬声器、一拖二无线主机、无线手持话筒、电源时序器、智能AV管理主机、8</w:t>
      </w:r>
      <w:r>
        <w:rPr>
          <w:rFonts w:cs="Arial" w:asciiTheme="minorEastAsia" w:hAnsiTheme="minorEastAsia" w:eastAsiaTheme="minorEastAsia"/>
          <w:color w:val="000000"/>
          <w:sz w:val="24"/>
        </w:rPr>
        <w:t>6</w:t>
      </w:r>
      <w:r>
        <w:rPr>
          <w:rFonts w:hint="eastAsia" w:cs="Arial" w:asciiTheme="minorEastAsia" w:hAnsiTheme="minorEastAsia" w:eastAsiaTheme="minorEastAsia"/>
          <w:color w:val="000000"/>
          <w:sz w:val="24"/>
        </w:rPr>
        <w:t>寸及以上交互式屏。</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2、二层、三层大会议室：配置6只全频扬声器、一拖四无线主机、无线鹅颈话筒、无线手持话筒、电源时序器、智能AV管理主机、辅助显示屏、5500流明投影机和150寸电动投影幕。</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3、二层审讯指挥中心：主扩配置2只全频扬声器、定阻功率放大器、一拖二无线主机、无线鹅颈话筒、电源时序器、数字音频处理器、调音台、HDMI切换矩阵、75寸交互式屏。</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4、一层监控室：配置2只全频扬声器、定阻功率放大器、数字音频处理器、有线鹅颈话筒、8路电源时序器。</w:t>
      </w:r>
    </w:p>
    <w:p>
      <w:pPr>
        <w:spacing w:line="360" w:lineRule="auto"/>
        <w:rPr>
          <w:rFonts w:cs="Arial" w:asciiTheme="minorEastAsia" w:hAnsiTheme="minorEastAsia" w:eastAsiaTheme="minorEastAsia"/>
          <w:color w:val="000000"/>
          <w:sz w:val="24"/>
        </w:rPr>
      </w:pP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（十）背景音乐及紧急广播系统</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1、本系统采用定压方式传输。</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2、系统主要设置于一层办案区、走廊等公共区域。在一层、二层、三层、办案区、室外各设置1个广播分区，控制中心设置在二层计算机机房。</w:t>
      </w:r>
    </w:p>
    <w:p>
      <w:pPr>
        <w:spacing w:line="360" w:lineRule="auto"/>
        <w:rPr>
          <w:rFonts w:cs="Arial" w:asciiTheme="minorEastAsia" w:hAnsiTheme="minorEastAsia" w:eastAsiaTheme="minorEastAsia"/>
          <w:color w:val="000000"/>
          <w:sz w:val="24"/>
        </w:rPr>
      </w:pP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（十一）售饭系统</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1、概述：与门禁卡公用一张</w:t>
      </w:r>
    </w:p>
    <w:p>
      <w:pPr>
        <w:spacing w:line="360" w:lineRule="auto"/>
        <w:rPr>
          <w:rFonts w:cs="Arial" w:asciiTheme="minorEastAsia" w:hAnsiTheme="minorEastAsia" w:eastAsiaTheme="minorEastAsia"/>
          <w:color w:val="000000"/>
          <w:sz w:val="24"/>
        </w:rPr>
      </w:pPr>
      <w:r>
        <w:rPr>
          <w:rFonts w:cs="Arial" w:asciiTheme="minorEastAsia" w:hAnsiTheme="minorEastAsia" w:eastAsiaTheme="minorEastAsia"/>
          <w:color w:val="000000"/>
          <w:sz w:val="24"/>
        </w:rPr>
        <w:t>2</w:t>
      </w:r>
      <w:r>
        <w:rPr>
          <w:rFonts w:hint="eastAsia" w:cs="Arial" w:asciiTheme="minorEastAsia" w:hAnsiTheme="minorEastAsia" w:eastAsiaTheme="minorEastAsia"/>
          <w:color w:val="000000"/>
          <w:sz w:val="24"/>
        </w:rPr>
        <w:t>、产品参数要求：能与门禁卡合二为一。</w:t>
      </w:r>
    </w:p>
    <w:p>
      <w:pPr>
        <w:spacing w:line="360" w:lineRule="auto"/>
        <w:rPr>
          <w:rFonts w:cs="Arial" w:asciiTheme="minorEastAsia" w:hAnsiTheme="minorEastAsia" w:eastAsiaTheme="minorEastAsia"/>
          <w:color w:val="000000"/>
          <w:sz w:val="24"/>
        </w:rPr>
      </w:pP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（十二）大屏拼接建设系统</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1、合成作战室：设置大屏拼接建设，主要包括2*2的55寸拼接屏、视频综合平台及配套设备等。</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2、执法管理中心：设置大屏拼接建设，主要包括3*3的55寸拼接屏、视频综合平台及配套设备等。</w:t>
      </w:r>
    </w:p>
    <w:p>
      <w:pPr>
        <w:spacing w:line="360" w:lineRule="auto"/>
        <w:rPr>
          <w:rFonts w:cs="Arial" w:asciiTheme="minorEastAsia" w:hAnsiTheme="minorEastAsia" w:eastAsiaTheme="minorEastAsia"/>
          <w:color w:val="000000"/>
          <w:sz w:val="24"/>
        </w:rPr>
      </w:pP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（十三）监控中心LED大屏及机房建设</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1、本项目对监控中心配置室内小间距L</w:t>
      </w:r>
      <w:r>
        <w:rPr>
          <w:rFonts w:cs="Arial" w:asciiTheme="minorEastAsia" w:hAnsiTheme="minorEastAsia" w:eastAsiaTheme="minorEastAsia"/>
          <w:color w:val="000000"/>
          <w:sz w:val="24"/>
        </w:rPr>
        <w:t>ED</w:t>
      </w:r>
      <w:r>
        <w:rPr>
          <w:rFonts w:hint="eastAsia" w:cs="Arial" w:asciiTheme="minorEastAsia" w:hAnsiTheme="minorEastAsia" w:eastAsiaTheme="minorEastAsia"/>
          <w:color w:val="000000"/>
          <w:sz w:val="24"/>
        </w:rPr>
        <w:t>显示屏及配套设备，视频综合平台及机房建设配套设施。</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2、系统要求：室内小间距L</w:t>
      </w:r>
      <w:r>
        <w:rPr>
          <w:rFonts w:cs="Arial" w:asciiTheme="minorEastAsia" w:hAnsiTheme="minorEastAsia" w:eastAsiaTheme="minorEastAsia"/>
          <w:color w:val="000000"/>
          <w:sz w:val="24"/>
        </w:rPr>
        <w:t>ED</w:t>
      </w:r>
      <w:r>
        <w:rPr>
          <w:rFonts w:hint="eastAsia" w:cs="Arial" w:asciiTheme="minorEastAsia" w:hAnsiTheme="minorEastAsia" w:eastAsiaTheme="minorEastAsia"/>
          <w:color w:val="000000"/>
          <w:sz w:val="24"/>
        </w:rPr>
        <w:t>显示屏，视频矩阵设备1套，用于解码上墙至L</w:t>
      </w:r>
      <w:r>
        <w:rPr>
          <w:rFonts w:cs="Arial" w:asciiTheme="minorEastAsia" w:hAnsiTheme="minorEastAsia" w:eastAsiaTheme="minorEastAsia"/>
          <w:color w:val="000000"/>
          <w:sz w:val="24"/>
        </w:rPr>
        <w:t>ED</w:t>
      </w:r>
      <w:r>
        <w:rPr>
          <w:rFonts w:hint="eastAsia" w:cs="Arial" w:asciiTheme="minorEastAsia" w:hAnsiTheme="minorEastAsia" w:eastAsiaTheme="minorEastAsia"/>
          <w:color w:val="000000"/>
          <w:sz w:val="24"/>
        </w:rPr>
        <w:t>显示屏，及满足机房配置需求。</w:t>
      </w:r>
    </w:p>
    <w:p>
      <w:pPr>
        <w:spacing w:line="360" w:lineRule="auto"/>
        <w:rPr>
          <w:rFonts w:cs="Arial" w:asciiTheme="minorEastAsia" w:hAnsiTheme="minorEastAsia" w:eastAsiaTheme="minorEastAsia"/>
          <w:color w:val="000000"/>
          <w:sz w:val="24"/>
        </w:rPr>
      </w:pP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（十四）机房建设及UPS不间断电源系统</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1、本项目共配置1套UPS系统，设置在一层监控中心检修通道。UPS容量为20KVA ，三进三出在线式，后备时间8小时。</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 xml:space="preserve"> UPS主要为门禁设备、网络机柜、监控设备、楼层网络设备、办证大厅电脑、接警大厅电脑、监控中心电脑等设备及室外弱电总平图的安防和网络设备等提供不间断电源。</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 xml:space="preserve"> 机房各级配电柜内安装B、C两级防浪涌保护器。</w:t>
      </w:r>
    </w:p>
    <w:p>
      <w:pPr>
        <w:spacing w:line="360" w:lineRule="auto"/>
        <w:rPr>
          <w:rFonts w:cs="Arial" w:asciiTheme="minorEastAsia" w:hAnsiTheme="minorEastAsia" w:eastAsiaTheme="minorEastAsia"/>
          <w:color w:val="000000"/>
          <w:sz w:val="24"/>
        </w:rPr>
      </w:pPr>
    </w:p>
    <w:p>
      <w:pPr>
        <w:spacing w:line="360" w:lineRule="auto"/>
        <w:rPr>
          <w:rFonts w:cs="Arial" w:asciiTheme="minorEastAsia" w:hAnsiTheme="minorEastAsia" w:eastAsiaTheme="minorEastAsia"/>
          <w:color w:val="000000"/>
          <w:sz w:val="24"/>
        </w:rPr>
      </w:pPr>
      <w:r>
        <w:rPr>
          <w:rFonts w:cs="Arial" w:asciiTheme="minorEastAsia" w:hAnsiTheme="minorEastAsia" w:eastAsiaTheme="minorEastAsia"/>
          <w:color w:val="000000"/>
          <w:sz w:val="24"/>
        </w:rPr>
        <w:t>2</w:t>
      </w:r>
      <w:r>
        <w:rPr>
          <w:rFonts w:hint="eastAsia" w:cs="Arial" w:asciiTheme="minorEastAsia" w:hAnsiTheme="minorEastAsia" w:eastAsiaTheme="minorEastAsia"/>
          <w:color w:val="000000"/>
          <w:sz w:val="24"/>
        </w:rPr>
        <w:t>、智能机柜</w:t>
      </w:r>
    </w:p>
    <w:p>
      <w:pPr>
        <w:spacing w:line="360" w:lineRule="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杭州市大江东公安局前进***信息机房建设采用一体化机房模式，将配电单元、机架式空调、应急散热、气流管理、布线、监控管理系统等数据中心基础设备集中在七个封闭式的机柜内，为所有 IT 设备提供所需恒定的运行条件。柜体全封闭结构与外界隔离，采用智能密码锁并具有完善的管控系统；应急通风装置，动态调节处理与优化气流组织。</w:t>
      </w:r>
    </w:p>
    <w:p>
      <w:pPr>
        <w:keepNext/>
        <w:keepLines/>
        <w:spacing w:before="260" w:after="260" w:line="416" w:lineRule="auto"/>
        <w:outlineLvl w:val="1"/>
        <w:rPr>
          <w:rFonts w:ascii="Cambria" w:hAnsi="Cambria"/>
          <w:b/>
          <w:bCs/>
          <w:sz w:val="32"/>
          <w:szCs w:val="32"/>
        </w:rPr>
      </w:pPr>
      <w:r>
        <w:rPr>
          <w:rFonts w:hint="eastAsia" w:ascii="Cambria" w:hAnsi="Cambria"/>
          <w:b/>
          <w:bCs/>
          <w:sz w:val="32"/>
          <w:szCs w:val="32"/>
        </w:rPr>
        <w:t>五、采购清单</w:t>
      </w:r>
    </w:p>
    <w:tbl>
      <w:tblPr>
        <w:tblStyle w:val="17"/>
        <w:tblW w:w="10681" w:type="dxa"/>
        <w:jc w:val="center"/>
        <w:tblInd w:w="0" w:type="dxa"/>
        <w:tblLayout w:type="fixed"/>
        <w:tblCellMar>
          <w:top w:w="0" w:type="dxa"/>
          <w:left w:w="108" w:type="dxa"/>
          <w:bottom w:w="0" w:type="dxa"/>
          <w:right w:w="108" w:type="dxa"/>
        </w:tblCellMar>
      </w:tblPr>
      <w:tblGrid>
        <w:gridCol w:w="568"/>
        <w:gridCol w:w="1845"/>
        <w:gridCol w:w="5670"/>
        <w:gridCol w:w="667"/>
        <w:gridCol w:w="214"/>
        <w:gridCol w:w="17"/>
        <w:gridCol w:w="16"/>
        <w:gridCol w:w="203"/>
        <w:gridCol w:w="1481"/>
      </w:tblGrid>
      <w:tr>
        <w:tblPrEx>
          <w:tblLayout w:type="fixed"/>
          <w:tblCellMar>
            <w:top w:w="0" w:type="dxa"/>
            <w:left w:w="108" w:type="dxa"/>
            <w:bottom w:w="0" w:type="dxa"/>
            <w:right w:w="108" w:type="dxa"/>
          </w:tblCellMar>
        </w:tblPrEx>
        <w:trPr>
          <w:trHeight w:val="402" w:hRule="atLeast"/>
          <w:jc w:val="center"/>
        </w:trPr>
        <w:tc>
          <w:tcPr>
            <w:tcW w:w="5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56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参数</w:t>
            </w:r>
          </w:p>
        </w:tc>
        <w:tc>
          <w:tcPr>
            <w:tcW w:w="66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45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148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kern w:val="0"/>
                <w:sz w:val="18"/>
                <w:szCs w:val="18"/>
              </w:rPr>
              <w:t>推荐品牌或相当于</w:t>
            </w:r>
          </w:p>
        </w:tc>
      </w:tr>
      <w:tr>
        <w:tblPrEx>
          <w:tblLayout w:type="fixed"/>
          <w:tblCellMar>
            <w:top w:w="0" w:type="dxa"/>
            <w:left w:w="108" w:type="dxa"/>
            <w:bottom w:w="0" w:type="dxa"/>
            <w:right w:w="108" w:type="dxa"/>
          </w:tblCellMar>
        </w:tblPrEx>
        <w:trPr>
          <w:trHeight w:val="425" w:hRule="atLeast"/>
          <w:jc w:val="center"/>
        </w:trPr>
        <w:tc>
          <w:tcPr>
            <w:tcW w:w="8981"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FF"/>
                <w:kern w:val="0"/>
                <w:sz w:val="18"/>
                <w:szCs w:val="18"/>
              </w:rPr>
            </w:pPr>
            <w:r>
              <w:rPr>
                <w:rFonts w:hint="eastAsia" w:ascii="宋体" w:hAnsi="宋体" w:cs="宋体"/>
                <w:b/>
                <w:bCs/>
                <w:color w:val="0000FF"/>
                <w:kern w:val="0"/>
                <w:sz w:val="28"/>
                <w:szCs w:val="28"/>
              </w:rPr>
              <w:t>一、前进*****监控系统清单</w:t>
            </w:r>
            <w:r>
              <w:rPr>
                <w:rFonts w:hint="eastAsia" w:ascii="宋体" w:hAnsi="宋体" w:cs="宋体"/>
                <w:color w:val="0000FF"/>
                <w:kern w:val="0"/>
                <w:sz w:val="18"/>
                <w:szCs w:val="18"/>
              </w:rPr>
              <w:t>　</w:t>
            </w:r>
          </w:p>
        </w:tc>
        <w:tc>
          <w:tcPr>
            <w:tcW w:w="1700"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113" w:type="dxa"/>
            <w:gridSpan w:val="8"/>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办公区</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200万H.265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红外枪机变焦摄像机</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采用星光级超低照度200万1/2.8英寸CMOS图像传感器，低照度效果好，图像清晰度高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最大可输出200万(1920x1080)@30fps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支持Smart H.265/H.264H智能编码，ROI区域增强，SVC自适应编码，适用不同带宽和存储环境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最大红外监控距离100米，支持SmartIR，自动调整红外远近补光及画面均匀性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支持走廊模式，宽动态，3D降噪，强光抑制，背光补偿，数字水印，适用不同监控环境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支持多种异常检测，无SD卡，SD卡空间不足，SD卡出错，网络断开，IP冲突，非法访问，电压检测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支持多种智能，场景变更，虚焦侦测，音频异常侦测，绊线入侵，区域入侵，物品遗留，快速移动，停车检测，人员聚集，物品搬移，徘徊检测，人脸检测，热度图，人数统计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支持报警3进2出，音频1进1出，128G SD卡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支持DC12V/POE供电方式，宽压设计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支持IP67，IK10防护等级，防浪涌，防静电，防雷设计</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大华/英飞拓/天地伟业/三星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200万H.265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红外半球内置拾音器电动变焦摄像机</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传感器类型 1/2.7英寸CMOS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镜头焦距 2.7mm~12mm 变焦类型 电动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音频输入 一路MIC IN;内置MIC</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在1920x1080 @ 30fps下，码率设定为2Mbps，RJ45输出，清晰度不小于1100TVL。</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最低照度彩色：0.001 lx，黑白：0.0001 lx。（投标文件中需提供公安部型式检验报告证明资料复印件）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支持H.265、H.264、MJPEG视频编码格式</w:t>
            </w:r>
            <w:r>
              <w:rPr>
                <w:rFonts w:hint="eastAsia" w:ascii="宋体" w:hAnsi="宋体" w:cs="宋体"/>
                <w:color w:val="000000"/>
                <w:kern w:val="0"/>
                <w:sz w:val="18"/>
                <w:szCs w:val="18"/>
              </w:rPr>
              <w:br w:type="textWrapping"/>
            </w:r>
            <w:r>
              <w:rPr>
                <w:rFonts w:hint="eastAsia" w:ascii="宋体" w:hAnsi="宋体" w:cs="宋体"/>
                <w:kern w:val="0"/>
                <w:sz w:val="18"/>
                <w:szCs w:val="18"/>
              </w:rPr>
              <w:t>★支持三码流技术，主码流最高1920x1080@30fps，第三码流最大1920x1080 @ 30fps，子码流704x480@30fps。（投标文件中需提供公安部型式检验报告证明资料复印件）</w:t>
            </w:r>
            <w:r>
              <w:rPr>
                <w:rFonts w:hint="eastAsia" w:ascii="宋体" w:hAnsi="宋体" w:cs="宋体"/>
                <w:kern w:val="0"/>
                <w:sz w:val="18"/>
                <w:szCs w:val="18"/>
              </w:rPr>
              <w:br w:type="textWrapping"/>
            </w:r>
            <w:r>
              <w:rPr>
                <w:rFonts w:hint="eastAsia" w:ascii="宋体" w:hAnsi="宋体" w:cs="宋体"/>
                <w:kern w:val="0"/>
                <w:sz w:val="18"/>
                <w:szCs w:val="18"/>
              </w:rPr>
              <w:t>支持帧率动态控制功能，当触发报警时，视频录像帧率应自动调整至设定值。</w:t>
            </w:r>
            <w:r>
              <w:rPr>
                <w:rFonts w:hint="eastAsia" w:ascii="宋体" w:hAnsi="宋体" w:cs="宋体"/>
                <w:color w:val="FF0000"/>
                <w:kern w:val="0"/>
                <w:sz w:val="18"/>
                <w:szCs w:val="18"/>
              </w:rPr>
              <w:br w:type="textWrapping"/>
            </w:r>
            <w:r>
              <w:rPr>
                <w:rFonts w:hint="eastAsia" w:ascii="宋体" w:hAnsi="宋体" w:cs="宋体"/>
                <w:color w:val="000000"/>
                <w:kern w:val="0"/>
                <w:sz w:val="18"/>
                <w:szCs w:val="18"/>
              </w:rPr>
              <w:t>需具不小于105dB宽动态。</w:t>
            </w:r>
          </w:p>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在IE浏览器下，具有亮度，对比度，饱和度，锐度，gamma设置选项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支持12行字符叠加，字体对齐方式和叠加位置可设，具有图片叠加到视频画面功能。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支持区域遮盖功能，并能支持8块区域。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支持IP地址获取、IP地址搜索功能。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具有黑白名单功能，支持MAC地址过滤功能。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具有电子防抖、感兴趣区域、SVC可伸缩编码、自动增益、背光补偿、数字降噪、强光抑制、智能红外、断电保护、用户管理、用户登录锁定、日志检索、配置保存等功能。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具有辅助聚焦值显示、场景自适应、区域聚焦、区域曝光、人脸区域曝光等功能。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摄像机能够在-40~70摄氏度，湿度小于93%环境下稳定工作。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在音频编码格式设置为PCM、G711、AAC时，采样频率可设置为48KHz。（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支持IP67、IK10防护等级</w:t>
            </w:r>
          </w:p>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支持DC12V、AC24V供电，电源电压在DC12V±30%或AC24V±30%范围内变化时设备可以正常工作。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红外灯开启时，样机可根据被摄物的距离自动调节红外光功率密度</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大华/英飞拓/天地伟业/三星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防油污摄像机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传感器类型1/2.8英寸CMOS；最大分辨率200W；最大红外距离80米；宽动态120dB；镜头焦距6mm；定焦；音频输入1路,RCA音频输入；音频输出1路,RCA音频输出；H.265支持；报警输入1路；报警输出1路；SD卡支持；星光支持；供电方式DC12+POE；防护等级IP67</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大华/英飞拓/天地伟业/三星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电梯摄像机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传感器类型1/2.8英寸CMOS；最大分辨率200W；最大红外距离20米；宽动态120dB；镜头焦距3.6mm；定焦；MIC1路；H.265支持；SD卡支持；星光支持；供电方式DC12V+POE；防护等级IP67;</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IK10;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大华/英飞拓/天地伟业/三星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200万高清网络人脸枪机</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 xml:space="preserve">摄像机内置靶面尺寸为1/1.8"。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镜头支持自动变焦、自动调节光圈及ABF按键一键聚焦功能。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在1920x1080 @25fps下，码率设定为1Mbps，RJ45输出，清晰度不小于1100TVL。</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★最低照度彩色：0.0002 lx，黑白：0.0001 lx。（公安部型式检验报告证明）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支持滤光片切换功能，摄像机可在白天、夜晚模式下自动切换滤光片。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支持H.264、H.265、MJPEG视频编码格式，其中H.265和H.264都支持Baseline/Main/High Profile。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支持五码流技术，五码流可同时输出，主码流最大1920x1080@60fps，子码流最大704x480@60fps，第三码流最大1920x1080 @60fps，第四码流最大704x480@60fps，第五码流最大1920x1080 @60fps。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支持帧率动态控制功能，当触发报警时，视频录像帧率应自动调整至设定值。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支持智能编码功能，摄像机开启智能编码后，码流节降至原来的1/5。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信噪比不小于65.2dB。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设备与客户端之间用150米网线进行传输，每次在客户端连续发送3000个数据包，每次丢包数应小于1个。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支持IP地址获取和IP地址搜索功能。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支持ARP网关绑定功能。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支持信息标记功能，可通过画笔在IE浏览器下进行标记。（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支持焦距自动归为功能，当焦距位置发生变化时，可自动调节焦距到预设位置。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支持人员特征显示功能，可在客户端软件显示监视区域内人员的性别、年龄段、面部表情和是否戴眼镜。。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支持人脸属性识别功能，可支持年龄、性别、戴眼镜、表情、魅力值、胡子、口罩等多种属性识别。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支持多种肤色人脸检测，可支持检测白人、黄种人、黑人。（公安部型式检验报告证明）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支持人脸抓拍功能检验，人脸抠图类型支持人脸、单寸照、全身照、半身照可选。（公安部型式检验报告证明）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支持人脸抓拍与识别实时展示功能，支持人脸抓拍、人脸属性识别、比对结果可在浏览器web界面实时展示。（公安部型式检验报告证明）（-FR型号支持）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★支持人脸优先功能，可通过菜单开启或关闭人脸优选功能，当开启人脸优先功能后，能够挑选出最好的一张人脸进行抓拍。（公安部型式检验报告证明）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支持人脸遮挡功能检查，支持检出齐刘海遮挡眉毛、头发遮挡眼镜、戴普通眼镜、戴墨镜、戴彩色眼镜、戴帽子、戴头戴式耳机、半边脸、戴口罩、戴口罩侧脸等遮挡方式人脸。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人脸抓拍率不低于95%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支持DC12V电源输出。</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大华/英飞拓/天地伟业/三星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高清镜头</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聚焦方式 ：手动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光圈孔径 ：F1.6</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最小物距 ：0.3m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像面尺寸 ：1/1.8″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接口方式 ：C接口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红外功能 ：支持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定/变焦 ：变焦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光圈驱动方式 ：DC-iris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镜头焦距 ：4-18mm</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大华/英飞拓/天地伟业/三星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护罩</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视窗尺寸为φ68mm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采用铝合金材质，不易生锈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重量为4.0Kg</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采用侧开打开方式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支持最大300mm（L）×97mm（W）×90mm（H）安装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支持自动加热散热功能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支持白光补光功能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适用IPC、同轴各种标枪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支持平面装安装方式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支持IP66防护等级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支持温度范围在-40℃~+60℃，湿度≤90%的环境下工作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支持AC24V电压供电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支持47W额定功耗</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大华/英飞拓/天地伟业/三星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人脸服务器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工业级嵌入式微控制器；嵌入式Linux实时操作系统；网络协议IPv4、IPv6、HTTP、NTP、SADP、DNS、ONVIF；前智能支持；后智能支持；网络带宽接入400Mbps、存储320Mbps、转发320Mbps、回放80Mbps；网络视频接入128；IPC分辨率12M/4K/6M/5M/4M/3M/1080P/1.3M/720P；解码能力5×4K/20×1080P；2路VGA，3路HDMI；最大支持16路回放；视频压缩标准Smart H.265/Smart H.264/H.265/H.264/MPEG4/MJPEG；8个SATA3.0/SAS，单盘容量支持10T；4个RJ45 10/100/1000Mbps自适应以太网口；2个前置USB2.0接口/2个后置USB3.0接口；1路，RCA支持IPC复合音频输入/2路，RCA支持语音对讲输出；报警接口16进8出；1个RS-232/1个RS-485；1个外置eSATA接口；1个电源接口，AC100～240V 50+2% Hz</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大华/英飞拓/天地伟业/三星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H265高清NVR录像机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支持嵌入式Linux系统，工业级嵌入式微控制器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支持WEB、本地GUI界面操作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可接驳支持ONVIF、PSIA、RTSP协议的第三方摄像机和主流品牌摄像机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支持IPv4、IPv6、HTTP、UPnP、NTP、SNMP、PPPoE、DNS、FTP、ONVIF网络协议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支持最大128路网络视频接入，网络性能接入384Mbps，储存384Mbps，转发384Mbps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支持12M/4K/5M/3M/1080P/UXGA/1.3M/720P IPC分辨率接入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支持2×12M/4×4K/6×5M/8×4M/11×3M/16×1080P/32×720P解码(选带8×HDMI解码输出卡可再扩展32个1080P解码能力），最大支持16路视频回放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可扩展4口千兆光口，支持容错、负载均衡和四网分离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支持1+1电源冗余，保证设备稳定运行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支持按时间、按事件等多种方式进行录像的检索、回放、备份，支持图片本地回放与查询；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支持标签自定义功能，设备支持对指定时间的录像进行标签并归档，便于后续査看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支持本机硬盘、网络等存储方式，支持硬盘、外接USB存储设备备份方式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支持设备操作日志、报警日志、系统日志的记录与查询功能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支持断网续传功能，能对前端摄像机断网这段时间内SD卡中的录像回传到NVR</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支持即时回放功能，在预览画面下回放指定通道的录像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支持预览图像与回放图像的电子放大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采用匹配协议，可以通过鼠标控制云台转动、放大、定位等操作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支持远程管理IPC功能，支持对前端IPC远程升级，支持远程对IPC的编码配置修改等操作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支持远程零通道预览功能，可将接入的多路视频图像多画面显示在一路视频图像上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支持切片回放功能，将录像切片等分成若干段视频进行多路同时回放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支持N+M集群管理功能，当主机发生故障时，备机可替换故障主机继续录像，故障恢复后，备机可将存储的录像回传至故障主机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支持盘组管理功能，实现视频录像的定向存储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支持双系统备份功能，支持Normal(正常)和Rescue(救援)两个系统切换</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大华/英飞拓/天地伟业/三星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企业级存储硬盘</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硬盘容量：6TB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接口类型：SATA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接口速率：6Gb/s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缓存：256MB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盘体尺寸：3.5英寸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转速：7200转/分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平均无故障时间140万小时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1481"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希捷/西数/三星/东芝</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办案区</w:t>
            </w:r>
          </w:p>
        </w:tc>
        <w:tc>
          <w:tcPr>
            <w:tcW w:w="5670" w:type="dxa"/>
            <w:tcBorders>
              <w:top w:val="nil"/>
              <w:left w:val="nil"/>
              <w:bottom w:val="single" w:color="auto" w:sz="4" w:space="0"/>
              <w:right w:val="single" w:color="auto" w:sz="4" w:space="0"/>
            </w:tcBorders>
            <w:vAlign w:val="center"/>
          </w:tcPr>
          <w:p>
            <w:pPr>
              <w:jc w:val="left"/>
              <w:rPr>
                <w:rFonts w:ascii="宋体" w:hAnsi="宋体" w:cs="宋体"/>
                <w:color w:val="000000"/>
                <w:kern w:val="0"/>
                <w:sz w:val="18"/>
                <w:szCs w:val="18"/>
              </w:rPr>
            </w:pPr>
          </w:p>
        </w:tc>
        <w:tc>
          <w:tcPr>
            <w:tcW w:w="667" w:type="dxa"/>
            <w:tcBorders>
              <w:top w:val="nil"/>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p>
        </w:tc>
        <w:tc>
          <w:tcPr>
            <w:tcW w:w="450" w:type="dxa"/>
            <w:gridSpan w:val="4"/>
            <w:tcBorders>
              <w:top w:val="nil"/>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200万H.265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红外枪机变焦摄像机</w:t>
            </w:r>
          </w:p>
        </w:tc>
        <w:tc>
          <w:tcPr>
            <w:tcW w:w="5670" w:type="dxa"/>
            <w:tcBorders>
              <w:top w:val="nil"/>
              <w:left w:val="nil"/>
              <w:bottom w:val="single" w:color="auto" w:sz="4" w:space="0"/>
              <w:right w:val="single" w:color="auto" w:sz="4" w:space="0"/>
            </w:tcBorders>
            <w:noWrap/>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采用星光级超低照度200万1/2.8英寸CMOS图像传感器，低照度效果好，图像清晰度高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最大可输出200万(1920x1080)@30fps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支持Smart H.265/H.264H智能编码，ROI区域增强，SVC自适应编码，适用不同带宽和存储环境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最大红外监控距离100米，支持SmartIR，自动调整红外远近补光及画面均匀性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支持走廊模式，宽动态，3D降噪，强光抑制，背光补偿，数字水印，适用不同监控环境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支持多种异常检测，无SD卡，SD卡空间不足，SD卡出错，网络断开，IP冲突，非法访问，电压检测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支持多种智能，场景变更，虚焦侦测，音频异常侦测，绊线入侵，区域入侵，物品遗留，快速移动，停车检测，人员聚集，物品搬移，徘徊检测，人脸检测，热度图，人数统计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支持报警3进2出，音频1进1出，128G SD卡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支持DC12V/POE供电方式，宽压设计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支持IP67，IK10防护等级，防浪涌，防静电，防雷设计</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sz w:val="20"/>
                <w:szCs w:val="20"/>
              </w:rPr>
              <w:t>大华/英飞拓/天地伟业</w:t>
            </w:r>
            <w:r>
              <w:rPr>
                <w:rFonts w:hint="eastAsia" w:ascii="宋体" w:hAnsi="宋体" w:cs="宋体"/>
                <w:color w:val="000000"/>
                <w:kern w:val="0"/>
                <w:sz w:val="18"/>
                <w:szCs w:val="18"/>
              </w:rPr>
              <w:t>/三星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200万H.265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红外半球内置拾音器电动变焦摄像机</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传感器类型 1/2.7英寸CMOS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镜头焦距 2.7mm~12mm 变焦类型 电动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音频输入 一路MIC IN;内置MIC</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在1920x1080 @ 30fps下，码率设定为2Mbps，RJ45输出，清晰度不小于1100TVL。</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最低照度彩色：0.001 lx，黑白：0.0001 lx。</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支持H.265、H.264、MJPEG视频编码格式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支持三码流技术，主码流最高1920x1080@30fps，第三码流最大1920x1080 @ 30fps，子码流704x480@30fps。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支持帧率动态控制功能，当触发报警时，视频录像帧率应自动调整至设定值。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需具不小于105dB宽动态。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在IE浏览器下，具有亮度，对比度，饱和度，锐度，gamma设置选项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支持12行字符叠加，字体对齐方式和叠加位置可设，具有图片叠加到视频画面功能。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支持区域遮盖功能，并能支持8块区域。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支持IP地址获取、IP地址搜索功能。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具有黑白名单功能，支持MAC地址过滤功能。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具有电子防抖、感兴趣区域、SVC可伸缩编码、自动增益、背光补偿、数字降噪、强光抑制、智能红外、断电保护、用户管理、用户登录锁定、日志检索、配置保存等功能。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具有辅助聚焦值显示、场景自适应、区域聚焦、区域曝光、人脸区域曝光等功能。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摄像机能够在-40~70摄氏度，湿度小于93%环境下稳定工作。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在音频编码格式设置为PCM、G711、AAC时，采样频率可设置为48KHz。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支持IP67、IK10防护等级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支持DC12V、AC24V供电，电源电压在DC12V±30%或AC24V±30%范围内变化时设备可以正常工作。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红外灯开启时，样机可根据被摄物的距离自动调节红外光功率密度（公安部检验报告证明）</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sz w:val="20"/>
                <w:szCs w:val="20"/>
              </w:rPr>
              <w:t>大华/英飞拓/天地伟业</w:t>
            </w:r>
            <w:r>
              <w:rPr>
                <w:rFonts w:hint="eastAsia" w:ascii="宋体" w:hAnsi="宋体" w:cs="宋体"/>
                <w:color w:val="000000"/>
                <w:kern w:val="0"/>
                <w:sz w:val="18"/>
                <w:szCs w:val="18"/>
              </w:rPr>
              <w:t>/三星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H265高清NVR录像机</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最大可接入8块接口为SATA的硬盘，单硬盘容量支持最大支持10TB，并支持SSD固态硬盘。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可以对主码流、子码流码分别或同时进行录像；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可分别对三码流控制录像，编码配置支持三码流可选，预览支持三码流切换；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支持盘组管理，可创建容量不同的数据 存储空间，对不同通道分配不同的存储空间， 可查看盘组容量。可设置盘组为“只读”、“可读写”模式；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支持配额管理，对同一通道主码流、辅码流、图片分配到不同的盘组中。"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★即时回放：即时回放时间从5min到2h 可调；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支持将IPC接入配置以CSV格式文件导入或导出本机，CSV格式文件允许用户编辑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支持对同一型号的前端IPC远程批量添加、设备IP修改、设备升级，支持IPC校时，并可查看IPC版本信息；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支持远程对IPC的编码配置修改，可以 设置分辨率、码率、字符叠加、抓图设置等。"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★支持对指定时间的录像进行标签并归 档，便于后续查看，支持4096个标签。单个文件最大支持256个标签。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支持NVR本地与IPC双向语音对讲功能； 支持客户端和NVR本地双向语音对讲功能； 支持客户端与ipc双向语音对讲。</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可创建不同用户的权限组，可分配不同 用户权限（最大支持20个用户组及64个用户）；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用户首次登录时，提示修改管理员密 码，密码字符长度最大支持32位，支持提 示问题密码找回；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每个用户在登入设备时，每次输错密码均会提示剩余密码输入次数，到达输错次数时，账户将被锁定。可以设置密码设置输错次数，对操作权限密码进行管理。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支持用户屏蔽功能，被屏蔽的用户在设定时间内将无法访问设备。"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支持录像回放声音控制，可打开、关闭声音并调节音量，可手动开启停止所有通道录像。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支持在时间轴上鼠标滚轮可控制切换：24小时，12小时，1小时，30min的切换。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支持回放录像剪辑功能，可对录像文件设置时间段进行剪辑"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添加设备过程可以开启IP过滤使能功能，已添加的设备自动过滤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当NVR收到报警联动触发信号时，应能启动设备相应的通道进行联动记录。设备应能预录报警触发前最600s的视(音)频。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支持P2P服务器功能，通过P2P服务器远程对存储服务器进行图像实时监看及录像回放</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sz w:val="20"/>
                <w:szCs w:val="20"/>
              </w:rPr>
              <w:t>大华/英飞拓/天地伟业</w:t>
            </w:r>
            <w:r>
              <w:rPr>
                <w:rFonts w:hint="eastAsia" w:ascii="宋体" w:hAnsi="宋体" w:cs="宋体"/>
                <w:color w:val="000000"/>
                <w:kern w:val="0"/>
                <w:sz w:val="18"/>
                <w:szCs w:val="18"/>
              </w:rPr>
              <w:t>/三星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企业级存储硬盘</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硬盘容量：6TB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接口类型：SATA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接口速率：6Gb/s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缓存：&gt;200MB 提供测试报告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盘体尺寸：3.5英寸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转速：7200转/分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平均无故障时间140万小时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希捷/西数/三星/</w:t>
            </w:r>
            <w:r>
              <w:rPr>
                <w:rFonts w:hint="eastAsia"/>
                <w:sz w:val="20"/>
                <w:szCs w:val="20"/>
              </w:rPr>
              <w:t>东芝</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24盘位云存储节点 </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单控制器；高速缓存标配16G；设备高度4U；支持硬盘24个；1个管理口4个千兆口2个万兆口；1个USB2.0和eSATA复用接口；1个RS232和1个RS485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sz w:val="20"/>
                <w:szCs w:val="20"/>
              </w:rPr>
              <w:t>大华/英飞拓/天地伟业</w:t>
            </w:r>
            <w:r>
              <w:rPr>
                <w:rFonts w:hint="eastAsia" w:ascii="宋体" w:hAnsi="宋体" w:cs="宋体"/>
                <w:color w:val="000000"/>
                <w:kern w:val="0"/>
                <w:sz w:val="18"/>
                <w:szCs w:val="18"/>
              </w:rPr>
              <w:t>/三星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企业级存储硬盘</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希捷Constellation ES.3企业级4TB ST4000NM0035 7200转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企业存储级硬盘 7200转／128M／SATA／6Gb/秒</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希捷/西数/三星/</w:t>
            </w:r>
            <w:r>
              <w:rPr>
                <w:rFonts w:hint="eastAsia"/>
                <w:sz w:val="20"/>
                <w:szCs w:val="20"/>
              </w:rPr>
              <w:t>东芝</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解码器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采用嵌入式Linux系统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8路2盘位网络硬盘录像机；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最大支持8路网络高清信号接入，最大接入带宽64Mbps；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内置2个SATA接口，可支持10TB硬盘;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支持12M/8M/5M/3M/1080P/1.3M/720P视频输出；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支持4K分辨率码流接入并解码输出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可支持H.264和H.265编码格式混和接入解码；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支持1路VGA输出，1路HDMI输出；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支持8路1080P或2路4K视频解码回放；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支持1个网口，1个USB2.0，1个USB3.0接口；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支持按事件查询、回放、备份录像文件，支持图片本地回放与查询；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支持标签定义、查询和录像回放；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支持即时回放，在预览画面下回放指定通道的录像（5～60min可设置）；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支持盘组管理、录像定向存储；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支持对前端IPC远程批量升级，支持远程零通道预览；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支持UPnP(通用即插即用)、DHCP（自动获取IP地址）、HTTP(超文本传输)、Email(邮件服务)、NTP(网络校时)、SNMP(网络管理)、PPPoE(拨号上网)、DDNS(动态域名解析)、FTP(文件传输)；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支持接入乐橙云功能；</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大华/英飞拓/天地伟业/三星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高清液晶监视器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 显示尺寸：49″，背光类型：LED，物理分辨率：1920x1080；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亮度不低于380cd/m2，对比度不低于1200:1。视频输入端口支持：</w:t>
            </w:r>
            <w:r>
              <w:rPr>
                <w:rFonts w:hint="eastAsia" w:ascii="宋体" w:hAnsi="宋体" w:cs="宋体"/>
                <w:kern w:val="0"/>
                <w:sz w:val="18"/>
                <w:szCs w:val="18"/>
              </w:rPr>
              <w:t xml:space="preserve">BNC、DVI、HDMI、VGA；视频输出端口支持：BNC； </w:t>
            </w:r>
            <w:r>
              <w:rPr>
                <w:rFonts w:hint="eastAsia" w:ascii="宋体" w:hAnsi="宋体" w:cs="宋体"/>
                <w:kern w:val="0"/>
                <w:sz w:val="18"/>
                <w:szCs w:val="18"/>
              </w:rPr>
              <w:br w:type="textWrapping"/>
            </w:r>
            <w:r>
              <w:rPr>
                <w:rFonts w:hint="eastAsia" w:ascii="宋体" w:hAnsi="宋体" w:cs="宋体"/>
                <w:kern w:val="0"/>
                <w:sz w:val="18"/>
                <w:szCs w:val="18"/>
              </w:rPr>
              <w:t>可选配解码功能、支持接入公安分局内部监控平台管理</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大华/英飞拓/天地伟业/三星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高清转换器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高清HDMI网络延长转换器</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平台录入及推送</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监控推送至公安智慧监控共享平台与公安内部监控平台对接工作，满足业务应用需求</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万兆光模块</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SFP+,10GBase-SR万兆光模块,850纳米,多模300米 </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481" w:type="dxa"/>
            <w:tcBorders>
              <w:top w:val="nil"/>
              <w:left w:val="nil"/>
              <w:bottom w:val="single" w:color="auto" w:sz="4" w:space="0"/>
              <w:right w:val="single" w:color="auto" w:sz="4" w:space="0"/>
            </w:tcBorders>
            <w:noWrap/>
            <w:vAlign w:val="center"/>
          </w:tcPr>
          <w:p>
            <w:pPr>
              <w:widowControl/>
              <w:jc w:val="center"/>
              <w:rPr>
                <w:kern w:val="0"/>
                <w:sz w:val="20"/>
                <w:szCs w:val="20"/>
              </w:rPr>
            </w:pPr>
            <w:r>
              <w:rPr>
                <w:rFonts w:hint="eastAsia"/>
                <w:sz w:val="20"/>
                <w:szCs w:val="20"/>
              </w:rPr>
              <w:t>华为</w:t>
            </w:r>
            <w:r>
              <w:rPr>
                <w:rFonts w:hint="eastAsia" w:ascii="宋体" w:hAnsi="宋体" w:cs="宋体"/>
                <w:color w:val="000000"/>
                <w:kern w:val="0"/>
                <w:sz w:val="18"/>
                <w:szCs w:val="18"/>
              </w:rPr>
              <w:t>/</w:t>
            </w:r>
            <w:r>
              <w:rPr>
                <w:rFonts w:hint="eastAsia"/>
                <w:sz w:val="20"/>
                <w:szCs w:val="20"/>
              </w:rPr>
              <w:t>华三</w:t>
            </w:r>
            <w:r>
              <w:rPr>
                <w:rFonts w:hint="eastAsia" w:ascii="宋体" w:hAnsi="宋体" w:cs="宋体"/>
                <w:color w:val="000000"/>
                <w:kern w:val="0"/>
                <w:sz w:val="18"/>
                <w:szCs w:val="18"/>
              </w:rPr>
              <w:t>/</w:t>
            </w:r>
            <w:r>
              <w:rPr>
                <w:rFonts w:hint="eastAsia"/>
                <w:sz w:val="20"/>
                <w:szCs w:val="20"/>
              </w:rPr>
              <w:t>迪普</w:t>
            </w:r>
            <w:r>
              <w:rPr>
                <w:rFonts w:hint="eastAsia" w:ascii="宋体" w:hAnsi="宋体" w:cs="宋体"/>
                <w:color w:val="000000"/>
                <w:kern w:val="0"/>
                <w:sz w:val="18"/>
                <w:szCs w:val="18"/>
              </w:rPr>
              <w:t>/博达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配套跳纤</w:t>
            </w:r>
          </w:p>
        </w:tc>
        <w:tc>
          <w:tcPr>
            <w:tcW w:w="5670" w:type="dxa"/>
            <w:tcBorders>
              <w:top w:val="nil"/>
              <w:left w:val="nil"/>
              <w:bottom w:val="single" w:color="auto" w:sz="4" w:space="0"/>
              <w:right w:val="single" w:color="auto" w:sz="4" w:space="0"/>
            </w:tcBorders>
            <w:vAlign w:val="center"/>
          </w:tcPr>
          <w:p>
            <w:pPr>
              <w:jc w:val="left"/>
              <w:rPr>
                <w:rFonts w:ascii="宋体" w:hAnsi="宋体" w:cs="宋体"/>
                <w:color w:val="000000"/>
                <w:kern w:val="0"/>
                <w:sz w:val="18"/>
                <w:szCs w:val="18"/>
              </w:rPr>
            </w:pP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集中供电箱</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一体化集中监控供电电源箱，AC22V输入、6组DC12V12A输出，含空开及接线端子</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8981"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r>
              <w:rPr>
                <w:rFonts w:hint="eastAsia" w:ascii="宋体" w:hAnsi="宋体" w:cs="宋体"/>
                <w:b/>
                <w:bCs/>
                <w:color w:val="0000FF"/>
                <w:kern w:val="0"/>
                <w:sz w:val="28"/>
                <w:szCs w:val="28"/>
              </w:rPr>
              <w:t>二、前进***审讯系统清单</w:t>
            </w:r>
          </w:p>
        </w:tc>
        <w:tc>
          <w:tcPr>
            <w:tcW w:w="1700" w:type="dxa"/>
            <w:gridSpan w:val="3"/>
            <w:tcBorders>
              <w:top w:val="nil"/>
              <w:left w:val="nil"/>
              <w:bottom w:val="single" w:color="auto" w:sz="4" w:space="0"/>
              <w:right w:val="single" w:color="auto" w:sz="4" w:space="0"/>
            </w:tcBorders>
            <w:noWrap/>
            <w:vAlign w:val="center"/>
          </w:tcPr>
          <w:p>
            <w:pPr>
              <w:widowControl/>
              <w:jc w:val="left"/>
              <w:rPr>
                <w:rFonts w:ascii="宋体" w:hAnsi="宋体" w:cs="宋体"/>
                <w:color w:val="0000FF"/>
                <w:kern w:val="0"/>
                <w:sz w:val="22"/>
                <w:szCs w:val="22"/>
              </w:rPr>
            </w:pPr>
            <w:r>
              <w:rPr>
                <w:rFonts w:hint="eastAsia" w:ascii="宋体" w:hAnsi="宋体" w:cs="宋体"/>
                <w:color w:val="0000FF"/>
                <w:kern w:val="0"/>
                <w:sz w:val="22"/>
                <w:szCs w:val="22"/>
              </w:rPr>
              <w:t>　</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200万H.265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红外半球内置拾音器摄像机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传感器类型 1/2.7英寸CMOS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镜头焦距 2.7mm~12mm 变焦类型 电动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音频输入 一路MIC IN;内置MIC</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在1920x1080 @ 30fps下，码率设定为2Mbps，RJ45输出，清晰度不小于1100TVL。</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最低照度彩色：0.001 lx，黑白：0.0001 lx。</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支持H.265、H.264、MJPEG视频编码格式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★支持三码流技术，主码流最高1920x1080@30fps，第三码流最大1920x1080 @ 30fps，子码流704x480@30fps。（投标文件中需提供公安部型式检验报告证明资料复印件）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支持帧率动态控制功能，当触发报警时，视频录像帧率应自动调整至设定值。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需具不小于105dB宽动态。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在IE浏览器下，具有亮度，对比度，饱和度，锐度，gamma设置选项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支持12行字符叠加，字体对齐方式和叠加位置可设，具有图片叠加到视频画面功能。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支持区域遮盖功能，并能支持8块区域。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支持IP地址获取、IP地址搜索功能。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具有黑白名单功能，支持MAC地址过滤功能。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具有电子防抖、感兴趣区域、SVC可伸缩编码、自动增益、背光补偿、数字降噪、强光抑制、智能红外、断电保护、用户管理、用户登录锁定、日志检索、配置保存等功能。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具有辅助聚焦值显示、场景自适应、区域聚焦、区域曝光、人脸区域曝光等功能。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摄像机能够在-40~70摄氏度，湿度小于93%环境下稳定工作。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在音频编码格式设置为PCM、G711、AAC时，采样频率可设置为48KHz。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支持IP67、IK10防护等级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支持DC12V、AC24V供电，电源电压在DC12V±30%或AC24V±30%范围内变化时设备可以正常工作。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红外灯开启时，样机可根据被摄物的距离自动调节红外光功率密度</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sz w:val="20"/>
                <w:szCs w:val="20"/>
              </w:rPr>
              <w:t>大华/英飞拓/天地伟业</w:t>
            </w:r>
            <w:r>
              <w:rPr>
                <w:rFonts w:hint="eastAsia" w:ascii="宋体" w:hAnsi="宋体" w:cs="宋体"/>
                <w:color w:val="000000"/>
                <w:kern w:val="0"/>
                <w:sz w:val="18"/>
                <w:szCs w:val="18"/>
              </w:rPr>
              <w:t>/三星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拾音器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音频传输距离:3000米；灵敏度:-40dB；信噪比:70dB；频率响应:20Hz~20k Hz；电源电压:直流稳压电源DC 12V(9V-18V)；电源电流: 20mA；工作环境温度: -25℃~70℃；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481"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大华/艾力特/天地伟业</w:t>
            </w:r>
            <w:r>
              <w:rPr>
                <w:rFonts w:hint="eastAsia" w:ascii="宋体" w:hAnsi="宋体" w:cs="宋体"/>
                <w:color w:val="000000"/>
                <w:kern w:val="0"/>
                <w:sz w:val="18"/>
                <w:szCs w:val="18"/>
              </w:rPr>
              <w:t>/三星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温湿度显示屏        </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壁挂式安装，可视距离25米，按钮调整：温度±10 ℃， 湿度±10％，AC100V-260V15W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高精度温湿度传感器，采用美国MAXIM原装传感器。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符合ModBus标准通信协议，方便接入第三方平台。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使用485接口通讯，适合大部分使用环境。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使用大屏红色LED来显示时间和温湿度信息，直观简洁。</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481" w:type="dxa"/>
            <w:tcBorders>
              <w:top w:val="nil"/>
              <w:left w:val="nil"/>
              <w:bottom w:val="single" w:color="auto" w:sz="4" w:space="0"/>
              <w:right w:val="single" w:color="auto" w:sz="4" w:space="0"/>
            </w:tcBorders>
            <w:noWrap/>
            <w:vAlign w:val="center"/>
          </w:tcPr>
          <w:p>
            <w:pPr>
              <w:widowControl/>
              <w:jc w:val="center"/>
              <w:rPr>
                <w:kern w:val="0"/>
                <w:sz w:val="20"/>
                <w:szCs w:val="20"/>
              </w:rPr>
            </w:pPr>
            <w:r>
              <w:rPr>
                <w:rFonts w:hint="eastAsia"/>
                <w:sz w:val="20"/>
                <w:szCs w:val="20"/>
              </w:rPr>
              <w:t>大华/艾力特/天地伟业</w:t>
            </w:r>
            <w:r>
              <w:rPr>
                <w:rFonts w:hint="eastAsia" w:ascii="宋体" w:hAnsi="宋体" w:cs="宋体"/>
                <w:color w:val="000000"/>
                <w:kern w:val="0"/>
                <w:sz w:val="18"/>
                <w:szCs w:val="18"/>
              </w:rPr>
              <w:t>/三星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高清审讯主机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主处理器 工业级嵌入式微控制器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操作系统 嵌入式Linux实时操作系统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图像 图像压缩标准 H.265/H.264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图像分辨率 支持1080P、720P、D1、VGA、CIF、QCIF图像分辨率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画中画 支持1、2、3、4路画中画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硬盘 硬盘个数 内置2个sata接口，可挂接1-2个硬盘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网络接口 2个RJ45 10M/100M/1000M自适应以太网口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光驱 内置2个DVD或者蓝光光驱，可进行双光盘同时刻录和轮流刻录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符合高检统一标准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多光盘实时刻录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重点信息标示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支持DVD或蓝光光驱刻录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卷宗信息叠加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画中画功能成熟应用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温湿度信息叠加，清晰显示</w:t>
            </w:r>
            <w:r>
              <w:rPr>
                <w:rFonts w:hint="eastAsia" w:ascii="宋体" w:hAnsi="宋体" w:cs="宋体"/>
                <w:color w:val="000000"/>
                <w:kern w:val="0"/>
                <w:sz w:val="18"/>
                <w:szCs w:val="18"/>
              </w:rPr>
              <w:br w:type="textWrapping"/>
            </w:r>
            <w:r>
              <w:rPr>
                <w:rFonts w:hint="eastAsia" w:ascii="宋体" w:hAnsi="宋体" w:cs="宋体"/>
                <w:kern w:val="0"/>
                <w:sz w:val="18"/>
                <w:szCs w:val="18"/>
              </w:rPr>
              <w:t>需无缝接入公安分局现有审讯系统</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大华/英飞拓/天地伟业/三星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企业级存储硬盘</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硬盘容量：6TB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接口类型：SATA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接口速率：6Gb/s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缓存：&gt;200MB 提供测试报告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盘体尺寸：3.5英寸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转速：7200转/分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平均无故障时间140万小时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希捷/西数/三星/</w:t>
            </w:r>
            <w:r>
              <w:rPr>
                <w:rFonts w:hint="eastAsia"/>
                <w:sz w:val="20"/>
                <w:szCs w:val="20"/>
              </w:rPr>
              <w:t>东芝</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有线耳机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支持3.5MM立体声音频输出，支持MIC输入</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审讯机柜</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600*600*1600  喷塑定制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集中供电箱</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一体化集中监控供电电源箱，AC22V输入、6组DC12V12A输出，含空开及接线端子</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8981"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r>
              <w:rPr>
                <w:rFonts w:hint="eastAsia" w:ascii="宋体" w:hAnsi="宋体" w:cs="宋体"/>
                <w:b/>
                <w:bCs/>
                <w:color w:val="0000FF"/>
                <w:kern w:val="0"/>
                <w:sz w:val="28"/>
                <w:szCs w:val="28"/>
              </w:rPr>
              <w:t>三、前进***网络系统及无线WiFi网络AP覆盖系统清单</w:t>
            </w:r>
          </w:p>
        </w:tc>
        <w:tc>
          <w:tcPr>
            <w:tcW w:w="1700"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FF"/>
                <w:kern w:val="0"/>
                <w:sz w:val="18"/>
                <w:szCs w:val="18"/>
              </w:rPr>
            </w:pPr>
            <w:r>
              <w:rPr>
                <w:rFonts w:hint="eastAsia" w:ascii="宋体" w:hAnsi="宋体" w:cs="宋体"/>
                <w:color w:val="0000FF"/>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公安网千兆网管交换机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传输速率 10/100/1000Mbps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背板带宽 336Gbps/2.56Tbps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包转发率 87Mbps/144Mbps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MAC地址表 16K</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端口数量 52个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端口描述 48个10/100/1000Base-T以太网端口，4个千兆SFP</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481"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sz w:val="20"/>
                <w:szCs w:val="20"/>
              </w:rPr>
              <w:t>华为</w:t>
            </w:r>
            <w:r>
              <w:rPr>
                <w:rFonts w:hint="eastAsia" w:ascii="宋体" w:hAnsi="宋体" w:cs="宋体"/>
                <w:color w:val="000000"/>
                <w:kern w:val="0"/>
                <w:sz w:val="18"/>
                <w:szCs w:val="18"/>
              </w:rPr>
              <w:t>/</w:t>
            </w:r>
            <w:r>
              <w:rPr>
                <w:rFonts w:hint="eastAsia"/>
                <w:sz w:val="20"/>
                <w:szCs w:val="20"/>
              </w:rPr>
              <w:t>华三</w:t>
            </w:r>
            <w:r>
              <w:rPr>
                <w:rFonts w:hint="eastAsia" w:ascii="宋体" w:hAnsi="宋体" w:cs="宋体"/>
                <w:color w:val="000000"/>
                <w:kern w:val="0"/>
                <w:sz w:val="18"/>
                <w:szCs w:val="18"/>
              </w:rPr>
              <w:t>/</w:t>
            </w:r>
            <w:r>
              <w:rPr>
                <w:rFonts w:hint="eastAsia"/>
                <w:sz w:val="20"/>
                <w:szCs w:val="20"/>
              </w:rPr>
              <w:t>迪普</w:t>
            </w:r>
            <w:r>
              <w:rPr>
                <w:rFonts w:hint="eastAsia" w:ascii="宋体" w:hAnsi="宋体" w:cs="宋体"/>
                <w:color w:val="000000"/>
                <w:kern w:val="0"/>
                <w:sz w:val="18"/>
                <w:szCs w:val="18"/>
              </w:rPr>
              <w:t>/博达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物联网千兆网管交换机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传输速率 10/100/1000Mbps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背板带宽 336Gbps/2.56Tbps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包转发率 87Mbps/144Mbps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MAC地址表 16K</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端口数量 52个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端口描述 48个10/100/1000Base-T以太网端口，4个千兆SFP</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sz w:val="20"/>
                <w:szCs w:val="20"/>
              </w:rPr>
              <w:t>华为</w:t>
            </w:r>
            <w:r>
              <w:rPr>
                <w:rFonts w:hint="eastAsia" w:ascii="宋体" w:hAnsi="宋体" w:cs="宋体"/>
                <w:color w:val="000000"/>
                <w:kern w:val="0"/>
                <w:sz w:val="18"/>
                <w:szCs w:val="18"/>
              </w:rPr>
              <w:t>/</w:t>
            </w:r>
            <w:r>
              <w:rPr>
                <w:rFonts w:hint="eastAsia"/>
                <w:sz w:val="20"/>
                <w:szCs w:val="20"/>
              </w:rPr>
              <w:t>华三</w:t>
            </w:r>
            <w:r>
              <w:rPr>
                <w:rFonts w:hint="eastAsia" w:ascii="宋体" w:hAnsi="宋体" w:cs="宋体"/>
                <w:color w:val="000000"/>
                <w:kern w:val="0"/>
                <w:sz w:val="18"/>
                <w:szCs w:val="18"/>
              </w:rPr>
              <w:t>/</w:t>
            </w:r>
            <w:r>
              <w:rPr>
                <w:rFonts w:hint="eastAsia"/>
                <w:sz w:val="20"/>
                <w:szCs w:val="20"/>
              </w:rPr>
              <w:t>迪普</w:t>
            </w:r>
            <w:r>
              <w:rPr>
                <w:rFonts w:hint="eastAsia" w:ascii="宋体" w:hAnsi="宋体" w:cs="宋体"/>
                <w:color w:val="000000"/>
                <w:kern w:val="0"/>
                <w:sz w:val="18"/>
                <w:szCs w:val="18"/>
              </w:rPr>
              <w:t>/博达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外网交换机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传输速率 10/100/1000Mbps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背板带宽 336Gbps/2.56Tbps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包转发率 87Mbps/144Mbps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MAC地址表 16K</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端口数量 52个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端口描述 48个10/100/1000Base-T以太网端口，4个千兆SFP</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sz w:val="20"/>
                <w:szCs w:val="20"/>
              </w:rPr>
              <w:t>华为</w:t>
            </w:r>
            <w:r>
              <w:rPr>
                <w:rFonts w:hint="eastAsia" w:ascii="宋体" w:hAnsi="宋体" w:cs="宋体"/>
                <w:color w:val="000000"/>
                <w:kern w:val="0"/>
                <w:sz w:val="18"/>
                <w:szCs w:val="18"/>
              </w:rPr>
              <w:t>/</w:t>
            </w:r>
            <w:r>
              <w:rPr>
                <w:rFonts w:hint="eastAsia"/>
                <w:sz w:val="20"/>
                <w:szCs w:val="20"/>
              </w:rPr>
              <w:t>华三</w:t>
            </w:r>
            <w:r>
              <w:rPr>
                <w:rFonts w:hint="eastAsia" w:ascii="宋体" w:hAnsi="宋体" w:cs="宋体"/>
                <w:color w:val="000000"/>
                <w:kern w:val="0"/>
                <w:sz w:val="18"/>
                <w:szCs w:val="18"/>
              </w:rPr>
              <w:t>/</w:t>
            </w:r>
            <w:r>
              <w:rPr>
                <w:rFonts w:hint="eastAsia"/>
                <w:sz w:val="20"/>
                <w:szCs w:val="20"/>
              </w:rPr>
              <w:t>迪普</w:t>
            </w:r>
            <w:r>
              <w:rPr>
                <w:rFonts w:hint="eastAsia" w:ascii="宋体" w:hAnsi="宋体" w:cs="宋体"/>
                <w:color w:val="000000"/>
                <w:kern w:val="0"/>
                <w:sz w:val="18"/>
                <w:szCs w:val="18"/>
              </w:rPr>
              <w:t>/博达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外网交换机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传输速率 10/100/1000Mbps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背板带宽 336Gbps/2.56Tbps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包转发率 51Mbps/108Mbps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MAC地址表 16K</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端口数量 28个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端口描述 24个10/100/1000Base-T以太网端口，4个千兆SFP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sz w:val="20"/>
                <w:szCs w:val="20"/>
              </w:rPr>
              <w:t>华为</w:t>
            </w:r>
            <w:r>
              <w:rPr>
                <w:rFonts w:hint="eastAsia" w:ascii="宋体" w:hAnsi="宋体" w:cs="宋体"/>
                <w:color w:val="000000"/>
                <w:kern w:val="0"/>
                <w:sz w:val="18"/>
                <w:szCs w:val="18"/>
              </w:rPr>
              <w:t>/</w:t>
            </w:r>
            <w:r>
              <w:rPr>
                <w:rFonts w:hint="eastAsia"/>
                <w:sz w:val="20"/>
                <w:szCs w:val="20"/>
              </w:rPr>
              <w:t>华三</w:t>
            </w:r>
            <w:r>
              <w:rPr>
                <w:rFonts w:hint="eastAsia" w:ascii="宋体" w:hAnsi="宋体" w:cs="宋体"/>
                <w:color w:val="000000"/>
                <w:kern w:val="0"/>
                <w:sz w:val="18"/>
                <w:szCs w:val="18"/>
              </w:rPr>
              <w:t>/</w:t>
            </w:r>
            <w:r>
              <w:rPr>
                <w:rFonts w:hint="eastAsia"/>
                <w:sz w:val="20"/>
                <w:szCs w:val="20"/>
              </w:rPr>
              <w:t>迪普</w:t>
            </w:r>
            <w:r>
              <w:rPr>
                <w:rFonts w:hint="eastAsia" w:ascii="宋体" w:hAnsi="宋体" w:cs="宋体"/>
                <w:color w:val="000000"/>
                <w:kern w:val="0"/>
                <w:sz w:val="18"/>
                <w:szCs w:val="18"/>
              </w:rPr>
              <w:t>/博达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外网路由器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路由器类型企业级路由器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网络协议PPP CHAP，PAP，MS-CHAP，PPPoE，DHCP客户端，DHCP服务器，NAPT，NTP，DDNS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传输速率10/100/1000Mbps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广域网接口1个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局域网接口8个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其它端口1个USB接口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1个Console口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功能参数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防火墙内置防火墙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Qos支持支持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VPN支持支持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网络安全静态ARP(IP&lt;-&gt;MAC地址绑定)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DHCP授权ARP(自动绑定DHCP分配的IP)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ARP防攻击/免费ARP</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防止TCP syn扫描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防止Stealth FIN扫描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防止TCP Xmas Tree扫描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防止TCP Null扫描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防止UDP扫描功能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防止Land 攻击功能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防止Smurf攻击功能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防止Wi</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网络管理基于Web的用户管理接口(远程管理/本地管理)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SNMP V1/V2/V3</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电源电压AC 100-240V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电源功率＜20W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产品认证CCC认证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产品尺寸330×230×4mm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其它特点上网行为管理</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sz w:val="20"/>
                <w:szCs w:val="20"/>
              </w:rPr>
              <w:t>华为</w:t>
            </w:r>
            <w:r>
              <w:rPr>
                <w:rFonts w:hint="eastAsia" w:ascii="宋体" w:hAnsi="宋体" w:cs="宋体"/>
                <w:color w:val="000000"/>
                <w:kern w:val="0"/>
                <w:sz w:val="18"/>
                <w:szCs w:val="18"/>
              </w:rPr>
              <w:t>/</w:t>
            </w:r>
            <w:r>
              <w:rPr>
                <w:rFonts w:hint="eastAsia"/>
                <w:sz w:val="20"/>
                <w:szCs w:val="20"/>
              </w:rPr>
              <w:t>华三</w:t>
            </w:r>
            <w:r>
              <w:rPr>
                <w:rFonts w:hint="eastAsia" w:ascii="宋体" w:hAnsi="宋体" w:cs="宋体"/>
                <w:color w:val="000000"/>
                <w:kern w:val="0"/>
                <w:sz w:val="18"/>
                <w:szCs w:val="18"/>
              </w:rPr>
              <w:t>/</w:t>
            </w:r>
            <w:r>
              <w:rPr>
                <w:rFonts w:hint="eastAsia"/>
                <w:sz w:val="20"/>
                <w:szCs w:val="20"/>
              </w:rPr>
              <w:t>迪普</w:t>
            </w:r>
            <w:r>
              <w:rPr>
                <w:rFonts w:hint="eastAsia" w:ascii="宋体" w:hAnsi="宋体" w:cs="宋体"/>
                <w:color w:val="000000"/>
                <w:kern w:val="0"/>
                <w:sz w:val="18"/>
                <w:szCs w:val="18"/>
              </w:rPr>
              <w:t>/博达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无线控制器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自动发现并统一管理AP，最多可管理300个AP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AC旁挂组网，无需更改现有网络架构，部署方便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统一配置无线网络，支持SSID与Tag VLAN映射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支持MAC认证、Portal认证、微信连Wi-Fi等多种用户接入认证方式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支持AP负载均衡，均匀分配AP连接的无线客户端数量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禁止弱信号客户端接入和踢除弱信号客户端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AP LED灯开启和关闭</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sz w:val="20"/>
                <w:szCs w:val="20"/>
              </w:rPr>
              <w:t>华为</w:t>
            </w:r>
            <w:r>
              <w:rPr>
                <w:rFonts w:hint="eastAsia" w:ascii="宋体" w:hAnsi="宋体" w:cs="宋体"/>
                <w:color w:val="000000"/>
                <w:kern w:val="0"/>
                <w:sz w:val="18"/>
                <w:szCs w:val="18"/>
              </w:rPr>
              <w:t>/</w:t>
            </w:r>
            <w:r>
              <w:rPr>
                <w:rFonts w:hint="eastAsia"/>
                <w:sz w:val="20"/>
                <w:szCs w:val="20"/>
              </w:rPr>
              <w:t>华三</w:t>
            </w:r>
            <w:r>
              <w:rPr>
                <w:rFonts w:hint="eastAsia" w:ascii="宋体" w:hAnsi="宋体" w:cs="宋体"/>
                <w:color w:val="000000"/>
                <w:kern w:val="0"/>
                <w:sz w:val="18"/>
                <w:szCs w:val="18"/>
              </w:rPr>
              <w:t>/</w:t>
            </w:r>
            <w:r>
              <w:rPr>
                <w:rFonts w:hint="eastAsia"/>
                <w:sz w:val="20"/>
                <w:szCs w:val="20"/>
              </w:rPr>
              <w:t>迪普</w:t>
            </w:r>
            <w:r>
              <w:rPr>
                <w:rFonts w:hint="eastAsia" w:ascii="宋体" w:hAnsi="宋体" w:cs="宋体"/>
                <w:color w:val="000000"/>
                <w:kern w:val="0"/>
                <w:sz w:val="18"/>
                <w:szCs w:val="18"/>
              </w:rPr>
              <w:t>/博达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双频无线吸顶式AP</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11AC双频并发，最高无线速率可达1167Mbps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无线发射功率线性可调，根据需求调整信号覆盖范围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专业双频天线，提升覆盖区域信号质量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频谱导航，引导双频客户端优先连接到5GHz频段上，使2.4GHz和5GHz两个频段负载更均衡，保障网络性能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简易吸顶式安装，支持802.3af/at标准PoE、12VDC两种供电方式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胖瘦一体，不同环境选择不同工作模式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独立硬件保护电路，可自动恢复工作异常AP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sz w:val="20"/>
                <w:szCs w:val="20"/>
              </w:rPr>
              <w:t>华为</w:t>
            </w:r>
            <w:r>
              <w:rPr>
                <w:rFonts w:hint="eastAsia" w:ascii="宋体" w:hAnsi="宋体" w:cs="宋体"/>
                <w:color w:val="000000"/>
                <w:kern w:val="0"/>
                <w:sz w:val="18"/>
                <w:szCs w:val="18"/>
              </w:rPr>
              <w:t>/</w:t>
            </w:r>
            <w:r>
              <w:rPr>
                <w:rFonts w:hint="eastAsia"/>
                <w:sz w:val="20"/>
                <w:szCs w:val="20"/>
              </w:rPr>
              <w:t>华三</w:t>
            </w:r>
            <w:r>
              <w:rPr>
                <w:rFonts w:hint="eastAsia" w:ascii="宋体" w:hAnsi="宋体" w:cs="宋体"/>
                <w:color w:val="000000"/>
                <w:kern w:val="0"/>
                <w:sz w:val="18"/>
                <w:szCs w:val="18"/>
              </w:rPr>
              <w:t>/</w:t>
            </w:r>
            <w:r>
              <w:rPr>
                <w:rFonts w:hint="eastAsia"/>
                <w:sz w:val="20"/>
                <w:szCs w:val="20"/>
              </w:rPr>
              <w:t>迪普</w:t>
            </w:r>
            <w:r>
              <w:rPr>
                <w:rFonts w:hint="eastAsia" w:ascii="宋体" w:hAnsi="宋体" w:cs="宋体"/>
                <w:color w:val="000000"/>
                <w:kern w:val="0"/>
                <w:sz w:val="18"/>
                <w:szCs w:val="18"/>
              </w:rPr>
              <w:t>/博达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企业VPN路由器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双核CPU，256MB DDRIII高速内存，性能强劲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5个千兆网口，1WAN+3WAN/LAN+1LAN</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IPSec/PPTP/L2TP VPN，远程通信更安全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Web认证、微信连Wi-Fi、PPPoE服务器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上网行为管理（移动APP管控/桌面应用管控/网站过滤/行为审计）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内置AC功能，统一管理TP-LINK企业AP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负载均衡与线路备份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内外网ARP防护及常见攻击防护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智能IP带宽管理及连接数限制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sz w:val="20"/>
                <w:szCs w:val="20"/>
              </w:rPr>
              <w:t>华为</w:t>
            </w:r>
            <w:r>
              <w:rPr>
                <w:rFonts w:hint="eastAsia" w:ascii="宋体" w:hAnsi="宋体" w:cs="宋体"/>
                <w:color w:val="000000"/>
                <w:kern w:val="0"/>
                <w:sz w:val="18"/>
                <w:szCs w:val="18"/>
              </w:rPr>
              <w:t>/</w:t>
            </w:r>
            <w:r>
              <w:rPr>
                <w:rFonts w:hint="eastAsia"/>
                <w:sz w:val="20"/>
                <w:szCs w:val="20"/>
              </w:rPr>
              <w:t>华三</w:t>
            </w:r>
            <w:r>
              <w:rPr>
                <w:rFonts w:hint="eastAsia" w:ascii="宋体" w:hAnsi="宋体" w:cs="宋体"/>
                <w:color w:val="000000"/>
                <w:kern w:val="0"/>
                <w:sz w:val="18"/>
                <w:szCs w:val="18"/>
              </w:rPr>
              <w:t>/</w:t>
            </w:r>
            <w:r>
              <w:rPr>
                <w:rFonts w:hint="eastAsia"/>
                <w:sz w:val="20"/>
                <w:szCs w:val="20"/>
              </w:rPr>
              <w:t>迪普</w:t>
            </w:r>
            <w:r>
              <w:rPr>
                <w:rFonts w:hint="eastAsia" w:ascii="宋体" w:hAnsi="宋体" w:cs="宋体"/>
                <w:color w:val="000000"/>
                <w:kern w:val="0"/>
                <w:sz w:val="18"/>
                <w:szCs w:val="18"/>
              </w:rPr>
              <w:t>/博达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千兆SFP光模块</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SFP-GE-LX-SM1310 千兆单模光纤模块 10KM</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sz w:val="20"/>
                <w:szCs w:val="20"/>
              </w:rPr>
              <w:t>华为</w:t>
            </w:r>
            <w:r>
              <w:rPr>
                <w:rFonts w:hint="eastAsia" w:ascii="宋体" w:hAnsi="宋体" w:cs="宋体"/>
                <w:color w:val="000000"/>
                <w:kern w:val="0"/>
                <w:sz w:val="18"/>
                <w:szCs w:val="18"/>
              </w:rPr>
              <w:t>/</w:t>
            </w:r>
            <w:r>
              <w:rPr>
                <w:rFonts w:hint="eastAsia"/>
                <w:sz w:val="20"/>
                <w:szCs w:val="20"/>
              </w:rPr>
              <w:t>华三</w:t>
            </w:r>
            <w:r>
              <w:rPr>
                <w:rFonts w:hint="eastAsia" w:ascii="宋体" w:hAnsi="宋体" w:cs="宋体"/>
                <w:color w:val="000000"/>
                <w:kern w:val="0"/>
                <w:sz w:val="18"/>
                <w:szCs w:val="18"/>
              </w:rPr>
              <w:t>/</w:t>
            </w:r>
            <w:r>
              <w:rPr>
                <w:rFonts w:hint="eastAsia"/>
                <w:sz w:val="20"/>
                <w:szCs w:val="20"/>
              </w:rPr>
              <w:t>迪普</w:t>
            </w:r>
            <w:r>
              <w:rPr>
                <w:rFonts w:hint="eastAsia" w:ascii="宋体" w:hAnsi="宋体" w:cs="宋体"/>
                <w:color w:val="000000"/>
                <w:kern w:val="0"/>
                <w:sz w:val="18"/>
                <w:szCs w:val="18"/>
              </w:rPr>
              <w:t>/博达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服务器机柜</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标准:符合ANSI/EIA RS-310-D、IEC297-2、DIN41494；PART1、DIN41494;PART7、GB/T3047.2-92；兼容ETSI标准。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前后带圆形通风孔门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单开钣金后门；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网孔通风率为75%；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前后门免焊加强筋结构，美观牢固；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前后门满足左右开；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前后门可改为双开。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承载:静载800KG(带支架)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防护等级:IP20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主要材料:方孔条与安装梁：耐指纹敷铝锌板；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SPCC优质冷轧板；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配标垂直走线槽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尺寸：深度</w:t>
            </w:r>
            <w:r>
              <w:rPr>
                <w:rFonts w:ascii="宋体" w:hAnsi="宋体" w:cs="宋体"/>
                <w:color w:val="000000"/>
                <w:kern w:val="0"/>
                <w:sz w:val="18"/>
                <w:szCs w:val="18"/>
              </w:rPr>
              <w:t>6</w:t>
            </w:r>
            <w:r>
              <w:rPr>
                <w:rFonts w:hint="eastAsia" w:ascii="宋体" w:hAnsi="宋体" w:cs="宋体"/>
                <w:color w:val="000000"/>
                <w:kern w:val="0"/>
                <w:sz w:val="18"/>
                <w:szCs w:val="18"/>
              </w:rPr>
              <w:t>00*宽度800*高度2000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图腾、DELL、金盾、一舟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PDU</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20位多用孔PDU电源 SPD防雷机柜电源插座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标配：3米6平方国标线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标配：32A工业连接器，含子母头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标配：20位10A国标3孔插座、含防雷模块</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接地导线</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BVR16  铜芯电线多芯软铜线 黄绿双色</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接地网排</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在机房及监控室静电地板下布设环型防雷接地网排系统</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防雷接地</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在地下连续打入不少于5根、1.5米深的接地桩子相连 </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网格桥架</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网格型弱点上桥架，高100M、宽500MM、含吊加，各类连接件、下线护板</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机柜配线</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含每机柜1路市电+1路UPS供电</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集中供电箱</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一体化集中监控供电电源箱，AC22V输入、6组DC12V12A输出，含空开及接线端子</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公安网专用跳线</w:t>
            </w:r>
          </w:p>
        </w:tc>
        <w:tc>
          <w:tcPr>
            <w:tcW w:w="5670" w:type="dxa"/>
            <w:tcBorders>
              <w:top w:val="nil"/>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250</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8964"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r>
              <w:rPr>
                <w:rFonts w:hint="eastAsia" w:ascii="宋体" w:hAnsi="宋体" w:cs="宋体"/>
                <w:b/>
                <w:bCs/>
                <w:color w:val="0000FF"/>
                <w:kern w:val="0"/>
                <w:sz w:val="28"/>
                <w:szCs w:val="28"/>
              </w:rPr>
              <w:t>四、前进***一卡通系统清单</w:t>
            </w:r>
          </w:p>
        </w:tc>
        <w:tc>
          <w:tcPr>
            <w:tcW w:w="1717"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FF"/>
                <w:kern w:val="0"/>
                <w:sz w:val="18"/>
                <w:szCs w:val="18"/>
              </w:rPr>
            </w:pPr>
            <w:r>
              <w:rPr>
                <w:rFonts w:hint="eastAsia" w:ascii="宋体" w:hAnsi="宋体" w:cs="宋体"/>
                <w:color w:val="0000FF"/>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113" w:type="dxa"/>
            <w:gridSpan w:val="8"/>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车辆识别道闸</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自动升降控制板</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配套</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海康/车杰/捷顺/九竹</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车检器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 具有485接口、2路继电器开关量输出接口；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支持接入2路线圈；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 线圈工作频率：28KHz～120KHz；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 支持灵敏度可调：有4级可设（高、中高、中低、低）；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 最快响应时间：3.5ms 参数表体现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6 线圈故障自恢复：在线圈故障排除后，检测器能够自行恢复到检测状态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7 线圈故障恢复时间：≤100ms；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8 线圈故障检测时间：＜10ms；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9 输出IO方式：继电器开关量输出；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10 工作电压：AC220V；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11 工作环境温度：-40℃～80℃；工作环境湿度：＜93%，无冷凝；    </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海康/车杰/捷顺/九竹</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出入口补光抓拍单元</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 摄像机类型：200万像素逐行扫描CMOS高清智能摄像机；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 传感器类型：1/3”ProgressiveScanCMOS； </w:t>
            </w:r>
            <w:r>
              <w:rPr>
                <w:rFonts w:hint="eastAsia" w:ascii="宋体" w:hAnsi="宋体" w:cs="宋体"/>
                <w:color w:val="000000"/>
                <w:kern w:val="0"/>
                <w:sz w:val="18"/>
                <w:szCs w:val="18"/>
              </w:rPr>
              <w:br w:type="textWrapping"/>
            </w:r>
            <w:r>
              <w:rPr>
                <w:rFonts w:hint="eastAsia" w:ascii="宋体" w:hAnsi="宋体" w:cs="宋体"/>
                <w:kern w:val="0"/>
                <w:sz w:val="18"/>
                <w:szCs w:val="18"/>
              </w:rPr>
              <w:t xml:space="preserve">3 </w:t>
            </w:r>
            <w:r>
              <w:rPr>
                <w:rFonts w:hint="eastAsia" w:ascii="宋体" w:hAnsi="宋体" w:cs="宋体"/>
                <w:kern w:val="0"/>
                <w:sz w:val="20"/>
                <w:szCs w:val="20"/>
              </w:rPr>
              <w:t>★</w:t>
            </w:r>
            <w:r>
              <w:rPr>
                <w:rFonts w:hint="eastAsia" w:ascii="宋体" w:hAnsi="宋体" w:cs="宋体"/>
                <w:kern w:val="0"/>
                <w:sz w:val="18"/>
                <w:szCs w:val="18"/>
              </w:rPr>
              <w:t>最小照度：彩色0.002Lux@(F1.4,AGCON，关闭帧积累，彩色模式)，黑白0.0002Lux@(F1.4,AGCON，关闭帧积累，黑白模式)；（提供权威部门出具的检测报告）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 快门：1/30秒至1/100,000秒；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5 支持ICR切换；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6 视频压缩标准：H.264/M_JPEG；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7 压缩输出码率：32Kbps~16Mbps；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8 图像分辨率：1920*1592(含OSD叠加)；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9 视频亮度自适应：可以根据光源亮度变化，将视频图像亮度自动调节至正常显示；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10 宽动态范围：95dB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11 三码流输出功能检查，三码流同时并输出，可达到：主码流：分辨率1920*1080,帧率25帧/秒，码率4Mbps第一辅码流：分辨率1920*1080,帧率25帧/秒，码率4Mbps第二辅码流：分辨率1920*1080,帧率25帧/秒，码率4Mbps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12 支持饱和度,亮度,对比度,白平衡,增益,3D降噪通过软件可调；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 接口：1个RJ4510M/100M/1000M自适应以太网口,1个RS-485接口，1个RS-232接口,4路IO输入接口,2路IO输出接口，3路继电器输出，1路CVBS接口，1路音频输入，1路音频输出，内置8GTF卡，2个内置LED灯；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14 三码流输出：可同时输出主码流、子码流及第三路码流三种不同分辨率的视频图像；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15 样机在正常工作的情况下，当网络断开时，可将抓拍图片和录像文件存储于样机内置SD卡内，当网络恢复时，可继续上传图片和录像文件至客户端；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 车辆捕获率：白天≥99%，夜间≥99%；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 车牌识别率：白天≥99%，夜间≥99%；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 可识别出视频中机动车车牌略微水平倾斜的车牌号码；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19 支持7种常见车型识别，包括轿车、客车、面包车、大货车、小货车、中型客车、SUV/MPV，在天气晴朗无雾，号牌无遮挡，无污损的条件下白天环境光不低于200lux，晚上不高于30lux，白天准确率≥90%，夜间≥85；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20 可在抓拍图片上叠加时间、地点、车道号、车长、车身颜色，车牌号码、车标，车型等信息；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 支持黑白名单上传功能：可通过IE浏览器或客户端软件将黑白名单上传样机；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22 外接道闸控制：布防状态下可根据存储黑白名单自动控制外接道闸开/关；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23 工作温度：-40℃~80℃,湿度小于93%(无凝结)；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24 电源供应：AC220V±25%；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25 防护等级：IP67；</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26 功耗：22WMAX； </w:t>
            </w:r>
            <w:r>
              <w:rPr>
                <w:rFonts w:hint="eastAsia" w:ascii="宋体" w:hAnsi="宋体" w:cs="宋体"/>
                <w:color w:val="000000"/>
                <w:kern w:val="0"/>
                <w:sz w:val="18"/>
                <w:szCs w:val="18"/>
              </w:rPr>
              <w:br w:type="textWrapping"/>
            </w:r>
            <w:r>
              <w:rPr>
                <w:rFonts w:hint="eastAsia" w:ascii="宋体" w:hAnsi="宋体" w:cs="宋体"/>
                <w:kern w:val="0"/>
                <w:sz w:val="18"/>
                <w:szCs w:val="18"/>
              </w:rPr>
              <w:t>过车数据需接入公安分局车辆数据平台</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海康/车杰/捷顺/九竹</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出入口补光抓拍单元立柱</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立柱高度：1.3米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立柱直径：60mm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1.3米处可安装一体机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0.5米处可安装“四行LED显示屏”</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海康/车杰/捷顺/九竹</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进出口LED屏</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室外显示屏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工作电压:AC220V±10％，50Hz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LED亮度:1200cd</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LED角度:110°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外框材料:铁框喷塑（显示部分为深色钢化玻璃）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安装方式:背面抱箍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喇叭规格:4Ω10W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防护等级:IP65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点距:P4.75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基色:1红1绿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下行通讯方式:RJ45/RS485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显示方式:即显、左移、上移、上展开、下展开等显示方式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字符显示:支持GB2312字符集，支持16×16点阵常用汉字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485通讯速率:RS485：57600 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通讯距离:RS485：1200米 RJ45：120米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功耗:最大50W，平均30W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显示面积:高304mm*宽304mm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外形尺寸:宽364mm*高484mm*厚60mm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功能特性：四行，四字，双色，带语音模块及音箱，出入口室外显示屏，P4.75，抱箍安装</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海康/车杰/捷顺/九竹</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出入口控制终端</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网络接入功能：可直接接入网络。同时支持6路10M/100M/1000M网口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交换机功能：具有多口交换机功能，能够使用5个10M/100M/1000M自适应RJ45接口进行网络交换功能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双IP地址检查：可设置两个独立的IP地址。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校时功能：可通过WEB、NTP、客户端软件模块进行校时。可自动对连接的IP摄像机等设备进行校时。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单机模式：能够进行单机收费，单机发卡，单机配置收费规则等。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级联功能：能够支持5个终端同时运行管理独立停车场，无需平台。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角色以及角色权限管理功能：支持增加、修改、删除角色，并给不同角色分配不同的权限。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用户管理功能：支持用户的增加、删除、修改功能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非管理员用户的单点用户功能：非管理员用户只能在一台终端上进行登录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自定义LED显示文字：在LED的配置界面中，支持配置该LED在空闲时显示的文字，如：“欢迎光临”、“XXX停车场欢迎您！”等。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固定车过期提醒功能：支持声、光、软件三重报警功能，使管理人员和车主都能及时了解包期规则。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车卡资料管理功能：支持增加、修改和删除车卡资料。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无卡固定车和无车固定卡放行功能：支持无卡固定车和无车固定卡放行，车卡一致时该类型默认通过。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收费管理功能：支持收费规则和减免规则的增加、删除、修改功能。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车卡资料与布控信息的导入导出：支持车卡资料和布控信息的导入和导出。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信息备份与还原功能：支持车卡分类、抱起规则、收费规则、减免规则的备份和还原。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查询结果导出功能：支持通行信息、过车收费信息、场内信息、缴费信息、交接班信息、操作记录信息、行人信息查询结果的导出。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入场匹配与模糊匹配功能：能够实现收费时入场车辆的自动匹配，若无法匹配则系统能自动切换到模糊匹配模式进行模糊匹配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数据查询功能：支持过车信息、收费信息、缴费信息、操作记录、行人信息、场内信息、卡片信息、交接班信息等多种数据查询。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设备校时功能：能够统一按照数据库时间对设备所连接的设备进行定期校时，校时周期默认180秒。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自定义播报内容：自定义车辆入场和车辆出场的语音播报内容，如入场播报“欢迎光临”，出场播报“一路顺风”等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白天夜晚语音播报音量自动调节：为防止夜间语音音量大扰民，可配置白天和夜晚播报音量大小。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车辆充值扣费功能：支持添加储值车，车辆到中心充值，车辆出厂后可以支持扣除余额出场。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支付宝刷条形码支付：车辆出场后，收费员可使用扫码枪扫车主的支付宝二维码实现移动支付放行。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微信扫码支付：车辆出场后，收费员可使用扫码抢扫车主的微信条形码实现移动支付放行。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数据库备份功能检验：支持双数据库热机备份功能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数据统计功能检验：支持按月、日、年统计收费情况、车流量，支持按交接班统计收费情况。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卡片工本费配置功能：能够进行工本费的修改操作，配置后可以作为工本费的凭据。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强制放行规则配置功能：能够进行强制放行规则的增删改操作，配置后能够进行强制规则进行收费。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USB接口：4个USB3.0接口，USB接口可以连接键盘、鼠标等USB外设并正常控制；USB接口可以连接存储设备并进行数据传输。</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海康/车杰/捷顺/九竹</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液晶监视器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监视器为：22寸液晶监视器；亮度达到300cd/㎡，对比度达到1000:1。输入接口：VGAX1，HDMIX1，BNCX1。</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海康/车杰/捷顺/九竹</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交换机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8口以太网交换机 10/100M自适应</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sz w:val="20"/>
                <w:szCs w:val="20"/>
              </w:rPr>
              <w:t>华为</w:t>
            </w:r>
            <w:r>
              <w:rPr>
                <w:rFonts w:hint="eastAsia" w:ascii="宋体" w:hAnsi="宋体" w:cs="宋体"/>
                <w:color w:val="000000"/>
                <w:kern w:val="0"/>
                <w:sz w:val="18"/>
                <w:szCs w:val="18"/>
              </w:rPr>
              <w:t>/</w:t>
            </w:r>
            <w:r>
              <w:rPr>
                <w:rFonts w:hint="eastAsia"/>
                <w:sz w:val="20"/>
                <w:szCs w:val="20"/>
              </w:rPr>
              <w:t>华三</w:t>
            </w:r>
            <w:r>
              <w:rPr>
                <w:rFonts w:hint="eastAsia" w:ascii="宋体" w:hAnsi="宋体" w:cs="宋体"/>
                <w:color w:val="000000"/>
                <w:kern w:val="0"/>
                <w:sz w:val="18"/>
                <w:szCs w:val="18"/>
              </w:rPr>
              <w:t>/</w:t>
            </w:r>
            <w:r>
              <w:rPr>
                <w:rFonts w:hint="eastAsia"/>
                <w:sz w:val="20"/>
                <w:szCs w:val="20"/>
              </w:rPr>
              <w:t>迪普</w:t>
            </w:r>
            <w:r>
              <w:rPr>
                <w:rFonts w:hint="eastAsia" w:ascii="宋体" w:hAnsi="宋体" w:cs="宋体"/>
                <w:color w:val="000000"/>
                <w:kern w:val="0"/>
                <w:sz w:val="18"/>
                <w:szCs w:val="18"/>
              </w:rPr>
              <w:t>/博达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切割地感线圈</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Style w:val="53"/>
                <w:rFonts w:hint="default"/>
              </w:rPr>
              <w:t>含线圏线FVN2.5mm2 上海交联尼龙护套线</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组</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红外对射管</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四光束</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30W有源音响</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1.采用全频带单元，声音清晰明亮；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2.额定功率：30W  定压输入：70V-100V；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3.灵敏度(1m/1W)：92dB±3dB，频率范围：200Hz-10KHz，喇叭单元：4"；</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音频播放触发控制器</w:t>
            </w:r>
          </w:p>
        </w:tc>
        <w:tc>
          <w:tcPr>
            <w:tcW w:w="5670" w:type="dxa"/>
            <w:tcBorders>
              <w:top w:val="nil"/>
              <w:left w:val="nil"/>
              <w:bottom w:val="single" w:color="auto" w:sz="4" w:space="0"/>
              <w:right w:val="single" w:color="auto" w:sz="4" w:space="0"/>
            </w:tcBorders>
          </w:tcPr>
          <w:p>
            <w:pPr>
              <w:jc w:val="left"/>
              <w:rPr>
                <w:rFonts w:ascii="宋体" w:hAnsi="宋体" w:cs="宋体"/>
                <w:color w:val="000000"/>
                <w:kern w:val="0"/>
                <w:sz w:val="18"/>
                <w:szCs w:val="18"/>
              </w:rPr>
            </w:pPr>
            <w:r>
              <w:rPr>
                <w:rFonts w:hint="eastAsia" w:ascii="宋体" w:hAnsi="宋体" w:cs="宋体"/>
                <w:color w:val="000000"/>
                <w:kern w:val="0"/>
                <w:sz w:val="18"/>
                <w:szCs w:val="18"/>
              </w:rPr>
              <w:t>音频播放触发控制器</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0113" w:type="dxa"/>
            <w:gridSpan w:val="8"/>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门禁系统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门禁控制器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处理器：32位处理器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管控门数：2门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通讯方式：上行TCP/IP、RS485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读卡器接口：RS485和Wiegand双通讯接口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存储容量：10万张卡和30万记录存储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工作电压：自带机箱和供电电源（AC220V输入），工作电压DC 12V，功耗≤4W（不带负载）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机箱尺寸：345mm（高）x370mm（宽）x90mm（厚）</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大华/海康/车杰/捷顺</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门禁控制器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处理器：32位处理器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管控门数：4门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通讯方式：上行TCP/IP、RS485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读卡器接口：RS485和Wiegand双通讯接口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存储容量：10万张卡和30万记录存储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工作电压：自带机箱和供电电源（AC220V输入），工作电压DC 12V，功耗≤4W（不带负载）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机箱尺寸：345mm（高）x370mm（宽）x90mm（厚）</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大华/海康/车杰/捷顺</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读卡器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带密码键盘</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 读卡器应具有32位高速处理器，性能强劲。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同时支持RS485和韦根协议。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 符合ISO14443-A标准规范，内置Mifare读卡模块，读卡频率13.56MHz，支持Mifare卡识别，可读取Mifare卡号或Mifare卡内容，扇区采用加密处理，密钥可自定义，保障信息安全。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 卡片识别距离：3~8CM。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 读卡器带有按键，能支持不少于连续6500次的按动，并不产生故障和输入失效现象。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6 读卡器支持在线升级。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7 读卡器内置看门狗程序，能够检控设备的异常运行状态，并执行修复处理，确保设备长期运行。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8 读卡器支持防拆报警功能。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9 具有防水等级IP64。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10 设备应具有CE、FCC、公安部型式检测报告。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11 工作电压DC12V，功耗≤2W。 </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大华/海康/车杰/捷顺</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人脸识别门禁</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操作系统 嵌入式Linux操作系统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显示屏 5英寸LCD触摸屏，分辨率480*800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摄像头 200万像素广角宽动态摄像头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可刷卡类型 13．56MHz，Mifare、CPU序列号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刷脸验证时间 1：N人脸比对时间≤1S/人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人脸指纹容量 3000张人脸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存储容量 5000张卡，10万条事件记录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通讯方式 10/100Mbps自适应网口、WiFi、ehome公网、可定制3G/4G</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物理接口 RS485、韦根、USB、门磁、门铃、开门按钮、防拆、报警输入、报警输出、门锁</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大华/海康/车杰/捷顺</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人员通道广告门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控制方式 TCP/IP， RS485，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检测对数 3对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通行频率 30--40人/分钟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通道宽度 600mm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电源 220VAC 50/60Hz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工作温度 -10℃--＋55℃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工作湿度 5％--80％无凝露</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通道框体 国标1.2mm厚+304不锈钢拉丝</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电子开门按钮</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尺寸：长86x宽86x厚32(mm)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结构：塑料面板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性能：最大耐电流6a 电压250v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输出：常开或常闭</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闭门器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材质 铸铝</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调节区间 2段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可调力度与否 可调力度</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门禁锁</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根据 现场情况选定电动灵性锁或磁力锁，带门磁</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大华/海康/车杰/捷顺</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卡片发卡器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 符合ISO14443、ISO7816标准。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 读卡频率：13.56MHz，125KHz。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 支持发卡类型：Mifare卡卡号、Mifare卡内容、CPU卡、CPU卡内容、身份证序列号、ID(EM)卡卡号。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 设备支持一个USB2.0接口免驱。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5 设备支持1个ISO7816尺寸的接触式智能卡和2个Sim卡尺寸的PSAM卡座。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6 工作温度满足-20℃~+60℃。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7 外形尺寸：117mm×67.5mm×14.3mm。  </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大华/海康/车杰/捷顺</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人像采集器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200万USB摄像机  DC5V, 带音频</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大华/海康/车杰/捷顺</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IC卡</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IC M1卡、含印刷</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平台授权</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在现有IVMS-8700E平台上按门禁节点增量式授权</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集中供电箱</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一体化集中监控供电电源箱，AC22V输入、6组DC12V12A输出，含空开及接线端子</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8981"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r>
              <w:rPr>
                <w:rFonts w:hint="eastAsia" w:ascii="宋体" w:hAnsi="宋体" w:cs="宋体"/>
                <w:b/>
                <w:bCs/>
                <w:color w:val="0000FF"/>
                <w:kern w:val="0"/>
                <w:sz w:val="28"/>
                <w:szCs w:val="28"/>
              </w:rPr>
              <w:t>五、前进***LED电子屏显示系统清单</w:t>
            </w:r>
          </w:p>
        </w:tc>
        <w:tc>
          <w:tcPr>
            <w:tcW w:w="1700"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FF"/>
                <w:kern w:val="0"/>
                <w:sz w:val="18"/>
                <w:szCs w:val="18"/>
              </w:rPr>
            </w:pPr>
            <w:r>
              <w:rPr>
                <w:rFonts w:hint="eastAsia" w:ascii="宋体" w:hAnsi="宋体" w:cs="宋体"/>
                <w:color w:val="0000FF"/>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113" w:type="dxa"/>
            <w:gridSpan w:val="8"/>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b/>
                <w:color w:val="000000"/>
                <w:kern w:val="0"/>
                <w:sz w:val="18"/>
                <w:szCs w:val="18"/>
              </w:rPr>
              <w:t>二层食堂</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控制电脑</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I5-3470/4G/1T/DVDRW/1G/DOS 20LCD</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D</w:t>
            </w:r>
            <w:r>
              <w:rPr>
                <w:rFonts w:ascii="宋体" w:hAnsi="宋体" w:cs="宋体"/>
                <w:color w:val="000000"/>
                <w:kern w:val="0"/>
                <w:sz w:val="18"/>
                <w:szCs w:val="18"/>
              </w:rPr>
              <w:t>ELL</w:t>
            </w:r>
            <w:r>
              <w:rPr>
                <w:rFonts w:hint="eastAsia" w:ascii="宋体" w:hAnsi="宋体" w:cs="宋体"/>
                <w:color w:val="000000"/>
                <w:kern w:val="0"/>
                <w:sz w:val="18"/>
                <w:szCs w:val="18"/>
              </w:rPr>
              <w:t>、华为、联想、惠普</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双基色屏体</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模组尺寸：宽304mm×高152mm ，物理点间距：4.75mm ，物理密度：43221点/㎡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发光点颜色： 1R1G ，LED封装方式：SMD2121 ，模组分辨率：宽64点*高32点，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模组最大功耗：18.1w，驱动方式：1/16扫描恒流驱动，最佳视距：≥5M，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视角：水平120度，垂直120度，工作温度： -20℃ ～ +55℃ ，平均功耗： 195W/m2 ，最大功耗：≤380W/m2 ，刷新频率：≥120帧/秒 平均无故障时间：≥8000小时，灯管寿命：50000小时，屏幕亮度≥1000cd/㎡</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Style w:val="54"/>
                <w:rFonts w:hint="default"/>
              </w:rPr>
              <w:t>m</w:t>
            </w:r>
            <w:r>
              <w:rPr>
                <w:rStyle w:val="55"/>
                <w:rFonts w:hint="default"/>
              </w:rPr>
              <w:t>2</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利亚德/大华/强力巨彩/中达电通</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钢架结构及包边</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铝合金包边</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Style w:val="54"/>
                <w:rFonts w:hint="default"/>
              </w:rPr>
              <w:t>m</w:t>
            </w:r>
            <w:r>
              <w:rPr>
                <w:rStyle w:val="55"/>
                <w:rFonts w:hint="default"/>
              </w:rPr>
              <w:t>2</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控制系统</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板载100M网络接口，网络通信支持单机直连/局域网连接/广域网连接；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板载USB接口，支持U盘下载播放文件；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多节目自由分区显示内容，与实际显示屏配套，可完美衔接</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控制软件</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LED播放专业编辑软件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开关电源</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5V40A 具备保护功能：过载保护、过压保护、短路保护</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其他</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含工程所需所有附件及各类接插件等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0113" w:type="dxa"/>
            <w:gridSpan w:val="8"/>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二层会议主席台上方</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控制电脑</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I5-3470/4G/1T/DVDRW/1G/DOS 20LCD</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w:t>
            </w:r>
            <w:r>
              <w:rPr>
                <w:rFonts w:ascii="宋体" w:hAnsi="宋体" w:cs="宋体"/>
                <w:color w:val="000000"/>
                <w:kern w:val="0"/>
                <w:sz w:val="18"/>
                <w:szCs w:val="18"/>
              </w:rPr>
              <w:t>ELL</w:t>
            </w:r>
            <w:r>
              <w:rPr>
                <w:rFonts w:hint="eastAsia" w:ascii="宋体" w:hAnsi="宋体" w:cs="宋体"/>
                <w:color w:val="000000"/>
                <w:kern w:val="0"/>
                <w:sz w:val="18"/>
                <w:szCs w:val="18"/>
              </w:rPr>
              <w:t>、华为、联想、惠普</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双基色屏体</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模组尺寸：宽304mm×高152mm ，物理点间距：4.75mm ，物理密度：43221点/㎡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发光点颜色： 1R1G ，LED封装方式：SMD2121 ，模组分辨率：宽64点*高32点，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模组最大功耗：18.1w，驱动方式：1/16扫描恒流驱动，最佳视距：≥5M，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视角：水平120度，垂直120度，工作温度： -20℃ ～ +55℃ ，平均功耗： 195W/m2 ，最大功耗：≤380W/m2 ，刷新频率：≥120帧/秒 平均无故障时间：≥8000小时，灯管寿命：50000小时，屏幕亮度≥1000cd/㎡</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Style w:val="54"/>
                <w:rFonts w:hint="default"/>
              </w:rPr>
              <w:t>m</w:t>
            </w:r>
            <w:r>
              <w:rPr>
                <w:rStyle w:val="55"/>
                <w:rFonts w:hint="default"/>
              </w:rPr>
              <w:t>2</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利亚德/大华/强力巨彩/中达电通</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钢架结构及包边</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铝合金包边</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Style w:val="54"/>
                <w:rFonts w:hint="default"/>
              </w:rPr>
              <w:t>m</w:t>
            </w:r>
            <w:r>
              <w:rPr>
                <w:rStyle w:val="55"/>
                <w:rFonts w:hint="default"/>
              </w:rPr>
              <w:t>2</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控制系统</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板载100M网络接口，网络通信支持单机直连/局域网连接/广域网连接；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板载USB接口，支持U盘下载播放文件；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多节目自由分区显示内容，与实际显示屏配套，可完美衔接</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tc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控制软件</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LED播放专业编辑软件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tc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开关电源</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5V40A 具备保护功能：过载保护、过压保护、短路保护</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其他</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含工程所需所有附件及各类接插件等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0113" w:type="dxa"/>
            <w:gridSpan w:val="8"/>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交互式屏</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6</w:t>
            </w:r>
            <w:r>
              <w:rPr>
                <w:rFonts w:hint="eastAsia" w:ascii="宋体" w:hAnsi="宋体" w:cs="宋体"/>
                <w:kern w:val="0"/>
                <w:sz w:val="18"/>
                <w:szCs w:val="18"/>
              </w:rPr>
              <w:t>寸交互式屏</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安装位置：一层接警大厅</w:t>
            </w:r>
            <w:r>
              <w:rPr>
                <w:rFonts w:hint="eastAsia" w:ascii="宋体" w:hAnsi="宋体" w:cs="宋体"/>
                <w:kern w:val="0"/>
                <w:sz w:val="18"/>
                <w:szCs w:val="18"/>
              </w:rPr>
              <w:br w:type="textWrapping"/>
            </w:r>
            <w:r>
              <w:rPr>
                <w:rFonts w:hint="eastAsia" w:ascii="宋体" w:hAnsi="宋体" w:cs="宋体"/>
                <w:kern w:val="0"/>
                <w:sz w:val="18"/>
                <w:szCs w:val="18"/>
              </w:rPr>
              <w:t>整机尺寸 1961x1183x115.6mm   包装尺寸 2105x1305x240mm</w:t>
            </w:r>
            <w:r>
              <w:rPr>
                <w:rFonts w:hint="eastAsia" w:ascii="宋体" w:hAnsi="宋体" w:cs="宋体"/>
                <w:kern w:val="0"/>
                <w:sz w:val="18"/>
                <w:szCs w:val="18"/>
              </w:rPr>
              <w:br w:type="textWrapping"/>
            </w:r>
            <w:r>
              <w:rPr>
                <w:rFonts w:hint="eastAsia" w:ascii="宋体" w:hAnsi="宋体" w:cs="宋体"/>
                <w:kern w:val="0"/>
                <w:sz w:val="18"/>
                <w:szCs w:val="18"/>
              </w:rPr>
              <w:t>面板尺寸 86 寸   面板类型 LED</w:t>
            </w:r>
            <w:r>
              <w:rPr>
                <w:rFonts w:hint="eastAsia" w:ascii="宋体" w:hAnsi="宋体" w:cs="宋体"/>
                <w:kern w:val="0"/>
                <w:sz w:val="18"/>
                <w:szCs w:val="18"/>
              </w:rPr>
              <w:br w:type="textWrapping"/>
            </w:r>
            <w:r>
              <w:rPr>
                <w:rFonts w:hint="eastAsia" w:ascii="宋体" w:hAnsi="宋体" w:cs="宋体"/>
                <w:kern w:val="0"/>
                <w:sz w:val="18"/>
                <w:szCs w:val="18"/>
              </w:rPr>
              <w:t>显示区域 1876.2mm(H)×1057mm(V)   点距 0.4298 mm x 0.4298 mm</w:t>
            </w:r>
            <w:r>
              <w:rPr>
                <w:rFonts w:hint="eastAsia" w:ascii="宋体" w:hAnsi="宋体" w:cs="宋体"/>
                <w:kern w:val="0"/>
                <w:sz w:val="18"/>
                <w:szCs w:val="18"/>
              </w:rPr>
              <w:br w:type="textWrapping"/>
            </w:r>
            <w:r>
              <w:rPr>
                <w:rFonts w:hint="eastAsia" w:ascii="宋体" w:hAnsi="宋体" w:cs="宋体"/>
                <w:kern w:val="0"/>
                <w:sz w:val="18"/>
                <w:szCs w:val="18"/>
              </w:rPr>
              <w:t>最佳分辨率 3840*2160RGB   亮度 ≥350cd/㎡</w:t>
            </w:r>
            <w:r>
              <w:rPr>
                <w:rFonts w:hint="eastAsia" w:ascii="宋体" w:hAnsi="宋体" w:cs="宋体"/>
                <w:kern w:val="0"/>
                <w:sz w:val="18"/>
                <w:szCs w:val="18"/>
              </w:rPr>
              <w:br w:type="textWrapping"/>
            </w:r>
            <w:r>
              <w:rPr>
                <w:rFonts w:hint="eastAsia" w:ascii="宋体" w:hAnsi="宋体" w:cs="宋体"/>
                <w:kern w:val="0"/>
                <w:sz w:val="18"/>
                <w:szCs w:val="18"/>
              </w:rPr>
              <w:t>对比度 4000：1（Typ.）透射   可视角度 178°,178°</w:t>
            </w:r>
            <w:r>
              <w:rPr>
                <w:rFonts w:hint="eastAsia" w:ascii="宋体" w:hAnsi="宋体" w:cs="宋体"/>
                <w:kern w:val="0"/>
                <w:sz w:val="18"/>
                <w:szCs w:val="18"/>
              </w:rPr>
              <w:br w:type="textWrapping"/>
            </w:r>
            <w:r>
              <w:rPr>
                <w:rFonts w:hint="eastAsia" w:ascii="宋体" w:hAnsi="宋体" w:cs="宋体"/>
                <w:kern w:val="0"/>
                <w:sz w:val="18"/>
                <w:szCs w:val="18"/>
              </w:rPr>
              <w:t>响应时间 8ms   显示色彩 8 bit/1.07 Billion</w:t>
            </w:r>
            <w:r>
              <w:rPr>
                <w:rFonts w:hint="eastAsia" w:ascii="宋体" w:hAnsi="宋体" w:cs="宋体"/>
                <w:kern w:val="0"/>
                <w:sz w:val="18"/>
                <w:szCs w:val="18"/>
              </w:rPr>
              <w:br w:type="textWrapping"/>
            </w:r>
            <w:r>
              <w:rPr>
                <w:rFonts w:hint="eastAsia" w:ascii="宋体" w:hAnsi="宋体" w:cs="宋体"/>
                <w:kern w:val="0"/>
                <w:sz w:val="18"/>
                <w:szCs w:val="18"/>
              </w:rPr>
              <w:t>背光源 LED   屏寿命 ≥50000 小时</w:t>
            </w:r>
            <w:r>
              <w:rPr>
                <w:rFonts w:hint="eastAsia" w:ascii="宋体" w:hAnsi="宋体" w:cs="宋体"/>
                <w:kern w:val="0"/>
                <w:sz w:val="18"/>
                <w:szCs w:val="18"/>
              </w:rPr>
              <w:br w:type="textWrapping"/>
            </w:r>
            <w:r>
              <w:rPr>
                <w:rFonts w:hint="eastAsia" w:ascii="宋体" w:hAnsi="宋体" w:cs="宋体"/>
                <w:kern w:val="0"/>
                <w:sz w:val="18"/>
                <w:szCs w:val="18"/>
              </w:rPr>
              <w:t>功率 ≦350W   工作电压 100V-240VAC,50/60Hz</w:t>
            </w:r>
            <w:r>
              <w:rPr>
                <w:rFonts w:hint="eastAsia" w:ascii="宋体" w:hAnsi="宋体" w:cs="宋体"/>
                <w:kern w:val="0"/>
                <w:sz w:val="18"/>
                <w:szCs w:val="18"/>
              </w:rPr>
              <w:br w:type="textWrapping"/>
            </w:r>
            <w:r>
              <w:rPr>
                <w:rFonts w:hint="eastAsia" w:ascii="宋体" w:hAnsi="宋体" w:cs="宋体"/>
                <w:kern w:val="0"/>
                <w:sz w:val="18"/>
                <w:szCs w:val="18"/>
              </w:rPr>
              <w:t>扬声器 8Ω/10W*2   净重/毛重 86KG±5KG/102 KG±5KG</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大华\三星\夏虹\夏普</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壁挂支架</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交互式屏壁装支架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投屏器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无线同屏，支持双向传输</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85寸信息发布屏</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安装位置：一层门厅、一层办证大厅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支持视频、图片、文本、音频等格式文件的网络下载和解码播放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支持四种播放优先级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可即时发布紧急信息、突发事件、插播媒体文件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支持文件下载自动更新，下载校验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支持任意分屏，用户可根据实际的视频或图片大小来设置分屏的大小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支持自动NTP对时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支持定时开关机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支持走马灯文本的透明度设置，支持多个走马灯同时播放，支持多行文本的播放，自定区域的大小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支持流畅的字幕播放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可通过USB接口外扩WI-FI  3G 以支持无线应用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支持各种主流分辨率，最高可达1920×1080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支持横屏/竖屏展示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集中控制、集中管理、无需人工换卡、插卡、实现不同场所，不同时间段能够播放不同的信息内容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可通过有线网络集中管理，也可通过无线网络管理，还可通过U盘导出以适应无网络环境下的应用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支持服务器端远程升级，通过管理平台即可完成终端软件升级</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大华\三星\夏虹\夏普</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65寸电视机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安装位置：食堂阳光厨房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屏幕尺寸：65英寸 屏幕分辨率：超高清4K HDR显示：支持 屏幕比例：16:9 基于 Android 4.2及以上 智能操作系统 双核/四核 高性能处理器 1G/ 2G DDRIII主内存 8G/16G大容量闪存，可外置SD卡 百兆有线网络接口 分辨率：3840×2160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TCL/创维/夏虹/海信</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壁挂支架</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配套壁挂支架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信息发布盒</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rPr>
              <w:t>核心参数：四核CPU 基于 Android 4.2及以上 智能操作系统 运行内存：2GB 存储内存：8GB 边框材质：钣金 支持USB3.0接口 支持HDMI高清输出 支持独立音频数出接口</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HDMI成品线</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HDMI线</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noWrap/>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8997" w:type="dxa"/>
            <w:gridSpan w:val="7"/>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r>
              <w:rPr>
                <w:rFonts w:hint="eastAsia" w:ascii="宋体" w:hAnsi="宋体" w:cs="宋体"/>
                <w:b/>
                <w:bCs/>
                <w:color w:val="0000FF"/>
                <w:kern w:val="0"/>
                <w:sz w:val="28"/>
                <w:szCs w:val="28"/>
              </w:rPr>
              <w:t>六、前进***UPS不间断电源系统清单</w:t>
            </w:r>
          </w:p>
        </w:tc>
        <w:tc>
          <w:tcPr>
            <w:tcW w:w="168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FF"/>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20KVA UPS主机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输入电压 3*380VAC/400VAC（3Ph+N）</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输入电压范围 210-475VAC（L-L）</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输出电压/输出失真度 200V/208V/220V/230V/240V ±1 %, THDU&lt;3%</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输入频率范围 45Hz-64Hz, 50/60Hz 自适应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效率 Up to 90%（在线模式）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过载能力 负载≤125%，维持1min，≤150%维持30s，≥150% 立即转旁路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并机 最大并机3台（可选）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功率因数 0.9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转换时间 零毫秒转换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电池电压*2 192VDC(可选204VDC/216VDC/228VDC/240VDC)</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充电电流*3 4.5 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电池形式 阀控式铅酸蓄电池</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山特/商宇/施耐德/艾迪威</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电池组</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12V 100AH 免维护蓄电池</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节</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山特/商宇/施耐德/艾迪威</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电池箱</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100AH 16节电池组机箱</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山特/商宇/施耐德/艾迪威</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进出配电</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含进出两套配电箱，内含总控开关，分控开关，接线端子及连接导线等</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配电箱</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定制配电箱，含空开设备</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承重地梁</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与电池箱尺寸配套，支撑电池组、均匀分布电池组重量</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8997" w:type="dxa"/>
            <w:gridSpan w:val="7"/>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r>
              <w:rPr>
                <w:rFonts w:hint="eastAsia" w:ascii="宋体" w:hAnsi="宋体" w:cs="宋体"/>
                <w:b/>
                <w:bCs/>
                <w:color w:val="0000FF"/>
                <w:kern w:val="0"/>
                <w:sz w:val="28"/>
                <w:szCs w:val="28"/>
              </w:rPr>
              <w:t>七、前进***排队叫号系统清单</w:t>
            </w:r>
          </w:p>
        </w:tc>
        <w:tc>
          <w:tcPr>
            <w:tcW w:w="168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FF"/>
                <w:kern w:val="0"/>
                <w:sz w:val="18"/>
                <w:szCs w:val="18"/>
              </w:rPr>
            </w:pPr>
            <w:r>
              <w:rPr>
                <w:rFonts w:hint="eastAsia" w:ascii="宋体" w:hAnsi="宋体" w:cs="宋体"/>
                <w:color w:val="0000FF"/>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排队取号主机</w:t>
            </w:r>
          </w:p>
        </w:tc>
        <w:tc>
          <w:tcPr>
            <w:tcW w:w="5670"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22寸红外多点触摸屏,超高强度钢化触摸板/22寸工业高清液晶显示器/分辨率1280*1024/原装532热敏打印机80MM/Intel 四核J1900工控主板(主频2.0GHz,可睿频到2.42GHz)/DDR3 1333 2G(可升级)/32G固态硬盘/品牌工控主板/内置网卡/内置双声道音响功放</w:t>
            </w:r>
            <w:r>
              <w:rPr>
                <w:rFonts w:hint="eastAsia" w:ascii="宋体" w:hAnsi="宋体" w:cs="宋体"/>
                <w:color w:val="000000"/>
                <w:kern w:val="0"/>
                <w:sz w:val="18"/>
                <w:szCs w:val="18"/>
              </w:rPr>
              <w:br w:type="textWrapping"/>
            </w:r>
            <w:r>
              <w:rPr>
                <w:rFonts w:hint="eastAsia" w:ascii="宋体" w:hAnsi="宋体" w:cs="宋体"/>
                <w:kern w:val="0"/>
                <w:sz w:val="18"/>
                <w:szCs w:val="18"/>
              </w:rPr>
              <w:t>★标配身份证阅读器及人脸采集设备，数据上传到公安分局人脸大数据平台</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迈瑞/前进者/蓝宗/慧能</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排队叫号软件授权</w:t>
            </w:r>
          </w:p>
        </w:tc>
        <w:tc>
          <w:tcPr>
            <w:tcW w:w="5670" w:type="dxa"/>
            <w:tcBorders>
              <w:top w:val="nil"/>
              <w:left w:val="nil"/>
              <w:bottom w:val="single" w:color="auto" w:sz="4" w:space="0"/>
              <w:right w:val="single" w:color="auto" w:sz="4" w:space="0"/>
            </w:tcBorders>
            <w:vAlign w:val="center"/>
          </w:tcPr>
          <w:p>
            <w:pPr>
              <w:widowControl/>
              <w:textAlignment w:val="center"/>
              <w:rPr>
                <w:rFonts w:ascii="宋体" w:hAnsi="宋体" w:cs="宋体"/>
                <w:bCs/>
                <w:kern w:val="0"/>
                <w:sz w:val="18"/>
                <w:szCs w:val="18"/>
              </w:rPr>
            </w:pPr>
            <w:r>
              <w:rPr>
                <w:rFonts w:hint="eastAsia" w:ascii="宋体" w:hAnsi="宋体" w:cs="宋体"/>
                <w:kern w:val="0"/>
                <w:sz w:val="18"/>
                <w:szCs w:val="18"/>
              </w:rPr>
              <w:t>系统运行控制软件、含人脸采集及数据上传到公安分局人脸大数据平台</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迈瑞/前进者/蓝宗/慧能</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液晶综合显示屏</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Android操作系统/55寸高清液晶屏/超窄铝合金边框/4核,Cortex A9 1.6G/1G 8G/分辨率1920*1080/最低亮度300cdm2/16：9/自带WIFI模块/RJ45网口/喇叭2*4W</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迈瑞/前进者/蓝宗/慧能</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通信控制器</w:t>
            </w:r>
          </w:p>
        </w:tc>
        <w:tc>
          <w:tcPr>
            <w:tcW w:w="5670"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有源485转232，工业级</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窗口显示屏</w:t>
            </w:r>
          </w:p>
        </w:tc>
        <w:tc>
          <w:tcPr>
            <w:tcW w:w="5670"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Android操作系统/19寸高清液晶屏/超窄边框/4核,Cortex A9 1.6G/1G8G/分辨率1920*1080/最低亮度300cdm2/16：9/自带WIFI模块/RJ45网口/喇叭2*4W</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迈瑞/前进者/蓝宗/慧能</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软件虚拟呼叫器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替代硬件呼叫器/安装于工作站电脑上/通过键盘或鼠标来操作/具备自动升级功能/具有登录、退出、顺呼、重呼、选呼、暂停等等比硬件呼叫器更强大的功能/支持一票多业务事项记录</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迈瑞/前进者/蓝宗/慧能</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功放</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连接机顶盒或者取号机/国产60W/频率70Hz-18KHz/辅助输出0.775V/温度保护/过载过压保护/短路保护</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喇叭</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声音播放,壁挂或者吸顶/4W</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55寸触摸查询一体机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尺寸:55寸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亮度 250cd/m^2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分辨率 1920*1080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触摸 类型 红外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寿命 5000万次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分辨率 4096*4096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系统 操作系统 Windows7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CPU Intel 1037U双核双线程 1.8G(I3/I5可选默认1037U）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主板 品牌工控主板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内存 DDR3 1333 2G（可支持8G)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存储 32G固态硬盘（可跟根需求增加）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打印机 可选配EPSON M-T532 80mm热敏打印机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外设 二代身份证阅读器 可选配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非接触式IC读卡器 可选配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磁条卡读卡器 可选配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二维码阅读器 可选配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外壳 材料 钢制柜体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表面 外表面进口汽车金属烤漆，防磁、 防静电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净重 38kg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音响 功放 双声道，立体声环绕功放系统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喇叭 2*10W频响；20Hz~20KHz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接口 USB接口 USB*2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RJ45接口 有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电源接口 有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电气 电压 AC220V+10%  50Hz+1Hz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功率 &lt;200W开机瞬间电流3A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支持平台发布图文信息</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迈瑞/前进者/蓝宗/慧能</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多媒体交互评价器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尺寸: 10.1寸高清IPS显示屏；分辨率: 1280*800； 比例: 16:9；亮度: 250cdm2(最低亮度)；对比度: 800:1；系统: CPU 四核, Cortex A7,1.3G；内存: 1GB RAM；存储: 8G；操作系统: Android 5.1；接口: USB Micro USB*2；HDMI: 支持HDMI输出；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外观: 机身尺寸 243*163*10mm；电源:DC电源 DC5V 2A；电池: 内置电池4400MAH/3.7V；触摸: 10点电容式触控；摄像头: 前置摄像头2.0M/P；喇叭:2*1W；</w:t>
            </w:r>
            <w:r>
              <w:rPr>
                <w:rFonts w:hint="eastAsia" w:ascii="宋体" w:hAnsi="宋体" w:cs="宋体"/>
                <w:color w:val="000000"/>
                <w:kern w:val="0"/>
                <w:sz w:val="18"/>
                <w:szCs w:val="18"/>
              </w:rPr>
              <w:br w:type="textWrapping"/>
            </w:r>
            <w:r>
              <w:rPr>
                <w:rFonts w:hint="eastAsia" w:ascii="宋体" w:hAnsi="宋体" w:cs="宋体"/>
                <w:b/>
                <w:color w:val="000000"/>
                <w:kern w:val="0"/>
                <w:sz w:val="18"/>
                <w:szCs w:val="18"/>
              </w:rPr>
              <w:t>接入分局现有多媒体满意度评价系统</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迈瑞/前进者/蓝宗/慧能</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多媒体交互平台软件授权</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FF0000"/>
                <w:kern w:val="0"/>
                <w:sz w:val="18"/>
                <w:szCs w:val="18"/>
              </w:rPr>
            </w:pPr>
            <w:r>
              <w:rPr>
                <w:rFonts w:hint="eastAsia" w:ascii="宋体" w:hAnsi="宋体" w:cs="宋体"/>
                <w:color w:val="FF0000"/>
                <w:kern w:val="0"/>
                <w:sz w:val="18"/>
                <w:szCs w:val="18"/>
              </w:rPr>
              <w:t>与多媒体交互评价器配套、数据统一上传到公安分局统一平台</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8981"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r>
              <w:rPr>
                <w:rFonts w:hint="eastAsia" w:ascii="宋体" w:hAnsi="宋体" w:cs="宋体"/>
                <w:b/>
                <w:bCs/>
                <w:color w:val="0000FF"/>
                <w:kern w:val="0"/>
                <w:sz w:val="28"/>
                <w:szCs w:val="28"/>
              </w:rPr>
              <w:t>八、前进***紧急呼叫报警系统清单</w:t>
            </w:r>
          </w:p>
        </w:tc>
        <w:tc>
          <w:tcPr>
            <w:tcW w:w="1700"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FF"/>
                <w:kern w:val="0"/>
                <w:sz w:val="18"/>
                <w:szCs w:val="18"/>
              </w:rPr>
            </w:pPr>
            <w:r>
              <w:rPr>
                <w:rFonts w:hint="eastAsia" w:ascii="宋体" w:hAnsi="宋体" w:cs="宋体"/>
                <w:color w:val="0000FF"/>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报警对讲主机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紧急求助报警产品中心管理机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采用触摸按键及7寸高清触摸屏，集成视频查看、中心对讲、呼叫前端等功能，用于管理前端一键报警产品，外观科技感十足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尺寸(mm)：436（W）×215（H）×67（D）</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海康威视、来邦、中控、广拓</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网络分机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可视化紧急求助报警盒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一键报警，200w像素视频采集，支持红外补光，支持语音对讲、广播；支持公网传输ehome；支持双网口；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尺寸（mm）：218（H）*128（W）*58（D）</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海康威视、来邦、中控、广拓</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NVR存储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2U标准机架式IP存储，嵌入式处理器，嵌入式软硬件设计；支持32路高清，256M带宽网络视频接入，160M网络带宽输出；支持关键视频添加标签和加锁保护、断网续传、SMART 2.0等功能；2个千兆以太网口，充分满足网络预览、回放以及备份应用。</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海康威视、来邦、中控、广拓</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企业级存储硬盘</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希捷Constellation ES.3企业级4TB ST4000NM0035 7200转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企业存储级硬盘 7200转／128M／SATA／6Gb/秒</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希捷、西数、三星、东芝</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电源箱</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可给NLS系列分机集中供电。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含18V/5.6A开关电源，最大输出功率：110W，可接18可视分机或24个非可视的分机。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技术、规格参数：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输入电压：AC220V。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输出电压：DC18V。</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交换机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快速以太网交换机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应用层级二层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传输速率10/100Mbps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交换方式存储-转发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背板带宽4.8Gbps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包转发率3.6Mpps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端口数量24个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端口描述下行端口：24个10/100 Base-T以太网端口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交流供电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电源电压输入电压：AC 100-240V，50/60Hz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最大电压：AC 90-264V，47/63Hz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电源功率＜3.9W</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华为、华三、迪普、博达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8981"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r>
              <w:rPr>
                <w:rFonts w:hint="eastAsia" w:ascii="宋体" w:hAnsi="宋体" w:cs="宋体"/>
                <w:b/>
                <w:bCs/>
                <w:color w:val="0000FF"/>
                <w:kern w:val="0"/>
                <w:sz w:val="28"/>
                <w:szCs w:val="28"/>
              </w:rPr>
              <w:t>九、前进***二层电视电话会议系统清单</w:t>
            </w:r>
          </w:p>
        </w:tc>
        <w:tc>
          <w:tcPr>
            <w:tcW w:w="1700"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电视电话会议系统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视频会议终端</w:t>
            </w:r>
          </w:p>
        </w:tc>
        <w:tc>
          <w:tcPr>
            <w:tcW w:w="5670" w:type="dxa"/>
            <w:tcBorders>
              <w:top w:val="nil"/>
              <w:left w:val="nil"/>
              <w:bottom w:val="single" w:color="auto" w:sz="4" w:space="0"/>
              <w:right w:val="single" w:color="auto" w:sz="4" w:space="0"/>
            </w:tcBorders>
            <w:vAlign w:val="center"/>
          </w:tcPr>
          <w:p>
            <w:pPr>
              <w:jc w:val="left"/>
              <w:rPr>
                <w:rFonts w:ascii="宋体" w:hAnsi="宋体" w:cs="宋体"/>
                <w:color w:val="FF0000"/>
                <w:kern w:val="0"/>
                <w:sz w:val="18"/>
                <w:szCs w:val="18"/>
              </w:rPr>
            </w:pPr>
            <w:r>
              <w:rPr>
                <w:rFonts w:hint="eastAsia" w:ascii="宋体" w:hAnsi="宋体" w:cs="宋体"/>
                <w:color w:val="FF0000"/>
                <w:kern w:val="0"/>
                <w:sz w:val="18"/>
                <w:szCs w:val="18"/>
              </w:rPr>
              <w:t>利用原有设备搬迁过来安装</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高清摄像头</w:t>
            </w:r>
          </w:p>
        </w:tc>
        <w:tc>
          <w:tcPr>
            <w:tcW w:w="5670" w:type="dxa"/>
            <w:tcBorders>
              <w:top w:val="nil"/>
              <w:left w:val="nil"/>
              <w:bottom w:val="single" w:color="auto" w:sz="4" w:space="0"/>
              <w:right w:val="single" w:color="auto" w:sz="4" w:space="0"/>
            </w:tcBorders>
            <w:vAlign w:val="center"/>
          </w:tcPr>
          <w:p>
            <w:pPr>
              <w:jc w:val="left"/>
              <w:rPr>
                <w:rFonts w:ascii="宋体" w:hAnsi="宋体" w:cs="宋体"/>
                <w:color w:val="FF0000"/>
                <w:kern w:val="0"/>
                <w:sz w:val="18"/>
                <w:szCs w:val="18"/>
              </w:rPr>
            </w:pPr>
            <w:r>
              <w:rPr>
                <w:rFonts w:hint="eastAsia" w:ascii="宋体" w:hAnsi="宋体" w:cs="宋体"/>
                <w:color w:val="FF0000"/>
                <w:kern w:val="0"/>
                <w:sz w:val="18"/>
                <w:szCs w:val="18"/>
              </w:rPr>
              <w:t>利用原有设备搬迁过来安装</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113" w:type="dxa"/>
            <w:gridSpan w:val="8"/>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专业扩声系统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全频扬声器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1.高密度纤维板全频扬声器（颜色可定制），可定制为环保防水箱体，单元组成：LF：1*6.5"低音单元/HF：2*3"高音单元；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2.额定功率﹥140W，额定阻抗：8Ω，覆盖角度：80°水平*80°垂直；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3.频率范围：100Hz-19KHz，灵敏度(1m/1W)：95dB，最大声压级：120dB；</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只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Mission</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电源时序器</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1.8路电源时序控制，每路延时1S；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2.整机容量30A，额定输出电压：交流220V,50Hz；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3.每路输出采用万能插座AC220V（13A），前面板配常开电源座；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4.Bypass开关可强制打开全部通道，可进行短路外控；</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LBT</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一拖二无线主机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1.拥有两通道接收信号,每通道﹥190个信道可选，UHF频段传输信号，频率范围：500MHz-900MHz；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2.实现同一发射可在两个通道400个信道中互通互用，采用红外自动对频技术，锁相环频率合成振荡方式；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3.设置2条橡胶接收天线，增强接收的信号，设有2个独立SQ电位器、2个平衡输出和1个混合非平衡输出；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4.同一场合可供﹥35套机同时使用，即可同时使用﹥35台接收机和﹥70个发射器，每通道设有独立窗口；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5.各通道配备独立的音量调节旋钮、红外对频信号灯、一键对频按键、频率前后调节按键、通道电源开关按键；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6.振荡方式:锁相环频率合成，频率范围：UHF500MHz～900MHz，频率稳定性：±0.001%，最大频率偏：±50KHz；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7.FM调制方式，信噪比&gt;105dB，失真度&lt;0.5%@1KHz，灵敏度1.2/UV @S/N=12dB，音频输出：独立0～400mV、混合0～300mV；                                                                                          </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无线鹅颈话筒</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1.载波频率：UHF 500MHz～900MHz，频率稳定度：±25KHz，信噪比：&gt;105dB；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2.邻频干扰比：&gt;80dB，动态范围：≥100dB，类型：电容式，单一指向性；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3.频率响应：40Hz～20KHz，话筒灵敏度：-45±2dB@1KHz，内置锂电池3.7V，话筒耗电量：100mA；</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支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智能AV管理主机</w:t>
            </w:r>
          </w:p>
        </w:tc>
        <w:tc>
          <w:tcPr>
            <w:tcW w:w="5670" w:type="dxa"/>
            <w:tcBorders>
              <w:top w:val="nil"/>
              <w:left w:val="nil"/>
              <w:bottom w:val="single" w:color="auto" w:sz="4" w:space="0"/>
              <w:right w:val="single" w:color="auto" w:sz="4" w:space="0"/>
            </w:tcBorders>
            <w:noWrap/>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01、★可编程插卡式智能AV管理中心，采用橘红色发光LOGO，面板带有八个快捷按键，配合控制系统可自定义快捷控制场景；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02、根据不同的引擎控制板卡可扩展不同数量的墙面控制面板，可进行自定义场景操作；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03、可扩展IOS/安卓系统无线终端及综合集中管理控制功能；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04、支持多路混合音视频信号输入/输出，可在IOS/安卓系统无线终端上进行信号选择或面板上进行按键操作，前面板带有LCD液晶显示0屏，可实时显示操作状态；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05、支持话筒混音功能，48V幻象供电，反馈抑制、噪声门、高通、低通、延时、压限、PEQ等功能；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06、支持多通道大功率输出、桥接和立体声输出，每路功率可单独调节，；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07、★具有电源双备份系统，防止因电源损坏而造成系统故障。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08、主频为60MHz的32位内嵌式处理器，内置8M内存和2M存储FLASH；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09、≥8路红外发射端口，每路互相独立；≥8路独立数字输入输出I/O口，输入输出电压范围DC 0~5V，电流0-10mA；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10、≥8路独立弱电继电器接口；≥8路双向可编程RS-232/422/485通讯接口；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11、★≥3路BPBUS控制总线，可扩充达256个网络设备；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12、≥1个以太网接口（支持TCP/IP协议），用于连接WI-FI设备；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13、可以支持多个无线终端同时连接主机；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14、最大支持16个通道平衡线路输入，4通道平衡线路输出；输入通道均支持MIC/LINE、+48VDC幻像供电，具有混音路由功能；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15、采样频率/量化≥48kHz，24Bit DAC，总谐波失真&lt;0.006%；1kHz@+4dBu、&lt;0.01%；20Hz～20kHz@+4dBu；</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16、每个输入通道有反馈抑制器、噪声门、高通、低通、1S延时器、压限器、﹥15段PEQ、电平表、反相、静音、音量控制；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17、每个输入通道有高通、低通、2S延时器、压限器、﹥15段PEQ；</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18、内置正弦波信号、粉红噪声、白噪声信号发生器，可存储32个场景；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19、支持摄像跟踪代码输出，可通过第三方中控实现摄像联动功能；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20、输出功率最大支持：4*600W/8Ω，4*1100W/4Ω，桥接2*8Ω≥1200W，桥接2*4Ω≥1700W，输出功率可进行档位调节；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21、信噪比：103dB，失真：&lt;0.03%@8Ω1KHz，输入阻抗：20KΩ，频响范围：35Hz—20KHz；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22、阻尼系数：&gt;400@8ohm；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23、输入敏度可选择0.775V（0dB）或者3.1V（+12dB）；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24、最大支持16通道高清视频信号交换，EDID自适应，图像最高分辨率1920*1200@60Hz；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25、配合信号输出板卡独立实现1*2、2*2至最高2*4拼接画面输出；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26、输入支持HDMI、DVI、VGA、YPbPr、CVBS、RJ45（HDBaseT）、SDI、光纤信号；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27、输出支持HDMI、DVI、VGA、RJ45（HDBaseT）、SDI、光纤信号；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28、投标时提供原厂ISO9001、ISO14001、OHSAS18001管理体系认证证书；实用新型专利证书、CNAS认证并加盖原厂公章；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29、投标时提供产品彩页、原厂授权、质保函并加盖原厂公章。</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Mellin-Riehl</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平板电脑</w:t>
            </w:r>
          </w:p>
        </w:tc>
        <w:tc>
          <w:tcPr>
            <w:tcW w:w="5670" w:type="dxa"/>
            <w:tcBorders>
              <w:top w:val="nil"/>
              <w:left w:val="nil"/>
              <w:bottom w:val="single" w:color="auto" w:sz="4" w:space="0"/>
              <w:right w:val="single" w:color="auto" w:sz="4" w:space="0"/>
            </w:tcBorders>
            <w:noWrap/>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IPAD电脑</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无线路由器</w:t>
            </w:r>
          </w:p>
        </w:tc>
        <w:tc>
          <w:tcPr>
            <w:tcW w:w="5670" w:type="dxa"/>
            <w:tcBorders>
              <w:top w:val="nil"/>
              <w:left w:val="nil"/>
              <w:bottom w:val="single" w:color="auto" w:sz="4" w:space="0"/>
              <w:right w:val="single" w:color="auto" w:sz="4" w:space="0"/>
            </w:tcBorders>
            <w:noWrap/>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无线传输速度:108M以上，有线传输率: 10/100Mbps ，无线传输速率: 450Mbps 网络标准: 802.11b 无线网络支持频率: 2.4G 路由器应用: 宽带路由器</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0113" w:type="dxa"/>
            <w:gridSpan w:val="8"/>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视频显示系统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6</w:t>
            </w:r>
            <w:r>
              <w:rPr>
                <w:rFonts w:hint="eastAsia" w:ascii="宋体" w:hAnsi="宋体" w:cs="宋体"/>
                <w:kern w:val="0"/>
                <w:sz w:val="18"/>
                <w:szCs w:val="18"/>
              </w:rPr>
              <w:t>寸交互式屏</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整机尺寸 1961x1183x115.6mm   包装尺寸 2105x1305x240mm</w:t>
            </w:r>
            <w:r>
              <w:rPr>
                <w:rFonts w:hint="eastAsia" w:ascii="宋体" w:hAnsi="宋体" w:cs="宋体"/>
                <w:kern w:val="0"/>
                <w:sz w:val="18"/>
                <w:szCs w:val="18"/>
              </w:rPr>
              <w:br w:type="textWrapping"/>
            </w:r>
            <w:r>
              <w:rPr>
                <w:rFonts w:hint="eastAsia" w:ascii="宋体" w:hAnsi="宋体" w:cs="宋体"/>
                <w:kern w:val="0"/>
                <w:sz w:val="18"/>
                <w:szCs w:val="18"/>
              </w:rPr>
              <w:t>面板尺寸 86 寸   面板类型 LED</w:t>
            </w:r>
            <w:r>
              <w:rPr>
                <w:rFonts w:hint="eastAsia" w:ascii="宋体" w:hAnsi="宋体" w:cs="宋体"/>
                <w:kern w:val="0"/>
                <w:sz w:val="18"/>
                <w:szCs w:val="18"/>
              </w:rPr>
              <w:br w:type="textWrapping"/>
            </w:r>
            <w:r>
              <w:rPr>
                <w:rFonts w:hint="eastAsia" w:ascii="宋体" w:hAnsi="宋体" w:cs="宋体"/>
                <w:kern w:val="0"/>
                <w:sz w:val="18"/>
                <w:szCs w:val="18"/>
              </w:rPr>
              <w:t>显示区域 1876.2mm(H)×1057mm(V)   点距 0.4298 mm x 0.4298 mm</w:t>
            </w:r>
            <w:r>
              <w:rPr>
                <w:rFonts w:hint="eastAsia" w:ascii="宋体" w:hAnsi="宋体" w:cs="宋体"/>
                <w:kern w:val="0"/>
                <w:sz w:val="18"/>
                <w:szCs w:val="18"/>
              </w:rPr>
              <w:br w:type="textWrapping"/>
            </w:r>
            <w:r>
              <w:rPr>
                <w:rFonts w:hint="eastAsia" w:ascii="宋体" w:hAnsi="宋体" w:cs="宋体"/>
                <w:kern w:val="0"/>
                <w:sz w:val="18"/>
                <w:szCs w:val="18"/>
              </w:rPr>
              <w:t>最佳分辨率 3840*2160RGB   亮度 ≥350cd/㎡</w:t>
            </w:r>
            <w:r>
              <w:rPr>
                <w:rFonts w:hint="eastAsia" w:ascii="宋体" w:hAnsi="宋体" w:cs="宋体"/>
                <w:kern w:val="0"/>
                <w:sz w:val="18"/>
                <w:szCs w:val="18"/>
              </w:rPr>
              <w:br w:type="textWrapping"/>
            </w:r>
            <w:r>
              <w:rPr>
                <w:rFonts w:hint="eastAsia" w:ascii="宋体" w:hAnsi="宋体" w:cs="宋体"/>
                <w:kern w:val="0"/>
                <w:sz w:val="18"/>
                <w:szCs w:val="18"/>
              </w:rPr>
              <w:t>对比度 4000：1（Typ.）透射   可视角度 178°,178°</w:t>
            </w:r>
            <w:r>
              <w:rPr>
                <w:rFonts w:hint="eastAsia" w:ascii="宋体" w:hAnsi="宋体" w:cs="宋体"/>
                <w:kern w:val="0"/>
                <w:sz w:val="18"/>
                <w:szCs w:val="18"/>
              </w:rPr>
              <w:br w:type="textWrapping"/>
            </w:r>
            <w:r>
              <w:rPr>
                <w:rFonts w:hint="eastAsia" w:ascii="宋体" w:hAnsi="宋体" w:cs="宋体"/>
                <w:kern w:val="0"/>
                <w:sz w:val="18"/>
                <w:szCs w:val="18"/>
              </w:rPr>
              <w:t>响应时间 8ms   显示色彩 8 bit/1.07 Billion</w:t>
            </w:r>
            <w:r>
              <w:rPr>
                <w:rFonts w:hint="eastAsia" w:ascii="宋体" w:hAnsi="宋体" w:cs="宋体"/>
                <w:kern w:val="0"/>
                <w:sz w:val="18"/>
                <w:szCs w:val="18"/>
              </w:rPr>
              <w:br w:type="textWrapping"/>
            </w:r>
            <w:r>
              <w:rPr>
                <w:rFonts w:hint="eastAsia" w:ascii="宋体" w:hAnsi="宋体" w:cs="宋体"/>
                <w:kern w:val="0"/>
                <w:sz w:val="18"/>
                <w:szCs w:val="18"/>
              </w:rPr>
              <w:t>背光源 LED   屏寿命 ≥50000 小时</w:t>
            </w:r>
            <w:r>
              <w:rPr>
                <w:rFonts w:hint="eastAsia" w:ascii="宋体" w:hAnsi="宋体" w:cs="宋体"/>
                <w:kern w:val="0"/>
                <w:sz w:val="18"/>
                <w:szCs w:val="18"/>
              </w:rPr>
              <w:br w:type="textWrapping"/>
            </w:r>
            <w:r>
              <w:rPr>
                <w:rFonts w:hint="eastAsia" w:ascii="宋体" w:hAnsi="宋体" w:cs="宋体"/>
                <w:kern w:val="0"/>
                <w:sz w:val="18"/>
                <w:szCs w:val="18"/>
              </w:rPr>
              <w:t>功率 ≦350W   工作电压 100V-240VAC,50/60Hz</w:t>
            </w:r>
            <w:r>
              <w:rPr>
                <w:rFonts w:hint="eastAsia" w:ascii="宋体" w:hAnsi="宋体" w:cs="宋体"/>
                <w:kern w:val="0"/>
                <w:sz w:val="18"/>
                <w:szCs w:val="18"/>
              </w:rPr>
              <w:br w:type="textWrapping"/>
            </w:r>
            <w:r>
              <w:rPr>
                <w:rFonts w:hint="eastAsia" w:ascii="宋体" w:hAnsi="宋体" w:cs="宋体"/>
                <w:kern w:val="0"/>
                <w:sz w:val="18"/>
                <w:szCs w:val="18"/>
              </w:rPr>
              <w:t>扬声器 8Ω/10W*2   净重/毛重 86KG±5KG/102 KG±5KG</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大华、三星、夏虹、夏普</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壁挂支架</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交互式屏壁装支架</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投屏器</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无线同屏，支持双向传输</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0113" w:type="dxa"/>
            <w:gridSpan w:val="8"/>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专业周边辅材</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音箱支架</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定制</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木质机柜</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尺寸：深度600*宽度600*高度1200</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电源插座</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国产  电源二三插</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多媒体插座</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国产  音频、HDMI、网口</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高清信号线</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高清HDMI/DVI信号线</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noWrap/>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8997" w:type="dxa"/>
            <w:gridSpan w:val="7"/>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r>
              <w:rPr>
                <w:rFonts w:hint="eastAsia" w:ascii="宋体" w:hAnsi="宋体" w:cs="宋体"/>
                <w:b/>
                <w:bCs/>
                <w:color w:val="0000FF"/>
                <w:kern w:val="0"/>
                <w:sz w:val="28"/>
                <w:szCs w:val="28"/>
              </w:rPr>
              <w:t>十、前进***审讯指挥系统清单</w:t>
            </w:r>
          </w:p>
        </w:tc>
        <w:tc>
          <w:tcPr>
            <w:tcW w:w="168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FF"/>
                <w:kern w:val="0"/>
                <w:sz w:val="18"/>
                <w:szCs w:val="18"/>
              </w:rPr>
            </w:pPr>
            <w:r>
              <w:rPr>
                <w:rFonts w:hint="eastAsia" w:ascii="宋体" w:hAnsi="宋体" w:cs="宋体"/>
                <w:color w:val="0000FF"/>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专业扩声系统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全频扬声器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1.高密度纤维板全频扬声器（颜色可定制），可定制为环保防水箱体，单元组成：LF：1*6.5"低音单元/HF：2*3"高音单元；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2.额定功率﹥140W，额定阻抗：8Ω，覆盖角度：80°水平*80°垂直；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3.频率范围：100Hz-19KHz，灵敏度(1m/1W)：95dB，最大声压级：120dB；</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只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Mission</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功率放大器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1.输出功率≥2*200W/8Ω，≥2*350W/4Ω，≥2*380W/2Ω；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2.信噪比：103dB，失真：&lt;0.05%@8Ω1KHz，输入阻抗：20KΩ；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3.频响范围：35Hz—20KHz，阻尼系数：&gt;400@8ohm，6.3mmTRS平衡插座；</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Mission</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一拖二无线主机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1.拥有两通道接收信号,每通道﹥190个信道可选，UHF频段传输信号，频率范围：500MHz-900MHz；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2.实现同一发射可在两个通道400个信道中互通互用，采用红外自动对频技术，锁相环频率合成振荡方式；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3.设置2条橡胶接收天线，增强接收的信号，设有2个独立SQ电位器、2个平衡输出和1个混合非平衡输出；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4.同一场合可供﹥35套机同时使用，即可同时使用﹥35台接收机和﹥70个发射器，每通道设有独立窗口；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5.各通道配备独立的音量调节旋钮、红外对频信号灯、一键对频按键、频率前后调节按键、通道电源开关按键；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6.振荡方式:锁相环频率合成，频率范围：UHF500MHz～900MHz，频率稳定性：±0.001%，最大频率偏：±50KHz；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7.FM调制方式，信噪比&gt;105dB，失真度&lt;0.5%@1KHz，灵敏度1.2/UV @S/N=12dB，音频输出：独立0～400mV、混合0～300mV；                                                                                          </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无线鹅颈话筒</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1.载波频率：UHF 500MHz～900MHz，频率稳定度：±25KHz，信噪比：&gt;105dB；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2.邻频干扰比：&gt;80dB，动态范围：≥100dB，类型：电容式，单一指向性；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3.频率响应：40Hz～20KHz，话筒灵敏度：-45±2dB@1KHz，内置锂电池3.7V，话筒耗电量：100mA；</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支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电源时序器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1.13路电源电源输出，1-12路时序控制，每路延时1-10秒可设置，前面板一路直出；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2.每路输出采用万能插座AC220V（13A），适用各种类型插头；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3.整机容量50A，MCU控制的智能化设计，具有标准RS232 串口控制功能；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4.具有外控部闭合控制接口和级联控口，采用工业电压表头，前面板翘板开关控制。</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LBT</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数字音频矩阵</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1.≥4路信号输入≥8路信号输出，可组合多种分频模式，高、低通分频点均可达20Hz～20KHz；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2.96KHz采样频率，32-bit DSP处理器，24-bit A/D及D/A转换；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3.通过RS485接口可最多连接250台机器和超过1500米的距离外用电脑来控制；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4.单机可存储30种用户程序，每个输入和输出均有6段独立的参量均衡，调节增益范围可达±20dB；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5.2×24 LCD蓝色背光显示功能设置，6段LED显示输入/输出的精确数字电平表、哑音及编辑状态；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6.每个输入和输出均有延时和相位控制及哑音设置，延时最长可达1000ms；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7.输出通道还可控制增益、压限及选择输入通道信号，并能将某通道的所有参数复制到另外一个通道并能进行联动控制；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8.支持集中控制系统进行控制，可控制处理器的路由、音量、场景等； </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LBT</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调音台</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话筒：4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频响：+0.5dB/-0.5dB（20Hz-20kHz）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总谐波失真：0.02%@+14dBu（20 Hz-20kHz）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输入通道：10通道：单声道：4；立体声：3</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输出通道：STEREO OUT：2；PHONES：1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母线：立体声：1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电平表：2x7 - 点距LED电平表[PEAK，+6，+3，0，-3，-10，-20dB]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幻象电源电压：+48V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电源适配器：PA-10（AC38 VCT，0.62A，电缆长度=3.6m）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外观尺寸：244×71×294mm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功耗：22.9W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操作温度：0-40℃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净重：1.9kg</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YAMAHA雅马哈、MIDAS迈达斯、Behringer百灵达、</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HDMI切换矩阵</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8进8出HDMI切换矩阵带音频输出</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Mellin-Riehl</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视频显示系统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75寸交互式屏</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整机尺寸 1725x1042x122mm 包装尺寸 1865x1145x220mm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面板尺寸 75 寸 面板类型 LED</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显示区域 1650.24mm(H)×928.26mm(V) 点距 0.4298 mm x 0.4298 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最佳分辨率 3840*2160RGB 亮度 ≥350cd/㎡</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对比度 4000：1（Typ.）透射 可视角度 178°,178°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响应时间 8ms 显示色彩 8 bit/1.07 Billion</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背光源 LED 屏寿命 ≥50000 小时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功率 ≦300W 工作电压 100V-240VAC,50/60Hz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扬声器 8Ω/10W*2 净重/毛重 86KG±5KG/102 KG±5KG</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大华、三星、夏虹、夏普</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壁挂支架</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交互式屏壁装支架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投屏器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无线同屏，支持双向传输</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智能笔</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三健，支持鼠标，上下翻页</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专业周边辅材</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音箱支架</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定制</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机柜</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尺寸：深度600*宽度600*高度2000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多媒体插座</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国产  音频、HDMI、网口</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高清信号线</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高清HDMI/DVI信号线</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8997" w:type="dxa"/>
            <w:gridSpan w:val="7"/>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r>
              <w:rPr>
                <w:rFonts w:hint="eastAsia" w:ascii="宋体" w:hAnsi="宋体" w:cs="宋体"/>
                <w:b/>
                <w:bCs/>
                <w:color w:val="0000FF"/>
                <w:kern w:val="0"/>
                <w:sz w:val="28"/>
                <w:szCs w:val="28"/>
              </w:rPr>
              <w:t>十一、前进***二层大会议系统清单</w:t>
            </w:r>
          </w:p>
        </w:tc>
        <w:tc>
          <w:tcPr>
            <w:tcW w:w="168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FF"/>
                <w:kern w:val="0"/>
                <w:sz w:val="18"/>
                <w:szCs w:val="18"/>
              </w:rPr>
            </w:pPr>
            <w:r>
              <w:rPr>
                <w:rFonts w:hint="eastAsia" w:ascii="宋体" w:hAnsi="宋体" w:cs="宋体"/>
                <w:color w:val="0000FF"/>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专业扩声系统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12寸全频音响</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1.高品质18mm中纤板全频扬声器，可定制为环保防水箱体及颜；单元组成：LF：1*12"低音单元/HF：1*1.7"高音单元；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2.额定功率：300W，额定阻抗：8Ω，覆盖角度：90°水平*60°垂直；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3.频率范围：65Hz-20KHz，灵敏度(1m/1W)：93dB，最大声压级：98dB；</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Mission</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全频音响</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高品质15mm中纤板全频扬声器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单元组成：LF：1*8"低音单元/HF：1*1.3"高音单元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额定功率：≥150W，额定阻抗：8Ω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覆盖角度：90°水平*60°垂直，频率范围：75Hz-20KHz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灵敏度(1m/1W)：≥90dB，最大声压级：≥94dB</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Mission</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一拖四无线主机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1.拥有四通道接收信号,每通道﹥95个信道可选，UHF频段传输信号，频率范围：500MHz-900MHz；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2.实现同一发射可在四个通道400个信道中互通互用，采用红外自动对频技术，锁相环频率合成振荡方式；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3.设置4条橡胶接收天线，增强接收的信号，设有4个独立SQ电位器、4个平衡输出和1个混合非平衡输出；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4.同一场合可供﹥18套机同时使用，即可同时使用﹥18台接收机和﹥72个发射器，每通道设有独立窗口；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5.各通道配备独立的音量调节旋钮、红外对频信号灯、一键对频按键、频率前后调节按键、通道电源开关按键；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6.振荡方式:锁相环频率合成，频率范围：UHF500MHz～900MHz，频率稳定性：±0.001%，最大频率偏：±50KHz；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7.FM调制方式，信噪比&gt;105dB，失真度&lt;0.5%@1KHz，灵敏度1.2/UV @S/N=12dB，音频输出：独立0～400mV、混合0～300mV；                                                                                          </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无线鹅颈话筒</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1.载波频率：UHF 500MHz～900MHz，频率稳定度：±25KHz，信噪比：&gt;105dB；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2.邻频干扰比：&gt;80dB，动态范围：≥100dB，类型：电容式，单一指向性；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3.频率响应：40Hz～20KHz，话筒灵敏度：-45±2dB@1KHz，内置锂电池3.7V，话筒耗电量：100mA；</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支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无线手持话筒</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1.载波频率：UHF 500MHz～900MHz，频率稳定度：±25KHz，信噪比：&gt;105dB；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2.邻频干扰比：&gt;80dB，动态范围：≥100dB，类型：动圈式，单一指向性；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3.频率响应：40Hz～20KHz，话筒灵敏度：-45±2dB@1KHz，话筒耗电量：100mA；</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支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电源时序器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1.13路电源电源输出，1-12路时序控制，每路延时1-10秒可设置，前面板一路直出；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2.每路输出采用万能插座AC220V（13A），适用各种类型插头；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3.整机容量50A，MCU控制的智能化设计，具有标准RS232 串口控制功能；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4.具有外控部闭合控制接口和级联控口，采用工业电压表头，前面板翘板开关控制。</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LBT</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智能AV管理主机</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01、★可编程插卡式智能AV管理中心，采用橘红色发光LOGO，面板带有八个快捷按键，配合控制系统可自定义快捷控制场景；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02、根据不同的引擎控制板卡可扩展不同数量的墙面控制面板，可进行自定义场景操作；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03、可扩展IOS/安卓系统无线终端及综合集中管理控制功能；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04、支持多路混合音视频信号输入/输出，可在IOS/安卓系统无线终端上进行信号选择或面板上进行按键操作，前面板带有LCD液晶显示0屏，可实时显示操作状态；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05、支持话筒混音功能，48V幻象供电，反馈抑制、噪声门、高通、低通、延时、压限、PEQ等功能；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06、支持多通道大功率输出、桥接和立体声输出，每路功率可单独调节，；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07、★具有电源双备份系统，防止因电源损坏而造成系统故障。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08、主频为60MHz的32位内嵌式处理器，内置8M内存和2M存储FLASH；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09、≥8路红外发射端口，每路互相独立；≥8路独立数字输入输出I/O口，输入输出电压范围DC 0~5V，电流0-10mA；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10、≥8路独立弱电继电器接口；≥8路双向可编程RS-232/422/485通讯接口；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11、≥3路BPBUS控制总线，可扩充达256个网络设备；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12、≥1个以太网接口（支持TCP/IP协议），用于连接WI-FI设备；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13、★可以支持多个无线终端同时连接主机；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14、最大支持16个通道平衡线路输入，4通道平衡线路输出；输入通道均支持MIC/LINE、+48VDC幻像供电，具有混音路由功能；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15、采样频率/量化≥48kHz，24Bit DAC，总谐波失真&lt;0.006%；1kHz@+4dBu、&lt;0.01%；20Hz～20kHz@+4dBu；</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16、每个输入通道有反馈抑制器、噪声门、高通、低通、1S延时器、压限器、﹥15段PEQ、电平表、反相、静音、音量控制；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17、每个输入通道有高通、低通、2S延时器、压限器、﹥15段PEQ；</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18、内置正弦波信号、粉红噪声、白噪声信号发生器，可存储32个场景；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19、支持摄像跟踪代码输出，可通过第三方中控实现摄像联动功能；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20、输出功率最大支持：4*600W/8Ω，4*1100W/4Ω，桥接2*8Ω≥1200W，桥接2*4Ω≥1700W，输出功率可进行档位调节；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21、信噪比：103dB，失真：&lt;0.03%@8Ω1KHz，输入阻抗：20KΩ，频响范围：35Hz—20KHz；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22、阻尼系数：&gt;400@8ohm；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23、输入敏度可选择0.775V（0dB）或者3.1V（+12dB）；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24、最大支持16通道高清视频信号交换，EDID自适应，图像最高分辨率1920*1200@60Hz；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25、配合信号输出板卡独立实现1*2、2*2至最高2*4拼接画面输出；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26、输入支持HDMI、DVI、VGA、YPbPr、CVBS、RJ45（HDBaseT）、SDI、光纤信号；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27、输出支持HDMI、DVI、VGA、RJ45（HDBaseT）、SDI、光纤信号；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28、投标时提供原厂ISO9001、ISO14001、OHSAS18001管理体系认证证书；实用新型专利证书、CNAS认证并加盖原厂公章；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29、投标时提供产品彩页、原厂授权、质保函并加盖原厂公章。</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Mellin-Riehl</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平板电脑</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IPAD电脑</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无线路由器</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无线传输速度:108M以上，有线传输率: 10/100Mbps ，无线传输速率: 450Mbps 网络标准: 802.11b 无线网络支持频率: 2.4G 路由器应用: 宽带路由器</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视频显示系统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5500流明投影机</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产品类型 工程投影机；投影技术 3LCD；显示芯片 0.76英寸芯片；亮度 5500流明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对比度 15000:1；标准分辨率 WUXGA（1920*1200）；扫描频率 水平：15-92kHz；垂直：50-85Hz；光源类型 超高压汞灯；光源功率 300W；光源寿命 正常模式：5000小时，经济模式：10000小时；变焦方式 手动变焦；聚焦方式 手动聚焦；变焦比 1.6X；光圈范围 F=1.5-2.0；实际焦距 f=23-38.4mm；投射比 1.38：1(变焦：广角) 2.28：1(变焦：长焦)；投影距离 1.46-8.95m（变焦：广角） 2.43-14.79m（变焦：长焦）；投影尺寸 50-300英寸；屏幕比例 16:10；色彩数目 10.7亿色；梯形校正 水平：±30度 垂直：±30度；投影方式 正投，背投，吊顶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爱普生、索尼、松下、夏普</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150寸电动投影幕</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150寸投影幕，16:10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投影机电动吊架</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遥控电动伸缩支架 伸缩1.5米 三面加强型</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65寸电视机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屏幕尺寸：65英寸 屏幕分辨率：超高清4K HDR显示：支持 屏幕比例：16:9 基于 Android 4.2及以上 智能操作系统 双核/四核 高性能处理器 1G/ 2G DDRIII主内存 8G/16G大容量闪存，可外置SD卡 百兆有线网络接口 分辨率：3840×2160</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TCL、创维、夏虹、海信</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显示器伸缩支架</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显示器伸缩支架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专业周边辅材</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音箱支架</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定制</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机柜</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尺寸：深度600*宽度600*高度2000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电源插座</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国产  电源二三插</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多媒体插座</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国产  音频、HDMI、网口</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高清信号线</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高清HDMI/DVI信号线</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8964"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r>
              <w:rPr>
                <w:rFonts w:hint="eastAsia" w:ascii="宋体" w:hAnsi="宋体" w:cs="宋体"/>
                <w:b/>
                <w:bCs/>
                <w:color w:val="0000FF"/>
                <w:kern w:val="0"/>
                <w:sz w:val="28"/>
                <w:szCs w:val="28"/>
              </w:rPr>
              <w:t>十二、前进***三层大会议系统清单</w:t>
            </w:r>
          </w:p>
        </w:tc>
        <w:tc>
          <w:tcPr>
            <w:tcW w:w="1717"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FF"/>
                <w:kern w:val="0"/>
                <w:sz w:val="18"/>
                <w:szCs w:val="18"/>
              </w:rPr>
            </w:pPr>
            <w:r>
              <w:rPr>
                <w:rFonts w:hint="eastAsia" w:ascii="宋体" w:hAnsi="宋体" w:cs="宋体"/>
                <w:color w:val="0000FF"/>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5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113" w:type="dxa"/>
            <w:gridSpan w:val="8"/>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电视电话会议系统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视频会议终端</w:t>
            </w:r>
          </w:p>
        </w:tc>
        <w:tc>
          <w:tcPr>
            <w:tcW w:w="5670" w:type="dxa"/>
            <w:tcBorders>
              <w:top w:val="nil"/>
              <w:left w:val="nil"/>
              <w:bottom w:val="single" w:color="auto" w:sz="4" w:space="0"/>
              <w:right w:val="single" w:color="auto" w:sz="4" w:space="0"/>
            </w:tcBorders>
            <w:vAlign w:val="center"/>
          </w:tcPr>
          <w:p>
            <w:pPr>
              <w:jc w:val="left"/>
              <w:rPr>
                <w:rFonts w:ascii="宋体" w:hAnsi="宋体" w:cs="宋体"/>
                <w:color w:val="FF0000"/>
                <w:kern w:val="0"/>
                <w:sz w:val="18"/>
                <w:szCs w:val="18"/>
              </w:rPr>
            </w:pPr>
            <w:r>
              <w:rPr>
                <w:rFonts w:hint="eastAsia" w:ascii="宋体" w:hAnsi="宋体" w:cs="宋体"/>
                <w:color w:val="FF0000"/>
                <w:kern w:val="0"/>
                <w:sz w:val="18"/>
                <w:szCs w:val="18"/>
              </w:rPr>
              <w:t>利用原有设备搬迁过来安装</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高清摄像头</w:t>
            </w:r>
          </w:p>
        </w:tc>
        <w:tc>
          <w:tcPr>
            <w:tcW w:w="5670" w:type="dxa"/>
            <w:tcBorders>
              <w:top w:val="nil"/>
              <w:left w:val="nil"/>
              <w:bottom w:val="single" w:color="auto" w:sz="4" w:space="0"/>
              <w:right w:val="single" w:color="auto" w:sz="4" w:space="0"/>
            </w:tcBorders>
            <w:vAlign w:val="center"/>
          </w:tcPr>
          <w:p>
            <w:pPr>
              <w:jc w:val="left"/>
              <w:rPr>
                <w:rFonts w:ascii="宋体" w:hAnsi="宋体" w:cs="宋体"/>
                <w:color w:val="FF0000"/>
                <w:kern w:val="0"/>
                <w:sz w:val="18"/>
                <w:szCs w:val="18"/>
              </w:rPr>
            </w:pPr>
            <w:r>
              <w:rPr>
                <w:rFonts w:hint="eastAsia" w:ascii="宋体" w:hAnsi="宋体" w:cs="宋体"/>
                <w:color w:val="FF0000"/>
                <w:kern w:val="0"/>
                <w:sz w:val="18"/>
                <w:szCs w:val="18"/>
              </w:rPr>
              <w:t>利用原有设备搬迁过来安装</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113" w:type="dxa"/>
            <w:gridSpan w:val="8"/>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专业扩声系统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12寸全频音响</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1.高品质18mm中纤板全频扬声器，可定制为环保防水箱体及颜；单元组成：LF：1*12"低音单元/HF：1*1.7"高音单元；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2.额定功率：300W，额定阻抗：8Ω，覆盖角度：90°水平*60°垂直；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3.频率范围：65Hz-20KHz，灵敏度(1m/1W)：93dB，最大声压级：98dB；</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Mission</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全频音响</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高品质15mm中纤板全频扬声器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单元组成：LF：1*8"低音单元/HF：1*1.3"高音单元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额定功率：≥150W，额定阻抗：8Ω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覆盖角度：90°水平*60°垂直，频率范围：75Hz-20KHz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灵敏度(1m/1W)：≥90dB，最大声压级：≥94dB</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Mission</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一拖四无线主机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1.拥有四通道接收信号,每通道﹥95个信道可选，UHF频段传输信号，频率范围：500MHz-900MHz；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2.实现同一发射可在四个通道400个信道中互通互用，采用红外自动对频技术，锁相环频率合成振荡方式；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3.设置4条橡胶接收天线，增强接收的信号，设有4个独立SQ电位器、4个平衡输出和1个混合非平衡输出；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4.同一场合可供﹥18套机同时使用，即可同时使用﹥18台接收机和﹥72个发射器，每通道设有独立窗口；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5.各通道配备独立的音量调节旋钮、红外对频信号灯、一键对频按键、频率前后调节按键、通道电源开关按键；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6.振荡方式:锁相环频率合成，频率范围：UHF500MHz～900MHz，频率稳定性：±0.001%，最大频率偏：±50KHz；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7.FM调制方式，信噪比&gt;105dB，失真度&lt;0.5%@1KHz，灵敏度1.2/UV @S/N=12dB，音频输出：独立0～400mV、混合0～300mV；                                                                                          </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无线鹅颈话筒</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1.载波频率：UHF 500MHz～900MHz，频率稳定度：±25KHz，信噪比：&gt;105dB；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2.邻频干扰比：&gt;80dB，动态范围：≥100dB，类型：电容式，单一指向性；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3.频率响应：40Hz～20KHz，话筒灵敏度：-45±2dB@1KHz，内置锂电池3.7V，话筒耗电量：100mA；</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支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无线手持话筒</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1.载波频率：UHF 500MHz～900MHz，频率稳定度：±25KHz，信噪比：&gt;105dB；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2.邻频干扰比：&gt;80dB，动态范围：≥100dB，类型：动圈式，单一指向性；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3.频率响应：40Hz～20KHz，话筒灵敏度：-45±2dB@1KHz，话筒耗电量：100mA；</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支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电源时序器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1.13路电源电源输出，1-12路时序控制，每路延时1-10秒可设置，前面板一路直出；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2.每路输出采用万能插座AC220V（13A），适用各种类型插头；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3.整机容量50A，MCU控制的智能化设计，具有标准RS232 串口控制功能；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4.具有外控部闭合控制接口和级联控口，采用工业电压表头，前面板翘板开关控制。</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LBT</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智能AV管理主机</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01、★可编程插卡式智能AV管理中心，采用橘红色发光LOGO，面板带有八个快捷按键，配合控制系统可自定义快捷控制场景；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02、根据不同的引擎控制板卡可扩展不同数量的墙面控制面板，可进行自定义场景操作；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03、可扩展IOS/安卓系统无线终端及综合集中管理控制功能；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04、支持多路混合音视频信号输入/输出，可在IOS/安卓系统无线终端上进行信号选择或面板上进行按键操作，前面板带有LCD液晶显示0屏，可实时显示操作状态；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05、支持话筒混音功能，48V幻象供电，反馈抑制、噪声门、高通、低通、延时、压限、PEQ等功能；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06、支持多通道大功率输出、桥接和立体声输出，每路功率可单独调节，；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07、★具有电源双备份系统，防止因电源损坏而造成系统故障。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08、主频为60MHz的32位内嵌式处理器，内置8M内存和2M存储FLASH；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09、≥8路红外发射端口，每路互相独立；≥8路独立数字输入输出I/O口，输入输出电压范围DC 0~5V，电流0-10mA；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10、≥8路独立弱电继电器接口；≥8路双向可编程RS-232/422/485通讯接口；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11、≥3路BPBUS控制总线，可扩充达256个网络设备；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12、≥1个以太网接口（支持TCP/IP协议），用于连接WI-FI设备；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13、★可以支持多个无线终端同时连接主机；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14、最大支持16个通道平衡线路输入，4通道平衡线路输出；输入通道均支持MIC/LINE、+48VDC幻像供电，具有混音路由功能；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15、采样频率/量化≥48kHz，24Bit DAC，总谐波失真&lt;0.006%；1kHz@+4dBu、&lt;0.01%；20Hz～20kHz@+4dBu；</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16、每个输入通道有反馈抑制器、噪声门、高通、低通、1S延时器、压限器、﹥15段PEQ、电平表、反相、静音、音量控制；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17、每个输入通道有高通、低通、2S延时器、压限器、﹥15段PEQ；</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18、内置正弦波信号、粉红噪声、白噪声信号发生器，可存储32个场景；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19、支持摄像跟踪代码输出，可通过第三方中控实现摄像联动功能；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20、输出功率最大支持：4*600W/8Ω，4*1100W/4Ω，桥接2*8Ω≥1200W，桥接2*4Ω≥1700W，输出功率可进行档位调节；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21、信噪比：103dB，失真：&lt;0.03%@8Ω1KHz，输入阻抗：20KΩ，频响范围：35Hz—20KHz；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22、阻尼系数：&gt;400@8ohm；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23、输入敏度可选择0.775V（0dB）或者3.1V（+12dB）；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24、最大支持16通道高清视频信号交换，EDID自适应，图像最高分辨率1920*1200@60Hz；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25、配合信号输出板卡独立实现1*2、2*2至最高2*4拼接画面输出；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26、输入支持HDMI、DVI、VGA、YPbPr、CVBS、RJ45（HDBaseT）、SDI、光纤信号；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27、输出支持HDMI、DVI、VGA、RJ45（HDBaseT）、SDI、光纤信号；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28、投标时提供原厂ISO9001、ISO14001、OHSAS18001管理体系认证证书；实用新型专利证书、CNAS认证并加盖原厂公章；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29、投标时提供产品彩页、原厂授权、质保函并加盖原厂公章。</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Mellin-Riehl</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平板电脑</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IPAD电脑</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无线路由器</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无线传输速度:108M以上，有线传输率: 10/100Mbps ，无线传输速率: 450Mbps 网络标准: 802.11b 无线网络支持频率: 2.4G 路由器应用: 宽带路由器</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0113" w:type="dxa"/>
            <w:gridSpan w:val="8"/>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视频显示系统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5500流明投影机</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产品类型 工程投影机；投影技术 3LCD；显示芯片 0.76英寸芯片；亮度 5500流明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对比度 15000:1；标准分辨率 WUXGA（1920*1200）；扫描频率 水平：15-92kHz；垂直：50-85Hz；光源类型 超高压汞灯；光源功率 300W；光源寿命 正常模式：5000小时，经济模式：10000小时；变焦方式 手动变焦；聚焦方式 手动聚焦；变焦比 1.6X；光圈范围 F=1.5-2.0；实际焦距 f=23-38.4mm；投射比 1.38：1(变焦：广角) 2.28：1(变焦：长焦)；投影距离 1.46-8.95m（变焦：广角） 2.43-14.79m（变焦：长焦）；投影尺寸 50-300英寸；屏幕比例 16:10；色彩数目 10.7亿色；梯形校正 水平：±30度 垂直：±30度；投影方式 正投，背投，吊顶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爱普生、索尼、松下、夏普</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150寸电动投影幕</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150寸投影幕，16:10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投影机电动吊架</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遥控电动伸缩支架 伸缩1.5米 三面加强型</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65寸电视机</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屏幕尺寸：65英寸 屏幕分辨率：超高清4K HDR显示：支持 屏幕比例：16:9 基于 Android 4.2及以上 智能操作系统 双核/四核 高性能处理器 1G/ 2G DDRIII主内存 8G/16G大容量闪存，可外置SD卡 百兆有线网络接口 分辨率：3840×2160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TCL、创维、夏虹、海信</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显示器伸缩支架</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显示器伸缩支架</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10113" w:type="dxa"/>
            <w:gridSpan w:val="8"/>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专业周边辅材</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音箱支架</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定制</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机柜</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尺寸：深度600*宽度600*高度2000</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电源插座</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国产  电源二三插</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多媒体插座</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国产  音频、HDMI、网口</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高清信号线</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高清HDMI/DVI信号线</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noWrap/>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8981"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r>
              <w:rPr>
                <w:rFonts w:hint="eastAsia" w:ascii="宋体" w:hAnsi="宋体" w:cs="宋体"/>
                <w:b/>
                <w:bCs/>
                <w:color w:val="0000FF"/>
                <w:kern w:val="0"/>
                <w:sz w:val="28"/>
                <w:szCs w:val="28"/>
              </w:rPr>
              <w:t>十三、前进***背景音乐系统清单</w:t>
            </w:r>
          </w:p>
        </w:tc>
        <w:tc>
          <w:tcPr>
            <w:tcW w:w="1700"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FF"/>
                <w:kern w:val="0"/>
                <w:sz w:val="18"/>
                <w:szCs w:val="18"/>
              </w:rPr>
            </w:pPr>
            <w:r>
              <w:rPr>
                <w:rFonts w:hint="eastAsia" w:ascii="宋体" w:hAnsi="宋体" w:cs="宋体"/>
                <w:color w:val="0000FF"/>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网络管理服务器</w:t>
            </w:r>
          </w:p>
        </w:tc>
        <w:tc>
          <w:tcPr>
            <w:tcW w:w="5670" w:type="dxa"/>
            <w:tcBorders>
              <w:top w:val="nil"/>
              <w:left w:val="nil"/>
              <w:bottom w:val="single" w:color="auto" w:sz="4" w:space="0"/>
              <w:right w:val="single" w:color="auto" w:sz="4" w:space="0"/>
            </w:tcBorders>
            <w:noWrap/>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 xml:space="preserve">1.标准机架式2U高度，前面板采用网格设计，带液晶显示屏、USB接口，可显示时间、机箱温度、硬盘转速等信息；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2.内置工控主板，采用I5处理器，8G标准内存、500G硬盘，220V4A供电电源，整机采用2个8cm风扇进行物理散热；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3.支持7*24小时运行，可在-20°~75°下正常运行；整机最大消耗功率为350W；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4.Windows服务模式，支持正版Windows系统平台，采用系统加密狗；                                                                                               </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广播分控中心软件</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1.管理节目库资源，为所有终端提供定时播放和实时点播媒体服务，响应各终端的节目播放请求，为各音频工作站提供数据接口服务；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2.支持高达1000个单播任务或节目传输，支持多个分控中心软件的应用，可由主服务器软件设置管理权限，无需进入机房进行操作；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3.支持自定义终端名称、无限量分组、无限量定时任务、无限量定时分组，支持无限量音频采集播放、定时播放、一键呼叫与播放；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4.支持多用户、任意级别的分控管理，支持不限量的监听终端，进行多任务实时监听，节目库支持无限量文件及无限量文件夹管理；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5.支持全天无人值守工作，支持断电数据保护，支持自动发现已绑定终端，支持自定义心跳数据，支持上下线提醒、支持气泡弹窗提醒；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6.支持全区、分区消防联动，支持消防N±N模式，支持人工报警与数字报警混音，支持的虚拟终端接入，支持便携移动客户端操作。</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32路网络报警矩阵</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1.32路报警输入接口(支持2种方式触发:开关量和24V输入), 从消防中心接入信号；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2.8路报警输出接口(常开触点，DC24V/1A)，可外接警灯，显示报警状态；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3.系统中可使用任意多个IP网络报警接口，以增加输入口数目；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4.自动发送报警信息到服务器,服务器执行相应报警播放任务；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5.标准RJ45接口，有以太网口地方即可接入,支持跨网段和路由；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6.网络通讯协议：TCP、UDP、ARP、ICMP、IGMP；</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网络寻呼话筒</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1.专业远程寻呼话筒，具有7寸触摸液晶屏，启动时间≤1秒，内置3W扬声器，实现双向通话和监听；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2.支持显示来电去电中文名称，可触发指定终端的外接警灯闪烁，具有音频线路输入输出口，可外接音源及有源音箱扩音；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3.采用触摸式虚拟按键，可自定义，用于一键广播到指定分区，或一键呼叫到指定终端；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4.支持无服务器情况下的脱机对讲(发起和接收)，支持跨网段和跨路由；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5.网络通讯协议：TCP、UDP、ARP、ICMP、IGMP，网络芯片速率：10/100Mbps；                                                                                                                                                                           6.音频编码：MP2/MP3/PCM/ADPCM，音频采样、位率：8kHz～44.1kHz, 16bit, 8kbps-320kbps；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7.信噪比、频响：≥90dB；20Hz-20KHz，网络声音延迟≤20ms；</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网络监听音响</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1.采用高速工业级双核(ARM+DSP)芯片，启动时间≤1s，内置高保真扬声器和2×50W立体声D类功率放大器；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2.内置回路检测功能，可远程监听扬声器工作状态，服务软件远程调节输出音量，并可在本地用旋钮调节线路输入音量；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3.标准RJ45网络接口，有以太网口的地方即可接入，支持跨网段和跨路由；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4.可选配蓝牙模块：无线收发模块与2.4G无线话筒实现开机自动配对，可实现本地扩声；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5.网络通讯协议：TCP、UDP、ARP、ICMP、IGMP，音频编码：MP2/MP3/PCM/ADPCM，音频采样、位率：8kHz～48kHz, 16位, 8kbps-320kbps；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6.信噪比、频响：≥90dB；200Hz-18KHz，网络声音延迟：广播延迟≤20ms，工作温度、湿度：-10℃～50℃；10%-90%RH（无结露）；</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网络采播器</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1.机架式设计(2U)，防蚀铝拉丝面板，采用高速工业级双核(ARM+DSP)芯片，启动时间≤1秒；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2.自带3路音频线路输入，1路音频线路输出，1路本地TF卡输入，带回路检测；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4.可通过软件定义主机编解码功能，可进行外部模拟音频的编码，支持跨网段和跨路由；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5.电源、功耗：AC100-240V；≤120W，网络通讯协议：TCP、UDP、ARP、ICMP、IGMP，网络芯片速率：10/100Mbps；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6.音频编码：MP2/MP3/PCM/ADPCM，音频采样、位率：8kHz～44.1kHz, 16bit 8kbps-320kbps；                                                                                                                                                          7.信噪比、频响：≥90dB；20Hz-16KHz，网络声音延迟：广播延迟≤20ms,对讲延迟≤20ms；</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DVD播放机</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1.采用进口数码机芯，超强纠错功能；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2.自动播放控制，全数码伺服，超强电子抗震；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3.支持CD/VCD/DVD/MP3多种碟片格式；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4.支持USB插口MP3音乐播放，U盘存储容量可随意扩展； </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调谐器</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1.调频、调幅两波段，分别可存储电台达100个；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2.电台频率自动搜索存储功能，且有断电记忆功能永不丢失；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3.高亮度动态VFD荧光显示，全功能微电脑控制，轻触式按键操作；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4.频率范围：AM522kHz-1620kHz,FM87.5MHz-108MHz，信噪比：≥85dB；</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前置放大器</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1.具有12个通道，包括5路话筒、3路线路、2路紧急输入，2路辅助输出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2.话筒1具有最高优先级，EMC为第二优先级，MIC2\3\4\5和线路输入为第三优先级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★3.每个通道均可独立调节音量，统一音量控制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4.电源、功耗：AC220V，50Hz；≤40W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5.接口：MIC1、2、3、4、5，EMC1、2，AUX1、2、3</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有线鹅颈话筒</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1.分拆式设计，造形简洁、美观大方，经久耐用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2.可绕式电容麦克风杆，并具有灯环提示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3.带前凑音(开启和关闭时, 有“叮咚”前奏音放出)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4.内置高技术规格的配合线路，适用于广播及通讯用途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5.指向特性：心型指向型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6.频率响应：40Hz-16KHz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7.灵敏度：-38dB/±2dB（1KHz）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8.输出阻抗：200Ω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9.拾音距离：≥50cm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10.电源供应：DC3V</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支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12路电源时序器</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1.标准机柜式设计（2U），黑色拉丝铝合金面板；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2.13路电源电源输出，1-12路时序控制，每路延时1-10秒可设置，前面板一路直出；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3.每路输出采用万能插座AC220V（13A），适用各种类型插头；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4.整机容量50A ，进线采用大电流压线端子；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5.MCU控制的智能化设计，具有标准RS232 串口控制功能；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6.具有外控部闭合控制接口和级联控口；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7.采用工业电压表头；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8.前面板翘板开关控制。</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音频光端机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音频路数：4路正向音频，音频端口：卡侬口，传输距离：20KM,光纤接口：FC</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对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0113" w:type="dxa"/>
            <w:gridSpan w:val="8"/>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楼层</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6寸吸顶喇叭</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1.外形美观，ABS材质，复合喇叭鼓纸，音质清澈动听，强力活动夹设计，安装方便、快捷，复合悬边及阻尼处理，寿命更长；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2.额定功率：6W，定压输出：70V-100V，灵敏度：≥90dB，频率响应：≥90-16000Hz；</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只 </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w:t>
            </w:r>
            <w:r>
              <w:rPr>
                <w:rFonts w:ascii="宋体" w:hAnsi="宋体" w:cs="宋体"/>
                <w:color w:val="000000"/>
                <w:kern w:val="0"/>
                <w:sz w:val="18"/>
                <w:szCs w:val="18"/>
              </w:rPr>
              <w:t>SONBS</w:t>
            </w:r>
            <w:r>
              <w:rPr>
                <w:rFonts w:hint="eastAsia" w:ascii="宋体" w:hAnsi="宋体" w:cs="宋体"/>
                <w:color w:val="000000"/>
                <w:kern w:val="0"/>
                <w:sz w:val="18"/>
                <w:szCs w:val="18"/>
              </w:rPr>
              <w:t>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网络功率放大器180W</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1.内置D类数字功放，180W输出，无信号时自动进入省电模式，设有5个输入通道，每一通道均可独立调节音量，统一音调控制；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2.可以自由设置5个输入通道的优先级 (前面板话筒口默认最高优先)，提供音频线路输出，接外部功放扩音，支持跨网段和跨路由；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3.网络通讯协议：TCP、UDP、ARP、ICMP、IGMP，网络芯片速率：10/100Mbps，音频编码：MP2/MP3/PCM/ADPCM；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4.音频采样、位率：8kHz～44.1kHz, 16bit, 8kbps-320kbps，信噪比、频响：≥90dB；20Hz-16KHz，网络声音延迟：广播延迟≤20ms；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5.通讯接口：1个RJ45网口，输入接口：2路话筒输入、2路辅助线路输入，输出接口：1路线路输出、1路功率输出；</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网络管理服务器</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 xml:space="preserve">1.标准机架式2U高度，前面板采用网格设计，带液晶显示屏、USB接口，可显示时间、机箱温度、硬盘转速等信息；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2.内置工控主板，采用I5处理器，8G标准内存、500G硬盘，220V4A供电电源，整机采用2个8cm风扇进行物理散热；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3.支持7*24小时运行，可在-20°~75°下正常运行；整机最大消耗功率为350W；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4.Windows服务模式，支持正版Windows系统平台，采用系统加密狗；                                                                                               </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8981"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r>
              <w:rPr>
                <w:rFonts w:hint="eastAsia" w:ascii="宋体" w:hAnsi="宋体" w:cs="宋体"/>
                <w:b/>
                <w:bCs/>
                <w:color w:val="0000FF"/>
                <w:kern w:val="0"/>
                <w:sz w:val="28"/>
                <w:szCs w:val="28"/>
              </w:rPr>
              <w:t>十四、前进***售饭系统清单</w:t>
            </w:r>
          </w:p>
        </w:tc>
        <w:tc>
          <w:tcPr>
            <w:tcW w:w="1700"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8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56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参数</w:t>
            </w:r>
          </w:p>
        </w:tc>
        <w:tc>
          <w:tcPr>
            <w:tcW w:w="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450"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售饭机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电压 充电电压USB 5V 充电器，工作电压5V。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显示器 FET-16M色，320*480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电池容量 3100mAH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感应卡类型 符合国际标准M1卡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存储数据 &gt;11000条消费记录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传输波特率 19200bps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通讯接口 一个标准mini USB接口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读写速度 0.2秒/次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通讯方式 USB、GPRS、WIFI选配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键盘 全防水橡胶22键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感应距离 5-10cm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后备电池工作时间 待机时间≥24小时，操作时间≥8个小时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外形尺寸 165(170)mm*80（86）mm*32（42）mm  (长×宽×高)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工作环境 0~45℃ 工作环境 湿度：≤90%RH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重量(净重) 2.5 kg /台</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海康、中控、中创、立方</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发卡机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直接与计算机USB口相联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可对M1类型卡片进行发卡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三类LED灯提示</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海康、中控、中创、立方</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网控器</w:t>
            </w:r>
          </w:p>
        </w:tc>
        <w:tc>
          <w:tcPr>
            <w:tcW w:w="5670" w:type="dxa"/>
            <w:tcBorders>
              <w:top w:val="nil"/>
              <w:left w:val="nil"/>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TCP以太网控制器</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海康、中控、中创、立方</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8997" w:type="dxa"/>
            <w:gridSpan w:val="7"/>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r>
              <w:rPr>
                <w:rFonts w:hint="eastAsia" w:ascii="宋体" w:hAnsi="宋体" w:cs="宋体"/>
                <w:b/>
                <w:bCs/>
                <w:color w:val="0000FF"/>
                <w:kern w:val="0"/>
                <w:sz w:val="28"/>
                <w:szCs w:val="28"/>
              </w:rPr>
              <w:t>十五、前进***执法管理中心拼接屏系统清单</w:t>
            </w:r>
          </w:p>
        </w:tc>
        <w:tc>
          <w:tcPr>
            <w:tcW w:w="168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FF"/>
                <w:kern w:val="0"/>
                <w:sz w:val="22"/>
                <w:szCs w:val="22"/>
              </w:rPr>
            </w:pPr>
            <w:r>
              <w:rPr>
                <w:rFonts w:hint="eastAsia" w:ascii="宋体" w:hAnsi="宋体" w:cs="宋体"/>
                <w:color w:val="0000FF"/>
                <w:kern w:val="0"/>
                <w:sz w:val="22"/>
                <w:szCs w:val="22"/>
              </w:rPr>
              <w:t>　</w:t>
            </w:r>
          </w:p>
        </w:tc>
      </w:tr>
      <w:tr>
        <w:tblPrEx>
          <w:tblLayout w:type="fixed"/>
          <w:tblCellMar>
            <w:top w:w="0" w:type="dxa"/>
            <w:left w:w="108" w:type="dxa"/>
            <w:bottom w:w="0" w:type="dxa"/>
            <w:right w:w="108" w:type="dxa"/>
          </w:tblCellMar>
        </w:tblPrEx>
        <w:trPr>
          <w:trHeight w:val="435"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55寸拼接屏(3*3拼接)</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尺寸:55英寸 双边拼缝1.7</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屏幕比例:16:9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亮度:700cd/m2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背光模式：LED背光源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分辨率:1920*1080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响应速度:8ms</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色彩饱和度：92%</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大华、三星、利亚德、中达电通</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模块化支架</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子单元模块化支架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48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显示单元底座</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液晶单元配套底座，底座高度：1000（mm）</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8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线缆</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rPr>
              <w:t>配套，包含DVI、VGA、控制线缆、多用插座等。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分配器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rPr>
              <w:t>一分二分配放大器</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8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大屏幕显示系统控制软件</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大屏幕显示系统控制软件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大华、三星、利亚德、中达电通</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视频综合平台增强型</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20"/>
                <w:szCs w:val="20"/>
              </w:rPr>
              <w:t>主处理器 64位四核处理器</w:t>
            </w:r>
            <w:r>
              <w:rPr>
                <w:rFonts w:hint="eastAsia" w:ascii="宋体" w:hAnsi="宋体" w:cs="宋体"/>
                <w:kern w:val="0"/>
                <w:sz w:val="20"/>
                <w:szCs w:val="20"/>
              </w:rPr>
              <w:br w:type="textWrapping"/>
            </w:r>
            <w:r>
              <w:rPr>
                <w:rFonts w:hint="eastAsia" w:ascii="宋体" w:hAnsi="宋体" w:cs="宋体"/>
                <w:kern w:val="0"/>
                <w:sz w:val="20"/>
                <w:szCs w:val="20"/>
              </w:rPr>
              <w:t>操作系统 嵌入式LINUX</w:t>
            </w:r>
            <w:r>
              <w:rPr>
                <w:rFonts w:hint="eastAsia" w:ascii="宋体" w:hAnsi="宋体" w:cs="宋体"/>
                <w:kern w:val="0"/>
                <w:sz w:val="20"/>
                <w:szCs w:val="20"/>
              </w:rPr>
              <w:br w:type="textWrapping"/>
            </w:r>
            <w:r>
              <w:rPr>
                <w:rFonts w:hint="eastAsia" w:ascii="宋体" w:hAnsi="宋体" w:cs="宋体"/>
                <w:kern w:val="0"/>
                <w:sz w:val="20"/>
                <w:szCs w:val="20"/>
              </w:rPr>
              <w:t>总线 PCIE总线、以太网总线</w:t>
            </w:r>
            <w:r>
              <w:rPr>
                <w:rFonts w:hint="eastAsia" w:ascii="宋体" w:hAnsi="宋体" w:cs="宋体"/>
                <w:kern w:val="0"/>
                <w:sz w:val="20"/>
                <w:szCs w:val="20"/>
              </w:rPr>
              <w:br w:type="textWrapping"/>
            </w:r>
            <w:r>
              <w:rPr>
                <w:rFonts w:hint="eastAsia" w:ascii="宋体" w:hAnsi="宋体" w:cs="宋体"/>
                <w:kern w:val="0"/>
                <w:sz w:val="20"/>
                <w:szCs w:val="20"/>
              </w:rPr>
              <w:t>卡槽 12个（1个主控板槽位，1个控制板槽位，10个视音频业务板槽位）</w:t>
            </w:r>
            <w:r>
              <w:rPr>
                <w:rFonts w:hint="eastAsia" w:ascii="宋体" w:hAnsi="宋体" w:cs="宋体"/>
                <w:kern w:val="0"/>
                <w:sz w:val="20"/>
                <w:szCs w:val="20"/>
              </w:rPr>
              <w:br w:type="textWrapping"/>
            </w:r>
            <w:r>
              <w:rPr>
                <w:rFonts w:hint="eastAsia" w:ascii="宋体" w:hAnsi="宋体" w:cs="宋体"/>
                <w:kern w:val="0"/>
                <w:sz w:val="20"/>
                <w:szCs w:val="20"/>
              </w:rPr>
              <w:t>主机箱 支持双电源，主控板，总线背板，智能温控风扇</w:t>
            </w:r>
            <w:r>
              <w:rPr>
                <w:rFonts w:hint="eastAsia" w:ascii="宋体" w:hAnsi="宋体" w:cs="宋体"/>
                <w:kern w:val="0"/>
                <w:sz w:val="20"/>
                <w:szCs w:val="20"/>
              </w:rPr>
              <w:br w:type="textWrapping"/>
            </w:r>
            <w:r>
              <w:rPr>
                <w:rFonts w:hint="eastAsia" w:ascii="宋体" w:hAnsi="宋体" w:cs="宋体"/>
                <w:kern w:val="0"/>
                <w:sz w:val="20"/>
                <w:szCs w:val="20"/>
              </w:rPr>
              <w:t>主控接口 6个RJ45接口（主控2个RJ45，控制板扩展4个RJ45），支持1000M网络；4个RS-232接口（4个RJ45）；1个RS-485接口，支持主流球机云台协议；2个USB2.0接口，1个USB3.0接口</w:t>
            </w:r>
            <w:r>
              <w:rPr>
                <w:rFonts w:hint="eastAsia" w:ascii="宋体" w:hAnsi="宋体" w:cs="宋体"/>
                <w:kern w:val="0"/>
                <w:sz w:val="20"/>
                <w:szCs w:val="20"/>
              </w:rPr>
              <w:br w:type="textWrapping"/>
            </w:r>
            <w:r>
              <w:rPr>
                <w:rFonts w:hint="eastAsia" w:ascii="宋体" w:hAnsi="宋体" w:cs="宋体"/>
                <w:kern w:val="0"/>
                <w:sz w:val="20"/>
                <w:szCs w:val="20"/>
              </w:rPr>
              <w:t>电源及功耗 交流电源：100~120V AC，200~240V AC，≤600W</w:t>
            </w:r>
            <w:r>
              <w:rPr>
                <w:rFonts w:hint="eastAsia" w:ascii="宋体" w:hAnsi="宋体" w:cs="宋体"/>
                <w:kern w:val="0"/>
                <w:sz w:val="20"/>
                <w:szCs w:val="20"/>
              </w:rPr>
              <w:br w:type="textWrapping"/>
            </w:r>
            <w:r>
              <w:rPr>
                <w:rFonts w:hint="eastAsia" w:ascii="宋体" w:hAnsi="宋体" w:cs="宋体"/>
                <w:kern w:val="0"/>
                <w:sz w:val="20"/>
                <w:szCs w:val="20"/>
              </w:rPr>
              <w:t>标配:6路DVI高清输出、4路HDMI输入、16路1080P解码能力、支持H.265解码</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大华、三星、利亚德、中达电通</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配电</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rPr>
              <w:t>含配电箱、空开、接线桩子等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大屏包边</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rPr>
              <w:t>拼接屏周围包边装修</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服务器机柜</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标准:符合ANSI/EIA RS-310-D、IEC297-2、DIN41494；PART1、DIN41494;PART7、GB/T3047.2-92；兼容ETSI标准。</w:t>
            </w:r>
            <w:r>
              <w:rPr>
                <w:rFonts w:hint="eastAsia" w:ascii="宋体" w:hAnsi="宋体" w:cs="宋体"/>
                <w:kern w:val="0"/>
                <w:sz w:val="18"/>
                <w:szCs w:val="18"/>
              </w:rPr>
              <w:br w:type="textWrapping"/>
            </w:r>
            <w:r>
              <w:rPr>
                <w:rFonts w:hint="eastAsia" w:ascii="宋体" w:hAnsi="宋体" w:cs="宋体"/>
                <w:kern w:val="0"/>
                <w:sz w:val="18"/>
                <w:szCs w:val="18"/>
              </w:rPr>
              <w:t>前后带圆形通风孔门</w:t>
            </w:r>
            <w:r>
              <w:rPr>
                <w:rFonts w:hint="eastAsia" w:ascii="宋体" w:hAnsi="宋体" w:cs="宋体"/>
                <w:kern w:val="0"/>
                <w:sz w:val="18"/>
                <w:szCs w:val="18"/>
              </w:rPr>
              <w:br w:type="textWrapping"/>
            </w:r>
            <w:r>
              <w:rPr>
                <w:rFonts w:hint="eastAsia" w:ascii="宋体" w:hAnsi="宋体" w:cs="宋体"/>
                <w:kern w:val="0"/>
                <w:sz w:val="18"/>
                <w:szCs w:val="18"/>
              </w:rPr>
              <w:t>单开钣金后门；</w:t>
            </w:r>
            <w:r>
              <w:rPr>
                <w:rFonts w:hint="eastAsia" w:ascii="宋体" w:hAnsi="宋体" w:cs="宋体"/>
                <w:kern w:val="0"/>
                <w:sz w:val="18"/>
                <w:szCs w:val="18"/>
              </w:rPr>
              <w:br w:type="textWrapping"/>
            </w:r>
            <w:r>
              <w:rPr>
                <w:rFonts w:hint="eastAsia" w:ascii="宋体" w:hAnsi="宋体" w:cs="宋体"/>
                <w:kern w:val="0"/>
                <w:sz w:val="18"/>
                <w:szCs w:val="18"/>
              </w:rPr>
              <w:t>网孔通风率为75%；</w:t>
            </w:r>
            <w:r>
              <w:rPr>
                <w:rFonts w:hint="eastAsia" w:ascii="宋体" w:hAnsi="宋体" w:cs="宋体"/>
                <w:kern w:val="0"/>
                <w:sz w:val="18"/>
                <w:szCs w:val="18"/>
              </w:rPr>
              <w:br w:type="textWrapping"/>
            </w:r>
            <w:r>
              <w:rPr>
                <w:rFonts w:hint="eastAsia" w:ascii="宋体" w:hAnsi="宋体" w:cs="宋体"/>
                <w:kern w:val="0"/>
                <w:sz w:val="18"/>
                <w:szCs w:val="18"/>
              </w:rPr>
              <w:t>前后门免焊加强筋结构，美观牢固；</w:t>
            </w:r>
            <w:r>
              <w:rPr>
                <w:rFonts w:hint="eastAsia" w:ascii="宋体" w:hAnsi="宋体" w:cs="宋体"/>
                <w:kern w:val="0"/>
                <w:sz w:val="18"/>
                <w:szCs w:val="18"/>
              </w:rPr>
              <w:br w:type="textWrapping"/>
            </w:r>
            <w:r>
              <w:rPr>
                <w:rFonts w:hint="eastAsia" w:ascii="宋体" w:hAnsi="宋体" w:cs="宋体"/>
                <w:kern w:val="0"/>
                <w:sz w:val="18"/>
                <w:szCs w:val="18"/>
              </w:rPr>
              <w:t>前后门满足左右开；</w:t>
            </w:r>
            <w:r>
              <w:rPr>
                <w:rFonts w:hint="eastAsia" w:ascii="宋体" w:hAnsi="宋体" w:cs="宋体"/>
                <w:kern w:val="0"/>
                <w:sz w:val="18"/>
                <w:szCs w:val="18"/>
              </w:rPr>
              <w:br w:type="textWrapping"/>
            </w:r>
            <w:r>
              <w:rPr>
                <w:rFonts w:hint="eastAsia" w:ascii="宋体" w:hAnsi="宋体" w:cs="宋体"/>
                <w:kern w:val="0"/>
                <w:sz w:val="18"/>
                <w:szCs w:val="18"/>
              </w:rPr>
              <w:t>前后门可改为双开。</w:t>
            </w:r>
            <w:r>
              <w:rPr>
                <w:rFonts w:hint="eastAsia" w:ascii="宋体" w:hAnsi="宋体" w:cs="宋体"/>
                <w:kern w:val="0"/>
                <w:sz w:val="18"/>
                <w:szCs w:val="18"/>
              </w:rPr>
              <w:br w:type="textWrapping"/>
            </w:r>
            <w:r>
              <w:rPr>
                <w:rFonts w:hint="eastAsia" w:ascii="宋体" w:hAnsi="宋体" w:cs="宋体"/>
                <w:kern w:val="0"/>
                <w:sz w:val="18"/>
                <w:szCs w:val="18"/>
              </w:rPr>
              <w:t>承载:静载800KG(带支架)</w:t>
            </w:r>
            <w:r>
              <w:rPr>
                <w:rFonts w:hint="eastAsia" w:ascii="宋体" w:hAnsi="宋体" w:cs="宋体"/>
                <w:kern w:val="0"/>
                <w:sz w:val="18"/>
                <w:szCs w:val="18"/>
              </w:rPr>
              <w:br w:type="textWrapping"/>
            </w:r>
            <w:r>
              <w:rPr>
                <w:rFonts w:hint="eastAsia" w:ascii="宋体" w:hAnsi="宋体" w:cs="宋体"/>
                <w:kern w:val="0"/>
                <w:sz w:val="18"/>
                <w:szCs w:val="18"/>
              </w:rPr>
              <w:t>防护等级:IP20</w:t>
            </w:r>
            <w:r>
              <w:rPr>
                <w:rFonts w:hint="eastAsia" w:ascii="宋体" w:hAnsi="宋体" w:cs="宋体"/>
                <w:kern w:val="0"/>
                <w:sz w:val="18"/>
                <w:szCs w:val="18"/>
              </w:rPr>
              <w:br w:type="textWrapping"/>
            </w:r>
            <w:r>
              <w:rPr>
                <w:rFonts w:hint="eastAsia" w:ascii="宋体" w:hAnsi="宋体" w:cs="宋体"/>
                <w:kern w:val="0"/>
                <w:sz w:val="18"/>
                <w:szCs w:val="18"/>
              </w:rPr>
              <w:t>主要材料:方孔条与安装梁：耐指纹敷铝锌板；</w:t>
            </w:r>
            <w:r>
              <w:rPr>
                <w:rFonts w:hint="eastAsia" w:ascii="宋体" w:hAnsi="宋体" w:cs="宋体"/>
                <w:kern w:val="0"/>
                <w:sz w:val="18"/>
                <w:szCs w:val="18"/>
              </w:rPr>
              <w:br w:type="textWrapping"/>
            </w:r>
            <w:r>
              <w:rPr>
                <w:rFonts w:hint="eastAsia" w:ascii="宋体" w:hAnsi="宋体" w:cs="宋体"/>
                <w:kern w:val="0"/>
                <w:sz w:val="18"/>
                <w:szCs w:val="18"/>
              </w:rPr>
              <w:t>SPCC优质冷轧板；</w:t>
            </w:r>
            <w:r>
              <w:rPr>
                <w:rFonts w:hint="eastAsia" w:ascii="宋体" w:hAnsi="宋体" w:cs="宋体"/>
                <w:kern w:val="0"/>
                <w:sz w:val="18"/>
                <w:szCs w:val="18"/>
              </w:rPr>
              <w:br w:type="textWrapping"/>
            </w:r>
            <w:r>
              <w:rPr>
                <w:rFonts w:hint="eastAsia" w:ascii="宋体" w:hAnsi="宋体" w:cs="宋体"/>
                <w:kern w:val="0"/>
                <w:sz w:val="18"/>
                <w:szCs w:val="18"/>
              </w:rPr>
              <w:t>配标垂直走线槽</w:t>
            </w:r>
            <w:r>
              <w:rPr>
                <w:rFonts w:hint="eastAsia" w:ascii="宋体" w:hAnsi="宋体" w:cs="宋体"/>
                <w:kern w:val="0"/>
                <w:sz w:val="18"/>
                <w:szCs w:val="18"/>
              </w:rPr>
              <w:br w:type="textWrapping"/>
            </w:r>
            <w:r>
              <w:rPr>
                <w:rStyle w:val="56"/>
                <w:rFonts w:hint="default"/>
                <w:color w:val="auto"/>
              </w:rPr>
              <w:t>尺寸：深度600*宽度800*高度2000</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图腾、DELL、金盾、一舟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全频扬声器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1.高密度纤维板全频扬声器（颜色可定制），可定制为环保防水箱体，单元组成：LF：1*6.5"低音单元/HF：2*3"高音单元；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2.额定功率﹥140W，额定阻抗：8Ω，覆盖角度：80°水平*80°垂直；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3.频率范围：100Hz-19KHz，灵敏度(1m/1W)：95dB，最大声压级：120dB；</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Mission</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功率放大器</w:t>
            </w:r>
          </w:p>
        </w:tc>
        <w:tc>
          <w:tcPr>
            <w:tcW w:w="567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1.输出功率≥2*200W/8Ω，≥2*350W/4Ω，≥2*380W/2Ω；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2.信噪比：103dB，失真：&lt;0.05%@8Ω1KHz，输入阻抗：20KΩ；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3.频响范围：35Hz—20KHz，阻尼系数：&gt;400@8ohm，6.3mmTRS平衡插座；</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Mission</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8路电源时序器</w:t>
            </w:r>
          </w:p>
        </w:tc>
        <w:tc>
          <w:tcPr>
            <w:tcW w:w="5670" w:type="dxa"/>
            <w:tcBorders>
              <w:top w:val="nil"/>
              <w:left w:val="nil"/>
              <w:bottom w:val="single" w:color="auto" w:sz="4" w:space="0"/>
              <w:right w:val="single" w:color="auto" w:sz="4" w:space="0"/>
            </w:tcBorders>
            <w:noWrap/>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1.8路电源时序控制，每路延时1S；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2.整机容量30A，额定输出电压：交流220V,50Hz；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3.每路输出采用万能插座AC220V（13A），前面板配常开电源座；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4.Bypass开关可强制打开全部通道，可进行短路外控；</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LBT</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数字音频矩阵</w:t>
            </w:r>
          </w:p>
        </w:tc>
        <w:tc>
          <w:tcPr>
            <w:tcW w:w="5670" w:type="dxa"/>
            <w:tcBorders>
              <w:top w:val="nil"/>
              <w:left w:val="nil"/>
              <w:bottom w:val="single" w:color="auto" w:sz="4" w:space="0"/>
              <w:right w:val="single" w:color="auto" w:sz="4" w:space="0"/>
            </w:tcBorders>
            <w:noWrap/>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1.≥2路信号输入≥8路信号输出，可组合多种分频模式，高、低通分频点均可达20Hz～20KHz；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2.96KHz采样频率，32-bit DSP处理器，24-bit A/D及D/A转换；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3.通过RS485接口可最多连接250台机器和超过1500米的距离外用电脑来控制；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4.单机可存储30种用户程序，每个输入和输出均有6段独立的参量均衡，调节增益范围可达±20dB；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5.2×24 LCD蓝色背光显示功能设置，6段LED显示输入/输出的精确数字电平表、哑音及编辑状态；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6.每个输入和输出均有延时和相位控制及哑音设置，延时最长可达1000ms；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7.输出通道还可控制增益、压限及选择输入通道信号，并能将某通道的所有参数复制到另外一个通道并能进行联动控制；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8.支持集中控制系统进行控制，可控制处理器的路由、音量、场景等</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LBT</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有线鹅颈话筒</w:t>
            </w:r>
          </w:p>
        </w:tc>
        <w:tc>
          <w:tcPr>
            <w:tcW w:w="5670" w:type="dxa"/>
            <w:tcBorders>
              <w:top w:val="nil"/>
              <w:left w:val="nil"/>
              <w:bottom w:val="single" w:color="auto" w:sz="4" w:space="0"/>
              <w:right w:val="single" w:color="auto" w:sz="4" w:space="0"/>
            </w:tcBorders>
            <w:noWrap/>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1.分拆式设计，造形简洁、美观大方，经久耐用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2.可绕式电容麦克风杆，并具有灯环提示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3.带前凑音(开启和关闭时, 有“叮咚”前奏音放出)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4.内置高技术规格的配合线路，适用于广播及通讯用途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5.指向特性：心型指向型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6.频率响应：40Hz-16KHz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7.灵敏度：-38dB/±2dB（1KHz）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8.输出阻抗：200Ω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9.拾音距离：≥50cm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10.电源供应：DC3V</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支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noWrap/>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8981"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r>
              <w:rPr>
                <w:rFonts w:hint="eastAsia" w:ascii="宋体" w:hAnsi="宋体" w:cs="宋体"/>
                <w:b/>
                <w:bCs/>
                <w:color w:val="0000FF"/>
                <w:kern w:val="0"/>
                <w:sz w:val="28"/>
                <w:szCs w:val="28"/>
              </w:rPr>
              <w:t>十六、前进***监控中心LED大屏及机房建设清单</w:t>
            </w:r>
          </w:p>
        </w:tc>
        <w:tc>
          <w:tcPr>
            <w:tcW w:w="170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FF"/>
                <w:kern w:val="0"/>
                <w:sz w:val="22"/>
                <w:szCs w:val="22"/>
              </w:rPr>
            </w:pPr>
            <w:r>
              <w:rPr>
                <w:rFonts w:hint="eastAsia" w:ascii="宋体" w:hAnsi="宋体" w:cs="宋体"/>
                <w:color w:val="0000FF"/>
                <w:kern w:val="0"/>
                <w:sz w:val="22"/>
                <w:szCs w:val="22"/>
              </w:rPr>
              <w:t>　</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室内小间距LED显示屏</w:t>
            </w:r>
          </w:p>
        </w:tc>
        <w:tc>
          <w:tcPr>
            <w:tcW w:w="5670" w:type="dxa"/>
            <w:tcBorders>
              <w:top w:val="nil"/>
              <w:left w:val="nil"/>
              <w:bottom w:val="single" w:color="auto" w:sz="4" w:space="0"/>
              <w:right w:val="single" w:color="auto" w:sz="4" w:space="0"/>
            </w:tcBorders>
            <w:vAlign w:val="center"/>
          </w:tcPr>
          <w:p>
            <w:pPr>
              <w:widowControl/>
              <w:jc w:val="left"/>
              <w:textAlignment w:val="top"/>
              <w:rPr>
                <w:rFonts w:ascii="宋体" w:hAnsi="宋体" w:cs="宋体"/>
                <w:color w:val="auto"/>
                <w:kern w:val="0"/>
                <w:sz w:val="18"/>
                <w:szCs w:val="18"/>
              </w:rPr>
            </w:pPr>
            <w:r>
              <w:rPr>
                <w:rFonts w:hint="eastAsia" w:ascii="宋体" w:hAnsi="宋体" w:cs="宋体"/>
                <w:color w:val="auto"/>
                <w:kern w:val="0"/>
                <w:sz w:val="18"/>
                <w:szCs w:val="18"/>
              </w:rPr>
              <w:t>1.LED发光二极管：表贴三合一LED；</w:t>
            </w:r>
          </w:p>
          <w:p>
            <w:pPr>
              <w:widowControl/>
              <w:jc w:val="left"/>
              <w:textAlignment w:val="top"/>
              <w:rPr>
                <w:rFonts w:ascii="宋体" w:hAnsi="宋体" w:cs="宋体"/>
                <w:color w:val="auto"/>
                <w:kern w:val="0"/>
                <w:sz w:val="18"/>
                <w:szCs w:val="18"/>
              </w:rPr>
            </w:pPr>
            <w:r>
              <w:rPr>
                <w:rFonts w:hint="eastAsia" w:ascii="宋体" w:hAnsi="宋体" w:cs="宋体"/>
                <w:color w:val="auto"/>
                <w:kern w:val="0"/>
                <w:sz w:val="18"/>
                <w:szCs w:val="18"/>
              </w:rPr>
              <w:t>2.像素间距：≤1.25mm；</w:t>
            </w:r>
          </w:p>
          <w:p>
            <w:pPr>
              <w:widowControl/>
              <w:jc w:val="left"/>
              <w:textAlignment w:val="top"/>
              <w:rPr>
                <w:rFonts w:ascii="宋体" w:hAnsi="宋体" w:cs="宋体"/>
                <w:color w:val="auto"/>
                <w:kern w:val="0"/>
                <w:sz w:val="18"/>
                <w:szCs w:val="18"/>
              </w:rPr>
            </w:pPr>
            <w:r>
              <w:rPr>
                <w:rFonts w:hint="eastAsia" w:ascii="宋体" w:hAnsi="宋体" w:cs="宋体"/>
                <w:color w:val="auto"/>
                <w:kern w:val="0"/>
                <w:sz w:val="18"/>
                <w:szCs w:val="18"/>
              </w:rPr>
              <w:t>3.可视角度：水平≥175°，垂直≥175°（提供封面具备CMA、CNAS的第三方检测机构出具的检测报告复印件）</w:t>
            </w:r>
          </w:p>
          <w:p>
            <w:pPr>
              <w:widowControl/>
              <w:jc w:val="left"/>
              <w:textAlignment w:val="top"/>
              <w:rPr>
                <w:rFonts w:ascii="宋体" w:hAnsi="宋体" w:cs="宋体"/>
                <w:color w:val="auto"/>
                <w:kern w:val="0"/>
                <w:sz w:val="18"/>
                <w:szCs w:val="18"/>
              </w:rPr>
            </w:pPr>
            <w:r>
              <w:rPr>
                <w:rFonts w:hint="eastAsia" w:ascii="宋体" w:hAnsi="宋体" w:cs="宋体"/>
                <w:color w:val="auto"/>
                <w:kern w:val="0"/>
                <w:sz w:val="18"/>
                <w:szCs w:val="18"/>
              </w:rPr>
              <w:t>4.整屏平整度≤0.1mm/m²（提供封面具备CMA、CNAS的第三方检测机构出具的检测报告复印件）</w:t>
            </w:r>
          </w:p>
          <w:p>
            <w:pPr>
              <w:widowControl/>
              <w:jc w:val="left"/>
              <w:textAlignment w:val="top"/>
              <w:rPr>
                <w:rFonts w:ascii="宋体" w:hAnsi="宋体" w:cs="宋体"/>
                <w:color w:val="auto"/>
                <w:kern w:val="0"/>
                <w:sz w:val="18"/>
                <w:szCs w:val="18"/>
              </w:rPr>
            </w:pPr>
            <w:r>
              <w:rPr>
                <w:rFonts w:hint="eastAsia" w:ascii="宋体" w:hAnsi="宋体" w:cs="宋体"/>
                <w:color w:val="auto"/>
                <w:kern w:val="0"/>
                <w:sz w:val="18"/>
                <w:szCs w:val="18"/>
              </w:rPr>
              <w:t>5.随机选择LED灯珠，在灯珠四侧面以水平夹角45°的方向施加推力110N，灯珠未破碎或脱落（提供封面具备CMA、CNAS的第三方检测机构出具的检测报告复印件）</w:t>
            </w:r>
          </w:p>
          <w:p>
            <w:pPr>
              <w:widowControl/>
              <w:jc w:val="left"/>
              <w:textAlignment w:val="top"/>
              <w:rPr>
                <w:rFonts w:ascii="宋体" w:hAnsi="宋体" w:cs="宋体"/>
                <w:color w:val="auto"/>
                <w:kern w:val="0"/>
                <w:sz w:val="18"/>
                <w:szCs w:val="18"/>
              </w:rPr>
            </w:pPr>
            <w:r>
              <w:rPr>
                <w:rFonts w:hint="eastAsia" w:ascii="宋体" w:hAnsi="宋体" w:cs="宋体"/>
                <w:color w:val="auto"/>
                <w:kern w:val="0"/>
                <w:sz w:val="18"/>
                <w:szCs w:val="18"/>
              </w:rPr>
              <w:t>6.灰度等级：16bit，刷新率≥3840 Hz；</w:t>
            </w:r>
          </w:p>
          <w:p>
            <w:pPr>
              <w:widowControl/>
              <w:jc w:val="left"/>
              <w:textAlignment w:val="top"/>
              <w:rPr>
                <w:rFonts w:ascii="宋体" w:hAnsi="宋体" w:cs="宋体"/>
                <w:color w:val="auto"/>
                <w:kern w:val="0"/>
                <w:sz w:val="18"/>
                <w:szCs w:val="18"/>
              </w:rPr>
            </w:pPr>
            <w:r>
              <w:rPr>
                <w:rFonts w:hint="eastAsia" w:ascii="宋体" w:hAnsi="宋体" w:cs="宋体"/>
                <w:color w:val="auto"/>
                <w:kern w:val="0"/>
                <w:sz w:val="18"/>
                <w:szCs w:val="18"/>
              </w:rPr>
              <w:t>7.显示单元具备3C认证证书；（提供中国质量认证中心出具的证书复印件）</w:t>
            </w:r>
          </w:p>
          <w:p>
            <w:pPr>
              <w:widowControl/>
              <w:jc w:val="left"/>
              <w:textAlignment w:val="top"/>
              <w:rPr>
                <w:rFonts w:ascii="宋体" w:hAnsi="宋体" w:cs="宋体"/>
                <w:color w:val="auto"/>
                <w:kern w:val="0"/>
                <w:sz w:val="18"/>
                <w:szCs w:val="18"/>
              </w:rPr>
            </w:pPr>
            <w:r>
              <w:rPr>
                <w:rFonts w:hint="eastAsia" w:ascii="宋体" w:hAnsi="宋体" w:cs="宋体"/>
                <w:color w:val="auto"/>
                <w:kern w:val="0"/>
                <w:sz w:val="18"/>
                <w:szCs w:val="18"/>
              </w:rPr>
              <w:t>8.具有电磁兼容及安全性检测报告；</w:t>
            </w:r>
          </w:p>
          <w:p>
            <w:pPr>
              <w:widowControl/>
              <w:jc w:val="left"/>
              <w:textAlignment w:val="top"/>
              <w:rPr>
                <w:rFonts w:ascii="宋体" w:hAnsi="宋体" w:cs="宋体"/>
                <w:color w:val="auto"/>
                <w:kern w:val="0"/>
                <w:sz w:val="18"/>
                <w:szCs w:val="18"/>
              </w:rPr>
            </w:pPr>
            <w:r>
              <w:rPr>
                <w:rFonts w:hint="eastAsia" w:ascii="宋体" w:hAnsi="宋体" w:cs="宋体"/>
                <w:color w:val="auto"/>
                <w:kern w:val="0"/>
                <w:sz w:val="18"/>
                <w:szCs w:val="18"/>
              </w:rPr>
              <w:t xml:space="preserve">9.显示屏通过专业的温升测试，保证整屏工作正常，提供温升测试检测报告； </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平方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大华、三星、利亚德、中达电通</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显示屏控制器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一路DVI视频输入；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一路音频输入；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四个网口输出或四路光纤输出；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RS232接口控制，可级联多台进行统一控制；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最大带载分辨率2048×1152或1920×1200。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大华、三星、利亚德、中达电通</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视频综合平台增强型</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1标准19”机架式，4U机箱高度，12个板卡槽位，嵌入式系统，模块化设计，支持双电源冗余，具有2组风扇，每组6个风扇（支持热插拔、冗余；支持吹和抽两种模式同时工作；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2支持刀片式音视频图像处理板，可根据需要配置不同数量的输入板和输出板，最大可以配置1块主控板，1块控制板，10块业务板。输出板卡支持热插拔功能；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3要求主控板至少具有1个VGA输出，不少于2个千兆网口、3个USB接口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4本次设备标配108路视频（1920×1080、25fps、8Mbps）同时进行接收和转发。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5支持1、4、6、8、9、16、25、36等分割显示，支持视频切换流畅无黑屏现象，视频断开后保留最后一帧图像；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6视频上墙延时小于92ms；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7要求设备支持虚拟LED显示功能，即在单屏/拼接屏上显示文字，文字字体、颜色、字符间距、背景色和速度可调节；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8具备底图功能，支持BMP、JPEG图片格式，支持底图更换、轮巡，最大支持分辨率15765X8868的底图；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9支持电视墙的拼接功能，单块输出板卡最多可支持6个屏幕拼接，支持多块输出板卡进行拼接；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10单机最大规模可支持不少于40个3840*2160分辨率端口输出  </w:t>
            </w:r>
            <w:r>
              <w:rPr>
                <w:rFonts w:hint="eastAsia" w:ascii="宋体" w:hAnsi="宋体" w:cs="宋体"/>
                <w:color w:val="000000"/>
                <w:kern w:val="0"/>
                <w:sz w:val="18"/>
                <w:szCs w:val="18"/>
              </w:rPr>
              <w:br w:type="textWrapping"/>
            </w:r>
            <w:r>
              <w:rPr>
                <w:rFonts w:hint="eastAsia" w:ascii="宋体" w:hAnsi="宋体" w:cs="宋体"/>
                <w:kern w:val="0"/>
                <w:sz w:val="18"/>
                <w:szCs w:val="18"/>
              </w:rPr>
              <w:t xml:space="preserve">11★要求设备单块解码板解码能力最高支持：128 路704×574@30fps，或64路1280×720@30fps，或32路1920×1080@30fps（H.264和H.265），或24路2048×1536@25fps，或8路3840×2160@16fps，或6路4096×2160@25fps，或8路4000×3000@15fps的视频解码能力；（提供公安部权威检测机构出具的检测报告原件或复印件，并加盖原厂商公章） </w:t>
            </w:r>
            <w:r>
              <w:rPr>
                <w:rFonts w:hint="eastAsia" w:ascii="宋体" w:hAnsi="宋体" w:cs="宋体"/>
                <w:color w:val="FF0000"/>
                <w:kern w:val="0"/>
                <w:sz w:val="18"/>
                <w:szCs w:val="18"/>
              </w:rPr>
              <w:t xml:space="preserve"> </w:t>
            </w:r>
            <w:r>
              <w:rPr>
                <w:rFonts w:hint="eastAsia" w:ascii="宋体" w:hAnsi="宋体" w:cs="宋体"/>
                <w:color w:val="FF0000"/>
                <w:kern w:val="0"/>
                <w:sz w:val="18"/>
                <w:szCs w:val="18"/>
              </w:rPr>
              <w:br w:type="textWrapping"/>
            </w:r>
            <w:r>
              <w:rPr>
                <w:rFonts w:hint="eastAsia" w:ascii="宋体" w:hAnsi="宋体" w:cs="宋体"/>
                <w:color w:val="000000"/>
                <w:kern w:val="0"/>
                <w:sz w:val="18"/>
                <w:szCs w:val="18"/>
              </w:rPr>
              <w:t xml:space="preserve">12设备支持通过PC软件客户端、WEB浏览器客户端、本地界面、平台客户端、IPAD移动终端进行配置管理；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14要求投标产品具有公安部检测报告，符合GA/T646-2006 视频安防监控系统矩阵切换设备通用技术要求，符合GA/T669.7-2008城市监控报警联网系统技术标准第7部分：管理平台技术要求 GB/T 15211-2013 安全防范报警设备环境适应性要求和实验方法。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15要求设备具有公安部计算机信息系统安全产品质量监督试验中心出具的安全访问控制检测报告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16投标产品须具备自主知识产权，具备视频图像清晰度和移动幅度检测相关专利证书为宜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17提供公安部权威检测机构出具的SVAC检测报告 </w:t>
            </w:r>
            <w:r>
              <w:rPr>
                <w:rFonts w:hint="eastAsia" w:ascii="宋体" w:hAnsi="宋体" w:cs="宋体"/>
                <w:color w:val="000000"/>
                <w:kern w:val="0"/>
                <w:sz w:val="18"/>
                <w:szCs w:val="18"/>
              </w:rPr>
              <w:br w:type="textWrapping"/>
            </w:r>
            <w:r>
              <w:rPr>
                <w:rFonts w:hint="eastAsia" w:ascii="宋体" w:hAnsi="宋体" w:cs="宋体"/>
                <w:kern w:val="0"/>
                <w:sz w:val="18"/>
                <w:szCs w:val="18"/>
              </w:rPr>
              <w:t>需与现有公安分局智慧监控平台对接，实现平台控制拼控解码上墙、支持平台下发视频及预案</w:t>
            </w:r>
            <w:r>
              <w:rPr>
                <w:rFonts w:hint="eastAsia" w:ascii="宋体" w:hAnsi="宋体" w:cs="宋体"/>
                <w:kern w:val="0"/>
                <w:sz w:val="18"/>
                <w:szCs w:val="18"/>
              </w:rPr>
              <w:br w:type="textWrapping"/>
            </w:r>
            <w:r>
              <w:rPr>
                <w:rFonts w:hint="eastAsia" w:ascii="宋体" w:hAnsi="宋体" w:cs="宋体"/>
                <w:color w:val="000000"/>
                <w:kern w:val="0"/>
                <w:sz w:val="18"/>
                <w:szCs w:val="18"/>
              </w:rPr>
              <w:t>标配：3块HDMI输出板、12路HDMI输入板、64路1080P解码能力、支持H.265解码上墙、支持平台下发视频</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大华、三星、利亚德、中达电通</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HDMI高清视频输入卡</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支持4路高清HDMI/DVI输入</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大华、三星、利亚德、中达电通</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HDMI高清解码卡</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支持4路高清HDMI/DVI输出，支持高清确码上墙</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大华、三星、利亚德、中达电通</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HDMI高清解码卡</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支持6路高清HDMI/DVI输出，支持高清确码上墙</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大华、三星、利亚德、中达电通</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多屏控制软件</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1、B/S架构，用户无需安装客户端程序，直接WEB访问，避免操作电脑瘫痪后无法控制大屏幕。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2、网络解码设备管理功能，可以管理网络编解码设备，实现模拟摄像机、网络摄像机、HD-SDI数字摄像机和高清会议系统等网络视频信号和网络计算机信号上屏显示；。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3、云台控制功能，可对球机的转动、变倍、变焦等进行操作；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4、具备同时管理多路实时信号的上墙能力；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5、具备单窗口多路信号源的轮巡功能，可以自定义间隔时间以实现信号的轮巡；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6、具备画面分割功能，能轻松实现单屏4画面、16画面分割；</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7、具备自定义开窗功能，常用1、4、9、16开窗模式，布局灵活多样；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8、支持画面整屏、全屏、跨屏、缩放、漫游等功能；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9、可实现与图像控制器相接的RGB和Video矩阵的联动控制，自动完成相应的矩阵与图像控制系统输入端口的切换。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10、大屏幕管理软件应为全中文界面，无需数据库支持，不需安装数据库引擎，方便维护、备份等系统管理，可向用户提供源代码进行二次开发，也可按照用户要求进行修改。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11、具备软件著作权登记证书；</w:t>
            </w:r>
            <w:r>
              <w:rPr>
                <w:rFonts w:ascii="宋体" w:hAnsi="宋体" w:cs="宋体"/>
                <w:color w:val="000000"/>
                <w:kern w:val="0"/>
                <w:sz w:val="18"/>
                <w:szCs w:val="18"/>
              </w:rPr>
              <w:t xml:space="preserve"> </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结构安装支架</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1、安装支架，根据现场条件进行定制。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2、保证快速检修的需要。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3、安装支架配有上下左右前后六个方向微调。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4、采用铝合金型材结构设计。</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平方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配电柜</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20KW标准配电柜（含PLC）具有过压、过流等保护功能，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具有远程控制及定时自动开关功能，具有多路输出及延时上电功能，配电系统包括自电源总进线开始的全部电缆。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设备产品符合并通过国家强制性CCC认证要求（提供复印扫描件）。</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工程线缆</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配套工程线材：含大屏各类控制线、高清输出输入线、信号线等</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批</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高清分配器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电脑信号输出分配器、根据情况选配VGA或HDMI</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市电配电</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市电强电引入到大屏位置、15KV、3项5线制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大屏包边装饰</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大屏周边装饰包边、与室内色调相协调、采用烤漆玻璃面板</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UPS配电</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从UPS配电间引入不间断电源供操作台电脑使用</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远程自动监测智能变频五联机柜</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1、单柜框架尺寸：800*1200*2000mm(宽*深*高)</w:t>
            </w:r>
            <w:r>
              <w:rPr>
                <w:rFonts w:hint="eastAsia" w:ascii="宋体" w:hAnsi="宋体" w:cs="宋体"/>
                <w:kern w:val="0"/>
                <w:sz w:val="18"/>
                <w:szCs w:val="18"/>
              </w:rPr>
              <w:br w:type="textWrapping"/>
            </w:r>
            <w:r>
              <w:rPr>
                <w:rFonts w:hint="eastAsia" w:ascii="宋体" w:hAnsi="宋体" w:cs="宋体"/>
                <w:kern w:val="0"/>
                <w:sz w:val="18"/>
                <w:szCs w:val="18"/>
              </w:rPr>
              <w:t>2、整体安装尺寸：4000*1280*2000mm(宽*深*高)</w:t>
            </w:r>
            <w:r>
              <w:rPr>
                <w:rFonts w:hint="eastAsia" w:ascii="宋体" w:hAnsi="宋体" w:cs="宋体"/>
                <w:kern w:val="0"/>
                <w:sz w:val="18"/>
                <w:szCs w:val="18"/>
              </w:rPr>
              <w:br w:type="textWrapping"/>
            </w:r>
            <w:r>
              <w:rPr>
                <w:rFonts w:hint="eastAsia" w:ascii="宋体" w:hAnsi="宋体" w:cs="宋体"/>
                <w:kern w:val="0"/>
                <w:sz w:val="18"/>
                <w:szCs w:val="18"/>
              </w:rPr>
              <w:t>3、★融合柜体模块：全封闭，前门中空钢化玻璃门，柜内设冷热通道气流循环，内置智能应急送风装置，感应照明系统以及局部空载密闭组件；</w:t>
            </w:r>
            <w:r>
              <w:rPr>
                <w:rFonts w:hint="eastAsia" w:ascii="宋体" w:hAnsi="宋体" w:cs="宋体"/>
                <w:kern w:val="0"/>
                <w:sz w:val="18"/>
                <w:szCs w:val="18"/>
              </w:rPr>
              <w:br w:type="textWrapping"/>
            </w:r>
            <w:r>
              <w:rPr>
                <w:rFonts w:hint="eastAsia" w:ascii="宋体" w:hAnsi="宋体" w:cs="宋体"/>
                <w:kern w:val="0"/>
                <w:sz w:val="18"/>
                <w:szCs w:val="18"/>
              </w:rPr>
              <w:t>4、绿色变频制冷模块：双模块设计，支持最大制冷量12kW （标配5米铜管辅材）;支持IT设备分步进场,实现节能；</w:t>
            </w:r>
            <w:r>
              <w:rPr>
                <w:rFonts w:hint="eastAsia" w:ascii="宋体" w:hAnsi="宋体" w:cs="宋体"/>
                <w:kern w:val="0"/>
                <w:sz w:val="18"/>
                <w:szCs w:val="18"/>
              </w:rPr>
              <w:br w:type="textWrapping"/>
            </w:r>
            <w:r>
              <w:rPr>
                <w:rFonts w:hint="eastAsia" w:ascii="宋体" w:hAnsi="宋体" w:cs="宋体"/>
                <w:kern w:val="0"/>
                <w:sz w:val="18"/>
                <w:szCs w:val="18"/>
              </w:rPr>
              <w:t>5、不间断电源模块：最大支持 15KVA/12kW；</w:t>
            </w:r>
            <w:r>
              <w:rPr>
                <w:rFonts w:hint="eastAsia" w:ascii="宋体" w:hAnsi="宋体" w:cs="宋体"/>
                <w:kern w:val="0"/>
                <w:sz w:val="18"/>
                <w:szCs w:val="18"/>
              </w:rPr>
              <w:br w:type="textWrapping"/>
            </w:r>
            <w:r>
              <w:rPr>
                <w:rFonts w:hint="eastAsia" w:ascii="宋体" w:hAnsi="宋体" w:cs="宋体"/>
                <w:kern w:val="0"/>
                <w:sz w:val="18"/>
                <w:szCs w:val="18"/>
              </w:rPr>
              <w:t>6、智能配电模块：柜内基础设施市电、不间断电源分配；为 IT 设备提供两路完全独立的电源，一路不间断电源，一路市电；</w:t>
            </w:r>
            <w:r>
              <w:rPr>
                <w:rFonts w:hint="eastAsia" w:ascii="宋体" w:hAnsi="宋体" w:cs="宋体"/>
                <w:kern w:val="0"/>
                <w:sz w:val="18"/>
                <w:szCs w:val="18"/>
              </w:rPr>
              <w:br w:type="textWrapping"/>
            </w:r>
            <w:r>
              <w:rPr>
                <w:rFonts w:hint="eastAsia" w:ascii="宋体" w:hAnsi="宋体" w:cs="宋体"/>
                <w:kern w:val="0"/>
                <w:sz w:val="18"/>
                <w:szCs w:val="18"/>
              </w:rPr>
              <w:t>7、★智能管理模块：7 英寸触摸屏实现柜内环境、基础设施设备本地化管理，支持远程集中管理，手机APP（Android）、短信、Email 报警功能，实现7x24 小时无人值守</w:t>
            </w:r>
            <w:r>
              <w:rPr>
                <w:rFonts w:hint="eastAsia" w:ascii="宋体" w:hAnsi="宋体" w:cs="宋体"/>
                <w:kern w:val="0"/>
                <w:sz w:val="18"/>
                <w:szCs w:val="18"/>
              </w:rPr>
              <w:br w:type="textWrapping"/>
            </w:r>
            <w:r>
              <w:rPr>
                <w:rFonts w:hint="eastAsia" w:ascii="宋体" w:hAnsi="宋体" w:cs="宋体"/>
                <w:kern w:val="0"/>
                <w:sz w:val="18"/>
                <w:szCs w:val="18"/>
              </w:rPr>
              <w:t>8、IT 设备可用空间：≥ 176U</w:t>
            </w:r>
            <w:r>
              <w:rPr>
                <w:rFonts w:hint="eastAsia" w:ascii="宋体" w:hAnsi="宋体" w:cs="宋体"/>
                <w:kern w:val="0"/>
                <w:sz w:val="18"/>
                <w:szCs w:val="18"/>
              </w:rPr>
              <w:br w:type="textWrapping"/>
            </w:r>
            <w:r>
              <w:rPr>
                <w:rFonts w:hint="eastAsia" w:ascii="宋体" w:hAnsi="宋体" w:cs="宋体"/>
                <w:kern w:val="0"/>
                <w:sz w:val="18"/>
                <w:szCs w:val="18"/>
              </w:rPr>
              <w:t>9、标配机架式电池包，半载约5-10min</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 </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德塔森特、博科维、申菱、艾迪威</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托盘</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rPr>
              <w:t>19英寸承重托盘；</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9</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德塔森特、博科维、申菱、艾迪威</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盲板</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rPr>
              <w:t>1U免安装塑料盲板，ABS材质；</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166</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德塔森特、博科维、申菱、艾迪威</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毛刷盲板</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rPr>
              <w:t>1U带毛刷金属盲板，具有后部理线功能；</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块</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10</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德塔森特、博科维、申菱、艾迪威</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全频扬声器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1.高密度纤维板全频扬声器（颜色可定制），可定制为环保防水箱体，单元组成：LF：1*6.5"低音单元/HF：2*3"高音单元；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2.额定功率﹥140W，额定阻抗：8Ω，覆盖角度：80°水平*80°垂直；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3.频率范围：100Hz-19KHz，灵敏度(1m/1W)：95dB，最大声压级：120dB；</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Mission</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功率放大器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1.输出功率≥2*200W/8Ω，≥2*350W/4Ω，≥2*380W/2Ω；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2.信噪比：103dB，失真：&lt;0.05%@8Ω1KHz，输入阻抗：20KΩ；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3.频响范围：35Hz—20KHz，阻尼系数：&gt;400@8ohm，6.3mmTRS平衡插座；</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Mission</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8路电源时序器</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1.8路电源时序控制，每路延时1S；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2.整机容量30A，额定输出电压：交流220V,50Hz；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3.每路输出采用万能插座AC220V（13A），前面板配常开电源座；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4.Bypass开关可强制打开全部通道，可进行短路外控；</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LBT</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数字音频矩阵</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1.≥2路信号输入≥8路信号输出，可组合多种分频模式，高、低通分频点均可达20Hz～20KHz；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2.96KHz采样频率，32-bit DSP处理器，24-bit A/D及D/A转换；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3.通过RS485接口可最多连接250台机器和超过1500米的距离外用电脑来控制；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4.单机可存储30种用户程序，每个输入和输出均有6段独立的参量均衡，调节增益范围可达±20dB；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5.2×24 LCD蓝色背光显示功能设置，6段LED显示输入/输出的精确数字电平表、哑音及编辑状态；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6.每个输入和输出均有延时和相位控制及哑音设置，延时最长可达1000ms；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7.输出通道还可控制增益、压限及选择输入通道信号，并能将某通道的所有参数复制到另外一个通道并能进行联动控制；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8.支持集中控制系统进行控制，可控制处理器的路由、音量、场景等</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LBT</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有线鹅颈话筒</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1.分拆式设计，造形简洁、美观大方，经久耐用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2.可绕式电容麦克风杆，并具有灯环提示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3.带前凑音(开启和关闭时, 有“叮咚”前奏音放出)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4.内置高技术规格的配合线路，适用于广播及通讯用途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5.指向特性：心型指向型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6.频率响应：40Hz-16KHz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7.灵敏度：-38dB/±2dB（1KHz）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8.输出阻抗：200Ω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9.拾音距离：≥50cm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10.电源供应：DC3V</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支 </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68" w:hRule="atLeast"/>
          <w:jc w:val="center"/>
        </w:trPr>
        <w:tc>
          <w:tcPr>
            <w:tcW w:w="8997" w:type="dxa"/>
            <w:gridSpan w:val="7"/>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FF"/>
                <w:kern w:val="0"/>
                <w:sz w:val="18"/>
                <w:szCs w:val="18"/>
              </w:rPr>
            </w:pPr>
            <w:r>
              <w:rPr>
                <w:rFonts w:hint="eastAsia" w:ascii="宋体" w:hAnsi="宋体" w:cs="宋体"/>
                <w:b/>
                <w:bCs/>
                <w:color w:val="0000FF"/>
                <w:kern w:val="0"/>
                <w:sz w:val="28"/>
                <w:szCs w:val="28"/>
              </w:rPr>
              <w:t>十七、前进***访客系统清单</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FF"/>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访客机</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二代身份证读卡器 读卡符合公安部GA450/IGA450标准：符合非接触IC卡ISO14443标准，读卡时间：＜=1秒，读卡距离，&lt;=50MM，符合GB/T2423-2001标准规定；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凭条打印机 热敏式点阵打印，打印速度150MM/S,纸宽80MM，自动进纸，缺纸感应，少纸感应，黑标检测，自动切刀；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处理器 CPU: Bay Trail J1900 (1.99 GHz)四核处理器；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扫码性能 扫描角度：54度，可识别的印刷对比度：最低35%的反射差，可读的最小条码：4mil(0.102mm).视解码器而定，解码能力：所有标准一维条码，包括GSI ATABAR(IS4813和IS4815要视解码器而定)；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摄像头 摄像模式：无畸变摄像头， 感光元件: CMOS   像素：高清130万像素 图像传输速率高达30帧/秒，画质清晰不拖影.可在强光下抓拍环境相片；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操作系统 Windows 7；</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显示器(前) 屏幕规格 ：15英寸    显示比例 ：宽屏4:3  物理分辨率：1024*768  屏幕类型：LED背光；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显示器(后) 屏幕规格 ：10.1英寸  显示比例：宽屏16:9   物理分辨率：1024*600   屏幕类型 ：LED背光；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智能电话模块 实现对电话的信令控制、通话录放音、拨号、接收来电号码和双音频码；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条码阅读器 光源：可视激光二极管，感应距离5-20cm，阅读距离65cm，扫描速度：每秒100次，扫描类型，Single line；</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硬盘 固态硬盘120GB；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触摸屏 15寸电容触摸屏，WIN7 免驱，支持多点触摸,最多可支持10点触摸；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证件扫描仪 支持驾照, 护照, 身份证扫描；扫描元件CIS，最大幅面127*76.2MM，光学分辨率（dpi）600*600、色彩深度（位）24，扫描速度＜4秒。</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大华、海康、宇视、来邦</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打印纸</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热敏打印纸</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箱</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68" w:hRule="atLeast"/>
          <w:jc w:val="center"/>
        </w:trPr>
        <w:tc>
          <w:tcPr>
            <w:tcW w:w="8997" w:type="dxa"/>
            <w:gridSpan w:val="7"/>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0000FF"/>
                <w:kern w:val="0"/>
                <w:sz w:val="18"/>
                <w:szCs w:val="18"/>
              </w:rPr>
            </w:pPr>
            <w:r>
              <w:rPr>
                <w:rFonts w:hint="eastAsia" w:ascii="宋体" w:hAnsi="宋体" w:cs="宋体"/>
                <w:b/>
                <w:bCs/>
                <w:color w:val="0000FF"/>
                <w:kern w:val="0"/>
                <w:sz w:val="28"/>
                <w:szCs w:val="28"/>
              </w:rPr>
              <w:t>十八、前进***合成作战拼接屏系统清单</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FF"/>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55寸拼接屏(2*2拼接)</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尺寸:55英寸 双边拼缝1.7</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屏幕比例:16:9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亮度:700cd/m2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背光模式：LED背光源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分辨率:1920*1080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响应速度:8ms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色彩饱和度：92%</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大华、三星、利亚德、中达电通</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模块化支架</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子单元模块化支架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显示单元底座</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液晶单元配套底座，底座高度：1000（mm）</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线缆</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rPr>
              <w:t>配套，包含DVI、VGA、控制线缆、多用插座等。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分配器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rPr>
              <w:t>一分二分配放大器</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大屏幕显示系统控制软件</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大屏幕显示系统控制软件</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大华、三星、利亚德、中达电通</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视频综合平台增强型</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20"/>
                <w:szCs w:val="20"/>
              </w:rPr>
              <w:t>主处理器 64位四核处理器</w:t>
            </w:r>
            <w:r>
              <w:rPr>
                <w:rFonts w:hint="eastAsia" w:ascii="宋体" w:hAnsi="宋体" w:cs="宋体"/>
                <w:kern w:val="0"/>
                <w:sz w:val="20"/>
                <w:szCs w:val="20"/>
              </w:rPr>
              <w:br w:type="textWrapping"/>
            </w:r>
            <w:r>
              <w:rPr>
                <w:rFonts w:hint="eastAsia" w:ascii="宋体" w:hAnsi="宋体" w:cs="宋体"/>
                <w:kern w:val="0"/>
                <w:sz w:val="20"/>
                <w:szCs w:val="20"/>
              </w:rPr>
              <w:t>操作系统 嵌入式LINUX</w:t>
            </w:r>
            <w:r>
              <w:rPr>
                <w:rFonts w:hint="eastAsia" w:ascii="宋体" w:hAnsi="宋体" w:cs="宋体"/>
                <w:kern w:val="0"/>
                <w:sz w:val="20"/>
                <w:szCs w:val="20"/>
              </w:rPr>
              <w:br w:type="textWrapping"/>
            </w:r>
            <w:r>
              <w:rPr>
                <w:rFonts w:hint="eastAsia" w:ascii="宋体" w:hAnsi="宋体" w:cs="宋体"/>
                <w:kern w:val="0"/>
                <w:sz w:val="20"/>
                <w:szCs w:val="20"/>
              </w:rPr>
              <w:t>总线 PCIE总线、以太网总线</w:t>
            </w:r>
            <w:r>
              <w:rPr>
                <w:rFonts w:hint="eastAsia" w:ascii="宋体" w:hAnsi="宋体" w:cs="宋体"/>
                <w:kern w:val="0"/>
                <w:sz w:val="20"/>
                <w:szCs w:val="20"/>
              </w:rPr>
              <w:br w:type="textWrapping"/>
            </w:r>
            <w:r>
              <w:rPr>
                <w:rFonts w:hint="eastAsia" w:ascii="宋体" w:hAnsi="宋体" w:cs="宋体"/>
                <w:kern w:val="0"/>
                <w:sz w:val="20"/>
                <w:szCs w:val="20"/>
              </w:rPr>
              <w:t>卡槽 12个（1个主控板槽位，1个控制板槽位，10个视音频业务板槽位）</w:t>
            </w:r>
            <w:r>
              <w:rPr>
                <w:rFonts w:hint="eastAsia" w:ascii="宋体" w:hAnsi="宋体" w:cs="宋体"/>
                <w:kern w:val="0"/>
                <w:sz w:val="20"/>
                <w:szCs w:val="20"/>
              </w:rPr>
              <w:br w:type="textWrapping"/>
            </w:r>
            <w:r>
              <w:rPr>
                <w:rFonts w:hint="eastAsia" w:ascii="宋体" w:hAnsi="宋体" w:cs="宋体"/>
                <w:kern w:val="0"/>
                <w:sz w:val="20"/>
                <w:szCs w:val="20"/>
              </w:rPr>
              <w:t>主机箱 支持双电源，主控板，总线背板，智能温控风扇</w:t>
            </w:r>
            <w:r>
              <w:rPr>
                <w:rFonts w:hint="eastAsia" w:ascii="宋体" w:hAnsi="宋体" w:cs="宋体"/>
                <w:kern w:val="0"/>
                <w:sz w:val="20"/>
                <w:szCs w:val="20"/>
              </w:rPr>
              <w:br w:type="textWrapping"/>
            </w:r>
            <w:r>
              <w:rPr>
                <w:rFonts w:hint="eastAsia" w:ascii="宋体" w:hAnsi="宋体" w:cs="宋体"/>
                <w:kern w:val="0"/>
                <w:sz w:val="20"/>
                <w:szCs w:val="20"/>
              </w:rPr>
              <w:t>主控接口 6个RJ45接口（主控2个RJ45，控制板扩展4个RJ45），支持1000M网络；4个RS-232接口（4个RJ45）；1个RS-485接口，支持主流球机云台协议；2个USB2.0接口，1个USB3.0接口</w:t>
            </w:r>
            <w:r>
              <w:rPr>
                <w:rFonts w:hint="eastAsia" w:ascii="宋体" w:hAnsi="宋体" w:cs="宋体"/>
                <w:kern w:val="0"/>
                <w:sz w:val="20"/>
                <w:szCs w:val="20"/>
              </w:rPr>
              <w:br w:type="textWrapping"/>
            </w:r>
            <w:r>
              <w:rPr>
                <w:rFonts w:hint="eastAsia" w:ascii="宋体" w:hAnsi="宋体" w:cs="宋体"/>
                <w:kern w:val="0"/>
                <w:sz w:val="20"/>
                <w:szCs w:val="20"/>
              </w:rPr>
              <w:t>电源及功耗 交流电源：100~120V AC，200~240V AC，≤600W</w:t>
            </w:r>
            <w:r>
              <w:rPr>
                <w:rFonts w:hint="eastAsia" w:ascii="宋体" w:hAnsi="宋体" w:cs="宋体"/>
                <w:kern w:val="0"/>
                <w:sz w:val="20"/>
                <w:szCs w:val="20"/>
              </w:rPr>
              <w:br w:type="textWrapping"/>
            </w:r>
            <w:r>
              <w:rPr>
                <w:rFonts w:hint="eastAsia" w:ascii="宋体" w:hAnsi="宋体" w:cs="宋体"/>
                <w:kern w:val="0"/>
                <w:sz w:val="20"/>
                <w:szCs w:val="20"/>
              </w:rPr>
              <w:t>标配:6路DVI高清输出、4路HDMI输入、16路1080P解码能力、支持H.265解码</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大华、三星、利亚德、中达电通</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配电</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rPr>
              <w:t>含配电箱、空开、接线桩子等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大屏包边</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rPr>
              <w:t>拼接屏周围包边装修</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全频扬声器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1.高密度纤维板全频扬声器（颜色可定制），可定制为环保防水箱体，单元组成：LF：1*6.5"低音单元/HF：2*3"高音单元；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2.额定功率﹥140W，额定阻抗：8Ω，覆盖角度：80°水平*80°垂直；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3.频率范围：100Hz-19KHz，灵敏度(1m/1W)：95dB，最大声压级：120dB；</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Mission</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功率放大器</w:t>
            </w:r>
          </w:p>
        </w:tc>
        <w:tc>
          <w:tcPr>
            <w:tcW w:w="567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1.输出功率≥2*200W/8Ω，≥2*350W/4Ω，≥2*380W/2Ω；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2.信噪比：103dB，失真：&lt;0.05%@8Ω1KHz，输入阻抗：20KΩ；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3.频响范围：35Hz—20KHz，阻尼系数：&gt;400@8ohm，6.3mmTRS平衡插座；</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Mission</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8路电源时序器</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1.8路电源时序控制，每路延时1S；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2.整机容量30A，额定输出电压：交流220V,50Hz；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3.每路输出采用万能插座AC220V（13A），前面板配常开电源座；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4.Bypass开关可强制打开全部通道，可进行短路外控；</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LBT</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数字音频矩阵</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1.≥2路信号输入≥8路信号输出，可组合多种分频模式，高、低通分频点均可达20Hz～20KHz；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2.96KHz采样频率，32-bit DSP处理器，24-bit A/D及D/A转换；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3.通过RS485接口可最多连接250台机器和超过1500米的距离外用电脑来控制；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4.单机可存储30种用户程序，每个输入和输出均有6段独立的参量均衡，调节增益范围可达±20dB；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5.2×24 LCD蓝色背光显示功能设置，6段LED显示输入/输出的精确数字电平表、哑音及编辑状态；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6.每个输入和输出均有延时和相位控制及哑音设置，延时最长可达1000ms；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7.输出通道还可控制增益、压限及选择输入通道信号，并能将某通道的所有参数复制到另外一个通道并能进行联动控制；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8.支持集中控制系统进行控制，可控制处理器的路由、音量、场景等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台 </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LBT</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有线鹅颈话筒</w:t>
            </w:r>
          </w:p>
        </w:tc>
        <w:tc>
          <w:tcPr>
            <w:tcW w:w="5670"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18"/>
                <w:szCs w:val="18"/>
              </w:rPr>
            </w:pPr>
            <w:r>
              <w:rPr>
                <w:rFonts w:hint="eastAsia" w:ascii="宋体" w:hAnsi="宋体" w:cs="宋体"/>
                <w:color w:val="000000"/>
                <w:kern w:val="0"/>
                <w:sz w:val="18"/>
                <w:szCs w:val="18"/>
              </w:rPr>
              <w:t>1.分拆式设计，造形简洁、美观大方，经久耐用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2.可绕式电容麦克风杆，并具有灯环提示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3.带前凑音(开启和关闭时, 有“叮咚”前奏音放出)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4.内置高技术规格的配合线路，适用于广播及通讯用途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5.指向特性：心型指向型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6.频率响应：40Hz-16KHz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7.灵敏度：-38dB/±2dB（1KHz）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8.输出阻抗：200Ω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9.拾音距离：≥50cm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10.电源供应：DC3V</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支 </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DS迪赛思、COUDUS卡达斯、Meyersound美亚声、</w:t>
            </w:r>
            <w:r>
              <w:rPr>
                <w:rFonts w:ascii="宋体" w:hAnsi="宋体" w:cs="宋体"/>
                <w:color w:val="000000"/>
                <w:kern w:val="0"/>
                <w:sz w:val="18"/>
                <w:szCs w:val="18"/>
              </w:rPr>
              <w:t>SONBS</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nil"/>
              <w:left w:val="nil"/>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69" w:hRule="atLeast"/>
          <w:jc w:val="center"/>
        </w:trPr>
        <w:tc>
          <w:tcPr>
            <w:tcW w:w="8997" w:type="dxa"/>
            <w:gridSpan w:val="7"/>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FF"/>
                <w:kern w:val="0"/>
                <w:sz w:val="28"/>
                <w:szCs w:val="28"/>
              </w:rPr>
            </w:pPr>
            <w:r>
              <w:rPr>
                <w:rFonts w:hint="eastAsia" w:ascii="宋体" w:hAnsi="宋体" w:cs="宋体"/>
                <w:b/>
                <w:bCs/>
                <w:color w:val="0000FF"/>
                <w:kern w:val="0"/>
                <w:sz w:val="28"/>
                <w:szCs w:val="28"/>
              </w:rPr>
              <w:t>十九、前进***综合布线系统清单</w:t>
            </w:r>
          </w:p>
        </w:tc>
        <w:tc>
          <w:tcPr>
            <w:tcW w:w="168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FF"/>
                <w:kern w:val="0"/>
                <w:sz w:val="18"/>
                <w:szCs w:val="18"/>
              </w:rPr>
            </w:pPr>
            <w:r>
              <w:rPr>
                <w:rFonts w:hint="eastAsia" w:ascii="宋体" w:hAnsi="宋体" w:cs="宋体"/>
                <w:color w:val="0000FF"/>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综合布线系统管线</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PVC管</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PVC25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伟星\中财\永士\顺达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六类网线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Cat6-UTP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六类电话线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Cat6-UTP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双口插座面板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86面板</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单口插座面板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86面板</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电脑模块</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六类非屏蔽RJ45模块</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电话模块</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四芯电话模块</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有线电视模块</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86型含电视模块</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电视线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SYWV75-5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21.6</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电视线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SYWV75-7</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双向有线电视放大器</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750MHZ</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四分配器</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一分四</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四分支器</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一分四</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电视分线箱</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（300*300*250）A3（铁盒）</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8芯单模光纤</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GY8芯</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单模光纤熔接</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（含测试）</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芯</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尾纤</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3M</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12口光纤配线架</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含耦合器</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48口光纤配线架</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含耦合器</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24口快捷式配线架</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24口</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15 </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电脑理线架</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1U 19寸</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16 </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电话配线架</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3 </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配线跳线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六类跳线、1.5米长</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300 </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100对电话电缆</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HYA100*0.4</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UPS插座</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86型</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铜塑电缆线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UPS进线 YJV4*16+1*10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中策\万马\联谊\爱普华顿</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铜塑电缆线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UPS专用线 YJV3*16</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0.5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中策\万马\联谊\爱普华顿</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铜塑电缆线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UPS专用线 YJV3*6</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中策\万马\联谊\爱普华顿</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RVV3*2.5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桥架系统</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水平桥架</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200*100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118</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远大\好远\迈迅\圣宇</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水平桥架</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300*100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138</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远大\好远\迈迅\圣宇</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垂直桥架</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300*100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远大\好远\迈迅\圣宇</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桥架支撑架</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桥架配套</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100kg</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15</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无线WiFi网络AP系统管线</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PVC管</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PVC25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伟星\中财\永士\顺达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六类网线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Cat6-UTP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RVV2*1.5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10113" w:type="dxa"/>
            <w:gridSpan w:val="8"/>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**监控系统管线</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PVC管</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PVC25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伟星\中财\永士\顺达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六类网线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Cat6-UTP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RVV2*1.5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高清信号线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高清HDMI/DVI信号线</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审讯系统管线</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PVC管</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PVC25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伟星\中财\永士\顺达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六类网线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Cat6-UTP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RVV2*1.5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音频线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RVVP4*1.0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门禁系统管线</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PVC管</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PVC25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伟星\中财\永士\顺达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六类网线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Cat6-UTP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RVV2*1.5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RVV5*1.5</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350"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车辆识别道闸系统管线</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PVC管</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PVC25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伟星\中财\永士\顺达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六类网线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Cat6-UTP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RVV3*1.0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控制线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RVVSP2*1.0</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信号线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RVVP8*0.5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售饭系统管线</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PVC管</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PVC25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伟星\中财\永士\顺达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六类网线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Cat6-UTP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RVV2*1.5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背景音乐系统管线</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PVC管</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PVC25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伟星\中财\永士\顺达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六类网线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Cat6-UTP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RVV2*2.5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二层小会议系统管线</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PVC管</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PVC25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伟星\中财\永士\顺达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音响线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音响线2*1.5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VGA线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VGA线</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HDMI线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HDMI线</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音频线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RVVPSN2*0.37</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六类网线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Cat6-UTP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视频线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SYWV75-5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0.4</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二层大会议系统管线</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PVC管</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PVC25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伟星\中财\永士\顺达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音响线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音响线2*1.5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VGA线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VGA线</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HDMI线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HDMI线</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音频线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RVVPSN2*0.37</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六类网线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Cat6-UTP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三层大会议系统管线</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PVC管</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PVC25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伟星\中财\永士\顺达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音响线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音响线2*1.5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87</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VGA线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VGA线</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88</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HDMI线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HDMI线</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音频线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RVVPSN2*0.37</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91</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六类网线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Cat6-UTP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92</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排队叫号系统管线</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93</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PVC管</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PVC25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伟星\中财\永士\顺达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94</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六类网线</w:t>
            </w:r>
          </w:p>
        </w:tc>
        <w:tc>
          <w:tcPr>
            <w:tcW w:w="56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Cat6-UTP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电源线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RVV2*1.5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LED电子屏显示系统管线</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PVC管</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PVC25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伟星\中财\永士\顺达</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电源线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RVV3*2.5</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84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六类网线</w:t>
            </w:r>
          </w:p>
        </w:tc>
        <w:tc>
          <w:tcPr>
            <w:tcW w:w="56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Cat6-UTP</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扬州永诚\联谊\帝诚\罗格朗</w:t>
            </w:r>
          </w:p>
        </w:tc>
      </w:tr>
      <w:tr>
        <w:tblPrEx>
          <w:tblLayout w:type="fixed"/>
          <w:tblCellMar>
            <w:top w:w="0" w:type="dxa"/>
            <w:left w:w="108" w:type="dxa"/>
            <w:bottom w:w="0" w:type="dxa"/>
            <w:right w:w="108" w:type="dxa"/>
          </w:tblCellMar>
        </w:tblPrEx>
        <w:trPr>
          <w:trHeight w:val="402" w:hRule="atLeast"/>
          <w:jc w:val="center"/>
        </w:trPr>
        <w:tc>
          <w:tcPr>
            <w:tcW w:w="5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101</w:t>
            </w:r>
          </w:p>
        </w:tc>
        <w:tc>
          <w:tcPr>
            <w:tcW w:w="10113" w:type="dxa"/>
            <w:gridSpan w:val="8"/>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紧急呼叫报警系统管线</w:t>
            </w:r>
          </w:p>
        </w:tc>
      </w:tr>
      <w:tr>
        <w:tblPrEx>
          <w:tblLayout w:type="fixed"/>
          <w:tblCellMar>
            <w:top w:w="0" w:type="dxa"/>
            <w:left w:w="108" w:type="dxa"/>
            <w:bottom w:w="0" w:type="dxa"/>
            <w:right w:w="108" w:type="dxa"/>
          </w:tblCellMar>
        </w:tblPrEx>
        <w:trPr>
          <w:trHeight w:val="402" w:hRule="atLeast"/>
          <w:jc w:val="center"/>
        </w:trPr>
        <w:tc>
          <w:tcPr>
            <w:tcW w:w="5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102</w:t>
            </w:r>
          </w:p>
        </w:tc>
        <w:tc>
          <w:tcPr>
            <w:tcW w:w="184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PVC管</w:t>
            </w:r>
          </w:p>
        </w:tc>
        <w:tc>
          <w:tcPr>
            <w:tcW w:w="567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PVC25</w:t>
            </w:r>
          </w:p>
        </w:tc>
        <w:tc>
          <w:tcPr>
            <w:tcW w:w="66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100m</w:t>
            </w:r>
          </w:p>
        </w:tc>
        <w:tc>
          <w:tcPr>
            <w:tcW w:w="450" w:type="dxa"/>
            <w:gridSpan w:val="4"/>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伟星\中财\永士\顺达</w:t>
            </w:r>
          </w:p>
        </w:tc>
      </w:tr>
      <w:tr>
        <w:tblPrEx>
          <w:tblLayout w:type="fixed"/>
          <w:tblCellMar>
            <w:top w:w="0" w:type="dxa"/>
            <w:left w:w="108" w:type="dxa"/>
            <w:bottom w:w="0" w:type="dxa"/>
            <w:right w:w="108" w:type="dxa"/>
          </w:tblCellMar>
        </w:tblPrEx>
        <w:trPr>
          <w:trHeight w:val="402" w:hRule="atLeast"/>
          <w:jc w:val="center"/>
        </w:trPr>
        <w:tc>
          <w:tcPr>
            <w:tcW w:w="5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03</w:t>
            </w:r>
          </w:p>
        </w:tc>
        <w:tc>
          <w:tcPr>
            <w:tcW w:w="184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配件附件及安装调试费</w:t>
            </w:r>
          </w:p>
        </w:tc>
        <w:tc>
          <w:tcPr>
            <w:tcW w:w="5670" w:type="dxa"/>
            <w:tcBorders>
              <w:top w:val="single" w:color="auto" w:sz="4" w:space="0"/>
              <w:left w:val="nil"/>
              <w:bottom w:val="single" w:color="auto" w:sz="4" w:space="0"/>
              <w:right w:val="single" w:color="auto" w:sz="4" w:space="0"/>
            </w:tcBorders>
            <w:noWrap/>
            <w:vAlign w:val="center"/>
          </w:tcPr>
          <w:p>
            <w:pPr>
              <w:rPr>
                <w:rFonts w:ascii="宋体" w:hAnsi="宋体" w:cs="宋体"/>
                <w:color w:val="000000"/>
                <w:kern w:val="0"/>
                <w:sz w:val="18"/>
                <w:szCs w:val="18"/>
              </w:rPr>
            </w:pPr>
            <w:r>
              <w:rPr>
                <w:rFonts w:hint="eastAsia" w:ascii="宋体" w:hAnsi="宋体" w:cs="宋体"/>
                <w:color w:val="000000"/>
                <w:kern w:val="0"/>
                <w:sz w:val="18"/>
                <w:szCs w:val="18"/>
              </w:rPr>
              <w:t>零星小配件及零星辅材、安装附件等</w:t>
            </w:r>
          </w:p>
        </w:tc>
        <w:tc>
          <w:tcPr>
            <w:tcW w:w="66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50" w:type="dxa"/>
            <w:gridSpan w:val="4"/>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bl>
    <w:p>
      <w:pPr>
        <w:snapToGrid w:val="0"/>
        <w:spacing w:line="360" w:lineRule="auto"/>
        <w:ind w:firstLine="472" w:firstLineChars="196"/>
        <w:jc w:val="left"/>
        <w:rPr>
          <w:rFonts w:ascii="宋体" w:hAnsi="宋体"/>
          <w:b/>
          <w:sz w:val="24"/>
        </w:rPr>
      </w:pPr>
    </w:p>
    <w:p>
      <w:pPr>
        <w:snapToGrid w:val="0"/>
        <w:spacing w:line="360" w:lineRule="auto"/>
        <w:ind w:firstLine="411" w:firstLineChars="196"/>
        <w:jc w:val="left"/>
        <w:rPr>
          <w:rFonts w:ascii="宋体" w:hAnsi="宋体" w:cs="Arial"/>
          <w:b/>
          <w:color w:val="000000"/>
          <w:szCs w:val="21"/>
          <w:highlight w:val="yellow"/>
        </w:rPr>
      </w:pPr>
      <w:r>
        <w:rPr>
          <w:rFonts w:hint="eastAsia" w:ascii="宋体" w:hAnsi="宋体" w:cs="宋体"/>
          <w:color w:val="000000"/>
          <w:kern w:val="0"/>
          <w:szCs w:val="18"/>
          <w:highlight w:val="yellow"/>
        </w:rPr>
        <w:t>★</w:t>
      </w:r>
      <w:r>
        <w:rPr>
          <w:rFonts w:hint="eastAsia" w:ascii="宋体" w:hAnsi="宋体"/>
          <w:b/>
          <w:sz w:val="24"/>
          <w:highlight w:val="yellow"/>
        </w:rPr>
        <w:t>其他说明</w:t>
      </w:r>
    </w:p>
    <w:p>
      <w:pPr>
        <w:spacing w:line="400" w:lineRule="exact"/>
        <w:ind w:firstLine="482" w:firstLineChars="200"/>
        <w:rPr>
          <w:rFonts w:ascii="宋体" w:hAnsi="宋体"/>
          <w:b/>
          <w:sz w:val="24"/>
        </w:rPr>
      </w:pPr>
      <w:r>
        <w:rPr>
          <w:rFonts w:hint="eastAsia" w:ascii="宋体" w:hAnsi="宋体"/>
          <w:b/>
          <w:sz w:val="24"/>
          <w:highlight w:val="yellow"/>
        </w:rPr>
        <w:t>投标人须在投标报价中考虑总包配合管理协调费，一并在本次报价中计入。如在报价中未报、漏报、少报均按投标人已作优惠处理或在其他报价中含。</w:t>
      </w:r>
    </w:p>
    <w:p>
      <w:pPr>
        <w:spacing w:line="360" w:lineRule="auto"/>
        <w:rPr>
          <w:rFonts w:ascii="宋体" w:hAnsi="宋体" w:cs="Arial"/>
          <w:color w:val="000000"/>
          <w:szCs w:val="21"/>
        </w:rPr>
      </w:pPr>
    </w:p>
    <w:p>
      <w:pPr>
        <w:keepNext/>
        <w:keepLines/>
        <w:spacing w:before="260" w:after="260" w:line="416" w:lineRule="auto"/>
        <w:outlineLvl w:val="1"/>
        <w:rPr>
          <w:rFonts w:ascii="Cambria" w:hAnsi="Cambria"/>
          <w:b/>
          <w:bCs/>
          <w:sz w:val="32"/>
          <w:szCs w:val="32"/>
        </w:rPr>
      </w:pPr>
      <w:r>
        <w:rPr>
          <w:rFonts w:hint="eastAsia" w:ascii="Cambria" w:hAnsi="Cambria"/>
          <w:b/>
          <w:bCs/>
          <w:sz w:val="32"/>
          <w:szCs w:val="32"/>
        </w:rPr>
        <w:t>六、技术标准和要求</w:t>
      </w:r>
    </w:p>
    <w:p>
      <w:pPr>
        <w:spacing w:line="360" w:lineRule="auto"/>
        <w:rPr>
          <w:rFonts w:ascii="宋体" w:hAnsi="宋体" w:cs="Arial"/>
          <w:color w:val="000000"/>
          <w:szCs w:val="21"/>
        </w:rPr>
      </w:pPr>
      <w:r>
        <w:rPr>
          <w:rFonts w:hint="eastAsia" w:ascii="宋体" w:hAnsi="宋体" w:cs="Arial"/>
          <w:color w:val="000000"/>
          <w:szCs w:val="21"/>
        </w:rPr>
        <w:t>（一）工程实施的技术标准和规范一般规定</w:t>
      </w:r>
    </w:p>
    <w:p>
      <w:pPr>
        <w:spacing w:line="360" w:lineRule="auto"/>
        <w:rPr>
          <w:rFonts w:ascii="宋体" w:hAnsi="宋体" w:cs="Arial"/>
          <w:color w:val="000000"/>
          <w:szCs w:val="21"/>
        </w:rPr>
      </w:pPr>
      <w:r>
        <w:rPr>
          <w:rFonts w:hint="eastAsia" w:ascii="宋体" w:hAnsi="宋体" w:cs="Arial"/>
          <w:color w:val="000000"/>
          <w:szCs w:val="21"/>
        </w:rPr>
        <w:t>1、除本技术要求另有规定外，所有材料、设备和工程的质量均应符合采购时国家和项目所在地已颁布标准、规范的相应规定和要求，其中与本技术要求不一致时以要求高的为准。</w:t>
      </w:r>
    </w:p>
    <w:p>
      <w:pPr>
        <w:spacing w:line="360" w:lineRule="auto"/>
        <w:rPr>
          <w:rFonts w:ascii="宋体" w:hAnsi="宋体" w:cs="Arial"/>
          <w:color w:val="000000"/>
          <w:szCs w:val="21"/>
        </w:rPr>
      </w:pPr>
      <w:r>
        <w:rPr>
          <w:rFonts w:hint="eastAsia" w:ascii="宋体" w:hAnsi="宋体" w:cs="Arial"/>
          <w:color w:val="000000"/>
          <w:szCs w:val="21"/>
        </w:rPr>
        <w:t>2、在合同履行期间，本工程所采用的标准或规范有修改或新颁，或发包人认为有必要采用时，在报经发包人和设计单位批准后，应向承包人发出变更指令。</w:t>
      </w:r>
    </w:p>
    <w:p>
      <w:pPr>
        <w:spacing w:line="360" w:lineRule="auto"/>
        <w:rPr>
          <w:rFonts w:ascii="宋体" w:hAnsi="宋体" w:cs="Arial"/>
          <w:color w:val="000000"/>
          <w:szCs w:val="21"/>
        </w:rPr>
      </w:pPr>
      <w:r>
        <w:rPr>
          <w:rFonts w:hint="eastAsia" w:ascii="宋体" w:hAnsi="宋体" w:cs="Arial"/>
          <w:color w:val="000000"/>
          <w:szCs w:val="21"/>
        </w:rPr>
        <w:t>3、对本工程所采用的标准或规范的任何部分，当承包人认为改用其他标准或规范，同样能够保证工程达到相同质量或更高的质量时，承包人可提出申请报经设计单位、发包人审批后采用，但这种批准不免除承包人根据合同规定应承担的任何责任。申请报告中应对原采用的标准或规范与所建议改用的其他标准或规范之间的差异进行详细说明，并在期望监理工程师批准的日期前至少28个工作日提交。获批之前承包人仍应执行原采用的标准或规范。</w:t>
      </w:r>
    </w:p>
    <w:p>
      <w:pPr>
        <w:spacing w:line="360" w:lineRule="auto"/>
        <w:rPr>
          <w:rFonts w:ascii="宋体" w:hAnsi="宋体" w:cs="Arial"/>
          <w:color w:val="000000"/>
          <w:szCs w:val="21"/>
        </w:rPr>
      </w:pPr>
      <w:r>
        <w:rPr>
          <w:rFonts w:hint="eastAsia" w:ascii="宋体" w:hAnsi="宋体" w:cs="Arial"/>
          <w:color w:val="000000"/>
          <w:szCs w:val="21"/>
        </w:rPr>
        <w:t>4、除本技术条款另有规定外，承包人施工所用的材料、设备、施工工艺和工程质量的检验和验收应符合本技术条款中引用的国家和行业颁布的技术标准和规程规范规定的技术要求。</w:t>
      </w:r>
    </w:p>
    <w:p>
      <w:pPr>
        <w:spacing w:line="360" w:lineRule="auto"/>
        <w:rPr>
          <w:rFonts w:ascii="宋体" w:hAnsi="宋体" w:cs="Arial"/>
          <w:color w:val="000000"/>
          <w:szCs w:val="21"/>
        </w:rPr>
      </w:pPr>
      <w:r>
        <w:rPr>
          <w:rFonts w:hint="eastAsia" w:ascii="宋体" w:hAnsi="宋体" w:cs="Arial"/>
          <w:color w:val="000000"/>
          <w:szCs w:val="21"/>
        </w:rPr>
        <w:t>5、当本技术条款的内容与所引用的标准和规程规范的规定有矛盾时，应以指示为准。</w:t>
      </w:r>
    </w:p>
    <w:p>
      <w:pPr>
        <w:spacing w:line="360" w:lineRule="auto"/>
        <w:rPr>
          <w:rFonts w:ascii="宋体" w:hAnsi="宋体" w:cs="Arial"/>
          <w:color w:val="000000"/>
          <w:szCs w:val="21"/>
        </w:rPr>
      </w:pPr>
      <w:r>
        <w:rPr>
          <w:rFonts w:hint="eastAsia" w:ascii="宋体" w:hAnsi="宋体" w:cs="Arial"/>
          <w:color w:val="000000"/>
          <w:szCs w:val="21"/>
        </w:rPr>
        <w:t>6、技术条款中有关涉及工程安全的规定，必须严格遵守国家和行业的标准，遇有矛盾时应由按国家和行业标准的规定进行修正。</w:t>
      </w:r>
    </w:p>
    <w:p>
      <w:pPr>
        <w:spacing w:line="360" w:lineRule="auto"/>
        <w:rPr>
          <w:rFonts w:ascii="宋体" w:hAnsi="宋体" w:cs="Arial"/>
          <w:color w:val="000000"/>
          <w:szCs w:val="21"/>
        </w:rPr>
      </w:pPr>
      <w:r>
        <w:rPr>
          <w:rFonts w:hint="eastAsia" w:ascii="宋体" w:hAnsi="宋体" w:cs="Arial"/>
          <w:color w:val="000000"/>
          <w:szCs w:val="21"/>
        </w:rPr>
        <w:t>7、在施工过程中，为保证工程质量和施工进度的要求，有权指示承包人或批准承包人采用新技术和新工艺，并增补和修改技术条款的内容。其增补和修改的内容涉及变更时，应按合同条款的规定办理。</w:t>
      </w:r>
    </w:p>
    <w:p>
      <w:pPr>
        <w:spacing w:line="360" w:lineRule="auto"/>
        <w:rPr>
          <w:rFonts w:ascii="宋体" w:hAnsi="宋体" w:cs="Arial"/>
          <w:color w:val="000000"/>
          <w:szCs w:val="21"/>
        </w:rPr>
      </w:pPr>
      <w:bookmarkStart w:id="115" w:name="OLE_LINK1"/>
      <w:bookmarkEnd w:id="115"/>
      <w:r>
        <w:rPr>
          <w:rFonts w:hint="eastAsia" w:ascii="宋体" w:hAnsi="宋体" w:cs="Arial"/>
          <w:color w:val="000000"/>
          <w:szCs w:val="21"/>
        </w:rPr>
        <w:t>8、本采购项目采用的材料、设备、施工工艺、检验检测标准和方法、验收等均须符合本工程施工图等设计文件的要求，并按现行的国家标准、相关技术规范、相关法律法规等实施。</w:t>
      </w:r>
    </w:p>
    <w:p>
      <w:pPr>
        <w:spacing w:line="360" w:lineRule="auto"/>
        <w:rPr>
          <w:rFonts w:ascii="宋体" w:hAnsi="宋体" w:cs="Arial"/>
          <w:color w:val="000000"/>
          <w:szCs w:val="21"/>
        </w:rPr>
      </w:pPr>
      <w:r>
        <w:rPr>
          <w:rFonts w:hint="eastAsia" w:ascii="宋体" w:hAnsi="宋体" w:cs="Arial"/>
          <w:color w:val="000000"/>
          <w:szCs w:val="21"/>
        </w:rPr>
        <w:t>（二）、本工程施工、验收、材料的选用必须符合图纸、法律、法规相关要求和现行的相关标准、技术规范。</w:t>
      </w:r>
    </w:p>
    <w:p>
      <w:pPr>
        <w:spacing w:line="360" w:lineRule="auto"/>
        <w:rPr>
          <w:rFonts w:ascii="宋体" w:hAnsi="宋体" w:cs="Arial"/>
          <w:color w:val="000000"/>
          <w:szCs w:val="21"/>
        </w:rPr>
      </w:pPr>
      <w:r>
        <w:rPr>
          <w:rFonts w:hint="eastAsia" w:ascii="宋体" w:hAnsi="宋体" w:cs="Arial"/>
          <w:color w:val="000000"/>
          <w:szCs w:val="21"/>
        </w:rPr>
        <w:t>1、其他相关要求：</w:t>
      </w:r>
    </w:p>
    <w:p>
      <w:pPr>
        <w:spacing w:line="360" w:lineRule="auto"/>
        <w:rPr>
          <w:rFonts w:ascii="宋体" w:hAnsi="宋体" w:cs="Arial"/>
          <w:color w:val="000000"/>
          <w:szCs w:val="21"/>
        </w:rPr>
      </w:pPr>
      <w:r>
        <w:rPr>
          <w:rFonts w:hint="eastAsia" w:ascii="宋体" w:hAnsi="宋体" w:cs="Arial"/>
          <w:color w:val="000000"/>
          <w:szCs w:val="21"/>
        </w:rPr>
        <w:t>供应商须遵守***的施工安全管理制度以及其他相关管理制度，确保施工项目的安全、高效、顺利进行，满足***的日常需求，防范消防等安全事件的发生。采购人的管理部门和使用科室有权对施工项目的组织和实施进行监督、检查，并提出整改要求，但此类监督检查并不解除供应商对施工项目应负的全部责任，如供应商不按要求整改或整改后仍不符合***的规定，采购人可从工程进度款或履约保证金中酌情扣罚，情节严重的，可解除合同，给采购人造成的全部损失由供应商承担，并可拒绝该供应商继续参与***其他项目的采购活动。</w:t>
      </w:r>
    </w:p>
    <w:p>
      <w:pPr>
        <w:spacing w:line="360" w:lineRule="auto"/>
        <w:rPr>
          <w:rFonts w:ascii="宋体" w:hAnsi="宋体" w:cs="Arial"/>
          <w:color w:val="000000"/>
          <w:szCs w:val="21"/>
        </w:rPr>
      </w:pPr>
      <w:r>
        <w:rPr>
          <w:rFonts w:hint="eastAsia" w:ascii="宋体" w:hAnsi="宋体" w:cs="Arial"/>
          <w:color w:val="000000"/>
          <w:szCs w:val="21"/>
        </w:rPr>
        <w:t>2、***施工安全管理制度等相关制度将作为承包合同的附件，是承包***项目必须遵守的内容之一。</w:t>
      </w:r>
    </w:p>
    <w:p>
      <w:pPr>
        <w:spacing w:line="360" w:lineRule="auto"/>
        <w:rPr>
          <w:rFonts w:ascii="宋体" w:hAnsi="宋体" w:cs="Arial"/>
          <w:color w:val="000000"/>
          <w:szCs w:val="21"/>
        </w:rPr>
      </w:pPr>
      <w:r>
        <w:rPr>
          <w:rFonts w:hint="eastAsia" w:ascii="宋体" w:hAnsi="宋体" w:cs="Arial"/>
          <w:color w:val="000000"/>
          <w:szCs w:val="21"/>
        </w:rPr>
        <w:t>以上与施工相关的管理要求所需要的费用包含在投标总报价中。</w:t>
      </w:r>
    </w:p>
    <w:p>
      <w:pPr>
        <w:spacing w:line="360" w:lineRule="auto"/>
        <w:rPr>
          <w:rFonts w:ascii="宋体" w:hAnsi="宋体" w:cs="Arial"/>
          <w:color w:val="000000"/>
          <w:szCs w:val="21"/>
        </w:rPr>
      </w:pPr>
      <w:r>
        <w:rPr>
          <w:rFonts w:hint="eastAsia" w:ascii="宋体" w:hAnsi="宋体" w:cs="Arial"/>
          <w:color w:val="000000"/>
          <w:szCs w:val="21"/>
        </w:rPr>
        <w:t>（三）、材料基本技术要求</w:t>
      </w:r>
    </w:p>
    <w:p>
      <w:pPr>
        <w:spacing w:line="360" w:lineRule="auto"/>
        <w:rPr>
          <w:rFonts w:ascii="宋体" w:hAnsi="宋体" w:cs="Arial"/>
          <w:color w:val="000000"/>
          <w:szCs w:val="21"/>
        </w:rPr>
      </w:pPr>
      <w:r>
        <w:rPr>
          <w:rFonts w:hint="eastAsia" w:ascii="宋体" w:hAnsi="宋体" w:cs="Arial"/>
          <w:color w:val="000000"/>
          <w:szCs w:val="21"/>
        </w:rPr>
        <w:t>1、工程用一切材料设备均应满足设计文件的要求，并得到采购人认可，且必须符合国家标准和规范。</w:t>
      </w:r>
    </w:p>
    <w:p>
      <w:pPr>
        <w:spacing w:line="360" w:lineRule="auto"/>
        <w:rPr>
          <w:rFonts w:ascii="宋体" w:hAnsi="宋体" w:cs="Arial"/>
          <w:color w:val="000000"/>
          <w:szCs w:val="21"/>
        </w:rPr>
      </w:pPr>
      <w:r>
        <w:rPr>
          <w:rFonts w:hint="eastAsia" w:ascii="宋体" w:hAnsi="宋体" w:cs="Arial"/>
          <w:color w:val="000000"/>
          <w:szCs w:val="21"/>
        </w:rPr>
        <w:t>2、供应商成交后在材料进场前应向采购人和提交产品说明（中文）、合格证、样品、装箱单、图纸等相关资料，并得到认可。</w:t>
      </w:r>
    </w:p>
    <w:p>
      <w:pPr>
        <w:spacing w:line="360" w:lineRule="auto"/>
        <w:rPr>
          <w:rFonts w:ascii="宋体" w:hAnsi="宋体" w:cs="Arial"/>
          <w:color w:val="000000"/>
          <w:szCs w:val="21"/>
        </w:rPr>
      </w:pPr>
      <w:r>
        <w:rPr>
          <w:rFonts w:hint="eastAsia" w:ascii="宋体" w:hAnsi="宋体" w:cs="Arial"/>
          <w:color w:val="000000"/>
          <w:szCs w:val="21"/>
        </w:rPr>
        <w:t>3、所有由供应商采购的设备、材料，要求同类产品的不同规格尽可能采购同一个品牌，如同一品牌中没有所需规格的，与采购人协商解决。</w:t>
      </w:r>
    </w:p>
    <w:p>
      <w:pPr>
        <w:spacing w:line="360" w:lineRule="auto"/>
        <w:rPr>
          <w:rFonts w:ascii="宋体" w:hAnsi="宋体" w:cs="Arial"/>
          <w:color w:val="000000"/>
          <w:szCs w:val="21"/>
        </w:rPr>
      </w:pPr>
      <w:r>
        <w:rPr>
          <w:rFonts w:hint="eastAsia" w:ascii="宋体" w:hAnsi="宋体" w:cs="Arial"/>
          <w:color w:val="000000"/>
          <w:szCs w:val="21"/>
        </w:rPr>
        <w:t>4、本采购项目采用的材料、设备、施工、检验检测、验收等均须符合本工程施工图等设计文件的要求，并按现行的国家标准、相关技术规范等实施。</w:t>
      </w:r>
    </w:p>
    <w:p>
      <w:pPr>
        <w:spacing w:line="360" w:lineRule="auto"/>
        <w:rPr>
          <w:rFonts w:ascii="宋体" w:hAnsi="宋体" w:cs="Arial"/>
          <w:color w:val="000000"/>
          <w:szCs w:val="21"/>
        </w:rPr>
      </w:pPr>
      <w:r>
        <w:rPr>
          <w:rFonts w:hint="eastAsia" w:ascii="宋体" w:hAnsi="宋体" w:cs="Arial"/>
          <w:color w:val="000000"/>
          <w:szCs w:val="21"/>
        </w:rPr>
        <w:t>5、设备、材料选用时，供应商应考虑与***现有的和在用的各类系统的具体情况，并保持统一。</w:t>
      </w:r>
    </w:p>
    <w:p>
      <w:pPr>
        <w:spacing w:line="360" w:lineRule="auto"/>
        <w:rPr>
          <w:rFonts w:ascii="宋体" w:hAnsi="宋体" w:cs="Arial"/>
          <w:color w:val="000000"/>
          <w:szCs w:val="21"/>
        </w:rPr>
      </w:pPr>
    </w:p>
    <w:p>
      <w:pPr>
        <w:spacing w:line="360" w:lineRule="auto"/>
        <w:rPr>
          <w:rFonts w:ascii="宋体" w:hAnsi="宋体" w:cs="Arial"/>
          <w:color w:val="000000"/>
          <w:szCs w:val="21"/>
        </w:rPr>
      </w:pPr>
      <w:r>
        <w:rPr>
          <w:rFonts w:hint="eastAsia" w:ascii="宋体" w:hAnsi="宋体" w:cs="Arial"/>
          <w:color w:val="000000"/>
          <w:szCs w:val="21"/>
        </w:rPr>
        <w:t>七、质量保证</w:t>
      </w:r>
    </w:p>
    <w:p>
      <w:pPr>
        <w:spacing w:line="360" w:lineRule="auto"/>
        <w:rPr>
          <w:rFonts w:ascii="宋体" w:hAnsi="宋体" w:cs="Arial"/>
          <w:color w:val="000000"/>
          <w:szCs w:val="21"/>
        </w:rPr>
      </w:pPr>
      <w:r>
        <w:rPr>
          <w:rFonts w:hint="eastAsia" w:ascii="宋体" w:hAnsi="宋体" w:cs="Arial"/>
          <w:color w:val="000000"/>
          <w:szCs w:val="21"/>
        </w:rPr>
        <w:t>供应商提供至少2年保修期内的免费维修工作，工程质量保修书格式见第四部分合同条款及格式中的“工程质量保修书”。</w:t>
      </w:r>
    </w:p>
    <w:p>
      <w:pPr>
        <w:spacing w:line="360" w:lineRule="auto"/>
        <w:rPr>
          <w:rFonts w:ascii="宋体" w:hAnsi="宋体" w:cs="Arial"/>
          <w:color w:val="000000"/>
          <w:szCs w:val="21"/>
        </w:rPr>
      </w:pPr>
      <w:r>
        <w:rPr>
          <w:rFonts w:hint="eastAsia" w:ascii="宋体" w:hAnsi="宋体" w:cs="Arial"/>
          <w:color w:val="000000"/>
          <w:szCs w:val="21"/>
        </w:rPr>
        <w:t>若质量保证期内出现货物的质量问题，卖方应及时免费更换，如发生较大质量问题则质量保证期顺延。</w:t>
      </w:r>
    </w:p>
    <w:p>
      <w:pPr>
        <w:spacing w:line="360" w:lineRule="auto"/>
        <w:rPr>
          <w:rFonts w:ascii="宋体" w:hAnsi="宋体" w:cs="Arial"/>
          <w:color w:val="000000"/>
          <w:szCs w:val="21"/>
        </w:rPr>
      </w:pPr>
      <w:r>
        <w:rPr>
          <w:rFonts w:hint="eastAsia" w:ascii="宋体" w:hAnsi="宋体" w:cs="Arial"/>
          <w:color w:val="000000"/>
          <w:szCs w:val="21"/>
        </w:rPr>
        <w:t>在质量保证期满后，卖方仍应提供售后服务，负责货物的终身维护和备品的供应。</w:t>
      </w:r>
    </w:p>
    <w:p>
      <w:pPr>
        <w:spacing w:line="360" w:lineRule="auto"/>
        <w:rPr>
          <w:rFonts w:ascii="宋体" w:hAnsi="宋体" w:cs="Arial"/>
          <w:color w:val="000000"/>
          <w:szCs w:val="21"/>
        </w:rPr>
      </w:pPr>
      <w:r>
        <w:rPr>
          <w:rFonts w:hint="eastAsia" w:ascii="宋体" w:hAnsi="宋体" w:cs="Arial"/>
          <w:color w:val="000000"/>
          <w:szCs w:val="21"/>
        </w:rPr>
        <w:t>由于卖方货物质量问题，而给予买方造成重大损失，卖方应作相应的赔偿。</w:t>
      </w:r>
    </w:p>
    <w:p>
      <w:pPr>
        <w:spacing w:line="360" w:lineRule="auto"/>
        <w:rPr>
          <w:rFonts w:ascii="宋体" w:hAnsi="宋体" w:cs="Arial"/>
          <w:color w:val="000000"/>
          <w:szCs w:val="21"/>
        </w:rPr>
      </w:pPr>
      <w:r>
        <w:rPr>
          <w:rFonts w:hint="eastAsia" w:ascii="宋体" w:hAnsi="宋体" w:cs="Arial"/>
          <w:color w:val="000000"/>
          <w:szCs w:val="21"/>
        </w:rPr>
        <w:t xml:space="preserve"> </w:t>
      </w:r>
    </w:p>
    <w:bookmarkEnd w:id="92"/>
    <w:p>
      <w:pPr>
        <w:spacing w:line="360" w:lineRule="auto"/>
        <w:rPr>
          <w:rFonts w:ascii="宋体" w:hAnsi="宋体" w:cs="Arial"/>
          <w:color w:val="000000"/>
          <w:szCs w:val="21"/>
        </w:rPr>
      </w:pPr>
      <w:bookmarkStart w:id="116" w:name="_Toc363065945"/>
      <w:bookmarkEnd w:id="116"/>
      <w:r>
        <w:rPr>
          <w:rFonts w:hint="eastAsia" w:ascii="宋体" w:hAnsi="宋体" w:cs="Arial"/>
          <w:color w:val="000000"/>
          <w:szCs w:val="21"/>
        </w:rPr>
        <w:t>八</w:t>
      </w:r>
      <w:r>
        <w:rPr>
          <w:rFonts w:ascii="宋体" w:hAnsi="宋体" w:cs="Arial"/>
          <w:color w:val="000000"/>
          <w:szCs w:val="21"/>
        </w:rPr>
        <w:t>、商务条款</w:t>
      </w:r>
    </w:p>
    <w:p>
      <w:pPr>
        <w:spacing w:line="360" w:lineRule="auto"/>
        <w:rPr>
          <w:rFonts w:ascii="宋体" w:hAnsi="宋体" w:cs="Arial"/>
          <w:color w:val="auto"/>
          <w:szCs w:val="21"/>
        </w:rPr>
      </w:pPr>
      <w:r>
        <w:rPr>
          <w:rFonts w:hint="eastAsia" w:ascii="宋体" w:hAnsi="宋体" w:cs="Arial"/>
          <w:color w:val="auto"/>
          <w:szCs w:val="21"/>
        </w:rPr>
        <w:t>1、</w:t>
      </w:r>
      <w:r>
        <w:rPr>
          <w:rFonts w:ascii="宋体" w:hAnsi="宋体" w:cs="Arial"/>
          <w:color w:val="auto"/>
          <w:szCs w:val="21"/>
        </w:rPr>
        <w:t>付款方式</w:t>
      </w:r>
      <w:r>
        <w:rPr>
          <w:rFonts w:hint="eastAsia" w:ascii="宋体" w:hAnsi="宋体" w:cs="Arial"/>
          <w:color w:val="auto"/>
          <w:szCs w:val="21"/>
        </w:rPr>
        <w:t>：</w:t>
      </w:r>
    </w:p>
    <w:p>
      <w:pPr>
        <w:spacing w:line="360" w:lineRule="auto"/>
        <w:rPr>
          <w:rFonts w:ascii="宋体" w:hAnsi="宋体" w:cs="Arial"/>
          <w:color w:val="auto"/>
          <w:szCs w:val="21"/>
        </w:rPr>
      </w:pPr>
      <w:r>
        <w:rPr>
          <w:rFonts w:hint="eastAsia" w:ascii="宋体" w:hAnsi="宋体" w:cs="Arial"/>
          <w:color w:val="auto"/>
          <w:szCs w:val="21"/>
        </w:rPr>
        <w:t xml:space="preserve">第一期付款：合同签订后10个工作日内进一步优化需求分析，并细化系统建设计划、目标任务书和测试验收方案，向招标人提供上述文档并需经招标人审查通过后支付合同总价40%的备料款； </w:t>
      </w:r>
    </w:p>
    <w:p>
      <w:pPr>
        <w:spacing w:line="360" w:lineRule="auto"/>
        <w:rPr>
          <w:rFonts w:ascii="宋体" w:hAnsi="宋体" w:cs="Arial"/>
          <w:color w:val="auto"/>
          <w:szCs w:val="21"/>
        </w:rPr>
      </w:pPr>
      <w:r>
        <w:rPr>
          <w:rFonts w:hint="eastAsia" w:ascii="宋体" w:hAnsi="宋体" w:cs="Arial"/>
          <w:color w:val="auto"/>
          <w:szCs w:val="21"/>
        </w:rPr>
        <w:t>第二期付款：中标人在合同签订后完成设备安装调试，具备使用条件，支付合同总价40%的合同款；</w:t>
      </w:r>
    </w:p>
    <w:p>
      <w:pPr>
        <w:spacing w:line="360" w:lineRule="auto"/>
        <w:rPr>
          <w:rFonts w:ascii="宋体" w:hAnsi="宋体" w:cs="Arial"/>
          <w:color w:val="auto"/>
          <w:szCs w:val="21"/>
        </w:rPr>
      </w:pPr>
      <w:r>
        <w:rPr>
          <w:rFonts w:hint="eastAsia" w:ascii="宋体" w:hAnsi="宋体" w:cs="Arial"/>
          <w:color w:val="auto"/>
          <w:szCs w:val="21"/>
        </w:rPr>
        <w:t>第三期付款：工程全部完成后试运行1个月正常，提交全部报告材料，并通过正式验收，出具项目终验报告后，支付至合同价的95%。</w:t>
      </w:r>
    </w:p>
    <w:p>
      <w:pPr>
        <w:spacing w:line="360" w:lineRule="auto"/>
        <w:rPr>
          <w:rFonts w:ascii="宋体" w:hAnsi="宋体" w:cs="Arial"/>
          <w:color w:val="auto"/>
          <w:szCs w:val="21"/>
        </w:rPr>
      </w:pPr>
      <w:r>
        <w:rPr>
          <w:rFonts w:hint="eastAsia" w:ascii="宋体" w:hAnsi="宋体" w:cs="Arial"/>
          <w:color w:val="auto"/>
          <w:szCs w:val="21"/>
        </w:rPr>
        <w:t>第四期付款：项目质保期结束后支付合同价的5%余款</w:t>
      </w:r>
      <w:r>
        <w:rPr>
          <w:rFonts w:ascii="宋体" w:hAnsi="宋体" w:cs="Arial"/>
          <w:color w:val="auto"/>
          <w:szCs w:val="21"/>
        </w:rPr>
        <w:t>。</w:t>
      </w:r>
    </w:p>
    <w:p>
      <w:pPr>
        <w:spacing w:line="360" w:lineRule="auto"/>
        <w:rPr>
          <w:rFonts w:ascii="宋体" w:hAnsi="宋体" w:cs="Arial"/>
          <w:color w:val="000000"/>
          <w:szCs w:val="21"/>
        </w:rPr>
      </w:pPr>
      <w:r>
        <w:rPr>
          <w:rFonts w:hint="eastAsia" w:ascii="宋体" w:hAnsi="宋体" w:cs="Arial"/>
          <w:color w:val="000000"/>
          <w:szCs w:val="21"/>
        </w:rPr>
        <w:t xml:space="preserve"> </w:t>
      </w:r>
    </w:p>
    <w:p>
      <w:pPr>
        <w:spacing w:line="360" w:lineRule="auto"/>
        <w:rPr>
          <w:rFonts w:ascii="宋体" w:hAnsi="宋体" w:cs="Arial"/>
          <w:color w:val="000000"/>
          <w:szCs w:val="21"/>
        </w:rPr>
      </w:pPr>
      <w:r>
        <w:rPr>
          <w:rFonts w:hint="eastAsia" w:ascii="宋体" w:hAnsi="宋体" w:cs="Arial"/>
          <w:color w:val="000000"/>
          <w:szCs w:val="21"/>
        </w:rPr>
        <w:t>2、</w:t>
      </w:r>
      <w:r>
        <w:rPr>
          <w:rFonts w:ascii="宋体" w:hAnsi="宋体" w:cs="Arial"/>
          <w:color w:val="000000"/>
          <w:szCs w:val="21"/>
        </w:rPr>
        <w:t>售后服务</w:t>
      </w:r>
    </w:p>
    <w:p>
      <w:pPr>
        <w:spacing w:line="360" w:lineRule="auto"/>
        <w:rPr>
          <w:rFonts w:ascii="宋体" w:hAnsi="宋体" w:cs="Arial"/>
          <w:color w:val="000000"/>
          <w:szCs w:val="21"/>
        </w:rPr>
      </w:pPr>
      <w:r>
        <w:rPr>
          <w:rFonts w:hint="eastAsia" w:ascii="宋体" w:hAnsi="宋体" w:cs="Arial"/>
          <w:color w:val="000000"/>
          <w:szCs w:val="21"/>
        </w:rPr>
        <w:t xml:space="preserve">    保修期内，现场维修响应时间</w:t>
      </w:r>
      <w:r>
        <w:rPr>
          <w:rFonts w:ascii="宋体" w:hAnsi="宋体" w:cs="Arial"/>
          <w:color w:val="000000"/>
          <w:szCs w:val="21"/>
        </w:rPr>
        <w:t>≤</w:t>
      </w:r>
      <w:r>
        <w:rPr>
          <w:rFonts w:hint="eastAsia" w:ascii="宋体" w:hAnsi="宋体" w:cs="Arial"/>
          <w:color w:val="000000"/>
          <w:szCs w:val="21"/>
        </w:rPr>
        <w:t>2小时，24小时内到达用户现场解决问题。重大问题或其它无法立刻解决的问题应在一周内解决或提出明确的解决方案，如因中标方原因不能及时修复，保修期将相应顺延。</w:t>
      </w:r>
    </w:p>
    <w:p>
      <w:pPr>
        <w:spacing w:line="360" w:lineRule="auto"/>
        <w:rPr>
          <w:rFonts w:ascii="宋体" w:hAnsi="宋体" w:cs="Arial"/>
          <w:color w:val="000000"/>
          <w:szCs w:val="21"/>
        </w:rPr>
      </w:pPr>
      <w:r>
        <w:rPr>
          <w:rFonts w:hint="eastAsia" w:ascii="宋体" w:hAnsi="宋体" w:cs="Arial"/>
          <w:color w:val="000000"/>
          <w:szCs w:val="21"/>
        </w:rPr>
        <w:t>3、</w:t>
      </w:r>
      <w:r>
        <w:rPr>
          <w:rFonts w:ascii="宋体" w:hAnsi="宋体" w:cs="Arial"/>
          <w:color w:val="000000"/>
          <w:szCs w:val="21"/>
        </w:rPr>
        <w:t>安装调试</w:t>
      </w:r>
    </w:p>
    <w:p>
      <w:pPr>
        <w:spacing w:line="360" w:lineRule="auto"/>
        <w:rPr>
          <w:rFonts w:ascii="宋体" w:hAnsi="宋体" w:cs="Arial"/>
          <w:color w:val="000000"/>
          <w:szCs w:val="21"/>
        </w:rPr>
      </w:pPr>
      <w:r>
        <w:rPr>
          <w:rFonts w:hint="eastAsia" w:ascii="宋体" w:hAnsi="宋体" w:cs="Arial"/>
          <w:color w:val="000000"/>
          <w:szCs w:val="21"/>
        </w:rPr>
        <w:t>3.1</w:t>
      </w:r>
      <w:r>
        <w:rPr>
          <w:rFonts w:ascii="宋体" w:hAnsi="宋体" w:cs="Arial"/>
          <w:color w:val="000000"/>
          <w:szCs w:val="21"/>
        </w:rPr>
        <w:t>安装地点：</w:t>
      </w:r>
      <w:r>
        <w:rPr>
          <w:rFonts w:hint="eastAsia" w:ascii="宋体" w:hAnsi="宋体" w:cs="Arial"/>
          <w:color w:val="000000"/>
          <w:szCs w:val="21"/>
        </w:rPr>
        <w:t>指定地点</w:t>
      </w:r>
    </w:p>
    <w:p>
      <w:pPr>
        <w:spacing w:line="360" w:lineRule="auto"/>
        <w:rPr>
          <w:rFonts w:ascii="宋体" w:hAnsi="宋体" w:cs="Arial"/>
          <w:color w:val="000000"/>
          <w:szCs w:val="21"/>
        </w:rPr>
      </w:pPr>
      <w:r>
        <w:rPr>
          <w:rFonts w:hint="eastAsia" w:ascii="宋体" w:hAnsi="宋体" w:cs="Arial"/>
          <w:color w:val="000000"/>
          <w:szCs w:val="21"/>
        </w:rPr>
        <w:t>3.2</w:t>
      </w:r>
      <w:r>
        <w:rPr>
          <w:rFonts w:ascii="宋体" w:hAnsi="宋体" w:cs="Arial"/>
          <w:color w:val="000000"/>
          <w:szCs w:val="21"/>
        </w:rPr>
        <w:t>安装完成时间：</w:t>
      </w:r>
      <w:r>
        <w:rPr>
          <w:rFonts w:hint="eastAsia" w:ascii="宋体" w:hAnsi="宋体" w:cs="Arial"/>
          <w:color w:val="000000"/>
          <w:szCs w:val="21"/>
        </w:rPr>
        <w:t>设备到货后，成交方需在接到用户通知后30日内进行安装调试。</w:t>
      </w:r>
      <w:r>
        <w:rPr>
          <w:rFonts w:ascii="宋体" w:hAnsi="宋体" w:cs="Arial"/>
          <w:color w:val="000000"/>
          <w:szCs w:val="21"/>
        </w:rPr>
        <w:t>如在规定的时间内由于卖方的原因不能完成安装和调试，投标方应承担由此给用户造成的损失</w:t>
      </w:r>
    </w:p>
    <w:p>
      <w:pPr>
        <w:spacing w:line="360" w:lineRule="auto"/>
        <w:rPr>
          <w:rFonts w:ascii="宋体" w:hAnsi="宋体" w:cs="Arial"/>
          <w:color w:val="000000"/>
          <w:szCs w:val="21"/>
        </w:rPr>
      </w:pPr>
      <w:r>
        <w:rPr>
          <w:rFonts w:hint="eastAsia" w:ascii="宋体" w:hAnsi="宋体" w:cs="Arial"/>
          <w:color w:val="000000"/>
          <w:szCs w:val="21"/>
        </w:rPr>
        <w:t>3.3</w:t>
      </w:r>
      <w:r>
        <w:rPr>
          <w:rFonts w:ascii="宋体" w:hAnsi="宋体" w:cs="Arial"/>
          <w:color w:val="000000"/>
          <w:szCs w:val="21"/>
        </w:rPr>
        <w:t>安装标准：符合我国国家有关技术规范要求和技术标准。</w:t>
      </w:r>
    </w:p>
    <w:p>
      <w:pPr>
        <w:spacing w:line="360" w:lineRule="auto"/>
        <w:rPr>
          <w:rFonts w:ascii="宋体" w:hAnsi="宋体" w:cs="Arial"/>
          <w:color w:val="000000"/>
          <w:szCs w:val="21"/>
        </w:rPr>
      </w:pPr>
      <w:r>
        <w:rPr>
          <w:rFonts w:hint="eastAsia" w:ascii="宋体" w:hAnsi="宋体" w:cs="Arial"/>
          <w:color w:val="000000"/>
          <w:szCs w:val="21"/>
        </w:rPr>
        <w:t>3.4</w:t>
      </w:r>
      <w:r>
        <w:rPr>
          <w:rFonts w:ascii="宋体" w:hAnsi="宋体" w:cs="Arial"/>
          <w:color w:val="000000"/>
          <w:szCs w:val="21"/>
        </w:rPr>
        <w:t>安装过程中发生的费用由卖方负责。</w:t>
      </w:r>
    </w:p>
    <w:p>
      <w:pPr>
        <w:spacing w:line="360" w:lineRule="auto"/>
        <w:rPr>
          <w:rFonts w:ascii="宋体" w:hAnsi="宋体" w:cs="Arial"/>
          <w:color w:val="000000"/>
          <w:szCs w:val="21"/>
        </w:rPr>
      </w:pPr>
      <w:r>
        <w:rPr>
          <w:rFonts w:hint="eastAsia" w:ascii="宋体" w:hAnsi="宋体" w:cs="Arial"/>
          <w:color w:val="000000"/>
          <w:szCs w:val="21"/>
        </w:rPr>
        <w:t>3.5</w:t>
      </w:r>
      <w:r>
        <w:rPr>
          <w:rFonts w:ascii="宋体" w:hAnsi="宋体" w:cs="Arial"/>
          <w:color w:val="000000"/>
          <w:szCs w:val="21"/>
        </w:rPr>
        <w:t>投标商应在投标文件中提供其安装调试过程中</w:t>
      </w:r>
      <w:r>
        <w:rPr>
          <w:rFonts w:hint="eastAsia" w:ascii="宋体" w:hAnsi="宋体" w:cs="Arial"/>
          <w:color w:val="000000"/>
          <w:szCs w:val="21"/>
        </w:rPr>
        <w:t>***</w:t>
      </w:r>
      <w:r>
        <w:rPr>
          <w:rFonts w:ascii="宋体" w:hAnsi="宋体" w:cs="Arial"/>
          <w:color w:val="000000"/>
          <w:szCs w:val="21"/>
        </w:rPr>
        <w:t>需配合的内容。</w:t>
      </w:r>
    </w:p>
    <w:p>
      <w:pPr>
        <w:spacing w:line="360" w:lineRule="auto"/>
        <w:rPr>
          <w:rFonts w:ascii="宋体" w:hAnsi="宋体" w:cs="Arial"/>
          <w:color w:val="000000"/>
          <w:szCs w:val="21"/>
        </w:rPr>
      </w:pPr>
      <w:r>
        <w:rPr>
          <w:rFonts w:hint="eastAsia" w:ascii="宋体" w:hAnsi="宋体" w:cs="Arial"/>
          <w:color w:val="000000"/>
          <w:szCs w:val="21"/>
        </w:rPr>
        <w:t>4、</w:t>
      </w:r>
      <w:r>
        <w:rPr>
          <w:rFonts w:ascii="宋体" w:hAnsi="宋体" w:cs="Arial"/>
          <w:color w:val="000000"/>
          <w:szCs w:val="21"/>
        </w:rPr>
        <w:t>验收</w:t>
      </w:r>
    </w:p>
    <w:p>
      <w:pPr>
        <w:spacing w:line="360" w:lineRule="auto"/>
        <w:rPr>
          <w:rFonts w:ascii="宋体" w:hAnsi="宋体" w:cs="Arial"/>
          <w:color w:val="000000"/>
          <w:szCs w:val="21"/>
        </w:rPr>
      </w:pPr>
      <w:r>
        <w:rPr>
          <w:rFonts w:hint="eastAsia" w:ascii="宋体" w:hAnsi="宋体" w:cs="Arial"/>
          <w:color w:val="000000"/>
          <w:szCs w:val="21"/>
        </w:rPr>
        <w:t>4.1</w:t>
      </w:r>
      <w:r>
        <w:rPr>
          <w:rFonts w:ascii="宋体" w:hAnsi="宋体" w:cs="Arial"/>
          <w:color w:val="000000"/>
          <w:szCs w:val="21"/>
        </w:rPr>
        <w:t>供货方应提供设备的有效检验文件，经买方认可后，与设备性能指标、合同内容一起作为设备验收标准。买方对设备验收合格后，双方共同签署验收合格证书并加盖公章。验收中发现设备达不到验收标准或合同规定的性能指标，卖方必须更换设备。并且赔偿由此给用户造成的损失。</w:t>
      </w:r>
    </w:p>
    <w:p>
      <w:pPr>
        <w:spacing w:line="360" w:lineRule="auto"/>
        <w:rPr>
          <w:rFonts w:ascii="宋体" w:hAnsi="宋体" w:cs="Arial"/>
          <w:color w:val="000000"/>
          <w:szCs w:val="21"/>
        </w:rPr>
      </w:pPr>
      <w:r>
        <w:rPr>
          <w:rFonts w:hint="eastAsia" w:ascii="宋体" w:hAnsi="宋体" w:cs="Arial"/>
          <w:color w:val="000000"/>
          <w:szCs w:val="21"/>
        </w:rPr>
        <w:t>4.2</w:t>
      </w:r>
      <w:r>
        <w:rPr>
          <w:rFonts w:ascii="宋体" w:hAnsi="宋体" w:cs="Arial"/>
          <w:color w:val="000000"/>
          <w:szCs w:val="21"/>
        </w:rPr>
        <w:t>验收费用由产品投标商负担</w:t>
      </w:r>
    </w:p>
    <w:p>
      <w:pPr>
        <w:spacing w:line="360" w:lineRule="auto"/>
        <w:rPr>
          <w:rFonts w:ascii="宋体" w:hAnsi="宋体" w:cs="Arial"/>
          <w:color w:val="000000"/>
          <w:szCs w:val="21"/>
        </w:rPr>
      </w:pPr>
      <w:r>
        <w:rPr>
          <w:rFonts w:hint="eastAsia" w:ascii="宋体" w:hAnsi="宋体" w:cs="Arial"/>
          <w:color w:val="000000"/>
          <w:szCs w:val="21"/>
        </w:rPr>
        <w:t>5、工期</w:t>
      </w:r>
    </w:p>
    <w:p>
      <w:pPr>
        <w:spacing w:line="360" w:lineRule="auto"/>
        <w:rPr>
          <w:rFonts w:ascii="宋体" w:hAnsi="宋体" w:cs="Arial"/>
          <w:color w:val="auto"/>
          <w:szCs w:val="21"/>
        </w:rPr>
      </w:pPr>
      <w:r>
        <w:rPr>
          <w:rFonts w:hint="eastAsia" w:ascii="宋体" w:hAnsi="宋体" w:cs="Arial"/>
          <w:color w:val="auto"/>
          <w:szCs w:val="21"/>
        </w:rPr>
        <w:t>合同签订后90天内完成全部内容。具体施工时间根据***需求确定。</w:t>
      </w:r>
    </w:p>
    <w:p>
      <w:pPr>
        <w:spacing w:line="360" w:lineRule="auto"/>
        <w:rPr>
          <w:rFonts w:ascii="宋体" w:hAnsi="宋体" w:cs="Arial"/>
          <w:color w:val="auto"/>
          <w:szCs w:val="21"/>
        </w:rPr>
      </w:pPr>
      <w:r>
        <w:rPr>
          <w:rFonts w:hint="eastAsia" w:ascii="宋体" w:hAnsi="宋体" w:cs="Arial"/>
          <w:color w:val="auto"/>
          <w:szCs w:val="21"/>
        </w:rPr>
        <w:t>具体安排如下：合同签订后10个工作日内完成详细的需求分析、方案优化、概要设计、详细设计；并细化系统建设计划、目标任务书和测试验收方案，向采购人提供上述文档，并经采购人审查通过以及相应硬件设备产品的到货、安装调试等；合同签订后60内完成系统项目建设并通过项目的初验收投入试运行使用（若甲方原因影响工期，工期顺延）。试运行3个月及培训，经验收合格，正式交付使用，进入维护期。</w:t>
      </w:r>
    </w:p>
    <w:p>
      <w:pPr>
        <w:spacing w:line="360" w:lineRule="auto"/>
        <w:rPr>
          <w:rFonts w:ascii="宋体" w:hAnsi="宋体" w:cs="Arial"/>
          <w:color w:val="000000"/>
          <w:szCs w:val="21"/>
        </w:rPr>
      </w:pPr>
      <w:r>
        <w:rPr>
          <w:rFonts w:hint="eastAsia" w:ascii="宋体" w:hAnsi="宋体" w:cs="Arial"/>
          <w:color w:val="000000"/>
          <w:szCs w:val="21"/>
        </w:rPr>
        <w:t>6、</w:t>
      </w:r>
      <w:r>
        <w:rPr>
          <w:rFonts w:ascii="宋体" w:hAnsi="宋体" w:cs="Arial"/>
          <w:color w:val="000000"/>
          <w:szCs w:val="21"/>
        </w:rPr>
        <w:t>报价方式</w:t>
      </w:r>
    </w:p>
    <w:p>
      <w:pPr>
        <w:spacing w:line="360" w:lineRule="auto"/>
        <w:rPr>
          <w:rFonts w:ascii="宋体" w:hAnsi="宋体" w:cs="Arial"/>
          <w:color w:val="000000"/>
          <w:szCs w:val="21"/>
        </w:rPr>
      </w:pPr>
      <w:r>
        <w:rPr>
          <w:rFonts w:ascii="宋体" w:hAnsi="宋体" w:cs="Arial"/>
          <w:color w:val="000000"/>
          <w:szCs w:val="21"/>
        </w:rPr>
        <w:t>有关本项目实施所需</w:t>
      </w:r>
      <w:r>
        <w:rPr>
          <w:rFonts w:hint="eastAsia" w:ascii="宋体" w:hAnsi="宋体" w:cs="Arial"/>
          <w:color w:val="000000"/>
          <w:szCs w:val="21"/>
        </w:rPr>
        <w:t>全部工作内容，包括方案设计及优化、人工、材料、设备、施工机械、安装调试、验收、系统集成、运行维护、现场培训、施工现场的拆除、开槽、开洞和修复等、设备和系统的软件和硬件保修及售后服务、施工管理费</w:t>
      </w:r>
      <w:r>
        <w:rPr>
          <w:rFonts w:ascii="宋体" w:hAnsi="宋体" w:cs="Arial"/>
          <w:color w:val="000000"/>
          <w:szCs w:val="21"/>
        </w:rPr>
        <w:t>和税金等所有相关费用均计入报价。</w:t>
      </w:r>
      <w:r>
        <w:rPr>
          <w:rFonts w:hint="eastAsia" w:ascii="宋体" w:hAnsi="宋体" w:cs="Arial"/>
          <w:color w:val="000000"/>
          <w:szCs w:val="21"/>
        </w:rPr>
        <w:t>系统软件与***原有各类相关软件接口费用均包含在投标总价中。</w:t>
      </w:r>
    </w:p>
    <w:p>
      <w:pPr>
        <w:spacing w:line="360" w:lineRule="auto"/>
        <w:rPr>
          <w:rFonts w:ascii="宋体" w:hAnsi="宋体" w:cs="Arial"/>
          <w:color w:val="000000"/>
          <w:szCs w:val="21"/>
        </w:rPr>
      </w:pPr>
      <w:r>
        <w:rPr>
          <w:rFonts w:hint="eastAsia" w:ascii="宋体" w:hAnsi="宋体" w:cs="Arial"/>
          <w:color w:val="000000"/>
          <w:szCs w:val="21"/>
        </w:rPr>
        <w:t xml:space="preserve"> 本项目为改造项目，投标人自行现场踏勘。改造现场拆除管路、线路和设备拆除、墙地面开槽、开洞等修复内容包含在投标总价中。对漏报、少报者，费用自行承担。</w:t>
      </w:r>
    </w:p>
    <w:p>
      <w:pPr>
        <w:spacing w:line="360" w:lineRule="auto"/>
        <w:rPr>
          <w:rFonts w:ascii="宋体" w:hAnsi="宋体" w:cs="Arial"/>
          <w:color w:val="000000"/>
          <w:szCs w:val="21"/>
        </w:rPr>
      </w:pPr>
      <w:r>
        <w:rPr>
          <w:rFonts w:hint="eastAsia" w:ascii="宋体" w:hAnsi="宋体" w:cs="Arial"/>
          <w:color w:val="000000"/>
          <w:szCs w:val="21"/>
        </w:rPr>
        <w:t>7. 履约保证金</w:t>
      </w:r>
    </w:p>
    <w:p>
      <w:pPr>
        <w:spacing w:line="360" w:lineRule="auto"/>
        <w:rPr>
          <w:rFonts w:ascii="宋体" w:hAnsi="宋体" w:cs="Arial"/>
          <w:color w:val="000000"/>
          <w:szCs w:val="21"/>
        </w:rPr>
      </w:pPr>
      <w:r>
        <w:rPr>
          <w:rFonts w:hint="eastAsia" w:ascii="宋体" w:hAnsi="宋体" w:cs="Arial"/>
          <w:color w:val="000000"/>
          <w:szCs w:val="21"/>
        </w:rPr>
        <w:t>合同签订后3个工作日内，向招标人缴纳合同总价5％的履约保证金。项目验收达到合同规定的质量标准，1个月内无息退还。</w:t>
      </w:r>
    </w:p>
    <w:p>
      <w:pPr>
        <w:rPr>
          <w:rFonts w:ascii="仿宋" w:hAnsi="仿宋" w:eastAsia="仿宋" w:cs="仿宋"/>
          <w:b/>
          <w:sz w:val="36"/>
          <w:szCs w:val="36"/>
        </w:rPr>
      </w:pPr>
      <w:bookmarkStart w:id="117" w:name="_Toc14618"/>
      <w:r>
        <w:rPr>
          <w:rFonts w:hint="eastAsia" w:ascii="仿宋" w:hAnsi="仿宋" w:eastAsia="仿宋" w:cs="仿宋"/>
          <w:b/>
          <w:sz w:val="36"/>
          <w:szCs w:val="36"/>
        </w:rPr>
        <w:br w:type="page"/>
      </w:r>
    </w:p>
    <w:p>
      <w:pPr>
        <w:numPr>
          <w:ilvl w:val="0"/>
          <w:numId w:val="2"/>
        </w:num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拟签订的合同文本</w:t>
      </w:r>
      <w:bookmarkEnd w:id="117"/>
    </w:p>
    <w:p>
      <w:pPr>
        <w:spacing w:line="440" w:lineRule="exact"/>
        <w:rPr>
          <w:rFonts w:ascii="宋体" w:hAnsi="宋体"/>
          <w:color w:val="000000"/>
          <w:szCs w:val="21"/>
        </w:rPr>
      </w:pPr>
      <w:r>
        <w:rPr>
          <w:rFonts w:hint="eastAsia" w:ascii="宋体" w:hAnsi="宋体"/>
          <w:color w:val="000000"/>
          <w:szCs w:val="21"/>
        </w:rPr>
        <w:t>采购人（甲方）：杭州市萧山区人民政府前进街道办事处</w:t>
      </w:r>
    </w:p>
    <w:p>
      <w:pPr>
        <w:spacing w:line="440" w:lineRule="exact"/>
        <w:rPr>
          <w:rFonts w:ascii="宋体" w:hAnsi="宋体"/>
          <w:color w:val="000000"/>
          <w:szCs w:val="21"/>
        </w:rPr>
      </w:pPr>
      <w:r>
        <w:rPr>
          <w:rFonts w:hint="eastAsia" w:ascii="宋体" w:hAnsi="宋体"/>
          <w:color w:val="000000"/>
          <w:szCs w:val="21"/>
        </w:rPr>
        <w:t>供应商（乙方）：</w:t>
      </w:r>
    </w:p>
    <w:p>
      <w:pPr>
        <w:spacing w:line="440" w:lineRule="exact"/>
        <w:rPr>
          <w:rFonts w:ascii="宋体" w:hAnsi="宋体"/>
          <w:color w:val="000000"/>
          <w:szCs w:val="21"/>
        </w:rPr>
      </w:pPr>
      <w:r>
        <w:rPr>
          <w:rFonts w:hint="eastAsia" w:ascii="宋体" w:hAnsi="宋体"/>
          <w:color w:val="000000"/>
          <w:szCs w:val="21"/>
        </w:rPr>
        <w:t>鉴证方：浙江中明工程咨询有限公司</w:t>
      </w:r>
    </w:p>
    <w:p>
      <w:pPr>
        <w:snapToGrid w:val="0"/>
        <w:spacing w:line="360" w:lineRule="auto"/>
        <w:rPr>
          <w:rFonts w:ascii="宋体" w:hAnsi="宋体"/>
          <w:color w:val="000000"/>
          <w:szCs w:val="21"/>
        </w:rPr>
      </w:pPr>
      <w:r>
        <w:rPr>
          <w:rFonts w:hint="eastAsia"/>
          <w:color w:val="000000"/>
          <w:szCs w:val="21"/>
        </w:rPr>
        <w:t xml:space="preserve">   </w:t>
      </w:r>
      <w:r>
        <w:rPr>
          <w:rFonts w:hint="eastAsia" w:ascii="宋体" w:hAnsi="宋体"/>
          <w:color w:val="000000"/>
          <w:szCs w:val="21"/>
        </w:rPr>
        <w:t xml:space="preserve">                                  </w:t>
      </w:r>
    </w:p>
    <w:p>
      <w:pPr>
        <w:spacing w:line="360" w:lineRule="auto"/>
        <w:rPr>
          <w:rFonts w:ascii="宋体" w:hAnsi="宋体"/>
          <w:bCs/>
          <w:color w:val="000000"/>
          <w:szCs w:val="21"/>
        </w:rPr>
      </w:pPr>
      <w:r>
        <w:rPr>
          <w:rFonts w:hint="eastAsia" w:ascii="宋体" w:hAnsi="宋体"/>
          <w:bCs/>
          <w:color w:val="000000"/>
          <w:szCs w:val="21"/>
        </w:rPr>
        <w:t>甲、乙双方根据</w:t>
      </w:r>
      <w:r>
        <w:rPr>
          <w:rFonts w:hint="eastAsia" w:ascii="宋体" w:hAnsi="宋体"/>
          <w:bCs/>
          <w:color w:val="000000"/>
          <w:szCs w:val="21"/>
          <w:u w:val="single"/>
        </w:rPr>
        <w:t xml:space="preserve">                       </w:t>
      </w:r>
      <w:r>
        <w:rPr>
          <w:rFonts w:hint="eastAsia" w:ascii="宋体" w:hAnsi="宋体"/>
          <w:bCs/>
          <w:color w:val="000000"/>
          <w:szCs w:val="21"/>
        </w:rPr>
        <w:t>项目（项目编号：</w:t>
      </w:r>
      <w:r>
        <w:rPr>
          <w:rFonts w:hint="eastAsia" w:ascii="宋体" w:hAnsi="宋体"/>
          <w:bCs/>
          <w:color w:val="000000"/>
          <w:szCs w:val="21"/>
          <w:u w:val="single"/>
        </w:rPr>
        <w:t xml:space="preserve">          </w:t>
      </w:r>
      <w:r>
        <w:rPr>
          <w:rFonts w:hint="eastAsia" w:ascii="宋体" w:hAnsi="宋体"/>
          <w:bCs/>
          <w:color w:val="000000"/>
          <w:szCs w:val="21"/>
        </w:rPr>
        <w:t>）采购结果和有关采购文件的要求、应标文件的承诺，</w:t>
      </w:r>
      <w:r>
        <w:rPr>
          <w:rFonts w:ascii="宋体" w:hAnsi="宋体"/>
          <w:color w:val="000000"/>
          <w:szCs w:val="21"/>
        </w:rPr>
        <w:t>双方</w:t>
      </w:r>
      <w:r>
        <w:rPr>
          <w:rFonts w:hint="eastAsia" w:ascii="宋体" w:hAnsi="宋体"/>
          <w:color w:val="000000"/>
          <w:szCs w:val="21"/>
        </w:rPr>
        <w:t>就本采购事项</w:t>
      </w:r>
      <w:r>
        <w:rPr>
          <w:rFonts w:ascii="宋体" w:hAnsi="宋体"/>
          <w:color w:val="000000"/>
          <w:szCs w:val="21"/>
        </w:rPr>
        <w:t>协商一致</w:t>
      </w:r>
      <w:r>
        <w:rPr>
          <w:rFonts w:hint="eastAsia" w:ascii="宋体" w:hAnsi="宋体"/>
          <w:bCs/>
          <w:color w:val="000000"/>
          <w:szCs w:val="21"/>
        </w:rPr>
        <w:t>，订立以下合同：</w:t>
      </w:r>
    </w:p>
    <w:p>
      <w:pPr>
        <w:spacing w:line="360" w:lineRule="auto"/>
        <w:rPr>
          <w:rFonts w:ascii="宋体" w:hAnsi="宋体" w:cs="仿宋_GB2312"/>
          <w:b/>
          <w:color w:val="000000"/>
          <w:szCs w:val="21"/>
        </w:rPr>
      </w:pPr>
      <w:r>
        <w:rPr>
          <w:rFonts w:hint="eastAsia" w:ascii="宋体" w:hAnsi="宋体" w:cs="仿宋_GB2312"/>
          <w:b/>
          <w:color w:val="000000"/>
          <w:szCs w:val="21"/>
        </w:rPr>
        <w:t>1.合同内容和价格</w:t>
      </w:r>
    </w:p>
    <w:tbl>
      <w:tblPr>
        <w:tblStyle w:val="17"/>
        <w:tblW w:w="894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588"/>
        <w:gridCol w:w="1040"/>
        <w:gridCol w:w="1050"/>
        <w:gridCol w:w="1183"/>
        <w:gridCol w:w="1183"/>
        <w:gridCol w:w="1183"/>
        <w:gridCol w:w="6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64" w:type="dxa"/>
            <w:vAlign w:val="center"/>
          </w:tcPr>
          <w:p>
            <w:pPr>
              <w:spacing w:line="360" w:lineRule="auto"/>
              <w:jc w:val="center"/>
              <w:rPr>
                <w:rFonts w:ascii="宋体" w:hAnsi="宋体"/>
                <w:b/>
                <w:color w:val="000000"/>
                <w:szCs w:val="21"/>
              </w:rPr>
            </w:pPr>
            <w:r>
              <w:rPr>
                <w:rFonts w:hint="eastAsia" w:ascii="宋体" w:hAnsi="宋体"/>
                <w:b/>
                <w:color w:val="000000"/>
                <w:szCs w:val="21"/>
              </w:rPr>
              <w:t>序号</w:t>
            </w:r>
          </w:p>
        </w:tc>
        <w:tc>
          <w:tcPr>
            <w:tcW w:w="1588" w:type="dxa"/>
            <w:vAlign w:val="center"/>
          </w:tcPr>
          <w:p>
            <w:pPr>
              <w:spacing w:line="360" w:lineRule="auto"/>
              <w:jc w:val="center"/>
              <w:rPr>
                <w:rFonts w:ascii="宋体" w:hAnsi="宋体"/>
                <w:b/>
                <w:color w:val="000000"/>
                <w:szCs w:val="21"/>
              </w:rPr>
            </w:pPr>
            <w:r>
              <w:rPr>
                <w:rFonts w:hint="eastAsia" w:ascii="宋体" w:hAnsi="宋体"/>
                <w:b/>
                <w:color w:val="000000"/>
                <w:szCs w:val="21"/>
              </w:rPr>
              <w:t>名称</w:t>
            </w:r>
          </w:p>
        </w:tc>
        <w:tc>
          <w:tcPr>
            <w:tcW w:w="1040" w:type="dxa"/>
          </w:tcPr>
          <w:p>
            <w:pPr>
              <w:spacing w:line="360" w:lineRule="auto"/>
              <w:jc w:val="center"/>
              <w:rPr>
                <w:rFonts w:ascii="宋体" w:hAnsi="宋体"/>
                <w:b/>
                <w:color w:val="000000"/>
                <w:szCs w:val="21"/>
              </w:rPr>
            </w:pPr>
            <w:r>
              <w:rPr>
                <w:rFonts w:hint="eastAsia" w:ascii="宋体" w:hAnsi="宋体"/>
                <w:b/>
                <w:color w:val="000000"/>
                <w:szCs w:val="21"/>
              </w:rPr>
              <w:t>品牌</w:t>
            </w:r>
          </w:p>
        </w:tc>
        <w:tc>
          <w:tcPr>
            <w:tcW w:w="1050" w:type="dxa"/>
            <w:vAlign w:val="center"/>
          </w:tcPr>
          <w:p>
            <w:pPr>
              <w:spacing w:line="360" w:lineRule="auto"/>
              <w:jc w:val="center"/>
              <w:rPr>
                <w:rFonts w:ascii="宋体" w:hAnsi="宋体"/>
                <w:b/>
                <w:color w:val="000000"/>
                <w:szCs w:val="21"/>
              </w:rPr>
            </w:pPr>
            <w:r>
              <w:rPr>
                <w:rFonts w:hint="eastAsia" w:ascii="宋体" w:hAnsi="宋体"/>
                <w:b/>
                <w:color w:val="000000"/>
                <w:szCs w:val="21"/>
              </w:rPr>
              <w:t>规格型号</w:t>
            </w:r>
          </w:p>
        </w:tc>
        <w:tc>
          <w:tcPr>
            <w:tcW w:w="1183" w:type="dxa"/>
            <w:vAlign w:val="center"/>
          </w:tcPr>
          <w:p>
            <w:pPr>
              <w:spacing w:line="360" w:lineRule="auto"/>
              <w:jc w:val="center"/>
              <w:rPr>
                <w:rFonts w:ascii="宋体" w:hAnsi="宋体"/>
                <w:b/>
                <w:color w:val="000000"/>
                <w:szCs w:val="21"/>
              </w:rPr>
            </w:pPr>
            <w:r>
              <w:rPr>
                <w:rFonts w:hint="eastAsia" w:ascii="宋体" w:hAnsi="宋体"/>
                <w:b/>
                <w:color w:val="000000"/>
                <w:szCs w:val="21"/>
              </w:rPr>
              <w:t>数量</w:t>
            </w:r>
          </w:p>
        </w:tc>
        <w:tc>
          <w:tcPr>
            <w:tcW w:w="1183" w:type="dxa"/>
            <w:vAlign w:val="center"/>
          </w:tcPr>
          <w:p>
            <w:pPr>
              <w:spacing w:line="360" w:lineRule="auto"/>
              <w:jc w:val="center"/>
              <w:rPr>
                <w:rFonts w:ascii="宋体" w:hAnsi="宋体"/>
                <w:b/>
                <w:color w:val="000000"/>
                <w:szCs w:val="21"/>
              </w:rPr>
            </w:pPr>
            <w:r>
              <w:rPr>
                <w:rFonts w:hint="eastAsia" w:ascii="宋体" w:hAnsi="宋体"/>
                <w:b/>
                <w:color w:val="000000"/>
                <w:szCs w:val="21"/>
              </w:rPr>
              <w:t>单价（元）</w:t>
            </w:r>
          </w:p>
        </w:tc>
        <w:tc>
          <w:tcPr>
            <w:tcW w:w="1183" w:type="dxa"/>
            <w:vAlign w:val="center"/>
          </w:tcPr>
          <w:p>
            <w:pPr>
              <w:spacing w:line="360" w:lineRule="auto"/>
              <w:jc w:val="center"/>
              <w:rPr>
                <w:rFonts w:ascii="宋体" w:hAnsi="宋体"/>
                <w:b/>
                <w:color w:val="000000"/>
                <w:szCs w:val="21"/>
              </w:rPr>
            </w:pPr>
            <w:r>
              <w:rPr>
                <w:rFonts w:hint="eastAsia" w:ascii="宋体" w:hAnsi="宋体"/>
                <w:b/>
                <w:color w:val="000000"/>
                <w:szCs w:val="21"/>
              </w:rPr>
              <w:t>总价（元）</w:t>
            </w:r>
          </w:p>
        </w:tc>
        <w:tc>
          <w:tcPr>
            <w:tcW w:w="655" w:type="dxa"/>
            <w:vAlign w:val="center"/>
          </w:tcPr>
          <w:p>
            <w:pPr>
              <w:spacing w:line="360" w:lineRule="auto"/>
              <w:jc w:val="center"/>
              <w:rPr>
                <w:rFonts w:ascii="宋体" w:hAnsi="宋体"/>
                <w:b/>
                <w:color w:val="000000"/>
                <w:szCs w:val="21"/>
              </w:rPr>
            </w:pPr>
            <w:r>
              <w:rPr>
                <w:rFonts w:hint="eastAsia" w:ascii="宋体" w:hAnsi="宋体"/>
                <w:b/>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64" w:type="dxa"/>
            <w:vAlign w:val="center"/>
          </w:tcPr>
          <w:p>
            <w:pPr>
              <w:spacing w:line="360" w:lineRule="auto"/>
              <w:jc w:val="center"/>
              <w:rPr>
                <w:rFonts w:ascii="宋体" w:hAnsi="宋体"/>
                <w:b/>
                <w:color w:val="000000"/>
                <w:szCs w:val="21"/>
              </w:rPr>
            </w:pPr>
          </w:p>
        </w:tc>
        <w:tc>
          <w:tcPr>
            <w:tcW w:w="1588" w:type="dxa"/>
            <w:vAlign w:val="center"/>
          </w:tcPr>
          <w:p>
            <w:pPr>
              <w:spacing w:line="360" w:lineRule="auto"/>
              <w:jc w:val="center"/>
              <w:rPr>
                <w:rFonts w:ascii="宋体" w:hAnsi="宋体"/>
                <w:b/>
                <w:color w:val="000000"/>
                <w:szCs w:val="21"/>
              </w:rPr>
            </w:pPr>
          </w:p>
        </w:tc>
        <w:tc>
          <w:tcPr>
            <w:tcW w:w="1040" w:type="dxa"/>
          </w:tcPr>
          <w:p>
            <w:pPr>
              <w:spacing w:line="360" w:lineRule="auto"/>
              <w:jc w:val="center"/>
              <w:rPr>
                <w:rFonts w:ascii="宋体" w:hAnsi="宋体"/>
                <w:b/>
                <w:color w:val="000000"/>
                <w:szCs w:val="21"/>
              </w:rPr>
            </w:pPr>
          </w:p>
        </w:tc>
        <w:tc>
          <w:tcPr>
            <w:tcW w:w="1050" w:type="dxa"/>
            <w:vAlign w:val="center"/>
          </w:tcPr>
          <w:p>
            <w:pPr>
              <w:spacing w:line="360" w:lineRule="auto"/>
              <w:jc w:val="center"/>
              <w:rPr>
                <w:rFonts w:ascii="宋体" w:hAnsi="宋体"/>
                <w:b/>
                <w:color w:val="000000"/>
                <w:szCs w:val="21"/>
              </w:rPr>
            </w:pPr>
          </w:p>
        </w:tc>
        <w:tc>
          <w:tcPr>
            <w:tcW w:w="1183" w:type="dxa"/>
            <w:vAlign w:val="center"/>
          </w:tcPr>
          <w:p>
            <w:pPr>
              <w:spacing w:line="360" w:lineRule="auto"/>
              <w:jc w:val="center"/>
              <w:rPr>
                <w:rFonts w:ascii="宋体" w:hAnsi="宋体"/>
                <w:b/>
                <w:color w:val="000000"/>
                <w:szCs w:val="21"/>
              </w:rPr>
            </w:pPr>
          </w:p>
        </w:tc>
        <w:tc>
          <w:tcPr>
            <w:tcW w:w="1183" w:type="dxa"/>
            <w:vAlign w:val="center"/>
          </w:tcPr>
          <w:p>
            <w:pPr>
              <w:spacing w:line="360" w:lineRule="auto"/>
              <w:jc w:val="center"/>
              <w:rPr>
                <w:rFonts w:ascii="宋体" w:hAnsi="宋体"/>
                <w:b/>
                <w:color w:val="000000"/>
                <w:szCs w:val="21"/>
              </w:rPr>
            </w:pPr>
          </w:p>
        </w:tc>
        <w:tc>
          <w:tcPr>
            <w:tcW w:w="1183" w:type="dxa"/>
            <w:vAlign w:val="center"/>
          </w:tcPr>
          <w:p>
            <w:pPr>
              <w:spacing w:line="360" w:lineRule="auto"/>
              <w:jc w:val="center"/>
              <w:rPr>
                <w:rFonts w:ascii="宋体" w:hAnsi="宋体"/>
                <w:b/>
                <w:color w:val="000000"/>
                <w:szCs w:val="21"/>
              </w:rPr>
            </w:pPr>
          </w:p>
        </w:tc>
        <w:tc>
          <w:tcPr>
            <w:tcW w:w="655" w:type="dxa"/>
            <w:vAlign w:val="center"/>
          </w:tcPr>
          <w:p>
            <w:pPr>
              <w:spacing w:line="360" w:lineRule="auto"/>
              <w:jc w:val="center"/>
              <w:rPr>
                <w:rFonts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64" w:type="dxa"/>
            <w:vAlign w:val="center"/>
          </w:tcPr>
          <w:p>
            <w:pPr>
              <w:widowControl/>
              <w:rPr>
                <w:rFonts w:ascii="宋体" w:hAnsi="宋体" w:cs="宋体"/>
                <w:color w:val="000000"/>
                <w:kern w:val="0"/>
                <w:szCs w:val="21"/>
              </w:rPr>
            </w:pPr>
            <w:r>
              <w:rPr>
                <w:rFonts w:hint="eastAsia" w:ascii="宋体" w:hAnsi="宋体" w:cs="宋体"/>
                <w:color w:val="000000"/>
                <w:kern w:val="0"/>
                <w:szCs w:val="21"/>
              </w:rPr>
              <w:t>合计</w:t>
            </w:r>
          </w:p>
        </w:tc>
        <w:tc>
          <w:tcPr>
            <w:tcW w:w="4861" w:type="dxa"/>
            <w:gridSpan w:val="4"/>
            <w:vAlign w:val="center"/>
          </w:tcPr>
          <w:p>
            <w:pPr>
              <w:spacing w:line="360" w:lineRule="auto"/>
              <w:jc w:val="center"/>
              <w:rPr>
                <w:rFonts w:ascii="宋体" w:hAnsi="宋体"/>
                <w:b/>
                <w:color w:val="000000"/>
                <w:szCs w:val="21"/>
              </w:rPr>
            </w:pPr>
          </w:p>
        </w:tc>
        <w:tc>
          <w:tcPr>
            <w:tcW w:w="1183" w:type="dxa"/>
            <w:vAlign w:val="center"/>
          </w:tcPr>
          <w:p>
            <w:pPr>
              <w:spacing w:line="360" w:lineRule="auto"/>
              <w:jc w:val="center"/>
              <w:rPr>
                <w:rFonts w:ascii="宋体" w:hAnsi="宋体"/>
                <w:b/>
                <w:color w:val="000000"/>
                <w:szCs w:val="21"/>
              </w:rPr>
            </w:pPr>
            <w:r>
              <w:rPr>
                <w:rFonts w:hint="eastAsia" w:ascii="宋体" w:hAnsi="宋体" w:cs="宋体"/>
                <w:color w:val="000000"/>
                <w:kern w:val="0"/>
                <w:szCs w:val="21"/>
              </w:rPr>
              <w:t>总价：</w:t>
            </w:r>
          </w:p>
        </w:tc>
        <w:tc>
          <w:tcPr>
            <w:tcW w:w="1838" w:type="dxa"/>
            <w:gridSpan w:val="2"/>
            <w:vAlign w:val="center"/>
          </w:tcPr>
          <w:p>
            <w:pPr>
              <w:spacing w:line="360" w:lineRule="auto"/>
              <w:jc w:val="center"/>
              <w:rPr>
                <w:rFonts w:ascii="宋体" w:hAnsi="宋体"/>
                <w:b/>
                <w:color w:val="000000"/>
                <w:szCs w:val="21"/>
              </w:rPr>
            </w:pPr>
          </w:p>
        </w:tc>
      </w:tr>
    </w:tbl>
    <w:p>
      <w:pPr>
        <w:spacing w:line="360" w:lineRule="auto"/>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有关本项目实施所需</w:t>
      </w:r>
      <w:r>
        <w:rPr>
          <w:rFonts w:hint="eastAsia" w:ascii="宋体" w:hAnsi="宋体"/>
          <w:color w:val="000000"/>
          <w:kern w:val="0"/>
          <w:szCs w:val="21"/>
        </w:rPr>
        <w:t>全部工作内容，包括方案设计及优化、人工、材料、设备、施工机械、安装调试、验收、系统集成、运行维护、现场培训、施工现场的拆除、开槽、开洞和修复等、设备和系统的软件和硬件保修及售后服务、施工管理费</w:t>
      </w:r>
      <w:r>
        <w:rPr>
          <w:rFonts w:ascii="宋体" w:hAnsi="宋体"/>
          <w:color w:val="000000"/>
          <w:kern w:val="0"/>
          <w:szCs w:val="21"/>
        </w:rPr>
        <w:t>和税金等所有相关费用均计入报价。</w:t>
      </w:r>
      <w:r>
        <w:rPr>
          <w:rFonts w:hint="eastAsia" w:ascii="宋体" w:hAnsi="宋体"/>
          <w:color w:val="000000"/>
          <w:kern w:val="0"/>
          <w:szCs w:val="21"/>
        </w:rPr>
        <w:t>系统软件与原有各类相关软件接口费用均包含在投标总价中。</w:t>
      </w:r>
    </w:p>
    <w:p>
      <w:pPr>
        <w:spacing w:line="360" w:lineRule="auto"/>
        <w:rPr>
          <w:rFonts w:ascii="宋体" w:hAnsi="宋体" w:cs="仿宋_GB2312"/>
          <w:b/>
          <w:color w:val="000000"/>
          <w:szCs w:val="21"/>
        </w:rPr>
      </w:pPr>
      <w:r>
        <w:rPr>
          <w:rFonts w:hint="eastAsia" w:ascii="宋体" w:hAnsi="宋体"/>
          <w:color w:val="000000"/>
          <w:szCs w:val="21"/>
        </w:rPr>
        <w:t xml:space="preserve"> </w:t>
      </w:r>
      <w:r>
        <w:rPr>
          <w:rFonts w:hint="eastAsia" w:ascii="宋体" w:hAnsi="宋体"/>
          <w:color w:val="000000"/>
          <w:kern w:val="0"/>
          <w:szCs w:val="21"/>
        </w:rPr>
        <w:t>2）改造现场拆除管路、线路和设备拆除、墙地面开槽、开洞等修复内容包含在投标总价中。</w:t>
      </w:r>
    </w:p>
    <w:p>
      <w:pPr>
        <w:spacing w:line="360" w:lineRule="auto"/>
        <w:rPr>
          <w:rFonts w:ascii="宋体" w:hAnsi="宋体" w:cs="仿宋_GB2312"/>
          <w:b/>
          <w:color w:val="000000"/>
          <w:szCs w:val="21"/>
        </w:rPr>
      </w:pPr>
      <w:r>
        <w:rPr>
          <w:rFonts w:hint="eastAsia" w:ascii="宋体" w:hAnsi="宋体" w:cs="仿宋_GB2312"/>
          <w:b/>
          <w:color w:val="000000"/>
          <w:szCs w:val="21"/>
        </w:rPr>
        <w:t>2.质量保证</w:t>
      </w:r>
    </w:p>
    <w:p>
      <w:pPr>
        <w:spacing w:line="360" w:lineRule="auto"/>
        <w:ind w:firstLine="420" w:firstLineChars="200"/>
        <w:rPr>
          <w:rFonts w:ascii="宋体" w:hAnsi="宋体"/>
          <w:color w:val="000000"/>
          <w:szCs w:val="21"/>
        </w:rPr>
      </w:pPr>
      <w:r>
        <w:rPr>
          <w:rFonts w:hint="eastAsia" w:ascii="宋体" w:hAnsi="宋体"/>
          <w:color w:val="000000"/>
          <w:szCs w:val="21"/>
        </w:rPr>
        <w:t>2.1乙方保证本合同所供设备及附件是符合我国技术规范和质量标准的全新合格产品，满足甲方的使用需求，具有先进性、科学性、可靠性、安全性，产品安装调试完毕后，能在其功能范围内保证安全、稳定的运行。在质量、规格型号等方面与乙方提供的生产厂家产品说明书、品质保证书、本合同相符合。设备到达工地时内外包装完好无损。</w:t>
      </w:r>
    </w:p>
    <w:p>
      <w:pPr>
        <w:spacing w:line="360" w:lineRule="auto"/>
        <w:ind w:firstLine="420" w:firstLineChars="200"/>
        <w:rPr>
          <w:rFonts w:ascii="宋体" w:hAnsi="宋体"/>
          <w:color w:val="000000"/>
          <w:szCs w:val="21"/>
        </w:rPr>
      </w:pPr>
      <w:r>
        <w:rPr>
          <w:rFonts w:hint="eastAsia" w:ascii="宋体" w:hAnsi="宋体"/>
          <w:color w:val="000000"/>
          <w:szCs w:val="21"/>
        </w:rPr>
        <w:t>2.2安装所需辅助材料选用的品牌与合同响应文件相一致。</w:t>
      </w:r>
    </w:p>
    <w:p>
      <w:pPr>
        <w:spacing w:line="360" w:lineRule="auto"/>
        <w:ind w:firstLine="420" w:firstLineChars="200"/>
        <w:rPr>
          <w:rFonts w:ascii="宋体" w:hAnsi="宋体"/>
          <w:color w:val="000000"/>
          <w:szCs w:val="21"/>
        </w:rPr>
      </w:pPr>
      <w:r>
        <w:rPr>
          <w:rFonts w:hint="eastAsia" w:ascii="宋体" w:hAnsi="宋体"/>
          <w:color w:val="000000"/>
          <w:szCs w:val="21"/>
        </w:rPr>
        <w:t>2.3所供设备在质保期内如发现质量问题，实行包修、包换、包退，直至产品符合质量要求，由此所产生的一切费用和直接经济损失由乙方承担。</w:t>
      </w:r>
    </w:p>
    <w:p>
      <w:pPr>
        <w:spacing w:line="360" w:lineRule="auto"/>
        <w:rPr>
          <w:rFonts w:ascii="宋体" w:hAnsi="宋体" w:cs="仿宋_GB2312"/>
          <w:b/>
          <w:color w:val="000000"/>
          <w:szCs w:val="21"/>
        </w:rPr>
      </w:pPr>
    </w:p>
    <w:p>
      <w:pPr>
        <w:spacing w:line="360" w:lineRule="auto"/>
        <w:rPr>
          <w:rFonts w:ascii="宋体" w:hAnsi="宋体" w:cs="仿宋_GB2312"/>
          <w:b/>
          <w:color w:val="000000"/>
          <w:szCs w:val="21"/>
        </w:rPr>
      </w:pPr>
      <w:r>
        <w:rPr>
          <w:rFonts w:hint="eastAsia" w:ascii="宋体" w:hAnsi="宋体" w:cs="仿宋_GB2312"/>
          <w:b/>
          <w:color w:val="000000"/>
          <w:szCs w:val="21"/>
        </w:rPr>
        <w:t>3．项目开发与要求</w:t>
      </w:r>
    </w:p>
    <w:p>
      <w:pPr>
        <w:spacing w:line="360" w:lineRule="auto"/>
        <w:ind w:firstLine="420" w:firstLineChars="200"/>
        <w:rPr>
          <w:rFonts w:ascii="宋体" w:hAnsi="宋体" w:cs="仿宋_GB2312"/>
          <w:b/>
          <w:color w:val="000000"/>
          <w:szCs w:val="21"/>
        </w:rPr>
      </w:pPr>
      <w:r>
        <w:rPr>
          <w:rFonts w:hint="eastAsia" w:ascii="宋体" w:hAnsi="宋体" w:cs="仿宋_GB2312"/>
          <w:color w:val="000000"/>
          <w:szCs w:val="21"/>
        </w:rPr>
        <w:t>3．1乙方必须</w:t>
      </w:r>
      <w:r>
        <w:rPr>
          <w:rFonts w:hint="eastAsia" w:ascii="宋体" w:hAnsi="宋体" w:cs="仿宋_GB2312"/>
          <w:color w:val="000000"/>
          <w:kern w:val="0"/>
          <w:szCs w:val="21"/>
          <w:lang w:val="zh-CN"/>
        </w:rPr>
        <w:t>进一步优化需求分析、系统设计，</w:t>
      </w:r>
      <w:r>
        <w:rPr>
          <w:rFonts w:hint="eastAsia" w:ascii="宋体" w:hAnsi="宋体" w:cs="仿宋_GB2312"/>
          <w:color w:val="000000"/>
          <w:szCs w:val="21"/>
        </w:rPr>
        <w:t>并细化系统建设计划、目标任务书和测试验收方案</w:t>
      </w:r>
      <w:r>
        <w:rPr>
          <w:rFonts w:hint="eastAsia" w:ascii="宋体" w:hAnsi="宋体" w:cs="仿宋_GB2312"/>
          <w:color w:val="000000"/>
          <w:kern w:val="0"/>
          <w:szCs w:val="21"/>
          <w:lang w:val="zh-CN"/>
        </w:rPr>
        <w:t>，向采购人提供上述文档并需经采购人审查。</w:t>
      </w:r>
    </w:p>
    <w:p>
      <w:pPr>
        <w:spacing w:line="360" w:lineRule="auto"/>
        <w:ind w:firstLine="420" w:firstLineChars="200"/>
        <w:rPr>
          <w:rFonts w:ascii="宋体" w:hAnsi="宋体" w:cs="仿宋_GB2312"/>
          <w:color w:val="000000"/>
          <w:kern w:val="0"/>
          <w:szCs w:val="21"/>
          <w:lang w:val="zh-CN"/>
        </w:rPr>
      </w:pPr>
      <w:r>
        <w:rPr>
          <w:rFonts w:hint="eastAsia" w:ascii="宋体" w:hAnsi="宋体" w:cs="仿宋_GB2312"/>
          <w:color w:val="000000"/>
          <w:szCs w:val="21"/>
        </w:rPr>
        <w:t>3.2</w:t>
      </w:r>
      <w:r>
        <w:rPr>
          <w:rFonts w:hint="eastAsia" w:ascii="宋体" w:hAnsi="宋体" w:cs="仿宋_GB2312"/>
          <w:color w:val="000000"/>
          <w:kern w:val="0"/>
          <w:szCs w:val="21"/>
          <w:lang w:val="zh-CN"/>
        </w:rPr>
        <w:t>本项目的最终用户为甲方，项目的知识产权归甲方所有，乙方必须提供项目的所有源代码和开发文档，甲方有权对软件进行修改。未经同意，乙方不得擅自扩散或提供给第三方使用，但甲方在本平台应用、二次开发或升级除外。乙方对甲方提供的业务资料、技术资料应严格保密，不得扩散。</w:t>
      </w:r>
    </w:p>
    <w:p>
      <w:pPr>
        <w:spacing w:line="360" w:lineRule="auto"/>
        <w:ind w:firstLine="420" w:firstLineChars="200"/>
        <w:rPr>
          <w:rFonts w:ascii="宋体" w:hAnsi="宋体" w:cs="仿宋_GB2312"/>
          <w:color w:val="000000"/>
          <w:kern w:val="0"/>
          <w:szCs w:val="21"/>
          <w:lang w:val="zh-CN"/>
        </w:rPr>
      </w:pPr>
      <w:r>
        <w:rPr>
          <w:rFonts w:hint="eastAsia" w:ascii="宋体" w:hAnsi="宋体" w:cs="仿宋_GB2312"/>
          <w:color w:val="000000"/>
          <w:szCs w:val="21"/>
        </w:rPr>
        <w:t>3．3</w:t>
      </w:r>
      <w:r>
        <w:rPr>
          <w:rFonts w:hint="eastAsia" w:ascii="宋体" w:hAnsi="宋体" w:cs="仿宋_GB2312"/>
          <w:color w:val="000000"/>
          <w:kern w:val="0"/>
          <w:szCs w:val="21"/>
          <w:lang w:val="zh-CN"/>
        </w:rPr>
        <w:t>乙方</w:t>
      </w:r>
      <w:r>
        <w:rPr>
          <w:rFonts w:hint="eastAsia" w:ascii="宋体" w:hAnsi="宋体" w:cs="仿宋_GB2312"/>
          <w:color w:val="000000"/>
          <w:szCs w:val="21"/>
        </w:rPr>
        <w:t>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w:t>
      </w:r>
      <w:r>
        <w:rPr>
          <w:rFonts w:hint="eastAsia" w:ascii="宋体" w:hAnsi="宋体" w:cs="仿宋_GB2312"/>
          <w:color w:val="000000"/>
          <w:kern w:val="0"/>
          <w:szCs w:val="21"/>
          <w:lang w:val="zh-CN"/>
        </w:rPr>
        <w:t>乙方</w:t>
      </w:r>
      <w:r>
        <w:rPr>
          <w:rFonts w:hint="eastAsia" w:ascii="宋体" w:hAnsi="宋体" w:cs="仿宋_GB2312"/>
          <w:color w:val="000000"/>
          <w:szCs w:val="21"/>
        </w:rPr>
        <w:t>要承担相应后果，</w:t>
      </w:r>
      <w:r>
        <w:rPr>
          <w:rFonts w:hint="eastAsia" w:ascii="宋体" w:hAnsi="宋体" w:cs="仿宋_GB2312"/>
          <w:color w:val="000000"/>
          <w:kern w:val="0"/>
          <w:szCs w:val="21"/>
          <w:lang w:val="zh-CN"/>
        </w:rPr>
        <w:t>并负责赔偿。乙方</w:t>
      </w:r>
      <w:r>
        <w:rPr>
          <w:rFonts w:hint="eastAsia" w:ascii="宋体" w:hAnsi="宋体" w:cs="仿宋_GB2312"/>
          <w:color w:val="000000"/>
          <w:szCs w:val="21"/>
        </w:rPr>
        <w:t>为执行本项目合同而提供的技术资料等归甲方所有。</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rPr>
        <w:t>3.4乙方必须按照本项目进度进场实施，按照项目需求、国家技术规范和质量标准实施项目开发和系统集成。</w:t>
      </w:r>
    </w:p>
    <w:p>
      <w:pPr>
        <w:autoSpaceDE w:val="0"/>
        <w:autoSpaceDN w:val="0"/>
        <w:spacing w:line="360" w:lineRule="auto"/>
        <w:ind w:firstLine="480"/>
        <w:rPr>
          <w:rFonts w:ascii="宋体" w:hAnsi="宋体" w:cs="仿宋_GB2312"/>
          <w:color w:val="000000"/>
          <w:kern w:val="0"/>
          <w:szCs w:val="21"/>
          <w:lang w:val="zh-CN"/>
        </w:rPr>
      </w:pPr>
      <w:r>
        <w:rPr>
          <w:rFonts w:hint="eastAsia" w:ascii="宋体" w:hAnsi="宋体" w:cs="仿宋_GB2312"/>
          <w:color w:val="000000"/>
          <w:szCs w:val="21"/>
        </w:rPr>
        <w:t xml:space="preserve">3.5 </w:t>
      </w:r>
      <w:r>
        <w:rPr>
          <w:rFonts w:hint="eastAsia" w:ascii="宋体" w:hAnsi="宋体" w:cs="仿宋_GB2312"/>
          <w:color w:val="000000"/>
          <w:kern w:val="0"/>
          <w:szCs w:val="21"/>
          <w:lang w:val="zh-CN"/>
        </w:rPr>
        <w:t>乙方对在项目建设期间所获得的甲方的情报和资料有保密义务，泄漏秘密应承担的责任。不论本合同是否变更、解除、终止，本条款均有效。</w:t>
      </w:r>
    </w:p>
    <w:p>
      <w:pPr>
        <w:autoSpaceDE w:val="0"/>
        <w:autoSpaceDN w:val="0"/>
        <w:spacing w:line="360" w:lineRule="auto"/>
        <w:ind w:firstLine="480"/>
        <w:rPr>
          <w:rFonts w:ascii="宋体" w:hAnsi="宋体" w:cs="仿宋_GB2312"/>
          <w:color w:val="000000"/>
          <w:kern w:val="0"/>
          <w:szCs w:val="21"/>
          <w:lang w:val="zh-CN"/>
        </w:rPr>
      </w:pPr>
      <w:r>
        <w:rPr>
          <w:rFonts w:hint="eastAsia" w:ascii="宋体" w:hAnsi="宋体" w:cs="仿宋_GB2312"/>
          <w:color w:val="000000"/>
          <w:kern w:val="0"/>
          <w:szCs w:val="21"/>
          <w:lang w:val="zh-CN"/>
        </w:rPr>
        <w:t>3.6 乙方应在合同签订后3个工作日内，向甲方缴纳合同总价5％的履约保证金。</w:t>
      </w:r>
    </w:p>
    <w:p>
      <w:pPr>
        <w:spacing w:line="360" w:lineRule="auto"/>
        <w:rPr>
          <w:rFonts w:ascii="宋体" w:hAnsi="宋体"/>
          <w:b/>
          <w:color w:val="000000"/>
          <w:szCs w:val="21"/>
        </w:rPr>
      </w:pPr>
      <w:r>
        <w:rPr>
          <w:rFonts w:hint="eastAsia" w:ascii="宋体" w:hAnsi="宋体"/>
          <w:b/>
          <w:color w:val="000000"/>
          <w:szCs w:val="21"/>
        </w:rPr>
        <w:t>4．项目实施</w:t>
      </w:r>
    </w:p>
    <w:p>
      <w:pPr>
        <w:spacing w:line="360" w:lineRule="auto"/>
        <w:ind w:firstLine="420" w:firstLineChars="200"/>
        <w:rPr>
          <w:rFonts w:ascii="宋体" w:hAnsi="宋体"/>
          <w:color w:val="000000"/>
          <w:szCs w:val="21"/>
        </w:rPr>
      </w:pPr>
      <w:r>
        <w:rPr>
          <w:rFonts w:hint="eastAsia" w:ascii="宋体" w:hAnsi="宋体"/>
          <w:color w:val="000000"/>
          <w:szCs w:val="21"/>
        </w:rPr>
        <w:t>4.1 甲方提供项目所需的设备资源和必要场地。</w:t>
      </w:r>
    </w:p>
    <w:p>
      <w:pPr>
        <w:spacing w:line="360" w:lineRule="auto"/>
        <w:ind w:firstLine="420" w:firstLineChars="200"/>
        <w:rPr>
          <w:rFonts w:ascii="宋体" w:hAnsi="宋体"/>
          <w:color w:val="000000"/>
          <w:szCs w:val="21"/>
        </w:rPr>
      </w:pPr>
      <w:r>
        <w:rPr>
          <w:rFonts w:hint="eastAsia" w:ascii="宋体" w:hAnsi="宋体"/>
          <w:color w:val="000000"/>
          <w:szCs w:val="21"/>
        </w:rPr>
        <w:t>4.2 乙方项目实施人员须服从甲方管理人员管理。乙方项目实施人员必须遵守现场的各项规章制度。</w:t>
      </w:r>
    </w:p>
    <w:p>
      <w:pPr>
        <w:spacing w:line="360" w:lineRule="auto"/>
        <w:ind w:firstLine="420" w:firstLineChars="200"/>
        <w:rPr>
          <w:rFonts w:ascii="宋体" w:hAnsi="宋体"/>
          <w:color w:val="000000"/>
          <w:szCs w:val="21"/>
        </w:rPr>
      </w:pPr>
      <w:r>
        <w:rPr>
          <w:rFonts w:hint="eastAsia" w:ascii="宋体" w:hAnsi="宋体"/>
          <w:color w:val="000000"/>
          <w:szCs w:val="21"/>
        </w:rPr>
        <w:t>4.3 乙方应根据项目情况提供软件开发、安装调试计划，项目实施进度计划，经甲、乙双方共同确定后作为双方共同执行的合同条款，乙方应按计划完工交付验收，若超过计划完工日15天以上的天数按超期处罚。</w:t>
      </w:r>
    </w:p>
    <w:p>
      <w:pPr>
        <w:spacing w:line="360" w:lineRule="auto"/>
        <w:ind w:firstLine="420" w:firstLineChars="200"/>
        <w:rPr>
          <w:rFonts w:ascii="宋体" w:hAnsi="宋体"/>
          <w:color w:val="000000"/>
          <w:szCs w:val="21"/>
        </w:rPr>
      </w:pPr>
      <w:r>
        <w:rPr>
          <w:rFonts w:hint="eastAsia" w:ascii="宋体" w:hAnsi="宋体"/>
          <w:color w:val="000000"/>
          <w:szCs w:val="21"/>
        </w:rPr>
        <w:t>4.4 如项目验收达到合同规定的质量标准，售后服务良好，无质量和服务问题，履约保证金1个月内无息退还。</w:t>
      </w:r>
    </w:p>
    <w:p>
      <w:pPr>
        <w:spacing w:line="360" w:lineRule="auto"/>
        <w:rPr>
          <w:rFonts w:ascii="宋体" w:hAnsi="宋体" w:cs="仿宋_GB2312"/>
          <w:b/>
          <w:color w:val="000000"/>
          <w:szCs w:val="21"/>
        </w:rPr>
      </w:pPr>
      <w:r>
        <w:rPr>
          <w:rFonts w:hint="eastAsia" w:ascii="宋体" w:hAnsi="宋体" w:cs="仿宋_GB2312"/>
          <w:b/>
          <w:color w:val="000000"/>
          <w:szCs w:val="21"/>
        </w:rPr>
        <w:t>5．</w:t>
      </w:r>
      <w:r>
        <w:rPr>
          <w:rFonts w:hint="eastAsia" w:ascii="宋体" w:hAnsi="宋体" w:cs="仿宋_GB2312"/>
          <w:b/>
          <w:bCs/>
          <w:color w:val="000000"/>
          <w:kern w:val="0"/>
          <w:szCs w:val="21"/>
          <w:lang w:val="zh-CN"/>
        </w:rPr>
        <w:t>系统维护</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rPr>
        <w:t>5.1 乙方对甲方提供操作维护、管理等培训，至熟练操作为止。</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rPr>
        <w:t>5.2</w:t>
      </w:r>
      <w:r>
        <w:rPr>
          <w:rFonts w:hint="eastAsia" w:ascii="宋体" w:hAnsi="宋体" w:cs="仿宋_GB2312"/>
          <w:bCs/>
          <w:color w:val="000000"/>
          <w:szCs w:val="21"/>
        </w:rPr>
        <w:t xml:space="preserve"> 提供软件</w:t>
      </w:r>
      <w:r>
        <w:rPr>
          <w:rFonts w:hint="eastAsia" w:ascii="宋体" w:hAnsi="宋体" w:cs="仿宋_GB2312"/>
          <w:color w:val="000000"/>
          <w:szCs w:val="21"/>
        </w:rPr>
        <w:t>不少于3年</w:t>
      </w:r>
      <w:r>
        <w:rPr>
          <w:rFonts w:hint="eastAsia" w:ascii="宋体" w:hAnsi="宋体" w:cs="仿宋_GB2312"/>
          <w:bCs/>
          <w:color w:val="000000"/>
          <w:szCs w:val="21"/>
        </w:rPr>
        <w:t>7*24免费售后技术支持服务（包括故障排除、性能调优、技术咨询等，并负责处理、协调与各系统软件、硬件等供应商的关系）</w:t>
      </w:r>
      <w:r>
        <w:rPr>
          <w:rFonts w:hint="eastAsia" w:ascii="宋体" w:hAnsi="宋体" w:cs="仿宋_GB2312"/>
          <w:color w:val="000000"/>
          <w:szCs w:val="21"/>
        </w:rPr>
        <w:t>。</w:t>
      </w:r>
    </w:p>
    <w:p>
      <w:pPr>
        <w:autoSpaceDE w:val="0"/>
        <w:autoSpaceDN w:val="0"/>
        <w:spacing w:line="360" w:lineRule="auto"/>
        <w:ind w:firstLine="480"/>
        <w:rPr>
          <w:rFonts w:ascii="宋体" w:hAnsi="宋体" w:cs="仿宋_GB2312"/>
          <w:color w:val="000000"/>
          <w:szCs w:val="21"/>
        </w:rPr>
      </w:pPr>
      <w:r>
        <w:rPr>
          <w:rFonts w:hint="eastAsia" w:ascii="宋体" w:hAnsi="宋体" w:cs="仿宋_GB2312"/>
          <w:color w:val="000000"/>
          <w:szCs w:val="21"/>
        </w:rPr>
        <w:t xml:space="preserve">5.3 </w:t>
      </w:r>
      <w:r>
        <w:rPr>
          <w:rFonts w:hint="eastAsia" w:ascii="宋体" w:hAnsi="宋体" w:cs="仿宋_GB2312"/>
          <w:bCs/>
          <w:color w:val="000000"/>
          <w:kern w:val="0"/>
          <w:szCs w:val="21"/>
          <w:lang w:val="zh-CN"/>
        </w:rPr>
        <w:t>系统维护</w:t>
      </w:r>
      <w:r>
        <w:rPr>
          <w:rFonts w:hint="eastAsia" w:ascii="宋体" w:hAnsi="宋体" w:cs="仿宋_GB2312"/>
          <w:color w:val="000000"/>
          <w:szCs w:val="21"/>
        </w:rPr>
        <w:t>期内，乙方须根据系统运行情况进行不定期的检测与调优，每半年对系统进行一次总体检测，</w:t>
      </w:r>
      <w:r>
        <w:rPr>
          <w:rFonts w:hint="eastAsia" w:ascii="宋体" w:hAnsi="宋体" w:cs="仿宋_GB2312"/>
          <w:bCs/>
          <w:color w:val="000000"/>
          <w:kern w:val="0"/>
          <w:szCs w:val="21"/>
          <w:lang w:val="zh-CN"/>
        </w:rPr>
        <w:t>系统维护</w:t>
      </w:r>
      <w:r>
        <w:rPr>
          <w:rFonts w:hint="eastAsia" w:ascii="宋体" w:hAnsi="宋体" w:cs="仿宋_GB2312"/>
          <w:color w:val="000000"/>
          <w:szCs w:val="21"/>
        </w:rPr>
        <w:t>期满后为甲方提供一套完整的运行记录。</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rPr>
        <w:t>5.4 系统维护期内，乙方提供7*24应急响应服务，乙方在确认紧急响应请求后，通过电话、Email或传真等远程方式查找紧急事件的事发原因并解决相应问题，如无法远程解决问题，在乙方确认紧急响应请求后要求内提供现场技术支持。</w:t>
      </w:r>
    </w:p>
    <w:p>
      <w:pPr>
        <w:spacing w:line="360" w:lineRule="auto"/>
        <w:rPr>
          <w:rFonts w:ascii="宋体" w:hAnsi="宋体" w:cs="仿宋_GB2312"/>
          <w:color w:val="000000"/>
          <w:szCs w:val="21"/>
        </w:rPr>
      </w:pPr>
      <w:r>
        <w:rPr>
          <w:rFonts w:hint="eastAsia" w:ascii="宋体" w:hAnsi="宋体" w:cs="仿宋_GB2312"/>
          <w:b/>
          <w:color w:val="000000"/>
          <w:szCs w:val="21"/>
        </w:rPr>
        <w:t>6．验收</w:t>
      </w:r>
    </w:p>
    <w:p>
      <w:pPr>
        <w:autoSpaceDE w:val="0"/>
        <w:autoSpaceDN w:val="0"/>
        <w:spacing w:line="360" w:lineRule="auto"/>
        <w:ind w:firstLine="480"/>
        <w:rPr>
          <w:rFonts w:ascii="宋体" w:hAnsi="宋体" w:cs="仿宋_GB2312"/>
          <w:color w:val="000000"/>
          <w:szCs w:val="21"/>
        </w:rPr>
      </w:pPr>
      <w:r>
        <w:rPr>
          <w:rFonts w:hint="eastAsia" w:ascii="宋体" w:hAnsi="宋体" w:cs="仿宋_GB2312"/>
          <w:color w:val="000000"/>
          <w:szCs w:val="21"/>
        </w:rPr>
        <w:t xml:space="preserve">6.1 </w:t>
      </w:r>
      <w:r>
        <w:rPr>
          <w:rFonts w:hint="eastAsia" w:ascii="宋体" w:hAnsi="宋体" w:cs="仿宋_GB2312"/>
          <w:color w:val="000000"/>
          <w:kern w:val="0"/>
          <w:szCs w:val="21"/>
          <w:lang w:val="zh-CN"/>
        </w:rPr>
        <w:t>完成全部系统建设任务，投入试运行前，由甲方组织对项目进行初步验收，通过初验后进行试运行。投入试运行后正常运行，由甲方会同</w:t>
      </w:r>
      <w:r>
        <w:rPr>
          <w:rFonts w:hint="eastAsia" w:ascii="宋体" w:hAnsi="宋体" w:cs="仿宋_GB2312"/>
          <w:color w:val="000000"/>
          <w:szCs w:val="21"/>
        </w:rPr>
        <w:t>有关部门对项目进行最终验收。</w:t>
      </w:r>
    </w:p>
    <w:p>
      <w:pPr>
        <w:autoSpaceDE w:val="0"/>
        <w:autoSpaceDN w:val="0"/>
        <w:spacing w:line="360" w:lineRule="auto"/>
        <w:ind w:firstLine="480"/>
        <w:rPr>
          <w:rFonts w:ascii="宋体" w:hAnsi="宋体" w:cs="仿宋_GB2312"/>
          <w:color w:val="000000"/>
          <w:szCs w:val="21"/>
        </w:rPr>
      </w:pPr>
      <w:r>
        <w:rPr>
          <w:rFonts w:hint="eastAsia" w:ascii="宋体" w:hAnsi="宋体" w:cs="仿宋_GB2312"/>
          <w:color w:val="000000"/>
          <w:szCs w:val="21"/>
        </w:rPr>
        <w:t>6.2 验收合格后，甲乙双方共同签署验收报告，一式二份，一份交甲方留存，一份由乙方用作结算凭证。</w:t>
      </w:r>
    </w:p>
    <w:p>
      <w:pPr>
        <w:autoSpaceDE w:val="0"/>
        <w:autoSpaceDN w:val="0"/>
        <w:spacing w:line="360" w:lineRule="auto"/>
        <w:ind w:firstLine="480"/>
        <w:rPr>
          <w:rFonts w:ascii="宋体" w:hAnsi="宋体" w:cs="仿宋_GB2312"/>
          <w:color w:val="000000"/>
          <w:szCs w:val="21"/>
        </w:rPr>
      </w:pPr>
      <w:r>
        <w:rPr>
          <w:rFonts w:hint="eastAsia" w:ascii="宋体" w:hAnsi="宋体" w:cs="仿宋_GB2312"/>
          <w:color w:val="000000"/>
          <w:szCs w:val="21"/>
        </w:rPr>
        <w:t>6.3 如果发现与合同中要求不符，乙方须承担由此发生的一切损失和费用，并接受相应的处罚。</w:t>
      </w:r>
    </w:p>
    <w:p>
      <w:pPr>
        <w:spacing w:line="360" w:lineRule="auto"/>
        <w:ind w:firstLine="422" w:firstLineChars="200"/>
        <w:rPr>
          <w:rFonts w:ascii="宋体" w:hAnsi="宋体" w:cs="仿宋_GB2312"/>
          <w:b/>
          <w:bCs/>
          <w:color w:val="000000"/>
          <w:szCs w:val="21"/>
        </w:rPr>
      </w:pPr>
      <w:r>
        <w:rPr>
          <w:rFonts w:hint="eastAsia" w:ascii="宋体" w:hAnsi="宋体" w:cs="仿宋_GB2312"/>
          <w:b/>
          <w:bCs/>
          <w:color w:val="000000"/>
          <w:szCs w:val="21"/>
        </w:rPr>
        <w:t>6.4 验收时必须提供完整的竣工验收资料，包括各项检测机构提供的现场检测报告和招标文件中所列的所有文档资料等。检测费用含在报价内。</w:t>
      </w:r>
    </w:p>
    <w:p>
      <w:pPr>
        <w:spacing w:line="360" w:lineRule="auto"/>
        <w:rPr>
          <w:rFonts w:ascii="宋体" w:hAnsi="宋体" w:cs="仿宋_GB2312"/>
          <w:b/>
          <w:color w:val="000000"/>
          <w:szCs w:val="21"/>
        </w:rPr>
      </w:pPr>
      <w:r>
        <w:rPr>
          <w:rFonts w:hint="eastAsia" w:ascii="宋体" w:hAnsi="宋体" w:cs="仿宋_GB2312"/>
          <w:b/>
          <w:color w:val="000000"/>
          <w:szCs w:val="21"/>
        </w:rPr>
        <w:t>7．支付</w:t>
      </w:r>
    </w:p>
    <w:p>
      <w:pPr>
        <w:snapToGrid w:val="0"/>
        <w:spacing w:line="360" w:lineRule="auto"/>
        <w:ind w:firstLine="424" w:firstLineChars="202"/>
        <w:rPr>
          <w:rFonts w:ascii="宋体" w:hAnsi="宋体"/>
          <w:snapToGrid w:val="0"/>
          <w:color w:val="auto"/>
          <w:kern w:val="0"/>
          <w:szCs w:val="21"/>
          <w:u w:val="single"/>
        </w:rPr>
      </w:pPr>
      <w:r>
        <w:rPr>
          <w:rFonts w:hint="eastAsia" w:ascii="宋体" w:hAnsi="宋体"/>
          <w:snapToGrid w:val="0"/>
          <w:color w:val="auto"/>
          <w:kern w:val="0"/>
          <w:szCs w:val="21"/>
          <w:u w:val="single"/>
        </w:rPr>
        <w:t xml:space="preserve">第一期付款：合同签订后10个工作日内进一步优化需求分析，并细化系统建设计划、目标任务书和测试验收方案，向招标人提供上述文档并需经招标人审查通过后支付合同总价40%的备料款； </w:t>
      </w:r>
    </w:p>
    <w:p>
      <w:pPr>
        <w:snapToGrid w:val="0"/>
        <w:spacing w:line="360" w:lineRule="auto"/>
        <w:ind w:firstLine="424" w:firstLineChars="202"/>
        <w:rPr>
          <w:rFonts w:ascii="宋体" w:hAnsi="宋体"/>
          <w:snapToGrid w:val="0"/>
          <w:color w:val="auto"/>
          <w:kern w:val="0"/>
          <w:szCs w:val="21"/>
          <w:u w:val="single"/>
        </w:rPr>
      </w:pPr>
      <w:r>
        <w:rPr>
          <w:rFonts w:hint="eastAsia" w:ascii="宋体" w:hAnsi="宋体"/>
          <w:snapToGrid w:val="0"/>
          <w:color w:val="auto"/>
          <w:kern w:val="0"/>
          <w:szCs w:val="21"/>
          <w:u w:val="single"/>
        </w:rPr>
        <w:t>第二期付款：工程全部完成，具备使用条件，支付合同总价40%的合同款；</w:t>
      </w:r>
    </w:p>
    <w:p>
      <w:pPr>
        <w:snapToGrid w:val="0"/>
        <w:spacing w:line="360" w:lineRule="auto"/>
        <w:ind w:firstLine="424" w:firstLineChars="202"/>
        <w:rPr>
          <w:rFonts w:ascii="宋体" w:hAnsi="宋体"/>
          <w:snapToGrid w:val="0"/>
          <w:color w:val="auto"/>
          <w:kern w:val="0"/>
          <w:szCs w:val="21"/>
          <w:u w:val="single"/>
        </w:rPr>
      </w:pPr>
      <w:r>
        <w:rPr>
          <w:rFonts w:hint="eastAsia" w:ascii="宋体" w:hAnsi="宋体"/>
          <w:snapToGrid w:val="0"/>
          <w:color w:val="auto"/>
          <w:kern w:val="0"/>
          <w:szCs w:val="21"/>
          <w:u w:val="single"/>
        </w:rPr>
        <w:t>第三期付款：工程全部完成后试运行1个月正常，提交全部报告材料，并通过正式验收，出具项目终验报告后，支付至合同价的95%。</w:t>
      </w:r>
    </w:p>
    <w:p>
      <w:pPr>
        <w:pStyle w:val="43"/>
        <w:spacing w:line="360" w:lineRule="auto"/>
        <w:ind w:firstLine="444"/>
        <w:rPr>
          <w:rFonts w:ascii="宋体" w:hAnsi="宋体"/>
          <w:color w:val="auto"/>
          <w:sz w:val="21"/>
          <w:szCs w:val="21"/>
          <w:u w:val="single"/>
        </w:rPr>
      </w:pPr>
      <w:r>
        <w:rPr>
          <w:rFonts w:hint="eastAsia" w:ascii="宋体" w:hAnsi="宋体"/>
          <w:snapToGrid w:val="0"/>
          <w:color w:val="auto"/>
          <w:sz w:val="21"/>
          <w:szCs w:val="21"/>
          <w:u w:val="single"/>
        </w:rPr>
        <w:t>第四期付款：项目质保期结束后支付5%余款</w:t>
      </w:r>
      <w:r>
        <w:rPr>
          <w:rFonts w:ascii="宋体" w:hAnsi="宋体"/>
          <w:color w:val="auto"/>
          <w:sz w:val="21"/>
          <w:szCs w:val="21"/>
          <w:u w:val="single"/>
        </w:rPr>
        <w:t>。</w:t>
      </w:r>
    </w:p>
    <w:p>
      <w:pPr>
        <w:spacing w:line="360" w:lineRule="auto"/>
        <w:rPr>
          <w:rFonts w:ascii="宋体" w:hAnsi="宋体" w:cs="仿宋_GB2312"/>
          <w:b/>
          <w:color w:val="000000"/>
          <w:szCs w:val="21"/>
        </w:rPr>
      </w:pPr>
      <w:r>
        <w:rPr>
          <w:rFonts w:hint="eastAsia" w:ascii="宋体" w:hAnsi="宋体" w:cs="仿宋_GB2312"/>
          <w:b/>
          <w:color w:val="000000"/>
          <w:szCs w:val="21"/>
        </w:rPr>
        <w:t>8．延期交付与核定损失额</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rPr>
        <w:t>如果</w:t>
      </w:r>
      <w:r>
        <w:rPr>
          <w:rFonts w:hint="eastAsia" w:ascii="宋体" w:hAnsi="宋体" w:cs="仿宋_GB2312"/>
          <w:color w:val="000000"/>
          <w:kern w:val="0"/>
          <w:szCs w:val="21"/>
          <w:lang w:val="zh-CN"/>
        </w:rPr>
        <w:t>乙方</w:t>
      </w:r>
      <w:r>
        <w:rPr>
          <w:rFonts w:hint="eastAsia" w:ascii="宋体" w:hAnsi="宋体" w:cs="仿宋_GB2312"/>
          <w:color w:val="000000"/>
          <w:szCs w:val="21"/>
        </w:rPr>
        <w:t>在正常情况下未能按合同规定的时间按期交付使用，</w:t>
      </w:r>
      <w:r>
        <w:rPr>
          <w:rFonts w:hint="eastAsia" w:ascii="宋体" w:hAnsi="宋体" w:cs="仿宋_GB2312"/>
          <w:color w:val="000000"/>
          <w:kern w:val="0"/>
          <w:szCs w:val="21"/>
          <w:lang w:val="zh-CN"/>
        </w:rPr>
        <w:t>乙方</w:t>
      </w:r>
      <w:r>
        <w:rPr>
          <w:rFonts w:hint="eastAsia" w:ascii="宋体" w:hAnsi="宋体" w:cs="仿宋_GB2312"/>
          <w:color w:val="000000"/>
          <w:szCs w:val="21"/>
        </w:rPr>
        <w:t>应承担相应后果。</w:t>
      </w:r>
      <w:r>
        <w:rPr>
          <w:rFonts w:hint="eastAsia" w:ascii="宋体" w:hAnsi="宋体" w:cs="仿宋_GB2312"/>
          <w:color w:val="000000"/>
          <w:kern w:val="0"/>
          <w:szCs w:val="21"/>
          <w:lang w:val="zh-CN"/>
        </w:rPr>
        <w:t>如果乙方未能按合同规定履行其义务，甲方有权从履约保证金中取得补偿。</w:t>
      </w:r>
    </w:p>
    <w:p>
      <w:pPr>
        <w:spacing w:line="360" w:lineRule="auto"/>
        <w:rPr>
          <w:rFonts w:ascii="宋体" w:hAnsi="宋体" w:cs="仿宋_GB2312"/>
          <w:b/>
          <w:color w:val="000000"/>
          <w:szCs w:val="21"/>
        </w:rPr>
      </w:pPr>
      <w:r>
        <w:rPr>
          <w:rFonts w:hint="eastAsia" w:ascii="宋体" w:hAnsi="宋体" w:cs="仿宋_GB2312"/>
          <w:b/>
          <w:color w:val="000000"/>
          <w:szCs w:val="21"/>
        </w:rPr>
        <w:t>9．不可抗力</w:t>
      </w:r>
    </w:p>
    <w:p>
      <w:pPr>
        <w:autoSpaceDE w:val="0"/>
        <w:autoSpaceDN w:val="0"/>
        <w:spacing w:line="360" w:lineRule="auto"/>
        <w:ind w:firstLine="420" w:firstLineChars="200"/>
        <w:jc w:val="left"/>
        <w:rPr>
          <w:rFonts w:ascii="宋体" w:hAnsi="宋体" w:cs="仿宋_GB2312"/>
          <w:b/>
          <w:bCs/>
          <w:color w:val="000000"/>
          <w:kern w:val="0"/>
          <w:szCs w:val="21"/>
          <w:lang w:val="zh-CN"/>
        </w:rPr>
      </w:pPr>
      <w:r>
        <w:rPr>
          <w:rFonts w:hint="eastAsia" w:ascii="宋体" w:hAnsi="宋体" w:cs="仿宋_GB2312"/>
          <w:color w:val="000000"/>
          <w:szCs w:val="21"/>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10. 乙方的责任与义务</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10．1 根据投标文件的承诺向甲方委派</w:t>
      </w:r>
      <w:r>
        <w:rPr>
          <w:rFonts w:hint="eastAsia" w:ascii="宋体" w:hAnsi="宋体" w:cs="仿宋_GB2312"/>
          <w:color w:val="000000"/>
          <w:szCs w:val="21"/>
        </w:rPr>
        <w:t>项目</w:t>
      </w:r>
      <w:r>
        <w:rPr>
          <w:rFonts w:hint="eastAsia" w:ascii="宋体" w:hAnsi="宋体" w:cs="仿宋_GB2312"/>
          <w:color w:val="000000"/>
          <w:kern w:val="0"/>
          <w:szCs w:val="21"/>
          <w:lang w:val="zh-CN"/>
        </w:rPr>
        <w:t>专业技术人员。</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10．2 在履行本合同义务的期间，应运用合理的技能，认真、勤奋的工作。</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10．3 在本合同期内或合同终止后，未征得有关方同意，不得泄漏与本项目、本合同有关的技术、资料等，不得以任何形式侵害甲方的知识产权。</w:t>
      </w:r>
    </w:p>
    <w:p>
      <w:pPr>
        <w:autoSpaceDE w:val="0"/>
        <w:autoSpaceDN w:val="0"/>
        <w:spacing w:line="360" w:lineRule="auto"/>
        <w:ind w:firstLine="480"/>
        <w:rPr>
          <w:rFonts w:ascii="宋体" w:hAnsi="宋体" w:cs="仿宋_GB2312"/>
          <w:color w:val="000000"/>
          <w:szCs w:val="21"/>
        </w:rPr>
      </w:pPr>
      <w:r>
        <w:rPr>
          <w:rFonts w:hint="eastAsia" w:ascii="宋体" w:hAnsi="宋体" w:cs="仿宋_GB2312"/>
          <w:color w:val="000000"/>
          <w:kern w:val="0"/>
          <w:szCs w:val="21"/>
          <w:lang w:val="zh-CN"/>
        </w:rPr>
        <w:t xml:space="preserve">10．4 </w:t>
      </w:r>
      <w:r>
        <w:rPr>
          <w:rFonts w:hint="eastAsia" w:ascii="宋体" w:hAnsi="宋体" w:cs="仿宋_GB2312"/>
          <w:color w:val="000000"/>
          <w:szCs w:val="21"/>
        </w:rPr>
        <w:t>负责本系统项目建设及整体联动，负责处理好与其他项目实施单位的协调。</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10．5 项目建设有关事项包括：项目规划、设计标准、规范和使用功能要求，向甲方的建议权；</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10．6项目设计中的技术问题，按照安全和优化的原则，提出建议，并向甲方提出书面报告。如果由于拟提出的建议会提高项目造价，或延长工期，应当事先取的甲方的同意；</w:t>
      </w:r>
    </w:p>
    <w:p>
      <w:pPr>
        <w:autoSpaceDE w:val="0"/>
        <w:autoSpaceDN w:val="0"/>
        <w:spacing w:line="360" w:lineRule="auto"/>
        <w:ind w:firstLine="480"/>
        <w:rPr>
          <w:rFonts w:ascii="宋体" w:hAnsi="宋体" w:cs="仿宋_GB2312"/>
          <w:color w:val="000000"/>
          <w:szCs w:val="21"/>
        </w:rPr>
      </w:pPr>
      <w:r>
        <w:rPr>
          <w:rFonts w:hint="eastAsia" w:ascii="宋体" w:hAnsi="宋体" w:cs="仿宋_GB2312"/>
          <w:color w:val="000000"/>
          <w:kern w:val="0"/>
          <w:szCs w:val="21"/>
          <w:lang w:val="zh-CN"/>
        </w:rPr>
        <w:t>10．7 项目实施组织设计和技术方案，按照保质量、保工期和降低成本的原则，向甲方提出书面报告。如果由于拟提出的建议会提高项目造价，或延长工期，应当事先取得甲方的同意。</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11. 甲方的责任与义务</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11．1甲方应当主要负责项目建设的所有外部关系的联系与协调，为乙方工作提供良好的外部条件。</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11．2 甲方应当按合同专用条款双方约定的内容和时间，向乙方提供与项目建设有关的项目等资料。</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11．3 甲方应当按合同专用条款约定的时间就乙方书面提交并要求做出决定的一切事宜做出书面决定。逾期应视为甲方同意。</w:t>
      </w:r>
    </w:p>
    <w:p>
      <w:pPr>
        <w:autoSpaceDE w:val="0"/>
        <w:autoSpaceDN w:val="0"/>
        <w:spacing w:line="360" w:lineRule="auto"/>
        <w:ind w:firstLine="480"/>
        <w:rPr>
          <w:rFonts w:ascii="宋体" w:hAnsi="宋体" w:cs="仿宋_GB2312"/>
          <w:color w:val="000000"/>
          <w:kern w:val="0"/>
          <w:szCs w:val="21"/>
          <w:lang w:val="zh-CN"/>
        </w:rPr>
      </w:pPr>
      <w:r>
        <w:rPr>
          <w:rFonts w:hint="eastAsia" w:ascii="宋体" w:hAnsi="宋体" w:cs="仿宋_GB2312"/>
          <w:color w:val="000000"/>
          <w:kern w:val="0"/>
          <w:szCs w:val="21"/>
          <w:lang w:val="zh-CN"/>
        </w:rPr>
        <w:t>11．4 甲方应授权一名熟悉本项目情况、能迅速做出决定的项目代表，负责与乙方联系。更换代表，要提前通知乙方。</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11．5 甲方有与乙方订立补充合同的签订权。</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11．6 甲方有对项目规模、设计标准、规范和设计使用功能要求的认定权，以及对项目建设、设计变更的审批权。</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11．7 甲方有权要求乙方提交工作月度报告及专项报告等。</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12. 合同生效、变更和终止</w:t>
      </w:r>
    </w:p>
    <w:p>
      <w:pPr>
        <w:autoSpaceDE w:val="0"/>
        <w:autoSpaceDN w:val="0"/>
        <w:spacing w:line="360" w:lineRule="auto"/>
        <w:ind w:firstLine="480"/>
        <w:jc w:val="left"/>
        <w:rPr>
          <w:rFonts w:ascii="宋体" w:hAnsi="宋体" w:cs="仿宋_GB2312"/>
          <w:color w:val="000000"/>
          <w:kern w:val="0"/>
          <w:szCs w:val="21"/>
          <w:lang w:val="zh-CN"/>
        </w:rPr>
      </w:pPr>
      <w:r>
        <w:rPr>
          <w:rFonts w:hint="eastAsia" w:ascii="宋体" w:hAnsi="宋体" w:cs="仿宋_GB2312"/>
          <w:color w:val="000000"/>
          <w:kern w:val="0"/>
          <w:szCs w:val="21"/>
          <w:lang w:val="zh-CN"/>
        </w:rPr>
        <w:t xml:space="preserve">12．1 </w:t>
      </w:r>
      <w:r>
        <w:rPr>
          <w:rFonts w:hint="eastAsia" w:ascii="宋体" w:hAnsi="宋体" w:cs="仿宋_GB2312"/>
          <w:color w:val="000000"/>
          <w:szCs w:val="21"/>
        </w:rPr>
        <w:t>本合同经甲乙双方法定代表人或其委托人签字盖章，由乙方向甲方缴纳合同总价5%履约保证金，</w:t>
      </w:r>
      <w:r>
        <w:rPr>
          <w:rFonts w:hint="eastAsia" w:ascii="宋体" w:hAnsi="宋体" w:cs="仿宋_GB2312"/>
          <w:color w:val="000000"/>
          <w:kern w:val="0"/>
          <w:szCs w:val="21"/>
          <w:lang w:val="zh-CN"/>
        </w:rPr>
        <w:t>至合同期止。</w:t>
      </w:r>
    </w:p>
    <w:p>
      <w:pPr>
        <w:autoSpaceDE w:val="0"/>
        <w:autoSpaceDN w:val="0"/>
        <w:spacing w:line="360" w:lineRule="auto"/>
        <w:ind w:firstLine="480"/>
        <w:jc w:val="left"/>
        <w:rPr>
          <w:rFonts w:ascii="宋体" w:hAnsi="宋体" w:cs="仿宋_GB2312"/>
          <w:color w:val="000000"/>
          <w:kern w:val="0"/>
          <w:szCs w:val="21"/>
          <w:lang w:val="zh-CN"/>
        </w:rPr>
      </w:pPr>
      <w:r>
        <w:rPr>
          <w:rFonts w:hint="eastAsia" w:ascii="宋体" w:hAnsi="宋体" w:cs="仿宋_GB2312"/>
          <w:color w:val="000000"/>
          <w:kern w:val="0"/>
          <w:szCs w:val="21"/>
          <w:lang w:val="zh-CN"/>
        </w:rPr>
        <w:t>12．2 在乙方的责任期即合同的有效期内，如因</w:t>
      </w:r>
      <w:r>
        <w:rPr>
          <w:rFonts w:hint="eastAsia" w:ascii="宋体" w:hAnsi="宋体" w:cs="仿宋_GB2312"/>
          <w:color w:val="000000"/>
          <w:szCs w:val="21"/>
        </w:rPr>
        <w:t>甲方</w:t>
      </w:r>
      <w:r>
        <w:rPr>
          <w:rFonts w:hint="eastAsia" w:ascii="宋体" w:hAnsi="宋体" w:cs="仿宋_GB2312"/>
          <w:color w:val="000000"/>
          <w:kern w:val="0"/>
          <w:szCs w:val="21"/>
          <w:lang w:val="zh-CN"/>
        </w:rPr>
        <w:t>的原因，导致项目建设进度的推迟或延误而超过约定的日期，</w:t>
      </w:r>
      <w:r>
        <w:rPr>
          <w:rFonts w:hint="eastAsia" w:ascii="宋体" w:hAnsi="宋体" w:cs="仿宋_GB2312"/>
          <w:color w:val="000000"/>
          <w:szCs w:val="21"/>
        </w:rPr>
        <w:t>甲乙</w:t>
      </w:r>
      <w:r>
        <w:rPr>
          <w:rFonts w:hint="eastAsia" w:ascii="宋体" w:hAnsi="宋体" w:cs="仿宋_GB2312"/>
          <w:color w:val="000000"/>
          <w:kern w:val="0"/>
          <w:szCs w:val="21"/>
          <w:lang w:val="zh-CN"/>
        </w:rPr>
        <w:t>双方应协商，重新约定相应延长的合同期。因乙方的责任，导致项目建设进度的推迟或延误而超过约定的日期</w:t>
      </w:r>
      <w:r>
        <w:rPr>
          <w:rFonts w:hint="eastAsia" w:ascii="宋体" w:hAnsi="宋体" w:cs="仿宋_GB2312"/>
          <w:color w:val="000000"/>
          <w:szCs w:val="21"/>
          <w:lang w:val="zh-CN"/>
        </w:rPr>
        <w:t>按</w:t>
      </w:r>
      <w:r>
        <w:rPr>
          <w:rFonts w:hint="eastAsia" w:ascii="宋体" w:hAnsi="宋体" w:cs="仿宋_GB2312"/>
          <w:bCs/>
          <w:color w:val="000000"/>
          <w:kern w:val="0"/>
          <w:szCs w:val="21"/>
          <w:lang w:val="zh-CN"/>
        </w:rPr>
        <w:t>违约责任处罚。</w:t>
      </w:r>
    </w:p>
    <w:p>
      <w:pPr>
        <w:autoSpaceDE w:val="0"/>
        <w:autoSpaceDN w:val="0"/>
        <w:spacing w:line="360" w:lineRule="auto"/>
        <w:ind w:firstLine="480"/>
        <w:jc w:val="left"/>
        <w:rPr>
          <w:rFonts w:ascii="宋体" w:hAnsi="宋体" w:cs="仿宋_GB2312"/>
          <w:color w:val="000000"/>
          <w:kern w:val="0"/>
          <w:szCs w:val="21"/>
          <w:lang w:val="zh-CN"/>
        </w:rPr>
      </w:pPr>
      <w:r>
        <w:rPr>
          <w:rFonts w:hint="eastAsia" w:ascii="宋体" w:hAnsi="宋体" w:cs="仿宋_GB2312"/>
          <w:color w:val="000000"/>
          <w:kern w:val="0"/>
          <w:szCs w:val="21"/>
          <w:lang w:val="zh-CN"/>
        </w:rPr>
        <w:t>12．3 在合同签订后，因项目需求发生重大变化，使得乙方不能按原计划全部或部分执行项目时，乙方应当立即通知甲方。该项目的完成时间是否延长或当恢复执行项目时，是否需增加时间用于恢复执行，由双方协商确定。</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12．4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13. 违约责任</w:t>
      </w:r>
    </w:p>
    <w:p>
      <w:pPr>
        <w:autoSpaceDE w:val="0"/>
        <w:autoSpaceDN w:val="0"/>
        <w:spacing w:line="360" w:lineRule="auto"/>
        <w:ind w:firstLine="420" w:firstLineChars="200"/>
        <w:jc w:val="left"/>
        <w:rPr>
          <w:rFonts w:ascii="宋体" w:hAnsi="宋体" w:cs="仿宋_GB2312"/>
          <w:b/>
          <w:color w:val="000000"/>
          <w:kern w:val="0"/>
          <w:szCs w:val="21"/>
          <w:lang w:val="zh-CN"/>
        </w:rPr>
      </w:pPr>
      <w:r>
        <w:rPr>
          <w:rFonts w:hint="eastAsia" w:ascii="宋体" w:hAnsi="宋体" w:cs="仿宋_GB2312"/>
          <w:color w:val="000000"/>
          <w:szCs w:val="21"/>
        </w:rPr>
        <w:t>13.1 甲</w:t>
      </w:r>
      <w:r>
        <w:rPr>
          <w:rFonts w:hint="eastAsia" w:ascii="宋体" w:hAnsi="宋体" w:cs="仿宋_GB2312"/>
          <w:color w:val="000000"/>
          <w:kern w:val="0"/>
          <w:szCs w:val="21"/>
          <w:lang w:val="zh-CN"/>
        </w:rPr>
        <w:t>方应当履行合同约定的义务，如有违反，须承担相应的违约责任。</w:t>
      </w:r>
    </w:p>
    <w:p>
      <w:pPr>
        <w:spacing w:line="360" w:lineRule="auto"/>
        <w:ind w:firstLine="420" w:firstLineChars="200"/>
        <w:rPr>
          <w:rFonts w:ascii="宋体" w:hAnsi="宋体" w:cs="仿宋_GB2312"/>
          <w:color w:val="000000"/>
          <w:szCs w:val="21"/>
        </w:rPr>
      </w:pPr>
      <w:r>
        <w:rPr>
          <w:rFonts w:hint="eastAsia" w:ascii="宋体" w:hAnsi="宋体" w:cs="仿宋_GB2312"/>
          <w:color w:val="000000"/>
          <w:kern w:val="0"/>
          <w:szCs w:val="21"/>
          <w:lang w:val="zh-CN"/>
        </w:rPr>
        <w:t xml:space="preserve">13.2 </w:t>
      </w:r>
      <w:r>
        <w:rPr>
          <w:rFonts w:hint="eastAsia" w:ascii="宋体" w:hAnsi="宋体" w:cs="仿宋_GB2312"/>
          <w:color w:val="000000"/>
          <w:szCs w:val="21"/>
        </w:rPr>
        <w:t>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pacing w:line="360" w:lineRule="auto"/>
        <w:ind w:firstLine="420" w:firstLineChars="200"/>
        <w:rPr>
          <w:rFonts w:ascii="宋体" w:hAnsi="宋体" w:cs="仿宋_GB2312"/>
          <w:color w:val="000000"/>
          <w:kern w:val="0"/>
          <w:szCs w:val="21"/>
          <w:lang w:val="zh-CN"/>
        </w:rPr>
      </w:pPr>
      <w:r>
        <w:rPr>
          <w:rFonts w:hint="eastAsia" w:ascii="宋体" w:hAnsi="宋体" w:cs="仿宋_GB2312"/>
          <w:color w:val="000000"/>
          <w:szCs w:val="21"/>
        </w:rPr>
        <w:t>13.3 如</w:t>
      </w:r>
      <w:r>
        <w:rPr>
          <w:rFonts w:hint="eastAsia" w:ascii="宋体" w:hAnsi="宋体" w:cs="仿宋_GB2312"/>
          <w:color w:val="000000"/>
          <w:kern w:val="0"/>
          <w:szCs w:val="21"/>
          <w:lang w:val="zh-CN"/>
        </w:rPr>
        <w:t>在合同规定的工期内，达不到项目规定的技术指标，乙方应当承担违约责任。承担方式和违约金额如下：超期30天内，每天扣合同金额的0.5‰；累计超期30天，甲方有权终止执行合同，并没收履约保证金，同时乙方须无条件退还甲方所有已支付的款项，所退款项</w:t>
      </w:r>
      <w:r>
        <w:rPr>
          <w:rFonts w:hint="eastAsia" w:ascii="宋体" w:hAnsi="宋体" w:cs="仿宋_GB2312"/>
          <w:color w:val="000000"/>
          <w:szCs w:val="21"/>
        </w:rPr>
        <w:t>每超过一天，乙方按须本项目总价款的1‰赔偿甲方的经济损失。</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lang w:val="zh-CN"/>
        </w:rPr>
        <w:t>13.4 如因乙方原因达不到合格等级的，则必须无条件返工至合格，并全额没收履约保证金。</w:t>
      </w:r>
    </w:p>
    <w:p>
      <w:pPr>
        <w:spacing w:line="360" w:lineRule="auto"/>
        <w:ind w:firstLine="420" w:firstLineChars="200"/>
        <w:rPr>
          <w:rFonts w:ascii="宋体" w:hAnsi="宋体" w:cs="仿宋_GB2312"/>
          <w:color w:val="000000"/>
          <w:kern w:val="0"/>
          <w:szCs w:val="21"/>
        </w:rPr>
      </w:pPr>
      <w:r>
        <w:rPr>
          <w:rFonts w:hint="eastAsia" w:ascii="宋体" w:hAnsi="宋体" w:cs="仿宋_GB2312"/>
          <w:color w:val="000000"/>
          <w:szCs w:val="21"/>
        </w:rPr>
        <w:t>13.5 未经甲方同意，乙方不得在任何时期擅自更换投标文件中规定的项目负责人和技术负责人，同时必须确保项目技术人员的数量和水平与投标文件一致，否则</w:t>
      </w:r>
      <w:r>
        <w:rPr>
          <w:rFonts w:hint="eastAsia" w:ascii="宋体" w:hAnsi="宋体" w:cs="仿宋_GB2312"/>
          <w:color w:val="000000"/>
          <w:kern w:val="0"/>
          <w:szCs w:val="21"/>
        </w:rPr>
        <w:t>甲方有权放弃或终止合同，并没收投标保证金或履约保证金。</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rPr>
        <w:t>13.6 因乙方原因造成甲方其他系统不能正常运行，酿成重大事故（正常工作日系统中断一天或一天以上）的，将承担全部法律责任，并赔偿经济损失，赔偿金额为项目总价的50%。</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szCs w:val="21"/>
        </w:rPr>
        <w:t xml:space="preserve">13.7 </w:t>
      </w:r>
      <w:r>
        <w:rPr>
          <w:rFonts w:hint="eastAsia" w:ascii="宋体" w:hAnsi="宋体" w:cs="仿宋_GB2312"/>
          <w:color w:val="000000"/>
          <w:kern w:val="0"/>
          <w:szCs w:val="21"/>
          <w:lang w:val="zh-CN"/>
        </w:rPr>
        <w:t>履行本合同的过程中，确因在现有水平和条件下难以克服的技术困难，导致部分或全部失败所造成的损失，风险责任由乙方全部承担。</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szCs w:val="21"/>
        </w:rPr>
        <w:t xml:space="preserve">13.8 </w:t>
      </w:r>
      <w:r>
        <w:rPr>
          <w:rFonts w:hint="eastAsia" w:ascii="宋体" w:hAnsi="宋体" w:cs="仿宋_GB2312"/>
          <w:color w:val="000000"/>
          <w:kern w:val="0"/>
          <w:szCs w:val="21"/>
          <w:lang w:val="zh-CN"/>
        </w:rPr>
        <w:t>因不可抗力导致合同不能全部或部分履行，</w:t>
      </w:r>
      <w:r>
        <w:rPr>
          <w:rFonts w:hint="eastAsia" w:ascii="宋体" w:hAnsi="宋体" w:cs="仿宋_GB2312"/>
          <w:color w:val="000000"/>
          <w:szCs w:val="21"/>
        </w:rPr>
        <w:t>甲、</w:t>
      </w:r>
      <w:r>
        <w:rPr>
          <w:rFonts w:hint="eastAsia" w:ascii="宋体" w:hAnsi="宋体" w:cs="仿宋_GB2312"/>
          <w:color w:val="000000"/>
          <w:kern w:val="0"/>
          <w:szCs w:val="21"/>
          <w:lang w:val="zh-CN"/>
        </w:rPr>
        <w:t>乙双方协商解决。</w:t>
      </w:r>
    </w:p>
    <w:p>
      <w:pPr>
        <w:autoSpaceDE w:val="0"/>
        <w:autoSpaceDN w:val="0"/>
        <w:spacing w:line="360" w:lineRule="auto"/>
        <w:ind w:firstLine="420" w:firstLineChars="200"/>
        <w:jc w:val="left"/>
        <w:rPr>
          <w:rFonts w:ascii="宋体" w:hAnsi="宋体" w:cs="仿宋_GB2312"/>
          <w:color w:val="000000"/>
          <w:kern w:val="0"/>
          <w:szCs w:val="21"/>
          <w:u w:val="single"/>
          <w:lang w:val="zh-CN"/>
        </w:rPr>
      </w:pPr>
      <w:r>
        <w:rPr>
          <w:rFonts w:hint="eastAsia" w:ascii="宋体" w:hAnsi="宋体" w:cs="仿宋_GB2312"/>
          <w:color w:val="000000"/>
          <w:kern w:val="0"/>
          <w:szCs w:val="21"/>
          <w:lang w:val="zh-CN"/>
        </w:rPr>
        <w:t>13.9 其他约定：</w:t>
      </w:r>
      <w:r>
        <w:rPr>
          <w:rFonts w:hint="eastAsia" w:ascii="宋体" w:hAnsi="宋体" w:cs="仿宋_GB2312"/>
          <w:color w:val="000000"/>
          <w:kern w:val="0"/>
          <w:szCs w:val="21"/>
          <w:u w:val="single"/>
          <w:lang w:val="zh-CN"/>
        </w:rPr>
        <w:t xml:space="preserve">                                                    </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14．项目质量</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14.1 乙方保证按ISO9000系列标准或相应的质量管理和质量保证体系，对项目实施、调试、检测等各个环节进行严格的质量和质量控制。</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14.2 乙方须严格按设计方案和国家现行项目实施验收规范有关规定，精心组织实施、记录、检测。</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14.3 项目的质量、技术标准如在招标文件和投标文件中无相应说明，则按中华人民共和国有关部门颁布的最新的国家或专业（部）标准或相应的国际标准执行。没有国家或专业（部）标准的，按企业标准执行。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14.4 项目竣工验收：应按设计方案、技术交底、会审纪要、设计变更通知单、国家和（部）颁发的有关规范和质量检验评定标准、相关的国际标准为依据，并有相关专业测试单位出具相应的测验结论报告。</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14.5 项目实施过程中应严格做好安全防范措施，如乙方项目实施人员在实施中违反操作规定造成人员伤亡事故或实施现场防范措施设置不明造成人员伤害事故，一切责任均由乙方负责。</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15. 争议处理</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15.1 合同在履行过程中发生争议时，甲方与乙方及时协商解决。协商不成时，提请杭州仲裁委员会根据仲裁规则仲裁。</w:t>
      </w:r>
    </w:p>
    <w:p>
      <w:pPr>
        <w:spacing w:line="360" w:lineRule="auto"/>
        <w:ind w:firstLine="420" w:firstLineChars="200"/>
        <w:jc w:val="left"/>
        <w:rPr>
          <w:rFonts w:ascii="宋体" w:hAnsi="宋体" w:cs="仿宋_GB2312"/>
          <w:b/>
          <w:color w:val="000000"/>
          <w:kern w:val="0"/>
          <w:szCs w:val="21"/>
          <w:lang w:val="zh-CN"/>
        </w:rPr>
      </w:pPr>
      <w:r>
        <w:rPr>
          <w:rFonts w:hint="eastAsia" w:ascii="宋体" w:hAnsi="宋体" w:cs="仿宋_GB2312"/>
          <w:color w:val="000000"/>
          <w:kern w:val="0"/>
          <w:szCs w:val="21"/>
          <w:lang w:val="zh-CN"/>
        </w:rPr>
        <w:t>15.2 对于因违反或终止合同而引起的损失、损害的赔偿，由甲方与乙方友好协商解决，经协商仍未能达成一致的，提交杭州仲裁委员会仲裁。</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16. 其他</w:t>
      </w:r>
    </w:p>
    <w:p>
      <w:pPr>
        <w:spacing w:line="360" w:lineRule="auto"/>
        <w:ind w:firstLine="420" w:firstLineChars="200"/>
        <w:rPr>
          <w:rFonts w:ascii="宋体" w:hAnsi="宋体"/>
          <w:color w:val="000000"/>
          <w:szCs w:val="21"/>
        </w:rPr>
      </w:pPr>
      <w:r>
        <w:rPr>
          <w:rFonts w:hint="eastAsia" w:ascii="宋体" w:hAnsi="宋体"/>
          <w:color w:val="000000"/>
          <w:szCs w:val="21"/>
        </w:rPr>
        <w:t>16.1未经过甲方的书面同意，乙方不得转让其应履行的合同项下的义务，和将部分合同项下的义务分包给其他单位完成。</w:t>
      </w:r>
    </w:p>
    <w:p>
      <w:pPr>
        <w:spacing w:line="360" w:lineRule="auto"/>
        <w:ind w:firstLine="420" w:firstLineChars="200"/>
        <w:rPr>
          <w:rFonts w:ascii="宋体" w:hAnsi="宋体"/>
          <w:color w:val="000000"/>
          <w:szCs w:val="21"/>
        </w:rPr>
      </w:pPr>
      <w:r>
        <w:rPr>
          <w:rFonts w:hint="eastAsia" w:ascii="宋体" w:hAnsi="宋体"/>
          <w:color w:val="000000"/>
          <w:szCs w:val="21"/>
        </w:rPr>
        <w:t>16.2乙方不得参与可能与合同规定的与甲方的利益相冲突的任何活动。</w:t>
      </w:r>
    </w:p>
    <w:p>
      <w:pPr>
        <w:spacing w:line="360" w:lineRule="auto"/>
        <w:ind w:firstLine="420" w:firstLineChars="200"/>
        <w:rPr>
          <w:rFonts w:ascii="宋体" w:hAnsi="宋体"/>
          <w:color w:val="000000"/>
          <w:szCs w:val="21"/>
        </w:rPr>
      </w:pPr>
      <w:r>
        <w:rPr>
          <w:rFonts w:hint="eastAsia" w:ascii="宋体" w:hAnsi="宋体"/>
          <w:color w:val="000000"/>
          <w:szCs w:val="21"/>
        </w:rPr>
        <w:t>16.3乙方人员在甲方场地工作时，应遵守甲方相关规章、制度。</w:t>
      </w:r>
    </w:p>
    <w:p>
      <w:pPr>
        <w:spacing w:line="360" w:lineRule="auto"/>
        <w:ind w:firstLine="420" w:firstLineChars="200"/>
        <w:rPr>
          <w:rFonts w:ascii="宋体" w:hAnsi="宋体"/>
          <w:color w:val="000000"/>
          <w:szCs w:val="21"/>
        </w:rPr>
      </w:pPr>
      <w:r>
        <w:rPr>
          <w:rFonts w:hint="eastAsia" w:ascii="宋体" w:hAnsi="宋体"/>
          <w:color w:val="000000"/>
          <w:szCs w:val="21"/>
        </w:rPr>
        <w:t>16.4本合同任何一方给另一方的通知，都应以书面或电传</w:t>
      </w:r>
      <w:r>
        <w:rPr>
          <w:rFonts w:ascii="宋体" w:hAnsi="宋体"/>
          <w:color w:val="000000"/>
          <w:szCs w:val="21"/>
        </w:rPr>
        <w:t>/</w:t>
      </w:r>
      <w:r>
        <w:rPr>
          <w:rFonts w:hint="eastAsia" w:ascii="宋体" w:hAnsi="宋体"/>
          <w:color w:val="000000"/>
          <w:szCs w:val="21"/>
        </w:rPr>
        <w:t>传真</w:t>
      </w:r>
      <w:r>
        <w:rPr>
          <w:rFonts w:ascii="宋体" w:hAnsi="宋体"/>
          <w:color w:val="000000"/>
          <w:szCs w:val="21"/>
        </w:rPr>
        <w:t>/</w:t>
      </w:r>
      <w:r>
        <w:rPr>
          <w:rFonts w:hint="eastAsia" w:ascii="宋体" w:hAnsi="宋体"/>
          <w:color w:val="000000"/>
          <w:szCs w:val="21"/>
        </w:rPr>
        <w:t>电报的形式发送，而另一方应以书面形式确认并发送到对方明确的地址。</w:t>
      </w:r>
    </w:p>
    <w:p>
      <w:pPr>
        <w:spacing w:line="360" w:lineRule="auto"/>
        <w:ind w:firstLine="420" w:firstLineChars="200"/>
        <w:rPr>
          <w:rFonts w:ascii="宋体" w:hAnsi="宋体"/>
          <w:color w:val="000000"/>
          <w:szCs w:val="21"/>
        </w:rPr>
      </w:pPr>
      <w:r>
        <w:rPr>
          <w:rFonts w:hint="eastAsia" w:ascii="宋体" w:hAnsi="宋体"/>
          <w:color w:val="000000"/>
          <w:szCs w:val="21"/>
        </w:rPr>
        <w:t>16.5合同履行期内甲乙双方均不得随意变更或解除合同。合同若有未尽事宜，需经双方共同协商，并由采购机构鉴证，订立补充协议，补充协议与本合同有同等法律效力。</w:t>
      </w:r>
    </w:p>
    <w:p>
      <w:pPr>
        <w:spacing w:line="360" w:lineRule="auto"/>
        <w:ind w:firstLine="420" w:firstLineChars="200"/>
        <w:rPr>
          <w:rFonts w:ascii="宋体" w:hAnsi="宋体"/>
          <w:color w:val="000000"/>
          <w:szCs w:val="21"/>
        </w:rPr>
      </w:pPr>
      <w:r>
        <w:rPr>
          <w:rFonts w:hint="eastAsia" w:ascii="宋体" w:hAnsi="宋体"/>
          <w:color w:val="000000"/>
          <w:szCs w:val="21"/>
        </w:rPr>
        <w:t>16.6采购文件、投标文件及评审过程中形成的文字资料、询标纪要均作为本合同的组成部分，具有同等效力。</w:t>
      </w:r>
    </w:p>
    <w:p>
      <w:pPr>
        <w:spacing w:line="360" w:lineRule="auto"/>
        <w:ind w:firstLine="420" w:firstLineChars="200"/>
        <w:rPr>
          <w:rFonts w:ascii="宋体" w:hAnsi="宋体"/>
          <w:color w:val="000000"/>
          <w:szCs w:val="21"/>
        </w:rPr>
      </w:pPr>
      <w:r>
        <w:rPr>
          <w:rFonts w:hint="eastAsia" w:ascii="宋体" w:hAnsi="宋体"/>
          <w:color w:val="000000"/>
          <w:szCs w:val="21"/>
        </w:rPr>
        <w:t>16.7本合同经甲乙双方法定代表人或其委托人签字盖章，经采购机构鉴证后生效。</w:t>
      </w:r>
    </w:p>
    <w:p>
      <w:pPr>
        <w:spacing w:line="360" w:lineRule="auto"/>
        <w:ind w:firstLine="420" w:firstLineChars="200"/>
        <w:rPr>
          <w:rFonts w:ascii="宋体" w:hAnsi="宋体"/>
          <w:color w:val="000000"/>
          <w:szCs w:val="21"/>
        </w:rPr>
      </w:pPr>
      <w:r>
        <w:rPr>
          <w:rFonts w:hint="eastAsia" w:ascii="宋体" w:hAnsi="宋体"/>
          <w:color w:val="000000"/>
          <w:szCs w:val="21"/>
        </w:rPr>
        <w:t>16.8合同执行期内，经向检察机关查询，发现中标人或供应商有行贿犯罪记录的，即取消中标资格或停止采购合同。</w:t>
      </w:r>
    </w:p>
    <w:p>
      <w:pPr>
        <w:spacing w:line="360" w:lineRule="auto"/>
        <w:ind w:firstLine="420" w:firstLineChars="200"/>
        <w:rPr>
          <w:rFonts w:ascii="宋体" w:hAnsi="宋体"/>
          <w:color w:val="000000"/>
          <w:szCs w:val="21"/>
        </w:rPr>
      </w:pPr>
      <w:r>
        <w:rPr>
          <w:rFonts w:hint="eastAsia" w:ascii="宋体" w:hAnsi="宋体"/>
          <w:color w:val="000000"/>
          <w:szCs w:val="21"/>
        </w:rPr>
        <w:t>16.9．本合同书经双方签字盖章后即生效。本合同书一式五份，双方各执贰份，鉴证方一份。</w:t>
      </w:r>
    </w:p>
    <w:p>
      <w:pPr>
        <w:spacing w:line="360" w:lineRule="auto"/>
        <w:rPr>
          <w:rFonts w:ascii="宋体" w:hAnsi="宋体"/>
          <w:color w:val="000000"/>
          <w:szCs w:val="21"/>
        </w:rPr>
      </w:pPr>
      <w:r>
        <w:rPr>
          <w:rFonts w:hint="eastAsia" w:ascii="宋体" w:hAnsi="宋体"/>
          <w:color w:val="000000"/>
          <w:szCs w:val="21"/>
        </w:rPr>
        <w:t xml:space="preserve">甲方：杭州市萧山区人民政府前进街道办事处                乙方：      </w:t>
      </w:r>
    </w:p>
    <w:p>
      <w:pPr>
        <w:spacing w:line="360" w:lineRule="auto"/>
        <w:rPr>
          <w:rFonts w:ascii="宋体" w:hAnsi="宋体"/>
          <w:color w:val="000000"/>
          <w:szCs w:val="21"/>
        </w:rPr>
      </w:pPr>
      <w:r>
        <w:rPr>
          <w:rFonts w:hint="eastAsia" w:ascii="宋体" w:hAnsi="宋体"/>
          <w:color w:val="000000"/>
          <w:szCs w:val="21"/>
        </w:rPr>
        <w:t>代表：                                                 代表：</w:t>
      </w:r>
    </w:p>
    <w:p>
      <w:pPr>
        <w:spacing w:line="360" w:lineRule="auto"/>
        <w:ind w:right="-180"/>
        <w:rPr>
          <w:rFonts w:ascii="宋体" w:hAnsi="宋体"/>
          <w:color w:val="000000"/>
          <w:szCs w:val="21"/>
        </w:rPr>
      </w:pPr>
      <w:r>
        <w:rPr>
          <w:rFonts w:hint="eastAsia" w:ascii="宋体" w:hAnsi="宋体"/>
          <w:color w:val="000000"/>
          <w:szCs w:val="21"/>
        </w:rPr>
        <w:t xml:space="preserve">地址：                                                  地址： </w:t>
      </w:r>
    </w:p>
    <w:p>
      <w:pPr>
        <w:spacing w:line="360" w:lineRule="auto"/>
        <w:rPr>
          <w:rFonts w:ascii="宋体" w:hAnsi="宋体"/>
          <w:color w:val="000000"/>
          <w:szCs w:val="21"/>
        </w:rPr>
      </w:pPr>
      <w:r>
        <w:rPr>
          <w:rFonts w:hint="eastAsia" w:ascii="宋体" w:hAnsi="宋体"/>
          <w:color w:val="000000"/>
          <w:szCs w:val="21"/>
        </w:rPr>
        <w:t>开户行：                                                户行：</w:t>
      </w:r>
    </w:p>
    <w:p>
      <w:pPr>
        <w:spacing w:line="360" w:lineRule="auto"/>
        <w:rPr>
          <w:rFonts w:ascii="宋体" w:hAnsi="宋体"/>
          <w:color w:val="000000"/>
          <w:szCs w:val="21"/>
        </w:rPr>
      </w:pPr>
      <w:r>
        <w:rPr>
          <w:rFonts w:hint="eastAsia" w:ascii="宋体" w:hAnsi="宋体"/>
          <w:color w:val="000000"/>
          <w:szCs w:val="21"/>
        </w:rPr>
        <w:t xml:space="preserve">账号：                                                           账号： </w:t>
      </w:r>
    </w:p>
    <w:p>
      <w:pPr>
        <w:spacing w:line="360" w:lineRule="auto"/>
        <w:rPr>
          <w:rFonts w:ascii="宋体" w:hAnsi="宋体"/>
          <w:color w:val="000000"/>
          <w:szCs w:val="21"/>
        </w:rPr>
      </w:pPr>
      <w:r>
        <w:rPr>
          <w:rFonts w:hint="eastAsia" w:ascii="宋体" w:hAnsi="宋体"/>
          <w:color w:val="000000"/>
          <w:szCs w:val="21"/>
        </w:rPr>
        <w:t>合同签订日期：                                           合同签订日期：</w:t>
      </w:r>
    </w:p>
    <w:p>
      <w:pPr>
        <w:spacing w:line="360" w:lineRule="auto"/>
        <w:ind w:firstLine="420" w:firstLineChars="200"/>
        <w:jc w:val="left"/>
        <w:rPr>
          <w:rFonts w:ascii="宋体" w:hAnsi="宋体"/>
          <w:color w:val="000000"/>
          <w:szCs w:val="21"/>
        </w:rPr>
      </w:pPr>
      <w:r>
        <w:rPr>
          <w:rFonts w:hint="eastAsia" w:ascii="宋体" w:hAnsi="宋体"/>
          <w:color w:val="000000"/>
          <w:szCs w:val="21"/>
        </w:rPr>
        <w:t xml:space="preserve">年    月     日      　　                                年    月     </w:t>
      </w:r>
      <w:bookmarkStart w:id="118" w:name="_Toc249760790"/>
      <w:bookmarkStart w:id="119" w:name="_Toc251566661"/>
    </w:p>
    <w:p>
      <w:pPr>
        <w:spacing w:line="360" w:lineRule="auto"/>
        <w:ind w:firstLine="420" w:firstLineChars="200"/>
        <w:jc w:val="left"/>
        <w:rPr>
          <w:rFonts w:ascii="宋体" w:hAnsi="宋体"/>
          <w:color w:val="000000"/>
          <w:szCs w:val="21"/>
        </w:rPr>
      </w:pPr>
    </w:p>
    <w:p>
      <w:pPr>
        <w:spacing w:line="360" w:lineRule="auto"/>
        <w:ind w:firstLine="420" w:firstLineChars="200"/>
        <w:jc w:val="left"/>
        <w:rPr>
          <w:rFonts w:ascii="宋体" w:hAnsi="宋体"/>
          <w:color w:val="000000"/>
          <w:szCs w:val="21"/>
        </w:rPr>
      </w:pPr>
    </w:p>
    <w:bookmarkEnd w:id="118"/>
    <w:bookmarkEnd w:id="119"/>
    <w:p>
      <w:pPr>
        <w:spacing w:line="360" w:lineRule="auto"/>
        <w:rPr>
          <w:rFonts w:ascii="宋体" w:hAnsi="宋体"/>
          <w:color w:val="000000"/>
          <w:szCs w:val="21"/>
        </w:rPr>
      </w:pPr>
      <w:r>
        <w:rPr>
          <w:rFonts w:hint="eastAsia" w:ascii="宋体" w:hAnsi="宋体"/>
          <w:color w:val="000000"/>
          <w:szCs w:val="21"/>
        </w:rPr>
        <w:t>鉴证方：浙江中明工程咨询有限公司（盖章）</w:t>
      </w:r>
    </w:p>
    <w:p>
      <w:pPr>
        <w:spacing w:line="360" w:lineRule="auto"/>
        <w:rPr>
          <w:rFonts w:ascii="宋体" w:hAnsi="宋体"/>
          <w:color w:val="000000"/>
          <w:szCs w:val="21"/>
        </w:rPr>
      </w:pPr>
      <w:r>
        <w:rPr>
          <w:rFonts w:hint="eastAsia" w:ascii="宋体" w:hAnsi="宋体"/>
          <w:color w:val="000000"/>
          <w:szCs w:val="21"/>
        </w:rPr>
        <w:t>经办人：</w:t>
      </w:r>
    </w:p>
    <w:p>
      <w:pPr>
        <w:spacing w:line="360" w:lineRule="auto"/>
        <w:jc w:val="left"/>
        <w:rPr>
          <w:rFonts w:ascii="宋体" w:hAnsi="宋体"/>
          <w:color w:val="000000"/>
          <w:szCs w:val="21"/>
        </w:rPr>
      </w:pPr>
      <w:r>
        <w:rPr>
          <w:rFonts w:hint="eastAsia" w:ascii="宋体" w:hAnsi="宋体"/>
          <w:color w:val="000000"/>
          <w:szCs w:val="21"/>
        </w:rPr>
        <w:t>日期：   年 月  日</w:t>
      </w:r>
    </w:p>
    <w:p>
      <w:pPr>
        <w:tabs>
          <w:tab w:val="left" w:pos="5265"/>
        </w:tabs>
        <w:autoSpaceDE w:val="0"/>
        <w:autoSpaceDN w:val="0"/>
        <w:adjustRightInd w:val="0"/>
        <w:spacing w:before="100" w:after="100" w:line="360" w:lineRule="auto"/>
        <w:ind w:right="6"/>
        <w:jc w:val="left"/>
        <w:rPr>
          <w:rFonts w:ascii="宋体" w:hAnsi="宋体"/>
          <w:color w:val="000000"/>
          <w:sz w:val="30"/>
          <w:szCs w:val="30"/>
        </w:rPr>
      </w:pPr>
      <w:r>
        <w:rPr>
          <w:rFonts w:ascii="宋体" w:hAnsi="宋体"/>
          <w:color w:val="000000"/>
          <w:szCs w:val="21"/>
        </w:rPr>
        <w:br w:type="page"/>
      </w:r>
      <w:bookmarkStart w:id="120" w:name="_Toc296944565"/>
      <w:bookmarkStart w:id="121" w:name="_Toc296346727"/>
      <w:bookmarkStart w:id="122" w:name="_Toc267261693"/>
      <w:bookmarkStart w:id="123" w:name="_Toc296891054"/>
      <w:bookmarkStart w:id="124" w:name="_Toc296347225"/>
      <w:bookmarkStart w:id="125" w:name="_Toc296503226"/>
      <w:bookmarkStart w:id="126" w:name="_Toc296891266"/>
      <w:r>
        <w:rPr>
          <w:rFonts w:hint="eastAsia" w:ascii="宋体" w:hAnsi="宋体"/>
          <w:color w:val="000000"/>
          <w:szCs w:val="21"/>
        </w:rPr>
        <w:t>附件1</w:t>
      </w:r>
      <w:r>
        <w:rPr>
          <w:rFonts w:ascii="宋体" w:hAnsi="宋体"/>
          <w:color w:val="000000"/>
          <w:sz w:val="30"/>
          <w:szCs w:val="30"/>
        </w:rPr>
        <w:t>：</w:t>
      </w:r>
      <w:bookmarkEnd w:id="120"/>
      <w:bookmarkEnd w:id="121"/>
      <w:bookmarkEnd w:id="122"/>
      <w:bookmarkEnd w:id="123"/>
      <w:bookmarkEnd w:id="124"/>
      <w:bookmarkEnd w:id="125"/>
      <w:bookmarkEnd w:id="126"/>
      <w:r>
        <w:rPr>
          <w:rFonts w:ascii="宋体" w:hAnsi="宋体"/>
          <w:color w:val="000000"/>
          <w:sz w:val="30"/>
          <w:szCs w:val="30"/>
        </w:rPr>
        <w:t xml:space="preserve">    </w:t>
      </w:r>
    </w:p>
    <w:p>
      <w:pPr>
        <w:spacing w:beforeLines="50" w:afterLines="50" w:line="440" w:lineRule="exact"/>
        <w:jc w:val="center"/>
        <w:rPr>
          <w:rFonts w:ascii="宋体" w:hAnsi="宋体"/>
          <w:color w:val="000000"/>
          <w:szCs w:val="21"/>
        </w:rPr>
      </w:pPr>
      <w:r>
        <w:rPr>
          <w:rFonts w:ascii="宋体" w:hAnsi="宋体"/>
          <w:color w:val="000000"/>
          <w:szCs w:val="21"/>
        </w:rPr>
        <w:t>工程质量保修书</w:t>
      </w:r>
    </w:p>
    <w:p>
      <w:pPr>
        <w:spacing w:line="440" w:lineRule="exact"/>
        <w:ind w:firstLine="420" w:firstLineChars="200"/>
        <w:rPr>
          <w:rFonts w:ascii="宋体" w:hAnsi="宋体"/>
          <w:color w:val="000000"/>
          <w:szCs w:val="21"/>
        </w:rPr>
      </w:pPr>
      <w:r>
        <w:rPr>
          <w:rFonts w:ascii="宋体" w:hAnsi="宋体"/>
          <w:color w:val="000000"/>
          <w:szCs w:val="21"/>
        </w:rPr>
        <w:t>发包人（全称）：</w:t>
      </w:r>
      <w:r>
        <w:rPr>
          <w:rFonts w:ascii="宋体" w:hAnsi="宋体"/>
          <w:color w:val="000000"/>
          <w:szCs w:val="21"/>
          <w:u w:val="single"/>
        </w:rPr>
        <w:t xml:space="preserve">                                </w:t>
      </w:r>
      <w:r>
        <w:rPr>
          <w:rFonts w:ascii="宋体" w:hAnsi="宋体"/>
          <w:color w:val="000000"/>
          <w:szCs w:val="21"/>
        </w:rPr>
        <w:t xml:space="preserve"> </w:t>
      </w:r>
    </w:p>
    <w:p>
      <w:pPr>
        <w:spacing w:line="440" w:lineRule="exact"/>
        <w:rPr>
          <w:rFonts w:ascii="宋体" w:hAnsi="宋体"/>
          <w:color w:val="000000"/>
          <w:szCs w:val="21"/>
        </w:rPr>
      </w:pPr>
      <w:r>
        <w:rPr>
          <w:rFonts w:ascii="宋体" w:hAnsi="宋体"/>
          <w:color w:val="000000"/>
          <w:szCs w:val="21"/>
        </w:rPr>
        <w:t>　　承包人（全称）：</w:t>
      </w:r>
      <w:r>
        <w:rPr>
          <w:rFonts w:ascii="宋体" w:hAnsi="宋体"/>
          <w:color w:val="000000"/>
          <w:szCs w:val="21"/>
          <w:u w:val="single"/>
        </w:rPr>
        <w:t xml:space="preserve">                                </w:t>
      </w:r>
      <w:r>
        <w:rPr>
          <w:rFonts w:ascii="宋体" w:hAnsi="宋体"/>
          <w:color w:val="000000"/>
          <w:szCs w:val="21"/>
        </w:rPr>
        <w:t xml:space="preserve"> </w:t>
      </w:r>
    </w:p>
    <w:p>
      <w:pPr>
        <w:spacing w:line="440" w:lineRule="exact"/>
        <w:rPr>
          <w:rFonts w:ascii="宋体" w:hAnsi="宋体"/>
          <w:color w:val="000000"/>
          <w:szCs w:val="21"/>
        </w:rPr>
      </w:pPr>
    </w:p>
    <w:p>
      <w:pPr>
        <w:spacing w:line="360" w:lineRule="auto"/>
        <w:ind w:firstLine="490"/>
        <w:rPr>
          <w:rFonts w:ascii="宋体" w:hAnsi="宋体"/>
          <w:color w:val="000000"/>
          <w:szCs w:val="21"/>
          <w:u w:val="single"/>
        </w:rPr>
      </w:pPr>
      <w:r>
        <w:rPr>
          <w:rFonts w:hint="eastAsia" w:ascii="宋体" w:hAnsi="宋体"/>
          <w:color w:val="000000"/>
          <w:szCs w:val="21"/>
        </w:rPr>
        <w:t>发包人、承包人根据《中华人民共和国建筑法》、《建设工程质量管理条例》和《房屋建筑工程质量保修办法》，经协商一致，对</w:t>
      </w:r>
      <w:r>
        <w:rPr>
          <w:rFonts w:hint="eastAsia" w:hAnsi="宋体"/>
          <w:color w:val="000000"/>
          <w:szCs w:val="21"/>
          <w:u w:val="single"/>
          <w:lang w:val="zh-CN"/>
        </w:rPr>
        <w:t xml:space="preserve">                  项目</w:t>
      </w:r>
      <w:r>
        <w:rPr>
          <w:rFonts w:hint="eastAsia" w:ascii="宋体" w:hAnsi="宋体"/>
          <w:color w:val="000000"/>
          <w:szCs w:val="21"/>
        </w:rPr>
        <w:t>（工程名称）签订工程质量保修书。</w:t>
      </w:r>
    </w:p>
    <w:p>
      <w:pPr>
        <w:spacing w:line="360" w:lineRule="auto"/>
        <w:rPr>
          <w:rFonts w:ascii="宋体" w:hAnsi="宋体"/>
          <w:color w:val="000000"/>
          <w:szCs w:val="21"/>
        </w:rPr>
      </w:pPr>
      <w:r>
        <w:rPr>
          <w:rFonts w:hint="eastAsia" w:ascii="宋体" w:hAnsi="宋体"/>
          <w:color w:val="000000"/>
          <w:szCs w:val="21"/>
        </w:rPr>
        <w:t>一、工程质量保修范围和内容</w:t>
      </w:r>
    </w:p>
    <w:p>
      <w:pPr>
        <w:pStyle w:val="8"/>
        <w:ind w:firstLine="420"/>
        <w:rPr>
          <w:color w:val="000000"/>
          <w:sz w:val="21"/>
          <w:szCs w:val="21"/>
        </w:rPr>
      </w:pPr>
      <w:r>
        <w:rPr>
          <w:rFonts w:hint="eastAsia"/>
          <w:color w:val="000000"/>
          <w:sz w:val="21"/>
          <w:szCs w:val="21"/>
        </w:rPr>
        <w:t>承包人在质量保修期内，按照有关法律、法规、规章规定和双方约定，承担本工程</w:t>
      </w:r>
    </w:p>
    <w:p>
      <w:pPr>
        <w:pStyle w:val="8"/>
        <w:ind w:firstLine="420"/>
        <w:rPr>
          <w:color w:val="000000"/>
          <w:sz w:val="21"/>
          <w:szCs w:val="21"/>
        </w:rPr>
      </w:pPr>
      <w:r>
        <w:rPr>
          <w:rFonts w:hint="eastAsia"/>
          <w:color w:val="000000"/>
          <w:sz w:val="21"/>
          <w:szCs w:val="21"/>
        </w:rPr>
        <w:t>质量保修责任。</w:t>
      </w:r>
    </w:p>
    <w:p>
      <w:pPr>
        <w:pStyle w:val="8"/>
        <w:ind w:firstLine="420"/>
        <w:rPr>
          <w:color w:val="000000"/>
          <w:sz w:val="21"/>
          <w:szCs w:val="21"/>
        </w:rPr>
      </w:pPr>
      <w:r>
        <w:rPr>
          <w:rFonts w:hint="eastAsia"/>
          <w:color w:val="000000"/>
          <w:sz w:val="21"/>
          <w:szCs w:val="21"/>
        </w:rPr>
        <w:t>质量保修范围</w:t>
      </w:r>
      <w:r>
        <w:rPr>
          <w:rFonts w:hint="eastAsia"/>
          <w:color w:val="000000"/>
          <w:sz w:val="21"/>
          <w:szCs w:val="21"/>
          <w:u w:val="single"/>
        </w:rPr>
        <w:t xml:space="preserve">                                            </w:t>
      </w:r>
      <w:r>
        <w:rPr>
          <w:rFonts w:hint="eastAsia"/>
          <w:color w:val="000000"/>
          <w:sz w:val="21"/>
          <w:szCs w:val="21"/>
          <w:u w:val="single"/>
          <w:lang w:val="zh-CN"/>
        </w:rPr>
        <w:t>项目</w:t>
      </w:r>
      <w:r>
        <w:rPr>
          <w:rFonts w:hint="eastAsia"/>
          <w:b/>
          <w:bCs/>
          <w:color w:val="000000"/>
          <w:sz w:val="21"/>
          <w:szCs w:val="21"/>
        </w:rPr>
        <w:t>，</w:t>
      </w:r>
      <w:r>
        <w:rPr>
          <w:rFonts w:hint="eastAsia"/>
          <w:color w:val="000000"/>
          <w:sz w:val="21"/>
          <w:szCs w:val="21"/>
        </w:rPr>
        <w:t>以及双方约</w:t>
      </w:r>
    </w:p>
    <w:p>
      <w:pPr>
        <w:pStyle w:val="8"/>
        <w:ind w:firstLine="420"/>
        <w:rPr>
          <w:color w:val="000000"/>
          <w:sz w:val="21"/>
          <w:szCs w:val="21"/>
        </w:rPr>
      </w:pPr>
      <w:r>
        <w:rPr>
          <w:rFonts w:hint="eastAsia"/>
          <w:color w:val="000000"/>
          <w:sz w:val="21"/>
          <w:szCs w:val="21"/>
        </w:rPr>
        <w:t>定的其他项目。具体保修的内容，双方约定如下：</w:t>
      </w:r>
    </w:p>
    <w:p>
      <w:pPr>
        <w:spacing w:line="360" w:lineRule="auto"/>
        <w:rPr>
          <w:rFonts w:ascii="宋体" w:hAnsi="宋体"/>
          <w:color w:val="000000"/>
          <w:szCs w:val="21"/>
          <w:u w:val="single"/>
        </w:rPr>
      </w:pPr>
      <w:r>
        <w:rPr>
          <w:rFonts w:hint="eastAsia" w:ascii="宋体" w:hAnsi="宋体"/>
          <w:color w:val="000000"/>
          <w:szCs w:val="21"/>
        </w:rPr>
        <w:t xml:space="preserve">    </w:t>
      </w:r>
      <w:r>
        <w:rPr>
          <w:rFonts w:hint="eastAsia" w:ascii="宋体" w:hAnsi="宋体"/>
          <w:color w:val="000000"/>
          <w:szCs w:val="21"/>
          <w:u w:val="single"/>
        </w:rPr>
        <w:t xml:space="preserve">本工程施工图所包含的所有项目，均列入本次质量保修范围。                 </w:t>
      </w:r>
    </w:p>
    <w:p>
      <w:pPr>
        <w:spacing w:line="360" w:lineRule="auto"/>
        <w:rPr>
          <w:rFonts w:ascii="宋体" w:hAnsi="宋体"/>
          <w:color w:val="000000"/>
          <w:szCs w:val="21"/>
        </w:rPr>
      </w:pPr>
      <w:r>
        <w:rPr>
          <w:rFonts w:ascii="宋体" w:hAnsi="宋体"/>
          <w:b/>
          <w:color w:val="000000"/>
          <w:szCs w:val="21"/>
        </w:rPr>
        <w:t>　　</w:t>
      </w:r>
      <w:r>
        <w:rPr>
          <w:rFonts w:ascii="宋体" w:hAnsi="宋体"/>
          <w:color w:val="000000"/>
          <w:szCs w:val="21"/>
        </w:rPr>
        <w:t>二、质量保修期</w:t>
      </w:r>
    </w:p>
    <w:p>
      <w:pPr>
        <w:spacing w:line="360" w:lineRule="auto"/>
        <w:ind w:left="420"/>
        <w:rPr>
          <w:rFonts w:ascii="宋体" w:hAnsi="宋体"/>
          <w:color w:val="000000"/>
          <w:szCs w:val="21"/>
        </w:rPr>
      </w:pPr>
      <w:r>
        <w:rPr>
          <w:rFonts w:hint="eastAsia" w:ascii="宋体" w:hAnsi="宋体"/>
          <w:color w:val="000000"/>
          <w:szCs w:val="21"/>
        </w:rPr>
        <w:t>2.1双方根据《建设工程质量管理条例》及有关规定，约定本工程的质量保修期如下：</w:t>
      </w:r>
    </w:p>
    <w:p>
      <w:pPr>
        <w:tabs>
          <w:tab w:val="left" w:pos="1740"/>
        </w:tabs>
        <w:spacing w:line="360" w:lineRule="auto"/>
        <w:rPr>
          <w:rFonts w:ascii="宋体" w:hAnsi="宋体"/>
          <w:color w:val="000000"/>
          <w:szCs w:val="21"/>
        </w:rPr>
      </w:pPr>
      <w:r>
        <w:rPr>
          <w:rFonts w:hint="eastAsia" w:ascii="宋体" w:hAnsi="宋体"/>
          <w:color w:val="000000"/>
          <w:szCs w:val="21"/>
        </w:rPr>
        <w:t xml:space="preserve">    (1)地基基础工程和主体结构工程为设计文件规定的该工程合理使用年限；</w:t>
      </w:r>
    </w:p>
    <w:p>
      <w:pPr>
        <w:tabs>
          <w:tab w:val="left" w:pos="1740"/>
        </w:tabs>
        <w:spacing w:line="360" w:lineRule="auto"/>
        <w:ind w:firstLine="480"/>
        <w:rPr>
          <w:rFonts w:ascii="宋体" w:hAnsi="宋体"/>
          <w:color w:val="000000"/>
          <w:szCs w:val="21"/>
        </w:rPr>
      </w:pPr>
      <w:r>
        <w:rPr>
          <w:rFonts w:hint="eastAsia" w:ascii="宋体" w:hAnsi="宋体"/>
          <w:color w:val="000000"/>
          <w:szCs w:val="21"/>
        </w:rPr>
        <w:t>(2)屋面防水工程、有防水要求的卫生间、房间和外墙面的防渗漏为</w:t>
      </w:r>
      <w:r>
        <w:rPr>
          <w:rFonts w:hint="eastAsia" w:ascii="宋体" w:hAnsi="宋体"/>
          <w:color w:val="000000"/>
          <w:szCs w:val="21"/>
          <w:u w:val="single"/>
        </w:rPr>
        <w:t xml:space="preserve">  8  </w:t>
      </w:r>
      <w:r>
        <w:rPr>
          <w:rFonts w:hint="eastAsia" w:ascii="宋体" w:hAnsi="宋体"/>
          <w:color w:val="000000"/>
          <w:szCs w:val="21"/>
        </w:rPr>
        <w:t>年；</w:t>
      </w:r>
    </w:p>
    <w:p>
      <w:pPr>
        <w:tabs>
          <w:tab w:val="left" w:pos="1740"/>
        </w:tabs>
        <w:spacing w:line="360" w:lineRule="auto"/>
        <w:ind w:firstLine="480"/>
        <w:rPr>
          <w:rFonts w:ascii="宋体" w:hAnsi="宋体"/>
          <w:color w:val="000000"/>
          <w:szCs w:val="21"/>
        </w:rPr>
      </w:pPr>
      <w:r>
        <w:rPr>
          <w:rFonts w:hint="eastAsia" w:ascii="宋体" w:hAnsi="宋体"/>
          <w:color w:val="000000"/>
          <w:szCs w:val="21"/>
        </w:rPr>
        <w:t>(3)装修工程为</w:t>
      </w:r>
      <w:r>
        <w:rPr>
          <w:rFonts w:hint="eastAsia" w:ascii="宋体" w:hAnsi="宋体"/>
          <w:color w:val="000000"/>
          <w:szCs w:val="21"/>
          <w:u w:val="single"/>
        </w:rPr>
        <w:t xml:space="preserve">    2    </w:t>
      </w:r>
      <w:r>
        <w:rPr>
          <w:rFonts w:hint="eastAsia" w:ascii="宋体" w:hAnsi="宋体"/>
          <w:color w:val="000000"/>
          <w:szCs w:val="21"/>
        </w:rPr>
        <w:t>年；</w:t>
      </w:r>
    </w:p>
    <w:p>
      <w:pPr>
        <w:tabs>
          <w:tab w:val="left" w:pos="1740"/>
        </w:tabs>
        <w:spacing w:line="360" w:lineRule="auto"/>
        <w:ind w:firstLine="480"/>
        <w:rPr>
          <w:rFonts w:ascii="宋体" w:hAnsi="宋体"/>
          <w:color w:val="000000"/>
          <w:szCs w:val="21"/>
        </w:rPr>
      </w:pPr>
      <w:r>
        <w:rPr>
          <w:rFonts w:hint="eastAsia" w:ascii="宋体" w:hAnsi="宋体"/>
          <w:color w:val="000000"/>
          <w:szCs w:val="21"/>
        </w:rPr>
        <w:t>(4)电气管线、给排水管道、设备安装工程为</w:t>
      </w:r>
      <w:r>
        <w:rPr>
          <w:rFonts w:hint="eastAsia" w:ascii="宋体" w:hAnsi="宋体"/>
          <w:color w:val="000000"/>
          <w:szCs w:val="21"/>
          <w:u w:val="single"/>
        </w:rPr>
        <w:t xml:space="preserve">    2   </w:t>
      </w:r>
      <w:r>
        <w:rPr>
          <w:rFonts w:hint="eastAsia" w:ascii="宋体" w:hAnsi="宋体"/>
          <w:color w:val="000000"/>
          <w:szCs w:val="21"/>
        </w:rPr>
        <w:t>年；</w:t>
      </w:r>
    </w:p>
    <w:p>
      <w:pPr>
        <w:tabs>
          <w:tab w:val="left" w:pos="1740"/>
        </w:tabs>
        <w:spacing w:line="360" w:lineRule="auto"/>
        <w:ind w:firstLine="480"/>
        <w:rPr>
          <w:rFonts w:ascii="宋体" w:hAnsi="宋体"/>
          <w:color w:val="000000"/>
          <w:szCs w:val="21"/>
        </w:rPr>
      </w:pPr>
      <w:r>
        <w:rPr>
          <w:rFonts w:hint="eastAsia" w:ascii="宋体" w:hAnsi="宋体"/>
          <w:color w:val="000000"/>
          <w:szCs w:val="21"/>
        </w:rPr>
        <w:t xml:space="preserve">(5)给排水设施、道路等配套工程为 </w:t>
      </w:r>
      <w:r>
        <w:rPr>
          <w:rFonts w:hint="eastAsia" w:ascii="宋体" w:hAnsi="宋体"/>
          <w:color w:val="000000"/>
          <w:szCs w:val="21"/>
          <w:u w:val="single"/>
        </w:rPr>
        <w:t xml:space="preserve">   2    </w:t>
      </w:r>
      <w:r>
        <w:rPr>
          <w:rFonts w:hint="eastAsia" w:ascii="宋体" w:hAnsi="宋体"/>
          <w:color w:val="000000"/>
          <w:szCs w:val="21"/>
        </w:rPr>
        <w:t>年；</w:t>
      </w:r>
    </w:p>
    <w:p>
      <w:pPr>
        <w:tabs>
          <w:tab w:val="left" w:pos="1740"/>
        </w:tabs>
        <w:spacing w:line="360" w:lineRule="auto"/>
        <w:ind w:firstLine="480"/>
        <w:rPr>
          <w:rFonts w:ascii="宋体" w:hAnsi="宋体"/>
          <w:color w:val="000000"/>
          <w:szCs w:val="21"/>
        </w:rPr>
      </w:pPr>
      <w:r>
        <w:rPr>
          <w:rFonts w:hint="eastAsia" w:ascii="宋体" w:hAnsi="宋体"/>
          <w:color w:val="000000"/>
          <w:szCs w:val="21"/>
        </w:rPr>
        <w:t>(6)其他项目保修期限约定如下：</w:t>
      </w:r>
    </w:p>
    <w:p>
      <w:pPr>
        <w:pStyle w:val="44"/>
        <w:spacing w:line="360" w:lineRule="auto"/>
        <w:ind w:left="359" w:leftChars="171" w:right="-63" w:firstLine="94" w:firstLineChars="45"/>
        <w:rPr>
          <w:rFonts w:ascii="楷体_GB2312" w:hAnsi="宋体" w:eastAsia="楷体_GB2312"/>
          <w:color w:val="000000"/>
          <w:sz w:val="21"/>
          <w:szCs w:val="21"/>
          <w:u w:val="single"/>
        </w:rPr>
      </w:pPr>
      <w:r>
        <w:rPr>
          <w:rFonts w:hint="eastAsia" w:ascii="宋体" w:hAnsi="宋体"/>
          <w:color w:val="000000"/>
          <w:sz w:val="21"/>
          <w:szCs w:val="21"/>
        </w:rPr>
        <w:t xml:space="preserve">    </w:t>
      </w:r>
      <w:r>
        <w:rPr>
          <w:rFonts w:hint="eastAsia" w:ascii="宋体" w:hAnsi="宋体"/>
          <w:color w:val="000000"/>
          <w:sz w:val="21"/>
          <w:szCs w:val="21"/>
          <w:u w:val="single"/>
        </w:rPr>
        <w:t>本工程施工图所包含的所有项目，质量保修期未明确的均为2年。</w:t>
      </w:r>
    </w:p>
    <w:p>
      <w:pPr>
        <w:pStyle w:val="44"/>
        <w:spacing w:line="360" w:lineRule="auto"/>
        <w:ind w:left="359" w:leftChars="171" w:right="-63" w:firstLine="94" w:firstLineChars="45"/>
        <w:rPr>
          <w:rFonts w:ascii="宋体" w:hAnsi="宋体"/>
          <w:color w:val="000000"/>
          <w:sz w:val="21"/>
          <w:szCs w:val="21"/>
        </w:rPr>
      </w:pPr>
      <w:r>
        <w:rPr>
          <w:rFonts w:hint="eastAsia" w:ascii="宋体" w:hAnsi="宋体"/>
          <w:color w:val="000000"/>
          <w:sz w:val="21"/>
          <w:szCs w:val="21"/>
        </w:rPr>
        <w:t>2.2、质量保修期自工程竣工验收合格之日起计算。</w:t>
      </w:r>
    </w:p>
    <w:p>
      <w:pPr>
        <w:spacing w:line="360" w:lineRule="auto"/>
        <w:ind w:firstLine="420" w:firstLineChars="200"/>
        <w:rPr>
          <w:rFonts w:ascii="宋体" w:hAnsi="宋体"/>
          <w:color w:val="000000"/>
          <w:szCs w:val="21"/>
        </w:rPr>
      </w:pPr>
      <w:r>
        <w:rPr>
          <w:rFonts w:ascii="宋体" w:hAnsi="宋体"/>
          <w:color w:val="000000"/>
          <w:szCs w:val="21"/>
        </w:rPr>
        <w:t>三、缺陷责任期</w:t>
      </w:r>
    </w:p>
    <w:p>
      <w:pPr>
        <w:spacing w:line="360" w:lineRule="auto"/>
        <w:ind w:firstLine="420" w:firstLineChars="200"/>
        <w:rPr>
          <w:rFonts w:ascii="宋体" w:hAnsi="宋体"/>
          <w:color w:val="000000"/>
          <w:szCs w:val="21"/>
        </w:rPr>
      </w:pPr>
      <w:r>
        <w:rPr>
          <w:rFonts w:ascii="宋体" w:hAnsi="宋体"/>
          <w:color w:val="000000"/>
          <w:szCs w:val="21"/>
        </w:rPr>
        <w:t>工程缺陷责任期为</w:t>
      </w:r>
      <w:r>
        <w:rPr>
          <w:rFonts w:ascii="宋体" w:hAnsi="宋体"/>
          <w:color w:val="000000"/>
          <w:szCs w:val="21"/>
          <w:u w:val="single"/>
        </w:rPr>
        <w:t xml:space="preserve">    </w:t>
      </w:r>
      <w:r>
        <w:rPr>
          <w:rFonts w:hint="eastAsia" w:ascii="宋体" w:hAnsi="宋体"/>
          <w:color w:val="000000"/>
          <w:szCs w:val="21"/>
          <w:u w:val="single"/>
        </w:rPr>
        <w:t>24</w:t>
      </w:r>
      <w:r>
        <w:rPr>
          <w:rFonts w:ascii="宋体" w:hAnsi="宋体"/>
          <w:color w:val="000000"/>
          <w:szCs w:val="21"/>
          <w:u w:val="single"/>
        </w:rPr>
        <w:t xml:space="preserve">     </w:t>
      </w:r>
      <w:r>
        <w:rPr>
          <w:rFonts w:ascii="宋体" w:hAnsi="宋体"/>
          <w:color w:val="000000"/>
          <w:szCs w:val="21"/>
        </w:rPr>
        <w:t>个月，缺陷责任期自工程竣工验收合格之日起计算。单位工程先于全部工程进行验收，单位工程缺陷责任期自单位工程验收合格之日起算。</w:t>
      </w:r>
    </w:p>
    <w:p>
      <w:pPr>
        <w:spacing w:line="360" w:lineRule="auto"/>
        <w:rPr>
          <w:rFonts w:ascii="宋体" w:hAnsi="宋体"/>
          <w:color w:val="000000"/>
          <w:szCs w:val="21"/>
        </w:rPr>
      </w:pPr>
      <w:r>
        <w:rPr>
          <w:rFonts w:ascii="宋体" w:hAnsi="宋体"/>
          <w:color w:val="000000"/>
          <w:szCs w:val="21"/>
        </w:rPr>
        <w:t xml:space="preserve">    四、质量保修责任</w:t>
      </w:r>
    </w:p>
    <w:p>
      <w:pPr>
        <w:spacing w:line="360" w:lineRule="auto"/>
        <w:ind w:left="105" w:leftChars="50" w:firstLine="430" w:firstLineChars="205"/>
        <w:rPr>
          <w:rFonts w:ascii="宋体" w:hAnsi="宋体"/>
          <w:color w:val="000000"/>
          <w:szCs w:val="21"/>
        </w:rPr>
      </w:pPr>
      <w:r>
        <w:rPr>
          <w:rFonts w:hint="eastAsia" w:ascii="宋体" w:hAnsi="宋体"/>
          <w:color w:val="000000"/>
          <w:szCs w:val="21"/>
        </w:rPr>
        <w:t>1．</w:t>
      </w:r>
      <w:r>
        <w:rPr>
          <w:rFonts w:ascii="宋体" w:hAnsi="宋体"/>
          <w:color w:val="000000"/>
          <w:szCs w:val="21"/>
        </w:rPr>
        <w:t>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ascii="宋体" w:hAnsi="宋体"/>
          <w:color w:val="000000"/>
          <w:szCs w:val="21"/>
        </w:rPr>
      </w:pPr>
      <w:r>
        <w:rPr>
          <w:rFonts w:hint="eastAsia" w:ascii="宋体" w:hAnsi="宋体"/>
          <w:color w:val="000000"/>
          <w:szCs w:val="21"/>
        </w:rPr>
        <w:t>2．</w:t>
      </w:r>
      <w:r>
        <w:rPr>
          <w:rFonts w:ascii="宋体" w:hAnsi="宋体"/>
          <w:color w:val="000000"/>
          <w:szCs w:val="21"/>
        </w:rPr>
        <w:t>发生紧急事故需抢修的，承包人在接到事故通知后，应当立即到达事故现场抢修。</w:t>
      </w:r>
    </w:p>
    <w:p>
      <w:pPr>
        <w:spacing w:line="360" w:lineRule="auto"/>
        <w:ind w:left="105" w:leftChars="50" w:firstLine="430" w:firstLineChars="205"/>
        <w:rPr>
          <w:rFonts w:ascii="宋体" w:hAnsi="宋体"/>
          <w:color w:val="000000"/>
          <w:szCs w:val="21"/>
        </w:rPr>
      </w:pPr>
      <w:r>
        <w:rPr>
          <w:rFonts w:hint="eastAsia" w:ascii="宋体" w:hAnsi="宋体"/>
          <w:color w:val="000000"/>
          <w:szCs w:val="21"/>
        </w:rPr>
        <w:t>3．</w:t>
      </w:r>
      <w:r>
        <w:rPr>
          <w:rFonts w:ascii="宋体" w:hAnsi="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color w:val="000000"/>
          <w:szCs w:val="21"/>
        </w:rPr>
      </w:pPr>
      <w:r>
        <w:rPr>
          <w:rFonts w:hint="eastAsia" w:ascii="宋体" w:hAnsi="宋体"/>
          <w:color w:val="000000"/>
          <w:szCs w:val="21"/>
        </w:rPr>
        <w:t>4．</w:t>
      </w:r>
      <w:r>
        <w:rPr>
          <w:rFonts w:ascii="宋体" w:hAnsi="宋体"/>
          <w:color w:val="000000"/>
          <w:szCs w:val="21"/>
        </w:rPr>
        <w:t>质量保修完成后，由发包人组织验收。</w:t>
      </w:r>
    </w:p>
    <w:p>
      <w:pPr>
        <w:spacing w:line="360" w:lineRule="auto"/>
        <w:rPr>
          <w:rFonts w:ascii="宋体" w:hAnsi="宋体"/>
          <w:color w:val="000000"/>
          <w:szCs w:val="21"/>
        </w:rPr>
      </w:pPr>
      <w:r>
        <w:rPr>
          <w:rFonts w:ascii="宋体" w:hAnsi="宋体"/>
          <w:color w:val="000000"/>
          <w:szCs w:val="21"/>
        </w:rPr>
        <w:t>　　五、保修费用</w:t>
      </w:r>
    </w:p>
    <w:p>
      <w:pPr>
        <w:spacing w:line="360" w:lineRule="auto"/>
        <w:rPr>
          <w:rFonts w:ascii="宋体" w:hAnsi="宋体"/>
          <w:color w:val="000000"/>
          <w:szCs w:val="21"/>
        </w:rPr>
      </w:pPr>
      <w:r>
        <w:rPr>
          <w:rFonts w:ascii="宋体" w:hAnsi="宋体"/>
          <w:color w:val="000000"/>
          <w:szCs w:val="21"/>
        </w:rPr>
        <w:t>　　保修费用由造成质量缺陷的责任方承担。</w:t>
      </w:r>
    </w:p>
    <w:p>
      <w:pPr>
        <w:spacing w:line="360" w:lineRule="auto"/>
        <w:jc w:val="left"/>
        <w:rPr>
          <w:rFonts w:ascii="宋体" w:hAnsi="宋体"/>
          <w:color w:val="000000"/>
          <w:szCs w:val="21"/>
        </w:rPr>
      </w:pPr>
      <w:r>
        <w:rPr>
          <w:rFonts w:hint="eastAsia" w:ascii="宋体" w:hAnsi="宋体"/>
          <w:b/>
          <w:color w:val="000000"/>
          <w:szCs w:val="21"/>
        </w:rPr>
        <w:t xml:space="preserve">   </w:t>
      </w:r>
      <w:r>
        <w:rPr>
          <w:rFonts w:hint="eastAsia" w:ascii="宋体" w:hAnsi="宋体"/>
          <w:bCs/>
          <w:color w:val="000000"/>
          <w:szCs w:val="21"/>
        </w:rPr>
        <w:t xml:space="preserve"> </w:t>
      </w:r>
      <w:r>
        <w:rPr>
          <w:rFonts w:ascii="宋体" w:hAnsi="宋体"/>
          <w:bCs/>
          <w:color w:val="000000"/>
          <w:szCs w:val="21"/>
        </w:rPr>
        <w:t>六</w:t>
      </w:r>
      <w:r>
        <w:rPr>
          <w:rFonts w:ascii="宋体" w:hAnsi="宋体"/>
          <w:color w:val="000000"/>
          <w:szCs w:val="21"/>
        </w:rPr>
        <w:t>、双方约定的其他工程质量保修事项：</w:t>
      </w:r>
      <w:r>
        <w:rPr>
          <w:rFonts w:ascii="宋体" w:hAnsi="宋体"/>
          <w:color w:val="000000"/>
          <w:szCs w:val="21"/>
          <w:u w:val="single"/>
        </w:rPr>
        <w:t xml:space="preserve">      </w:t>
      </w:r>
      <w:r>
        <w:rPr>
          <w:rFonts w:hint="eastAsia" w:ascii="宋体" w:hAnsi="宋体"/>
          <w:color w:val="000000"/>
          <w:szCs w:val="21"/>
          <w:u w:val="single"/>
        </w:rPr>
        <w:t xml:space="preserve">由于承包方原因造成质量问题一切由承包方负责，并承担费用。 </w:t>
      </w:r>
      <w:r>
        <w:rPr>
          <w:rFonts w:ascii="宋体" w:hAnsi="宋体"/>
          <w:color w:val="000000"/>
          <w:szCs w:val="21"/>
          <w:u w:val="single"/>
        </w:rPr>
        <w:t xml:space="preserve">    </w:t>
      </w:r>
    </w:p>
    <w:p>
      <w:pPr>
        <w:spacing w:line="360" w:lineRule="auto"/>
        <w:ind w:firstLine="399" w:firstLineChars="190"/>
        <w:rPr>
          <w:rFonts w:ascii="宋体" w:hAnsi="宋体"/>
          <w:color w:val="000000"/>
          <w:szCs w:val="21"/>
        </w:rPr>
      </w:pPr>
      <w:r>
        <w:rPr>
          <w:rFonts w:ascii="宋体" w:hAnsi="宋体"/>
          <w:color w:val="000000"/>
          <w:szCs w:val="21"/>
        </w:rPr>
        <w:t>工程质量保修书由发包人、承包人在工程竣工验收前共同签署，作为施工合同附件，其有效期限至保修期满。</w:t>
      </w:r>
    </w:p>
    <w:p>
      <w:pPr>
        <w:spacing w:line="360" w:lineRule="auto"/>
        <w:ind w:firstLine="420"/>
        <w:rPr>
          <w:rFonts w:ascii="宋体" w:hAnsi="宋体"/>
          <w:color w:val="000000"/>
          <w:szCs w:val="21"/>
        </w:rPr>
      </w:pPr>
    </w:p>
    <w:p>
      <w:pPr>
        <w:spacing w:line="360" w:lineRule="auto"/>
        <w:rPr>
          <w:rFonts w:ascii="宋体" w:hAnsi="宋体"/>
          <w:color w:val="000000"/>
          <w:szCs w:val="21"/>
        </w:rPr>
      </w:pPr>
      <w:r>
        <w:rPr>
          <w:rFonts w:ascii="宋体" w:hAnsi="宋体"/>
          <w:color w:val="000000"/>
          <w:szCs w:val="21"/>
        </w:rPr>
        <w:t>发包人(公章)：</w:t>
      </w:r>
      <w:r>
        <w:rPr>
          <w:rFonts w:ascii="宋体" w:hAnsi="宋体"/>
          <w:color w:val="000000"/>
          <w:szCs w:val="21"/>
          <w:u w:val="single"/>
        </w:rPr>
        <w:t xml:space="preserve"> </w:t>
      </w:r>
      <w:r>
        <w:rPr>
          <w:rFonts w:hint="eastAsia" w:ascii="宋体" w:hAnsi="宋体" w:cs="New Gulim"/>
          <w:color w:val="000000"/>
          <w:szCs w:val="21"/>
          <w:u w:val="single"/>
        </w:rPr>
        <w:t xml:space="preserve">         </w:t>
      </w:r>
      <w:r>
        <w:rPr>
          <w:rFonts w:hint="eastAsia" w:ascii="宋体" w:hAnsi="宋体" w:cs="宋体"/>
          <w:color w:val="000000"/>
          <w:szCs w:val="21"/>
          <w:u w:val="single"/>
        </w:rPr>
        <w:t xml:space="preserve">    </w:t>
      </w:r>
      <w:r>
        <w:rPr>
          <w:rFonts w:ascii="宋体" w:hAnsi="宋体"/>
          <w:color w:val="000000"/>
          <w:szCs w:val="21"/>
        </w:rPr>
        <w:t xml:space="preserve"> 承包人(公章)：</w:t>
      </w:r>
      <w:r>
        <w:rPr>
          <w:rFonts w:hint="eastAsia" w:ascii="宋体" w:hAnsi="宋体" w:cs="New Gulim"/>
          <w:color w:val="000000"/>
          <w:szCs w:val="21"/>
          <w:u w:val="single"/>
        </w:rPr>
        <w:t xml:space="preserve">             </w:t>
      </w:r>
      <w:r>
        <w:rPr>
          <w:rFonts w:hint="eastAsia" w:ascii="宋体" w:hAnsi="宋体" w:cs="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地  址：</w:t>
      </w:r>
      <w:r>
        <w:rPr>
          <w:rFonts w:hint="eastAsia" w:ascii="宋体" w:hAnsi="宋体" w:cs="New Gulim"/>
          <w:color w:val="000000"/>
          <w:szCs w:val="21"/>
          <w:u w:val="single"/>
        </w:rPr>
        <w:t xml:space="preserve">                </w:t>
      </w:r>
      <w:r>
        <w:rPr>
          <w:rFonts w:hint="eastAsia" w:ascii="宋体" w:hAnsi="宋体" w:cs="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地  址：</w:t>
      </w:r>
      <w:r>
        <w:rPr>
          <w:rFonts w:hint="eastAsia" w:ascii="宋体" w:hAnsi="宋体" w:cs="New Gulim"/>
          <w:color w:val="000000"/>
          <w:szCs w:val="21"/>
          <w:u w:val="single"/>
        </w:rPr>
        <w:t xml:space="preserve">                </w:t>
      </w:r>
      <w:r>
        <w:rPr>
          <w:rFonts w:hint="eastAsia" w:ascii="宋体" w:hAnsi="宋体" w:cs="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法定代表人(签字)：</w:t>
      </w:r>
      <w:r>
        <w:rPr>
          <w:rFonts w:hint="eastAsia" w:ascii="宋体" w:hAnsi="宋体" w:cs="New Gulim"/>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法定代表人(签字)：</w:t>
      </w:r>
      <w:r>
        <w:rPr>
          <w:rFonts w:hint="eastAsia" w:ascii="宋体" w:hAnsi="宋体" w:cs="New Gulim"/>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委托代理人(签字)：</w:t>
      </w:r>
      <w:r>
        <w:rPr>
          <w:rFonts w:hint="eastAsia" w:ascii="宋体" w:hAnsi="宋体" w:cs="New Gulim"/>
          <w:color w:val="000000"/>
          <w:szCs w:val="21"/>
          <w:u w:val="single"/>
        </w:rPr>
        <w:t xml:space="preserve">    </w:t>
      </w:r>
      <w:r>
        <w:rPr>
          <w:rFonts w:hint="eastAsia" w:ascii="宋体" w:hAnsi="宋体" w:cs="宋体"/>
          <w:color w:val="000000"/>
          <w:szCs w:val="21"/>
          <w:u w:val="single"/>
        </w:rPr>
        <w:t xml:space="preserve">      </w:t>
      </w:r>
      <w:r>
        <w:rPr>
          <w:rFonts w:ascii="宋体" w:hAnsi="宋体"/>
          <w:color w:val="000000"/>
          <w:szCs w:val="21"/>
        </w:rPr>
        <w:t xml:space="preserve"> 委托代理人(签字)：</w:t>
      </w:r>
      <w:r>
        <w:rPr>
          <w:rFonts w:hint="eastAsia" w:ascii="宋体" w:hAnsi="宋体" w:cs="New Gulim"/>
          <w:color w:val="000000"/>
          <w:szCs w:val="21"/>
          <w:u w:val="single"/>
        </w:rPr>
        <w:t xml:space="preserve">      </w:t>
      </w:r>
      <w:r>
        <w:rPr>
          <w:rFonts w:hint="eastAsia" w:ascii="宋体" w:hAnsi="宋体" w:cs="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电  话：</w:t>
      </w:r>
      <w:r>
        <w:rPr>
          <w:rFonts w:hint="eastAsia" w:ascii="宋体" w:hAnsi="宋体" w:cs="New Gulim"/>
          <w:color w:val="000000"/>
          <w:szCs w:val="21"/>
          <w:u w:val="single"/>
        </w:rPr>
        <w:t xml:space="preserve">                 </w:t>
      </w:r>
      <w:r>
        <w:rPr>
          <w:rFonts w:hint="eastAsia" w:ascii="宋体" w:hAnsi="宋体" w:cs="宋体"/>
          <w:color w:val="000000"/>
          <w:szCs w:val="21"/>
          <w:u w:val="single"/>
        </w:rPr>
        <w:t xml:space="preserve">   </w:t>
      </w:r>
      <w:r>
        <w:rPr>
          <w:rFonts w:ascii="宋体" w:hAnsi="宋体"/>
          <w:color w:val="000000"/>
          <w:szCs w:val="21"/>
        </w:rPr>
        <w:t xml:space="preserve"> 电  话：</w:t>
      </w:r>
      <w:r>
        <w:rPr>
          <w:rFonts w:hint="eastAsia" w:ascii="宋体" w:hAnsi="宋体" w:cs="New Gulim"/>
          <w:color w:val="000000"/>
          <w:szCs w:val="21"/>
          <w:u w:val="single"/>
        </w:rPr>
        <w:t xml:space="preserve">                   </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传  真：</w:t>
      </w:r>
      <w:r>
        <w:rPr>
          <w:rFonts w:hint="eastAsia" w:ascii="宋体" w:hAnsi="宋体" w:cs="New Gulim"/>
          <w:color w:val="000000"/>
          <w:szCs w:val="21"/>
          <w:u w:val="single"/>
        </w:rPr>
        <w:t></w:t>
      </w:r>
      <w:r>
        <w:rPr>
          <w:rFonts w:hint="eastAsia" w:ascii="宋体" w:hAnsi="宋体" w:cs="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传  真：</w:t>
      </w:r>
      <w:r>
        <w:rPr>
          <w:rFonts w:hint="eastAsia" w:ascii="宋体" w:hAnsi="宋体" w:cs="New Gulim"/>
          <w:color w:val="000000"/>
          <w:szCs w:val="21"/>
          <w:u w:val="single"/>
        </w:rPr>
        <w:t></w:t>
      </w:r>
      <w:r>
        <w:rPr>
          <w:rFonts w:hint="eastAsia" w:ascii="宋体" w:hAnsi="宋体"/>
          <w:color w:val="000000"/>
          <w:szCs w:val="21"/>
          <w:u w:val="single"/>
        </w:rPr>
        <w:t xml:space="preserve">  </w:t>
      </w:r>
      <w:r>
        <w:rPr>
          <w:rFonts w:hint="eastAsia" w:ascii="宋体" w:hAnsi="宋体" w:cs="New Gulim"/>
          <w:color w:val="000000"/>
          <w:szCs w:val="21"/>
          <w:u w:val="single"/>
        </w:rPr>
        <w:t></w:t>
      </w:r>
      <w:r>
        <w:rPr>
          <w:rFonts w:hint="eastAsia" w:ascii="宋体" w:hAnsi="宋体" w:cs="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开户银行：</w:t>
      </w:r>
      <w:r>
        <w:rPr>
          <w:rFonts w:hint="eastAsia" w:ascii="宋体" w:hAnsi="宋体" w:cs="New Gulim"/>
          <w:color w:val="000000"/>
          <w:szCs w:val="21"/>
          <w:u w:val="single"/>
        </w:rPr>
        <w:t></w:t>
      </w:r>
      <w:r>
        <w:rPr>
          <w:rFonts w:hint="eastAsia" w:ascii="宋体" w:hAnsi="宋体" w:cs="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开户银行：</w:t>
      </w:r>
      <w:r>
        <w:rPr>
          <w:rFonts w:hint="eastAsia" w:ascii="宋体" w:hAnsi="宋体" w:cs="New Gulim"/>
          <w:color w:val="000000"/>
          <w:szCs w:val="21"/>
          <w:u w:val="single"/>
        </w:rPr>
        <w:t></w:t>
      </w:r>
      <w:r>
        <w:rPr>
          <w:rFonts w:hint="eastAsia" w:ascii="宋体" w:hAnsi="宋体" w:cs="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账  号：</w:t>
      </w:r>
      <w:r>
        <w:rPr>
          <w:rFonts w:hint="eastAsia" w:ascii="宋体" w:hAnsi="宋体" w:cs="New Gulim"/>
          <w:color w:val="000000"/>
          <w:szCs w:val="21"/>
          <w:u w:val="single"/>
        </w:rPr>
        <w:t></w:t>
      </w:r>
      <w:r>
        <w:rPr>
          <w:rFonts w:hint="eastAsia" w:ascii="宋体" w:hAnsi="宋体" w:cs="宋体"/>
          <w:color w:val="000000"/>
          <w:szCs w:val="21"/>
          <w:u w:val="single"/>
        </w:rPr>
        <w:t xml:space="preserve"> </w:t>
      </w:r>
      <w:r>
        <w:rPr>
          <w:rFonts w:hint="eastAsia" w:ascii="宋体" w:hAnsi="宋体" w:cs="New Gulim"/>
          <w:color w:val="000000"/>
          <w:szCs w:val="21"/>
          <w:u w:val="single"/>
        </w:rPr>
        <w:t></w:t>
      </w:r>
      <w:r>
        <w:rPr>
          <w:rFonts w:hint="eastAsia" w:ascii="宋体" w:hAnsi="宋体" w:cs="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账</w:t>
      </w:r>
      <w:r>
        <w:rPr>
          <w:rFonts w:hint="eastAsia" w:ascii="宋体" w:hAnsi="宋体"/>
          <w:color w:val="000000"/>
          <w:szCs w:val="21"/>
        </w:rPr>
        <w:t xml:space="preserve"> </w:t>
      </w:r>
      <w:r>
        <w:rPr>
          <w:rFonts w:ascii="宋体" w:hAnsi="宋体"/>
          <w:color w:val="000000"/>
          <w:szCs w:val="21"/>
        </w:rPr>
        <w:t xml:space="preserve"> 号：</w:t>
      </w:r>
      <w:r>
        <w:rPr>
          <w:rFonts w:hint="eastAsia" w:ascii="宋体" w:hAnsi="宋体" w:cs="New Gulim"/>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邮政编码：</w:t>
      </w:r>
      <w:r>
        <w:rPr>
          <w:rFonts w:ascii="宋体" w:hAnsi="宋体"/>
          <w:color w:val="000000"/>
          <w:szCs w:val="21"/>
          <w:u w:val="single"/>
        </w:rPr>
        <w:t xml:space="preserve"> </w:t>
      </w:r>
      <w:r>
        <w:rPr>
          <w:rFonts w:hint="eastAsia" w:ascii="宋体" w:hAnsi="宋体" w:cs="New Gulim"/>
          <w:color w:val="000000"/>
          <w:szCs w:val="21"/>
          <w:u w:val="single"/>
        </w:rPr>
        <w:t></w:t>
      </w:r>
      <w:r>
        <w:rPr>
          <w:rFonts w:hint="eastAsia" w:ascii="宋体" w:hAnsi="宋体" w:cs="宋体"/>
          <w:color w:val="000000"/>
          <w:szCs w:val="21"/>
          <w:u w:val="single"/>
        </w:rPr>
        <w:t xml:space="preserve">     </w:t>
      </w:r>
      <w:r>
        <w:rPr>
          <w:rFonts w:ascii="宋体" w:hAnsi="宋体"/>
          <w:color w:val="000000"/>
          <w:szCs w:val="21"/>
        </w:rPr>
        <w:t xml:space="preserve"> 邮政编码：</w:t>
      </w:r>
      <w:r>
        <w:rPr>
          <w:rFonts w:hint="eastAsia" w:ascii="宋体" w:hAnsi="宋体" w:cs="New Gulim"/>
          <w:color w:val="000000"/>
          <w:szCs w:val="21"/>
          <w:u w:val="single"/>
        </w:rPr>
        <w:t></w:t>
      </w:r>
      <w:r>
        <w:rPr>
          <w:rFonts w:hint="eastAsia" w:ascii="宋体" w:hAnsi="宋体" w:cs="宋体"/>
          <w:color w:val="000000"/>
          <w:szCs w:val="21"/>
          <w:u w:val="single"/>
        </w:rPr>
        <w:t xml:space="preserve">   </w:t>
      </w:r>
    </w:p>
    <w:p>
      <w:pPr>
        <w:tabs>
          <w:tab w:val="left" w:pos="0"/>
        </w:tabs>
        <w:spacing w:line="360" w:lineRule="auto"/>
        <w:outlineLvl w:val="0"/>
        <w:rPr>
          <w:rFonts w:ascii="仿宋" w:hAnsi="仿宋" w:eastAsia="仿宋" w:cs="仿宋"/>
          <w:b/>
          <w:sz w:val="32"/>
          <w:szCs w:val="32"/>
        </w:rPr>
        <w:sectPr>
          <w:headerReference r:id="rId6" w:type="first"/>
          <w:footerReference r:id="rId8" w:type="first"/>
          <w:headerReference r:id="rId5" w:type="default"/>
          <w:footerReference r:id="rId7" w:type="default"/>
          <w:pgSz w:w="11906" w:h="16838"/>
          <w:pgMar w:top="1247" w:right="1247" w:bottom="1247" w:left="1247" w:header="851" w:footer="722" w:gutter="0"/>
          <w:cols w:space="720" w:num="1"/>
          <w:titlePg/>
          <w:docGrid w:linePitch="312" w:charSpace="0"/>
        </w:sectPr>
      </w:pPr>
    </w:p>
    <w:p>
      <w:pPr>
        <w:tabs>
          <w:tab w:val="left" w:pos="0"/>
        </w:tabs>
        <w:spacing w:line="360" w:lineRule="auto"/>
        <w:outlineLvl w:val="0"/>
        <w:rPr>
          <w:rFonts w:ascii="仿宋" w:hAnsi="仿宋" w:eastAsia="仿宋" w:cs="仿宋"/>
          <w:b/>
          <w:sz w:val="32"/>
          <w:szCs w:val="32"/>
        </w:rPr>
      </w:pPr>
    </w:p>
    <w:p>
      <w:pPr>
        <w:numPr>
          <w:ilvl w:val="0"/>
          <w:numId w:val="2"/>
        </w:numPr>
        <w:spacing w:line="360" w:lineRule="auto"/>
        <w:jc w:val="center"/>
        <w:outlineLvl w:val="0"/>
        <w:rPr>
          <w:rFonts w:ascii="仿宋" w:hAnsi="仿宋" w:eastAsia="仿宋" w:cs="仿宋"/>
          <w:b/>
          <w:sz w:val="36"/>
          <w:szCs w:val="36"/>
        </w:rPr>
      </w:pPr>
      <w:bookmarkStart w:id="127" w:name="_Toc1244"/>
      <w:r>
        <w:rPr>
          <w:rFonts w:hint="eastAsia" w:ascii="仿宋" w:hAnsi="仿宋" w:eastAsia="仿宋" w:cs="仿宋"/>
          <w:b/>
          <w:sz w:val="36"/>
          <w:szCs w:val="36"/>
        </w:rPr>
        <w:t>应提交的有关格式范例</w:t>
      </w:r>
      <w:bookmarkEnd w:id="127"/>
    </w:p>
    <w:p>
      <w:pPr>
        <w:numPr>
          <w:ilvl w:val="1"/>
          <w:numId w:val="2"/>
        </w:numPr>
        <w:spacing w:line="360" w:lineRule="auto"/>
        <w:jc w:val="center"/>
        <w:outlineLvl w:val="0"/>
        <w:rPr>
          <w:rFonts w:ascii="仿宋" w:hAnsi="仿宋" w:eastAsia="仿宋" w:cs="仿宋"/>
          <w:b/>
          <w:sz w:val="32"/>
          <w:szCs w:val="32"/>
        </w:rPr>
      </w:pPr>
      <w:bookmarkStart w:id="128" w:name="_Toc31993"/>
      <w:r>
        <w:rPr>
          <w:rFonts w:hint="eastAsia" w:ascii="仿宋" w:hAnsi="仿宋" w:eastAsia="仿宋" w:cs="仿宋"/>
          <w:b/>
          <w:sz w:val="32"/>
          <w:szCs w:val="32"/>
        </w:rPr>
        <w:t>投标人提交投标文件须知</w:t>
      </w:r>
      <w:bookmarkEnd w:id="128"/>
    </w:p>
    <w:p>
      <w:pPr>
        <w:numPr>
          <w:ilvl w:val="0"/>
          <w:numId w:val="13"/>
        </w:numPr>
        <w:spacing w:line="360" w:lineRule="auto"/>
        <w:ind w:firstLine="482" w:firstLineChars="200"/>
        <w:rPr>
          <w:rFonts w:ascii="仿宋" w:hAnsi="仿宋" w:eastAsia="仿宋" w:cs="仿宋"/>
          <w:sz w:val="24"/>
        </w:rPr>
      </w:pPr>
      <w:r>
        <w:rPr>
          <w:rFonts w:hint="eastAsia" w:ascii="仿宋" w:hAnsi="仿宋" w:eastAsia="仿宋" w:cs="仿宋"/>
          <w:b/>
          <w:sz w:val="24"/>
        </w:rPr>
        <w:t>投标人</w:t>
      </w:r>
      <w:r>
        <w:rPr>
          <w:rFonts w:hint="eastAsia" w:ascii="仿宋" w:hAnsi="仿宋" w:eastAsia="仿宋" w:cs="仿宋"/>
          <w:sz w:val="24"/>
        </w:rPr>
        <w:t>应提供目录，提供格式的严格按格式来，未提供的，格式自拟。混乱的编排导致投标文件被误读或评审小组查找不到有效文件是投标人的风险。</w:t>
      </w:r>
    </w:p>
    <w:p>
      <w:pPr>
        <w:numPr>
          <w:ilvl w:val="0"/>
          <w:numId w:val="13"/>
        </w:numPr>
        <w:spacing w:line="360" w:lineRule="auto"/>
        <w:ind w:firstLine="480" w:firstLineChars="200"/>
        <w:rPr>
          <w:rFonts w:ascii="仿宋" w:hAnsi="仿宋" w:eastAsia="仿宋" w:cs="仿宋"/>
          <w:sz w:val="24"/>
        </w:rPr>
      </w:pPr>
      <w:r>
        <w:rPr>
          <w:rFonts w:hint="eastAsia" w:ascii="仿宋" w:hAnsi="仿宋" w:eastAsia="仿宋" w:cs="仿宋"/>
          <w:sz w:val="24"/>
        </w:rPr>
        <w:t>所附表格中要求回答的全部问题和/或信息都必须正面回答。</w:t>
      </w:r>
    </w:p>
    <w:p>
      <w:pPr>
        <w:numPr>
          <w:ilvl w:val="0"/>
          <w:numId w:val="13"/>
        </w:numPr>
        <w:spacing w:line="360" w:lineRule="auto"/>
        <w:ind w:firstLine="480" w:firstLineChars="200"/>
        <w:rPr>
          <w:rFonts w:ascii="仿宋" w:hAnsi="仿宋" w:eastAsia="仿宋" w:cs="仿宋"/>
          <w:sz w:val="24"/>
        </w:rPr>
      </w:pPr>
      <w:r>
        <w:rPr>
          <w:rFonts w:hint="eastAsia" w:ascii="仿宋" w:hAnsi="仿宋" w:eastAsia="仿宋" w:cs="仿宋"/>
          <w:sz w:val="24"/>
        </w:rPr>
        <w:t>本声明书的签字人应保证全部声明和问题的回答是真实的和准确的。</w:t>
      </w:r>
    </w:p>
    <w:p>
      <w:pPr>
        <w:numPr>
          <w:ilvl w:val="0"/>
          <w:numId w:val="13"/>
        </w:numPr>
        <w:spacing w:line="360" w:lineRule="auto"/>
        <w:ind w:firstLine="482" w:firstLineChars="200"/>
        <w:outlineLvl w:val="0"/>
        <w:rPr>
          <w:rFonts w:ascii="仿宋" w:hAnsi="仿宋" w:eastAsia="仿宋" w:cs="仿宋"/>
          <w:color w:val="000000"/>
          <w:kern w:val="0"/>
          <w:sz w:val="24"/>
        </w:rPr>
      </w:pPr>
      <w:bookmarkStart w:id="129" w:name="_Toc217"/>
      <w:bookmarkStart w:id="130" w:name="_Toc2929"/>
      <w:r>
        <w:rPr>
          <w:rFonts w:hint="eastAsia" w:ascii="仿宋" w:hAnsi="仿宋" w:eastAsia="仿宋" w:cs="仿宋"/>
          <w:b/>
          <w:bCs/>
          <w:sz w:val="24"/>
        </w:rPr>
        <w:t>资格文件、报价文件、商务技术文件三部分，各投标人在编制磋商响应文件时请按照以下格式进行，并分别装订成册、密封包装。</w:t>
      </w:r>
      <w:r>
        <w:rPr>
          <w:rFonts w:hint="eastAsia" w:ascii="仿宋" w:hAnsi="仿宋" w:eastAsia="仿宋" w:cs="仿宋"/>
          <w:color w:val="000000"/>
          <w:kern w:val="0"/>
          <w:sz w:val="24"/>
        </w:rPr>
        <w:t>（涉及具体的内容时可按实际需求可进一步细化，但不得简化。）</w:t>
      </w:r>
      <w:bookmarkEnd w:id="129"/>
      <w:bookmarkEnd w:id="130"/>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numPr>
          <w:ilvl w:val="1"/>
          <w:numId w:val="2"/>
        </w:numPr>
        <w:spacing w:line="360" w:lineRule="auto"/>
        <w:jc w:val="center"/>
        <w:outlineLvl w:val="0"/>
        <w:rPr>
          <w:rFonts w:ascii="仿宋" w:hAnsi="仿宋" w:eastAsia="仿宋" w:cs="仿宋"/>
          <w:b/>
          <w:sz w:val="32"/>
          <w:szCs w:val="32"/>
        </w:rPr>
      </w:pPr>
      <w:bookmarkStart w:id="131" w:name="_Toc19917"/>
      <w:r>
        <w:rPr>
          <w:rFonts w:hint="eastAsia" w:ascii="仿宋" w:hAnsi="仿宋" w:eastAsia="仿宋" w:cs="仿宋"/>
          <w:b/>
          <w:sz w:val="32"/>
          <w:szCs w:val="32"/>
        </w:rPr>
        <w:t>资格文件部分</w:t>
      </w:r>
      <w:bookmarkEnd w:id="131"/>
    </w:p>
    <w:p>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rPr>
        <w:t>1.</w:t>
      </w:r>
      <w:r>
        <w:rPr>
          <w:rFonts w:hint="eastAsia" w:ascii="仿宋" w:hAnsi="仿宋" w:eastAsia="仿宋" w:cs="仿宋"/>
          <w:b/>
          <w:kern w:val="0"/>
          <w:sz w:val="32"/>
          <w:szCs w:val="32"/>
          <w:lang w:val="zh-CN"/>
        </w:rPr>
        <w:t>法定代表人授权书</w:t>
      </w:r>
    </w:p>
    <w:p>
      <w:pPr>
        <w:snapToGrid w:val="0"/>
        <w:spacing w:line="360" w:lineRule="auto"/>
        <w:rPr>
          <w:rFonts w:ascii="仿宋" w:hAnsi="仿宋" w:eastAsia="仿宋" w:cs="仿宋"/>
          <w:sz w:val="24"/>
        </w:rPr>
      </w:pPr>
      <w:r>
        <w:rPr>
          <w:rFonts w:hint="eastAsia" w:ascii="仿宋" w:hAnsi="仿宋" w:eastAsia="仿宋" w:cs="仿宋"/>
          <w:sz w:val="24"/>
        </w:rPr>
        <w:t>采购人名称、</w:t>
      </w:r>
    </w:p>
    <w:p>
      <w:pPr>
        <w:snapToGrid w:val="0"/>
        <w:spacing w:line="360" w:lineRule="auto"/>
        <w:rPr>
          <w:rFonts w:ascii="仿宋" w:hAnsi="仿宋" w:eastAsia="仿宋" w:cs="仿宋"/>
          <w:kern w:val="0"/>
          <w:sz w:val="24"/>
        </w:rPr>
      </w:pPr>
      <w:r>
        <w:rPr>
          <w:rFonts w:hint="eastAsia" w:ascii="仿宋" w:hAnsi="仿宋" w:eastAsia="仿宋" w:cs="仿宋"/>
          <w:sz w:val="24"/>
        </w:rPr>
        <w:t>浙江中明工程咨询有限公司</w:t>
      </w:r>
      <w:r>
        <w:rPr>
          <w:rFonts w:hint="eastAsia" w:ascii="仿宋" w:hAnsi="仿宋" w:eastAsia="仿宋" w:cs="仿宋"/>
          <w:kern w:val="0"/>
          <w:sz w:val="24"/>
          <w:lang w:val="zh-CN"/>
        </w:rPr>
        <w:t>：</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 xml:space="preserve">                          项目</w:t>
      </w:r>
      <w:r>
        <w:rPr>
          <w:rFonts w:hint="eastAsia" w:ascii="仿宋" w:hAnsi="仿宋" w:eastAsia="仿宋" w:cs="仿宋"/>
          <w:kern w:val="0"/>
          <w:sz w:val="24"/>
          <w:lang w:val="zh-CN"/>
        </w:rPr>
        <w:t>【编号：</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】政府采购投标的一切事项，若中标则全权代表本公司签订相关合同，并负责处理合同履行等事宜。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法定代表人(签字或盖章)：</w:t>
      </w:r>
    </w:p>
    <w:p>
      <w:pPr>
        <w:wordWrap w:val="0"/>
        <w:snapToGrid w:val="0"/>
        <w:spacing w:line="360" w:lineRule="auto"/>
        <w:ind w:right="240"/>
        <w:jc w:val="right"/>
        <w:rPr>
          <w:rFonts w:ascii="仿宋" w:hAnsi="仿宋" w:eastAsia="仿宋" w:cs="仿宋"/>
          <w:kern w:val="0"/>
          <w:sz w:val="24"/>
          <w:lang w:val="zh-CN"/>
        </w:rPr>
      </w:pPr>
      <w:r>
        <w:rPr>
          <w:rFonts w:hint="eastAsia" w:ascii="仿宋" w:hAnsi="仿宋" w:eastAsia="仿宋" w:cs="仿宋"/>
          <w:kern w:val="0"/>
          <w:sz w:val="24"/>
          <w:lang w:val="zh-CN"/>
        </w:rPr>
        <w:t>签发日期：  年  月   日</w:t>
      </w:r>
    </w:p>
    <w:p>
      <w:pPr>
        <w:snapToGrid w:val="0"/>
        <w:spacing w:line="360" w:lineRule="auto"/>
        <w:jc w:val="right"/>
        <w:rPr>
          <w:rFonts w:ascii="仿宋" w:hAnsi="仿宋" w:eastAsia="仿宋" w:cs="仿宋"/>
          <w:kern w:val="0"/>
          <w:sz w:val="24"/>
          <w:lang w:val="zh-CN"/>
        </w:rPr>
      </w:pPr>
    </w:p>
    <w:p>
      <w:pPr>
        <w:autoSpaceDE w:val="0"/>
        <w:autoSpaceDN w:val="0"/>
        <w:spacing w:line="360" w:lineRule="auto"/>
        <w:jc w:val="center"/>
        <w:rPr>
          <w:rFonts w:ascii="仿宋" w:hAnsi="仿宋" w:eastAsia="仿宋" w:cs="仿宋"/>
          <w:b/>
          <w:bCs/>
          <w:sz w:val="30"/>
          <w:szCs w:val="30"/>
        </w:rPr>
      </w:pPr>
    </w:p>
    <w:p>
      <w:pPr>
        <w:autoSpaceDE w:val="0"/>
        <w:autoSpaceDN w:val="0"/>
        <w:spacing w:line="360" w:lineRule="auto"/>
        <w:jc w:val="center"/>
        <w:rPr>
          <w:rFonts w:ascii="仿宋" w:hAnsi="仿宋" w:eastAsia="仿宋" w:cs="仿宋"/>
          <w:b/>
          <w:bCs/>
          <w:sz w:val="30"/>
          <w:szCs w:val="30"/>
        </w:rPr>
      </w:pPr>
    </w:p>
    <w:p>
      <w:pPr>
        <w:autoSpaceDE w:val="0"/>
        <w:autoSpaceDN w:val="0"/>
        <w:spacing w:line="360" w:lineRule="auto"/>
        <w:jc w:val="center"/>
        <w:rPr>
          <w:rFonts w:ascii="仿宋" w:hAnsi="仿宋" w:eastAsia="仿宋" w:cs="仿宋"/>
          <w:sz w:val="24"/>
        </w:rPr>
      </w:pPr>
      <w:r>
        <w:rPr>
          <w:rFonts w:hint="eastAsia" w:ascii="仿宋" w:hAnsi="仿宋" w:eastAsia="仿宋" w:cs="仿宋"/>
          <w:b/>
          <w:bCs/>
          <w:sz w:val="30"/>
          <w:szCs w:val="30"/>
        </w:rPr>
        <w:t>2.</w:t>
      </w:r>
      <w:r>
        <w:rPr>
          <w:rFonts w:hint="eastAsia" w:ascii="仿宋" w:hAnsi="仿宋" w:eastAsia="仿宋" w:cs="仿宋"/>
          <w:b/>
          <w:sz w:val="30"/>
          <w:szCs w:val="30"/>
        </w:rPr>
        <w:t>法定代表人及其授权代表的身份证明证（复印件）</w:t>
      </w:r>
    </w:p>
    <w:p>
      <w:pPr>
        <w:spacing w:line="360" w:lineRule="auto"/>
        <w:outlineLvl w:val="0"/>
        <w:rPr>
          <w:rFonts w:ascii="仿宋" w:hAnsi="仿宋" w:eastAsia="仿宋" w:cs="仿宋"/>
          <w:color w:val="000000"/>
          <w:kern w:val="0"/>
          <w:sz w:val="24"/>
        </w:rPr>
      </w:pPr>
    </w:p>
    <w:p>
      <w:pPr>
        <w:spacing w:line="360" w:lineRule="auto"/>
        <w:ind w:firstLine="480" w:firstLineChars="200"/>
        <w:outlineLvl w:val="0"/>
        <w:rPr>
          <w:rFonts w:ascii="仿宋" w:hAnsi="仿宋" w:eastAsia="仿宋" w:cs="仿宋"/>
          <w:color w:val="000000"/>
          <w:kern w:val="0"/>
          <w:sz w:val="24"/>
        </w:rPr>
      </w:pPr>
    </w:p>
    <w:p>
      <w:pPr>
        <w:spacing w:line="360" w:lineRule="auto"/>
        <w:jc w:val="center"/>
        <w:outlineLvl w:val="0"/>
        <w:rPr>
          <w:rFonts w:ascii="仿宋" w:hAnsi="仿宋" w:eastAsia="仿宋" w:cs="仿宋"/>
          <w:bCs/>
          <w:kern w:val="0"/>
          <w:sz w:val="32"/>
          <w:szCs w:val="32"/>
        </w:rPr>
      </w:pPr>
      <w:bookmarkStart w:id="132" w:name="_Toc9658"/>
      <w:bookmarkStart w:id="133" w:name="_Toc17271"/>
      <w:r>
        <w:rPr>
          <w:rFonts w:hint="eastAsia" w:ascii="仿宋" w:hAnsi="仿宋" w:eastAsia="仿宋" w:cs="仿宋"/>
          <w:bCs/>
          <w:kern w:val="0"/>
          <w:sz w:val="32"/>
          <w:szCs w:val="32"/>
        </w:rPr>
        <w:t>3.营业执照或事业法人登记证证明材料（复印件）</w:t>
      </w:r>
      <w:bookmarkEnd w:id="132"/>
      <w:bookmarkEnd w:id="133"/>
    </w:p>
    <w:p>
      <w:pPr>
        <w:spacing w:line="360" w:lineRule="auto"/>
        <w:jc w:val="center"/>
        <w:outlineLvl w:val="0"/>
        <w:rPr>
          <w:rFonts w:ascii="仿宋" w:hAnsi="仿宋" w:eastAsia="仿宋" w:cs="仿宋"/>
          <w:bCs/>
          <w:kern w:val="0"/>
          <w:sz w:val="32"/>
          <w:szCs w:val="32"/>
        </w:rPr>
      </w:pPr>
    </w:p>
    <w:p>
      <w:pPr>
        <w:spacing w:line="360" w:lineRule="auto"/>
        <w:jc w:val="center"/>
        <w:outlineLvl w:val="0"/>
        <w:rPr>
          <w:rFonts w:ascii="仿宋" w:hAnsi="仿宋" w:eastAsia="仿宋" w:cs="仿宋"/>
          <w:bCs/>
          <w:kern w:val="0"/>
          <w:sz w:val="32"/>
          <w:szCs w:val="32"/>
        </w:rPr>
      </w:pPr>
      <w:bookmarkStart w:id="134" w:name="_Toc28253"/>
      <w:bookmarkStart w:id="135" w:name="_Toc31933"/>
      <w:r>
        <w:rPr>
          <w:rFonts w:hint="eastAsia" w:ascii="仿宋" w:hAnsi="仿宋" w:eastAsia="仿宋" w:cs="仿宋"/>
          <w:bCs/>
          <w:kern w:val="0"/>
          <w:sz w:val="32"/>
          <w:szCs w:val="32"/>
        </w:rPr>
        <w:t>4.近一年度资产负债表等财务报表资料文件（复印件）</w:t>
      </w:r>
      <w:bookmarkEnd w:id="134"/>
      <w:bookmarkEnd w:id="135"/>
    </w:p>
    <w:p>
      <w:pPr>
        <w:spacing w:line="360" w:lineRule="auto"/>
        <w:jc w:val="center"/>
        <w:outlineLvl w:val="0"/>
        <w:rPr>
          <w:rFonts w:ascii="仿宋" w:hAnsi="仿宋" w:eastAsia="仿宋" w:cs="仿宋"/>
          <w:bCs/>
          <w:kern w:val="0"/>
          <w:sz w:val="32"/>
          <w:szCs w:val="32"/>
          <w:lang w:val="zh-CN"/>
        </w:rPr>
      </w:pPr>
    </w:p>
    <w:p>
      <w:pPr>
        <w:rPr>
          <w:rFonts w:ascii="仿宋" w:hAnsi="仿宋" w:eastAsia="仿宋" w:cs="仿宋"/>
          <w:bCs/>
          <w:kern w:val="0"/>
          <w:sz w:val="32"/>
          <w:szCs w:val="32"/>
        </w:rPr>
      </w:pPr>
      <w:bookmarkStart w:id="136" w:name="_Toc29365"/>
      <w:bookmarkStart w:id="137" w:name="_Toc15118"/>
      <w:r>
        <w:rPr>
          <w:rFonts w:hint="eastAsia" w:ascii="仿宋" w:hAnsi="仿宋" w:eastAsia="仿宋" w:cs="仿宋"/>
          <w:bCs/>
          <w:kern w:val="0"/>
          <w:sz w:val="32"/>
          <w:szCs w:val="32"/>
        </w:rPr>
        <w:br w:type="page"/>
      </w:r>
    </w:p>
    <w:p>
      <w:pPr>
        <w:spacing w:line="360" w:lineRule="auto"/>
        <w:jc w:val="center"/>
        <w:outlineLvl w:val="0"/>
        <w:rPr>
          <w:rFonts w:ascii="仿宋" w:hAnsi="仿宋" w:eastAsia="仿宋" w:cs="仿宋"/>
          <w:bCs/>
          <w:kern w:val="0"/>
          <w:sz w:val="32"/>
          <w:szCs w:val="32"/>
        </w:rPr>
      </w:pPr>
      <w:r>
        <w:rPr>
          <w:rFonts w:hint="eastAsia" w:ascii="仿宋" w:hAnsi="仿宋" w:eastAsia="仿宋" w:cs="仿宋"/>
          <w:bCs/>
          <w:kern w:val="0"/>
          <w:sz w:val="32"/>
          <w:szCs w:val="32"/>
        </w:rPr>
        <w:t>5.具有履行合同所必需的设备和专业技术能力的承诺函</w:t>
      </w:r>
      <w:bookmarkEnd w:id="136"/>
      <w:bookmarkEnd w:id="137"/>
    </w:p>
    <w:p>
      <w:pPr>
        <w:snapToGrid w:val="0"/>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bCs/>
          <w:kern w:val="0"/>
          <w:sz w:val="32"/>
          <w:szCs w:val="32"/>
        </w:rPr>
        <w:t>、</w:t>
      </w:r>
      <w:r>
        <w:rPr>
          <w:rFonts w:hint="eastAsia" w:ascii="仿宋" w:hAnsi="仿宋" w:eastAsia="仿宋" w:cs="仿宋"/>
          <w:sz w:val="24"/>
        </w:rPr>
        <w:t>浙江中明工程咨询有限公司：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我方郑重承诺，我方具有履行项目名称         项目（采购编号：        ）合同所必需的设备和专业技术能力。如中标，我方将保证合同顺利履行。</w:t>
      </w:r>
    </w:p>
    <w:p>
      <w:pPr>
        <w:snapToGrid w:val="0"/>
        <w:spacing w:line="360" w:lineRule="auto"/>
        <w:rPr>
          <w:rFonts w:ascii="仿宋" w:hAnsi="仿宋" w:eastAsia="仿宋" w:cs="仿宋"/>
          <w:sz w:val="24"/>
          <w:lang w:val="zh-CN"/>
        </w:rPr>
      </w:pPr>
      <w:r>
        <w:rPr>
          <w:rFonts w:hint="eastAsia" w:ascii="仿宋" w:hAnsi="仿宋" w:eastAsia="仿宋" w:cs="仿宋"/>
          <w:sz w:val="24"/>
          <w:lang w:val="zh-CN"/>
        </w:rPr>
        <w:t xml:space="preserve">                                          </w:t>
      </w:r>
    </w:p>
    <w:p>
      <w:pPr>
        <w:snapToGrid w:val="0"/>
        <w:spacing w:line="360" w:lineRule="auto"/>
        <w:ind w:firstLine="5760" w:firstLineChars="2400"/>
        <w:rPr>
          <w:rFonts w:ascii="仿宋" w:hAnsi="仿宋" w:eastAsia="仿宋" w:cs="仿宋"/>
          <w:sz w:val="24"/>
        </w:rPr>
      </w:pPr>
      <w:r>
        <w:rPr>
          <w:rFonts w:hint="eastAsia" w:ascii="仿宋" w:hAnsi="仿宋" w:eastAsia="仿宋" w:cs="仿宋"/>
          <w:sz w:val="24"/>
          <w:lang w:val="zh-CN"/>
        </w:rPr>
        <w:t>投标人名称(公章)：</w:t>
      </w:r>
    </w:p>
    <w:p>
      <w:pPr>
        <w:snapToGrid w:val="0"/>
        <w:spacing w:line="360" w:lineRule="auto"/>
        <w:rPr>
          <w:rFonts w:ascii="仿宋" w:hAnsi="仿宋" w:eastAsia="仿宋" w:cs="仿宋"/>
          <w:sz w:val="24"/>
        </w:rPr>
      </w:pP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法定代表人或其授权代表(签字)：</w:t>
      </w:r>
    </w:p>
    <w:p>
      <w:pPr>
        <w:snapToGrid w:val="0"/>
        <w:spacing w:line="360" w:lineRule="auto"/>
        <w:ind w:firstLine="6240" w:firstLineChars="2600"/>
        <w:rPr>
          <w:rFonts w:ascii="仿宋" w:hAnsi="仿宋" w:eastAsia="仿宋" w:cs="仿宋"/>
          <w:bCs/>
          <w:kern w:val="0"/>
          <w:sz w:val="32"/>
          <w:szCs w:val="32"/>
        </w:rPr>
      </w:pPr>
      <w:r>
        <w:rPr>
          <w:rFonts w:hint="eastAsia" w:ascii="仿宋" w:hAnsi="仿宋" w:eastAsia="仿宋" w:cs="仿宋"/>
          <w:sz w:val="24"/>
          <w:lang w:val="zh-CN"/>
        </w:rPr>
        <w:t>日期</w:t>
      </w:r>
      <w:r>
        <w:rPr>
          <w:rFonts w:hint="eastAsia" w:ascii="仿宋" w:hAnsi="仿宋" w:eastAsia="仿宋" w:cs="仿宋"/>
          <w:sz w:val="24"/>
        </w:rPr>
        <w:t xml:space="preserve">：  年  </w:t>
      </w:r>
      <w:r>
        <w:rPr>
          <w:rFonts w:hint="eastAsia" w:ascii="仿宋" w:hAnsi="仿宋" w:eastAsia="仿宋" w:cs="仿宋"/>
          <w:sz w:val="24"/>
          <w:lang w:val="zh-CN"/>
        </w:rPr>
        <w:t>月</w:t>
      </w:r>
      <w:r>
        <w:rPr>
          <w:rFonts w:hint="eastAsia" w:ascii="仿宋" w:hAnsi="仿宋" w:eastAsia="仿宋" w:cs="仿宋"/>
          <w:sz w:val="24"/>
        </w:rPr>
        <w:t xml:space="preserve">   </w:t>
      </w:r>
      <w:r>
        <w:rPr>
          <w:rFonts w:hint="eastAsia" w:ascii="仿宋" w:hAnsi="仿宋" w:eastAsia="仿宋" w:cs="仿宋"/>
          <w:sz w:val="24"/>
          <w:lang w:val="zh-CN"/>
        </w:rPr>
        <w:t>日</w:t>
      </w:r>
    </w:p>
    <w:p>
      <w:pPr>
        <w:spacing w:line="360" w:lineRule="auto"/>
        <w:jc w:val="center"/>
        <w:outlineLvl w:val="0"/>
        <w:rPr>
          <w:rFonts w:ascii="仿宋" w:hAnsi="仿宋" w:eastAsia="仿宋" w:cs="仿宋"/>
          <w:bCs/>
          <w:kern w:val="0"/>
          <w:sz w:val="32"/>
          <w:szCs w:val="32"/>
        </w:rPr>
      </w:pPr>
      <w:bookmarkStart w:id="138" w:name="_Toc12352"/>
      <w:bookmarkStart w:id="139" w:name="_Toc23685"/>
    </w:p>
    <w:p>
      <w:pPr>
        <w:spacing w:line="360" w:lineRule="auto"/>
        <w:jc w:val="center"/>
        <w:outlineLvl w:val="0"/>
        <w:rPr>
          <w:rFonts w:ascii="仿宋" w:hAnsi="仿宋" w:eastAsia="仿宋" w:cs="仿宋"/>
          <w:bCs/>
          <w:kern w:val="0"/>
          <w:sz w:val="32"/>
          <w:szCs w:val="32"/>
        </w:rPr>
      </w:pPr>
      <w:r>
        <w:rPr>
          <w:rFonts w:hint="eastAsia" w:ascii="仿宋" w:hAnsi="仿宋" w:eastAsia="仿宋" w:cs="仿宋"/>
          <w:bCs/>
          <w:kern w:val="0"/>
          <w:sz w:val="32"/>
          <w:szCs w:val="32"/>
        </w:rPr>
        <w:t>6.参加政府采购活动前三年内，在经营活动中</w:t>
      </w:r>
      <w:bookmarkEnd w:id="138"/>
      <w:bookmarkEnd w:id="139"/>
    </w:p>
    <w:p>
      <w:pPr>
        <w:spacing w:line="360" w:lineRule="auto"/>
        <w:jc w:val="center"/>
        <w:outlineLvl w:val="0"/>
        <w:rPr>
          <w:rFonts w:ascii="仿宋" w:hAnsi="仿宋" w:eastAsia="仿宋" w:cs="仿宋"/>
          <w:bCs/>
          <w:kern w:val="0"/>
          <w:sz w:val="32"/>
          <w:szCs w:val="32"/>
          <w:lang w:val="zh-CN"/>
        </w:rPr>
      </w:pPr>
      <w:bookmarkStart w:id="140" w:name="_Toc4521"/>
      <w:bookmarkStart w:id="141" w:name="_Toc26819"/>
      <w:r>
        <w:rPr>
          <w:rFonts w:hint="eastAsia" w:ascii="仿宋" w:hAnsi="仿宋" w:eastAsia="仿宋" w:cs="仿宋"/>
          <w:bCs/>
          <w:kern w:val="0"/>
          <w:sz w:val="32"/>
          <w:szCs w:val="32"/>
        </w:rPr>
        <w:t>没有重大违法记录的声明</w:t>
      </w:r>
      <w:bookmarkEnd w:id="140"/>
      <w:bookmarkEnd w:id="141"/>
    </w:p>
    <w:p>
      <w:pPr>
        <w:snapToGrid w:val="0"/>
        <w:spacing w:line="360" w:lineRule="auto"/>
        <w:rPr>
          <w:rFonts w:ascii="仿宋" w:hAnsi="仿宋" w:eastAsia="仿宋" w:cs="仿宋"/>
          <w:sz w:val="24"/>
        </w:rPr>
      </w:pPr>
      <w:r>
        <w:rPr>
          <w:rFonts w:hint="eastAsia" w:ascii="仿宋" w:hAnsi="仿宋" w:eastAsia="仿宋" w:cs="仿宋"/>
          <w:sz w:val="24"/>
        </w:rPr>
        <w:t>采购人名称、浙江中明工程咨询有限公司</w:t>
      </w:r>
      <w:r>
        <w:rPr>
          <w:rFonts w:hint="eastAsia" w:ascii="仿宋" w:hAnsi="仿宋" w:eastAsia="仿宋" w:cs="仿宋"/>
          <w:sz w:val="24"/>
          <w:lang w:val="zh-CN"/>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我公司</w:t>
      </w:r>
      <w:r>
        <w:rPr>
          <w:rFonts w:hint="eastAsia" w:ascii="仿宋" w:hAnsi="仿宋" w:eastAsia="仿宋" w:cs="仿宋"/>
          <w:sz w:val="24"/>
        </w:rPr>
        <w:t xml:space="preserve">声明截止投标时间近三年以来，在经营活动中没有重大违法记录；也没有因违反《浙江省政府采购供应商注册及诚信管理暂行办法》和《杭州大江东产业集聚集聚区政府采购、工程建设招投标市场“黑名单”管理办法（试行）》被列入“黑名单”，正在处罚有效期”。 </w:t>
      </w:r>
    </w:p>
    <w:p>
      <w:pPr>
        <w:snapToGrid w:val="0"/>
        <w:spacing w:line="360" w:lineRule="auto"/>
        <w:ind w:firstLine="5040" w:firstLineChars="2100"/>
        <w:rPr>
          <w:rFonts w:ascii="仿宋" w:hAnsi="仿宋" w:eastAsia="仿宋" w:cs="仿宋"/>
          <w:sz w:val="24"/>
        </w:rPr>
      </w:pPr>
      <w:r>
        <w:rPr>
          <w:rFonts w:hint="eastAsia" w:ascii="仿宋" w:hAnsi="仿宋" w:eastAsia="仿宋" w:cs="仿宋"/>
          <w:sz w:val="24"/>
          <w:lang w:val="zh-CN"/>
        </w:rPr>
        <w:t>投标人名称(公章)：</w:t>
      </w:r>
    </w:p>
    <w:p>
      <w:pPr>
        <w:snapToGrid w:val="0"/>
        <w:spacing w:line="360" w:lineRule="auto"/>
        <w:rPr>
          <w:rFonts w:ascii="仿宋" w:hAnsi="仿宋" w:eastAsia="仿宋" w:cs="仿宋"/>
          <w:sz w:val="24"/>
        </w:rPr>
      </w:pP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法定代表人或其授权</w:t>
      </w:r>
      <w:r>
        <w:rPr>
          <w:rFonts w:hint="eastAsia" w:ascii="仿宋" w:hAnsi="仿宋" w:eastAsia="仿宋" w:cs="仿宋"/>
          <w:sz w:val="24"/>
        </w:rPr>
        <w:t xml:space="preserve"> </w:t>
      </w:r>
      <w:r>
        <w:rPr>
          <w:rFonts w:hint="eastAsia" w:ascii="仿宋" w:hAnsi="仿宋" w:eastAsia="仿宋" w:cs="仿宋"/>
          <w:sz w:val="24"/>
          <w:lang w:val="zh-CN"/>
        </w:rPr>
        <w:t>代表(签字)：</w:t>
      </w:r>
    </w:p>
    <w:p>
      <w:pPr>
        <w:snapToGrid w:val="0"/>
        <w:spacing w:line="360" w:lineRule="auto"/>
        <w:ind w:firstLine="5280" w:firstLineChars="2200"/>
        <w:rPr>
          <w:rFonts w:ascii="仿宋" w:hAnsi="仿宋" w:eastAsia="仿宋" w:cs="仿宋"/>
          <w:sz w:val="24"/>
          <w:lang w:val="zh-CN"/>
        </w:rPr>
      </w:pPr>
      <w:r>
        <w:rPr>
          <w:rFonts w:hint="eastAsia" w:ascii="仿宋" w:hAnsi="仿宋" w:eastAsia="仿宋" w:cs="仿宋"/>
          <w:sz w:val="24"/>
          <w:lang w:val="zh-CN"/>
        </w:rPr>
        <w:t>日期</w:t>
      </w:r>
      <w:r>
        <w:rPr>
          <w:rFonts w:hint="eastAsia" w:ascii="仿宋" w:hAnsi="仿宋" w:eastAsia="仿宋" w:cs="仿宋"/>
          <w:sz w:val="24"/>
        </w:rPr>
        <w:t xml:space="preserve">：  年  </w:t>
      </w:r>
      <w:r>
        <w:rPr>
          <w:rFonts w:hint="eastAsia" w:ascii="仿宋" w:hAnsi="仿宋" w:eastAsia="仿宋" w:cs="仿宋"/>
          <w:sz w:val="24"/>
          <w:lang w:val="zh-CN"/>
        </w:rPr>
        <w:t>月</w:t>
      </w:r>
      <w:r>
        <w:rPr>
          <w:rFonts w:hint="eastAsia" w:ascii="仿宋" w:hAnsi="仿宋" w:eastAsia="仿宋" w:cs="仿宋"/>
          <w:sz w:val="24"/>
        </w:rPr>
        <w:t xml:space="preserve">   </w:t>
      </w:r>
      <w:r>
        <w:rPr>
          <w:rFonts w:hint="eastAsia" w:ascii="仿宋" w:hAnsi="仿宋" w:eastAsia="仿宋" w:cs="仿宋"/>
          <w:sz w:val="24"/>
          <w:lang w:val="zh-CN"/>
        </w:rPr>
        <w:t>日</w:t>
      </w:r>
    </w:p>
    <w:p>
      <w:pPr>
        <w:spacing w:line="360" w:lineRule="auto"/>
        <w:jc w:val="center"/>
        <w:outlineLvl w:val="0"/>
        <w:rPr>
          <w:rFonts w:ascii="仿宋" w:hAnsi="仿宋" w:eastAsia="仿宋" w:cs="仿宋"/>
          <w:bCs/>
          <w:kern w:val="0"/>
          <w:sz w:val="32"/>
          <w:szCs w:val="32"/>
        </w:rPr>
      </w:pPr>
    </w:p>
    <w:p>
      <w:pPr>
        <w:spacing w:line="360" w:lineRule="auto"/>
        <w:outlineLvl w:val="0"/>
        <w:rPr>
          <w:rFonts w:ascii="仿宋" w:hAnsi="仿宋" w:eastAsia="仿宋" w:cs="仿宋"/>
          <w:bCs/>
          <w:kern w:val="0"/>
          <w:sz w:val="32"/>
          <w:szCs w:val="32"/>
        </w:rPr>
      </w:pPr>
    </w:p>
    <w:p>
      <w:pPr>
        <w:spacing w:line="360" w:lineRule="auto"/>
        <w:jc w:val="center"/>
        <w:outlineLvl w:val="0"/>
        <w:rPr>
          <w:rFonts w:ascii="仿宋" w:hAnsi="仿宋" w:eastAsia="仿宋" w:cs="仿宋"/>
          <w:bCs/>
          <w:kern w:val="0"/>
          <w:sz w:val="32"/>
          <w:szCs w:val="32"/>
        </w:rPr>
      </w:pPr>
      <w:bookmarkStart w:id="142" w:name="_Toc17085"/>
      <w:bookmarkStart w:id="143" w:name="_Toc2964"/>
      <w:r>
        <w:rPr>
          <w:rFonts w:hint="eastAsia" w:ascii="仿宋" w:hAnsi="仿宋" w:eastAsia="仿宋" w:cs="仿宋"/>
          <w:bCs/>
          <w:kern w:val="0"/>
          <w:sz w:val="32"/>
          <w:szCs w:val="32"/>
        </w:rPr>
        <w:t>7.特定资格条件要求的资质文件（复印件）</w:t>
      </w:r>
      <w:bookmarkEnd w:id="142"/>
      <w:bookmarkEnd w:id="143"/>
    </w:p>
    <w:p>
      <w:pPr>
        <w:tabs>
          <w:tab w:val="left" w:pos="0"/>
        </w:tabs>
        <w:spacing w:line="360" w:lineRule="auto"/>
        <w:outlineLvl w:val="0"/>
        <w:rPr>
          <w:rFonts w:ascii="仿宋" w:hAnsi="仿宋" w:eastAsia="仿宋" w:cs="仿宋"/>
          <w:bCs/>
          <w:kern w:val="0"/>
          <w:sz w:val="32"/>
          <w:szCs w:val="32"/>
        </w:rPr>
      </w:pPr>
      <w:bookmarkStart w:id="144" w:name="_Toc1895"/>
      <w:bookmarkStart w:id="145" w:name="_Toc11231"/>
      <w:r>
        <w:rPr>
          <w:rFonts w:hint="eastAsia" w:ascii="仿宋" w:hAnsi="仿宋" w:eastAsia="仿宋" w:cs="仿宋"/>
          <w:bCs/>
          <w:kern w:val="0"/>
          <w:sz w:val="32"/>
          <w:szCs w:val="32"/>
        </w:rPr>
        <w:t>（由投标人根据采购公告合格的投标人应具备的特定资格要求编制；如果本项目没有设置特定资格条件，则不需要提供）</w:t>
      </w:r>
      <w:bookmarkEnd w:id="144"/>
      <w:bookmarkEnd w:id="145"/>
    </w:p>
    <w:p>
      <w:pPr>
        <w:tabs>
          <w:tab w:val="left" w:pos="0"/>
        </w:tabs>
        <w:spacing w:line="360" w:lineRule="auto"/>
        <w:outlineLvl w:val="0"/>
        <w:rPr>
          <w:rFonts w:ascii="仿宋" w:hAnsi="仿宋" w:eastAsia="仿宋" w:cs="仿宋"/>
          <w:bCs/>
          <w:kern w:val="0"/>
          <w:sz w:val="32"/>
          <w:szCs w:val="32"/>
        </w:rPr>
      </w:pPr>
    </w:p>
    <w:p>
      <w:pPr>
        <w:tabs>
          <w:tab w:val="left" w:pos="0"/>
        </w:tabs>
        <w:spacing w:line="360" w:lineRule="auto"/>
        <w:outlineLvl w:val="0"/>
        <w:rPr>
          <w:rFonts w:ascii="仿宋" w:hAnsi="仿宋" w:eastAsia="仿宋" w:cs="仿宋"/>
          <w:bCs/>
          <w:kern w:val="0"/>
          <w:sz w:val="32"/>
          <w:szCs w:val="32"/>
        </w:rPr>
      </w:pPr>
    </w:p>
    <w:p>
      <w:pPr>
        <w:numPr>
          <w:ilvl w:val="1"/>
          <w:numId w:val="2"/>
        </w:numPr>
        <w:spacing w:line="360" w:lineRule="auto"/>
        <w:jc w:val="center"/>
        <w:outlineLvl w:val="0"/>
        <w:rPr>
          <w:rFonts w:ascii="仿宋" w:hAnsi="仿宋" w:eastAsia="仿宋" w:cs="仿宋"/>
          <w:b/>
          <w:sz w:val="32"/>
          <w:szCs w:val="32"/>
        </w:rPr>
      </w:pPr>
      <w:bookmarkStart w:id="146" w:name="_Toc21211"/>
      <w:r>
        <w:rPr>
          <w:rFonts w:hint="eastAsia" w:ascii="仿宋" w:hAnsi="仿宋" w:eastAsia="仿宋" w:cs="仿宋"/>
          <w:b/>
          <w:sz w:val="32"/>
          <w:szCs w:val="32"/>
        </w:rPr>
        <w:t>报价文件部分</w:t>
      </w:r>
      <w:bookmarkEnd w:id="146"/>
    </w:p>
    <w:p>
      <w:pPr>
        <w:spacing w:line="360" w:lineRule="auto"/>
        <w:jc w:val="center"/>
        <w:outlineLvl w:val="0"/>
        <w:rPr>
          <w:rFonts w:ascii="仿宋" w:hAnsi="仿宋" w:eastAsia="仿宋" w:cs="仿宋"/>
          <w:b/>
          <w:bCs/>
          <w:color w:val="000000"/>
          <w:sz w:val="32"/>
          <w:szCs w:val="32"/>
        </w:rPr>
      </w:pPr>
      <w:bookmarkStart w:id="147" w:name="_Toc10969"/>
      <w:bookmarkStart w:id="148" w:name="_Toc13279"/>
      <w:r>
        <w:rPr>
          <w:rFonts w:hint="eastAsia" w:ascii="仿宋" w:hAnsi="仿宋" w:eastAsia="仿宋" w:cs="仿宋"/>
          <w:b/>
          <w:color w:val="000000"/>
          <w:kern w:val="0"/>
          <w:sz w:val="32"/>
          <w:szCs w:val="32"/>
        </w:rPr>
        <w:t>1.投标响应</w:t>
      </w:r>
      <w:r>
        <w:rPr>
          <w:rFonts w:hint="eastAsia" w:ascii="仿宋" w:hAnsi="仿宋" w:eastAsia="仿宋" w:cs="仿宋"/>
          <w:b/>
          <w:color w:val="000000"/>
          <w:sz w:val="32"/>
          <w:szCs w:val="32"/>
        </w:rPr>
        <w:t>函</w:t>
      </w:r>
      <w:bookmarkEnd w:id="147"/>
      <w:bookmarkEnd w:id="148"/>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color w:val="000000"/>
          <w:sz w:val="24"/>
        </w:rPr>
      </w:pPr>
      <w:r>
        <w:rPr>
          <w:rFonts w:hint="eastAsia" w:ascii="仿宋" w:hAnsi="仿宋" w:eastAsia="仿宋" w:cs="仿宋"/>
          <w:color w:val="000000"/>
          <w:sz w:val="24"/>
        </w:rPr>
        <w:t>浙江中明工程咨询有限公司：</w:t>
      </w:r>
    </w:p>
    <w:p>
      <w:pPr>
        <w:spacing w:line="360" w:lineRule="auto"/>
        <w:rPr>
          <w:rFonts w:ascii="仿宋" w:hAnsi="仿宋" w:eastAsia="仿宋" w:cs="仿宋"/>
          <w:sz w:val="24"/>
        </w:rPr>
      </w:pPr>
    </w:p>
    <w:p>
      <w:pPr>
        <w:spacing w:line="360" w:lineRule="auto"/>
        <w:ind w:firstLine="470" w:firstLineChars="196"/>
        <w:rPr>
          <w:rFonts w:ascii="仿宋" w:hAnsi="仿宋" w:eastAsia="仿宋" w:cs="仿宋"/>
          <w:kern w:val="0"/>
          <w:sz w:val="24"/>
          <w:u w:val="single"/>
          <w:lang w:val="zh-CN"/>
        </w:rPr>
      </w:pPr>
      <w:r>
        <w:rPr>
          <w:rFonts w:hint="eastAsia" w:ascii="仿宋" w:hAnsi="仿宋" w:eastAsia="仿宋" w:cs="仿宋"/>
          <w:sz w:val="24"/>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w:t>
      </w:r>
      <w:r>
        <w:rPr>
          <w:rFonts w:hint="eastAsia" w:ascii="仿宋" w:hAnsi="仿宋" w:eastAsia="仿宋" w:cs="仿宋"/>
          <w:sz w:val="24"/>
          <w:u w:val="single"/>
        </w:rPr>
        <w:t>（项目名称）                    项目</w:t>
      </w:r>
      <w:r>
        <w:rPr>
          <w:rFonts w:hint="eastAsia" w:ascii="仿宋" w:hAnsi="仿宋" w:eastAsia="仿宋" w:cs="仿宋"/>
          <w:sz w:val="24"/>
        </w:rPr>
        <w:t>(采购编号：</w:t>
      </w:r>
      <w:r>
        <w:rPr>
          <w:rFonts w:hint="eastAsia" w:ascii="仿宋" w:hAnsi="仿宋" w:eastAsia="仿宋" w:cs="仿宋"/>
          <w:sz w:val="24"/>
          <w:u w:val="single"/>
        </w:rPr>
        <w:t xml:space="preserve">        </w:t>
      </w:r>
      <w:r>
        <w:rPr>
          <w:rFonts w:hint="eastAsia" w:ascii="仿宋" w:hAnsi="仿宋" w:eastAsia="仿宋" w:cs="仿宋"/>
          <w:sz w:val="24"/>
        </w:rPr>
        <w:t>)采购的有关活动，并对此项目进行投标。为此：</w:t>
      </w:r>
    </w:p>
    <w:p>
      <w:pPr>
        <w:spacing w:line="360" w:lineRule="auto"/>
        <w:ind w:firstLine="480" w:firstLineChars="200"/>
        <w:rPr>
          <w:rFonts w:ascii="仿宋" w:hAnsi="仿宋" w:eastAsia="仿宋" w:cs="仿宋"/>
          <w:sz w:val="24"/>
        </w:rPr>
      </w:pPr>
      <w:r>
        <w:rPr>
          <w:rFonts w:hint="eastAsia" w:ascii="仿宋" w:hAnsi="仿宋" w:eastAsia="仿宋" w:cs="仿宋"/>
          <w:sz w:val="24"/>
        </w:rPr>
        <w:t>1、我方同意在投标人</w:t>
      </w:r>
      <w:r>
        <w:rPr>
          <w:rFonts w:hint="eastAsia" w:ascii="仿宋" w:hAnsi="仿宋" w:eastAsia="仿宋" w:cs="仿宋"/>
          <w:bCs/>
          <w:kern w:val="44"/>
          <w:sz w:val="24"/>
        </w:rPr>
        <w:t>编制和提交采购响应文件须知</w:t>
      </w:r>
      <w:r>
        <w:rPr>
          <w:rFonts w:hint="eastAsia" w:ascii="仿宋" w:hAnsi="仿宋" w:eastAsia="仿宋" w:cs="仿宋"/>
          <w:sz w:val="24"/>
        </w:rPr>
        <w:t>规定的开标日期起遵守本投标书中的承诺且在投标有效期满之前均具有约束力。</w:t>
      </w:r>
    </w:p>
    <w:p>
      <w:pPr>
        <w:spacing w:line="360" w:lineRule="auto"/>
        <w:ind w:firstLine="480" w:firstLineChars="200"/>
        <w:rPr>
          <w:rFonts w:ascii="仿宋" w:hAnsi="仿宋" w:eastAsia="仿宋" w:cs="仿宋"/>
          <w:sz w:val="24"/>
        </w:rPr>
      </w:pPr>
      <w:r>
        <w:rPr>
          <w:rFonts w:hint="eastAsia" w:ascii="仿宋" w:hAnsi="仿宋" w:eastAsia="仿宋" w:cs="仿宋"/>
          <w:sz w:val="24"/>
        </w:rPr>
        <w:t>2、我方承诺已经具备《中华人民共和国政府采购法》中规定的参加政府采购活动的供应商应当具备的条件：</w:t>
      </w:r>
    </w:p>
    <w:p>
      <w:pPr>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pacing w:line="360" w:lineRule="auto"/>
        <w:ind w:firstLine="480" w:firstLineChars="200"/>
        <w:rPr>
          <w:rFonts w:ascii="仿宋" w:hAnsi="仿宋" w:eastAsia="仿宋" w:cs="仿宋"/>
          <w:sz w:val="24"/>
        </w:rPr>
      </w:pPr>
      <w:r>
        <w:rPr>
          <w:rFonts w:hint="eastAsia" w:ascii="仿宋" w:hAnsi="仿宋" w:eastAsia="仿宋" w:cs="仿宋"/>
          <w:sz w:val="24"/>
        </w:rPr>
        <w:t>（2）遵守国家法律、行政法规，具有良好的信誉和商业道德；</w:t>
      </w:r>
    </w:p>
    <w:p>
      <w:pPr>
        <w:spacing w:line="360" w:lineRule="auto"/>
        <w:ind w:firstLine="480" w:firstLineChars="200"/>
        <w:rPr>
          <w:rFonts w:ascii="仿宋" w:hAnsi="仿宋" w:eastAsia="仿宋" w:cs="仿宋"/>
          <w:sz w:val="24"/>
        </w:rPr>
      </w:pPr>
      <w:r>
        <w:rPr>
          <w:rFonts w:hint="eastAsia" w:ascii="仿宋" w:hAnsi="仿宋" w:eastAsia="仿宋" w:cs="仿宋"/>
          <w:sz w:val="24"/>
        </w:rPr>
        <w:t>（3）具有履行合同的能力和良好的履行合同记录；</w:t>
      </w:r>
    </w:p>
    <w:p>
      <w:pPr>
        <w:spacing w:line="360" w:lineRule="auto"/>
        <w:ind w:firstLine="480" w:firstLineChars="200"/>
        <w:rPr>
          <w:rFonts w:ascii="仿宋" w:hAnsi="仿宋" w:eastAsia="仿宋" w:cs="仿宋"/>
          <w:sz w:val="24"/>
        </w:rPr>
      </w:pPr>
      <w:r>
        <w:rPr>
          <w:rFonts w:hint="eastAsia" w:ascii="仿宋" w:hAnsi="仿宋" w:eastAsia="仿宋" w:cs="仿宋"/>
          <w:sz w:val="24"/>
        </w:rPr>
        <w:t>（4）良好的资金、财务状况；</w:t>
      </w:r>
    </w:p>
    <w:p>
      <w:pPr>
        <w:spacing w:line="360" w:lineRule="auto"/>
        <w:ind w:firstLine="480" w:firstLineChars="200"/>
        <w:rPr>
          <w:rFonts w:ascii="仿宋" w:hAnsi="仿宋" w:eastAsia="仿宋" w:cs="仿宋"/>
          <w:sz w:val="24"/>
        </w:rPr>
      </w:pPr>
      <w:r>
        <w:rPr>
          <w:rFonts w:hint="eastAsia" w:ascii="仿宋" w:hAnsi="仿宋" w:eastAsia="仿宋" w:cs="仿宋"/>
          <w:sz w:val="24"/>
        </w:rPr>
        <w:t>（5）没有违反政府采购法规、政策的记录；</w:t>
      </w:r>
    </w:p>
    <w:p>
      <w:pPr>
        <w:spacing w:line="360" w:lineRule="auto"/>
        <w:ind w:firstLine="480" w:firstLineChars="200"/>
        <w:rPr>
          <w:rFonts w:ascii="仿宋" w:hAnsi="仿宋" w:eastAsia="仿宋" w:cs="仿宋"/>
          <w:sz w:val="24"/>
        </w:rPr>
      </w:pPr>
      <w:r>
        <w:rPr>
          <w:rFonts w:hint="eastAsia" w:ascii="仿宋" w:hAnsi="仿宋" w:eastAsia="仿宋" w:cs="仿宋"/>
          <w:sz w:val="24"/>
        </w:rPr>
        <w:t>（6）没有发生重大经济纠纷和走私犯罪记录；</w:t>
      </w:r>
    </w:p>
    <w:p>
      <w:pPr>
        <w:spacing w:line="360" w:lineRule="auto"/>
        <w:ind w:firstLine="480" w:firstLineChars="200"/>
        <w:rPr>
          <w:rFonts w:ascii="仿宋" w:hAnsi="仿宋" w:eastAsia="仿宋" w:cs="仿宋"/>
          <w:sz w:val="24"/>
        </w:rPr>
      </w:pPr>
      <w:r>
        <w:rPr>
          <w:rFonts w:hint="eastAsia" w:ascii="仿宋" w:hAnsi="仿宋" w:eastAsia="仿宋" w:cs="仿宋"/>
          <w:sz w:val="24"/>
        </w:rPr>
        <w:t>3、提供</w:t>
      </w:r>
      <w:r>
        <w:rPr>
          <w:rFonts w:hint="eastAsia" w:ascii="仿宋" w:hAnsi="仿宋" w:eastAsia="仿宋" w:cs="仿宋"/>
          <w:bCs/>
          <w:kern w:val="44"/>
          <w:sz w:val="24"/>
        </w:rPr>
        <w:t>编制和提交采购响应文件须知</w:t>
      </w:r>
      <w:r>
        <w:rPr>
          <w:rFonts w:hint="eastAsia" w:ascii="仿宋" w:hAnsi="仿宋" w:eastAsia="仿宋" w:cs="仿宋"/>
          <w:sz w:val="24"/>
        </w:rPr>
        <w:t>规定的全部投标文件，包括投标文件</w:t>
      </w:r>
      <w:r>
        <w:rPr>
          <w:rFonts w:hint="eastAsia" w:ascii="仿宋" w:hAnsi="仿宋" w:eastAsia="仿宋" w:cs="仿宋"/>
          <w:sz w:val="24"/>
          <w:u w:val="single"/>
        </w:rPr>
        <w:t>正本1份，副本4份</w:t>
      </w:r>
      <w:r>
        <w:rPr>
          <w:rFonts w:hint="eastAsia" w:ascii="仿宋" w:hAnsi="仿宋" w:eastAsia="仿宋" w:cs="仿宋"/>
          <w:sz w:val="24"/>
        </w:rPr>
        <w:t>。具体内容为：</w:t>
      </w:r>
    </w:p>
    <w:p>
      <w:pPr>
        <w:spacing w:line="360" w:lineRule="auto"/>
        <w:ind w:firstLine="480" w:firstLineChars="200"/>
        <w:rPr>
          <w:rFonts w:ascii="仿宋" w:hAnsi="仿宋" w:eastAsia="仿宋" w:cs="仿宋"/>
          <w:sz w:val="24"/>
        </w:rPr>
      </w:pPr>
      <w:r>
        <w:rPr>
          <w:rFonts w:hint="eastAsia" w:ascii="仿宋" w:hAnsi="仿宋" w:eastAsia="仿宋" w:cs="仿宋"/>
          <w:sz w:val="24"/>
        </w:rPr>
        <w:t>（1）投标（开标）一览表及投标报价明细清单；</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（2）投标</w:t>
      </w:r>
      <w:r>
        <w:rPr>
          <w:rFonts w:hint="eastAsia" w:ascii="仿宋" w:hAnsi="仿宋" w:eastAsia="仿宋" w:cs="仿宋"/>
          <w:color w:val="000000"/>
          <w:kern w:val="0"/>
          <w:sz w:val="24"/>
          <w:lang w:val="zh-CN"/>
        </w:rPr>
        <w:t>技术文件和</w:t>
      </w:r>
      <w:r>
        <w:rPr>
          <w:rFonts w:hint="eastAsia" w:ascii="仿宋" w:hAnsi="仿宋" w:eastAsia="仿宋" w:cs="仿宋"/>
          <w:color w:val="000000"/>
          <w:sz w:val="24"/>
          <w:lang w:val="zh-CN"/>
        </w:rPr>
        <w:t>商务文件</w:t>
      </w:r>
      <w:r>
        <w:rPr>
          <w:rFonts w:hint="eastAsia" w:ascii="仿宋" w:hAnsi="仿宋" w:eastAsia="仿宋" w:cs="仿宋"/>
          <w:color w:val="000000"/>
          <w:sz w:val="24"/>
        </w:rPr>
        <w:t>；</w:t>
      </w:r>
    </w:p>
    <w:p>
      <w:pPr>
        <w:spacing w:line="360" w:lineRule="auto"/>
        <w:ind w:firstLine="480" w:firstLineChars="200"/>
        <w:rPr>
          <w:rFonts w:ascii="仿宋" w:hAnsi="仿宋" w:eastAsia="仿宋" w:cs="仿宋"/>
          <w:color w:val="000000"/>
          <w:sz w:val="24"/>
        </w:rPr>
      </w:pPr>
      <w:r>
        <w:rPr>
          <w:rFonts w:hint="eastAsia" w:ascii="仿宋" w:hAnsi="仿宋" w:eastAsia="仿宋" w:cs="仿宋"/>
          <w:bCs/>
          <w:color w:val="000000"/>
          <w:kern w:val="44"/>
          <w:sz w:val="24"/>
        </w:rPr>
        <w:t>（3）编制和提交采购响应文件须知</w:t>
      </w:r>
      <w:r>
        <w:rPr>
          <w:rFonts w:hint="eastAsia" w:ascii="仿宋" w:hAnsi="仿宋" w:eastAsia="仿宋" w:cs="仿宋"/>
          <w:color w:val="000000"/>
          <w:sz w:val="24"/>
        </w:rPr>
        <w:t>要求投标人提交的全部文件；</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4、按采购文件要求提供和交付的货物和服务的投标报价详见开标一览表。</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5、保证忠实地执行双方所签订的合同，并承担合同规定的责任和义务。</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6、保证遵守采购文件中的其他有关规定。</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7、如果在开标后规定的投标有效期内撤回投标，我方的投标保证金可被贵方没收。</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w:t>
      </w:r>
      <w:r>
        <w:rPr>
          <w:rFonts w:hint="eastAsia" w:ascii="仿宋" w:hAnsi="仿宋" w:eastAsia="仿宋" w:cs="仿宋"/>
          <w:color w:val="000000"/>
          <w:kern w:val="0"/>
          <w:sz w:val="24"/>
          <w:lang w:val="zh-CN"/>
        </w:rPr>
        <w:t>根据具体情况而拒绝任一或所有标书完全取决于你方。你方没有义务一定要接受最低报价的标书或某一特定标书，也不需为拒绝某一标书作出任何解释。</w:t>
      </w:r>
      <w:r>
        <w:rPr>
          <w:rFonts w:hint="eastAsia" w:ascii="仿宋" w:hAnsi="仿宋" w:eastAsia="仿宋" w:cs="仿宋"/>
          <w:color w:val="000000"/>
          <w:sz w:val="24"/>
        </w:rPr>
        <w:t>我方完全理解贵方不一定要接受最低价的投标。</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9、我方愿意向贵方提供任何与该项投标有关的数据、情况和技术资料。若贵方需要，我方愿意提供我方作出的一切承诺的证明材料。</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10、我方已详细审核全部采购文件，包括采购文件修改书（如有的话）、参考资料及有关附件，确认无误。</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a)提供虚假材料谋取中标、成交的；</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b)采取不正当手段诋毁、排挤其他供应商的；</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c)与采购人、其它供应商或者采购代理机构恶意串通的；</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d)向采购人、采购代理机构行贿或者提供其他不正当利益的；</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e)拒绝有关部门监督检查或提供虚假情况的。</w:t>
      </w:r>
    </w:p>
    <w:p>
      <w:pPr>
        <w:autoSpaceDE w:val="0"/>
        <w:autoSpaceDN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供应商有前款第a)至e)项情形之一的，中标、成交无效。</w:t>
      </w:r>
    </w:p>
    <w:p>
      <w:pPr>
        <w:autoSpaceDE w:val="0"/>
        <w:autoSpaceDN w:val="0"/>
        <w:spacing w:line="360" w:lineRule="auto"/>
        <w:rPr>
          <w:rFonts w:ascii="仿宋" w:hAnsi="仿宋" w:eastAsia="仿宋" w:cs="仿宋"/>
          <w:color w:val="000000"/>
          <w:kern w:val="0"/>
          <w:sz w:val="24"/>
          <w:lang w:val="zh-CN"/>
        </w:rPr>
      </w:pPr>
    </w:p>
    <w:p>
      <w:pPr>
        <w:autoSpaceDE w:val="0"/>
        <w:autoSpaceDN w:val="0"/>
        <w:spacing w:line="360" w:lineRule="auto"/>
        <w:rPr>
          <w:rFonts w:ascii="仿宋" w:hAnsi="仿宋" w:eastAsia="仿宋" w:cs="仿宋"/>
          <w:color w:val="000000"/>
          <w:kern w:val="0"/>
          <w:sz w:val="24"/>
          <w:lang w:val="zh-CN"/>
        </w:rPr>
      </w:pPr>
    </w:p>
    <w:p>
      <w:pPr>
        <w:autoSpaceDE w:val="0"/>
        <w:autoSpaceDN w:val="0"/>
        <w:spacing w:line="360" w:lineRule="auto"/>
        <w:rPr>
          <w:rFonts w:ascii="仿宋" w:hAnsi="仿宋" w:eastAsia="仿宋" w:cs="仿宋"/>
          <w:color w:val="000000"/>
          <w:kern w:val="0"/>
          <w:sz w:val="24"/>
          <w:lang w:val="zh-CN"/>
        </w:rPr>
      </w:pPr>
    </w:p>
    <w:p>
      <w:pPr>
        <w:autoSpaceDE w:val="0"/>
        <w:autoSpaceDN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法人代表签字：  </w:t>
      </w:r>
      <w:r>
        <w:rPr>
          <w:rFonts w:hint="eastAsia" w:ascii="仿宋" w:hAnsi="仿宋" w:eastAsia="仿宋" w:cs="仿宋"/>
          <w:color w:val="000000"/>
          <w:kern w:val="0"/>
          <w:sz w:val="24"/>
          <w:u w:val="single"/>
          <w:lang w:val="zh-CN"/>
        </w:rPr>
        <w:t xml:space="preserve">                 </w:t>
      </w:r>
      <w:r>
        <w:rPr>
          <w:rFonts w:hint="eastAsia" w:ascii="仿宋" w:hAnsi="仿宋" w:eastAsia="仿宋" w:cs="仿宋"/>
          <w:color w:val="000000"/>
          <w:kern w:val="0"/>
          <w:sz w:val="24"/>
        </w:rPr>
        <w:tab/>
      </w:r>
    </w:p>
    <w:p>
      <w:pPr>
        <w:autoSpaceDE w:val="0"/>
        <w:autoSpaceDN w:val="0"/>
        <w:spacing w:line="360" w:lineRule="auto"/>
        <w:rPr>
          <w:rFonts w:ascii="仿宋" w:hAnsi="仿宋" w:eastAsia="仿宋" w:cs="仿宋"/>
          <w:color w:val="000000"/>
          <w:kern w:val="0"/>
          <w:sz w:val="24"/>
          <w:u w:val="single"/>
          <w:lang w:val="zh-CN"/>
        </w:rPr>
      </w:pPr>
      <w:r>
        <w:rPr>
          <w:rFonts w:hint="eastAsia" w:ascii="仿宋" w:hAnsi="仿宋" w:eastAsia="仿宋" w:cs="仿宋"/>
          <w:color w:val="000000"/>
          <w:kern w:val="0"/>
          <w:sz w:val="24"/>
          <w:lang w:val="zh-CN"/>
        </w:rPr>
        <w:t>授权委托人签字：</w:t>
      </w:r>
      <w:r>
        <w:rPr>
          <w:rFonts w:hint="eastAsia" w:ascii="仿宋" w:hAnsi="仿宋" w:eastAsia="仿宋" w:cs="仿宋"/>
          <w:color w:val="000000"/>
          <w:kern w:val="0"/>
          <w:sz w:val="24"/>
          <w:u w:val="single"/>
          <w:lang w:val="zh-CN"/>
        </w:rPr>
        <w:t xml:space="preserve">                     </w:t>
      </w:r>
    </w:p>
    <w:p>
      <w:pPr>
        <w:autoSpaceDE w:val="0"/>
        <w:autoSpaceDN w:val="0"/>
        <w:spacing w:line="360" w:lineRule="auto"/>
        <w:rPr>
          <w:rFonts w:ascii="仿宋" w:hAnsi="仿宋" w:eastAsia="仿宋" w:cs="仿宋"/>
          <w:color w:val="000000"/>
          <w:kern w:val="0"/>
          <w:sz w:val="24"/>
          <w:u w:val="single"/>
          <w:lang w:val="zh-CN"/>
        </w:rPr>
      </w:pPr>
      <w:r>
        <w:rPr>
          <w:rFonts w:hint="eastAsia" w:ascii="仿宋" w:hAnsi="仿宋" w:eastAsia="仿宋" w:cs="仿宋"/>
          <w:color w:val="000000"/>
          <w:kern w:val="0"/>
          <w:sz w:val="24"/>
          <w:lang w:val="zh-CN"/>
        </w:rPr>
        <w:t xml:space="preserve">公 司 盖 章:  </w:t>
      </w:r>
      <w:r>
        <w:rPr>
          <w:rFonts w:hint="eastAsia" w:ascii="仿宋" w:hAnsi="仿宋" w:eastAsia="仿宋" w:cs="仿宋"/>
          <w:color w:val="000000"/>
          <w:kern w:val="0"/>
          <w:sz w:val="24"/>
          <w:u w:val="single"/>
          <w:lang w:val="zh-CN"/>
        </w:rPr>
        <w:t xml:space="preserve">                     </w:t>
      </w:r>
    </w:p>
    <w:p>
      <w:pPr>
        <w:autoSpaceDE w:val="0"/>
        <w:autoSpaceDN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联系人：</w:t>
      </w:r>
      <w:r>
        <w:rPr>
          <w:rFonts w:hint="eastAsia" w:ascii="仿宋" w:hAnsi="仿宋" w:eastAsia="仿宋" w:cs="仿宋"/>
          <w:color w:val="000000"/>
          <w:kern w:val="0"/>
          <w:sz w:val="24"/>
          <w:u w:val="single"/>
          <w:lang w:val="zh-CN"/>
        </w:rPr>
        <w:t xml:space="preserve">                    </w:t>
      </w:r>
      <w:r>
        <w:rPr>
          <w:rFonts w:hint="eastAsia" w:ascii="仿宋" w:hAnsi="仿宋" w:eastAsia="仿宋" w:cs="仿宋"/>
          <w:color w:val="000000"/>
          <w:kern w:val="0"/>
          <w:sz w:val="24"/>
          <w:lang w:val="zh-CN"/>
        </w:rPr>
        <w:t xml:space="preserve">联系电话: </w:t>
      </w:r>
      <w:r>
        <w:rPr>
          <w:rFonts w:hint="eastAsia" w:ascii="仿宋" w:hAnsi="仿宋" w:eastAsia="仿宋" w:cs="仿宋"/>
          <w:color w:val="000000"/>
          <w:kern w:val="0"/>
          <w:sz w:val="24"/>
          <w:u w:val="single"/>
          <w:lang w:val="zh-CN"/>
        </w:rPr>
        <w:t xml:space="preserve">                </w:t>
      </w:r>
    </w:p>
    <w:p>
      <w:pPr>
        <w:autoSpaceDE w:val="0"/>
        <w:autoSpaceDN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联系地址：</w:t>
      </w:r>
      <w:r>
        <w:rPr>
          <w:rFonts w:hint="eastAsia" w:ascii="仿宋" w:hAnsi="仿宋" w:eastAsia="仿宋" w:cs="仿宋"/>
          <w:color w:val="000000"/>
          <w:kern w:val="0"/>
          <w:sz w:val="24"/>
          <w:u w:val="single"/>
          <w:lang w:val="zh-CN"/>
        </w:rPr>
        <w:t xml:space="preserve">                                                        </w:t>
      </w:r>
    </w:p>
    <w:p>
      <w:pPr>
        <w:autoSpaceDE w:val="0"/>
        <w:autoSpaceDN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邮政编码：</w:t>
      </w:r>
      <w:r>
        <w:rPr>
          <w:rFonts w:hint="eastAsia" w:ascii="仿宋" w:hAnsi="仿宋" w:eastAsia="仿宋" w:cs="仿宋"/>
          <w:color w:val="000000"/>
          <w:kern w:val="0"/>
          <w:sz w:val="24"/>
          <w:u w:val="single"/>
          <w:lang w:val="zh-CN"/>
        </w:rPr>
        <w:t xml:space="preserve">                     </w:t>
      </w:r>
      <w:r>
        <w:rPr>
          <w:rFonts w:hint="eastAsia" w:ascii="仿宋" w:hAnsi="仿宋" w:eastAsia="仿宋" w:cs="仿宋"/>
          <w:color w:val="000000"/>
          <w:kern w:val="0"/>
          <w:sz w:val="24"/>
          <w:lang w:val="zh-CN"/>
        </w:rPr>
        <w:t>传真号码：</w:t>
      </w:r>
      <w:r>
        <w:rPr>
          <w:rFonts w:hint="eastAsia" w:ascii="仿宋" w:hAnsi="仿宋" w:eastAsia="仿宋" w:cs="仿宋"/>
          <w:color w:val="000000"/>
          <w:kern w:val="0"/>
          <w:sz w:val="24"/>
          <w:u w:val="single"/>
          <w:lang w:val="zh-CN"/>
        </w:rPr>
        <w:t xml:space="preserve">                         </w:t>
      </w:r>
    </w:p>
    <w:p>
      <w:pPr>
        <w:spacing w:line="360" w:lineRule="auto"/>
        <w:rPr>
          <w:rFonts w:ascii="仿宋" w:hAnsi="仿宋" w:eastAsia="仿宋" w:cs="仿宋"/>
          <w:color w:val="000000"/>
          <w:sz w:val="24"/>
        </w:rPr>
      </w:pPr>
      <w:r>
        <w:rPr>
          <w:rFonts w:hint="eastAsia" w:ascii="仿宋" w:hAnsi="仿宋" w:eastAsia="仿宋" w:cs="仿宋"/>
          <w:color w:val="000000"/>
          <w:kern w:val="0"/>
          <w:sz w:val="24"/>
          <w:lang w:val="zh-CN"/>
        </w:rPr>
        <w:t>日</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期</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lang w:val="zh-CN"/>
        </w:rPr>
        <w:t>年</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lang w:val="zh-CN"/>
        </w:rPr>
        <w:t>月</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ab/>
      </w:r>
      <w:r>
        <w:rPr>
          <w:rFonts w:hint="eastAsia" w:ascii="仿宋" w:hAnsi="仿宋" w:eastAsia="仿宋" w:cs="仿宋"/>
          <w:color w:val="000000"/>
          <w:kern w:val="0"/>
          <w:sz w:val="24"/>
          <w:lang w:val="zh-CN"/>
        </w:rPr>
        <w:t>日</w:t>
      </w:r>
    </w:p>
    <w:p>
      <w:pPr>
        <w:pStyle w:val="30"/>
        <w:keepNext w:val="0"/>
        <w:pageBreakBefore w:val="0"/>
        <w:tabs>
          <w:tab w:val="clear" w:pos="720"/>
        </w:tabs>
        <w:jc w:val="both"/>
        <w:outlineLvl w:val="9"/>
        <w:rPr>
          <w:rFonts w:ascii="仿宋" w:hAnsi="仿宋" w:eastAsia="仿宋" w:cs="仿宋"/>
          <w:color w:val="000000"/>
          <w:sz w:val="24"/>
          <w:szCs w:val="24"/>
        </w:rPr>
      </w:pPr>
      <w:bookmarkStart w:id="149" w:name="_Toc9977"/>
      <w:bookmarkStart w:id="150" w:name="_Toc8127"/>
      <w:r>
        <w:rPr>
          <w:rFonts w:hint="eastAsia" w:ascii="仿宋" w:hAnsi="仿宋" w:eastAsia="仿宋" w:cs="仿宋"/>
          <w:color w:val="000000"/>
          <w:sz w:val="24"/>
          <w:szCs w:val="24"/>
        </w:rPr>
        <w:t>注：未按照本投标</w:t>
      </w:r>
      <w:r>
        <w:rPr>
          <w:rFonts w:hint="eastAsia" w:ascii="仿宋" w:hAnsi="仿宋" w:eastAsia="仿宋" w:cs="仿宋"/>
          <w:color w:val="000000"/>
          <w:kern w:val="0"/>
          <w:sz w:val="24"/>
          <w:szCs w:val="24"/>
        </w:rPr>
        <w:t>响应</w:t>
      </w:r>
      <w:r>
        <w:rPr>
          <w:rFonts w:hint="eastAsia" w:ascii="仿宋" w:hAnsi="仿宋" w:eastAsia="仿宋" w:cs="仿宋"/>
          <w:color w:val="000000"/>
          <w:sz w:val="24"/>
          <w:szCs w:val="24"/>
        </w:rPr>
        <w:t>函要求填报的将被视为非实质性响应投标，从而可能导致该投标被拒绝。</w:t>
      </w:r>
      <w:bookmarkEnd w:id="149"/>
      <w:bookmarkEnd w:id="150"/>
    </w:p>
    <w:p>
      <w:pPr>
        <w:spacing w:line="360" w:lineRule="auto"/>
        <w:rPr>
          <w:rFonts w:ascii="仿宋" w:hAnsi="仿宋" w:eastAsia="仿宋" w:cs="仿宋"/>
          <w:b/>
          <w:color w:val="000000"/>
          <w:sz w:val="24"/>
        </w:rPr>
      </w:pPr>
    </w:p>
    <w:p>
      <w:pPr>
        <w:spacing w:line="360" w:lineRule="auto"/>
        <w:rPr>
          <w:rFonts w:ascii="仿宋" w:hAnsi="仿宋" w:eastAsia="仿宋" w:cs="仿宋"/>
          <w:b/>
          <w:color w:val="000000"/>
          <w:sz w:val="24"/>
        </w:rPr>
      </w:pPr>
    </w:p>
    <w:p>
      <w:pPr>
        <w:spacing w:line="360" w:lineRule="auto"/>
        <w:rPr>
          <w:rFonts w:ascii="仿宋" w:hAnsi="仿宋" w:eastAsia="仿宋" w:cs="仿宋"/>
          <w:b/>
          <w:color w:val="000000"/>
          <w:sz w:val="24"/>
        </w:rPr>
      </w:pPr>
    </w:p>
    <w:p>
      <w:pPr>
        <w:spacing w:line="360" w:lineRule="auto"/>
        <w:rPr>
          <w:rFonts w:ascii="仿宋" w:hAnsi="仿宋" w:eastAsia="仿宋" w:cs="仿宋"/>
          <w:b/>
          <w:color w:val="000000"/>
          <w:sz w:val="24"/>
        </w:rPr>
      </w:pPr>
    </w:p>
    <w:p>
      <w:pPr>
        <w:spacing w:line="360" w:lineRule="auto"/>
        <w:rPr>
          <w:rFonts w:ascii="仿宋" w:hAnsi="仿宋" w:eastAsia="仿宋" w:cs="仿宋"/>
          <w:b/>
          <w:color w:val="000000"/>
          <w:sz w:val="24"/>
        </w:rPr>
      </w:pPr>
    </w:p>
    <w:p>
      <w:pPr>
        <w:pStyle w:val="30"/>
        <w:keepNext w:val="0"/>
        <w:pageBreakBefore w:val="0"/>
        <w:tabs>
          <w:tab w:val="clear" w:pos="720"/>
        </w:tabs>
        <w:ind w:left="420"/>
        <w:rPr>
          <w:rFonts w:ascii="仿宋" w:hAnsi="仿宋" w:eastAsia="仿宋" w:cs="仿宋"/>
          <w:color w:val="000000"/>
          <w:kern w:val="2"/>
          <w:sz w:val="32"/>
          <w:szCs w:val="32"/>
        </w:rPr>
      </w:pPr>
      <w:bookmarkStart w:id="151" w:name="_Toc1688"/>
      <w:bookmarkStart w:id="152" w:name="_Toc781"/>
      <w:r>
        <w:rPr>
          <w:rFonts w:hint="eastAsia" w:ascii="仿宋" w:hAnsi="仿宋" w:eastAsia="仿宋" w:cs="仿宋"/>
          <w:color w:val="000000"/>
          <w:kern w:val="2"/>
          <w:sz w:val="32"/>
          <w:szCs w:val="32"/>
        </w:rPr>
        <w:t>2.投标（开标）一览表</w:t>
      </w:r>
      <w:bookmarkEnd w:id="151"/>
      <w:bookmarkEnd w:id="152"/>
    </w:p>
    <w:p>
      <w:pPr>
        <w:autoSpaceDE w:val="0"/>
        <w:autoSpaceDN w:val="0"/>
        <w:adjustRightInd w:val="0"/>
        <w:spacing w:line="360" w:lineRule="auto"/>
        <w:rPr>
          <w:rFonts w:ascii="仿宋" w:hAnsi="仿宋" w:eastAsia="仿宋" w:cs="仿宋"/>
          <w:sz w:val="24"/>
        </w:rPr>
      </w:pPr>
      <w:r>
        <w:rPr>
          <w:rFonts w:hint="eastAsia" w:ascii="仿宋" w:hAnsi="仿宋" w:eastAsia="仿宋" w:cs="仿宋"/>
          <w:sz w:val="24"/>
        </w:rPr>
        <w:t>采购人名称、</w:t>
      </w:r>
    </w:p>
    <w:p>
      <w:pPr>
        <w:autoSpaceDE w:val="0"/>
        <w:autoSpaceDN w:val="0"/>
        <w:adjustRightIn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浙江中明工程咨询有限公司：</w:t>
      </w:r>
    </w:p>
    <w:p>
      <w:pPr>
        <w:spacing w:beforeLines="50" w:afterLines="50" w:line="360" w:lineRule="auto"/>
        <w:ind w:firstLine="470" w:firstLineChars="196"/>
        <w:rPr>
          <w:rFonts w:ascii="仿宋" w:hAnsi="仿宋" w:eastAsia="仿宋" w:cs="仿宋"/>
          <w:color w:val="000000"/>
          <w:kern w:val="0"/>
          <w:sz w:val="24"/>
          <w:lang w:val="zh-CN"/>
        </w:rPr>
      </w:pPr>
      <w:r>
        <w:rPr>
          <w:rFonts w:hint="eastAsia" w:ascii="仿宋" w:hAnsi="仿宋" w:eastAsia="仿宋" w:cs="仿宋"/>
          <w:color w:val="000000"/>
          <w:kern w:val="0"/>
          <w:sz w:val="24"/>
          <w:lang w:val="zh-CN"/>
        </w:rPr>
        <w:t>按你方采购文件要求，我们 ，本标书签字方，谨此向你方发出要约如下：如你方接受本投标，我方承诺按照如下投标（开标）一览表的价格完成编号为（</w:t>
      </w:r>
      <w:r>
        <w:rPr>
          <w:rFonts w:hint="eastAsia" w:ascii="仿宋" w:hAnsi="仿宋" w:eastAsia="仿宋" w:cs="仿宋"/>
          <w:color w:val="000000"/>
          <w:kern w:val="0"/>
          <w:sz w:val="24"/>
          <w:u w:val="single"/>
          <w:lang w:val="zh-CN"/>
        </w:rPr>
        <w:t xml:space="preserve">             </w:t>
      </w:r>
      <w:r>
        <w:rPr>
          <w:rFonts w:hint="eastAsia" w:ascii="仿宋" w:hAnsi="仿宋" w:eastAsia="仿宋" w:cs="仿宋"/>
          <w:color w:val="000000"/>
          <w:kern w:val="0"/>
          <w:sz w:val="24"/>
          <w:lang w:val="zh-CN"/>
        </w:rPr>
        <w:t>）的采购文件（项目名</w:t>
      </w:r>
      <w:r>
        <w:rPr>
          <w:rFonts w:hint="eastAsia" w:ascii="仿宋" w:hAnsi="仿宋" w:eastAsia="仿宋" w:cs="仿宋"/>
          <w:kern w:val="0"/>
          <w:sz w:val="24"/>
          <w:lang w:val="zh-CN"/>
        </w:rPr>
        <w:t>称：</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）的实施。</w:t>
      </w:r>
    </w:p>
    <w:p>
      <w:pPr>
        <w:pStyle w:val="30"/>
        <w:keepNext w:val="0"/>
        <w:pageBreakBefore w:val="0"/>
        <w:tabs>
          <w:tab w:val="clear" w:pos="720"/>
        </w:tabs>
        <w:spacing w:beforeLines="50" w:afterLines="50"/>
        <w:ind w:firstLine="482" w:firstLineChars="200"/>
        <w:jc w:val="both"/>
        <w:outlineLvl w:val="9"/>
        <w:rPr>
          <w:rFonts w:ascii="仿宋" w:hAnsi="仿宋" w:eastAsia="仿宋" w:cs="仿宋"/>
          <w:color w:val="000000"/>
          <w:kern w:val="0"/>
          <w:sz w:val="24"/>
          <w:lang w:val="zh-CN"/>
        </w:rPr>
      </w:pPr>
      <w:bookmarkStart w:id="153" w:name="_Toc30232"/>
      <w:bookmarkStart w:id="154" w:name="_Toc3289"/>
      <w:r>
        <w:rPr>
          <w:rFonts w:hint="eastAsia" w:ascii="仿宋" w:hAnsi="仿宋" w:eastAsia="仿宋" w:cs="仿宋"/>
          <w:color w:val="000000"/>
          <w:kern w:val="0"/>
          <w:sz w:val="24"/>
          <w:lang w:val="zh-CN"/>
        </w:rPr>
        <w:t>投标（开标）一览表</w:t>
      </w:r>
      <w:bookmarkEnd w:id="153"/>
      <w:bookmarkEnd w:id="154"/>
    </w:p>
    <w:tbl>
      <w:tblPr>
        <w:tblStyle w:val="17"/>
        <w:tblW w:w="9672"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4736"/>
        <w:gridCol w:w="22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00" w:type="dxa"/>
            <w:tcBorders>
              <w:top w:val="single" w:color="auto" w:sz="4" w:space="0"/>
              <w:left w:val="single" w:color="auto" w:sz="4" w:space="0"/>
              <w:bottom w:val="single" w:color="auto" w:sz="4" w:space="0"/>
            </w:tcBorders>
            <w:vAlign w:val="center"/>
          </w:tcPr>
          <w:p>
            <w:pPr>
              <w:pStyle w:val="10"/>
              <w:spacing w:beforeLines="50" w:afterLines="50"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1800" w:type="dxa"/>
            <w:tcBorders>
              <w:top w:val="single" w:color="auto" w:sz="4" w:space="0"/>
              <w:bottom w:val="single" w:color="auto" w:sz="4" w:space="0"/>
            </w:tcBorders>
            <w:vAlign w:val="center"/>
          </w:tcPr>
          <w:p>
            <w:pPr>
              <w:pStyle w:val="10"/>
              <w:spacing w:beforeLines="50" w:afterLines="50"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内容</w:t>
            </w:r>
          </w:p>
        </w:tc>
        <w:tc>
          <w:tcPr>
            <w:tcW w:w="4736" w:type="dxa"/>
            <w:tcBorders>
              <w:top w:val="single" w:color="auto" w:sz="4" w:space="0"/>
              <w:bottom w:val="single" w:color="auto" w:sz="4" w:space="0"/>
            </w:tcBorders>
            <w:vAlign w:val="center"/>
          </w:tcPr>
          <w:p>
            <w:pPr>
              <w:pStyle w:val="10"/>
              <w:spacing w:beforeLines="50" w:afterLines="50"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投标总价</w:t>
            </w:r>
          </w:p>
        </w:tc>
        <w:tc>
          <w:tcPr>
            <w:tcW w:w="2236" w:type="dxa"/>
            <w:tcBorders>
              <w:top w:val="single" w:color="auto" w:sz="4" w:space="0"/>
              <w:bottom w:val="single" w:color="auto" w:sz="4" w:space="0"/>
              <w:right w:val="single" w:color="auto" w:sz="4" w:space="0"/>
            </w:tcBorders>
            <w:vAlign w:val="center"/>
          </w:tcPr>
          <w:p>
            <w:pPr>
              <w:pStyle w:val="10"/>
              <w:spacing w:beforeLines="50" w:afterLines="50"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 w:hRule="atLeast"/>
        </w:trPr>
        <w:tc>
          <w:tcPr>
            <w:tcW w:w="900" w:type="dxa"/>
            <w:tcBorders>
              <w:top w:val="single" w:color="auto" w:sz="4" w:space="0"/>
              <w:left w:val="single" w:color="auto" w:sz="4" w:space="0"/>
            </w:tcBorders>
            <w:vAlign w:val="center"/>
          </w:tcPr>
          <w:p>
            <w:pPr>
              <w:pStyle w:val="10"/>
              <w:spacing w:beforeLines="50" w:afterLines="50"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①</w:t>
            </w:r>
          </w:p>
        </w:tc>
        <w:tc>
          <w:tcPr>
            <w:tcW w:w="1800" w:type="dxa"/>
            <w:tcBorders>
              <w:top w:val="single" w:color="auto" w:sz="4" w:space="0"/>
              <w:left w:val="single" w:color="auto" w:sz="4" w:space="0"/>
            </w:tcBorders>
            <w:vAlign w:val="center"/>
          </w:tcPr>
          <w:p>
            <w:pPr>
              <w:pStyle w:val="10"/>
              <w:spacing w:beforeLines="50" w:afterLines="50" w:line="360" w:lineRule="auto"/>
              <w:jc w:val="center"/>
              <w:rPr>
                <w:rFonts w:ascii="仿宋" w:hAnsi="仿宋" w:eastAsia="仿宋" w:cs="仿宋"/>
                <w:color w:val="000000"/>
                <w:sz w:val="24"/>
                <w:szCs w:val="24"/>
              </w:rPr>
            </w:pPr>
          </w:p>
        </w:tc>
        <w:tc>
          <w:tcPr>
            <w:tcW w:w="4736" w:type="dxa"/>
            <w:tcBorders>
              <w:top w:val="single" w:color="auto" w:sz="4" w:space="0"/>
              <w:left w:val="single" w:color="auto" w:sz="4" w:space="0"/>
            </w:tcBorders>
            <w:vAlign w:val="center"/>
          </w:tcPr>
          <w:p>
            <w:pPr>
              <w:pStyle w:val="10"/>
              <w:spacing w:beforeLines="50" w:afterLines="50"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  小写：</w:t>
            </w:r>
          </w:p>
        </w:tc>
        <w:tc>
          <w:tcPr>
            <w:tcW w:w="2236" w:type="dxa"/>
            <w:tcBorders>
              <w:top w:val="single" w:color="auto" w:sz="4" w:space="0"/>
              <w:right w:val="single" w:color="auto" w:sz="4" w:space="0"/>
            </w:tcBorders>
            <w:vAlign w:val="center"/>
          </w:tcPr>
          <w:p>
            <w:pPr>
              <w:pStyle w:val="10"/>
              <w:spacing w:beforeLines="50" w:afterLines="50" w:line="360" w:lineRule="auto"/>
              <w:jc w:val="center"/>
              <w:rPr>
                <w:rFonts w:ascii="仿宋" w:hAnsi="仿宋" w:eastAsia="仿宋" w:cs="仿宋"/>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00" w:type="dxa"/>
            <w:tcBorders>
              <w:top w:val="single" w:color="auto" w:sz="4" w:space="0"/>
              <w:left w:val="single" w:color="auto" w:sz="4" w:space="0"/>
              <w:bottom w:val="single" w:color="auto" w:sz="4" w:space="0"/>
            </w:tcBorders>
            <w:vAlign w:val="center"/>
          </w:tcPr>
          <w:p>
            <w:pPr>
              <w:pStyle w:val="10"/>
              <w:spacing w:beforeLines="50" w:afterLines="50" w:line="360" w:lineRule="auto"/>
              <w:jc w:val="center"/>
              <w:rPr>
                <w:rFonts w:ascii="仿宋" w:hAnsi="仿宋" w:eastAsia="仿宋" w:cs="仿宋"/>
                <w:color w:val="000000"/>
                <w:sz w:val="24"/>
                <w:szCs w:val="24"/>
              </w:rPr>
            </w:pPr>
          </w:p>
        </w:tc>
        <w:tc>
          <w:tcPr>
            <w:tcW w:w="1800" w:type="dxa"/>
            <w:tcBorders>
              <w:top w:val="single" w:color="auto" w:sz="4" w:space="0"/>
              <w:bottom w:val="single" w:color="auto" w:sz="4" w:space="0"/>
            </w:tcBorders>
            <w:vAlign w:val="center"/>
          </w:tcPr>
          <w:p>
            <w:pPr>
              <w:pStyle w:val="10"/>
              <w:spacing w:beforeLines="50" w:afterLines="50"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投标总价</w:t>
            </w:r>
          </w:p>
        </w:tc>
        <w:tc>
          <w:tcPr>
            <w:tcW w:w="6972" w:type="dxa"/>
            <w:gridSpan w:val="2"/>
            <w:tcBorders>
              <w:top w:val="single" w:color="auto" w:sz="4" w:space="0"/>
              <w:bottom w:val="single" w:color="auto" w:sz="4" w:space="0"/>
              <w:right w:val="single" w:color="auto" w:sz="4" w:space="0"/>
            </w:tcBorders>
            <w:vAlign w:val="center"/>
          </w:tcPr>
          <w:p>
            <w:pPr>
              <w:pStyle w:val="10"/>
              <w:spacing w:beforeLines="50" w:afterLines="50"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大写：                       </w:t>
            </w:r>
          </w:p>
        </w:tc>
      </w:tr>
    </w:tbl>
    <w:p>
      <w:pPr>
        <w:spacing w:beforeLines="50" w:afterLines="50" w:line="360" w:lineRule="auto"/>
        <w:rPr>
          <w:rFonts w:ascii="仿宋" w:hAnsi="仿宋" w:eastAsia="仿宋" w:cs="仿宋"/>
          <w:color w:val="000000"/>
          <w:sz w:val="24"/>
        </w:rPr>
      </w:pPr>
      <w:r>
        <w:rPr>
          <w:rFonts w:hint="eastAsia" w:ascii="仿宋" w:hAnsi="仿宋" w:eastAsia="仿宋" w:cs="仿宋"/>
          <w:color w:val="000000"/>
          <w:sz w:val="24"/>
        </w:rPr>
        <w:t>附：1、投标人需按本表格式填写，不得自行更改。</w:t>
      </w:r>
    </w:p>
    <w:p>
      <w:pPr>
        <w:spacing w:beforeLines="50" w:afterLines="50" w:line="360" w:lineRule="auto"/>
        <w:ind w:firstLine="480"/>
        <w:rPr>
          <w:rFonts w:ascii="仿宋" w:hAnsi="仿宋" w:eastAsia="仿宋" w:cs="仿宋"/>
          <w:sz w:val="24"/>
        </w:rPr>
      </w:pPr>
      <w:r>
        <w:rPr>
          <w:rFonts w:hint="eastAsia" w:ascii="仿宋" w:hAnsi="仿宋" w:eastAsia="仿宋" w:cs="仿宋"/>
          <w:sz w:val="24"/>
        </w:rPr>
        <w:t>2、报价单位为元。</w:t>
      </w:r>
    </w:p>
    <w:p>
      <w:pPr>
        <w:spacing w:beforeLines="50" w:afterLines="50" w:line="360" w:lineRule="auto"/>
        <w:ind w:firstLine="480"/>
        <w:rPr>
          <w:rFonts w:ascii="仿宋" w:hAnsi="仿宋" w:eastAsia="仿宋" w:cs="仿宋"/>
          <w:color w:val="000000"/>
          <w:sz w:val="24"/>
        </w:rPr>
      </w:pPr>
      <w:r>
        <w:rPr>
          <w:rFonts w:hint="eastAsia" w:ascii="仿宋" w:hAnsi="仿宋" w:eastAsia="仿宋" w:cs="仿宋"/>
          <w:color w:val="000000"/>
          <w:sz w:val="24"/>
        </w:rPr>
        <w:t>3、其他实际发生的，均已含入以上项目报价中；投标价为完成该项目的所有费用。</w:t>
      </w:r>
    </w:p>
    <w:p>
      <w:pPr>
        <w:autoSpaceDE w:val="0"/>
        <w:autoSpaceDN w:val="0"/>
        <w:adjustRightInd w:val="0"/>
        <w:spacing w:beforeLines="50" w:afterLines="50" w:line="360" w:lineRule="auto"/>
        <w:ind w:firstLine="5520" w:firstLineChars="2300"/>
        <w:rPr>
          <w:rFonts w:ascii="仿宋" w:hAnsi="仿宋" w:eastAsia="仿宋" w:cs="仿宋"/>
          <w:color w:val="000000"/>
          <w:kern w:val="0"/>
          <w:sz w:val="24"/>
        </w:rPr>
      </w:pPr>
      <w:r>
        <w:rPr>
          <w:rFonts w:hint="eastAsia" w:ascii="仿宋" w:hAnsi="仿宋" w:eastAsia="仿宋" w:cs="仿宋"/>
          <w:color w:val="000000"/>
          <w:kern w:val="0"/>
          <w:sz w:val="24"/>
          <w:lang w:val="zh-CN"/>
        </w:rPr>
        <w:t>投标人名称（公章）：</w:t>
      </w:r>
    </w:p>
    <w:p>
      <w:pPr>
        <w:autoSpaceDE w:val="0"/>
        <w:autoSpaceDN w:val="0"/>
        <w:adjustRightInd w:val="0"/>
        <w:spacing w:beforeLines="50" w:afterLines="50"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法定代表人或授权委托人（签字）：</w:t>
      </w:r>
    </w:p>
    <w:p>
      <w:pPr>
        <w:autoSpaceDE w:val="0"/>
        <w:autoSpaceDN w:val="0"/>
        <w:adjustRightInd w:val="0"/>
        <w:spacing w:beforeLines="50" w:afterLines="50" w:line="360" w:lineRule="auto"/>
        <w:ind w:firstLine="5520" w:firstLineChars="2300"/>
        <w:rPr>
          <w:rFonts w:ascii="仿宋" w:hAnsi="仿宋" w:eastAsia="仿宋" w:cs="仿宋"/>
          <w:color w:val="000000"/>
          <w:sz w:val="24"/>
          <w:u w:val="single"/>
        </w:rPr>
      </w:pPr>
      <w:r>
        <w:rPr>
          <w:rFonts w:hint="eastAsia" w:ascii="仿宋" w:hAnsi="仿宋" w:eastAsia="仿宋" w:cs="仿宋"/>
          <w:color w:val="000000"/>
          <w:kern w:val="0"/>
          <w:sz w:val="24"/>
          <w:lang w:val="zh-CN"/>
        </w:rPr>
        <w:t>日期</w:t>
      </w:r>
      <w:r>
        <w:rPr>
          <w:rFonts w:hint="eastAsia" w:ascii="仿宋" w:hAnsi="仿宋" w:eastAsia="仿宋" w:cs="仿宋"/>
          <w:color w:val="000000"/>
          <w:kern w:val="0"/>
          <w:sz w:val="24"/>
        </w:rPr>
        <w:t xml:space="preserve">：20  </w:t>
      </w:r>
      <w:r>
        <w:rPr>
          <w:rFonts w:hint="eastAsia" w:ascii="仿宋" w:hAnsi="仿宋" w:eastAsia="仿宋" w:cs="仿宋"/>
          <w:color w:val="000000"/>
          <w:kern w:val="0"/>
          <w:sz w:val="24"/>
          <w:lang w:val="zh-CN"/>
        </w:rPr>
        <w:t>年</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月</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日</w:t>
      </w:r>
    </w:p>
    <w:p>
      <w:pPr>
        <w:spacing w:line="360" w:lineRule="auto"/>
        <w:rPr>
          <w:rFonts w:ascii="仿宋" w:hAnsi="仿宋" w:eastAsia="仿宋" w:cs="仿宋"/>
          <w:b/>
          <w:color w:val="000000"/>
          <w:sz w:val="24"/>
        </w:rPr>
      </w:pPr>
    </w:p>
    <w:p>
      <w:pPr>
        <w:spacing w:line="360" w:lineRule="auto"/>
        <w:jc w:val="center"/>
        <w:outlineLvl w:val="0"/>
        <w:rPr>
          <w:rFonts w:ascii="仿宋" w:hAnsi="仿宋" w:eastAsia="仿宋" w:cs="仿宋"/>
          <w:b/>
          <w:color w:val="000000"/>
          <w:sz w:val="32"/>
          <w:szCs w:val="32"/>
        </w:rPr>
      </w:pPr>
      <w:r>
        <w:rPr>
          <w:rFonts w:hint="eastAsia" w:ascii="仿宋" w:hAnsi="仿宋" w:eastAsia="仿宋" w:cs="仿宋"/>
          <w:b/>
          <w:color w:val="000000"/>
          <w:sz w:val="32"/>
          <w:szCs w:val="32"/>
        </w:rPr>
        <w:br w:type="page"/>
      </w:r>
      <w:bookmarkStart w:id="155" w:name="_Toc20691"/>
      <w:bookmarkStart w:id="156" w:name="_Toc26468"/>
      <w:r>
        <w:rPr>
          <w:rFonts w:hint="eastAsia" w:ascii="仿宋" w:hAnsi="仿宋" w:eastAsia="仿宋" w:cs="仿宋"/>
          <w:b/>
          <w:color w:val="000000"/>
          <w:sz w:val="32"/>
          <w:szCs w:val="32"/>
        </w:rPr>
        <w:t>3.报价明细清单</w:t>
      </w:r>
      <w:bookmarkEnd w:id="155"/>
      <w:bookmarkEnd w:id="156"/>
    </w:p>
    <w:tbl>
      <w:tblPr>
        <w:tblStyle w:val="17"/>
        <w:tblW w:w="10035" w:type="dxa"/>
        <w:jc w:val="center"/>
        <w:tblInd w:w="0" w:type="dxa"/>
        <w:tblLayout w:type="fixed"/>
        <w:tblCellMar>
          <w:top w:w="0" w:type="dxa"/>
          <w:left w:w="108" w:type="dxa"/>
          <w:bottom w:w="0" w:type="dxa"/>
          <w:right w:w="108" w:type="dxa"/>
        </w:tblCellMar>
      </w:tblPr>
      <w:tblGrid>
        <w:gridCol w:w="691"/>
        <w:gridCol w:w="2046"/>
        <w:gridCol w:w="1079"/>
        <w:gridCol w:w="1513"/>
        <w:gridCol w:w="772"/>
        <w:gridCol w:w="1979"/>
        <w:gridCol w:w="1095"/>
        <w:gridCol w:w="860"/>
      </w:tblGrid>
      <w:tr>
        <w:tblPrEx>
          <w:tblLayout w:type="fixed"/>
          <w:tblCellMar>
            <w:top w:w="0" w:type="dxa"/>
            <w:left w:w="108" w:type="dxa"/>
            <w:bottom w:w="0" w:type="dxa"/>
            <w:right w:w="108" w:type="dxa"/>
          </w:tblCellMar>
        </w:tblPrEx>
        <w:trPr>
          <w:trHeight w:val="1135" w:hRule="atLeast"/>
          <w:tblHeader/>
          <w:jc w:val="center"/>
        </w:trPr>
        <w:tc>
          <w:tcPr>
            <w:tcW w:w="691"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b/>
                <w:kern w:val="0"/>
              </w:rPr>
            </w:pPr>
            <w:r>
              <w:rPr>
                <w:rFonts w:hint="eastAsia" w:ascii="仿宋" w:hAnsi="仿宋" w:eastAsia="仿宋" w:cs="仿宋"/>
                <w:b/>
                <w:kern w:val="0"/>
              </w:rPr>
              <w:t>序号</w:t>
            </w:r>
          </w:p>
        </w:tc>
        <w:tc>
          <w:tcPr>
            <w:tcW w:w="2046" w:type="dxa"/>
            <w:tcBorders>
              <w:top w:val="single" w:color="auto" w:sz="4" w:space="0"/>
              <w:left w:val="nil"/>
              <w:right w:val="single" w:color="auto" w:sz="4" w:space="0"/>
            </w:tcBorders>
            <w:vAlign w:val="center"/>
          </w:tcPr>
          <w:p>
            <w:pPr>
              <w:widowControl/>
              <w:jc w:val="center"/>
              <w:rPr>
                <w:rFonts w:ascii="仿宋" w:hAnsi="仿宋" w:eastAsia="仿宋" w:cs="仿宋"/>
                <w:b/>
                <w:kern w:val="0"/>
              </w:rPr>
            </w:pPr>
            <w:r>
              <w:rPr>
                <w:rFonts w:hint="eastAsia" w:ascii="仿宋" w:hAnsi="仿宋" w:eastAsia="仿宋" w:cs="仿宋"/>
                <w:b/>
                <w:kern w:val="0"/>
              </w:rPr>
              <w:t>内 容</w:t>
            </w:r>
          </w:p>
        </w:tc>
        <w:tc>
          <w:tcPr>
            <w:tcW w:w="1079" w:type="dxa"/>
            <w:tcBorders>
              <w:top w:val="single" w:color="auto" w:sz="4" w:space="0"/>
              <w:left w:val="nil"/>
              <w:right w:val="single" w:color="auto" w:sz="4" w:space="0"/>
            </w:tcBorders>
            <w:vAlign w:val="center"/>
          </w:tcPr>
          <w:p>
            <w:pPr>
              <w:widowControl/>
              <w:jc w:val="center"/>
              <w:rPr>
                <w:rFonts w:ascii="仿宋" w:hAnsi="仿宋" w:eastAsia="仿宋" w:cs="仿宋"/>
                <w:b/>
                <w:kern w:val="0"/>
              </w:rPr>
            </w:pPr>
            <w:r>
              <w:rPr>
                <w:rFonts w:hint="eastAsia" w:ascii="仿宋" w:hAnsi="仿宋" w:eastAsia="仿宋" w:cs="仿宋"/>
                <w:b/>
                <w:kern w:val="0"/>
              </w:rPr>
              <w:t>数量</w:t>
            </w:r>
          </w:p>
        </w:tc>
        <w:tc>
          <w:tcPr>
            <w:tcW w:w="1513" w:type="dxa"/>
            <w:tcBorders>
              <w:top w:val="single" w:color="auto" w:sz="4" w:space="0"/>
              <w:left w:val="nil"/>
              <w:right w:val="single" w:color="auto" w:sz="4" w:space="0"/>
            </w:tcBorders>
            <w:vAlign w:val="center"/>
          </w:tcPr>
          <w:p>
            <w:pPr>
              <w:widowControl/>
              <w:jc w:val="center"/>
              <w:rPr>
                <w:rFonts w:ascii="仿宋" w:hAnsi="仿宋" w:eastAsia="仿宋" w:cs="仿宋"/>
                <w:b/>
                <w:kern w:val="0"/>
              </w:rPr>
            </w:pPr>
            <w:r>
              <w:rPr>
                <w:rFonts w:hint="eastAsia" w:ascii="仿宋" w:hAnsi="仿宋" w:eastAsia="仿宋" w:cs="仿宋"/>
                <w:b/>
                <w:kern w:val="0"/>
              </w:rPr>
              <w:t>规格型号</w:t>
            </w:r>
          </w:p>
        </w:tc>
        <w:tc>
          <w:tcPr>
            <w:tcW w:w="772" w:type="dxa"/>
            <w:tcBorders>
              <w:top w:val="single" w:color="auto" w:sz="4" w:space="0"/>
              <w:left w:val="nil"/>
              <w:right w:val="single" w:color="auto" w:sz="4" w:space="0"/>
            </w:tcBorders>
            <w:vAlign w:val="center"/>
          </w:tcPr>
          <w:p>
            <w:pPr>
              <w:widowControl/>
              <w:jc w:val="center"/>
              <w:rPr>
                <w:rFonts w:ascii="仿宋" w:hAnsi="仿宋" w:eastAsia="仿宋" w:cs="仿宋"/>
                <w:b/>
                <w:kern w:val="0"/>
              </w:rPr>
            </w:pPr>
            <w:r>
              <w:rPr>
                <w:rFonts w:hint="eastAsia" w:ascii="仿宋" w:hAnsi="仿宋" w:eastAsia="仿宋" w:cs="仿宋"/>
                <w:b/>
                <w:kern w:val="0"/>
              </w:rPr>
              <w:t>品牌</w:t>
            </w:r>
          </w:p>
        </w:tc>
        <w:tc>
          <w:tcPr>
            <w:tcW w:w="1979" w:type="dxa"/>
            <w:tcBorders>
              <w:top w:val="single" w:color="auto" w:sz="4" w:space="0"/>
              <w:left w:val="nil"/>
              <w:right w:val="single" w:color="auto" w:sz="4" w:space="0"/>
            </w:tcBorders>
            <w:vAlign w:val="center"/>
          </w:tcPr>
          <w:p>
            <w:pPr>
              <w:widowControl/>
              <w:jc w:val="center"/>
              <w:rPr>
                <w:rFonts w:ascii="仿宋" w:hAnsi="仿宋" w:eastAsia="仿宋" w:cs="仿宋"/>
                <w:b/>
                <w:kern w:val="0"/>
              </w:rPr>
            </w:pPr>
            <w:r>
              <w:rPr>
                <w:rFonts w:hint="eastAsia" w:ascii="仿宋" w:hAnsi="仿宋" w:eastAsia="仿宋" w:cs="仿宋"/>
                <w:b/>
                <w:kern w:val="0"/>
              </w:rPr>
              <w:t>综合单价（元）</w:t>
            </w:r>
          </w:p>
        </w:tc>
        <w:tc>
          <w:tcPr>
            <w:tcW w:w="1095" w:type="dxa"/>
            <w:tcBorders>
              <w:top w:val="single" w:color="auto" w:sz="4" w:space="0"/>
              <w:left w:val="nil"/>
              <w:right w:val="single" w:color="auto" w:sz="4" w:space="0"/>
            </w:tcBorders>
            <w:vAlign w:val="center"/>
          </w:tcPr>
          <w:p>
            <w:pPr>
              <w:widowControl/>
              <w:jc w:val="center"/>
              <w:rPr>
                <w:rFonts w:ascii="仿宋" w:hAnsi="仿宋" w:eastAsia="仿宋" w:cs="仿宋"/>
                <w:b/>
                <w:kern w:val="0"/>
              </w:rPr>
            </w:pPr>
            <w:r>
              <w:rPr>
                <w:rFonts w:hint="eastAsia" w:ascii="仿宋" w:hAnsi="仿宋" w:eastAsia="仿宋" w:cs="仿宋"/>
                <w:b/>
                <w:kern w:val="0"/>
              </w:rPr>
              <w:t>合价( 元 )</w:t>
            </w:r>
          </w:p>
        </w:tc>
        <w:tc>
          <w:tcPr>
            <w:tcW w:w="860" w:type="dxa"/>
            <w:tcBorders>
              <w:top w:val="single" w:color="auto" w:sz="4" w:space="0"/>
              <w:left w:val="nil"/>
              <w:right w:val="single" w:color="auto" w:sz="4" w:space="0"/>
            </w:tcBorders>
            <w:vAlign w:val="center"/>
          </w:tcPr>
          <w:p>
            <w:pPr>
              <w:widowControl/>
              <w:jc w:val="center"/>
              <w:rPr>
                <w:rFonts w:ascii="仿宋" w:hAnsi="仿宋" w:eastAsia="仿宋" w:cs="仿宋"/>
                <w:b/>
                <w:kern w:val="0"/>
              </w:rPr>
            </w:pPr>
            <w:r>
              <w:rPr>
                <w:rFonts w:hint="eastAsia" w:ascii="仿宋" w:hAnsi="仿宋" w:eastAsia="仿宋" w:cs="仿宋"/>
                <w:b/>
                <w:kern w:val="0"/>
              </w:rPr>
              <w:t>备注</w:t>
            </w:r>
          </w:p>
        </w:tc>
      </w:tr>
      <w:tr>
        <w:tblPrEx>
          <w:tblLayout w:type="fixed"/>
          <w:tblCellMar>
            <w:top w:w="0" w:type="dxa"/>
            <w:left w:w="108" w:type="dxa"/>
            <w:bottom w:w="0" w:type="dxa"/>
            <w:right w:w="108" w:type="dxa"/>
          </w:tblCellMar>
        </w:tblPrEx>
        <w:trPr>
          <w:trHeight w:val="406"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一、</w:t>
            </w:r>
          </w:p>
        </w:tc>
        <w:tc>
          <w:tcPr>
            <w:tcW w:w="9344" w:type="dxa"/>
            <w:gridSpan w:val="7"/>
            <w:tcBorders>
              <w:top w:val="single" w:color="auto" w:sz="4" w:space="0"/>
              <w:left w:val="nil"/>
              <w:bottom w:val="single" w:color="auto" w:sz="4" w:space="0"/>
              <w:right w:val="single" w:color="auto" w:sz="4" w:space="0"/>
            </w:tcBorders>
            <w:vAlign w:val="center"/>
          </w:tcPr>
          <w:p>
            <w:pPr>
              <w:rPr>
                <w:rFonts w:ascii="仿宋" w:hAnsi="仿宋" w:eastAsia="仿宋" w:cs="仿宋"/>
                <w:b/>
                <w:szCs w:val="21"/>
              </w:rPr>
            </w:pPr>
          </w:p>
        </w:tc>
      </w:tr>
      <w:tr>
        <w:tblPrEx>
          <w:tblLayout w:type="fixed"/>
          <w:tblCellMar>
            <w:top w:w="0" w:type="dxa"/>
            <w:left w:w="108" w:type="dxa"/>
            <w:bottom w:w="0" w:type="dxa"/>
            <w:right w:w="108" w:type="dxa"/>
          </w:tblCellMar>
        </w:tblPrEx>
        <w:trPr>
          <w:trHeight w:val="454" w:hRule="atLeast"/>
          <w:jc w:val="center"/>
        </w:trPr>
        <w:tc>
          <w:tcPr>
            <w:tcW w:w="691"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2046" w:type="dxa"/>
            <w:tcBorders>
              <w:top w:val="nil"/>
              <w:left w:val="nil"/>
              <w:bottom w:val="single" w:color="auto" w:sz="4" w:space="0"/>
              <w:right w:val="single" w:color="auto" w:sz="4" w:space="0"/>
            </w:tcBorders>
            <w:vAlign w:val="center"/>
          </w:tcPr>
          <w:p>
            <w:pPr>
              <w:rPr>
                <w:rFonts w:ascii="仿宋" w:hAnsi="仿宋" w:eastAsia="仿宋" w:cs="仿宋"/>
                <w:b/>
                <w:szCs w:val="21"/>
              </w:rPr>
            </w:pPr>
            <w:r>
              <w:rPr>
                <w:rFonts w:hint="eastAsia" w:ascii="仿宋" w:hAnsi="仿宋" w:eastAsia="仿宋" w:cs="仿宋"/>
                <w:kern w:val="0"/>
              </w:rPr>
              <w:t>………</w:t>
            </w:r>
          </w:p>
        </w:tc>
        <w:tc>
          <w:tcPr>
            <w:tcW w:w="1079" w:type="dxa"/>
            <w:tcBorders>
              <w:top w:val="nil"/>
              <w:left w:val="nil"/>
              <w:bottom w:val="single" w:color="auto" w:sz="4" w:space="0"/>
              <w:right w:val="single" w:color="auto" w:sz="4" w:space="0"/>
            </w:tcBorders>
            <w:vAlign w:val="bottom"/>
          </w:tcPr>
          <w:p>
            <w:pPr>
              <w:widowControl/>
              <w:jc w:val="center"/>
              <w:rPr>
                <w:rFonts w:ascii="仿宋" w:hAnsi="仿宋" w:eastAsia="仿宋" w:cs="仿宋"/>
                <w:kern w:val="0"/>
              </w:rPr>
            </w:pPr>
          </w:p>
        </w:tc>
        <w:tc>
          <w:tcPr>
            <w:tcW w:w="1513" w:type="dxa"/>
            <w:tcBorders>
              <w:top w:val="nil"/>
              <w:left w:val="nil"/>
              <w:bottom w:val="single" w:color="auto" w:sz="4" w:space="0"/>
              <w:right w:val="single" w:color="auto" w:sz="4" w:space="0"/>
            </w:tcBorders>
            <w:vAlign w:val="bottom"/>
          </w:tcPr>
          <w:p>
            <w:pPr>
              <w:widowControl/>
              <w:jc w:val="center"/>
              <w:rPr>
                <w:rFonts w:ascii="仿宋" w:hAnsi="仿宋" w:eastAsia="仿宋" w:cs="仿宋"/>
                <w:kern w:val="0"/>
              </w:rPr>
            </w:pPr>
          </w:p>
        </w:tc>
        <w:tc>
          <w:tcPr>
            <w:tcW w:w="772" w:type="dxa"/>
            <w:tcBorders>
              <w:top w:val="nil"/>
              <w:left w:val="nil"/>
              <w:bottom w:val="single" w:color="auto" w:sz="4" w:space="0"/>
              <w:right w:val="single" w:color="auto" w:sz="4" w:space="0"/>
            </w:tcBorders>
            <w:vAlign w:val="bottom"/>
          </w:tcPr>
          <w:p>
            <w:pPr>
              <w:widowControl/>
              <w:rPr>
                <w:rFonts w:ascii="仿宋" w:hAnsi="仿宋" w:eastAsia="仿宋" w:cs="仿宋"/>
                <w:kern w:val="0"/>
              </w:rPr>
            </w:pPr>
          </w:p>
        </w:tc>
        <w:tc>
          <w:tcPr>
            <w:tcW w:w="1979"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rPr>
            </w:pPr>
          </w:p>
        </w:tc>
        <w:tc>
          <w:tcPr>
            <w:tcW w:w="1095"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rPr>
            </w:pPr>
          </w:p>
        </w:tc>
        <w:tc>
          <w:tcPr>
            <w:tcW w:w="860"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rPr>
            </w:pPr>
          </w:p>
        </w:tc>
      </w:tr>
      <w:tr>
        <w:tblPrEx>
          <w:tblLayout w:type="fixed"/>
          <w:tblCellMar>
            <w:top w:w="0" w:type="dxa"/>
            <w:left w:w="108" w:type="dxa"/>
            <w:bottom w:w="0" w:type="dxa"/>
            <w:right w:w="108" w:type="dxa"/>
          </w:tblCellMar>
        </w:tblPrEx>
        <w:trPr>
          <w:trHeight w:val="454" w:hRule="atLeast"/>
          <w:jc w:val="center"/>
        </w:trPr>
        <w:tc>
          <w:tcPr>
            <w:tcW w:w="691"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2046" w:type="dxa"/>
            <w:tcBorders>
              <w:top w:val="nil"/>
              <w:left w:val="nil"/>
              <w:bottom w:val="single" w:color="auto" w:sz="4" w:space="0"/>
              <w:right w:val="single" w:color="auto" w:sz="4" w:space="0"/>
            </w:tcBorders>
            <w:vAlign w:val="center"/>
          </w:tcPr>
          <w:p>
            <w:pPr>
              <w:rPr>
                <w:rFonts w:ascii="仿宋" w:hAnsi="仿宋" w:eastAsia="仿宋" w:cs="仿宋"/>
                <w:kern w:val="0"/>
              </w:rPr>
            </w:pPr>
          </w:p>
        </w:tc>
        <w:tc>
          <w:tcPr>
            <w:tcW w:w="1079" w:type="dxa"/>
            <w:tcBorders>
              <w:top w:val="nil"/>
              <w:left w:val="nil"/>
              <w:bottom w:val="single" w:color="auto" w:sz="4" w:space="0"/>
              <w:right w:val="single" w:color="auto" w:sz="4" w:space="0"/>
            </w:tcBorders>
            <w:vAlign w:val="bottom"/>
          </w:tcPr>
          <w:p>
            <w:pPr>
              <w:widowControl/>
              <w:jc w:val="center"/>
              <w:rPr>
                <w:rFonts w:ascii="仿宋" w:hAnsi="仿宋" w:eastAsia="仿宋" w:cs="仿宋"/>
                <w:kern w:val="0"/>
              </w:rPr>
            </w:pPr>
          </w:p>
        </w:tc>
        <w:tc>
          <w:tcPr>
            <w:tcW w:w="1513" w:type="dxa"/>
            <w:tcBorders>
              <w:top w:val="nil"/>
              <w:left w:val="nil"/>
              <w:bottom w:val="single" w:color="auto" w:sz="4" w:space="0"/>
              <w:right w:val="single" w:color="auto" w:sz="4" w:space="0"/>
            </w:tcBorders>
            <w:vAlign w:val="bottom"/>
          </w:tcPr>
          <w:p>
            <w:pPr>
              <w:widowControl/>
              <w:jc w:val="center"/>
              <w:rPr>
                <w:rFonts w:ascii="仿宋" w:hAnsi="仿宋" w:eastAsia="仿宋" w:cs="仿宋"/>
                <w:kern w:val="0"/>
              </w:rPr>
            </w:pPr>
          </w:p>
        </w:tc>
        <w:tc>
          <w:tcPr>
            <w:tcW w:w="772" w:type="dxa"/>
            <w:tcBorders>
              <w:top w:val="nil"/>
              <w:left w:val="nil"/>
              <w:bottom w:val="single" w:color="auto" w:sz="4" w:space="0"/>
              <w:right w:val="single" w:color="auto" w:sz="4" w:space="0"/>
            </w:tcBorders>
            <w:vAlign w:val="bottom"/>
          </w:tcPr>
          <w:p>
            <w:pPr>
              <w:widowControl/>
              <w:rPr>
                <w:rFonts w:ascii="仿宋" w:hAnsi="仿宋" w:eastAsia="仿宋" w:cs="仿宋"/>
                <w:kern w:val="0"/>
              </w:rPr>
            </w:pPr>
          </w:p>
        </w:tc>
        <w:tc>
          <w:tcPr>
            <w:tcW w:w="1979"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rPr>
            </w:pPr>
          </w:p>
        </w:tc>
        <w:tc>
          <w:tcPr>
            <w:tcW w:w="1095"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rPr>
            </w:pPr>
          </w:p>
        </w:tc>
        <w:tc>
          <w:tcPr>
            <w:tcW w:w="860"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rPr>
            </w:pPr>
          </w:p>
        </w:tc>
      </w:tr>
      <w:tr>
        <w:tblPrEx>
          <w:tblLayout w:type="fixed"/>
          <w:tblCellMar>
            <w:top w:w="0" w:type="dxa"/>
            <w:left w:w="108" w:type="dxa"/>
            <w:bottom w:w="0" w:type="dxa"/>
            <w:right w:w="108" w:type="dxa"/>
          </w:tblCellMar>
        </w:tblPrEx>
        <w:trPr>
          <w:trHeight w:val="454" w:hRule="atLeast"/>
          <w:jc w:val="center"/>
        </w:trPr>
        <w:tc>
          <w:tcPr>
            <w:tcW w:w="691"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二、</w:t>
            </w:r>
          </w:p>
        </w:tc>
        <w:tc>
          <w:tcPr>
            <w:tcW w:w="9344" w:type="dxa"/>
            <w:gridSpan w:val="7"/>
            <w:tcBorders>
              <w:top w:val="nil"/>
              <w:left w:val="nil"/>
              <w:bottom w:val="single" w:color="auto" w:sz="4" w:space="0"/>
              <w:right w:val="single" w:color="auto" w:sz="4" w:space="0"/>
            </w:tcBorders>
            <w:vAlign w:val="center"/>
          </w:tcPr>
          <w:p>
            <w:pPr>
              <w:widowControl/>
              <w:jc w:val="left"/>
              <w:rPr>
                <w:rFonts w:ascii="仿宋" w:hAnsi="仿宋" w:eastAsia="仿宋" w:cs="仿宋"/>
                <w:kern w:val="0"/>
              </w:rPr>
            </w:pPr>
          </w:p>
        </w:tc>
      </w:tr>
      <w:tr>
        <w:tblPrEx>
          <w:tblLayout w:type="fixed"/>
          <w:tblCellMar>
            <w:top w:w="0" w:type="dxa"/>
            <w:left w:w="108" w:type="dxa"/>
            <w:bottom w:w="0" w:type="dxa"/>
            <w:right w:w="108" w:type="dxa"/>
          </w:tblCellMar>
        </w:tblPrEx>
        <w:trPr>
          <w:trHeight w:val="454" w:hRule="atLeast"/>
          <w:jc w:val="center"/>
        </w:trPr>
        <w:tc>
          <w:tcPr>
            <w:tcW w:w="691"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2046" w:type="dxa"/>
            <w:tcBorders>
              <w:top w:val="nil"/>
              <w:left w:val="nil"/>
              <w:bottom w:val="single" w:color="auto" w:sz="4" w:space="0"/>
              <w:right w:val="single" w:color="auto" w:sz="4" w:space="0"/>
            </w:tcBorders>
            <w:vAlign w:val="center"/>
          </w:tcPr>
          <w:p>
            <w:pPr>
              <w:rPr>
                <w:rFonts w:ascii="仿宋" w:hAnsi="仿宋" w:eastAsia="仿宋" w:cs="仿宋"/>
                <w:kern w:val="0"/>
              </w:rPr>
            </w:pPr>
            <w:r>
              <w:rPr>
                <w:rFonts w:hint="eastAsia" w:ascii="仿宋" w:hAnsi="仿宋" w:eastAsia="仿宋" w:cs="仿宋"/>
                <w:kern w:val="0"/>
              </w:rPr>
              <w:t>………</w:t>
            </w:r>
          </w:p>
        </w:tc>
        <w:tc>
          <w:tcPr>
            <w:tcW w:w="1079" w:type="dxa"/>
            <w:tcBorders>
              <w:top w:val="nil"/>
              <w:left w:val="nil"/>
              <w:bottom w:val="single" w:color="auto" w:sz="4" w:space="0"/>
              <w:right w:val="single" w:color="auto" w:sz="4" w:space="0"/>
            </w:tcBorders>
            <w:vAlign w:val="bottom"/>
          </w:tcPr>
          <w:p>
            <w:pPr>
              <w:widowControl/>
              <w:jc w:val="center"/>
              <w:rPr>
                <w:rFonts w:ascii="仿宋" w:hAnsi="仿宋" w:eastAsia="仿宋" w:cs="仿宋"/>
                <w:kern w:val="0"/>
              </w:rPr>
            </w:pPr>
          </w:p>
        </w:tc>
        <w:tc>
          <w:tcPr>
            <w:tcW w:w="1513" w:type="dxa"/>
            <w:tcBorders>
              <w:top w:val="nil"/>
              <w:left w:val="nil"/>
              <w:bottom w:val="single" w:color="auto" w:sz="4" w:space="0"/>
              <w:right w:val="single" w:color="auto" w:sz="4" w:space="0"/>
            </w:tcBorders>
            <w:vAlign w:val="bottom"/>
          </w:tcPr>
          <w:p>
            <w:pPr>
              <w:widowControl/>
              <w:jc w:val="center"/>
              <w:rPr>
                <w:rFonts w:ascii="仿宋" w:hAnsi="仿宋" w:eastAsia="仿宋" w:cs="仿宋"/>
                <w:kern w:val="0"/>
              </w:rPr>
            </w:pPr>
          </w:p>
        </w:tc>
        <w:tc>
          <w:tcPr>
            <w:tcW w:w="772" w:type="dxa"/>
            <w:tcBorders>
              <w:top w:val="nil"/>
              <w:left w:val="nil"/>
              <w:bottom w:val="single" w:color="auto" w:sz="4" w:space="0"/>
              <w:right w:val="single" w:color="auto" w:sz="4" w:space="0"/>
            </w:tcBorders>
            <w:vAlign w:val="bottom"/>
          </w:tcPr>
          <w:p>
            <w:pPr>
              <w:widowControl/>
              <w:rPr>
                <w:rFonts w:ascii="仿宋" w:hAnsi="仿宋" w:eastAsia="仿宋" w:cs="仿宋"/>
                <w:kern w:val="0"/>
              </w:rPr>
            </w:pPr>
          </w:p>
        </w:tc>
        <w:tc>
          <w:tcPr>
            <w:tcW w:w="1979"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rPr>
            </w:pPr>
          </w:p>
        </w:tc>
        <w:tc>
          <w:tcPr>
            <w:tcW w:w="1095"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rPr>
            </w:pPr>
          </w:p>
        </w:tc>
        <w:tc>
          <w:tcPr>
            <w:tcW w:w="860"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rPr>
            </w:pPr>
          </w:p>
        </w:tc>
      </w:tr>
      <w:tr>
        <w:tblPrEx>
          <w:tblLayout w:type="fixed"/>
          <w:tblCellMar>
            <w:top w:w="0" w:type="dxa"/>
            <w:left w:w="108" w:type="dxa"/>
            <w:bottom w:w="0" w:type="dxa"/>
            <w:right w:w="108" w:type="dxa"/>
          </w:tblCellMar>
        </w:tblPrEx>
        <w:trPr>
          <w:trHeight w:val="454" w:hRule="atLeast"/>
          <w:jc w:val="center"/>
        </w:trPr>
        <w:tc>
          <w:tcPr>
            <w:tcW w:w="691"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2046" w:type="dxa"/>
            <w:tcBorders>
              <w:top w:val="nil"/>
              <w:left w:val="nil"/>
              <w:bottom w:val="single" w:color="auto" w:sz="4" w:space="0"/>
              <w:right w:val="single" w:color="auto" w:sz="4" w:space="0"/>
            </w:tcBorders>
            <w:vAlign w:val="center"/>
          </w:tcPr>
          <w:p>
            <w:pPr>
              <w:rPr>
                <w:rFonts w:ascii="仿宋" w:hAnsi="仿宋" w:eastAsia="仿宋" w:cs="仿宋"/>
                <w:kern w:val="0"/>
              </w:rPr>
            </w:pPr>
          </w:p>
        </w:tc>
        <w:tc>
          <w:tcPr>
            <w:tcW w:w="1079" w:type="dxa"/>
            <w:tcBorders>
              <w:top w:val="nil"/>
              <w:left w:val="nil"/>
              <w:bottom w:val="single" w:color="auto" w:sz="4" w:space="0"/>
              <w:right w:val="single" w:color="auto" w:sz="4" w:space="0"/>
            </w:tcBorders>
            <w:vAlign w:val="bottom"/>
          </w:tcPr>
          <w:p>
            <w:pPr>
              <w:widowControl/>
              <w:jc w:val="center"/>
              <w:rPr>
                <w:rFonts w:ascii="仿宋" w:hAnsi="仿宋" w:eastAsia="仿宋" w:cs="仿宋"/>
                <w:kern w:val="0"/>
              </w:rPr>
            </w:pPr>
          </w:p>
        </w:tc>
        <w:tc>
          <w:tcPr>
            <w:tcW w:w="1513" w:type="dxa"/>
            <w:tcBorders>
              <w:top w:val="nil"/>
              <w:left w:val="nil"/>
              <w:bottom w:val="single" w:color="auto" w:sz="4" w:space="0"/>
              <w:right w:val="single" w:color="auto" w:sz="4" w:space="0"/>
            </w:tcBorders>
            <w:vAlign w:val="bottom"/>
          </w:tcPr>
          <w:p>
            <w:pPr>
              <w:widowControl/>
              <w:jc w:val="center"/>
              <w:rPr>
                <w:rFonts w:ascii="仿宋" w:hAnsi="仿宋" w:eastAsia="仿宋" w:cs="仿宋"/>
                <w:kern w:val="0"/>
              </w:rPr>
            </w:pPr>
          </w:p>
        </w:tc>
        <w:tc>
          <w:tcPr>
            <w:tcW w:w="772" w:type="dxa"/>
            <w:tcBorders>
              <w:top w:val="nil"/>
              <w:left w:val="nil"/>
              <w:bottom w:val="single" w:color="auto" w:sz="4" w:space="0"/>
              <w:right w:val="single" w:color="auto" w:sz="4" w:space="0"/>
            </w:tcBorders>
            <w:vAlign w:val="bottom"/>
          </w:tcPr>
          <w:p>
            <w:pPr>
              <w:widowControl/>
              <w:rPr>
                <w:rFonts w:ascii="仿宋" w:hAnsi="仿宋" w:eastAsia="仿宋" w:cs="仿宋"/>
                <w:kern w:val="0"/>
              </w:rPr>
            </w:pPr>
          </w:p>
        </w:tc>
        <w:tc>
          <w:tcPr>
            <w:tcW w:w="1979"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rPr>
            </w:pPr>
          </w:p>
        </w:tc>
        <w:tc>
          <w:tcPr>
            <w:tcW w:w="1095"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rPr>
            </w:pPr>
          </w:p>
        </w:tc>
        <w:tc>
          <w:tcPr>
            <w:tcW w:w="860"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rPr>
            </w:pPr>
          </w:p>
        </w:tc>
      </w:tr>
      <w:tr>
        <w:tblPrEx>
          <w:tblLayout w:type="fixed"/>
          <w:tblCellMar>
            <w:top w:w="0" w:type="dxa"/>
            <w:left w:w="108" w:type="dxa"/>
            <w:bottom w:w="0" w:type="dxa"/>
            <w:right w:w="108" w:type="dxa"/>
          </w:tblCellMar>
        </w:tblPrEx>
        <w:trPr>
          <w:trHeight w:val="454" w:hRule="atLeast"/>
          <w:jc w:val="center"/>
        </w:trPr>
        <w:tc>
          <w:tcPr>
            <w:tcW w:w="10035" w:type="dxa"/>
            <w:gridSpan w:val="8"/>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rPr>
            </w:pPr>
            <w:r>
              <w:rPr>
                <w:rFonts w:hint="eastAsia" w:ascii="仿宋" w:hAnsi="仿宋" w:eastAsia="仿宋" w:cs="仿宋"/>
                <w:kern w:val="0"/>
              </w:rPr>
              <w:t>总包配合费：</w:t>
            </w:r>
          </w:p>
        </w:tc>
      </w:tr>
      <w:tr>
        <w:tblPrEx>
          <w:tblLayout w:type="fixed"/>
          <w:tblCellMar>
            <w:top w:w="0" w:type="dxa"/>
            <w:left w:w="108" w:type="dxa"/>
            <w:bottom w:w="0" w:type="dxa"/>
            <w:right w:w="108" w:type="dxa"/>
          </w:tblCellMar>
        </w:tblPrEx>
        <w:trPr>
          <w:trHeight w:val="600" w:hRule="atLeast"/>
          <w:jc w:val="center"/>
        </w:trPr>
        <w:tc>
          <w:tcPr>
            <w:tcW w:w="2737"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rPr>
            </w:pPr>
            <w:r>
              <w:rPr>
                <w:rFonts w:hint="eastAsia" w:ascii="仿宋" w:hAnsi="仿宋" w:eastAsia="仿宋" w:cs="仿宋"/>
                <w:b/>
                <w:kern w:val="0"/>
              </w:rPr>
              <w:t>投标总报价</w:t>
            </w:r>
          </w:p>
        </w:tc>
        <w:tc>
          <w:tcPr>
            <w:tcW w:w="7298" w:type="dxa"/>
            <w:gridSpan w:val="6"/>
            <w:tcBorders>
              <w:top w:val="nil"/>
              <w:left w:val="nil"/>
              <w:bottom w:val="single" w:color="auto" w:sz="4" w:space="0"/>
              <w:right w:val="single" w:color="auto" w:sz="4" w:space="0"/>
            </w:tcBorders>
            <w:vAlign w:val="center"/>
          </w:tcPr>
          <w:p>
            <w:pPr>
              <w:widowControl/>
              <w:jc w:val="center"/>
              <w:rPr>
                <w:rFonts w:ascii="仿宋" w:hAnsi="仿宋" w:eastAsia="仿宋" w:cs="仿宋"/>
                <w:kern w:val="0"/>
              </w:rPr>
            </w:pPr>
          </w:p>
        </w:tc>
      </w:tr>
    </w:tbl>
    <w:p>
      <w:pPr>
        <w:tabs>
          <w:tab w:val="left" w:pos="735"/>
        </w:tabs>
        <w:snapToGrid w:val="0"/>
        <w:spacing w:line="360" w:lineRule="auto"/>
        <w:ind w:firstLine="420" w:firstLineChars="200"/>
        <w:rPr>
          <w:rFonts w:ascii="仿宋" w:hAnsi="仿宋" w:eastAsia="仿宋"/>
          <w:kern w:val="0"/>
          <w:szCs w:val="21"/>
          <w:lang w:val="zh-CN"/>
        </w:rPr>
      </w:pPr>
      <w:r>
        <w:rPr>
          <w:rFonts w:hint="eastAsia" w:ascii="仿宋" w:hAnsi="仿宋" w:eastAsia="仿宋"/>
          <w:kern w:val="0"/>
          <w:szCs w:val="21"/>
          <w:lang w:val="zh-CN"/>
        </w:rPr>
        <w:t>注：以上表格要求细分项目及报价，包括有关本项目维护实施所需的</w:t>
      </w:r>
      <w:r>
        <w:rPr>
          <w:rFonts w:hint="eastAsia" w:ascii="仿宋" w:hAnsi="仿宋" w:eastAsia="仿宋"/>
          <w:szCs w:val="21"/>
        </w:rPr>
        <w:t>产品供货、辅助材料、运费、安装费、调试费、验收、服务费、技术支持费等所有费用（含税）</w:t>
      </w:r>
      <w:r>
        <w:rPr>
          <w:rFonts w:hint="eastAsia" w:ascii="仿宋" w:hAnsi="仿宋" w:eastAsia="仿宋"/>
          <w:kern w:val="0"/>
          <w:szCs w:val="21"/>
          <w:lang w:val="zh-CN"/>
        </w:rPr>
        <w:t>均计入报价。</w:t>
      </w:r>
    </w:p>
    <w:p>
      <w:pPr>
        <w:autoSpaceDE w:val="0"/>
        <w:autoSpaceDN w:val="0"/>
        <w:spacing w:line="360" w:lineRule="auto"/>
        <w:ind w:firstLine="3990" w:firstLineChars="1900"/>
        <w:rPr>
          <w:rFonts w:ascii="仿宋" w:hAnsi="仿宋" w:eastAsia="仿宋"/>
          <w:kern w:val="0"/>
          <w:szCs w:val="21"/>
        </w:rPr>
      </w:pPr>
      <w:r>
        <w:rPr>
          <w:rFonts w:hint="eastAsia" w:ascii="仿宋" w:hAnsi="仿宋" w:eastAsia="仿宋"/>
          <w:kern w:val="0"/>
          <w:szCs w:val="21"/>
        </w:rPr>
        <w:t xml:space="preserve">投标人名称（公章）：                       </w:t>
      </w:r>
    </w:p>
    <w:p>
      <w:pPr>
        <w:autoSpaceDE w:val="0"/>
        <w:autoSpaceDN w:val="0"/>
        <w:spacing w:line="360" w:lineRule="auto"/>
        <w:rPr>
          <w:rFonts w:ascii="仿宋" w:hAnsi="仿宋" w:eastAsia="仿宋"/>
          <w:kern w:val="0"/>
          <w:szCs w:val="21"/>
        </w:rPr>
      </w:pPr>
      <w:r>
        <w:rPr>
          <w:rFonts w:hint="eastAsia" w:ascii="仿宋" w:hAnsi="仿宋" w:eastAsia="仿宋"/>
          <w:kern w:val="0"/>
          <w:szCs w:val="21"/>
        </w:rPr>
        <w:t xml:space="preserve">                                      法定代表人或其授权代表（签字）：                   </w:t>
      </w:r>
    </w:p>
    <w:p>
      <w:pPr>
        <w:spacing w:line="360" w:lineRule="auto"/>
        <w:rPr>
          <w:rFonts w:ascii="仿宋" w:hAnsi="仿宋" w:eastAsia="仿宋"/>
          <w:kern w:val="0"/>
          <w:szCs w:val="21"/>
        </w:rPr>
      </w:pPr>
      <w:r>
        <w:rPr>
          <w:rFonts w:hint="eastAsia" w:ascii="仿宋" w:hAnsi="仿宋" w:eastAsia="仿宋"/>
          <w:kern w:val="0"/>
          <w:szCs w:val="21"/>
        </w:rPr>
        <w:t xml:space="preserve">                                      日期：  年  月   日</w:t>
      </w:r>
    </w:p>
    <w:p>
      <w:pPr>
        <w:autoSpaceDE w:val="0"/>
        <w:autoSpaceDN w:val="0"/>
        <w:adjustRightInd w:val="0"/>
        <w:spacing w:line="360" w:lineRule="auto"/>
        <w:ind w:right="-86" w:firstLine="470" w:firstLineChars="196"/>
        <w:rPr>
          <w:rFonts w:ascii="仿宋" w:hAnsi="仿宋" w:eastAsia="仿宋" w:cs="仿宋"/>
          <w:kern w:val="0"/>
          <w:sz w:val="24"/>
          <w:lang w:val="zh-CN"/>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tabs>
          <w:tab w:val="left" w:pos="0"/>
        </w:tabs>
        <w:spacing w:line="360" w:lineRule="auto"/>
        <w:outlineLvl w:val="0"/>
        <w:rPr>
          <w:rFonts w:ascii="仿宋" w:hAnsi="仿宋" w:eastAsia="仿宋" w:cs="仿宋"/>
          <w:b/>
          <w:sz w:val="32"/>
          <w:szCs w:val="32"/>
        </w:rPr>
      </w:pPr>
    </w:p>
    <w:p>
      <w:pPr>
        <w:numPr>
          <w:ilvl w:val="1"/>
          <w:numId w:val="2"/>
        </w:numPr>
        <w:spacing w:line="360" w:lineRule="auto"/>
        <w:jc w:val="center"/>
        <w:outlineLvl w:val="0"/>
        <w:rPr>
          <w:rFonts w:ascii="仿宋" w:hAnsi="仿宋" w:eastAsia="仿宋" w:cs="仿宋"/>
          <w:b/>
          <w:sz w:val="32"/>
          <w:szCs w:val="32"/>
        </w:rPr>
      </w:pPr>
      <w:bookmarkStart w:id="157" w:name="_Toc30412"/>
      <w:r>
        <w:rPr>
          <w:rFonts w:hint="eastAsia" w:ascii="仿宋" w:hAnsi="仿宋" w:eastAsia="仿宋" w:cs="仿宋"/>
          <w:b/>
          <w:sz w:val="32"/>
          <w:szCs w:val="32"/>
        </w:rPr>
        <w:t>商务技术文件部分</w:t>
      </w:r>
      <w:bookmarkEnd w:id="157"/>
    </w:p>
    <w:p>
      <w:pPr>
        <w:snapToGrid w:val="0"/>
        <w:spacing w:line="360" w:lineRule="auto"/>
        <w:jc w:val="center"/>
        <w:rPr>
          <w:rFonts w:ascii="仿宋" w:hAnsi="仿宋" w:eastAsia="仿宋" w:cs="仿宋"/>
          <w:b/>
          <w:kern w:val="0"/>
          <w:sz w:val="32"/>
          <w:szCs w:val="32"/>
          <w:lang w:val="zh-CN"/>
        </w:rPr>
      </w:pPr>
      <w:bookmarkStart w:id="158" w:name="_Toc86217005"/>
      <w:r>
        <w:rPr>
          <w:rFonts w:hint="eastAsia" w:ascii="仿宋" w:hAnsi="仿宋" w:eastAsia="仿宋" w:cs="仿宋"/>
          <w:b/>
          <w:kern w:val="0"/>
          <w:sz w:val="32"/>
          <w:szCs w:val="32"/>
        </w:rPr>
        <w:t>1.</w:t>
      </w:r>
      <w:r>
        <w:rPr>
          <w:rFonts w:hint="eastAsia" w:ascii="仿宋" w:hAnsi="仿宋" w:eastAsia="仿宋" w:cs="仿宋"/>
          <w:b/>
          <w:kern w:val="0"/>
          <w:sz w:val="32"/>
          <w:szCs w:val="32"/>
          <w:lang w:val="zh-CN"/>
        </w:rPr>
        <w:t>评分索引</w:t>
      </w:r>
    </w:p>
    <w:tbl>
      <w:tblPr>
        <w:tblStyle w:val="18"/>
        <w:tblW w:w="8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6015"/>
        <w:gridCol w:w="78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4" w:type="dxa"/>
            <w:vAlign w:val="center"/>
          </w:tcPr>
          <w:p>
            <w:pPr>
              <w:autoSpaceDE w:val="0"/>
              <w:autoSpaceDN w:val="0"/>
              <w:jc w:val="center"/>
              <w:rPr>
                <w:rFonts w:ascii="仿宋" w:hAnsi="仿宋" w:eastAsia="仿宋" w:cs="仿宋"/>
                <w:sz w:val="24"/>
              </w:rPr>
            </w:pPr>
            <w:r>
              <w:rPr>
                <w:rFonts w:hint="eastAsia" w:ascii="仿宋" w:hAnsi="仿宋" w:eastAsia="仿宋" w:cs="仿宋"/>
                <w:sz w:val="24"/>
              </w:rPr>
              <w:t>序号</w:t>
            </w:r>
          </w:p>
        </w:tc>
        <w:tc>
          <w:tcPr>
            <w:tcW w:w="6015" w:type="dxa"/>
            <w:vAlign w:val="center"/>
          </w:tcPr>
          <w:p>
            <w:pPr>
              <w:autoSpaceDE w:val="0"/>
              <w:autoSpaceDN w:val="0"/>
              <w:jc w:val="center"/>
              <w:rPr>
                <w:rFonts w:ascii="仿宋" w:hAnsi="仿宋" w:eastAsia="仿宋" w:cs="仿宋"/>
                <w:sz w:val="24"/>
              </w:rPr>
            </w:pPr>
            <w:r>
              <w:rPr>
                <w:rFonts w:hint="eastAsia" w:ascii="仿宋" w:hAnsi="仿宋" w:eastAsia="仿宋" w:cs="仿宋"/>
                <w:sz w:val="24"/>
              </w:rPr>
              <w:t>内容</w:t>
            </w:r>
          </w:p>
        </w:tc>
        <w:tc>
          <w:tcPr>
            <w:tcW w:w="780" w:type="dxa"/>
            <w:vAlign w:val="center"/>
          </w:tcPr>
          <w:p>
            <w:pPr>
              <w:autoSpaceDE w:val="0"/>
              <w:autoSpaceDN w:val="0"/>
              <w:jc w:val="center"/>
              <w:rPr>
                <w:rFonts w:ascii="仿宋" w:hAnsi="仿宋" w:eastAsia="仿宋" w:cs="仿宋"/>
                <w:sz w:val="24"/>
              </w:rPr>
            </w:pPr>
            <w:r>
              <w:rPr>
                <w:rFonts w:hint="eastAsia" w:ascii="仿宋" w:hAnsi="仿宋" w:eastAsia="仿宋" w:cs="仿宋"/>
                <w:sz w:val="24"/>
              </w:rPr>
              <w:t>分值</w:t>
            </w:r>
          </w:p>
        </w:tc>
        <w:tc>
          <w:tcPr>
            <w:tcW w:w="1395" w:type="dxa"/>
            <w:vAlign w:val="center"/>
          </w:tcPr>
          <w:p>
            <w:pPr>
              <w:autoSpaceDE w:val="0"/>
              <w:autoSpaceDN w:val="0"/>
              <w:jc w:val="center"/>
              <w:rPr>
                <w:rFonts w:ascii="仿宋" w:hAnsi="仿宋" w:eastAsia="仿宋" w:cs="仿宋"/>
                <w:sz w:val="24"/>
              </w:rPr>
            </w:pPr>
            <w:r>
              <w:rPr>
                <w:rFonts w:hint="eastAsia" w:ascii="仿宋" w:hAnsi="仿宋" w:eastAsia="仿宋" w:cs="仿宋"/>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4" w:type="dxa"/>
            <w:vAlign w:val="center"/>
          </w:tcPr>
          <w:p>
            <w:pPr>
              <w:autoSpaceDE w:val="0"/>
              <w:autoSpaceDN w:val="0"/>
              <w:jc w:val="center"/>
              <w:rPr>
                <w:rFonts w:ascii="仿宋" w:hAnsi="仿宋" w:eastAsia="仿宋" w:cs="仿宋"/>
                <w:sz w:val="24"/>
              </w:rPr>
            </w:pPr>
            <w:r>
              <w:rPr>
                <w:rFonts w:hint="eastAsia" w:ascii="仿宋" w:hAnsi="仿宋" w:eastAsia="仿宋" w:cs="仿宋"/>
                <w:sz w:val="24"/>
              </w:rPr>
              <w:t>一</w:t>
            </w:r>
          </w:p>
        </w:tc>
        <w:tc>
          <w:tcPr>
            <w:tcW w:w="6015" w:type="dxa"/>
            <w:vAlign w:val="center"/>
          </w:tcPr>
          <w:p>
            <w:pPr>
              <w:autoSpaceDE w:val="0"/>
              <w:autoSpaceDN w:val="0"/>
              <w:jc w:val="center"/>
              <w:rPr>
                <w:rFonts w:ascii="仿宋" w:hAnsi="仿宋" w:eastAsia="仿宋" w:cs="仿宋"/>
                <w:sz w:val="24"/>
              </w:rPr>
            </w:pPr>
            <w:r>
              <w:rPr>
                <w:rFonts w:hint="eastAsia" w:ascii="仿宋" w:hAnsi="仿宋" w:eastAsia="仿宋" w:cs="仿宋"/>
                <w:sz w:val="24"/>
              </w:rPr>
              <w:t>资信分</w:t>
            </w:r>
          </w:p>
        </w:tc>
        <w:tc>
          <w:tcPr>
            <w:tcW w:w="780" w:type="dxa"/>
            <w:vAlign w:val="center"/>
          </w:tcPr>
          <w:p>
            <w:pPr>
              <w:autoSpaceDE w:val="0"/>
              <w:autoSpaceDN w:val="0"/>
              <w:jc w:val="center"/>
              <w:rPr>
                <w:rFonts w:ascii="仿宋" w:hAnsi="仿宋" w:eastAsia="仿宋" w:cs="仿宋"/>
                <w:sz w:val="24"/>
              </w:rPr>
            </w:pPr>
            <w:r>
              <w:rPr>
                <w:rFonts w:hint="eastAsia" w:ascii="仿宋" w:hAnsi="仿宋" w:eastAsia="仿宋" w:cs="仿宋"/>
                <w:sz w:val="24"/>
              </w:rPr>
              <w:t xml:space="preserve"> </w:t>
            </w:r>
          </w:p>
        </w:tc>
        <w:tc>
          <w:tcPr>
            <w:tcW w:w="1395" w:type="dxa"/>
            <w:vAlign w:val="center"/>
          </w:tcPr>
          <w:p>
            <w:pPr>
              <w:autoSpaceDE w:val="0"/>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4" w:type="dxa"/>
            <w:vAlign w:val="center"/>
          </w:tcPr>
          <w:p>
            <w:pPr>
              <w:autoSpaceDE w:val="0"/>
              <w:autoSpaceDN w:val="0"/>
              <w:jc w:val="center"/>
              <w:rPr>
                <w:rFonts w:ascii="仿宋" w:hAnsi="仿宋" w:eastAsia="仿宋" w:cs="仿宋"/>
                <w:sz w:val="24"/>
              </w:rPr>
            </w:pPr>
          </w:p>
        </w:tc>
        <w:tc>
          <w:tcPr>
            <w:tcW w:w="6015" w:type="dxa"/>
            <w:vAlign w:val="center"/>
          </w:tcPr>
          <w:p>
            <w:pPr>
              <w:autoSpaceDE w:val="0"/>
              <w:autoSpaceDN w:val="0"/>
              <w:jc w:val="center"/>
              <w:rPr>
                <w:rFonts w:ascii="仿宋" w:hAnsi="仿宋" w:eastAsia="仿宋" w:cs="仿宋"/>
                <w:sz w:val="24"/>
              </w:rPr>
            </w:pPr>
          </w:p>
        </w:tc>
        <w:tc>
          <w:tcPr>
            <w:tcW w:w="780" w:type="dxa"/>
            <w:vAlign w:val="center"/>
          </w:tcPr>
          <w:p>
            <w:pPr>
              <w:autoSpaceDE w:val="0"/>
              <w:autoSpaceDN w:val="0"/>
              <w:jc w:val="center"/>
              <w:rPr>
                <w:rFonts w:ascii="仿宋" w:hAnsi="仿宋" w:eastAsia="仿宋" w:cs="仿宋"/>
                <w:sz w:val="24"/>
              </w:rPr>
            </w:pPr>
          </w:p>
        </w:tc>
        <w:tc>
          <w:tcPr>
            <w:tcW w:w="1395" w:type="dxa"/>
            <w:vAlign w:val="center"/>
          </w:tcPr>
          <w:p>
            <w:pPr>
              <w:autoSpaceDE w:val="0"/>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4" w:type="dxa"/>
            <w:vAlign w:val="center"/>
          </w:tcPr>
          <w:p>
            <w:pPr>
              <w:autoSpaceDE w:val="0"/>
              <w:autoSpaceDN w:val="0"/>
              <w:jc w:val="center"/>
              <w:rPr>
                <w:rFonts w:ascii="仿宋" w:hAnsi="仿宋" w:eastAsia="仿宋" w:cs="仿宋"/>
                <w:sz w:val="24"/>
              </w:rPr>
            </w:pPr>
          </w:p>
        </w:tc>
        <w:tc>
          <w:tcPr>
            <w:tcW w:w="6015" w:type="dxa"/>
            <w:vAlign w:val="center"/>
          </w:tcPr>
          <w:p>
            <w:pPr>
              <w:autoSpaceDE w:val="0"/>
              <w:autoSpaceDN w:val="0"/>
              <w:jc w:val="center"/>
              <w:rPr>
                <w:rFonts w:ascii="仿宋" w:hAnsi="仿宋" w:eastAsia="仿宋" w:cs="仿宋"/>
                <w:sz w:val="24"/>
              </w:rPr>
            </w:pPr>
          </w:p>
        </w:tc>
        <w:tc>
          <w:tcPr>
            <w:tcW w:w="780" w:type="dxa"/>
            <w:vAlign w:val="center"/>
          </w:tcPr>
          <w:p>
            <w:pPr>
              <w:autoSpaceDE w:val="0"/>
              <w:autoSpaceDN w:val="0"/>
              <w:jc w:val="center"/>
              <w:rPr>
                <w:rFonts w:ascii="仿宋" w:hAnsi="仿宋" w:eastAsia="仿宋" w:cs="仿宋"/>
                <w:sz w:val="24"/>
              </w:rPr>
            </w:pPr>
          </w:p>
        </w:tc>
        <w:tc>
          <w:tcPr>
            <w:tcW w:w="1395" w:type="dxa"/>
            <w:vAlign w:val="center"/>
          </w:tcPr>
          <w:p>
            <w:pPr>
              <w:autoSpaceDE w:val="0"/>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4" w:type="dxa"/>
            <w:vAlign w:val="center"/>
          </w:tcPr>
          <w:p>
            <w:pPr>
              <w:autoSpaceDE w:val="0"/>
              <w:autoSpaceDN w:val="0"/>
              <w:jc w:val="center"/>
              <w:rPr>
                <w:rFonts w:ascii="仿宋" w:hAnsi="仿宋" w:eastAsia="仿宋" w:cs="仿宋"/>
                <w:sz w:val="24"/>
              </w:rPr>
            </w:pPr>
          </w:p>
        </w:tc>
        <w:tc>
          <w:tcPr>
            <w:tcW w:w="6015" w:type="dxa"/>
            <w:vAlign w:val="center"/>
          </w:tcPr>
          <w:p>
            <w:pPr>
              <w:autoSpaceDE w:val="0"/>
              <w:autoSpaceDN w:val="0"/>
              <w:jc w:val="center"/>
              <w:rPr>
                <w:rFonts w:ascii="仿宋" w:hAnsi="仿宋" w:eastAsia="仿宋" w:cs="仿宋"/>
                <w:sz w:val="24"/>
              </w:rPr>
            </w:pPr>
          </w:p>
        </w:tc>
        <w:tc>
          <w:tcPr>
            <w:tcW w:w="780" w:type="dxa"/>
            <w:vAlign w:val="center"/>
          </w:tcPr>
          <w:p>
            <w:pPr>
              <w:autoSpaceDE w:val="0"/>
              <w:autoSpaceDN w:val="0"/>
              <w:jc w:val="center"/>
              <w:rPr>
                <w:rFonts w:ascii="仿宋" w:hAnsi="仿宋" w:eastAsia="仿宋" w:cs="仿宋"/>
                <w:sz w:val="24"/>
              </w:rPr>
            </w:pPr>
          </w:p>
        </w:tc>
        <w:tc>
          <w:tcPr>
            <w:tcW w:w="1395" w:type="dxa"/>
            <w:vAlign w:val="center"/>
          </w:tcPr>
          <w:p>
            <w:pPr>
              <w:autoSpaceDE w:val="0"/>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4" w:type="dxa"/>
            <w:vAlign w:val="center"/>
          </w:tcPr>
          <w:p>
            <w:pPr>
              <w:autoSpaceDE w:val="0"/>
              <w:autoSpaceDN w:val="0"/>
              <w:jc w:val="center"/>
              <w:rPr>
                <w:rFonts w:ascii="仿宋" w:hAnsi="仿宋" w:eastAsia="仿宋" w:cs="仿宋"/>
                <w:sz w:val="24"/>
              </w:rPr>
            </w:pPr>
            <w:r>
              <w:rPr>
                <w:rFonts w:hint="eastAsia" w:ascii="仿宋" w:hAnsi="仿宋" w:eastAsia="仿宋" w:cs="仿宋"/>
                <w:sz w:val="24"/>
              </w:rPr>
              <w:t>二</w:t>
            </w:r>
          </w:p>
        </w:tc>
        <w:tc>
          <w:tcPr>
            <w:tcW w:w="6015" w:type="dxa"/>
            <w:vAlign w:val="center"/>
          </w:tcPr>
          <w:p>
            <w:pPr>
              <w:autoSpaceDE w:val="0"/>
              <w:autoSpaceDN w:val="0"/>
              <w:jc w:val="center"/>
              <w:rPr>
                <w:rFonts w:ascii="仿宋" w:hAnsi="仿宋" w:eastAsia="仿宋" w:cs="仿宋"/>
                <w:sz w:val="24"/>
              </w:rPr>
            </w:pPr>
            <w:r>
              <w:rPr>
                <w:rFonts w:hint="eastAsia" w:ascii="仿宋" w:hAnsi="仿宋" w:eastAsia="仿宋" w:cs="仿宋"/>
                <w:sz w:val="24"/>
              </w:rPr>
              <w:t>技术分</w:t>
            </w:r>
          </w:p>
        </w:tc>
        <w:tc>
          <w:tcPr>
            <w:tcW w:w="780" w:type="dxa"/>
            <w:vAlign w:val="center"/>
          </w:tcPr>
          <w:p>
            <w:pPr>
              <w:autoSpaceDE w:val="0"/>
              <w:autoSpaceDN w:val="0"/>
              <w:jc w:val="center"/>
              <w:rPr>
                <w:rFonts w:ascii="仿宋" w:hAnsi="仿宋" w:eastAsia="仿宋" w:cs="仿宋"/>
                <w:sz w:val="24"/>
              </w:rPr>
            </w:pPr>
            <w:r>
              <w:rPr>
                <w:rFonts w:hint="eastAsia" w:ascii="仿宋" w:hAnsi="仿宋" w:eastAsia="仿宋" w:cs="仿宋"/>
                <w:sz w:val="24"/>
              </w:rPr>
              <w:t xml:space="preserve"> </w:t>
            </w:r>
          </w:p>
        </w:tc>
        <w:tc>
          <w:tcPr>
            <w:tcW w:w="1395" w:type="dxa"/>
            <w:vAlign w:val="center"/>
          </w:tcPr>
          <w:p>
            <w:pPr>
              <w:autoSpaceDE w:val="0"/>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4" w:type="dxa"/>
            <w:vAlign w:val="center"/>
          </w:tcPr>
          <w:p>
            <w:pPr>
              <w:autoSpaceDE w:val="0"/>
              <w:autoSpaceDN w:val="0"/>
              <w:jc w:val="center"/>
              <w:rPr>
                <w:rFonts w:ascii="仿宋" w:hAnsi="仿宋" w:eastAsia="仿宋" w:cs="仿宋"/>
                <w:sz w:val="24"/>
              </w:rPr>
            </w:pPr>
          </w:p>
        </w:tc>
        <w:tc>
          <w:tcPr>
            <w:tcW w:w="6015" w:type="dxa"/>
            <w:vAlign w:val="center"/>
          </w:tcPr>
          <w:p>
            <w:pPr>
              <w:autoSpaceDE w:val="0"/>
              <w:autoSpaceDN w:val="0"/>
              <w:jc w:val="center"/>
              <w:rPr>
                <w:rFonts w:ascii="仿宋" w:hAnsi="仿宋" w:eastAsia="仿宋" w:cs="仿宋"/>
                <w:sz w:val="24"/>
              </w:rPr>
            </w:pPr>
          </w:p>
        </w:tc>
        <w:tc>
          <w:tcPr>
            <w:tcW w:w="780" w:type="dxa"/>
            <w:vAlign w:val="center"/>
          </w:tcPr>
          <w:p>
            <w:pPr>
              <w:autoSpaceDE w:val="0"/>
              <w:autoSpaceDN w:val="0"/>
              <w:jc w:val="center"/>
              <w:rPr>
                <w:rFonts w:ascii="仿宋" w:hAnsi="仿宋" w:eastAsia="仿宋" w:cs="仿宋"/>
                <w:sz w:val="24"/>
              </w:rPr>
            </w:pPr>
          </w:p>
        </w:tc>
        <w:tc>
          <w:tcPr>
            <w:tcW w:w="1395" w:type="dxa"/>
            <w:vAlign w:val="center"/>
          </w:tcPr>
          <w:p>
            <w:pPr>
              <w:autoSpaceDE w:val="0"/>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4" w:type="dxa"/>
            <w:vAlign w:val="center"/>
          </w:tcPr>
          <w:p>
            <w:pPr>
              <w:autoSpaceDE w:val="0"/>
              <w:autoSpaceDN w:val="0"/>
              <w:jc w:val="center"/>
              <w:rPr>
                <w:rFonts w:ascii="仿宋" w:hAnsi="仿宋" w:eastAsia="仿宋" w:cs="仿宋"/>
                <w:sz w:val="24"/>
              </w:rPr>
            </w:pPr>
          </w:p>
        </w:tc>
        <w:tc>
          <w:tcPr>
            <w:tcW w:w="6015" w:type="dxa"/>
            <w:vAlign w:val="center"/>
          </w:tcPr>
          <w:p>
            <w:pPr>
              <w:autoSpaceDE w:val="0"/>
              <w:autoSpaceDN w:val="0"/>
              <w:jc w:val="center"/>
              <w:rPr>
                <w:rFonts w:ascii="仿宋" w:hAnsi="仿宋" w:eastAsia="仿宋" w:cs="仿宋"/>
                <w:sz w:val="24"/>
              </w:rPr>
            </w:pPr>
          </w:p>
        </w:tc>
        <w:tc>
          <w:tcPr>
            <w:tcW w:w="780" w:type="dxa"/>
            <w:vAlign w:val="center"/>
          </w:tcPr>
          <w:p>
            <w:pPr>
              <w:autoSpaceDE w:val="0"/>
              <w:autoSpaceDN w:val="0"/>
              <w:jc w:val="center"/>
              <w:rPr>
                <w:rFonts w:ascii="仿宋" w:hAnsi="仿宋" w:eastAsia="仿宋" w:cs="仿宋"/>
                <w:sz w:val="24"/>
              </w:rPr>
            </w:pPr>
          </w:p>
        </w:tc>
        <w:tc>
          <w:tcPr>
            <w:tcW w:w="1395" w:type="dxa"/>
            <w:vAlign w:val="center"/>
          </w:tcPr>
          <w:p>
            <w:pPr>
              <w:autoSpaceDE w:val="0"/>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4" w:type="dxa"/>
            <w:vAlign w:val="center"/>
          </w:tcPr>
          <w:p>
            <w:pPr>
              <w:autoSpaceDE w:val="0"/>
              <w:autoSpaceDN w:val="0"/>
              <w:jc w:val="center"/>
              <w:rPr>
                <w:rFonts w:ascii="仿宋" w:hAnsi="仿宋" w:eastAsia="仿宋" w:cs="仿宋"/>
                <w:sz w:val="24"/>
              </w:rPr>
            </w:pPr>
          </w:p>
        </w:tc>
        <w:tc>
          <w:tcPr>
            <w:tcW w:w="6015" w:type="dxa"/>
            <w:vAlign w:val="center"/>
          </w:tcPr>
          <w:p>
            <w:pPr>
              <w:autoSpaceDE w:val="0"/>
              <w:autoSpaceDN w:val="0"/>
              <w:jc w:val="center"/>
              <w:rPr>
                <w:rFonts w:ascii="仿宋" w:hAnsi="仿宋" w:eastAsia="仿宋" w:cs="仿宋"/>
                <w:sz w:val="24"/>
              </w:rPr>
            </w:pPr>
          </w:p>
        </w:tc>
        <w:tc>
          <w:tcPr>
            <w:tcW w:w="780" w:type="dxa"/>
            <w:vAlign w:val="center"/>
          </w:tcPr>
          <w:p>
            <w:pPr>
              <w:autoSpaceDE w:val="0"/>
              <w:autoSpaceDN w:val="0"/>
              <w:jc w:val="center"/>
              <w:rPr>
                <w:rFonts w:ascii="仿宋" w:hAnsi="仿宋" w:eastAsia="仿宋" w:cs="仿宋"/>
                <w:sz w:val="24"/>
                <w:lang w:val="zh-CN"/>
              </w:rPr>
            </w:pPr>
          </w:p>
        </w:tc>
        <w:tc>
          <w:tcPr>
            <w:tcW w:w="1395" w:type="dxa"/>
            <w:vAlign w:val="center"/>
          </w:tcPr>
          <w:p>
            <w:pPr>
              <w:autoSpaceDE w:val="0"/>
              <w:autoSpaceDN w:val="0"/>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4" w:type="dxa"/>
            <w:vAlign w:val="center"/>
          </w:tcPr>
          <w:p>
            <w:pPr>
              <w:autoSpaceDE w:val="0"/>
              <w:autoSpaceDN w:val="0"/>
              <w:jc w:val="center"/>
              <w:rPr>
                <w:rFonts w:ascii="仿宋" w:hAnsi="仿宋" w:eastAsia="仿宋" w:cs="仿宋"/>
                <w:sz w:val="24"/>
              </w:rPr>
            </w:pPr>
          </w:p>
        </w:tc>
        <w:tc>
          <w:tcPr>
            <w:tcW w:w="6015" w:type="dxa"/>
            <w:vAlign w:val="center"/>
          </w:tcPr>
          <w:p>
            <w:pPr>
              <w:autoSpaceDE w:val="0"/>
              <w:autoSpaceDN w:val="0"/>
              <w:jc w:val="center"/>
              <w:rPr>
                <w:rFonts w:ascii="仿宋" w:hAnsi="仿宋" w:eastAsia="仿宋" w:cs="仿宋"/>
                <w:sz w:val="24"/>
              </w:rPr>
            </w:pPr>
          </w:p>
        </w:tc>
        <w:tc>
          <w:tcPr>
            <w:tcW w:w="780" w:type="dxa"/>
            <w:vAlign w:val="center"/>
          </w:tcPr>
          <w:p>
            <w:pPr>
              <w:autoSpaceDE w:val="0"/>
              <w:autoSpaceDN w:val="0"/>
              <w:jc w:val="center"/>
              <w:rPr>
                <w:rFonts w:ascii="仿宋" w:hAnsi="仿宋" w:eastAsia="仿宋" w:cs="仿宋"/>
                <w:sz w:val="24"/>
              </w:rPr>
            </w:pPr>
          </w:p>
        </w:tc>
        <w:tc>
          <w:tcPr>
            <w:tcW w:w="1395" w:type="dxa"/>
            <w:vAlign w:val="center"/>
          </w:tcPr>
          <w:p>
            <w:pPr>
              <w:autoSpaceDE w:val="0"/>
              <w:autoSpaceDN w:val="0"/>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4" w:type="dxa"/>
            <w:vAlign w:val="center"/>
          </w:tcPr>
          <w:p>
            <w:pPr>
              <w:autoSpaceDE w:val="0"/>
              <w:autoSpaceDN w:val="0"/>
              <w:jc w:val="center"/>
              <w:rPr>
                <w:rFonts w:ascii="仿宋" w:hAnsi="仿宋" w:eastAsia="仿宋" w:cs="仿宋"/>
                <w:sz w:val="24"/>
              </w:rPr>
            </w:pPr>
          </w:p>
        </w:tc>
        <w:tc>
          <w:tcPr>
            <w:tcW w:w="6015" w:type="dxa"/>
            <w:vAlign w:val="center"/>
          </w:tcPr>
          <w:p>
            <w:pPr>
              <w:autoSpaceDE w:val="0"/>
              <w:autoSpaceDN w:val="0"/>
              <w:jc w:val="center"/>
              <w:rPr>
                <w:rFonts w:ascii="仿宋" w:hAnsi="仿宋" w:eastAsia="仿宋" w:cs="仿宋"/>
                <w:sz w:val="24"/>
              </w:rPr>
            </w:pPr>
          </w:p>
        </w:tc>
        <w:tc>
          <w:tcPr>
            <w:tcW w:w="780" w:type="dxa"/>
            <w:vAlign w:val="center"/>
          </w:tcPr>
          <w:p>
            <w:pPr>
              <w:autoSpaceDE w:val="0"/>
              <w:autoSpaceDN w:val="0"/>
              <w:jc w:val="center"/>
              <w:rPr>
                <w:rFonts w:ascii="仿宋" w:hAnsi="仿宋" w:eastAsia="仿宋" w:cs="仿宋"/>
                <w:sz w:val="24"/>
              </w:rPr>
            </w:pPr>
          </w:p>
        </w:tc>
        <w:tc>
          <w:tcPr>
            <w:tcW w:w="1395" w:type="dxa"/>
            <w:vAlign w:val="center"/>
          </w:tcPr>
          <w:p>
            <w:pPr>
              <w:autoSpaceDE w:val="0"/>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4" w:type="dxa"/>
            <w:vAlign w:val="center"/>
          </w:tcPr>
          <w:p>
            <w:pPr>
              <w:autoSpaceDE w:val="0"/>
              <w:autoSpaceDN w:val="0"/>
              <w:jc w:val="center"/>
              <w:rPr>
                <w:rFonts w:ascii="仿宋" w:hAnsi="仿宋" w:eastAsia="仿宋" w:cs="仿宋"/>
                <w:sz w:val="24"/>
              </w:rPr>
            </w:pPr>
          </w:p>
        </w:tc>
        <w:tc>
          <w:tcPr>
            <w:tcW w:w="6015" w:type="dxa"/>
            <w:vAlign w:val="center"/>
          </w:tcPr>
          <w:p>
            <w:pPr>
              <w:autoSpaceDE w:val="0"/>
              <w:autoSpaceDN w:val="0"/>
              <w:jc w:val="center"/>
              <w:rPr>
                <w:rFonts w:ascii="仿宋" w:hAnsi="仿宋" w:eastAsia="仿宋" w:cs="仿宋"/>
                <w:sz w:val="24"/>
              </w:rPr>
            </w:pPr>
          </w:p>
        </w:tc>
        <w:tc>
          <w:tcPr>
            <w:tcW w:w="780" w:type="dxa"/>
            <w:vAlign w:val="center"/>
          </w:tcPr>
          <w:p>
            <w:pPr>
              <w:autoSpaceDE w:val="0"/>
              <w:autoSpaceDN w:val="0"/>
              <w:jc w:val="center"/>
              <w:rPr>
                <w:rFonts w:ascii="仿宋" w:hAnsi="仿宋" w:eastAsia="仿宋" w:cs="仿宋"/>
                <w:sz w:val="24"/>
              </w:rPr>
            </w:pPr>
          </w:p>
        </w:tc>
        <w:tc>
          <w:tcPr>
            <w:tcW w:w="1395" w:type="dxa"/>
            <w:vAlign w:val="center"/>
          </w:tcPr>
          <w:p>
            <w:pPr>
              <w:autoSpaceDE w:val="0"/>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4" w:type="dxa"/>
            <w:vAlign w:val="center"/>
          </w:tcPr>
          <w:p>
            <w:pPr>
              <w:autoSpaceDE w:val="0"/>
              <w:autoSpaceDN w:val="0"/>
              <w:jc w:val="center"/>
              <w:rPr>
                <w:rFonts w:ascii="仿宋" w:hAnsi="仿宋" w:eastAsia="仿宋" w:cs="仿宋"/>
                <w:sz w:val="24"/>
              </w:rPr>
            </w:pPr>
          </w:p>
        </w:tc>
        <w:tc>
          <w:tcPr>
            <w:tcW w:w="6015" w:type="dxa"/>
            <w:vAlign w:val="center"/>
          </w:tcPr>
          <w:p>
            <w:pPr>
              <w:autoSpaceDE w:val="0"/>
              <w:autoSpaceDN w:val="0"/>
              <w:jc w:val="center"/>
              <w:rPr>
                <w:rFonts w:ascii="仿宋" w:hAnsi="仿宋" w:eastAsia="仿宋" w:cs="仿宋"/>
                <w:sz w:val="24"/>
              </w:rPr>
            </w:pPr>
          </w:p>
        </w:tc>
        <w:tc>
          <w:tcPr>
            <w:tcW w:w="780" w:type="dxa"/>
            <w:vAlign w:val="center"/>
          </w:tcPr>
          <w:p>
            <w:pPr>
              <w:autoSpaceDE w:val="0"/>
              <w:autoSpaceDN w:val="0"/>
              <w:jc w:val="center"/>
              <w:rPr>
                <w:rFonts w:ascii="仿宋" w:hAnsi="仿宋" w:eastAsia="仿宋" w:cs="仿宋"/>
                <w:sz w:val="24"/>
              </w:rPr>
            </w:pPr>
          </w:p>
        </w:tc>
        <w:tc>
          <w:tcPr>
            <w:tcW w:w="1395" w:type="dxa"/>
            <w:vAlign w:val="center"/>
          </w:tcPr>
          <w:p>
            <w:pPr>
              <w:autoSpaceDE w:val="0"/>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4" w:type="dxa"/>
            <w:vAlign w:val="center"/>
          </w:tcPr>
          <w:p>
            <w:pPr>
              <w:autoSpaceDE w:val="0"/>
              <w:autoSpaceDN w:val="0"/>
              <w:jc w:val="center"/>
              <w:rPr>
                <w:rFonts w:ascii="仿宋" w:hAnsi="仿宋" w:eastAsia="仿宋" w:cs="仿宋"/>
                <w:sz w:val="24"/>
              </w:rPr>
            </w:pPr>
          </w:p>
        </w:tc>
        <w:tc>
          <w:tcPr>
            <w:tcW w:w="6015" w:type="dxa"/>
            <w:vAlign w:val="center"/>
          </w:tcPr>
          <w:p>
            <w:pPr>
              <w:autoSpaceDE w:val="0"/>
              <w:autoSpaceDN w:val="0"/>
              <w:jc w:val="center"/>
              <w:rPr>
                <w:rFonts w:ascii="仿宋" w:hAnsi="仿宋" w:eastAsia="仿宋" w:cs="仿宋"/>
                <w:sz w:val="24"/>
              </w:rPr>
            </w:pPr>
          </w:p>
        </w:tc>
        <w:tc>
          <w:tcPr>
            <w:tcW w:w="780" w:type="dxa"/>
            <w:vAlign w:val="center"/>
          </w:tcPr>
          <w:p>
            <w:pPr>
              <w:autoSpaceDE w:val="0"/>
              <w:autoSpaceDN w:val="0"/>
              <w:jc w:val="center"/>
              <w:rPr>
                <w:rFonts w:ascii="仿宋" w:hAnsi="仿宋" w:eastAsia="仿宋" w:cs="仿宋"/>
                <w:sz w:val="24"/>
              </w:rPr>
            </w:pPr>
          </w:p>
        </w:tc>
        <w:tc>
          <w:tcPr>
            <w:tcW w:w="1395" w:type="dxa"/>
            <w:vAlign w:val="center"/>
          </w:tcPr>
          <w:p>
            <w:pPr>
              <w:autoSpaceDE w:val="0"/>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4" w:type="dxa"/>
            <w:vAlign w:val="center"/>
          </w:tcPr>
          <w:p>
            <w:pPr>
              <w:autoSpaceDE w:val="0"/>
              <w:autoSpaceDN w:val="0"/>
              <w:jc w:val="center"/>
              <w:rPr>
                <w:rFonts w:ascii="仿宋" w:hAnsi="仿宋" w:eastAsia="仿宋" w:cs="仿宋"/>
                <w:sz w:val="24"/>
              </w:rPr>
            </w:pPr>
          </w:p>
        </w:tc>
        <w:tc>
          <w:tcPr>
            <w:tcW w:w="6015" w:type="dxa"/>
            <w:vAlign w:val="center"/>
          </w:tcPr>
          <w:p>
            <w:pPr>
              <w:autoSpaceDE w:val="0"/>
              <w:autoSpaceDN w:val="0"/>
              <w:jc w:val="center"/>
              <w:rPr>
                <w:rFonts w:ascii="仿宋" w:hAnsi="仿宋" w:eastAsia="仿宋" w:cs="仿宋"/>
                <w:sz w:val="24"/>
              </w:rPr>
            </w:pPr>
          </w:p>
        </w:tc>
        <w:tc>
          <w:tcPr>
            <w:tcW w:w="780" w:type="dxa"/>
            <w:vAlign w:val="center"/>
          </w:tcPr>
          <w:p>
            <w:pPr>
              <w:autoSpaceDE w:val="0"/>
              <w:autoSpaceDN w:val="0"/>
              <w:jc w:val="center"/>
              <w:rPr>
                <w:rFonts w:ascii="仿宋" w:hAnsi="仿宋" w:eastAsia="仿宋" w:cs="仿宋"/>
                <w:sz w:val="24"/>
              </w:rPr>
            </w:pPr>
          </w:p>
        </w:tc>
        <w:tc>
          <w:tcPr>
            <w:tcW w:w="1395" w:type="dxa"/>
            <w:vAlign w:val="center"/>
          </w:tcPr>
          <w:p>
            <w:pPr>
              <w:autoSpaceDE w:val="0"/>
              <w:autoSpaceDN w:val="0"/>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4" w:type="dxa"/>
            <w:vAlign w:val="center"/>
          </w:tcPr>
          <w:p>
            <w:pPr>
              <w:autoSpaceDE w:val="0"/>
              <w:autoSpaceDN w:val="0"/>
              <w:jc w:val="center"/>
              <w:rPr>
                <w:rFonts w:ascii="仿宋" w:hAnsi="仿宋" w:eastAsia="仿宋" w:cs="仿宋"/>
                <w:sz w:val="24"/>
              </w:rPr>
            </w:pPr>
          </w:p>
        </w:tc>
        <w:tc>
          <w:tcPr>
            <w:tcW w:w="6015" w:type="dxa"/>
            <w:vAlign w:val="center"/>
          </w:tcPr>
          <w:p>
            <w:pPr>
              <w:autoSpaceDE w:val="0"/>
              <w:autoSpaceDN w:val="0"/>
              <w:jc w:val="center"/>
              <w:rPr>
                <w:rFonts w:ascii="仿宋" w:hAnsi="仿宋" w:eastAsia="仿宋" w:cs="仿宋"/>
                <w:sz w:val="24"/>
              </w:rPr>
            </w:pPr>
          </w:p>
        </w:tc>
        <w:tc>
          <w:tcPr>
            <w:tcW w:w="780" w:type="dxa"/>
            <w:vAlign w:val="center"/>
          </w:tcPr>
          <w:p>
            <w:pPr>
              <w:autoSpaceDE w:val="0"/>
              <w:autoSpaceDN w:val="0"/>
              <w:jc w:val="center"/>
              <w:rPr>
                <w:rFonts w:ascii="仿宋" w:hAnsi="仿宋" w:eastAsia="仿宋" w:cs="仿宋"/>
                <w:sz w:val="24"/>
              </w:rPr>
            </w:pPr>
          </w:p>
        </w:tc>
        <w:tc>
          <w:tcPr>
            <w:tcW w:w="1395" w:type="dxa"/>
            <w:vAlign w:val="center"/>
          </w:tcPr>
          <w:p>
            <w:pPr>
              <w:autoSpaceDE w:val="0"/>
              <w:autoSpaceDN w:val="0"/>
              <w:rPr>
                <w:rFonts w:ascii="仿宋" w:hAnsi="仿宋" w:eastAsia="仿宋" w:cs="仿宋"/>
                <w:sz w:val="24"/>
              </w:rPr>
            </w:pPr>
          </w:p>
        </w:tc>
      </w:tr>
    </w:tbl>
    <w:p>
      <w:pPr>
        <w:snapToGrid w:val="0"/>
        <w:spacing w:line="360" w:lineRule="auto"/>
        <w:rPr>
          <w:rFonts w:ascii="仿宋" w:hAnsi="仿宋" w:eastAsia="仿宋" w:cs="仿宋"/>
          <w:b/>
          <w:kern w:val="0"/>
          <w:sz w:val="32"/>
          <w:szCs w:val="32"/>
        </w:rPr>
      </w:pPr>
    </w:p>
    <w:p>
      <w:pPr>
        <w:snapToGrid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注：请投标人根据评分标准制作评分索引表，可在上表的基础上做进一步细化。</w:t>
      </w:r>
    </w:p>
    <w:p>
      <w:pPr>
        <w:snapToGrid w:val="0"/>
        <w:spacing w:line="360" w:lineRule="auto"/>
        <w:jc w:val="left"/>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rPr>
        <w:t>2.</w:t>
      </w:r>
      <w:r>
        <w:rPr>
          <w:rFonts w:hint="eastAsia" w:ascii="仿宋" w:hAnsi="仿宋" w:eastAsia="仿宋" w:cs="仿宋"/>
          <w:b/>
          <w:kern w:val="0"/>
          <w:sz w:val="32"/>
          <w:szCs w:val="32"/>
          <w:lang w:val="zh-CN"/>
        </w:rPr>
        <w:t>法定代表人授权书</w:t>
      </w:r>
    </w:p>
    <w:p>
      <w:pPr>
        <w:snapToGrid w:val="0"/>
        <w:spacing w:line="360" w:lineRule="auto"/>
        <w:rPr>
          <w:rFonts w:ascii="仿宋" w:hAnsi="仿宋" w:eastAsia="仿宋" w:cs="仿宋"/>
          <w:sz w:val="24"/>
        </w:rPr>
      </w:pPr>
      <w:r>
        <w:rPr>
          <w:rFonts w:hint="eastAsia" w:ascii="仿宋" w:hAnsi="仿宋" w:eastAsia="仿宋" w:cs="仿宋"/>
          <w:sz w:val="24"/>
        </w:rPr>
        <w:t>采购人名称、</w:t>
      </w:r>
    </w:p>
    <w:p>
      <w:pPr>
        <w:snapToGrid w:val="0"/>
        <w:spacing w:line="360" w:lineRule="auto"/>
        <w:rPr>
          <w:rFonts w:ascii="仿宋" w:hAnsi="仿宋" w:eastAsia="仿宋" w:cs="仿宋"/>
          <w:kern w:val="0"/>
          <w:sz w:val="24"/>
        </w:rPr>
      </w:pPr>
      <w:r>
        <w:rPr>
          <w:rFonts w:hint="eastAsia" w:ascii="仿宋" w:hAnsi="仿宋" w:eastAsia="仿宋" w:cs="仿宋"/>
          <w:sz w:val="24"/>
        </w:rPr>
        <w:t>浙江中明工程咨询有限公司</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 xml:space="preserve">                          项目</w:t>
      </w:r>
      <w:r>
        <w:rPr>
          <w:rFonts w:hint="eastAsia" w:ascii="仿宋" w:hAnsi="仿宋" w:eastAsia="仿宋" w:cs="仿宋"/>
          <w:kern w:val="0"/>
          <w:sz w:val="24"/>
          <w:lang w:val="zh-CN"/>
        </w:rPr>
        <w:t>【编号：</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】政府采购投标的一切事项，若中标则全权代表本公司签订相关合同，并负责处理合同履行等事宜。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投标人名称(公章)：</w:t>
      </w: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法定代表人(签字或盖章)：</w:t>
      </w:r>
    </w:p>
    <w:p>
      <w:pPr>
        <w:snapToGrid w:val="0"/>
        <w:spacing w:line="360" w:lineRule="auto"/>
        <w:rPr>
          <w:rFonts w:ascii="仿宋" w:hAnsi="仿宋" w:eastAsia="仿宋" w:cs="仿宋"/>
          <w:kern w:val="0"/>
          <w:sz w:val="24"/>
          <w:lang w:val="zh-CN"/>
        </w:rPr>
      </w:pPr>
    </w:p>
    <w:p>
      <w:pPr>
        <w:wordWrap w:val="0"/>
        <w:snapToGrid w:val="0"/>
        <w:spacing w:line="360" w:lineRule="auto"/>
        <w:ind w:right="240"/>
        <w:jc w:val="right"/>
        <w:rPr>
          <w:rFonts w:ascii="仿宋" w:hAnsi="仿宋" w:eastAsia="仿宋" w:cs="仿宋"/>
          <w:kern w:val="0"/>
          <w:sz w:val="24"/>
          <w:lang w:val="zh-CN"/>
        </w:rPr>
      </w:pPr>
      <w:r>
        <w:rPr>
          <w:rFonts w:hint="eastAsia" w:ascii="仿宋" w:hAnsi="仿宋" w:eastAsia="仿宋" w:cs="仿宋"/>
          <w:kern w:val="0"/>
          <w:sz w:val="24"/>
          <w:lang w:val="zh-CN"/>
        </w:rPr>
        <w:t>签发日期：  年  月   日</w:t>
      </w:r>
    </w:p>
    <w:p>
      <w:pPr>
        <w:autoSpaceDE w:val="0"/>
        <w:autoSpaceDN w:val="0"/>
        <w:spacing w:line="360" w:lineRule="auto"/>
        <w:rPr>
          <w:rFonts w:ascii="仿宋" w:hAnsi="仿宋" w:eastAsia="仿宋" w:cs="仿宋"/>
          <w:b/>
          <w:bCs/>
          <w:sz w:val="30"/>
          <w:szCs w:val="30"/>
        </w:rPr>
      </w:pPr>
    </w:p>
    <w:p>
      <w:pPr>
        <w:autoSpaceDE w:val="0"/>
        <w:autoSpaceDN w:val="0"/>
        <w:spacing w:line="360" w:lineRule="auto"/>
        <w:jc w:val="center"/>
        <w:rPr>
          <w:rFonts w:ascii="仿宋" w:hAnsi="仿宋" w:eastAsia="仿宋" w:cs="仿宋"/>
          <w:b/>
          <w:bCs/>
          <w:sz w:val="30"/>
          <w:szCs w:val="30"/>
        </w:rPr>
      </w:pPr>
    </w:p>
    <w:p>
      <w:pPr>
        <w:autoSpaceDE w:val="0"/>
        <w:autoSpaceDN w:val="0"/>
        <w:spacing w:line="360" w:lineRule="auto"/>
        <w:jc w:val="center"/>
        <w:rPr>
          <w:rFonts w:ascii="仿宋" w:hAnsi="仿宋" w:eastAsia="仿宋" w:cs="仿宋"/>
          <w:sz w:val="24"/>
        </w:rPr>
      </w:pPr>
      <w:r>
        <w:rPr>
          <w:rFonts w:hint="eastAsia" w:ascii="仿宋" w:hAnsi="仿宋" w:eastAsia="仿宋" w:cs="仿宋"/>
          <w:b/>
          <w:bCs/>
          <w:sz w:val="30"/>
          <w:szCs w:val="30"/>
        </w:rPr>
        <w:t>3.</w:t>
      </w:r>
      <w:r>
        <w:rPr>
          <w:rFonts w:hint="eastAsia" w:ascii="仿宋" w:hAnsi="仿宋" w:eastAsia="仿宋" w:cs="仿宋"/>
          <w:b/>
          <w:sz w:val="30"/>
          <w:szCs w:val="30"/>
        </w:rPr>
        <w:t>法定代表人及其授权代表的身份证（复印件）</w:t>
      </w:r>
    </w:p>
    <w:p>
      <w:pPr>
        <w:spacing w:line="360" w:lineRule="auto"/>
        <w:rPr>
          <w:rFonts w:ascii="仿宋" w:hAnsi="仿宋" w:eastAsia="仿宋" w:cs="仿宋"/>
          <w:sz w:val="28"/>
          <w:szCs w:val="28"/>
        </w:rPr>
      </w:pPr>
    </w:p>
    <w:p>
      <w:pPr>
        <w:snapToGrid w:val="0"/>
        <w:spacing w:line="360" w:lineRule="auto"/>
        <w:ind w:right="480"/>
        <w:rPr>
          <w:rFonts w:ascii="仿宋" w:hAnsi="仿宋" w:eastAsia="仿宋" w:cs="仿宋"/>
          <w:b/>
          <w:kern w:val="0"/>
          <w:sz w:val="32"/>
          <w:szCs w:val="32"/>
          <w:lang w:val="zh-CN"/>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4.</w:t>
      </w:r>
      <w:r>
        <w:rPr>
          <w:rFonts w:hint="eastAsia" w:ascii="仿宋" w:hAnsi="仿宋" w:eastAsia="仿宋" w:cs="仿宋"/>
          <w:b/>
          <w:kern w:val="0"/>
          <w:sz w:val="32"/>
          <w:szCs w:val="32"/>
          <w:lang w:val="zh-CN"/>
        </w:rPr>
        <w:t>声明书</w:t>
      </w:r>
    </w:p>
    <w:p>
      <w:pPr>
        <w:snapToGrid w:val="0"/>
        <w:spacing w:line="360" w:lineRule="auto"/>
        <w:rPr>
          <w:rFonts w:ascii="仿宋" w:hAnsi="仿宋" w:eastAsia="仿宋" w:cs="仿宋"/>
          <w:kern w:val="0"/>
          <w:sz w:val="24"/>
        </w:rPr>
      </w:pPr>
      <w:r>
        <w:rPr>
          <w:rFonts w:hint="eastAsia" w:ascii="仿宋" w:hAnsi="仿宋" w:eastAsia="仿宋" w:cs="仿宋"/>
          <w:sz w:val="24"/>
        </w:rPr>
        <w:t>采购人名称、浙江中明工程咨询有限公司</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w:t>
      </w:r>
      <w:r>
        <w:rPr>
          <w:rFonts w:hint="eastAsia" w:ascii="仿宋" w:hAnsi="仿宋" w:eastAsia="仿宋" w:cs="仿宋"/>
          <w:sz w:val="24"/>
        </w:rPr>
        <w:t>声明截止投标时间近三年以来，在</w:t>
      </w:r>
      <w:r>
        <w:rPr>
          <w:rFonts w:hint="eastAsia" w:ascii="仿宋" w:hAnsi="仿宋" w:eastAsia="仿宋" w:cs="仿宋"/>
          <w:kern w:val="0"/>
          <w:sz w:val="24"/>
        </w:rPr>
        <w:t>政府采购领域中</w:t>
      </w:r>
      <w:r>
        <w:rPr>
          <w:rFonts w:hint="eastAsia" w:ascii="仿宋" w:hAnsi="仿宋" w:eastAsia="仿宋" w:cs="仿宋"/>
          <w:sz w:val="24"/>
        </w:rPr>
        <w:t>，在项目招标、投标和合同履约期间无任何不良行为记录和违法、违规行为</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我公司自愿参加</w:t>
      </w:r>
      <w:r>
        <w:rPr>
          <w:rFonts w:hint="eastAsia" w:ascii="仿宋" w:hAnsi="仿宋" w:eastAsia="仿宋" w:cs="仿宋"/>
          <w:sz w:val="24"/>
          <w:u w:val="single"/>
        </w:rPr>
        <w:t>（项目名称                 ）</w:t>
      </w:r>
      <w:r>
        <w:rPr>
          <w:rFonts w:hint="eastAsia" w:ascii="仿宋" w:hAnsi="仿宋" w:eastAsia="仿宋" w:cs="仿宋"/>
          <w:kern w:val="0"/>
          <w:sz w:val="24"/>
          <w:u w:val="single"/>
          <w:lang w:val="zh-CN"/>
        </w:rPr>
        <w:t>【编号：</w:t>
      </w:r>
      <w:r>
        <w:rPr>
          <w:rFonts w:hint="eastAsia" w:ascii="仿宋" w:hAnsi="仿宋" w:eastAsia="仿宋" w:cs="仿宋"/>
          <w:kern w:val="0"/>
          <w:sz w:val="24"/>
          <w:u w:val="single"/>
        </w:rPr>
        <w:t xml:space="preserve">       </w:t>
      </w:r>
      <w:r>
        <w:rPr>
          <w:rFonts w:hint="eastAsia" w:ascii="仿宋" w:hAnsi="仿宋" w:eastAsia="仿宋" w:cs="仿宋"/>
          <w:sz w:val="24"/>
          <w:u w:val="single"/>
        </w:rPr>
        <w:t>】</w:t>
      </w:r>
      <w:r>
        <w:rPr>
          <w:rFonts w:hint="eastAsia" w:ascii="仿宋" w:hAnsi="仿宋" w:eastAsia="仿宋" w:cs="仿宋"/>
          <w:kern w:val="0"/>
          <w:sz w:val="24"/>
          <w:lang w:val="zh-CN"/>
        </w:rPr>
        <w:t>的投标，并保证投标文件中所列举的投标报价文件及相关资料和公司基本情况资料是真实的、合法的。</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我公司已详细阅读全部“采购文件”，包括修改文件（如果有）以及全部采购资料和相关附件，并已了解我公司在招投标过程中的权利和义务。</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我公司理解并接受采购文件的各项规定和要求，同意此次采购文件中的各项内容，</w:t>
      </w:r>
      <w:r>
        <w:rPr>
          <w:rFonts w:hint="eastAsia" w:ascii="仿宋" w:hAnsi="仿宋" w:eastAsia="仿宋" w:cs="仿宋"/>
          <w:kern w:val="0"/>
          <w:sz w:val="24"/>
        </w:rPr>
        <w:t>并</w:t>
      </w:r>
      <w:r>
        <w:rPr>
          <w:rFonts w:hint="eastAsia" w:ascii="仿宋" w:hAnsi="仿宋" w:eastAsia="仿宋" w:cs="仿宋"/>
          <w:kern w:val="0"/>
          <w:sz w:val="24"/>
          <w:lang w:val="zh-CN"/>
        </w:rPr>
        <w:t>同意提供按照贵方可能要求的与投标有关的一切数据或资料等。</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本公司如中标，保证按照投标文件的承诺与贵方签订合同，保证履行合同条款并缴纳履约保证金。</w:t>
      </w:r>
    </w:p>
    <w:p>
      <w:pPr>
        <w:snapToGrid w:val="0"/>
        <w:spacing w:line="360" w:lineRule="auto"/>
        <w:ind w:firstLine="480"/>
        <w:rPr>
          <w:rFonts w:ascii="仿宋" w:hAnsi="仿宋" w:eastAsia="仿宋" w:cs="仿宋"/>
          <w:kern w:val="0"/>
          <w:sz w:val="24"/>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5.非本地投标人售后服务机构证明材料</w:t>
      </w:r>
    </w:p>
    <w:p>
      <w:pPr>
        <w:spacing w:line="360" w:lineRule="auto"/>
        <w:jc w:val="center"/>
        <w:rPr>
          <w:rFonts w:ascii="仿宋" w:hAnsi="仿宋" w:eastAsia="仿宋" w:cs="仿宋"/>
          <w:sz w:val="24"/>
        </w:rPr>
      </w:pPr>
      <w:r>
        <w:rPr>
          <w:rFonts w:hint="eastAsia" w:ascii="仿宋" w:hAnsi="仿宋" w:eastAsia="仿宋" w:cs="仿宋"/>
          <w:sz w:val="24"/>
        </w:rPr>
        <w:t>（由非本地投标人根据采购需求及采购文件要求编制）</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6.所有与符合性审查有关的资信文件（复印件）</w:t>
      </w:r>
    </w:p>
    <w:p>
      <w:pPr>
        <w:spacing w:line="360" w:lineRule="auto"/>
        <w:jc w:val="center"/>
        <w:rPr>
          <w:rFonts w:ascii="仿宋" w:hAnsi="仿宋" w:eastAsia="仿宋" w:cs="仿宋"/>
          <w:b/>
          <w:bCs/>
          <w:sz w:val="32"/>
          <w:szCs w:val="32"/>
        </w:rPr>
      </w:pPr>
      <w:r>
        <w:rPr>
          <w:rFonts w:hint="eastAsia" w:ascii="仿宋" w:hAnsi="仿宋" w:eastAsia="仿宋" w:cs="仿宋"/>
          <w:sz w:val="24"/>
        </w:rPr>
        <w:t>（由投标人根据采购需求及采购文件要求编制）</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7.</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ascii="仿宋" w:hAnsi="仿宋" w:eastAsia="仿宋" w:cs="仿宋"/>
          <w:b/>
          <w:sz w:val="24"/>
        </w:rPr>
      </w:pPr>
      <w:r>
        <w:rPr>
          <w:rFonts w:hint="eastAsia" w:ascii="仿宋" w:hAnsi="仿宋" w:eastAsia="仿宋" w:cs="仿宋"/>
          <w:b/>
          <w:sz w:val="24"/>
        </w:rPr>
        <w:t>附表 :相关项目建设业绩一览表</w:t>
      </w:r>
    </w:p>
    <w:tbl>
      <w:tblPr>
        <w:tblStyle w:val="17"/>
        <w:tblW w:w="9628" w:type="dxa"/>
        <w:tblInd w:w="0" w:type="dxa"/>
        <w:tblLayout w:type="fixed"/>
        <w:tblCellMar>
          <w:top w:w="0" w:type="dxa"/>
          <w:left w:w="108" w:type="dxa"/>
          <w:bottom w:w="0" w:type="dxa"/>
          <w:right w:w="108" w:type="dxa"/>
        </w:tblCellMar>
      </w:tblPr>
      <w:tblGrid>
        <w:gridCol w:w="1968"/>
        <w:gridCol w:w="1040"/>
        <w:gridCol w:w="1651"/>
        <w:gridCol w:w="1230"/>
        <w:gridCol w:w="1312"/>
        <w:gridCol w:w="2427"/>
      </w:tblGrid>
      <w:tr>
        <w:tblPrEx>
          <w:tblLayout w:type="fixed"/>
          <w:tblCellMar>
            <w:top w:w="0" w:type="dxa"/>
            <w:left w:w="108" w:type="dxa"/>
            <w:bottom w:w="0" w:type="dxa"/>
            <w:right w:w="108" w:type="dxa"/>
          </w:tblCellMar>
        </w:tblPrEx>
        <w:trPr>
          <w:trHeight w:val="1177" w:hRule="atLeast"/>
        </w:trPr>
        <w:tc>
          <w:tcPr>
            <w:tcW w:w="19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104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类型</w:t>
            </w:r>
          </w:p>
        </w:tc>
        <w:tc>
          <w:tcPr>
            <w:tcW w:w="16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简要描述</w:t>
            </w:r>
          </w:p>
        </w:tc>
        <w:tc>
          <w:tcPr>
            <w:tcW w:w="12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
                <w:sz w:val="24"/>
              </w:rPr>
            </w:pPr>
            <w:r>
              <w:rPr>
                <w:rFonts w:hint="eastAsia" w:ascii="仿宋" w:hAnsi="仿宋" w:eastAsia="仿宋" w:cs="仿宋"/>
                <w:sz w:val="24"/>
              </w:rPr>
              <w:t>采购成交额（万元）</w:t>
            </w:r>
          </w:p>
        </w:tc>
        <w:tc>
          <w:tcPr>
            <w:tcW w:w="13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完成日期</w:t>
            </w:r>
          </w:p>
        </w:tc>
        <w:tc>
          <w:tcPr>
            <w:tcW w:w="242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采购单位地址与联系电话</w:t>
            </w:r>
          </w:p>
        </w:tc>
      </w:tr>
      <w:tr>
        <w:tblPrEx>
          <w:tblLayout w:type="fixed"/>
          <w:tblCellMar>
            <w:top w:w="0" w:type="dxa"/>
            <w:left w:w="108" w:type="dxa"/>
            <w:bottom w:w="0" w:type="dxa"/>
            <w:right w:w="108" w:type="dxa"/>
          </w:tblCellMar>
        </w:tblPrEx>
        <w:trPr>
          <w:trHeight w:val="560" w:hRule="atLeast"/>
        </w:trPr>
        <w:tc>
          <w:tcPr>
            <w:tcW w:w="196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4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6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242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Layout w:type="fixed"/>
          <w:tblCellMar>
            <w:top w:w="0" w:type="dxa"/>
            <w:left w:w="108" w:type="dxa"/>
            <w:bottom w:w="0" w:type="dxa"/>
            <w:right w:w="108" w:type="dxa"/>
          </w:tblCellMar>
        </w:tblPrEx>
        <w:trPr>
          <w:trHeight w:val="469" w:hRule="atLeast"/>
        </w:trPr>
        <w:tc>
          <w:tcPr>
            <w:tcW w:w="196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4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6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242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Layout w:type="fixed"/>
          <w:tblCellMar>
            <w:top w:w="0" w:type="dxa"/>
            <w:left w:w="108" w:type="dxa"/>
            <w:bottom w:w="0" w:type="dxa"/>
            <w:right w:w="108" w:type="dxa"/>
          </w:tblCellMar>
        </w:tblPrEx>
        <w:trPr>
          <w:trHeight w:val="386" w:hRule="atLeast"/>
        </w:trPr>
        <w:tc>
          <w:tcPr>
            <w:tcW w:w="196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4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6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242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Layout w:type="fixed"/>
          <w:tblCellMar>
            <w:top w:w="0" w:type="dxa"/>
            <w:left w:w="108" w:type="dxa"/>
            <w:bottom w:w="0" w:type="dxa"/>
            <w:right w:w="108" w:type="dxa"/>
          </w:tblCellMar>
        </w:tblPrEx>
        <w:trPr>
          <w:trHeight w:val="401" w:hRule="atLeast"/>
        </w:trPr>
        <w:tc>
          <w:tcPr>
            <w:tcW w:w="196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4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6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242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autoSpaceDE w:val="0"/>
        <w:autoSpaceDN w:val="0"/>
        <w:spacing w:line="360" w:lineRule="auto"/>
        <w:rPr>
          <w:rFonts w:ascii="仿宋" w:hAnsi="仿宋" w:eastAsia="仿宋" w:cs="仿宋"/>
          <w:sz w:val="24"/>
        </w:rPr>
      </w:pPr>
      <w:r>
        <w:rPr>
          <w:rFonts w:hint="eastAsia" w:ascii="仿宋" w:hAnsi="仿宋" w:eastAsia="仿宋" w:cs="仿宋"/>
          <w:b/>
          <w:sz w:val="24"/>
        </w:rPr>
        <w:t>注：投标人可按上述的格式自行编制，须随表提交相应的合同复印件和用户单位验收证明。</w:t>
      </w: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 xml:space="preserve">投标人名称（公章）：                       </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 xml:space="preserve">                                      法定代表人或其授权代表（签字）：                   </w:t>
      </w:r>
    </w:p>
    <w:p>
      <w:pPr>
        <w:spacing w:line="360" w:lineRule="auto"/>
        <w:rPr>
          <w:rFonts w:ascii="仿宋" w:hAnsi="仿宋" w:eastAsia="仿宋" w:cs="仿宋"/>
          <w:kern w:val="0"/>
          <w:sz w:val="24"/>
        </w:rPr>
      </w:pPr>
      <w:r>
        <w:rPr>
          <w:rFonts w:hint="eastAsia" w:ascii="仿宋" w:hAnsi="仿宋" w:eastAsia="仿宋" w:cs="仿宋"/>
          <w:kern w:val="0"/>
          <w:sz w:val="24"/>
        </w:rPr>
        <w:t xml:space="preserve">                                      日期：  年  月   日</w:t>
      </w:r>
    </w:p>
    <w:p>
      <w:pPr>
        <w:spacing w:line="360" w:lineRule="auto"/>
        <w:rPr>
          <w:rFonts w:ascii="仿宋" w:hAnsi="仿宋" w:eastAsia="仿宋" w:cs="仿宋"/>
          <w:b/>
          <w:bCs/>
          <w:sz w:val="32"/>
          <w:szCs w:val="32"/>
        </w:rPr>
      </w:pPr>
      <w:r>
        <w:rPr>
          <w:rFonts w:hint="eastAsia" w:ascii="仿宋" w:hAnsi="仿宋" w:eastAsia="仿宋" w:cs="仿宋"/>
          <w:b/>
          <w:bCs/>
          <w:sz w:val="32"/>
          <w:szCs w:val="32"/>
        </w:rPr>
        <w:t>8.</w:t>
      </w:r>
      <w:r>
        <w:rPr>
          <w:rFonts w:hint="eastAsia" w:ascii="仿宋" w:hAnsi="仿宋" w:eastAsia="仿宋" w:cs="仿宋"/>
          <w:b/>
          <w:sz w:val="32"/>
          <w:szCs w:val="32"/>
        </w:rPr>
        <w:t>商务偏离说明表</w:t>
      </w:r>
    </w:p>
    <w:p>
      <w:pPr>
        <w:spacing w:line="360" w:lineRule="auto"/>
        <w:rPr>
          <w:rFonts w:ascii="仿宋" w:hAnsi="仿宋" w:eastAsia="仿宋" w:cs="仿宋"/>
          <w:sz w:val="24"/>
        </w:rPr>
      </w:pPr>
      <w:r>
        <w:rPr>
          <w:rFonts w:hint="eastAsia" w:ascii="仿宋" w:hAnsi="仿宋" w:eastAsia="仿宋" w:cs="仿宋"/>
          <w:sz w:val="24"/>
        </w:rPr>
        <w:t xml:space="preserve">                                                    </w:t>
      </w:r>
    </w:p>
    <w:tbl>
      <w:tblPr>
        <w:tblStyle w:val="17"/>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857"/>
        <w:gridCol w:w="1950"/>
        <w:gridCol w:w="1410"/>
        <w:gridCol w:w="114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2" w:type="dxa"/>
            <w:vAlign w:val="center"/>
          </w:tcPr>
          <w:p>
            <w:pPr>
              <w:spacing w:line="360" w:lineRule="auto"/>
              <w:jc w:val="center"/>
              <w:rPr>
                <w:rFonts w:ascii="仿宋" w:hAnsi="仿宋" w:eastAsia="仿宋" w:cs="仿宋"/>
                <w:sz w:val="24"/>
              </w:rPr>
            </w:pPr>
            <w:r>
              <w:rPr>
                <w:rFonts w:hint="eastAsia" w:ascii="仿宋" w:hAnsi="仿宋" w:eastAsia="仿宋" w:cs="仿宋"/>
                <w:sz w:val="24"/>
              </w:rPr>
              <w:t>采购文件条目号</w:t>
            </w:r>
          </w:p>
        </w:tc>
        <w:tc>
          <w:tcPr>
            <w:tcW w:w="1857" w:type="dxa"/>
            <w:vAlign w:val="center"/>
          </w:tcPr>
          <w:p>
            <w:pPr>
              <w:spacing w:line="360" w:lineRule="auto"/>
              <w:jc w:val="center"/>
              <w:rPr>
                <w:rFonts w:ascii="仿宋" w:hAnsi="仿宋" w:eastAsia="仿宋" w:cs="仿宋"/>
                <w:sz w:val="24"/>
              </w:rPr>
            </w:pPr>
            <w:r>
              <w:rPr>
                <w:rFonts w:hint="eastAsia" w:ascii="仿宋" w:hAnsi="仿宋" w:eastAsia="仿宋" w:cs="仿宋"/>
                <w:sz w:val="24"/>
              </w:rPr>
              <w:t>采购文件商务条款</w:t>
            </w:r>
          </w:p>
        </w:tc>
        <w:tc>
          <w:tcPr>
            <w:tcW w:w="1950"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投标文件商务条款</w:t>
            </w:r>
          </w:p>
        </w:tc>
        <w:tc>
          <w:tcPr>
            <w:tcW w:w="1410"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投标响应</w:t>
            </w:r>
          </w:p>
        </w:tc>
        <w:tc>
          <w:tcPr>
            <w:tcW w:w="1140" w:type="dxa"/>
            <w:vAlign w:val="center"/>
          </w:tcPr>
          <w:p>
            <w:pPr>
              <w:spacing w:line="360" w:lineRule="auto"/>
              <w:jc w:val="center"/>
              <w:rPr>
                <w:rFonts w:ascii="仿宋" w:hAnsi="仿宋" w:eastAsia="仿宋" w:cs="仿宋"/>
                <w:sz w:val="24"/>
              </w:rPr>
            </w:pPr>
            <w:r>
              <w:rPr>
                <w:rFonts w:hint="eastAsia" w:ascii="仿宋" w:hAnsi="仿宋" w:eastAsia="仿宋" w:cs="仿宋"/>
                <w:sz w:val="24"/>
              </w:rPr>
              <w:t>偏离</w:t>
            </w:r>
          </w:p>
        </w:tc>
        <w:tc>
          <w:tcPr>
            <w:tcW w:w="1050" w:type="dxa"/>
            <w:vAlign w:val="center"/>
          </w:tcPr>
          <w:p>
            <w:pPr>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2" w:type="dxa"/>
          </w:tcPr>
          <w:p>
            <w:pPr>
              <w:spacing w:line="360" w:lineRule="auto"/>
              <w:jc w:val="center"/>
              <w:rPr>
                <w:rFonts w:ascii="仿宋" w:hAnsi="仿宋" w:eastAsia="仿宋" w:cs="仿宋"/>
                <w:sz w:val="24"/>
              </w:rPr>
            </w:pPr>
            <w:r>
              <w:rPr>
                <w:rFonts w:hint="eastAsia" w:ascii="仿宋" w:hAnsi="仿宋" w:eastAsia="仿宋" w:cs="仿宋"/>
                <w:sz w:val="24"/>
              </w:rPr>
              <w:t>需详细填写</w:t>
            </w:r>
          </w:p>
        </w:tc>
        <w:tc>
          <w:tcPr>
            <w:tcW w:w="1857" w:type="dxa"/>
          </w:tcPr>
          <w:p>
            <w:pPr>
              <w:spacing w:line="360" w:lineRule="auto"/>
              <w:jc w:val="center"/>
              <w:rPr>
                <w:rFonts w:ascii="仿宋" w:hAnsi="仿宋" w:eastAsia="仿宋" w:cs="仿宋"/>
                <w:sz w:val="24"/>
              </w:rPr>
            </w:pPr>
            <w:r>
              <w:rPr>
                <w:rFonts w:hint="eastAsia" w:ascii="仿宋" w:hAnsi="仿宋" w:eastAsia="仿宋" w:cs="仿宋"/>
                <w:sz w:val="24"/>
              </w:rPr>
              <w:t>需详细填写</w:t>
            </w:r>
          </w:p>
        </w:tc>
        <w:tc>
          <w:tcPr>
            <w:tcW w:w="1950" w:type="dxa"/>
          </w:tcPr>
          <w:p>
            <w:pPr>
              <w:spacing w:line="360" w:lineRule="auto"/>
              <w:jc w:val="center"/>
              <w:rPr>
                <w:rFonts w:ascii="仿宋" w:hAnsi="仿宋" w:eastAsia="仿宋" w:cs="仿宋"/>
                <w:sz w:val="24"/>
              </w:rPr>
            </w:pPr>
            <w:r>
              <w:rPr>
                <w:rFonts w:hint="eastAsia" w:ascii="仿宋" w:hAnsi="仿宋" w:eastAsia="仿宋" w:cs="仿宋"/>
                <w:sz w:val="24"/>
              </w:rPr>
              <w:t>需详细填写</w:t>
            </w:r>
          </w:p>
        </w:tc>
        <w:tc>
          <w:tcPr>
            <w:tcW w:w="1410" w:type="dxa"/>
          </w:tcPr>
          <w:p>
            <w:pPr>
              <w:spacing w:line="360" w:lineRule="auto"/>
              <w:jc w:val="center"/>
              <w:rPr>
                <w:rFonts w:ascii="仿宋" w:hAnsi="仿宋" w:eastAsia="仿宋" w:cs="仿宋"/>
                <w:sz w:val="24"/>
              </w:rPr>
            </w:pPr>
            <w:r>
              <w:rPr>
                <w:rFonts w:hint="eastAsia" w:ascii="仿宋" w:hAnsi="仿宋" w:eastAsia="仿宋" w:cs="仿宋"/>
                <w:sz w:val="24"/>
              </w:rPr>
              <w:t>填写是否响应</w:t>
            </w:r>
          </w:p>
        </w:tc>
        <w:tc>
          <w:tcPr>
            <w:tcW w:w="1140" w:type="dxa"/>
          </w:tcPr>
          <w:p>
            <w:pPr>
              <w:spacing w:line="360" w:lineRule="auto"/>
              <w:jc w:val="center"/>
              <w:rPr>
                <w:rFonts w:ascii="仿宋" w:hAnsi="仿宋" w:eastAsia="仿宋" w:cs="仿宋"/>
                <w:sz w:val="24"/>
              </w:rPr>
            </w:pPr>
            <w:r>
              <w:rPr>
                <w:rFonts w:hint="eastAsia" w:ascii="仿宋" w:hAnsi="仿宋" w:eastAsia="仿宋" w:cs="仿宋"/>
                <w:sz w:val="24"/>
              </w:rPr>
              <w:t>填写偏离情况</w:t>
            </w:r>
          </w:p>
        </w:tc>
        <w:tc>
          <w:tcPr>
            <w:tcW w:w="1050" w:type="dxa"/>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2" w:type="dxa"/>
          </w:tcPr>
          <w:p>
            <w:pPr>
              <w:spacing w:line="360" w:lineRule="auto"/>
              <w:jc w:val="center"/>
              <w:rPr>
                <w:rFonts w:ascii="仿宋" w:hAnsi="仿宋" w:eastAsia="仿宋" w:cs="仿宋"/>
                <w:sz w:val="24"/>
              </w:rPr>
            </w:pPr>
            <w:r>
              <w:rPr>
                <w:rFonts w:hint="eastAsia" w:ascii="仿宋" w:hAnsi="仿宋" w:eastAsia="仿宋" w:cs="仿宋"/>
                <w:sz w:val="24"/>
              </w:rPr>
              <w:t xml:space="preserve">  ：</w:t>
            </w:r>
          </w:p>
        </w:tc>
        <w:tc>
          <w:tcPr>
            <w:tcW w:w="1857" w:type="dxa"/>
          </w:tcPr>
          <w:p>
            <w:pPr>
              <w:spacing w:line="360" w:lineRule="auto"/>
              <w:jc w:val="center"/>
              <w:rPr>
                <w:rFonts w:ascii="仿宋" w:hAnsi="仿宋" w:eastAsia="仿宋" w:cs="仿宋"/>
                <w:sz w:val="24"/>
              </w:rPr>
            </w:pPr>
            <w:r>
              <w:rPr>
                <w:rFonts w:hint="eastAsia" w:ascii="仿宋" w:hAnsi="仿宋" w:eastAsia="仿宋" w:cs="仿宋"/>
                <w:sz w:val="24"/>
              </w:rPr>
              <w:t>：</w:t>
            </w:r>
          </w:p>
        </w:tc>
        <w:tc>
          <w:tcPr>
            <w:tcW w:w="1950" w:type="dxa"/>
          </w:tcPr>
          <w:p>
            <w:pPr>
              <w:spacing w:line="360" w:lineRule="auto"/>
              <w:jc w:val="center"/>
              <w:rPr>
                <w:rFonts w:ascii="仿宋" w:hAnsi="仿宋" w:eastAsia="仿宋" w:cs="仿宋"/>
                <w:sz w:val="24"/>
              </w:rPr>
            </w:pPr>
            <w:r>
              <w:rPr>
                <w:rFonts w:hint="eastAsia" w:ascii="仿宋" w:hAnsi="仿宋" w:eastAsia="仿宋" w:cs="仿宋"/>
                <w:sz w:val="24"/>
              </w:rPr>
              <w:t>：</w:t>
            </w:r>
          </w:p>
        </w:tc>
        <w:tc>
          <w:tcPr>
            <w:tcW w:w="1410" w:type="dxa"/>
          </w:tcPr>
          <w:p>
            <w:pPr>
              <w:spacing w:line="360" w:lineRule="auto"/>
              <w:jc w:val="center"/>
              <w:rPr>
                <w:rFonts w:ascii="仿宋" w:hAnsi="仿宋" w:eastAsia="仿宋" w:cs="仿宋"/>
                <w:sz w:val="24"/>
              </w:rPr>
            </w:pPr>
            <w:r>
              <w:rPr>
                <w:rFonts w:hint="eastAsia" w:ascii="仿宋" w:hAnsi="仿宋" w:eastAsia="仿宋" w:cs="仿宋"/>
                <w:sz w:val="24"/>
              </w:rPr>
              <w:t>：</w:t>
            </w:r>
          </w:p>
        </w:tc>
        <w:tc>
          <w:tcPr>
            <w:tcW w:w="1140" w:type="dxa"/>
          </w:tcPr>
          <w:p>
            <w:pPr>
              <w:spacing w:line="360" w:lineRule="auto"/>
              <w:jc w:val="center"/>
              <w:rPr>
                <w:rFonts w:ascii="仿宋" w:hAnsi="仿宋" w:eastAsia="仿宋" w:cs="仿宋"/>
                <w:sz w:val="24"/>
              </w:rPr>
            </w:pPr>
            <w:r>
              <w:rPr>
                <w:rFonts w:hint="eastAsia" w:ascii="仿宋" w:hAnsi="仿宋" w:eastAsia="仿宋" w:cs="仿宋"/>
                <w:sz w:val="24"/>
              </w:rPr>
              <w:t>：</w:t>
            </w:r>
          </w:p>
        </w:tc>
        <w:tc>
          <w:tcPr>
            <w:tcW w:w="1050" w:type="dxa"/>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2" w:type="dxa"/>
          </w:tcPr>
          <w:p>
            <w:pPr>
              <w:spacing w:line="360" w:lineRule="auto"/>
              <w:rPr>
                <w:rFonts w:ascii="仿宋" w:hAnsi="仿宋" w:eastAsia="仿宋" w:cs="仿宋"/>
                <w:sz w:val="24"/>
              </w:rPr>
            </w:pPr>
            <w:r>
              <w:rPr>
                <w:rFonts w:hint="eastAsia" w:ascii="仿宋" w:hAnsi="仿宋" w:eastAsia="仿宋" w:cs="仿宋"/>
                <w:sz w:val="24"/>
              </w:rPr>
              <w:t xml:space="preserve">       :</w:t>
            </w:r>
          </w:p>
        </w:tc>
        <w:tc>
          <w:tcPr>
            <w:tcW w:w="1857" w:type="dxa"/>
          </w:tcPr>
          <w:p>
            <w:pPr>
              <w:spacing w:line="360" w:lineRule="auto"/>
              <w:jc w:val="center"/>
              <w:rPr>
                <w:rFonts w:ascii="仿宋" w:hAnsi="仿宋" w:eastAsia="仿宋" w:cs="仿宋"/>
                <w:sz w:val="24"/>
              </w:rPr>
            </w:pPr>
            <w:r>
              <w:rPr>
                <w:rFonts w:hint="eastAsia" w:ascii="仿宋" w:hAnsi="仿宋" w:eastAsia="仿宋" w:cs="仿宋"/>
                <w:sz w:val="24"/>
              </w:rPr>
              <w:t>：</w:t>
            </w:r>
          </w:p>
        </w:tc>
        <w:tc>
          <w:tcPr>
            <w:tcW w:w="1950" w:type="dxa"/>
          </w:tcPr>
          <w:p>
            <w:pPr>
              <w:spacing w:line="360" w:lineRule="auto"/>
              <w:jc w:val="center"/>
              <w:rPr>
                <w:rFonts w:ascii="仿宋" w:hAnsi="仿宋" w:eastAsia="仿宋" w:cs="仿宋"/>
                <w:sz w:val="24"/>
              </w:rPr>
            </w:pPr>
            <w:r>
              <w:rPr>
                <w:rFonts w:hint="eastAsia" w:ascii="仿宋" w:hAnsi="仿宋" w:eastAsia="仿宋" w:cs="仿宋"/>
                <w:sz w:val="24"/>
              </w:rPr>
              <w:t>：</w:t>
            </w:r>
          </w:p>
        </w:tc>
        <w:tc>
          <w:tcPr>
            <w:tcW w:w="1410" w:type="dxa"/>
          </w:tcPr>
          <w:p>
            <w:pPr>
              <w:spacing w:line="360" w:lineRule="auto"/>
              <w:jc w:val="center"/>
              <w:rPr>
                <w:rFonts w:ascii="仿宋" w:hAnsi="仿宋" w:eastAsia="仿宋" w:cs="仿宋"/>
                <w:sz w:val="24"/>
              </w:rPr>
            </w:pPr>
            <w:r>
              <w:rPr>
                <w:rFonts w:hint="eastAsia" w:ascii="仿宋" w:hAnsi="仿宋" w:eastAsia="仿宋" w:cs="仿宋"/>
                <w:sz w:val="24"/>
              </w:rPr>
              <w:t>：</w:t>
            </w:r>
          </w:p>
        </w:tc>
        <w:tc>
          <w:tcPr>
            <w:tcW w:w="1140" w:type="dxa"/>
          </w:tcPr>
          <w:p>
            <w:pPr>
              <w:spacing w:line="360" w:lineRule="auto"/>
              <w:jc w:val="center"/>
              <w:rPr>
                <w:rFonts w:ascii="仿宋" w:hAnsi="仿宋" w:eastAsia="仿宋" w:cs="仿宋"/>
                <w:sz w:val="24"/>
              </w:rPr>
            </w:pPr>
            <w:r>
              <w:rPr>
                <w:rFonts w:hint="eastAsia" w:ascii="仿宋" w:hAnsi="仿宋" w:eastAsia="仿宋" w:cs="仿宋"/>
                <w:sz w:val="24"/>
              </w:rPr>
              <w:t>：</w:t>
            </w:r>
          </w:p>
        </w:tc>
        <w:tc>
          <w:tcPr>
            <w:tcW w:w="1050"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2" w:type="dxa"/>
          </w:tcPr>
          <w:p>
            <w:pPr>
              <w:spacing w:line="360" w:lineRule="auto"/>
              <w:jc w:val="center"/>
              <w:rPr>
                <w:rFonts w:ascii="仿宋" w:hAnsi="仿宋" w:eastAsia="仿宋" w:cs="仿宋"/>
                <w:sz w:val="24"/>
              </w:rPr>
            </w:pPr>
            <w:r>
              <w:rPr>
                <w:rFonts w:hint="eastAsia" w:ascii="仿宋" w:hAnsi="仿宋" w:eastAsia="仿宋" w:cs="仿宋"/>
                <w:sz w:val="24"/>
              </w:rPr>
              <w:t xml:space="preserve">  ：</w:t>
            </w:r>
          </w:p>
        </w:tc>
        <w:tc>
          <w:tcPr>
            <w:tcW w:w="1857" w:type="dxa"/>
          </w:tcPr>
          <w:p>
            <w:pPr>
              <w:spacing w:line="360" w:lineRule="auto"/>
              <w:jc w:val="center"/>
              <w:rPr>
                <w:rFonts w:ascii="仿宋" w:hAnsi="仿宋" w:eastAsia="仿宋" w:cs="仿宋"/>
                <w:sz w:val="24"/>
              </w:rPr>
            </w:pPr>
            <w:r>
              <w:rPr>
                <w:rFonts w:hint="eastAsia" w:ascii="仿宋" w:hAnsi="仿宋" w:eastAsia="仿宋" w:cs="仿宋"/>
                <w:sz w:val="24"/>
              </w:rPr>
              <w:t>：</w:t>
            </w:r>
          </w:p>
        </w:tc>
        <w:tc>
          <w:tcPr>
            <w:tcW w:w="1950" w:type="dxa"/>
          </w:tcPr>
          <w:p>
            <w:pPr>
              <w:spacing w:line="360" w:lineRule="auto"/>
              <w:jc w:val="center"/>
              <w:rPr>
                <w:rFonts w:ascii="仿宋" w:hAnsi="仿宋" w:eastAsia="仿宋" w:cs="仿宋"/>
                <w:sz w:val="24"/>
              </w:rPr>
            </w:pPr>
            <w:r>
              <w:rPr>
                <w:rFonts w:hint="eastAsia" w:ascii="仿宋" w:hAnsi="仿宋" w:eastAsia="仿宋" w:cs="仿宋"/>
                <w:sz w:val="24"/>
              </w:rPr>
              <w:t>：</w:t>
            </w:r>
          </w:p>
        </w:tc>
        <w:tc>
          <w:tcPr>
            <w:tcW w:w="1410" w:type="dxa"/>
          </w:tcPr>
          <w:p>
            <w:pPr>
              <w:spacing w:line="360" w:lineRule="auto"/>
              <w:jc w:val="center"/>
              <w:rPr>
                <w:rFonts w:ascii="仿宋" w:hAnsi="仿宋" w:eastAsia="仿宋" w:cs="仿宋"/>
                <w:sz w:val="24"/>
              </w:rPr>
            </w:pPr>
            <w:r>
              <w:rPr>
                <w:rFonts w:hint="eastAsia" w:ascii="仿宋" w:hAnsi="仿宋" w:eastAsia="仿宋" w:cs="仿宋"/>
                <w:sz w:val="24"/>
              </w:rPr>
              <w:t>：</w:t>
            </w:r>
          </w:p>
        </w:tc>
        <w:tc>
          <w:tcPr>
            <w:tcW w:w="1140" w:type="dxa"/>
          </w:tcPr>
          <w:p>
            <w:pPr>
              <w:spacing w:line="360" w:lineRule="auto"/>
              <w:jc w:val="center"/>
              <w:rPr>
                <w:rFonts w:ascii="仿宋" w:hAnsi="仿宋" w:eastAsia="仿宋" w:cs="仿宋"/>
                <w:sz w:val="24"/>
              </w:rPr>
            </w:pPr>
            <w:r>
              <w:rPr>
                <w:rFonts w:hint="eastAsia" w:ascii="仿宋" w:hAnsi="仿宋" w:eastAsia="仿宋" w:cs="仿宋"/>
                <w:sz w:val="24"/>
              </w:rPr>
              <w:t>：</w:t>
            </w:r>
          </w:p>
        </w:tc>
        <w:tc>
          <w:tcPr>
            <w:tcW w:w="1050"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2" w:type="dxa"/>
          </w:tcPr>
          <w:p>
            <w:pPr>
              <w:spacing w:line="360" w:lineRule="auto"/>
              <w:rPr>
                <w:rFonts w:ascii="仿宋" w:hAnsi="仿宋" w:eastAsia="仿宋" w:cs="仿宋"/>
                <w:sz w:val="24"/>
              </w:rPr>
            </w:pPr>
            <w:r>
              <w:rPr>
                <w:rFonts w:hint="eastAsia" w:ascii="仿宋" w:hAnsi="仿宋" w:eastAsia="仿宋" w:cs="仿宋"/>
                <w:sz w:val="24"/>
              </w:rPr>
              <w:t xml:space="preserve">       :</w:t>
            </w:r>
          </w:p>
        </w:tc>
        <w:tc>
          <w:tcPr>
            <w:tcW w:w="1857" w:type="dxa"/>
          </w:tcPr>
          <w:p>
            <w:pPr>
              <w:spacing w:line="360" w:lineRule="auto"/>
              <w:jc w:val="center"/>
              <w:rPr>
                <w:rFonts w:ascii="仿宋" w:hAnsi="仿宋" w:eastAsia="仿宋" w:cs="仿宋"/>
                <w:sz w:val="24"/>
              </w:rPr>
            </w:pPr>
            <w:r>
              <w:rPr>
                <w:rFonts w:hint="eastAsia" w:ascii="仿宋" w:hAnsi="仿宋" w:eastAsia="仿宋" w:cs="仿宋"/>
                <w:sz w:val="24"/>
              </w:rPr>
              <w:t>：</w:t>
            </w:r>
          </w:p>
        </w:tc>
        <w:tc>
          <w:tcPr>
            <w:tcW w:w="1950" w:type="dxa"/>
          </w:tcPr>
          <w:p>
            <w:pPr>
              <w:spacing w:line="360" w:lineRule="auto"/>
              <w:jc w:val="center"/>
              <w:rPr>
                <w:rFonts w:ascii="仿宋" w:hAnsi="仿宋" w:eastAsia="仿宋" w:cs="仿宋"/>
                <w:sz w:val="24"/>
              </w:rPr>
            </w:pPr>
            <w:r>
              <w:rPr>
                <w:rFonts w:hint="eastAsia" w:ascii="仿宋" w:hAnsi="仿宋" w:eastAsia="仿宋" w:cs="仿宋"/>
                <w:sz w:val="24"/>
              </w:rPr>
              <w:t>：</w:t>
            </w:r>
          </w:p>
        </w:tc>
        <w:tc>
          <w:tcPr>
            <w:tcW w:w="1410" w:type="dxa"/>
          </w:tcPr>
          <w:p>
            <w:pPr>
              <w:spacing w:line="360" w:lineRule="auto"/>
              <w:jc w:val="center"/>
              <w:rPr>
                <w:rFonts w:ascii="仿宋" w:hAnsi="仿宋" w:eastAsia="仿宋" w:cs="仿宋"/>
                <w:sz w:val="24"/>
              </w:rPr>
            </w:pPr>
            <w:r>
              <w:rPr>
                <w:rFonts w:hint="eastAsia" w:ascii="仿宋" w:hAnsi="仿宋" w:eastAsia="仿宋" w:cs="仿宋"/>
                <w:sz w:val="24"/>
              </w:rPr>
              <w:t>：</w:t>
            </w:r>
          </w:p>
        </w:tc>
        <w:tc>
          <w:tcPr>
            <w:tcW w:w="1140" w:type="dxa"/>
          </w:tcPr>
          <w:p>
            <w:pPr>
              <w:spacing w:line="360" w:lineRule="auto"/>
              <w:jc w:val="center"/>
              <w:rPr>
                <w:rFonts w:ascii="仿宋" w:hAnsi="仿宋" w:eastAsia="仿宋" w:cs="仿宋"/>
                <w:sz w:val="24"/>
              </w:rPr>
            </w:pPr>
            <w:r>
              <w:rPr>
                <w:rFonts w:hint="eastAsia" w:ascii="仿宋" w:hAnsi="仿宋" w:eastAsia="仿宋" w:cs="仿宋"/>
                <w:sz w:val="24"/>
              </w:rPr>
              <w:t>：</w:t>
            </w:r>
          </w:p>
        </w:tc>
        <w:tc>
          <w:tcPr>
            <w:tcW w:w="1050"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2" w:type="dxa"/>
            <w:vAlign w:val="center"/>
          </w:tcPr>
          <w:p>
            <w:pPr>
              <w:spacing w:line="360" w:lineRule="auto"/>
              <w:jc w:val="center"/>
              <w:rPr>
                <w:rFonts w:ascii="仿宋" w:hAnsi="仿宋" w:eastAsia="仿宋" w:cs="仿宋"/>
                <w:sz w:val="24"/>
              </w:rPr>
            </w:pPr>
            <w:r>
              <w:rPr>
                <w:rFonts w:hint="eastAsia" w:ascii="仿宋" w:hAnsi="仿宋" w:eastAsia="仿宋" w:cs="仿宋"/>
                <w:sz w:val="24"/>
              </w:rPr>
              <w:t xml:space="preserve"> ：</w:t>
            </w:r>
          </w:p>
        </w:tc>
        <w:tc>
          <w:tcPr>
            <w:tcW w:w="1857"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950"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410"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140"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050" w:type="dxa"/>
          </w:tcPr>
          <w:p>
            <w:pPr>
              <w:spacing w:line="360" w:lineRule="auto"/>
              <w:rPr>
                <w:rFonts w:ascii="仿宋" w:hAnsi="仿宋" w:eastAsia="仿宋" w:cs="仿宋"/>
                <w:sz w:val="24"/>
              </w:rPr>
            </w:pPr>
          </w:p>
        </w:tc>
      </w:tr>
    </w:tbl>
    <w:p>
      <w:pPr>
        <w:autoSpaceDE w:val="0"/>
        <w:autoSpaceDN w:val="0"/>
        <w:spacing w:line="360" w:lineRule="auto"/>
        <w:rPr>
          <w:rFonts w:ascii="仿宋" w:hAnsi="仿宋" w:eastAsia="仿宋" w:cs="仿宋"/>
          <w:b/>
          <w:sz w:val="28"/>
          <w:szCs w:val="28"/>
        </w:rPr>
      </w:pPr>
      <w:r>
        <w:rPr>
          <w:rFonts w:hint="eastAsia" w:ascii="仿宋" w:hAnsi="仿宋" w:eastAsia="仿宋" w:cs="仿宋"/>
          <w:kern w:val="0"/>
          <w:sz w:val="24"/>
        </w:rPr>
        <w:t>注：</w:t>
      </w:r>
      <w:r>
        <w:rPr>
          <w:rFonts w:hint="eastAsia" w:ascii="仿宋" w:hAnsi="仿宋" w:eastAsia="仿宋" w:cs="仿宋"/>
          <w:b/>
          <w:sz w:val="24"/>
        </w:rPr>
        <w:t>投标人可按上述的格式自行自行增减表格，但对于采购文件中的商务条款内容必须填写完整。</w:t>
      </w:r>
    </w:p>
    <w:p>
      <w:pPr>
        <w:autoSpaceDE w:val="0"/>
        <w:autoSpaceDN w:val="0"/>
        <w:spacing w:line="360" w:lineRule="auto"/>
        <w:ind w:firstLine="5760" w:firstLineChars="2400"/>
        <w:rPr>
          <w:rFonts w:ascii="仿宋" w:hAnsi="仿宋" w:eastAsia="仿宋" w:cs="仿宋"/>
          <w:kern w:val="0"/>
          <w:sz w:val="24"/>
        </w:rPr>
      </w:pPr>
      <w:r>
        <w:rPr>
          <w:rFonts w:hint="eastAsia" w:ascii="仿宋" w:hAnsi="仿宋" w:eastAsia="仿宋" w:cs="仿宋"/>
          <w:kern w:val="0"/>
          <w:sz w:val="24"/>
          <w:lang w:val="zh-CN"/>
        </w:rPr>
        <w:t xml:space="preserve">投标人名称（公章）：      </w:t>
      </w:r>
    </w:p>
    <w:p>
      <w:pPr>
        <w:autoSpaceDE w:val="0"/>
        <w:autoSpaceDN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法定代表人或其授权代表（签字）：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rPr>
          <w:rFonts w:ascii="仿宋" w:hAnsi="仿宋" w:eastAsia="仿宋" w:cs="仿宋"/>
          <w:kern w:val="0"/>
          <w:sz w:val="24"/>
          <w:lang w:val="zh-CN"/>
        </w:rPr>
      </w:pPr>
    </w:p>
    <w:p>
      <w:pPr>
        <w:spacing w:line="360" w:lineRule="auto"/>
        <w:jc w:val="center"/>
        <w:rPr>
          <w:rFonts w:ascii="仿宋" w:hAnsi="仿宋" w:eastAsia="仿宋" w:cs="仿宋"/>
          <w:b/>
          <w:kern w:val="0"/>
          <w:sz w:val="32"/>
          <w:szCs w:val="32"/>
          <w:lang w:val="zh-CN"/>
        </w:rPr>
      </w:pPr>
      <w:bookmarkStart w:id="159" w:name="OLE_LINK16"/>
      <w:bookmarkStart w:id="160" w:name="OLE_LINK17"/>
      <w:r>
        <w:rPr>
          <w:rFonts w:hint="eastAsia" w:ascii="仿宋" w:hAnsi="仿宋" w:eastAsia="仿宋" w:cs="仿宋"/>
          <w:b/>
          <w:bCs/>
          <w:sz w:val="32"/>
          <w:szCs w:val="32"/>
        </w:rPr>
        <w:t>9.其他商务文件或说明（如中小企业声明函、资格确认意见书）</w:t>
      </w:r>
    </w:p>
    <w:p>
      <w:pPr>
        <w:spacing w:line="360" w:lineRule="auto"/>
        <w:jc w:val="center"/>
        <w:rPr>
          <w:rFonts w:ascii="仿宋" w:hAnsi="仿宋" w:eastAsia="仿宋" w:cs="仿宋"/>
          <w:sz w:val="24"/>
        </w:rPr>
      </w:pPr>
      <w:r>
        <w:rPr>
          <w:rFonts w:hint="eastAsia" w:ascii="仿宋" w:hAnsi="仿宋" w:eastAsia="仿宋" w:cs="仿宋"/>
          <w:sz w:val="24"/>
        </w:rPr>
        <w:t>（</w:t>
      </w:r>
      <w:bookmarkStart w:id="161" w:name="OLE_LINK11"/>
      <w:bookmarkStart w:id="162" w:name="OLE_LINK10"/>
      <w:r>
        <w:rPr>
          <w:rFonts w:hint="eastAsia" w:ascii="仿宋" w:hAnsi="仿宋" w:eastAsia="仿宋" w:cs="仿宋"/>
          <w:sz w:val="24"/>
        </w:rPr>
        <w:t>中小企业声明函等见附件，其他商务文件或说明由投标人根据采购需求自行编制</w:t>
      </w:r>
      <w:bookmarkEnd w:id="161"/>
      <w:bookmarkEnd w:id="162"/>
      <w:r>
        <w:rPr>
          <w:rFonts w:hint="eastAsia" w:ascii="仿宋" w:hAnsi="仿宋" w:eastAsia="仿宋" w:cs="仿宋"/>
          <w:sz w:val="24"/>
        </w:rPr>
        <w:t>）</w:t>
      </w:r>
    </w:p>
    <w:bookmarkEnd w:id="159"/>
    <w:bookmarkEnd w:id="160"/>
    <w:p>
      <w:pPr>
        <w:spacing w:line="360" w:lineRule="auto"/>
        <w:jc w:val="center"/>
        <w:rPr>
          <w:rFonts w:ascii="仿宋" w:hAnsi="仿宋" w:eastAsia="仿宋" w:cs="仿宋"/>
          <w:sz w:val="24"/>
        </w:rPr>
      </w:pPr>
    </w:p>
    <w:p>
      <w:pPr>
        <w:autoSpaceDE w:val="0"/>
        <w:autoSpaceDN w:val="0"/>
        <w:spacing w:line="360" w:lineRule="auto"/>
        <w:ind w:firstLine="4800" w:firstLineChars="2000"/>
        <w:rPr>
          <w:rFonts w:ascii="仿宋" w:hAnsi="仿宋" w:eastAsia="仿宋" w:cs="仿宋"/>
          <w:kern w:val="0"/>
          <w:sz w:val="24"/>
        </w:rPr>
      </w:pPr>
      <w:r>
        <w:rPr>
          <w:rFonts w:hint="eastAsia" w:ascii="仿宋" w:hAnsi="仿宋" w:eastAsia="仿宋" w:cs="仿宋"/>
          <w:kern w:val="0"/>
          <w:sz w:val="24"/>
          <w:lang w:val="zh-CN"/>
        </w:rPr>
        <w:t xml:space="preserve">投标人名称（公章）：      </w:t>
      </w:r>
    </w:p>
    <w:p>
      <w:pPr>
        <w:autoSpaceDE w:val="0"/>
        <w:autoSpaceDN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法定代表人或其授权代表（签字）： </w:t>
      </w:r>
    </w:p>
    <w:p>
      <w:pPr>
        <w:spacing w:line="360" w:lineRule="auto"/>
        <w:ind w:firstLine="1070" w:firstLineChars="446"/>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rPr>
          <w:rFonts w:ascii="仿宋" w:hAnsi="仿宋" w:eastAsia="仿宋" w:cs="仿宋"/>
          <w:b/>
          <w:bCs/>
          <w:kern w:val="0"/>
          <w:sz w:val="24"/>
        </w:rPr>
      </w:pPr>
    </w:p>
    <w:p>
      <w:pPr>
        <w:pStyle w:val="32"/>
        <w:rPr>
          <w:rFonts w:ascii="仿宋" w:eastAsia="仿宋" w:cs="仿宋"/>
        </w:rPr>
      </w:pPr>
      <w:bookmarkStart w:id="163" w:name="_Toc22613"/>
      <w:bookmarkStart w:id="164" w:name="_Toc32223"/>
      <w:r>
        <w:rPr>
          <w:rFonts w:hint="eastAsia" w:ascii="仿宋" w:eastAsia="仿宋" w:cs="仿宋"/>
        </w:rPr>
        <w:t>10.廉政承诺书</w:t>
      </w:r>
      <w:bookmarkEnd w:id="163"/>
      <w:bookmarkEnd w:id="164"/>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r>
        <w:rPr>
          <w:rFonts w:hint="eastAsia" w:ascii="仿宋" w:hAnsi="仿宋" w:eastAsia="仿宋" w:cs="仿宋"/>
          <w:sz w:val="24"/>
        </w:rPr>
        <w:t>采购人名称</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 xml:space="preserve">项目采购要求参加投标。在这次投标过程中和中标后，我们将严格遵守国家法律法规要求，并郑重承诺：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四、不为项目有关人员及部门出国（境）、旅游等提供方便；    </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    六、严格遵守政府采购法、招标投标法、合同法等法律，诚实守信，合法经营，坚</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 xml:space="preserve">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5037" w:firstLineChars="2099"/>
        <w:jc w:val="left"/>
        <w:rPr>
          <w:rFonts w:ascii="仿宋" w:hAnsi="仿宋" w:eastAsia="仿宋" w:cs="仿宋"/>
          <w:kern w:val="0"/>
          <w:sz w:val="24"/>
          <w:lang w:val="zh-CN"/>
        </w:rPr>
      </w:pPr>
      <w:r>
        <w:rPr>
          <w:rFonts w:hint="eastAsia" w:ascii="仿宋" w:hAnsi="仿宋" w:eastAsia="仿宋" w:cs="仿宋"/>
          <w:kern w:val="0"/>
          <w:sz w:val="24"/>
          <w:lang w:val="zh-CN"/>
        </w:rPr>
        <w:t xml:space="preserve">投标人名称（公章）：                </w:t>
      </w:r>
    </w:p>
    <w:p>
      <w:pPr>
        <w:spacing w:line="360" w:lineRule="auto"/>
        <w:ind w:left="5040"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法定代表人或其授权代表（签字）：                                                                                                                                                                    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11.技术解决方案</w:t>
      </w:r>
    </w:p>
    <w:p>
      <w:pPr>
        <w:autoSpaceDE w:val="0"/>
        <w:autoSpaceDN w:val="0"/>
        <w:spacing w:line="360" w:lineRule="auto"/>
        <w:jc w:val="center"/>
        <w:rPr>
          <w:rFonts w:ascii="仿宋" w:hAnsi="仿宋" w:eastAsia="仿宋" w:cs="仿宋"/>
          <w:b/>
          <w:kern w:val="0"/>
          <w:sz w:val="28"/>
          <w:szCs w:val="28"/>
        </w:rPr>
      </w:pPr>
      <w:r>
        <w:rPr>
          <w:rFonts w:hint="eastAsia" w:ascii="仿宋" w:hAnsi="仿宋" w:eastAsia="仿宋" w:cs="仿宋"/>
          <w:sz w:val="24"/>
        </w:rPr>
        <w:t>（</w:t>
      </w:r>
      <w:r>
        <w:rPr>
          <w:rFonts w:hint="eastAsia" w:ascii="仿宋" w:hAnsi="仿宋" w:eastAsia="仿宋" w:cs="仿宋"/>
          <w:sz w:val="24"/>
          <w:lang w:val="zh-CN"/>
        </w:rPr>
        <w:t>详细阐述项目方案的实现思路及关键技术；符合本项目对当前和未来发展的要求；以及对功能设计和实施计划的建议</w:t>
      </w:r>
      <w:r>
        <w:rPr>
          <w:rFonts w:hint="eastAsia" w:ascii="仿宋" w:hAnsi="仿宋" w:eastAsia="仿宋" w:cs="仿宋"/>
          <w:sz w:val="24"/>
        </w:rPr>
        <w:t>）</w:t>
      </w: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
          <w:b/>
          <w:bCs/>
          <w:kern w:val="0"/>
          <w:sz w:val="24"/>
          <w:lang w:val="zh-CN"/>
        </w:rPr>
      </w:pPr>
      <w:r>
        <w:rPr>
          <w:rFonts w:hint="eastAsia" w:ascii="仿宋" w:hAnsi="仿宋" w:eastAsia="仿宋" w:cs="仿宋"/>
          <w:b/>
          <w:bCs/>
          <w:kern w:val="0"/>
          <w:sz w:val="24"/>
          <w:lang w:val="zh-CN"/>
        </w:rPr>
        <w:tab/>
      </w:r>
      <w:r>
        <w:rPr>
          <w:rFonts w:hint="eastAsia" w:ascii="仿宋" w:hAnsi="仿宋" w:eastAsia="仿宋" w:cs="仿宋"/>
          <w:b/>
          <w:bCs/>
          <w:kern w:val="0"/>
          <w:sz w:val="24"/>
          <w:lang w:val="zh-CN"/>
        </w:rPr>
        <w:tab/>
      </w:r>
      <w:r>
        <w:rPr>
          <w:rFonts w:hint="eastAsia" w:ascii="仿宋" w:hAnsi="仿宋" w:eastAsia="仿宋" w:cs="仿宋"/>
          <w:b/>
          <w:bCs/>
          <w:kern w:val="0"/>
          <w:sz w:val="24"/>
          <w:lang w:val="zh-CN"/>
        </w:rPr>
        <w:t xml:space="preserve">                        </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12.技术偏离说明表</w:t>
      </w:r>
    </w:p>
    <w:p>
      <w:pPr>
        <w:spacing w:line="360" w:lineRule="auto"/>
        <w:jc w:val="center"/>
        <w:rPr>
          <w:rFonts w:ascii="仿宋" w:hAnsi="仿宋" w:eastAsia="仿宋" w:cs="仿宋"/>
          <w:b/>
          <w:bCs/>
          <w:sz w:val="18"/>
          <w:szCs w:val="18"/>
        </w:rPr>
      </w:pPr>
    </w:p>
    <w:tbl>
      <w:tblPr>
        <w:tblStyle w:val="17"/>
        <w:tblW w:w="95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9"/>
        <w:gridCol w:w="1710"/>
        <w:gridCol w:w="1688"/>
        <w:gridCol w:w="1582"/>
        <w:gridCol w:w="1650"/>
        <w:gridCol w:w="17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1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名称</w:t>
            </w: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采购要求</w:t>
            </w:r>
          </w:p>
        </w:tc>
        <w:tc>
          <w:tcPr>
            <w:tcW w:w="15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投标响应</w:t>
            </w:r>
          </w:p>
        </w:tc>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偏离</w:t>
            </w:r>
          </w:p>
        </w:tc>
        <w:tc>
          <w:tcPr>
            <w:tcW w:w="17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7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需详细填写</w:t>
            </w:r>
          </w:p>
        </w:tc>
        <w:tc>
          <w:tcPr>
            <w:tcW w:w="16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需详细填写</w:t>
            </w:r>
          </w:p>
        </w:tc>
        <w:tc>
          <w:tcPr>
            <w:tcW w:w="15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是否响应</w:t>
            </w:r>
          </w:p>
        </w:tc>
        <w:tc>
          <w:tcPr>
            <w:tcW w:w="16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偏离情况</w:t>
            </w:r>
          </w:p>
        </w:tc>
        <w:tc>
          <w:tcPr>
            <w:tcW w:w="17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7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w:t>
            </w:r>
          </w:p>
        </w:tc>
        <w:tc>
          <w:tcPr>
            <w:tcW w:w="16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w:t>
            </w:r>
          </w:p>
        </w:tc>
        <w:tc>
          <w:tcPr>
            <w:tcW w:w="15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w:t>
            </w:r>
          </w:p>
        </w:tc>
        <w:tc>
          <w:tcPr>
            <w:tcW w:w="16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w:t>
            </w:r>
          </w:p>
        </w:tc>
        <w:tc>
          <w:tcPr>
            <w:tcW w:w="17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7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w:t>
            </w:r>
          </w:p>
        </w:tc>
        <w:tc>
          <w:tcPr>
            <w:tcW w:w="16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w:t>
            </w:r>
          </w:p>
        </w:tc>
        <w:tc>
          <w:tcPr>
            <w:tcW w:w="15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w:t>
            </w:r>
          </w:p>
        </w:tc>
        <w:tc>
          <w:tcPr>
            <w:tcW w:w="16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w:t>
            </w:r>
          </w:p>
        </w:tc>
        <w:tc>
          <w:tcPr>
            <w:tcW w:w="17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bl>
    <w:p>
      <w:pPr>
        <w:autoSpaceDE w:val="0"/>
        <w:autoSpaceDN w:val="0"/>
        <w:spacing w:line="360" w:lineRule="auto"/>
        <w:rPr>
          <w:rFonts w:ascii="仿宋" w:hAnsi="仿宋" w:eastAsia="仿宋" w:cs="仿宋"/>
          <w:kern w:val="0"/>
          <w:sz w:val="24"/>
          <w:lang w:val="zh-CN"/>
        </w:rPr>
      </w:pPr>
      <w:r>
        <w:rPr>
          <w:rFonts w:hint="eastAsia" w:ascii="仿宋" w:hAnsi="仿宋" w:eastAsia="仿宋" w:cs="仿宋"/>
          <w:kern w:val="0"/>
          <w:sz w:val="24"/>
        </w:rPr>
        <w:t>注：</w:t>
      </w:r>
      <w:r>
        <w:rPr>
          <w:rFonts w:hint="eastAsia" w:ascii="仿宋" w:hAnsi="仿宋" w:eastAsia="仿宋" w:cs="仿宋"/>
          <w:b/>
          <w:sz w:val="24"/>
        </w:rPr>
        <w:t>投标人可按上述的格式自行自行增减表格，但对于采购文件中的技术条款内容必须填写完整。</w:t>
      </w:r>
    </w:p>
    <w:p>
      <w:pPr>
        <w:autoSpaceDE w:val="0"/>
        <w:autoSpaceDN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 xml:space="preserve">投标人名称（公章）：      </w:t>
      </w:r>
    </w:p>
    <w:p>
      <w:pPr>
        <w:autoSpaceDE w:val="0"/>
        <w:autoSpaceDN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法定代表人或其授权代表（签字）： </w:t>
      </w:r>
    </w:p>
    <w:p>
      <w:pPr>
        <w:spacing w:line="360" w:lineRule="auto"/>
        <w:jc w:val="center"/>
        <w:rPr>
          <w:rFonts w:ascii="仿宋" w:hAnsi="仿宋" w:eastAsia="仿宋" w:cs="仿宋"/>
          <w:b/>
          <w:sz w:val="24"/>
        </w:rPr>
      </w:pPr>
      <w:r>
        <w:rPr>
          <w:rFonts w:hint="eastAsia" w:ascii="仿宋" w:hAnsi="仿宋" w:eastAsia="仿宋" w:cs="仿宋"/>
          <w:kern w:val="0"/>
          <w:sz w:val="24"/>
          <w:lang w:val="zh-CN"/>
        </w:rPr>
        <w:t xml:space="preserve">                            日期：  年  月   日</w:t>
      </w: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2"/>
          <w:szCs w:val="32"/>
          <w:lang w:val="zh-CN"/>
        </w:rPr>
      </w:pPr>
      <w:bookmarkStart w:id="165" w:name="_Toc24088"/>
      <w:bookmarkStart w:id="166" w:name="_Toc14649"/>
      <w:r>
        <w:rPr>
          <w:rFonts w:hint="eastAsia" w:ascii="仿宋" w:hAnsi="仿宋" w:eastAsia="仿宋" w:cs="仿宋"/>
          <w:b/>
          <w:bCs/>
          <w:kern w:val="0"/>
          <w:sz w:val="36"/>
          <w:szCs w:val="36"/>
        </w:rPr>
        <w:t>13.</w:t>
      </w:r>
      <w:r>
        <w:rPr>
          <w:rFonts w:hint="eastAsia" w:ascii="仿宋" w:hAnsi="仿宋" w:eastAsia="仿宋" w:cs="仿宋"/>
          <w:b/>
          <w:bCs/>
          <w:kern w:val="0"/>
          <w:sz w:val="32"/>
          <w:szCs w:val="32"/>
          <w:lang w:val="zh-CN"/>
        </w:rPr>
        <w:t>组织实施方案</w:t>
      </w:r>
      <w:bookmarkEnd w:id="165"/>
      <w:bookmarkEnd w:id="166"/>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（由投标人根据采购需求及采购文件要求编制）</w:t>
      </w: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投标人名称（公章）：</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 xml:space="preserve">                                     法定代表人或其授权代表（签字）：</w:t>
      </w:r>
    </w:p>
    <w:p>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14.项目小组人员名单</w:t>
      </w:r>
    </w:p>
    <w:p>
      <w:pPr>
        <w:spacing w:line="360" w:lineRule="auto"/>
        <w:jc w:val="center"/>
        <w:rPr>
          <w:rFonts w:ascii="仿宋" w:hAnsi="仿宋" w:eastAsia="仿宋" w:cs="仿宋"/>
          <w:b/>
          <w:bCs/>
          <w:sz w:val="24"/>
        </w:rPr>
      </w:pPr>
      <w:r>
        <w:rPr>
          <w:rFonts w:hint="eastAsia" w:ascii="仿宋" w:hAnsi="仿宋" w:eastAsia="仿宋" w:cs="仿宋"/>
          <w:sz w:val="24"/>
        </w:rPr>
        <w:t>（由投标人根据采购需求及采购文件要求编制）</w:t>
      </w:r>
    </w:p>
    <w:p>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附表A:本项目的项目负责人情况表</w:t>
      </w:r>
    </w:p>
    <w:tbl>
      <w:tblPr>
        <w:tblStyle w:val="17"/>
        <w:tblW w:w="8755" w:type="dxa"/>
        <w:jc w:val="center"/>
        <w:tblInd w:w="0" w:type="dxa"/>
        <w:tblLayout w:type="fixed"/>
        <w:tblCellMar>
          <w:top w:w="0" w:type="dxa"/>
          <w:left w:w="108" w:type="dxa"/>
          <w:bottom w:w="0" w:type="dxa"/>
          <w:right w:w="108" w:type="dxa"/>
        </w:tblCellMar>
      </w:tblPr>
      <w:tblGrid>
        <w:gridCol w:w="2061"/>
        <w:gridCol w:w="1287"/>
        <w:gridCol w:w="1260"/>
        <w:gridCol w:w="4147"/>
      </w:tblGrid>
      <w:tr>
        <w:tblPrEx>
          <w:tblLayout w:type="fixed"/>
          <w:tblCellMar>
            <w:top w:w="0" w:type="dxa"/>
            <w:left w:w="108" w:type="dxa"/>
            <w:bottom w:w="0" w:type="dxa"/>
            <w:right w:w="108" w:type="dxa"/>
          </w:tblCellMar>
        </w:tblPrEx>
        <w:trPr>
          <w:trHeight w:val="604" w:hRule="atLeast"/>
          <w:jc w:val="center"/>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
                <w:sz w:val="24"/>
              </w:rPr>
            </w:pPr>
            <w:r>
              <w:rPr>
                <w:rFonts w:hint="eastAsia" w:ascii="仿宋" w:hAnsi="仿宋" w:eastAsia="仿宋" w:cs="仿宋"/>
                <w:sz w:val="24"/>
              </w:rPr>
              <w:t>截止投标时间近3年业绩及承担的主要工作情况，曾担任项目经理的项目应列明细</w:t>
            </w:r>
          </w:p>
        </w:tc>
      </w:tr>
      <w:tr>
        <w:tblPrEx>
          <w:tblLayout w:type="fixed"/>
          <w:tblCellMar>
            <w:top w:w="0" w:type="dxa"/>
            <w:left w:w="108" w:type="dxa"/>
            <w:bottom w:w="0" w:type="dxa"/>
            <w:right w:w="108" w:type="dxa"/>
          </w:tblCellMar>
        </w:tblPrEx>
        <w:trPr>
          <w:cantSplit/>
          <w:trHeight w:val="345" w:hRule="atLeast"/>
          <w:jc w:val="center"/>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cantSplit/>
          <w:trHeight w:val="337" w:hRule="atLeast"/>
          <w:jc w:val="center"/>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cantSplit/>
          <w:trHeight w:val="345" w:hRule="atLeast"/>
          <w:jc w:val="center"/>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cantSplit/>
          <w:trHeight w:val="345" w:hRule="atLeast"/>
          <w:jc w:val="center"/>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cantSplit/>
          <w:trHeight w:val="422" w:hRule="atLeast"/>
          <w:jc w:val="center"/>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cantSplit/>
          <w:trHeight w:val="416" w:hRule="atLeast"/>
          <w:jc w:val="center"/>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cantSplit/>
          <w:trHeight w:val="356" w:hRule="atLeast"/>
          <w:jc w:val="center"/>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cantSplit/>
          <w:trHeight w:val="177" w:hRule="atLeast"/>
          <w:jc w:val="center"/>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cantSplit/>
          <w:trHeight w:val="169" w:hRule="atLeast"/>
          <w:jc w:val="center"/>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bl>
    <w:p>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注：须随表提交相应的证书复印件并注明所在投标技术文件页码。</w:t>
      </w: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17"/>
        <w:tblW w:w="9030" w:type="dxa"/>
        <w:jc w:val="center"/>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Layout w:type="fixed"/>
          <w:tblCellMar>
            <w:top w:w="0" w:type="dxa"/>
            <w:left w:w="108" w:type="dxa"/>
            <w:bottom w:w="0" w:type="dxa"/>
            <w:right w:w="108" w:type="dxa"/>
          </w:tblCellMar>
        </w:tblPrEx>
        <w:trPr>
          <w:jc w:val="center"/>
        </w:trPr>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tblPrEx>
          <w:tblLayout w:type="fixed"/>
          <w:tblCellMar>
            <w:top w:w="0" w:type="dxa"/>
            <w:left w:w="108" w:type="dxa"/>
            <w:bottom w:w="0" w:type="dxa"/>
            <w:right w:w="108" w:type="dxa"/>
          </w:tblCellMar>
        </w:tblPrEx>
        <w:trPr>
          <w:trHeight w:val="479" w:hRule="atLeast"/>
          <w:jc w:val="center"/>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Layout w:type="fixed"/>
          <w:tblCellMar>
            <w:top w:w="0" w:type="dxa"/>
            <w:left w:w="108" w:type="dxa"/>
            <w:bottom w:w="0" w:type="dxa"/>
            <w:right w:w="108" w:type="dxa"/>
          </w:tblCellMar>
        </w:tblPrEx>
        <w:trPr>
          <w:trHeight w:val="473" w:hRule="atLeast"/>
          <w:jc w:val="center"/>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spacing w:line="360" w:lineRule="auto"/>
        <w:rPr>
          <w:rFonts w:ascii="仿宋" w:hAnsi="仿宋" w:eastAsia="仿宋" w:cs="仿宋"/>
          <w:b/>
          <w:bCs/>
          <w:sz w:val="24"/>
        </w:rPr>
      </w:pPr>
      <w:r>
        <w:rPr>
          <w:rFonts w:hint="eastAsia" w:ascii="仿宋" w:hAnsi="仿宋" w:eastAsia="仿宋" w:cs="仿宋"/>
          <w:b/>
          <w:sz w:val="24"/>
        </w:rPr>
        <w:t>注：投标人可按上述的格式自行编制，须随表提交相应的证书复印件并注明所在投标技术文件页码。</w:t>
      </w: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投标人名称（公章）：</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 xml:space="preserve">                                     法定代表人或其授权代表（签字）：</w:t>
      </w:r>
    </w:p>
    <w:p>
      <w:pPr>
        <w:spacing w:line="360" w:lineRule="auto"/>
        <w:rPr>
          <w:rFonts w:ascii="仿宋" w:hAnsi="仿宋" w:eastAsia="仿宋" w:cs="仿宋"/>
          <w:kern w:val="0"/>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jc w:val="left"/>
        <w:rPr>
          <w:rFonts w:ascii="仿宋" w:hAnsi="仿宋" w:eastAsia="仿宋" w:cs="仿宋"/>
          <w:b/>
          <w:color w:val="000000"/>
          <w:sz w:val="32"/>
          <w:szCs w:val="32"/>
        </w:rPr>
      </w:pPr>
      <w:r>
        <w:rPr>
          <w:rFonts w:hint="eastAsia" w:ascii="仿宋" w:hAnsi="仿宋" w:eastAsia="仿宋" w:cs="仿宋"/>
          <w:b/>
          <w:color w:val="000000"/>
          <w:sz w:val="32"/>
          <w:szCs w:val="32"/>
        </w:rPr>
        <w:t>投标文件封面</w:t>
      </w:r>
    </w:p>
    <w:p>
      <w:pPr>
        <w:spacing w:line="360" w:lineRule="auto"/>
        <w:jc w:val="center"/>
        <w:rPr>
          <w:rFonts w:ascii="仿宋" w:hAnsi="仿宋" w:eastAsia="仿宋" w:cs="仿宋"/>
          <w:b/>
          <w:color w:val="000000"/>
          <w:sz w:val="32"/>
          <w:szCs w:val="36"/>
        </w:rPr>
      </w:pPr>
      <w:r>
        <w:rPr>
          <w:rFonts w:hint="eastAsia" w:ascii="仿宋" w:hAnsi="仿宋" w:eastAsia="仿宋" w:cs="仿宋"/>
          <w:b/>
          <w:bCs/>
          <w:color w:val="FF0000"/>
          <w:kern w:val="0"/>
          <w:sz w:val="36"/>
          <w:szCs w:val="44"/>
        </w:rPr>
        <w:t>项目项目名称</w:t>
      </w:r>
    </w:p>
    <w:p>
      <w:pPr>
        <w:spacing w:line="360" w:lineRule="auto"/>
        <w:jc w:val="center"/>
        <w:rPr>
          <w:rFonts w:ascii="仿宋" w:hAnsi="仿宋" w:eastAsia="仿宋" w:cs="仿宋"/>
          <w:b/>
          <w:color w:val="000000"/>
          <w:sz w:val="32"/>
          <w:szCs w:val="36"/>
        </w:rPr>
      </w:pPr>
      <w:r>
        <w:rPr>
          <w:rFonts w:hint="eastAsia" w:ascii="仿宋" w:hAnsi="仿宋" w:eastAsia="仿宋" w:cs="仿宋"/>
          <w:b/>
          <w:color w:val="000000"/>
          <w:sz w:val="32"/>
          <w:szCs w:val="36"/>
        </w:rPr>
        <w:t>采购编号：</w:t>
      </w:r>
    </w:p>
    <w:p>
      <w:pPr>
        <w:spacing w:line="360" w:lineRule="auto"/>
        <w:jc w:val="center"/>
        <w:rPr>
          <w:rFonts w:ascii="仿宋" w:hAnsi="仿宋" w:eastAsia="仿宋" w:cs="仿宋"/>
          <w:b/>
          <w:color w:val="000000"/>
          <w:sz w:val="28"/>
        </w:rPr>
      </w:pPr>
      <w:r>
        <w:rPr>
          <w:rFonts w:hint="eastAsia" w:ascii="仿宋" w:hAnsi="仿宋" w:eastAsia="仿宋" w:cs="仿宋"/>
          <w:b/>
          <w:color w:val="000000"/>
          <w:sz w:val="32"/>
          <w:szCs w:val="36"/>
        </w:rPr>
        <w:t xml:space="preserve">   </w:t>
      </w:r>
    </w:p>
    <w:p>
      <w:pPr>
        <w:spacing w:line="360" w:lineRule="auto"/>
        <w:jc w:val="center"/>
        <w:rPr>
          <w:rFonts w:ascii="仿宋" w:hAnsi="仿宋" w:eastAsia="仿宋" w:cs="仿宋"/>
          <w:color w:val="000000"/>
          <w:sz w:val="84"/>
        </w:rPr>
      </w:pPr>
      <w:r>
        <w:rPr>
          <w:rFonts w:hint="eastAsia" w:ascii="仿宋" w:hAnsi="仿宋" w:eastAsia="仿宋" w:cs="仿宋"/>
          <w:color w:val="000000"/>
          <w:sz w:val="84"/>
        </w:rPr>
        <w:t>资</w:t>
      </w:r>
    </w:p>
    <w:p>
      <w:pPr>
        <w:spacing w:line="360" w:lineRule="auto"/>
        <w:jc w:val="center"/>
        <w:rPr>
          <w:rFonts w:ascii="仿宋" w:hAnsi="仿宋" w:eastAsia="仿宋" w:cs="仿宋"/>
          <w:color w:val="000000"/>
          <w:sz w:val="84"/>
        </w:rPr>
      </w:pPr>
      <w:r>
        <w:rPr>
          <w:rFonts w:hint="eastAsia" w:ascii="仿宋" w:hAnsi="仿宋" w:eastAsia="仿宋" w:cs="仿宋"/>
          <w:color w:val="000000"/>
          <w:sz w:val="84"/>
        </w:rPr>
        <w:t>格</w:t>
      </w:r>
    </w:p>
    <w:p>
      <w:pPr>
        <w:spacing w:line="360" w:lineRule="auto"/>
        <w:jc w:val="center"/>
        <w:rPr>
          <w:rFonts w:ascii="仿宋" w:hAnsi="仿宋" w:eastAsia="仿宋" w:cs="仿宋"/>
          <w:color w:val="000000"/>
          <w:sz w:val="84"/>
        </w:rPr>
      </w:pPr>
      <w:r>
        <w:rPr>
          <w:rFonts w:hint="eastAsia" w:ascii="仿宋" w:hAnsi="仿宋" w:eastAsia="仿宋" w:cs="仿宋"/>
          <w:color w:val="000000"/>
          <w:sz w:val="84"/>
        </w:rPr>
        <w:t>文</w:t>
      </w:r>
    </w:p>
    <w:p>
      <w:pPr>
        <w:spacing w:line="360" w:lineRule="auto"/>
        <w:jc w:val="center"/>
        <w:rPr>
          <w:rFonts w:ascii="仿宋" w:hAnsi="仿宋" w:eastAsia="仿宋" w:cs="仿宋"/>
          <w:color w:val="000000"/>
          <w:sz w:val="84"/>
        </w:rPr>
      </w:pPr>
      <w:r>
        <w:rPr>
          <w:rFonts w:hint="eastAsia" w:ascii="仿宋" w:hAnsi="仿宋" w:eastAsia="仿宋" w:cs="仿宋"/>
          <w:color w:val="000000"/>
          <w:sz w:val="84"/>
        </w:rPr>
        <w:t>件</w:t>
      </w:r>
    </w:p>
    <w:p>
      <w:pPr>
        <w:spacing w:line="360" w:lineRule="auto"/>
        <w:jc w:val="center"/>
        <w:rPr>
          <w:rFonts w:ascii="仿宋" w:hAnsi="仿宋" w:eastAsia="仿宋" w:cs="仿宋"/>
          <w:color w:val="000000"/>
        </w:rPr>
      </w:pPr>
    </w:p>
    <w:p>
      <w:pPr>
        <w:spacing w:line="360" w:lineRule="auto"/>
        <w:ind w:firstLine="2400" w:firstLineChars="750"/>
        <w:rPr>
          <w:rFonts w:ascii="仿宋" w:hAnsi="仿宋" w:eastAsia="仿宋" w:cs="仿宋"/>
          <w:color w:val="000000"/>
          <w:sz w:val="32"/>
        </w:rPr>
      </w:pPr>
      <w:r>
        <w:rPr>
          <w:rFonts w:hint="eastAsia" w:ascii="仿宋" w:hAnsi="仿宋" w:eastAsia="仿宋" w:cs="仿宋"/>
          <w:color w:val="000000"/>
          <w:sz w:val="32"/>
        </w:rPr>
        <w:t>投标方全称：（加盖单位公章）</w:t>
      </w:r>
    </w:p>
    <w:p>
      <w:pPr>
        <w:spacing w:line="360" w:lineRule="auto"/>
        <w:ind w:firstLine="3520" w:firstLineChars="1100"/>
        <w:rPr>
          <w:rFonts w:ascii="仿宋" w:hAnsi="仿宋" w:eastAsia="仿宋" w:cs="仿宋"/>
          <w:color w:val="000000"/>
          <w:sz w:val="44"/>
        </w:rPr>
      </w:pPr>
      <w:r>
        <w:rPr>
          <w:rFonts w:hint="eastAsia" w:ascii="仿宋" w:hAnsi="仿宋" w:eastAsia="仿宋" w:cs="仿宋"/>
          <w:color w:val="000000"/>
          <w:sz w:val="32"/>
        </w:rPr>
        <w:t>20  年　月  日</w:t>
      </w:r>
    </w:p>
    <w:p>
      <w:pPr>
        <w:spacing w:line="360" w:lineRule="auto"/>
        <w:rPr>
          <w:rFonts w:ascii="仿宋" w:hAnsi="仿宋" w:eastAsia="仿宋" w:cs="仿宋"/>
          <w:color w:val="000000"/>
          <w:sz w:val="44"/>
        </w:rPr>
      </w:pPr>
    </w:p>
    <w:p>
      <w:pPr>
        <w:spacing w:line="360" w:lineRule="auto"/>
        <w:rPr>
          <w:rFonts w:ascii="仿宋" w:hAnsi="仿宋" w:eastAsia="仿宋" w:cs="仿宋"/>
          <w:color w:val="000000"/>
          <w:sz w:val="44"/>
        </w:rPr>
      </w:pPr>
    </w:p>
    <w:p>
      <w:pPr>
        <w:spacing w:line="360" w:lineRule="auto"/>
        <w:rPr>
          <w:rFonts w:ascii="仿宋" w:hAnsi="仿宋" w:eastAsia="仿宋" w:cs="仿宋"/>
          <w:color w:val="000000"/>
          <w:sz w:val="44"/>
        </w:rPr>
      </w:pPr>
    </w:p>
    <w:p>
      <w:pPr>
        <w:spacing w:line="360" w:lineRule="auto"/>
        <w:rPr>
          <w:rFonts w:ascii="仿宋" w:hAnsi="仿宋" w:eastAsia="仿宋" w:cs="仿宋"/>
          <w:color w:val="000000"/>
          <w:sz w:val="44"/>
        </w:rPr>
      </w:pPr>
    </w:p>
    <w:p>
      <w:pPr>
        <w:spacing w:line="360" w:lineRule="auto"/>
        <w:rPr>
          <w:rFonts w:ascii="仿宋" w:hAnsi="仿宋" w:eastAsia="仿宋" w:cs="仿宋"/>
          <w:color w:val="000000"/>
          <w:sz w:val="44"/>
        </w:rPr>
      </w:pPr>
      <w:r>
        <w:rPr>
          <w:rFonts w:hint="eastAsia" w:ascii="仿宋" w:hAnsi="仿宋" w:eastAsia="仿宋" w:cs="仿宋"/>
          <w:color w:val="000000"/>
          <w:sz w:val="44"/>
        </w:rPr>
        <w:t>正（副）本</w:t>
      </w:r>
    </w:p>
    <w:p>
      <w:pPr>
        <w:widowControl/>
        <w:spacing w:before="100" w:beforeAutospacing="1" w:after="100" w:afterAutospacing="1" w:line="192" w:lineRule="auto"/>
        <w:jc w:val="center"/>
        <w:rPr>
          <w:rFonts w:ascii="仿宋" w:hAnsi="仿宋" w:eastAsia="仿宋" w:cs="仿宋"/>
          <w:color w:val="FF0000"/>
          <w:kern w:val="0"/>
        </w:rPr>
      </w:pPr>
      <w:r>
        <w:rPr>
          <w:rFonts w:hint="eastAsia" w:ascii="仿宋" w:hAnsi="仿宋" w:eastAsia="仿宋" w:cs="仿宋"/>
          <w:b/>
          <w:bCs/>
          <w:color w:val="FF0000"/>
          <w:kern w:val="0"/>
          <w:sz w:val="36"/>
          <w:szCs w:val="44"/>
        </w:rPr>
        <w:t>项目项目名称</w:t>
      </w:r>
    </w:p>
    <w:p>
      <w:pPr>
        <w:spacing w:line="360" w:lineRule="auto"/>
        <w:jc w:val="center"/>
        <w:rPr>
          <w:rFonts w:ascii="仿宋" w:hAnsi="仿宋" w:eastAsia="仿宋" w:cs="仿宋"/>
          <w:b/>
          <w:color w:val="000000"/>
          <w:sz w:val="32"/>
          <w:szCs w:val="36"/>
        </w:rPr>
      </w:pPr>
    </w:p>
    <w:p>
      <w:pPr>
        <w:spacing w:line="360" w:lineRule="auto"/>
        <w:jc w:val="center"/>
        <w:rPr>
          <w:rFonts w:ascii="仿宋" w:hAnsi="仿宋" w:eastAsia="仿宋" w:cs="仿宋"/>
          <w:b/>
          <w:color w:val="000000"/>
          <w:sz w:val="28"/>
        </w:rPr>
      </w:pPr>
      <w:r>
        <w:rPr>
          <w:rFonts w:hint="eastAsia" w:ascii="仿宋" w:hAnsi="仿宋" w:eastAsia="仿宋" w:cs="仿宋"/>
          <w:b/>
          <w:color w:val="000000"/>
          <w:sz w:val="32"/>
          <w:szCs w:val="36"/>
        </w:rPr>
        <w:t xml:space="preserve">采购编号：   </w:t>
      </w:r>
    </w:p>
    <w:p>
      <w:pPr>
        <w:spacing w:line="360" w:lineRule="auto"/>
        <w:jc w:val="center"/>
        <w:rPr>
          <w:rFonts w:ascii="仿宋" w:hAnsi="仿宋" w:eastAsia="仿宋" w:cs="仿宋"/>
          <w:color w:val="000000"/>
          <w:sz w:val="32"/>
          <w:szCs w:val="32"/>
        </w:rPr>
      </w:pPr>
      <w:r>
        <w:rPr>
          <w:rFonts w:hint="eastAsia" w:ascii="仿宋" w:hAnsi="仿宋" w:eastAsia="仿宋" w:cs="仿宋"/>
          <w:color w:val="000000"/>
          <w:sz w:val="32"/>
          <w:szCs w:val="32"/>
        </w:rPr>
        <w:t>（报价部分）</w:t>
      </w:r>
    </w:p>
    <w:p>
      <w:pPr>
        <w:spacing w:line="360" w:lineRule="auto"/>
        <w:jc w:val="center"/>
        <w:rPr>
          <w:rFonts w:ascii="仿宋" w:hAnsi="仿宋" w:eastAsia="仿宋" w:cs="仿宋"/>
          <w:color w:val="000000"/>
          <w:sz w:val="84"/>
        </w:rPr>
      </w:pPr>
      <w:r>
        <w:rPr>
          <w:rFonts w:hint="eastAsia" w:ascii="仿宋" w:hAnsi="仿宋" w:eastAsia="仿宋" w:cs="仿宋"/>
          <w:color w:val="000000"/>
          <w:sz w:val="84"/>
        </w:rPr>
        <w:t>投</w:t>
      </w:r>
    </w:p>
    <w:p>
      <w:pPr>
        <w:spacing w:line="360" w:lineRule="auto"/>
        <w:jc w:val="center"/>
        <w:rPr>
          <w:rFonts w:ascii="仿宋" w:hAnsi="仿宋" w:eastAsia="仿宋" w:cs="仿宋"/>
          <w:color w:val="000000"/>
          <w:sz w:val="84"/>
        </w:rPr>
      </w:pPr>
      <w:r>
        <w:rPr>
          <w:rFonts w:hint="eastAsia" w:ascii="仿宋" w:hAnsi="仿宋" w:eastAsia="仿宋" w:cs="仿宋"/>
          <w:color w:val="000000"/>
          <w:sz w:val="84"/>
        </w:rPr>
        <w:t>标</w:t>
      </w:r>
    </w:p>
    <w:p>
      <w:pPr>
        <w:spacing w:line="360" w:lineRule="auto"/>
        <w:jc w:val="center"/>
        <w:rPr>
          <w:rFonts w:ascii="仿宋" w:hAnsi="仿宋" w:eastAsia="仿宋" w:cs="仿宋"/>
          <w:color w:val="000000"/>
          <w:sz w:val="84"/>
        </w:rPr>
      </w:pPr>
      <w:r>
        <w:rPr>
          <w:rFonts w:hint="eastAsia" w:ascii="仿宋" w:hAnsi="仿宋" w:eastAsia="仿宋" w:cs="仿宋"/>
          <w:color w:val="000000"/>
          <w:sz w:val="84"/>
        </w:rPr>
        <w:t>文</w:t>
      </w:r>
    </w:p>
    <w:p>
      <w:pPr>
        <w:spacing w:line="360" w:lineRule="auto"/>
        <w:jc w:val="center"/>
        <w:rPr>
          <w:rFonts w:ascii="仿宋" w:hAnsi="仿宋" w:eastAsia="仿宋" w:cs="仿宋"/>
          <w:color w:val="000000"/>
          <w:sz w:val="84"/>
        </w:rPr>
      </w:pPr>
      <w:r>
        <w:rPr>
          <w:rFonts w:hint="eastAsia" w:ascii="仿宋" w:hAnsi="仿宋" w:eastAsia="仿宋" w:cs="仿宋"/>
          <w:color w:val="000000"/>
          <w:sz w:val="84"/>
        </w:rPr>
        <w:t>件</w:t>
      </w:r>
    </w:p>
    <w:p>
      <w:pPr>
        <w:spacing w:line="360" w:lineRule="auto"/>
        <w:jc w:val="center"/>
        <w:rPr>
          <w:rFonts w:ascii="仿宋" w:hAnsi="仿宋" w:eastAsia="仿宋" w:cs="仿宋"/>
          <w:color w:val="000000"/>
        </w:rPr>
      </w:pPr>
    </w:p>
    <w:p>
      <w:pPr>
        <w:spacing w:line="360" w:lineRule="auto"/>
        <w:ind w:firstLine="2400" w:firstLineChars="750"/>
        <w:rPr>
          <w:rFonts w:ascii="仿宋" w:hAnsi="仿宋" w:eastAsia="仿宋" w:cs="仿宋"/>
          <w:color w:val="000000"/>
          <w:sz w:val="32"/>
        </w:rPr>
      </w:pPr>
      <w:r>
        <w:rPr>
          <w:rFonts w:hint="eastAsia" w:ascii="仿宋" w:hAnsi="仿宋" w:eastAsia="仿宋" w:cs="仿宋"/>
          <w:color w:val="000000"/>
          <w:sz w:val="32"/>
        </w:rPr>
        <w:t>投标方全称：（加盖单位公章）</w:t>
      </w:r>
    </w:p>
    <w:p>
      <w:pPr>
        <w:spacing w:line="360" w:lineRule="auto"/>
        <w:ind w:firstLine="3520" w:firstLineChars="1100"/>
        <w:rPr>
          <w:rFonts w:ascii="仿宋" w:hAnsi="仿宋" w:eastAsia="仿宋" w:cs="仿宋"/>
          <w:color w:val="000000"/>
          <w:sz w:val="32"/>
        </w:rPr>
      </w:pPr>
      <w:r>
        <w:rPr>
          <w:rFonts w:hint="eastAsia" w:ascii="仿宋" w:hAnsi="仿宋" w:eastAsia="仿宋" w:cs="仿宋"/>
          <w:color w:val="000000"/>
          <w:sz w:val="32"/>
        </w:rPr>
        <w:t>20  年　月  日</w:t>
      </w:r>
    </w:p>
    <w:p>
      <w:pPr>
        <w:spacing w:line="360" w:lineRule="auto"/>
        <w:rPr>
          <w:rFonts w:ascii="仿宋" w:hAnsi="仿宋" w:eastAsia="仿宋" w:cs="仿宋"/>
          <w:color w:val="000000"/>
          <w:sz w:val="44"/>
        </w:rPr>
      </w:pPr>
      <w:r>
        <w:rPr>
          <w:rFonts w:hint="eastAsia" w:ascii="仿宋" w:hAnsi="仿宋" w:eastAsia="仿宋" w:cs="仿宋"/>
          <w:color w:val="000000"/>
          <w:kern w:val="0"/>
          <w:sz w:val="24"/>
          <w:lang w:val="zh-CN"/>
        </w:rPr>
        <w:br w:type="page"/>
      </w:r>
      <w:r>
        <w:rPr>
          <w:rFonts w:hint="eastAsia" w:ascii="仿宋" w:hAnsi="仿宋" w:eastAsia="仿宋" w:cs="仿宋"/>
          <w:color w:val="000000"/>
          <w:sz w:val="44"/>
        </w:rPr>
        <w:t>正（副）本</w:t>
      </w:r>
    </w:p>
    <w:p>
      <w:pPr>
        <w:spacing w:line="360" w:lineRule="auto"/>
        <w:jc w:val="center"/>
        <w:rPr>
          <w:rFonts w:ascii="仿宋" w:hAnsi="仿宋" w:eastAsia="仿宋" w:cs="仿宋"/>
          <w:b/>
          <w:color w:val="000000"/>
          <w:sz w:val="32"/>
          <w:szCs w:val="36"/>
        </w:rPr>
      </w:pPr>
      <w:r>
        <w:rPr>
          <w:rFonts w:hint="eastAsia" w:ascii="仿宋" w:hAnsi="仿宋" w:eastAsia="仿宋" w:cs="仿宋"/>
          <w:b/>
          <w:bCs/>
          <w:color w:val="FF0000"/>
          <w:kern w:val="0"/>
          <w:sz w:val="36"/>
          <w:szCs w:val="44"/>
        </w:rPr>
        <w:t>项目项目名称</w:t>
      </w:r>
    </w:p>
    <w:p>
      <w:pPr>
        <w:spacing w:line="360" w:lineRule="auto"/>
        <w:jc w:val="center"/>
        <w:rPr>
          <w:rFonts w:ascii="仿宋" w:hAnsi="仿宋" w:eastAsia="仿宋" w:cs="仿宋"/>
          <w:b/>
          <w:color w:val="000000"/>
          <w:sz w:val="28"/>
        </w:rPr>
      </w:pPr>
      <w:r>
        <w:rPr>
          <w:rFonts w:hint="eastAsia" w:ascii="仿宋" w:hAnsi="仿宋" w:eastAsia="仿宋" w:cs="仿宋"/>
          <w:b/>
          <w:color w:val="000000"/>
          <w:sz w:val="32"/>
          <w:szCs w:val="36"/>
        </w:rPr>
        <w:t xml:space="preserve">采购编号：   </w:t>
      </w:r>
    </w:p>
    <w:p>
      <w:pPr>
        <w:spacing w:line="360" w:lineRule="auto"/>
        <w:jc w:val="center"/>
        <w:rPr>
          <w:rFonts w:ascii="仿宋" w:hAnsi="仿宋" w:eastAsia="仿宋" w:cs="仿宋"/>
          <w:color w:val="000000"/>
          <w:sz w:val="32"/>
          <w:szCs w:val="32"/>
        </w:rPr>
      </w:pPr>
      <w:r>
        <w:rPr>
          <w:rFonts w:hint="eastAsia" w:ascii="仿宋" w:hAnsi="仿宋" w:eastAsia="仿宋" w:cs="仿宋"/>
          <w:color w:val="000000"/>
          <w:sz w:val="32"/>
          <w:szCs w:val="32"/>
        </w:rPr>
        <w:t>（商务技术部分）</w:t>
      </w:r>
    </w:p>
    <w:p>
      <w:pPr>
        <w:spacing w:line="360" w:lineRule="auto"/>
        <w:jc w:val="center"/>
        <w:rPr>
          <w:rFonts w:ascii="仿宋" w:hAnsi="仿宋" w:eastAsia="仿宋" w:cs="仿宋"/>
          <w:color w:val="000000"/>
          <w:sz w:val="84"/>
        </w:rPr>
      </w:pPr>
      <w:r>
        <w:rPr>
          <w:rFonts w:hint="eastAsia" w:ascii="仿宋" w:hAnsi="仿宋" w:eastAsia="仿宋" w:cs="仿宋"/>
          <w:color w:val="000000"/>
          <w:sz w:val="84"/>
        </w:rPr>
        <w:t>投</w:t>
      </w:r>
    </w:p>
    <w:p>
      <w:pPr>
        <w:spacing w:line="360" w:lineRule="auto"/>
        <w:jc w:val="center"/>
        <w:rPr>
          <w:rFonts w:ascii="仿宋" w:hAnsi="仿宋" w:eastAsia="仿宋" w:cs="仿宋"/>
          <w:color w:val="000000"/>
          <w:sz w:val="84"/>
        </w:rPr>
      </w:pPr>
      <w:r>
        <w:rPr>
          <w:rFonts w:hint="eastAsia" w:ascii="仿宋" w:hAnsi="仿宋" w:eastAsia="仿宋" w:cs="仿宋"/>
          <w:color w:val="000000"/>
          <w:sz w:val="84"/>
        </w:rPr>
        <w:t>标</w:t>
      </w:r>
    </w:p>
    <w:p>
      <w:pPr>
        <w:spacing w:line="360" w:lineRule="auto"/>
        <w:jc w:val="center"/>
        <w:rPr>
          <w:rFonts w:ascii="仿宋" w:hAnsi="仿宋" w:eastAsia="仿宋" w:cs="仿宋"/>
          <w:color w:val="000000"/>
          <w:sz w:val="84"/>
        </w:rPr>
      </w:pPr>
      <w:r>
        <w:rPr>
          <w:rFonts w:hint="eastAsia" w:ascii="仿宋" w:hAnsi="仿宋" w:eastAsia="仿宋" w:cs="仿宋"/>
          <w:color w:val="000000"/>
          <w:sz w:val="84"/>
        </w:rPr>
        <w:t>文</w:t>
      </w:r>
    </w:p>
    <w:p>
      <w:pPr>
        <w:spacing w:line="360" w:lineRule="auto"/>
        <w:jc w:val="center"/>
        <w:rPr>
          <w:rFonts w:ascii="仿宋" w:hAnsi="仿宋" w:eastAsia="仿宋" w:cs="仿宋"/>
          <w:color w:val="000000"/>
          <w:sz w:val="84"/>
        </w:rPr>
      </w:pPr>
      <w:r>
        <w:rPr>
          <w:rFonts w:hint="eastAsia" w:ascii="仿宋" w:hAnsi="仿宋" w:eastAsia="仿宋" w:cs="仿宋"/>
          <w:color w:val="000000"/>
          <w:sz w:val="84"/>
        </w:rPr>
        <w:t>件</w:t>
      </w:r>
    </w:p>
    <w:p>
      <w:pPr>
        <w:spacing w:line="360" w:lineRule="auto"/>
        <w:jc w:val="center"/>
        <w:rPr>
          <w:rFonts w:ascii="仿宋" w:hAnsi="仿宋" w:eastAsia="仿宋" w:cs="仿宋"/>
          <w:color w:val="000000"/>
        </w:rPr>
      </w:pPr>
    </w:p>
    <w:p>
      <w:pPr>
        <w:spacing w:line="360" w:lineRule="auto"/>
        <w:ind w:firstLine="2400" w:firstLineChars="750"/>
        <w:rPr>
          <w:rFonts w:ascii="仿宋" w:hAnsi="仿宋" w:eastAsia="仿宋" w:cs="仿宋"/>
          <w:color w:val="000000"/>
          <w:sz w:val="32"/>
        </w:rPr>
      </w:pPr>
      <w:r>
        <w:rPr>
          <w:rFonts w:hint="eastAsia" w:ascii="仿宋" w:hAnsi="仿宋" w:eastAsia="仿宋" w:cs="仿宋"/>
          <w:color w:val="000000"/>
          <w:sz w:val="32"/>
        </w:rPr>
        <w:t>投标方全称：（加盖单位公章）</w:t>
      </w:r>
    </w:p>
    <w:p>
      <w:pPr>
        <w:spacing w:line="360" w:lineRule="auto"/>
        <w:ind w:firstLine="3520" w:firstLineChars="1100"/>
        <w:rPr>
          <w:rFonts w:ascii="仿宋" w:hAnsi="仿宋" w:eastAsia="仿宋" w:cs="仿宋"/>
          <w:color w:val="000000"/>
          <w:sz w:val="32"/>
        </w:rPr>
      </w:pPr>
      <w:r>
        <w:rPr>
          <w:rFonts w:hint="eastAsia" w:ascii="仿宋" w:hAnsi="仿宋" w:eastAsia="仿宋" w:cs="仿宋"/>
          <w:color w:val="000000"/>
          <w:sz w:val="32"/>
        </w:rPr>
        <w:t>20  年　月  日</w:t>
      </w:r>
    </w:p>
    <w:p>
      <w:pPr>
        <w:spacing w:line="360" w:lineRule="auto"/>
        <w:ind w:firstLine="1070" w:firstLineChars="446"/>
        <w:rPr>
          <w:rFonts w:ascii="仿宋" w:hAnsi="仿宋" w:eastAsia="仿宋" w:cs="仿宋"/>
          <w:color w:val="000000"/>
          <w:kern w:val="0"/>
          <w:sz w:val="24"/>
          <w:lang w:val="zh-CN"/>
        </w:rPr>
      </w:pPr>
    </w:p>
    <w:p>
      <w:pPr>
        <w:spacing w:line="360" w:lineRule="auto"/>
        <w:jc w:val="left"/>
        <w:rPr>
          <w:rFonts w:ascii="仿宋" w:hAnsi="仿宋" w:eastAsia="仿宋" w:cs="仿宋"/>
          <w:b/>
          <w:color w:val="000000"/>
          <w:sz w:val="32"/>
          <w:szCs w:val="32"/>
        </w:rPr>
      </w:pPr>
    </w:p>
    <w:p>
      <w:pPr>
        <w:spacing w:line="360" w:lineRule="auto"/>
        <w:jc w:val="left"/>
        <w:rPr>
          <w:rFonts w:ascii="仿宋" w:hAnsi="仿宋" w:eastAsia="仿宋" w:cs="仿宋"/>
          <w:b/>
          <w:color w:val="000000"/>
          <w:sz w:val="32"/>
          <w:szCs w:val="32"/>
        </w:rPr>
      </w:pPr>
    </w:p>
    <w:p>
      <w:pPr>
        <w:spacing w:line="360" w:lineRule="auto"/>
        <w:jc w:val="left"/>
        <w:rPr>
          <w:rFonts w:ascii="仿宋" w:hAnsi="仿宋" w:eastAsia="仿宋" w:cs="仿宋"/>
          <w:b/>
          <w:color w:val="000000"/>
          <w:sz w:val="32"/>
          <w:szCs w:val="32"/>
        </w:rPr>
      </w:pPr>
    </w:p>
    <w:p>
      <w:pPr>
        <w:spacing w:line="360" w:lineRule="auto"/>
        <w:jc w:val="left"/>
        <w:rPr>
          <w:rFonts w:ascii="仿宋" w:hAnsi="仿宋" w:eastAsia="仿宋" w:cs="仿宋"/>
          <w:b/>
          <w:color w:val="000000"/>
          <w:sz w:val="32"/>
          <w:szCs w:val="32"/>
        </w:rPr>
      </w:pPr>
    </w:p>
    <w:p>
      <w:pPr>
        <w:spacing w:line="360" w:lineRule="auto"/>
        <w:jc w:val="left"/>
        <w:rPr>
          <w:rFonts w:ascii="仿宋" w:hAnsi="仿宋" w:eastAsia="仿宋" w:cs="仿宋"/>
          <w:sz w:val="24"/>
        </w:rPr>
      </w:pPr>
    </w:p>
    <w:p>
      <w:pPr>
        <w:jc w:val="center"/>
        <w:rPr>
          <w:rFonts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jc w:val="center"/>
        <w:rPr>
          <w:rFonts w:ascii="仿宋" w:hAnsi="仿宋" w:eastAsia="仿宋" w:cs="仿宋"/>
          <w:b/>
          <w:sz w:val="32"/>
          <w:szCs w:val="32"/>
        </w:rPr>
      </w:pPr>
    </w:p>
    <w:p>
      <w:pPr>
        <w:spacing w:line="520" w:lineRule="exact"/>
        <w:ind w:firstLine="480" w:firstLineChars="200"/>
        <w:rPr>
          <w:rFonts w:ascii="仿宋" w:hAnsi="仿宋" w:eastAsia="仿宋" w:cs="仿宋"/>
          <w:sz w:val="24"/>
        </w:rPr>
      </w:pPr>
      <w:r>
        <w:rPr>
          <w:rFonts w:hint="eastAsia" w:ascii="仿宋" w:hAnsi="仿宋" w:eastAsia="仿宋" w:cs="仿宋"/>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pPr>
        <w:spacing w:line="520" w:lineRule="exact"/>
        <w:ind w:firstLine="482" w:firstLineChars="200"/>
        <w:rPr>
          <w:rFonts w:ascii="仿宋" w:hAnsi="仿宋" w:eastAsia="仿宋" w:cs="仿宋"/>
          <w:b/>
          <w:sz w:val="24"/>
        </w:rPr>
      </w:pPr>
      <w:r>
        <w:rPr>
          <w:rFonts w:hint="eastAsia" w:ascii="仿宋" w:hAnsi="仿宋" w:eastAsia="仿宋" w:cs="仿宋"/>
          <w:b/>
          <w:sz w:val="24"/>
        </w:rPr>
        <w:t>一、适用对象</w:t>
      </w:r>
    </w:p>
    <w:p>
      <w:pPr>
        <w:spacing w:line="520" w:lineRule="exact"/>
        <w:ind w:firstLine="480" w:firstLineChars="200"/>
        <w:rPr>
          <w:rFonts w:ascii="仿宋" w:hAnsi="仿宋" w:eastAsia="仿宋" w:cs="仿宋"/>
          <w:sz w:val="24"/>
        </w:rPr>
      </w:pPr>
      <w:r>
        <w:rPr>
          <w:rFonts w:hint="eastAsia" w:ascii="仿宋" w:hAnsi="仿宋" w:eastAsia="仿宋" w:cs="仿宋"/>
          <w:sz w:val="24"/>
        </w:rPr>
        <w:t>在杭州市政府采购网上注册入库，并取得杭州市政府采购合同的杭州市内中小企业供应商。</w:t>
      </w:r>
    </w:p>
    <w:p>
      <w:pPr>
        <w:spacing w:line="520" w:lineRule="exact"/>
        <w:ind w:firstLine="482" w:firstLineChars="200"/>
        <w:rPr>
          <w:rFonts w:ascii="仿宋" w:hAnsi="仿宋" w:eastAsia="仿宋" w:cs="仿宋"/>
          <w:b/>
          <w:sz w:val="24"/>
        </w:rPr>
      </w:pPr>
      <w:r>
        <w:rPr>
          <w:rFonts w:hint="eastAsia" w:ascii="仿宋" w:hAnsi="仿宋" w:eastAsia="仿宋" w:cs="仿宋"/>
          <w:b/>
          <w:sz w:val="24"/>
        </w:rPr>
        <w:t>二、相关信息获取方式</w:t>
      </w:r>
    </w:p>
    <w:p>
      <w:pPr>
        <w:spacing w:line="520" w:lineRule="exact"/>
        <w:ind w:firstLine="480" w:firstLineChars="200"/>
        <w:rPr>
          <w:rFonts w:ascii="仿宋" w:hAnsi="仿宋" w:eastAsia="仿宋" w:cs="仿宋"/>
          <w:sz w:val="24"/>
        </w:rPr>
      </w:pPr>
      <w:r>
        <w:rPr>
          <w:rFonts w:hint="eastAsia" w:ascii="仿宋" w:hAnsi="仿宋" w:eastAsia="仿宋" w:cs="仿宋"/>
          <w:sz w:val="24"/>
        </w:rPr>
        <w:t>请登陆杭州市政府采购网（</w:t>
      </w:r>
      <w:r>
        <w:fldChar w:fldCharType="begin"/>
      </w:r>
      <w:r>
        <w:instrText xml:space="preserve"> HYPERLINK "http://cg.hzft.gov.cn" </w:instrText>
      </w:r>
      <w:r>
        <w:fldChar w:fldCharType="separate"/>
      </w:r>
      <w:r>
        <w:rPr>
          <w:rStyle w:val="24"/>
          <w:rFonts w:hint="eastAsia" w:ascii="仿宋" w:hAnsi="仿宋" w:eastAsia="仿宋" w:cs="仿宋"/>
          <w:color w:val="auto"/>
          <w:sz w:val="24"/>
        </w:rPr>
        <w:t>http://cg.hzft.gov.cn</w:t>
      </w:r>
      <w:r>
        <w:rPr>
          <w:rStyle w:val="24"/>
          <w:rFonts w:hint="eastAsia" w:ascii="仿宋" w:hAnsi="仿宋" w:eastAsia="仿宋" w:cs="仿宋"/>
          <w:color w:val="auto"/>
          <w:sz w:val="24"/>
        </w:rPr>
        <w:fldChar w:fldCharType="end"/>
      </w:r>
      <w:r>
        <w:rPr>
          <w:rFonts w:hint="eastAsia" w:ascii="仿宋" w:hAnsi="仿宋" w:eastAsia="仿宋" w:cs="仿宋"/>
          <w:sz w:val="24"/>
        </w:rPr>
        <w:t>）“中小企业信用融资”专栏，可查看信用融资政策文件及各相关银行服务方案。</w:t>
      </w:r>
    </w:p>
    <w:p>
      <w:pPr>
        <w:spacing w:line="520" w:lineRule="exact"/>
        <w:ind w:firstLine="482" w:firstLineChars="200"/>
        <w:rPr>
          <w:rFonts w:ascii="仿宋" w:hAnsi="仿宋" w:eastAsia="仿宋" w:cs="仿宋"/>
          <w:b/>
          <w:sz w:val="24"/>
        </w:rPr>
      </w:pPr>
      <w:r>
        <w:rPr>
          <w:rFonts w:hint="eastAsia" w:ascii="仿宋" w:hAnsi="仿宋" w:eastAsia="仿宋" w:cs="仿宋"/>
          <w:b/>
          <w:sz w:val="24"/>
        </w:rPr>
        <w:t>三、申请方式和步骤</w:t>
      </w:r>
    </w:p>
    <w:p>
      <w:pPr>
        <w:spacing w:line="520" w:lineRule="exact"/>
        <w:ind w:firstLine="480" w:firstLineChars="200"/>
        <w:rPr>
          <w:rFonts w:ascii="仿宋" w:hAnsi="仿宋" w:eastAsia="仿宋" w:cs="仿宋"/>
          <w:sz w:val="24"/>
        </w:rPr>
      </w:pPr>
      <w:r>
        <w:rPr>
          <w:rFonts w:hint="eastAsia" w:ascii="仿宋" w:hAnsi="仿宋" w:eastAsia="仿宋" w:cs="仿宋"/>
          <w:sz w:val="24"/>
        </w:rPr>
        <w:t>1、供应商若有融资意向，需先与六家合作银行对接，办理相关融资前期手续；</w:t>
      </w:r>
    </w:p>
    <w:p>
      <w:pPr>
        <w:spacing w:line="520" w:lineRule="exact"/>
        <w:ind w:firstLine="480" w:firstLineChars="200"/>
        <w:rPr>
          <w:rFonts w:ascii="仿宋" w:hAnsi="仿宋" w:eastAsia="仿宋" w:cs="仿宋"/>
          <w:sz w:val="24"/>
        </w:rPr>
      </w:pPr>
      <w:r>
        <w:rPr>
          <w:rFonts w:hint="eastAsia" w:ascii="仿宋" w:hAnsi="仿宋" w:eastAsia="仿宋" w:cs="仿宋"/>
          <w:sz w:val="24"/>
        </w:rPr>
        <w:t>2、中标后，供应商应与采购单位或者采购代理机构及时联系，告知融资需求；</w:t>
      </w:r>
    </w:p>
    <w:p>
      <w:pPr>
        <w:spacing w:line="520" w:lineRule="exact"/>
        <w:ind w:firstLine="480" w:firstLineChars="200"/>
        <w:rPr>
          <w:rFonts w:ascii="仿宋" w:hAnsi="仿宋" w:eastAsia="仿宋" w:cs="仿宋"/>
          <w:sz w:val="24"/>
        </w:rPr>
      </w:pPr>
      <w:r>
        <w:rPr>
          <w:rFonts w:hint="eastAsia" w:ascii="仿宋" w:hAnsi="仿宋" w:eastAsia="仿宋" w:cs="仿宋"/>
          <w:sz w:val="24"/>
        </w:rPr>
        <w:t>3、采购单位或者采购代理机构在政府采购信息系统录入中标合同信息时，须在合同备案页“是否为可融资合同”前打勾，并选择相应的信用融资合作银行，录入账号信息；</w:t>
      </w:r>
    </w:p>
    <w:p>
      <w:pPr>
        <w:spacing w:line="520" w:lineRule="exact"/>
        <w:ind w:firstLine="480" w:firstLineChars="200"/>
        <w:rPr>
          <w:rFonts w:ascii="仿宋" w:hAnsi="仿宋" w:eastAsia="仿宋" w:cs="仿宋"/>
          <w:sz w:val="24"/>
        </w:rPr>
      </w:pPr>
      <w:r>
        <w:rPr>
          <w:rFonts w:hint="eastAsia" w:ascii="仿宋" w:hAnsi="仿宋" w:eastAsia="仿宋" w:cs="仿宋"/>
          <w:sz w:val="24"/>
        </w:rPr>
        <w:t>4、相关信息录入后，相关合作银行将在政府采购信息系统查询到合同备案信息，经审核，与供应商联系并办理相关融资事宜。</w:t>
      </w:r>
    </w:p>
    <w:p>
      <w:pPr>
        <w:spacing w:line="520" w:lineRule="exact"/>
        <w:ind w:firstLine="482" w:firstLineChars="200"/>
        <w:rPr>
          <w:rFonts w:ascii="仿宋" w:hAnsi="仿宋" w:eastAsia="仿宋" w:cs="仿宋"/>
          <w:b/>
          <w:sz w:val="24"/>
        </w:rPr>
      </w:pPr>
      <w:r>
        <w:rPr>
          <w:rFonts w:hint="eastAsia" w:ascii="仿宋" w:hAnsi="仿宋" w:eastAsia="仿宋" w:cs="仿宋"/>
          <w:b/>
          <w:sz w:val="24"/>
        </w:rPr>
        <w:t>四、注意事项</w:t>
      </w:r>
    </w:p>
    <w:p>
      <w:pPr>
        <w:spacing w:line="520" w:lineRule="exact"/>
        <w:ind w:firstLine="480" w:firstLineChars="200"/>
        <w:rPr>
          <w:rFonts w:ascii="仿宋" w:hAnsi="仿宋" w:eastAsia="仿宋" w:cs="仿宋"/>
          <w:sz w:val="24"/>
        </w:rPr>
      </w:pPr>
      <w:r>
        <w:rPr>
          <w:rFonts w:hint="eastAsia" w:ascii="仿宋" w:hAnsi="仿宋" w:eastAsia="仿宋" w:cs="仿宋"/>
          <w:sz w:val="24"/>
        </w:rPr>
        <w:t>请各采购单位和采购代理机构积极支持和配合政府采购信用融资工作，在合同备案环节务必请仔细核对收款银行、账号信息等内容，一旦录入将无法修改。</w:t>
      </w:r>
    </w:p>
    <w:p>
      <w:pPr>
        <w:spacing w:line="360" w:lineRule="auto"/>
        <w:jc w:val="left"/>
        <w:rPr>
          <w:rFonts w:ascii="仿宋" w:hAnsi="仿宋" w:eastAsia="仿宋" w:cs="仿宋"/>
          <w:sz w:val="24"/>
        </w:rPr>
      </w:pPr>
    </w:p>
    <w:p>
      <w:pPr>
        <w:pStyle w:val="3"/>
        <w:keepNext w:val="0"/>
        <w:keepLines w:val="0"/>
        <w:pageBreakBefore/>
        <w:widowControl/>
        <w:numPr>
          <w:ilvl w:val="0"/>
          <w:numId w:val="0"/>
        </w:numPr>
        <w:spacing w:before="100" w:beforeAutospacing="1" w:after="100" w:afterAutospacing="1" w:line="240" w:lineRule="auto"/>
        <w:jc w:val="center"/>
        <w:rPr>
          <w:rFonts w:ascii="仿宋" w:hAnsi="仿宋" w:eastAsia="仿宋" w:cs="仿宋"/>
          <w:sz w:val="32"/>
          <w:szCs w:val="32"/>
        </w:rPr>
      </w:pPr>
      <w:bookmarkStart w:id="167" w:name="_Toc11964"/>
      <w:bookmarkStart w:id="168" w:name="_Toc465665161"/>
      <w:bookmarkStart w:id="169" w:name="_Toc30516"/>
      <w:r>
        <w:rPr>
          <w:rFonts w:hint="eastAsia" w:ascii="仿宋" w:hAnsi="仿宋" w:eastAsia="仿宋" w:cs="仿宋"/>
          <w:sz w:val="32"/>
          <w:szCs w:val="32"/>
        </w:rPr>
        <w:t>附件</w:t>
      </w:r>
      <w:bookmarkEnd w:id="167"/>
      <w:bookmarkEnd w:id="168"/>
      <w:bookmarkEnd w:id="169"/>
    </w:p>
    <w:p>
      <w:pPr>
        <w:rPr>
          <w:rFonts w:ascii="仿宋" w:hAnsi="仿宋" w:eastAsia="仿宋" w:cs="仿宋"/>
          <w:sz w:val="24"/>
        </w:rPr>
      </w:pPr>
      <w:r>
        <w:rPr>
          <w:rFonts w:hint="eastAsia" w:ascii="仿宋" w:hAnsi="仿宋" w:eastAsia="仿宋" w:cs="仿宋"/>
          <w:sz w:val="24"/>
        </w:rPr>
        <w:t>附件1：</w:t>
      </w:r>
    </w:p>
    <w:p>
      <w:pPr>
        <w:pStyle w:val="4"/>
        <w:widowControl/>
        <w:numPr>
          <w:ilvl w:val="0"/>
          <w:numId w:val="14"/>
        </w:numPr>
        <w:spacing w:line="240" w:lineRule="atLeast"/>
        <w:ind w:firstLine="472"/>
        <w:rPr>
          <w:rFonts w:ascii="仿宋" w:hAnsi="仿宋" w:eastAsia="仿宋" w:cs="仿宋"/>
        </w:rPr>
      </w:pPr>
      <w:bookmarkStart w:id="170" w:name="_Toc11554"/>
      <w:bookmarkStart w:id="171" w:name="_Toc1917"/>
      <w:bookmarkStart w:id="172" w:name="OLE_LINK2"/>
      <w:r>
        <w:rPr>
          <w:rFonts w:hint="eastAsia" w:ascii="仿宋" w:hAnsi="仿宋" w:eastAsia="仿宋" w:cs="仿宋"/>
        </w:rPr>
        <w:t>中小企业声明函</w:t>
      </w:r>
      <w:bookmarkEnd w:id="170"/>
      <w:bookmarkEnd w:id="171"/>
    </w:p>
    <w:bookmarkEnd w:id="172"/>
    <w:p>
      <w:pPr>
        <w:rPr>
          <w:rFonts w:ascii="仿宋" w:hAnsi="仿宋" w:eastAsia="仿宋" w:cs="仿宋"/>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本公司郑重声明，根据《政府采购促进中小企业发展暂行办法》（财库[2011]181号）的规定，本公司为</w:t>
      </w:r>
      <w:r>
        <w:rPr>
          <w:rFonts w:hint="eastAsia" w:ascii="仿宋" w:hAnsi="仿宋" w:eastAsia="仿宋" w:cs="仿宋"/>
          <w:sz w:val="24"/>
          <w:u w:val="single"/>
        </w:rPr>
        <w:t xml:space="preserve">      </w:t>
      </w:r>
      <w:r>
        <w:rPr>
          <w:rFonts w:hint="eastAsia" w:ascii="仿宋" w:hAnsi="仿宋" w:eastAsia="仿宋" w:cs="仿宋"/>
          <w:sz w:val="24"/>
        </w:rPr>
        <w:t>（请填写：中型、小型、微型）企业。即，本公司同时满足以下条件：</w:t>
      </w:r>
    </w:p>
    <w:p>
      <w:pPr>
        <w:pStyle w:val="33"/>
        <w:widowControl/>
        <w:numPr>
          <w:ilvl w:val="0"/>
          <w:numId w:val="15"/>
        </w:numPr>
        <w:ind w:firstLineChars="0"/>
        <w:rPr>
          <w:rFonts w:ascii="仿宋" w:hAnsi="仿宋" w:eastAsia="仿宋" w:cs="仿宋"/>
          <w:szCs w:val="24"/>
        </w:rPr>
      </w:pPr>
      <w:r>
        <w:rPr>
          <w:rFonts w:hint="eastAsia" w:ascii="仿宋" w:hAnsi="仿宋" w:eastAsia="仿宋" w:cs="仿宋"/>
          <w:szCs w:val="24"/>
        </w:rPr>
        <w:t>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szCs w:val="24"/>
          <w:u w:val="single"/>
        </w:rPr>
        <w:t xml:space="preserve">   </w:t>
      </w:r>
      <w:r>
        <w:rPr>
          <w:rFonts w:hint="eastAsia" w:ascii="仿宋" w:hAnsi="仿宋" w:eastAsia="仿宋" w:cs="仿宋"/>
          <w:szCs w:val="24"/>
        </w:rPr>
        <w:t>（请填写：中型、小型、微型）企业。</w:t>
      </w:r>
    </w:p>
    <w:p>
      <w:pPr>
        <w:pStyle w:val="33"/>
        <w:widowControl/>
        <w:numPr>
          <w:ilvl w:val="0"/>
          <w:numId w:val="15"/>
        </w:numPr>
        <w:ind w:firstLineChars="0"/>
        <w:rPr>
          <w:rFonts w:ascii="仿宋" w:hAnsi="仿宋" w:eastAsia="仿宋" w:cs="仿宋"/>
          <w:szCs w:val="24"/>
        </w:rPr>
      </w:pPr>
      <w:r>
        <w:rPr>
          <w:rFonts w:hint="eastAsia" w:ascii="仿宋" w:hAnsi="仿宋" w:eastAsia="仿宋" w:cs="仿宋"/>
          <w:szCs w:val="24"/>
        </w:rPr>
        <w:t>本公司参加</w:t>
      </w:r>
      <w:r>
        <w:rPr>
          <w:rFonts w:hint="eastAsia" w:ascii="仿宋" w:hAnsi="仿宋" w:eastAsia="仿宋" w:cs="仿宋"/>
          <w:szCs w:val="24"/>
          <w:u w:val="single"/>
        </w:rPr>
        <w:t xml:space="preserve">         </w:t>
      </w:r>
      <w:r>
        <w:rPr>
          <w:rFonts w:hint="eastAsia" w:ascii="仿宋" w:hAnsi="仿宋" w:eastAsia="仿宋" w:cs="仿宋"/>
          <w:szCs w:val="24"/>
        </w:rPr>
        <w:t>单位的</w:t>
      </w:r>
      <w:r>
        <w:rPr>
          <w:rFonts w:hint="eastAsia" w:ascii="仿宋" w:hAnsi="仿宋" w:eastAsia="仿宋" w:cs="仿宋"/>
          <w:szCs w:val="24"/>
          <w:u w:val="single"/>
        </w:rPr>
        <w:t xml:space="preserve">       </w:t>
      </w:r>
      <w:r>
        <w:rPr>
          <w:rFonts w:hint="eastAsia" w:ascii="仿宋" w:hAnsi="仿宋" w:eastAsia="仿宋" w:cs="仿宋"/>
          <w:szCs w:val="24"/>
        </w:rPr>
        <w:t xml:space="preserve">项目采购活动提供本企业制造的货物，由本企业承担工程、提供服务，或者提供其他 </w:t>
      </w:r>
      <w:r>
        <w:rPr>
          <w:rFonts w:hint="eastAsia" w:ascii="仿宋" w:hAnsi="仿宋" w:eastAsia="仿宋" w:cs="仿宋"/>
          <w:szCs w:val="24"/>
          <w:u w:val="single"/>
        </w:rPr>
        <w:t xml:space="preserve">        </w:t>
      </w:r>
      <w:r>
        <w:rPr>
          <w:rFonts w:hint="eastAsia" w:ascii="仿宋" w:hAnsi="仿宋" w:eastAsia="仿宋" w:cs="仿宋"/>
          <w:szCs w:val="24"/>
        </w:rPr>
        <w:t>（请填写：中型、小型、微型）企业制造的货物。本条所称货物不包括使用大型企业注册商标的货物。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本公司对上述声明的真实性负责。如有虚假，将依法承担相应责任。</w:t>
      </w:r>
    </w:p>
    <w:p>
      <w:pPr>
        <w:spacing w:line="360" w:lineRule="auto"/>
        <w:jc w:val="right"/>
        <w:rPr>
          <w:rFonts w:ascii="仿宋" w:hAnsi="仿宋" w:eastAsia="仿宋" w:cs="仿宋"/>
          <w:sz w:val="24"/>
        </w:rPr>
      </w:pPr>
    </w:p>
    <w:p>
      <w:pPr>
        <w:spacing w:line="360" w:lineRule="auto"/>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spacing w:line="360" w:lineRule="auto"/>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color w:val="FF5959"/>
          <w:u w:val="single"/>
        </w:rPr>
        <w:t xml:space="preserve">    </w:t>
      </w:r>
      <w:r>
        <w:rPr>
          <w:rFonts w:hint="eastAsia" w:ascii="仿宋" w:hAnsi="仿宋" w:eastAsia="仿宋" w:cs="仿宋"/>
        </w:rPr>
        <w:t xml:space="preserve">日              </w:t>
      </w:r>
    </w:p>
    <w:p>
      <w:pPr>
        <w:spacing w:line="360" w:lineRule="auto"/>
        <w:rPr>
          <w:rFonts w:ascii="仿宋" w:hAnsi="仿宋" w:eastAsia="仿宋" w:cs="仿宋"/>
          <w:sz w:val="24"/>
        </w:rPr>
      </w:pPr>
      <w:r>
        <w:rPr>
          <w:rFonts w:hint="eastAsia" w:ascii="仿宋" w:hAnsi="仿宋" w:eastAsia="仿宋" w:cs="仿宋"/>
        </w:rPr>
        <w:t xml:space="preserve"> </w:t>
      </w:r>
      <w:r>
        <w:rPr>
          <w:rFonts w:hint="eastAsia" w:ascii="仿宋" w:hAnsi="仿宋" w:eastAsia="仿宋" w:cs="仿宋"/>
          <w:sz w:val="24"/>
        </w:rPr>
        <w:t>注：符合《关于促进残疾人就业政府采购政策的通知》（财库〔2017〕141号）规定的条件并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20" w:firstLineChars="200"/>
        <w:rPr>
          <w:rFonts w:ascii="仿宋" w:hAnsi="仿宋" w:eastAsia="仿宋" w:cs="仿宋"/>
        </w:rPr>
      </w:pPr>
    </w:p>
    <w:p>
      <w:pPr>
        <w:pStyle w:val="4"/>
        <w:widowControl/>
        <w:spacing w:line="240" w:lineRule="atLeast"/>
        <w:ind w:left="420" w:firstLine="0" w:firstLineChars="0"/>
        <w:rPr>
          <w:rFonts w:ascii="仿宋" w:hAnsi="仿宋" w:eastAsia="仿宋" w:cs="仿宋"/>
        </w:rPr>
      </w:pPr>
      <w:bookmarkStart w:id="173" w:name="_Toc10077"/>
      <w:bookmarkStart w:id="174" w:name="_Toc32324"/>
      <w:bookmarkStart w:id="175" w:name="OLE_LINK3"/>
      <w:bookmarkStart w:id="176" w:name="OLE_LINK4"/>
      <w:r>
        <w:rPr>
          <w:rFonts w:hint="eastAsia" w:ascii="仿宋" w:hAnsi="仿宋" w:eastAsia="仿宋" w:cs="仿宋"/>
        </w:rPr>
        <w:t>中小企业资格确认意见书或者投标截止时间前7日内“国家企业信用信息公示系统—小微企业名录”页面查询结果</w:t>
      </w:r>
      <w:bookmarkEnd w:id="173"/>
      <w:bookmarkEnd w:id="174"/>
    </w:p>
    <w:bookmarkEnd w:id="175"/>
    <w:bookmarkEnd w:id="176"/>
    <w:p>
      <w:pPr>
        <w:rPr>
          <w:rFonts w:ascii="仿宋" w:hAnsi="仿宋" w:eastAsia="仿宋" w:cs="仿宋"/>
          <w:sz w:val="24"/>
        </w:rPr>
      </w:pPr>
    </w:p>
    <w:p>
      <w:pPr>
        <w:spacing w:line="360" w:lineRule="auto"/>
        <w:ind w:firstLine="600" w:firstLineChars="250"/>
        <w:rPr>
          <w:rFonts w:ascii="仿宋" w:hAnsi="仿宋" w:eastAsia="仿宋" w:cs="仿宋"/>
          <w:sz w:val="24"/>
        </w:rPr>
      </w:pPr>
      <w:r>
        <w:rPr>
          <w:rFonts w:hint="eastAsia" w:ascii="仿宋" w:hAnsi="仿宋" w:eastAsia="仿宋" w:cs="仿宋"/>
          <w:sz w:val="24"/>
        </w:rPr>
        <w:t>根据《工业和信息化部、国家统计局、国家发展和改革委员会、财政部关于印发中小企业划型标准的通知》（工信部联企业（2011）300号）规定的划分标准，兹确认</w:t>
      </w:r>
    </w:p>
    <w:p>
      <w:pPr>
        <w:spacing w:line="360" w:lineRule="auto"/>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公司为</w:t>
      </w:r>
      <w:r>
        <w:rPr>
          <w:rFonts w:hint="eastAsia" w:ascii="仿宋" w:hAnsi="仿宋" w:eastAsia="仿宋" w:cs="仿宋"/>
          <w:sz w:val="24"/>
          <w:u w:val="single"/>
        </w:rPr>
        <w:t xml:space="preserve">            </w:t>
      </w:r>
      <w:r>
        <w:rPr>
          <w:rFonts w:hint="eastAsia" w:ascii="仿宋" w:hAnsi="仿宋" w:eastAsia="仿宋" w:cs="仿宋"/>
          <w:sz w:val="24"/>
        </w:rPr>
        <w:t>行业的</w:t>
      </w:r>
      <w:r>
        <w:rPr>
          <w:rFonts w:hint="eastAsia" w:ascii="仿宋" w:hAnsi="仿宋" w:eastAsia="仿宋" w:cs="仿宋"/>
          <w:sz w:val="24"/>
          <w:u w:val="single"/>
        </w:rPr>
        <w:t xml:space="preserve">        </w:t>
      </w:r>
      <w:r>
        <w:rPr>
          <w:rFonts w:hint="eastAsia" w:ascii="仿宋" w:hAnsi="仿宋" w:eastAsia="仿宋" w:cs="仿宋"/>
          <w:sz w:val="24"/>
        </w:rPr>
        <w:t>（请填写：中型、小型、微型）企业。</w:t>
      </w:r>
    </w:p>
    <w:p>
      <w:pPr>
        <w:rPr>
          <w:rFonts w:ascii="仿宋" w:hAnsi="仿宋" w:eastAsia="仿宋" w:cs="仿宋"/>
          <w:sz w:val="24"/>
        </w:rPr>
      </w:pPr>
      <w:r>
        <w:rPr>
          <w:rFonts w:hint="eastAsia" w:ascii="仿宋" w:hAnsi="仿宋" w:eastAsia="仿宋" w:cs="仿宋"/>
          <w:sz w:val="24"/>
        </w:rPr>
        <w:t xml:space="preserve">                          省（市、县、区）中小企业局或经济和信息化委员会</w:t>
      </w:r>
    </w:p>
    <w:p>
      <w:pPr>
        <w:rPr>
          <w:rFonts w:ascii="仿宋" w:hAnsi="仿宋" w:eastAsia="仿宋" w:cs="仿宋"/>
          <w:sz w:val="24"/>
        </w:rPr>
      </w:pPr>
    </w:p>
    <w:p>
      <w:pPr>
        <w:pStyle w:val="4"/>
        <w:widowControl/>
        <w:spacing w:line="240" w:lineRule="atLeast"/>
        <w:ind w:left="420" w:firstLine="0" w:firstLineChars="0"/>
        <w:rPr>
          <w:rFonts w:ascii="仿宋" w:hAnsi="仿宋" w:eastAsia="仿宋" w:cs="仿宋"/>
        </w:rPr>
      </w:pPr>
      <w:bookmarkStart w:id="177" w:name="_Toc19466"/>
      <w:bookmarkStart w:id="178" w:name="_Toc8395"/>
      <w:r>
        <w:rPr>
          <w:rFonts w:hint="eastAsia" w:ascii="仿宋" w:hAnsi="仿宋" w:eastAsia="仿宋" w:cs="仿宋"/>
        </w:rPr>
        <w:t>“国家企业信用信息公示系统—小微企业名录”页面查询结果（加盖公章）</w:t>
      </w:r>
      <w:bookmarkEnd w:id="177"/>
      <w:bookmarkEnd w:id="178"/>
    </w:p>
    <w:p>
      <w:pPr>
        <w:adjustRightInd w:val="0"/>
        <w:spacing w:line="360" w:lineRule="auto"/>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附件2</w:t>
      </w:r>
    </w:p>
    <w:p>
      <w:pPr>
        <w:adjustRightInd w:val="0"/>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 xml:space="preserve"> 残疾人福利性单位声明函</w:t>
      </w:r>
    </w:p>
    <w:p>
      <w:pPr>
        <w:adjustRightInd w:val="0"/>
        <w:spacing w:line="360" w:lineRule="auto"/>
        <w:rPr>
          <w:rFonts w:ascii="仿宋" w:hAnsi="仿宋" w:eastAsia="仿宋" w:cs="仿宋"/>
          <w:b/>
          <w:spacing w:val="6"/>
          <w:sz w:val="30"/>
          <w:szCs w:val="30"/>
        </w:rPr>
      </w:pP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adjustRightInd w:val="0"/>
        <w:spacing w:line="360" w:lineRule="auto"/>
        <w:ind w:firstLine="480" w:firstLineChars="200"/>
        <w:rPr>
          <w:rFonts w:ascii="仿宋" w:hAnsi="仿宋" w:eastAsia="仿宋" w:cs="仿宋"/>
          <w:sz w:val="24"/>
        </w:rPr>
      </w:pPr>
    </w:p>
    <w:p>
      <w:pPr>
        <w:adjustRightInd w:val="0"/>
        <w:spacing w:line="360" w:lineRule="auto"/>
        <w:ind w:firstLine="480" w:firstLineChars="200"/>
        <w:rPr>
          <w:rFonts w:ascii="仿宋" w:hAnsi="仿宋" w:eastAsia="仿宋" w:cs="仿宋"/>
          <w:sz w:val="24"/>
        </w:rPr>
      </w:pPr>
    </w:p>
    <w:p>
      <w:pPr>
        <w:tabs>
          <w:tab w:val="left" w:pos="4860"/>
        </w:tabs>
        <w:adjustRightInd w:val="0"/>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单位名称（盖章）：</w:t>
      </w:r>
    </w:p>
    <w:p>
      <w:pPr>
        <w:tabs>
          <w:tab w:val="left" w:pos="4860"/>
        </w:tabs>
        <w:adjustRightInd w:val="0"/>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b/>
          <w:spacing w:val="6"/>
          <w:sz w:val="32"/>
          <w:szCs w:val="32"/>
        </w:rPr>
      </w:pPr>
      <w:r>
        <w:rPr>
          <w:rFonts w:hint="eastAsia" w:ascii="仿宋" w:hAnsi="仿宋" w:eastAsia="仿宋" w:cs="仿宋"/>
          <w:sz w:val="24"/>
        </w:rPr>
        <w:t>附件3：</w:t>
      </w:r>
      <w:r>
        <w:rPr>
          <w:rFonts w:hint="eastAsia" w:ascii="仿宋" w:hAnsi="仿宋" w:eastAsia="仿宋" w:cs="仿宋"/>
          <w:b/>
          <w:spacing w:val="6"/>
          <w:sz w:val="32"/>
          <w:szCs w:val="32"/>
        </w:rPr>
        <w:t>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sz w:val="24"/>
        </w:rPr>
      </w:pPr>
      <w:r>
        <w:rPr>
          <w:rFonts w:hint="eastAsia" w:ascii="仿宋" w:hAnsi="仿宋" w:eastAsia="仿宋" w:cs="仿宋"/>
          <w:sz w:val="24"/>
        </w:rPr>
        <w:t>附件4：投诉书范本及制作说明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jc w:val="left"/>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 xml:space="preserve"> </w:t>
      </w:r>
    </w:p>
    <w:p>
      <w:pPr>
        <w:spacing w:line="360" w:lineRule="auto"/>
        <w:outlineLvl w:val="0"/>
        <w:rPr>
          <w:rFonts w:ascii="仿宋" w:hAnsi="仿宋" w:eastAsia="仿宋" w:cs="仿宋"/>
          <w:b/>
          <w:kern w:val="0"/>
          <w:sz w:val="24"/>
        </w:rPr>
      </w:pPr>
    </w:p>
    <w:bookmarkEnd w:id="158"/>
    <w:p/>
    <w:sectPr>
      <w:headerReference r:id="rId10" w:type="first"/>
      <w:footerReference r:id="rId12" w:type="first"/>
      <w:headerReference r:id="rId9" w:type="default"/>
      <w:footerReference r:id="rId11" w:type="default"/>
      <w:pgSz w:w="11906" w:h="16838"/>
      <w:pgMar w:top="1247" w:right="1247" w:bottom="1247" w:left="1247" w:header="720" w:footer="72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New Gulim">
    <w:altName w:val="Gulim"/>
    <w:panose1 w:val="00000000000000000000"/>
    <w:charset w:val="81"/>
    <w:family w:val="roman"/>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535"/>
        <w:tab w:val="clear" w:pos="4153"/>
      </w:tabs>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qJSxMUAgAAFQQAAA4AAABkcnMvZTJvRG9jLnhtbK1Ty47TMBTdI/EP lvc0aRGjqGo6KjMqQqqYkQpi7TpOE8kv2W6T8gHwB6zYsOe7+h0cO00HASvExr6+73vu8eK2V5Ic hfOt0SWdTnJKhOamavW+pB/er18UlPjAdMWk0aKkJ+Hp7fL5s0Vn52JmGiMr4QiSaD/vbEmbEOw8 yzxvhGJ+YqzQMNbGKRbwdPuscqxDdiWzWZ7fZJ1xlXWGC++hvR+MdJny17Xg4aGuvQhElhS9hXS6 dO7imS0XbL53zDYtv7TB/qELxVqNotdU9ywwcnDtH6lUy53xpg4TblRm6rrlIs2Aaab5b9NsG2ZF mgXgeHuFyf+/tPzd8dGRtippMaNEM4Udnb9+OX/7cf7+mUAHgDrr5/DbWniG/rXpsehR76GMc/e1 U/HGRAR2QH26wiv6QHgMKmZFkcPEYRsfyJ89hVvnwxthFIlCSR32l2Blx40Pg+voEqtps26lTDuU mnQlvXn5Kk8BVwuSS40acYih2SiFftdfJtuZ6oTBnBm44S1ftyi+YT48MgcyoGEQPDzgqKVBEXOR KGmM+/Q3ffTHjmClpAO5SqrBfkrkW43dRR6OghuF3Sjog7ozYOsUH8fyJCLABTmKtTPqI1i/ijVg YpqjUknDKN6FgeD4NVysVsnpYF27b4YAMM+ysNFby2OZCKS3q0MAmAnjCNCAygU3cC9t6fJPIrl/ fSevp9+8/Al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9BAAAW0NvbnRlbnRfVHlwZXNdLnhtbFBLAQIUAAoAAAAAAIdO4kAAAAAAAAAAAAAAAAAG AAAAAAAAAAAAEAAAAF8DAABfcmVscy9QSwECFAAUAAAACACHTuJAihRmPNEAAACUAQAACwAAAAAA AAABACAAAACDAwAAX3JlbHMvLnJlbHNQSwECFAAKAAAAAACHTuJAAAAAAAAAAAAAAAAABAAAAAAA AAAAABAAAAAAAAAAZHJzL1BLAQIUABQAAAAIAIdO4kCzSVju0AAAAAUBAAAPAAAAAAAAAAEAIAAA ACIAAABkcnMvZG93bnJldi54bWxQSwECFAAUAAAACACHTuJAeolLExQCAAAVBAAADgAAAAAAAAAB ACAAAAAfAQAAZHJzL2Uyb0RvYy54bWxQSwUGAAAAAAYABgBZAQAApQUAAAAA ">
          <v:path/>
          <v:fill on="f" focussize="0,0"/>
          <v:stroke on="f" weight="0.5pt" joinstyle="miter"/>
          <v:imagedata o:title=""/>
          <o:lock v:ext="edit"/>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24</w:t>
                </w:r>
                <w:r>
                  <w:fldChar w:fldCharType="end"/>
                </w:r>
                <w:r>
                  <w:rPr>
                    <w:rFonts w:hint="eastAsia"/>
                  </w:rPr>
                  <w:t xml:space="preserve"> 页</w:t>
                </w:r>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kern w:val="0"/>
      </w:rPr>
    </w:pPr>
    <w: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gh3PwVAgAAFQQAAA4AAABkcnMvZTJvRG9jLnhtbK1Ty47TMBTdI/EP lvc0aUeMqqrpqMyoCKliRiqItes4TSS/ZLtNygfAH7Biw57v6nfMsdN00AwrxMa+vu977vH8plOS HITzjdEFHY9ySoTmpmz0rqCfP63eTCnxgemSSaNFQY/C05vF61fz1s7ExNRGlsIRJNF+1tqC1iHY WZZ5XgvF/MhYoWGsjFMs4Ol2WelYi+xKZpM8v85a40rrDBfeQ3vXG+ki5a8qwcN9VXkRiCwoegvp dOncxjNbzNls55itG35ug/1DF4o1GkUvqe5YYGTvmhepVMOd8aYKI25UZqqq4SLNgGnG+bNpNjWz Is0CcLy9wOT/X1r+8fDgSFMWdHpFiWYKOzr9+H76+fv06xuBDgC11s/gt7HwDN0702HRg95DGefu KqfijYkI7ID6eIFXdIHwGDSdTKc5TBy24YH82VO4dT68F0aRKBTUYX8JVnZY+9C7Di6xmjarRsq0 Q6lJW9Drq7d5CrhYkFxq1IhD9M1GKXTb7jzZ1pRHDOZMzw1v+apB8TXz4YE5kAENg+DhHkclDYqY s0RJbdzXv+mjP3YEKyUtyFVQDfZTIj9o7C7ycBDcIGwHQe/VrQFbx/g4licRAS7IQaycUV/A+mWs ARPTHJUKGgbxNvQEx6/hYrlMTnvrml3dB4B5loW13lgey0QgvV3uA8BMGEeAelTOuIF7aUvnfxLJ /ec7eT395sUj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s0lY7tAAAAAFAQAADwAAAAAAAAABACAA AAAiAAAAZHJzL2Rvd25yZXYueG1sUEsBAhQAFAAAAAgAh07iQDgh3PwVAgAAFQQAAA4AAAAAAAAA AQAgAAAAHwEAAGRycy9lMm9Eb2MueG1sUEsFBgAAAAAGAAYAWQEAAKYFAAAAAA== ">
          <v:path/>
          <v:fill on="f" focussize="0,0"/>
          <v:stroke on="f" weight="0.5pt" joinstyle="miter"/>
          <v:imagedata o:title=""/>
          <o:lock v:ext="edit"/>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58</w:t>
                </w:r>
                <w:r>
                  <w:fldChar w:fldCharType="end"/>
                </w:r>
                <w:r>
                  <w:rPr>
                    <w:rFonts w:hint="eastAsia"/>
                  </w:rPr>
                  <w:t xml:space="preserve"> 页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VyqR8VAgAAFQQAAA4AAABkcnMvZTJvRG9jLnhtbK1Ty47TMBTdI/EP lvc0aYFRVTUdlRkVIVXMSAWxdh2nieSXbLdJ+QD4A1Zs2M939Ts4dprOaGCF2NjX933PPZ5fd0qS g3C+Mbqg41FOidDclI3eFfTzp9WrKSU+MF0yabQo6FF4er14+WLe2pmYmNrIUjiCJNrPWlvQOgQ7 yzLPa6GYHxkrNIyVcYoFPN0uKx1rkV3JbJLnV1lrXGmd4cJ7aG97I12k/FUleLirKi8CkQVFbyGd Lp3beGaLOZvtHLN1w89tsH/oQrFGo+gl1S0LjOxd80cq1XBnvKnCiBuVmapquEgzYJpx/myaTc2s SLMAHG8vMPn/l5Z/PNw70pQFnb6hRDOFHZ1+fD/9fDj9+kagA0Ct9TP4bSw8Q/fOdFj0oPdQxrm7 yql4YyICO6A+XuAVXSA8Bk0n02kOE4dteCB/9hhunQ/vhVEkCgV12F+ClR3WPvSug0usps2qkTLt UGrSFvTq9ds8BVwsSC41asQh+majFLptd55sa8ojBnOm54a3fNWg+Jr5cM8cyICGQfBwh6OSBkXM WaKkNu7r3/TRHzuClZIW5CqoBvspkR80dhd5OAhuELaDoPfqxoCtY3wcy5OIABfkIFbOqC9g/TLW gIlpjkoFDYN4E3qC49dwsVwmp711za7uA8A8y8JabyyPZSKQ3i73AWAmjCNAPSpn3MC9tKXzP4nk fvpOXo+/efEb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s0lY7tAAAAAFAQAADwAAAAAAAAABACAA AAAiAAAAZHJzL2Rvd25yZXYueG1sUEsBAhQAFAAAAAgAh07iQDVyqR8VAgAAFQQAAA4AAAAAAAAA AQAgAAAAHwEAAGRycy9lMm9Eb2MueG1sUEsFBgAAAAAGAAYAWQEAAKYFAAAAAA== ">
          <v:path/>
          <v:fill on="f" focussize="0,0"/>
          <v:stroke on="f" weight="0.5pt" joinstyle="miter"/>
          <v:imagedata o:title=""/>
          <o:lock v:ext="edit"/>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25</w:t>
                </w:r>
                <w:r>
                  <w:fldChar w:fldCharType="end"/>
                </w:r>
                <w:r>
                  <w:rPr>
                    <w:rFonts w:hint="eastAsia"/>
                  </w:rPr>
                  <w:t xml:space="preserve"> 页 共 278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Cs w:val="21"/>
      </w:rPr>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cbJYAVAgAAFwQAAA4AAABkcnMvZTJvRG9jLnhtbK1Ty47TMBTdI/EP lvc0aRGjUjUdlRkVIVXMSAWxdh2nieSXbLdJ+QD4A1Zs2M939Ts4dprOaGCF2NjX933PPZ5fd0qS g3C+Mbqg41FOidDclI3eFfTzp9WrKSU+MF0yabQo6FF4er14+WLe2pmYmNrIUjiCJNrPWlvQOgQ7 yzLPa6GYHxkrNIyVcYoFPN0uKx1rkV3JbJLnV1lrXGmd4cJ7aG97I12k/FUleLirKi8CkQVFbyGd Lp3beGaLOZvtHLN1w89tsH/oQrFGo+gl1S0LjOxd80cq1XBnvKnCiBuVmapquEgzYJpx/myaTc2s SLMAHG8vMPn/l5Z/PNw70pTY3eQtJZopLOn04/vp58Pp1zcSlYCotX4Gz42Fb+jemQ7ug95DGSfv KqfijZkI7AD7eAFYdIHwGDSdTKc5TBy24YH82WO4dT68F0aRKBTUYYMJWHZY+9C7Di6xmjarRsq0 RalJW9Cr12/yFHCxILnUqBGH6JuNUui23XmyrSmPGMyZnh3e8lWD4mvmwz1zoAMaBsXDHY5KGhQx Z4mS2rivf9NHf2wJVkpa0KugGvynRH7Q2F5k4iC4QdgOgt6rGwO+jvF1LE8iAlyQg1g5o76A98tY AyamOSoVNAziTegpjn/DxXKZnPbWNbu6DwD3LAtrvbE8lolAervcB4CZMI4A9aiccQP70pbOPyXS ++k7eT3+58Vv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s0lY7tAAAAAFAQAADwAAAAAAAAABACAA AAAiAAAAZHJzL2Rvd25yZXYueG1sUEsBAhQAFAAAAAgAh07iQAcbJYAVAgAAFwQAAA4AAAAAAAAA AQAgAAAAHwEAAGRycy9lMm9Eb2MueG1sUEsFBgAAAAAGAAYAWQEAAKYFAAAAAA== ">
          <v:path/>
          <v:fill on="f" focussize="0,0"/>
          <v:stroke on="f" weight="0.5pt" joinstyle="miter"/>
          <v:imagedata o:title=""/>
          <o:lock v:ext="edit"/>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99</w:t>
                </w:r>
                <w:r>
                  <w:fldChar w:fldCharType="end"/>
                </w:r>
                <w:r>
                  <w:rPr>
                    <w:rFonts w:hint="eastAsia"/>
                  </w:rPr>
                  <w:t xml:space="preserve"> 页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N53lPkXAgAAFwQAAA4AAABkcnMvZTJvRG9jLnhtbK1TzY7TMBC+I/EO lu80aVesqqrpquyqCKliVyqIs+s4TST/yXablAeAN+DEhTvP1efYz07TRbucEBdn4pn5Zuabz/Ob TklyEM43Rhd0PMopEZqbstG7gn7+tHozpcQHpksmjRYFPQpPbxavX81bOxMTUxtZCkcAov2stQWt Q7CzLPO8For5kbFCw1kZp1jAr9tlpWMt0JXMJnl+nbXGldYZLrzH7V3vpIuEX1WCh/uq8iIQWVD0 FtLp0rmNZ7aYs9nOMVs3/NwG+4cuFGs0il6g7lhgZO+aF1Cq4c54U4URNyozVdVwkWbANOP82TSb mlmRZgE53l5o8v8Pln88PDjSlNjdFfjRTGFJpx/fTz9/n359I/ESFLXWzxC5sYgN3TvTIXy497iM k3eVU/GLmQj8ADteCBZdIDwmTSfTaQ4Xh2/4AX72lG6dD++FUSQaBXXYYCKWHdY+9KFDSKymzaqR Mm1RatIW9PrqbZ4SLh6AS40acYi+2WiFbtudJ9ua8ojBnOnV4S1fNSi+Zj48MAc5oGFIPNzjqKRB EXO2KKmN+/q3+xiPLcFLSQt5FVRD/5TIDxrbA2AYDDcY28HQe3VroNcxno7lyUSCC3IwK2fUF+h+ GWvAxTRHpYKGwbwNvcTxbrhYLlPQ3rpmV/cJ0J5lYa03lscykUhvl/sAMhPHkaCelTNvUF/a0vml RHn/+Z+int7z4hF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CABAAAW0NvbnRlbnRfVHlwZXNdLnhtbFBLAQIUAAoAAAAAAIdO4kAAAAAAAAAAAAAA AAAGAAAAAAAAAAAAEAAAAGIDAABfcmVscy9QSwECFAAUAAAACACHTuJAihRmPNEAAACUAQAACwAA AAAAAAABACAAAACGAwAAX3JlbHMvLnJlbHNQSwECFAAKAAAAAACHTuJAAAAAAAAAAAAAAAAABAAA AAAAAAAAABAAAAAAAAAAZHJzL1BLAQIUABQAAAAIAIdO4kCzSVju0AAAAAUBAAAPAAAAAAAAAAEA IAAAACIAAABkcnMvZG93bnJldi54bWxQSwECFAAUAAAACACHTuJA3neU+RcCAAAXBAAADgAAAAAA AAABACAAAAAfAQAAZHJzL2Uyb0RvYy54bWxQSwUGAAAAAAYABgBZAQAAqAUAAAAA ">
          <v:path/>
          <v:fill on="f" focussize="0,0"/>
          <v:stroke on="f" weight="0.5pt" joinstyle="miter"/>
          <v:imagedata o:title=""/>
          <o:lock v:ext="edit"/>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76</w:t>
                </w:r>
                <w:r>
                  <w:fldChar w:fldCharType="end"/>
                </w:r>
                <w:r>
                  <w:rPr>
                    <w:rFonts w:hint="eastAsia"/>
                  </w:rPr>
                  <w:t xml:space="preserve"> 页 共 278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ind w:firstLine="5670" w:firstLineChars="2700"/>
      <w:jc w:val="both"/>
    </w:pPr>
    <w:r>
      <w:rPr>
        <w:rFonts w:hint="eastAsia" w:ascii="仿宋_GB2312" w:hAnsi="仿宋_GB2312" w:eastAsia="仿宋_GB2312" w:cs="仿宋_GB2312"/>
        <w:b w:val="0"/>
        <w:i/>
        <w:sz w:val="21"/>
        <w:szCs w:val="21"/>
      </w:rPr>
      <w:t>大江东产业集聚区政府采购招标文件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ind w:firstLine="5670" w:firstLineChars="2700"/>
      <w:jc w:val="both"/>
      <w:rPr>
        <w:rFonts w:ascii="仿宋_GB2312" w:hAnsi="仿宋_GB2312" w:eastAsia="仿宋_GB2312" w:cs="仿宋_GB2312"/>
        <w:b w:val="0"/>
        <w:i/>
        <w:sz w:val="21"/>
        <w:szCs w:val="21"/>
      </w:rPr>
    </w:pPr>
    <w:r>
      <w:rPr>
        <w:rFonts w:hint="eastAsia" w:ascii="仿宋_GB2312" w:hAnsi="仿宋_GB2312" w:eastAsia="仿宋_GB2312" w:cs="仿宋_GB2312"/>
        <w:b w:val="0"/>
        <w:i/>
        <w:sz w:val="21"/>
        <w:szCs w:val="21"/>
      </w:rPr>
      <w:t>大江东产业集聚区政府采购招标文件</w:t>
    </w:r>
  </w:p>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74C8C"/>
    <w:multiLevelType w:val="multilevel"/>
    <w:tmpl w:val="87774C8C"/>
    <w:lvl w:ilvl="0" w:tentative="0">
      <w:start w:val="1"/>
      <w:numFmt w:val="chineseCounting"/>
      <w:suff w:val="space"/>
      <w:lvlText w:val="第%1部分"/>
      <w:lvlJc w:val="left"/>
      <w:pPr>
        <w:tabs>
          <w:tab w:val="left" w:pos="0"/>
        </w:tabs>
      </w:pPr>
      <w:rPr>
        <w:rFonts w:hint="eastAsia"/>
      </w:rPr>
    </w:lvl>
    <w:lvl w:ilvl="1" w:tentative="0">
      <w:start w:val="1"/>
      <w:numFmt w:val="chineseCounting"/>
      <w:suff w:val="nothing"/>
      <w:lvlText w:val="%2、"/>
      <w:lvlJc w:val="left"/>
      <w:pPr>
        <w:tabs>
          <w:tab w:val="left" w:pos="0"/>
        </w:tabs>
      </w:pPr>
      <w:rPr>
        <w:rFonts w:hint="eastAsia"/>
      </w:rPr>
    </w:lvl>
    <w:lvl w:ilvl="2" w:tentative="0">
      <w:start w:val="1"/>
      <w:numFmt w:val="decimal"/>
      <w:suff w:val="nothing"/>
      <w:lvlText w:val="%3."/>
      <w:lvlJc w:val="left"/>
      <w:pPr>
        <w:tabs>
          <w:tab w:val="left" w:pos="0"/>
        </w:tabs>
      </w:pPr>
      <w:rPr>
        <w:rFonts w:hint="eastAsia" w:ascii="宋体" w:hAnsi="宋体" w:eastAsia="宋体" w:cs="宋体"/>
      </w:rPr>
    </w:lvl>
    <w:lvl w:ilvl="3" w:tentative="0">
      <w:start w:val="1"/>
      <w:numFmt w:val="none"/>
      <w:suff w:val="nothing"/>
      <w:lvlText w:val=""/>
      <w:lvlJc w:val="left"/>
      <w:pPr>
        <w:tabs>
          <w:tab w:val="left" w:pos="0"/>
        </w:tabs>
      </w:pPr>
      <w:rPr>
        <w:rFonts w:hint="eastAsia" w:ascii="宋体" w:hAnsi="宋体" w:eastAsia="宋体" w:cs="宋体"/>
      </w:rPr>
    </w:lvl>
    <w:lvl w:ilvl="4" w:tentative="0">
      <w:start w:val="1"/>
      <w:numFmt w:val="none"/>
      <w:suff w:val="nothing"/>
      <w:lvlText w:val="（%5）"/>
      <w:lvlJc w:val="left"/>
      <w:pPr>
        <w:tabs>
          <w:tab w:val="left" w:pos="0"/>
        </w:tabs>
      </w:pPr>
      <w:rPr>
        <w:rFonts w:hint="eastAsia" w:ascii="宋体" w:hAnsi="宋体" w:eastAsia="宋体" w:cs="宋体"/>
      </w:rPr>
    </w:lvl>
    <w:lvl w:ilvl="5" w:tentative="0">
      <w:start w:val="1"/>
      <w:numFmt w:val="none"/>
      <w:suff w:val="nothing"/>
      <w:lvlText w:val="%6"/>
      <w:lvlJc w:val="left"/>
      <w:pPr>
        <w:tabs>
          <w:tab w:val="left" w:pos="0"/>
        </w:tabs>
      </w:pPr>
      <w:rPr>
        <w:rFonts w:hint="eastAsia" w:ascii="宋体" w:hAnsi="宋体" w:eastAsia="宋体" w:cs="宋体"/>
      </w:rPr>
    </w:lvl>
    <w:lvl w:ilvl="6" w:tentative="0">
      <w:start w:val="1"/>
      <w:numFmt w:val="none"/>
      <w:suff w:val="nothing"/>
      <w:lvlText w:val="%7）"/>
      <w:lvlJc w:val="left"/>
      <w:pPr>
        <w:tabs>
          <w:tab w:val="left" w:pos="0"/>
        </w:tabs>
      </w:pPr>
      <w:rPr>
        <w:rFonts w:hint="eastAsia" w:ascii="宋体" w:hAnsi="宋体" w:eastAsia="宋体" w:cs="宋体"/>
      </w:rPr>
    </w:lvl>
    <w:lvl w:ilvl="7" w:tentative="0">
      <w:start w:val="1"/>
      <w:numFmt w:val="none"/>
      <w:suff w:val="nothing"/>
      <w:lvlText w:val="%8．"/>
      <w:lvlJc w:val="left"/>
      <w:pPr>
        <w:tabs>
          <w:tab w:val="left" w:pos="0"/>
        </w:tabs>
      </w:pPr>
      <w:rPr>
        <w:rFonts w:hint="eastAsia" w:ascii="宋体" w:hAnsi="宋体" w:eastAsia="宋体" w:cs="宋体"/>
      </w:rPr>
    </w:lvl>
    <w:lvl w:ilvl="8" w:tentative="0">
      <w:start w:val="1"/>
      <w:numFmt w:val="none"/>
      <w:suff w:val="nothing"/>
      <w:lvlText w:val="%9）"/>
      <w:lvlJc w:val="left"/>
      <w:pPr>
        <w:tabs>
          <w:tab w:val="left" w:pos="0"/>
        </w:tabs>
      </w:pPr>
      <w:rPr>
        <w:rFonts w:hint="eastAsia" w:ascii="宋体" w:hAnsi="宋体" w:eastAsia="宋体" w:cs="宋体"/>
      </w:rPr>
    </w:lvl>
  </w:abstractNum>
  <w:abstractNum w:abstractNumId="1">
    <w:nsid w:val="95CAE6AA"/>
    <w:multiLevelType w:val="singleLevel"/>
    <w:tmpl w:val="95CAE6AA"/>
    <w:lvl w:ilvl="0" w:tentative="0">
      <w:start w:val="2"/>
      <w:numFmt w:val="decimal"/>
      <w:suff w:val="nothing"/>
      <w:lvlText w:val="（%1）"/>
      <w:lvlJc w:val="left"/>
    </w:lvl>
  </w:abstractNum>
  <w:abstractNum w:abstractNumId="2">
    <w:nsid w:val="99AF8E01"/>
    <w:multiLevelType w:val="singleLevel"/>
    <w:tmpl w:val="99AF8E01"/>
    <w:lvl w:ilvl="0" w:tentative="0">
      <w:start w:val="1"/>
      <w:numFmt w:val="upperLetter"/>
      <w:lvlText w:val="%1."/>
      <w:lvlJc w:val="left"/>
      <w:pPr>
        <w:tabs>
          <w:tab w:val="left" w:pos="312"/>
        </w:tabs>
      </w:pPr>
    </w:lvl>
  </w:abstractNum>
  <w:abstractNum w:abstractNumId="3">
    <w:nsid w:val="AA05560E"/>
    <w:multiLevelType w:val="singleLevel"/>
    <w:tmpl w:val="AA05560E"/>
    <w:lvl w:ilvl="0" w:tentative="0">
      <w:start w:val="1"/>
      <w:numFmt w:val="decimal"/>
      <w:lvlText w:val="%1."/>
      <w:lvlJc w:val="left"/>
      <w:pPr>
        <w:ind w:left="425" w:hanging="425"/>
      </w:pPr>
      <w:rPr>
        <w:rFonts w:hint="default"/>
      </w:rPr>
    </w:lvl>
  </w:abstractNum>
  <w:abstractNum w:abstractNumId="4">
    <w:nsid w:val="D2EF9A60"/>
    <w:multiLevelType w:val="multilevel"/>
    <w:tmpl w:val="D2EF9A6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FA8EFC11"/>
    <w:multiLevelType w:val="singleLevel"/>
    <w:tmpl w:val="FA8EFC11"/>
    <w:lvl w:ilvl="0" w:tentative="0">
      <w:start w:val="1"/>
      <w:numFmt w:val="decimal"/>
      <w:suff w:val="space"/>
      <w:lvlText w:val="%1."/>
      <w:lvlJc w:val="left"/>
    </w:lvl>
  </w:abstractNum>
  <w:abstractNum w:abstractNumId="6">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0F70E8F5"/>
    <w:multiLevelType w:val="singleLevel"/>
    <w:tmpl w:val="0F70E8F5"/>
    <w:lvl w:ilvl="0" w:tentative="0">
      <w:start w:val="1"/>
      <w:numFmt w:val="decimal"/>
      <w:suff w:val="nothing"/>
      <w:lvlText w:val="%1、"/>
      <w:lvlJc w:val="left"/>
      <w:pPr>
        <w:ind w:left="0" w:firstLine="0"/>
      </w:pPr>
    </w:lvl>
  </w:abstractNum>
  <w:abstractNum w:abstractNumId="8">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169C1558"/>
    <w:multiLevelType w:val="multilevel"/>
    <w:tmpl w:val="169C1558"/>
    <w:lvl w:ilvl="0" w:tentative="0">
      <w:start w:val="1"/>
      <w:numFmt w:val="upperLetter"/>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D416BEB"/>
    <w:multiLevelType w:val="multilevel"/>
    <w:tmpl w:val="1D416BE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E2E46A4"/>
    <w:multiLevelType w:val="singleLevel"/>
    <w:tmpl w:val="2E2E46A4"/>
    <w:lvl w:ilvl="0" w:tentative="0">
      <w:start w:val="1"/>
      <w:numFmt w:val="upperLetter"/>
      <w:lvlText w:val="%1."/>
      <w:lvlJc w:val="left"/>
      <w:pPr>
        <w:tabs>
          <w:tab w:val="left" w:pos="312"/>
        </w:tabs>
      </w:pPr>
    </w:lvl>
  </w:abstractNum>
  <w:abstractNum w:abstractNumId="12">
    <w:nsid w:val="34CAF399"/>
    <w:multiLevelType w:val="singleLevel"/>
    <w:tmpl w:val="34CAF399"/>
    <w:lvl w:ilvl="0" w:tentative="0">
      <w:start w:val="1"/>
      <w:numFmt w:val="upperLetter"/>
      <w:suff w:val="nothing"/>
      <w:lvlText w:val="%1．"/>
      <w:lvlJc w:val="left"/>
    </w:lvl>
  </w:abstractNum>
  <w:abstractNum w:abstractNumId="13">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16089FD"/>
    <w:multiLevelType w:val="multilevel"/>
    <w:tmpl w:val="716089FD"/>
    <w:lvl w:ilvl="0" w:tentative="0">
      <w:start w:val="4"/>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8"/>
  </w:num>
  <w:num w:numId="2">
    <w:abstractNumId w:val="0"/>
  </w:num>
  <w:num w:numId="3">
    <w:abstractNumId w:val="4"/>
  </w:num>
  <w:num w:numId="4">
    <w:abstractNumId w:val="14"/>
  </w:num>
  <w:num w:numId="5">
    <w:abstractNumId w:val="6"/>
  </w:num>
  <w:num w:numId="6">
    <w:abstractNumId w:val="1"/>
  </w:num>
  <w:num w:numId="7">
    <w:abstractNumId w:val="3"/>
  </w:num>
  <w:num w:numId="8">
    <w:abstractNumId w:val="12"/>
  </w:num>
  <w:num w:numId="9">
    <w:abstractNumId w:val="2"/>
  </w:num>
  <w:num w:numId="10">
    <w:abstractNumId w:val="11"/>
  </w:num>
  <w:num w:numId="11">
    <w:abstractNumId w:val="9"/>
  </w:num>
  <w:num w:numId="12">
    <w:abstractNumId w:val="7"/>
    <w:lvlOverride w:ilvl="0">
      <w:startOverride w:val="1"/>
    </w:lvlOverride>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6A4"/>
    <w:rsid w:val="00086A8E"/>
    <w:rsid w:val="00172A27"/>
    <w:rsid w:val="00405783"/>
    <w:rsid w:val="00406B51"/>
    <w:rsid w:val="005215F8"/>
    <w:rsid w:val="00522A8C"/>
    <w:rsid w:val="00525E94"/>
    <w:rsid w:val="00655E35"/>
    <w:rsid w:val="00776E2C"/>
    <w:rsid w:val="00791DD1"/>
    <w:rsid w:val="007A70D6"/>
    <w:rsid w:val="00836336"/>
    <w:rsid w:val="008A3176"/>
    <w:rsid w:val="0095217B"/>
    <w:rsid w:val="00AD4BB0"/>
    <w:rsid w:val="00B15D9C"/>
    <w:rsid w:val="00BC6647"/>
    <w:rsid w:val="00CD30D6"/>
    <w:rsid w:val="00DA5FD6"/>
    <w:rsid w:val="00EA06C6"/>
    <w:rsid w:val="00FA31E9"/>
    <w:rsid w:val="01B27EC2"/>
    <w:rsid w:val="04EF3BD0"/>
    <w:rsid w:val="05B63470"/>
    <w:rsid w:val="07ED739C"/>
    <w:rsid w:val="08CE6239"/>
    <w:rsid w:val="090C146A"/>
    <w:rsid w:val="0AD742A5"/>
    <w:rsid w:val="0CF04046"/>
    <w:rsid w:val="0D274A91"/>
    <w:rsid w:val="12623EF2"/>
    <w:rsid w:val="13F262C2"/>
    <w:rsid w:val="14143478"/>
    <w:rsid w:val="15705C31"/>
    <w:rsid w:val="15C74457"/>
    <w:rsid w:val="19724D73"/>
    <w:rsid w:val="19BE680C"/>
    <w:rsid w:val="19CF7B20"/>
    <w:rsid w:val="1AE9709D"/>
    <w:rsid w:val="1D2835FE"/>
    <w:rsid w:val="1DB75B16"/>
    <w:rsid w:val="1EEB680C"/>
    <w:rsid w:val="1EFE621E"/>
    <w:rsid w:val="219F179A"/>
    <w:rsid w:val="221A3122"/>
    <w:rsid w:val="22D46CCB"/>
    <w:rsid w:val="24B23BC4"/>
    <w:rsid w:val="254F550B"/>
    <w:rsid w:val="259B0E0D"/>
    <w:rsid w:val="2681359B"/>
    <w:rsid w:val="2A024149"/>
    <w:rsid w:val="2A9F0213"/>
    <w:rsid w:val="2FC26C06"/>
    <w:rsid w:val="30271EBC"/>
    <w:rsid w:val="32681BB6"/>
    <w:rsid w:val="32CA25F1"/>
    <w:rsid w:val="345813A5"/>
    <w:rsid w:val="35EA52E6"/>
    <w:rsid w:val="365D2C5B"/>
    <w:rsid w:val="37E83D56"/>
    <w:rsid w:val="384575E6"/>
    <w:rsid w:val="39D01770"/>
    <w:rsid w:val="3D2D3519"/>
    <w:rsid w:val="3F1150FA"/>
    <w:rsid w:val="3FB96F33"/>
    <w:rsid w:val="40286EAF"/>
    <w:rsid w:val="42C52F46"/>
    <w:rsid w:val="45222836"/>
    <w:rsid w:val="454C3806"/>
    <w:rsid w:val="46D5646C"/>
    <w:rsid w:val="46EE5F14"/>
    <w:rsid w:val="486C6DD1"/>
    <w:rsid w:val="48BB6287"/>
    <w:rsid w:val="4963058F"/>
    <w:rsid w:val="49E479E7"/>
    <w:rsid w:val="4B0261AB"/>
    <w:rsid w:val="50160371"/>
    <w:rsid w:val="52533C6E"/>
    <w:rsid w:val="55926C71"/>
    <w:rsid w:val="56B2671B"/>
    <w:rsid w:val="58E7569E"/>
    <w:rsid w:val="5A147B42"/>
    <w:rsid w:val="5CDB5E38"/>
    <w:rsid w:val="5D827611"/>
    <w:rsid w:val="5EE639A8"/>
    <w:rsid w:val="61A1698A"/>
    <w:rsid w:val="61AF5C0F"/>
    <w:rsid w:val="62F127CC"/>
    <w:rsid w:val="63122F19"/>
    <w:rsid w:val="6386056A"/>
    <w:rsid w:val="64AF0C46"/>
    <w:rsid w:val="64CD250A"/>
    <w:rsid w:val="6515661A"/>
    <w:rsid w:val="65937C2A"/>
    <w:rsid w:val="65F20C72"/>
    <w:rsid w:val="674267E5"/>
    <w:rsid w:val="6748652D"/>
    <w:rsid w:val="67553B4E"/>
    <w:rsid w:val="68463A35"/>
    <w:rsid w:val="6A756B37"/>
    <w:rsid w:val="6B857B5C"/>
    <w:rsid w:val="6D535020"/>
    <w:rsid w:val="6E113B7B"/>
    <w:rsid w:val="6EC25DB4"/>
    <w:rsid w:val="70551C28"/>
    <w:rsid w:val="713A02A0"/>
    <w:rsid w:val="71B550E6"/>
    <w:rsid w:val="71C956D2"/>
    <w:rsid w:val="721A6BE0"/>
    <w:rsid w:val="72406885"/>
    <w:rsid w:val="72F11DD8"/>
    <w:rsid w:val="744D1E4A"/>
    <w:rsid w:val="745E2647"/>
    <w:rsid w:val="748E32CA"/>
    <w:rsid w:val="74DF42D2"/>
    <w:rsid w:val="75556E60"/>
    <w:rsid w:val="76933509"/>
    <w:rsid w:val="77067636"/>
    <w:rsid w:val="77762D14"/>
    <w:rsid w:val="792D6E07"/>
    <w:rsid w:val="79CB00A2"/>
    <w:rsid w:val="7B2207BE"/>
    <w:rsid w:val="7BDD4BB4"/>
    <w:rsid w:val="7C99085C"/>
    <w:rsid w:val="7F48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line="360" w:lineRule="auto"/>
      <w:ind w:firstLine="472" w:firstLineChars="196"/>
      <w:jc w:val="left"/>
      <w:outlineLvl w:val="1"/>
    </w:pPr>
    <w:rPr>
      <w:rFonts w:ascii="Arial" w:hAnsi="Arial" w:eastAsia="仿宋_GB2312" w:cs="Arial"/>
      <w:b/>
      <w:bCs/>
      <w:snapToGrid w:val="0"/>
      <w:color w:val="000000"/>
      <w:kern w:val="0"/>
      <w:sz w:val="24"/>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1"/>
    <w:qFormat/>
    <w:uiPriority w:val="99"/>
    <w:pPr>
      <w:ind w:firstLine="420" w:firstLineChars="100"/>
    </w:pPr>
  </w:style>
  <w:style w:type="paragraph" w:styleId="5">
    <w:name w:val="Normal Indent"/>
    <w:basedOn w:val="1"/>
    <w:qFormat/>
    <w:uiPriority w:val="0"/>
    <w:pPr>
      <w:widowControl/>
      <w:adjustRightInd w:val="0"/>
      <w:snapToGrid w:val="0"/>
      <w:spacing w:line="480" w:lineRule="exact"/>
      <w:ind w:firstLine="567"/>
    </w:pPr>
    <w:rPr>
      <w:rFonts w:ascii="宋体"/>
      <w:color w:val="000000"/>
      <w:kern w:val="28"/>
      <w:sz w:val="28"/>
      <w:szCs w:val="20"/>
    </w:rPr>
  </w:style>
  <w:style w:type="paragraph" w:styleId="6">
    <w:name w:val="annotation text"/>
    <w:basedOn w:val="1"/>
    <w:qFormat/>
    <w:uiPriority w:val="0"/>
    <w:rPr>
      <w:rFonts w:asciiTheme="minorHAnsi" w:hAnsiTheme="minorHAnsi"/>
    </w:rPr>
  </w:style>
  <w:style w:type="paragraph" w:styleId="7">
    <w:name w:val="Body Text"/>
    <w:basedOn w:val="1"/>
    <w:qFormat/>
    <w:uiPriority w:val="0"/>
    <w:pPr>
      <w:autoSpaceDE w:val="0"/>
      <w:autoSpaceDN w:val="0"/>
      <w:adjustRightInd w:val="0"/>
      <w:spacing w:line="360" w:lineRule="auto"/>
    </w:pPr>
    <w:rPr>
      <w:rFonts w:ascii="宋体"/>
      <w:sz w:val="24"/>
      <w:szCs w:val="21"/>
      <w:lang w:val="zh-CN"/>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toc 3"/>
    <w:basedOn w:val="1"/>
    <w:next w:val="1"/>
    <w:semiHidden/>
    <w:qFormat/>
    <w:uiPriority w:val="0"/>
    <w:pPr>
      <w:ind w:left="420"/>
      <w:jc w:val="left"/>
    </w:pPr>
    <w:rPr>
      <w:i/>
      <w:sz w:val="20"/>
      <w:szCs w:val="20"/>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spacing w:before="120" w:after="120"/>
      <w:jc w:val="left"/>
    </w:pPr>
    <w:rPr>
      <w:b/>
      <w:caps/>
      <w:sz w:val="20"/>
      <w:szCs w:val="20"/>
    </w:rPr>
  </w:style>
  <w:style w:type="paragraph" w:styleId="14">
    <w:name w:val="toc 2"/>
    <w:basedOn w:val="1"/>
    <w:next w:val="1"/>
    <w:semiHidden/>
    <w:qFormat/>
    <w:uiPriority w:val="0"/>
    <w:pPr>
      <w:ind w:left="210"/>
      <w:jc w:val="left"/>
    </w:pPr>
    <w:rPr>
      <w:smallCaps/>
      <w:sz w:val="20"/>
      <w:szCs w:val="20"/>
    </w:rPr>
  </w:style>
  <w:style w:type="paragraph" w:styleId="15">
    <w:name w:val="Normal (Web)"/>
    <w:basedOn w:val="1"/>
    <w:qFormat/>
    <w:uiPriority w:val="0"/>
    <w:pPr>
      <w:widowControl/>
      <w:spacing w:before="100" w:beforeAutospacing="1" w:after="100" w:afterAutospacing="1" w:line="360" w:lineRule="auto"/>
      <w:jc w:val="left"/>
    </w:pPr>
    <w:rPr>
      <w:rFonts w:ascii="宋体" w:hAnsi="宋体"/>
      <w:kern w:val="0"/>
      <w:sz w:val="24"/>
    </w:rPr>
  </w:style>
  <w:style w:type="paragraph" w:styleId="16">
    <w:name w:val="Title"/>
    <w:basedOn w:val="1"/>
    <w:qFormat/>
    <w:uiPriority w:val="0"/>
    <w:pPr>
      <w:widowControl/>
      <w:overflowPunct w:val="0"/>
      <w:autoSpaceDE w:val="0"/>
      <w:autoSpaceDN w:val="0"/>
      <w:adjustRightInd w:val="0"/>
      <w:jc w:val="center"/>
    </w:pPr>
    <w:rPr>
      <w:b/>
      <w:kern w:val="0"/>
      <w:sz w:val="24"/>
      <w:szCs w:val="20"/>
      <w:lang w:val="en-GB"/>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800080"/>
      <w:u w:val="single"/>
    </w:rPr>
  </w:style>
  <w:style w:type="character" w:styleId="23">
    <w:name w:val="Emphasis"/>
    <w:basedOn w:val="19"/>
    <w:qFormat/>
    <w:uiPriority w:val="20"/>
    <w:rPr>
      <w:color w:val="CC0000"/>
    </w:rPr>
  </w:style>
  <w:style w:type="character" w:styleId="24">
    <w:name w:val="Hyperlink"/>
    <w:basedOn w:val="19"/>
    <w:qFormat/>
    <w:uiPriority w:val="0"/>
    <w:rPr>
      <w:rFonts w:ascii="微软雅黑" w:hAnsi="微软雅黑" w:eastAsia="微软雅黑" w:cs="微软雅黑"/>
      <w:color w:val="02396F"/>
      <w:u w:val="single"/>
    </w:rPr>
  </w:style>
  <w:style w:type="paragraph" w:customStyle="1" w:styleId="25">
    <w:name w:val="正文2"/>
    <w:basedOn w:val="1"/>
    <w:qFormat/>
    <w:uiPriority w:val="0"/>
    <w:pPr>
      <w:spacing w:before="156" w:line="360" w:lineRule="auto"/>
      <w:ind w:firstLine="510" w:firstLineChars="200"/>
    </w:pPr>
    <w:rPr>
      <w:sz w:val="24"/>
      <w:szCs w:val="20"/>
    </w:rPr>
  </w:style>
  <w:style w:type="paragraph" w:customStyle="1" w:styleId="26">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27">
    <w:name w:val="正文段"/>
    <w:qFormat/>
    <w:uiPriority w:val="0"/>
    <w:pPr>
      <w:spacing w:after="50"/>
      <w:ind w:firstLine="200"/>
      <w:jc w:val="both"/>
    </w:pPr>
    <w:rPr>
      <w:rFonts w:hint="eastAsia" w:ascii="Arial Unicode MS" w:hAnsi="Arial Unicode MS" w:eastAsia="Times New Roman" w:cs="Arial Unicode MS"/>
      <w:color w:val="000000"/>
      <w:sz w:val="24"/>
      <w:szCs w:val="24"/>
      <w:lang w:val="en-US" w:eastAsia="zh-CN" w:bidi="ar-SA"/>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2">
    <w:name w:val="样式4"/>
    <w:basedOn w:val="1"/>
    <w:qFormat/>
    <w:uiPriority w:val="99"/>
    <w:pPr>
      <w:adjustRightInd w:val="0"/>
      <w:spacing w:line="360" w:lineRule="auto"/>
      <w:ind w:firstLine="420"/>
      <w:jc w:val="center"/>
      <w:outlineLvl w:val="2"/>
    </w:pPr>
    <w:rPr>
      <w:rFonts w:ascii="仿宋_GB2312" w:hAnsi="仿宋" w:eastAsia="仿宋_GB2312" w:cs="仿宋_GB2312"/>
      <w:b/>
      <w:bCs/>
      <w:sz w:val="32"/>
      <w:szCs w:val="32"/>
    </w:rPr>
  </w:style>
  <w:style w:type="paragraph" w:customStyle="1" w:styleId="33">
    <w:name w:val="列出段落1"/>
    <w:basedOn w:val="1"/>
    <w:qFormat/>
    <w:uiPriority w:val="34"/>
    <w:pPr>
      <w:spacing w:line="360" w:lineRule="auto"/>
      <w:ind w:firstLine="420" w:firstLineChars="200"/>
    </w:pPr>
    <w:rPr>
      <w:rFonts w:ascii="Calibri" w:hAnsi="Calibri"/>
      <w:sz w:val="24"/>
      <w:szCs w:val="22"/>
    </w:rPr>
  </w:style>
  <w:style w:type="character" w:customStyle="1" w:styleId="34">
    <w:name w:val="font111"/>
    <w:basedOn w:val="19"/>
    <w:qFormat/>
    <w:uiPriority w:val="0"/>
    <w:rPr>
      <w:rFonts w:hint="eastAsia" w:ascii="宋体" w:hAnsi="宋体" w:eastAsia="宋体" w:cs="宋体"/>
      <w:color w:val="000000"/>
      <w:sz w:val="20"/>
      <w:szCs w:val="20"/>
      <w:u w:val="none"/>
    </w:rPr>
  </w:style>
  <w:style w:type="character" w:customStyle="1" w:styleId="35">
    <w:name w:val="font212"/>
    <w:basedOn w:val="19"/>
    <w:qFormat/>
    <w:uiPriority w:val="0"/>
    <w:rPr>
      <w:rFonts w:ascii="Symbol" w:hAnsi="Symbol" w:cs="Symbol"/>
      <w:color w:val="000000"/>
      <w:sz w:val="20"/>
      <w:szCs w:val="20"/>
      <w:u w:val="none"/>
    </w:rPr>
  </w:style>
  <w:style w:type="character" w:customStyle="1" w:styleId="36">
    <w:name w:val="font21"/>
    <w:basedOn w:val="19"/>
    <w:qFormat/>
    <w:uiPriority w:val="0"/>
    <w:rPr>
      <w:rFonts w:hint="default" w:ascii="Calibri" w:hAnsi="Calibri" w:cs="Calibri"/>
      <w:color w:val="000000"/>
      <w:sz w:val="20"/>
      <w:szCs w:val="20"/>
      <w:u w:val="none"/>
    </w:rPr>
  </w:style>
  <w:style w:type="character" w:customStyle="1" w:styleId="37">
    <w:name w:val="font171"/>
    <w:basedOn w:val="19"/>
    <w:qFormat/>
    <w:uiPriority w:val="0"/>
    <w:rPr>
      <w:rFonts w:hint="eastAsia" w:ascii="宋体" w:hAnsi="宋体" w:eastAsia="宋体" w:cs="宋体"/>
      <w:color w:val="000000"/>
      <w:sz w:val="20"/>
      <w:szCs w:val="20"/>
      <w:u w:val="none"/>
      <w:vertAlign w:val="superscript"/>
    </w:rPr>
  </w:style>
  <w:style w:type="character" w:customStyle="1" w:styleId="38">
    <w:name w:val="font71"/>
    <w:basedOn w:val="19"/>
    <w:qFormat/>
    <w:uiPriority w:val="0"/>
    <w:rPr>
      <w:rFonts w:hint="eastAsia" w:ascii="宋体" w:hAnsi="宋体" w:eastAsia="宋体" w:cs="宋体"/>
      <w:color w:val="000000"/>
      <w:sz w:val="20"/>
      <w:szCs w:val="20"/>
      <w:u w:val="none"/>
    </w:rPr>
  </w:style>
  <w:style w:type="character" w:customStyle="1" w:styleId="39">
    <w:name w:val="font91"/>
    <w:basedOn w:val="19"/>
    <w:qFormat/>
    <w:uiPriority w:val="0"/>
    <w:rPr>
      <w:rFonts w:hint="eastAsia" w:ascii="宋体" w:hAnsi="宋体" w:eastAsia="宋体" w:cs="宋体"/>
      <w:color w:val="231F20"/>
      <w:sz w:val="20"/>
      <w:szCs w:val="20"/>
      <w:u w:val="none"/>
    </w:rPr>
  </w:style>
  <w:style w:type="character" w:customStyle="1" w:styleId="40">
    <w:name w:val="font191"/>
    <w:basedOn w:val="19"/>
    <w:qFormat/>
    <w:uiPriority w:val="0"/>
    <w:rPr>
      <w:rFonts w:hint="default" w:ascii="Arial" w:hAnsi="Arial" w:cs="Arial"/>
      <w:color w:val="231F20"/>
      <w:sz w:val="20"/>
      <w:szCs w:val="20"/>
      <w:u w:val="none"/>
    </w:rPr>
  </w:style>
  <w:style w:type="character" w:customStyle="1" w:styleId="41">
    <w:name w:val="font161"/>
    <w:basedOn w:val="19"/>
    <w:qFormat/>
    <w:uiPriority w:val="0"/>
    <w:rPr>
      <w:rFonts w:hint="default" w:ascii="Arial" w:hAnsi="Arial" w:cs="Arial"/>
      <w:color w:val="000000"/>
      <w:sz w:val="20"/>
      <w:szCs w:val="20"/>
      <w:u w:val="none"/>
    </w:rPr>
  </w:style>
  <w:style w:type="paragraph" w:styleId="42">
    <w:name w:val="List Paragraph"/>
    <w:basedOn w:val="1"/>
    <w:qFormat/>
    <w:uiPriority w:val="0"/>
    <w:pPr>
      <w:ind w:firstLine="420" w:firstLineChars="200"/>
    </w:pPr>
  </w:style>
  <w:style w:type="paragraph" w:customStyle="1" w:styleId="43">
    <w:name w:val="样式9 Char"/>
    <w:basedOn w:val="1"/>
    <w:qFormat/>
    <w:uiPriority w:val="0"/>
    <w:pPr>
      <w:widowControl/>
      <w:spacing w:line="440" w:lineRule="exact"/>
      <w:ind w:firstLine="200" w:firstLineChars="200"/>
      <w:jc w:val="left"/>
    </w:pPr>
    <w:rPr>
      <w:spacing w:val="6"/>
      <w:kern w:val="0"/>
      <w:sz w:val="24"/>
      <w:szCs w:val="20"/>
    </w:rPr>
  </w:style>
  <w:style w:type="paragraph" w:customStyle="1" w:styleId="44">
    <w:name w:val="Blockquote"/>
    <w:basedOn w:val="1"/>
    <w:qFormat/>
    <w:uiPriority w:val="0"/>
    <w:pPr>
      <w:autoSpaceDE w:val="0"/>
      <w:autoSpaceDN w:val="0"/>
      <w:adjustRightInd w:val="0"/>
      <w:ind w:left="360" w:right="360"/>
      <w:jc w:val="left"/>
    </w:pPr>
    <w:rPr>
      <w:kern w:val="0"/>
      <w:sz w:val="24"/>
      <w:szCs w:val="20"/>
    </w:rPr>
  </w:style>
  <w:style w:type="paragraph" w:customStyle="1" w:styleId="45">
    <w:name w:val="E"/>
    <w:basedOn w:val="1"/>
    <w:qFormat/>
    <w:uiPriority w:val="0"/>
    <w:pPr>
      <w:spacing w:line="360" w:lineRule="auto"/>
      <w:ind w:firstLine="200" w:firstLineChars="200"/>
    </w:pPr>
    <w:rPr>
      <w:color w:val="000000"/>
      <w:sz w:val="24"/>
    </w:rPr>
  </w:style>
  <w:style w:type="paragraph" w:customStyle="1" w:styleId="46">
    <w:name w:val="正文无缩进"/>
    <w:basedOn w:val="1"/>
    <w:qFormat/>
    <w:uiPriority w:val="0"/>
    <w:pPr>
      <w:spacing w:line="360" w:lineRule="auto"/>
    </w:pPr>
    <w:rPr>
      <w:rFonts w:ascii="宋体"/>
      <w:color w:val="000000"/>
      <w:sz w:val="24"/>
    </w:rPr>
  </w:style>
  <w:style w:type="paragraph" w:styleId="47">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48">
    <w:name w:val="time"/>
    <w:basedOn w:val="19"/>
    <w:qFormat/>
    <w:uiPriority w:val="0"/>
    <w:rPr>
      <w:color w:val="769199"/>
    </w:rPr>
  </w:style>
  <w:style w:type="character" w:customStyle="1" w:styleId="49">
    <w:name w:val="pubtime"/>
    <w:basedOn w:val="19"/>
    <w:qFormat/>
    <w:uiPriority w:val="0"/>
    <w:rPr>
      <w:color w:val="000000"/>
      <w:sz w:val="18"/>
      <w:szCs w:val="18"/>
    </w:rPr>
  </w:style>
  <w:style w:type="character" w:customStyle="1" w:styleId="50">
    <w:name w:val="more"/>
    <w:basedOn w:val="19"/>
    <w:qFormat/>
    <w:uiPriority w:val="0"/>
  </w:style>
  <w:style w:type="paragraph" w:customStyle="1" w:styleId="51">
    <w:name w:val="_Style 49"/>
    <w:basedOn w:val="1"/>
    <w:next w:val="1"/>
    <w:qFormat/>
    <w:uiPriority w:val="0"/>
    <w:pPr>
      <w:pBdr>
        <w:bottom w:val="single" w:color="auto" w:sz="6" w:space="1"/>
      </w:pBdr>
      <w:jc w:val="center"/>
    </w:pPr>
    <w:rPr>
      <w:rFonts w:ascii="Arial"/>
      <w:vanish/>
      <w:sz w:val="16"/>
    </w:rPr>
  </w:style>
  <w:style w:type="paragraph" w:customStyle="1" w:styleId="52">
    <w:name w:val="_Style 50"/>
    <w:basedOn w:val="1"/>
    <w:next w:val="1"/>
    <w:qFormat/>
    <w:uiPriority w:val="0"/>
    <w:pPr>
      <w:pBdr>
        <w:top w:val="single" w:color="auto" w:sz="6" w:space="1"/>
      </w:pBdr>
      <w:jc w:val="center"/>
    </w:pPr>
    <w:rPr>
      <w:rFonts w:ascii="Arial"/>
      <w:vanish/>
      <w:sz w:val="16"/>
    </w:rPr>
  </w:style>
  <w:style w:type="character" w:customStyle="1" w:styleId="53">
    <w:name w:val="font31"/>
    <w:basedOn w:val="19"/>
    <w:qFormat/>
    <w:uiPriority w:val="0"/>
    <w:rPr>
      <w:rFonts w:hint="eastAsia" w:ascii="宋体" w:hAnsi="宋体" w:eastAsia="宋体" w:cs="宋体"/>
      <w:color w:val="000000"/>
      <w:sz w:val="18"/>
      <w:szCs w:val="18"/>
      <w:u w:val="none"/>
    </w:rPr>
  </w:style>
  <w:style w:type="character" w:customStyle="1" w:styleId="54">
    <w:name w:val="font11"/>
    <w:basedOn w:val="19"/>
    <w:qFormat/>
    <w:uiPriority w:val="0"/>
    <w:rPr>
      <w:rFonts w:hint="eastAsia" w:ascii="宋体" w:hAnsi="宋体" w:eastAsia="宋体" w:cs="宋体"/>
      <w:color w:val="000000"/>
      <w:sz w:val="18"/>
      <w:szCs w:val="18"/>
      <w:u w:val="none"/>
    </w:rPr>
  </w:style>
  <w:style w:type="character" w:customStyle="1" w:styleId="55">
    <w:name w:val="font41"/>
    <w:basedOn w:val="19"/>
    <w:qFormat/>
    <w:uiPriority w:val="0"/>
    <w:rPr>
      <w:rFonts w:hint="eastAsia" w:ascii="宋体" w:hAnsi="宋体" w:eastAsia="宋体" w:cs="宋体"/>
      <w:color w:val="000000"/>
      <w:sz w:val="18"/>
      <w:szCs w:val="18"/>
      <w:u w:val="none"/>
      <w:vertAlign w:val="superscript"/>
    </w:rPr>
  </w:style>
  <w:style w:type="character" w:customStyle="1" w:styleId="56">
    <w:name w:val="font01"/>
    <w:basedOn w:val="19"/>
    <w:qFormat/>
    <w:uiPriority w:val="0"/>
    <w:rPr>
      <w:rFonts w:hint="eastAsia" w:ascii="宋体" w:hAnsi="宋体" w:eastAsia="宋体" w:cs="宋体"/>
      <w:color w:val="FF0000"/>
      <w:sz w:val="18"/>
      <w:szCs w:val="18"/>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footer6.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9"/>
    <customShpInfo spid="_x0000_s103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102</Pages>
  <Words>15578</Words>
  <Characters>88796</Characters>
  <Lines>739</Lines>
  <Paragraphs>208</Paragraphs>
  <TotalTime>151</TotalTime>
  <ScaleCrop>false</ScaleCrop>
  <LinksUpToDate>false</LinksUpToDate>
  <CharactersWithSpaces>104166</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2018-07-10T01:52:00Z</dcterms:created>
  <dc:creator>βίος</dc:creator>
  <cp:lastModifiedBy>Yu Xian Sheng</cp:lastModifiedBy>
  <cp:lastPrinted>2019-07-04T05:02:00Z</cp:lastPrinted>
  <dcterms:modified xsi:type="dcterms:W3CDTF">2019-09-19T07:21:31Z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