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hint="eastAsia" w:asciiTheme="minorEastAsia" w:hAnsiTheme="minorEastAsia" w:eastAsiaTheme="minorEastAsia" w:cstheme="minorEastAsia"/>
          <w:b/>
          <w:sz w:val="36"/>
          <w:szCs w:val="36"/>
        </w:rPr>
      </w:pPr>
    </w:p>
    <w:p>
      <w:pPr>
        <w:autoSpaceDE w:val="0"/>
        <w:autoSpaceDN w:val="0"/>
        <w:adjustRightInd w:val="0"/>
        <w:jc w:val="center"/>
        <w:rPr>
          <w:rFonts w:hint="eastAsia" w:asciiTheme="minorEastAsia" w:hAnsiTheme="minorEastAsia" w:eastAsiaTheme="minorEastAsia" w:cstheme="minorEastAsia"/>
          <w:b/>
          <w:spacing w:val="40"/>
          <w:kern w:val="0"/>
          <w:sz w:val="72"/>
          <w:szCs w:val="72"/>
        </w:rPr>
      </w:pPr>
      <w:r>
        <w:rPr>
          <w:rFonts w:hint="eastAsia" w:asciiTheme="minorEastAsia" w:hAnsiTheme="minorEastAsia" w:eastAsiaTheme="minorEastAsia" w:cstheme="minorEastAsia"/>
          <w:spacing w:val="40"/>
          <w:kern w:val="0"/>
          <w:sz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780415</wp:posOffset>
                </wp:positionV>
                <wp:extent cx="5934075" cy="0"/>
                <wp:effectExtent l="0" t="19050" r="9525" b="19050"/>
                <wp:wrapNone/>
                <wp:docPr id="2" name="直线 16"/>
                <wp:cNvGraphicFramePr/>
                <a:graphic xmlns:a="http://schemas.openxmlformats.org/drawingml/2006/main">
                  <a:graphicData uri="http://schemas.microsoft.com/office/word/2010/wordprocessingShape">
                    <wps:wsp>
                      <wps:cNvCnPr/>
                      <wps:spPr>
                        <a:xfrm>
                          <a:off x="0" y="0"/>
                          <a:ext cx="5934075"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2.55pt;margin-top:61.45pt;height:0pt;width:467.25pt;z-index:251659264;mso-width-relative:page;mso-height-relative:page;" filled="f" stroked="t" coordsize="21600,21600" o:gfxdata="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jegKdUAAAAJAQAADwAAAAAAAAABACAAAAAiAAAAZHJzL2Rvd25y&#10;ZXYueG1sUEsBAhQAFAAAAAgAh07iQI3vNUXIAQAAgwMAAA4AAAAAAAAAAQAgAAAAJAEAAGRycy9l&#10;Mm9Eb2MueG1sUEsFBgAAAAAGAAYAWQEAAF4FAAAAAA==&#10;">
                <v:fill on="f" focussize="0,0"/>
                <v:stroke weight="3pt" color="#000000" linestyle="thinThin" joinstyle="round"/>
                <v:imagedata o:title=""/>
                <o:lock v:ext="edit" aspectratio="f"/>
              </v:line>
            </w:pict>
          </mc:Fallback>
        </mc:AlternateContent>
      </w:r>
      <w:r>
        <w:rPr>
          <w:rFonts w:hint="eastAsia" w:asciiTheme="minorEastAsia" w:hAnsiTheme="minorEastAsia" w:eastAsiaTheme="minorEastAsia" w:cstheme="minorEastAsia"/>
          <w:b/>
          <w:sz w:val="36"/>
          <w:szCs w:val="36"/>
          <w:lang w:eastAsia="zh-CN"/>
        </w:rPr>
        <w:t>火化机尾气净化设备</w:t>
      </w:r>
      <w:r>
        <w:rPr>
          <w:rFonts w:hint="eastAsia" w:asciiTheme="minorEastAsia" w:hAnsiTheme="minorEastAsia" w:eastAsiaTheme="minorEastAsia" w:cstheme="minorEastAsia"/>
          <w:kern w:val="0"/>
          <w:sz w:val="52"/>
          <w:lang w:val="en-GB"/>
        </w:rPr>
        <w:t xml:space="preserve">                                                                                                                </w:t>
      </w:r>
    </w:p>
    <w:p>
      <w:pPr>
        <w:autoSpaceDE w:val="0"/>
        <w:autoSpaceDN w:val="0"/>
        <w:adjustRightInd w:val="0"/>
        <w:jc w:val="center"/>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pacing w:val="40"/>
          <w:kern w:val="0"/>
          <w:sz w:val="72"/>
          <w:szCs w:val="72"/>
        </w:rPr>
      </w:pPr>
      <w:r>
        <w:rPr>
          <w:rFonts w:hint="eastAsia" w:asciiTheme="minorEastAsia" w:hAnsiTheme="minorEastAsia" w:eastAsiaTheme="minorEastAsia" w:cstheme="minorEastAsia"/>
        </w:rPr>
        <w:drawing>
          <wp:inline distT="0" distB="0" distL="114300" distR="114300">
            <wp:extent cx="952500" cy="1613535"/>
            <wp:effectExtent l="0" t="0" r="0" b="0"/>
            <wp:docPr id="3" name="图片 3" descr="31997644729335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9976447293358765"/>
                    <pic:cNvPicPr>
                      <a:picLocks noChangeAspect="1"/>
                    </pic:cNvPicPr>
                  </pic:nvPicPr>
                  <pic:blipFill>
                    <a:blip r:embed="rId9"/>
                    <a:stretch>
                      <a:fillRect/>
                    </a:stretch>
                  </pic:blipFill>
                  <pic:spPr>
                    <a:xfrm>
                      <a:off x="0" y="0"/>
                      <a:ext cx="952500" cy="1613535"/>
                    </a:xfrm>
                    <a:prstGeom prst="rect">
                      <a:avLst/>
                    </a:prstGeom>
                    <a:noFill/>
                    <a:ln w="9525">
                      <a:noFill/>
                    </a:ln>
                  </pic:spPr>
                </pic:pic>
              </a:graphicData>
            </a:graphic>
          </wp:inline>
        </w:drawing>
      </w:r>
    </w:p>
    <w:p>
      <w:pPr>
        <w:autoSpaceDE w:val="0"/>
        <w:autoSpaceDN w:val="0"/>
        <w:adjustRightInd w:val="0"/>
        <w:rPr>
          <w:rFonts w:hint="eastAsia" w:asciiTheme="minorEastAsia" w:hAnsiTheme="minorEastAsia" w:eastAsiaTheme="minorEastAsia" w:cstheme="minorEastAsia"/>
          <w:b/>
          <w:spacing w:val="40"/>
          <w:kern w:val="0"/>
          <w:sz w:val="72"/>
          <w:szCs w:val="72"/>
        </w:rPr>
      </w:pPr>
    </w:p>
    <w:p>
      <w:pPr>
        <w:autoSpaceDE w:val="0"/>
        <w:autoSpaceDN w:val="0"/>
        <w:adjustRightInd w:val="0"/>
        <w:jc w:val="center"/>
        <w:rPr>
          <w:rFonts w:hint="eastAsia" w:asciiTheme="minorEastAsia" w:hAnsiTheme="minorEastAsia" w:eastAsiaTheme="minorEastAsia" w:cstheme="minorEastAsia"/>
          <w:b/>
          <w:spacing w:val="40"/>
          <w:kern w:val="0"/>
          <w:sz w:val="72"/>
          <w:szCs w:val="72"/>
        </w:rPr>
      </w:pPr>
      <w:r>
        <w:rPr>
          <w:rFonts w:hint="eastAsia" w:asciiTheme="minorEastAsia" w:hAnsiTheme="minorEastAsia" w:eastAsiaTheme="minorEastAsia" w:cstheme="minorEastAsia"/>
          <w:b/>
          <w:spacing w:val="40"/>
          <w:kern w:val="0"/>
          <w:sz w:val="72"/>
          <w:szCs w:val="72"/>
        </w:rPr>
        <w:t>竞争性谈判采购文件</w:t>
      </w:r>
    </w:p>
    <w:p>
      <w:pPr>
        <w:autoSpaceDE w:val="0"/>
        <w:autoSpaceDN w:val="0"/>
        <w:adjustRightInd w:val="0"/>
        <w:spacing w:line="360" w:lineRule="auto"/>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t>项目编号：</w:t>
      </w:r>
      <w:r>
        <w:rPr>
          <w:rFonts w:hint="eastAsia" w:asciiTheme="minorEastAsia" w:hAnsiTheme="minorEastAsia" w:eastAsiaTheme="minorEastAsia" w:cstheme="minorEastAsia"/>
          <w:b/>
          <w:sz w:val="30"/>
          <w:szCs w:val="30"/>
          <w:lang w:val="en-US" w:eastAsia="zh-CN"/>
        </w:rPr>
        <w:t>CZZC2020-J1-00002-HCJS</w:t>
      </w:r>
    </w:p>
    <w:p>
      <w:pPr>
        <w:autoSpaceDE w:val="0"/>
        <w:autoSpaceDN w:val="0"/>
        <w:adjustRightInd w:val="0"/>
        <w:spacing w:line="360" w:lineRule="auto"/>
        <w:jc w:val="center"/>
        <w:rPr>
          <w:rFonts w:hint="eastAsia" w:asciiTheme="minorEastAsia" w:hAnsiTheme="minorEastAsia" w:eastAsiaTheme="minorEastAsia" w:cstheme="minorEastAsia"/>
          <w:b/>
          <w:sz w:val="30"/>
          <w:szCs w:val="30"/>
        </w:rPr>
      </w:pPr>
    </w:p>
    <w:p>
      <w:pPr>
        <w:autoSpaceDE w:val="0"/>
        <w:autoSpaceDN w:val="0"/>
        <w:adjustRightInd w:val="0"/>
        <w:spacing w:line="360" w:lineRule="auto"/>
        <w:jc w:val="center"/>
        <w:rPr>
          <w:rFonts w:hint="eastAsia" w:asciiTheme="minorEastAsia" w:hAnsiTheme="minorEastAsia" w:eastAsiaTheme="minorEastAsia" w:cstheme="minorEastAsia"/>
          <w:b/>
          <w:sz w:val="30"/>
          <w:szCs w:val="30"/>
        </w:rPr>
      </w:pPr>
    </w:p>
    <w:p>
      <w:pPr>
        <w:autoSpaceDE w:val="0"/>
        <w:autoSpaceDN w:val="0"/>
        <w:adjustRightInd w:val="0"/>
        <w:outlineLvl w:val="0"/>
        <w:rPr>
          <w:rFonts w:hint="eastAsia" w:asciiTheme="minorEastAsia" w:hAnsiTheme="minorEastAsia" w:eastAsiaTheme="minorEastAsia" w:cstheme="minorEastAsia"/>
          <w:b/>
          <w:kern w:val="0"/>
          <w:sz w:val="24"/>
        </w:rPr>
      </w:pPr>
    </w:p>
    <w:p>
      <w:pPr>
        <w:autoSpaceDE w:val="0"/>
        <w:autoSpaceDN w:val="0"/>
        <w:adjustRightInd w:val="0"/>
        <w:outlineLvl w:val="0"/>
        <w:rPr>
          <w:rFonts w:hint="eastAsia" w:asciiTheme="minorEastAsia" w:hAnsiTheme="minorEastAsia" w:eastAsiaTheme="minorEastAsia" w:cstheme="minorEastAsia"/>
          <w:b/>
          <w:kern w:val="0"/>
          <w:sz w:val="24"/>
        </w:rPr>
      </w:pPr>
    </w:p>
    <w:p>
      <w:pPr>
        <w:autoSpaceDE w:val="0"/>
        <w:autoSpaceDN w:val="0"/>
        <w:adjustRightInd w:val="0"/>
        <w:outlineLvl w:val="0"/>
        <w:rPr>
          <w:rFonts w:hint="eastAsia" w:asciiTheme="minorEastAsia" w:hAnsiTheme="minorEastAsia" w:eastAsiaTheme="minorEastAsia" w:cstheme="minorEastAsia"/>
          <w:b/>
          <w:kern w:val="0"/>
          <w:sz w:val="24"/>
        </w:rPr>
      </w:pPr>
    </w:p>
    <w:p>
      <w:pPr>
        <w:autoSpaceDE w:val="0"/>
        <w:autoSpaceDN w:val="0"/>
        <w:adjustRightInd w:val="0"/>
        <w:outlineLvl w:val="0"/>
        <w:rPr>
          <w:rFonts w:hint="eastAsia" w:asciiTheme="minorEastAsia" w:hAnsiTheme="minorEastAsia" w:eastAsiaTheme="minorEastAsia" w:cstheme="minorEastAsia"/>
          <w:b/>
          <w:kern w:val="0"/>
          <w:sz w:val="24"/>
        </w:rPr>
      </w:pPr>
    </w:p>
    <w:p>
      <w:pPr>
        <w:autoSpaceDE w:val="0"/>
        <w:autoSpaceDN w:val="0"/>
        <w:adjustRightInd w:val="0"/>
        <w:spacing w:line="360" w:lineRule="auto"/>
        <w:outlineLvl w:val="0"/>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331470</wp:posOffset>
                </wp:positionV>
                <wp:extent cx="6067425" cy="0"/>
                <wp:effectExtent l="0" t="19050" r="9525" b="19050"/>
                <wp:wrapTopAndBottom/>
                <wp:docPr id="1" name="直线 17"/>
                <wp:cNvGraphicFramePr/>
                <a:graphic xmlns:a="http://schemas.openxmlformats.org/drawingml/2006/main">
                  <a:graphicData uri="http://schemas.microsoft.com/office/word/2010/wordprocessingShape">
                    <wps:wsp>
                      <wps:cNvCnPr/>
                      <wps:spPr>
                        <a:xfrm>
                          <a:off x="0" y="0"/>
                          <a:ext cx="6067425"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10.5pt;margin-top:26.1pt;height:0pt;width:477.75pt;mso-wrap-distance-bottom:0pt;mso-wrap-distance-top:0pt;z-index:251658240;mso-width-relative:page;mso-height-relative:page;" filled="f" stroked="t" coordsize="21600,21600" o:gfxdata="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00mf2AAAAAkBAAAPAAAAAAAAAAEAIAAAACIAAABkcnMvZG93&#10;bnJldi54bWxQSwECFAAUAAAACACHTuJAudhk/McBAACDAwAADgAAAAAAAAABACAAAAAnAQAAZHJz&#10;L2Uyb0RvYy54bWxQSwUGAAAAAAYABgBZAQAAYAUAAAAA&#10;">
                <v:fill on="f" focussize="0,0"/>
                <v:stroke weight="3pt" color="#000000" linestyle="thinThin" joinstyle="round"/>
                <v:imagedata o:title=""/>
                <o:lock v:ext="edit" aspectratio="f"/>
                <w10:wrap type="topAndBottom"/>
              </v:line>
            </w:pict>
          </mc:Fallback>
        </mc:AlternateContent>
      </w:r>
      <w:r>
        <w:rPr>
          <w:rFonts w:hint="eastAsia" w:asciiTheme="minorEastAsia" w:hAnsiTheme="minorEastAsia" w:eastAsiaTheme="minorEastAsia" w:cstheme="minorEastAsia"/>
          <w:b/>
          <w:sz w:val="32"/>
          <w:szCs w:val="32"/>
        </w:rPr>
        <w:t>采   购   人：</w:t>
      </w:r>
      <w:r>
        <w:rPr>
          <w:rFonts w:hint="eastAsia" w:asciiTheme="minorEastAsia" w:hAnsiTheme="minorEastAsia" w:eastAsiaTheme="minorEastAsia" w:cstheme="minorEastAsia"/>
          <w:b/>
          <w:sz w:val="32"/>
          <w:szCs w:val="32"/>
          <w:lang w:eastAsia="zh-CN"/>
        </w:rPr>
        <w:t>崇左市殡葬管理中心</w:t>
      </w:r>
    </w:p>
    <w:p>
      <w:pPr>
        <w:autoSpaceDE w:val="0"/>
        <w:autoSpaceDN w:val="0"/>
        <w:adjustRightInd w:val="0"/>
        <w:spacing w:line="360" w:lineRule="auto"/>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采购代理机构：华春建设工程项目管理有限责任公司</w:t>
      </w:r>
    </w:p>
    <w:p>
      <w:pPr>
        <w:autoSpaceDE w:val="0"/>
        <w:autoSpaceDN w:val="0"/>
        <w:adjustRightInd w:val="0"/>
        <w:spacing w:line="360" w:lineRule="auto"/>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w:t>
      </w:r>
    </w:p>
    <w:p>
      <w:pPr>
        <w:autoSpaceDE w:val="0"/>
        <w:autoSpaceDN w:val="0"/>
        <w:adjustRightInd w:val="0"/>
        <w:spacing w:line="360" w:lineRule="auto"/>
        <w:outlineLvl w:val="0"/>
        <w:rPr>
          <w:rFonts w:hint="eastAsia" w:asciiTheme="minorEastAsia" w:hAnsiTheme="minorEastAsia" w:eastAsiaTheme="minorEastAsia" w:cstheme="minorEastAsia"/>
          <w:b/>
          <w:sz w:val="32"/>
          <w:szCs w:val="32"/>
        </w:rPr>
      </w:pPr>
    </w:p>
    <w:p>
      <w:pPr>
        <w:ind w:firstLine="4016" w:firstLineChars="125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b/>
          <w:sz w:val="32"/>
          <w:szCs w:val="32"/>
          <w:lang w:eastAsia="zh-CN"/>
        </w:rPr>
        <w:t>2020年</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sz w:val="32"/>
          <w:szCs w:val="32"/>
        </w:rPr>
        <w:t>月</w:t>
      </w:r>
    </w:p>
    <w:p>
      <w:pPr>
        <w:rPr>
          <w:rFonts w:hint="eastAsia" w:asciiTheme="minorEastAsia" w:hAnsiTheme="minorEastAsia" w:eastAsiaTheme="minorEastAsia" w:cstheme="minorEastAsia"/>
        </w:rPr>
        <w:sectPr>
          <w:footerReference r:id="rId4" w:type="first"/>
          <w:footerReference r:id="rId3" w:type="even"/>
          <w:pgSz w:w="11906" w:h="16838"/>
          <w:pgMar w:top="1021" w:right="964" w:bottom="1134" w:left="1418" w:header="567" w:footer="567" w:gutter="0"/>
          <w:pgNumType w:start="0"/>
          <w:cols w:space="720" w:num="1"/>
          <w:titlePg/>
          <w:docGrid w:type="lines" w:linePitch="312" w:charSpace="0"/>
        </w:sectPr>
      </w:pPr>
    </w:p>
    <w:p>
      <w:pPr>
        <w:rPr>
          <w:rFonts w:hint="eastAsia" w:asciiTheme="minorEastAsia" w:hAnsiTheme="minorEastAsia" w:eastAsiaTheme="minorEastAsia" w:cstheme="minorEastAsia"/>
        </w:rPr>
      </w:pPr>
    </w:p>
    <w:p>
      <w:pPr>
        <w:spacing w:line="380" w:lineRule="exact"/>
        <w:ind w:right="42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   录</w:t>
      </w:r>
    </w:p>
    <w:p>
      <w:pPr>
        <w:spacing w:line="440" w:lineRule="exact"/>
        <w:ind w:right="420"/>
        <w:jc w:val="center"/>
        <w:rPr>
          <w:rFonts w:hint="eastAsia" w:asciiTheme="minorEastAsia" w:hAnsiTheme="minorEastAsia" w:eastAsiaTheme="minorEastAsia" w:cstheme="minorEastAsia"/>
          <w:b/>
          <w:sz w:val="32"/>
          <w:szCs w:val="32"/>
        </w:rPr>
      </w:pPr>
    </w:p>
    <w:p>
      <w:pPr>
        <w:pStyle w:val="22"/>
        <w:tabs>
          <w:tab w:val="right" w:leader="dot" w:pos="9514"/>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kern w:val="44"/>
          <w:sz w:val="24"/>
        </w:rPr>
        <w:fldChar w:fldCharType="begin"/>
      </w:r>
      <w:r>
        <w:rPr>
          <w:rFonts w:hint="eastAsia" w:asciiTheme="minorEastAsia" w:hAnsiTheme="minorEastAsia" w:eastAsiaTheme="minorEastAsia" w:cstheme="minorEastAsia"/>
          <w:kern w:val="44"/>
          <w:sz w:val="24"/>
        </w:rPr>
        <w:instrText xml:space="preserve"> TOC \o "1-1" \h \z \u </w:instrText>
      </w:r>
      <w:r>
        <w:rPr>
          <w:rFonts w:hint="eastAsia" w:asciiTheme="minorEastAsia" w:hAnsiTheme="minorEastAsia" w:eastAsiaTheme="minorEastAsia" w:cstheme="minorEastAsia"/>
          <w:kern w:val="44"/>
          <w:sz w:val="24"/>
        </w:rPr>
        <w:fldChar w:fldCharType="separate"/>
      </w:r>
      <w:r>
        <w:rPr>
          <w:rFonts w:hint="eastAsia" w:asciiTheme="minorEastAsia" w:hAnsiTheme="minorEastAsia" w:eastAsiaTheme="minorEastAsia" w:cstheme="minorEastAsia"/>
          <w:b/>
          <w:sz w:val="28"/>
          <w:szCs w:val="28"/>
        </w:rPr>
        <w:fldChar w:fldCharType="begin"/>
      </w:r>
      <w:r>
        <w:rPr>
          <w:rStyle w:val="38"/>
          <w:rFonts w:hint="eastAsia" w:asciiTheme="minorEastAsia" w:hAnsiTheme="minorEastAsia" w:eastAsiaTheme="minorEastAsia" w:cstheme="minorEastAsia"/>
          <w:b/>
          <w:sz w:val="28"/>
          <w:szCs w:val="28"/>
        </w:rPr>
        <w:instrText xml:space="preserve"> </w:instrText>
      </w:r>
      <w:r>
        <w:rPr>
          <w:rFonts w:hint="eastAsia" w:asciiTheme="minorEastAsia" w:hAnsiTheme="minorEastAsia" w:eastAsiaTheme="minorEastAsia" w:cstheme="minorEastAsia"/>
          <w:b/>
          <w:sz w:val="28"/>
          <w:szCs w:val="28"/>
        </w:rPr>
        <w:instrText xml:space="preserve">HYPERLINK \l "_Toc430011624"</w:instrText>
      </w:r>
      <w:r>
        <w:rPr>
          <w:rStyle w:val="38"/>
          <w:rFonts w:hint="eastAsia" w:asciiTheme="minorEastAsia" w:hAnsiTheme="minorEastAsia" w:eastAsiaTheme="minorEastAsia" w:cstheme="minorEastAsia"/>
          <w:b/>
          <w:sz w:val="28"/>
          <w:szCs w:val="28"/>
        </w:rPr>
        <w:instrText xml:space="preserve"> </w:instrText>
      </w:r>
      <w:r>
        <w:rPr>
          <w:rFonts w:hint="eastAsia" w:asciiTheme="minorEastAsia" w:hAnsiTheme="minorEastAsia" w:eastAsiaTheme="minorEastAsia" w:cstheme="minorEastAsia"/>
          <w:b/>
          <w:sz w:val="28"/>
          <w:szCs w:val="28"/>
        </w:rPr>
        <w:fldChar w:fldCharType="separate"/>
      </w:r>
      <w:r>
        <w:rPr>
          <w:rStyle w:val="38"/>
          <w:rFonts w:hint="eastAsia" w:asciiTheme="minorEastAsia" w:hAnsiTheme="minorEastAsia" w:eastAsiaTheme="minorEastAsia" w:cstheme="minorEastAsia"/>
          <w:b/>
          <w:bCs/>
          <w:kern w:val="44"/>
          <w:sz w:val="28"/>
          <w:szCs w:val="28"/>
        </w:rPr>
        <w:t>竞争性谈判公告</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1</w:t>
      </w:r>
    </w:p>
    <w:p>
      <w:pPr>
        <w:pStyle w:val="22"/>
        <w:tabs>
          <w:tab w:val="right" w:leader="dot" w:pos="9514"/>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"_Toc430011625" </w:instrText>
      </w:r>
      <w:r>
        <w:rPr>
          <w:rFonts w:hint="eastAsia" w:asciiTheme="minorEastAsia" w:hAnsiTheme="minorEastAsia" w:eastAsiaTheme="minorEastAsia" w:cstheme="minorEastAsia"/>
        </w:rPr>
        <w:fldChar w:fldCharType="separate"/>
      </w:r>
      <w:r>
        <w:rPr>
          <w:rStyle w:val="38"/>
          <w:rFonts w:hint="eastAsia" w:asciiTheme="minorEastAsia" w:hAnsiTheme="minorEastAsia" w:eastAsiaTheme="minorEastAsia" w:cstheme="minorEastAsia"/>
          <w:b/>
          <w:bCs/>
          <w:kern w:val="44"/>
          <w:sz w:val="28"/>
          <w:szCs w:val="28"/>
        </w:rPr>
        <w:t>第一章  竞标人须知及前附表</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rPr>
        <w:fldChar w:fldCharType="end"/>
      </w:r>
    </w:p>
    <w:p>
      <w:pPr>
        <w:pStyle w:val="22"/>
        <w:tabs>
          <w:tab w:val="right" w:leader="dot" w:pos="9514"/>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"_Toc430011628" </w:instrText>
      </w:r>
      <w:r>
        <w:rPr>
          <w:rFonts w:hint="eastAsia" w:asciiTheme="minorEastAsia" w:hAnsiTheme="minorEastAsia" w:eastAsiaTheme="minorEastAsia" w:cstheme="minorEastAsia"/>
        </w:rPr>
        <w:fldChar w:fldCharType="separate"/>
      </w:r>
      <w:r>
        <w:rPr>
          <w:rStyle w:val="38"/>
          <w:rFonts w:hint="eastAsia" w:asciiTheme="minorEastAsia" w:hAnsiTheme="minorEastAsia" w:eastAsiaTheme="minorEastAsia" w:cstheme="minorEastAsia"/>
          <w:b/>
          <w:bCs/>
          <w:kern w:val="44"/>
          <w:sz w:val="28"/>
          <w:szCs w:val="28"/>
        </w:rPr>
        <w:t>第二章  货物需求</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t>11</w:t>
      </w:r>
    </w:p>
    <w:p>
      <w:pPr>
        <w:pStyle w:val="22"/>
        <w:tabs>
          <w:tab w:val="right" w:leader="dot" w:pos="9514"/>
        </w:tabs>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"_Toc430011629" </w:instrText>
      </w:r>
      <w:r>
        <w:rPr>
          <w:rFonts w:hint="eastAsia" w:asciiTheme="minorEastAsia" w:hAnsiTheme="minorEastAsia" w:eastAsiaTheme="minorEastAsia" w:cstheme="minorEastAsia"/>
        </w:rPr>
        <w:fldChar w:fldCharType="separate"/>
      </w:r>
      <w:r>
        <w:rPr>
          <w:rStyle w:val="38"/>
          <w:rFonts w:hint="eastAsia" w:asciiTheme="minorEastAsia" w:hAnsiTheme="minorEastAsia" w:eastAsiaTheme="minorEastAsia" w:cstheme="minorEastAsia"/>
          <w:b/>
          <w:bCs/>
          <w:kern w:val="44"/>
          <w:sz w:val="28"/>
          <w:szCs w:val="28"/>
        </w:rPr>
        <w:t>第三章  合同基本条款及合同书（格式）</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lang w:val="en-US" w:eastAsia="zh-CN"/>
        </w:rPr>
        <w:t>3</w:t>
      </w:r>
    </w:p>
    <w:p>
      <w:pPr>
        <w:pStyle w:val="22"/>
        <w:tabs>
          <w:tab w:val="right" w:leader="dot" w:pos="9514"/>
        </w:tabs>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"_Toc430011630" </w:instrText>
      </w:r>
      <w:r>
        <w:rPr>
          <w:rFonts w:hint="eastAsia" w:asciiTheme="minorEastAsia" w:hAnsiTheme="minorEastAsia" w:eastAsiaTheme="minorEastAsia" w:cstheme="minorEastAsia"/>
        </w:rPr>
        <w:fldChar w:fldCharType="separate"/>
      </w:r>
      <w:r>
        <w:rPr>
          <w:rStyle w:val="38"/>
          <w:rFonts w:hint="eastAsia" w:asciiTheme="minorEastAsia" w:hAnsiTheme="minorEastAsia" w:eastAsiaTheme="minorEastAsia" w:cstheme="minorEastAsia"/>
          <w:b/>
          <w:bCs/>
          <w:kern w:val="44"/>
          <w:sz w:val="28"/>
          <w:szCs w:val="28"/>
        </w:rPr>
        <w:t>第四章  竞标文件格式</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lang w:val="en-US" w:eastAsia="zh-CN"/>
        </w:rPr>
        <w:t>8</w:t>
      </w:r>
    </w:p>
    <w:p>
      <w:pPr>
        <w:pStyle w:val="22"/>
        <w:tabs>
          <w:tab w:val="right" w:leader="dot" w:pos="9514"/>
        </w:tabs>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"_Toc430011631" </w:instrText>
      </w:r>
      <w:r>
        <w:rPr>
          <w:rFonts w:hint="eastAsia" w:asciiTheme="minorEastAsia" w:hAnsiTheme="minorEastAsia" w:eastAsiaTheme="minorEastAsia" w:cstheme="minorEastAsia"/>
        </w:rPr>
        <w:fldChar w:fldCharType="separate"/>
      </w:r>
      <w:r>
        <w:rPr>
          <w:rStyle w:val="38"/>
          <w:rFonts w:hint="eastAsia" w:asciiTheme="minorEastAsia" w:hAnsiTheme="minorEastAsia" w:eastAsiaTheme="minorEastAsia" w:cstheme="minorEastAsia"/>
          <w:b/>
          <w:bCs/>
          <w:kern w:val="44"/>
          <w:sz w:val="28"/>
          <w:szCs w:val="28"/>
        </w:rPr>
        <w:t>第五章   评标方法</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lang w:val="en-US" w:eastAsia="zh-CN"/>
        </w:rPr>
        <w:t>7</w:t>
      </w:r>
    </w:p>
    <w:p>
      <w:pPr>
        <w:pStyle w:val="14"/>
        <w:spacing w:line="360" w:lineRule="exact"/>
        <w:jc w:val="center"/>
        <w:rPr>
          <w:rFonts w:hint="eastAsia" w:asciiTheme="minorEastAsia" w:hAnsiTheme="minorEastAsia" w:eastAsiaTheme="minorEastAsia" w:cstheme="minorEastAsia"/>
          <w:kern w:val="44"/>
          <w:sz w:val="24"/>
        </w:rPr>
      </w:pPr>
      <w:r>
        <w:rPr>
          <w:rFonts w:hint="eastAsia" w:asciiTheme="minorEastAsia" w:hAnsiTheme="minorEastAsia" w:eastAsiaTheme="minorEastAsia" w:cstheme="minorEastAsia"/>
          <w:kern w:val="44"/>
          <w:sz w:val="24"/>
        </w:rPr>
        <w:fldChar w:fldCharType="end"/>
      </w: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pPr>
    </w:p>
    <w:p>
      <w:pPr>
        <w:pStyle w:val="14"/>
        <w:spacing w:line="360" w:lineRule="exact"/>
        <w:jc w:val="center"/>
        <w:rPr>
          <w:rFonts w:hint="eastAsia" w:asciiTheme="minorEastAsia" w:hAnsiTheme="minorEastAsia" w:eastAsiaTheme="minorEastAsia" w:cstheme="minorEastAsia"/>
          <w:kern w:val="44"/>
          <w:sz w:val="24"/>
        </w:rPr>
        <w:sectPr>
          <w:footerReference r:id="rId6" w:type="first"/>
          <w:footerReference r:id="rId5" w:type="default"/>
          <w:pgSz w:w="11906" w:h="16838"/>
          <w:pgMar w:top="1021" w:right="964" w:bottom="1134" w:left="1418" w:header="567" w:footer="567" w:gutter="0"/>
          <w:pgNumType w:start="1"/>
          <w:cols w:space="720" w:num="1"/>
          <w:titlePg/>
          <w:docGrid w:type="lines" w:linePitch="312" w:charSpace="0"/>
        </w:sectPr>
      </w:pPr>
    </w:p>
    <w:p>
      <w:pPr>
        <w:pStyle w:val="14"/>
        <w:spacing w:line="360" w:lineRule="exact"/>
        <w:jc w:val="center"/>
        <w:rPr>
          <w:rFonts w:hint="eastAsia" w:asciiTheme="minorEastAsia" w:hAnsiTheme="minorEastAsia" w:eastAsiaTheme="minorEastAsia" w:cstheme="minorEastAsia"/>
          <w:b/>
          <w:kern w:val="44"/>
          <w:sz w:val="28"/>
          <w:szCs w:val="28"/>
        </w:rPr>
      </w:pPr>
      <w:bookmarkStart w:id="0" w:name="_Toc430011624"/>
      <w:r>
        <w:rPr>
          <w:rFonts w:hint="eastAsia" w:asciiTheme="minorEastAsia" w:hAnsiTheme="minorEastAsia" w:eastAsiaTheme="minorEastAsia" w:cstheme="minorEastAsia"/>
          <w:b/>
          <w:sz w:val="28"/>
          <w:szCs w:val="28"/>
        </w:rPr>
        <w:t>华春建设工程项目管理有限责任公司</w:t>
      </w:r>
      <w:r>
        <w:rPr>
          <w:rFonts w:hint="eastAsia" w:asciiTheme="minorEastAsia" w:hAnsiTheme="minorEastAsia" w:eastAsiaTheme="minorEastAsia" w:cstheme="minorEastAsia"/>
          <w:b/>
          <w:kern w:val="44"/>
          <w:sz w:val="28"/>
          <w:szCs w:val="28"/>
          <w:lang w:eastAsia="zh-CN"/>
        </w:rPr>
        <w:t>火化机尾气净化设备</w:t>
      </w:r>
      <w:r>
        <w:rPr>
          <w:rFonts w:hint="eastAsia" w:asciiTheme="minorEastAsia" w:hAnsiTheme="minorEastAsia" w:eastAsiaTheme="minorEastAsia" w:cstheme="minorEastAsia"/>
          <w:b/>
          <w:kern w:val="44"/>
          <w:sz w:val="28"/>
          <w:szCs w:val="28"/>
        </w:rPr>
        <w:t>（项目编号：</w:t>
      </w:r>
      <w:r>
        <w:rPr>
          <w:rFonts w:hint="eastAsia" w:asciiTheme="minorEastAsia" w:hAnsiTheme="minorEastAsia" w:eastAsiaTheme="minorEastAsia" w:cstheme="minorEastAsia"/>
          <w:b/>
          <w:sz w:val="30"/>
          <w:szCs w:val="30"/>
          <w:lang w:eastAsia="zh-CN"/>
        </w:rPr>
        <w:t>CZZC2020-J1-00002-HCJS</w:t>
      </w:r>
      <w:r>
        <w:rPr>
          <w:rFonts w:hint="eastAsia" w:asciiTheme="minorEastAsia" w:hAnsiTheme="minorEastAsia" w:eastAsiaTheme="minorEastAsia" w:cstheme="minorEastAsia"/>
          <w:b/>
          <w:kern w:val="44"/>
          <w:sz w:val="28"/>
          <w:szCs w:val="28"/>
        </w:rPr>
        <w:t>）竞争性谈判公告</w:t>
      </w:r>
      <w:bookmarkEnd w:id="0"/>
    </w:p>
    <w:p>
      <w:pPr>
        <w:spacing w:line="38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华春建设工程项目管理有限责任公司受采购人</w:t>
      </w:r>
      <w:r>
        <w:rPr>
          <w:rFonts w:hint="eastAsia" w:asciiTheme="minorEastAsia" w:hAnsiTheme="minorEastAsia" w:eastAsiaTheme="minorEastAsia" w:cstheme="minorEastAsia"/>
          <w:szCs w:val="21"/>
          <w:lang w:eastAsia="zh-CN"/>
        </w:rPr>
        <w:t>崇左市殡葬管理中心</w:t>
      </w:r>
      <w:r>
        <w:rPr>
          <w:rFonts w:hint="eastAsia" w:asciiTheme="minorEastAsia" w:hAnsiTheme="minorEastAsia" w:eastAsiaTheme="minorEastAsia" w:cstheme="minorEastAsia"/>
          <w:szCs w:val="21"/>
        </w:rPr>
        <w:t>委托，根据《中华人民共和国政府采购法》、《政府采购货物和服务招标竞标管理办法》等规定，现对</w:t>
      </w:r>
      <w:r>
        <w:rPr>
          <w:rFonts w:hint="eastAsia" w:asciiTheme="minorEastAsia" w:hAnsiTheme="minorEastAsia" w:eastAsiaTheme="minorEastAsia" w:cstheme="minorEastAsia"/>
          <w:szCs w:val="21"/>
          <w:lang w:eastAsia="zh-CN"/>
        </w:rPr>
        <w:t>火化机尾气净化设备</w:t>
      </w:r>
      <w:r>
        <w:rPr>
          <w:rFonts w:hint="eastAsia" w:asciiTheme="minorEastAsia" w:hAnsiTheme="minorEastAsia" w:eastAsiaTheme="minorEastAsia" w:cstheme="minorEastAsia"/>
          <w:szCs w:val="21"/>
        </w:rPr>
        <w:t>进行竞争性谈判采购，欢迎符合条件的供应商前来参加谈判活动。</w:t>
      </w:r>
    </w:p>
    <w:p>
      <w:pPr>
        <w:numPr>
          <w:ilvl w:val="0"/>
          <w:numId w:val="3"/>
        </w:num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项目名称：</w:t>
      </w:r>
      <w:r>
        <w:rPr>
          <w:rFonts w:hint="eastAsia" w:asciiTheme="minorEastAsia" w:hAnsiTheme="minorEastAsia" w:eastAsiaTheme="minorEastAsia" w:cstheme="minorEastAsia"/>
          <w:bCs/>
          <w:szCs w:val="21"/>
          <w:lang w:eastAsia="zh-CN"/>
        </w:rPr>
        <w:t>火化机尾气净化设备</w:t>
      </w:r>
    </w:p>
    <w:p>
      <w:pPr>
        <w:spacing w:line="380" w:lineRule="exac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二、</w:t>
      </w:r>
      <w:r>
        <w:rPr>
          <w:rFonts w:hint="eastAsia" w:asciiTheme="minorEastAsia" w:hAnsiTheme="minorEastAsia" w:eastAsiaTheme="minorEastAsia" w:cstheme="minorEastAsia"/>
          <w:b/>
          <w:szCs w:val="21"/>
        </w:rPr>
        <w:t>项目编号：</w:t>
      </w:r>
      <w:r>
        <w:rPr>
          <w:rFonts w:hint="eastAsia" w:asciiTheme="minorEastAsia" w:hAnsiTheme="minorEastAsia" w:eastAsiaTheme="minorEastAsia" w:cstheme="minorEastAsia"/>
          <w:bCs/>
          <w:szCs w:val="21"/>
          <w:lang w:eastAsia="zh-CN"/>
        </w:rPr>
        <w:t>CZZC2020-J1-00002-HCJS</w:t>
      </w:r>
    </w:p>
    <w:p>
      <w:pPr>
        <w:numPr>
          <w:ilvl w:val="0"/>
          <w:numId w:val="0"/>
        </w:numPr>
        <w:spacing w:line="38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三、</w:t>
      </w:r>
      <w:r>
        <w:rPr>
          <w:rFonts w:hint="eastAsia" w:asciiTheme="minorEastAsia" w:hAnsiTheme="minorEastAsia" w:eastAsiaTheme="minorEastAsia" w:cstheme="minorEastAsia"/>
          <w:b/>
          <w:bCs/>
          <w:szCs w:val="21"/>
        </w:rPr>
        <w:t>采购项目名称、数量、简要规格描述或基本情况介绍：</w:t>
      </w:r>
      <w:r>
        <w:rPr>
          <w:rFonts w:hint="eastAsia" w:asciiTheme="minorEastAsia" w:hAnsiTheme="minorEastAsia" w:eastAsiaTheme="minorEastAsia" w:cstheme="minorEastAsia"/>
          <w:b w:val="0"/>
          <w:bCs w:val="0"/>
          <w:szCs w:val="21"/>
          <w:lang w:val="en-US" w:eastAsia="zh-CN"/>
        </w:rPr>
        <w:t>采购</w:t>
      </w:r>
      <w:r>
        <w:rPr>
          <w:rFonts w:hint="eastAsia" w:asciiTheme="minorEastAsia" w:hAnsiTheme="minorEastAsia" w:eastAsiaTheme="minorEastAsia" w:cstheme="minorEastAsia"/>
          <w:szCs w:val="21"/>
          <w:lang w:eastAsia="zh-CN"/>
        </w:rPr>
        <w:t>火化机尾气净化设备</w:t>
      </w:r>
      <w:r>
        <w:rPr>
          <w:rFonts w:hint="eastAsia" w:asciiTheme="minorEastAsia" w:hAnsiTheme="minorEastAsia" w:eastAsiaTheme="minorEastAsia" w:cstheme="minorEastAsia"/>
          <w:szCs w:val="21"/>
          <w:lang w:val="en-US" w:eastAsia="zh-CN"/>
        </w:rPr>
        <w:t>两套</w:t>
      </w:r>
      <w:r>
        <w:rPr>
          <w:rFonts w:hint="eastAsia" w:asciiTheme="minorEastAsia" w:hAnsiTheme="minorEastAsia" w:eastAsiaTheme="minorEastAsia" w:cstheme="minorEastAsia"/>
          <w:szCs w:val="21"/>
        </w:rPr>
        <w:t>，具体内容详见竞争性谈判文件。</w:t>
      </w:r>
    </w:p>
    <w:p>
      <w:pPr>
        <w:numPr>
          <w:ilvl w:val="0"/>
          <w:numId w:val="0"/>
        </w:numPr>
        <w:spacing w:line="38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四、</w:t>
      </w:r>
      <w:r>
        <w:rPr>
          <w:rFonts w:hint="eastAsia" w:asciiTheme="minorEastAsia" w:hAnsiTheme="minorEastAsia" w:eastAsiaTheme="minorEastAsia" w:cstheme="minorEastAsia"/>
          <w:b/>
          <w:bCs/>
          <w:szCs w:val="21"/>
        </w:rPr>
        <w:t>采购预算金额：</w:t>
      </w:r>
      <w:r>
        <w:rPr>
          <w:rFonts w:hint="eastAsia" w:asciiTheme="minorEastAsia" w:hAnsiTheme="minorEastAsia" w:eastAsiaTheme="minorEastAsia" w:cstheme="minorEastAsia"/>
          <w:szCs w:val="21"/>
          <w:lang w:eastAsia="zh-CN"/>
        </w:rPr>
        <w:t>1300000.00</w:t>
      </w:r>
      <w:r>
        <w:rPr>
          <w:rFonts w:hint="eastAsia" w:asciiTheme="minorEastAsia" w:hAnsiTheme="minorEastAsia" w:eastAsiaTheme="minorEastAsia" w:cstheme="minorEastAsia"/>
          <w:szCs w:val="21"/>
        </w:rPr>
        <w:t>元</w:t>
      </w:r>
    </w:p>
    <w:p>
      <w:pPr>
        <w:spacing w:line="38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谈判供应商的资格要求：</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1、符合《中华人民共和国政府采购法》第二十二条的规定；</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2、国内注册（指按国家有关规定要求注册的），生产或经营本次采购货物，具备合法资格的供应商；</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5、本次招标不接受联合体竞标。</w:t>
      </w:r>
    </w:p>
    <w:p>
      <w:pPr>
        <w:pStyle w:val="16"/>
        <w:spacing w:line="360" w:lineRule="auto"/>
        <w:ind w:firstLine="422" w:firstLineChars="200"/>
        <w:rPr>
          <w:rFonts w:hint="eastAsia" w:ascii="宋体" w:hAnsi="宋体" w:eastAsia="宋体" w:cs="宋体"/>
          <w:b/>
          <w:bCs w:val="0"/>
          <w:color w:val="000000"/>
          <w:kern w:val="2"/>
          <w:sz w:val="21"/>
          <w:szCs w:val="21"/>
          <w:highlight w:val="none"/>
          <w:lang w:val="en-US" w:eastAsia="zh-CN" w:bidi="ar-SA"/>
        </w:rPr>
      </w:pPr>
      <w:r>
        <w:rPr>
          <w:rFonts w:hint="eastAsia" w:hAnsi="宋体" w:cs="宋体"/>
          <w:b/>
          <w:bCs w:val="0"/>
          <w:color w:val="000000"/>
          <w:kern w:val="2"/>
          <w:sz w:val="21"/>
          <w:szCs w:val="21"/>
          <w:highlight w:val="none"/>
          <w:lang w:val="en-US" w:eastAsia="zh-CN" w:bidi="ar-SA"/>
        </w:rPr>
        <w:t>六</w:t>
      </w:r>
      <w:r>
        <w:rPr>
          <w:rFonts w:hint="eastAsia" w:ascii="宋体" w:hAnsi="宋体" w:eastAsia="宋体" w:cs="宋体"/>
          <w:b/>
          <w:bCs w:val="0"/>
          <w:color w:val="000000"/>
          <w:kern w:val="2"/>
          <w:sz w:val="21"/>
          <w:szCs w:val="21"/>
          <w:highlight w:val="none"/>
          <w:lang w:val="en-US" w:eastAsia="zh-CN" w:bidi="ar-SA"/>
        </w:rPr>
        <w:t>、本项目需要落实的政府采购政策：</w:t>
      </w:r>
    </w:p>
    <w:p>
      <w:pPr>
        <w:pStyle w:val="16"/>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1.《政府采购促进中小企业发展暂行办法》（财库[2011]181 号）； </w:t>
      </w:r>
    </w:p>
    <w:p>
      <w:pPr>
        <w:pStyle w:val="16"/>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2.《关于政府采购支持监狱企业发展有关问题的通知》（财库[2014]68 号）； </w:t>
      </w:r>
    </w:p>
    <w:p>
      <w:pPr>
        <w:pStyle w:val="16"/>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3.《关于促进残疾人就业政府采购政策的通知》（财库[2017]141 号）； </w:t>
      </w:r>
    </w:p>
    <w:p>
      <w:pPr>
        <w:pStyle w:val="16"/>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4. 优先采购环境标志产品、节能产品； </w:t>
      </w:r>
    </w:p>
    <w:p>
      <w:pPr>
        <w:pStyle w:val="16"/>
        <w:spacing w:line="360" w:lineRule="auto"/>
        <w:ind w:firstLine="420" w:firstLineChars="200"/>
        <w:rPr>
          <w:rFonts w:hint="eastAsia" w:asciiTheme="minorEastAsia" w:hAnsiTheme="minorEastAsia" w:eastAsiaTheme="minorEastAsia" w:cstheme="minorEastAsia"/>
          <w:szCs w:val="21"/>
        </w:rPr>
      </w:pPr>
      <w:r>
        <w:rPr>
          <w:rFonts w:hint="eastAsia" w:ascii="宋体" w:hAnsi="宋体" w:eastAsia="宋体" w:cs="宋体"/>
          <w:color w:val="000000"/>
          <w:kern w:val="0"/>
          <w:sz w:val="21"/>
          <w:szCs w:val="21"/>
          <w:highlight w:val="none"/>
          <w:lang w:val="en-US" w:eastAsia="zh-CN" w:bidi="ar"/>
        </w:rPr>
        <w:t>5. 政府采购扶持不发达地区和少数民族地区</w:t>
      </w:r>
      <w:r>
        <w:rPr>
          <w:rFonts w:hint="eastAsia"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 </w:t>
      </w:r>
    </w:p>
    <w:p>
      <w:pPr>
        <w:spacing w:line="38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七、竞争性谈判文件的获取：</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时间：请于　</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日（国家法定节假日除外），每天9：00～11：30，15：00～17：30（北京时间）</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地点：崇左市友谊大道209号</w:t>
      </w:r>
    </w:p>
    <w:p>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谈判文件售价：每套250元，竞争性谈判文件售后不退。购买竞争性谈判采购文件时法定代表人或委托代理人必须携带以下资料报名并购买竞争性谈判采购文件：(1)有效的营业执照(副本)；(2)有效的企业组织机构代码证(副本)；(3)有效的税务登记证(副本)；(4)法定代表人身份证；(5)法定代表人授权委托书及委托代理人身份证(委托时必须提供，明确委托权限及时间);</w:t>
      </w:r>
      <w:bookmarkStart w:id="1" w:name="_Toc430011625"/>
      <w:r>
        <w:rPr>
          <w:rFonts w:hint="eastAsia" w:asciiTheme="minorEastAsia" w:hAnsiTheme="minorEastAsia" w:eastAsiaTheme="minorEastAsia" w:cstheme="minorEastAsia"/>
          <w:szCs w:val="21"/>
        </w:rPr>
        <w:t>（6）投标单位的201</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到</w:t>
      </w:r>
      <w:r>
        <w:rPr>
          <w:rFonts w:hint="eastAsia" w:asciiTheme="minorEastAsia" w:hAnsiTheme="minorEastAsia" w:eastAsiaTheme="minorEastAsia" w:cstheme="minorEastAsia"/>
          <w:szCs w:val="21"/>
        </w:rPr>
        <w:t>201</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年度会计（审计）师事务所出具的审计报告；（7）投标单位近三个月的完税证明或免税证明复印件；（8）投标单位近三年内在经营活动中无重大违法记录的书面声明原件。以上材料均需提供原件核查（委托代理时法人身份证除外）。(竞标人若提供有统一社会信用代码“三证合一”的营业执照，则不用再提供组织机构代码证及税务登记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不满足上述要求的将被拒绝报名。</w:t>
      </w:r>
    </w:p>
    <w:p>
      <w:pPr>
        <w:spacing w:line="38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八、谈判保证金（人民币）：</w:t>
      </w:r>
      <w:r>
        <w:rPr>
          <w:rFonts w:hint="eastAsia" w:asciiTheme="minorEastAsia" w:hAnsiTheme="minorEastAsia" w:eastAsiaTheme="minorEastAsia" w:cstheme="minorEastAsia"/>
          <w:b/>
          <w:bCs/>
          <w:szCs w:val="21"/>
          <w:lang w:eastAsia="zh-CN"/>
        </w:rPr>
        <w:t>贰万元整</w:t>
      </w:r>
      <w:r>
        <w:rPr>
          <w:rFonts w:hint="eastAsia" w:asciiTheme="minorEastAsia" w:hAnsiTheme="minorEastAsia" w:eastAsiaTheme="minorEastAsia" w:cstheme="minorEastAsia"/>
          <w:b/>
          <w:bCs/>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开户名称：华春建设工程项目管理有限责任公司崇左项目管理分公司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开户银行：中国银行股份有限公司崇左支行</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开户账号：617167790283</w:t>
      </w:r>
    </w:p>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九、响应文件递交截止时间和地点：</w:t>
      </w:r>
      <w:r>
        <w:rPr>
          <w:rFonts w:hint="eastAsia" w:asciiTheme="minorEastAsia" w:hAnsiTheme="minorEastAsia" w:eastAsiaTheme="minorEastAsia" w:cstheme="minorEastAsia"/>
          <w:szCs w:val="21"/>
        </w:rPr>
        <w:t>竞标文件必须以密封形式于</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日上午 </w:t>
      </w:r>
      <w:r>
        <w:rPr>
          <w:rFonts w:hint="eastAsia" w:asciiTheme="minorEastAsia" w:hAnsiTheme="minorEastAsia" w:eastAsiaTheme="minorEastAsia" w:cstheme="minorEastAsia"/>
          <w:szCs w:val="21"/>
          <w:lang w:eastAsia="zh-CN"/>
        </w:rPr>
        <w:t>10 时00分</w:t>
      </w:r>
      <w:r>
        <w:rPr>
          <w:rFonts w:hint="eastAsia" w:asciiTheme="minorEastAsia" w:hAnsiTheme="minorEastAsia" w:eastAsiaTheme="minorEastAsia" w:cstheme="minorEastAsia"/>
          <w:szCs w:val="21"/>
        </w:rPr>
        <w:t>在华春建设工程项目管理有限责任公司崇左项目管理分公司开标厅【崇左市友谊大道209号】递交，逾期送达的或者未送达指定地点的竞标文件，采购人不予受理。</w:t>
      </w:r>
    </w:p>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十、谈判时间及地点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日上午</w:t>
      </w:r>
      <w:r>
        <w:rPr>
          <w:rFonts w:hint="eastAsia" w:asciiTheme="minorEastAsia" w:hAnsiTheme="minorEastAsia" w:eastAsiaTheme="minorEastAsia" w:cstheme="minorEastAsia"/>
          <w:szCs w:val="21"/>
          <w:lang w:eastAsia="zh-CN"/>
        </w:rPr>
        <w:t>10 时00分</w:t>
      </w:r>
      <w:r>
        <w:rPr>
          <w:rFonts w:hint="eastAsia" w:asciiTheme="minorEastAsia" w:hAnsiTheme="minorEastAsia" w:eastAsiaTheme="minorEastAsia" w:cstheme="minorEastAsia"/>
          <w:szCs w:val="21"/>
        </w:rPr>
        <w:t>在华春建设工程项目管理有限责任公司崇左项目管理分公司开标厅【崇左市友谊大道209号】截标，参加的谈判法定代表人（负责人)凭身份证或委托代理人必须持有效证件【法定代表人（负责人）凭身份证或委托代理人凭法人授权委托书原件和身份证】依时达到指定地点等候当面谈判。</w:t>
      </w:r>
    </w:p>
    <w:p>
      <w:pPr>
        <w:spacing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一</w:t>
      </w:r>
      <w:r>
        <w:rPr>
          <w:rFonts w:hint="eastAsia" w:asciiTheme="minorEastAsia" w:hAnsiTheme="minorEastAsia" w:eastAsiaTheme="minorEastAsia" w:cstheme="minorEastAsia"/>
          <w:b/>
          <w:bCs/>
          <w:szCs w:val="21"/>
        </w:rPr>
        <w:t>、联系事项：</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  1、采购人名称：</w:t>
      </w:r>
      <w:r>
        <w:rPr>
          <w:rFonts w:hint="eastAsia" w:asciiTheme="minorEastAsia" w:hAnsiTheme="minorEastAsia" w:eastAsiaTheme="minorEastAsia" w:cstheme="minorEastAsia"/>
          <w:szCs w:val="21"/>
          <w:lang w:eastAsia="zh-CN"/>
        </w:rPr>
        <w:t>崇左市殡葬管理中心</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    地址： </w:t>
      </w:r>
      <w:r>
        <w:rPr>
          <w:rFonts w:hint="eastAsia" w:asciiTheme="minorEastAsia" w:hAnsiTheme="minorEastAsia" w:eastAsiaTheme="minorEastAsia" w:cstheme="minorEastAsia"/>
          <w:szCs w:val="21"/>
          <w:lang w:eastAsia="zh-CN"/>
        </w:rPr>
        <w:t>崇左市沿山路</w:t>
      </w:r>
      <w:r>
        <w:rPr>
          <w:rFonts w:hint="eastAsia" w:asciiTheme="minorEastAsia" w:hAnsiTheme="minorEastAsia" w:eastAsiaTheme="minorEastAsia" w:cstheme="minorEastAsia"/>
          <w:szCs w:val="21"/>
          <w:lang w:val="en-US" w:eastAsia="zh-CN"/>
        </w:rPr>
        <w:t>31号</w:t>
      </w:r>
    </w:p>
    <w:p>
      <w:pPr>
        <w:spacing w:line="360" w:lineRule="auto"/>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color w:val="auto"/>
          <w:spacing w:val="0"/>
          <w:w w:val="100"/>
          <w:kern w:val="21"/>
          <w:position w:val="0"/>
          <w:lang w:val="en-US" w:eastAsia="zh-CN"/>
        </w:rPr>
        <w:t>0771-7928825</w:t>
      </w:r>
      <w:r>
        <w:rPr>
          <w:rFonts w:hint="eastAsia" w:asciiTheme="minorEastAsia" w:hAnsiTheme="minorEastAsia" w:eastAsiaTheme="minorEastAsia" w:cstheme="minorEastAsia"/>
          <w:szCs w:val="21"/>
        </w:rPr>
        <w:t xml:space="preserve">         联系人：</w:t>
      </w:r>
      <w:r>
        <w:rPr>
          <w:rFonts w:hint="eastAsia" w:asciiTheme="minorEastAsia" w:hAnsiTheme="minorEastAsia" w:eastAsiaTheme="minorEastAsia" w:cstheme="minorEastAsia"/>
          <w:szCs w:val="21"/>
          <w:lang w:eastAsia="zh-CN"/>
        </w:rPr>
        <w:t>韦</w:t>
      </w:r>
      <w:r>
        <w:rPr>
          <w:rFonts w:hint="eastAsia" w:asciiTheme="minorEastAsia" w:hAnsiTheme="minorEastAsia" w:eastAsiaTheme="minorEastAsia" w:cstheme="minorEastAsia"/>
          <w:szCs w:val="21"/>
        </w:rPr>
        <w:t>工</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2、采购代理机构：华春建设工程项目管理有限责任公司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联系电话：0771-7926999         联系人：凌工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联系地址：崇左市友谊大道209号</w:t>
      </w:r>
    </w:p>
    <w:p>
      <w:pPr>
        <w:spacing w:line="480" w:lineRule="auto"/>
        <w:ind w:firstLine="210" w:firstLineChars="1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、监督管理部门：</w:t>
      </w:r>
      <w:r>
        <w:rPr>
          <w:rFonts w:hint="eastAsia" w:asciiTheme="minorEastAsia" w:hAnsiTheme="minorEastAsia" w:eastAsiaTheme="minorEastAsia" w:cstheme="minorEastAsia"/>
          <w:szCs w:val="21"/>
          <w:lang w:eastAsia="zh-CN"/>
        </w:rPr>
        <w:t>崇左市财政局政府采购监督管理部门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lang w:eastAsia="zh-CN"/>
        </w:rPr>
        <w:t>0771-5962613</w:t>
      </w:r>
    </w:p>
    <w:p>
      <w:pPr>
        <w:adjustRightInd w:val="0"/>
        <w:snapToGrid w:val="0"/>
        <w:spacing w:line="360" w:lineRule="exact"/>
        <w:rPr>
          <w:rFonts w:hint="eastAsia" w:ascii="宋体"/>
          <w:color w:val="000000"/>
          <w:highlight w:val="none"/>
        </w:rPr>
      </w:pPr>
      <w:r>
        <w:rPr>
          <w:rFonts w:hint="eastAsia" w:asciiTheme="minorEastAsia" w:hAnsiTheme="minorEastAsia" w:eastAsiaTheme="minorEastAsia" w:cstheme="minorEastAsia"/>
          <w:szCs w:val="21"/>
        </w:rPr>
        <w:t xml:space="preserve"> </w:t>
      </w:r>
      <w:r>
        <w:rPr>
          <w:rFonts w:hint="eastAsia" w:ascii="宋体" w:hAnsi="宋体" w:eastAsia="宋体" w:cs="宋体"/>
          <w:b/>
          <w:bCs/>
          <w:color w:val="000000"/>
          <w:kern w:val="2"/>
          <w:sz w:val="24"/>
          <w:szCs w:val="24"/>
          <w:highlight w:val="none"/>
          <w:lang w:val="en-US" w:eastAsia="zh-CN" w:bidi="ar-SA"/>
        </w:rPr>
        <w:t>十</w:t>
      </w:r>
      <w:r>
        <w:rPr>
          <w:rFonts w:hint="eastAsia" w:ascii="宋体" w:hAnsi="宋体" w:cs="宋体"/>
          <w:b/>
          <w:bCs/>
          <w:color w:val="000000"/>
          <w:kern w:val="2"/>
          <w:sz w:val="24"/>
          <w:szCs w:val="24"/>
          <w:highlight w:val="none"/>
          <w:lang w:val="en-US" w:eastAsia="zh-CN" w:bidi="ar-SA"/>
        </w:rPr>
        <w:t>二</w:t>
      </w:r>
      <w:r>
        <w:rPr>
          <w:rFonts w:hint="eastAsia" w:ascii="宋体" w:hAnsi="宋体" w:eastAsia="宋体" w:cs="宋体"/>
          <w:b/>
          <w:bCs/>
          <w:color w:val="000000"/>
          <w:kern w:val="2"/>
          <w:sz w:val="24"/>
          <w:szCs w:val="24"/>
          <w:highlight w:val="none"/>
          <w:lang w:val="en-US" w:eastAsia="zh-CN" w:bidi="ar-SA"/>
        </w:rPr>
        <w:t>、公告发布地址：</w:t>
      </w:r>
      <w:r>
        <w:rPr>
          <w:rFonts w:hint="eastAsia" w:ascii="宋体" w:cs="宋体"/>
          <w:color w:val="000000"/>
          <w:highlight w:val="none"/>
        </w:rPr>
        <w:t>中国政府采购网（</w:t>
      </w:r>
      <w:r>
        <w:rPr>
          <w:rFonts w:hint="eastAsia" w:ascii="宋体"/>
          <w:color w:val="000000"/>
          <w:highlight w:val="none"/>
        </w:rPr>
        <w:t>http://www.ccgp.gov.cn</w:t>
      </w:r>
      <w:r>
        <w:rPr>
          <w:rFonts w:hint="eastAsia" w:ascii="宋体" w:cs="宋体"/>
          <w:color w:val="000000"/>
          <w:highlight w:val="none"/>
        </w:rPr>
        <w:t>）、广西壮族自治区政府采购网（</w:t>
      </w:r>
      <w:r>
        <w:rPr>
          <w:rFonts w:hint="eastAsia" w:ascii="宋体"/>
          <w:color w:val="000000"/>
          <w:highlight w:val="none"/>
        </w:rPr>
        <w:t>http://zfcg.gxzf.gov.cn/</w:t>
      </w:r>
      <w:r>
        <w:rPr>
          <w:rFonts w:hint="eastAsia" w:ascii="宋体" w:cs="宋体"/>
          <w:color w:val="000000"/>
          <w:highlight w:val="none"/>
        </w:rPr>
        <w:t>）。</w:t>
      </w:r>
    </w:p>
    <w:p>
      <w:pPr>
        <w:spacing w:line="480" w:lineRule="auto"/>
        <w:ind w:left="315"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80" w:lineRule="auto"/>
        <w:jc w:val="right"/>
        <w:rPr>
          <w:rFonts w:hint="eastAsia" w:asciiTheme="minorEastAsia" w:hAnsiTheme="minorEastAsia" w:eastAsiaTheme="minorEastAsia" w:cstheme="minorEastAsia"/>
          <w:szCs w:val="21"/>
        </w:rPr>
      </w:pPr>
    </w:p>
    <w:p>
      <w:pPr>
        <w:spacing w:line="480" w:lineRule="auto"/>
        <w:jc w:val="right"/>
        <w:rPr>
          <w:rFonts w:hint="eastAsia" w:asciiTheme="minorEastAsia" w:hAnsiTheme="minorEastAsia" w:eastAsiaTheme="minorEastAsia" w:cstheme="minorEastAsia"/>
          <w:szCs w:val="21"/>
        </w:rPr>
      </w:pPr>
    </w:p>
    <w:p>
      <w:pPr>
        <w:spacing w:line="48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 华春建设工程项目管理有限责任公司</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      期：</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w:t>
      </w:r>
    </w:p>
    <w:p>
      <w:pPr>
        <w:spacing w:line="480" w:lineRule="auto"/>
        <w:rPr>
          <w:rFonts w:hint="eastAsia" w:asciiTheme="minorEastAsia" w:hAnsiTheme="minorEastAsia" w:eastAsiaTheme="minorEastAsia" w:cstheme="minorEastAsia"/>
          <w:szCs w:val="21"/>
        </w:rPr>
      </w:pPr>
    </w:p>
    <w:p>
      <w:pPr>
        <w:spacing w:line="480" w:lineRule="auto"/>
        <w:rPr>
          <w:rFonts w:hint="eastAsia" w:asciiTheme="minorEastAsia" w:hAnsiTheme="minorEastAsia" w:eastAsiaTheme="minorEastAsia" w:cstheme="minorEastAsia"/>
          <w:szCs w:val="21"/>
        </w:rPr>
      </w:pPr>
    </w:p>
    <w:p>
      <w:pPr>
        <w:spacing w:line="480" w:lineRule="auto"/>
        <w:rPr>
          <w:rFonts w:hint="eastAsia" w:asciiTheme="minorEastAsia" w:hAnsiTheme="minorEastAsia" w:eastAsiaTheme="minorEastAsia" w:cstheme="minorEastAsia"/>
          <w:szCs w:val="21"/>
        </w:rPr>
      </w:pPr>
    </w:p>
    <w:p>
      <w:pPr>
        <w:pStyle w:val="2"/>
        <w:keepLines/>
        <w:spacing w:before="120" w:after="120" w:line="500" w:lineRule="exact"/>
        <w:jc w:val="center"/>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第一章  竞标人须知及前附表</w:t>
      </w:r>
      <w:bookmarkEnd w:id="1"/>
    </w:p>
    <w:p>
      <w:pPr>
        <w:pStyle w:val="2"/>
        <w:keepLines/>
        <w:spacing w:before="120" w:after="120" w:line="500" w:lineRule="exact"/>
        <w:jc w:val="center"/>
        <w:rPr>
          <w:rFonts w:hint="eastAsia" w:asciiTheme="minorEastAsia" w:hAnsiTheme="minorEastAsia" w:eastAsiaTheme="minorEastAsia" w:cstheme="minorEastAsia"/>
          <w:bCs/>
          <w:kern w:val="44"/>
          <w:szCs w:val="21"/>
        </w:rPr>
      </w:pPr>
      <w:bookmarkStart w:id="2" w:name="_Toc430011626"/>
      <w:r>
        <w:rPr>
          <w:rFonts w:hint="eastAsia" w:asciiTheme="minorEastAsia" w:hAnsiTheme="minorEastAsia" w:eastAsiaTheme="minorEastAsia" w:cstheme="minorEastAsia"/>
          <w:bCs/>
          <w:kern w:val="44"/>
          <w:szCs w:val="21"/>
        </w:rPr>
        <w:t>竞标人须知前附表</w:t>
      </w:r>
      <w:bookmarkEnd w:id="2"/>
    </w:p>
    <w:p>
      <w:pPr>
        <w:pStyle w:val="16"/>
        <w:jc w:val="center"/>
        <w:rPr>
          <w:rFonts w:hint="eastAsia" w:asciiTheme="minorEastAsia" w:hAnsiTheme="minorEastAsia" w:eastAsiaTheme="minorEastAsia" w:cstheme="minorEastAsia"/>
          <w:b/>
          <w:szCs w:val="21"/>
        </w:rPr>
      </w:pPr>
    </w:p>
    <w:tbl>
      <w:tblPr>
        <w:tblStyle w:val="30"/>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30"/>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 号</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条款号</w:t>
            </w:r>
          </w:p>
        </w:tc>
        <w:tc>
          <w:tcPr>
            <w:tcW w:w="7968"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0" w:type="dxa"/>
            <w:vAlign w:val="center"/>
          </w:tcPr>
          <w:p>
            <w:pPr>
              <w:pStyle w:val="16"/>
              <w:spacing w:line="4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7968" w:type="dxa"/>
            <w:vAlign w:val="center"/>
          </w:tcPr>
          <w:p>
            <w:pPr>
              <w:pStyle w:val="16"/>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火化机尾气净化设备</w:t>
            </w:r>
          </w:p>
          <w:p>
            <w:pPr>
              <w:spacing w:line="380" w:lineRule="exact"/>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竞标编号：</w:t>
            </w:r>
            <w:r>
              <w:rPr>
                <w:rFonts w:hint="eastAsia" w:asciiTheme="minorEastAsia" w:hAnsiTheme="minorEastAsia" w:eastAsiaTheme="minorEastAsia" w:cstheme="minorEastAsia"/>
                <w:b/>
                <w:szCs w:val="21"/>
                <w:lang w:eastAsia="zh-CN"/>
              </w:rPr>
              <w:t>CZZC2020-J1-00002-HCJS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竞标人资格：</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1、符合《中华人民共和国政府采购法》第二十二条的规定；</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2、国内注册（指按国家有关规定要求注册的），生产或经营本次招标采购货物，具备合法资格的供应商；</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5、本次招标不接受联合体竞标。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7968" w:type="dxa"/>
            <w:vAlign w:val="center"/>
          </w:tcPr>
          <w:p>
            <w:pPr>
              <w:pStyle w:val="16"/>
              <w:spacing w:line="400" w:lineRule="exact"/>
              <w:ind w:left="35" w:hanging="3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竞标报价：</w:t>
            </w:r>
            <w:r>
              <w:rPr>
                <w:rFonts w:hint="eastAsia" w:asciiTheme="minorEastAsia" w:hAnsiTheme="minorEastAsia" w:eastAsiaTheme="minorEastAsia" w:cstheme="minorEastAsia"/>
                <w:b/>
                <w:szCs w:val="21"/>
              </w:rPr>
              <w:t>竞标人须就《货物需求》中全部货物和服务内容作完整报价，竞标人可就本项目进行二次报价。</w:t>
            </w:r>
          </w:p>
          <w:p>
            <w:pPr>
              <w:pStyle w:val="16"/>
              <w:spacing w:line="400" w:lineRule="exact"/>
              <w:ind w:left="35" w:hanging="3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本项目采购总预算金额：</w:t>
            </w:r>
            <w:r>
              <w:rPr>
                <w:rFonts w:hint="eastAsia" w:asciiTheme="minorEastAsia" w:hAnsiTheme="minorEastAsia" w:eastAsiaTheme="minorEastAsia" w:cstheme="minorEastAsia"/>
                <w:b/>
                <w:szCs w:val="21"/>
                <w:lang w:eastAsia="zh-CN"/>
              </w:rPr>
              <w:t>1300000.00</w:t>
            </w:r>
            <w:r>
              <w:rPr>
                <w:rFonts w:hint="eastAsia" w:asciiTheme="minorEastAsia" w:hAnsiTheme="minorEastAsia" w:eastAsiaTheme="minorEastAsia" w:cstheme="minorEastAsia"/>
                <w:b/>
                <w:szCs w:val="21"/>
              </w:rPr>
              <w:t>元</w:t>
            </w:r>
          </w:p>
          <w:p>
            <w:pPr>
              <w:pStyle w:val="16"/>
              <w:spacing w:line="400" w:lineRule="exact"/>
              <w:ind w:left="35" w:hanging="35"/>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超出此范围的最终报价都将视为无效竞标报价。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15.5</w:t>
            </w: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竞标文件份数：正本一套，副本肆套。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7968" w:type="dxa"/>
            <w:vAlign w:val="center"/>
          </w:tcPr>
          <w:p>
            <w:pPr>
              <w:pStyle w:val="16"/>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竞标保证金：</w:t>
            </w:r>
            <w:r>
              <w:rPr>
                <w:rFonts w:hint="eastAsia" w:asciiTheme="minorEastAsia" w:hAnsiTheme="minorEastAsia" w:eastAsiaTheme="minorEastAsia" w:cstheme="minorEastAsia"/>
                <w:szCs w:val="21"/>
                <w:lang w:eastAsia="zh-CN"/>
              </w:rPr>
              <w:t>贰万元整</w:t>
            </w:r>
            <w:r>
              <w:rPr>
                <w:rFonts w:hint="eastAsia" w:asciiTheme="minorEastAsia" w:hAnsiTheme="minorEastAsia" w:eastAsiaTheme="minorEastAsia" w:cstheme="minorEastAsia"/>
                <w:szCs w:val="21"/>
              </w:rPr>
              <w:t>，须足额缴纳，竞标保证金应在竞标有效期内保持有效。</w:t>
            </w:r>
          </w:p>
          <w:p>
            <w:pPr>
              <w:widowControl/>
              <w:shd w:val="clear" w:color="auto" w:fill="FFFFFF"/>
              <w:spacing w:line="300" w:lineRule="exact"/>
              <w:ind w:firstLine="420" w:firstLineChars="200"/>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rPr>
              <w:t>竞标保证金从竞标人基本账户以转账或电汇等形式在竞标截止时间一天前交到以下采购代理机构账户，</w:t>
            </w:r>
            <w:r>
              <w:rPr>
                <w:rFonts w:hint="eastAsia" w:asciiTheme="minorEastAsia" w:hAnsiTheme="minorEastAsia" w:eastAsiaTheme="minorEastAsia" w:cstheme="minorEastAsia"/>
                <w:kern w:val="0"/>
                <w:szCs w:val="21"/>
                <w:highlight w:val="none"/>
              </w:rPr>
              <w:t>【</w:t>
            </w:r>
            <w:r>
              <w:rPr>
                <w:rFonts w:hint="eastAsia" w:asciiTheme="minorEastAsia" w:hAnsiTheme="minorEastAsia" w:eastAsiaTheme="minorEastAsia" w:cstheme="minorEastAsia"/>
                <w:b/>
                <w:bCs/>
                <w:kern w:val="0"/>
                <w:szCs w:val="21"/>
                <w:highlight w:val="none"/>
              </w:rPr>
              <w:t>注：竞标人的竞标保证金转账或电汇单备注上必须注明项目编号</w:t>
            </w:r>
            <w:r>
              <w:rPr>
                <w:rFonts w:hint="eastAsia" w:asciiTheme="minorEastAsia" w:hAnsiTheme="minorEastAsia" w:eastAsiaTheme="minorEastAsia" w:cstheme="minorEastAsia"/>
                <w:kern w:val="0"/>
                <w:szCs w:val="21"/>
                <w:highlight w:val="none"/>
              </w:rPr>
              <w:t>】</w:t>
            </w:r>
          </w:p>
          <w:p>
            <w:pPr>
              <w:widowControl/>
              <w:shd w:val="clear" w:color="auto" w:fill="FFFFFF"/>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开标时提供竞标保证缴纳的银行转账底单凭证原件核查。</w:t>
            </w:r>
          </w:p>
          <w:p>
            <w:pPr>
              <w:widowControl/>
              <w:shd w:val="clear" w:color="auto" w:fill="FFFFFF"/>
              <w:spacing w:line="300" w:lineRule="exact"/>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开户名称：华春建设工程项目管理有限责任公司崇左项目管理分公司</w:t>
            </w:r>
          </w:p>
          <w:p>
            <w:pPr>
              <w:widowControl/>
              <w:shd w:val="clear" w:color="auto" w:fill="FFFFFF"/>
              <w:spacing w:line="300" w:lineRule="exact"/>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开户银行：中国银行股份有限公司崇左支行</w:t>
            </w:r>
          </w:p>
          <w:p>
            <w:pPr>
              <w:widowControl/>
              <w:shd w:val="clear" w:color="auto" w:fill="FFFFFF"/>
              <w:spacing w:line="300" w:lineRule="exact"/>
              <w:ind w:firstLine="420" w:firstLineChars="200"/>
              <w:jc w:val="left"/>
              <w:rPr>
                <w:rFonts w:hint="eastAsia"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rPr>
              <w:t>开户账号：617167790283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7968" w:type="dxa"/>
            <w:vAlign w:val="center"/>
          </w:tcPr>
          <w:p>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竞标文件递交截止时间：</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日上午</w:t>
            </w:r>
            <w:r>
              <w:rPr>
                <w:rFonts w:hint="eastAsia" w:asciiTheme="minorEastAsia" w:hAnsiTheme="minorEastAsia" w:eastAsiaTheme="minorEastAsia" w:cstheme="minorEastAsia"/>
                <w:szCs w:val="21"/>
                <w:lang w:eastAsia="zh-CN"/>
              </w:rPr>
              <w:t>10 时00分</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地址：华春建设工程项目管理有限责任公司崇左项目管理分公司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19.1</w:t>
            </w:r>
          </w:p>
        </w:tc>
        <w:tc>
          <w:tcPr>
            <w:tcW w:w="7968" w:type="dxa"/>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谈判时间：</w:t>
            </w:r>
            <w:r>
              <w:rPr>
                <w:rFonts w:hint="eastAsia" w:asciiTheme="minorEastAsia" w:hAnsiTheme="minorEastAsia" w:eastAsiaTheme="minorEastAsia" w:cstheme="minorEastAsia"/>
                <w:szCs w:val="21"/>
                <w:lang w:eastAsia="zh-CN"/>
              </w:rPr>
              <w:t>2020年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日上午</w:t>
            </w:r>
            <w:r>
              <w:rPr>
                <w:rFonts w:hint="eastAsia" w:asciiTheme="minorEastAsia" w:hAnsiTheme="minorEastAsia" w:eastAsiaTheme="minorEastAsia" w:cstheme="minorEastAsia"/>
                <w:szCs w:val="21"/>
                <w:lang w:eastAsia="zh-CN"/>
              </w:rPr>
              <w:t>10 时00分</w:t>
            </w:r>
            <w:r>
              <w:rPr>
                <w:rFonts w:hint="eastAsia" w:asciiTheme="minorEastAsia" w:hAnsiTheme="minorEastAsia" w:eastAsiaTheme="minorEastAsia" w:cstheme="minorEastAsia"/>
                <w:szCs w:val="21"/>
              </w:rPr>
              <w:t>截标后（具体时间由采购代理机构另行通知）</w:t>
            </w:r>
          </w:p>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地点：华春建设工程项目管理有限责任公司崇左项目管理分公司评标室（以具体通知为准），参加竞标的法定代表人或委托代理人必须持证件（法定代表人凭资格证书和身份证或委托代理人凭法人授权委托书原件和身份证原件、竞标保证金缴纳证明原件</w:t>
            </w:r>
            <w:r>
              <w:rPr>
                <w:rFonts w:hint="eastAsia" w:asciiTheme="minorEastAsia" w:hAnsiTheme="minorEastAsia" w:eastAsiaTheme="minorEastAsia" w:cstheme="minorEastAsia"/>
                <w:kern w:val="0"/>
                <w:szCs w:val="21"/>
              </w:rPr>
              <w:t>按时到达指定地点进行谈判。）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成交供应商应于合同签订后将一份合同送达采购代理机构存档，5个工作日内未送达，一切后果由成交供应商承担。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履约保证金：由业主在合同中约定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77" w:type="dxa"/>
            <w:vAlign w:val="center"/>
          </w:tcPr>
          <w:p>
            <w:pPr>
              <w:pStyle w:val="16"/>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130" w:type="dxa"/>
            <w:vAlign w:val="center"/>
          </w:tcPr>
          <w:p>
            <w:pPr>
              <w:pStyle w:val="16"/>
              <w:spacing w:line="400" w:lineRule="exact"/>
              <w:jc w:val="center"/>
              <w:rPr>
                <w:rFonts w:hint="eastAsia" w:asciiTheme="minorEastAsia" w:hAnsiTheme="minorEastAsia" w:eastAsiaTheme="minorEastAsia" w:cstheme="minorEastAsia"/>
                <w:szCs w:val="21"/>
              </w:rPr>
            </w:pPr>
          </w:p>
        </w:tc>
        <w:tc>
          <w:tcPr>
            <w:tcW w:w="7968" w:type="dxa"/>
            <w:vAlign w:val="center"/>
          </w:tcPr>
          <w:p>
            <w:pPr>
              <w:pStyle w:val="16"/>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本项目招标代理服务收费标准参照“发改办价格【2011】534号”。</w:t>
            </w:r>
            <w:r>
              <w:rPr>
                <w:rFonts w:hint="eastAsia" w:asciiTheme="minorEastAsia" w:hAnsiTheme="minorEastAsia" w:eastAsiaTheme="minorEastAsia" w:cstheme="minorEastAsia"/>
                <w:szCs w:val="21"/>
              </w:rPr>
              <w:t>本项目招标代理服务费经采购人综合各方面因素考虑，确定由中标人向采购代理机构支付。由中标人在领取通知书时向采购代理机构一次性支付。否则，将视为不响应采购文件，取消该中标决定并没收竞标保证金</w:t>
            </w:r>
          </w:p>
        </w:tc>
      </w:tr>
    </w:tbl>
    <w:p>
      <w:pPr>
        <w:pStyle w:val="2"/>
        <w:keepLines/>
        <w:spacing w:before="120" w:after="120" w:line="500" w:lineRule="exact"/>
        <w:jc w:val="center"/>
        <w:rPr>
          <w:rFonts w:hint="eastAsia" w:asciiTheme="minorEastAsia" w:hAnsiTheme="minorEastAsia" w:eastAsiaTheme="minorEastAsia" w:cstheme="minorEastAsia"/>
          <w:bCs/>
          <w:kern w:val="44"/>
          <w:sz w:val="32"/>
          <w:szCs w:val="32"/>
        </w:rPr>
      </w:pPr>
      <w:r>
        <w:rPr>
          <w:rFonts w:hint="eastAsia" w:asciiTheme="minorEastAsia" w:hAnsiTheme="minorEastAsia" w:eastAsiaTheme="minorEastAsia" w:cstheme="minorEastAsia"/>
          <w:sz w:val="18"/>
          <w:szCs w:val="18"/>
        </w:rPr>
        <w:br w:type="page"/>
      </w:r>
      <w:bookmarkStart w:id="3" w:name="_Toc430011627"/>
      <w:r>
        <w:rPr>
          <w:rFonts w:hint="eastAsia" w:asciiTheme="minorEastAsia" w:hAnsiTheme="minorEastAsia" w:eastAsiaTheme="minorEastAsia" w:cstheme="minorEastAsia"/>
          <w:bCs/>
          <w:kern w:val="44"/>
          <w:sz w:val="32"/>
          <w:szCs w:val="32"/>
        </w:rPr>
        <w:t>竞 标 人 须 知</w:t>
      </w:r>
      <w:bookmarkEnd w:id="3"/>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   总  则</w:t>
      </w:r>
    </w:p>
    <w:p>
      <w:pPr>
        <w:pStyle w:val="16"/>
        <w:spacing w:line="396"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rPr>
        <w:t>1.项目名称：</w:t>
      </w:r>
      <w:r>
        <w:rPr>
          <w:rFonts w:hint="eastAsia" w:asciiTheme="minorEastAsia" w:hAnsiTheme="minorEastAsia" w:eastAsiaTheme="minorEastAsia" w:cstheme="minorEastAsia"/>
          <w:bCs/>
          <w:lang w:eastAsia="zh-CN"/>
        </w:rPr>
        <w:t>火化机尾气净化设备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rPr>
        <w:t>竞标编号：</w:t>
      </w:r>
      <w:r>
        <w:rPr>
          <w:rFonts w:hint="eastAsia" w:asciiTheme="minorEastAsia" w:hAnsiTheme="minorEastAsia" w:eastAsiaTheme="minorEastAsia" w:cstheme="minorEastAsia"/>
          <w:bCs/>
          <w:szCs w:val="21"/>
          <w:lang w:eastAsia="zh-CN"/>
        </w:rPr>
        <w:t>CZZC2020-J1-00002-HCJS</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2.竞标人资格</w:t>
      </w:r>
    </w:p>
    <w:p>
      <w:pPr>
        <w:adjustRightInd w:val="0"/>
        <w:snapToGrid w:val="0"/>
        <w:spacing w:line="396"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2.1详见前附表</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2.2符合竞标人资格的竞标人应承担竞标及履约中应承担的全部责任与义务。</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2.3只有在规定的时间内购买了竞争性谈判采购文件，才允许对本项目进行竞标。</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3.竞标费用</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3.1竞标人应自行承担所有与本次竞标有关的全部费用。</w:t>
      </w:r>
    </w:p>
    <w:p>
      <w:pPr>
        <w:pStyle w:val="16"/>
        <w:spacing w:line="396" w:lineRule="exact"/>
        <w:ind w:firstLine="2530" w:firstLineChars="12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  竞争性谈判采购文件（以下简称采购文件）</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4.采购文件构成</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4.1采购文件包括：</w:t>
      </w:r>
    </w:p>
    <w:p>
      <w:pPr>
        <w:pStyle w:val="16"/>
        <w:spacing w:line="396" w:lineRule="exact"/>
        <w:ind w:firstLine="426"/>
        <w:rPr>
          <w:rFonts w:hint="eastAsia" w:asciiTheme="minorEastAsia" w:hAnsiTheme="minorEastAsia" w:eastAsiaTheme="minorEastAsia" w:cstheme="minorEastAsia"/>
        </w:rPr>
      </w:pPr>
      <w:r>
        <w:rPr>
          <w:rFonts w:hint="eastAsia" w:asciiTheme="minorEastAsia" w:hAnsiTheme="minorEastAsia" w:eastAsiaTheme="minorEastAsia" w:cstheme="minorEastAsia"/>
        </w:rPr>
        <w:t>⑴竞标公告；</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⑵竞标人须知及前附表；</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⑶货物需求；</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⑷合同基本条款；</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⑸合同书格式；</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⑹竞标文件格式；</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⑺评标方法。</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rPr>
        <w:t>5.采购文件的澄清和修改</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5.1任何要求澄清采购文件的竞标人，均应在收到采购文件之日或者采购文件公告期限届满之日以传真、电报等书面形式通知采购代理机构，同时认定其他澄清方式为无效。采购代理机构将以书面形式予以答复。</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5.2采购代理机构对已发出的采购文件进行必要澄清或者修改的，在采购文件要求提交竞标文件截止时间</w:t>
      </w:r>
      <w:r>
        <w:rPr>
          <w:rFonts w:hint="eastAsia" w:asciiTheme="minorEastAsia" w:hAnsiTheme="minorEastAsia" w:eastAsiaTheme="minorEastAsia" w:cstheme="minorEastAsia"/>
          <w:u w:val="single"/>
        </w:rPr>
        <w:t>三日前</w:t>
      </w:r>
      <w:r>
        <w:rPr>
          <w:rFonts w:hint="eastAsia" w:asciiTheme="minorEastAsia" w:hAnsiTheme="minorEastAsia" w:eastAsiaTheme="minorEastAsia" w:cstheme="minorEastAsia"/>
        </w:rPr>
        <w:t>在</w:t>
      </w:r>
      <w:r>
        <w:rPr>
          <w:rFonts w:hint="eastAsia" w:asciiTheme="minorEastAsia" w:hAnsiTheme="minorEastAsia" w:eastAsiaTheme="minorEastAsia" w:cstheme="minorEastAsia"/>
          <w:szCs w:val="21"/>
          <w:highlight w:val="none"/>
        </w:rPr>
        <w:t>中国政府采购网、</w:t>
      </w:r>
      <w:r>
        <w:rPr>
          <w:rFonts w:hint="eastAsia" w:asciiTheme="minorEastAsia" w:hAnsiTheme="minorEastAsia" w:eastAsiaTheme="minorEastAsia" w:cstheme="minorEastAsia"/>
          <w:highlight w:val="none"/>
        </w:rPr>
        <w:t>广西壮族自治区政府采购网</w:t>
      </w:r>
      <w:r>
        <w:rPr>
          <w:rFonts w:hint="eastAsia" w:asciiTheme="minorEastAsia" w:hAnsiTheme="minorEastAsia" w:eastAsiaTheme="minorEastAsia" w:cstheme="minorEastAsia"/>
        </w:rPr>
        <w:t>上发布更正公告，并以书面形式通知所有采购文件收受人。该澄清或修改的内容为竞标文件的组成部分。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5.3采购文件的澄清或修改将以书面形式通知所有购买采购文件的竞标人，并对其具有约束力。</w:t>
      </w:r>
    </w:p>
    <w:p>
      <w:pPr>
        <w:pStyle w:val="16"/>
        <w:spacing w:line="396" w:lineRule="exact"/>
        <w:ind w:firstLine="420"/>
        <w:rPr>
          <w:rFonts w:hint="eastAsia" w:asciiTheme="minorEastAsia" w:hAnsiTheme="minorEastAsia" w:eastAsiaTheme="minorEastAsia" w:cstheme="minorEastAsia"/>
          <w:b/>
        </w:rPr>
      </w:pPr>
      <w:r>
        <w:rPr>
          <w:rFonts w:hint="eastAsia" w:asciiTheme="minorEastAsia" w:hAnsiTheme="minorEastAsia" w:eastAsiaTheme="minorEastAsia" w:cstheme="minorEastAsia"/>
        </w:rPr>
        <w:t>5.4采购代理机构可视具体情况，延长竞标截止时间和评标时间。并将变更时间书面通知所有采购文件收受人，并在</w:t>
      </w:r>
      <w:r>
        <w:rPr>
          <w:rFonts w:hint="eastAsia" w:asciiTheme="minorEastAsia" w:hAnsiTheme="minorEastAsia" w:eastAsiaTheme="minorEastAsia" w:cstheme="minorEastAsia"/>
          <w:szCs w:val="21"/>
        </w:rPr>
        <w:t>中国政府采购网、</w:t>
      </w:r>
      <w:r>
        <w:rPr>
          <w:rFonts w:hint="eastAsia" w:asciiTheme="minorEastAsia" w:hAnsiTheme="minorEastAsia" w:eastAsiaTheme="minorEastAsia" w:cstheme="minorEastAsia"/>
        </w:rPr>
        <w:t>广西壮族自治区政府采购网上发布变更公告。</w:t>
      </w:r>
    </w:p>
    <w:p>
      <w:pPr>
        <w:pStyle w:val="16"/>
        <w:spacing w:line="396" w:lineRule="exact"/>
        <w:ind w:firstLine="3333" w:firstLineChars="1581"/>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  竞标文件的编制格式</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rPr>
        <w:t>6.竞标文件编写注意事项</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6.1竞标人应认真阅读采购文件，按照采购文件的要求编制竞标文件。如果没有按照采购文件要求提交竞标文件，没有对采购文件提出的实质性要求和条件作出响应，该竞标将被拒绝。</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6.2对采购文件提出的实质性要求和条件作出响应是指竞标人必须对采购文件中竞标项目的的价格、技术参数及性能配置、数量、交付使用期、售后服务及其它要求、合同主要条款等内容作出响应。</w:t>
      </w:r>
    </w:p>
    <w:p>
      <w:pPr>
        <w:pStyle w:val="16"/>
        <w:spacing w:line="396" w:lineRule="exact"/>
        <w:ind w:firstLine="42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7.竞标文件的构成</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7.1竞标人编写的竞标文件应包括下列内容（</w:t>
      </w:r>
      <w:r>
        <w:rPr>
          <w:rFonts w:hint="eastAsia" w:asciiTheme="minorEastAsia" w:hAnsiTheme="minorEastAsia" w:eastAsiaTheme="minorEastAsia" w:cstheme="minorEastAsia"/>
          <w:b/>
        </w:rPr>
        <w:t>竞标人应按下列顺序自编目录及页码装订成册，否则文件失散引起的后果自负</w:t>
      </w:r>
      <w:r>
        <w:rPr>
          <w:rFonts w:hint="eastAsia" w:asciiTheme="minorEastAsia" w:hAnsiTheme="minorEastAsia" w:eastAsiaTheme="minorEastAsia" w:cstheme="minorEastAsia"/>
        </w:rPr>
        <w:t>）：</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一、竞标函</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二、竞标保证金交纳证明</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三、竞标报价表</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四、技术规格偏离表</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五、售后服务方案及承诺书</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六、竞标人资格证明文件</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8.竞标文件的语言及计量单位</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8.1竞标人的竞标文件以及竞标人与采购代理机构的所有来往的函电统一使用中文（另有规定除外）。</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8.2竞标文件中使用的计量单位除采购文件中有特殊规定外，一律使用法定计量单位。</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9. 竞标函格式</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9.1竞标人应完整地填写采购文件中的竞标函格式和竞标报价表，详细标明所提供的货物及部件名称、型号规格、技术参数、配置、数量及产品所执行的标准及价格。</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10.竞标报价</w:t>
      </w:r>
    </w:p>
    <w:p>
      <w:pPr>
        <w:pStyle w:val="16"/>
        <w:spacing w:line="396" w:lineRule="exact"/>
        <w:ind w:firstLine="420"/>
        <w:rPr>
          <w:rFonts w:hint="eastAsia" w:asciiTheme="minorEastAsia" w:hAnsiTheme="minorEastAsia" w:eastAsiaTheme="minorEastAsia" w:cstheme="minorEastAsia"/>
          <w:b/>
        </w:rPr>
      </w:pPr>
      <w:r>
        <w:rPr>
          <w:rFonts w:hint="eastAsia" w:asciiTheme="minorEastAsia" w:hAnsiTheme="minorEastAsia" w:eastAsiaTheme="minorEastAsia" w:cstheme="minorEastAsia"/>
        </w:rPr>
        <w:t>10.1</w:t>
      </w:r>
      <w:r>
        <w:rPr>
          <w:rFonts w:hint="eastAsia" w:asciiTheme="minorEastAsia" w:hAnsiTheme="minorEastAsia" w:eastAsiaTheme="minorEastAsia" w:cstheme="minorEastAsia"/>
          <w:b/>
        </w:rPr>
        <w:t>竞标人须就《货物需求》中全部货物和服务内容作完整报价，漏项报价的或有选择的或有条件的报价，其竞标将视为无效。</w:t>
      </w:r>
    </w:p>
    <w:p>
      <w:pPr>
        <w:pStyle w:val="16"/>
        <w:spacing w:line="396"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10.2竞标人应在竞标报价表上标明单价和总价。如单价和总价不符，以单价累计为准。小写与大写不符的，以大写为准。如果因竞标人原因引起的报价失误，同时又被谈判时所接受，其后果由竞标人自负。</w:t>
      </w:r>
    </w:p>
    <w:p>
      <w:pPr>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10.3竞标报价指货物、随配附件、备品备件、工具、运抵指定交货地点、安装的各种费用和售后服务、税金及其他所有成本费用的总和。</w:t>
      </w:r>
    </w:p>
    <w:p>
      <w:pPr>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10.4竞标报价在合同履行期内保持不变。</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11.竞标货币</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11.1竞标应以人民币报价。</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12.竞标人资格证明文件</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12.1</w:t>
      </w:r>
      <w:r>
        <w:rPr>
          <w:rFonts w:hint="eastAsia" w:asciiTheme="minorEastAsia" w:hAnsiTheme="minorEastAsia" w:eastAsiaTheme="minorEastAsia" w:cstheme="minorEastAsia"/>
          <w:b/>
        </w:rPr>
        <w:t>竞标人资格证明文件包括</w:t>
      </w:r>
      <w:r>
        <w:rPr>
          <w:rFonts w:hint="eastAsia" w:asciiTheme="minorEastAsia" w:hAnsiTheme="minorEastAsia" w:eastAsiaTheme="minorEastAsia" w:cstheme="minorEastAsia"/>
        </w:rPr>
        <w:t>：</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（1）竞标人有效的“营业执照”复印件【要求清晰反映有效期限且经营范围必须符合本次采购项目的内容。】；</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（2）竞标法定代表人有效身份证复印件；</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（3）竞标人有效的“组织机构代码证”复印件（要求清晰反映有效期限）；</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（4）竞标人有效的国家或地方“税务登记证”副本复印件；</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（5）授权委托书原件和委托代理人身份证复印件；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（6）竞标人在“信用中国”网站(www.creditchina.gov.cn)、</w:t>
      </w:r>
      <w:r>
        <w:rPr>
          <w:rFonts w:hint="eastAsia" w:asciiTheme="minorEastAsia" w:hAnsiTheme="minorEastAsia" w:eastAsiaTheme="minorEastAsia" w:cstheme="minorEastAsia"/>
          <w:szCs w:val="21"/>
        </w:rPr>
        <w:t>中国政府采购网(www.ccgp.gov.cn)</w:t>
      </w:r>
      <w:r>
        <w:rPr>
          <w:rFonts w:hint="eastAsia" w:asciiTheme="minorEastAsia" w:hAnsiTheme="minorEastAsia" w:eastAsiaTheme="minorEastAsia" w:cstheme="minorEastAsia"/>
        </w:rPr>
        <w:t>等渠道未被列入失信被执行人、重大税收违法案件当事人名单、政府采购严重违法失信行为记录名单的信用记录查询网页截图；</w:t>
      </w:r>
    </w:p>
    <w:p>
      <w:pPr>
        <w:pStyle w:val="16"/>
        <w:spacing w:line="396" w:lineRule="exact"/>
        <w:ind w:firstLine="420" w:firstLineChars="200"/>
        <w:rPr>
          <w:rFonts w:hint="eastAsia" w:asciiTheme="minorEastAsia" w:hAnsiTheme="minorEastAsia" w:eastAsiaTheme="minorEastAsia" w:cstheme="minorEastAsia"/>
        </w:rPr>
      </w:pPr>
    </w:p>
    <w:p>
      <w:pPr>
        <w:pStyle w:val="16"/>
        <w:numPr>
          <w:ilvl w:val="0"/>
          <w:numId w:val="4"/>
        </w:numPr>
        <w:spacing w:line="396"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竞标人提供的经营证明资料（若是生产商家则不需提供）</w:t>
      </w:r>
      <w:r>
        <w:rPr>
          <w:rFonts w:hint="eastAsia" w:asciiTheme="minorEastAsia" w:hAnsiTheme="minorEastAsia" w:eastAsiaTheme="minorEastAsia" w:cstheme="minorEastAsia"/>
          <w:highlight w:val="none"/>
          <w:lang w:eastAsia="zh-CN"/>
        </w:rPr>
        <w:t>；</w:t>
      </w:r>
    </w:p>
    <w:p>
      <w:pPr>
        <w:pStyle w:val="16"/>
        <w:numPr>
          <w:ilvl w:val="0"/>
          <w:numId w:val="4"/>
        </w:numPr>
        <w:spacing w:line="396" w:lineRule="exact"/>
        <w:ind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现场踏勘证明。</w:t>
      </w:r>
    </w:p>
    <w:p>
      <w:pPr>
        <w:pStyle w:val="16"/>
        <w:spacing w:line="396"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注：(竞标人若提供有统一社会信用代码“三证合一”的营业执照，则不用再提供组织机构代码证及税务登记证)</w:t>
      </w:r>
    </w:p>
    <w:p>
      <w:pPr>
        <w:widowControl/>
        <w:spacing w:line="396" w:lineRule="exact"/>
        <w:ind w:firstLine="41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12.2本项目不接受联合体竞标。</w:t>
      </w:r>
    </w:p>
    <w:p>
      <w:pPr>
        <w:pStyle w:val="16"/>
        <w:spacing w:line="396"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13. 经营证明资料</w:t>
      </w:r>
    </w:p>
    <w:p>
      <w:pPr>
        <w:pStyle w:val="16"/>
        <w:spacing w:line="396"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⑴货物经营授权证明资料</w:t>
      </w:r>
      <w:r>
        <w:rPr>
          <w:rFonts w:hint="eastAsia" w:asciiTheme="minorEastAsia" w:hAnsiTheme="minorEastAsia" w:eastAsiaTheme="minorEastAsia" w:cstheme="minorEastAsia"/>
          <w:highlight w:val="none"/>
          <w:lang w:eastAsia="zh-CN"/>
        </w:rPr>
        <w:t>或货物材料合格证明材料</w:t>
      </w:r>
      <w:r>
        <w:rPr>
          <w:rFonts w:hint="eastAsia" w:asciiTheme="minorEastAsia" w:hAnsiTheme="minorEastAsia" w:eastAsiaTheme="minorEastAsia" w:cstheme="minorEastAsia"/>
          <w:highlight w:val="none"/>
        </w:rPr>
        <w:t>（复印件）；</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14.竞标的有效期</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14.1竞标文件从竞标截止时间后60天内有效。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14.2在特殊情况下，采购代理机构可酌情延长竞标有效期。竞标人可同意或不同意延长竞标文件的有效期，不同意延长竞标文件的有效期的竞标人，其竞标保证金将在原竞标文件的有效期满后5个工作日内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15.竞标文件书写及签名、盖章要求</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15.1竞标文件正本须用不褪色的墨水工整书写或打印，修改处应由法定代表人或委托代理人签名和盖公章，否则其竞标无效。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15.2字迹潦草、表达不清或未按要求填写的竞标文件可能将被认定为无效的竞标。</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15.3竞标文件应由法定代表人或委托代理人在凡规定签章处逐一签名和盖公章，否则其竞标无效。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15.4竞标文件的份数：正本一份，副本肆份，共伍份。并在每份文件右上角注明“正本”、“副本”字样，一旦正本和副本不符，以正本为准。</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16.竞标保证金</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16.1</w:t>
      </w:r>
      <w:r>
        <w:rPr>
          <w:rFonts w:hint="eastAsia" w:asciiTheme="minorEastAsia" w:hAnsiTheme="minorEastAsia" w:eastAsiaTheme="minorEastAsia" w:cstheme="minorEastAsia"/>
        </w:rPr>
        <w:t>竞标保证金须足额缴纳，竞标保证金应在竞标有效期内保持有效。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16.2交款方式：转账或电汇，由竞标人按本须知前附表中明确的开户名称、开户银行、账号，于竞标截止前交到账户上，到规定时间止，若指定账户上没有收到某竞标人缴纳的竞标保证金，则取消其参加本项目竞标资格。</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16.3办理竞标保证金手续时，请务必在银行进账单或电汇单的用途或空白栏上注明竞标编号，以免耽误竞标。</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16.4对未按采购文件要求缴纳竞标保证金的竞标文件，采购代理机构将视其为不响应竞标条件而予以拒绝。</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16.5未成交竞标人的竞标保证金，将在成交通知书发出后5个工作日内予以退还，成交竞标人的竞标保证金将在签订成交合同后予以退还，且须向代理机构提交合同复印件一份，否则不予以退还。所有保证金退还不计利息。</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16.6有下列情形之一时，竞标保证金将不退还：</w:t>
      </w:r>
    </w:p>
    <w:p>
      <w:pPr>
        <w:pStyle w:val="16"/>
        <w:spacing w:line="396"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（一）供应商在提交响应文件截止时间后撤回响应文件的；</w:t>
      </w:r>
    </w:p>
    <w:p>
      <w:pPr>
        <w:pStyle w:val="16"/>
        <w:spacing w:line="396"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（二）供应商在响应文件中提供虚假材料的；</w:t>
      </w:r>
    </w:p>
    <w:p>
      <w:pPr>
        <w:pStyle w:val="16"/>
        <w:spacing w:line="396" w:lineRule="exac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（三）除因不可抗力或谈判文件、询价通知书认可的情形以外，成交供应商不与采购人签订合同的；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（四）供应商与采购人、其他供应商或者采购代理机构恶意串通的；</w:t>
      </w:r>
    </w:p>
    <w:p>
      <w:pPr>
        <w:pStyle w:val="16"/>
        <w:spacing w:line="396"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17.现场勘查</w:t>
      </w:r>
    </w:p>
    <w:p>
      <w:pPr>
        <w:pStyle w:val="16"/>
        <w:spacing w:line="396"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17.</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供应商自行</w:t>
      </w:r>
      <w:r>
        <w:rPr>
          <w:rFonts w:hint="eastAsia" w:asciiTheme="minorEastAsia" w:hAnsiTheme="minorEastAsia" w:eastAsiaTheme="minorEastAsia" w:cstheme="minorEastAsia"/>
          <w:highlight w:val="none"/>
          <w:lang w:val="en-US" w:eastAsia="zh-CN"/>
        </w:rPr>
        <w:t>联系</w:t>
      </w:r>
      <w:r>
        <w:rPr>
          <w:rFonts w:hint="eastAsia" w:asciiTheme="minorEastAsia" w:hAnsiTheme="minorEastAsia" w:eastAsiaTheme="minorEastAsia" w:cstheme="minorEastAsia"/>
          <w:highlight w:val="none"/>
          <w:lang w:eastAsia="zh-CN"/>
        </w:rPr>
        <w:t>业主</w:t>
      </w:r>
      <w:r>
        <w:rPr>
          <w:rFonts w:hint="eastAsia" w:asciiTheme="minorEastAsia" w:hAnsiTheme="minorEastAsia" w:eastAsiaTheme="minorEastAsia" w:cstheme="minorEastAsia"/>
          <w:highlight w:val="none"/>
        </w:rPr>
        <w:t>对安装现场及周围环境进行踏勘，以便获取有关编制投标文件和签署合同所涉及现场的资料</w:t>
      </w:r>
      <w:r>
        <w:rPr>
          <w:rFonts w:hint="eastAsia" w:asciiTheme="minorEastAsia" w:hAnsiTheme="minorEastAsia" w:eastAsiaTheme="minorEastAsia" w:cstheme="minorEastAsia"/>
          <w:highlight w:val="none"/>
          <w:lang w:eastAsia="zh-CN"/>
        </w:rPr>
        <w:t>，并由业主开具现场踏勘证明</w:t>
      </w:r>
      <w:r>
        <w:rPr>
          <w:rFonts w:hint="eastAsia" w:asciiTheme="minorEastAsia" w:hAnsiTheme="minorEastAsia" w:eastAsiaTheme="minorEastAsia" w:cstheme="minorEastAsia"/>
          <w:highlight w:val="none"/>
        </w:rPr>
        <w:t>。供应商承担踏勘现场的责任和所发生的自身费用。供应商应承担踏勘现场的责任和风险。</w:t>
      </w:r>
    </w:p>
    <w:p>
      <w:pPr>
        <w:pStyle w:val="16"/>
        <w:spacing w:line="396"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  竞标文件的递交</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18.竞标文件的密封与标记</w:t>
      </w:r>
      <w:bookmarkStart w:id="32" w:name="_GoBack"/>
      <w:bookmarkEnd w:id="32"/>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18.1竞标人应将竞标文件正、副本分别装订成册，在每个文本封面上标明“正本”或“副本”，以及项目名称、竞标编号、竞标人名称等内容。</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18.2竞标人应尽量将正、副本竞标文件（正本一份，副本肆份）一并装入竞标文件袋中加以密封，并在封贴处密封签章（公章、密封章）。</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18.3竞标文件袋如不能容纳竞标人的竞标文件时，竞标人可自行制作文件袋（盒）。</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18.4文件袋（盒）外封面上都应写明：</w:t>
      </w:r>
    </w:p>
    <w:p>
      <w:pPr>
        <w:pStyle w:val="16"/>
        <w:spacing w:line="396"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① 项目名称：</w:t>
      </w:r>
      <w:r>
        <w:rPr>
          <w:rFonts w:hint="eastAsia" w:asciiTheme="minorEastAsia" w:hAnsiTheme="minorEastAsia" w:eastAsiaTheme="minorEastAsia" w:cstheme="minorEastAsia"/>
          <w:u w:val="single"/>
        </w:rPr>
        <w:t xml:space="preserve">                   </w:t>
      </w:r>
    </w:p>
    <w:p>
      <w:pPr>
        <w:pStyle w:val="16"/>
        <w:spacing w:line="396"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②项目编号：</w:t>
      </w:r>
      <w:r>
        <w:rPr>
          <w:rFonts w:hint="eastAsia" w:asciiTheme="minorEastAsia" w:hAnsiTheme="minorEastAsia" w:eastAsiaTheme="minorEastAsia" w:cstheme="minorEastAsia"/>
          <w:u w:val="single"/>
        </w:rPr>
        <w:t xml:space="preserve">                   </w:t>
      </w:r>
    </w:p>
    <w:p>
      <w:pPr>
        <w:pStyle w:val="16"/>
        <w:spacing w:line="396"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③ 竞标单位：</w:t>
      </w:r>
      <w:r>
        <w:rPr>
          <w:rFonts w:hint="eastAsia" w:asciiTheme="minorEastAsia" w:hAnsiTheme="minorEastAsia" w:eastAsiaTheme="minorEastAsia" w:cstheme="minorEastAsia"/>
          <w:u w:val="single"/>
        </w:rPr>
        <w:t xml:space="preserve">                   </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④    年  月  日  时  分前不得开封</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18.5 竞标文件的密封以竞标文件袋（盒）无明显缝隙露出袋（盒）内文件且封口处有盖章为合格。</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18.6竞标人在递交竞标文件时，未按本须知要求密封、标记的，华春建设工程项目管理有限责任公司有权拒收。</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19.竞标截止时间</w:t>
      </w:r>
    </w:p>
    <w:p>
      <w:pPr>
        <w:pStyle w:val="16"/>
        <w:tabs>
          <w:tab w:val="left" w:pos="1957"/>
        </w:tabs>
        <w:spacing w:line="396" w:lineRule="exact"/>
        <w:ind w:firstLine="42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rPr>
        <w:t>19.1</w:t>
      </w:r>
      <w:r>
        <w:rPr>
          <w:rFonts w:hint="eastAsia" w:asciiTheme="minorEastAsia" w:hAnsiTheme="minorEastAsia" w:eastAsiaTheme="minorEastAsia" w:cstheme="minorEastAsia"/>
          <w:spacing w:val="-4"/>
        </w:rPr>
        <w:t>竞标文件的递交不得迟于本须知</w:t>
      </w:r>
      <w:r>
        <w:rPr>
          <w:rFonts w:hint="eastAsia" w:asciiTheme="minorEastAsia" w:hAnsiTheme="minorEastAsia" w:eastAsiaTheme="minorEastAsia" w:cstheme="minorEastAsia"/>
          <w:spacing w:val="-4"/>
          <w:u w:val="single"/>
        </w:rPr>
        <w:t>前附表第7项</w:t>
      </w:r>
      <w:r>
        <w:rPr>
          <w:rFonts w:hint="eastAsia" w:asciiTheme="minorEastAsia" w:hAnsiTheme="minorEastAsia" w:eastAsiaTheme="minorEastAsia" w:cstheme="minorEastAsia"/>
          <w:spacing w:val="-4"/>
        </w:rPr>
        <w:t>规定的截止时间。</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19.2竞标人必须在规定时间内将竞标文件送到本须知</w:t>
      </w:r>
      <w:r>
        <w:rPr>
          <w:rFonts w:hint="eastAsia" w:asciiTheme="minorEastAsia" w:hAnsiTheme="minorEastAsia" w:eastAsiaTheme="minorEastAsia" w:cstheme="minorEastAsia"/>
          <w:u w:val="single"/>
        </w:rPr>
        <w:t>前附表第7项</w:t>
      </w:r>
      <w:r>
        <w:rPr>
          <w:rFonts w:hint="eastAsia" w:asciiTheme="minorEastAsia" w:hAnsiTheme="minorEastAsia" w:eastAsiaTheme="minorEastAsia" w:cstheme="minorEastAsia"/>
        </w:rPr>
        <w:t>规定地点，超过竞标截止时间送达的竞标文件为无效竞标文件，</w:t>
      </w:r>
      <w:r>
        <w:rPr>
          <w:rFonts w:hint="eastAsia" w:asciiTheme="minorEastAsia" w:hAnsiTheme="minorEastAsia" w:eastAsiaTheme="minorEastAsia" w:cstheme="minorEastAsia"/>
          <w:spacing w:val="-4"/>
        </w:rPr>
        <w:t>采购代理机构</w:t>
      </w:r>
      <w:r>
        <w:rPr>
          <w:rFonts w:hint="eastAsia" w:asciiTheme="minorEastAsia" w:hAnsiTheme="minorEastAsia" w:eastAsiaTheme="minorEastAsia" w:cstheme="minorEastAsia"/>
        </w:rPr>
        <w:t>将拒收。</w:t>
      </w:r>
    </w:p>
    <w:p>
      <w:pPr>
        <w:pStyle w:val="16"/>
        <w:spacing w:line="396" w:lineRule="exact"/>
        <w:ind w:firstLine="3382" w:firstLineChars="1604"/>
        <w:rPr>
          <w:rFonts w:hint="eastAsia" w:asciiTheme="minorEastAsia" w:hAnsiTheme="minorEastAsia" w:eastAsiaTheme="minorEastAsia" w:cstheme="minorEastAsia"/>
        </w:rPr>
      </w:pPr>
      <w:r>
        <w:rPr>
          <w:rFonts w:hint="eastAsia" w:asciiTheme="minorEastAsia" w:hAnsiTheme="minorEastAsia" w:eastAsiaTheme="minorEastAsia" w:cstheme="minorEastAsia"/>
          <w:b/>
        </w:rPr>
        <w:t>五  谈判与评标</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20.谈判</w:t>
      </w:r>
    </w:p>
    <w:p>
      <w:pPr>
        <w:pStyle w:val="16"/>
        <w:spacing w:line="396" w:lineRule="exact"/>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20.1谈判时间及地点：见</w:t>
      </w:r>
      <w:r>
        <w:rPr>
          <w:rFonts w:hint="eastAsia" w:asciiTheme="minorEastAsia" w:hAnsiTheme="minorEastAsia" w:eastAsiaTheme="minorEastAsia" w:cstheme="minorEastAsia"/>
          <w:spacing w:val="-4"/>
        </w:rPr>
        <w:t>本须知</w:t>
      </w:r>
      <w:r>
        <w:rPr>
          <w:rFonts w:hint="eastAsia" w:asciiTheme="minorEastAsia" w:hAnsiTheme="minorEastAsia" w:eastAsiaTheme="minorEastAsia" w:cstheme="minorEastAsia"/>
          <w:spacing w:val="-4"/>
          <w:u w:val="single"/>
        </w:rPr>
        <w:t>前附表第8项</w:t>
      </w:r>
      <w:r>
        <w:rPr>
          <w:rFonts w:hint="eastAsia" w:asciiTheme="minorEastAsia" w:hAnsiTheme="minorEastAsia" w:eastAsiaTheme="minorEastAsia" w:cstheme="minorEastAsia"/>
          <w:spacing w:val="-4"/>
        </w:rPr>
        <w:t>规定</w:t>
      </w:r>
      <w:r>
        <w:rPr>
          <w:rFonts w:hint="eastAsia" w:asciiTheme="minorEastAsia" w:hAnsiTheme="minorEastAsia" w:eastAsiaTheme="minorEastAsia" w:cstheme="minorEastAsia"/>
        </w:rPr>
        <w:t>。</w:t>
      </w:r>
    </w:p>
    <w:p>
      <w:pPr>
        <w:pStyle w:val="16"/>
        <w:spacing w:line="396" w:lineRule="exact"/>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20.2谈判小组由采购人的代表和有关专家共由三人以上的单数组成。在整个谈判过程中，谈判小组将负责对全部竞标文件进行审查、谈判及评标工作。</w:t>
      </w:r>
    </w:p>
    <w:p>
      <w:pPr>
        <w:pStyle w:val="16"/>
        <w:spacing w:line="396" w:lineRule="exact"/>
        <w:ind w:firstLine="42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rPr>
        <w:t>20.3</w:t>
      </w:r>
      <w:r>
        <w:rPr>
          <w:rFonts w:hint="eastAsia" w:asciiTheme="minorEastAsia" w:hAnsiTheme="minorEastAsia" w:eastAsiaTheme="minorEastAsia" w:cstheme="minorEastAsia"/>
          <w:spacing w:val="-4"/>
        </w:rPr>
        <w:t>采购代理机构将在竞标人须知</w:t>
      </w:r>
      <w:r>
        <w:rPr>
          <w:rFonts w:hint="eastAsia" w:asciiTheme="minorEastAsia" w:hAnsiTheme="minorEastAsia" w:eastAsiaTheme="minorEastAsia" w:cstheme="minorEastAsia"/>
          <w:spacing w:val="-4"/>
          <w:u w:val="single"/>
        </w:rPr>
        <w:t>前附表第8项</w:t>
      </w:r>
      <w:r>
        <w:rPr>
          <w:rFonts w:hint="eastAsia" w:asciiTheme="minorEastAsia" w:hAnsiTheme="minorEastAsia" w:eastAsiaTheme="minorEastAsia" w:cstheme="minorEastAsia"/>
          <w:spacing w:val="-4"/>
        </w:rPr>
        <w:t>规定的时间和地点组织谈判小组与各竞标人分别进行谈判。竞标人的法定代表人或其授权委托人必须持证件（</w:t>
      </w:r>
      <w:r>
        <w:rPr>
          <w:rFonts w:hint="eastAsia" w:asciiTheme="minorEastAsia" w:hAnsiTheme="minorEastAsia" w:eastAsiaTheme="minorEastAsia" w:cstheme="minorEastAsia"/>
          <w:szCs w:val="21"/>
        </w:rPr>
        <w:t>法定代表人凭资格证书和身份证或委托代理人凭法人授权委托书原件和身份证原件</w:t>
      </w:r>
      <w:r>
        <w:rPr>
          <w:rFonts w:hint="eastAsia" w:asciiTheme="minorEastAsia" w:hAnsiTheme="minorEastAsia" w:eastAsiaTheme="minorEastAsia" w:cstheme="minorEastAsia"/>
          <w:kern w:val="0"/>
          <w:szCs w:val="21"/>
        </w:rPr>
        <w:t>按时到达指定地点进行谈判。</w:t>
      </w:r>
      <w:r>
        <w:rPr>
          <w:rFonts w:hint="eastAsia" w:asciiTheme="minorEastAsia" w:hAnsiTheme="minorEastAsia" w:eastAsiaTheme="minorEastAsia" w:cstheme="minorEastAsia"/>
          <w:spacing w:val="-4"/>
        </w:rPr>
        <w:t>）依时到达现场等候参加谈判，并自觉接受核验上述证件。</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20.4竞标人可由1～3人组成参谈组，谈判中竞标人成员之间意见不一致时，以竞标人的法定代表人（或其委托代理人）的意见为准。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20.5谈判的内容包括技术性条件、商务性条件以及谈判小组认为需要谈判的内容。当采购文件有实质性变动的，谈判小组以书面形式通知所有参加谈判的竞标人。其中涉及价格的内容不得要求竞标人在谈判时作口头报价，而应以书面密封形式报价。</w:t>
      </w:r>
    </w:p>
    <w:p>
      <w:pPr>
        <w:pStyle w:val="16"/>
        <w:spacing w:line="396" w:lineRule="exact"/>
        <w:ind w:firstLine="42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rPr>
        <w:t>20.6</w:t>
      </w:r>
      <w:r>
        <w:rPr>
          <w:rFonts w:hint="eastAsia" w:asciiTheme="minorEastAsia" w:hAnsiTheme="minorEastAsia" w:eastAsiaTheme="minorEastAsia" w:cstheme="minorEastAsia"/>
          <w:spacing w:val="-4"/>
        </w:rPr>
        <w:t>谈判内容应作记录，并由竞标人及谈判小组</w:t>
      </w: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spacing w:val="-4"/>
        </w:rPr>
        <w:t>签字确认。</w:t>
      </w:r>
    </w:p>
    <w:p>
      <w:pPr>
        <w:pStyle w:val="16"/>
        <w:spacing w:line="396" w:lineRule="exact"/>
        <w:ind w:firstLine="42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20.7谈判结束后，谈判小组应要求竞标人在约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w:t>
      </w:r>
    </w:p>
    <w:p>
      <w:pPr>
        <w:pStyle w:val="16"/>
        <w:spacing w:line="396" w:lineRule="exact"/>
        <w:ind w:firstLine="420"/>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20.8谈判小组</w:t>
      </w:r>
      <w:r>
        <w:rPr>
          <w:rFonts w:hint="eastAsia" w:asciiTheme="minorEastAsia" w:hAnsiTheme="minorEastAsia" w:eastAsiaTheme="minorEastAsia" w:cstheme="minorEastAsia"/>
        </w:rPr>
        <w:t>对各竞标人递交的应答文件统一开启，并进行评审后，认为有必要再次进行谈判的，可再次与竞标人进行谈判，谈判程序和要求按本须知第19条规定执行，直至谈判小组认为没有必要再进行谈判，谈判方可结束。对最后一轮谈判，谈判小组应明确告知竞标人，并要求所有竞标人</w:t>
      </w:r>
      <w:r>
        <w:rPr>
          <w:rFonts w:hint="eastAsia" w:asciiTheme="minorEastAsia" w:hAnsiTheme="minorEastAsia" w:eastAsiaTheme="minorEastAsia" w:cstheme="minorEastAsia"/>
          <w:spacing w:val="-4"/>
        </w:rPr>
        <w:t>在规定的时间、地点以书面密封形式递交最终的应答文件。</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20.9最终谈判结束后，谈判小组</w:t>
      </w:r>
      <w:r>
        <w:rPr>
          <w:rFonts w:hint="eastAsia" w:asciiTheme="minorEastAsia" w:hAnsiTheme="minorEastAsia" w:eastAsiaTheme="minorEastAsia" w:cstheme="minorEastAsia"/>
        </w:rPr>
        <w:t>不得再与竞标人进行任何形式的商谈。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20.10谈判的任何一方不得透露与谈判有关的其他竞标人的技术资料、价格和其他信息。</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21.评标 </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21.1本采购项目采用的评标方法为最低评标价法，评标依据为采购文件和竞标文件及谈判应答文件。</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21.2评标工作将采取封闭方式进行，谈判小组成员和有关工作人员不得透露对竞标文件的评审、比较和成交候选供应商的推荐情况以及与评标有关的其他情况。</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21.3竞标人在评标过程中，所进行的力图影响评标结果公正性的活动，将可能导致其成交资格被取消。</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21.4经谈判后竞标人竞标报价仍超出采购预算价，则竞标无效。如果经谈判后全部竞标人的竞标报价均超出采购预算价，采购人不能支付的，由采购单位重新组织采购。</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22.无效竞标及废标条款</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22.1竞标文件如有下列情况之一，将会在评标中按照无效竞标处理：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（1）应交未交或不足额交竞标保证金的；</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（2）未按采购文件规定要求密封、签署、盖章的；</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（3）不具备采购文件中规定资格要求的；</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（4）谈判后采购项目完成期限仍不能满足采购人规定期限的；</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（5）谈判后采购项目明显不符合技术规格、技术标准要求的；</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（6）竞标文件和谈判应答文件附有采购人不能接受的条件；</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（7）不符合法律、法规和采购文件中规定的其他实质性要求的。</w:t>
      </w:r>
    </w:p>
    <w:p>
      <w:pPr>
        <w:pStyle w:val="16"/>
        <w:spacing w:line="396"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22.2在招标采购中，出现下列情形之一的，应予废标：</w:t>
      </w:r>
    </w:p>
    <w:p>
      <w:pPr>
        <w:pStyle w:val="16"/>
        <w:spacing w:line="396"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（1）符合专业条件的供应商或者对采购文件作实质响应的供应商不足三家的；</w:t>
      </w:r>
    </w:p>
    <w:p>
      <w:pPr>
        <w:pStyle w:val="16"/>
        <w:spacing w:line="396"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（2）出现影响采购公正的违法、违规行为的；</w:t>
      </w:r>
    </w:p>
    <w:p>
      <w:pPr>
        <w:pStyle w:val="16"/>
        <w:spacing w:line="396"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（3）竞标人的报价均超过了采购预算，采购人不能支付的；</w:t>
      </w:r>
    </w:p>
    <w:p>
      <w:pPr>
        <w:pStyle w:val="16"/>
        <w:spacing w:line="396" w:lineRule="exact"/>
        <w:ind w:firstLine="420" w:firstLineChars="200"/>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rPr>
        <w:t>（4）因重大变故，采购任务取消的。</w:t>
      </w:r>
    </w:p>
    <w:p>
      <w:pPr>
        <w:pStyle w:val="16"/>
        <w:spacing w:line="396" w:lineRule="exact"/>
        <w:ind w:firstLine="422" w:firstLineChars="20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六  签订合同</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23.成交通知</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23.1采购代理机构将在评标结束2个工作日内将评标结果送采购人，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23.2采购代理机构向成交供应商发成交通知书并将采购结果通知未成交的供应商。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23.3采购代理机构在中国</w:t>
      </w:r>
      <w:r>
        <w:rPr>
          <w:rFonts w:hint="eastAsia" w:asciiTheme="minorEastAsia" w:hAnsiTheme="minorEastAsia" w:eastAsiaTheme="minorEastAsia" w:cstheme="minorEastAsia"/>
          <w:lang w:eastAsia="zh-CN"/>
        </w:rPr>
        <w:t>政府</w:t>
      </w: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eastAsia="zh-CN"/>
        </w:rPr>
        <w:t>广西政府采购网</w:t>
      </w:r>
      <w:r>
        <w:rPr>
          <w:rFonts w:hint="eastAsia" w:asciiTheme="minorEastAsia" w:hAnsiTheme="minorEastAsia" w:eastAsiaTheme="minorEastAsia" w:cstheme="minorEastAsia"/>
        </w:rPr>
        <w:t>上发布采购结果公告的同时，向成交供应商发出成交通知书。</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23.4竞标人认为采购文件、评标过程和成交结果使自己的权益受到损害的，可以在知道或者应知其权益受到损害之日起七个工作日内，以书面形式向采购代理机构提出质疑并及时索要书面回执。</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23.5采购代理机构应当依照22.4条的规定就采购人委托授权范围内的事项在收到竞标人的书面质疑后七个工作日内做出答复，但答复的内容不得涉及商业秘密。</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23.6采购代理机构无义务向未成交的供应商解释未成交原因和退还竞标文件。</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24.合同授予标准</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24.1合同将授予被确定为实质上响应采购人需求，具备履行合同能力，采购结果报告中推荐的排名第一的成交候选供应商为成交供应商。</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25.签订合同</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25.1成交供应商应按成交通知书规定的时间、地点与采购人签订合同。</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25.2如成交供应商不按成交通知书的规定签订合同，则按成交供应商违约处理，采购代理机构将没收成交供应商竞标的全部竞标保证金。</w:t>
      </w:r>
    </w:p>
    <w:p>
      <w:pPr>
        <w:pStyle w:val="16"/>
        <w:spacing w:line="396"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25.3成交供应商因不可抗力或者自身原因不能履行采购合同的，采购人可以与排名第二的成交候选供应商签订采购合同，以此类推。</w:t>
      </w:r>
    </w:p>
    <w:p>
      <w:pPr>
        <w:pStyle w:val="16"/>
        <w:spacing w:line="396"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七  其他事项</w:t>
      </w:r>
    </w:p>
    <w:p>
      <w:pPr>
        <w:pStyle w:val="16"/>
        <w:spacing w:line="396" w:lineRule="exact"/>
        <w:rPr>
          <w:rFonts w:hint="eastAsia" w:asciiTheme="minorEastAsia" w:hAnsiTheme="minorEastAsia" w:eastAsiaTheme="minorEastAsia" w:cstheme="minorEastAsia"/>
          <w:b/>
          <w:u w:val="single"/>
        </w:rPr>
      </w:pPr>
      <w:r>
        <w:rPr>
          <w:rFonts w:hint="eastAsia" w:asciiTheme="minorEastAsia" w:hAnsiTheme="minorEastAsia" w:eastAsiaTheme="minorEastAsia" w:cstheme="minorEastAsia"/>
          <w:b/>
        </w:rPr>
        <w:t>26.成交服务费</w:t>
      </w:r>
    </w:p>
    <w:p>
      <w:pPr>
        <w:pStyle w:val="16"/>
        <w:spacing w:line="396"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b/>
        </w:rPr>
        <w:t>26.1</w:t>
      </w:r>
      <w:r>
        <w:rPr>
          <w:rFonts w:hint="eastAsia" w:asciiTheme="minorEastAsia" w:hAnsiTheme="minorEastAsia" w:eastAsiaTheme="minorEastAsia" w:cstheme="minorEastAsia"/>
        </w:rPr>
        <w:t>本项目招标代理服务收费标准参照“发改办价格【2011】534号”向成交人收取。签订合同前，成交人应向华春建设工程项目管理有限责任公司崇左项目管理分公司一次付清代理服务费，否则，采购代理机构将视之为违约，取消该成交决定，并没收成交人这次参加竞标的全部竞标保证金。</w:t>
      </w:r>
    </w:p>
    <w:p>
      <w:pPr>
        <w:pStyle w:val="16"/>
        <w:spacing w:line="396"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27.解释权</w:t>
      </w:r>
    </w:p>
    <w:p>
      <w:pPr>
        <w:pStyle w:val="16"/>
        <w:spacing w:line="39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27.1本采购文件根据国家相关法律及有关政策、法规和参照国际惯例编制，解释权属本采购代理机构。</w:t>
      </w:r>
    </w:p>
    <w:p>
      <w:pPr>
        <w:pStyle w:val="16"/>
        <w:spacing w:line="396" w:lineRule="exact"/>
        <w:ind w:left="840" w:leftChars="400" w:firstLine="1509" w:firstLineChars="343"/>
        <w:jc w:val="left"/>
        <w:rPr>
          <w:rFonts w:hint="eastAsia" w:asciiTheme="minorEastAsia" w:hAnsiTheme="minorEastAsia" w:eastAsiaTheme="minorEastAsia" w:cstheme="minorEastAsia"/>
          <w:sz w:val="44"/>
        </w:rPr>
      </w:pPr>
    </w:p>
    <w:p>
      <w:pPr>
        <w:pStyle w:val="16"/>
        <w:jc w:val="center"/>
        <w:rPr>
          <w:rFonts w:hint="eastAsia" w:asciiTheme="minorEastAsia" w:hAnsiTheme="minorEastAsia" w:eastAsiaTheme="minorEastAsia" w:cstheme="minorEastAsia"/>
          <w:sz w:val="44"/>
        </w:rPr>
      </w:pPr>
    </w:p>
    <w:p>
      <w:pPr>
        <w:pStyle w:val="16"/>
        <w:rPr>
          <w:rFonts w:hint="eastAsia" w:asciiTheme="minorEastAsia" w:hAnsiTheme="minorEastAsia" w:eastAsiaTheme="minorEastAsia" w:cstheme="minorEastAsia"/>
          <w:sz w:val="44"/>
        </w:rPr>
      </w:pPr>
    </w:p>
    <w:p>
      <w:pPr>
        <w:pStyle w:val="16"/>
        <w:rPr>
          <w:rFonts w:hint="eastAsia" w:asciiTheme="minorEastAsia" w:hAnsiTheme="minorEastAsia" w:eastAsiaTheme="minorEastAsia" w:cstheme="minorEastAsia"/>
          <w:sz w:val="44"/>
        </w:rPr>
      </w:pPr>
    </w:p>
    <w:p>
      <w:pPr>
        <w:pStyle w:val="16"/>
        <w:rPr>
          <w:rFonts w:hint="eastAsia" w:asciiTheme="minorEastAsia" w:hAnsiTheme="minorEastAsia" w:eastAsiaTheme="minorEastAsia" w:cstheme="minorEastAsia"/>
          <w:sz w:val="44"/>
        </w:rPr>
      </w:pPr>
    </w:p>
    <w:p>
      <w:pPr>
        <w:pStyle w:val="16"/>
        <w:rPr>
          <w:rFonts w:hint="eastAsia" w:asciiTheme="minorEastAsia" w:hAnsiTheme="minorEastAsia" w:eastAsiaTheme="minorEastAsia" w:cstheme="minorEastAsia"/>
          <w:sz w:val="44"/>
        </w:rPr>
      </w:pPr>
    </w:p>
    <w:p>
      <w:pPr>
        <w:pStyle w:val="2"/>
        <w:keepLines/>
        <w:spacing w:before="120" w:after="120" w:line="500" w:lineRule="exact"/>
        <w:jc w:val="center"/>
        <w:rPr>
          <w:rFonts w:hint="eastAsia" w:asciiTheme="minorEastAsia" w:hAnsiTheme="minorEastAsia" w:eastAsiaTheme="minorEastAsia" w:cstheme="minorEastAsia"/>
          <w:bCs/>
          <w:kern w:val="44"/>
          <w:sz w:val="32"/>
          <w:szCs w:val="32"/>
        </w:rPr>
      </w:pPr>
      <w:bookmarkStart w:id="4" w:name="_Toc430011628"/>
      <w:r>
        <w:rPr>
          <w:rFonts w:hint="eastAsia" w:asciiTheme="minorEastAsia" w:hAnsiTheme="minorEastAsia" w:eastAsiaTheme="minorEastAsia" w:cstheme="minorEastAsia"/>
          <w:bCs/>
          <w:kern w:val="44"/>
          <w:sz w:val="32"/>
          <w:szCs w:val="32"/>
        </w:rPr>
        <w:t>第二章  货物需求</w:t>
      </w:r>
      <w:bookmarkEnd w:id="4"/>
    </w:p>
    <w:p>
      <w:pPr>
        <w:numPr>
          <w:ilvl w:val="0"/>
          <w:numId w:val="5"/>
        </w:numPr>
        <w:jc w:val="left"/>
        <w:rPr>
          <w:b/>
          <w:sz w:val="28"/>
          <w:szCs w:val="28"/>
        </w:rPr>
      </w:pPr>
      <w:r>
        <w:rPr>
          <w:rFonts w:hint="eastAsia"/>
          <w:b/>
          <w:sz w:val="28"/>
          <w:szCs w:val="28"/>
        </w:rPr>
        <w:t>采购项目需求内容</w:t>
      </w:r>
    </w:p>
    <w:tbl>
      <w:tblPr>
        <w:tblStyle w:val="31"/>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3188"/>
        <w:gridCol w:w="1248"/>
        <w:gridCol w:w="1278"/>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84" w:type="dxa"/>
            <w:vAlign w:val="center"/>
          </w:tcPr>
          <w:p>
            <w:pPr>
              <w:rPr>
                <w:rFonts w:asciiTheme="minorEastAsia" w:hAnsiTheme="minorEastAsia"/>
                <w:kern w:val="0"/>
                <w:sz w:val="24"/>
                <w:szCs w:val="24"/>
              </w:rPr>
            </w:pPr>
            <w:r>
              <w:rPr>
                <w:rFonts w:hint="eastAsia" w:asciiTheme="minorEastAsia" w:hAnsiTheme="minorEastAsia"/>
                <w:kern w:val="0"/>
                <w:sz w:val="24"/>
                <w:szCs w:val="24"/>
              </w:rPr>
              <w:t>序号</w:t>
            </w:r>
          </w:p>
        </w:tc>
        <w:tc>
          <w:tcPr>
            <w:tcW w:w="3188"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货物名称</w:t>
            </w:r>
          </w:p>
        </w:tc>
        <w:tc>
          <w:tcPr>
            <w:tcW w:w="1248"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单位</w:t>
            </w:r>
          </w:p>
        </w:tc>
        <w:tc>
          <w:tcPr>
            <w:tcW w:w="1278"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数量</w:t>
            </w:r>
          </w:p>
        </w:tc>
        <w:tc>
          <w:tcPr>
            <w:tcW w:w="2680" w:type="dxa"/>
            <w:vAlign w:val="center"/>
          </w:tcPr>
          <w:p>
            <w:pPr>
              <w:jc w:val="center"/>
              <w:rPr>
                <w:rFonts w:hint="default" w:eastAsia="宋体" w:asciiTheme="minorEastAsia" w:hAnsiTheme="minorEastAsia"/>
                <w:kern w:val="0"/>
                <w:sz w:val="24"/>
                <w:szCs w:val="24"/>
                <w:lang w:val="en-US" w:eastAsia="zh-CN"/>
              </w:rPr>
            </w:pPr>
            <w:r>
              <w:rPr>
                <w:rFonts w:hint="eastAsia" w:asciiTheme="minorEastAsia" w:hAnsiTheme="minorEastAsia"/>
                <w:kern w:val="0"/>
                <w:sz w:val="24"/>
                <w:szCs w:val="24"/>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4" w:type="dxa"/>
            <w:vAlign w:val="center"/>
          </w:tcPr>
          <w:p>
            <w:pPr>
              <w:rPr>
                <w:rFonts w:asciiTheme="minorEastAsia" w:hAnsiTheme="minorEastAsia"/>
                <w:kern w:val="0"/>
                <w:sz w:val="24"/>
                <w:szCs w:val="24"/>
              </w:rPr>
            </w:pPr>
            <w:r>
              <w:rPr>
                <w:rFonts w:hint="eastAsia" w:asciiTheme="minorEastAsia" w:hAnsiTheme="minorEastAsia"/>
                <w:kern w:val="0"/>
                <w:sz w:val="24"/>
                <w:szCs w:val="24"/>
              </w:rPr>
              <w:t>1</w:t>
            </w:r>
          </w:p>
        </w:tc>
        <w:tc>
          <w:tcPr>
            <w:tcW w:w="3188" w:type="dxa"/>
            <w:vAlign w:val="center"/>
          </w:tcPr>
          <w:p>
            <w:pPr>
              <w:rPr>
                <w:rFonts w:hint="eastAsia" w:eastAsia="宋体" w:asciiTheme="minorEastAsia" w:hAnsiTheme="minorEastAsia"/>
                <w:kern w:val="0"/>
                <w:sz w:val="24"/>
                <w:szCs w:val="24"/>
                <w:lang w:eastAsia="zh-CN"/>
              </w:rPr>
            </w:pPr>
            <w:r>
              <w:rPr>
                <w:rFonts w:hint="eastAsia" w:asciiTheme="minorEastAsia" w:hAnsiTheme="minorEastAsia"/>
                <w:kern w:val="0"/>
                <w:sz w:val="24"/>
                <w:szCs w:val="24"/>
                <w:lang w:eastAsia="zh-CN"/>
              </w:rPr>
              <w:t>火化机尾气净化设备</w:t>
            </w:r>
          </w:p>
        </w:tc>
        <w:tc>
          <w:tcPr>
            <w:tcW w:w="1248"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1278" w:type="dxa"/>
            <w:vAlign w:val="center"/>
          </w:tcPr>
          <w:p>
            <w:pPr>
              <w:jc w:val="center"/>
              <w:rPr>
                <w:rFonts w:hint="eastAsia" w:eastAsia="宋体" w:asciiTheme="minorEastAsia" w:hAnsiTheme="minorEastAsia"/>
                <w:kern w:val="0"/>
                <w:sz w:val="24"/>
                <w:szCs w:val="24"/>
                <w:lang w:eastAsia="zh-CN"/>
              </w:rPr>
            </w:pPr>
            <w:r>
              <w:rPr>
                <w:rFonts w:hint="eastAsia" w:asciiTheme="minorEastAsia" w:hAnsiTheme="minorEastAsia"/>
                <w:kern w:val="0"/>
                <w:sz w:val="24"/>
                <w:szCs w:val="24"/>
                <w:lang w:val="en-US" w:eastAsia="zh-CN"/>
              </w:rPr>
              <w:t>2</w:t>
            </w:r>
          </w:p>
        </w:tc>
        <w:tc>
          <w:tcPr>
            <w:tcW w:w="2680" w:type="dxa"/>
            <w:vAlign w:val="center"/>
          </w:tcPr>
          <w:p>
            <w:pPr>
              <w:jc w:val="center"/>
              <w:rPr>
                <w:rFonts w:hint="default" w:asciiTheme="minorEastAsia" w:hAnsiTheme="minorEastAsia"/>
                <w:kern w:val="0"/>
                <w:sz w:val="24"/>
                <w:szCs w:val="24"/>
                <w:lang w:val="en-US" w:eastAsia="zh-CN"/>
              </w:rPr>
            </w:pPr>
            <w:r>
              <w:rPr>
                <w:rFonts w:hint="eastAsia" w:asciiTheme="minorEastAsia" w:hAnsiTheme="minorEastAsia"/>
                <w:kern w:val="0"/>
                <w:sz w:val="24"/>
                <w:szCs w:val="24"/>
                <w:lang w:val="en-US" w:eastAsia="zh-CN"/>
              </w:rPr>
              <w:t>1300000.00元</w:t>
            </w:r>
          </w:p>
        </w:tc>
      </w:tr>
    </w:tbl>
    <w:p>
      <w:pPr>
        <w:jc w:val="left"/>
        <w:rPr>
          <w:b/>
          <w:sz w:val="28"/>
          <w:szCs w:val="28"/>
        </w:rPr>
      </w:pPr>
      <w:r>
        <w:rPr>
          <w:rFonts w:hint="eastAsia"/>
          <w:b/>
          <w:sz w:val="28"/>
          <w:szCs w:val="28"/>
        </w:rPr>
        <w:t>二、采购项目技术要求</w:t>
      </w:r>
    </w:p>
    <w:p>
      <w:pPr>
        <w:rPr>
          <w:rFonts w:hint="eastAsia"/>
          <w:b/>
          <w:sz w:val="28"/>
          <w:szCs w:val="28"/>
        </w:rPr>
      </w:pPr>
      <w:r>
        <w:rPr>
          <w:rFonts w:hint="eastAsia" w:ascii="宋体" w:hAnsi="宋体" w:cs="宋体"/>
          <w:b/>
          <w:kern w:val="0"/>
          <w:sz w:val="24"/>
          <w:szCs w:val="24"/>
        </w:rPr>
        <w:t>（一）</w:t>
      </w:r>
      <w:r>
        <w:rPr>
          <w:rFonts w:hint="eastAsia"/>
          <w:b/>
          <w:sz w:val="28"/>
          <w:szCs w:val="28"/>
          <w:lang w:eastAsia="zh-CN"/>
        </w:rPr>
        <w:t>火化机尾气净化设备</w:t>
      </w:r>
      <w:r>
        <w:rPr>
          <w:rFonts w:hint="eastAsia"/>
          <w:b/>
          <w:sz w:val="28"/>
          <w:szCs w:val="28"/>
        </w:rPr>
        <w:t>技术参数</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1、设备整体外型尺寸：L×W×H=7500mm×3500mm×5500mm（参考尺寸，以实际地形为准）。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2、整机重量：≤8吨。</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3、工作环境：室外或火化间风机房。</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4、工作环境温度：-25～50℃。</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5、烟气净化能力：≥14000m3/h。</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6、烟气冷却方式：强制风冷式冷却。</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7、设备布置：根据殡仪馆场地的实际情况，使火化机尾气净化处理设备的运行能够满足环保、节能、高效、操作简便的要求，并结合现场条件，确保设备布局紧凑合理，隔音措施合理有效，确保设备检修空间。</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8、尾气处理设备各部件外形尺寸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8.1火星拦截系统：外形尺寸：L×W×H=1800mm×600mm×3750mm（参考尺寸）。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8.2旋风除尘系统：外形尺寸：L×W×H=1700mm×800mm×3750mm（参考尺寸）。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8.3风冷降温系统：外形尺寸：L×W×H=1800mm×930mm×3750mm（参考尺寸）。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8.4脱酸脱硫系统：外形尺寸： L×W×H=800×500×1200mm（参考尺寸）。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8.5布袋除尘系统：外形尺寸：L×W×H=2600mm×2500mm×5500mm（参考尺寸）。</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8.6活性炭吸附系统: 外形尺寸：L×W×H=780mm×760mm×1850mm（参考尺寸）。</w:t>
      </w:r>
    </w:p>
    <w:p>
      <w:pPr>
        <w:widowControl/>
        <w:jc w:val="left"/>
        <w:rPr>
          <w:rFonts w:ascii="宋体" w:hAnsi="宋体"/>
          <w:b/>
          <w:sz w:val="28"/>
          <w:szCs w:val="28"/>
        </w:rPr>
      </w:pPr>
      <w:r>
        <w:rPr>
          <w:rFonts w:hint="eastAsia" w:ascii="宋体" w:hAnsi="宋体" w:cs="宋体"/>
          <w:b/>
          <w:kern w:val="0"/>
          <w:sz w:val="24"/>
          <w:szCs w:val="24"/>
        </w:rPr>
        <w:t>（二）</w:t>
      </w:r>
      <w:r>
        <w:rPr>
          <w:rFonts w:hint="eastAsia"/>
          <w:b/>
          <w:sz w:val="28"/>
          <w:szCs w:val="28"/>
          <w:lang w:eastAsia="zh-CN"/>
        </w:rPr>
        <w:t>火化机尾气净化设备</w:t>
      </w:r>
      <w:r>
        <w:rPr>
          <w:rFonts w:hint="eastAsia"/>
          <w:b/>
          <w:sz w:val="28"/>
          <w:szCs w:val="28"/>
        </w:rPr>
        <w:t>技术要求</w:t>
      </w:r>
    </w:p>
    <w:p>
      <w:pPr>
        <w:spacing w:line="360" w:lineRule="auto"/>
        <w:ind w:firstLine="480" w:firstLineChars="200"/>
        <w:rPr>
          <w:rFonts w:ascii="宋体" w:hAnsi="宋体"/>
          <w:sz w:val="24"/>
          <w:szCs w:val="24"/>
        </w:rPr>
      </w:pPr>
      <w:r>
        <w:rPr>
          <w:rFonts w:hint="eastAsia" w:ascii="宋体" w:hAnsi="宋体"/>
          <w:sz w:val="24"/>
          <w:szCs w:val="24"/>
        </w:rPr>
        <w:t>1、整体配置：配置有应急排烟系统、降温处理器系统、火星拦截系统、旋风除尘系统、脱硫脱酸系统、活性炭吸附系统、布袋除尘系统、引风机排烟系统、变频风机装置、自动清灰及收灰池系统、控制系统。采用国标优质304不锈钢材料制作，耐腐蚀、耐高温，厚度不低于3mm。</w:t>
      </w:r>
    </w:p>
    <w:p>
      <w:pPr>
        <w:spacing w:line="360" w:lineRule="auto"/>
        <w:ind w:firstLine="480" w:firstLineChars="200"/>
        <w:rPr>
          <w:rFonts w:ascii="宋体" w:hAnsi="宋体"/>
          <w:sz w:val="24"/>
          <w:szCs w:val="24"/>
        </w:rPr>
      </w:pPr>
      <w:r>
        <w:rPr>
          <w:rFonts w:hint="eastAsia" w:ascii="宋体" w:hAnsi="宋体"/>
          <w:sz w:val="24"/>
          <w:szCs w:val="24"/>
        </w:rPr>
        <w:t>2、设备整体尺寸：每台尾气总长度控制在8米至10米之间，宽度控制在3.8米至4米之间，除烟囱外，其他设备高度控制在3米至6米之间；</w:t>
      </w:r>
    </w:p>
    <w:p>
      <w:pPr>
        <w:spacing w:line="360" w:lineRule="auto"/>
        <w:ind w:firstLine="480" w:firstLineChars="200"/>
        <w:rPr>
          <w:rFonts w:ascii="宋体" w:hAnsi="宋体"/>
          <w:sz w:val="24"/>
          <w:szCs w:val="24"/>
        </w:rPr>
      </w:pPr>
      <w:r>
        <w:rPr>
          <w:rFonts w:hint="eastAsia" w:ascii="宋体" w:hAnsi="宋体"/>
          <w:sz w:val="24"/>
          <w:szCs w:val="24"/>
        </w:rPr>
        <w:t>3、应急排烟系统：采用国标优质304不锈钢材料制作，耐腐蚀、耐高温，厚度不低于3mm。因尾气排放设备排放故障等原因导致尾气不能使用，火化过程中的烟气无法排出，最终形成火化炉不能正常火化的状况出现，为了避免这种状况出现，应加装应急排烟管道，是火化机在不通过尾气处理设备的情况下（原火化炉工作室直接排放烟气时的工作状态）还能正常排放火化过程中产生的烟气，保证火化炉的运转，确保火化遗体的正常进行。</w:t>
      </w:r>
    </w:p>
    <w:p>
      <w:pPr>
        <w:spacing w:line="360" w:lineRule="auto"/>
        <w:ind w:firstLine="480" w:firstLineChars="200"/>
        <w:rPr>
          <w:rFonts w:ascii="宋体" w:hAnsi="宋体"/>
          <w:sz w:val="24"/>
          <w:szCs w:val="24"/>
        </w:rPr>
      </w:pPr>
      <w:r>
        <w:rPr>
          <w:rFonts w:hint="eastAsia" w:ascii="宋体" w:hAnsi="宋体"/>
          <w:sz w:val="24"/>
          <w:szCs w:val="24"/>
        </w:rPr>
        <w:t>4、降温处理器系统：采用国际优质304不锈钢材料制作，耐腐蚀、耐高温，厚度不低于3mm。采用风冷却方式降温，避免二次污染并能在二秒钟内将烟气降至200℃以下，跃过二噁英易形成的温度区，同时满足滤袋除尘温度要求。</w:t>
      </w:r>
    </w:p>
    <w:p>
      <w:pPr>
        <w:spacing w:line="360" w:lineRule="auto"/>
        <w:ind w:firstLine="480" w:firstLineChars="200"/>
        <w:rPr>
          <w:rFonts w:ascii="宋体" w:hAnsi="宋体"/>
          <w:sz w:val="24"/>
          <w:szCs w:val="24"/>
        </w:rPr>
      </w:pPr>
      <w:r>
        <w:rPr>
          <w:rFonts w:hint="eastAsia" w:ascii="宋体" w:hAnsi="宋体"/>
          <w:sz w:val="24"/>
          <w:szCs w:val="24"/>
        </w:rPr>
        <w:t>5、综合处理系统：采用国标优质304不锈钢材料制作，耐腐蚀、耐高温，厚度不低于3mm。旋风除尘系统、脱硫脱酸系统组成，除酸效率应达到60%以上。</w:t>
      </w:r>
    </w:p>
    <w:p>
      <w:pPr>
        <w:spacing w:line="360" w:lineRule="auto"/>
        <w:ind w:firstLine="480" w:firstLineChars="200"/>
        <w:rPr>
          <w:rFonts w:ascii="宋体" w:hAnsi="宋体"/>
          <w:sz w:val="24"/>
          <w:szCs w:val="24"/>
        </w:rPr>
      </w:pPr>
      <w:r>
        <w:rPr>
          <w:rFonts w:hint="eastAsia" w:ascii="宋体" w:hAnsi="宋体"/>
          <w:sz w:val="24"/>
          <w:szCs w:val="24"/>
        </w:rPr>
        <w:t>6、袋式除尘系统：（1）布袋除尘器：处理尾气量10000m</w:t>
      </w:r>
      <w:r>
        <w:rPr>
          <w:rFonts w:hint="eastAsia" w:ascii="宋体" w:hAnsi="宋体"/>
          <w:sz w:val="24"/>
          <w:szCs w:val="24"/>
          <w:vertAlign w:val="superscript"/>
        </w:rPr>
        <w:t>3</w:t>
      </w:r>
      <w:r>
        <w:rPr>
          <w:rFonts w:hint="eastAsia" w:ascii="宋体" w:hAnsi="宋体"/>
          <w:sz w:val="24"/>
          <w:szCs w:val="24"/>
        </w:rPr>
        <w:t>/h以上，收尘率98%以上有害物质控制率95%以上。（2）尾气用过滤袋的速度：0.8-1.2m/s。（3）滤袋的材质和使用寿命：滤袋选用优质耐高温材料，承受温度可达260℃，每台不得少于120条，长度2m，直径130mm,需达到国家规定的标准。（4）滤袋对各种污染物的去除效果：颗粒物（粉尘）的去除效果达到99%，各种重金属污染物的去除效果不低于80%，有机剧毒污染物的去除率不低于70%。袋除尘器的结构组成：由箱体、支架、检修架、滤袋架、滤袋、导流板、收尘室、电磁脉冲装置、清灰程序控制、尾气进出口开合蝶阀，外包等组成。箱体和支架等材料：除尘器设计出灰空间和自动卸灰、自动收集系统，使用优质304不锈钢材料制作，耐腐蚀、耐高温。厚度不小于：3mm。</w:t>
      </w:r>
    </w:p>
    <w:p>
      <w:pPr>
        <w:spacing w:line="360" w:lineRule="auto"/>
        <w:ind w:firstLine="480" w:firstLineChars="200"/>
        <w:rPr>
          <w:rFonts w:ascii="宋体" w:hAnsi="宋体"/>
          <w:sz w:val="24"/>
          <w:szCs w:val="24"/>
        </w:rPr>
      </w:pPr>
      <w:r>
        <w:rPr>
          <w:rFonts w:hint="eastAsia" w:ascii="宋体" w:hAnsi="宋体"/>
          <w:sz w:val="24"/>
          <w:szCs w:val="24"/>
        </w:rPr>
        <w:t>7、空气储罐：采用国标优质304不锈钢材料制作，耐腐蚀、耐高温。厚度不小于：3mm。DN1000，VN=1.0立方（1000mm*2145mm），符合压力容器标准。</w:t>
      </w:r>
    </w:p>
    <w:p>
      <w:pPr>
        <w:spacing w:line="360" w:lineRule="auto"/>
        <w:ind w:firstLine="480" w:firstLineChars="200"/>
        <w:rPr>
          <w:rFonts w:ascii="宋体" w:hAnsi="宋体"/>
          <w:sz w:val="24"/>
          <w:szCs w:val="24"/>
        </w:rPr>
      </w:pPr>
      <w:r>
        <w:rPr>
          <w:rFonts w:hint="eastAsia" w:ascii="宋体" w:hAnsi="宋体"/>
          <w:sz w:val="24"/>
          <w:szCs w:val="24"/>
        </w:rPr>
        <w:t>8、活性炭吸附系统：采用国标优质304不锈钢材料制作，耐腐蚀、耐高温，厚度不低于3mm。容积0.8-1.0m3，利用优质活性炭的吸附功能，配置活性炭喷射装置，消除烟气中的异味，对过滤后的烟气进行再处理，降低对人体的危害，活性炭净化率达到85%以上。</w:t>
      </w:r>
    </w:p>
    <w:p>
      <w:pPr>
        <w:spacing w:line="360" w:lineRule="auto"/>
        <w:ind w:firstLine="600"/>
        <w:rPr>
          <w:rFonts w:ascii="宋体" w:hAnsi="宋体" w:cs="宋体"/>
          <w:sz w:val="24"/>
          <w:szCs w:val="24"/>
        </w:rPr>
      </w:pPr>
      <w:r>
        <w:rPr>
          <w:rFonts w:hint="eastAsia" w:ascii="宋体" w:hAnsi="宋体"/>
          <w:sz w:val="24"/>
          <w:szCs w:val="24"/>
        </w:rPr>
        <w:t>9、烟囱、引风机的技术：引风机采用耐高温风机，电机功率15KW以上，烟囱：使用3mm厚优质304不锈钢制造，要求耐腐蚀、耐高温，烟囱出口直径约￠400mm，高度10-12m。</w:t>
      </w:r>
    </w:p>
    <w:p>
      <w:pPr>
        <w:spacing w:line="360" w:lineRule="auto"/>
        <w:ind w:firstLine="480" w:firstLineChars="200"/>
        <w:rPr>
          <w:rFonts w:ascii="宋体" w:hAnsi="宋体"/>
          <w:sz w:val="24"/>
          <w:szCs w:val="24"/>
        </w:rPr>
      </w:pPr>
      <w:r>
        <w:rPr>
          <w:rFonts w:hint="eastAsia" w:ascii="宋体" w:hAnsi="宋体"/>
          <w:sz w:val="24"/>
          <w:szCs w:val="24"/>
        </w:rPr>
        <w:t>10布袋清灰系统：采用国际优质304不锈钢材料制作，耐腐蚀、耐高温，厚度不低于3mm。自动感应脉冲清灰装置，可自动检测储存灰量，对滤袋进行自动清灰处理。</w:t>
      </w:r>
    </w:p>
    <w:p>
      <w:pPr>
        <w:spacing w:line="360" w:lineRule="auto"/>
        <w:ind w:firstLine="480" w:firstLineChars="200"/>
        <w:rPr>
          <w:rFonts w:ascii="宋体" w:hAnsi="宋体"/>
          <w:sz w:val="24"/>
          <w:szCs w:val="24"/>
        </w:rPr>
      </w:pPr>
      <w:r>
        <w:rPr>
          <w:rFonts w:hint="eastAsia" w:ascii="宋体" w:hAnsi="宋体"/>
          <w:sz w:val="24"/>
          <w:szCs w:val="24"/>
        </w:rPr>
        <w:t>11、管道系统：设计合理，实现与火化设备的无缝对接，连接管道要保证不漏风，所有管道使用合格的防雷措施，保证设备的安全运行。</w:t>
      </w:r>
    </w:p>
    <w:p>
      <w:pPr>
        <w:spacing w:line="360" w:lineRule="auto"/>
        <w:ind w:firstLine="480" w:firstLineChars="200"/>
        <w:rPr>
          <w:rFonts w:ascii="宋体" w:hAnsi="宋体"/>
          <w:sz w:val="24"/>
          <w:szCs w:val="24"/>
        </w:rPr>
      </w:pPr>
      <w:r>
        <w:rPr>
          <w:rFonts w:hint="eastAsia" w:ascii="宋体" w:hAnsi="宋体"/>
          <w:sz w:val="24"/>
          <w:szCs w:val="24"/>
        </w:rPr>
        <w:t>12、热电偶、阀门、密封材料、过滤器、干燥机、线材均使用国际材料。</w:t>
      </w:r>
    </w:p>
    <w:p>
      <w:pPr>
        <w:spacing w:line="360" w:lineRule="auto"/>
        <w:ind w:firstLine="480" w:firstLineChars="200"/>
        <w:rPr>
          <w:rFonts w:ascii="宋体" w:hAnsi="宋体"/>
          <w:sz w:val="24"/>
          <w:szCs w:val="24"/>
        </w:rPr>
      </w:pPr>
      <w:r>
        <w:rPr>
          <w:rFonts w:hint="eastAsia" w:ascii="宋体" w:hAnsi="宋体"/>
          <w:sz w:val="24"/>
          <w:szCs w:val="24"/>
        </w:rPr>
        <w:t>13、使用寿命：10年以上。</w:t>
      </w:r>
    </w:p>
    <w:p>
      <w:pPr>
        <w:spacing w:line="360" w:lineRule="auto"/>
        <w:ind w:firstLine="480" w:firstLineChars="200"/>
        <w:rPr>
          <w:rFonts w:ascii="宋体" w:hAnsi="宋体"/>
          <w:sz w:val="24"/>
          <w:szCs w:val="24"/>
        </w:rPr>
      </w:pPr>
      <w:r>
        <w:rPr>
          <w:rFonts w:hint="eastAsia" w:ascii="宋体" w:hAnsi="宋体"/>
          <w:sz w:val="24"/>
          <w:szCs w:val="24"/>
        </w:rPr>
        <w:t>14、噪音：符合国家标准的环保要求。</w:t>
      </w:r>
    </w:p>
    <w:p>
      <w:pPr>
        <w:spacing w:line="360" w:lineRule="auto"/>
        <w:ind w:firstLine="480" w:firstLineChars="200"/>
        <w:rPr>
          <w:rFonts w:ascii="宋体" w:hAnsi="宋体"/>
          <w:sz w:val="24"/>
          <w:szCs w:val="24"/>
        </w:rPr>
      </w:pPr>
      <w:r>
        <w:rPr>
          <w:rFonts w:hint="eastAsia" w:ascii="宋体" w:hAnsi="宋体"/>
          <w:sz w:val="24"/>
          <w:szCs w:val="24"/>
        </w:rPr>
        <w:t>15、烟气排放：各种污染物排放标准、浓度和总量达到最新颁发的GB13801-2015国家排放标准要求。</w:t>
      </w:r>
    </w:p>
    <w:p>
      <w:pPr>
        <w:spacing w:line="360" w:lineRule="auto"/>
        <w:ind w:firstLine="480" w:firstLineChars="200"/>
        <w:rPr>
          <w:rFonts w:ascii="宋体" w:hAnsi="宋体"/>
          <w:sz w:val="24"/>
          <w:szCs w:val="24"/>
        </w:rPr>
      </w:pPr>
      <w:r>
        <w:rPr>
          <w:rFonts w:hint="eastAsia" w:ascii="宋体" w:hAnsi="宋体"/>
          <w:sz w:val="24"/>
          <w:szCs w:val="24"/>
        </w:rPr>
        <w:t>16、供电系统及各主回路有自动负荷保护开关。电机等负载有过裁保护。</w:t>
      </w:r>
    </w:p>
    <w:p>
      <w:pPr>
        <w:spacing w:line="360" w:lineRule="auto"/>
        <w:ind w:firstLine="480" w:firstLineChars="200"/>
        <w:rPr>
          <w:rFonts w:ascii="宋体" w:hAnsi="宋体"/>
          <w:sz w:val="24"/>
          <w:szCs w:val="24"/>
        </w:rPr>
      </w:pPr>
      <w:r>
        <w:rPr>
          <w:rFonts w:hint="eastAsia" w:ascii="宋体" w:hAnsi="宋体"/>
          <w:sz w:val="24"/>
          <w:szCs w:val="24"/>
        </w:rPr>
        <w:t>17、操作系统：具有自动、半自动和手动控制三种方式，可以互不干扰自由切换，烟气可自动切换到火化机的烟囱排放。采用触摸显示屏及PLC电脑电控系统，带漏电保护，电子元器件采用施耐德等知名品牌。</w:t>
      </w:r>
    </w:p>
    <w:p>
      <w:pPr>
        <w:spacing w:line="360" w:lineRule="auto"/>
        <w:ind w:firstLine="480" w:firstLineChars="200"/>
        <w:rPr>
          <w:rFonts w:ascii="宋体" w:hAnsi="宋体"/>
          <w:sz w:val="24"/>
          <w:szCs w:val="24"/>
        </w:rPr>
      </w:pPr>
      <w:r>
        <w:rPr>
          <w:rFonts w:hint="eastAsia" w:ascii="宋体" w:hAnsi="宋体"/>
          <w:sz w:val="24"/>
          <w:szCs w:val="24"/>
        </w:rPr>
        <w:t>18、烟气排放林格曼浓度正常情况下零级，特殊情况下一级。</w:t>
      </w:r>
    </w:p>
    <w:p>
      <w:pPr>
        <w:spacing w:line="360" w:lineRule="auto"/>
        <w:ind w:firstLine="480" w:firstLineChars="200"/>
        <w:rPr>
          <w:rFonts w:ascii="宋体" w:hAnsi="宋体"/>
          <w:sz w:val="24"/>
          <w:szCs w:val="24"/>
        </w:rPr>
      </w:pPr>
      <w:r>
        <w:rPr>
          <w:rFonts w:hint="eastAsia" w:ascii="宋体" w:hAnsi="宋体"/>
          <w:sz w:val="24"/>
          <w:szCs w:val="24"/>
        </w:rPr>
        <w:t>19、旋风除尘系统：采用国际优质304不锈钢材料制作，耐腐蚀、耐高温，厚度不低于3mm。优质螺杆空压机，空压机功率7.5Kw以上，全自动电脑控制，符合国家合格新产品目录中规定的产品。布袋除尘器的杂质采用自动进入螺旋除渣机并自动输送到收集箱。</w:t>
      </w:r>
    </w:p>
    <w:p>
      <w:pPr>
        <w:spacing w:line="360" w:lineRule="auto"/>
        <w:ind w:firstLine="480" w:firstLineChars="200"/>
        <w:rPr>
          <w:rFonts w:ascii="宋体" w:hAnsi="宋体"/>
          <w:sz w:val="24"/>
          <w:szCs w:val="24"/>
        </w:rPr>
      </w:pPr>
      <w:r>
        <w:rPr>
          <w:rFonts w:hint="eastAsia" w:ascii="宋体" w:hAnsi="宋体"/>
          <w:sz w:val="24"/>
          <w:szCs w:val="24"/>
        </w:rPr>
        <w:t>20、一拖一火化炉尾气处理设备，为全不锈钢风冷尾气处理设备。设备所用材质全部采用国标优质304不锈钢材料制作，耐腐蚀、耐高温，厚度不低于3mm。</w:t>
      </w:r>
    </w:p>
    <w:p>
      <w:pPr>
        <w:autoSpaceDN w:val="0"/>
        <w:spacing w:line="360" w:lineRule="auto"/>
        <w:ind w:firstLine="480" w:firstLineChars="200"/>
        <w:outlineLvl w:val="3"/>
        <w:rPr>
          <w:rFonts w:ascii="宋体"/>
          <w:sz w:val="24"/>
          <w:szCs w:val="24"/>
        </w:rPr>
      </w:pPr>
      <w:r>
        <w:rPr>
          <w:rFonts w:hint="eastAsia"/>
          <w:sz w:val="24"/>
          <w:szCs w:val="24"/>
        </w:rPr>
        <w:t>21、</w:t>
      </w:r>
      <w:bookmarkStart w:id="5" w:name="_Toc381359298"/>
      <w:bookmarkStart w:id="6" w:name="_Toc381713928"/>
      <w:r>
        <w:rPr>
          <w:rFonts w:hint="eastAsia" w:ascii="宋体" w:hAnsi="宋体"/>
          <w:sz w:val="24"/>
          <w:szCs w:val="24"/>
        </w:rPr>
        <w:t>投标设备安装后所能达到的效果</w:t>
      </w:r>
      <w:bookmarkEnd w:id="5"/>
      <w:bookmarkEnd w:id="6"/>
    </w:p>
    <w:p>
      <w:pPr>
        <w:spacing w:line="360" w:lineRule="auto"/>
        <w:ind w:firstLine="480" w:firstLineChars="200"/>
        <w:rPr>
          <w:rFonts w:ascii="宋体"/>
          <w:sz w:val="24"/>
          <w:szCs w:val="24"/>
        </w:rPr>
      </w:pPr>
      <w:r>
        <w:rPr>
          <w:rFonts w:hint="eastAsia" w:ascii="宋体" w:hAnsi="宋体"/>
          <w:sz w:val="24"/>
          <w:szCs w:val="24"/>
        </w:rPr>
        <w:t>①、经处理的尾气所含物质含量应达到国家现行</w:t>
      </w:r>
      <w:r>
        <w:rPr>
          <w:rFonts w:ascii="宋体" w:hAnsi="宋体"/>
          <w:sz w:val="24"/>
          <w:szCs w:val="24"/>
        </w:rPr>
        <w:t>GB13801-2015</w:t>
      </w:r>
      <w:r>
        <w:rPr>
          <w:rFonts w:hint="eastAsia" w:ascii="宋体" w:hAnsi="宋体"/>
          <w:sz w:val="24"/>
          <w:szCs w:val="24"/>
        </w:rPr>
        <w:t>火葬场大气污染物排放标准。</w:t>
      </w:r>
    </w:p>
    <w:p>
      <w:pPr>
        <w:spacing w:line="360" w:lineRule="auto"/>
        <w:ind w:firstLine="480" w:firstLineChars="200"/>
        <w:rPr>
          <w:rFonts w:ascii="宋体"/>
          <w:sz w:val="24"/>
          <w:szCs w:val="24"/>
        </w:rPr>
      </w:pPr>
      <w:r>
        <w:rPr>
          <w:rFonts w:hint="eastAsia" w:ascii="宋体" w:hAnsi="宋体"/>
          <w:sz w:val="24"/>
          <w:szCs w:val="24"/>
        </w:rPr>
        <w:t>②、排放不能有黑烟，达到格林曼</w:t>
      </w:r>
      <w:r>
        <w:rPr>
          <w:rFonts w:ascii="宋体" w:hAnsi="宋体"/>
          <w:sz w:val="24"/>
          <w:szCs w:val="24"/>
        </w:rPr>
        <w:t>1</w:t>
      </w:r>
      <w:r>
        <w:rPr>
          <w:rFonts w:hint="eastAsia" w:ascii="宋体" w:hAnsi="宋体"/>
          <w:sz w:val="24"/>
          <w:szCs w:val="24"/>
        </w:rPr>
        <w:t>级。低气压或空气水含量大时馆周边不能形成青烟，尾气中不能有漂浮物。</w:t>
      </w:r>
    </w:p>
    <w:p>
      <w:pPr>
        <w:spacing w:line="360" w:lineRule="auto"/>
        <w:ind w:firstLine="480" w:firstLineChars="200"/>
        <w:rPr>
          <w:rFonts w:ascii="宋体"/>
          <w:sz w:val="24"/>
          <w:szCs w:val="24"/>
        </w:rPr>
      </w:pPr>
      <w:r>
        <w:rPr>
          <w:rFonts w:hint="eastAsia" w:ascii="宋体" w:hAnsi="宋体"/>
          <w:sz w:val="24"/>
          <w:szCs w:val="24"/>
        </w:rPr>
        <w:t>③、火化间周围空气中不能有火化遗体的异味。</w:t>
      </w:r>
    </w:p>
    <w:p>
      <w:pPr>
        <w:spacing w:line="360" w:lineRule="auto"/>
        <w:ind w:firstLine="480" w:firstLineChars="200"/>
        <w:rPr>
          <w:rFonts w:ascii="宋体"/>
          <w:sz w:val="24"/>
          <w:szCs w:val="24"/>
        </w:rPr>
      </w:pPr>
      <w:r>
        <w:rPr>
          <w:rFonts w:hint="eastAsia" w:ascii="宋体" w:hAnsi="宋体"/>
          <w:sz w:val="24"/>
          <w:szCs w:val="24"/>
        </w:rPr>
        <w:t>④、二噁英的排放含量符合国家标准。</w:t>
      </w:r>
    </w:p>
    <w:p>
      <w:pPr>
        <w:spacing w:line="360" w:lineRule="auto"/>
        <w:ind w:firstLine="480" w:firstLineChars="200"/>
        <w:rPr>
          <w:rFonts w:ascii="宋体"/>
          <w:sz w:val="24"/>
          <w:szCs w:val="24"/>
        </w:rPr>
      </w:pPr>
      <w:r>
        <w:rPr>
          <w:rFonts w:hint="eastAsia" w:ascii="宋体" w:hAnsi="宋体"/>
          <w:sz w:val="24"/>
          <w:szCs w:val="24"/>
        </w:rPr>
        <w:t>⑤、尾气处理设备</w:t>
      </w:r>
      <w:r>
        <w:rPr>
          <w:rFonts w:ascii="宋体" w:hAnsi="宋体"/>
          <w:sz w:val="24"/>
          <w:szCs w:val="24"/>
        </w:rPr>
        <w:t>10</w:t>
      </w:r>
      <w:r>
        <w:rPr>
          <w:rFonts w:hint="eastAsia" w:ascii="宋体" w:hAnsi="宋体"/>
          <w:sz w:val="24"/>
          <w:szCs w:val="24"/>
        </w:rPr>
        <w:t>米外噪音达到</w:t>
      </w:r>
      <w:r>
        <w:rPr>
          <w:rFonts w:ascii="宋体" w:hAnsi="宋体"/>
          <w:sz w:val="24"/>
          <w:szCs w:val="24"/>
        </w:rPr>
        <w:t>65</w:t>
      </w:r>
      <w:r>
        <w:rPr>
          <w:rFonts w:hint="eastAsia" w:ascii="宋体" w:hAnsi="宋体"/>
          <w:sz w:val="24"/>
          <w:szCs w:val="24"/>
        </w:rPr>
        <w:t>分贝以下。不能产生污水、灰尘、噪声等二次污染。</w:t>
      </w:r>
    </w:p>
    <w:p>
      <w:pPr>
        <w:spacing w:line="360" w:lineRule="auto"/>
        <w:ind w:firstLine="480" w:firstLineChars="200"/>
        <w:rPr>
          <w:rFonts w:ascii="宋体"/>
          <w:sz w:val="24"/>
          <w:szCs w:val="24"/>
        </w:rPr>
      </w:pPr>
      <w:r>
        <w:rPr>
          <w:rFonts w:hint="eastAsia" w:ascii="宋体" w:hAnsi="宋体"/>
          <w:sz w:val="24"/>
          <w:szCs w:val="24"/>
        </w:rPr>
        <w:t>⑥、处理设备要保证单台火化机连续火化五具遗体以上。</w:t>
      </w:r>
    </w:p>
    <w:p>
      <w:pPr>
        <w:rPr>
          <w:rFonts w:hint="eastAsia" w:ascii="宋体" w:hAnsi="宋体"/>
          <w:sz w:val="24"/>
          <w:szCs w:val="24"/>
        </w:rPr>
      </w:pPr>
      <w:r>
        <w:rPr>
          <w:rFonts w:hint="eastAsia" w:ascii="宋体" w:hAnsi="宋体"/>
          <w:sz w:val="24"/>
          <w:szCs w:val="24"/>
        </w:rPr>
        <w:t xml:space="preserve">    ⑦、处理设备要有去除油脂、脱硫，除酸装置，并说明技术原理和工艺措施。</w:t>
      </w:r>
    </w:p>
    <w:p>
      <w:pPr>
        <w:jc w:val="right"/>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color w:val="000000"/>
          <w:kern w:val="0"/>
          <w:sz w:val="28"/>
          <w:szCs w:val="28"/>
          <w:u w:val="none"/>
          <w:lang w:val="en-US" w:eastAsia="zh-CN" w:bidi="ar"/>
        </w:rPr>
        <w:t>三、售后服务要求和其它要求</w:t>
      </w:r>
    </w:p>
    <w:p>
      <w:pPr>
        <w:adjustRightInd w:val="0"/>
        <w:spacing w:line="360" w:lineRule="auto"/>
        <w:ind w:firstLine="480" w:firstLineChars="200"/>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eastAsia="zh-CN"/>
        </w:rPr>
        <w:t>本次竞标报价只对货物需求一览表中的货物进行报价；</w:t>
      </w:r>
    </w:p>
    <w:p>
      <w:pPr>
        <w:spacing w:line="360" w:lineRule="auto"/>
        <w:ind w:firstLine="470" w:firstLineChars="196"/>
        <w:rPr>
          <w:rFonts w:hint="eastAsia" w:asciiTheme="minorEastAsia" w:hAnsiTheme="minorEastAsia" w:eastAsiaTheme="minorEastAsia" w:cstheme="minorEastAsia"/>
          <w:sz w:val="24"/>
          <w:szCs w:val="22"/>
          <w:highlight w:val="none"/>
          <w:lang w:eastAsia="zh-CN"/>
        </w:rPr>
      </w:pPr>
      <w:r>
        <w:rPr>
          <w:rFonts w:hint="eastAsia" w:asciiTheme="minorEastAsia" w:hAnsiTheme="minorEastAsia" w:eastAsiaTheme="minorEastAsia" w:cstheme="minorEastAsia"/>
          <w:sz w:val="24"/>
          <w:szCs w:val="22"/>
          <w:highlight w:val="none"/>
          <w:lang w:val="en-US" w:eastAsia="zh-CN"/>
        </w:rPr>
        <w:t>2</w:t>
      </w:r>
      <w:r>
        <w:rPr>
          <w:rFonts w:hint="eastAsia" w:asciiTheme="minorEastAsia" w:hAnsiTheme="minorEastAsia" w:eastAsiaTheme="minorEastAsia" w:cstheme="minorEastAsia"/>
          <w:sz w:val="24"/>
          <w:szCs w:val="22"/>
          <w:highlight w:val="none"/>
        </w:rPr>
        <w:t>.</w:t>
      </w:r>
      <w:r>
        <w:rPr>
          <w:rFonts w:hint="eastAsia" w:asciiTheme="minorEastAsia" w:hAnsiTheme="minorEastAsia" w:eastAsiaTheme="minorEastAsia" w:cstheme="minorEastAsia"/>
          <w:sz w:val="24"/>
          <w:szCs w:val="22"/>
          <w:highlight w:val="none"/>
          <w:lang w:eastAsia="zh-CN"/>
        </w:rPr>
        <w:t>若某一</w:t>
      </w:r>
      <w:r>
        <w:rPr>
          <w:rFonts w:hint="eastAsia" w:asciiTheme="minorEastAsia" w:hAnsiTheme="minorEastAsia" w:eastAsiaTheme="minorEastAsia" w:cstheme="minorEastAsia"/>
          <w:sz w:val="24"/>
          <w:szCs w:val="22"/>
          <w:highlight w:val="none"/>
        </w:rPr>
        <w:t>供应商的投标报价明显低于其他通过符合性审查供应商的投标报价的，有可能影响产品质量或者不能诚信履约的，谈判小组应当要求其在评标现场合理的时间内提供书面说明;包括但不限于以下成本构成科目以书面方式提供计算数据及计算方法作为证明资料</w:t>
      </w:r>
      <w:r>
        <w:rPr>
          <w:rFonts w:hint="eastAsia" w:asciiTheme="minorEastAsia" w:hAnsiTheme="minorEastAsia" w:eastAsiaTheme="minorEastAsia" w:cstheme="minorEastAsia"/>
          <w:sz w:val="24"/>
          <w:szCs w:val="22"/>
          <w:highlight w:val="none"/>
          <w:lang w:eastAsia="zh-CN"/>
        </w:rPr>
        <w:t>包括</w:t>
      </w:r>
      <w:r>
        <w:rPr>
          <w:rFonts w:hint="eastAsia" w:asciiTheme="minorEastAsia" w:hAnsiTheme="minorEastAsia" w:eastAsiaTheme="minorEastAsia" w:cstheme="minorEastAsia"/>
          <w:sz w:val="24"/>
          <w:szCs w:val="22"/>
          <w:highlight w:val="none"/>
        </w:rPr>
        <w:t>本项目成本分析报告</w:t>
      </w:r>
      <w:r>
        <w:rPr>
          <w:rFonts w:hint="eastAsia" w:asciiTheme="minorEastAsia" w:hAnsiTheme="minorEastAsia" w:eastAsiaTheme="minorEastAsia" w:cstheme="minorEastAsia"/>
          <w:sz w:val="24"/>
          <w:szCs w:val="22"/>
          <w:highlight w:val="none"/>
          <w:lang w:eastAsia="zh-CN"/>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2"/>
        </w:rPr>
        <w:t>质保期：</w:t>
      </w:r>
      <w:r>
        <w:rPr>
          <w:rFonts w:hint="eastAsia" w:asciiTheme="minorEastAsia" w:hAnsiTheme="minorEastAsia" w:eastAsiaTheme="minorEastAsia" w:cstheme="minorEastAsia"/>
          <w:sz w:val="24"/>
          <w:szCs w:val="24"/>
        </w:rPr>
        <w:t>按国家有关规定或企业承诺实行“三包”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.交货时间及地点：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交货期：签订合同后，</w:t>
      </w:r>
      <w:r>
        <w:rPr>
          <w:rFonts w:hint="eastAsia" w:asciiTheme="minorEastAsia" w:hAnsiTheme="minorEastAsia" w:eastAsiaTheme="minorEastAsia" w:cstheme="minorEastAsia"/>
          <w:sz w:val="24"/>
          <w:szCs w:val="24"/>
          <w:lang w:val="en-US" w:eastAsia="zh-CN"/>
        </w:rPr>
        <w:t>7个日历天内安装完毕并调试能正常使用</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交货地点：采购人在合同中约定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验收费用：验收所产生的劳务费、检验费（含抽检时可能对样品造成的物理伤害和破坏）、场保费及相关发生的全部费用均由成交人承担。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6．所有货物必须是具备厂家合法渠道的全新正品。</w:t>
      </w:r>
    </w:p>
    <w:p>
      <w:pPr>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.付款条件：</w:t>
      </w:r>
      <w:r>
        <w:rPr>
          <w:rFonts w:hint="eastAsia" w:asciiTheme="minorEastAsia" w:hAnsiTheme="minorEastAsia" w:eastAsiaTheme="minorEastAsia" w:cstheme="minorEastAsia"/>
          <w:sz w:val="24"/>
          <w:szCs w:val="22"/>
        </w:rPr>
        <w:t>本项目无预付款，乙方交货、安装、调试完毕后，自交货验收合格之日起5个工作日内乙方要开具符合国家规定的发票给甲方，由甲方在7个工作日内支付合同款的95%，预留5％作为质保金，待质保期满后，若无质量问题，则在五个工作日内一次付清剩余货款（无息）。</w:t>
      </w:r>
      <w:bookmarkStart w:id="7" w:name="_Toc430011629"/>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rPr>
      </w:pPr>
    </w:p>
    <w:p>
      <w:pPr>
        <w:pStyle w:val="2"/>
        <w:keepLines/>
        <w:spacing w:before="120" w:after="120" w:line="500" w:lineRule="exact"/>
        <w:jc w:val="center"/>
        <w:rPr>
          <w:rFonts w:hint="eastAsia" w:asciiTheme="minorEastAsia" w:hAnsiTheme="minorEastAsia" w:eastAsiaTheme="minorEastAsia" w:cstheme="minorEastAsia"/>
          <w:bCs/>
          <w:kern w:val="44"/>
          <w:sz w:val="32"/>
          <w:szCs w:val="32"/>
        </w:rPr>
      </w:pPr>
      <w:r>
        <w:rPr>
          <w:rFonts w:hint="eastAsia" w:asciiTheme="minorEastAsia" w:hAnsiTheme="minorEastAsia" w:eastAsiaTheme="minorEastAsia" w:cstheme="minorEastAsia"/>
          <w:bCs/>
          <w:kern w:val="44"/>
          <w:sz w:val="32"/>
          <w:szCs w:val="32"/>
        </w:rPr>
        <w:t>第三章  合同基本条款及合同书（格式）</w:t>
      </w:r>
      <w:bookmarkEnd w:id="7"/>
    </w:p>
    <w:p>
      <w:pPr>
        <w:pStyle w:val="16"/>
        <w:jc w:val="center"/>
        <w:rPr>
          <w:rFonts w:hint="eastAsia" w:asciiTheme="minorEastAsia" w:hAnsiTheme="minorEastAsia" w:eastAsiaTheme="minorEastAsia" w:cstheme="minorEastAsia"/>
        </w:rPr>
      </w:pPr>
    </w:p>
    <w:p>
      <w:pPr>
        <w:pStyle w:val="16"/>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合同基本条款</w:t>
      </w:r>
    </w:p>
    <w:p>
      <w:pPr>
        <w:pStyle w:val="16"/>
        <w:spacing w:line="38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     说   明</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1.1合同条款是指买方（以下简称甲方）和成交供应商（以下简称乙方）应共同遵守的基本原则,并做为双方签约的依据。对于合同的其他条款，双方应本着互谅互让的精神，在谈判中协商解决。</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1.2制订《合同基本条款》的依据是：《中华人民共和国合同法》。</w:t>
      </w:r>
      <w:r>
        <w:rPr>
          <w:rFonts w:hint="eastAsia" w:asciiTheme="minorEastAsia" w:hAnsiTheme="minorEastAsia" w:eastAsiaTheme="minorEastAsia" w:cstheme="minorEastAsia"/>
        </w:rPr>
        <w:cr/>
      </w: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   货物条款</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2.1甲、乙双方应将采购文件、竞标文件及评标委员会确认的货物名称、规格型号、技术要求、质量标准、数量、交货日期和售后服务内容等作为本条款的基础。</w:t>
      </w:r>
    </w:p>
    <w:p>
      <w:pPr>
        <w:pStyle w:val="16"/>
        <w:spacing w:line="400" w:lineRule="exact"/>
        <w:rPr>
          <w:rFonts w:hint="eastAsia" w:asciiTheme="minorEastAsia" w:hAnsiTheme="minorEastAsia" w:eastAsiaTheme="minorEastAsia" w:cstheme="minorEastAsia"/>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三    技术资料</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3.1乙方应在交货时按采购文件规定向甲方提供所采购货物配套设备、配套设施、附属装置等有关技术文件资料。</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3.2乙方提供的货物应有符合国家标准以及本产品的出厂标准的质量检验证明。</w:t>
      </w:r>
    </w:p>
    <w:p>
      <w:pPr>
        <w:pStyle w:val="16"/>
        <w:spacing w:line="38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3.3乙方提供货物使用说明书、质量合格证书。</w:t>
      </w:r>
    </w:p>
    <w:p>
      <w:pPr>
        <w:pStyle w:val="16"/>
        <w:spacing w:line="400" w:lineRule="exact"/>
        <w:jc w:val="center"/>
        <w:rPr>
          <w:rFonts w:hint="eastAsia" w:asciiTheme="minorEastAsia" w:hAnsiTheme="minorEastAsia" w:eastAsiaTheme="minorEastAsia" w:cstheme="minorEastAsia"/>
          <w:b/>
        </w:rPr>
      </w:pPr>
    </w:p>
    <w:p>
      <w:pPr>
        <w:pStyle w:val="16"/>
        <w:spacing w:line="400" w:lineRule="exact"/>
        <w:ind w:firstLine="4183" w:firstLineChars="198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   专利权</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4.1乙方应保证甲方在使用采购货物或其任何一部分时免受第三方关于侵犯专利权、商标权或工业设计权的指控。任何第三方如果提出侵权指控，乙方须与第三方交涉并承担由此引起的一切法律责任和费用。</w:t>
      </w:r>
    </w:p>
    <w:p>
      <w:pPr>
        <w:pStyle w:val="16"/>
        <w:spacing w:line="400" w:lineRule="exact"/>
        <w:jc w:val="center"/>
        <w:rPr>
          <w:rFonts w:hint="eastAsia" w:asciiTheme="minorEastAsia" w:hAnsiTheme="minorEastAsia" w:eastAsiaTheme="minorEastAsia" w:cstheme="minorEastAsia"/>
          <w:b/>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五    包装要求</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5.1除合同另有规定外，乙方提供的全部货物均应按标准保护措施进行包装，这类包装应适应于远距离运输、防潮、防震、防锈和防野蛮装卸，以确保货物安全无损运抵指定现场。</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5.2每一个包装箱内应附一份详细装箱单和使用说明书、质量证书、随配附件和工具。</w:t>
      </w:r>
    </w:p>
    <w:p>
      <w:pPr>
        <w:pStyle w:val="16"/>
        <w:spacing w:line="400" w:lineRule="exact"/>
        <w:ind w:firstLine="420"/>
        <w:rPr>
          <w:rFonts w:hint="eastAsia" w:asciiTheme="minorEastAsia" w:hAnsiTheme="minorEastAsia" w:eastAsiaTheme="minorEastAsia" w:cstheme="minorEastAsia"/>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六    质量保证</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6.1乙方应按采购文件及竞标文件的货物性能、技术要求、质量标准向甲方提供未经使用的全新产品。</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6.2 所采购的货物国家有强制性标准的，竞标货物必须符合国家有强制性标准。</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6.3乙方提供货物的质量保证期按交货验收合格之日起计算</w:t>
      </w:r>
      <w:r>
        <w:rPr>
          <w:rFonts w:hint="eastAsia" w:asciiTheme="minorEastAsia" w:hAnsiTheme="minorEastAsia" w:eastAsiaTheme="minorEastAsia" w:cstheme="minorEastAsia"/>
          <w:lang w:eastAsia="zh-CN"/>
        </w:rPr>
        <w:t>（质保期一年）</w:t>
      </w:r>
      <w:r>
        <w:rPr>
          <w:rFonts w:hint="eastAsia" w:asciiTheme="minorEastAsia" w:hAnsiTheme="minorEastAsia" w:eastAsiaTheme="minorEastAsia" w:cstheme="minorEastAsia"/>
        </w:rPr>
        <w:t>。在保证期内货物本身发生的质量问题，乙方应在采购文件规定的时间、方式给予处理，采购文件没有规定但国家有明确规定的按国家规定执行。对达不到技术要求者，根据实际情况，经双方协商，可按以下办法处理：</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⑴更换：乙方须在20天内更换，并由乙方承担所发生的全部费用。</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⑵贬值处理：由甲乙双方合议定价。</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⑶退货处理：乙方应退还甲方支付的货物款，同时应承担该货物的直接费用（运输、保险、检验、货款利息及银行手续费等）。</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6.4如在使用过程中发生质量问题，卖方应在接到买方质量问题通知后即时响应，48小时内解决问题。</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6.5在质保期内，乙方应对货物出现的质量及安全问题负责处理解决。</w:t>
      </w: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七   验  收</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7.1乙方交货前应对产品作全面检查和对验收文件进行整理列出清单，验收文件清单应随货物交甲方。货物到采购单位后，由采购单位先进行数量验收。</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7.2甲方对乙方所交货物依照采购文件上的技术规格要求和国家有关标准进行验收，性能达到技术要求的，给予签收。验收不合格的不予签收，后果由乙方负责。</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7.3对需国家相关部门验收合格后方能投入正常使用的产品，乙方应协助甲方完成相关的工作。</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7.4</w:t>
      </w:r>
      <w:r>
        <w:rPr>
          <w:rFonts w:hint="eastAsia" w:asciiTheme="minorEastAsia" w:hAnsiTheme="minorEastAsia" w:eastAsiaTheme="minorEastAsia" w:cstheme="minorEastAsia"/>
          <w:spacing w:val="-2"/>
          <w:szCs w:val="21"/>
        </w:rPr>
        <w:t>采购方在收货后复检，复检完毕，</w:t>
      </w:r>
      <w:r>
        <w:rPr>
          <w:rFonts w:hint="eastAsia" w:asciiTheme="minorEastAsia" w:hAnsiTheme="minorEastAsia" w:eastAsiaTheme="minorEastAsia" w:cstheme="minorEastAsia"/>
          <w:szCs w:val="21"/>
        </w:rPr>
        <w:t>若检测不合格或达不到采购文件要求，</w:t>
      </w:r>
      <w:r>
        <w:rPr>
          <w:rFonts w:hint="eastAsia" w:asciiTheme="minorEastAsia" w:hAnsiTheme="minorEastAsia" w:eastAsiaTheme="minorEastAsia" w:cstheme="minorEastAsia"/>
          <w:bCs/>
          <w:szCs w:val="21"/>
        </w:rPr>
        <w:t>采购方有权终止其合同，且不支付任何货款和费用，由此产生的一切后果（含产品的召回、对使用人遭受损失的赔偿等）由该不合格品供应商负责，采购方有权另择其他中标单位供货</w:t>
      </w:r>
      <w:r>
        <w:rPr>
          <w:rFonts w:hint="eastAsia" w:asciiTheme="minorEastAsia" w:hAnsiTheme="minorEastAsia" w:eastAsiaTheme="minorEastAsia" w:cstheme="minorEastAsia"/>
        </w:rPr>
        <w:t>。验收时乙方必须在现场。</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7.5 验收费用：验收所发生的费用由乙方负责。</w:t>
      </w:r>
    </w:p>
    <w:p>
      <w:pPr>
        <w:pStyle w:val="16"/>
        <w:spacing w:line="400" w:lineRule="exact"/>
        <w:ind w:firstLine="420"/>
        <w:rPr>
          <w:rFonts w:hint="eastAsia" w:asciiTheme="minorEastAsia" w:hAnsiTheme="minorEastAsia" w:eastAsiaTheme="minorEastAsia" w:cstheme="minorEastAsia"/>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八   产品交付及货物发运</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8.1乙方负责将货物安全运送到甲方指定地点，不另收任何费用。</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8.2货物在交货前发生的不可预见的风险均由乙方负责。</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8.3货物在发运手续办理完毕后48小时内或货到甲方前48小时通知甲方，以准备接货。</w:t>
      </w:r>
    </w:p>
    <w:p>
      <w:pPr>
        <w:pStyle w:val="16"/>
        <w:spacing w:line="400" w:lineRule="exact"/>
        <w:ind w:firstLine="420"/>
        <w:rPr>
          <w:rFonts w:hint="eastAsia" w:asciiTheme="minorEastAsia" w:hAnsiTheme="minorEastAsia" w:eastAsiaTheme="minorEastAsia" w:cstheme="minorEastAsia"/>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九   交付使用期及交货方式</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9.1交付使用时间：</w:t>
      </w:r>
      <w:r>
        <w:rPr>
          <w:rFonts w:hint="eastAsia" w:asciiTheme="minorEastAsia" w:hAnsiTheme="minorEastAsia" w:eastAsiaTheme="minorEastAsia" w:cstheme="minorEastAsia"/>
          <w:szCs w:val="21"/>
        </w:rPr>
        <w:t>签订合同后，</w:t>
      </w:r>
      <w:r>
        <w:rPr>
          <w:rFonts w:hint="eastAsia" w:asciiTheme="minorEastAsia" w:hAnsiTheme="minorEastAsia" w:eastAsiaTheme="minorEastAsia" w:cstheme="minorEastAsia"/>
          <w:szCs w:val="21"/>
          <w:lang w:val="en-US" w:eastAsia="zh-CN"/>
        </w:rPr>
        <w:t>7个日历天内安装完毕并调试能正常使用</w:t>
      </w:r>
      <w:r>
        <w:rPr>
          <w:rFonts w:hint="eastAsia" w:asciiTheme="minorEastAsia" w:hAnsiTheme="minorEastAsia" w:eastAsiaTheme="minorEastAsia" w:cstheme="minorEastAsia"/>
          <w:szCs w:val="21"/>
        </w:rPr>
        <w:t>。</w:t>
      </w:r>
    </w:p>
    <w:p>
      <w:pPr>
        <w:pStyle w:val="16"/>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9.2交货方式：现场交货。</w:t>
      </w:r>
    </w:p>
    <w:p>
      <w:pPr>
        <w:pStyle w:val="16"/>
        <w:spacing w:line="40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9.3交货地点：采购人指定地点。</w:t>
      </w:r>
    </w:p>
    <w:p>
      <w:pPr>
        <w:pStyle w:val="16"/>
        <w:spacing w:line="400" w:lineRule="exact"/>
        <w:ind w:firstLine="3584" w:firstLineChars="1700"/>
        <w:rPr>
          <w:rFonts w:hint="eastAsia" w:asciiTheme="minorEastAsia" w:hAnsiTheme="minorEastAsia" w:eastAsiaTheme="minorEastAsia" w:cstheme="minorEastAsia"/>
          <w:b/>
        </w:rPr>
      </w:pPr>
    </w:p>
    <w:p>
      <w:pPr>
        <w:pStyle w:val="16"/>
        <w:spacing w:line="400" w:lineRule="exact"/>
        <w:ind w:firstLine="3584" w:firstLineChars="17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 付款</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10.1本合同以人民币付款。</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10.2付款方式：由采购人约定。</w:t>
      </w:r>
    </w:p>
    <w:p>
      <w:pPr>
        <w:pStyle w:val="16"/>
        <w:spacing w:line="400" w:lineRule="exact"/>
        <w:ind w:firstLine="3373" w:firstLineChars="16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十一  违约责任</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11.1逾期交货或无正当理由拒收的，违约方每天按合同额的1‰支付违约金。</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11.2逾期超过10天仍不能交货的，甲方可解除双方的供货合同，造成甲方损失的，由乙方负责赔偿。</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11.3其它未尽事宜，双方签订合同时按合同法议定。</w:t>
      </w:r>
    </w:p>
    <w:p>
      <w:pPr>
        <w:pStyle w:val="16"/>
        <w:spacing w:line="400" w:lineRule="exact"/>
        <w:ind w:firstLine="420"/>
        <w:rPr>
          <w:rFonts w:hint="eastAsia" w:asciiTheme="minorEastAsia" w:hAnsiTheme="minorEastAsia" w:eastAsiaTheme="minorEastAsia" w:cstheme="minorEastAsia"/>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十二    不可抗力事件处理</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12.1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pStyle w:val="16"/>
        <w:spacing w:line="400" w:lineRule="exact"/>
        <w:rPr>
          <w:rFonts w:hint="eastAsia" w:asciiTheme="minorEastAsia" w:hAnsiTheme="minorEastAsia" w:eastAsiaTheme="minorEastAsia" w:cstheme="minorEastAsia"/>
        </w:rPr>
      </w:pPr>
    </w:p>
    <w:p>
      <w:pPr>
        <w:pStyle w:val="16"/>
        <w:spacing w:line="400" w:lineRule="exact"/>
        <w:ind w:firstLine="3750" w:firstLineChars="177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十三   合同纠纷解决</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13.1双方在履行合同中所发生的一切纠纷，应通过协商解决。如协商不成，按合同事先约定的条款，向合同履行地仲裁机构申请仲裁或向法院起诉。</w:t>
      </w:r>
    </w:p>
    <w:p>
      <w:pPr>
        <w:pStyle w:val="16"/>
        <w:spacing w:line="400" w:lineRule="exact"/>
        <w:jc w:val="center"/>
        <w:rPr>
          <w:rFonts w:hint="eastAsia" w:asciiTheme="minorEastAsia" w:hAnsiTheme="minorEastAsia" w:eastAsiaTheme="minorEastAsia" w:cstheme="minorEastAsia"/>
          <w:b/>
        </w:rPr>
      </w:pPr>
    </w:p>
    <w:p>
      <w:pPr>
        <w:pStyle w:val="16"/>
        <w:spacing w:line="40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十四     合同生效及其它</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14.1合同经双方法定代表人或委托代理人签字并加盖单位公章之日起生效。合同执行期内，甲乙双方均不得随意变更或解除合同。</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14.2合同履行中，如需修改或补充合同内容，由双方协商另签署书面修改或补充协议作为主合同不可分割的一部分。</w:t>
      </w:r>
    </w:p>
    <w:p>
      <w:pPr>
        <w:pStyle w:val="16"/>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32"/>
        </w:rPr>
        <w:t>合 同 书 （格 式）</w:t>
      </w:r>
    </w:p>
    <w:p>
      <w:pPr>
        <w:pStyle w:val="25"/>
        <w:spacing w:line="440" w:lineRule="exac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rPr>
        <w:t>需方（甲方）：＿＿＿＿＿＿＿＿          合同编号：</w:t>
      </w:r>
    </w:p>
    <w:p>
      <w:pPr>
        <w:pStyle w:val="25"/>
        <w:spacing w:line="440" w:lineRule="exac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供方（乙方）：＿＿＿＿＿＿＿＿          签订地点：</w:t>
      </w:r>
    </w:p>
    <w:p>
      <w:pPr>
        <w:pStyle w:val="25"/>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rPr>
        <w:t xml:space="preserve">                                              签订时间：    年    月    日</w:t>
      </w:r>
    </w:p>
    <w:p>
      <w:pPr>
        <w:pStyle w:val="16"/>
        <w:spacing w:line="40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一、合同文件</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本合同所附下列文件是构成本合同不可分割的部分：</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⑴ 合同基本条款</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⑵ 成交通知书</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⑶甲、乙双方商定的补充协议</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二、合同范围和条件：本合同的范围和条件应与上述合同文件的规定相一致。</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三、货物采购和服务内容：本合同所涉及的乙方应提供的货物和服务内容详见《货物需求》中所列内容和“合同基本条款”。</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四、合同的总金额为人民币（大写）：</w:t>
      </w:r>
      <w:r>
        <w:rPr>
          <w:rFonts w:hint="eastAsia" w:asciiTheme="minorEastAsia" w:hAnsiTheme="minorEastAsia" w:eastAsiaTheme="minorEastAsia" w:cstheme="minorEastAsia"/>
          <w:u w:val="single"/>
        </w:rPr>
        <w:t xml:space="preserve">                 元整（￥               ）</w:t>
      </w:r>
      <w:r>
        <w:rPr>
          <w:rFonts w:hint="eastAsia" w:asciiTheme="minorEastAsia" w:hAnsiTheme="minorEastAsia" w:eastAsiaTheme="minorEastAsia" w:cstheme="minorEastAsia"/>
        </w:rPr>
        <w:t>。</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五、交付使用时间：本合同货物的交货时间在合同的基本条款中有明确规定。</w:t>
      </w:r>
    </w:p>
    <w:p>
      <w:pPr>
        <w:pStyle w:val="16"/>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签订合同后，按采购人的供货计划、时间、批量交货。</w:t>
      </w:r>
    </w:p>
    <w:p>
      <w:pPr>
        <w:pStyle w:val="16"/>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六、交货数量：货物名称及数量详见采购文件《货物需求》。</w:t>
      </w:r>
    </w:p>
    <w:p>
      <w:pPr>
        <w:pStyle w:val="25"/>
        <w:spacing w:line="400" w:lineRule="exact"/>
        <w:ind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sz w:val="21"/>
        </w:rPr>
        <w:t>七、质量标准：</w:t>
      </w:r>
      <w:r>
        <w:rPr>
          <w:rFonts w:hint="eastAsia" w:asciiTheme="minorEastAsia" w:hAnsiTheme="minorEastAsia" w:eastAsiaTheme="minorEastAsia" w:cstheme="minorEastAsia"/>
          <w:kern w:val="2"/>
          <w:sz w:val="21"/>
        </w:rPr>
        <w:t>按竞标文件中技术规格响应表中之有关数据。</w:t>
      </w:r>
    </w:p>
    <w:p>
      <w:pPr>
        <w:pStyle w:val="25"/>
        <w:spacing w:line="400" w:lineRule="exact"/>
        <w:rPr>
          <w:rFonts w:hint="eastAsia" w:asciiTheme="minorEastAsia" w:hAnsiTheme="minorEastAsia" w:eastAsiaTheme="minorEastAsia" w:cstheme="minorEastAsia"/>
          <w:kern w:val="2"/>
          <w:sz w:val="21"/>
          <w:u w:val="single"/>
        </w:rPr>
      </w:pPr>
      <w:r>
        <w:rPr>
          <w:rFonts w:hint="eastAsia" w:asciiTheme="minorEastAsia" w:hAnsiTheme="minorEastAsia" w:eastAsiaTheme="minorEastAsia" w:cstheme="minorEastAsia"/>
          <w:kern w:val="2"/>
          <w:sz w:val="21"/>
        </w:rPr>
        <w:t xml:space="preserve">    </w:t>
      </w:r>
      <w:r>
        <w:rPr>
          <w:rFonts w:hint="eastAsia" w:asciiTheme="minorEastAsia" w:hAnsiTheme="minorEastAsia" w:eastAsiaTheme="minorEastAsia" w:cstheme="minorEastAsia"/>
          <w:sz w:val="21"/>
        </w:rPr>
        <w:t>八、供方对质量负责的条件及期限：</w:t>
      </w:r>
      <w:r>
        <w:rPr>
          <w:rFonts w:hint="eastAsia" w:asciiTheme="minorEastAsia" w:hAnsiTheme="minorEastAsia" w:eastAsiaTheme="minorEastAsia" w:cstheme="minorEastAsia"/>
          <w:kern w:val="2"/>
          <w:sz w:val="21"/>
        </w:rPr>
        <w:t>（1）所供设备必须是全新生产产品，符合国家质量检测标准，具有该产品的出厂标准或国家鉴定证书。（2）合格率达到100%。</w:t>
      </w:r>
    </w:p>
    <w:p>
      <w:pPr>
        <w:pStyle w:val="25"/>
        <w:spacing w:line="400" w:lineRule="exact"/>
        <w:ind w:firstLine="420"/>
        <w:rPr>
          <w:rFonts w:hint="eastAsia" w:asciiTheme="minorEastAsia" w:hAnsiTheme="minorEastAsia" w:eastAsiaTheme="minorEastAsia" w:cstheme="minorEastAsia"/>
          <w:sz w:val="21"/>
          <w:u w:val="single"/>
        </w:rPr>
      </w:pPr>
      <w:r>
        <w:rPr>
          <w:rFonts w:hint="eastAsia" w:asciiTheme="minorEastAsia" w:hAnsiTheme="minorEastAsia" w:eastAsiaTheme="minorEastAsia" w:cstheme="minorEastAsia"/>
          <w:sz w:val="21"/>
        </w:rPr>
        <w:t>九、包装标准、包装物的供应与回收：</w:t>
      </w:r>
      <w:r>
        <w:rPr>
          <w:rFonts w:hint="eastAsia" w:asciiTheme="minorEastAsia" w:hAnsiTheme="minorEastAsia" w:eastAsiaTheme="minorEastAsia" w:cstheme="minorEastAsia"/>
          <w:kern w:val="2"/>
          <w:sz w:val="21"/>
        </w:rPr>
        <w:t>产品包装须适合长途运输及合理的多次搬动。产品的包装物，由供方负责供应。可以多次使用的包装物，应按有关主管部门制订的包装物回收办法执行。产品的包装费用，由供方负担。</w:t>
      </w:r>
      <w:r>
        <w:rPr>
          <w:rFonts w:hint="eastAsia" w:asciiTheme="minorEastAsia" w:hAnsiTheme="minorEastAsia" w:eastAsiaTheme="minorEastAsia" w:cstheme="minorEastAsia"/>
          <w:kern w:val="2"/>
          <w:sz w:val="21"/>
        </w:rPr>
        <w:br w:type="textWrapping"/>
      </w:r>
      <w:r>
        <w:rPr>
          <w:rFonts w:hint="eastAsia" w:asciiTheme="minorEastAsia" w:hAnsiTheme="minorEastAsia" w:eastAsiaTheme="minorEastAsia" w:cstheme="minorEastAsia"/>
          <w:kern w:val="2"/>
          <w:sz w:val="21"/>
        </w:rPr>
        <w:t xml:space="preserve">    </w:t>
      </w:r>
      <w:r>
        <w:rPr>
          <w:rFonts w:hint="eastAsia" w:asciiTheme="minorEastAsia" w:hAnsiTheme="minorEastAsia" w:eastAsiaTheme="minorEastAsia" w:cstheme="minorEastAsia"/>
          <w:sz w:val="21"/>
        </w:rPr>
        <w:t>十、随机的必备品、配件、工具、数量及供应办法：</w:t>
      </w:r>
      <w:r>
        <w:rPr>
          <w:rFonts w:hint="eastAsia" w:asciiTheme="minorEastAsia" w:hAnsiTheme="minorEastAsia" w:eastAsiaTheme="minorEastAsia" w:cstheme="minorEastAsia"/>
          <w:kern w:val="2"/>
          <w:sz w:val="21"/>
        </w:rPr>
        <w:t>按供方竞标文件承诺执行。</w:t>
      </w:r>
      <w:r>
        <w:rPr>
          <w:rFonts w:hint="eastAsia" w:asciiTheme="minorEastAsia" w:hAnsiTheme="minorEastAsia" w:eastAsiaTheme="minorEastAsia" w:cstheme="minorEastAsia"/>
          <w:sz w:val="21"/>
        </w:rPr>
        <w:t xml:space="preserve">          </w:t>
      </w:r>
    </w:p>
    <w:p>
      <w:pPr>
        <w:pStyle w:val="25"/>
        <w:spacing w:line="400" w:lineRule="exact"/>
        <w:ind w:firstLine="420"/>
        <w:rPr>
          <w:rFonts w:hint="eastAsia" w:asciiTheme="minorEastAsia" w:hAnsiTheme="minorEastAsia" w:eastAsiaTheme="minorEastAsia" w:cstheme="minorEastAsia"/>
          <w:sz w:val="21"/>
          <w:u w:val="single"/>
        </w:rPr>
      </w:pPr>
      <w:r>
        <w:rPr>
          <w:rFonts w:hint="eastAsia" w:asciiTheme="minorEastAsia" w:hAnsiTheme="minorEastAsia" w:eastAsiaTheme="minorEastAsia" w:cstheme="minorEastAsia"/>
          <w:sz w:val="21"/>
        </w:rPr>
        <w:t>十一、合理损耗标准及计算方法：</w:t>
      </w:r>
      <w:r>
        <w:rPr>
          <w:rFonts w:hint="eastAsia" w:asciiTheme="minorEastAsia" w:hAnsiTheme="minorEastAsia" w:eastAsiaTheme="minorEastAsia" w:cstheme="minorEastAsia"/>
          <w:kern w:val="2"/>
          <w:sz w:val="21"/>
        </w:rPr>
        <w:t xml:space="preserve">按国家有关规定执行。   </w:t>
      </w:r>
    </w:p>
    <w:p>
      <w:pPr>
        <w:pStyle w:val="25"/>
        <w:spacing w:line="400" w:lineRule="exac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十二、货物所有权自</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kern w:val="2"/>
          <w:sz w:val="21"/>
          <w:u w:val="single"/>
        </w:rPr>
        <w:t xml:space="preserve">交货验收合格之日 </w:t>
      </w:r>
      <w:r>
        <w:rPr>
          <w:rFonts w:hint="eastAsia" w:asciiTheme="minorEastAsia" w:hAnsiTheme="minorEastAsia" w:eastAsiaTheme="minorEastAsia" w:cstheme="minorEastAsia"/>
          <w:sz w:val="21"/>
        </w:rPr>
        <w:t>起转移，但需方未履行支付价款义务的，货物属于</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kern w:val="2"/>
          <w:sz w:val="21"/>
          <w:u w:val="single"/>
        </w:rPr>
        <w:t>供方</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rPr>
        <w:t>所有。</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十三、交（提）货方式、地点：</w:t>
      </w:r>
      <w:r>
        <w:rPr>
          <w:rFonts w:hint="eastAsia" w:asciiTheme="minorEastAsia" w:hAnsiTheme="minorEastAsia" w:eastAsiaTheme="minorEastAsia" w:cstheme="minorEastAsia"/>
          <w:kern w:val="2"/>
          <w:sz w:val="21"/>
        </w:rPr>
        <w:t>（1）交货方式：</w:t>
      </w:r>
      <w:r>
        <w:rPr>
          <w:rFonts w:hint="eastAsia" w:asciiTheme="minorEastAsia" w:hAnsiTheme="minorEastAsia" w:eastAsiaTheme="minorEastAsia" w:cstheme="minorEastAsia"/>
          <w:kern w:val="2"/>
          <w:sz w:val="21"/>
          <w:lang w:val="en-US" w:eastAsia="zh-CN"/>
        </w:rPr>
        <w:t xml:space="preserve">     </w:t>
      </w:r>
      <w:r>
        <w:rPr>
          <w:rFonts w:hint="eastAsia" w:asciiTheme="minorEastAsia" w:hAnsiTheme="minorEastAsia" w:eastAsiaTheme="minorEastAsia" w:cstheme="minorEastAsia"/>
          <w:kern w:val="2"/>
          <w:sz w:val="21"/>
        </w:rPr>
        <w:t>（2）交货地点：</w:t>
      </w:r>
    </w:p>
    <w:p>
      <w:pPr>
        <w:pStyle w:val="25"/>
        <w:spacing w:line="400" w:lineRule="exact"/>
        <w:ind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sz w:val="21"/>
        </w:rPr>
        <w:t>十四、运输方式及到达站（港）和费用负担：</w:t>
      </w:r>
      <w:r>
        <w:rPr>
          <w:rFonts w:hint="eastAsia" w:asciiTheme="minorEastAsia" w:hAnsiTheme="minorEastAsia" w:eastAsiaTheme="minorEastAsia" w:cstheme="minorEastAsia"/>
          <w:kern w:val="2"/>
          <w:sz w:val="21"/>
        </w:rPr>
        <w:t xml:space="preserve">（1）运输方式：火车或汽车。（2）费用负担：供方负责。                                                  </w:t>
      </w:r>
    </w:p>
    <w:p>
      <w:pPr>
        <w:pStyle w:val="25"/>
        <w:spacing w:line="400" w:lineRule="exact"/>
        <w:ind w:firstLine="420" w:firstLineChars="20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sz w:val="21"/>
        </w:rPr>
        <w:t>十五、检验标准与方法：</w:t>
      </w:r>
      <w:r>
        <w:rPr>
          <w:rFonts w:hint="eastAsia" w:asciiTheme="minorEastAsia" w:hAnsiTheme="minorEastAsia" w:eastAsiaTheme="minorEastAsia" w:cstheme="minorEastAsia"/>
          <w:kern w:val="2"/>
          <w:sz w:val="21"/>
        </w:rPr>
        <w:t xml:space="preserve">到货验收：数量、外包装。如发现外包装破损和设备外观损坏，由供方调换。       </w:t>
      </w:r>
    </w:p>
    <w:p>
      <w:pPr>
        <w:pStyle w:val="25"/>
        <w:spacing w:line="400" w:lineRule="exact"/>
        <w:ind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sz w:val="21"/>
        </w:rPr>
        <w:t>十六、培训：</w:t>
      </w:r>
      <w:r>
        <w:rPr>
          <w:rFonts w:hint="eastAsia" w:asciiTheme="minorEastAsia" w:hAnsiTheme="minorEastAsia" w:eastAsiaTheme="minorEastAsia" w:cstheme="minorEastAsia"/>
          <w:kern w:val="2"/>
          <w:sz w:val="21"/>
        </w:rPr>
        <w:t>由供方承担。</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十七、付款方式：</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十八、售后服务：按供方竞标文件承诺的售后服务执行。</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十九、履约保证金：</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二十</w:t>
      </w:r>
      <w:r>
        <w:rPr>
          <w:rFonts w:hint="eastAsia" w:asciiTheme="minorEastAsia" w:hAnsiTheme="minorEastAsia" w:eastAsiaTheme="minorEastAsia" w:cstheme="minorEastAsia"/>
          <w:sz w:val="21"/>
        </w:rPr>
        <w:t xml:space="preserve">、本合同解除的条件：按合同基本条款第12条执行。   </w:t>
      </w:r>
    </w:p>
    <w:p>
      <w:pPr>
        <w:pStyle w:val="25"/>
        <w:spacing w:line="400" w:lineRule="exact"/>
        <w:ind w:firstLine="420"/>
        <w:rPr>
          <w:rFonts w:hint="eastAsia" w:asciiTheme="minorEastAsia" w:hAnsiTheme="minorEastAsia" w:eastAsiaTheme="minorEastAsia" w:cstheme="minorEastAsia"/>
          <w:sz w:val="21"/>
          <w:u w:val="single"/>
        </w:rPr>
      </w:pPr>
      <w:r>
        <w:rPr>
          <w:rFonts w:hint="eastAsia" w:asciiTheme="minorEastAsia" w:hAnsiTheme="minorEastAsia" w:eastAsiaTheme="minorEastAsia" w:cstheme="minorEastAsia"/>
        </w:rPr>
        <w:t>二十一、</w:t>
      </w:r>
      <w:r>
        <w:rPr>
          <w:rFonts w:hint="eastAsia" w:asciiTheme="minorEastAsia" w:hAnsiTheme="minorEastAsia" w:eastAsiaTheme="minorEastAsia" w:cstheme="minorEastAsia"/>
          <w:sz w:val="21"/>
        </w:rPr>
        <w:t>违约责任：</w:t>
      </w:r>
      <w:r>
        <w:rPr>
          <w:rFonts w:hint="eastAsia" w:asciiTheme="minorEastAsia" w:hAnsiTheme="minorEastAsia" w:eastAsiaTheme="minorEastAsia" w:cstheme="minorEastAsia"/>
          <w:kern w:val="2"/>
          <w:sz w:val="21"/>
        </w:rPr>
        <w:t>按合同基本条款第11条执行。</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二十二、合同争议的解决方式：</w:t>
      </w:r>
      <w:r>
        <w:rPr>
          <w:rFonts w:hint="eastAsia" w:asciiTheme="minorEastAsia" w:hAnsiTheme="minorEastAsia" w:eastAsiaTheme="minorEastAsia" w:cstheme="minorEastAsia"/>
          <w:kern w:val="2"/>
          <w:sz w:val="21"/>
        </w:rPr>
        <w:t>本合同在履行过程中发生的争议，由双方当事人协商解决；也可由当地工商行政管理部门调解；协商或调解不成的，按下列第（一）种方式解决：</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kern w:val="2"/>
          <w:sz w:val="21"/>
        </w:rPr>
        <w:t>提交合同履行地仲裁机构仲裁委员会仲裁；</w:t>
      </w:r>
    </w:p>
    <w:p>
      <w:pPr>
        <w:pStyle w:val="25"/>
        <w:spacing w:line="40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（二）依法向项目所在地人民法院起诉。</w:t>
      </w:r>
    </w:p>
    <w:p>
      <w:pPr>
        <w:pStyle w:val="25"/>
        <w:spacing w:line="400" w:lineRule="exact"/>
        <w:ind w:firstLine="420"/>
        <w:rPr>
          <w:rFonts w:hint="eastAsia" w:asciiTheme="minorEastAsia" w:hAnsiTheme="minorEastAsia" w:eastAsiaTheme="minorEastAsia" w:cstheme="minorEastAsia"/>
          <w:kern w:val="2"/>
          <w:sz w:val="21"/>
        </w:rPr>
      </w:pPr>
      <w:r>
        <w:rPr>
          <w:rFonts w:hint="eastAsia" w:asciiTheme="minorEastAsia" w:hAnsiTheme="minorEastAsia" w:eastAsiaTheme="minorEastAsia" w:cstheme="minorEastAsia"/>
          <w:sz w:val="21"/>
        </w:rPr>
        <w:t>二十三、</w:t>
      </w:r>
      <w:r>
        <w:rPr>
          <w:rFonts w:hint="eastAsia" w:asciiTheme="minorEastAsia" w:hAnsiTheme="minorEastAsia" w:eastAsiaTheme="minorEastAsia" w:cstheme="minorEastAsia"/>
          <w:kern w:val="2"/>
          <w:sz w:val="21"/>
        </w:rPr>
        <w:t>本合同正本一式三份，甲乙双方各执一份，采购代理机构一份，自双方法定代表人或委托代理人签字并加盖单位公章之日起生效。</w:t>
      </w:r>
    </w:p>
    <w:p>
      <w:pPr>
        <w:pStyle w:val="16"/>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二十四、其他约定事项：合同履行中，如需修改或补充合同内容，由双方协商另签署书面修改或补充协议作为本合同不可分割的一部分。</w:t>
      </w:r>
    </w:p>
    <w:p>
      <w:pPr>
        <w:pStyle w:val="25"/>
        <w:rPr>
          <w:rFonts w:hint="eastAsia" w:asciiTheme="minorEastAsia" w:hAnsiTheme="minorEastAsia" w:eastAsiaTheme="minorEastAsia" w:cstheme="minorEastAsia"/>
          <w:sz w:val="21"/>
        </w:rPr>
      </w:pPr>
    </w:p>
    <w:tbl>
      <w:tblPr>
        <w:tblStyle w:val="30"/>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1" w:hRule="atLeast"/>
          <w:jc w:val="center"/>
        </w:trPr>
        <w:tc>
          <w:tcPr>
            <w:tcW w:w="4688" w:type="dxa"/>
          </w:tcPr>
          <w:p>
            <w:pPr>
              <w:pStyle w:val="16"/>
              <w:spacing w:line="4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需    方</w:t>
            </w:r>
          </w:p>
          <w:p>
            <w:pPr>
              <w:pStyle w:val="16"/>
              <w:spacing w:line="480" w:lineRule="exact"/>
              <w:rPr>
                <w:rFonts w:hint="eastAsia" w:asciiTheme="minorEastAsia" w:hAnsiTheme="minorEastAsia" w:eastAsiaTheme="minorEastAsia" w:cstheme="minorEastAsia"/>
              </w:rPr>
            </w:pP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需方（章）：</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或委托代理人：</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tc>
        <w:tc>
          <w:tcPr>
            <w:tcW w:w="4688" w:type="dxa"/>
          </w:tcPr>
          <w:p>
            <w:pPr>
              <w:pStyle w:val="16"/>
              <w:spacing w:line="4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供    方 </w:t>
            </w:r>
          </w:p>
          <w:p>
            <w:pPr>
              <w:pStyle w:val="16"/>
              <w:spacing w:line="480" w:lineRule="exact"/>
              <w:rPr>
                <w:rFonts w:hint="eastAsia" w:asciiTheme="minorEastAsia" w:hAnsiTheme="minorEastAsia" w:eastAsiaTheme="minorEastAsia" w:cstheme="minorEastAsia"/>
              </w:rPr>
            </w:pP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供方（章）：</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或委托代理人：</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邮政编码：</w:t>
            </w:r>
          </w:p>
        </w:tc>
      </w:tr>
    </w:tbl>
    <w:p>
      <w:pPr>
        <w:pStyle w:val="16"/>
        <w:spacing w:line="320" w:lineRule="exact"/>
        <w:ind w:firstLine="420"/>
        <w:rPr>
          <w:rFonts w:hint="eastAsia" w:asciiTheme="minorEastAsia" w:hAnsiTheme="minorEastAsia" w:eastAsiaTheme="minorEastAsia" w:cstheme="minorEastAsia"/>
        </w:rPr>
      </w:pPr>
    </w:p>
    <w:p>
      <w:pPr>
        <w:pStyle w:val="1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 xml:space="preserve">    注：若为委托代理人签订，则同时须提供法人授权委托代理协议书，法人授权委托代理协议书附后。（成交供应商应于合同签订后将一份合同送达采购代理机构存档，5个工作日内未送达，一切后果由成交供应商承担。）</w:t>
      </w:r>
      <w:r>
        <w:rPr>
          <w:rFonts w:hint="eastAsia" w:asciiTheme="minorEastAsia" w:hAnsiTheme="minorEastAsia" w:eastAsiaTheme="minorEastAsia" w:cstheme="minorEastAsia"/>
        </w:rPr>
        <w:t xml:space="preserve">                         </w:t>
      </w:r>
    </w:p>
    <w:p>
      <w:pPr>
        <w:pStyle w:val="16"/>
        <w:jc w:val="center"/>
        <w:rPr>
          <w:rFonts w:hint="eastAsia" w:asciiTheme="minorEastAsia" w:hAnsiTheme="minorEastAsia" w:eastAsiaTheme="minorEastAsia" w:cstheme="minorEastAsia"/>
        </w:rPr>
        <w:sectPr>
          <w:footerReference r:id="rId7" w:type="default"/>
          <w:pgSz w:w="11906" w:h="16838"/>
          <w:pgMar w:top="1021" w:right="964" w:bottom="1134" w:left="1418" w:header="567" w:footer="567" w:gutter="0"/>
          <w:pgNumType w:start="1"/>
          <w:cols w:space="720" w:num="1"/>
          <w:docGrid w:type="lines" w:linePitch="312" w:charSpace="0"/>
        </w:sectPr>
      </w:pPr>
    </w:p>
    <w:p>
      <w:pPr>
        <w:pStyle w:val="16"/>
        <w:rPr>
          <w:rFonts w:hint="eastAsia" w:asciiTheme="minorEastAsia" w:hAnsiTheme="minorEastAsia" w:eastAsiaTheme="minorEastAsia" w:cstheme="minorEastAsia"/>
          <w:sz w:val="44"/>
        </w:rPr>
      </w:pPr>
    </w:p>
    <w:p>
      <w:pPr>
        <w:pStyle w:val="2"/>
        <w:keepLines/>
        <w:spacing w:before="120" w:after="120" w:line="500" w:lineRule="exact"/>
        <w:jc w:val="center"/>
        <w:rPr>
          <w:rFonts w:hint="eastAsia" w:asciiTheme="minorEastAsia" w:hAnsiTheme="minorEastAsia" w:eastAsiaTheme="minorEastAsia" w:cstheme="minorEastAsia"/>
          <w:bCs/>
          <w:kern w:val="44"/>
          <w:sz w:val="32"/>
          <w:szCs w:val="32"/>
        </w:rPr>
      </w:pPr>
      <w:bookmarkStart w:id="8" w:name="_Toc430011630"/>
      <w:r>
        <w:rPr>
          <w:rFonts w:hint="eastAsia" w:asciiTheme="minorEastAsia" w:hAnsiTheme="minorEastAsia" w:eastAsiaTheme="minorEastAsia" w:cstheme="minorEastAsia"/>
          <w:bCs/>
          <w:kern w:val="44"/>
          <w:sz w:val="32"/>
          <w:szCs w:val="32"/>
        </w:rPr>
        <w:t>第四章  竞标文件格式</w:t>
      </w:r>
      <w:bookmarkEnd w:id="8"/>
    </w:p>
    <w:p>
      <w:pPr>
        <w:jc w:val="center"/>
        <w:rPr>
          <w:rFonts w:hint="eastAsia" w:asciiTheme="minorEastAsia" w:hAnsiTheme="minorEastAsia" w:eastAsiaTheme="minorEastAsia" w:cstheme="minorEastAsia"/>
          <w:b/>
          <w:sz w:val="44"/>
          <w:szCs w:val="44"/>
        </w:rPr>
      </w:pPr>
      <w:bookmarkStart w:id="9" w:name="_Toc322345242"/>
      <w:bookmarkStart w:id="10" w:name="_Toc430011363"/>
      <w:bookmarkStart w:id="11" w:name="_Toc204135100"/>
      <w:r>
        <w:rPr>
          <w:rFonts w:hint="eastAsia" w:asciiTheme="minorEastAsia" w:hAnsiTheme="minorEastAsia" w:eastAsiaTheme="minorEastAsia" w:cstheme="minorEastAsia"/>
          <w:b/>
          <w:sz w:val="44"/>
          <w:szCs w:val="44"/>
        </w:rPr>
        <w:t>封面格式</w:t>
      </w:r>
      <w:bookmarkEnd w:id="9"/>
      <w:bookmarkEnd w:id="10"/>
      <w:bookmarkEnd w:id="11"/>
    </w:p>
    <w:p>
      <w:pPr>
        <w:pStyle w:val="16"/>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b/>
          <w:bCs/>
          <w:sz w:val="36"/>
        </w:rPr>
        <w:t>本</w:t>
      </w:r>
    </w:p>
    <w:p>
      <w:pPr>
        <w:pStyle w:val="16"/>
        <w:spacing w:line="440" w:lineRule="exact"/>
        <w:jc w:val="center"/>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jc w:val="center"/>
        <w:rPr>
          <w:rFonts w:hint="eastAsia" w:asciiTheme="minorEastAsia" w:hAnsiTheme="minorEastAsia" w:eastAsiaTheme="minorEastAsia" w:cstheme="minorEastAsia"/>
          <w:sz w:val="72"/>
        </w:rPr>
      </w:pPr>
      <w:r>
        <w:rPr>
          <w:rFonts w:hint="eastAsia" w:asciiTheme="minorEastAsia" w:hAnsiTheme="minorEastAsia" w:eastAsiaTheme="minorEastAsia" w:cstheme="minorEastAsia"/>
          <w:sz w:val="72"/>
        </w:rPr>
        <w:t>竞   标  文  件</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ind w:firstLine="1269" w:firstLineChars="39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项目名称：</w:t>
      </w:r>
    </w:p>
    <w:p>
      <w:pPr>
        <w:pStyle w:val="16"/>
        <w:ind w:firstLine="1269" w:firstLineChars="395"/>
        <w:rPr>
          <w:rFonts w:hint="eastAsia" w:asciiTheme="minorEastAsia" w:hAnsiTheme="minorEastAsia" w:eastAsiaTheme="minorEastAsia" w:cstheme="minorEastAsia"/>
          <w:b/>
          <w:color w:val="FF0000"/>
          <w:sz w:val="32"/>
          <w:szCs w:val="32"/>
        </w:rPr>
      </w:pPr>
      <w:r>
        <w:rPr>
          <w:rFonts w:hint="eastAsia" w:asciiTheme="minorEastAsia" w:hAnsiTheme="minorEastAsia" w:eastAsiaTheme="minorEastAsia" w:cstheme="minorEastAsia"/>
          <w:b/>
          <w:sz w:val="32"/>
          <w:szCs w:val="32"/>
        </w:rPr>
        <w:t xml:space="preserve">      项目编号:</w:t>
      </w:r>
      <w:r>
        <w:rPr>
          <w:rFonts w:hint="eastAsia" w:asciiTheme="minorEastAsia" w:hAnsiTheme="minorEastAsia" w:eastAsiaTheme="minorEastAsia" w:cstheme="minorEastAsia"/>
          <w:szCs w:val="21"/>
        </w:rPr>
        <w:t xml:space="preserve"> </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16"/>
        <w:spacing w:line="500" w:lineRule="exact"/>
        <w:ind w:left="1260" w:leftChars="600"/>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竞标人： </w:t>
      </w:r>
      <w:r>
        <w:rPr>
          <w:rFonts w:hint="eastAsia" w:asciiTheme="minorEastAsia" w:hAnsiTheme="minorEastAsia" w:eastAsiaTheme="minorEastAsia" w:cstheme="minorEastAsia"/>
          <w:b/>
          <w:bCs/>
          <w:sz w:val="28"/>
          <w:u w:val="single"/>
        </w:rPr>
        <w:t xml:space="preserve">                    （盖公章）</w:t>
      </w:r>
    </w:p>
    <w:p>
      <w:pPr>
        <w:pStyle w:val="16"/>
        <w:spacing w:line="500" w:lineRule="exact"/>
        <w:ind w:left="1260" w:leftChars="600"/>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地  址：</w:t>
      </w:r>
      <w:r>
        <w:rPr>
          <w:rFonts w:hint="eastAsia" w:asciiTheme="minorEastAsia" w:hAnsiTheme="minorEastAsia" w:eastAsiaTheme="minorEastAsia" w:cstheme="minorEastAsia"/>
          <w:b/>
          <w:bCs/>
          <w:sz w:val="28"/>
          <w:u w:val="single"/>
        </w:rPr>
        <w:t xml:space="preserve">                               </w:t>
      </w:r>
    </w:p>
    <w:p>
      <w:pPr>
        <w:pStyle w:val="16"/>
        <w:spacing w:line="500" w:lineRule="exact"/>
        <w:ind w:left="1260" w:leftChars="600"/>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法定代表人（负责人）或委托代理人：</w:t>
      </w:r>
      <w:r>
        <w:rPr>
          <w:rFonts w:hint="eastAsia" w:asciiTheme="minorEastAsia" w:hAnsiTheme="minorEastAsia" w:eastAsiaTheme="minorEastAsia" w:cstheme="minorEastAsia"/>
          <w:b/>
          <w:bCs/>
          <w:sz w:val="28"/>
          <w:u w:val="single"/>
        </w:rPr>
        <w:t xml:space="preserve">         </w:t>
      </w:r>
    </w:p>
    <w:p>
      <w:pPr>
        <w:pStyle w:val="16"/>
        <w:spacing w:line="500" w:lineRule="exact"/>
        <w:ind w:left="1260" w:leftChars="600"/>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联系电话：</w:t>
      </w:r>
      <w:r>
        <w:rPr>
          <w:rFonts w:hint="eastAsia" w:asciiTheme="minorEastAsia" w:hAnsiTheme="minorEastAsia" w:eastAsiaTheme="minorEastAsia" w:cstheme="minorEastAsia"/>
          <w:b/>
          <w:bCs/>
          <w:sz w:val="28"/>
          <w:u w:val="single"/>
        </w:rPr>
        <w:t xml:space="preserve">                             </w:t>
      </w:r>
    </w:p>
    <w:p>
      <w:pPr>
        <w:pStyle w:val="16"/>
        <w:rPr>
          <w:rFonts w:hint="eastAsia" w:asciiTheme="minorEastAsia" w:hAnsiTheme="minorEastAsia" w:eastAsiaTheme="minorEastAsia" w:cstheme="minorEastAsia"/>
          <w:b/>
          <w:bCs/>
          <w:sz w:val="28"/>
        </w:rPr>
      </w:pPr>
    </w:p>
    <w:p>
      <w:pPr>
        <w:pStyle w:val="16"/>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44"/>
        </w:rPr>
        <w:t>目     录</w:t>
      </w:r>
    </w:p>
    <w:p>
      <w:pPr>
        <w:pStyle w:val="16"/>
        <w:jc w:val="center"/>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rPr>
        <w:t xml:space="preserve">                                    </w:t>
      </w:r>
    </w:p>
    <w:p>
      <w:pPr>
        <w:pStyle w:val="16"/>
        <w:tabs>
          <w:tab w:val="left" w:pos="8860"/>
          <w:tab w:val="left" w:pos="9140"/>
        </w:tabs>
        <w:ind w:firstLine="735"/>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一、竞标函.....................................</w:t>
      </w:r>
    </w:p>
    <w:p>
      <w:pPr>
        <w:pStyle w:val="16"/>
        <w:ind w:firstLine="735"/>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二、竞标保证金交纳证明.........................</w:t>
      </w:r>
    </w:p>
    <w:p>
      <w:pPr>
        <w:pStyle w:val="16"/>
        <w:ind w:firstLine="735"/>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三、竞标报价表.................................</w:t>
      </w:r>
    </w:p>
    <w:p>
      <w:pPr>
        <w:pStyle w:val="16"/>
        <w:tabs>
          <w:tab w:val="left" w:pos="8930"/>
          <w:tab w:val="left" w:pos="9105"/>
        </w:tabs>
        <w:ind w:left="2011" w:leftChars="348" w:hanging="1280" w:hangingChars="400"/>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四、技术规格偏离表.............................</w:t>
      </w:r>
    </w:p>
    <w:p>
      <w:pPr>
        <w:pStyle w:val="16"/>
        <w:tabs>
          <w:tab w:val="left" w:pos="8070"/>
          <w:tab w:val="left" w:pos="9085"/>
        </w:tabs>
        <w:ind w:firstLine="735"/>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五、售后服务方案及承诺书 ............................</w:t>
      </w:r>
    </w:p>
    <w:p>
      <w:pPr>
        <w:pStyle w:val="16"/>
        <w:tabs>
          <w:tab w:val="left" w:pos="8070"/>
          <w:tab w:val="left" w:pos="9085"/>
        </w:tabs>
        <w:ind w:firstLine="735"/>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六、竞标人资格证明文件.........................</w:t>
      </w: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30"/>
        </w:rPr>
        <w:t>一、竞标函（格式）</w:t>
      </w:r>
    </w:p>
    <w:p>
      <w:pPr>
        <w:pStyle w:val="16"/>
        <w:spacing w:line="36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(采购人） </w:t>
      </w:r>
    </w:p>
    <w:p>
      <w:pPr>
        <w:pStyle w:val="16"/>
        <w:spacing w:line="36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我方认真研究了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 w:val="24"/>
          <w:u w:val="single"/>
        </w:rPr>
        <w:t>采购项目名称（项目编号：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项目采购文件，遵照《中华人民共和国政府采购法》等有关规定，并按规定提交了竞标文件，原意接受采购文件及合同条款全部约定，承担采购文件中规定的属我方的全部义务，兹宣布同意如下：</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⑴按谈判采购文件货物需求一览表和竞标报价表，竞标总报价人民币（大写）</w:t>
      </w:r>
      <w:r>
        <w:rPr>
          <w:rFonts w:hint="eastAsia" w:asciiTheme="minorEastAsia" w:hAnsiTheme="minorEastAsia" w:eastAsiaTheme="minorEastAsia" w:cstheme="minorEastAsia"/>
          <w:u w:val="single"/>
        </w:rPr>
        <w:t xml:space="preserve">       元整</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元</w:t>
      </w:r>
      <w:r>
        <w:rPr>
          <w:rFonts w:hint="eastAsia" w:asciiTheme="minorEastAsia" w:hAnsiTheme="minorEastAsia" w:eastAsiaTheme="minorEastAsia" w:cstheme="minorEastAsia"/>
        </w:rPr>
        <w:t xml:space="preserve"> ) </w:t>
      </w:r>
    </w:p>
    <w:p>
      <w:pPr>
        <w:pStyle w:val="16"/>
        <w:spacing w:line="36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交货期：</w:t>
      </w:r>
      <w:r>
        <w:rPr>
          <w:rFonts w:hint="eastAsia" w:asciiTheme="minorEastAsia" w:hAnsiTheme="minorEastAsia" w:eastAsiaTheme="minorEastAsia" w:cstheme="minorEastAsia"/>
          <w:szCs w:val="21"/>
        </w:rPr>
        <w:t>签订合同后，</w:t>
      </w:r>
      <w:r>
        <w:rPr>
          <w:rFonts w:hint="eastAsia" w:asciiTheme="minorEastAsia" w:hAnsiTheme="minorEastAsia" w:eastAsiaTheme="minorEastAsia" w:cstheme="minorEastAsia"/>
          <w:szCs w:val="21"/>
          <w:lang w:val="en-US" w:eastAsia="zh-CN"/>
        </w:rPr>
        <w:t>7个日历天内安装完毕并调试能正常使用</w:t>
      </w:r>
      <w:r>
        <w:rPr>
          <w:rFonts w:hint="eastAsia" w:asciiTheme="minorEastAsia" w:hAnsiTheme="minorEastAsia" w:eastAsiaTheme="minorEastAsia" w:cstheme="minorEastAsia"/>
          <w:szCs w:val="21"/>
        </w:rPr>
        <w:t>。</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⑵我们根据采购文件的规定，承担完成合同的责任和义务。</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⑶我们已详细审查全部采购文件，包括修改文件（如有的话）和有关附件，将自行承担因对全部采购文件理解不正确或误解而产生的相应后果。</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⑷我们同意在竞标人须知规定的开标日期起遵循本竞标文件，并在竞标人须知第14条规定的竞标有效期满之前均具有约束力，并有可能成交。</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⑸如果在竞标截止时间后的竞标有效期内撤回竞标或者有其他违约行为，我们的竞标保证金可被贵方全部没收。</w:t>
      </w:r>
    </w:p>
    <w:p>
      <w:pPr>
        <w:pStyle w:val="16"/>
        <w:spacing w:line="36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⑹我们同意提供按照贵方可能要求的与本竞标有关的一切数据或资料，</w:t>
      </w:r>
      <w:r>
        <w:rPr>
          <w:rFonts w:hint="eastAsia" w:asciiTheme="minorEastAsia" w:hAnsiTheme="minorEastAsia" w:eastAsiaTheme="minorEastAsia" w:cstheme="minorEastAsia"/>
          <w:szCs w:val="21"/>
        </w:rPr>
        <w:t>完全理解不保证报价最低的竞标人中标。</w:t>
      </w:r>
    </w:p>
    <w:p>
      <w:pPr>
        <w:pStyle w:val="16"/>
        <w:spacing w:line="360" w:lineRule="exact"/>
        <w:ind w:firstLine="420"/>
        <w:rPr>
          <w:rFonts w:hint="eastAsia" w:asciiTheme="minorEastAsia" w:hAnsiTheme="minorEastAsia" w:eastAsiaTheme="minorEastAsia" w:cstheme="minorEastAsia"/>
        </w:rPr>
      </w:pPr>
    </w:p>
    <w:p>
      <w:pPr>
        <w:pStyle w:val="16"/>
        <w:spacing w:line="360" w:lineRule="exact"/>
        <w:ind w:firstLine="420"/>
        <w:rPr>
          <w:rFonts w:hint="eastAsia" w:asciiTheme="minorEastAsia" w:hAnsiTheme="minorEastAsia" w:eastAsiaTheme="minorEastAsia" w:cstheme="minorEastAsia"/>
        </w:rPr>
      </w:pPr>
    </w:p>
    <w:p>
      <w:pPr>
        <w:pStyle w:val="16"/>
        <w:spacing w:line="360" w:lineRule="exact"/>
        <w:ind w:firstLine="420"/>
        <w:rPr>
          <w:rFonts w:hint="eastAsia" w:asciiTheme="minorEastAsia" w:hAnsiTheme="minorEastAsia" w:eastAsiaTheme="minorEastAsia" w:cstheme="minorEastAsia"/>
        </w:rPr>
      </w:pPr>
    </w:p>
    <w:p>
      <w:pPr>
        <w:pStyle w:val="16"/>
        <w:spacing w:line="360" w:lineRule="exact"/>
        <w:ind w:firstLine="420"/>
        <w:rPr>
          <w:rFonts w:hint="eastAsia" w:asciiTheme="minorEastAsia" w:hAnsiTheme="minorEastAsia" w:eastAsiaTheme="minorEastAsia" w:cstheme="minorEastAsia"/>
        </w:rPr>
      </w:pP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邮政编码：</w:t>
      </w:r>
      <w:r>
        <w:rPr>
          <w:rFonts w:hint="eastAsia" w:asciiTheme="minorEastAsia" w:hAnsiTheme="minorEastAsia" w:eastAsiaTheme="minorEastAsia" w:cstheme="minorEastAsia"/>
          <w:u w:val="single"/>
        </w:rPr>
        <w:t xml:space="preserve">             </w:t>
      </w:r>
    </w:p>
    <w:p>
      <w:pPr>
        <w:pStyle w:val="16"/>
        <w:spacing w:line="36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电话、电报、传真或电传：</w:t>
      </w:r>
      <w:r>
        <w:rPr>
          <w:rFonts w:hint="eastAsia" w:asciiTheme="minorEastAsia" w:hAnsiTheme="minorEastAsia" w:eastAsiaTheme="minorEastAsia" w:cstheme="minorEastAsia"/>
          <w:u w:val="single"/>
        </w:rPr>
        <w:t xml:space="preserve">                                      </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法定代表人或委托代理人签名：</w:t>
      </w:r>
      <w:r>
        <w:rPr>
          <w:rFonts w:hint="eastAsia" w:asciiTheme="minorEastAsia" w:hAnsiTheme="minorEastAsia" w:eastAsiaTheme="minorEastAsia" w:cstheme="minorEastAsia"/>
          <w:u w:val="single"/>
        </w:rPr>
        <w:t xml:space="preserve">                                  </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竞标人盖公章：</w:t>
      </w:r>
      <w:r>
        <w:rPr>
          <w:rFonts w:hint="eastAsia" w:asciiTheme="minorEastAsia" w:hAnsiTheme="minorEastAsia" w:eastAsiaTheme="minorEastAsia" w:cstheme="minorEastAsia"/>
          <w:u w:val="single"/>
        </w:rPr>
        <w:t xml:space="preserve">                                                </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rPr>
        <w:t>二、竞标保证金缴纳证明（复印件）</w:t>
      </w: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rPr>
        <w:br w:type="page"/>
      </w:r>
    </w:p>
    <w:p>
      <w:pPr>
        <w:spacing w:line="540" w:lineRule="exact"/>
        <w:jc w:val="center"/>
        <w:rPr>
          <w:rFonts w:hint="eastAsia" w:asciiTheme="minorEastAsia" w:hAnsiTheme="minorEastAsia" w:eastAsiaTheme="minorEastAsia" w:cstheme="minorEastAsia"/>
          <w:b/>
          <w:sz w:val="30"/>
        </w:rPr>
      </w:pPr>
    </w:p>
    <w:p>
      <w:pPr>
        <w:spacing w:line="540" w:lineRule="exact"/>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rPr>
        <w:t>三、竞标报价表（格式）</w:t>
      </w:r>
    </w:p>
    <w:p>
      <w:pPr>
        <w:jc w:val="center"/>
        <w:rPr>
          <w:rFonts w:hint="eastAsia" w:asciiTheme="minorEastAsia" w:hAnsiTheme="minorEastAsia" w:eastAsiaTheme="minorEastAsia" w:cstheme="minorEastAsia"/>
        </w:rPr>
      </w:pPr>
    </w:p>
    <w:tbl>
      <w:tblPr>
        <w:tblStyle w:val="3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05"/>
        <w:gridCol w:w="1710"/>
        <w:gridCol w:w="1350"/>
        <w:gridCol w:w="178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9"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205"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1710"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350"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785"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1901"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89"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205" w:type="dxa"/>
            <w:shd w:val="clear" w:color="auto" w:fill="auto"/>
          </w:tcPr>
          <w:p>
            <w:pPr>
              <w:jc w:val="center"/>
              <w:rPr>
                <w:rFonts w:hint="eastAsia" w:asciiTheme="minorEastAsia" w:hAnsiTheme="minorEastAsia" w:eastAsiaTheme="minorEastAsia" w:cstheme="minorEastAsia"/>
              </w:rPr>
            </w:pPr>
          </w:p>
        </w:tc>
        <w:tc>
          <w:tcPr>
            <w:tcW w:w="1710" w:type="dxa"/>
            <w:shd w:val="clear" w:color="auto" w:fill="auto"/>
          </w:tcPr>
          <w:p>
            <w:pPr>
              <w:jc w:val="center"/>
              <w:rPr>
                <w:rFonts w:hint="eastAsia" w:asciiTheme="minorEastAsia" w:hAnsiTheme="minorEastAsia" w:eastAsiaTheme="minorEastAsia" w:cstheme="minorEastAsia"/>
              </w:rPr>
            </w:pPr>
          </w:p>
        </w:tc>
        <w:tc>
          <w:tcPr>
            <w:tcW w:w="1350" w:type="dxa"/>
            <w:shd w:val="clear" w:color="auto" w:fill="auto"/>
          </w:tcPr>
          <w:p>
            <w:pPr>
              <w:jc w:val="center"/>
              <w:rPr>
                <w:rFonts w:hint="eastAsia" w:asciiTheme="minorEastAsia" w:hAnsiTheme="minorEastAsia" w:eastAsiaTheme="minorEastAsia" w:cstheme="minorEastAsia"/>
              </w:rPr>
            </w:pPr>
          </w:p>
        </w:tc>
        <w:tc>
          <w:tcPr>
            <w:tcW w:w="1785" w:type="dxa"/>
            <w:shd w:val="clear" w:color="auto" w:fill="auto"/>
          </w:tcPr>
          <w:p>
            <w:pPr>
              <w:jc w:val="center"/>
              <w:rPr>
                <w:rFonts w:hint="eastAsia" w:asciiTheme="minorEastAsia" w:hAnsiTheme="minorEastAsia" w:eastAsiaTheme="minorEastAsia" w:cstheme="minorEastAsia"/>
              </w:rPr>
            </w:pPr>
          </w:p>
        </w:tc>
        <w:tc>
          <w:tcPr>
            <w:tcW w:w="1901" w:type="dxa"/>
            <w:shd w:val="clear" w:color="auto" w:fill="auto"/>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9" w:type="dxa"/>
            <w:shd w:val="clear" w:color="auto" w:fill="auto"/>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205" w:type="dxa"/>
            <w:shd w:val="clear" w:color="auto" w:fill="auto"/>
          </w:tcPr>
          <w:p>
            <w:pPr>
              <w:jc w:val="center"/>
              <w:rPr>
                <w:rFonts w:hint="eastAsia" w:asciiTheme="minorEastAsia" w:hAnsiTheme="minorEastAsia" w:eastAsiaTheme="minorEastAsia" w:cstheme="minorEastAsia"/>
              </w:rPr>
            </w:pPr>
          </w:p>
        </w:tc>
        <w:tc>
          <w:tcPr>
            <w:tcW w:w="1710" w:type="dxa"/>
            <w:shd w:val="clear" w:color="auto" w:fill="auto"/>
          </w:tcPr>
          <w:p>
            <w:pPr>
              <w:jc w:val="center"/>
              <w:rPr>
                <w:rFonts w:hint="eastAsia" w:asciiTheme="minorEastAsia" w:hAnsiTheme="minorEastAsia" w:eastAsiaTheme="minorEastAsia" w:cstheme="minorEastAsia"/>
              </w:rPr>
            </w:pPr>
          </w:p>
        </w:tc>
        <w:tc>
          <w:tcPr>
            <w:tcW w:w="1350" w:type="dxa"/>
            <w:shd w:val="clear" w:color="auto" w:fill="auto"/>
          </w:tcPr>
          <w:p>
            <w:pPr>
              <w:jc w:val="center"/>
              <w:rPr>
                <w:rFonts w:hint="eastAsia" w:asciiTheme="minorEastAsia" w:hAnsiTheme="minorEastAsia" w:eastAsiaTheme="minorEastAsia" w:cstheme="minorEastAsia"/>
              </w:rPr>
            </w:pPr>
          </w:p>
        </w:tc>
        <w:tc>
          <w:tcPr>
            <w:tcW w:w="1785" w:type="dxa"/>
            <w:shd w:val="clear" w:color="auto" w:fill="auto"/>
          </w:tcPr>
          <w:p>
            <w:pPr>
              <w:jc w:val="center"/>
              <w:rPr>
                <w:rFonts w:hint="eastAsia" w:asciiTheme="minorEastAsia" w:hAnsiTheme="minorEastAsia" w:eastAsiaTheme="minorEastAsia" w:cstheme="minorEastAsia"/>
              </w:rPr>
            </w:pPr>
          </w:p>
        </w:tc>
        <w:tc>
          <w:tcPr>
            <w:tcW w:w="1901" w:type="dxa"/>
            <w:shd w:val="clear" w:color="auto" w:fill="auto"/>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9" w:type="dxa"/>
            <w:shd w:val="clear" w:color="auto" w:fill="auto"/>
          </w:tcPr>
          <w:p>
            <w:pPr>
              <w:rPr>
                <w:rFonts w:hint="eastAsia" w:asciiTheme="minorEastAsia" w:hAnsiTheme="minorEastAsia" w:eastAsiaTheme="minorEastAsia" w:cstheme="minorEastAsia"/>
              </w:rPr>
            </w:pPr>
          </w:p>
        </w:tc>
        <w:tc>
          <w:tcPr>
            <w:tcW w:w="2205" w:type="dxa"/>
            <w:shd w:val="clear" w:color="auto" w:fill="auto"/>
          </w:tcPr>
          <w:p>
            <w:pPr>
              <w:jc w:val="center"/>
              <w:rPr>
                <w:rFonts w:hint="eastAsia" w:asciiTheme="minorEastAsia" w:hAnsiTheme="minorEastAsia" w:eastAsiaTheme="minorEastAsia" w:cstheme="minorEastAsia"/>
              </w:rPr>
            </w:pPr>
          </w:p>
        </w:tc>
        <w:tc>
          <w:tcPr>
            <w:tcW w:w="1710" w:type="dxa"/>
            <w:shd w:val="clear" w:color="auto" w:fill="auto"/>
          </w:tcPr>
          <w:p>
            <w:pPr>
              <w:jc w:val="center"/>
              <w:rPr>
                <w:rFonts w:hint="eastAsia" w:asciiTheme="minorEastAsia" w:hAnsiTheme="minorEastAsia" w:eastAsiaTheme="minorEastAsia" w:cstheme="minorEastAsia"/>
              </w:rPr>
            </w:pPr>
          </w:p>
        </w:tc>
        <w:tc>
          <w:tcPr>
            <w:tcW w:w="1350" w:type="dxa"/>
            <w:shd w:val="clear" w:color="auto" w:fill="auto"/>
          </w:tcPr>
          <w:p>
            <w:pPr>
              <w:jc w:val="center"/>
              <w:rPr>
                <w:rFonts w:hint="eastAsia" w:asciiTheme="minorEastAsia" w:hAnsiTheme="minorEastAsia" w:eastAsiaTheme="minorEastAsia" w:cstheme="minorEastAsia"/>
              </w:rPr>
            </w:pPr>
          </w:p>
        </w:tc>
        <w:tc>
          <w:tcPr>
            <w:tcW w:w="1785" w:type="dxa"/>
            <w:shd w:val="clear" w:color="auto" w:fill="auto"/>
          </w:tcPr>
          <w:p>
            <w:pPr>
              <w:jc w:val="center"/>
              <w:rPr>
                <w:rFonts w:hint="eastAsia" w:asciiTheme="minorEastAsia" w:hAnsiTheme="minorEastAsia" w:eastAsiaTheme="minorEastAsia" w:cstheme="minorEastAsia"/>
              </w:rPr>
            </w:pPr>
          </w:p>
        </w:tc>
        <w:tc>
          <w:tcPr>
            <w:tcW w:w="1901" w:type="dxa"/>
            <w:shd w:val="clear" w:color="auto" w:fill="auto"/>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89" w:type="dxa"/>
            <w:shd w:val="clear" w:color="auto" w:fill="auto"/>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205" w:type="dxa"/>
            <w:shd w:val="clear" w:color="auto" w:fill="auto"/>
          </w:tcPr>
          <w:p>
            <w:pPr>
              <w:jc w:val="center"/>
              <w:rPr>
                <w:rFonts w:hint="eastAsia" w:asciiTheme="minorEastAsia" w:hAnsiTheme="minorEastAsia" w:eastAsiaTheme="minorEastAsia" w:cstheme="minorEastAsia"/>
              </w:rPr>
            </w:pPr>
          </w:p>
        </w:tc>
        <w:tc>
          <w:tcPr>
            <w:tcW w:w="1710" w:type="dxa"/>
            <w:shd w:val="clear" w:color="auto" w:fill="auto"/>
          </w:tcPr>
          <w:p>
            <w:pPr>
              <w:jc w:val="center"/>
              <w:rPr>
                <w:rFonts w:hint="eastAsia" w:asciiTheme="minorEastAsia" w:hAnsiTheme="minorEastAsia" w:eastAsiaTheme="minorEastAsia" w:cstheme="minorEastAsia"/>
              </w:rPr>
            </w:pPr>
          </w:p>
        </w:tc>
        <w:tc>
          <w:tcPr>
            <w:tcW w:w="1350" w:type="dxa"/>
            <w:shd w:val="clear" w:color="auto" w:fill="auto"/>
          </w:tcPr>
          <w:p>
            <w:pPr>
              <w:jc w:val="center"/>
              <w:rPr>
                <w:rFonts w:hint="eastAsia" w:asciiTheme="minorEastAsia" w:hAnsiTheme="minorEastAsia" w:eastAsiaTheme="minorEastAsia" w:cstheme="minorEastAsia"/>
              </w:rPr>
            </w:pPr>
          </w:p>
        </w:tc>
        <w:tc>
          <w:tcPr>
            <w:tcW w:w="1785" w:type="dxa"/>
            <w:shd w:val="clear" w:color="auto" w:fill="auto"/>
          </w:tcPr>
          <w:p>
            <w:pPr>
              <w:jc w:val="center"/>
              <w:rPr>
                <w:rFonts w:hint="eastAsia" w:asciiTheme="minorEastAsia" w:hAnsiTheme="minorEastAsia" w:eastAsiaTheme="minorEastAsia" w:cstheme="minorEastAsia"/>
              </w:rPr>
            </w:pPr>
          </w:p>
        </w:tc>
        <w:tc>
          <w:tcPr>
            <w:tcW w:w="1901" w:type="dxa"/>
            <w:shd w:val="clear" w:color="auto" w:fill="auto"/>
          </w:tcPr>
          <w:p>
            <w:pPr>
              <w:jc w:val="center"/>
              <w:rPr>
                <w:rFonts w:hint="eastAsia" w:asciiTheme="minorEastAsia" w:hAnsiTheme="minorEastAsia" w:eastAsiaTheme="minorEastAsia" w:cstheme="minorEastAsia"/>
              </w:rPr>
            </w:pPr>
          </w:p>
        </w:tc>
      </w:tr>
    </w:tbl>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注：1.竞标报价已包括货物、随配附件、备品备件、工具、运抵指定交货地点、安装的各种费用和售后服务、税金及其他所有成本费用的总和，采购人不另行支付其它任何费用；</w:t>
      </w:r>
    </w:p>
    <w:p>
      <w:pPr>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2.此表不够写,可扩展多页。</w:t>
      </w:r>
    </w:p>
    <w:p>
      <w:pPr>
        <w:jc w:val="left"/>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pStyle w:val="16"/>
        <w:ind w:firstLine="2940" w:firstLineChars="14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竞标人(公章)  </w:t>
      </w:r>
      <w:r>
        <w:rPr>
          <w:rFonts w:hint="eastAsia" w:asciiTheme="minorEastAsia" w:hAnsiTheme="minorEastAsia" w:eastAsiaTheme="minorEastAsia" w:cstheme="minorEastAsia"/>
          <w:u w:val="single"/>
        </w:rPr>
        <w:t xml:space="preserve">                              </w:t>
      </w:r>
    </w:p>
    <w:p>
      <w:pPr>
        <w:pStyle w:val="16"/>
        <w:rPr>
          <w:rFonts w:hint="eastAsia" w:asciiTheme="minorEastAsia" w:hAnsiTheme="minorEastAsia" w:eastAsiaTheme="minorEastAsia" w:cstheme="minorEastAsia"/>
        </w:rPr>
      </w:pPr>
    </w:p>
    <w:p>
      <w:pPr>
        <w:pStyle w:val="16"/>
        <w:ind w:firstLine="2940" w:firstLineChars="14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法定代表人（负责人）或委托代理人签字</w:t>
      </w:r>
      <w:r>
        <w:rPr>
          <w:rFonts w:hint="eastAsia" w:asciiTheme="minorEastAsia" w:hAnsiTheme="minorEastAsia" w:eastAsiaTheme="minorEastAsia" w:cstheme="minorEastAsia"/>
          <w:u w:val="single"/>
        </w:rPr>
        <w:t xml:space="preserve">                  </w:t>
      </w:r>
    </w:p>
    <w:p>
      <w:pPr>
        <w:pStyle w:val="16"/>
        <w:spacing w:line="240" w:lineRule="exact"/>
        <w:rPr>
          <w:rFonts w:hint="eastAsia" w:asciiTheme="minorEastAsia" w:hAnsiTheme="minorEastAsia" w:eastAsiaTheme="minorEastAsia" w:cstheme="minorEastAsia"/>
          <w:b/>
          <w:sz w:val="44"/>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szCs w:val="24"/>
        </w:rPr>
        <w:br w:type="page"/>
      </w:r>
      <w:bookmarkStart w:id="12" w:name="_Toc430011364"/>
      <w:r>
        <w:rPr>
          <w:rFonts w:hint="eastAsia" w:asciiTheme="minorEastAsia" w:hAnsiTheme="minorEastAsia" w:eastAsiaTheme="minorEastAsia" w:cstheme="minorEastAsia"/>
          <w:b/>
          <w:sz w:val="30"/>
        </w:rPr>
        <w:t>四、技术规格偏离表</w:t>
      </w:r>
      <w:bookmarkEnd w:id="12"/>
    </w:p>
    <w:p>
      <w:pPr>
        <w:pStyle w:val="16"/>
        <w:spacing w:line="400" w:lineRule="exact"/>
        <w:ind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请按所竞标产品的实际品牌型号及规格，逐条对应条件书《货物需求》中的要求认真填写本表（本表填写时应针对条件书《货物需求》中货物型号及规格进行对照填写，如低于发标要求时写负偏离，如与发标要求完全一致时写无偏离，如高于发标要求时写正偏离，但在无偏离及正偏离这两种情况下均应提供足以证明的技术支持资料，谈判小组认可的技术支持资料以制造商公开发布的印刷资料或检测机构出具的检测报告为准，若制造商公开发布的印刷资料与检测机构出具的检测报告不一致，以检测机构出具的检测报告为准）。</w:t>
      </w:r>
    </w:p>
    <w:p>
      <w:pPr>
        <w:pStyle w:val="16"/>
        <w:ind w:firstLine="210" w:firstLineChars="100"/>
        <w:rPr>
          <w:rFonts w:hint="eastAsia" w:asciiTheme="minorEastAsia" w:hAnsiTheme="minorEastAsia" w:eastAsiaTheme="minorEastAsia" w:cstheme="minorEastAsia"/>
          <w:color w:val="auto"/>
        </w:rPr>
      </w:pPr>
    </w:p>
    <w:tbl>
      <w:tblPr>
        <w:tblStyle w:val="3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6"/>
        <w:gridCol w:w="1111"/>
        <w:gridCol w:w="1869"/>
        <w:gridCol w:w="1406"/>
        <w:gridCol w:w="189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2" w:type="dxa"/>
            <w:vMerge w:val="restart"/>
            <w:vAlign w:val="center"/>
          </w:tcPr>
          <w:p>
            <w:pPr>
              <w:pStyle w:val="1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项号</w:t>
            </w:r>
          </w:p>
        </w:tc>
        <w:tc>
          <w:tcPr>
            <w:tcW w:w="1476" w:type="dxa"/>
            <w:vMerge w:val="restart"/>
            <w:vAlign w:val="center"/>
          </w:tcPr>
          <w:p>
            <w:pPr>
              <w:pStyle w:val="1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货品名称</w:t>
            </w:r>
          </w:p>
        </w:tc>
        <w:tc>
          <w:tcPr>
            <w:tcW w:w="2980" w:type="dxa"/>
            <w:gridSpan w:val="2"/>
            <w:vAlign w:val="center"/>
          </w:tcPr>
          <w:p>
            <w:pPr>
              <w:pStyle w:val="16"/>
              <w:spacing w:line="400" w:lineRule="exact"/>
              <w:jc w:val="center"/>
              <w:rPr>
                <w:rFonts w:hint="eastAsia" w:asciiTheme="minorEastAsia" w:hAnsiTheme="minorEastAsia" w:eastAsiaTheme="minorEastAsia" w:cstheme="minorEastAsia"/>
                <w:color w:val="auto"/>
                <w:szCs w:val="21"/>
              </w:rPr>
            </w:pPr>
            <w:bookmarkStart w:id="13" w:name="_Toc387225843"/>
            <w:bookmarkStart w:id="14" w:name="_Toc395023555"/>
            <w:bookmarkStart w:id="15" w:name="_Toc395023724"/>
            <w:bookmarkStart w:id="16" w:name="_Toc398880884"/>
            <w:bookmarkStart w:id="17" w:name="_Toc408480535"/>
            <w:r>
              <w:rPr>
                <w:rFonts w:hint="eastAsia" w:asciiTheme="minorEastAsia" w:hAnsiTheme="minorEastAsia" w:eastAsiaTheme="minorEastAsia" w:cstheme="minorEastAsia"/>
                <w:color w:val="auto"/>
                <w:szCs w:val="21"/>
              </w:rPr>
              <w:t>竞争性谈判文件要求</w:t>
            </w:r>
            <w:bookmarkEnd w:id="13"/>
            <w:bookmarkEnd w:id="14"/>
            <w:bookmarkEnd w:id="15"/>
            <w:bookmarkEnd w:id="16"/>
            <w:bookmarkEnd w:id="17"/>
          </w:p>
          <w:p>
            <w:pPr>
              <w:pStyle w:val="16"/>
              <w:spacing w:line="400" w:lineRule="exact"/>
              <w:jc w:val="center"/>
              <w:rPr>
                <w:rFonts w:hint="eastAsia" w:asciiTheme="minorEastAsia" w:hAnsiTheme="minorEastAsia" w:eastAsiaTheme="minorEastAsia" w:cstheme="minorEastAsia"/>
                <w:color w:val="auto"/>
                <w:szCs w:val="21"/>
              </w:rPr>
            </w:pPr>
          </w:p>
        </w:tc>
        <w:tc>
          <w:tcPr>
            <w:tcW w:w="3297" w:type="dxa"/>
            <w:gridSpan w:val="2"/>
            <w:vAlign w:val="center"/>
          </w:tcPr>
          <w:p>
            <w:pPr>
              <w:pStyle w:val="16"/>
              <w:spacing w:line="400" w:lineRule="exact"/>
              <w:jc w:val="center"/>
              <w:rPr>
                <w:rFonts w:hint="eastAsia" w:asciiTheme="minorEastAsia" w:hAnsiTheme="minorEastAsia" w:eastAsiaTheme="minorEastAsia" w:cstheme="minorEastAsia"/>
                <w:color w:val="auto"/>
                <w:szCs w:val="21"/>
              </w:rPr>
            </w:pPr>
            <w:bookmarkStart w:id="18" w:name="_Toc387225844"/>
            <w:bookmarkStart w:id="19" w:name="_Toc395023556"/>
            <w:bookmarkStart w:id="20" w:name="_Toc395023725"/>
            <w:bookmarkStart w:id="21" w:name="_Toc398880885"/>
            <w:bookmarkStart w:id="22" w:name="_Toc408480536"/>
            <w:r>
              <w:rPr>
                <w:rFonts w:hint="eastAsia" w:asciiTheme="minorEastAsia" w:hAnsiTheme="minorEastAsia" w:eastAsiaTheme="minorEastAsia" w:cstheme="minorEastAsia"/>
                <w:color w:val="auto"/>
                <w:szCs w:val="21"/>
              </w:rPr>
              <w:t>竞标文件具体响应</w:t>
            </w:r>
            <w:bookmarkEnd w:id="18"/>
            <w:bookmarkEnd w:id="19"/>
            <w:bookmarkEnd w:id="20"/>
            <w:bookmarkEnd w:id="21"/>
            <w:bookmarkEnd w:id="22"/>
          </w:p>
          <w:p>
            <w:pPr>
              <w:pStyle w:val="16"/>
              <w:spacing w:line="400" w:lineRule="exact"/>
              <w:jc w:val="center"/>
              <w:rPr>
                <w:rFonts w:hint="eastAsia" w:asciiTheme="minorEastAsia" w:hAnsiTheme="minorEastAsia" w:eastAsiaTheme="minorEastAsia" w:cstheme="minorEastAsia"/>
                <w:color w:val="auto"/>
                <w:szCs w:val="21"/>
              </w:rPr>
            </w:pPr>
          </w:p>
        </w:tc>
        <w:tc>
          <w:tcPr>
            <w:tcW w:w="1235" w:type="dxa"/>
            <w:vMerge w:val="restart"/>
            <w:vAlign w:val="center"/>
          </w:tcPr>
          <w:p>
            <w:pPr>
              <w:pStyle w:val="1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52" w:type="dxa"/>
            <w:vMerge w:val="continue"/>
          </w:tcPr>
          <w:p>
            <w:pPr>
              <w:pStyle w:val="16"/>
              <w:spacing w:line="600" w:lineRule="exact"/>
              <w:jc w:val="center"/>
              <w:rPr>
                <w:rFonts w:hint="eastAsia" w:asciiTheme="minorEastAsia" w:hAnsiTheme="minorEastAsia" w:eastAsiaTheme="minorEastAsia" w:cstheme="minorEastAsia"/>
                <w:color w:val="auto"/>
              </w:rPr>
            </w:pPr>
          </w:p>
        </w:tc>
        <w:tc>
          <w:tcPr>
            <w:tcW w:w="1476" w:type="dxa"/>
            <w:vMerge w:val="continue"/>
            <w:vAlign w:val="center"/>
          </w:tcPr>
          <w:p>
            <w:pPr>
              <w:pStyle w:val="16"/>
              <w:spacing w:line="600" w:lineRule="exact"/>
              <w:jc w:val="center"/>
              <w:rPr>
                <w:rFonts w:hint="eastAsia" w:asciiTheme="minorEastAsia" w:hAnsiTheme="minorEastAsia" w:eastAsiaTheme="minorEastAsia" w:cstheme="minorEastAsia"/>
                <w:color w:val="auto"/>
              </w:rPr>
            </w:pPr>
          </w:p>
        </w:tc>
        <w:tc>
          <w:tcPr>
            <w:tcW w:w="1111" w:type="dxa"/>
            <w:vAlign w:val="center"/>
          </w:tcPr>
          <w:p>
            <w:pPr>
              <w:pStyle w:val="16"/>
              <w:spacing w:line="600" w:lineRule="exact"/>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869" w:type="dxa"/>
            <w:vAlign w:val="center"/>
          </w:tcPr>
          <w:p>
            <w:pPr>
              <w:pStyle w:val="16"/>
              <w:spacing w:line="600" w:lineRule="exact"/>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w:t>
            </w:r>
          </w:p>
        </w:tc>
        <w:tc>
          <w:tcPr>
            <w:tcW w:w="1406" w:type="dxa"/>
            <w:vAlign w:val="center"/>
          </w:tcPr>
          <w:p>
            <w:pPr>
              <w:pStyle w:val="16"/>
              <w:spacing w:line="6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数量</w:t>
            </w:r>
          </w:p>
        </w:tc>
        <w:tc>
          <w:tcPr>
            <w:tcW w:w="1891" w:type="dxa"/>
            <w:vAlign w:val="center"/>
          </w:tcPr>
          <w:p>
            <w:pPr>
              <w:pStyle w:val="16"/>
              <w:spacing w:line="6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规格</w:t>
            </w:r>
          </w:p>
        </w:tc>
        <w:tc>
          <w:tcPr>
            <w:tcW w:w="1235" w:type="dxa"/>
            <w:vMerge w:val="continue"/>
            <w:vAlign w:val="center"/>
          </w:tcPr>
          <w:p>
            <w:pPr>
              <w:pStyle w:val="16"/>
              <w:spacing w:line="6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2" w:type="dxa"/>
          </w:tcPr>
          <w:p>
            <w:pPr>
              <w:pStyle w:val="16"/>
              <w:spacing w:line="600" w:lineRule="exact"/>
              <w:rPr>
                <w:rFonts w:hint="eastAsia" w:asciiTheme="minorEastAsia" w:hAnsiTheme="minorEastAsia" w:eastAsiaTheme="minorEastAsia" w:cstheme="minorEastAsia"/>
                <w:color w:val="auto"/>
              </w:rPr>
            </w:pPr>
          </w:p>
        </w:tc>
        <w:tc>
          <w:tcPr>
            <w:tcW w:w="1476" w:type="dxa"/>
          </w:tcPr>
          <w:p>
            <w:pPr>
              <w:pStyle w:val="16"/>
              <w:spacing w:line="600" w:lineRule="exact"/>
              <w:rPr>
                <w:rFonts w:hint="eastAsia" w:asciiTheme="minorEastAsia" w:hAnsiTheme="minorEastAsia" w:eastAsiaTheme="minorEastAsia" w:cstheme="minorEastAsia"/>
                <w:color w:val="auto"/>
              </w:rPr>
            </w:pPr>
          </w:p>
        </w:tc>
        <w:tc>
          <w:tcPr>
            <w:tcW w:w="1111" w:type="dxa"/>
          </w:tcPr>
          <w:p>
            <w:pPr>
              <w:pStyle w:val="16"/>
              <w:spacing w:line="600" w:lineRule="exact"/>
              <w:rPr>
                <w:rFonts w:hint="eastAsia" w:asciiTheme="minorEastAsia" w:hAnsiTheme="minorEastAsia" w:eastAsiaTheme="minorEastAsia" w:cstheme="minorEastAsia"/>
                <w:color w:val="auto"/>
              </w:rPr>
            </w:pPr>
          </w:p>
        </w:tc>
        <w:tc>
          <w:tcPr>
            <w:tcW w:w="1869" w:type="dxa"/>
          </w:tcPr>
          <w:p>
            <w:pPr>
              <w:pStyle w:val="16"/>
              <w:spacing w:line="600" w:lineRule="exact"/>
              <w:rPr>
                <w:rFonts w:hint="eastAsia" w:asciiTheme="minorEastAsia" w:hAnsiTheme="minorEastAsia" w:eastAsiaTheme="minorEastAsia" w:cstheme="minorEastAsia"/>
                <w:color w:val="auto"/>
              </w:rPr>
            </w:pPr>
          </w:p>
        </w:tc>
        <w:tc>
          <w:tcPr>
            <w:tcW w:w="1406" w:type="dxa"/>
          </w:tcPr>
          <w:p>
            <w:pPr>
              <w:pStyle w:val="16"/>
              <w:spacing w:line="600" w:lineRule="exact"/>
              <w:rPr>
                <w:rFonts w:hint="eastAsia" w:asciiTheme="minorEastAsia" w:hAnsiTheme="minorEastAsia" w:eastAsiaTheme="minorEastAsia" w:cstheme="minorEastAsia"/>
                <w:color w:val="auto"/>
              </w:rPr>
            </w:pPr>
          </w:p>
        </w:tc>
        <w:tc>
          <w:tcPr>
            <w:tcW w:w="1891" w:type="dxa"/>
          </w:tcPr>
          <w:p>
            <w:pPr>
              <w:pStyle w:val="16"/>
              <w:spacing w:line="600" w:lineRule="exact"/>
              <w:rPr>
                <w:rFonts w:hint="eastAsia" w:asciiTheme="minorEastAsia" w:hAnsiTheme="minorEastAsia" w:eastAsiaTheme="minorEastAsia" w:cstheme="minorEastAsia"/>
                <w:color w:val="auto"/>
              </w:rPr>
            </w:pPr>
          </w:p>
        </w:tc>
        <w:tc>
          <w:tcPr>
            <w:tcW w:w="1235" w:type="dxa"/>
          </w:tcPr>
          <w:p>
            <w:pPr>
              <w:pStyle w:val="16"/>
              <w:spacing w:line="600" w:lineRule="exact"/>
              <w:rPr>
                <w:rFonts w:hint="eastAsia" w:asciiTheme="minorEastAsia" w:hAnsiTheme="minorEastAsia" w:eastAsiaTheme="minorEastAsia" w:cstheme="minorEastAsia"/>
                <w:color w:val="auto"/>
              </w:rPr>
            </w:pPr>
          </w:p>
        </w:tc>
      </w:tr>
    </w:tbl>
    <w:p>
      <w:pPr>
        <w:pStyle w:val="16"/>
        <w:rPr>
          <w:rFonts w:hint="eastAsia" w:asciiTheme="minorEastAsia" w:hAnsiTheme="minorEastAsia" w:eastAsiaTheme="minorEastAsia" w:cstheme="minorEastAsia"/>
          <w:color w:val="auto"/>
        </w:rPr>
      </w:pPr>
    </w:p>
    <w:p>
      <w:pPr>
        <w:pStyle w:val="16"/>
        <w:rPr>
          <w:rFonts w:hint="eastAsia" w:asciiTheme="minorEastAsia" w:hAnsiTheme="minorEastAsia" w:eastAsiaTheme="minorEastAsia" w:cstheme="minorEastAsia"/>
          <w:color w:val="auto"/>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竞标人(公章)  </w:t>
      </w:r>
      <w:r>
        <w:rPr>
          <w:rFonts w:hint="eastAsia" w:asciiTheme="minorEastAsia" w:hAnsiTheme="minorEastAsia" w:eastAsiaTheme="minorEastAsia" w:cstheme="minorEastAsia"/>
          <w:u w:val="single"/>
        </w:rPr>
        <w:t xml:space="preserve">                              </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法定代表人（负责人）或委托代理人签字</w:t>
      </w:r>
      <w:r>
        <w:rPr>
          <w:rFonts w:hint="eastAsia" w:asciiTheme="minorEastAsia" w:hAnsiTheme="minorEastAsia" w:eastAsiaTheme="minorEastAsia" w:cstheme="minorEastAsia"/>
          <w:u w:val="single"/>
        </w:rPr>
        <w:t xml:space="preserve">                  </w:t>
      </w:r>
    </w:p>
    <w:p>
      <w:pPr>
        <w:pStyle w:val="16"/>
        <w:spacing w:line="240" w:lineRule="exact"/>
        <w:rPr>
          <w:rFonts w:hint="eastAsia" w:asciiTheme="minorEastAsia" w:hAnsiTheme="minorEastAsia" w:eastAsiaTheme="minorEastAsia" w:cstheme="minorEastAsia"/>
          <w:b/>
          <w:sz w:val="44"/>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pStyle w:val="16"/>
        <w:rPr>
          <w:rFonts w:hint="eastAsia" w:asciiTheme="minorEastAsia" w:hAnsiTheme="minorEastAsia" w:eastAsiaTheme="minorEastAsia" w:cstheme="minorEastAsia"/>
        </w:rPr>
      </w:pPr>
    </w:p>
    <w:p>
      <w:pPr>
        <w:spacing w:line="540" w:lineRule="exact"/>
        <w:jc w:val="center"/>
        <w:rPr>
          <w:rFonts w:hint="eastAsia" w:asciiTheme="minorEastAsia" w:hAnsiTheme="minorEastAsia" w:eastAsiaTheme="minorEastAsia" w:cstheme="minorEastAsia"/>
          <w:b/>
          <w:sz w:val="30"/>
        </w:rPr>
      </w:pPr>
      <w:bookmarkStart w:id="23" w:name="_Toc204135105"/>
      <w:bookmarkStart w:id="24" w:name="_Toc322345247"/>
      <w:bookmarkStart w:id="25" w:name="_Toc430011365"/>
      <w:r>
        <w:rPr>
          <w:rFonts w:hint="eastAsia" w:asciiTheme="minorEastAsia" w:hAnsiTheme="minorEastAsia" w:eastAsiaTheme="minorEastAsia" w:cstheme="minorEastAsia"/>
          <w:b/>
          <w:sz w:val="30"/>
        </w:rPr>
        <w:br w:type="page"/>
      </w:r>
      <w:r>
        <w:rPr>
          <w:rFonts w:hint="eastAsia" w:asciiTheme="minorEastAsia" w:hAnsiTheme="minorEastAsia" w:eastAsiaTheme="minorEastAsia" w:cstheme="minorEastAsia"/>
          <w:b/>
          <w:sz w:val="30"/>
        </w:rPr>
        <w:t>五、售后服务方案及承诺书</w:t>
      </w:r>
      <w:bookmarkEnd w:id="23"/>
      <w:bookmarkEnd w:id="24"/>
      <w:bookmarkEnd w:id="25"/>
    </w:p>
    <w:p>
      <w:pPr>
        <w:pStyle w:val="16"/>
        <w:jc w:val="center"/>
        <w:rPr>
          <w:rFonts w:hint="eastAsia" w:asciiTheme="minorEastAsia" w:hAnsiTheme="minorEastAsia" w:eastAsiaTheme="minorEastAsia" w:cstheme="minorEastAsia"/>
        </w:rPr>
      </w:pPr>
    </w:p>
    <w:p>
      <w:pPr>
        <w:pStyle w:val="1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(由竞标人就《货物需求》中售后服务及要求自行填写)</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竞标人(公章)  </w:t>
      </w:r>
      <w:r>
        <w:rPr>
          <w:rFonts w:hint="eastAsia" w:asciiTheme="minorEastAsia" w:hAnsiTheme="minorEastAsia" w:eastAsiaTheme="minorEastAsia" w:cstheme="minorEastAsia"/>
          <w:u w:val="single"/>
        </w:rPr>
        <w:t xml:space="preserve">                              </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法定代表人（负责人）或委托代理人签字</w:t>
      </w:r>
      <w:r>
        <w:rPr>
          <w:rFonts w:hint="eastAsia" w:asciiTheme="minorEastAsia" w:hAnsiTheme="minorEastAsia" w:eastAsiaTheme="minorEastAsia" w:cstheme="minorEastAsia"/>
          <w:u w:val="single"/>
        </w:rPr>
        <w:t xml:space="preserve">                  </w:t>
      </w:r>
    </w:p>
    <w:p>
      <w:pPr>
        <w:pStyle w:val="16"/>
        <w:spacing w:line="240" w:lineRule="exact"/>
        <w:rPr>
          <w:rFonts w:hint="eastAsia" w:asciiTheme="minorEastAsia" w:hAnsiTheme="minorEastAsia" w:eastAsiaTheme="minorEastAsia" w:cstheme="minorEastAsia"/>
          <w:b/>
          <w:sz w:val="44"/>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注：此承诺书由多页构成的，应逐页加盖竞标人单位公章或由法定代表人（负责人或委托代理人）签字。</w:t>
      </w:r>
    </w:p>
    <w:p>
      <w:pPr>
        <w:spacing w:line="540" w:lineRule="exact"/>
        <w:jc w:val="center"/>
        <w:rPr>
          <w:rFonts w:hint="eastAsia" w:asciiTheme="minorEastAsia" w:hAnsiTheme="minorEastAsia" w:eastAsiaTheme="minorEastAsia" w:cstheme="minorEastAsia"/>
          <w:b/>
          <w:sz w:val="30"/>
        </w:rPr>
      </w:pPr>
      <w:bookmarkStart w:id="26" w:name="_Toc204135106"/>
      <w:bookmarkStart w:id="27" w:name="_Toc322345248"/>
      <w:r>
        <w:rPr>
          <w:rFonts w:hint="eastAsia" w:asciiTheme="minorEastAsia" w:hAnsiTheme="minorEastAsia" w:eastAsiaTheme="minorEastAsia" w:cstheme="minorEastAsia"/>
          <w:b/>
          <w:sz w:val="30"/>
        </w:rPr>
        <w:br w:type="page"/>
      </w:r>
      <w:bookmarkStart w:id="28" w:name="_Toc430011366"/>
      <w:r>
        <w:rPr>
          <w:rFonts w:hint="eastAsia" w:asciiTheme="minorEastAsia" w:hAnsiTheme="minorEastAsia" w:eastAsiaTheme="minorEastAsia" w:cstheme="minorEastAsia"/>
          <w:b/>
          <w:sz w:val="30"/>
        </w:rPr>
        <w:t>六、</w:t>
      </w:r>
      <w:bookmarkEnd w:id="26"/>
      <w:bookmarkStart w:id="29" w:name="_Toc204135107"/>
      <w:r>
        <w:rPr>
          <w:rFonts w:hint="eastAsia" w:asciiTheme="minorEastAsia" w:hAnsiTheme="minorEastAsia" w:eastAsiaTheme="minorEastAsia" w:cstheme="minorEastAsia"/>
          <w:b/>
          <w:sz w:val="30"/>
        </w:rPr>
        <w:t>资格证明文件</w:t>
      </w:r>
      <w:bookmarkEnd w:id="27"/>
      <w:bookmarkEnd w:id="28"/>
      <w:bookmarkEnd w:id="29"/>
    </w:p>
    <w:p>
      <w:pPr>
        <w:pStyle w:val="16"/>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rPr>
        <w:t>(按照第一章“竞标人须知”第12条要求提供)</w:t>
      </w: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b/>
          <w:sz w:val="32"/>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32"/>
        </w:rPr>
        <w:t>授权委托书</w:t>
      </w:r>
    </w:p>
    <w:p>
      <w:pPr>
        <w:pStyle w:val="16"/>
        <w:rPr>
          <w:rFonts w:hint="eastAsia" w:asciiTheme="minorEastAsia" w:hAnsiTheme="minorEastAsia" w:eastAsiaTheme="minorEastAsia" w:cstheme="minorEastAsia"/>
        </w:rPr>
      </w:pP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兹授权</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同志为我方参加</w:t>
      </w:r>
      <w:r>
        <w:rPr>
          <w:rFonts w:hint="eastAsia" w:asciiTheme="minorEastAsia" w:hAnsiTheme="minorEastAsia" w:eastAsiaTheme="minorEastAsia" w:cstheme="minorEastAsia"/>
          <w:u w:val="single"/>
        </w:rPr>
        <w:t xml:space="preserve">      （项目名称）        </w:t>
      </w:r>
      <w:r>
        <w:rPr>
          <w:rFonts w:hint="eastAsia" w:asciiTheme="minorEastAsia" w:hAnsiTheme="minorEastAsia" w:eastAsiaTheme="minorEastAsia" w:cstheme="minorEastAsia"/>
        </w:rPr>
        <w:t>的竞标代理人，其代理权限为：全权办理针对上述项目的竞标、开标、评标、签约等具体事务和签署相关文件。</w:t>
      </w:r>
    </w:p>
    <w:p>
      <w:pPr>
        <w:snapToGrid w:val="0"/>
        <w:spacing w:before="156" w:beforeLines="50" w:after="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我方对被授权人的签名事项负全部责任。</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在出撤销授权的书面通知以前，本授权书一直有效。被授权人在授权书有效期内签署的所有文件不因授权的撤销而失效。</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被授权人无转委托权，特此委托。</w:t>
      </w:r>
    </w:p>
    <w:p>
      <w:pPr>
        <w:pStyle w:val="16"/>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附：被授权人有效身份证正反面复印件</w:t>
      </w:r>
    </w:p>
    <w:p>
      <w:pPr>
        <w:snapToGrid w:val="0"/>
        <w:spacing w:before="156" w:beforeLines="50" w:after="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被授权人签名：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法定代表人签名：</w:t>
      </w:r>
      <w:r>
        <w:rPr>
          <w:rFonts w:hint="eastAsia" w:asciiTheme="minorEastAsia" w:hAnsiTheme="minorEastAsia" w:eastAsiaTheme="minorEastAsia" w:cstheme="minorEastAsia"/>
          <w:szCs w:val="21"/>
          <w:u w:val="single"/>
        </w:rPr>
        <w:t xml:space="preserve">              </w:t>
      </w:r>
    </w:p>
    <w:p>
      <w:pPr>
        <w:snapToGrid w:val="0"/>
        <w:spacing w:before="156" w:beforeLines="50" w:after="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所在部门职务：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职务：</w:t>
      </w:r>
      <w:r>
        <w:rPr>
          <w:rFonts w:hint="eastAsia" w:asciiTheme="minorEastAsia" w:hAnsiTheme="minorEastAsia" w:eastAsiaTheme="minorEastAsia" w:cstheme="minorEastAsia"/>
          <w:szCs w:val="21"/>
          <w:u w:val="single"/>
        </w:rPr>
        <w:t xml:space="preserve">                  </w:t>
      </w:r>
    </w:p>
    <w:p>
      <w:pPr>
        <w:snapToGrid w:val="0"/>
        <w:spacing w:before="156" w:beforeLines="50" w:after="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napToGrid w:val="0"/>
        <w:spacing w:before="156" w:beforeLines="50" w:after="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竞标人公章：</w:t>
      </w:r>
    </w:p>
    <w:p>
      <w:pPr>
        <w:autoSpaceDE w:val="0"/>
        <w:autoSpaceDN w:val="0"/>
        <w:spacing w:line="300" w:lineRule="auto"/>
        <w:ind w:left="480" w:hanging="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pPr>
        <w:pStyle w:val="16"/>
        <w:spacing w:line="420" w:lineRule="exact"/>
        <w:rPr>
          <w:rFonts w:hint="eastAsia" w:asciiTheme="minorEastAsia" w:hAnsiTheme="minorEastAsia" w:eastAsiaTheme="minorEastAsia" w:cstheme="minorEastAsia"/>
        </w:rPr>
      </w:pPr>
    </w:p>
    <w:p>
      <w:pPr>
        <w:pStyle w:val="16"/>
        <w:spacing w:line="480" w:lineRule="exact"/>
        <w:rPr>
          <w:rFonts w:hint="eastAsia" w:asciiTheme="minorEastAsia" w:hAnsiTheme="minorEastAsia" w:eastAsiaTheme="minorEastAsia" w:cstheme="minorEastAsia"/>
          <w:b/>
          <w:sz w:val="32"/>
          <w:szCs w:val="32"/>
        </w:rPr>
      </w:pPr>
    </w:p>
    <w:p>
      <w:pPr>
        <w:pStyle w:val="16"/>
        <w:spacing w:line="440" w:lineRule="exact"/>
        <w:ind w:firstLine="210" w:firstLineChars="100"/>
        <w:jc w:val="center"/>
        <w:rPr>
          <w:rFonts w:hint="eastAsia" w:asciiTheme="minorEastAsia" w:hAnsiTheme="minorEastAsia" w:eastAsiaTheme="minorEastAsia" w:cstheme="minorEastAsia"/>
        </w:rPr>
      </w:pPr>
    </w:p>
    <w:p>
      <w:pPr>
        <w:pStyle w:val="16"/>
        <w:spacing w:line="440" w:lineRule="exact"/>
        <w:ind w:firstLine="210" w:firstLineChars="100"/>
        <w:rPr>
          <w:rFonts w:hint="eastAsia" w:asciiTheme="minorEastAsia" w:hAnsiTheme="minorEastAsia" w:eastAsiaTheme="minorEastAsia" w:cstheme="minorEastAsia"/>
        </w:rPr>
      </w:pPr>
    </w:p>
    <w:p>
      <w:pPr>
        <w:pStyle w:val="16"/>
        <w:spacing w:line="440" w:lineRule="exact"/>
        <w:ind w:firstLine="210" w:firstLineChars="100"/>
        <w:jc w:val="center"/>
        <w:rPr>
          <w:rFonts w:hint="eastAsia" w:asciiTheme="minorEastAsia" w:hAnsiTheme="minorEastAsia" w:eastAsiaTheme="minorEastAsia" w:cstheme="minorEastAsia"/>
        </w:rPr>
      </w:pPr>
    </w:p>
    <w:p>
      <w:pPr>
        <w:pStyle w:val="16"/>
        <w:spacing w:line="440" w:lineRule="exact"/>
        <w:ind w:firstLine="210" w:firstLineChars="100"/>
        <w:jc w:val="center"/>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rPr>
      </w:pPr>
    </w:p>
    <w:p>
      <w:pPr>
        <w:pStyle w:val="16"/>
        <w:rPr>
          <w:rFonts w:hint="eastAsia" w:asciiTheme="minorEastAsia" w:hAnsiTheme="minorEastAsia" w:eastAsiaTheme="minorEastAsia" w:cstheme="minorEastAsia"/>
          <w:sz w:val="44"/>
        </w:rPr>
        <w:sectPr>
          <w:pgSz w:w="11906" w:h="16838"/>
          <w:pgMar w:top="1021" w:right="964" w:bottom="1134" w:left="1418" w:header="567" w:footer="567" w:gutter="0"/>
          <w:cols w:space="720" w:num="1"/>
          <w:docGrid w:type="lines" w:linePitch="312" w:charSpace="0"/>
        </w:sectPr>
      </w:pPr>
    </w:p>
    <w:p>
      <w:pPr>
        <w:pStyle w:val="2"/>
        <w:keepLines/>
        <w:spacing w:before="120" w:after="120" w:line="500" w:lineRule="exact"/>
        <w:rPr>
          <w:rFonts w:hint="eastAsia" w:asciiTheme="minorEastAsia" w:hAnsiTheme="minorEastAsia" w:eastAsiaTheme="minorEastAsia" w:cstheme="minorEastAsia"/>
          <w:bCs/>
          <w:kern w:val="44"/>
          <w:sz w:val="32"/>
          <w:szCs w:val="32"/>
        </w:rPr>
      </w:pPr>
      <w:bookmarkStart w:id="30" w:name="_Toc430011631"/>
    </w:p>
    <w:p>
      <w:pPr>
        <w:pStyle w:val="2"/>
        <w:keepLines/>
        <w:spacing w:before="120" w:after="120" w:line="500" w:lineRule="exact"/>
        <w:jc w:val="center"/>
        <w:rPr>
          <w:rFonts w:hint="eastAsia" w:asciiTheme="minorEastAsia" w:hAnsiTheme="minorEastAsia" w:eastAsiaTheme="minorEastAsia" w:cstheme="minorEastAsia"/>
          <w:bCs/>
          <w:kern w:val="44"/>
          <w:sz w:val="32"/>
          <w:szCs w:val="32"/>
        </w:rPr>
      </w:pPr>
      <w:r>
        <w:rPr>
          <w:rFonts w:hint="eastAsia" w:asciiTheme="minorEastAsia" w:hAnsiTheme="minorEastAsia" w:eastAsiaTheme="minorEastAsia" w:cstheme="minorEastAsia"/>
          <w:bCs/>
          <w:kern w:val="44"/>
          <w:sz w:val="32"/>
          <w:szCs w:val="32"/>
        </w:rPr>
        <w:t>第五章   评标方法</w:t>
      </w:r>
      <w:bookmarkEnd w:id="30"/>
    </w:p>
    <w:p>
      <w:pPr>
        <w:pStyle w:val="16"/>
        <w:spacing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一、评标依据</w:t>
      </w:r>
    </w:p>
    <w:p>
      <w:pPr>
        <w:pStyle w:val="16"/>
        <w:spacing w:line="360" w:lineRule="exact"/>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谈判小组以谈判文件和竞标文件为评标依据。</w:t>
      </w:r>
    </w:p>
    <w:p>
      <w:pPr>
        <w:pStyle w:val="16"/>
        <w:spacing w:line="360" w:lineRule="exact"/>
        <w:ind w:firstLine="422" w:firstLineChars="200"/>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二、评标方法</w:t>
      </w:r>
    </w:p>
    <w:p>
      <w:pPr>
        <w:pStyle w:val="16"/>
        <w:spacing w:line="36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1、谈判小组应当从质量和服务均能满足竞争性谈判文件实质性响应要求的供应商中，按照最后报价由低到高顺序推荐3名成交候选人。</w:t>
      </w:r>
    </w:p>
    <w:p>
      <w:pPr>
        <w:pStyle w:val="16"/>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2、谈判小组将以竞争性谈判采购文件、竞标文件为评定依据，若竞标货物型号及规格偏离超过3项以上将导致其竞标无效；</w:t>
      </w:r>
    </w:p>
    <w:p>
      <w:pPr>
        <w:pStyle w:val="16"/>
        <w:spacing w:line="36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3、竞标人最后报价相同时，以质量优劣进行排序；若质量仍相同时，则以服务优劣进行排序；若仍相同时，则由谈判小组集体讨论确定。</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4、按照《政府采购促进中小企业发展暂行办法》（财库[2011]181号）：</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竞标人符合以下情形之一的其最后报价将给予相应比例的价格扣除，谈判小组应当按扣除后的报价由低到高进行排序，该扣除后报价仅作为评审排序，合同将按实际最后报价签订：</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①竞标人提供小型和微型企业产品参与竞标的（以竞标文件提供的工业和信息化委员会出具证明材料为准）最后报价给予6%的价格扣除；扣除后的最后报价将仅作为评审排序。</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②竞标人为大中型企业与小型、微型企业组成联合体竞标，其中小型、微型企业产品的协议合同金额占到联合体协议合同总金额30%以上的，联合体竞标人最后报价给予2%的价格扣除；扣除后的最后报价将仅作为评审排序。</w:t>
      </w:r>
    </w:p>
    <w:p>
      <w:pPr>
        <w:pStyle w:val="16"/>
        <w:spacing w:line="36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r>
        <w:rPr>
          <w:rFonts w:hint="eastAsia" w:asciiTheme="minorEastAsia" w:hAnsiTheme="minorEastAsia" w:eastAsiaTheme="minorEastAsia" w:cstheme="minorEastAsia"/>
          <w:b/>
          <w:bCs/>
        </w:rPr>
        <w:t>小型、微型企业提供中型企业制造的货物的，视同为中型企业。</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按照《环境标志产品政府采购实施的意见》（财库[2006]90号）：竞标人参与竞标的产品为《环境标志产品政府采购清单》中的产品的（以竞标文件提供的符合规定的有关证明材料为准），在性能、技术、服务、报价等指标同等条件下，应当优先采购清单中的产品。《环境标志产品政府采购清单》在中国政府采购网（http://www.ccgp.gov.cn)、国家环境保护总局网（http://www.sepa.gov.cn）、中国绿色采购网（http://www.cgpn.cn/）公布。</w:t>
      </w:r>
    </w:p>
    <w:p>
      <w:pPr>
        <w:pStyle w:val="16"/>
        <w:spacing w:line="36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按照《节能产品政府采购实施意见》（财库[2004]185号）：竞标人参与竞标的产品为《节能产品政府采购清单》中的产品的（以竞标文件提供的符合规定的有关证明材料为准），在性能、技术、服务、报价等指标同等条件下，应当优先采购清单中的产品。《节能产品政府采购清单》在中国政府采购网（http://www.ccgp.gov.cn)、国家发展改革委网站（http://hzs.ndrc.gov.cn/）和中国节能节水认证网（http://www.cecp.org.cn/）公布。</w:t>
      </w:r>
    </w:p>
    <w:p>
      <w:pPr>
        <w:pStyle w:val="16"/>
        <w:spacing w:line="360" w:lineRule="exact"/>
        <w:ind w:firstLine="422" w:firstLineChars="200"/>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三、确定成交供应商</w:t>
      </w:r>
    </w:p>
    <w:p>
      <w:pPr>
        <w:pStyle w:val="16"/>
        <w:tabs>
          <w:tab w:val="left" w:pos="4214"/>
        </w:tabs>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（1）招标采购单位应当确定谈判小组推荐排名第一的竞标人为成交供应商。</w:t>
      </w:r>
    </w:p>
    <w:p>
      <w:pPr>
        <w:pStyle w:val="16"/>
        <w:spacing w:line="360" w:lineRule="exact"/>
        <w:ind w:firstLine="447" w:firstLineChars="213"/>
        <w:rPr>
          <w:rFonts w:hint="eastAsia" w:asciiTheme="minorEastAsia" w:hAnsiTheme="minorEastAsia" w:eastAsiaTheme="minorEastAsia" w:cstheme="minorEastAsia"/>
        </w:rPr>
      </w:pPr>
      <w:r>
        <w:rPr>
          <w:rFonts w:hint="eastAsia" w:asciiTheme="minorEastAsia" w:hAnsiTheme="minorEastAsia" w:eastAsiaTheme="minorEastAsia" w:cstheme="minorEastAsia"/>
        </w:rPr>
        <w:t>（2）排名第一的成交候选人放弃中标、因不可抗力提出不能履行合同，或者竞争性谈判文件规定应当提交履约保证金而在规定的期限内未能提交的，招标采购单位可以确定排名第二的成交候选人为成交供应商。</w:t>
      </w:r>
      <w:bookmarkStart w:id="31" w:name="_Toc430011367"/>
    </w:p>
    <w:p>
      <w:pPr>
        <w:pStyle w:val="16"/>
        <w:spacing w:line="360" w:lineRule="exact"/>
        <w:ind w:firstLine="447" w:firstLineChars="21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（3）第二成交候选人因前款规定的同样原因不能签订合同的，招标采购单位可以确定排名第三的成交候选人为成交供应商。</w:t>
      </w:r>
      <w:bookmarkEnd w:id="31"/>
    </w:p>
    <w:p>
      <w:pPr>
        <w:rPr>
          <w:rFonts w:hint="eastAsia" w:asciiTheme="minorEastAsia" w:hAnsiTheme="minorEastAsia" w:eastAsiaTheme="minorEastAsia" w:cstheme="minorEastAsia"/>
          <w:b/>
          <w:spacing w:val="-6"/>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6"/>
        </w:rPr>
        <w:br w:type="page"/>
      </w:r>
      <w:r>
        <w:rPr>
          <w:rFonts w:hint="eastAsia" w:asciiTheme="minorEastAsia" w:hAnsiTheme="minorEastAsia" w:eastAsiaTheme="minorEastAsia" w:cstheme="minorEastAsia"/>
        </w:rPr>
        <w:t>附：</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中小企业声明函</w:t>
      </w:r>
    </w:p>
    <w:p>
      <w:pPr>
        <w:ind w:firstLine="420" w:firstLineChars="200"/>
        <w:rPr>
          <w:rFonts w:hint="eastAsia" w:asciiTheme="minorEastAsia" w:hAnsiTheme="minorEastAsia" w:eastAsiaTheme="minorEastAsia" w:cstheme="minorEastAsia"/>
        </w:rPr>
      </w:pPr>
    </w:p>
    <w:p>
      <w:p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本公司郑重声明，根据</w:t>
      </w:r>
      <w:r>
        <w:rPr>
          <w:rFonts w:hint="eastAsia" w:asciiTheme="minorEastAsia" w:hAnsiTheme="minorEastAsia" w:eastAsiaTheme="minorEastAsia" w:cstheme="minorEastAsia"/>
          <w:kern w:val="0"/>
          <w:szCs w:val="21"/>
        </w:rPr>
        <w:t>《政府采购促进中小企业发展暂行办法》（财库[2011]181号）的规定，本公司为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（请填写：中型、小型、微型）企业。即，本公司同时满足以下条件：</w:t>
      </w:r>
    </w:p>
    <w:p>
      <w:pPr>
        <w:numPr>
          <w:ilvl w:val="0"/>
          <w:numId w:val="6"/>
        </w:num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根据《工业和信息化部、国家统计局、国家发展改革委、财政部关于印发中小企业划型标准规定的通知》（工信部联企业〔2011〕300号）规定的划分标准，本公司为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（请填写：中型、小型、微型）企业。</w:t>
      </w:r>
    </w:p>
    <w:p>
      <w:p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2.本公司参加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单位的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项目采购活动提供本企业制造的货物，由本企业承担工程、提供服务，或者提供其他</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（请填写：中型、小型、微型）企业制造的货物。本条所称货物不包括使用大型企业注册商标的货物。</w:t>
      </w:r>
    </w:p>
    <w:p>
      <w:p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本公司对上述声明的真实性负责。如有虚假，将依法承担相应责任。</w:t>
      </w:r>
    </w:p>
    <w:p>
      <w:p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spacing w:line="400" w:lineRule="exact"/>
        <w:ind w:firstLine="420" w:firstLineChars="200"/>
        <w:rPr>
          <w:rFonts w:hint="eastAsia" w:asciiTheme="minorEastAsia" w:hAnsiTheme="minorEastAsia" w:eastAsiaTheme="minorEastAsia" w:cstheme="minorEastAsia"/>
          <w:kern w:val="0"/>
          <w:szCs w:val="21"/>
        </w:rPr>
      </w:pPr>
    </w:p>
    <w:p>
      <w:pPr>
        <w:spacing w:line="400" w:lineRule="exact"/>
        <w:ind w:firstLine="420" w:firstLineChars="200"/>
        <w:rPr>
          <w:rFonts w:hint="eastAsia" w:asciiTheme="minorEastAsia" w:hAnsiTheme="minorEastAsia" w:eastAsiaTheme="minorEastAsia" w:cstheme="minorEastAsia"/>
          <w:kern w:val="0"/>
          <w:szCs w:val="21"/>
        </w:rPr>
      </w:pPr>
    </w:p>
    <w:p>
      <w:pPr>
        <w:spacing w:line="400" w:lineRule="exact"/>
        <w:ind w:firstLine="5460" w:firstLineChars="26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相关部门（盖章）：</w:t>
      </w:r>
    </w:p>
    <w:p>
      <w:pPr>
        <w:spacing w:line="40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日  期：</w:t>
      </w:r>
    </w:p>
    <w:p>
      <w:pPr>
        <w:rPr>
          <w:rFonts w:hint="eastAsia" w:asciiTheme="minorEastAsia" w:hAnsiTheme="minorEastAsia" w:eastAsiaTheme="minorEastAsia" w:cstheme="minorEastAsia"/>
          <w:b/>
          <w:spacing w:val="-6"/>
        </w:rPr>
      </w:pPr>
    </w:p>
    <w:sectPr>
      <w:pgSz w:w="11906" w:h="16838"/>
      <w:pgMar w:top="1021" w:right="964" w:bottom="1134" w:left="1418"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23</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q8dZd&#10;swEAAEYDAAAOAAAAAAAAAAEAIAAAAB8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txbxContent>
                    </wps:txbx>
                    <wps:bodyPr wrap="none" lIns="0" tIns="0" rIns="0" bIns="0">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R5plx&#10;swEAAEYDAAAOAAAAAAAAAAEAIAAAAB8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ZTvO&#10;hbEBAABJAwAADgAAAAAAAAABACAAAAAiAQAAZHJzL2Uyb0RvYy54bWxQSwUGAAAAAAYABgBZAQAA&#10;RQUAAAAA&#10;">
              <v:fill on="f" focussize="0,0"/>
              <v:stroke on="f" weight="1.2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D78EB"/>
    <w:multiLevelType w:val="singleLevel"/>
    <w:tmpl w:val="94ED78EB"/>
    <w:lvl w:ilvl="0" w:tentative="0">
      <w:start w:val="7"/>
      <w:numFmt w:val="decimal"/>
      <w:suff w:val="nothing"/>
      <w:lvlText w:val="（%1）"/>
      <w:lvlJc w:val="left"/>
    </w:lvl>
  </w:abstractNum>
  <w:abstractNum w:abstractNumId="1">
    <w:nsid w:val="F8556F29"/>
    <w:multiLevelType w:val="singleLevel"/>
    <w:tmpl w:val="F8556F29"/>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53BE6FC0"/>
    <w:multiLevelType w:val="multilevel"/>
    <w:tmpl w:val="53BE6FC0"/>
    <w:lvl w:ilvl="0" w:tentative="0">
      <w:start w:val="1"/>
      <w:numFmt w:val="decimal"/>
      <w:pStyle w:val="81"/>
      <w:lvlText w:val="%1. "/>
      <w:lvlJc w:val="left"/>
      <w:pPr>
        <w:tabs>
          <w:tab w:val="left" w:pos="839"/>
        </w:tabs>
        <w:ind w:left="839" w:hanging="419"/>
      </w:pPr>
      <w:rPr>
        <w:rFonts w:hint="eastAsia"/>
      </w:rPr>
    </w:lvl>
    <w:lvl w:ilvl="1" w:tentative="0">
      <w:start w:val="1"/>
      <w:numFmt w:val="upperLetter"/>
      <w:pStyle w:val="110"/>
      <w:lvlText w:val="%2. "/>
      <w:lvlJc w:val="left"/>
      <w:pPr>
        <w:tabs>
          <w:tab w:val="left" w:pos="420"/>
        </w:tabs>
        <w:ind w:left="420" w:hanging="420"/>
      </w:pPr>
      <w:rPr>
        <w:rFonts w:hint="eastAsia"/>
      </w:rPr>
    </w:lvl>
    <w:lvl w:ilvl="2" w:tentative="0">
      <w:start w:val="1"/>
      <w:numFmt w:val="lowerLetter"/>
      <w:pStyle w:val="48"/>
      <w:lvlText w:val="%3. "/>
      <w:lvlJc w:val="left"/>
      <w:pPr>
        <w:tabs>
          <w:tab w:val="left" w:pos="1259"/>
        </w:tabs>
        <w:ind w:left="1259" w:hanging="420"/>
      </w:pPr>
      <w:rPr>
        <w:rFonts w:hint="eastAsia"/>
      </w:rPr>
    </w:lvl>
    <w:lvl w:ilvl="3" w:tentative="0">
      <w:start w:val="1"/>
      <w:numFmt w:val="lowerLetter"/>
      <w:pStyle w:val="80"/>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4">
    <w:nsid w:val="556684EF"/>
    <w:multiLevelType w:val="singleLevel"/>
    <w:tmpl w:val="556684EF"/>
    <w:lvl w:ilvl="0" w:tentative="0">
      <w:start w:val="1"/>
      <w:numFmt w:val="decimal"/>
      <w:suff w:val="nothing"/>
      <w:lvlText w:val="%1."/>
      <w:lvlJc w:val="left"/>
    </w:lvl>
  </w:abstractNum>
  <w:abstractNum w:abstractNumId="5">
    <w:nsid w:val="57A7D9F1"/>
    <w:multiLevelType w:val="singleLevel"/>
    <w:tmpl w:val="57A7D9F1"/>
    <w:lvl w:ilvl="0" w:tentative="0">
      <w:start w:val="1"/>
      <w:numFmt w:val="chineseCounting"/>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9F"/>
    <w:rsid w:val="00015159"/>
    <w:rsid w:val="0003112B"/>
    <w:rsid w:val="00033C58"/>
    <w:rsid w:val="00047FB8"/>
    <w:rsid w:val="00052283"/>
    <w:rsid w:val="00056544"/>
    <w:rsid w:val="00056852"/>
    <w:rsid w:val="00057DD7"/>
    <w:rsid w:val="00063275"/>
    <w:rsid w:val="00073A8E"/>
    <w:rsid w:val="000865B6"/>
    <w:rsid w:val="00090438"/>
    <w:rsid w:val="00090939"/>
    <w:rsid w:val="00090CD2"/>
    <w:rsid w:val="00090EC7"/>
    <w:rsid w:val="00093BD8"/>
    <w:rsid w:val="00093DA1"/>
    <w:rsid w:val="000A4868"/>
    <w:rsid w:val="000B0230"/>
    <w:rsid w:val="000B2774"/>
    <w:rsid w:val="000C5ACE"/>
    <w:rsid w:val="000C61E1"/>
    <w:rsid w:val="000C6E09"/>
    <w:rsid w:val="000D5754"/>
    <w:rsid w:val="000E3FAB"/>
    <w:rsid w:val="000E538B"/>
    <w:rsid w:val="000F1B58"/>
    <w:rsid w:val="000F2864"/>
    <w:rsid w:val="000F3B54"/>
    <w:rsid w:val="000F5DD6"/>
    <w:rsid w:val="0010059A"/>
    <w:rsid w:val="00103C1E"/>
    <w:rsid w:val="001062AE"/>
    <w:rsid w:val="0010706E"/>
    <w:rsid w:val="00111180"/>
    <w:rsid w:val="001222A9"/>
    <w:rsid w:val="00124066"/>
    <w:rsid w:val="00136315"/>
    <w:rsid w:val="00144258"/>
    <w:rsid w:val="00151FE6"/>
    <w:rsid w:val="00151FFE"/>
    <w:rsid w:val="0015790F"/>
    <w:rsid w:val="00160DF1"/>
    <w:rsid w:val="00172A27"/>
    <w:rsid w:val="00174008"/>
    <w:rsid w:val="00176C8D"/>
    <w:rsid w:val="001835A4"/>
    <w:rsid w:val="00185841"/>
    <w:rsid w:val="00190F6F"/>
    <w:rsid w:val="00196D25"/>
    <w:rsid w:val="001A09D3"/>
    <w:rsid w:val="001A570F"/>
    <w:rsid w:val="001A5D4E"/>
    <w:rsid w:val="001A6A44"/>
    <w:rsid w:val="001B6BE3"/>
    <w:rsid w:val="001B77CD"/>
    <w:rsid w:val="001C1DA4"/>
    <w:rsid w:val="001D07A5"/>
    <w:rsid w:val="001D6588"/>
    <w:rsid w:val="001E3184"/>
    <w:rsid w:val="00201B1E"/>
    <w:rsid w:val="00202E48"/>
    <w:rsid w:val="002247DA"/>
    <w:rsid w:val="00225C33"/>
    <w:rsid w:val="002373F6"/>
    <w:rsid w:val="00237A91"/>
    <w:rsid w:val="0024134D"/>
    <w:rsid w:val="00252BC0"/>
    <w:rsid w:val="00263C54"/>
    <w:rsid w:val="00263EF7"/>
    <w:rsid w:val="00266787"/>
    <w:rsid w:val="00271A36"/>
    <w:rsid w:val="002746F7"/>
    <w:rsid w:val="00275D36"/>
    <w:rsid w:val="00276B97"/>
    <w:rsid w:val="002825CC"/>
    <w:rsid w:val="00283766"/>
    <w:rsid w:val="0028433B"/>
    <w:rsid w:val="002844D1"/>
    <w:rsid w:val="0028461D"/>
    <w:rsid w:val="00285706"/>
    <w:rsid w:val="0028594A"/>
    <w:rsid w:val="00286411"/>
    <w:rsid w:val="00290682"/>
    <w:rsid w:val="00290FB9"/>
    <w:rsid w:val="00291C0A"/>
    <w:rsid w:val="00291D79"/>
    <w:rsid w:val="00291F7D"/>
    <w:rsid w:val="00297727"/>
    <w:rsid w:val="002A3BCE"/>
    <w:rsid w:val="002A5B66"/>
    <w:rsid w:val="002A7449"/>
    <w:rsid w:val="002B0EAC"/>
    <w:rsid w:val="002C491B"/>
    <w:rsid w:val="002D1113"/>
    <w:rsid w:val="002D5A3F"/>
    <w:rsid w:val="002D6FFB"/>
    <w:rsid w:val="002F2A98"/>
    <w:rsid w:val="002F3A10"/>
    <w:rsid w:val="00302EF5"/>
    <w:rsid w:val="0030664A"/>
    <w:rsid w:val="003071C9"/>
    <w:rsid w:val="00312508"/>
    <w:rsid w:val="003146A8"/>
    <w:rsid w:val="003167F1"/>
    <w:rsid w:val="0031750E"/>
    <w:rsid w:val="0031795F"/>
    <w:rsid w:val="003238FE"/>
    <w:rsid w:val="0032481F"/>
    <w:rsid w:val="00325D14"/>
    <w:rsid w:val="00326413"/>
    <w:rsid w:val="00326A28"/>
    <w:rsid w:val="00327F95"/>
    <w:rsid w:val="003450F1"/>
    <w:rsid w:val="00347673"/>
    <w:rsid w:val="0035277F"/>
    <w:rsid w:val="003620C4"/>
    <w:rsid w:val="0036303A"/>
    <w:rsid w:val="00364F02"/>
    <w:rsid w:val="0037496E"/>
    <w:rsid w:val="00375BD3"/>
    <w:rsid w:val="00376BA4"/>
    <w:rsid w:val="0039115B"/>
    <w:rsid w:val="00394252"/>
    <w:rsid w:val="00394BA8"/>
    <w:rsid w:val="003A2907"/>
    <w:rsid w:val="003A2C6F"/>
    <w:rsid w:val="003A4A99"/>
    <w:rsid w:val="003B00F3"/>
    <w:rsid w:val="003B2876"/>
    <w:rsid w:val="003C0BDC"/>
    <w:rsid w:val="003D408D"/>
    <w:rsid w:val="003E0A93"/>
    <w:rsid w:val="003E2BE6"/>
    <w:rsid w:val="003E2C65"/>
    <w:rsid w:val="003F251E"/>
    <w:rsid w:val="003F368B"/>
    <w:rsid w:val="003F5D0E"/>
    <w:rsid w:val="003F6E48"/>
    <w:rsid w:val="0040220A"/>
    <w:rsid w:val="004111FA"/>
    <w:rsid w:val="00411B20"/>
    <w:rsid w:val="00412519"/>
    <w:rsid w:val="00414A71"/>
    <w:rsid w:val="004305CF"/>
    <w:rsid w:val="00430A2E"/>
    <w:rsid w:val="0044285A"/>
    <w:rsid w:val="00447872"/>
    <w:rsid w:val="00460BD6"/>
    <w:rsid w:val="0046537E"/>
    <w:rsid w:val="004666BB"/>
    <w:rsid w:val="004713F5"/>
    <w:rsid w:val="004723DD"/>
    <w:rsid w:val="004731A2"/>
    <w:rsid w:val="004734D7"/>
    <w:rsid w:val="0048094B"/>
    <w:rsid w:val="0048315E"/>
    <w:rsid w:val="00490BCE"/>
    <w:rsid w:val="00494944"/>
    <w:rsid w:val="004A2CEA"/>
    <w:rsid w:val="004A5072"/>
    <w:rsid w:val="004C1E1F"/>
    <w:rsid w:val="004C2992"/>
    <w:rsid w:val="004C3600"/>
    <w:rsid w:val="004D1553"/>
    <w:rsid w:val="004D6ACA"/>
    <w:rsid w:val="004F2691"/>
    <w:rsid w:val="004F435B"/>
    <w:rsid w:val="004F4D88"/>
    <w:rsid w:val="00506686"/>
    <w:rsid w:val="00507A7C"/>
    <w:rsid w:val="005109C9"/>
    <w:rsid w:val="00511346"/>
    <w:rsid w:val="00511EF9"/>
    <w:rsid w:val="00520E0B"/>
    <w:rsid w:val="00525F53"/>
    <w:rsid w:val="00535D7D"/>
    <w:rsid w:val="00536B26"/>
    <w:rsid w:val="00540D38"/>
    <w:rsid w:val="00545F5C"/>
    <w:rsid w:val="005548A9"/>
    <w:rsid w:val="005673E2"/>
    <w:rsid w:val="00567AF2"/>
    <w:rsid w:val="00572986"/>
    <w:rsid w:val="005749A3"/>
    <w:rsid w:val="0057619F"/>
    <w:rsid w:val="0057675D"/>
    <w:rsid w:val="00580363"/>
    <w:rsid w:val="00585902"/>
    <w:rsid w:val="0058617E"/>
    <w:rsid w:val="00587027"/>
    <w:rsid w:val="0059081B"/>
    <w:rsid w:val="00591DB8"/>
    <w:rsid w:val="005A3212"/>
    <w:rsid w:val="005A5C66"/>
    <w:rsid w:val="005B4F59"/>
    <w:rsid w:val="005B7728"/>
    <w:rsid w:val="005C43A3"/>
    <w:rsid w:val="005C4CCC"/>
    <w:rsid w:val="005C766D"/>
    <w:rsid w:val="00604257"/>
    <w:rsid w:val="006047CD"/>
    <w:rsid w:val="0061278D"/>
    <w:rsid w:val="006127B4"/>
    <w:rsid w:val="00624867"/>
    <w:rsid w:val="00624FB2"/>
    <w:rsid w:val="00625256"/>
    <w:rsid w:val="00630BB4"/>
    <w:rsid w:val="006408BB"/>
    <w:rsid w:val="006438EB"/>
    <w:rsid w:val="00661AD7"/>
    <w:rsid w:val="00667421"/>
    <w:rsid w:val="00667FCF"/>
    <w:rsid w:val="00673874"/>
    <w:rsid w:val="00675F66"/>
    <w:rsid w:val="00692E4E"/>
    <w:rsid w:val="006A580A"/>
    <w:rsid w:val="006A73B2"/>
    <w:rsid w:val="006B0F5A"/>
    <w:rsid w:val="006C1667"/>
    <w:rsid w:val="006C58B2"/>
    <w:rsid w:val="006C67F1"/>
    <w:rsid w:val="006D0414"/>
    <w:rsid w:val="006D0F15"/>
    <w:rsid w:val="006D1E42"/>
    <w:rsid w:val="006D6187"/>
    <w:rsid w:val="006E333D"/>
    <w:rsid w:val="006F3303"/>
    <w:rsid w:val="006F52FA"/>
    <w:rsid w:val="006F70FA"/>
    <w:rsid w:val="006F751A"/>
    <w:rsid w:val="007032B5"/>
    <w:rsid w:val="007039D4"/>
    <w:rsid w:val="0070623D"/>
    <w:rsid w:val="00711064"/>
    <w:rsid w:val="00717082"/>
    <w:rsid w:val="007221C7"/>
    <w:rsid w:val="00747D15"/>
    <w:rsid w:val="00755B43"/>
    <w:rsid w:val="007566CB"/>
    <w:rsid w:val="0076331A"/>
    <w:rsid w:val="00763799"/>
    <w:rsid w:val="00764A50"/>
    <w:rsid w:val="00765C17"/>
    <w:rsid w:val="0076741E"/>
    <w:rsid w:val="00767BEA"/>
    <w:rsid w:val="0078143F"/>
    <w:rsid w:val="00785397"/>
    <w:rsid w:val="0079217D"/>
    <w:rsid w:val="007A4A18"/>
    <w:rsid w:val="007B425B"/>
    <w:rsid w:val="007B5B6F"/>
    <w:rsid w:val="007C2C56"/>
    <w:rsid w:val="007C6F09"/>
    <w:rsid w:val="007C7788"/>
    <w:rsid w:val="007D109D"/>
    <w:rsid w:val="007D7B67"/>
    <w:rsid w:val="007D7FF1"/>
    <w:rsid w:val="007E0244"/>
    <w:rsid w:val="007E1341"/>
    <w:rsid w:val="007E43E4"/>
    <w:rsid w:val="007E6857"/>
    <w:rsid w:val="007E791A"/>
    <w:rsid w:val="007F59B0"/>
    <w:rsid w:val="007F7E52"/>
    <w:rsid w:val="00801AC7"/>
    <w:rsid w:val="00802962"/>
    <w:rsid w:val="008354AA"/>
    <w:rsid w:val="0085146B"/>
    <w:rsid w:val="00862FAC"/>
    <w:rsid w:val="00885D86"/>
    <w:rsid w:val="00897072"/>
    <w:rsid w:val="0089748D"/>
    <w:rsid w:val="00897A67"/>
    <w:rsid w:val="008A0242"/>
    <w:rsid w:val="008A0FD9"/>
    <w:rsid w:val="008A52D9"/>
    <w:rsid w:val="008B5D6B"/>
    <w:rsid w:val="008B7EA6"/>
    <w:rsid w:val="008C1570"/>
    <w:rsid w:val="008C596D"/>
    <w:rsid w:val="008C7AFF"/>
    <w:rsid w:val="008D1575"/>
    <w:rsid w:val="008E2D6D"/>
    <w:rsid w:val="008E5826"/>
    <w:rsid w:val="008F4A96"/>
    <w:rsid w:val="00902F99"/>
    <w:rsid w:val="00905B6A"/>
    <w:rsid w:val="009138E0"/>
    <w:rsid w:val="00920CA9"/>
    <w:rsid w:val="009221A7"/>
    <w:rsid w:val="009302EE"/>
    <w:rsid w:val="00931F6E"/>
    <w:rsid w:val="0093323B"/>
    <w:rsid w:val="0093351A"/>
    <w:rsid w:val="00937640"/>
    <w:rsid w:val="009414F0"/>
    <w:rsid w:val="00943B54"/>
    <w:rsid w:val="00947015"/>
    <w:rsid w:val="009554B3"/>
    <w:rsid w:val="00960492"/>
    <w:rsid w:val="00960ECE"/>
    <w:rsid w:val="00966DAE"/>
    <w:rsid w:val="00974918"/>
    <w:rsid w:val="00981907"/>
    <w:rsid w:val="0098770F"/>
    <w:rsid w:val="0099319C"/>
    <w:rsid w:val="00994D09"/>
    <w:rsid w:val="009B1DAA"/>
    <w:rsid w:val="009B3F15"/>
    <w:rsid w:val="009B50F1"/>
    <w:rsid w:val="009B688E"/>
    <w:rsid w:val="009C7847"/>
    <w:rsid w:val="009D31DA"/>
    <w:rsid w:val="009D66A1"/>
    <w:rsid w:val="009E0080"/>
    <w:rsid w:val="009F3DD4"/>
    <w:rsid w:val="009F4C81"/>
    <w:rsid w:val="00A054C8"/>
    <w:rsid w:val="00A0787F"/>
    <w:rsid w:val="00A24A1B"/>
    <w:rsid w:val="00A24E8A"/>
    <w:rsid w:val="00A25F64"/>
    <w:rsid w:val="00A26C66"/>
    <w:rsid w:val="00A275CA"/>
    <w:rsid w:val="00A30DF4"/>
    <w:rsid w:val="00A3376A"/>
    <w:rsid w:val="00A339FB"/>
    <w:rsid w:val="00A34CED"/>
    <w:rsid w:val="00A353BF"/>
    <w:rsid w:val="00A3630D"/>
    <w:rsid w:val="00A40BD5"/>
    <w:rsid w:val="00A43EE1"/>
    <w:rsid w:val="00A5236A"/>
    <w:rsid w:val="00A630C3"/>
    <w:rsid w:val="00A66FEB"/>
    <w:rsid w:val="00A73EA5"/>
    <w:rsid w:val="00A82C9E"/>
    <w:rsid w:val="00A8489C"/>
    <w:rsid w:val="00A93376"/>
    <w:rsid w:val="00A93477"/>
    <w:rsid w:val="00AA5B23"/>
    <w:rsid w:val="00AA6B71"/>
    <w:rsid w:val="00AC651B"/>
    <w:rsid w:val="00AD0C98"/>
    <w:rsid w:val="00AD726F"/>
    <w:rsid w:val="00AD72DA"/>
    <w:rsid w:val="00AE41C5"/>
    <w:rsid w:val="00AE4B1A"/>
    <w:rsid w:val="00AF65BE"/>
    <w:rsid w:val="00B02D71"/>
    <w:rsid w:val="00B02D7B"/>
    <w:rsid w:val="00B13130"/>
    <w:rsid w:val="00B174E1"/>
    <w:rsid w:val="00B267A8"/>
    <w:rsid w:val="00B42B23"/>
    <w:rsid w:val="00B430E4"/>
    <w:rsid w:val="00B47453"/>
    <w:rsid w:val="00B60A91"/>
    <w:rsid w:val="00B61350"/>
    <w:rsid w:val="00B75A1A"/>
    <w:rsid w:val="00B82231"/>
    <w:rsid w:val="00B82767"/>
    <w:rsid w:val="00B839F3"/>
    <w:rsid w:val="00B9428E"/>
    <w:rsid w:val="00B94926"/>
    <w:rsid w:val="00B94B93"/>
    <w:rsid w:val="00BA06E9"/>
    <w:rsid w:val="00BA2B2F"/>
    <w:rsid w:val="00BB1B3D"/>
    <w:rsid w:val="00BB5D98"/>
    <w:rsid w:val="00BB6DA5"/>
    <w:rsid w:val="00BC26CC"/>
    <w:rsid w:val="00BD6267"/>
    <w:rsid w:val="00BE0488"/>
    <w:rsid w:val="00BE1608"/>
    <w:rsid w:val="00BF4419"/>
    <w:rsid w:val="00BF50FE"/>
    <w:rsid w:val="00C02F09"/>
    <w:rsid w:val="00C0571C"/>
    <w:rsid w:val="00C276E0"/>
    <w:rsid w:val="00C30537"/>
    <w:rsid w:val="00C34971"/>
    <w:rsid w:val="00C355E3"/>
    <w:rsid w:val="00C41C10"/>
    <w:rsid w:val="00C429A3"/>
    <w:rsid w:val="00C447FE"/>
    <w:rsid w:val="00C4649D"/>
    <w:rsid w:val="00C47134"/>
    <w:rsid w:val="00C6148C"/>
    <w:rsid w:val="00C618EE"/>
    <w:rsid w:val="00C72BCD"/>
    <w:rsid w:val="00C74479"/>
    <w:rsid w:val="00C82693"/>
    <w:rsid w:val="00C845A1"/>
    <w:rsid w:val="00C90EB1"/>
    <w:rsid w:val="00CA07D0"/>
    <w:rsid w:val="00CA085A"/>
    <w:rsid w:val="00CB262F"/>
    <w:rsid w:val="00CB3FBD"/>
    <w:rsid w:val="00CB54B3"/>
    <w:rsid w:val="00CB77BB"/>
    <w:rsid w:val="00CC0B3C"/>
    <w:rsid w:val="00CC318E"/>
    <w:rsid w:val="00CC60C8"/>
    <w:rsid w:val="00CD46A5"/>
    <w:rsid w:val="00CD7AC5"/>
    <w:rsid w:val="00CE200F"/>
    <w:rsid w:val="00CF106B"/>
    <w:rsid w:val="00CF29AB"/>
    <w:rsid w:val="00CF29AC"/>
    <w:rsid w:val="00D12FE3"/>
    <w:rsid w:val="00D21192"/>
    <w:rsid w:val="00D228BA"/>
    <w:rsid w:val="00D2315F"/>
    <w:rsid w:val="00D24100"/>
    <w:rsid w:val="00D24A1F"/>
    <w:rsid w:val="00D31D48"/>
    <w:rsid w:val="00D34851"/>
    <w:rsid w:val="00D363C8"/>
    <w:rsid w:val="00D40400"/>
    <w:rsid w:val="00D415A4"/>
    <w:rsid w:val="00D41961"/>
    <w:rsid w:val="00D427D8"/>
    <w:rsid w:val="00D44750"/>
    <w:rsid w:val="00D4605E"/>
    <w:rsid w:val="00D53825"/>
    <w:rsid w:val="00D618B1"/>
    <w:rsid w:val="00D64ED9"/>
    <w:rsid w:val="00D6546F"/>
    <w:rsid w:val="00D656D0"/>
    <w:rsid w:val="00D800C0"/>
    <w:rsid w:val="00D80AE6"/>
    <w:rsid w:val="00DA71B2"/>
    <w:rsid w:val="00DB46B8"/>
    <w:rsid w:val="00DB4C92"/>
    <w:rsid w:val="00DB5A95"/>
    <w:rsid w:val="00DB74EA"/>
    <w:rsid w:val="00DC1BDD"/>
    <w:rsid w:val="00DC2F43"/>
    <w:rsid w:val="00DC6E71"/>
    <w:rsid w:val="00DC76CA"/>
    <w:rsid w:val="00DD3FE4"/>
    <w:rsid w:val="00DD62B1"/>
    <w:rsid w:val="00DD6DE9"/>
    <w:rsid w:val="00DE22E7"/>
    <w:rsid w:val="00DE3092"/>
    <w:rsid w:val="00DE42E3"/>
    <w:rsid w:val="00DE6717"/>
    <w:rsid w:val="00DF630F"/>
    <w:rsid w:val="00E01ADA"/>
    <w:rsid w:val="00E07EC7"/>
    <w:rsid w:val="00E15C49"/>
    <w:rsid w:val="00E15F81"/>
    <w:rsid w:val="00E17F61"/>
    <w:rsid w:val="00E33349"/>
    <w:rsid w:val="00E41105"/>
    <w:rsid w:val="00E44838"/>
    <w:rsid w:val="00E45A51"/>
    <w:rsid w:val="00E5241B"/>
    <w:rsid w:val="00E544D2"/>
    <w:rsid w:val="00E56F66"/>
    <w:rsid w:val="00E57D7C"/>
    <w:rsid w:val="00E61928"/>
    <w:rsid w:val="00E626B7"/>
    <w:rsid w:val="00E67B7F"/>
    <w:rsid w:val="00E67F69"/>
    <w:rsid w:val="00E716D6"/>
    <w:rsid w:val="00E71D13"/>
    <w:rsid w:val="00E7432C"/>
    <w:rsid w:val="00E84C74"/>
    <w:rsid w:val="00E84E13"/>
    <w:rsid w:val="00E85DEC"/>
    <w:rsid w:val="00E85FDD"/>
    <w:rsid w:val="00E86763"/>
    <w:rsid w:val="00E9179D"/>
    <w:rsid w:val="00E968F5"/>
    <w:rsid w:val="00E96F79"/>
    <w:rsid w:val="00EA355E"/>
    <w:rsid w:val="00EB1902"/>
    <w:rsid w:val="00EB4631"/>
    <w:rsid w:val="00EC3C6C"/>
    <w:rsid w:val="00EC71AE"/>
    <w:rsid w:val="00ED0759"/>
    <w:rsid w:val="00ED0D57"/>
    <w:rsid w:val="00ED1F1B"/>
    <w:rsid w:val="00EE0DC9"/>
    <w:rsid w:val="00EE76C4"/>
    <w:rsid w:val="00EF0EE3"/>
    <w:rsid w:val="00EF2BFC"/>
    <w:rsid w:val="00EF3555"/>
    <w:rsid w:val="00EF366C"/>
    <w:rsid w:val="00EF628F"/>
    <w:rsid w:val="00F067B3"/>
    <w:rsid w:val="00F1192F"/>
    <w:rsid w:val="00F1302C"/>
    <w:rsid w:val="00F31FF1"/>
    <w:rsid w:val="00F408F6"/>
    <w:rsid w:val="00F540F2"/>
    <w:rsid w:val="00F5711A"/>
    <w:rsid w:val="00F703B6"/>
    <w:rsid w:val="00F72636"/>
    <w:rsid w:val="00F73081"/>
    <w:rsid w:val="00F939D0"/>
    <w:rsid w:val="00FA20AA"/>
    <w:rsid w:val="00FC0870"/>
    <w:rsid w:val="00FD4379"/>
    <w:rsid w:val="00FD5335"/>
    <w:rsid w:val="00FE2A7B"/>
    <w:rsid w:val="00FE61E2"/>
    <w:rsid w:val="00FF163C"/>
    <w:rsid w:val="019A362C"/>
    <w:rsid w:val="01FB23CB"/>
    <w:rsid w:val="024D0997"/>
    <w:rsid w:val="030422A1"/>
    <w:rsid w:val="0343026C"/>
    <w:rsid w:val="035235A0"/>
    <w:rsid w:val="03EC1A99"/>
    <w:rsid w:val="04B932C8"/>
    <w:rsid w:val="04C31677"/>
    <w:rsid w:val="04D05E67"/>
    <w:rsid w:val="04F93E49"/>
    <w:rsid w:val="052A3DAE"/>
    <w:rsid w:val="053F0721"/>
    <w:rsid w:val="056D3E07"/>
    <w:rsid w:val="06D24B0E"/>
    <w:rsid w:val="071A14C1"/>
    <w:rsid w:val="07944BFB"/>
    <w:rsid w:val="08377C87"/>
    <w:rsid w:val="088E0696"/>
    <w:rsid w:val="08E74FC2"/>
    <w:rsid w:val="09737AF7"/>
    <w:rsid w:val="099E6701"/>
    <w:rsid w:val="09E57137"/>
    <w:rsid w:val="0A4B47D9"/>
    <w:rsid w:val="0AA467B1"/>
    <w:rsid w:val="0AD14AD8"/>
    <w:rsid w:val="0B1A2795"/>
    <w:rsid w:val="0B200D02"/>
    <w:rsid w:val="0B520264"/>
    <w:rsid w:val="0B9C1F13"/>
    <w:rsid w:val="0BCD3019"/>
    <w:rsid w:val="0BFD550C"/>
    <w:rsid w:val="0C4B2F74"/>
    <w:rsid w:val="0C670964"/>
    <w:rsid w:val="0C7D29FF"/>
    <w:rsid w:val="0CA86AC6"/>
    <w:rsid w:val="0DFB6B7F"/>
    <w:rsid w:val="0E1B4EB5"/>
    <w:rsid w:val="0E870D1C"/>
    <w:rsid w:val="0F0E5354"/>
    <w:rsid w:val="0F2A5D89"/>
    <w:rsid w:val="0F4C09CB"/>
    <w:rsid w:val="0FB70195"/>
    <w:rsid w:val="0FD9288C"/>
    <w:rsid w:val="0FE30C1D"/>
    <w:rsid w:val="10082C9A"/>
    <w:rsid w:val="10151328"/>
    <w:rsid w:val="116C7C60"/>
    <w:rsid w:val="11E00C00"/>
    <w:rsid w:val="11E164E5"/>
    <w:rsid w:val="12B77F7A"/>
    <w:rsid w:val="12CE7B3A"/>
    <w:rsid w:val="13C442FB"/>
    <w:rsid w:val="142950E8"/>
    <w:rsid w:val="144C52D9"/>
    <w:rsid w:val="14767D36"/>
    <w:rsid w:val="148C1946"/>
    <w:rsid w:val="14EF3763"/>
    <w:rsid w:val="15722FC2"/>
    <w:rsid w:val="15AD5606"/>
    <w:rsid w:val="164E730B"/>
    <w:rsid w:val="167D0BB9"/>
    <w:rsid w:val="16C1148E"/>
    <w:rsid w:val="16ED3291"/>
    <w:rsid w:val="17075266"/>
    <w:rsid w:val="17100F75"/>
    <w:rsid w:val="17452939"/>
    <w:rsid w:val="17F40F01"/>
    <w:rsid w:val="18007CD6"/>
    <w:rsid w:val="18115E18"/>
    <w:rsid w:val="181D051D"/>
    <w:rsid w:val="18542BF6"/>
    <w:rsid w:val="188F6711"/>
    <w:rsid w:val="194331D7"/>
    <w:rsid w:val="19861B78"/>
    <w:rsid w:val="19C41B53"/>
    <w:rsid w:val="19DA1AF8"/>
    <w:rsid w:val="1A065E3F"/>
    <w:rsid w:val="1B3F26C4"/>
    <w:rsid w:val="1B6C6569"/>
    <w:rsid w:val="1C1945A6"/>
    <w:rsid w:val="1C912F6B"/>
    <w:rsid w:val="1CC7045A"/>
    <w:rsid w:val="1D804DF1"/>
    <w:rsid w:val="1DA276A3"/>
    <w:rsid w:val="1DDD315F"/>
    <w:rsid w:val="1E19298C"/>
    <w:rsid w:val="1E5F44B2"/>
    <w:rsid w:val="1E8976C4"/>
    <w:rsid w:val="1F92722A"/>
    <w:rsid w:val="1FDD218C"/>
    <w:rsid w:val="20163B31"/>
    <w:rsid w:val="204C6209"/>
    <w:rsid w:val="206261AF"/>
    <w:rsid w:val="20A64850"/>
    <w:rsid w:val="20ED726E"/>
    <w:rsid w:val="21664758"/>
    <w:rsid w:val="21AF188A"/>
    <w:rsid w:val="21E862F0"/>
    <w:rsid w:val="222D7E81"/>
    <w:rsid w:val="228A48BA"/>
    <w:rsid w:val="228C453A"/>
    <w:rsid w:val="22D66F38"/>
    <w:rsid w:val="2302327F"/>
    <w:rsid w:val="234E207A"/>
    <w:rsid w:val="23842D1C"/>
    <w:rsid w:val="24EB531E"/>
    <w:rsid w:val="25111BC5"/>
    <w:rsid w:val="251B4BEA"/>
    <w:rsid w:val="25202DB8"/>
    <w:rsid w:val="25780405"/>
    <w:rsid w:val="25C96FBF"/>
    <w:rsid w:val="26303437"/>
    <w:rsid w:val="264D214C"/>
    <w:rsid w:val="269221D6"/>
    <w:rsid w:val="27256627"/>
    <w:rsid w:val="27515B91"/>
    <w:rsid w:val="283D0350"/>
    <w:rsid w:val="2841319A"/>
    <w:rsid w:val="28653DBA"/>
    <w:rsid w:val="287A4275"/>
    <w:rsid w:val="28D10507"/>
    <w:rsid w:val="2907735C"/>
    <w:rsid w:val="2921383F"/>
    <w:rsid w:val="294D5F4A"/>
    <w:rsid w:val="296876C8"/>
    <w:rsid w:val="299A6986"/>
    <w:rsid w:val="29B5077A"/>
    <w:rsid w:val="29D56AB0"/>
    <w:rsid w:val="2A1160BB"/>
    <w:rsid w:val="2A174FEB"/>
    <w:rsid w:val="2A412CAD"/>
    <w:rsid w:val="2B470F10"/>
    <w:rsid w:val="2B5C5632"/>
    <w:rsid w:val="2BB67386"/>
    <w:rsid w:val="2BEF01F1"/>
    <w:rsid w:val="2BF62162"/>
    <w:rsid w:val="2CA10E51"/>
    <w:rsid w:val="2CFD1650"/>
    <w:rsid w:val="2D1E4AA8"/>
    <w:rsid w:val="2D455860"/>
    <w:rsid w:val="2D8A10A4"/>
    <w:rsid w:val="2DD227B8"/>
    <w:rsid w:val="2DD50DE5"/>
    <w:rsid w:val="2E76241C"/>
    <w:rsid w:val="2E82160A"/>
    <w:rsid w:val="2EEE229A"/>
    <w:rsid w:val="2EFE77A4"/>
    <w:rsid w:val="2FB5522B"/>
    <w:rsid w:val="304B75EA"/>
    <w:rsid w:val="306B24CC"/>
    <w:rsid w:val="30D300DA"/>
    <w:rsid w:val="30E62A17"/>
    <w:rsid w:val="316C5837"/>
    <w:rsid w:val="318E12DA"/>
    <w:rsid w:val="328714F2"/>
    <w:rsid w:val="32884AFF"/>
    <w:rsid w:val="32C07DF8"/>
    <w:rsid w:val="33976CA5"/>
    <w:rsid w:val="34184A47"/>
    <w:rsid w:val="34383584"/>
    <w:rsid w:val="346F23E4"/>
    <w:rsid w:val="34D56005"/>
    <w:rsid w:val="355C7D20"/>
    <w:rsid w:val="35E43300"/>
    <w:rsid w:val="36386400"/>
    <w:rsid w:val="365C2C14"/>
    <w:rsid w:val="36A8274B"/>
    <w:rsid w:val="37326633"/>
    <w:rsid w:val="37E218B0"/>
    <w:rsid w:val="37E817E1"/>
    <w:rsid w:val="38FE6CBC"/>
    <w:rsid w:val="392E21AD"/>
    <w:rsid w:val="39722230"/>
    <w:rsid w:val="39902C7F"/>
    <w:rsid w:val="3A577469"/>
    <w:rsid w:val="3B1D0C49"/>
    <w:rsid w:val="3B655D27"/>
    <w:rsid w:val="3B804C3D"/>
    <w:rsid w:val="3B832B31"/>
    <w:rsid w:val="3BBA100A"/>
    <w:rsid w:val="3BCD6DC6"/>
    <w:rsid w:val="3BCF76A2"/>
    <w:rsid w:val="3C1C362D"/>
    <w:rsid w:val="3C2C6716"/>
    <w:rsid w:val="3C890058"/>
    <w:rsid w:val="3CBF2E36"/>
    <w:rsid w:val="3D100A0E"/>
    <w:rsid w:val="3D132F05"/>
    <w:rsid w:val="3D245124"/>
    <w:rsid w:val="3D5858A9"/>
    <w:rsid w:val="3D9D4187"/>
    <w:rsid w:val="3DD20CFE"/>
    <w:rsid w:val="3EF32DD6"/>
    <w:rsid w:val="3FF50156"/>
    <w:rsid w:val="400D261B"/>
    <w:rsid w:val="40252ECE"/>
    <w:rsid w:val="403B66E9"/>
    <w:rsid w:val="40857CE9"/>
    <w:rsid w:val="40EE5A55"/>
    <w:rsid w:val="411D0B95"/>
    <w:rsid w:val="4124583E"/>
    <w:rsid w:val="41523BBA"/>
    <w:rsid w:val="419F5FE7"/>
    <w:rsid w:val="41DE59EC"/>
    <w:rsid w:val="41EA08B5"/>
    <w:rsid w:val="42004FD7"/>
    <w:rsid w:val="42215587"/>
    <w:rsid w:val="42BB2AB5"/>
    <w:rsid w:val="435C7492"/>
    <w:rsid w:val="4384646D"/>
    <w:rsid w:val="444B1319"/>
    <w:rsid w:val="4468294F"/>
    <w:rsid w:val="44734598"/>
    <w:rsid w:val="44AC00B9"/>
    <w:rsid w:val="4543721B"/>
    <w:rsid w:val="455A14D6"/>
    <w:rsid w:val="457561EE"/>
    <w:rsid w:val="45776F0B"/>
    <w:rsid w:val="45A52293"/>
    <w:rsid w:val="45D85C86"/>
    <w:rsid w:val="463333B8"/>
    <w:rsid w:val="46821AA7"/>
    <w:rsid w:val="46AA20FD"/>
    <w:rsid w:val="46B3084B"/>
    <w:rsid w:val="47700D49"/>
    <w:rsid w:val="47784F2B"/>
    <w:rsid w:val="478B321A"/>
    <w:rsid w:val="47997807"/>
    <w:rsid w:val="482E5A60"/>
    <w:rsid w:val="495047EE"/>
    <w:rsid w:val="495751DE"/>
    <w:rsid w:val="495A46CD"/>
    <w:rsid w:val="49BA655F"/>
    <w:rsid w:val="49C01C50"/>
    <w:rsid w:val="4A3532D5"/>
    <w:rsid w:val="4A6B379D"/>
    <w:rsid w:val="4AC702D9"/>
    <w:rsid w:val="4AD3552E"/>
    <w:rsid w:val="4BAF6211"/>
    <w:rsid w:val="4BB61845"/>
    <w:rsid w:val="4C155006"/>
    <w:rsid w:val="4C3870AF"/>
    <w:rsid w:val="4D5D2E7B"/>
    <w:rsid w:val="4DAA437C"/>
    <w:rsid w:val="4DB53509"/>
    <w:rsid w:val="4DB90E14"/>
    <w:rsid w:val="4DB911C7"/>
    <w:rsid w:val="4E0A6C98"/>
    <w:rsid w:val="4E29761E"/>
    <w:rsid w:val="4EC029DE"/>
    <w:rsid w:val="4F1B40D5"/>
    <w:rsid w:val="4F312F4A"/>
    <w:rsid w:val="4F682B36"/>
    <w:rsid w:val="4FB87C7C"/>
    <w:rsid w:val="4FC870E4"/>
    <w:rsid w:val="504925C9"/>
    <w:rsid w:val="50961430"/>
    <w:rsid w:val="50CB08B0"/>
    <w:rsid w:val="51BB11A6"/>
    <w:rsid w:val="52830E12"/>
    <w:rsid w:val="52EA7DFB"/>
    <w:rsid w:val="531E4514"/>
    <w:rsid w:val="536357F3"/>
    <w:rsid w:val="538E0341"/>
    <w:rsid w:val="53A46AC8"/>
    <w:rsid w:val="54013658"/>
    <w:rsid w:val="543C7F40"/>
    <w:rsid w:val="545B77A1"/>
    <w:rsid w:val="54886D3A"/>
    <w:rsid w:val="548B248C"/>
    <w:rsid w:val="54E74881"/>
    <w:rsid w:val="54FA336B"/>
    <w:rsid w:val="55130771"/>
    <w:rsid w:val="558D2974"/>
    <w:rsid w:val="55A85D45"/>
    <w:rsid w:val="55CF2F59"/>
    <w:rsid w:val="55F768DA"/>
    <w:rsid w:val="56812E90"/>
    <w:rsid w:val="576143A4"/>
    <w:rsid w:val="57F428F8"/>
    <w:rsid w:val="57FB6FC8"/>
    <w:rsid w:val="582A60BF"/>
    <w:rsid w:val="58BB3024"/>
    <w:rsid w:val="593A6117"/>
    <w:rsid w:val="59D65010"/>
    <w:rsid w:val="5AAD5A8C"/>
    <w:rsid w:val="5AE470AA"/>
    <w:rsid w:val="5BE80ED6"/>
    <w:rsid w:val="5BF17FDB"/>
    <w:rsid w:val="5CD84265"/>
    <w:rsid w:val="5CFD0B30"/>
    <w:rsid w:val="5CFD2B66"/>
    <w:rsid w:val="5E2E58FA"/>
    <w:rsid w:val="5E85272E"/>
    <w:rsid w:val="5E987528"/>
    <w:rsid w:val="5EAC0070"/>
    <w:rsid w:val="5F2E24AF"/>
    <w:rsid w:val="5F4253D5"/>
    <w:rsid w:val="5F62370B"/>
    <w:rsid w:val="5FA479F8"/>
    <w:rsid w:val="5FE307E1"/>
    <w:rsid w:val="5FFA0406"/>
    <w:rsid w:val="603D645A"/>
    <w:rsid w:val="60510E15"/>
    <w:rsid w:val="609F020A"/>
    <w:rsid w:val="60AD7ECC"/>
    <w:rsid w:val="624C4702"/>
    <w:rsid w:val="62543C8B"/>
    <w:rsid w:val="626B7746"/>
    <w:rsid w:val="62736289"/>
    <w:rsid w:val="62B96091"/>
    <w:rsid w:val="62D1432C"/>
    <w:rsid w:val="62E0077F"/>
    <w:rsid w:val="63043EF7"/>
    <w:rsid w:val="63242FB0"/>
    <w:rsid w:val="63345E33"/>
    <w:rsid w:val="633D1F48"/>
    <w:rsid w:val="635B5EF9"/>
    <w:rsid w:val="64910AD9"/>
    <w:rsid w:val="653D69A4"/>
    <w:rsid w:val="65C618A4"/>
    <w:rsid w:val="671936E0"/>
    <w:rsid w:val="67365BAD"/>
    <w:rsid w:val="67470183"/>
    <w:rsid w:val="67C43A1F"/>
    <w:rsid w:val="683B3C98"/>
    <w:rsid w:val="68AD1879"/>
    <w:rsid w:val="69026F48"/>
    <w:rsid w:val="6956722D"/>
    <w:rsid w:val="696F0988"/>
    <w:rsid w:val="69757CDB"/>
    <w:rsid w:val="69EC5BE9"/>
    <w:rsid w:val="69F426A7"/>
    <w:rsid w:val="6B977093"/>
    <w:rsid w:val="6BD16124"/>
    <w:rsid w:val="6BFA5AB3"/>
    <w:rsid w:val="6C8A152D"/>
    <w:rsid w:val="6D8049B5"/>
    <w:rsid w:val="6DD73019"/>
    <w:rsid w:val="6DDC5195"/>
    <w:rsid w:val="6E2A621D"/>
    <w:rsid w:val="6E393DE4"/>
    <w:rsid w:val="6E9B2B83"/>
    <w:rsid w:val="6E9D1B01"/>
    <w:rsid w:val="6EE44BF1"/>
    <w:rsid w:val="6F5A6111"/>
    <w:rsid w:val="6F902DE3"/>
    <w:rsid w:val="6FB57B5B"/>
    <w:rsid w:val="6FE5072E"/>
    <w:rsid w:val="6FED5B27"/>
    <w:rsid w:val="70AA10FC"/>
    <w:rsid w:val="71C81ADE"/>
    <w:rsid w:val="73655FDF"/>
    <w:rsid w:val="736A080B"/>
    <w:rsid w:val="73F310C6"/>
    <w:rsid w:val="754E772C"/>
    <w:rsid w:val="75E7122B"/>
    <w:rsid w:val="762829D8"/>
    <w:rsid w:val="76473B19"/>
    <w:rsid w:val="76A04A38"/>
    <w:rsid w:val="76B344CD"/>
    <w:rsid w:val="76C975C5"/>
    <w:rsid w:val="76E27837"/>
    <w:rsid w:val="77033891"/>
    <w:rsid w:val="777C6164"/>
    <w:rsid w:val="77B37C47"/>
    <w:rsid w:val="77C05E3E"/>
    <w:rsid w:val="77CA12B3"/>
    <w:rsid w:val="77EF499A"/>
    <w:rsid w:val="77F4449A"/>
    <w:rsid w:val="77FB3DE9"/>
    <w:rsid w:val="78566D0E"/>
    <w:rsid w:val="78667397"/>
    <w:rsid w:val="78DB58D3"/>
    <w:rsid w:val="78E04DC0"/>
    <w:rsid w:val="78FE01BE"/>
    <w:rsid w:val="793E5954"/>
    <w:rsid w:val="795730C6"/>
    <w:rsid w:val="796243AE"/>
    <w:rsid w:val="797D776F"/>
    <w:rsid w:val="7A5D1687"/>
    <w:rsid w:val="7A842BF7"/>
    <w:rsid w:val="7AD95C1C"/>
    <w:rsid w:val="7AF52099"/>
    <w:rsid w:val="7AFC2853"/>
    <w:rsid w:val="7B3E0FAA"/>
    <w:rsid w:val="7B533262"/>
    <w:rsid w:val="7B7741D5"/>
    <w:rsid w:val="7BAA3C71"/>
    <w:rsid w:val="7BB9568D"/>
    <w:rsid w:val="7C0B2A10"/>
    <w:rsid w:val="7C381C4A"/>
    <w:rsid w:val="7CA67A0B"/>
    <w:rsid w:val="7D025F41"/>
    <w:rsid w:val="7D7641FB"/>
    <w:rsid w:val="7D8F0953"/>
    <w:rsid w:val="7DB4496D"/>
    <w:rsid w:val="7DC93C6B"/>
    <w:rsid w:val="7DDE038D"/>
    <w:rsid w:val="7DEE5FFB"/>
    <w:rsid w:val="7E475862"/>
    <w:rsid w:val="7E4A221A"/>
    <w:rsid w:val="7E4C02F6"/>
    <w:rsid w:val="7E596547"/>
    <w:rsid w:val="7E6D6495"/>
    <w:rsid w:val="7E7824EF"/>
    <w:rsid w:val="7E89553C"/>
    <w:rsid w:val="7F590EFE"/>
    <w:rsid w:val="7F5B0B7E"/>
    <w:rsid w:val="7F995482"/>
    <w:rsid w:val="7FBB0015"/>
    <w:rsid w:val="7FF75661"/>
    <w:rsid w:val="7FFC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spacing w:line="340" w:lineRule="exact"/>
      <w:outlineLvl w:val="0"/>
    </w:pPr>
    <w:rPr>
      <w:b/>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5">
    <w:name w:val="heading 4"/>
    <w:basedOn w:val="1"/>
    <w:next w:val="6"/>
    <w:qFormat/>
    <w:uiPriority w:val="0"/>
    <w:pPr>
      <w:keepNext/>
      <w:keepLines/>
      <w:numPr>
        <w:ilvl w:val="3"/>
        <w:numId w:val="1"/>
      </w:numPr>
      <w:spacing w:before="280" w:after="290" w:line="372" w:lineRule="auto"/>
      <w:outlineLvl w:val="3"/>
    </w:pPr>
    <w:rPr>
      <w:rFonts w:ascii="宋体" w:hAnsi="Arial" w:eastAsia="黑体"/>
      <w:b/>
      <w:sz w:val="24"/>
    </w:rPr>
  </w:style>
  <w:style w:type="paragraph" w:styleId="7">
    <w:name w:val="heading 5"/>
    <w:basedOn w:val="1"/>
    <w:next w:val="6"/>
    <w:qFormat/>
    <w:uiPriority w:val="0"/>
    <w:pPr>
      <w:keepNext/>
      <w:keepLines/>
      <w:numPr>
        <w:ilvl w:val="4"/>
        <w:numId w:val="1"/>
      </w:numPr>
      <w:spacing w:before="280" w:after="290" w:line="372" w:lineRule="auto"/>
      <w:outlineLvl w:val="4"/>
    </w:pPr>
    <w:rPr>
      <w:b/>
      <w:sz w:val="28"/>
    </w:rPr>
  </w:style>
  <w:style w:type="paragraph" w:styleId="8">
    <w:name w:val="heading 6"/>
    <w:basedOn w:val="1"/>
    <w:next w:val="6"/>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6"/>
    <w:qFormat/>
    <w:uiPriority w:val="0"/>
    <w:pPr>
      <w:keepNext/>
      <w:keepLines/>
      <w:numPr>
        <w:ilvl w:val="6"/>
        <w:numId w:val="1"/>
      </w:numPr>
      <w:spacing w:before="240" w:after="64" w:line="317" w:lineRule="auto"/>
      <w:outlineLvl w:val="6"/>
    </w:pPr>
    <w:rPr>
      <w:b/>
      <w:sz w:val="24"/>
    </w:rPr>
  </w:style>
  <w:style w:type="paragraph" w:styleId="10">
    <w:name w:val="heading 8"/>
    <w:basedOn w:val="1"/>
    <w:next w:val="6"/>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6"/>
    <w:qFormat/>
    <w:uiPriority w:val="0"/>
    <w:pPr>
      <w:keepNext/>
      <w:keepLines/>
      <w:numPr>
        <w:ilvl w:val="8"/>
        <w:numId w:val="1"/>
      </w:numPr>
      <w:spacing w:before="240" w:after="64" w:line="317"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after="120"/>
      <w:jc w:val="left"/>
    </w:pPr>
    <w:rPr>
      <w:rFonts w:ascii="宋体"/>
      <w:kern w:val="0"/>
      <w:sz w:val="34"/>
    </w:rPr>
  </w:style>
  <w:style w:type="paragraph" w:styleId="15">
    <w:name w:val="Body Text Indent"/>
    <w:basedOn w:val="1"/>
    <w:qFormat/>
    <w:uiPriority w:val="0"/>
    <w:pPr>
      <w:spacing w:line="200" w:lineRule="exact"/>
      <w:ind w:firstLine="301"/>
    </w:pPr>
    <w:rPr>
      <w:rFonts w:ascii="宋体" w:hAnsi="Courier New"/>
      <w:spacing w:val="-4"/>
      <w:sz w:val="18"/>
    </w:rPr>
  </w:style>
  <w:style w:type="paragraph" w:styleId="16">
    <w:name w:val="Plain Text"/>
    <w:basedOn w:val="1"/>
    <w:link w:val="125"/>
    <w:qFormat/>
    <w:uiPriority w:val="0"/>
    <w:rPr>
      <w:rFonts w:ascii="宋体" w:hAnsi="Courier New"/>
    </w:rPr>
  </w:style>
  <w:style w:type="paragraph" w:styleId="17">
    <w:name w:val="Date"/>
    <w:basedOn w:val="1"/>
    <w:next w:val="1"/>
    <w:qFormat/>
    <w:uiPriority w:val="0"/>
    <w:pPr>
      <w:ind w:left="100" w:leftChars="2500"/>
    </w:pPr>
    <w:rPr>
      <w:spacing w:val="30"/>
      <w:sz w:val="28"/>
    </w:rPr>
  </w:style>
  <w:style w:type="paragraph" w:styleId="18">
    <w:name w:val="Body Text Indent 2"/>
    <w:basedOn w:val="1"/>
    <w:qFormat/>
    <w:uiPriority w:val="0"/>
    <w:pPr>
      <w:spacing w:line="400" w:lineRule="exact"/>
      <w:ind w:firstLine="480"/>
    </w:p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rFonts w:ascii="宋体" w:hAnsi="Courier New"/>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宋体" w:hAnsi="Courier New"/>
      <w:sz w:val="18"/>
    </w:rPr>
  </w:style>
  <w:style w:type="paragraph" w:styleId="22">
    <w:name w:val="toc 1"/>
    <w:basedOn w:val="1"/>
    <w:next w:val="1"/>
    <w:qFormat/>
    <w:uiPriority w:val="0"/>
  </w:style>
  <w:style w:type="paragraph" w:styleId="23">
    <w:name w:val="Body Text Indent 3"/>
    <w:basedOn w:val="1"/>
    <w:qFormat/>
    <w:uiPriority w:val="0"/>
    <w:pPr>
      <w:spacing w:line="360" w:lineRule="auto"/>
      <w:ind w:firstLine="359" w:firstLineChars="171"/>
    </w:pPr>
  </w:style>
  <w:style w:type="paragraph" w:styleId="24">
    <w:name w:val="Body Text 2"/>
    <w:basedOn w:val="1"/>
    <w:qFormat/>
    <w:uiPriority w:val="0"/>
    <w:rPr>
      <w:rFonts w:ascii="宋体" w:hAnsi="Courier New"/>
      <w:sz w:val="13"/>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6">
    <w:name w:val="Normal (Web)"/>
    <w:basedOn w:val="1"/>
    <w:qFormat/>
    <w:uiPriority w:val="0"/>
    <w:rPr>
      <w:sz w:val="24"/>
    </w:rPr>
  </w:style>
  <w:style w:type="paragraph" w:styleId="27">
    <w:name w:val="index 1"/>
    <w:basedOn w:val="1"/>
    <w:next w:val="1"/>
    <w:qFormat/>
    <w:uiPriority w:val="0"/>
    <w:pPr>
      <w:spacing w:line="360" w:lineRule="exact"/>
      <w:ind w:firstLine="432" w:firstLineChars="240"/>
    </w:pPr>
    <w:rPr>
      <w:rFonts w:ascii="宋体" w:hAnsi="宋体"/>
      <w:sz w:val="18"/>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qFormat/>
    <w:uiPriority w:val="0"/>
    <w:rPr>
      <w:b/>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rFonts w:ascii="Tahoma" w:hAnsi="Tahoma"/>
      <w:b/>
      <w:sz w:val="24"/>
    </w:rPr>
  </w:style>
  <w:style w:type="character" w:styleId="34">
    <w:name w:val="page number"/>
    <w:basedOn w:val="32"/>
    <w:qFormat/>
    <w:uiPriority w:val="0"/>
  </w:style>
  <w:style w:type="character" w:styleId="35">
    <w:name w:val="FollowedHyperlink"/>
    <w:qFormat/>
    <w:uiPriority w:val="0"/>
    <w:rPr>
      <w:rFonts w:ascii="Tahoma" w:hAnsi="Tahoma"/>
      <w:color w:val="800080"/>
      <w:sz w:val="24"/>
      <w:u w:val="single"/>
    </w:rPr>
  </w:style>
  <w:style w:type="character" w:styleId="36">
    <w:name w:val="Emphasis"/>
    <w:qFormat/>
    <w:uiPriority w:val="0"/>
    <w:rPr>
      <w:rFonts w:ascii="Tahoma" w:hAnsi="Tahoma"/>
      <w:color w:val="CC0000"/>
      <w:sz w:val="24"/>
    </w:rPr>
  </w:style>
  <w:style w:type="character" w:styleId="37">
    <w:name w:val="HTML Typewriter"/>
    <w:qFormat/>
    <w:uiPriority w:val="0"/>
    <w:rPr>
      <w:rFonts w:ascii="宋体" w:hAnsi="宋体" w:eastAsia="宋体" w:cs="宋体"/>
      <w:sz w:val="18"/>
      <w:szCs w:val="18"/>
    </w:rPr>
  </w:style>
  <w:style w:type="character" w:styleId="38">
    <w:name w:val="Hyperlink"/>
    <w:qFormat/>
    <w:uiPriority w:val="0"/>
    <w:rPr>
      <w:rFonts w:ascii="Tahoma" w:hAnsi="Tahoma"/>
      <w:color w:val="0000FF"/>
      <w:sz w:val="24"/>
      <w:u w:val="single"/>
    </w:rPr>
  </w:style>
  <w:style w:type="character" w:styleId="39">
    <w:name w:val="annotation reference"/>
    <w:qFormat/>
    <w:uiPriority w:val="0"/>
    <w:rPr>
      <w:rFonts w:ascii="Tahoma" w:hAnsi="Tahoma"/>
      <w:sz w:val="21"/>
    </w:rPr>
  </w:style>
  <w:style w:type="character" w:styleId="40">
    <w:name w:val="HTML Cite"/>
    <w:qFormat/>
    <w:uiPriority w:val="0"/>
    <w:rPr>
      <w:rFonts w:ascii="Tahoma" w:hAnsi="Tahoma"/>
      <w:vanish/>
      <w:color w:val="008000"/>
      <w:sz w:val="24"/>
    </w:rPr>
  </w:style>
  <w:style w:type="paragraph" w:customStyle="1" w:styleId="4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43">
    <w:name w:val="Char"/>
    <w:basedOn w:val="1"/>
    <w:semiHidden/>
    <w:qFormat/>
    <w:uiPriority w:val="0"/>
    <w:rPr>
      <w:rFonts w:ascii="Tahoma" w:hAnsi="Tahoma" w:cs="仿宋_GB2312"/>
      <w:sz w:val="24"/>
      <w:szCs w:val="28"/>
    </w:rPr>
  </w:style>
  <w:style w:type="paragraph" w:customStyle="1" w:styleId="4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rPr>
  </w:style>
  <w:style w:type="paragraph" w:customStyle="1" w:styleId="45">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46">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正文序号 3"/>
    <w:basedOn w:val="1"/>
    <w:qFormat/>
    <w:uiPriority w:val="0"/>
    <w:pPr>
      <w:numPr>
        <w:ilvl w:val="2"/>
        <w:numId w:val="2"/>
      </w:numPr>
      <w:spacing w:before="60"/>
    </w:pPr>
    <w:rPr>
      <w:szCs w:val="24"/>
    </w:rPr>
  </w:style>
  <w:style w:type="paragraph" w:customStyle="1" w:styleId="49">
    <w:name w:val="font8"/>
    <w:basedOn w:val="1"/>
    <w:qFormat/>
    <w:uiPriority w:val="0"/>
    <w:pPr>
      <w:widowControl/>
      <w:spacing w:before="100" w:beforeAutospacing="1" w:after="100" w:afterAutospacing="1"/>
      <w:jc w:val="left"/>
    </w:pPr>
    <w:rPr>
      <w:kern w:val="0"/>
      <w:sz w:val="20"/>
    </w:rPr>
  </w:style>
  <w:style w:type="paragraph" w:customStyle="1" w:styleId="50">
    <w:name w:val="Char Char Char Char Char Char Char"/>
    <w:basedOn w:val="1"/>
    <w:qFormat/>
    <w:uiPriority w:val="0"/>
  </w:style>
  <w:style w:type="paragraph" w:customStyle="1" w:styleId="51">
    <w:name w:val="font7"/>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52">
    <w:name w:val="Char Char Char"/>
    <w:basedOn w:val="1"/>
    <w:qFormat/>
    <w:uiPriority w:val="0"/>
    <w:rPr>
      <w:rFonts w:ascii="Tahoma" w:hAnsi="Tahoma"/>
      <w:sz w:val="24"/>
    </w:rPr>
  </w:style>
  <w:style w:type="paragraph" w:customStyle="1" w:styleId="53">
    <w:name w:val="正文首行缩进2字"/>
    <w:basedOn w:val="1"/>
    <w:link w:val="122"/>
    <w:qFormat/>
    <w:uiPriority w:val="0"/>
    <w:pPr>
      <w:spacing w:line="360" w:lineRule="exact"/>
    </w:pPr>
    <w:rPr>
      <w:rFonts w:ascii="宋体" w:hAnsi="宋体"/>
      <w:b/>
      <w:color w:val="000000"/>
    </w:rPr>
  </w:style>
  <w:style w:type="paragraph" w:customStyle="1" w:styleId="5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6">
    <w:name w:val="缩进4"/>
    <w:basedOn w:val="1"/>
    <w:qFormat/>
    <w:uiPriority w:val="0"/>
    <w:pPr>
      <w:widowControl/>
      <w:spacing w:before="119" w:line="527" w:lineRule="atLeast"/>
      <w:ind w:left="901" w:firstLine="419"/>
      <w:textAlignment w:val="baseline"/>
    </w:pPr>
    <w:rPr>
      <w:color w:val="000000"/>
      <w:kern w:val="0"/>
      <w:u w:color="000000"/>
    </w:rPr>
  </w:style>
  <w:style w:type="paragraph" w:customStyle="1" w:styleId="57">
    <w:name w:val="Char Char1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5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9">
    <w:name w:val="List Paragraph1"/>
    <w:basedOn w:val="1"/>
    <w:qFormat/>
    <w:uiPriority w:val="34"/>
    <w:pPr>
      <w:ind w:firstLine="420" w:firstLineChars="200"/>
    </w:pPr>
  </w:style>
  <w:style w:type="paragraph" w:customStyle="1" w:styleId="60">
    <w:name w:val="Char Char Char Char"/>
    <w:basedOn w:val="12"/>
    <w:qFormat/>
    <w:uiPriority w:val="0"/>
    <w:rPr>
      <w:rFonts w:ascii="Tahoma" w:hAnsi="Tahoma"/>
      <w:sz w:val="24"/>
    </w:rPr>
  </w:style>
  <w:style w:type="paragraph" w:customStyle="1" w:styleId="61">
    <w:name w:val="font9"/>
    <w:basedOn w:val="1"/>
    <w:qFormat/>
    <w:uiPriority w:val="0"/>
    <w:pPr>
      <w:widowControl/>
      <w:spacing w:before="100" w:beforeAutospacing="1" w:after="100" w:afterAutospacing="1"/>
      <w:jc w:val="left"/>
    </w:pPr>
    <w:rPr>
      <w:color w:val="000000"/>
      <w:kern w:val="0"/>
      <w:sz w:val="20"/>
    </w:rPr>
  </w:style>
  <w:style w:type="paragraph" w:customStyle="1" w:styleId="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63">
    <w:name w:val="正文1"/>
    <w:basedOn w:val="1"/>
    <w:qFormat/>
    <w:uiPriority w:val="0"/>
    <w:pPr>
      <w:overflowPunct w:val="0"/>
      <w:autoSpaceDE w:val="0"/>
      <w:autoSpaceDN w:val="0"/>
      <w:adjustRightInd w:val="0"/>
      <w:spacing w:line="240" w:lineRule="atLeast"/>
      <w:jc w:val="left"/>
      <w:textAlignment w:val="baseline"/>
    </w:pPr>
    <w:rPr>
      <w:rFonts w:ascii="宋体"/>
      <w:kern w:val="0"/>
      <w:sz w:val="24"/>
    </w:rPr>
  </w:style>
  <w:style w:type="paragraph" w:customStyle="1" w:styleId="64">
    <w:name w:val="Char Char Char Char Char Char Char Char Char Char"/>
    <w:basedOn w:val="1"/>
    <w:qFormat/>
    <w:uiPriority w:val="0"/>
    <w:pPr>
      <w:widowControl/>
      <w:spacing w:line="400" w:lineRule="exact"/>
      <w:jc w:val="center"/>
    </w:pPr>
    <w:rPr>
      <w:rFonts w:ascii="Verdana" w:hAnsi="Verdana"/>
      <w:kern w:val="0"/>
      <w:lang w:eastAsia="en-US"/>
    </w:rPr>
  </w:style>
  <w:style w:type="paragraph" w:customStyle="1" w:styleId="6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styleId="66">
    <w:name w:val="List Paragraph"/>
    <w:basedOn w:val="1"/>
    <w:qFormat/>
    <w:uiPriority w:val="0"/>
    <w:pPr>
      <w:ind w:firstLine="420" w:firstLineChars="200"/>
    </w:pPr>
  </w:style>
  <w:style w:type="paragraph" w:customStyle="1" w:styleId="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8">
    <w:name w:val="style16"/>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2">
    <w:name w:val="F2"/>
    <w:basedOn w:val="1"/>
    <w:qFormat/>
    <w:uiPriority w:val="0"/>
    <w:pPr>
      <w:autoSpaceDE w:val="0"/>
      <w:autoSpaceDN w:val="0"/>
      <w:adjustRightInd w:val="0"/>
      <w:ind w:firstLine="601"/>
      <w:textAlignment w:val="baseline"/>
    </w:pPr>
    <w:rPr>
      <w:kern w:val="0"/>
      <w:sz w:val="24"/>
    </w:rPr>
  </w:style>
  <w:style w:type="paragraph" w:customStyle="1" w:styleId="73">
    <w:name w:val="节标题"/>
    <w:basedOn w:val="1"/>
    <w:next w:val="1"/>
    <w:qFormat/>
    <w:uiPriority w:val="0"/>
    <w:pPr>
      <w:widowControl/>
      <w:spacing w:line="289" w:lineRule="atLeast"/>
      <w:jc w:val="center"/>
      <w:textAlignment w:val="baseline"/>
    </w:pPr>
    <w:rPr>
      <w:color w:val="000000"/>
      <w:kern w:val="0"/>
      <w:sz w:val="28"/>
      <w:u w:color="000000"/>
    </w:rPr>
  </w:style>
  <w:style w:type="paragraph" w:customStyle="1" w:styleId="74">
    <w:name w:val="1"/>
    <w:basedOn w:val="1"/>
    <w:next w:val="16"/>
    <w:qFormat/>
    <w:uiPriority w:val="0"/>
    <w:rPr>
      <w:rFonts w:ascii="宋体" w:hAnsi="Courier New"/>
    </w:rPr>
  </w:style>
  <w:style w:type="paragraph" w:customStyle="1" w:styleId="75">
    <w:name w:val="默认段落字体 Para Char Char Char Char Char Char Char Char Char1 Char"/>
    <w:basedOn w:val="1"/>
    <w:qFormat/>
    <w:uiPriority w:val="0"/>
    <w:rPr>
      <w:rFonts w:ascii="Tahoma" w:hAnsi="Tahoma"/>
      <w:sz w:val="24"/>
    </w:rPr>
  </w:style>
  <w:style w:type="paragraph" w:customStyle="1" w:styleId="7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77">
    <w:name w:val="Char Char Char Char Char Char Char1"/>
    <w:basedOn w:val="1"/>
    <w:qFormat/>
    <w:uiPriority w:val="0"/>
  </w:style>
  <w:style w:type="paragraph" w:customStyle="1" w:styleId="7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rPr>
  </w:style>
  <w:style w:type="paragraph" w:customStyle="1" w:styleId="79">
    <w:name w:val="WPS Plain"/>
    <w:qFormat/>
    <w:uiPriority w:val="0"/>
    <w:rPr>
      <w:rFonts w:ascii="Calibri" w:hAnsi="Calibri" w:eastAsia="宋体" w:cs="Times New Roman"/>
      <w:lang w:val="en-US" w:eastAsia="zh-CN" w:bidi="ar-SA"/>
    </w:rPr>
  </w:style>
  <w:style w:type="paragraph" w:customStyle="1" w:styleId="80">
    <w:name w:val="正文序号 4"/>
    <w:basedOn w:val="1"/>
    <w:qFormat/>
    <w:uiPriority w:val="0"/>
    <w:pPr>
      <w:numPr>
        <w:ilvl w:val="3"/>
        <w:numId w:val="2"/>
      </w:numPr>
      <w:spacing w:before="60"/>
    </w:pPr>
    <w:rPr>
      <w:szCs w:val="24"/>
    </w:rPr>
  </w:style>
  <w:style w:type="paragraph" w:customStyle="1" w:styleId="81">
    <w:name w:val="正文序号 1"/>
    <w:basedOn w:val="1"/>
    <w:qFormat/>
    <w:uiPriority w:val="0"/>
    <w:pPr>
      <w:numPr>
        <w:ilvl w:val="0"/>
        <w:numId w:val="2"/>
      </w:numPr>
      <w:spacing w:before="60"/>
    </w:pPr>
    <w:rPr>
      <w:szCs w:val="24"/>
    </w:rPr>
  </w:style>
  <w:style w:type="paragraph" w:customStyle="1" w:styleId="82">
    <w:name w:val="para"/>
    <w:basedOn w:val="1"/>
    <w:qFormat/>
    <w:uiPriority w:val="0"/>
    <w:pPr>
      <w:widowControl/>
      <w:adjustRightInd w:val="0"/>
      <w:spacing w:before="160" w:line="360" w:lineRule="auto"/>
      <w:ind w:firstLine="425"/>
      <w:textAlignment w:val="baseline"/>
    </w:pPr>
    <w:rPr>
      <w:kern w:val="0"/>
      <w:sz w:val="24"/>
      <w:lang w:eastAsia="en-US"/>
    </w:rPr>
  </w:style>
  <w:style w:type="paragraph" w:customStyle="1" w:styleId="83">
    <w:name w:val="Char Char1 Char Char Char Char Char Char Char"/>
    <w:basedOn w:val="1"/>
    <w:qFormat/>
    <w:uiPriority w:val="0"/>
    <w:rPr>
      <w:rFonts w:ascii="Tahoma" w:hAnsi="Tahoma"/>
      <w:sz w:val="24"/>
    </w:rPr>
  </w:style>
  <w:style w:type="paragraph" w:customStyle="1" w:styleId="84">
    <w:name w:val="p0"/>
    <w:basedOn w:val="1"/>
    <w:qFormat/>
    <w:uiPriority w:val="0"/>
    <w:pPr>
      <w:widowControl/>
      <w:jc w:val="left"/>
    </w:pPr>
    <w:rPr>
      <w:kern w:val="0"/>
      <w:sz w:val="20"/>
    </w:rPr>
  </w:style>
  <w:style w:type="paragraph" w:customStyle="1" w:styleId="85">
    <w:name w:val="Char1"/>
    <w:basedOn w:val="1"/>
    <w:qFormat/>
    <w:uiPriority w:val="0"/>
    <w:pPr>
      <w:widowControl/>
      <w:tabs>
        <w:tab w:val="left" w:pos="509"/>
      </w:tabs>
      <w:spacing w:after="160" w:line="240" w:lineRule="exact"/>
      <w:ind w:left="252"/>
      <w:jc w:val="left"/>
    </w:pPr>
    <w:rPr>
      <w:rFonts w:ascii="宋体" w:hAnsi="Courier New"/>
    </w:rPr>
  </w:style>
  <w:style w:type="paragraph" w:customStyle="1" w:styleId="86">
    <w:name w:val="我的正文"/>
    <w:basedOn w:val="1"/>
    <w:qFormat/>
    <w:uiPriority w:val="0"/>
    <w:pPr>
      <w:spacing w:line="520" w:lineRule="exact"/>
      <w:ind w:firstLine="192" w:firstLineChars="192"/>
    </w:pPr>
    <w:rPr>
      <w:sz w:val="28"/>
      <w:szCs w:val="28"/>
    </w:rPr>
  </w:style>
  <w:style w:type="paragraph" w:customStyle="1" w:styleId="8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styleId="8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89">
    <w:name w:val="默认段落字体 Para Char Char Char Char Char Char Char Char Char Char"/>
    <w:basedOn w:val="1"/>
    <w:qFormat/>
    <w:uiPriority w:val="0"/>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rPr>
  </w:style>
  <w:style w:type="paragraph" w:customStyle="1" w:styleId="9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92">
    <w:name w:val="样式1"/>
    <w:basedOn w:val="1"/>
    <w:qFormat/>
    <w:uiPriority w:val="0"/>
  </w:style>
  <w:style w:type="paragraph" w:customStyle="1" w:styleId="9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94">
    <w:name w:val="小节标题"/>
    <w:basedOn w:val="1"/>
    <w:next w:val="1"/>
    <w:qFormat/>
    <w:uiPriority w:val="0"/>
    <w:pPr>
      <w:widowControl/>
      <w:spacing w:before="175" w:after="102" w:line="351" w:lineRule="atLeast"/>
      <w:textAlignment w:val="baseline"/>
    </w:pPr>
    <w:rPr>
      <w:rFonts w:eastAsia="黑体"/>
      <w:color w:val="000000"/>
      <w:kern w:val="0"/>
      <w:u w:color="000000"/>
    </w:rPr>
  </w:style>
  <w:style w:type="paragraph" w:customStyle="1" w:styleId="95">
    <w:name w:val="Char Char Char1"/>
    <w:basedOn w:val="1"/>
    <w:qFormat/>
    <w:uiPriority w:val="0"/>
    <w:rPr>
      <w:rFonts w:ascii="Tahoma" w:hAnsi="Tahoma"/>
      <w:sz w:val="24"/>
    </w:rPr>
  </w:style>
  <w:style w:type="paragraph" w:customStyle="1" w:styleId="96">
    <w:name w:val="Char Char Char Char Char Char1 Char"/>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97">
    <w:name w:val="Char Char"/>
    <w:basedOn w:val="1"/>
    <w:qFormat/>
    <w:uiPriority w:val="0"/>
    <w:pPr>
      <w:widowControl/>
      <w:tabs>
        <w:tab w:val="left" w:pos="509"/>
      </w:tabs>
      <w:spacing w:after="160" w:line="240" w:lineRule="exact"/>
      <w:ind w:left="252"/>
      <w:jc w:val="left"/>
    </w:pPr>
    <w:rPr>
      <w:rFonts w:ascii="Verdana" w:hAnsi="Verdana" w:eastAsia="仿宋_GB2312"/>
      <w:kern w:val="0"/>
      <w:sz w:val="24"/>
      <w:lang w:eastAsia="en-US"/>
    </w:rPr>
  </w:style>
  <w:style w:type="paragraph" w:customStyle="1" w:styleId="9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9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4"/>
    </w:rPr>
  </w:style>
  <w:style w:type="paragraph" w:customStyle="1" w:styleId="1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01">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03">
    <w:name w:val="Char Char1 Char Char Char Char Char Char"/>
    <w:basedOn w:val="1"/>
    <w:qFormat/>
    <w:uiPriority w:val="0"/>
    <w:pPr>
      <w:widowControl/>
      <w:spacing w:after="160" w:line="240" w:lineRule="exact"/>
      <w:jc w:val="left"/>
    </w:pPr>
    <w:rPr>
      <w:rFonts w:ascii="宋体" w:hAnsi="宋体"/>
      <w:sz w:val="24"/>
    </w:rPr>
  </w:style>
  <w:style w:type="paragraph" w:customStyle="1" w:styleId="104">
    <w:name w:val="3"/>
    <w:basedOn w:val="1"/>
    <w:qFormat/>
    <w:uiPriority w:val="0"/>
  </w:style>
  <w:style w:type="paragraph" w:customStyle="1" w:styleId="105">
    <w:name w:val="msolistparagraph"/>
    <w:basedOn w:val="1"/>
    <w:qFormat/>
    <w:uiPriority w:val="0"/>
    <w:pPr>
      <w:wordWrap w:val="0"/>
      <w:autoSpaceDE w:val="0"/>
      <w:autoSpaceDN w:val="0"/>
      <w:ind w:firstLine="420" w:firstLineChars="200"/>
    </w:pPr>
    <w:rPr>
      <w:szCs w:val="21"/>
    </w:rPr>
  </w:style>
  <w:style w:type="paragraph" w:customStyle="1" w:styleId="106">
    <w:name w:val="Char2"/>
    <w:basedOn w:val="12"/>
    <w:qFormat/>
    <w:uiPriority w:val="0"/>
    <w:rPr>
      <w:rFonts w:ascii="Tahoma" w:hAnsi="Tahoma"/>
      <w:sz w:val="24"/>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08">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9">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10">
    <w:name w:val="正文序号 2"/>
    <w:basedOn w:val="1"/>
    <w:qFormat/>
    <w:uiPriority w:val="0"/>
    <w:pPr>
      <w:numPr>
        <w:ilvl w:val="1"/>
        <w:numId w:val="2"/>
      </w:numPr>
      <w:tabs>
        <w:tab w:val="left" w:pos="1049"/>
        <w:tab w:val="clear" w:pos="420"/>
      </w:tabs>
      <w:spacing w:before="60"/>
      <w:ind w:left="1049"/>
    </w:pPr>
    <w:rPr>
      <w:szCs w:val="24"/>
    </w:rPr>
  </w:style>
  <w:style w:type="paragraph" w:customStyle="1" w:styleId="111">
    <w:name w:val="xl43"/>
    <w:basedOn w:val="1"/>
    <w:qFormat/>
    <w:uiPriority w:val="0"/>
    <w:pPr>
      <w:widowControl/>
      <w:spacing w:before="100" w:beforeAutospacing="1" w:after="100" w:afterAutospacing="1"/>
      <w:jc w:val="center"/>
    </w:pPr>
    <w:rPr>
      <w:rFonts w:ascii="黑体" w:hAnsi="宋体" w:eastAsia="黑体" w:cs="宋体"/>
      <w:color w:val="000000"/>
      <w:kern w:val="0"/>
      <w:sz w:val="32"/>
      <w:szCs w:val="32"/>
    </w:rPr>
  </w:style>
  <w:style w:type="paragraph" w:customStyle="1" w:styleId="112">
    <w:name w:val="Char Char2"/>
    <w:basedOn w:val="1"/>
    <w:qFormat/>
    <w:uiPriority w:val="0"/>
    <w:pPr>
      <w:widowControl/>
      <w:tabs>
        <w:tab w:val="left" w:pos="509"/>
      </w:tabs>
      <w:spacing w:after="160" w:line="240" w:lineRule="exact"/>
      <w:ind w:left="252"/>
      <w:jc w:val="left"/>
    </w:pPr>
    <w:rPr>
      <w:rFonts w:ascii="Verdana" w:hAnsi="Verdana" w:eastAsia="仿宋_GB2312"/>
      <w:kern w:val="0"/>
      <w:sz w:val="24"/>
      <w:lang w:eastAsia="en-US"/>
    </w:rPr>
  </w:style>
  <w:style w:type="paragraph" w:customStyle="1" w:styleId="11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4">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5">
    <w:name w:val="Char Char Char Char Char Char Char Char Char Char1"/>
    <w:basedOn w:val="1"/>
    <w:qFormat/>
    <w:uiPriority w:val="0"/>
    <w:pPr>
      <w:widowControl/>
      <w:spacing w:line="400" w:lineRule="exact"/>
      <w:jc w:val="center"/>
    </w:pPr>
    <w:rPr>
      <w:rFonts w:ascii="Verdana" w:hAnsi="Verdana"/>
      <w:kern w:val="0"/>
      <w:lang w:eastAsia="en-US"/>
    </w:rPr>
  </w:style>
  <w:style w:type="character" w:customStyle="1" w:styleId="116">
    <w:name w:val="title_font2"/>
    <w:qFormat/>
    <w:uiPriority w:val="0"/>
    <w:rPr>
      <w:rFonts w:ascii="Tahoma" w:hAnsi="Tahoma"/>
      <w:b/>
      <w:bCs/>
      <w:sz w:val="21"/>
      <w:szCs w:val="21"/>
    </w:rPr>
  </w:style>
  <w:style w:type="character" w:customStyle="1" w:styleId="117">
    <w:name w:val="style14"/>
    <w:basedOn w:val="32"/>
    <w:qFormat/>
    <w:uiPriority w:val="0"/>
  </w:style>
  <w:style w:type="character" w:customStyle="1" w:styleId="118">
    <w:name w:val="font21"/>
    <w:qFormat/>
    <w:uiPriority w:val="0"/>
    <w:rPr>
      <w:rFonts w:hint="eastAsia" w:ascii="宋体" w:hAnsi="宋体" w:eastAsia="宋体" w:cs="宋体"/>
      <w:color w:val="000000"/>
      <w:sz w:val="24"/>
      <w:szCs w:val="24"/>
      <w:u w:val="none"/>
    </w:rPr>
  </w:style>
  <w:style w:type="character" w:customStyle="1" w:styleId="119">
    <w:name w:val="title141"/>
    <w:qFormat/>
    <w:uiPriority w:val="0"/>
    <w:rPr>
      <w:rFonts w:ascii="Tahoma" w:hAnsi="Tahoma"/>
      <w:sz w:val="30"/>
      <w:szCs w:val="30"/>
    </w:rPr>
  </w:style>
  <w:style w:type="character" w:customStyle="1" w:styleId="120">
    <w:name w:val="unnamed21"/>
    <w:basedOn w:val="32"/>
    <w:qFormat/>
    <w:uiPriority w:val="0"/>
  </w:style>
  <w:style w:type="character" w:customStyle="1" w:styleId="121">
    <w:name w:val="style12"/>
    <w:basedOn w:val="32"/>
    <w:qFormat/>
    <w:uiPriority w:val="0"/>
  </w:style>
  <w:style w:type="character" w:customStyle="1" w:styleId="122">
    <w:name w:val="正文首行缩进2字 Char"/>
    <w:link w:val="53"/>
    <w:qFormat/>
    <w:uiPriority w:val="0"/>
    <w:rPr>
      <w:rFonts w:ascii="宋体" w:hAnsi="宋体" w:eastAsia="宋体"/>
      <w:b/>
      <w:color w:val="000000"/>
      <w:sz w:val="21"/>
      <w:lang w:val="en-US" w:eastAsia="zh-CN"/>
    </w:rPr>
  </w:style>
  <w:style w:type="character" w:customStyle="1" w:styleId="123">
    <w:name w:val="main5"/>
    <w:qFormat/>
    <w:uiPriority w:val="0"/>
    <w:rPr>
      <w:rFonts w:ascii="Tahoma" w:hAnsi="Tahoma"/>
      <w:color w:val="000000"/>
      <w:sz w:val="20"/>
      <w:szCs w:val="20"/>
    </w:rPr>
  </w:style>
  <w:style w:type="character" w:customStyle="1" w:styleId="124">
    <w:name w:val="style54"/>
    <w:basedOn w:val="32"/>
    <w:qFormat/>
    <w:uiPriority w:val="0"/>
  </w:style>
  <w:style w:type="character" w:customStyle="1" w:styleId="125">
    <w:name w:val="纯文本 Char"/>
    <w:link w:val="16"/>
    <w:qFormat/>
    <w:uiPriority w:val="0"/>
    <w:rPr>
      <w:rFonts w:ascii="宋体" w:hAnsi="Courier New"/>
      <w:kern w:val="2"/>
      <w:sz w:val="21"/>
    </w:rPr>
  </w:style>
  <w:style w:type="character" w:customStyle="1" w:styleId="126">
    <w:name w:val="h121"/>
    <w:qFormat/>
    <w:uiPriority w:val="0"/>
    <w:rPr>
      <w:rFonts w:ascii="Tahoma" w:hAnsi="Tahoma"/>
      <w:color w:val="333333"/>
      <w:sz w:val="24"/>
    </w:rPr>
  </w:style>
  <w:style w:type="character" w:customStyle="1" w:styleId="127">
    <w:name w:val="lb1"/>
    <w:qFormat/>
    <w:uiPriority w:val="0"/>
    <w:rPr>
      <w:rFonts w:hint="default" w:ascii="_x000B__x000C_" w:hAnsi="_x000B__x000C_"/>
      <w:b/>
      <w:bCs/>
      <w:color w:val="0851A5"/>
      <w:sz w:val="27"/>
      <w:szCs w:val="27"/>
    </w:rPr>
  </w:style>
  <w:style w:type="character" w:customStyle="1" w:styleId="128">
    <w:name w:val="f16b1"/>
    <w:qFormat/>
    <w:uiPriority w:val="0"/>
    <w:rPr>
      <w:rFonts w:ascii="Tahoma" w:hAnsi="Tahoma"/>
      <w:b/>
      <w:color w:val="333333"/>
      <w:sz w:val="24"/>
    </w:rPr>
  </w:style>
  <w:style w:type="character" w:customStyle="1" w:styleId="129">
    <w:name w:val="style31"/>
    <w:qFormat/>
    <w:uiPriority w:val="0"/>
    <w:rPr>
      <w:rFonts w:ascii="Tahoma" w:hAnsi="Tahoma"/>
      <w:sz w:val="18"/>
    </w:rPr>
  </w:style>
  <w:style w:type="character" w:customStyle="1" w:styleId="130">
    <w:name w:val="con-all2"/>
    <w:qFormat/>
    <w:uiPriority w:val="0"/>
    <w:rPr>
      <w:rFonts w:hint="default" w:ascii="Tahoma" w:hAnsi="Tahoma" w:cs="Tahoma"/>
      <w:sz w:val="24"/>
    </w:rPr>
  </w:style>
  <w:style w:type="character" w:customStyle="1" w:styleId="131">
    <w:name w:val="style6"/>
    <w:basedOn w:val="32"/>
    <w:qFormat/>
    <w:uiPriority w:val="0"/>
  </w:style>
  <w:style w:type="character" w:customStyle="1" w:styleId="132">
    <w:name w:val="mark"/>
    <w:basedOn w:val="32"/>
    <w:qFormat/>
    <w:uiPriority w:val="0"/>
  </w:style>
  <w:style w:type="character" w:customStyle="1" w:styleId="133">
    <w:name w:val="op-map-singlepoint-info-right1"/>
    <w:basedOn w:val="32"/>
    <w:qFormat/>
    <w:uiPriority w:val="0"/>
  </w:style>
  <w:style w:type="character" w:customStyle="1" w:styleId="134">
    <w:name w:val="3zw"/>
    <w:basedOn w:val="32"/>
    <w:qFormat/>
    <w:uiPriority w:val="0"/>
  </w:style>
  <w:style w:type="character" w:customStyle="1" w:styleId="135">
    <w:name w:val="text11"/>
    <w:qFormat/>
    <w:uiPriority w:val="0"/>
    <w:rPr>
      <w:rFonts w:hint="default" w:ascii="Verdana" w:hAnsi="Verdana"/>
      <w:color w:val="4E4E4E"/>
      <w:sz w:val="18"/>
      <w:szCs w:val="18"/>
    </w:rPr>
  </w:style>
  <w:style w:type="character" w:customStyle="1" w:styleId="136">
    <w:name w:val="1051"/>
    <w:qFormat/>
    <w:uiPriority w:val="0"/>
    <w:rPr>
      <w:rFonts w:ascii="Tahoma" w:hAnsi="Tahoma"/>
      <w:sz w:val="21"/>
    </w:rPr>
  </w:style>
  <w:style w:type="character" w:customStyle="1" w:styleId="137">
    <w:name w:val="Char Char21"/>
    <w:qFormat/>
    <w:uiPriority w:val="0"/>
    <w:rPr>
      <w:rFonts w:ascii="宋体" w:hAnsi="Courier New" w:eastAsia="宋体"/>
      <w:spacing w:val="-4"/>
      <w:kern w:val="2"/>
      <w:sz w:val="18"/>
      <w:lang w:val="en-US" w:eastAsia="zh-CN"/>
    </w:rPr>
  </w:style>
  <w:style w:type="character" w:customStyle="1" w:styleId="138">
    <w:name w:val="普通文字 Char Char1"/>
    <w:qFormat/>
    <w:uiPriority w:val="0"/>
    <w:rPr>
      <w:rFonts w:ascii="宋体" w:hAnsi="Courier New" w:eastAsia="宋体"/>
      <w:kern w:val="2"/>
      <w:sz w:val="21"/>
      <w:lang w:val="en-US" w:eastAsia="zh-CN"/>
    </w:rPr>
  </w:style>
  <w:style w:type="character" w:customStyle="1" w:styleId="139">
    <w:name w:val="font12-blue-bold1"/>
    <w:qFormat/>
    <w:uiPriority w:val="0"/>
    <w:rPr>
      <w:rFonts w:ascii="Tahoma" w:hAnsi="Tahoma"/>
      <w:b/>
      <w:color w:val="0249A5"/>
      <w:sz w:val="18"/>
      <w:u w:val="none"/>
    </w:rPr>
  </w:style>
  <w:style w:type="character" w:customStyle="1" w:styleId="140">
    <w:name w:val="style51"/>
    <w:basedOn w:val="32"/>
    <w:qFormat/>
    <w:uiPriority w:val="0"/>
  </w:style>
  <w:style w:type="character" w:customStyle="1" w:styleId="141">
    <w:name w:val="style351"/>
    <w:qFormat/>
    <w:uiPriority w:val="0"/>
    <w:rPr>
      <w:rFonts w:ascii="Tahoma" w:hAnsi="Tahoma"/>
      <w:sz w:val="15"/>
      <w:szCs w:val="15"/>
    </w:rPr>
  </w:style>
  <w:style w:type="paragraph" w:customStyle="1" w:styleId="142">
    <w:name w:val="修订1"/>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63E2B-68D0-460F-9CB4-C53EF40E54BE}">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48</Pages>
  <Words>5548</Words>
  <Characters>31629</Characters>
  <Lines>263</Lines>
  <Paragraphs>74</Paragraphs>
  <TotalTime>21</TotalTime>
  <ScaleCrop>false</ScaleCrop>
  <LinksUpToDate>false</LinksUpToDate>
  <CharactersWithSpaces>37103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2015-09-29T04:06:00Z</dcterms:created>
  <dc:creator>chendu</dc:creator>
  <dc:description>8.10</dc:description>
  <cp:lastModifiedBy>LCC</cp:lastModifiedBy>
  <cp:lastPrinted>2016-08-23T00:18:00Z</cp:lastPrinted>
  <dcterms:modified xsi:type="dcterms:W3CDTF">2020-08-03T08:08:40Z</dcterms:modified>
  <dc:title>广西科联</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