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ind w:firstLine="522" w:firstLineChars="100"/>
        <w:jc w:val="center"/>
        <w:textAlignment w:val="bottom"/>
        <w:rPr>
          <w:rFonts w:hint="eastAsia" w:ascii="仿宋" w:hAnsi="仿宋" w:eastAsia="仿宋" w:cs="仿宋"/>
          <w:b/>
          <w:bCs/>
          <w:color w:val="auto"/>
          <w:sz w:val="52"/>
          <w:szCs w:val="52"/>
        </w:rPr>
      </w:pPr>
    </w:p>
    <w:p>
      <w:pPr>
        <w:shd w:val="clear" w:color="auto" w:fill="FFFFFF"/>
        <w:tabs>
          <w:tab w:val="left" w:pos="4500"/>
        </w:tabs>
        <w:snapToGrid w:val="0"/>
        <w:spacing w:line="360" w:lineRule="auto"/>
        <w:ind w:firstLine="522" w:firstLineChars="100"/>
        <w:jc w:val="center"/>
        <w:textAlignment w:val="bottom"/>
        <w:rPr>
          <w:rFonts w:hint="eastAsia" w:ascii="仿宋" w:hAnsi="仿宋" w:eastAsia="仿宋" w:cs="仿宋"/>
          <w:b/>
          <w:bCs/>
          <w:color w:val="auto"/>
          <w:sz w:val="52"/>
          <w:szCs w:val="52"/>
        </w:rPr>
      </w:pPr>
    </w:p>
    <w:p>
      <w:pPr>
        <w:shd w:val="clear" w:color="auto" w:fill="FFFFFF"/>
        <w:tabs>
          <w:tab w:val="left" w:pos="4500"/>
        </w:tabs>
        <w:snapToGrid w:val="0"/>
        <w:spacing w:line="360" w:lineRule="auto"/>
        <w:ind w:firstLine="522" w:firstLineChars="100"/>
        <w:jc w:val="center"/>
        <w:textAlignment w:val="bottom"/>
        <w:rPr>
          <w:rFonts w:hint="eastAsia" w:ascii="仿宋" w:hAnsi="仿宋" w:eastAsia="仿宋" w:cs="仿宋"/>
          <w:b/>
          <w:bCs/>
          <w:color w:val="auto"/>
          <w:spacing w:val="6"/>
          <w:sz w:val="48"/>
          <w:szCs w:val="48"/>
        </w:rPr>
      </w:pPr>
      <w:r>
        <w:rPr>
          <w:rFonts w:hint="eastAsia" w:ascii="仿宋" w:hAnsi="仿宋" w:eastAsia="仿宋" w:cs="仿宋"/>
          <w:b/>
          <w:bCs/>
          <w:color w:val="auto"/>
          <w:sz w:val="52"/>
          <w:szCs w:val="52"/>
        </w:rPr>
        <w:t>余杭街道中南区块棚户区改造安置房项目空气能采购项目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val="en-US" w:eastAsia="zh-CN"/>
        </w:rPr>
        <w:t>ZJDDZFCG-2022-017-1</w:t>
      </w:r>
      <w:r>
        <w:rPr>
          <w:rFonts w:hint="eastAsia" w:ascii="仿宋" w:hAnsi="仿宋" w:eastAsia="仿宋" w:cs="仿宋"/>
          <w:b/>
          <w:color w:val="auto"/>
          <w:sz w:val="36"/>
          <w:szCs w:val="36"/>
          <w:highlight w:val="none"/>
        </w:rPr>
        <w:t>）</w:t>
      </w:r>
    </w:p>
    <w:p>
      <w:pPr>
        <w:snapToGrid w:val="0"/>
        <w:spacing w:line="360" w:lineRule="auto"/>
        <w:jc w:val="center"/>
        <w:rPr>
          <w:rFonts w:hint="eastAsia" w:ascii="仿宋" w:hAnsi="仿宋" w:eastAsia="仿宋" w:cs="仿宋"/>
          <w:color w:val="auto"/>
          <w:sz w:val="30"/>
          <w:szCs w:val="30"/>
        </w:rPr>
      </w:pP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采购人：</w:t>
      </w:r>
      <w:r>
        <w:rPr>
          <w:rFonts w:hint="eastAsia" w:ascii="仿宋" w:hAnsi="仿宋" w:eastAsia="仿宋" w:cs="仿宋"/>
          <w:b/>
          <w:bCs/>
          <w:color w:val="auto"/>
          <w:sz w:val="36"/>
          <w:szCs w:val="36"/>
        </w:rPr>
        <w:t>杭州市余杭区人民政府余杭街道办事处</w:t>
      </w:r>
    </w:p>
    <w:p>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
          <w:color w:val="auto"/>
          <w:sz w:val="36"/>
          <w:szCs w:val="36"/>
        </w:rPr>
        <w:t>采购代理机构：</w:t>
      </w:r>
      <w:r>
        <w:rPr>
          <w:rFonts w:hint="eastAsia" w:ascii="仿宋" w:hAnsi="仿宋" w:eastAsia="仿宋" w:cs="仿宋"/>
          <w:b/>
          <w:bCs/>
          <w:color w:val="auto"/>
          <w:sz w:val="36"/>
          <w:szCs w:val="36"/>
        </w:rPr>
        <w:t>大地工程咨询有限公司</w:t>
      </w:r>
    </w:p>
    <w:p>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32"/>
          <w:szCs w:val="32"/>
        </w:rPr>
        <w:t>二〇二二年</w:t>
      </w:r>
      <w:r>
        <w:rPr>
          <w:rFonts w:hint="eastAsia" w:ascii="仿宋" w:hAnsi="仿宋" w:eastAsia="仿宋" w:cs="仿宋"/>
          <w:bCs/>
          <w:color w:val="auto"/>
          <w:sz w:val="32"/>
          <w:szCs w:val="32"/>
          <w:lang w:eastAsia="zh-CN"/>
        </w:rPr>
        <w:t>十二</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日</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余杭街道中南区块棚户区改造安置房项目</w:t>
      </w:r>
      <w:r>
        <w:rPr>
          <w:rFonts w:hint="eastAsia" w:ascii="仿宋" w:hAnsi="仿宋" w:eastAsia="仿宋" w:cs="仿宋"/>
          <w:color w:val="auto"/>
          <w:sz w:val="24"/>
          <w:u w:val="single"/>
        </w:rPr>
        <w:t>空气能采购项目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9"/>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highlight w:val="cyan"/>
          <w:u w:val="single"/>
        </w:rPr>
        <w:t>2022年</w:t>
      </w:r>
      <w:r>
        <w:rPr>
          <w:rFonts w:hint="eastAsia" w:ascii="仿宋" w:hAnsi="仿宋" w:eastAsia="仿宋" w:cs="仿宋"/>
          <w:color w:val="auto"/>
          <w:sz w:val="24"/>
          <w:highlight w:val="cyan"/>
          <w:u w:val="single"/>
          <w:lang w:val="en-US" w:eastAsia="zh-CN"/>
        </w:rPr>
        <w:t>12</w:t>
      </w:r>
      <w:r>
        <w:rPr>
          <w:rFonts w:hint="eastAsia" w:ascii="仿宋" w:hAnsi="仿宋" w:eastAsia="仿宋" w:cs="仿宋"/>
          <w:color w:val="auto"/>
          <w:sz w:val="24"/>
          <w:highlight w:val="cyan"/>
          <w:u w:val="single"/>
        </w:rPr>
        <w:t>月</w:t>
      </w:r>
      <w:r>
        <w:rPr>
          <w:rFonts w:hint="eastAsia" w:ascii="仿宋" w:hAnsi="仿宋" w:eastAsia="仿宋" w:cs="仿宋"/>
          <w:color w:val="auto"/>
          <w:sz w:val="24"/>
          <w:highlight w:val="cyan"/>
          <w:u w:val="single"/>
          <w:lang w:val="en-US" w:eastAsia="zh-CN"/>
        </w:rPr>
        <w:t>30</w:t>
      </w:r>
      <w:r>
        <w:rPr>
          <w:rFonts w:hint="eastAsia" w:ascii="仿宋" w:hAnsi="仿宋" w:eastAsia="仿宋" w:cs="仿宋"/>
          <w:color w:val="auto"/>
          <w:sz w:val="24"/>
          <w:highlight w:val="cyan"/>
          <w:u w:val="single"/>
        </w:rPr>
        <w:t>日</w:t>
      </w:r>
      <w:r>
        <w:rPr>
          <w:rFonts w:hint="eastAsia" w:ascii="仿宋" w:hAnsi="仿宋" w:eastAsia="仿宋" w:cs="仿宋"/>
          <w:color w:val="auto"/>
          <w:sz w:val="24"/>
          <w:highlight w:val="cyan"/>
          <w:u w:val="single"/>
          <w:lang w:val="en-US" w:eastAsia="zh-CN"/>
        </w:rPr>
        <w:t>10</w:t>
      </w:r>
      <w:r>
        <w:rPr>
          <w:rFonts w:hint="eastAsia" w:ascii="仿宋" w:hAnsi="仿宋" w:eastAsia="仿宋" w:cs="仿宋"/>
          <w:color w:val="auto"/>
          <w:sz w:val="24"/>
          <w:highlight w:val="cyan"/>
          <w:u w:val="single"/>
        </w:rPr>
        <w:t>点</w:t>
      </w:r>
      <w:r>
        <w:rPr>
          <w:rFonts w:hint="eastAsia" w:ascii="仿宋" w:hAnsi="仿宋" w:eastAsia="仿宋" w:cs="仿宋"/>
          <w:color w:val="auto"/>
          <w:sz w:val="24"/>
          <w:highlight w:val="cyan"/>
          <w:u w:val="single"/>
          <w:lang w:val="en-US" w:eastAsia="zh-CN"/>
        </w:rPr>
        <w:t>00</w:t>
      </w:r>
      <w:r>
        <w:rPr>
          <w:rFonts w:hint="eastAsia" w:ascii="仿宋" w:hAnsi="仿宋" w:eastAsia="仿宋" w:cs="仿宋"/>
          <w:color w:val="auto"/>
          <w:sz w:val="24"/>
          <w:highlight w:val="cyan"/>
          <w:u w:val="single"/>
        </w:rPr>
        <w:t>分</w:t>
      </w:r>
      <w:r>
        <w:rPr>
          <w:rFonts w:hint="eastAsia" w:ascii="仿宋" w:hAnsi="仿宋" w:eastAsia="仿宋" w:cs="仿宋"/>
          <w:bCs/>
          <w:color w:val="auto"/>
          <w:sz w:val="24"/>
          <w:highlight w:val="cyan"/>
          <w:u w:val="single"/>
        </w:rPr>
        <w:t>00秒</w:t>
      </w:r>
      <w:r>
        <w:rPr>
          <w:rFonts w:hint="eastAsia" w:ascii="仿宋" w:hAnsi="仿宋" w:eastAsia="仿宋" w:cs="仿宋"/>
          <w:bCs/>
          <w:color w:val="auto"/>
          <w:sz w:val="24"/>
          <w:highlight w:val="cyan"/>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项目编号：ZJDDZFCG-2022-017-1</w:t>
      </w:r>
      <w:r>
        <w:rPr>
          <w:rFonts w:hint="eastAsia" w:ascii="仿宋" w:hAnsi="仿宋" w:eastAsia="仿宋" w:cs="仿宋"/>
          <w:color w:val="auto"/>
          <w:sz w:val="24"/>
          <w:highlight w:val="none"/>
          <w:lang w:val="en-US" w:eastAsia="zh-CN"/>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余杭街道中南区块棚户区改造安置房项目</w:t>
      </w:r>
      <w:r>
        <w:rPr>
          <w:rFonts w:hint="eastAsia" w:ascii="仿宋" w:hAnsi="仿宋" w:eastAsia="仿宋" w:cs="仿宋"/>
          <w:color w:val="auto"/>
          <w:sz w:val="24"/>
          <w:highlight w:val="none"/>
        </w:rPr>
        <w:t>空气能采购项目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eastAsia="zh-CN"/>
        </w:rPr>
        <w:t>9768000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9768000</w:t>
      </w:r>
      <w:r>
        <w:rPr>
          <w:rFonts w:hint="eastAsia" w:ascii="仿宋" w:hAnsi="仿宋" w:eastAsia="仿宋" w:cs="仿宋"/>
          <w:color w:val="auto"/>
          <w:sz w:val="24"/>
          <w:highlight w:val="none"/>
        </w:rPr>
        <w:t xml:space="preserve"> </w:t>
      </w:r>
    </w:p>
    <w:p>
      <w:pPr>
        <w:pStyle w:val="7"/>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rPr>
        <w:t>（项目名称）主要内容：余杭街道</w:t>
      </w:r>
      <w:r>
        <w:rPr>
          <w:rFonts w:hint="eastAsia" w:ascii="仿宋" w:hAnsi="仿宋" w:eastAsia="仿宋" w:cs="仿宋"/>
          <w:bCs/>
          <w:color w:val="auto"/>
          <w:kern w:val="2"/>
          <w:sz w:val="24"/>
          <w:szCs w:val="24"/>
          <w:highlight w:val="none"/>
          <w:lang w:eastAsia="zh-CN"/>
        </w:rPr>
        <w:t>中南区块棚户区改造安置房项目</w:t>
      </w:r>
      <w:r>
        <w:rPr>
          <w:rFonts w:hint="eastAsia" w:ascii="仿宋" w:hAnsi="仿宋" w:eastAsia="仿宋" w:cs="仿宋"/>
          <w:bCs/>
          <w:color w:val="auto"/>
          <w:kern w:val="2"/>
          <w:sz w:val="24"/>
          <w:szCs w:val="24"/>
          <w:highlight w:val="none"/>
        </w:rPr>
        <w:t>空气能采购项目</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rPr>
        <w:t>具体包括采购清单相关设备的采购、运输、安装、吊装、调试、培训和相关维护等，具体要求详见本招标文件“第三部分——项目技术规范和服务要求”。</w:t>
      </w:r>
    </w:p>
    <w:p>
      <w:pPr>
        <w:pStyle w:val="8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60日历天</w:t>
      </w:r>
    </w:p>
    <w:p>
      <w:pPr>
        <w:pStyle w:val="7"/>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highlight w:val="none"/>
        </w:rPr>
        <w:t>1. 满足《中华人民共</w:t>
      </w:r>
      <w:r>
        <w:rPr>
          <w:rFonts w:hint="eastAsia" w:ascii="仿宋" w:hAnsi="仿宋" w:eastAsia="仿宋" w:cs="仿宋"/>
          <w:snapToGrid w:val="0"/>
          <w:color w:val="auto"/>
          <w:kern w:val="28"/>
          <w:sz w:val="24"/>
          <w:szCs w:val="20"/>
        </w:rPr>
        <w:t>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r>
        <w:rPr>
          <w:rFonts w:hint="default" w:ascii="Arial" w:hAnsi="Arial" w:eastAsia="仿宋" w:cs="Arial"/>
          <w:color w:val="auto"/>
          <w:kern w:val="0"/>
          <w:sz w:val="24"/>
        </w:rPr>
        <w:t>√</w:t>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r>
        <w:rPr>
          <w:rFonts w:hint="default" w:ascii="Arial" w:hAnsi="Arial" w:eastAsia="仿宋" w:cs="Arial"/>
          <w:color w:val="auto"/>
          <w:kern w:val="0"/>
          <w:sz w:val="24"/>
        </w:rPr>
        <w:t>√</w:t>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cyan"/>
        </w:rPr>
      </w:pPr>
      <w:r>
        <w:rPr>
          <w:rFonts w:hint="eastAsia" w:ascii="仿宋" w:hAnsi="仿宋" w:eastAsia="仿宋" w:cs="仿宋"/>
          <w:b/>
          <w:color w:val="auto"/>
          <w:sz w:val="24"/>
        </w:rPr>
        <w:t>三</w:t>
      </w:r>
      <w:r>
        <w:rPr>
          <w:rFonts w:hint="eastAsia" w:ascii="仿宋" w:hAnsi="仿宋" w:eastAsia="仿宋" w:cs="仿宋"/>
          <w:b/>
          <w:color w:val="auto"/>
          <w:sz w:val="24"/>
          <w:highlight w:val="cyan"/>
        </w:rPr>
        <w:t xml:space="preserve">、获取招标文件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获取网址：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highlight w:val="cyan"/>
        </w:rPr>
      </w:pPr>
      <w:r>
        <w:rPr>
          <w:rFonts w:hint="eastAsia" w:ascii="仿宋" w:hAnsi="仿宋" w:eastAsia="仿宋" w:cs="仿宋"/>
          <w:b/>
          <w:color w:val="auto"/>
          <w:sz w:val="24"/>
        </w:rPr>
        <w:t>四、</w:t>
      </w:r>
      <w:r>
        <w:rPr>
          <w:rFonts w:hint="eastAsia" w:ascii="仿宋" w:hAnsi="仿宋" w:eastAsia="仿宋" w:cs="仿宋"/>
          <w:b/>
          <w:color w:val="auto"/>
          <w:sz w:val="24"/>
          <w:highlight w:val="cyan"/>
        </w:rPr>
        <w:t>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highlight w:val="cyan"/>
          <w:u w:val="single"/>
        </w:rPr>
        <w:t>2022年</w:t>
      </w:r>
      <w:r>
        <w:rPr>
          <w:rFonts w:hint="eastAsia" w:ascii="仿宋" w:hAnsi="仿宋" w:eastAsia="仿宋" w:cs="仿宋"/>
          <w:color w:val="auto"/>
          <w:sz w:val="24"/>
          <w:highlight w:val="cyan"/>
          <w:u w:val="single"/>
          <w:lang w:val="en-US" w:eastAsia="zh-CN"/>
        </w:rPr>
        <w:t>12</w:t>
      </w:r>
      <w:r>
        <w:rPr>
          <w:rFonts w:hint="eastAsia" w:ascii="仿宋" w:hAnsi="仿宋" w:eastAsia="仿宋" w:cs="仿宋"/>
          <w:color w:val="auto"/>
          <w:sz w:val="24"/>
          <w:highlight w:val="cyan"/>
          <w:u w:val="single"/>
        </w:rPr>
        <w:t>月</w:t>
      </w:r>
      <w:r>
        <w:rPr>
          <w:rFonts w:hint="eastAsia" w:ascii="仿宋" w:hAnsi="仿宋" w:eastAsia="仿宋" w:cs="仿宋"/>
          <w:color w:val="auto"/>
          <w:sz w:val="24"/>
          <w:highlight w:val="cyan"/>
          <w:u w:val="single"/>
          <w:lang w:val="en-US" w:eastAsia="zh-CN"/>
        </w:rPr>
        <w:t>30</w:t>
      </w:r>
      <w:r>
        <w:rPr>
          <w:rFonts w:hint="eastAsia" w:ascii="仿宋" w:hAnsi="仿宋" w:eastAsia="仿宋" w:cs="仿宋"/>
          <w:color w:val="auto"/>
          <w:sz w:val="24"/>
          <w:highlight w:val="cyan"/>
          <w:u w:val="single"/>
        </w:rPr>
        <w:t>日</w:t>
      </w:r>
      <w:r>
        <w:rPr>
          <w:rFonts w:hint="eastAsia" w:ascii="仿宋" w:hAnsi="仿宋" w:eastAsia="仿宋" w:cs="仿宋"/>
          <w:color w:val="auto"/>
          <w:sz w:val="24"/>
          <w:highlight w:val="cyan"/>
          <w:u w:val="single"/>
          <w:lang w:val="en-US" w:eastAsia="zh-CN"/>
        </w:rPr>
        <w:t>10</w:t>
      </w:r>
      <w:r>
        <w:rPr>
          <w:rFonts w:hint="eastAsia" w:ascii="仿宋" w:hAnsi="仿宋" w:eastAsia="仿宋" w:cs="仿宋"/>
          <w:color w:val="auto"/>
          <w:sz w:val="24"/>
          <w:highlight w:val="cyan"/>
          <w:u w:val="single"/>
        </w:rPr>
        <w:t>点</w:t>
      </w:r>
      <w:r>
        <w:rPr>
          <w:rFonts w:hint="eastAsia" w:ascii="仿宋" w:hAnsi="仿宋" w:eastAsia="仿宋" w:cs="仿宋"/>
          <w:color w:val="auto"/>
          <w:sz w:val="24"/>
          <w:highlight w:val="cyan"/>
          <w:u w:val="single"/>
          <w:lang w:val="en-US" w:eastAsia="zh-CN"/>
        </w:rPr>
        <w:t>00</w:t>
      </w:r>
      <w:r>
        <w:rPr>
          <w:rFonts w:hint="eastAsia" w:ascii="仿宋" w:hAnsi="仿宋" w:eastAsia="仿宋" w:cs="仿宋"/>
          <w:color w:val="auto"/>
          <w:sz w:val="24"/>
          <w:highlight w:val="cyan"/>
          <w:u w:val="single"/>
        </w:rPr>
        <w:t>分</w:t>
      </w:r>
      <w:r>
        <w:rPr>
          <w:rFonts w:hint="eastAsia" w:ascii="仿宋" w:hAnsi="仿宋" w:eastAsia="仿宋" w:cs="仿宋"/>
          <w:color w:val="auto"/>
          <w:sz w:val="24"/>
        </w:rPr>
        <w:t>（北京时间）</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 xml:space="preserve">投标网址：政采云平台（https://www.zcygov.cn/）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highlight w:val="cyan"/>
          <w:u w:val="single"/>
        </w:rPr>
        <w:t>2022年</w:t>
      </w:r>
      <w:r>
        <w:rPr>
          <w:rFonts w:hint="eastAsia" w:ascii="仿宋" w:hAnsi="仿宋" w:eastAsia="仿宋" w:cs="仿宋"/>
          <w:color w:val="auto"/>
          <w:sz w:val="24"/>
          <w:highlight w:val="cyan"/>
          <w:u w:val="single"/>
          <w:lang w:val="en-US" w:eastAsia="zh-CN"/>
        </w:rPr>
        <w:t>12</w:t>
      </w:r>
      <w:r>
        <w:rPr>
          <w:rFonts w:hint="eastAsia" w:ascii="仿宋" w:hAnsi="仿宋" w:eastAsia="仿宋" w:cs="仿宋"/>
          <w:color w:val="auto"/>
          <w:sz w:val="24"/>
          <w:highlight w:val="cyan"/>
          <w:u w:val="single"/>
        </w:rPr>
        <w:t>月</w:t>
      </w:r>
      <w:r>
        <w:rPr>
          <w:rFonts w:hint="eastAsia" w:ascii="仿宋" w:hAnsi="仿宋" w:eastAsia="仿宋" w:cs="仿宋"/>
          <w:color w:val="auto"/>
          <w:sz w:val="24"/>
          <w:highlight w:val="cyan"/>
          <w:u w:val="single"/>
          <w:lang w:val="en-US" w:eastAsia="zh-CN"/>
        </w:rPr>
        <w:t>30</w:t>
      </w:r>
      <w:r>
        <w:rPr>
          <w:rFonts w:hint="eastAsia" w:ascii="仿宋" w:hAnsi="仿宋" w:eastAsia="仿宋" w:cs="仿宋"/>
          <w:color w:val="auto"/>
          <w:sz w:val="24"/>
          <w:highlight w:val="cyan"/>
          <w:u w:val="single"/>
        </w:rPr>
        <w:t>日</w:t>
      </w:r>
      <w:r>
        <w:rPr>
          <w:rFonts w:hint="eastAsia" w:ascii="仿宋" w:hAnsi="仿宋" w:eastAsia="仿宋" w:cs="仿宋"/>
          <w:color w:val="auto"/>
          <w:sz w:val="24"/>
          <w:highlight w:val="cyan"/>
          <w:u w:val="single"/>
          <w:lang w:val="en-US" w:eastAsia="zh-CN"/>
        </w:rPr>
        <w:t>10</w:t>
      </w:r>
      <w:r>
        <w:rPr>
          <w:rFonts w:hint="eastAsia" w:ascii="仿宋" w:hAnsi="仿宋" w:eastAsia="仿宋" w:cs="仿宋"/>
          <w:color w:val="auto"/>
          <w:sz w:val="24"/>
          <w:highlight w:val="cyan"/>
          <w:u w:val="single"/>
        </w:rPr>
        <w:t>点</w:t>
      </w:r>
      <w:r>
        <w:rPr>
          <w:rFonts w:hint="eastAsia" w:ascii="仿宋" w:hAnsi="仿宋" w:eastAsia="仿宋" w:cs="仿宋"/>
          <w:color w:val="auto"/>
          <w:sz w:val="24"/>
          <w:highlight w:val="cyan"/>
          <w:u w:val="single"/>
          <w:lang w:val="en-US" w:eastAsia="zh-CN"/>
        </w:rPr>
        <w:t>00</w:t>
      </w:r>
      <w:r>
        <w:rPr>
          <w:rFonts w:hint="eastAsia" w:ascii="仿宋" w:hAnsi="仿宋" w:eastAsia="仿宋" w:cs="仿宋"/>
          <w:color w:val="auto"/>
          <w:sz w:val="24"/>
          <w:highlight w:val="cyan"/>
          <w:u w:val="single"/>
        </w:rPr>
        <w:t>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开标网址：政采云平台（https://www.zcygov.cn/）</w:t>
      </w:r>
    </w:p>
    <w:p>
      <w:pPr>
        <w:spacing w:line="360" w:lineRule="auto"/>
        <w:rPr>
          <w:rFonts w:hint="eastAsia" w:ascii="仿宋" w:hAnsi="仿宋" w:eastAsia="仿宋" w:cs="仿宋"/>
          <w:b/>
          <w:bCs/>
          <w:color w:val="auto"/>
          <w:sz w:val="28"/>
        </w:rPr>
      </w:pPr>
      <w:r>
        <w:rPr>
          <w:rFonts w:hint="eastAsia" w:ascii="仿宋" w:hAnsi="仿宋" w:eastAsia="仿宋" w:cs="仿宋"/>
          <w:b/>
          <w:color w:val="auto"/>
          <w:sz w:val="24"/>
        </w:rPr>
        <w:t xml:space="preserve">    注：</w:t>
      </w:r>
      <w:r>
        <w:rPr>
          <w:rFonts w:hint="eastAsia" w:ascii="仿宋" w:hAnsi="仿宋" w:eastAsia="仿宋" w:cs="仿宋"/>
          <w:color w:val="auto"/>
          <w:sz w:val="24"/>
        </w:rPr>
        <w:t>大地工程咨询有限公司（杭州市余杭区瓶窑镇前程路38号荣尚大厦六楼）</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称：杭州市余杭区人民政府余杭街道办事处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 w:hAnsi="仿宋" w:eastAsia="仿宋" w:cs="仿宋"/>
          <w:color w:val="auto"/>
          <w:sz w:val="24"/>
          <w:lang w:eastAsia="zh-CN"/>
        </w:rPr>
        <w:t>余杭区城南路</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项目联系人（询问）：徐</w:t>
      </w:r>
      <w:r>
        <w:rPr>
          <w:rFonts w:hint="eastAsia" w:ascii="仿宋" w:hAnsi="仿宋" w:eastAsia="仿宋" w:cs="仿宋"/>
          <w:color w:val="auto"/>
          <w:sz w:val="24"/>
          <w:lang w:eastAsia="zh-CN"/>
        </w:rPr>
        <w:t>先生</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15988425313</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质疑联系人： 李</w:t>
      </w:r>
      <w:r>
        <w:rPr>
          <w:rFonts w:hint="eastAsia" w:ascii="仿宋" w:hAnsi="仿宋" w:eastAsia="仿宋" w:cs="仿宋"/>
          <w:color w:val="auto"/>
          <w:sz w:val="24"/>
          <w:lang w:eastAsia="zh-CN"/>
        </w:rPr>
        <w:t>先生</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质疑联系方式： </w:t>
      </w:r>
      <w:r>
        <w:rPr>
          <w:rFonts w:hint="eastAsia" w:ascii="仿宋" w:hAnsi="仿宋" w:eastAsia="仿宋" w:cs="仿宋"/>
          <w:color w:val="auto"/>
          <w:sz w:val="24"/>
          <w:lang w:val="en-US" w:eastAsia="zh-CN"/>
        </w:rPr>
        <w:t>13588856440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称：大地工程咨询有限公司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    址： 杭州市余杭区瓶窑镇前程路38号荣尚大厦六楼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项目联系人（询问）：吴</w:t>
      </w:r>
      <w:r>
        <w:rPr>
          <w:rFonts w:hint="eastAsia" w:ascii="仿宋" w:hAnsi="仿宋" w:eastAsia="仿宋" w:cs="仿宋"/>
          <w:color w:val="auto"/>
          <w:sz w:val="24"/>
          <w:lang w:eastAsia="zh-CN"/>
        </w:rPr>
        <w:t>女士</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w:t>
      </w:r>
      <w:r>
        <w:rPr>
          <w:rFonts w:hint="eastAsia" w:ascii="仿宋" w:hAnsi="仿宋" w:eastAsia="仿宋" w:cs="仿宋"/>
          <w:color w:val="auto"/>
          <w:sz w:val="24"/>
          <w:lang w:val="en-US" w:eastAsia="zh-CN"/>
        </w:rPr>
        <w:t>89162352</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陈女士</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13588734590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称：杭州市余杭区财政局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址：杭州市余杭区文一西路1500号8号楼1201室</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联系人 ：杜国强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监督投诉电话：0571-88728858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0"/>
                <w:lang w:val="zh-CN"/>
              </w:rPr>
            </w:pPr>
            <w:r>
              <w:rPr>
                <w:rFonts w:hint="eastAsia" w:ascii="仿宋" w:hAnsi="仿宋" w:eastAsia="仿宋" w:cs="仿宋"/>
                <w:color w:val="auto"/>
                <w:kern w:val="0"/>
                <w:sz w:val="24"/>
                <w:szCs w:val="20"/>
                <w:lang w:val="zh-CN"/>
              </w:rPr>
              <w:t>有关本项目实施所需的所有费用（含税费）均计入报价。</w:t>
            </w:r>
            <w:r>
              <w:rPr>
                <w:rFonts w:hint="eastAsia" w:ascii="仿宋" w:hAnsi="仿宋" w:eastAsia="仿宋" w:cs="仿宋"/>
                <w:color w:val="auto"/>
                <w:sz w:val="24"/>
                <w:szCs w:val="20"/>
              </w:rPr>
              <w:t>开标一览表（报价表）是报价的唯一载体</w:t>
            </w:r>
            <w:r>
              <w:rPr>
                <w:rFonts w:hint="eastAsia" w:ascii="仿宋" w:hAnsi="仿宋" w:eastAsia="仿宋" w:cs="仿宋"/>
                <w:color w:val="auto"/>
                <w:kern w:val="0"/>
                <w:sz w:val="24"/>
                <w:szCs w:val="20"/>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0"/>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0"/>
                <w:lang w:val="zh-CN"/>
              </w:rPr>
            </w:pPr>
            <w:r>
              <w:rPr>
                <w:rFonts w:hint="eastAsia" w:ascii="仿宋" w:hAnsi="仿宋" w:eastAsia="仿宋" w:cs="仿宋"/>
                <w:b/>
                <w:color w:val="auto"/>
                <w:kern w:val="0"/>
                <w:sz w:val="24"/>
                <w:szCs w:val="20"/>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0"/>
              </w:rPr>
            </w:pPr>
            <w:r>
              <w:rPr>
                <w:rFonts w:hint="eastAsia" w:ascii="仿宋" w:hAnsi="仿宋" w:eastAsia="仿宋" w:cs="仿宋"/>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szCs w:val="20"/>
              </w:rPr>
            </w:pPr>
            <w:r>
              <w:rPr>
                <w:rFonts w:hint="eastAsia" w:ascii="仿宋" w:hAnsi="仿宋" w:eastAsia="仿宋" w:cs="仿宋"/>
                <w:b/>
                <w:color w:val="auto"/>
                <w:kern w:val="0"/>
                <w:sz w:val="24"/>
                <w:szCs w:val="20"/>
              </w:rPr>
              <w:t>投标人对根据修正原则修正后的报价不确认的</w:t>
            </w:r>
            <w:r>
              <w:rPr>
                <w:rFonts w:hint="eastAsia" w:ascii="仿宋" w:hAnsi="仿宋" w:eastAsia="仿宋" w:cs="仿宋"/>
                <w:b/>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（1）资格证明文件：见招标文件第二部分11.1。</w:t>
            </w:r>
          </w:p>
          <w:p>
            <w:pPr>
              <w:spacing w:line="360" w:lineRule="auto"/>
              <w:rPr>
                <w:rFonts w:hint="eastAsia" w:ascii="仿宋" w:hAnsi="仿宋" w:eastAsia="仿宋" w:cs="仿宋"/>
                <w:snapToGrid w:val="0"/>
                <w:color w:val="auto"/>
                <w:kern w:val="0"/>
                <w:sz w:val="20"/>
                <w:szCs w:val="21"/>
              </w:rPr>
            </w:pPr>
            <w:r>
              <w:rPr>
                <w:rFonts w:hint="eastAsia" w:ascii="仿宋" w:hAnsi="仿宋" w:eastAsia="仿宋" w:cs="仿宋"/>
                <w:color w:val="auto"/>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hint="eastAsia" w:ascii="仿宋" w:hAnsi="仿宋" w:eastAsia="仿宋" w:cs="仿宋"/>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sym w:font="Wingdings" w:char="00FE"/>
            </w:r>
            <w:r>
              <w:rPr>
                <w:rFonts w:hint="eastAsia" w:ascii="仿宋" w:hAnsi="仿宋" w:eastAsia="仿宋" w:cs="仿宋"/>
                <w:color w:val="auto"/>
                <w:kern w:val="0"/>
                <w:sz w:val="24"/>
                <w:szCs w:val="20"/>
              </w:rPr>
              <w:t>B要求提供，</w:t>
            </w:r>
          </w:p>
          <w:p>
            <w:pPr>
              <w:spacing w:line="360" w:lineRule="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w:t>
            </w:r>
            <w:r>
              <w:rPr>
                <w:rFonts w:hint="eastAsia" w:ascii="仿宋" w:hAnsi="仿宋" w:eastAsia="仿宋" w:cs="仿宋"/>
                <w:snapToGrid w:val="0"/>
                <w:color w:val="auto"/>
                <w:kern w:val="28"/>
                <w:sz w:val="24"/>
                <w:szCs w:val="20"/>
              </w:rPr>
              <w:t>样品：</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150L保温水箱</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w:t>
            </w:r>
          </w:p>
          <w:p>
            <w:pPr>
              <w:spacing w:line="360" w:lineRule="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w:t>
            </w:r>
            <w:r>
              <w:rPr>
                <w:rFonts w:hint="eastAsia" w:ascii="仿宋" w:hAnsi="仿宋" w:eastAsia="仿宋" w:cs="仿宋"/>
                <w:snapToGrid w:val="0"/>
                <w:color w:val="auto"/>
                <w:kern w:val="28"/>
                <w:sz w:val="24"/>
                <w:szCs w:val="20"/>
              </w:rPr>
              <w:t>样品制作的标准</w:t>
            </w:r>
            <w:r>
              <w:rPr>
                <w:rFonts w:hint="eastAsia" w:ascii="仿宋" w:hAnsi="仿宋" w:eastAsia="仿宋" w:cs="仿宋"/>
                <w:snapToGrid w:val="0"/>
                <w:color w:val="auto"/>
                <w:kern w:val="28"/>
                <w:sz w:val="24"/>
                <w:szCs w:val="20"/>
                <w:highlight w:val="none"/>
              </w:rPr>
              <w:t>和要求：</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eastAsia="zh-CN"/>
              </w:rPr>
              <w:t>详见评标办法</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rPr>
              <w:t>；</w:t>
            </w:r>
          </w:p>
          <w:p>
            <w:pPr>
              <w:spacing w:line="360" w:lineRule="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（3）样品的评审方法以及评审标准</w:t>
            </w:r>
            <w:r>
              <w:rPr>
                <w:rFonts w:hint="eastAsia" w:ascii="仿宋" w:hAnsi="仿宋" w:eastAsia="仿宋" w:cs="仿宋"/>
                <w:snapToGrid w:val="0"/>
                <w:color w:val="auto"/>
                <w:kern w:val="28"/>
                <w:sz w:val="24"/>
                <w:szCs w:val="20"/>
              </w:rPr>
              <w:t>：详见</w:t>
            </w:r>
            <w:r>
              <w:rPr>
                <w:rFonts w:hint="eastAsia" w:ascii="仿宋" w:hAnsi="仿宋" w:eastAsia="仿宋" w:cs="仿宋"/>
                <w:color w:val="auto"/>
                <w:sz w:val="24"/>
                <w:szCs w:val="20"/>
                <w:u w:val="single"/>
              </w:rPr>
              <w:t>评标办法</w:t>
            </w:r>
            <w:r>
              <w:rPr>
                <w:rFonts w:hint="eastAsia" w:ascii="仿宋" w:hAnsi="仿宋" w:eastAsia="仿宋" w:cs="仿宋"/>
                <w:color w:val="auto"/>
                <w:kern w:val="0"/>
                <w:sz w:val="24"/>
                <w:szCs w:val="20"/>
              </w:rPr>
              <w:t>；</w:t>
            </w:r>
          </w:p>
          <w:p>
            <w:pPr>
              <w:spacing w:line="360" w:lineRule="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（4）是否需要随样品提交检测报告：</w:t>
            </w: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否；☐是，检测机构的要求</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；检测内容</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w:t>
            </w:r>
          </w:p>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（5）提供样品的时间：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2022年12月29日10:00时—16：00</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rPr>
              <w:t>；地点：</w:t>
            </w:r>
            <w:r>
              <w:rPr>
                <w:rFonts w:hint="eastAsia" w:ascii="仿宋" w:hAnsi="仿宋" w:eastAsia="仿宋" w:cs="仿宋"/>
                <w:color w:val="auto"/>
                <w:sz w:val="24"/>
                <w:szCs w:val="20"/>
                <w:u w:val="single"/>
              </w:rPr>
              <w:t xml:space="preserve"> 杭州市余杭区瓶窑镇前程路38号荣尚大厦六楼</w:t>
            </w:r>
            <w:r>
              <w:rPr>
                <w:rFonts w:hint="eastAsia" w:ascii="仿宋" w:hAnsi="仿宋" w:eastAsia="仿宋" w:cs="仿宋"/>
                <w:color w:val="auto"/>
                <w:kern w:val="0"/>
                <w:sz w:val="24"/>
                <w:szCs w:val="20"/>
              </w:rPr>
              <w:t>；联系人</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eastAsia="zh-CN"/>
              </w:rPr>
              <w:t>周芸芸</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kern w:val="28"/>
                <w:sz w:val="24"/>
                <w:szCs w:val="20"/>
              </w:rPr>
              <w:t>联系电话：</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0571-89162352</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0"/>
              </w:rPr>
            </w:pPr>
            <w:r>
              <w:rPr>
                <w:rFonts w:hint="eastAsia" w:ascii="仿宋" w:hAnsi="仿宋" w:eastAsia="仿宋" w:cs="仿宋"/>
                <w:color w:val="auto"/>
                <w:sz w:val="24"/>
                <w:szCs w:val="20"/>
              </w:rPr>
              <w:t>（6）采购活动结束后，未中标投标人的“样品”由投标人在中标公告结束后</w:t>
            </w:r>
            <w:r>
              <w:rPr>
                <w:rFonts w:hint="eastAsia" w:ascii="仿宋" w:hAnsi="仿宋" w:eastAsia="仿宋" w:cs="仿宋"/>
                <w:b/>
                <w:color w:val="auto"/>
                <w:sz w:val="24"/>
                <w:szCs w:val="20"/>
              </w:rPr>
              <w:t>三个工作日</w:t>
            </w:r>
            <w:r>
              <w:rPr>
                <w:rFonts w:hint="eastAsia" w:ascii="仿宋" w:hAnsi="仿宋" w:eastAsia="仿宋" w:cs="仿宋"/>
                <w:color w:val="auto"/>
                <w:sz w:val="24"/>
                <w:szCs w:val="20"/>
              </w:rPr>
              <w:t>内从采购人处自行领回，逾期采购人将不予保管；对于中标人提供的样品，采购人将进行保管、封存，并作为履约验收的参考。</w:t>
            </w:r>
          </w:p>
          <w:p>
            <w:pPr>
              <w:spacing w:line="360" w:lineRule="auto"/>
              <w:rPr>
                <w:rFonts w:hint="eastAsia" w:ascii="仿宋" w:hAnsi="仿宋" w:eastAsia="仿宋" w:cs="仿宋"/>
                <w:b/>
                <w:color w:val="auto"/>
                <w:sz w:val="24"/>
                <w:szCs w:val="20"/>
              </w:rPr>
            </w:pPr>
            <w:r>
              <w:rPr>
                <w:rFonts w:hint="eastAsia" w:ascii="仿宋" w:hAnsi="仿宋" w:eastAsia="仿宋" w:cs="仿宋"/>
                <w:color w:val="auto"/>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0"/>
              </w:rPr>
            </w:pPr>
            <w:r>
              <w:rPr>
                <w:rFonts w:hint="eastAsia" w:ascii="仿宋" w:hAnsi="仿宋" w:eastAsia="仿宋" w:cs="仿宋"/>
                <w:b/>
                <w:color w:val="auto"/>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hint="eastAsia" w:ascii="仿宋" w:hAnsi="仿宋" w:eastAsia="仿宋" w:cs="仿宋"/>
                <w:b/>
                <w:color w:val="auto"/>
                <w:kern w:val="0"/>
                <w:sz w:val="24"/>
                <w:szCs w:val="20"/>
                <w:lang w:val="zh-CN"/>
              </w:rPr>
            </w:pPr>
            <w:r>
              <w:rPr>
                <w:rFonts w:ascii="MS Gothic" w:hAnsi="MS Gothic" w:eastAsia="仿宋_GB2312" w:cs="Arial"/>
                <w:color w:val="auto"/>
                <w:kern w:val="0"/>
                <w:sz w:val="24"/>
              </w:rPr>
              <w:t>☐</w:t>
            </w:r>
            <w:r>
              <w:rPr>
                <w:rFonts w:ascii="仿宋_GB2312" w:hAnsi="仿宋" w:eastAsia="仿宋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rFonts w:hint="eastAsia" w:ascii="仿宋" w:hAnsi="仿宋" w:eastAsia="仿宋" w:cs="仿宋"/>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货物类，单一产品或</w:t>
            </w:r>
            <w:r>
              <w:rPr>
                <w:rFonts w:hint="eastAsia" w:ascii="仿宋" w:hAnsi="仿宋" w:eastAsia="仿宋" w:cs="仿宋"/>
                <w:color w:val="auto"/>
                <w:kern w:val="0"/>
                <w:sz w:val="24"/>
                <w:szCs w:val="20"/>
                <w:highlight w:val="none"/>
              </w:rPr>
              <w:t>核心产品为：</w:t>
            </w:r>
            <w:r>
              <w:rPr>
                <w:rFonts w:hint="eastAsia" w:ascii="仿宋" w:hAnsi="仿宋" w:eastAsia="仿宋" w:cs="仿宋"/>
                <w:color w:val="auto"/>
                <w:sz w:val="24"/>
                <w:szCs w:val="20"/>
                <w:highlight w:val="none"/>
                <w:u w:val="single"/>
              </w:rPr>
              <w:t>空气源热泵</w:t>
            </w:r>
            <w:r>
              <w:rPr>
                <w:rFonts w:hint="eastAsia" w:ascii="仿宋" w:hAnsi="仿宋" w:eastAsia="仿宋" w:cs="仿宋"/>
                <w:color w:val="auto"/>
                <w:sz w:val="24"/>
                <w:szCs w:val="20"/>
                <w:highlight w:val="none"/>
                <w:u w:val="single"/>
                <w:lang w:val="en-US" w:eastAsia="zh-CN"/>
              </w:rPr>
              <w:t>热水器</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0"/>
                <w:szCs w:val="20"/>
                <w:highlight w:val="none"/>
                <w:lang w:val="en-US"/>
              </w:rPr>
            </w:pPr>
            <w:r>
              <w:rPr>
                <w:rFonts w:hint="eastAsia" w:ascii="仿宋" w:hAnsi="仿宋" w:eastAsia="仿宋" w:cs="仿宋"/>
                <w:color w:val="auto"/>
                <w:kern w:val="0"/>
                <w:sz w:val="24"/>
                <w:szCs w:val="20"/>
                <w:highlight w:val="none"/>
              </w:rPr>
              <w:t>（1）标的：</w:t>
            </w:r>
            <w:r>
              <w:rPr>
                <w:rFonts w:hint="eastAsia" w:ascii="仿宋" w:hAnsi="仿宋" w:eastAsia="仿宋" w:cs="仿宋"/>
                <w:color w:val="auto"/>
                <w:kern w:val="0"/>
                <w:sz w:val="24"/>
                <w:szCs w:val="20"/>
                <w:highlight w:val="none"/>
                <w:u w:val="single"/>
              </w:rPr>
              <w:t xml:space="preserve"> 空气源热泵</w:t>
            </w:r>
            <w:r>
              <w:rPr>
                <w:rFonts w:hint="eastAsia" w:ascii="仿宋" w:hAnsi="仿宋" w:eastAsia="仿宋" w:cs="仿宋"/>
                <w:color w:val="auto"/>
                <w:kern w:val="0"/>
                <w:sz w:val="24"/>
                <w:szCs w:val="20"/>
                <w:highlight w:val="none"/>
                <w:u w:val="single"/>
                <w:lang w:val="en-US" w:eastAsia="zh-CN"/>
              </w:rPr>
              <w:t>热水器</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rPr>
              <w:t>，属于</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lang w:eastAsia="zh-CN"/>
              </w:rPr>
              <w:t>工业</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0"/>
                <w:szCs w:val="20"/>
              </w:rPr>
            </w:pPr>
            <w:r>
              <w:rPr>
                <w:rFonts w:hint="eastAsia" w:ascii="仿宋" w:hAnsi="仿宋" w:eastAsia="仿宋" w:cs="仿宋"/>
                <w:color w:val="auto"/>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p>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0"/>
                <w:highlight w:val="none"/>
              </w:rPr>
              <w:t>杭州市余杭区瓶窑镇前程路38号荣尚大厦六楼</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p>
            <w:pPr>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投标人递交以介质存储的数据电文形式的备份投标文件出现下列情况之一的，将被拒收：</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1、未按规定密封或标记的投标文件；</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2、由于包装不妥，在送交途中严重破损或失散的；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3、未成功获取招标文件的；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4、超过投标截止时间送达的；</w:t>
            </w: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5、以介质存储的数据电文形式的备份投标文件，未采用DVD光盘形式提供的。</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0"/>
              </w:rPr>
            </w:pPr>
            <w:r>
              <w:rPr>
                <w:rFonts w:hint="eastAsia" w:ascii="仿宋" w:hAnsi="仿宋" w:eastAsia="仿宋" w:cs="仿宋"/>
                <w:color w:val="auto"/>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t>☐</w:t>
            </w:r>
            <w:r>
              <w:rPr>
                <w:rFonts w:hint="eastAsia" w:ascii="仿宋" w:hAnsi="仿宋" w:eastAsia="仿宋" w:cs="仿宋"/>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snapToGrid w:val="0"/>
                <w:color w:val="auto"/>
                <w:kern w:val="28"/>
                <w:sz w:val="24"/>
                <w:szCs w:val="20"/>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r>
              <w:rPr>
                <w:rFonts w:hint="eastAsia" w:ascii="仿宋" w:hAnsi="仿宋" w:eastAsia="仿宋" w:cs="仿宋"/>
                <w:b/>
                <w:color w:val="auto"/>
                <w:sz w:val="24"/>
                <w:szCs w:val="20"/>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本项目的招标代理费用由中标单位支付，代理费用付款参照《招标代理服务收费管理暂行办法》的通知（计价格[2002]1980号）文件计取，投标人在报价时应综合考虑该笔费用，但不单列进投标总价。</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中标服务费的交纳方式：以转帐或支票的形式支付</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开户名： 大地工程咨询有限公司余杭区瓶窑分公司</w:t>
            </w:r>
          </w:p>
          <w:p>
            <w:pPr>
              <w:pStyle w:val="89"/>
              <w:widowControl w:val="0"/>
              <w:wordWrap/>
              <w:adjustRightInd w:val="0"/>
              <w:snapToGrid w:val="0"/>
              <w:spacing w:before="0" w:line="360" w:lineRule="auto"/>
              <w:ind w:left="0" w:leftChars="0" w:right="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开户行名称：建设银行杭州余杭东方支行</w:t>
            </w:r>
          </w:p>
          <w:p>
            <w:pPr>
              <w:widowControl w:val="0"/>
              <w:wordWrap/>
              <w:adjustRightInd w:val="0"/>
              <w:spacing w:beforeAutospacing="0" w:afterAutospacing="0" w:line="360" w:lineRule="auto"/>
              <w:ind w:left="0" w:leftChars="0" w:right="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帐号：  3305 0161 7486 0000 0459  </w:t>
            </w:r>
          </w:p>
          <w:p>
            <w:pPr>
              <w:pStyle w:val="28"/>
              <w:rPr>
                <w:color w:val="auto"/>
              </w:rPr>
            </w:pPr>
            <w:r>
              <w:rPr>
                <w:rFonts w:hint="eastAsia" w:ascii="仿宋_GB2312" w:hAnsi="仿宋_GB2312" w:eastAsia="仿宋_GB2312" w:cs="仿宋_GB2312"/>
                <w:b/>
                <w:bCs/>
                <w:color w:val="auto"/>
                <w:kern w:val="2"/>
                <w:sz w:val="21"/>
                <w:szCs w:val="24"/>
                <w:highlight w:val="none"/>
                <w:lang w:val="en-US" w:eastAsia="zh-CN" w:bidi="ar-SA"/>
              </w:rPr>
              <w:pict>
                <v:shape id="Picture 16" o:spid="_x0000_s1026" o:spt="75" type="#_x0000_t75" style="position:absolute;left:0pt;margin-left:11.55pt;margin-top:13.5pt;height:123.6pt;width:269.55pt;mso-wrap-distance-left:9pt;mso-wrap-distance-right:9pt;z-index:-251655168;mso-width-relative:page;mso-height-relative:page;" fillcolor="#FFFFFF" filled="f" o:preferrelative="t" stroked="f" coordsize="21600,21600" wrapcoords="21592 -2 0 0 0 21600 21592 21602 8 21602 21600 21600 21600 0 8 -2 21592 -2">
                  <v:path/>
                  <v:fill on="f" color2="#FFFFFF" focussize="0,0"/>
                  <v:stroke on="f"/>
                  <v:imagedata r:id="rId22" gain="65536f" blacklevel="0f" gamma="0" o:title=""/>
                  <o:lock v:ext="edit" position="f" selection="f" grouping="f" rotation="f" cropping="f" text="f" aspectratio="t"/>
                  <w10:wrap type="tight"/>
                </v:shape>
              </w:pict>
            </w:r>
          </w:p>
          <w:p>
            <w:pPr>
              <w:widowControl w:val="0"/>
              <w:wordWrap/>
              <w:adjustRightInd w:val="0"/>
              <w:spacing w:beforeAutospacing="0" w:afterAutospacing="0" w:line="360" w:lineRule="auto"/>
              <w:ind w:left="0" w:leftChars="0" w:right="0" w:firstLine="0" w:firstLineChars="0"/>
              <w:jc w:val="both"/>
              <w:textAlignment w:val="auto"/>
              <w:outlineLvl w:val="9"/>
              <w:rPr>
                <w:rFonts w:hint="eastAsia"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0"/>
                <w:lang w:val="en-US" w:eastAsia="zh-CN"/>
              </w:rPr>
            </w:pPr>
            <w:r>
              <w:rPr>
                <w:rFonts w:hint="eastAsia" w:ascii="仿宋_GB2312" w:hAnsi="仿宋_GB2312" w:eastAsia="仿宋_GB2312" w:cs="仿宋_GB2312"/>
                <w:b/>
                <w:bCs/>
                <w:snapToGrid w:val="0"/>
                <w:color w:val="auto"/>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0"/>
                <w:lang w:val="en-US" w:eastAsia="zh-CN" w:bidi="ar-SA"/>
              </w:rPr>
            </w:pPr>
            <w:r>
              <w:rPr>
                <w:rFonts w:hint="eastAsia" w:ascii="仿宋_GB2312" w:hAnsi="仿宋_GB2312" w:eastAsia="仿宋_GB2312" w:cs="仿宋_GB2312"/>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hint="eastAsia" w:ascii="仿宋" w:hAnsi="仿宋" w:eastAsia="仿宋" w:cs="仿宋"/>
          <w:b/>
          <w:color w:val="auto"/>
          <w:sz w:val="32"/>
          <w:szCs w:val="20"/>
        </w:rPr>
      </w:pPr>
    </w:p>
    <w:bookmarkEnd w:id="10"/>
    <w:p>
      <w:pPr>
        <w:adjustRightInd/>
        <w:spacing w:line="360" w:lineRule="auto"/>
        <w:ind w:firstLine="3845" w:firstLineChars="1197"/>
        <w:outlineLvl w:val="0"/>
        <w:rPr>
          <w:rFonts w:hint="eastAsia" w:ascii="仿宋" w:hAnsi="仿宋" w:eastAsia="仿宋" w:cs="仿宋"/>
          <w:b/>
          <w:color w:val="auto"/>
          <w:sz w:val="32"/>
          <w:szCs w:val="20"/>
        </w:rPr>
      </w:pPr>
      <w:bookmarkStart w:id="11" w:name="_Toc164416483"/>
      <w:bookmarkStart w:id="12" w:name="第三部分"/>
    </w:p>
    <w:p>
      <w:pPr>
        <w:pStyle w:val="28"/>
        <w:rPr>
          <w:rFonts w:hint="eastAsia" w:ascii="仿宋" w:hAnsi="仿宋" w:eastAsia="仿宋" w:cs="仿宋"/>
          <w:color w:val="auto"/>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t></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 xml:space="preserve">  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3.2 支持绿色发展</w:t>
      </w:r>
    </w:p>
    <w:p>
      <w:pPr>
        <w:spacing w:line="360" w:lineRule="auto"/>
        <w:ind w:firstLine="480" w:firstLineChars="200"/>
        <w:rPr>
          <w:rFonts w:hint="eastAsia" w:ascii="仿宋" w:hAnsi="仿宋" w:eastAsia="仿宋" w:cs="仿宋"/>
          <w:b/>
          <w:color w:val="auto"/>
          <w:sz w:val="24"/>
          <w:highlight w:val="yellow"/>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w:t>
      </w:r>
      <w:r>
        <w:rPr>
          <w:rFonts w:hint="eastAsia" w:ascii="仿宋" w:hAnsi="仿宋" w:eastAsia="仿宋" w:cs="仿宋"/>
          <w:color w:val="auto"/>
          <w:kern w:val="0"/>
          <w:sz w:val="24"/>
          <w:lang w:eastAsia="zh-CN"/>
        </w:rPr>
        <w:t>民法典</w:t>
      </w:r>
      <w:r>
        <w:rPr>
          <w:rFonts w:hint="eastAsia" w:ascii="仿宋" w:hAnsi="仿宋" w:eastAsia="仿宋" w:cs="仿宋"/>
          <w:color w:val="auto"/>
          <w:kern w:val="0"/>
          <w:sz w:val="24"/>
        </w:rPr>
        <w:t>》订立劳动合同的从业人员。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7"/>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 xml:space="preserve"> 4.3.4 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9"/>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11.1.2落实政府采购政策需满足的资格要求：本项目为专门面向中小企业采购的项目,投标单位应为中小微企业或监狱企业和残疾人福利性单位；</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11.1.3本项目的特定资格要求（如有)。</w:t>
      </w:r>
    </w:p>
    <w:p>
      <w:pPr>
        <w:pStyle w:val="28"/>
        <w:rPr>
          <w:color w:val="auto"/>
        </w:rPr>
      </w:pPr>
      <w:r>
        <w:rPr>
          <w:rFonts w:hint="eastAsia" w:cs="仿宋_GB2312"/>
          <w:color w:val="auto"/>
          <w:sz w:val="24"/>
          <w:highlight w:val="none"/>
          <w:lang w:val="en-US" w:eastAsia="zh-CN"/>
        </w:rPr>
        <w:t xml:space="preserve">  </w:t>
      </w:r>
      <w:r>
        <w:rPr>
          <w:rFonts w:hint="eastAsia" w:ascii="仿宋_GB2312" w:hAnsi="仿宋_GB2312" w:eastAsia="仿宋_GB2312" w:cs="仿宋_GB2312"/>
          <w:b/>
          <w:bCs/>
          <w:color w:val="auto"/>
          <w:sz w:val="24"/>
          <w:szCs w:val="24"/>
          <w:highlight w:val="none"/>
          <w:lang w:eastAsia="zh-CN"/>
        </w:rPr>
        <w:t>注：</w:t>
      </w:r>
      <w:r>
        <w:rPr>
          <w:rFonts w:hint="eastAsia" w:ascii="仿宋_GB2312" w:hAnsi="仿宋_GB2312" w:eastAsia="仿宋_GB2312" w:cs="仿宋_GB2312"/>
          <w:b/>
          <w:bCs/>
          <w:color w:val="auto"/>
          <w:sz w:val="24"/>
          <w:szCs w:val="24"/>
          <w:highlight w:val="none"/>
        </w:rPr>
        <w:t>上述资格条件审查材料有一项不提供的，视为资格审查不通过。</w:t>
      </w:r>
      <w:r>
        <w:rPr>
          <w:rFonts w:hint="eastAsia" w:ascii="仿宋_GB2312" w:hAnsi="仿宋_GB2312" w:eastAsia="仿宋_GB2312" w:cs="仿宋_GB2312"/>
          <w:b/>
          <w:bCs/>
          <w:color w:val="auto"/>
          <w:sz w:val="24"/>
          <w:szCs w:val="24"/>
          <w:highlight w:val="none"/>
          <w:lang w:eastAsia="zh-CN"/>
        </w:rPr>
        <w:t>上述内容部分格式及内容详见“</w:t>
      </w:r>
      <w:r>
        <w:rPr>
          <w:rFonts w:hint="eastAsia" w:ascii="仿宋_GB2312" w:hAnsi="仿宋_GB2312" w:eastAsia="仿宋_GB2312" w:cs="仿宋_GB2312"/>
          <w:color w:val="auto"/>
          <w:sz w:val="24"/>
          <w:highlight w:val="none"/>
          <w:lang w:eastAsia="zh-CN"/>
        </w:rPr>
        <w:t>第六部分  应提交的有关格式范例”。</w:t>
      </w:r>
    </w:p>
    <w:p>
      <w:pPr>
        <w:pStyle w:val="2"/>
        <w:rPr>
          <w:rFonts w:hint="eastAsia"/>
          <w:color w:val="auto"/>
        </w:rPr>
      </w:pP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 xml:space="preserve"> 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11.3.3投标人针对报价需要说明的其他文件和说明（如有）。</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7"/>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w:t>
      </w:r>
      <w:r>
        <w:rPr>
          <w:rFonts w:hint="eastAsia" w:ascii="仿宋" w:hAnsi="仿宋" w:eastAsia="仿宋" w:cs="仿宋"/>
          <w:b/>
          <w:color w:val="auto"/>
          <w:sz w:val="24"/>
          <w:szCs w:val="24"/>
        </w:rPr>
        <w:t>在投标截止时间前半小时内</w:t>
      </w:r>
      <w:r>
        <w:rPr>
          <w:rFonts w:hint="eastAsia" w:ascii="仿宋" w:hAnsi="仿宋" w:eastAsia="仿宋" w:cs="仿宋"/>
          <w:color w:val="auto"/>
          <w:sz w:val="24"/>
          <w:szCs w:val="24"/>
        </w:rPr>
        <w:t>递交备份投标文件1份至大地工程咨询有限公司，</w:t>
      </w:r>
      <w:r>
        <w:rPr>
          <w:rFonts w:hint="eastAsia" w:ascii="仿宋" w:hAnsi="仿宋" w:eastAsia="仿宋" w:cs="仿宋"/>
          <w:b/>
          <w:color w:val="auto"/>
          <w:sz w:val="24"/>
          <w:szCs w:val="24"/>
        </w:rPr>
        <w:t>但采购人、采购机构不强制或变相强制投标人提交备份投标文件。</w:t>
      </w:r>
    </w:p>
    <w:p>
      <w:pPr>
        <w:pStyle w:val="37"/>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15.4投标人仅提交备份投标文件，没有在电子交易平台传输递交投标文件的，投标无效。</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8"/>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color w:val="auto"/>
          <w:sz w:val="32"/>
        </w:rPr>
      </w:pPr>
    </w:p>
    <w:p>
      <w:pPr>
        <w:pStyle w:val="89"/>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4"/>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4"/>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9"/>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9"/>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w:t>
      </w:r>
      <w:r>
        <w:rPr>
          <w:rFonts w:hint="eastAsia" w:ascii="仿宋" w:hAnsi="仿宋" w:eastAsia="仿宋" w:cs="仿宋"/>
          <w:color w:val="auto"/>
          <w:sz w:val="24"/>
        </w:rPr>
        <w:t>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rPr>
        <w:t>2</w:t>
      </w:r>
      <w:r>
        <w:rPr>
          <w:rFonts w:hint="eastAsia" w:ascii="仿宋" w:hAnsi="仿宋" w:eastAsia="仿宋" w:cs="仿宋"/>
          <w:b/>
          <w:color w:val="auto"/>
          <w:highlight w:val="none"/>
        </w:rPr>
        <w:t>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w:t>
      </w:r>
      <w:r>
        <w:rPr>
          <w:rFonts w:hint="eastAsia" w:ascii="仿宋_GB2312" w:hAnsi="仿宋" w:eastAsia="仿宋_GB2312" w:cs="仿宋_GB2312"/>
          <w:color w:val="auto"/>
          <w:sz w:val="24"/>
          <w:szCs w:val="20"/>
          <w:lang w:val="en-US" w:eastAsia="zh-CN"/>
        </w:rPr>
        <w:t>100</w:t>
      </w:r>
      <w:r>
        <w:rPr>
          <w:rFonts w:hint="eastAsia" w:ascii="仿宋_GB2312" w:hAnsi="仿宋" w:eastAsia="仿宋_GB2312" w:cs="仿宋_GB2312"/>
          <w:color w:val="auto"/>
          <w:sz w:val="24"/>
          <w:szCs w:val="20"/>
        </w:rPr>
        <w:t>分以</w:t>
      </w:r>
      <w:r>
        <w:rPr>
          <w:rFonts w:hint="eastAsia" w:ascii="仿宋_GB2312" w:hAnsi="仿宋" w:eastAsia="仿宋_GB2312" w:cs="仿宋_GB2312"/>
          <w:color w:val="auto"/>
          <w:sz w:val="24"/>
          <w:szCs w:val="20"/>
          <w:lang w:eastAsia="zh-CN"/>
        </w:rPr>
        <w:t>下</w:t>
      </w:r>
      <w:r>
        <w:rPr>
          <w:rFonts w:hint="eastAsia" w:ascii="仿宋_GB2312" w:hAnsi="仿宋" w:eastAsia="仿宋_GB2312" w:cs="仿宋_GB2312"/>
          <w:color w:val="auto"/>
          <w:sz w:val="24"/>
          <w:szCs w:val="20"/>
        </w:rPr>
        <w:t>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5"/>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9"/>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bookmarkEnd w:id="11"/>
    <w:bookmarkEnd w:id="12"/>
    <w:bookmarkEnd w:id="13"/>
    <w:p>
      <w:pPr>
        <w:snapToGrid w:val="0"/>
        <w:spacing w:line="360" w:lineRule="auto"/>
        <w:ind w:left="120" w:leftChars="57" w:firstLine="482" w:firstLineChars="150"/>
        <w:jc w:val="center"/>
        <w:rPr>
          <w:rFonts w:ascii="仿宋_GB2312" w:hAnsi="仿宋" w:eastAsia="仿宋_GB2312" w:cs="仿宋_GB2312"/>
          <w:b/>
          <w:color w:val="auto"/>
          <w:sz w:val="32"/>
        </w:rPr>
      </w:pPr>
      <w:bookmarkStart w:id="14" w:name="第四部分"/>
      <w:r>
        <w:rPr>
          <w:rFonts w:hint="eastAsia" w:ascii="仿宋_GB2312" w:hAnsi="仿宋" w:eastAsia="仿宋_GB2312" w:cs="仿宋_GB2312"/>
          <w:b/>
          <w:color w:val="auto"/>
          <w:sz w:val="32"/>
        </w:rPr>
        <w:t>九、验收</w:t>
      </w:r>
    </w:p>
    <w:p>
      <w:pPr>
        <w:pStyle w:val="28"/>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Start w:id="408" w:name="_GoBack"/>
      <w:bookmarkEnd w:id="408"/>
      <w:r>
        <w:rPr>
          <w:rFonts w:ascii="仿宋_GB2312" w:hAnsi="仿宋" w:eastAsia="仿宋_GB2312" w:cs="Helvetica"/>
          <w:color w:val="auto"/>
          <w:kern w:val="0"/>
          <w:sz w:val="24"/>
        </w:rPr>
        <w:t>。</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auto"/>
          <w:kern w:val="0"/>
          <w:sz w:val="24"/>
        </w:rPr>
        <w:t>采购合同的履行、违约责任和解决争议的方式等适用《中华人民共和国民法典》</w:t>
      </w:r>
      <w:r>
        <w:rPr>
          <w:rFonts w:ascii="仿宋_GB2312" w:hAnsi="仿宋" w:eastAsia="仿宋_GB2312" w:cs="Helvetica"/>
          <w:color w:val="auto"/>
          <w:kern w:val="0"/>
          <w:sz w:val="24"/>
        </w:rPr>
        <w:t>。供应商在履约过程中有政府采购法律法规规定的违法违规情形的，采购人应当及时报告本级财政部门。</w:t>
      </w:r>
    </w:p>
    <w:p>
      <w:pPr>
        <w:spacing w:line="360" w:lineRule="auto"/>
        <w:jc w:val="both"/>
        <w:outlineLvl w:val="0"/>
        <w:rPr>
          <w:rFonts w:hint="eastAsia" w:ascii="仿宋" w:hAnsi="仿宋" w:eastAsia="仿宋" w:cs="仿宋"/>
          <w:b/>
          <w:color w:val="auto"/>
          <w:sz w:val="36"/>
          <w:szCs w:val="36"/>
        </w:rPr>
      </w:pPr>
      <w:bookmarkStart w:id="15" w:name="_Hlt75236011"/>
      <w:bookmarkEnd w:id="15"/>
      <w:bookmarkStart w:id="16" w:name="_Hlt75236101"/>
      <w:bookmarkEnd w:id="16"/>
      <w:bookmarkStart w:id="17" w:name="_Hlt68073093"/>
      <w:bookmarkEnd w:id="17"/>
      <w:bookmarkStart w:id="18" w:name="_Hlt74730295"/>
      <w:bookmarkEnd w:id="18"/>
      <w:bookmarkStart w:id="19" w:name="_Hlt68072990"/>
      <w:bookmarkEnd w:id="19"/>
      <w:bookmarkStart w:id="20" w:name="_Hlt75236290"/>
      <w:bookmarkEnd w:id="20"/>
      <w:bookmarkStart w:id="21" w:name="_Hlt68057669"/>
      <w:bookmarkEnd w:id="21"/>
      <w:bookmarkStart w:id="22" w:name="_Hlt68072998"/>
      <w:bookmarkEnd w:id="22"/>
      <w:bookmarkStart w:id="23" w:name="_Hlt74729768"/>
      <w:bookmarkEnd w:id="23"/>
      <w:bookmarkStart w:id="24" w:name="_Hlt74707468"/>
      <w:bookmarkEnd w:id="24"/>
      <w:bookmarkStart w:id="25" w:name="_Hlt74714665"/>
      <w:bookmarkEnd w:id="25"/>
      <w:bookmarkStart w:id="26" w:name="_Hlt68403820"/>
      <w:bookmarkEnd w:id="26"/>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 xml:space="preserve">   一、项目概述：</w:t>
      </w:r>
      <w:r>
        <w:rPr>
          <w:rFonts w:hint="eastAsia" w:ascii="仿宋" w:hAnsi="仿宋" w:eastAsia="仿宋" w:cs="仿宋"/>
          <w:bCs/>
          <w:color w:val="auto"/>
          <w:sz w:val="24"/>
          <w:highlight w:val="none"/>
        </w:rPr>
        <w:t>本项目为包钥匙工程，采购内容包括采购清单中货物供货、安装调试、总包配合费，吊装费，货物验收、培训、质保期内的售后服务等。采购需求清单中未提到，但在实际采购和安装过程中需要配置的各种设备、材料和其他费用等均计入本次报价中。目前项目设备平台已完成百叶安装并开始室外管线施工，请投标人在投标时自行考虑，费用已包含在报价内</w:t>
      </w:r>
      <w:r>
        <w:rPr>
          <w:rFonts w:hint="eastAsia" w:ascii="仿宋" w:hAnsi="仿宋" w:eastAsia="仿宋" w:cs="仿宋"/>
          <w:bCs/>
          <w:color w:val="auto"/>
          <w:sz w:val="24"/>
          <w:highlight w:val="none"/>
          <w:lang w:val="en-US" w:eastAsia="zh-CN"/>
        </w:rPr>
        <w:t>.</w:t>
      </w:r>
    </w:p>
    <w:p>
      <w:pPr>
        <w:spacing w:line="440" w:lineRule="exact"/>
        <w:rPr>
          <w:rFonts w:hint="eastAsia" w:ascii="仿宋" w:hAnsi="仿宋" w:eastAsia="仿宋" w:cs="仿宋"/>
          <w:b/>
          <w:bCs/>
          <w:color w:val="auto"/>
          <w:spacing w:val="1"/>
          <w:sz w:val="24"/>
          <w:highlight w:val="none"/>
        </w:rPr>
      </w:pPr>
      <w:r>
        <w:rPr>
          <w:rFonts w:hint="eastAsia" w:ascii="仿宋" w:hAnsi="仿宋" w:eastAsia="仿宋" w:cs="仿宋"/>
          <w:b/>
          <w:bCs/>
          <w:color w:val="auto"/>
          <w:sz w:val="24"/>
          <w:highlight w:val="none"/>
        </w:rPr>
        <w:t xml:space="preserve">   二、</w:t>
      </w:r>
      <w:r>
        <w:rPr>
          <w:rFonts w:hint="eastAsia" w:ascii="仿宋" w:hAnsi="仿宋" w:eastAsia="仿宋" w:cs="仿宋"/>
          <w:b/>
          <w:bCs/>
          <w:color w:val="auto"/>
          <w:spacing w:val="1"/>
          <w:sz w:val="24"/>
          <w:highlight w:val="none"/>
        </w:rPr>
        <w:t>主要设备和配件技术性能要求</w:t>
      </w:r>
    </w:p>
    <w:p>
      <w:pPr>
        <w:spacing w:line="44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pacing w:val="1"/>
          <w:sz w:val="24"/>
          <w:highlight w:val="none"/>
        </w:rPr>
        <w:t>1、本项目设备采用分体式空气源热泵</w:t>
      </w:r>
      <w:r>
        <w:rPr>
          <w:rFonts w:hint="eastAsia" w:ascii="仿宋" w:hAnsi="仿宋" w:eastAsia="仿宋" w:cs="仿宋"/>
          <w:b/>
          <w:bCs/>
          <w:color w:val="auto"/>
          <w:spacing w:val="1"/>
          <w:sz w:val="24"/>
          <w:highlight w:val="none"/>
          <w:lang w:val="en-US" w:eastAsia="zh-CN"/>
        </w:rPr>
        <w:t>热水器</w:t>
      </w:r>
      <w:r>
        <w:rPr>
          <w:rFonts w:hint="eastAsia" w:ascii="仿宋" w:hAnsi="仿宋" w:eastAsia="仿宋" w:cs="仿宋"/>
          <w:b/>
          <w:bCs/>
          <w:color w:val="auto"/>
          <w:spacing w:val="1"/>
          <w:sz w:val="24"/>
          <w:highlight w:val="none"/>
        </w:rPr>
        <w:t>，</w:t>
      </w:r>
      <w:r>
        <w:rPr>
          <w:rFonts w:hint="eastAsia" w:ascii="仿宋" w:hAnsi="仿宋" w:eastAsia="仿宋" w:cs="仿宋"/>
          <w:color w:val="auto"/>
          <w:spacing w:val="4"/>
          <w:sz w:val="24"/>
          <w:highlight w:val="none"/>
        </w:rPr>
        <w:t>本次空气源热泵水箱的容量要求</w:t>
      </w:r>
      <w:r>
        <w:rPr>
          <w:rFonts w:hint="eastAsia" w:ascii="仿宋" w:hAnsi="仿宋" w:eastAsia="仿宋" w:cs="仿宋"/>
          <w:color w:val="auto"/>
          <w:spacing w:val="5"/>
          <w:sz w:val="24"/>
          <w:highlight w:val="none"/>
        </w:rPr>
        <w:t>150L</w:t>
      </w:r>
      <w:r>
        <w:rPr>
          <w:rFonts w:hint="eastAsia" w:ascii="仿宋" w:hAnsi="仿宋" w:eastAsia="仿宋" w:cs="仿宋"/>
          <w:color w:val="auto"/>
          <w:spacing w:val="5"/>
          <w:sz w:val="24"/>
          <w:highlight w:val="none"/>
          <w:lang w:eastAsia="zh-CN"/>
        </w:rPr>
        <w:t>，数量</w:t>
      </w:r>
      <w:r>
        <w:rPr>
          <w:rFonts w:hint="eastAsia" w:ascii="仿宋" w:hAnsi="仿宋" w:eastAsia="仿宋" w:cs="仿宋"/>
          <w:color w:val="auto"/>
          <w:spacing w:val="5"/>
          <w:sz w:val="24"/>
          <w:highlight w:val="none"/>
          <w:lang w:val="en-US" w:eastAsia="zh-CN"/>
        </w:rPr>
        <w:t>1776台</w:t>
      </w:r>
      <w:r>
        <w:rPr>
          <w:rFonts w:hint="eastAsia" w:ascii="仿宋" w:hAnsi="仿宋" w:eastAsia="仿宋" w:cs="仿宋"/>
          <w:color w:val="auto"/>
          <w:spacing w:val="5"/>
          <w:sz w:val="24"/>
          <w:highlight w:val="none"/>
          <w:lang w:eastAsia="zh-CN"/>
        </w:rPr>
        <w:t>。</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2、机组额定功率≤</w:t>
      </w:r>
      <w:r>
        <w:rPr>
          <w:rFonts w:hint="eastAsia" w:ascii="仿宋" w:hAnsi="仿宋" w:eastAsia="仿宋" w:cs="仿宋"/>
          <w:color w:val="auto"/>
          <w:sz w:val="24"/>
          <w:highlight w:val="none"/>
          <w:lang w:val="en-US" w:eastAsia="zh-CN"/>
        </w:rPr>
        <w:t>870</w:t>
      </w:r>
      <w:r>
        <w:rPr>
          <w:rFonts w:hint="eastAsia" w:ascii="仿宋" w:hAnsi="仿宋" w:eastAsia="仿宋" w:cs="仿宋"/>
          <w:color w:val="auto"/>
          <w:sz w:val="24"/>
          <w:highlight w:val="none"/>
        </w:rPr>
        <w:t>W，电辅助≥2000W。</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3、机组额定制热量≥3</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 xml:space="preserve">0w。 </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★4、机组选型要求节能静音，运行噪音：≤</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DB(A)。（</w:t>
      </w:r>
      <w:r>
        <w:rPr>
          <w:rFonts w:hint="eastAsia" w:ascii="仿宋" w:hAnsi="仿宋" w:eastAsia="仿宋" w:cs="仿宋"/>
          <w:color w:val="auto"/>
          <w:spacing w:val="-5"/>
          <w:sz w:val="24"/>
          <w:highlight w:val="none"/>
        </w:rPr>
        <w:t>须提供相关专业检测机构的正式检测报告</w:t>
      </w:r>
      <w:r>
        <w:rPr>
          <w:rFonts w:hint="eastAsia" w:ascii="仿宋" w:hAnsi="仿宋" w:eastAsia="仿宋" w:cs="仿宋"/>
          <w:color w:val="auto"/>
          <w:sz w:val="24"/>
          <w:highlight w:val="none"/>
        </w:rPr>
        <w:t>）</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5、在标准工况，干球温度20℃，湿球温度15℃，COP≥</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，（须提供相关</w:t>
      </w:r>
      <w:r>
        <w:rPr>
          <w:rFonts w:hint="eastAsia" w:ascii="仿宋" w:hAnsi="仿宋" w:eastAsia="仿宋" w:cs="仿宋"/>
          <w:color w:val="auto"/>
          <w:sz w:val="24"/>
          <w:highlight w:val="none"/>
          <w:lang w:val="en-US" w:eastAsia="zh-CN"/>
        </w:rPr>
        <w:t>能效网截图</w:t>
      </w:r>
      <w:r>
        <w:rPr>
          <w:rFonts w:hint="eastAsia" w:ascii="仿宋" w:hAnsi="仿宋" w:eastAsia="仿宋" w:cs="仿宋"/>
          <w:color w:val="auto"/>
          <w:sz w:val="24"/>
          <w:highlight w:val="none"/>
        </w:rPr>
        <w:t>）电源规格为220V-</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0HZ,出水温度≥55℃。</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6、控制系统具备断电自动记忆功能。</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7、为保证水箱保温效果，本次投标产品水箱保温层厚度不小于45mm；</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8、水箱保温性能应满足放置24h后，水温不应低于T2-</w:t>
      </w:r>
      <w:r>
        <w:rPr>
          <w:rFonts w:hint="eastAsia" w:ascii="仿宋" w:hAnsi="仿宋" w:eastAsia="仿宋" w:cs="仿宋"/>
          <w:color w:val="auto"/>
          <w:spacing w:val="-3"/>
          <w:sz w:val="24"/>
          <w:highlight w:val="none"/>
        </w:rPr>
        <w:t>8</w:t>
      </w:r>
      <w:r>
        <w:rPr>
          <w:rFonts w:hint="eastAsia" w:ascii="仿宋" w:hAnsi="仿宋" w:eastAsia="仿宋" w:cs="仿宋"/>
          <w:color w:val="auto"/>
          <w:sz w:val="24"/>
          <w:highlight w:val="none"/>
        </w:rPr>
        <w:t>℃（T2为出水温度）。</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9、水箱直径≤500mm（满足现场安装要求）</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10、水箱内胆为</w:t>
      </w:r>
      <w:r>
        <w:rPr>
          <w:rFonts w:hint="eastAsia" w:ascii="仿宋" w:hAnsi="仿宋" w:eastAsia="仿宋" w:cs="仿宋"/>
          <w:color w:val="auto"/>
          <w:sz w:val="24"/>
          <w:highlight w:val="none"/>
          <w:lang w:val="en-US" w:eastAsia="zh-CN"/>
        </w:rPr>
        <w:t>不锈钢内胆或</w:t>
      </w:r>
      <w:r>
        <w:rPr>
          <w:rFonts w:hint="eastAsia" w:ascii="仿宋" w:hAnsi="仿宋" w:eastAsia="仿宋" w:cs="仿宋"/>
          <w:color w:val="auto"/>
          <w:sz w:val="24"/>
          <w:highlight w:val="none"/>
        </w:rPr>
        <w:t>搪瓷内胆。</w:t>
      </w:r>
    </w:p>
    <w:p>
      <w:pPr>
        <w:spacing w:line="440" w:lineRule="exact"/>
        <w:ind w:firstLine="236" w:firstLineChars="1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lang w:bidi="zh-CN"/>
        </w:rPr>
        <w:t>★11、水箱盘管必须采用</w:t>
      </w:r>
      <w:r>
        <w:rPr>
          <w:rFonts w:hint="eastAsia" w:ascii="仿宋" w:hAnsi="仿宋" w:eastAsia="仿宋" w:cs="仿宋"/>
          <w:color w:val="auto"/>
          <w:spacing w:val="-2"/>
          <w:sz w:val="24"/>
          <w:highlight w:val="none"/>
          <w:lang w:val="en-US" w:eastAsia="zh-CN" w:bidi="zh-CN"/>
        </w:rPr>
        <w:t>内置盘管换热器或</w:t>
      </w:r>
      <w:r>
        <w:rPr>
          <w:rFonts w:hint="eastAsia" w:ascii="仿宋" w:hAnsi="仿宋" w:eastAsia="仿宋" w:cs="仿宋"/>
          <w:color w:val="auto"/>
          <w:spacing w:val="-2"/>
          <w:sz w:val="24"/>
          <w:highlight w:val="none"/>
          <w:lang w:bidi="zh-CN"/>
        </w:rPr>
        <w:t>外置微通道换热器</w:t>
      </w:r>
      <w:r>
        <w:rPr>
          <w:rFonts w:hint="eastAsia" w:ascii="仿宋" w:hAnsi="仿宋" w:eastAsia="仿宋" w:cs="仿宋"/>
          <w:color w:val="auto"/>
          <w:sz w:val="24"/>
          <w:highlight w:val="none"/>
        </w:rPr>
        <w:t>。</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12、为保证空气源热水器的使用效果，水箱内必须有镁棒除垢装置。</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13、本次招标的分体式空气源热水器需标配面板线控器。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14、机组设有高/低压保护、压缩机过流过载保护、启动延时、水断流保护等多重安</w:t>
      </w:r>
      <w:r>
        <w:rPr>
          <w:rFonts w:hint="eastAsia" w:ascii="仿宋" w:hAnsi="仿宋" w:eastAsia="仿宋" w:cs="仿宋"/>
          <w:color w:val="auto"/>
          <w:spacing w:val="-5"/>
          <w:sz w:val="24"/>
          <w:highlight w:val="none"/>
        </w:rPr>
        <w:t>全保护，从根本上杜绝漏电、干烧、超高温等安全隐患；同时压缩机应具有防振措施，</w:t>
      </w:r>
      <w:r>
        <w:rPr>
          <w:rFonts w:hint="eastAsia" w:ascii="仿宋" w:hAnsi="仿宋" w:eastAsia="仿宋" w:cs="仿宋"/>
          <w:color w:val="auto"/>
          <w:sz w:val="24"/>
          <w:highlight w:val="none"/>
        </w:rPr>
        <w:t>运行时无异常声响，且排气温度不应超过压缩机厂的规定。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15、系统要求</w:t>
      </w:r>
    </w:p>
    <w:p>
      <w:pPr>
        <w:spacing w:line="440" w:lineRule="exact"/>
        <w:ind w:firstLine="472" w:firstLineChars="200"/>
        <w:rPr>
          <w:rFonts w:hint="eastAsia" w:ascii="仿宋" w:hAnsi="仿宋" w:eastAsia="仿宋" w:cs="仿宋"/>
          <w:color w:val="auto"/>
          <w:highlight w:val="none"/>
        </w:rPr>
      </w:pPr>
      <w:r>
        <w:rPr>
          <w:rFonts w:hint="eastAsia" w:ascii="仿宋" w:hAnsi="仿宋" w:eastAsia="仿宋" w:cs="仿宋"/>
          <w:color w:val="auto"/>
          <w:spacing w:val="-2"/>
          <w:sz w:val="24"/>
          <w:highlight w:val="none"/>
        </w:rPr>
        <w:t>（1）空气源热水器需配置控制面板，控制面板安装在室内，具体安装位置需经采购单位</w:t>
      </w:r>
      <w:r>
        <w:rPr>
          <w:rFonts w:hint="eastAsia" w:ascii="仿宋" w:hAnsi="仿宋" w:eastAsia="仿宋" w:cs="仿宋"/>
          <w:color w:val="auto"/>
          <w:sz w:val="24"/>
          <w:highlight w:val="none"/>
        </w:rPr>
        <w:t>确认后方可施工安装，同时要求采用微电脑芯片控制器，实现温控、防冻等全自动控制等功能。</w:t>
      </w:r>
    </w:p>
    <w:p>
      <w:pPr>
        <w:spacing w:line="44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（2）设备（系统）具有智能防冻循环、自动除霜功能，低温运行时，应具有防止冻</w:t>
      </w:r>
      <w:r>
        <w:rPr>
          <w:rFonts w:hint="eastAsia" w:ascii="仿宋" w:hAnsi="仿宋" w:eastAsia="仿宋" w:cs="仿宋"/>
          <w:color w:val="auto"/>
          <w:sz w:val="24"/>
          <w:highlight w:val="none"/>
        </w:rPr>
        <w:t>结的措施。能确保在当地最不利工况下系统能稳定运行，满足全天候用水需求。</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（3）系统应可进行水温设定，水温可以自由调节。</w:t>
      </w:r>
    </w:p>
    <w:p>
      <w:pPr>
        <w:spacing w:line="44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（4）系统具有漏电保护、超温保护、干烧保护功能。出现这些故障时系统自动停止工</w:t>
      </w:r>
      <w:r>
        <w:rPr>
          <w:rFonts w:hint="eastAsia" w:ascii="仿宋" w:hAnsi="仿宋" w:eastAsia="仿宋" w:cs="仿宋"/>
          <w:color w:val="auto"/>
          <w:sz w:val="24"/>
          <w:highlight w:val="none"/>
        </w:rPr>
        <w:t>作，排除故障后才能重新启动。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16、其他配件（闸阀、排气阀、止回阀等）应为国内知名品牌并提供质量检测相关报告。</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系统优化设计，满足要求功能。系统摆放布局合理，整体美观，提供效果图或相同工程的施工照片并作为后期验收依据。具有充分的抗风、防风能力，相关管路、阀门满足冬季的防冻要求，内和户外系统都应有具有避雷、防雷击措施。应提供本项目的安装、维护、维修方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其它技术要求：中标人负责完成空气源热泵热水电气自控系统设计及施工，并将控制安装于采购单位指定位置，安装于露天的电气设备需有防水保护措施；投标供应商应根据采购单位提供的设计图纸进行深化设计，提供空气源热泵制热水原理图、自动控制系统原理图，包括但不限于恒温控制、温度压力超高保护、时间自动控制等。</w:t>
      </w:r>
    </w:p>
    <w:p>
      <w:pPr>
        <w:spacing w:line="440" w:lineRule="exact"/>
        <w:ind w:firstLine="250" w:firstLineChars="100"/>
        <w:rPr>
          <w:rFonts w:hint="eastAsia" w:ascii="仿宋" w:hAnsi="仿宋" w:eastAsia="仿宋" w:cs="仿宋"/>
          <w:color w:val="auto"/>
          <w:spacing w:val="-2"/>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z w:val="24"/>
          <w:highlight w:val="none"/>
        </w:rPr>
        <w:t>19、</w:t>
      </w:r>
      <w:r>
        <w:rPr>
          <w:rFonts w:hint="eastAsia" w:ascii="仿宋" w:hAnsi="仿宋" w:eastAsia="仿宋" w:cs="仿宋"/>
          <w:color w:val="auto"/>
          <w:spacing w:val="-2"/>
          <w:sz w:val="24"/>
          <w:highlight w:val="none"/>
        </w:rPr>
        <w:t>本次投标的空气能设备必须具有有效期内的国家CCC认证，为具有</w:t>
      </w:r>
      <w:r>
        <w:rPr>
          <w:rFonts w:hint="eastAsia" w:ascii="仿宋" w:hAnsi="仿宋" w:eastAsia="仿宋" w:cs="仿宋"/>
          <w:color w:val="auto"/>
          <w:spacing w:val="-2"/>
          <w:sz w:val="24"/>
          <w:highlight w:val="none"/>
          <w:lang w:val="en-US" w:eastAsia="zh-CN"/>
        </w:rPr>
        <w:t>二</w:t>
      </w:r>
      <w:r>
        <w:rPr>
          <w:rFonts w:hint="eastAsia" w:ascii="仿宋" w:hAnsi="仿宋" w:eastAsia="仿宋" w:cs="仿宋"/>
          <w:color w:val="auto"/>
          <w:spacing w:val="-2"/>
          <w:sz w:val="24"/>
          <w:highlight w:val="none"/>
          <w:lang w:bidi="zh-CN"/>
        </w:rPr>
        <w:t>级及以上能效标识产品，提供中国能效标识网的相关证明。</w:t>
      </w:r>
    </w:p>
    <w:p>
      <w:pPr>
        <w:spacing w:line="440" w:lineRule="exact"/>
        <w:ind w:firstLine="250" w:firstLineChars="1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pacing w:val="-2"/>
          <w:sz w:val="24"/>
          <w:highlight w:val="none"/>
        </w:rPr>
        <w:t>20、本次投标的空气能设备为各品牌最新生产（外牌上的生产日期）的产品，所</w:t>
      </w:r>
      <w:r>
        <w:rPr>
          <w:rFonts w:hint="eastAsia" w:ascii="仿宋" w:hAnsi="仿宋" w:eastAsia="仿宋" w:cs="仿宋"/>
          <w:color w:val="auto"/>
          <w:sz w:val="24"/>
          <w:highlight w:val="none"/>
        </w:rPr>
        <w:t>供应设备必须为采购单位发出“供货通知”前两个月内生产的全新产品，到货后必须无条件配合现场检查。（出具厂家承诺书）</w:t>
      </w:r>
    </w:p>
    <w:p>
      <w:pPr>
        <w:spacing w:line="44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21、机组水箱使用寿命：</w:t>
      </w:r>
      <w:r>
        <w:rPr>
          <w:rFonts w:hint="eastAsia" w:ascii="仿宋" w:hAnsi="仿宋" w:eastAsia="仿宋" w:cs="仿宋"/>
          <w:color w:val="auto"/>
          <w:kern w:val="0"/>
          <w:sz w:val="24"/>
          <w:highlight w:val="none"/>
        </w:rPr>
        <w:t>≥</w:t>
      </w:r>
      <w:r>
        <w:rPr>
          <w:rFonts w:hint="eastAsia" w:ascii="仿宋" w:hAnsi="仿宋" w:eastAsia="仿宋" w:cs="仿宋"/>
          <w:color w:val="auto"/>
          <w:spacing w:val="-2"/>
          <w:sz w:val="24"/>
          <w:highlight w:val="none"/>
        </w:rPr>
        <w:t>15年</w:t>
      </w:r>
      <w:r>
        <w:rPr>
          <w:rFonts w:hint="eastAsia" w:ascii="仿宋" w:hAnsi="仿宋" w:eastAsia="仿宋" w:cs="仿宋"/>
          <w:color w:val="auto"/>
          <w:sz w:val="24"/>
          <w:highlight w:val="none"/>
        </w:rPr>
        <w:t>。</w:t>
      </w:r>
    </w:p>
    <w:p>
      <w:pPr>
        <w:spacing w:line="440" w:lineRule="exact"/>
        <w:ind w:firstLine="482" w:firstLineChars="200"/>
        <w:rPr>
          <w:rFonts w:hint="eastAsia" w:ascii="仿宋" w:hAnsi="仿宋" w:eastAsia="仿宋" w:cs="仿宋"/>
          <w:b/>
          <w:bCs/>
          <w:color w:val="auto"/>
          <w:spacing w:val="1"/>
          <w:sz w:val="24"/>
          <w:highlight w:val="none"/>
          <w:u w:val="single"/>
        </w:rPr>
      </w:pPr>
      <w:r>
        <w:rPr>
          <w:rFonts w:hint="eastAsia" w:ascii="仿宋" w:hAnsi="仿宋" w:eastAsia="仿宋" w:cs="仿宋"/>
          <w:b/>
          <w:bCs/>
          <w:color w:val="auto"/>
          <w:sz w:val="24"/>
          <w:highlight w:val="none"/>
          <w:u w:val="single"/>
        </w:rPr>
        <w:t>上述1-19</w:t>
      </w:r>
      <w:r>
        <w:rPr>
          <w:rFonts w:hint="eastAsia" w:ascii="仿宋" w:hAnsi="仿宋" w:eastAsia="仿宋" w:cs="仿宋"/>
          <w:b/>
          <w:bCs/>
          <w:color w:val="auto"/>
          <w:spacing w:val="-2"/>
          <w:sz w:val="24"/>
          <w:highlight w:val="none"/>
          <w:u w:val="single"/>
        </w:rPr>
        <w:t>项技术参数加★为</w:t>
      </w:r>
      <w:r>
        <w:rPr>
          <w:rFonts w:hint="eastAsia" w:ascii="仿宋" w:hAnsi="仿宋" w:eastAsia="仿宋" w:cs="仿宋"/>
          <w:b/>
          <w:bCs/>
          <w:color w:val="auto"/>
          <w:spacing w:val="-2"/>
          <w:sz w:val="24"/>
          <w:highlight w:val="none"/>
          <w:u w:val="single"/>
          <w:lang w:val="en-US" w:eastAsia="zh-CN"/>
        </w:rPr>
        <w:t>核心参数</w:t>
      </w:r>
      <w:r>
        <w:rPr>
          <w:rFonts w:hint="eastAsia" w:ascii="仿宋" w:hAnsi="仿宋" w:eastAsia="仿宋" w:cs="仿宋"/>
          <w:b/>
          <w:bCs/>
          <w:color w:val="auto"/>
          <w:spacing w:val="-2"/>
          <w:sz w:val="24"/>
          <w:highlight w:val="none"/>
          <w:u w:val="single"/>
        </w:rPr>
        <w:t>，除“（）”内明</w:t>
      </w:r>
      <w:r>
        <w:rPr>
          <w:rFonts w:hint="eastAsia" w:ascii="仿宋" w:hAnsi="仿宋" w:eastAsia="仿宋" w:cs="仿宋"/>
          <w:b/>
          <w:bCs/>
          <w:color w:val="auto"/>
          <w:spacing w:val="1"/>
          <w:sz w:val="24"/>
          <w:highlight w:val="none"/>
          <w:u w:val="single"/>
        </w:rPr>
        <w:t>确需要提供的资料外，其余项请投标供应商以书面承诺为准，要求加盖公章。</w:t>
      </w:r>
    </w:p>
    <w:p>
      <w:pPr>
        <w:spacing w:line="440" w:lineRule="exact"/>
        <w:jc w:val="center"/>
        <w:rPr>
          <w:rFonts w:hint="eastAsia" w:ascii="仿宋" w:hAnsi="仿宋" w:eastAsia="仿宋" w:cs="仿宋"/>
          <w:b/>
          <w:bCs/>
          <w:color w:val="auto"/>
          <w:sz w:val="24"/>
          <w:highlight w:val="none"/>
        </w:rPr>
      </w:pPr>
    </w:p>
    <w:p>
      <w:pPr>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空气源热泵</w:t>
      </w:r>
      <w:r>
        <w:rPr>
          <w:rFonts w:hint="eastAsia" w:ascii="仿宋" w:hAnsi="仿宋" w:eastAsia="仿宋" w:cs="仿宋"/>
          <w:b/>
          <w:bCs/>
          <w:color w:val="auto"/>
          <w:sz w:val="24"/>
          <w:highlight w:val="none"/>
          <w:lang w:val="en-US" w:eastAsia="zh-CN"/>
        </w:rPr>
        <w:t>热水器</w:t>
      </w:r>
      <w:r>
        <w:rPr>
          <w:rFonts w:hint="eastAsia" w:ascii="仿宋" w:hAnsi="仿宋" w:eastAsia="仿宋" w:cs="仿宋"/>
          <w:b/>
          <w:bCs/>
          <w:color w:val="auto"/>
          <w:sz w:val="24"/>
          <w:highlight w:val="none"/>
        </w:rPr>
        <w:t>主要技术参数表</w:t>
      </w:r>
    </w:p>
    <w:p>
      <w:pPr>
        <w:pStyle w:val="82"/>
        <w:rPr>
          <w:rFonts w:hint="eastAsia" w:ascii="仿宋" w:hAnsi="仿宋" w:eastAsia="仿宋" w:cs="仿宋"/>
          <w:color w:val="auto"/>
          <w:highlight w:val="none"/>
        </w:rPr>
      </w:pPr>
    </w:p>
    <w:tbl>
      <w:tblPr>
        <w:tblStyle w:val="64"/>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2745"/>
        <w:gridCol w:w="5062"/>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74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506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具体要求</w:t>
            </w:r>
          </w:p>
        </w:tc>
        <w:tc>
          <w:tcPr>
            <w:tcW w:w="71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系统形式</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分体式</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热泵换热方式</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冷媒循环式</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质量认证</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投标产品应取得 3C 认证</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热泵换热器装置</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内置盘管换热器或</w:t>
            </w:r>
            <w:r>
              <w:rPr>
                <w:rFonts w:hint="eastAsia" w:ascii="仿宋" w:hAnsi="仿宋" w:eastAsia="仿宋" w:cs="仿宋"/>
                <w:color w:val="auto"/>
                <w:sz w:val="24"/>
                <w:highlight w:val="none"/>
              </w:rPr>
              <w:t>外置微通道换热器</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热泵主机额定制热量</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150L，热泵主机制热量≥</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0w</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热泵主机额定输入功率</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150L分体式热泵(</w:t>
            </w:r>
            <w:r>
              <w:rPr>
                <w:rFonts w:hint="eastAsia" w:ascii="仿宋" w:hAnsi="仿宋" w:eastAsia="仿宋" w:cs="仿宋"/>
                <w:bCs/>
                <w:color w:val="auto"/>
                <w:sz w:val="24"/>
                <w:highlight w:val="none"/>
              </w:rPr>
              <w:t>主机输入功率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870</w:t>
            </w:r>
            <w:r>
              <w:rPr>
                <w:rFonts w:hint="eastAsia" w:ascii="仿宋" w:hAnsi="仿宋" w:eastAsia="仿宋" w:cs="仿宋"/>
                <w:bCs/>
                <w:color w:val="auto"/>
                <w:sz w:val="24"/>
                <w:highlight w:val="none"/>
              </w:rPr>
              <w:t>)</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性能系数</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COP：≥</w:t>
            </w:r>
            <w:r>
              <w:rPr>
                <w:rFonts w:hint="eastAsia" w:ascii="仿宋" w:hAnsi="仿宋" w:eastAsia="仿宋" w:cs="仿宋"/>
                <w:color w:val="auto"/>
                <w:kern w:val="0"/>
                <w:sz w:val="24"/>
                <w:highlight w:val="none"/>
                <w:lang w:val="en-US" w:eastAsia="zh-CN"/>
              </w:rPr>
              <w:t>4.0</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电源规格</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220V/50HZ</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运行噪音</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分体式室外机噪音≤</w:t>
            </w:r>
            <w:r>
              <w:rPr>
                <w:rFonts w:hint="eastAsia" w:ascii="仿宋" w:hAnsi="仿宋" w:eastAsia="仿宋" w:cs="仿宋"/>
                <w:color w:val="auto"/>
                <w:kern w:val="0"/>
                <w:sz w:val="24"/>
                <w:highlight w:val="none"/>
                <w:lang w:val="en-US" w:eastAsia="zh-CN"/>
              </w:rPr>
              <w:t>52</w:t>
            </w:r>
            <w:r>
              <w:rPr>
                <w:rFonts w:hint="eastAsia" w:ascii="仿宋" w:hAnsi="仿宋" w:eastAsia="仿宋" w:cs="仿宋"/>
                <w:color w:val="auto"/>
                <w:kern w:val="0"/>
                <w:sz w:val="24"/>
                <w:highlight w:val="none"/>
              </w:rPr>
              <w:t>dB（A）;</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机组运行环境温度</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 xml:space="preserve">℃ 至 </w:t>
            </w:r>
            <w:r>
              <w:rPr>
                <w:rFonts w:hint="eastAsia" w:ascii="仿宋" w:hAnsi="仿宋" w:eastAsia="仿宋" w:cs="仿宋"/>
                <w:color w:val="auto"/>
                <w:kern w:val="0"/>
                <w:sz w:val="24"/>
                <w:highlight w:val="none"/>
                <w:lang w:val="en-US" w:eastAsia="zh-CN"/>
              </w:rPr>
              <w:t>43</w:t>
            </w:r>
            <w:r>
              <w:rPr>
                <w:rFonts w:hint="eastAsia" w:ascii="仿宋" w:hAnsi="仿宋" w:eastAsia="仿宋" w:cs="仿宋"/>
                <w:color w:val="auto"/>
                <w:kern w:val="0"/>
                <w:sz w:val="24"/>
                <w:highlight w:val="none"/>
              </w:rPr>
              <w:t>℃</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水箱容积</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pacing w:val="5"/>
                <w:sz w:val="24"/>
                <w:highlight w:val="none"/>
              </w:rPr>
              <w:t>150L符合国标要求</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除霜功能</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智能除霜功能</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水箱内胆</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不锈钢内胆或</w:t>
            </w:r>
            <w:r>
              <w:rPr>
                <w:rFonts w:hint="eastAsia" w:ascii="仿宋" w:hAnsi="仿宋" w:eastAsia="仿宋" w:cs="仿宋"/>
                <w:color w:val="auto"/>
                <w:sz w:val="24"/>
                <w:highlight w:val="none"/>
              </w:rPr>
              <w:t>搪瓷内胆</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水箱外壳材质</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镀锌外壳，钢板厚度</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45</w:t>
            </w:r>
            <w:r>
              <w:rPr>
                <w:rFonts w:hint="eastAsia" w:ascii="仿宋" w:hAnsi="仿宋" w:eastAsia="仿宋" w:cs="仿宋"/>
                <w:color w:val="auto"/>
                <w:kern w:val="0"/>
                <w:sz w:val="24"/>
                <w:highlight w:val="none"/>
              </w:rPr>
              <w:t>mm</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内胆防冻功能</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内胆温度低于10℃时，自动加热到设定温度</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水箱保温层厚度及性能</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外界温度 0℃条件下，24 小时温降&lt;8℃。聚氨酯整体发泡，厚度≥</w:t>
            </w:r>
            <w:r>
              <w:rPr>
                <w:rFonts w:hint="eastAsia" w:ascii="仿宋" w:hAnsi="仿宋" w:eastAsia="仿宋" w:cs="仿宋"/>
                <w:color w:val="auto"/>
                <w:kern w:val="0"/>
                <w:sz w:val="24"/>
                <w:highlight w:val="none"/>
                <w:lang w:val="en-US" w:eastAsia="zh-CN"/>
              </w:rPr>
              <w:t>45</w:t>
            </w:r>
            <w:r>
              <w:rPr>
                <w:rFonts w:hint="eastAsia" w:ascii="仿宋" w:hAnsi="仿宋" w:eastAsia="仿宋" w:cs="仿宋"/>
                <w:color w:val="auto"/>
                <w:kern w:val="0"/>
                <w:sz w:val="24"/>
                <w:highlight w:val="none"/>
              </w:rPr>
              <w:t>mm</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产品寿命</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机组设计使用寿命≥15年</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17"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2745"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辅助热源</w:t>
            </w:r>
          </w:p>
        </w:tc>
        <w:tc>
          <w:tcPr>
            <w:tcW w:w="5062"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≥2000W</w:t>
            </w:r>
          </w:p>
        </w:tc>
        <w:tc>
          <w:tcPr>
            <w:tcW w:w="713"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bl>
    <w:p>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pacing w:val="2"/>
          <w:sz w:val="24"/>
          <w:highlight w:val="none"/>
        </w:rPr>
        <w:t>三、</w:t>
      </w:r>
      <w:r>
        <w:rPr>
          <w:rFonts w:hint="eastAsia" w:ascii="仿宋" w:hAnsi="仿宋" w:eastAsia="仿宋" w:cs="仿宋"/>
          <w:b/>
          <w:bCs/>
          <w:color w:val="auto"/>
          <w:spacing w:val="1"/>
          <w:sz w:val="24"/>
          <w:highlight w:val="none"/>
        </w:rPr>
        <w:t>空气源热泵热水系统工程技术标准</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设计、施工时选用标准版本，以下列标准的具体执行时效为准：</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（1）《家用和类似用途热泵热水机》GB/T 23137-2008；</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（2）《建筑给水排水设计规范》GB50015；</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（3）《住宅设计规范》GB50096；</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（4）《建筑物防腐设计规范》GB50057；</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（5）《建筑给水排水及采暖工程施工质量验收规范》GB50242；</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（6）《建筑电气工程施工质量验收规范》GB50303；</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（7）《住宅建筑规范》GB50368；</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（8）《低压配电设计规范》GB50054;</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（9）《家用和类似用途电器的安全通用要求》GB4706.1;</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（10）《设备及管道保温技术通则》GB4272;</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（11）《建筑物防雷设计规范》 GB50057;</w:t>
      </w:r>
    </w:p>
    <w:p>
      <w:pPr>
        <w:spacing w:line="440" w:lineRule="exact"/>
        <w:rPr>
          <w:rFonts w:hint="eastAsia" w:ascii="仿宋" w:hAnsi="仿宋" w:eastAsia="仿宋" w:cs="仿宋"/>
          <w:b/>
          <w:bCs/>
          <w:color w:val="auto"/>
          <w:spacing w:val="1"/>
          <w:sz w:val="24"/>
          <w:highlight w:val="none"/>
        </w:rPr>
      </w:pPr>
      <w:r>
        <w:rPr>
          <w:rFonts w:hint="eastAsia" w:ascii="仿宋" w:hAnsi="仿宋" w:eastAsia="仿宋" w:cs="仿宋"/>
          <w:b/>
          <w:bCs/>
          <w:color w:val="auto"/>
          <w:spacing w:val="2"/>
          <w:sz w:val="24"/>
          <w:highlight w:val="none"/>
        </w:rPr>
        <w:t>四、</w:t>
      </w:r>
      <w:r>
        <w:rPr>
          <w:rFonts w:hint="eastAsia" w:ascii="仿宋" w:hAnsi="仿宋" w:eastAsia="仿宋" w:cs="仿宋"/>
          <w:b/>
          <w:bCs/>
          <w:color w:val="auto"/>
          <w:spacing w:val="1"/>
          <w:sz w:val="24"/>
          <w:highlight w:val="none"/>
        </w:rPr>
        <w:t>安装要求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（一）下列工具配件需投标供应商自行准备：</w:t>
      </w:r>
    </w:p>
    <w:p>
      <w:pPr>
        <w:spacing w:line="440" w:lineRule="exact"/>
        <w:ind w:firstLine="488"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1、</w:t>
      </w:r>
      <w:r>
        <w:rPr>
          <w:rFonts w:hint="eastAsia" w:ascii="仿宋" w:hAnsi="仿宋" w:eastAsia="仿宋" w:cs="仿宋"/>
          <w:color w:val="auto"/>
          <w:spacing w:val="1"/>
          <w:sz w:val="24"/>
          <w:highlight w:val="none"/>
        </w:rPr>
        <w:t>施工条件的准备</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安装工具：十字或一字螺丝刀1个、墙面开孔器1个、活动钣手2个、真空泵1个、冷媒压力表1个、5厘六角小扳手1个等。</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1"/>
          <w:sz w:val="24"/>
          <w:highlight w:val="none"/>
        </w:rPr>
        <w:t>家用空气源热水器安装所需配</w:t>
      </w:r>
      <w:r>
        <w:rPr>
          <w:rFonts w:hint="eastAsia" w:ascii="仿宋" w:hAnsi="仿宋" w:eastAsia="仿宋" w:cs="仿宋"/>
          <w:color w:val="auto"/>
          <w:spacing w:val="2"/>
          <w:sz w:val="24"/>
          <w:highlight w:val="none"/>
        </w:rPr>
        <w:t>上所需要用到的配件（包括且不仅限于）：铜管及保温、电源线、减震垫、</w:t>
      </w:r>
      <w:r>
        <w:rPr>
          <w:rFonts w:hint="eastAsia" w:ascii="仿宋" w:hAnsi="仿宋" w:eastAsia="仿宋" w:cs="仿宋"/>
          <w:color w:val="auto"/>
          <w:sz w:val="24"/>
          <w:highlight w:val="none"/>
        </w:rPr>
        <w:t>控制面板、说明书、感温探头、墙孔套、扎线带、铜管胶带、冷凝水管等；水箱上所需要用到的配件（包括且不仅限于）：安全阀、水箱底座；</w:t>
      </w:r>
      <w:r>
        <w:rPr>
          <w:rFonts w:hint="eastAsia" w:ascii="仿宋" w:hAnsi="仿宋" w:eastAsia="仿宋" w:cs="仿宋"/>
          <w:color w:val="auto"/>
          <w:spacing w:val="-1"/>
          <w:sz w:val="24"/>
          <w:highlight w:val="none"/>
        </w:rPr>
        <w:t>其他所需要用到的配件（包括且不仅限于）：龙头、角阀、生料带、直接、过滤</w:t>
      </w:r>
      <w:r>
        <w:rPr>
          <w:rFonts w:hint="eastAsia" w:ascii="仿宋" w:hAnsi="仿宋" w:eastAsia="仿宋" w:cs="仿宋"/>
          <w:color w:val="auto"/>
          <w:sz w:val="24"/>
          <w:highlight w:val="none"/>
        </w:rPr>
        <w:t>器、球阀、止回阀、主机支架、三通、外牙、内牙、弯头。</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pacing w:val="2"/>
          <w:sz w:val="24"/>
          <w:highlight w:val="none"/>
        </w:rPr>
        <w:t>安装位置</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安装在采购单位指定的设备平台，具体安装位置在深化图纸中明确，经采购单位书面</w:t>
      </w:r>
      <w:r>
        <w:rPr>
          <w:rFonts w:hint="eastAsia" w:ascii="仿宋" w:hAnsi="仿宋" w:eastAsia="仿宋" w:cs="仿宋"/>
          <w:color w:val="auto"/>
          <w:spacing w:val="-1"/>
          <w:sz w:val="24"/>
        </w:rPr>
        <w:t>确认后，未经采购单位允许，不得改变安装位置，注意需要主机与墙壁要相隔合适的距</w:t>
      </w:r>
      <w:r>
        <w:rPr>
          <w:rFonts w:hint="eastAsia" w:ascii="仿宋" w:hAnsi="仿宋" w:eastAsia="仿宋" w:cs="仿宋"/>
          <w:color w:val="auto"/>
          <w:sz w:val="24"/>
        </w:rPr>
        <w:t>离，便于主机空气循环的流通性。</w:t>
      </w:r>
    </w:p>
    <w:p>
      <w:pPr>
        <w:pStyle w:val="2"/>
        <w:ind w:left="0" w:leftChars="0" w:firstLine="0" w:firstLineChars="0"/>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（三）施工组织设计及技术方案包括但不限于以下内容：</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 xml:space="preserve">1、项目组织管理机构及职责划分 </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1.1、项目管理团队配置表</w:t>
      </w:r>
      <w:r>
        <w:rPr>
          <w:rFonts w:hint="eastAsia" w:ascii="仿宋" w:hAnsi="仿宋" w:eastAsia="仿宋" w:cs="仿宋"/>
          <w:color w:val="auto"/>
          <w:spacing w:val="-1"/>
          <w:kern w:val="2"/>
          <w:sz w:val="24"/>
          <w:szCs w:val="24"/>
          <w:lang w:val="en-US" w:eastAsia="zh-CN" w:bidi="ar-SA"/>
        </w:rPr>
        <w:tab/>
      </w:r>
      <w:r>
        <w:rPr>
          <w:rFonts w:hint="eastAsia" w:ascii="仿宋" w:hAnsi="仿宋" w:eastAsia="仿宋" w:cs="仿宋"/>
          <w:color w:val="auto"/>
          <w:spacing w:val="-1"/>
          <w:kern w:val="2"/>
          <w:sz w:val="24"/>
          <w:szCs w:val="24"/>
          <w:lang w:val="en-US" w:eastAsia="zh-CN" w:bidi="ar-SA"/>
        </w:rPr>
        <w:t xml:space="preserve"> </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1.2、项目管理团队人员简介</w:t>
      </w:r>
      <w:r>
        <w:rPr>
          <w:rFonts w:hint="eastAsia" w:ascii="仿宋" w:hAnsi="仿宋" w:eastAsia="仿宋" w:cs="仿宋"/>
          <w:color w:val="auto"/>
          <w:spacing w:val="-1"/>
          <w:kern w:val="2"/>
          <w:sz w:val="24"/>
          <w:szCs w:val="24"/>
          <w:lang w:val="en-US" w:eastAsia="zh-CN" w:bidi="ar-SA"/>
        </w:rPr>
        <w:tab/>
      </w:r>
      <w:r>
        <w:rPr>
          <w:rFonts w:hint="eastAsia" w:ascii="仿宋" w:hAnsi="仿宋" w:eastAsia="仿宋" w:cs="仿宋"/>
          <w:color w:val="auto"/>
          <w:spacing w:val="-1"/>
          <w:kern w:val="2"/>
          <w:sz w:val="24"/>
          <w:szCs w:val="24"/>
          <w:lang w:val="en-US" w:eastAsia="zh-CN" w:bidi="ar-SA"/>
        </w:rPr>
        <w:t xml:space="preserve">  </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2、施工进度计划及劳动力安排</w:t>
      </w:r>
      <w:r>
        <w:rPr>
          <w:rFonts w:hint="eastAsia" w:ascii="仿宋" w:hAnsi="仿宋" w:eastAsia="仿宋" w:cs="仿宋"/>
          <w:color w:val="auto"/>
          <w:spacing w:val="-1"/>
          <w:kern w:val="2"/>
          <w:sz w:val="24"/>
          <w:szCs w:val="24"/>
          <w:lang w:val="en-US" w:eastAsia="zh-CN" w:bidi="ar-SA"/>
        </w:rPr>
        <w:tab/>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2.1、施工进度计划表</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2.2、工程施工段划分、施工程序</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2.3、施工人员进场数量及进场计划</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2.4、劳务团队组成及数量</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2.5、工期赶工措施</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3、主要施工方法及针对本工程特点、重点、难点的分析及应对措施</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3.1、主要质量风险点及控制措施</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3.2、主要安全文明风险点及措施</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3.3、保护的成品、半成品及措施</w:t>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3.4、可能的停歇施工、降效因素及措施</w:t>
      </w:r>
      <w:r>
        <w:rPr>
          <w:rFonts w:hint="eastAsia" w:ascii="仿宋" w:hAnsi="仿宋" w:eastAsia="仿宋" w:cs="仿宋"/>
          <w:color w:val="auto"/>
          <w:spacing w:val="-1"/>
          <w:kern w:val="2"/>
          <w:sz w:val="24"/>
          <w:szCs w:val="24"/>
          <w:lang w:val="en-US" w:eastAsia="zh-CN" w:bidi="ar-SA"/>
        </w:rPr>
        <w:tab/>
      </w:r>
    </w:p>
    <w:p>
      <w:pPr>
        <w:pStyle w:val="2"/>
        <w:rPr>
          <w:rFonts w:hint="eastAsia" w:ascii="仿宋" w:hAnsi="仿宋" w:eastAsia="仿宋" w:cs="仿宋"/>
          <w:color w:val="auto"/>
          <w:spacing w:val="-1"/>
          <w:kern w:val="2"/>
          <w:sz w:val="24"/>
          <w:szCs w:val="24"/>
          <w:lang w:val="en-US" w:eastAsia="zh-CN" w:bidi="ar-SA"/>
        </w:rPr>
      </w:pPr>
      <w:r>
        <w:rPr>
          <w:rFonts w:hint="eastAsia" w:ascii="仿宋" w:hAnsi="仿宋" w:eastAsia="仿宋" w:cs="仿宋"/>
          <w:color w:val="auto"/>
          <w:spacing w:val="-1"/>
          <w:kern w:val="2"/>
          <w:sz w:val="24"/>
          <w:szCs w:val="24"/>
          <w:lang w:val="en-US" w:eastAsia="zh-CN" w:bidi="ar-SA"/>
        </w:rPr>
        <w:t>4、新冠疫情期间防控措施</w:t>
      </w:r>
      <w:r>
        <w:rPr>
          <w:rFonts w:hint="eastAsia" w:ascii="仿宋" w:hAnsi="仿宋" w:eastAsia="仿宋" w:cs="仿宋"/>
          <w:color w:val="auto"/>
          <w:spacing w:val="-1"/>
          <w:kern w:val="2"/>
          <w:sz w:val="24"/>
          <w:szCs w:val="24"/>
          <w:lang w:val="en-US" w:eastAsia="zh-CN" w:bidi="ar-SA"/>
        </w:rPr>
        <w:tab/>
      </w:r>
    </w:p>
    <w:p>
      <w:pPr>
        <w:spacing w:line="440" w:lineRule="exact"/>
        <w:rPr>
          <w:rFonts w:hint="eastAsia" w:ascii="仿宋" w:hAnsi="仿宋" w:eastAsia="仿宋" w:cs="仿宋"/>
          <w:color w:val="auto"/>
          <w:sz w:val="24"/>
        </w:rPr>
      </w:pPr>
      <w:r>
        <w:rPr>
          <w:rFonts w:hint="eastAsia" w:ascii="仿宋" w:hAnsi="仿宋" w:eastAsia="仿宋" w:cs="仿宋"/>
          <w:color w:val="auto"/>
          <w:spacing w:val="2"/>
          <w:sz w:val="24"/>
        </w:rPr>
        <w:t>（三）</w:t>
      </w:r>
      <w:r>
        <w:rPr>
          <w:rFonts w:hint="eastAsia" w:ascii="仿宋" w:hAnsi="仿宋" w:eastAsia="仿宋" w:cs="仿宋"/>
          <w:color w:val="auto"/>
          <w:spacing w:val="1"/>
          <w:sz w:val="24"/>
        </w:rPr>
        <w:t>工程验收标准</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按照投标供应商的设备参数和经采购单位确认的深化图纸验收，验收采用分步分项验收。</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预留孔洞：墙面开孔大小、位置准确，安装完成后需用胶泥封堵密实，并安装装饰墙孔套，确保美观。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预留冷热水管接口的验收：冷热水管接口规格、位置准确，室内的预留热水接口须安装龙头。</w:t>
      </w:r>
    </w:p>
    <w:p>
      <w:pPr>
        <w:spacing w:line="440" w:lineRule="exact"/>
        <w:ind w:firstLine="547" w:firstLineChars="228"/>
        <w:rPr>
          <w:rFonts w:hint="eastAsia" w:ascii="仿宋" w:hAnsi="仿宋" w:eastAsia="仿宋" w:cs="仿宋"/>
          <w:color w:val="auto"/>
          <w:sz w:val="24"/>
        </w:rPr>
      </w:pPr>
      <w:r>
        <w:rPr>
          <w:rFonts w:hint="eastAsia" w:ascii="仿宋" w:hAnsi="仿宋" w:eastAsia="仿宋" w:cs="仿宋"/>
          <w:color w:val="auto"/>
          <w:sz w:val="24"/>
        </w:rPr>
        <w:t>3、空气源热水器主机安装验收：空气源热水器主机前后上下空间是否足够，能否满足通风换热要求，主机底下是否安装橡胶减震垫。</w:t>
      </w:r>
    </w:p>
    <w:p>
      <w:pPr>
        <w:spacing w:line="440" w:lineRule="exact"/>
        <w:ind w:firstLine="547" w:firstLineChars="228"/>
        <w:rPr>
          <w:rFonts w:hint="eastAsia" w:ascii="仿宋" w:hAnsi="仿宋" w:eastAsia="仿宋" w:cs="仿宋"/>
          <w:color w:val="auto"/>
          <w:sz w:val="24"/>
        </w:rPr>
      </w:pPr>
      <w:r>
        <w:rPr>
          <w:rFonts w:hint="eastAsia" w:ascii="仿宋" w:hAnsi="仿宋" w:eastAsia="仿宋" w:cs="仿宋"/>
          <w:color w:val="auto"/>
          <w:sz w:val="24"/>
        </w:rPr>
        <w:t>4、水箱安装验收：安全阀接软管至地漏并进行固定电器一端要有检修空间，电源线有无夹在缝隙里，水箱安装是否牢固，冷热水管所用材料是否符合要求，是否安装阀门。</w:t>
      </w:r>
    </w:p>
    <w:p>
      <w:pPr>
        <w:spacing w:line="440" w:lineRule="exact"/>
        <w:ind w:firstLine="547" w:firstLineChars="228"/>
        <w:rPr>
          <w:rFonts w:hint="eastAsia" w:ascii="仿宋" w:hAnsi="仿宋" w:eastAsia="仿宋" w:cs="仿宋"/>
          <w:color w:val="auto"/>
          <w:sz w:val="24"/>
        </w:rPr>
      </w:pPr>
      <w:r>
        <w:rPr>
          <w:rFonts w:hint="eastAsia" w:ascii="仿宋" w:hAnsi="仿宋" w:eastAsia="仿宋" w:cs="仿宋"/>
          <w:color w:val="auto"/>
          <w:sz w:val="24"/>
        </w:rPr>
        <w:t>5、管道及保温验收标准：冷、热水管连接是否正确，管道连接是否横平竖直、PPR管接头是否熔接到位，管道是否保温到位，保温厚度符合要求。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6、电源漏电保护的测定。进行漏电试验。</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7、温控器安装验收：温控面板接线是否正确，面板安装是否平整，面板与墙面</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8、整体空气源热水器接验收标准：操作是否方便，冷热水管连接是否正确，管道连接是否横平竖直。</w:t>
      </w:r>
    </w:p>
    <w:p>
      <w:pPr>
        <w:pStyle w:val="2"/>
        <w:shd w:val="clear" w:color="auto" w:fil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（四）售后服务要求包括但不限于以下内容：</w:t>
      </w:r>
    </w:p>
    <w:p>
      <w:pPr>
        <w:pStyle w:val="2"/>
        <w:numPr>
          <w:ilvl w:val="0"/>
          <w:numId w:val="0"/>
        </w:numPr>
        <w:shd w:val="clear" w:color="auto" w:fill="auto"/>
        <w:ind w:left="0" w:leftChars="0"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1.1、售后服务体系及保障能力：投标人对售后服务部门的人员配备、技术力量介绍等；</w:t>
      </w:r>
    </w:p>
    <w:p>
      <w:pPr>
        <w:pStyle w:val="2"/>
        <w:numPr>
          <w:ilvl w:val="0"/>
          <w:numId w:val="0"/>
        </w:numPr>
        <w:shd w:val="clear" w:color="auto" w:fill="auto"/>
        <w:ind w:firstLine="240" w:firstLineChars="1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1.2、售后服务内容：投标人需对相关内容进行详细说明；</w:t>
      </w:r>
    </w:p>
    <w:p>
      <w:pPr>
        <w:pStyle w:val="2"/>
        <w:numPr>
          <w:ilvl w:val="0"/>
          <w:numId w:val="0"/>
        </w:numPr>
        <w:shd w:val="clear" w:color="auto" w:fill="auto"/>
        <w:ind w:firstLine="240" w:firstLineChars="100"/>
        <w:jc w:val="left"/>
        <w:rPr>
          <w:rFonts w:hint="eastAsia"/>
          <w:color w:val="auto"/>
          <w:lang w:eastAsia="zh-CN"/>
        </w:rPr>
      </w:pPr>
      <w:r>
        <w:rPr>
          <w:rFonts w:hint="eastAsia" w:ascii="仿宋" w:hAnsi="仿宋" w:eastAsia="仿宋" w:cs="仿宋"/>
          <w:color w:val="auto"/>
          <w:kern w:val="2"/>
          <w:sz w:val="24"/>
          <w:szCs w:val="24"/>
          <w:lang w:val="en-US" w:eastAsia="zh-CN" w:bidi="ar-SA"/>
        </w:rPr>
        <w:t>1.3、售后服务形式：相关售后维护说明书、设立客户维修档案、培训管理使用和保养人员、免费检修保养服务、定期回访、使用初期跟踪技术支持、运营期技术支持等。</w:t>
      </w:r>
    </w:p>
    <w:p>
      <w:pPr>
        <w:snapToGrid w:val="0"/>
        <w:spacing w:line="360" w:lineRule="auto"/>
        <w:ind w:firstLine="354" w:firstLineChars="147"/>
        <w:rPr>
          <w:rFonts w:hint="eastAsia" w:ascii="仿宋" w:hAnsi="仿宋" w:eastAsia="仿宋" w:cs="仿宋"/>
          <w:b/>
          <w:bCs/>
          <w:color w:val="auto"/>
          <w:sz w:val="24"/>
        </w:rPr>
      </w:pPr>
      <w:r>
        <w:rPr>
          <w:rFonts w:hint="eastAsia" w:ascii="仿宋" w:hAnsi="仿宋" w:eastAsia="仿宋" w:cs="仿宋"/>
          <w:b/>
          <w:bCs/>
          <w:color w:val="auto"/>
          <w:sz w:val="24"/>
        </w:rPr>
        <w:t>五、供货要求：</w:t>
      </w:r>
    </w:p>
    <w:p>
      <w:pPr>
        <w:snapToGrid w:val="0"/>
        <w:spacing w:line="360" w:lineRule="auto"/>
        <w:ind w:firstLine="352" w:firstLineChars="147"/>
        <w:rPr>
          <w:rFonts w:hint="eastAsia" w:ascii="仿宋" w:hAnsi="仿宋" w:eastAsia="仿宋" w:cs="仿宋"/>
          <w:bCs/>
          <w:color w:val="auto"/>
          <w:sz w:val="24"/>
        </w:rPr>
      </w:pPr>
      <w:r>
        <w:rPr>
          <w:rFonts w:hint="eastAsia" w:ascii="仿宋" w:hAnsi="仿宋" w:eastAsia="仿宋" w:cs="仿宋"/>
          <w:bCs/>
          <w:color w:val="auto"/>
          <w:sz w:val="24"/>
        </w:rPr>
        <w:t>1、供方所供的货物必须为全新的，符合国家标准的合格产品；</w:t>
      </w:r>
    </w:p>
    <w:p>
      <w:pPr>
        <w:snapToGrid w:val="0"/>
        <w:spacing w:line="360" w:lineRule="auto"/>
        <w:ind w:firstLine="352" w:firstLineChars="147"/>
        <w:rPr>
          <w:rFonts w:hint="eastAsia" w:ascii="仿宋" w:hAnsi="仿宋" w:eastAsia="仿宋" w:cs="仿宋"/>
          <w:bCs/>
          <w:color w:val="auto"/>
          <w:sz w:val="24"/>
        </w:rPr>
      </w:pPr>
      <w:r>
        <w:rPr>
          <w:rFonts w:hint="eastAsia" w:ascii="仿宋" w:hAnsi="仿宋" w:eastAsia="仿宋" w:cs="仿宋"/>
          <w:bCs/>
          <w:color w:val="auto"/>
          <w:sz w:val="24"/>
        </w:rPr>
        <w:t>2、所供货物不会侵犯任何第三方知识产权；</w:t>
      </w:r>
    </w:p>
    <w:p>
      <w:pPr>
        <w:snapToGrid w:val="0"/>
        <w:spacing w:line="360" w:lineRule="auto"/>
        <w:ind w:firstLine="352" w:firstLineChars="147"/>
        <w:rPr>
          <w:rFonts w:hint="eastAsia" w:ascii="仿宋" w:hAnsi="仿宋" w:eastAsia="仿宋" w:cs="仿宋"/>
          <w:b/>
          <w:bCs/>
          <w:color w:val="auto"/>
          <w:sz w:val="24"/>
        </w:rPr>
      </w:pPr>
      <w:r>
        <w:rPr>
          <w:rFonts w:hint="eastAsia" w:ascii="仿宋" w:hAnsi="仿宋" w:eastAsia="仿宋" w:cs="仿宋"/>
          <w:bCs/>
          <w:color w:val="auto"/>
          <w:sz w:val="24"/>
        </w:rPr>
        <w:t>3、</w:t>
      </w:r>
      <w:r>
        <w:rPr>
          <w:rFonts w:hint="eastAsia" w:ascii="仿宋" w:hAnsi="仿宋" w:eastAsia="仿宋" w:cs="仿宋"/>
          <w:b/>
          <w:bCs/>
          <w:color w:val="auto"/>
          <w:sz w:val="24"/>
        </w:rPr>
        <w:t>送货地址：</w:t>
      </w:r>
      <w:r>
        <w:rPr>
          <w:rFonts w:hint="eastAsia" w:ascii="仿宋" w:hAnsi="仿宋" w:eastAsia="仿宋" w:cs="仿宋"/>
          <w:color w:val="auto"/>
          <w:sz w:val="24"/>
          <w:shd w:val="clear" w:color="auto" w:fill="F7F7F7"/>
        </w:rPr>
        <w:t xml:space="preserve">  </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rPr>
        <w:t xml:space="preserve">  </w:t>
      </w:r>
      <w:r>
        <w:rPr>
          <w:rFonts w:hint="eastAsia" w:ascii="仿宋" w:hAnsi="仿宋" w:eastAsia="仿宋" w:cs="仿宋"/>
          <w:b/>
          <w:bCs/>
          <w:color w:val="auto"/>
          <w:sz w:val="24"/>
          <w:highlight w:val="none"/>
        </w:rPr>
        <w:t xml:space="preserve"> 四、售后服务要求：</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w:t>
      </w:r>
      <w:r>
        <w:rPr>
          <w:rFonts w:hint="eastAsia" w:ascii="仿宋" w:hAnsi="仿宋" w:eastAsia="仿宋" w:cs="仿宋"/>
          <w:b/>
          <w:color w:val="auto"/>
          <w:sz w:val="24"/>
          <w:highlight w:val="none"/>
        </w:rPr>
        <w:t>质保期要求：整体</w:t>
      </w:r>
      <w:r>
        <w:rPr>
          <w:rFonts w:hint="eastAsia" w:ascii="仿宋" w:hAnsi="仿宋" w:eastAsia="仿宋" w:cs="仿宋"/>
          <w:b/>
          <w:color w:val="auto"/>
          <w:sz w:val="28"/>
          <w:szCs w:val="28"/>
          <w:highlight w:val="none"/>
          <w:u w:val="single"/>
        </w:rPr>
        <w:t xml:space="preserve"> 2 </w:t>
      </w:r>
      <w:r>
        <w:rPr>
          <w:rFonts w:hint="eastAsia" w:ascii="仿宋" w:hAnsi="仿宋" w:eastAsia="仿宋" w:cs="仿宋"/>
          <w:b/>
          <w:color w:val="auto"/>
          <w:sz w:val="24"/>
          <w:highlight w:val="none"/>
        </w:rPr>
        <w:t>年质保</w:t>
      </w:r>
    </w:p>
    <w:p>
      <w:pPr>
        <w:numPr>
          <w:ilvl w:val="0"/>
          <w:numId w:val="1"/>
        </w:num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技术支持要求：质保期内出现问题，2小时内响应，6小时内到达现场，24小时内解决问题，现场解决不了的采取替换措施。</w:t>
      </w:r>
    </w:p>
    <w:p>
      <w:pPr>
        <w:numPr>
          <w:ilvl w:val="0"/>
          <w:numId w:val="1"/>
        </w:numPr>
        <w:snapToGrid w:val="0"/>
        <w:spacing w:line="360" w:lineRule="auto"/>
        <w:ind w:firstLine="352" w:firstLineChars="147"/>
        <w:rPr>
          <w:rFonts w:hint="eastAsia" w:ascii="仿宋" w:hAnsi="仿宋" w:eastAsia="仿宋" w:cs="仿宋"/>
          <w:color w:val="auto"/>
          <w:highlight w:val="none"/>
        </w:rPr>
      </w:pPr>
      <w:r>
        <w:rPr>
          <w:rFonts w:hint="eastAsia" w:ascii="仿宋" w:hAnsi="仿宋" w:eastAsia="仿宋" w:cs="仿宋"/>
          <w:bCs/>
          <w:color w:val="auto"/>
          <w:sz w:val="24"/>
          <w:highlight w:val="none"/>
        </w:rPr>
        <w:t>质保期内的维修费用（包括配件）全部由供货方负责，质保修期后的维修酌情以成本价收费。</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 xml:space="preserve">   五 、培训要求：</w:t>
      </w:r>
      <w:r>
        <w:rPr>
          <w:rFonts w:hint="eastAsia" w:ascii="仿宋" w:hAnsi="仿宋" w:eastAsia="仿宋" w:cs="仿宋"/>
          <w:color w:val="auto"/>
          <w:sz w:val="24"/>
          <w:highlight w:val="none"/>
        </w:rPr>
        <w:t>内容包括本项目涉及的软件、硬件使用与维护，直到操作人员会操作为止。</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六、工期要求：</w:t>
      </w:r>
      <w:r>
        <w:rPr>
          <w:rFonts w:hint="eastAsia" w:ascii="仿宋" w:hAnsi="仿宋" w:eastAsia="仿宋" w:cs="仿宋"/>
          <w:b/>
          <w:bCs/>
          <w:color w:val="auto"/>
          <w:sz w:val="24"/>
          <w:highlight w:val="none"/>
          <w:lang w:val="en-US" w:eastAsia="zh-CN"/>
        </w:rPr>
        <w:t>60</w:t>
      </w:r>
      <w:r>
        <w:rPr>
          <w:rFonts w:hint="eastAsia" w:ascii="仿宋" w:hAnsi="仿宋" w:eastAsia="仿宋" w:cs="仿宋"/>
          <w:b/>
          <w:bCs/>
          <w:color w:val="auto"/>
          <w:sz w:val="24"/>
          <w:highlight w:val="none"/>
        </w:rPr>
        <w:t>天，安装进度配合总承包单位要求实施</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七、履约保证金</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在合同签订以后七日内，供应商向采购人缴纳中标总额</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%的履约保证金，验收合格后退还。</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八、货款支付：</w:t>
      </w:r>
    </w:p>
    <w:p>
      <w:pPr>
        <w:numPr>
          <w:ilvl w:val="0"/>
          <w:numId w:val="0"/>
        </w:numPr>
        <w:tabs>
          <w:tab w:val="left" w:pos="3780"/>
        </w:tabs>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项目合同签订后，</w:t>
      </w:r>
      <w:r>
        <w:rPr>
          <w:rFonts w:hint="eastAsia" w:ascii="仿宋" w:hAnsi="仿宋" w:eastAsia="仿宋" w:cs="仿宋"/>
          <w:color w:val="auto"/>
          <w:sz w:val="24"/>
          <w:highlight w:val="none"/>
        </w:rPr>
        <w:t>7个工作日</w:t>
      </w:r>
      <w:r>
        <w:rPr>
          <w:rFonts w:hint="eastAsia" w:ascii="仿宋" w:hAnsi="仿宋" w:eastAsia="仿宋" w:cs="仿宋"/>
          <w:bCs/>
          <w:color w:val="auto"/>
          <w:sz w:val="24"/>
          <w:highlight w:val="none"/>
        </w:rPr>
        <w:t>内预付中标价总额的</w:t>
      </w:r>
      <w:r>
        <w:rPr>
          <w:rFonts w:hint="eastAsia" w:ascii="仿宋" w:hAnsi="仿宋" w:eastAsia="仿宋" w:cs="仿宋"/>
          <w:bCs/>
          <w:color w:val="auto"/>
          <w:sz w:val="24"/>
          <w:highlight w:val="none"/>
          <w:lang w:val="en-US" w:eastAsia="zh-CN"/>
        </w:rPr>
        <w:t>50</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snapToGrid w:val="0"/>
          <w:color w:val="auto"/>
          <w:sz w:val="24"/>
          <w:szCs w:val="24"/>
          <w:highlight w:val="none"/>
        </w:rPr>
        <w:t>根据合同规定将货物交付</w:t>
      </w:r>
      <w:r>
        <w:rPr>
          <w:rFonts w:hint="eastAsia" w:ascii="仿宋" w:hAnsi="仿宋" w:eastAsia="仿宋" w:cs="仿宋"/>
          <w:bCs/>
          <w:snapToGrid w:val="0"/>
          <w:color w:val="auto"/>
          <w:sz w:val="24"/>
          <w:szCs w:val="24"/>
          <w:highlight w:val="none"/>
          <w:lang w:eastAsia="zh-CN"/>
        </w:rPr>
        <w:t>并安装完毕后，</w:t>
      </w:r>
      <w:r>
        <w:rPr>
          <w:rFonts w:hint="eastAsia" w:ascii="仿宋" w:hAnsi="仿宋" w:eastAsia="仿宋" w:cs="仿宋"/>
          <w:bCs/>
          <w:color w:val="auto"/>
          <w:sz w:val="24"/>
          <w:highlight w:val="none"/>
          <w:lang w:eastAsia="zh-CN"/>
        </w:rPr>
        <w:t>验收合格后，</w:t>
      </w:r>
      <w:r>
        <w:rPr>
          <w:rFonts w:hint="eastAsia" w:ascii="仿宋" w:hAnsi="仿宋" w:eastAsia="仿宋" w:cs="仿宋"/>
          <w:bCs/>
          <w:color w:val="auto"/>
          <w:sz w:val="24"/>
          <w:highlight w:val="none"/>
        </w:rPr>
        <w:t>支付至最终结算价款的</w:t>
      </w:r>
      <w:r>
        <w:rPr>
          <w:rFonts w:hint="eastAsia" w:ascii="仿宋" w:hAnsi="仿宋" w:eastAsia="仿宋" w:cs="仿宋"/>
          <w:bCs/>
          <w:color w:val="auto"/>
          <w:sz w:val="24"/>
          <w:highlight w:val="none"/>
          <w:lang w:val="en-US" w:eastAsia="zh-CN"/>
        </w:rPr>
        <w:t>100</w:t>
      </w:r>
      <w:r>
        <w:rPr>
          <w:rFonts w:hint="eastAsia" w:ascii="仿宋" w:hAnsi="仿宋" w:eastAsia="仿宋" w:cs="仿宋"/>
          <w:bCs/>
          <w:color w:val="auto"/>
          <w:sz w:val="24"/>
          <w:highlight w:val="none"/>
        </w:rPr>
        <w:t>%。</w:t>
      </w:r>
    </w:p>
    <w:p>
      <w:pPr>
        <w:pStyle w:val="2"/>
        <w:rPr>
          <w:rFonts w:hint="eastAsia"/>
          <w:color w:val="auto"/>
        </w:rPr>
      </w:pP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   九、验收要求：</w:t>
      </w:r>
    </w:p>
    <w:p>
      <w:pPr>
        <w:pStyle w:val="37"/>
        <w:snapToGrid w:val="0"/>
        <w:spacing w:line="400" w:lineRule="atLeast"/>
        <w:ind w:firstLine="412" w:firstLineChars="171"/>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A、甲方初步验收：</w:t>
      </w:r>
    </w:p>
    <w:p>
      <w:pPr>
        <w:pStyle w:val="37"/>
        <w:snapToGrid w:val="0"/>
        <w:spacing w:line="400" w:lineRule="atLeast"/>
        <w:ind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1、甲方对乙方提交的货物依据招标文件、投标文件及其补充变更文件上的技术规格要求和国家有关质量标准进行现场初步验收，外观、说明书符合要求的，给予签收，初步验收不合格的不予签收。</w:t>
      </w:r>
    </w:p>
    <w:p>
      <w:pPr>
        <w:pStyle w:val="37"/>
        <w:snapToGrid w:val="0"/>
        <w:spacing w:line="400" w:lineRule="atLeast"/>
        <w:ind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2、乙方交货前应对产品作出全面检查和对验收文件进行整理，并列出清单，作为甲方收货验收和使用的技术条件依据，检验的结果应随货物交甲方。</w:t>
      </w:r>
    </w:p>
    <w:p>
      <w:pPr>
        <w:pStyle w:val="37"/>
        <w:snapToGrid w:val="0"/>
        <w:spacing w:line="400" w:lineRule="atLeast"/>
        <w:ind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3、甲方对乙方提供的货物在使用前进行调试时，乙方需负责安装并培训甲方的使用操作人员，并协助甲方一起调试，直到符合技术要求，甲方才做最终验收。</w:t>
      </w:r>
    </w:p>
    <w:p>
      <w:pPr>
        <w:pStyle w:val="37"/>
        <w:snapToGrid w:val="0"/>
        <w:spacing w:line="400" w:lineRule="atLeast"/>
        <w:ind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4、对技术复杂的货物，甲方应请国家认可的专业检测机构参与初步验收及最终验收，并由其出具质量检测报告。验收时乙方必须在现场，验收完毕后作出验收结果报告；验收费用由乙方</w:t>
      </w:r>
      <w:r>
        <w:rPr>
          <w:rFonts w:hint="eastAsia" w:ascii="仿宋" w:hAnsi="仿宋" w:eastAsia="仿宋" w:cs="仿宋"/>
          <w:color w:val="auto"/>
          <w:sz w:val="24"/>
        </w:rPr>
        <w:t>承担</w:t>
      </w:r>
      <w:r>
        <w:rPr>
          <w:rFonts w:hint="eastAsia" w:ascii="仿宋" w:hAnsi="仿宋" w:eastAsia="仿宋" w:cs="仿宋"/>
          <w:color w:val="auto"/>
          <w:sz w:val="24"/>
          <w:szCs w:val="24"/>
        </w:rPr>
        <w:t>。</w:t>
      </w:r>
    </w:p>
    <w:p>
      <w:pPr>
        <w:pStyle w:val="37"/>
        <w:snapToGrid w:val="0"/>
        <w:spacing w:line="400" w:lineRule="atLeast"/>
        <w:ind w:firstLine="412" w:firstLineChars="171"/>
        <w:rPr>
          <w:rFonts w:hint="eastAsia" w:ascii="仿宋" w:hAnsi="仿宋" w:eastAsia="仿宋" w:cs="仿宋"/>
          <w:b/>
          <w:color w:val="auto"/>
          <w:sz w:val="24"/>
          <w:szCs w:val="20"/>
        </w:rPr>
      </w:pPr>
      <w:r>
        <w:rPr>
          <w:rFonts w:hint="eastAsia" w:ascii="仿宋" w:hAnsi="仿宋" w:eastAsia="仿宋" w:cs="仿宋"/>
          <w:b/>
          <w:color w:val="auto"/>
          <w:sz w:val="24"/>
          <w:szCs w:val="24"/>
        </w:rPr>
        <w:t>B、甲方</w:t>
      </w:r>
      <w:r>
        <w:rPr>
          <w:rFonts w:hint="eastAsia" w:ascii="仿宋" w:hAnsi="仿宋" w:eastAsia="仿宋" w:cs="仿宋"/>
          <w:b/>
          <w:color w:val="auto"/>
          <w:sz w:val="24"/>
          <w:szCs w:val="20"/>
        </w:rPr>
        <w:t>最终验收：</w:t>
      </w:r>
    </w:p>
    <w:p>
      <w:pPr>
        <w:spacing w:line="360" w:lineRule="auto"/>
        <w:ind w:right="60"/>
        <w:rPr>
          <w:rFonts w:hint="eastAsia" w:ascii="仿宋" w:hAnsi="仿宋" w:eastAsia="仿宋" w:cs="仿宋"/>
          <w:color w:val="auto"/>
          <w:kern w:val="0"/>
          <w:sz w:val="24"/>
        </w:rPr>
      </w:pPr>
      <w:r>
        <w:rPr>
          <w:rFonts w:hint="eastAsia" w:ascii="仿宋" w:hAnsi="仿宋" w:eastAsia="仿宋" w:cs="仿宋"/>
          <w:color w:val="auto"/>
          <w:sz w:val="24"/>
        </w:rPr>
        <w:t xml:space="preserve">     1、根据余财采〔2020〕14号《关于转发《杭州市政府采购履约验收暂行办法》的通知》执行</w:t>
      </w:r>
      <w:r>
        <w:rPr>
          <w:rFonts w:hint="eastAsia" w:ascii="仿宋" w:hAnsi="仿宋" w:eastAsia="仿宋" w:cs="仿宋"/>
          <w:color w:val="auto"/>
          <w:kern w:val="0"/>
          <w:sz w:val="24"/>
        </w:rPr>
        <w:t>。</w:t>
      </w:r>
    </w:p>
    <w:p>
      <w:pPr>
        <w:spacing w:line="360" w:lineRule="auto"/>
        <w:ind w:right="60"/>
        <w:rPr>
          <w:rFonts w:hint="eastAsia" w:ascii="仿宋" w:hAnsi="仿宋" w:eastAsia="仿宋" w:cs="仿宋"/>
          <w:color w:val="auto"/>
          <w:kern w:val="0"/>
          <w:sz w:val="24"/>
        </w:rPr>
      </w:pPr>
      <w:r>
        <w:rPr>
          <w:rFonts w:hint="eastAsia" w:ascii="仿宋" w:hAnsi="仿宋" w:eastAsia="仿宋" w:cs="仿宋"/>
          <w:color w:val="auto"/>
          <w:kern w:val="0"/>
          <w:sz w:val="24"/>
        </w:rPr>
        <w:t xml:space="preserve">    2、经验收不合格且无法整改的，不付款不退货，所产生的所有损失由</w:t>
      </w:r>
      <w:r>
        <w:rPr>
          <w:rFonts w:hint="eastAsia" w:ascii="仿宋" w:hAnsi="仿宋" w:eastAsia="仿宋" w:cs="仿宋"/>
          <w:color w:val="auto"/>
          <w:sz w:val="24"/>
        </w:rPr>
        <w:t>乙方</w:t>
      </w:r>
      <w:r>
        <w:rPr>
          <w:rFonts w:hint="eastAsia" w:ascii="仿宋" w:hAnsi="仿宋" w:eastAsia="仿宋" w:cs="仿宋"/>
          <w:color w:val="auto"/>
          <w:kern w:val="0"/>
          <w:sz w:val="24"/>
        </w:rPr>
        <w:t>承担。</w:t>
      </w:r>
    </w:p>
    <w:p>
      <w:pPr>
        <w:spacing w:line="360" w:lineRule="auto"/>
        <w:ind w:right="60"/>
        <w:rPr>
          <w:rFonts w:hint="eastAsia" w:ascii="仿宋" w:hAnsi="仿宋" w:eastAsia="仿宋" w:cs="仿宋"/>
          <w:color w:val="auto"/>
          <w:sz w:val="24"/>
        </w:rPr>
      </w:pPr>
      <w:r>
        <w:rPr>
          <w:rFonts w:hint="eastAsia" w:ascii="仿宋" w:hAnsi="仿宋" w:eastAsia="仿宋" w:cs="仿宋"/>
          <w:color w:val="auto"/>
          <w:sz w:val="24"/>
        </w:rPr>
        <w:t xml:space="preserve">    3、验收产生的费用，由乙方承担。</w:t>
      </w:r>
    </w:p>
    <w:p>
      <w:pPr>
        <w:snapToGrid w:val="0"/>
        <w:spacing w:line="400" w:lineRule="atLeast"/>
        <w:rPr>
          <w:rFonts w:hint="eastAsia" w:ascii="仿宋" w:hAnsi="仿宋" w:eastAsia="仿宋" w:cs="仿宋"/>
          <w:b/>
          <w:bCs/>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4"/>
        </w:rPr>
        <w:t>C、</w:t>
      </w:r>
      <w:r>
        <w:rPr>
          <w:rFonts w:hint="eastAsia" w:ascii="仿宋" w:hAnsi="仿宋" w:eastAsia="仿宋" w:cs="仿宋"/>
          <w:color w:val="auto"/>
          <w:sz w:val="24"/>
        </w:rPr>
        <w:t>国家规定应由专业机构强制检测或已聘请专业监理公司监理的采购项目，在强制检测或专业监理的基础上，采购人根据项目实际需要，组织进一步验收，验收费用由乙方承担。</w:t>
      </w:r>
    </w:p>
    <w:p>
      <w:pPr>
        <w:pStyle w:val="622"/>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rPr>
        <w:br w:type="page"/>
      </w:r>
      <w:r>
        <w:rPr>
          <w:rFonts w:hint="eastAsia" w:ascii="仿宋" w:hAnsi="仿宋" w:eastAsia="仿宋" w:cs="仿宋"/>
          <w:b/>
          <w:color w:val="auto"/>
          <w:sz w:val="36"/>
          <w:szCs w:val="36"/>
          <w:highlight w:val="none"/>
        </w:rPr>
        <w:t xml:space="preserve">第四部分   </w:t>
      </w:r>
      <w:bookmarkStart w:id="27" w:name="_Toc184308051"/>
      <w:bookmarkEnd w:id="27"/>
      <w:bookmarkStart w:id="28" w:name="_Toc184313267"/>
      <w:bookmarkEnd w:id="28"/>
      <w:bookmarkStart w:id="29" w:name="_Toc184314453"/>
      <w:bookmarkEnd w:id="29"/>
      <w:bookmarkStart w:id="30" w:name="_Toc184310300"/>
      <w:bookmarkEnd w:id="30"/>
      <w:bookmarkStart w:id="31" w:name="_Toc184313308"/>
      <w:bookmarkEnd w:id="31"/>
      <w:bookmarkStart w:id="32" w:name="_Toc184312108"/>
      <w:bookmarkEnd w:id="32"/>
      <w:bookmarkStart w:id="33" w:name="_Toc184312113"/>
      <w:bookmarkEnd w:id="33"/>
      <w:bookmarkStart w:id="34" w:name="_Toc184312100"/>
      <w:bookmarkEnd w:id="34"/>
      <w:bookmarkStart w:id="35" w:name="_Toc184310329"/>
      <w:bookmarkEnd w:id="35"/>
      <w:bookmarkStart w:id="36" w:name="_Toc184308053"/>
      <w:bookmarkEnd w:id="36"/>
      <w:bookmarkStart w:id="37" w:name="_Toc184313249"/>
      <w:bookmarkEnd w:id="37"/>
      <w:bookmarkStart w:id="38" w:name="_Toc184312139"/>
      <w:bookmarkEnd w:id="38"/>
      <w:bookmarkStart w:id="39" w:name="_Toc184313276"/>
      <w:bookmarkEnd w:id="39"/>
      <w:bookmarkStart w:id="40" w:name="_Toc184312078"/>
      <w:bookmarkEnd w:id="40"/>
      <w:bookmarkStart w:id="41" w:name="_Toc184312098"/>
      <w:bookmarkEnd w:id="41"/>
      <w:bookmarkStart w:id="42" w:name="_Toc184308084"/>
      <w:bookmarkEnd w:id="42"/>
      <w:bookmarkStart w:id="43" w:name="_Toc184308078"/>
      <w:bookmarkEnd w:id="43"/>
      <w:bookmarkStart w:id="44" w:name="_Toc184313284"/>
      <w:bookmarkEnd w:id="44"/>
      <w:bookmarkStart w:id="45" w:name="_Toc184313268"/>
      <w:bookmarkEnd w:id="45"/>
      <w:bookmarkStart w:id="46" w:name="_Toc184313301"/>
      <w:bookmarkEnd w:id="46"/>
      <w:bookmarkStart w:id="47" w:name="_Toc184314441"/>
      <w:bookmarkEnd w:id="47"/>
      <w:bookmarkStart w:id="48" w:name="_Toc184313310"/>
      <w:bookmarkEnd w:id="48"/>
      <w:bookmarkStart w:id="49" w:name="_Toc184314460"/>
      <w:bookmarkEnd w:id="49"/>
      <w:bookmarkStart w:id="50" w:name="_Toc184312087"/>
      <w:bookmarkEnd w:id="50"/>
      <w:bookmarkStart w:id="51" w:name="_Toc184313290"/>
      <w:bookmarkEnd w:id="51"/>
      <w:bookmarkStart w:id="52" w:name="_Toc184308083"/>
      <w:bookmarkEnd w:id="52"/>
      <w:bookmarkStart w:id="53" w:name="_Toc184314479"/>
      <w:bookmarkEnd w:id="53"/>
      <w:bookmarkStart w:id="54" w:name="_Toc184308072"/>
      <w:bookmarkEnd w:id="54"/>
      <w:bookmarkStart w:id="55" w:name="_Toc184310298"/>
      <w:bookmarkEnd w:id="55"/>
      <w:bookmarkStart w:id="56" w:name="_Toc184308106"/>
      <w:bookmarkEnd w:id="56"/>
      <w:bookmarkStart w:id="57" w:name="_Toc184312104"/>
      <w:bookmarkEnd w:id="57"/>
      <w:bookmarkStart w:id="58" w:name="_Toc184308100"/>
      <w:bookmarkEnd w:id="58"/>
      <w:bookmarkStart w:id="59" w:name="_Toc184312093"/>
      <w:bookmarkEnd w:id="59"/>
      <w:bookmarkStart w:id="60" w:name="_Toc184310337"/>
      <w:bookmarkEnd w:id="60"/>
      <w:bookmarkStart w:id="61" w:name="_Toc184310309"/>
      <w:bookmarkEnd w:id="61"/>
      <w:bookmarkStart w:id="62" w:name="_Toc184314482"/>
      <w:bookmarkEnd w:id="62"/>
      <w:bookmarkStart w:id="63" w:name="_Toc184314414"/>
      <w:bookmarkEnd w:id="63"/>
      <w:bookmarkStart w:id="64" w:name="_Toc184310301"/>
      <w:bookmarkEnd w:id="64"/>
      <w:bookmarkStart w:id="65" w:name="_Toc184308089"/>
      <w:bookmarkEnd w:id="65"/>
      <w:bookmarkStart w:id="66" w:name="_Toc184313270"/>
      <w:bookmarkEnd w:id="66"/>
      <w:bookmarkStart w:id="67" w:name="_Toc184314475"/>
      <w:bookmarkEnd w:id="67"/>
      <w:bookmarkStart w:id="68" w:name="_Toc184312131"/>
      <w:bookmarkEnd w:id="68"/>
      <w:bookmarkStart w:id="69" w:name="_Toc184308048"/>
      <w:bookmarkEnd w:id="69"/>
      <w:bookmarkStart w:id="70" w:name="_Toc184313258"/>
      <w:bookmarkEnd w:id="70"/>
      <w:bookmarkStart w:id="71" w:name="_Toc184310321"/>
      <w:bookmarkEnd w:id="71"/>
      <w:bookmarkStart w:id="72" w:name="_Toc184308085"/>
      <w:bookmarkEnd w:id="72"/>
      <w:bookmarkStart w:id="73" w:name="_Toc184312137"/>
      <w:bookmarkEnd w:id="73"/>
      <w:bookmarkStart w:id="74" w:name="_Toc184312138"/>
      <w:bookmarkEnd w:id="74"/>
      <w:bookmarkStart w:id="75" w:name="_Toc184313247"/>
      <w:bookmarkEnd w:id="75"/>
      <w:bookmarkStart w:id="76" w:name="_Toc184314424"/>
      <w:bookmarkEnd w:id="76"/>
      <w:bookmarkStart w:id="77" w:name="_Toc184312088"/>
      <w:bookmarkEnd w:id="77"/>
      <w:bookmarkStart w:id="78" w:name="_Toc184314443"/>
      <w:bookmarkEnd w:id="78"/>
      <w:bookmarkStart w:id="79" w:name="_Toc184308074"/>
      <w:bookmarkEnd w:id="79"/>
      <w:bookmarkStart w:id="80" w:name="_Toc184310313"/>
      <w:bookmarkEnd w:id="80"/>
      <w:bookmarkStart w:id="81" w:name="_Toc184314420"/>
      <w:bookmarkEnd w:id="81"/>
      <w:bookmarkStart w:id="82" w:name="_Toc184308107"/>
      <w:bookmarkEnd w:id="82"/>
      <w:bookmarkStart w:id="83" w:name="_Toc184308069"/>
      <w:bookmarkEnd w:id="83"/>
      <w:bookmarkStart w:id="84" w:name="_Toc184314429"/>
      <w:bookmarkEnd w:id="84"/>
      <w:bookmarkStart w:id="85" w:name="_Toc184313274"/>
      <w:bookmarkEnd w:id="85"/>
      <w:bookmarkStart w:id="86" w:name="_Toc184310317"/>
      <w:bookmarkEnd w:id="86"/>
      <w:bookmarkStart w:id="87" w:name="_Toc184314419"/>
      <w:bookmarkEnd w:id="87"/>
      <w:bookmarkStart w:id="88" w:name="_Toc184310335"/>
      <w:bookmarkEnd w:id="88"/>
      <w:bookmarkStart w:id="89" w:name="_Toc184314442"/>
      <w:bookmarkEnd w:id="89"/>
      <w:bookmarkStart w:id="90" w:name="_Toc184313295"/>
      <w:bookmarkEnd w:id="90"/>
      <w:bookmarkStart w:id="91" w:name="_Toc184313279"/>
      <w:bookmarkEnd w:id="91"/>
      <w:bookmarkStart w:id="92" w:name="_Toc184314468"/>
      <w:bookmarkEnd w:id="92"/>
      <w:bookmarkStart w:id="93" w:name="_Toc184313288"/>
      <w:bookmarkEnd w:id="93"/>
      <w:bookmarkStart w:id="94" w:name="_Toc184313239"/>
      <w:bookmarkEnd w:id="94"/>
      <w:bookmarkStart w:id="95" w:name="_Toc184312125"/>
      <w:bookmarkEnd w:id="95"/>
      <w:bookmarkStart w:id="96" w:name="_Toc184308037"/>
      <w:bookmarkEnd w:id="96"/>
      <w:bookmarkStart w:id="97" w:name="_Toc184310328"/>
      <w:bookmarkEnd w:id="97"/>
      <w:bookmarkStart w:id="98" w:name="_Toc184314472"/>
      <w:bookmarkEnd w:id="98"/>
      <w:bookmarkStart w:id="99" w:name="_Toc184308087"/>
      <w:bookmarkEnd w:id="99"/>
      <w:bookmarkStart w:id="100" w:name="_Toc184314445"/>
      <w:bookmarkEnd w:id="100"/>
      <w:bookmarkStart w:id="101" w:name="_Toc184313282"/>
      <w:bookmarkEnd w:id="101"/>
      <w:bookmarkStart w:id="102" w:name="_Toc184313243"/>
      <w:bookmarkEnd w:id="102"/>
      <w:bookmarkStart w:id="103" w:name="_Toc184314416"/>
      <w:bookmarkEnd w:id="103"/>
      <w:bookmarkStart w:id="104" w:name="_Toc184312109"/>
      <w:bookmarkEnd w:id="104"/>
      <w:bookmarkStart w:id="105" w:name="_Toc184310280"/>
      <w:bookmarkEnd w:id="105"/>
      <w:bookmarkStart w:id="106" w:name="_Toc184312135"/>
      <w:bookmarkEnd w:id="106"/>
      <w:bookmarkStart w:id="107" w:name="_Toc184308054"/>
      <w:bookmarkEnd w:id="107"/>
      <w:bookmarkStart w:id="108" w:name="_Toc184312077"/>
      <w:bookmarkEnd w:id="108"/>
      <w:bookmarkStart w:id="109" w:name="_Toc184310320"/>
      <w:bookmarkEnd w:id="109"/>
      <w:bookmarkStart w:id="110" w:name="_Toc184314481"/>
      <w:bookmarkEnd w:id="110"/>
      <w:bookmarkStart w:id="111" w:name="_Toc184312091"/>
      <w:bookmarkEnd w:id="111"/>
      <w:bookmarkStart w:id="112" w:name="_Toc184314462"/>
      <w:bookmarkEnd w:id="112"/>
      <w:bookmarkStart w:id="113" w:name="_Toc184312083"/>
      <w:bookmarkEnd w:id="113"/>
      <w:bookmarkStart w:id="114" w:name="_Toc184308099"/>
      <w:bookmarkEnd w:id="114"/>
      <w:bookmarkStart w:id="115" w:name="_Toc184314440"/>
      <w:bookmarkEnd w:id="115"/>
      <w:bookmarkStart w:id="116" w:name="_Toc184310305"/>
      <w:bookmarkEnd w:id="116"/>
      <w:bookmarkStart w:id="117" w:name="_Toc184308082"/>
      <w:bookmarkEnd w:id="117"/>
      <w:bookmarkStart w:id="118" w:name="_Toc184313283"/>
      <w:bookmarkEnd w:id="118"/>
      <w:bookmarkStart w:id="119" w:name="_Toc184310279"/>
      <w:bookmarkEnd w:id="119"/>
      <w:bookmarkStart w:id="120" w:name="_Toc184312133"/>
      <w:bookmarkEnd w:id="120"/>
      <w:bookmarkStart w:id="121" w:name="_Toc184312071"/>
      <w:bookmarkEnd w:id="121"/>
      <w:bookmarkStart w:id="122" w:name="_Toc184312127"/>
      <w:bookmarkEnd w:id="122"/>
      <w:bookmarkStart w:id="123" w:name="_Toc184310316"/>
      <w:bookmarkEnd w:id="123"/>
      <w:bookmarkStart w:id="124" w:name="_Toc184313253"/>
      <w:bookmarkEnd w:id="124"/>
      <w:bookmarkStart w:id="125" w:name="_Toc184312079"/>
      <w:bookmarkEnd w:id="125"/>
      <w:bookmarkStart w:id="126" w:name="_Toc184310303"/>
      <w:bookmarkEnd w:id="126"/>
      <w:bookmarkStart w:id="127" w:name="_Toc184308080"/>
      <w:bookmarkEnd w:id="127"/>
      <w:bookmarkStart w:id="128" w:name="_Toc184310339"/>
      <w:bookmarkEnd w:id="128"/>
      <w:bookmarkStart w:id="129" w:name="_Toc184310291"/>
      <w:bookmarkEnd w:id="129"/>
      <w:bookmarkStart w:id="130" w:name="_Toc184310334"/>
      <w:bookmarkEnd w:id="130"/>
      <w:bookmarkStart w:id="131" w:name="_Toc184310292"/>
      <w:bookmarkEnd w:id="131"/>
      <w:bookmarkStart w:id="132" w:name="_Toc184312099"/>
      <w:bookmarkEnd w:id="132"/>
      <w:bookmarkStart w:id="133" w:name="_Toc184310332"/>
      <w:bookmarkEnd w:id="133"/>
      <w:bookmarkStart w:id="134" w:name="_Toc184310282"/>
      <w:bookmarkEnd w:id="134"/>
      <w:bookmarkStart w:id="135" w:name="_Toc184310330"/>
      <w:bookmarkEnd w:id="135"/>
      <w:bookmarkStart w:id="136" w:name="_Toc184313293"/>
      <w:bookmarkEnd w:id="136"/>
      <w:bookmarkStart w:id="137" w:name="_Toc184314474"/>
      <w:bookmarkEnd w:id="137"/>
      <w:bookmarkStart w:id="138" w:name="_Toc184314417"/>
      <w:bookmarkEnd w:id="138"/>
      <w:bookmarkStart w:id="139" w:name="_Toc184308041"/>
      <w:bookmarkEnd w:id="139"/>
      <w:bookmarkStart w:id="140" w:name="_Toc184313264"/>
      <w:bookmarkEnd w:id="140"/>
      <w:bookmarkStart w:id="141" w:name="_Toc184308052"/>
      <w:bookmarkEnd w:id="141"/>
      <w:bookmarkStart w:id="142" w:name="_Toc184313255"/>
      <w:bookmarkEnd w:id="142"/>
      <w:bookmarkStart w:id="143" w:name="_Toc184313302"/>
      <w:bookmarkEnd w:id="143"/>
      <w:bookmarkStart w:id="144" w:name="_Toc184313291"/>
      <w:bookmarkEnd w:id="144"/>
      <w:bookmarkStart w:id="145" w:name="_Toc184310276"/>
      <w:bookmarkEnd w:id="145"/>
      <w:bookmarkStart w:id="146" w:name="_Toc184312090"/>
      <w:bookmarkEnd w:id="146"/>
      <w:bookmarkStart w:id="147" w:name="_Toc184310314"/>
      <w:bookmarkEnd w:id="147"/>
      <w:bookmarkStart w:id="148" w:name="_Toc184310294"/>
      <w:bookmarkEnd w:id="148"/>
      <w:bookmarkStart w:id="149" w:name="_Toc184312121"/>
      <w:bookmarkEnd w:id="149"/>
      <w:bookmarkStart w:id="150" w:name="_Toc184314473"/>
      <w:bookmarkEnd w:id="150"/>
      <w:bookmarkStart w:id="151" w:name="_Toc184314411"/>
      <w:bookmarkEnd w:id="151"/>
      <w:bookmarkStart w:id="152" w:name="_Toc184310289"/>
      <w:bookmarkEnd w:id="152"/>
      <w:bookmarkStart w:id="153" w:name="_Toc184308101"/>
      <w:bookmarkEnd w:id="153"/>
      <w:bookmarkStart w:id="154" w:name="_Toc184313303"/>
      <w:bookmarkEnd w:id="154"/>
      <w:bookmarkStart w:id="155" w:name="_Toc184314467"/>
      <w:bookmarkEnd w:id="155"/>
      <w:bookmarkStart w:id="156" w:name="_Toc184313259"/>
      <w:bookmarkEnd w:id="156"/>
      <w:bookmarkStart w:id="157" w:name="_Toc184310288"/>
      <w:bookmarkEnd w:id="157"/>
      <w:bookmarkStart w:id="158" w:name="_Toc184314437"/>
      <w:bookmarkEnd w:id="158"/>
      <w:bookmarkStart w:id="159" w:name="_Toc184308046"/>
      <w:bookmarkEnd w:id="159"/>
      <w:bookmarkStart w:id="160" w:name="_Toc184314466"/>
      <w:bookmarkEnd w:id="160"/>
      <w:bookmarkStart w:id="161" w:name="_Toc184313250"/>
      <w:bookmarkEnd w:id="161"/>
      <w:bookmarkStart w:id="162" w:name="_Toc184310343"/>
      <w:bookmarkEnd w:id="162"/>
      <w:bookmarkStart w:id="163" w:name="_Toc184310277"/>
      <w:bookmarkEnd w:id="163"/>
      <w:bookmarkStart w:id="164" w:name="_Toc184312122"/>
      <w:bookmarkEnd w:id="164"/>
      <w:bookmarkStart w:id="165" w:name="_Toc184313248"/>
      <w:bookmarkEnd w:id="165"/>
      <w:bookmarkStart w:id="166" w:name="_Toc184312105"/>
      <w:bookmarkEnd w:id="166"/>
      <w:bookmarkStart w:id="167" w:name="_Toc184312068"/>
      <w:bookmarkEnd w:id="167"/>
      <w:bookmarkStart w:id="168" w:name="_Toc184312097"/>
      <w:bookmarkEnd w:id="168"/>
      <w:bookmarkStart w:id="169" w:name="_Toc184313294"/>
      <w:bookmarkEnd w:id="169"/>
      <w:bookmarkStart w:id="170" w:name="_Toc184314448"/>
      <w:bookmarkEnd w:id="170"/>
      <w:bookmarkStart w:id="171" w:name="_Toc184313266"/>
      <w:bookmarkEnd w:id="171"/>
      <w:bookmarkStart w:id="172" w:name="_Toc184310336"/>
      <w:bookmarkEnd w:id="172"/>
      <w:bookmarkStart w:id="173" w:name="_Toc184310342"/>
      <w:bookmarkEnd w:id="173"/>
      <w:bookmarkStart w:id="174" w:name="_Toc184313289"/>
      <w:bookmarkEnd w:id="174"/>
      <w:bookmarkStart w:id="175" w:name="_Toc184313254"/>
      <w:bookmarkEnd w:id="175"/>
      <w:bookmarkStart w:id="176" w:name="_Toc184310286"/>
      <w:bookmarkEnd w:id="176"/>
      <w:bookmarkStart w:id="177" w:name="_Toc184314446"/>
      <w:bookmarkEnd w:id="177"/>
      <w:bookmarkStart w:id="178" w:name="_Toc184313240"/>
      <w:bookmarkEnd w:id="178"/>
      <w:bookmarkStart w:id="179" w:name="_Toc184308067"/>
      <w:bookmarkEnd w:id="179"/>
      <w:bookmarkStart w:id="180" w:name="_Toc184308065"/>
      <w:bookmarkEnd w:id="180"/>
      <w:bookmarkStart w:id="181" w:name="_Toc184310273"/>
      <w:bookmarkEnd w:id="181"/>
      <w:bookmarkStart w:id="182" w:name="_Toc184308108"/>
      <w:bookmarkEnd w:id="182"/>
      <w:bookmarkStart w:id="183" w:name="_Toc184310325"/>
      <w:bookmarkEnd w:id="183"/>
      <w:bookmarkStart w:id="184" w:name="_Toc184308038"/>
      <w:bookmarkEnd w:id="184"/>
      <w:bookmarkStart w:id="185" w:name="_Toc184314431"/>
      <w:bookmarkEnd w:id="185"/>
      <w:bookmarkStart w:id="186" w:name="_Toc184313246"/>
      <w:bookmarkEnd w:id="186"/>
      <w:bookmarkStart w:id="187" w:name="_Toc184314461"/>
      <w:bookmarkEnd w:id="187"/>
      <w:bookmarkStart w:id="188" w:name="_Toc184310297"/>
      <w:bookmarkEnd w:id="188"/>
      <w:bookmarkStart w:id="189" w:name="_Toc184308081"/>
      <w:bookmarkEnd w:id="189"/>
      <w:bookmarkStart w:id="190" w:name="_Toc184310299"/>
      <w:bookmarkEnd w:id="190"/>
      <w:bookmarkStart w:id="191" w:name="_Toc184308049"/>
      <w:bookmarkEnd w:id="191"/>
      <w:bookmarkStart w:id="192" w:name="_Toc184312070"/>
      <w:bookmarkEnd w:id="192"/>
      <w:bookmarkStart w:id="193" w:name="_Toc184308036"/>
      <w:bookmarkEnd w:id="193"/>
      <w:bookmarkStart w:id="194" w:name="_Toc184313306"/>
      <w:bookmarkEnd w:id="194"/>
      <w:bookmarkStart w:id="195" w:name="_Toc184310322"/>
      <w:bookmarkEnd w:id="195"/>
      <w:bookmarkStart w:id="196" w:name="_Toc184308039"/>
      <w:bookmarkEnd w:id="196"/>
      <w:bookmarkStart w:id="197" w:name="_Toc184308066"/>
      <w:bookmarkEnd w:id="197"/>
      <w:bookmarkStart w:id="198" w:name="_Toc184312081"/>
      <w:bookmarkEnd w:id="198"/>
      <w:bookmarkStart w:id="199" w:name="_Toc184312106"/>
      <w:bookmarkEnd w:id="199"/>
      <w:bookmarkStart w:id="200" w:name="_Toc184312120"/>
      <w:bookmarkEnd w:id="200"/>
      <w:bookmarkStart w:id="201" w:name="_Toc184308070"/>
      <w:bookmarkEnd w:id="201"/>
      <w:bookmarkStart w:id="202" w:name="_Toc184308040"/>
      <w:bookmarkEnd w:id="202"/>
      <w:bookmarkStart w:id="203" w:name="_Toc184308058"/>
      <w:bookmarkEnd w:id="203"/>
      <w:bookmarkStart w:id="204" w:name="_Toc184314459"/>
      <w:bookmarkEnd w:id="204"/>
      <w:bookmarkStart w:id="205" w:name="_Toc184313273"/>
      <w:bookmarkEnd w:id="205"/>
      <w:bookmarkStart w:id="206" w:name="_Toc184310308"/>
      <w:bookmarkEnd w:id="206"/>
      <w:bookmarkStart w:id="207" w:name="_Toc184314449"/>
      <w:bookmarkEnd w:id="207"/>
      <w:bookmarkStart w:id="208" w:name="_Toc184313251"/>
      <w:bookmarkEnd w:id="208"/>
      <w:bookmarkStart w:id="209" w:name="_Toc184310275"/>
      <w:bookmarkEnd w:id="209"/>
      <w:bookmarkStart w:id="210" w:name="_Toc184310341"/>
      <w:bookmarkEnd w:id="210"/>
      <w:bookmarkStart w:id="211" w:name="_Toc184313307"/>
      <w:bookmarkEnd w:id="211"/>
      <w:bookmarkStart w:id="212" w:name="_Toc184312101"/>
      <w:bookmarkEnd w:id="212"/>
      <w:bookmarkStart w:id="213" w:name="_Toc184312094"/>
      <w:bookmarkEnd w:id="213"/>
      <w:bookmarkStart w:id="214" w:name="_Toc184310296"/>
      <w:bookmarkEnd w:id="214"/>
      <w:bookmarkStart w:id="215" w:name="_Toc184314454"/>
      <w:bookmarkEnd w:id="215"/>
      <w:bookmarkStart w:id="216" w:name="_Toc184313297"/>
      <w:bookmarkEnd w:id="216"/>
      <w:bookmarkStart w:id="217" w:name="_Toc184313292"/>
      <w:bookmarkEnd w:id="217"/>
      <w:bookmarkStart w:id="218" w:name="_Toc184312116"/>
      <w:bookmarkEnd w:id="218"/>
      <w:bookmarkStart w:id="219" w:name="_Toc184313256"/>
      <w:bookmarkEnd w:id="219"/>
      <w:bookmarkStart w:id="220" w:name="_Toc184313263"/>
      <w:bookmarkEnd w:id="220"/>
      <w:bookmarkStart w:id="221" w:name="_Toc184308050"/>
      <w:bookmarkEnd w:id="221"/>
      <w:bookmarkStart w:id="222" w:name="_Toc184314458"/>
      <w:bookmarkEnd w:id="222"/>
      <w:bookmarkStart w:id="223" w:name="_Toc184314413"/>
      <w:bookmarkEnd w:id="223"/>
      <w:bookmarkStart w:id="224" w:name="_Toc184314450"/>
      <w:bookmarkEnd w:id="224"/>
      <w:bookmarkStart w:id="225" w:name="_Toc184314428"/>
      <w:bookmarkEnd w:id="225"/>
      <w:bookmarkStart w:id="226" w:name="_Toc184313275"/>
      <w:bookmarkEnd w:id="226"/>
      <w:bookmarkStart w:id="227" w:name="_Toc184310315"/>
      <w:bookmarkEnd w:id="227"/>
      <w:bookmarkStart w:id="228" w:name="_Toc184313269"/>
      <w:bookmarkEnd w:id="228"/>
      <w:bookmarkStart w:id="229" w:name="_Toc184313262"/>
      <w:bookmarkEnd w:id="229"/>
      <w:bookmarkStart w:id="230" w:name="_Toc184312086"/>
      <w:bookmarkEnd w:id="230"/>
      <w:bookmarkStart w:id="231" w:name="_Toc184313277"/>
      <w:bookmarkEnd w:id="231"/>
      <w:bookmarkStart w:id="232" w:name="_Toc184314430"/>
      <w:bookmarkEnd w:id="232"/>
      <w:bookmarkStart w:id="233" w:name="_Toc184313280"/>
      <w:bookmarkEnd w:id="233"/>
      <w:bookmarkStart w:id="234" w:name="_Toc184312112"/>
      <w:bookmarkEnd w:id="234"/>
      <w:bookmarkStart w:id="235" w:name="_Toc184314478"/>
      <w:bookmarkEnd w:id="235"/>
      <w:bookmarkStart w:id="236" w:name="_Toc184312067"/>
      <w:bookmarkEnd w:id="236"/>
      <w:bookmarkStart w:id="237" w:name="_Toc184314447"/>
      <w:bookmarkEnd w:id="237"/>
      <w:bookmarkStart w:id="238" w:name="_Toc184313287"/>
      <w:bookmarkEnd w:id="238"/>
      <w:bookmarkStart w:id="239" w:name="_Toc184314455"/>
      <w:bookmarkEnd w:id="239"/>
      <w:bookmarkStart w:id="240" w:name="_Toc184312085"/>
      <w:bookmarkEnd w:id="240"/>
      <w:bookmarkStart w:id="241" w:name="_Toc184308086"/>
      <w:bookmarkEnd w:id="241"/>
      <w:bookmarkStart w:id="242" w:name="_Toc184312069"/>
      <w:bookmarkEnd w:id="242"/>
      <w:bookmarkStart w:id="243" w:name="_Toc184310323"/>
      <w:bookmarkEnd w:id="243"/>
      <w:bookmarkStart w:id="244" w:name="_Toc184313245"/>
      <w:bookmarkEnd w:id="244"/>
      <w:bookmarkStart w:id="245" w:name="_Toc184308059"/>
      <w:bookmarkEnd w:id="245"/>
      <w:bookmarkStart w:id="246" w:name="_Toc184314464"/>
      <w:bookmarkEnd w:id="246"/>
      <w:bookmarkStart w:id="247" w:name="_Toc184313261"/>
      <w:bookmarkEnd w:id="247"/>
      <w:bookmarkStart w:id="248" w:name="_Toc184312080"/>
      <w:bookmarkEnd w:id="248"/>
      <w:bookmarkStart w:id="249" w:name="_Toc184312075"/>
      <w:bookmarkEnd w:id="249"/>
      <w:bookmarkStart w:id="250" w:name="_Toc184312096"/>
      <w:bookmarkEnd w:id="250"/>
      <w:bookmarkStart w:id="251" w:name="_Toc184308077"/>
      <w:bookmarkEnd w:id="251"/>
      <w:bookmarkStart w:id="252" w:name="_Toc184312119"/>
      <w:bookmarkEnd w:id="252"/>
      <w:bookmarkStart w:id="253" w:name="_Toc184312082"/>
      <w:bookmarkEnd w:id="253"/>
      <w:bookmarkStart w:id="254" w:name="_Toc184312092"/>
      <w:bookmarkEnd w:id="254"/>
      <w:bookmarkStart w:id="255" w:name="_Toc184308073"/>
      <w:bookmarkEnd w:id="255"/>
      <w:bookmarkStart w:id="256" w:name="_Toc184312124"/>
      <w:bookmarkEnd w:id="256"/>
      <w:bookmarkStart w:id="257" w:name="_Toc184310281"/>
      <w:bookmarkEnd w:id="257"/>
      <w:bookmarkStart w:id="258" w:name="_Toc184313299"/>
      <w:bookmarkEnd w:id="258"/>
      <w:bookmarkStart w:id="259" w:name="_Toc184308095"/>
      <w:bookmarkEnd w:id="259"/>
      <w:bookmarkStart w:id="260" w:name="_Toc184308098"/>
      <w:bookmarkEnd w:id="260"/>
      <w:bookmarkStart w:id="261" w:name="_Toc184312130"/>
      <w:bookmarkEnd w:id="261"/>
      <w:bookmarkStart w:id="262" w:name="_Toc184314436"/>
      <w:bookmarkEnd w:id="262"/>
      <w:bookmarkStart w:id="263" w:name="_Toc184308088"/>
      <w:bookmarkEnd w:id="263"/>
      <w:bookmarkStart w:id="264" w:name="_Toc184314456"/>
      <w:bookmarkEnd w:id="264"/>
      <w:bookmarkStart w:id="265" w:name="_Toc184310274"/>
      <w:bookmarkEnd w:id="265"/>
      <w:bookmarkStart w:id="266" w:name="_Toc184308076"/>
      <w:bookmarkEnd w:id="266"/>
      <w:bookmarkStart w:id="267" w:name="_Toc184312126"/>
      <w:bookmarkEnd w:id="267"/>
      <w:bookmarkStart w:id="268" w:name="_Toc184312115"/>
      <w:bookmarkEnd w:id="268"/>
      <w:bookmarkStart w:id="269" w:name="_Toc184308091"/>
      <w:bookmarkEnd w:id="269"/>
      <w:bookmarkStart w:id="270" w:name="_Toc184314434"/>
      <w:bookmarkEnd w:id="270"/>
      <w:bookmarkStart w:id="271" w:name="_Toc184310310"/>
      <w:bookmarkEnd w:id="271"/>
      <w:bookmarkStart w:id="272" w:name="_Toc184310272"/>
      <w:bookmarkEnd w:id="272"/>
      <w:bookmarkStart w:id="273" w:name="_Toc184314476"/>
      <w:bookmarkEnd w:id="273"/>
      <w:bookmarkStart w:id="274" w:name="_Toc184310327"/>
      <w:bookmarkEnd w:id="274"/>
      <w:bookmarkStart w:id="275" w:name="_Toc184313260"/>
      <w:bookmarkEnd w:id="275"/>
      <w:bookmarkStart w:id="276" w:name="_Toc184312107"/>
      <w:bookmarkEnd w:id="276"/>
      <w:bookmarkStart w:id="277" w:name="_Toc184312103"/>
      <w:bookmarkEnd w:id="277"/>
      <w:bookmarkStart w:id="278" w:name="_Toc184314412"/>
      <w:bookmarkEnd w:id="278"/>
      <w:bookmarkStart w:id="279" w:name="_Toc184313238"/>
      <w:bookmarkEnd w:id="279"/>
      <w:bookmarkStart w:id="280" w:name="_Toc184313271"/>
      <w:bookmarkEnd w:id="280"/>
      <w:bookmarkStart w:id="281" w:name="_Toc184310290"/>
      <w:bookmarkEnd w:id="281"/>
      <w:bookmarkStart w:id="282" w:name="_Toc184312128"/>
      <w:bookmarkEnd w:id="282"/>
      <w:bookmarkStart w:id="283" w:name="_Toc184312123"/>
      <w:bookmarkEnd w:id="283"/>
      <w:bookmarkStart w:id="284" w:name="_Toc184314463"/>
      <w:bookmarkEnd w:id="284"/>
      <w:bookmarkStart w:id="285" w:name="_Toc184310333"/>
      <w:bookmarkEnd w:id="285"/>
      <w:bookmarkStart w:id="286" w:name="_Toc184312132"/>
      <w:bookmarkEnd w:id="286"/>
      <w:bookmarkStart w:id="287" w:name="_Toc184310287"/>
      <w:bookmarkEnd w:id="287"/>
      <w:bookmarkStart w:id="288" w:name="_Toc184312076"/>
      <w:bookmarkEnd w:id="288"/>
      <w:bookmarkStart w:id="289" w:name="_Toc184314415"/>
      <w:bookmarkEnd w:id="289"/>
      <w:bookmarkStart w:id="290" w:name="_Toc184312129"/>
      <w:bookmarkEnd w:id="290"/>
      <w:bookmarkStart w:id="291" w:name="_Toc184312072"/>
      <w:bookmarkEnd w:id="291"/>
      <w:bookmarkStart w:id="292" w:name="_Toc184314427"/>
      <w:bookmarkEnd w:id="292"/>
      <w:bookmarkStart w:id="293" w:name="_Toc184313252"/>
      <w:bookmarkEnd w:id="293"/>
      <w:bookmarkStart w:id="294" w:name="_Toc184308045"/>
      <w:bookmarkEnd w:id="294"/>
      <w:bookmarkStart w:id="295" w:name="_Toc184310344"/>
      <w:bookmarkEnd w:id="295"/>
      <w:bookmarkStart w:id="296" w:name="_Toc184314471"/>
      <w:bookmarkEnd w:id="296"/>
      <w:bookmarkStart w:id="297" w:name="_Toc184308060"/>
      <w:bookmarkEnd w:id="297"/>
      <w:bookmarkStart w:id="298" w:name="_Toc184314457"/>
      <w:bookmarkEnd w:id="298"/>
      <w:bookmarkStart w:id="299" w:name="_Toc184313296"/>
      <w:bookmarkEnd w:id="299"/>
      <w:bookmarkStart w:id="300" w:name="_Toc184308105"/>
      <w:bookmarkEnd w:id="300"/>
      <w:bookmarkStart w:id="301" w:name="_Toc184312111"/>
      <w:bookmarkEnd w:id="301"/>
      <w:bookmarkStart w:id="302" w:name="_Toc184313278"/>
      <w:bookmarkEnd w:id="302"/>
      <w:bookmarkStart w:id="303" w:name="_Toc184312114"/>
      <w:bookmarkEnd w:id="303"/>
      <w:bookmarkStart w:id="304" w:name="_Toc184310318"/>
      <w:bookmarkEnd w:id="304"/>
      <w:bookmarkStart w:id="305" w:name="_Toc184314452"/>
      <w:bookmarkEnd w:id="305"/>
      <w:bookmarkStart w:id="306" w:name="_Toc184308062"/>
      <w:bookmarkEnd w:id="306"/>
      <w:bookmarkStart w:id="307" w:name="_Toc184312074"/>
      <w:bookmarkEnd w:id="307"/>
      <w:bookmarkStart w:id="308" w:name="_Toc184314425"/>
      <w:bookmarkEnd w:id="308"/>
      <w:bookmarkStart w:id="309" w:name="_Toc184308068"/>
      <w:bookmarkEnd w:id="309"/>
      <w:bookmarkStart w:id="310" w:name="_Toc184308093"/>
      <w:bookmarkEnd w:id="310"/>
      <w:bookmarkStart w:id="311" w:name="_Toc184313309"/>
      <w:bookmarkEnd w:id="311"/>
      <w:bookmarkStart w:id="312" w:name="_Toc184314477"/>
      <w:bookmarkEnd w:id="312"/>
      <w:bookmarkStart w:id="313" w:name="_Toc184310324"/>
      <w:bookmarkEnd w:id="313"/>
      <w:bookmarkStart w:id="314" w:name="_Toc184314423"/>
      <w:bookmarkEnd w:id="314"/>
      <w:bookmarkStart w:id="315" w:name="_Toc184308042"/>
      <w:bookmarkEnd w:id="315"/>
      <w:bookmarkStart w:id="316" w:name="_Toc184310304"/>
      <w:bookmarkEnd w:id="316"/>
      <w:bookmarkStart w:id="317" w:name="_Toc184312110"/>
      <w:bookmarkEnd w:id="317"/>
      <w:bookmarkStart w:id="318" w:name="_Toc184313286"/>
      <w:bookmarkEnd w:id="318"/>
      <w:bookmarkStart w:id="319" w:name="_Toc184308092"/>
      <w:bookmarkEnd w:id="319"/>
      <w:bookmarkStart w:id="320" w:name="_Toc184308055"/>
      <w:bookmarkEnd w:id="320"/>
      <w:bookmarkStart w:id="321" w:name="_Toc184313305"/>
      <w:bookmarkEnd w:id="321"/>
      <w:bookmarkStart w:id="322" w:name="_Toc184313244"/>
      <w:bookmarkEnd w:id="322"/>
      <w:bookmarkStart w:id="323" w:name="_Toc184312118"/>
      <w:bookmarkEnd w:id="323"/>
      <w:bookmarkStart w:id="324" w:name="_Toc184314422"/>
      <w:bookmarkEnd w:id="324"/>
      <w:bookmarkStart w:id="325" w:name="_Toc184310338"/>
      <w:bookmarkEnd w:id="325"/>
      <w:bookmarkStart w:id="326" w:name="_Toc184308071"/>
      <w:bookmarkEnd w:id="326"/>
      <w:bookmarkStart w:id="327" w:name="_Toc184314410"/>
      <w:bookmarkEnd w:id="327"/>
      <w:bookmarkStart w:id="328" w:name="_Toc184313257"/>
      <w:bookmarkEnd w:id="328"/>
      <w:bookmarkStart w:id="329" w:name="_Toc184308064"/>
      <w:bookmarkEnd w:id="329"/>
      <w:bookmarkStart w:id="330" w:name="_Toc184308063"/>
      <w:bookmarkEnd w:id="330"/>
      <w:bookmarkStart w:id="331" w:name="_Toc184308102"/>
      <w:bookmarkEnd w:id="331"/>
      <w:bookmarkStart w:id="332" w:name="_Toc184308043"/>
      <w:bookmarkEnd w:id="332"/>
      <w:bookmarkStart w:id="333" w:name="_Toc184308090"/>
      <w:bookmarkEnd w:id="333"/>
      <w:bookmarkStart w:id="334" w:name="_Toc184310319"/>
      <w:bookmarkEnd w:id="334"/>
      <w:bookmarkStart w:id="335" w:name="_Toc184313285"/>
      <w:bookmarkEnd w:id="335"/>
      <w:bookmarkStart w:id="336" w:name="_Toc184314469"/>
      <w:bookmarkEnd w:id="336"/>
      <w:bookmarkStart w:id="337" w:name="_Toc184314438"/>
      <w:bookmarkEnd w:id="337"/>
      <w:bookmarkStart w:id="338" w:name="_Toc184312089"/>
      <w:bookmarkEnd w:id="338"/>
      <w:bookmarkStart w:id="339" w:name="_Toc184312117"/>
      <w:bookmarkEnd w:id="339"/>
      <w:bookmarkStart w:id="340" w:name="_Toc184313300"/>
      <w:bookmarkEnd w:id="340"/>
      <w:bookmarkStart w:id="341" w:name="_Toc184312134"/>
      <w:bookmarkEnd w:id="341"/>
      <w:bookmarkStart w:id="342" w:name="_Toc184313281"/>
      <w:bookmarkEnd w:id="342"/>
      <w:bookmarkStart w:id="343" w:name="_Toc184312084"/>
      <w:bookmarkEnd w:id="343"/>
      <w:bookmarkStart w:id="344" w:name="_Toc184313241"/>
      <w:bookmarkEnd w:id="344"/>
      <w:bookmarkStart w:id="345" w:name="_Toc184313265"/>
      <w:bookmarkEnd w:id="345"/>
      <w:bookmarkStart w:id="346" w:name="_Toc184314418"/>
      <w:bookmarkEnd w:id="346"/>
      <w:bookmarkStart w:id="347" w:name="_Toc184312095"/>
      <w:bookmarkEnd w:id="347"/>
      <w:bookmarkStart w:id="348" w:name="_Toc184314480"/>
      <w:bookmarkEnd w:id="348"/>
      <w:bookmarkStart w:id="349" w:name="_Toc184310278"/>
      <w:bookmarkEnd w:id="349"/>
      <w:bookmarkStart w:id="350" w:name="_Toc184310295"/>
      <w:bookmarkEnd w:id="350"/>
      <w:bookmarkStart w:id="351" w:name="_Toc184314439"/>
      <w:bookmarkEnd w:id="351"/>
      <w:bookmarkStart w:id="352" w:name="_Toc184308075"/>
      <w:bookmarkEnd w:id="352"/>
      <w:bookmarkStart w:id="353" w:name="_Toc184308056"/>
      <w:bookmarkEnd w:id="353"/>
      <w:bookmarkStart w:id="354" w:name="_Toc184308094"/>
      <w:bookmarkEnd w:id="354"/>
      <w:bookmarkStart w:id="355" w:name="_Toc184312102"/>
      <w:bookmarkEnd w:id="355"/>
      <w:bookmarkStart w:id="356" w:name="_Toc184308079"/>
      <w:bookmarkEnd w:id="356"/>
      <w:bookmarkStart w:id="357" w:name="_Toc184310326"/>
      <w:bookmarkEnd w:id="357"/>
      <w:bookmarkStart w:id="358" w:name="_Toc184314470"/>
      <w:bookmarkEnd w:id="358"/>
      <w:bookmarkStart w:id="359" w:name="_Toc184314433"/>
      <w:bookmarkEnd w:id="359"/>
      <w:bookmarkStart w:id="360" w:name="_Toc184308061"/>
      <w:bookmarkEnd w:id="360"/>
      <w:bookmarkStart w:id="361" w:name="_Toc184310284"/>
      <w:bookmarkEnd w:id="361"/>
      <w:bookmarkStart w:id="362" w:name="_Toc184308097"/>
      <w:bookmarkEnd w:id="362"/>
      <w:bookmarkStart w:id="363" w:name="_Toc184314421"/>
      <w:bookmarkEnd w:id="363"/>
      <w:bookmarkStart w:id="364" w:name="_Toc184310283"/>
      <w:bookmarkEnd w:id="364"/>
      <w:bookmarkStart w:id="365" w:name="_Toc184308044"/>
      <w:bookmarkEnd w:id="365"/>
      <w:bookmarkStart w:id="366" w:name="_Toc184313242"/>
      <w:bookmarkEnd w:id="366"/>
      <w:bookmarkStart w:id="367" w:name="_Toc184310312"/>
      <w:bookmarkEnd w:id="367"/>
      <w:bookmarkStart w:id="368" w:name="_Toc184310302"/>
      <w:bookmarkEnd w:id="368"/>
      <w:bookmarkStart w:id="369" w:name="_Toc184312073"/>
      <w:bookmarkEnd w:id="369"/>
      <w:bookmarkStart w:id="370" w:name="_Toc184308103"/>
      <w:bookmarkEnd w:id="370"/>
      <w:bookmarkStart w:id="371" w:name="_Toc184310311"/>
      <w:bookmarkEnd w:id="371"/>
      <w:bookmarkStart w:id="372" w:name="_Toc184310307"/>
      <w:bookmarkEnd w:id="372"/>
      <w:bookmarkStart w:id="373" w:name="_Toc184308057"/>
      <w:bookmarkEnd w:id="373"/>
      <w:bookmarkStart w:id="374" w:name="_Toc184314444"/>
      <w:bookmarkEnd w:id="374"/>
      <w:bookmarkStart w:id="375" w:name="_Toc184314426"/>
      <w:bookmarkEnd w:id="375"/>
      <w:bookmarkStart w:id="376" w:name="_Toc184313298"/>
      <w:bookmarkEnd w:id="376"/>
      <w:bookmarkStart w:id="377" w:name="_Toc184310331"/>
      <w:bookmarkEnd w:id="377"/>
      <w:bookmarkStart w:id="378" w:name="_Toc184310306"/>
      <w:bookmarkEnd w:id="378"/>
      <w:bookmarkStart w:id="379" w:name="_Toc184314435"/>
      <w:bookmarkEnd w:id="379"/>
      <w:bookmarkStart w:id="380" w:name="_Toc184310285"/>
      <w:bookmarkEnd w:id="380"/>
      <w:bookmarkStart w:id="381" w:name="_Toc184308096"/>
      <w:bookmarkEnd w:id="381"/>
      <w:bookmarkStart w:id="382" w:name="_Toc184314465"/>
      <w:bookmarkEnd w:id="382"/>
      <w:bookmarkStart w:id="383" w:name="_Toc184314432"/>
      <w:bookmarkEnd w:id="383"/>
      <w:bookmarkStart w:id="384" w:name="_Toc184308047"/>
      <w:bookmarkEnd w:id="384"/>
      <w:bookmarkStart w:id="385" w:name="_Toc184312136"/>
      <w:bookmarkEnd w:id="385"/>
      <w:bookmarkStart w:id="386" w:name="_Toc184314451"/>
      <w:bookmarkEnd w:id="386"/>
      <w:bookmarkStart w:id="387" w:name="_Toc184313304"/>
      <w:bookmarkEnd w:id="387"/>
      <w:bookmarkStart w:id="388" w:name="_Toc184313272"/>
      <w:bookmarkEnd w:id="388"/>
      <w:bookmarkStart w:id="389" w:name="_Toc184310340"/>
      <w:bookmarkEnd w:id="389"/>
      <w:bookmarkStart w:id="390" w:name="_Toc184308104"/>
      <w:bookmarkEnd w:id="390"/>
      <w:bookmarkStart w:id="391" w:name="_Toc184310293"/>
      <w:bookmarkEnd w:id="391"/>
      <w:r>
        <w:rPr>
          <w:rFonts w:hint="eastAsia" w:ascii="仿宋" w:hAnsi="仿宋" w:eastAsia="仿宋" w:cs="仿宋"/>
          <w:b/>
          <w:color w:val="auto"/>
          <w:sz w:val="36"/>
          <w:szCs w:val="36"/>
          <w:highlight w:val="none"/>
        </w:rPr>
        <w:t>评标办法</w:t>
      </w:r>
    </w:p>
    <w:p>
      <w:pPr>
        <w:shd w:val="clear" w:color="auto" w:fill="auto"/>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margin" w:tblpXSpec="center" w:tblpY="354"/>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1"/>
        <w:gridCol w:w="1559"/>
        <w:gridCol w:w="1134"/>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评审类别</w:t>
            </w:r>
          </w:p>
        </w:tc>
        <w:tc>
          <w:tcPr>
            <w:tcW w:w="155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评审项目</w:t>
            </w:r>
          </w:p>
        </w:tc>
        <w:tc>
          <w:tcPr>
            <w:tcW w:w="1134"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标准分</w:t>
            </w:r>
          </w:p>
        </w:tc>
        <w:tc>
          <w:tcPr>
            <w:tcW w:w="510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评分内容及标准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价格分（30分）</w:t>
            </w: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投标报价</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30分</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有效投标报价的最低价作为评标基准价，其最低报价为满分；按［投标报价得分=（评标基准价/投标报价）*30］的计算公式计算。</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评标过程中，不得去掉报价中的最高报价和最低报价。</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因落实政府采购政策需要进行价格调整的，以调整后的价格计算评标基准价和投标报价</w:t>
            </w:r>
            <w:r>
              <w:rPr>
                <w:rFonts w:hint="eastAsia" w:ascii="仿宋" w:hAnsi="仿宋" w:eastAsia="仿宋" w:cs="仿宋"/>
                <w:color w:val="auto"/>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技术分（</w:t>
            </w:r>
            <w:r>
              <w:rPr>
                <w:rFonts w:hint="eastAsia" w:ascii="仿宋" w:hAnsi="仿宋" w:eastAsia="仿宋" w:cs="仿宋"/>
                <w:color w:val="auto"/>
                <w:kern w:val="0"/>
                <w:sz w:val="20"/>
                <w:szCs w:val="20"/>
                <w:highlight w:val="none"/>
                <w:lang w:val="en-US" w:eastAsia="zh-CN"/>
              </w:rPr>
              <w:t>54</w:t>
            </w:r>
            <w:r>
              <w:rPr>
                <w:rFonts w:hint="eastAsia" w:ascii="仿宋" w:hAnsi="仿宋" w:eastAsia="仿宋" w:cs="仿宋"/>
                <w:color w:val="auto"/>
                <w:kern w:val="0"/>
                <w:sz w:val="20"/>
                <w:szCs w:val="20"/>
                <w:highlight w:val="none"/>
              </w:rPr>
              <w:t>分）                 产品性能、技术指标</w:t>
            </w: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zh-CN"/>
              </w:rPr>
              <w:t>产品能效等级</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highlight w:val="none"/>
              </w:rPr>
            </w:pPr>
            <w:r>
              <w:rPr>
                <w:rFonts w:hint="eastAsia" w:ascii="仿宋" w:hAnsi="仿宋" w:eastAsia="仿宋" w:cs="仿宋"/>
                <w:color w:val="auto"/>
                <w:kern w:val="0"/>
                <w:sz w:val="20"/>
                <w:szCs w:val="20"/>
                <w:highlight w:val="none"/>
                <w:lang w:val="zh-CN"/>
              </w:rPr>
              <w:t>产品能效等级评分：COP值</w:t>
            </w:r>
            <w:r>
              <w:rPr>
                <w:rFonts w:hint="eastAsia" w:ascii="仿宋" w:hAnsi="仿宋" w:eastAsia="仿宋" w:cs="仿宋"/>
                <w:color w:val="auto"/>
                <w:kern w:val="0"/>
                <w:sz w:val="20"/>
                <w:szCs w:val="20"/>
                <w:highlight w:val="none"/>
                <w:lang w:val="en-US" w:eastAsia="zh-CN"/>
              </w:rPr>
              <w:t>&lt;</w:t>
            </w:r>
            <w:r>
              <w:rPr>
                <w:rFonts w:hint="eastAsia" w:ascii="仿宋" w:hAnsi="仿宋" w:eastAsia="仿宋" w:cs="仿宋"/>
                <w:color w:val="auto"/>
                <w:kern w:val="0"/>
                <w:sz w:val="20"/>
                <w:szCs w:val="20"/>
                <w:highlight w:val="none"/>
                <w:lang w:val="zh-CN"/>
              </w:rPr>
              <w:t>4.</w:t>
            </w:r>
            <w:r>
              <w:rPr>
                <w:rFonts w:hint="eastAsia" w:ascii="仿宋" w:hAnsi="仿宋" w:eastAsia="仿宋" w:cs="仿宋"/>
                <w:color w:val="auto"/>
                <w:kern w:val="0"/>
                <w:sz w:val="20"/>
                <w:szCs w:val="20"/>
                <w:highlight w:val="none"/>
                <w:lang w:val="en-US" w:eastAsia="zh-CN"/>
              </w:rPr>
              <w:t>0，得0.5分，</w:t>
            </w:r>
            <w:r>
              <w:rPr>
                <w:rFonts w:hint="eastAsia" w:ascii="仿宋" w:hAnsi="仿宋" w:eastAsia="仿宋" w:cs="仿宋"/>
                <w:color w:val="auto"/>
                <w:kern w:val="0"/>
                <w:sz w:val="20"/>
                <w:szCs w:val="20"/>
                <w:highlight w:val="none"/>
                <w:lang w:val="zh-CN"/>
              </w:rPr>
              <w:t xml:space="preserve"> COP值≥4.</w:t>
            </w:r>
            <w:r>
              <w:rPr>
                <w:rFonts w:hint="eastAsia" w:ascii="仿宋" w:hAnsi="仿宋" w:eastAsia="仿宋" w:cs="仿宋"/>
                <w:color w:val="auto"/>
                <w:kern w:val="0"/>
                <w:sz w:val="20"/>
                <w:szCs w:val="20"/>
                <w:highlight w:val="none"/>
                <w:lang w:val="en-US" w:eastAsia="zh-CN"/>
              </w:rPr>
              <w:t>0</w:t>
            </w:r>
            <w:r>
              <w:rPr>
                <w:rFonts w:hint="eastAsia" w:ascii="仿宋" w:hAnsi="仿宋" w:eastAsia="仿宋" w:cs="仿宋"/>
                <w:color w:val="auto"/>
                <w:kern w:val="0"/>
                <w:sz w:val="20"/>
                <w:szCs w:val="20"/>
                <w:highlight w:val="none"/>
                <w:lang w:val="zh-CN"/>
              </w:rPr>
              <w:t>，得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lang w:val="zh-CN"/>
              </w:rPr>
              <w:t>分，本项最多得</w:t>
            </w:r>
            <w:r>
              <w:rPr>
                <w:rFonts w:hint="eastAsia" w:ascii="仿宋" w:hAnsi="仿宋" w:eastAsia="仿宋" w:cs="仿宋"/>
                <w:color w:val="auto"/>
                <w:kern w:val="0"/>
                <w:sz w:val="20"/>
                <w:szCs w:val="20"/>
                <w:highlight w:val="none"/>
                <w:lang w:val="en-US" w:eastAsia="zh-CN"/>
              </w:rPr>
              <w:t>1分。</w:t>
            </w:r>
            <w:r>
              <w:rPr>
                <w:rFonts w:hint="eastAsia" w:ascii="仿宋" w:hAnsi="仿宋" w:eastAsia="仿宋" w:cs="仿宋"/>
                <w:color w:val="auto"/>
                <w:kern w:val="0"/>
                <w:sz w:val="20"/>
                <w:szCs w:val="20"/>
                <w:highlight w:val="none"/>
                <w:lang w:val="zh-CN"/>
              </w:rPr>
              <w:t>（投标文件中提供</w:t>
            </w:r>
            <w:r>
              <w:rPr>
                <w:rFonts w:hint="eastAsia" w:ascii="仿宋" w:hAnsi="仿宋" w:eastAsia="仿宋" w:cs="仿宋"/>
                <w:color w:val="auto"/>
                <w:kern w:val="0"/>
                <w:sz w:val="20"/>
                <w:szCs w:val="20"/>
                <w:highlight w:val="none"/>
                <w:lang w:val="en-US" w:eastAsia="zh-CN"/>
              </w:rPr>
              <w:t>中国能效网截图及检测报告</w:t>
            </w:r>
            <w:r>
              <w:rPr>
                <w:rFonts w:hint="eastAsia" w:ascii="仿宋" w:hAnsi="仿宋" w:eastAsia="仿宋" w:cs="仿宋"/>
                <w:color w:val="auto"/>
                <w:kern w:val="0"/>
                <w:sz w:val="20"/>
                <w:szCs w:val="20"/>
                <w:highlight w:val="none"/>
                <w:lang w:val="zh-CN"/>
              </w:rPr>
              <w:t>复印件或打印扫描件并加盖制造商公章，否则不得分。）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left w:val="single" w:color="auto" w:sz="4" w:space="0"/>
              <w:right w:val="single" w:color="auto" w:sz="4" w:space="0"/>
            </w:tcBorders>
            <w:vAlign w:val="center"/>
          </w:tcPr>
          <w:p>
            <w:pPr>
              <w:widowControl/>
              <w:shd w:val="clear" w:color="auto" w:fill="auto"/>
              <w:jc w:val="center"/>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lang w:val="zh-CN"/>
              </w:rPr>
            </w:pPr>
            <w:r>
              <w:rPr>
                <w:rFonts w:hint="eastAsia" w:ascii="仿宋" w:hAnsi="仿宋" w:eastAsia="仿宋" w:cs="仿宋"/>
                <w:color w:val="auto"/>
                <w:kern w:val="0"/>
                <w:sz w:val="20"/>
                <w:szCs w:val="20"/>
                <w:highlight w:val="none"/>
                <w:lang w:val="zh-CN" w:eastAsia="zh-CN"/>
              </w:rPr>
              <w:t>产品</w:t>
            </w:r>
            <w:r>
              <w:rPr>
                <w:rFonts w:hint="eastAsia" w:ascii="仿宋" w:hAnsi="仿宋" w:eastAsia="仿宋" w:cs="仿宋"/>
                <w:color w:val="auto"/>
                <w:kern w:val="0"/>
                <w:sz w:val="20"/>
                <w:szCs w:val="20"/>
                <w:highlight w:val="none"/>
                <w:lang w:val="zh-CN"/>
              </w:rPr>
              <w:t>运行噪音</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2分</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lang w:val="zh-CN"/>
              </w:rPr>
            </w:pPr>
            <w:r>
              <w:rPr>
                <w:rFonts w:hint="eastAsia" w:ascii="仿宋" w:hAnsi="仿宋" w:eastAsia="仿宋" w:cs="仿宋"/>
                <w:color w:val="auto"/>
                <w:kern w:val="0"/>
                <w:sz w:val="20"/>
                <w:szCs w:val="20"/>
                <w:highlight w:val="none"/>
                <w:lang w:val="zh-CN"/>
              </w:rPr>
              <w:t>机组</w:t>
            </w:r>
            <w:r>
              <w:rPr>
                <w:rFonts w:hint="eastAsia" w:ascii="仿宋" w:hAnsi="仿宋" w:eastAsia="仿宋" w:cs="仿宋"/>
                <w:color w:val="auto"/>
                <w:kern w:val="0"/>
                <w:sz w:val="20"/>
                <w:szCs w:val="20"/>
                <w:highlight w:val="none"/>
                <w:lang w:val="zh-CN" w:eastAsia="zh-CN"/>
              </w:rPr>
              <w:t>运行嗓音</w:t>
            </w:r>
            <w:r>
              <w:rPr>
                <w:rFonts w:hint="eastAsia" w:ascii="仿宋" w:hAnsi="仿宋" w:eastAsia="仿宋" w:cs="仿宋"/>
                <w:color w:val="auto"/>
                <w:kern w:val="0"/>
                <w:sz w:val="20"/>
                <w:szCs w:val="20"/>
                <w:highlight w:val="none"/>
                <w:lang w:val="zh-CN"/>
              </w:rPr>
              <w:t>：小于等于</w:t>
            </w:r>
            <w:r>
              <w:rPr>
                <w:rFonts w:hint="eastAsia" w:ascii="仿宋" w:hAnsi="仿宋" w:eastAsia="仿宋" w:cs="仿宋"/>
                <w:color w:val="auto"/>
                <w:kern w:val="0"/>
                <w:sz w:val="20"/>
                <w:szCs w:val="20"/>
                <w:highlight w:val="none"/>
                <w:lang w:val="en-US" w:eastAsia="zh-CN"/>
              </w:rPr>
              <w:t>52</w:t>
            </w:r>
            <w:r>
              <w:rPr>
                <w:rFonts w:hint="eastAsia" w:ascii="仿宋" w:hAnsi="仿宋" w:eastAsia="仿宋" w:cs="仿宋"/>
                <w:color w:val="auto"/>
                <w:kern w:val="0"/>
                <w:sz w:val="20"/>
                <w:szCs w:val="20"/>
                <w:highlight w:val="none"/>
                <w:lang w:val="zh-CN"/>
              </w:rPr>
              <w:t>DB(A)且大于</w:t>
            </w:r>
            <w:r>
              <w:rPr>
                <w:rFonts w:hint="eastAsia" w:ascii="仿宋" w:hAnsi="仿宋" w:eastAsia="仿宋" w:cs="仿宋"/>
                <w:color w:val="auto"/>
                <w:kern w:val="0"/>
                <w:sz w:val="20"/>
                <w:szCs w:val="20"/>
                <w:highlight w:val="none"/>
                <w:lang w:val="en-US" w:eastAsia="zh-CN"/>
              </w:rPr>
              <w:t>50</w:t>
            </w:r>
            <w:r>
              <w:rPr>
                <w:rFonts w:hint="eastAsia" w:ascii="仿宋" w:hAnsi="仿宋" w:eastAsia="仿宋" w:cs="仿宋"/>
                <w:color w:val="auto"/>
                <w:kern w:val="0"/>
                <w:sz w:val="20"/>
                <w:szCs w:val="20"/>
                <w:highlight w:val="none"/>
                <w:lang w:val="zh-CN"/>
              </w:rPr>
              <w:t>DB(A)</w:t>
            </w:r>
            <w:r>
              <w:rPr>
                <w:rFonts w:hint="eastAsia" w:ascii="仿宋" w:hAnsi="仿宋" w:eastAsia="仿宋" w:cs="仿宋"/>
                <w:color w:val="auto"/>
                <w:kern w:val="0"/>
                <w:sz w:val="20"/>
                <w:szCs w:val="20"/>
                <w:highlight w:val="none"/>
                <w:lang w:val="zh-CN" w:eastAsia="zh-CN"/>
              </w:rPr>
              <w:t>的得</w:t>
            </w:r>
            <w:r>
              <w:rPr>
                <w:rFonts w:hint="eastAsia" w:ascii="仿宋" w:hAnsi="仿宋" w:eastAsia="仿宋" w:cs="仿宋"/>
                <w:color w:val="auto"/>
                <w:kern w:val="0"/>
                <w:sz w:val="20"/>
                <w:szCs w:val="20"/>
                <w:highlight w:val="none"/>
                <w:lang w:val="en-US" w:eastAsia="zh-CN"/>
              </w:rPr>
              <w:t>1分，</w:t>
            </w:r>
            <w:r>
              <w:rPr>
                <w:rFonts w:hint="eastAsia" w:ascii="仿宋" w:hAnsi="仿宋" w:eastAsia="仿宋" w:cs="仿宋"/>
                <w:color w:val="auto"/>
                <w:kern w:val="0"/>
                <w:sz w:val="20"/>
                <w:szCs w:val="20"/>
                <w:highlight w:val="none"/>
                <w:lang w:val="zh-CN"/>
              </w:rPr>
              <w:t>小于等于</w:t>
            </w:r>
            <w:r>
              <w:rPr>
                <w:rFonts w:hint="eastAsia" w:ascii="仿宋" w:hAnsi="仿宋" w:eastAsia="仿宋" w:cs="仿宋"/>
                <w:color w:val="auto"/>
                <w:kern w:val="0"/>
                <w:sz w:val="20"/>
                <w:szCs w:val="20"/>
                <w:highlight w:val="none"/>
                <w:lang w:val="en-US" w:eastAsia="zh-CN"/>
              </w:rPr>
              <w:t>50</w:t>
            </w:r>
            <w:r>
              <w:rPr>
                <w:rFonts w:hint="eastAsia" w:ascii="仿宋" w:hAnsi="仿宋" w:eastAsia="仿宋" w:cs="仿宋"/>
                <w:color w:val="auto"/>
                <w:kern w:val="0"/>
                <w:sz w:val="20"/>
                <w:szCs w:val="20"/>
                <w:highlight w:val="none"/>
                <w:lang w:val="zh-CN"/>
              </w:rPr>
              <w:t>DB(A)</w:t>
            </w:r>
            <w:r>
              <w:rPr>
                <w:rFonts w:hint="eastAsia" w:ascii="仿宋" w:hAnsi="仿宋" w:eastAsia="仿宋" w:cs="仿宋"/>
                <w:color w:val="auto"/>
                <w:kern w:val="0"/>
                <w:sz w:val="20"/>
                <w:szCs w:val="20"/>
                <w:highlight w:val="none"/>
                <w:lang w:val="zh-CN" w:eastAsia="zh-CN"/>
              </w:rPr>
              <w:t>的得</w:t>
            </w:r>
            <w:r>
              <w:rPr>
                <w:rFonts w:hint="eastAsia" w:ascii="仿宋" w:hAnsi="仿宋" w:eastAsia="仿宋" w:cs="仿宋"/>
                <w:color w:val="auto"/>
                <w:kern w:val="0"/>
                <w:sz w:val="20"/>
                <w:szCs w:val="20"/>
                <w:highlight w:val="none"/>
                <w:lang w:val="en-US" w:eastAsia="zh-CN"/>
              </w:rPr>
              <w:t>2分，其余不得分</w:t>
            </w:r>
            <w:r>
              <w:rPr>
                <w:rFonts w:hint="eastAsia" w:ascii="仿宋" w:hAnsi="仿宋" w:eastAsia="仿宋" w:cs="仿宋"/>
                <w:color w:val="auto"/>
                <w:kern w:val="0"/>
                <w:sz w:val="20"/>
                <w:szCs w:val="20"/>
                <w:highlight w:val="none"/>
                <w:lang w:val="zh-CN"/>
              </w:rPr>
              <w:t>。本项最多得</w:t>
            </w:r>
            <w:r>
              <w:rPr>
                <w:rFonts w:hint="eastAsia" w:ascii="仿宋" w:hAnsi="仿宋" w:eastAsia="仿宋" w:cs="仿宋"/>
                <w:color w:val="auto"/>
                <w:kern w:val="0"/>
                <w:sz w:val="20"/>
                <w:szCs w:val="20"/>
                <w:highlight w:val="none"/>
                <w:lang w:val="en-US" w:eastAsia="zh-CN"/>
              </w:rPr>
              <w:t>2分。</w:t>
            </w:r>
            <w:r>
              <w:rPr>
                <w:rFonts w:hint="eastAsia" w:ascii="仿宋" w:hAnsi="仿宋" w:eastAsia="仿宋" w:cs="仿宋"/>
                <w:color w:val="auto"/>
                <w:kern w:val="0"/>
                <w:sz w:val="20"/>
                <w:szCs w:val="20"/>
                <w:highlight w:val="none"/>
                <w:lang w:val="zh-CN" w:eastAsia="zh-CN"/>
              </w:rPr>
              <w:t>（投标文件中提供第三方检测机构出具的检测报复印件或打印扫描件，否则不得分）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投标样品</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20</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highlight w:val="none"/>
              </w:rPr>
            </w:pPr>
            <w:r>
              <w:rPr>
                <w:rFonts w:hint="eastAsia" w:ascii="仿宋" w:hAnsi="仿宋" w:eastAsia="仿宋" w:cs="仿宋"/>
                <w:color w:val="auto"/>
                <w:kern w:val="0"/>
                <w:sz w:val="20"/>
                <w:szCs w:val="20"/>
                <w:highlight w:val="none"/>
              </w:rPr>
              <w:t>根据投标产品解剖样品评比，样品解剖切面要求：局部半径切面，能完全看到热交换器的材质及面积；</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1.产品送样解剖产品一台的得</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分；</w:t>
            </w:r>
          </w:p>
          <w:p>
            <w:pPr>
              <w:widowControl/>
              <w:numPr>
                <w:ilvl w:val="0"/>
                <w:numId w:val="2"/>
              </w:numPr>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根据投标人提供的解剖样品的内胆工艺、保温层的厚度</w:t>
            </w:r>
            <w:r>
              <w:rPr>
                <w:rFonts w:hint="eastAsia" w:ascii="仿宋" w:hAnsi="仿宋" w:eastAsia="仿宋" w:cs="仿宋"/>
                <w:color w:val="auto"/>
                <w:kern w:val="0"/>
                <w:sz w:val="20"/>
                <w:szCs w:val="20"/>
                <w:highlight w:val="none"/>
                <w:lang w:val="en-US" w:eastAsia="zh-CN"/>
              </w:rPr>
              <w:t>,</w:t>
            </w:r>
            <w:r>
              <w:rPr>
                <w:rFonts w:hint="eastAsia" w:ascii="仿宋" w:hAnsi="仿宋" w:eastAsia="仿宋" w:cs="仿宋"/>
                <w:color w:val="auto"/>
                <w:kern w:val="0"/>
                <w:sz w:val="20"/>
                <w:szCs w:val="20"/>
                <w:highlight w:val="none"/>
              </w:rPr>
              <w:t>得</w:t>
            </w: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p>
            <w:pPr>
              <w:pStyle w:val="82"/>
              <w:numPr>
                <w:ilvl w:val="0"/>
                <w:numId w:val="2"/>
              </w:numPr>
              <w:shd w:val="clear" w:color="auto" w:fill="auto"/>
              <w:ind w:left="0" w:leftChars="0" w:firstLine="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根据投标人提供的解剖样品的外观材质、热交换器的材质</w:t>
            </w:r>
            <w:r>
              <w:rPr>
                <w:rFonts w:hint="eastAsia" w:ascii="仿宋" w:hAnsi="仿宋" w:eastAsia="仿宋" w:cs="仿宋"/>
                <w:color w:val="auto"/>
                <w:kern w:val="0"/>
                <w:sz w:val="20"/>
                <w:szCs w:val="20"/>
                <w:highlight w:val="none"/>
                <w:lang w:val="en-US" w:eastAsia="zh-CN"/>
              </w:rPr>
              <w:t>,</w:t>
            </w:r>
            <w:r>
              <w:rPr>
                <w:rFonts w:hint="eastAsia" w:ascii="仿宋" w:hAnsi="仿宋" w:eastAsia="仿宋" w:cs="仿宋"/>
                <w:color w:val="auto"/>
                <w:kern w:val="0"/>
                <w:sz w:val="20"/>
                <w:szCs w:val="20"/>
                <w:highlight w:val="none"/>
              </w:rPr>
              <w:t>得</w:t>
            </w: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p>
            <w:pPr>
              <w:pStyle w:val="82"/>
              <w:shd w:val="clear" w:color="auto" w:fill="auto"/>
              <w:ind w:left="0" w:leftChars="0" w:firstLine="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4.根据投标人提供的解剖样品的产品感观</w:t>
            </w:r>
            <w:r>
              <w:rPr>
                <w:rFonts w:hint="eastAsia" w:ascii="仿宋" w:hAnsi="仿宋" w:eastAsia="仿宋" w:cs="仿宋"/>
                <w:color w:val="auto"/>
                <w:kern w:val="0"/>
                <w:sz w:val="20"/>
                <w:szCs w:val="20"/>
                <w:highlight w:val="none"/>
                <w:lang w:val="en-US" w:eastAsia="zh-CN"/>
              </w:rPr>
              <w:t xml:space="preserve">, </w:t>
            </w:r>
            <w:r>
              <w:rPr>
                <w:rFonts w:hint="eastAsia" w:ascii="仿宋" w:hAnsi="仿宋" w:eastAsia="仿宋" w:cs="仿宋"/>
                <w:color w:val="auto"/>
                <w:kern w:val="0"/>
                <w:sz w:val="20"/>
                <w:szCs w:val="20"/>
                <w:highlight w:val="none"/>
              </w:rPr>
              <w:t>得</w:t>
            </w: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本项最高得</w:t>
            </w:r>
            <w:r>
              <w:rPr>
                <w:rFonts w:hint="eastAsia" w:ascii="仿宋" w:hAnsi="仿宋" w:eastAsia="仿宋" w:cs="仿宋"/>
                <w:color w:val="auto"/>
                <w:kern w:val="0"/>
                <w:sz w:val="20"/>
                <w:szCs w:val="20"/>
                <w:highlight w:val="none"/>
                <w:lang w:val="en-US" w:eastAsia="zh-CN"/>
              </w:rPr>
              <w:t>20</w:t>
            </w:r>
            <w:r>
              <w:rPr>
                <w:rFonts w:hint="eastAsia" w:ascii="仿宋" w:hAnsi="仿宋" w:eastAsia="仿宋" w:cs="仿宋"/>
                <w:color w:val="auto"/>
                <w:kern w:val="0"/>
                <w:sz w:val="20"/>
                <w:szCs w:val="20"/>
                <w:highlight w:val="none"/>
              </w:rPr>
              <w:t>分；未送样品的</w:t>
            </w:r>
            <w:r>
              <w:rPr>
                <w:rFonts w:hint="eastAsia" w:ascii="仿宋" w:hAnsi="仿宋" w:eastAsia="仿宋" w:cs="仿宋"/>
                <w:color w:val="auto"/>
                <w:kern w:val="0"/>
                <w:sz w:val="20"/>
                <w:szCs w:val="20"/>
                <w:highlight w:val="none"/>
                <w:lang w:eastAsia="zh-CN"/>
              </w:rPr>
              <w:t>投标人该项</w:t>
            </w:r>
            <w:r>
              <w:rPr>
                <w:rFonts w:hint="eastAsia" w:ascii="仿宋" w:hAnsi="仿宋" w:eastAsia="仿宋" w:cs="仿宋"/>
                <w:color w:val="auto"/>
                <w:kern w:val="0"/>
                <w:sz w:val="20"/>
                <w:szCs w:val="20"/>
                <w:highlight w:val="none"/>
              </w:rPr>
              <w:t>不得分；</w:t>
            </w:r>
          </w:p>
          <w:p>
            <w:pPr>
              <w:widowControl/>
              <w:shd w:val="clear" w:color="auto" w:fill="auto"/>
              <w:jc w:val="left"/>
              <w:rPr>
                <w:rFonts w:hint="eastAsia"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zh-CN"/>
              </w:rPr>
              <w:t>控制系统</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 xml:space="preserve">分 </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根据投标产品空气源热泵热水器</w:t>
            </w:r>
            <w:r>
              <w:rPr>
                <w:rFonts w:hint="eastAsia" w:ascii="仿宋" w:hAnsi="仿宋" w:eastAsia="仿宋" w:cs="仿宋"/>
                <w:color w:val="auto"/>
                <w:kern w:val="0"/>
                <w:sz w:val="20"/>
                <w:szCs w:val="20"/>
                <w:highlight w:val="none"/>
                <w:lang w:val="zh-CN"/>
              </w:rPr>
              <w:t>控制系统能提供计算机软件著作权登记证书得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lang w:val="zh-CN"/>
              </w:rPr>
              <w:t>分</w:t>
            </w:r>
            <w:r>
              <w:rPr>
                <w:rFonts w:hint="eastAsia" w:ascii="仿宋" w:hAnsi="仿宋" w:eastAsia="仿宋" w:cs="仿宋"/>
                <w:color w:val="auto"/>
                <w:kern w:val="0"/>
                <w:sz w:val="20"/>
                <w:szCs w:val="20"/>
                <w:highlight w:val="none"/>
              </w:rPr>
              <w:t>。</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zh-CN"/>
              </w:rPr>
              <w:t>（投标文件中提供证书复印件或打印扫描件并加盖制造商公章，否则不得分。）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zh-CN" w:eastAsia="zh-CN"/>
              </w:rPr>
              <w:t>产品责任险</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 xml:space="preserve">分 </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为保证用户的财产及其他损失，投标人或制造商为所投产品（空气源热水器）已经购买产品责任险的得3分，</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(投标文件中提供保险单复印件或打印扫描件加盖公章，否则不得分。)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技术偏离</w:t>
            </w:r>
          </w:p>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情况</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12</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技术偏离情况：评价投标设备在技术参数指标方面是否存在负偏离情况，主要技术规格是否响应，根据投标文件对招标文件主要设备和配件技术性能要求及参数等的响应程度进行评议：完全符合技术指标得</w:t>
            </w:r>
            <w:r>
              <w:rPr>
                <w:rFonts w:hint="eastAsia" w:ascii="仿宋" w:hAnsi="仿宋" w:eastAsia="仿宋" w:cs="仿宋"/>
                <w:color w:val="auto"/>
                <w:kern w:val="0"/>
                <w:sz w:val="20"/>
                <w:szCs w:val="20"/>
                <w:highlight w:val="none"/>
                <w:lang w:val="en-US" w:eastAsia="zh-CN"/>
              </w:rPr>
              <w:t>12</w:t>
            </w:r>
            <w:r>
              <w:rPr>
                <w:rFonts w:hint="eastAsia" w:ascii="仿宋" w:hAnsi="仿宋" w:eastAsia="仿宋" w:cs="仿宋"/>
                <w:color w:val="auto"/>
                <w:kern w:val="0"/>
                <w:sz w:val="20"/>
                <w:szCs w:val="20"/>
                <w:highlight w:val="none"/>
              </w:rPr>
              <w:t>分；每负偏离一条打“★”条款技术参数的扣 2 分，负偏离一条</w:t>
            </w:r>
            <w:r>
              <w:rPr>
                <w:rFonts w:hint="eastAsia" w:ascii="仿宋" w:hAnsi="仿宋" w:eastAsia="仿宋" w:cs="仿宋"/>
                <w:color w:val="auto"/>
                <w:kern w:val="0"/>
                <w:sz w:val="20"/>
                <w:szCs w:val="20"/>
                <w:highlight w:val="none"/>
                <w:lang w:val="en-US" w:eastAsia="zh-CN"/>
              </w:rPr>
              <w:t>未</w:t>
            </w:r>
            <w:r>
              <w:rPr>
                <w:rFonts w:hint="eastAsia" w:ascii="仿宋" w:hAnsi="仿宋" w:eastAsia="仿宋" w:cs="仿宋"/>
                <w:color w:val="auto"/>
                <w:kern w:val="0"/>
                <w:sz w:val="20"/>
                <w:szCs w:val="20"/>
                <w:highlight w:val="none"/>
              </w:rPr>
              <w:t>打“★”条款技术参数的扣</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 xml:space="preserve"> 分</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扣完为止（0-</w:t>
            </w:r>
            <w:r>
              <w:rPr>
                <w:rFonts w:hint="eastAsia" w:ascii="仿宋" w:hAnsi="仿宋" w:eastAsia="仿宋" w:cs="仿宋"/>
                <w:color w:val="auto"/>
                <w:kern w:val="0"/>
                <w:sz w:val="20"/>
                <w:szCs w:val="20"/>
                <w:highlight w:val="none"/>
                <w:lang w:val="en-US" w:eastAsia="zh-CN"/>
              </w:rPr>
              <w:t>12</w:t>
            </w:r>
            <w:r>
              <w:rPr>
                <w:rFonts w:hint="eastAsia" w:ascii="仿宋" w:hAnsi="仿宋" w:eastAsia="仿宋" w:cs="仿宋"/>
                <w:color w:val="auto"/>
                <w:ker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施工方案</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9</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shd w:val="clear" w:color="auto" w:fill="auto"/>
              <w:spacing w:line="240" w:lineRule="auto"/>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rPr>
              <w:t>根据投标人的施工</w:t>
            </w:r>
            <w:r>
              <w:rPr>
                <w:rFonts w:hint="eastAsia" w:ascii="仿宋" w:hAnsi="仿宋" w:eastAsia="仿宋" w:cs="仿宋"/>
                <w:color w:val="auto"/>
                <w:kern w:val="0"/>
                <w:sz w:val="20"/>
                <w:szCs w:val="20"/>
                <w:highlight w:val="none"/>
                <w:lang w:eastAsia="zh-CN"/>
              </w:rPr>
              <w:t>组织设计</w:t>
            </w:r>
            <w:r>
              <w:rPr>
                <w:rFonts w:hint="eastAsia" w:ascii="仿宋" w:hAnsi="仿宋" w:eastAsia="仿宋" w:cs="仿宋"/>
                <w:color w:val="auto"/>
                <w:kern w:val="0"/>
                <w:sz w:val="20"/>
                <w:szCs w:val="20"/>
                <w:highlight w:val="none"/>
              </w:rPr>
              <w:t>及主要技术</w:t>
            </w:r>
            <w:r>
              <w:rPr>
                <w:rFonts w:hint="eastAsia" w:ascii="仿宋" w:hAnsi="仿宋" w:eastAsia="仿宋" w:cs="仿宋"/>
                <w:color w:val="auto"/>
                <w:kern w:val="0"/>
                <w:sz w:val="20"/>
                <w:szCs w:val="20"/>
                <w:highlight w:val="none"/>
                <w:lang w:eastAsia="zh-CN"/>
              </w:rPr>
              <w:t>方案：</w:t>
            </w:r>
          </w:p>
          <w:p>
            <w:pPr>
              <w:numPr>
                <w:ilvl w:val="0"/>
                <w:numId w:val="3"/>
              </w:numPr>
              <w:shd w:val="clear" w:color="auto" w:fill="auto"/>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项目组织管理机构及职责划</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完全符合得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部分</w:t>
            </w:r>
            <w:r>
              <w:rPr>
                <w:rFonts w:hint="eastAsia" w:ascii="仿宋" w:hAnsi="仿宋" w:eastAsia="仿宋" w:cs="仿宋"/>
                <w:color w:val="auto"/>
                <w:kern w:val="0"/>
                <w:sz w:val="18"/>
                <w:szCs w:val="18"/>
                <w:highlight w:val="none"/>
              </w:rPr>
              <w:t>符合得</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分，不符合不得分</w:t>
            </w:r>
            <w:r>
              <w:rPr>
                <w:rFonts w:hint="eastAsia" w:ascii="仿宋" w:hAnsi="仿宋" w:eastAsia="仿宋" w:cs="仿宋"/>
                <w:color w:val="auto"/>
                <w:sz w:val="18"/>
                <w:szCs w:val="18"/>
                <w:highlight w:val="none"/>
                <w:lang w:val="en-US" w:eastAsia="zh-CN"/>
              </w:rPr>
              <w:t xml:space="preserve"> ；</w:t>
            </w:r>
          </w:p>
          <w:p>
            <w:pPr>
              <w:numPr>
                <w:ilvl w:val="0"/>
                <w:numId w:val="3"/>
              </w:numPr>
              <w:shd w:val="clear" w:color="auto" w:fill="auto"/>
              <w:spacing w:line="240" w:lineRule="auto"/>
              <w:rPr>
                <w:rFonts w:hint="eastAsia"/>
                <w:color w:val="auto"/>
                <w:sz w:val="15"/>
                <w:szCs w:val="18"/>
                <w:highlight w:val="none"/>
              </w:rPr>
            </w:pPr>
            <w:r>
              <w:rPr>
                <w:rFonts w:hint="eastAsia" w:ascii="仿宋" w:hAnsi="仿宋" w:eastAsia="仿宋" w:cs="仿宋"/>
                <w:color w:val="auto"/>
                <w:sz w:val="18"/>
                <w:szCs w:val="18"/>
                <w:highlight w:val="none"/>
              </w:rPr>
              <w:t>施工进度计划及劳动力安排</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完全符合得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部分</w:t>
            </w:r>
            <w:r>
              <w:rPr>
                <w:rFonts w:hint="eastAsia" w:ascii="仿宋" w:hAnsi="仿宋" w:eastAsia="仿宋" w:cs="仿宋"/>
                <w:color w:val="auto"/>
                <w:kern w:val="0"/>
                <w:sz w:val="18"/>
                <w:szCs w:val="18"/>
                <w:highlight w:val="none"/>
              </w:rPr>
              <w:t>符合得</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分，不符合不得分</w:t>
            </w:r>
            <w:r>
              <w:rPr>
                <w:rFonts w:hint="eastAsia" w:ascii="仿宋" w:hAnsi="仿宋" w:eastAsia="仿宋" w:cs="仿宋"/>
                <w:color w:val="auto"/>
                <w:sz w:val="18"/>
                <w:szCs w:val="18"/>
                <w:highlight w:val="none"/>
                <w:lang w:val="en-US" w:eastAsia="zh-CN"/>
              </w:rPr>
              <w:t xml:space="preserve"> ；</w:t>
            </w:r>
          </w:p>
          <w:p>
            <w:pPr>
              <w:numPr>
                <w:ilvl w:val="0"/>
                <w:numId w:val="3"/>
              </w:numPr>
              <w:shd w:val="clear" w:color="auto" w:fill="auto"/>
              <w:spacing w:line="240" w:lineRule="auto"/>
              <w:rPr>
                <w:rFonts w:hint="eastAsia"/>
                <w:color w:val="auto"/>
                <w:sz w:val="15"/>
                <w:szCs w:val="18"/>
                <w:highlight w:val="none"/>
              </w:rPr>
            </w:pPr>
            <w:r>
              <w:rPr>
                <w:rFonts w:hint="eastAsia" w:ascii="仿宋" w:hAnsi="仿宋" w:eastAsia="仿宋" w:cs="仿宋"/>
                <w:color w:val="auto"/>
                <w:sz w:val="18"/>
                <w:szCs w:val="18"/>
                <w:highlight w:val="none"/>
              </w:rPr>
              <w:t>针对本工程特点、重点、难点的分析及应对措施</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完全符合得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部分</w:t>
            </w:r>
            <w:r>
              <w:rPr>
                <w:rFonts w:hint="eastAsia" w:ascii="仿宋" w:hAnsi="仿宋" w:eastAsia="仿宋" w:cs="仿宋"/>
                <w:color w:val="auto"/>
                <w:kern w:val="0"/>
                <w:sz w:val="18"/>
                <w:szCs w:val="18"/>
                <w:highlight w:val="none"/>
              </w:rPr>
              <w:t>符合得</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分，不符合不得分</w:t>
            </w:r>
            <w:r>
              <w:rPr>
                <w:rFonts w:hint="eastAsia" w:ascii="仿宋" w:hAnsi="仿宋" w:eastAsia="仿宋" w:cs="仿宋"/>
                <w:color w:val="auto"/>
                <w:sz w:val="18"/>
                <w:szCs w:val="18"/>
                <w:highlight w:val="none"/>
                <w:lang w:val="en-US" w:eastAsia="zh-CN"/>
              </w:rPr>
              <w:t xml:space="preserve"> ；</w:t>
            </w:r>
          </w:p>
          <w:p>
            <w:pPr>
              <w:numPr>
                <w:ilvl w:val="0"/>
                <w:numId w:val="3"/>
              </w:numPr>
              <w:shd w:val="clear" w:color="auto" w:fill="auto"/>
              <w:spacing w:line="240" w:lineRule="auto"/>
              <w:rPr>
                <w:rFonts w:hint="eastAsia"/>
                <w:color w:val="auto"/>
                <w:sz w:val="15"/>
                <w:szCs w:val="18"/>
                <w:highlight w:val="none"/>
              </w:rPr>
            </w:pPr>
            <w:r>
              <w:rPr>
                <w:rFonts w:hint="eastAsia" w:ascii="仿宋" w:hAnsi="仿宋" w:eastAsia="仿宋" w:cs="仿宋"/>
                <w:color w:val="auto"/>
                <w:sz w:val="18"/>
                <w:szCs w:val="18"/>
                <w:highlight w:val="none"/>
              </w:rPr>
              <w:t>新冠疫情期间防控措施</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完全符合得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部分</w:t>
            </w:r>
            <w:r>
              <w:rPr>
                <w:rFonts w:hint="eastAsia" w:ascii="仿宋" w:hAnsi="仿宋" w:eastAsia="仿宋" w:cs="仿宋"/>
                <w:color w:val="auto"/>
                <w:kern w:val="0"/>
                <w:sz w:val="18"/>
                <w:szCs w:val="18"/>
                <w:highlight w:val="none"/>
              </w:rPr>
              <w:t>符合得</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分，不符合不得分</w:t>
            </w:r>
            <w:r>
              <w:rPr>
                <w:rFonts w:hint="eastAsia" w:ascii="仿宋" w:hAnsi="仿宋" w:eastAsia="仿宋" w:cs="仿宋"/>
                <w:color w:val="auto"/>
                <w:sz w:val="18"/>
                <w:szCs w:val="18"/>
                <w:highlight w:val="none"/>
                <w:lang w:val="en-US" w:eastAsia="zh-CN"/>
              </w:rPr>
              <w:t xml:space="preserve"> ；</w:t>
            </w:r>
          </w:p>
          <w:p>
            <w:pPr>
              <w:numPr>
                <w:ilvl w:val="0"/>
                <w:numId w:val="3"/>
              </w:numPr>
              <w:shd w:val="clear" w:color="auto" w:fill="auto"/>
              <w:spacing w:line="240" w:lineRule="auto"/>
              <w:rPr>
                <w:rFonts w:hint="eastAsia"/>
                <w:color w:val="auto"/>
                <w:sz w:val="15"/>
                <w:szCs w:val="18"/>
                <w:highlight w:val="none"/>
              </w:rPr>
            </w:pPr>
            <w:r>
              <w:rPr>
                <w:rFonts w:hint="eastAsia" w:ascii="仿宋" w:hAnsi="仿宋" w:eastAsia="仿宋" w:cs="仿宋"/>
                <w:color w:val="auto"/>
                <w:kern w:val="0"/>
                <w:sz w:val="20"/>
                <w:szCs w:val="20"/>
                <w:highlight w:val="none"/>
              </w:rPr>
              <w:t>投标人</w:t>
            </w:r>
            <w:r>
              <w:rPr>
                <w:rFonts w:hint="eastAsia" w:ascii="仿宋" w:hAnsi="仿宋" w:eastAsia="仿宋" w:cs="仿宋"/>
                <w:color w:val="auto"/>
                <w:kern w:val="0"/>
                <w:sz w:val="20"/>
                <w:szCs w:val="20"/>
                <w:highlight w:val="none"/>
                <w:lang w:val="en-US" w:eastAsia="zh-CN"/>
              </w:rPr>
              <w:t>或制造商拟派的</w:t>
            </w:r>
            <w:r>
              <w:rPr>
                <w:rFonts w:hint="eastAsia" w:ascii="仿宋" w:hAnsi="仿宋" w:eastAsia="仿宋" w:cs="仿宋"/>
                <w:color w:val="auto"/>
                <w:kern w:val="0"/>
                <w:sz w:val="20"/>
                <w:szCs w:val="20"/>
                <w:highlight w:val="none"/>
              </w:rPr>
              <w:t>项目</w:t>
            </w:r>
            <w:r>
              <w:rPr>
                <w:rFonts w:hint="eastAsia" w:ascii="仿宋" w:hAnsi="仿宋" w:eastAsia="仿宋" w:cs="仿宋"/>
                <w:color w:val="auto"/>
                <w:kern w:val="0"/>
                <w:sz w:val="20"/>
                <w:szCs w:val="20"/>
                <w:highlight w:val="none"/>
                <w:lang w:eastAsia="zh-CN"/>
              </w:rPr>
              <w:t>负责人具有</w:t>
            </w:r>
            <w:r>
              <w:rPr>
                <w:rFonts w:hint="eastAsia" w:ascii="仿宋" w:hAnsi="仿宋" w:eastAsia="仿宋" w:cs="仿宋"/>
                <w:color w:val="auto"/>
                <w:kern w:val="0"/>
                <w:sz w:val="20"/>
                <w:szCs w:val="20"/>
                <w:highlight w:val="none"/>
              </w:rPr>
              <w:t>机电安装</w:t>
            </w:r>
            <w:r>
              <w:rPr>
                <w:rFonts w:hint="eastAsia" w:ascii="仿宋" w:hAnsi="仿宋" w:eastAsia="仿宋" w:cs="仿宋"/>
                <w:color w:val="auto"/>
                <w:kern w:val="0"/>
                <w:sz w:val="20"/>
                <w:szCs w:val="20"/>
                <w:highlight w:val="none"/>
                <w:lang w:eastAsia="zh-CN"/>
              </w:rPr>
              <w:t>专业</w:t>
            </w:r>
            <w:r>
              <w:rPr>
                <w:rFonts w:hint="eastAsia" w:ascii="仿宋" w:hAnsi="仿宋" w:eastAsia="仿宋" w:cs="仿宋"/>
                <w:color w:val="auto"/>
                <w:kern w:val="0"/>
                <w:sz w:val="20"/>
                <w:szCs w:val="20"/>
                <w:highlight w:val="none"/>
              </w:rPr>
              <w:t>建造师</w:t>
            </w:r>
            <w:r>
              <w:rPr>
                <w:rFonts w:hint="eastAsia" w:ascii="仿宋" w:hAnsi="仿宋" w:eastAsia="仿宋" w:cs="仿宋"/>
                <w:color w:val="auto"/>
                <w:kern w:val="0"/>
                <w:sz w:val="20"/>
                <w:szCs w:val="20"/>
                <w:highlight w:val="none"/>
                <w:lang w:eastAsia="zh-CN"/>
              </w:rPr>
              <w:t>二级及以上证书同时具有</w:t>
            </w:r>
            <w:r>
              <w:rPr>
                <w:rFonts w:hint="eastAsia" w:ascii="仿宋" w:hAnsi="仿宋" w:eastAsia="仿宋" w:cs="仿宋"/>
                <w:color w:val="auto"/>
                <w:kern w:val="0"/>
                <w:sz w:val="20"/>
                <w:szCs w:val="20"/>
                <w:highlight w:val="none"/>
              </w:rPr>
              <w:t>安全考核合格证书（B证）得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p>
          <w:p>
            <w:pPr>
              <w:widowControl/>
              <w:shd w:val="clear" w:color="auto" w:fill="auto"/>
              <w:jc w:val="left"/>
              <w:rPr>
                <w:rFonts w:hint="eastAsia" w:ascii="仿宋" w:hAnsi="仿宋" w:eastAsia="仿宋" w:cs="仿宋"/>
                <w:color w:val="auto"/>
                <w:kern w:val="0"/>
                <w:sz w:val="20"/>
                <w:szCs w:val="20"/>
                <w:highlight w:val="yellow"/>
              </w:rPr>
            </w:pPr>
            <w:r>
              <w:rPr>
                <w:rFonts w:hint="eastAsia" w:ascii="仿宋" w:hAnsi="仿宋" w:eastAsia="仿宋" w:cs="仿宋"/>
                <w:color w:val="auto"/>
                <w:kern w:val="0"/>
                <w:sz w:val="20"/>
                <w:szCs w:val="20"/>
                <w:highlight w:val="none"/>
                <w:lang w:val="en-US" w:eastAsia="zh-CN"/>
              </w:rPr>
              <w:t>(</w:t>
            </w:r>
            <w:r>
              <w:rPr>
                <w:rFonts w:hint="eastAsia" w:ascii="仿宋" w:hAnsi="仿宋" w:eastAsia="仿宋" w:cs="仿宋"/>
                <w:color w:val="auto"/>
                <w:kern w:val="0"/>
                <w:sz w:val="20"/>
                <w:szCs w:val="20"/>
                <w:highlight w:val="none"/>
                <w:lang w:eastAsia="zh-CN"/>
              </w:rPr>
              <w:t>投标文件中提供人员证书复印件或打印扫描件并加盖公章，否则不得分。</w:t>
            </w:r>
            <w:r>
              <w:rPr>
                <w:rFonts w:hint="eastAsia" w:ascii="仿宋" w:hAnsi="仿宋" w:eastAsia="仿宋" w:cs="仿宋"/>
                <w:color w:val="auto"/>
                <w:kern w:val="0"/>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售后服务方案</w:t>
            </w:r>
          </w:p>
        </w:tc>
        <w:tc>
          <w:tcPr>
            <w:tcW w:w="1134" w:type="dxa"/>
            <w:tcBorders>
              <w:top w:val="nil"/>
              <w:left w:val="nil"/>
              <w:bottom w:val="single" w:color="auto" w:sz="4" w:space="0"/>
              <w:right w:val="single" w:color="auto" w:sz="4" w:space="0"/>
            </w:tcBorders>
            <w:vAlign w:val="center"/>
          </w:tcPr>
          <w:p>
            <w:pPr>
              <w:widowControl/>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numPr>
                <w:ilvl w:val="0"/>
                <w:numId w:val="4"/>
              </w:numPr>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根据投标人的</w:t>
            </w:r>
            <w:r>
              <w:rPr>
                <w:rFonts w:hint="eastAsia" w:ascii="仿宋" w:hAnsi="仿宋" w:eastAsia="仿宋" w:cs="仿宋"/>
                <w:color w:val="auto"/>
                <w:kern w:val="0"/>
                <w:sz w:val="20"/>
                <w:szCs w:val="20"/>
                <w:highlight w:val="none"/>
                <w:lang w:val="en-US" w:eastAsia="zh-CN"/>
              </w:rPr>
              <w:t>售后服务体系及保障能力，</w:t>
            </w:r>
            <w:r>
              <w:rPr>
                <w:rFonts w:hint="eastAsia" w:ascii="仿宋" w:hAnsi="仿宋" w:eastAsia="仿宋" w:cs="仿宋"/>
                <w:color w:val="auto"/>
                <w:kern w:val="0"/>
                <w:sz w:val="20"/>
                <w:szCs w:val="20"/>
                <w:highlight w:val="none"/>
              </w:rPr>
              <w:t>进行综合评定，优得</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分，良得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p>
          <w:p>
            <w:pPr>
              <w:widowControl/>
              <w:numPr>
                <w:ilvl w:val="0"/>
                <w:numId w:val="4"/>
              </w:numPr>
              <w:shd w:val="clear" w:color="auto" w:fill="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根据投标人售后服务内容，</w:t>
            </w:r>
            <w:r>
              <w:rPr>
                <w:rFonts w:hint="eastAsia" w:ascii="仿宋" w:hAnsi="仿宋" w:eastAsia="仿宋" w:cs="仿宋"/>
                <w:color w:val="auto"/>
                <w:kern w:val="0"/>
                <w:sz w:val="20"/>
                <w:szCs w:val="20"/>
                <w:highlight w:val="none"/>
              </w:rPr>
              <w:t>综合评定，优得</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分，良得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p>
          <w:p>
            <w:pPr>
              <w:widowControl/>
              <w:shd w:val="clear" w:color="auto" w:fill="auto"/>
              <w:jc w:val="left"/>
              <w:rPr>
                <w:rFonts w:hint="eastAsia" w:ascii="仿宋" w:hAnsi="仿宋" w:eastAsia="仿宋" w:cs="仿宋"/>
                <w:color w:val="auto"/>
                <w:highlight w:val="yellow"/>
                <w:lang w:val="en-US" w:eastAsia="zh-CN"/>
              </w:rPr>
            </w:pPr>
            <w:r>
              <w:rPr>
                <w:rFonts w:hint="eastAsia" w:ascii="仿宋" w:hAnsi="仿宋" w:eastAsia="仿宋" w:cs="仿宋"/>
                <w:color w:val="auto"/>
                <w:kern w:val="0"/>
                <w:sz w:val="20"/>
                <w:szCs w:val="20"/>
                <w:highlight w:val="none"/>
                <w:lang w:val="en-US" w:eastAsia="zh-CN"/>
              </w:rPr>
              <w:t>3、根据投标人售后服务形式，</w:t>
            </w:r>
            <w:r>
              <w:rPr>
                <w:rFonts w:hint="eastAsia" w:ascii="仿宋" w:hAnsi="仿宋" w:eastAsia="仿宋" w:cs="仿宋"/>
                <w:color w:val="auto"/>
                <w:kern w:val="0"/>
                <w:sz w:val="20"/>
                <w:szCs w:val="20"/>
                <w:highlight w:val="none"/>
              </w:rPr>
              <w:t>进行综合评定，优得</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分，良得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资信及商务 （</w:t>
            </w:r>
            <w:r>
              <w:rPr>
                <w:rFonts w:hint="eastAsia" w:ascii="仿宋" w:hAnsi="仿宋" w:eastAsia="仿宋" w:cs="仿宋"/>
                <w:color w:val="auto"/>
                <w:kern w:val="0"/>
                <w:sz w:val="20"/>
                <w:szCs w:val="20"/>
                <w:highlight w:val="none"/>
                <w:lang w:val="en-US" w:eastAsia="zh-CN"/>
              </w:rPr>
              <w:t>16</w:t>
            </w:r>
            <w:r>
              <w:rPr>
                <w:rFonts w:hint="eastAsia" w:ascii="仿宋" w:hAnsi="仿宋" w:eastAsia="仿宋" w:cs="仿宋"/>
                <w:color w:val="auto"/>
                <w:kern w:val="0"/>
                <w:sz w:val="20"/>
                <w:szCs w:val="20"/>
                <w:highlight w:val="none"/>
              </w:rPr>
              <w:t>分）</w:t>
            </w:r>
          </w:p>
        </w:tc>
        <w:tc>
          <w:tcPr>
            <w:tcW w:w="155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维修和服务能力</w:t>
            </w:r>
          </w:p>
        </w:tc>
        <w:tc>
          <w:tcPr>
            <w:tcW w:w="113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制造商对质保期内和质保期后的维修和服务能力</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rPr>
              <w:t>1. 售后响应速度2小时内得1分</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zh-CN"/>
              </w:rPr>
              <w:t>质保期年限</w:t>
            </w:r>
          </w:p>
        </w:tc>
        <w:tc>
          <w:tcPr>
            <w:tcW w:w="113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pStyle w:val="82"/>
              <w:ind w:left="0" w:leftChars="0" w:firstLine="0"/>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zh-CN"/>
              </w:rPr>
              <w:t>主机及水箱质保期</w:t>
            </w:r>
            <w:r>
              <w:rPr>
                <w:rFonts w:hint="eastAsia" w:ascii="仿宋" w:hAnsi="仿宋" w:eastAsia="仿宋" w:cs="仿宋"/>
                <w:color w:val="auto"/>
                <w:kern w:val="0"/>
                <w:sz w:val="20"/>
                <w:szCs w:val="20"/>
                <w:highlight w:val="none"/>
              </w:rPr>
              <w:t>承诺自移交采购人并通过开机调试之日起整机质保2年,每增加 6个月得</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分，本项最高得</w:t>
            </w: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 xml:space="preserve">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同类项目业绩情况</w:t>
            </w:r>
          </w:p>
        </w:tc>
        <w:tc>
          <w:tcPr>
            <w:tcW w:w="113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widowControl/>
              <w:spacing w:after="240"/>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投标人</w:t>
            </w:r>
            <w:r>
              <w:rPr>
                <w:rFonts w:hint="eastAsia" w:ascii="仿宋" w:hAnsi="仿宋" w:eastAsia="仿宋" w:cs="仿宋"/>
                <w:color w:val="auto"/>
                <w:kern w:val="0"/>
                <w:sz w:val="20"/>
                <w:szCs w:val="20"/>
                <w:highlight w:val="none"/>
                <w:lang w:val="en-US" w:eastAsia="zh-CN"/>
              </w:rPr>
              <w:t>或制造商</w:t>
            </w:r>
            <w:r>
              <w:rPr>
                <w:rFonts w:hint="eastAsia" w:ascii="仿宋" w:hAnsi="仿宋" w:eastAsia="仿宋" w:cs="仿宋"/>
                <w:color w:val="auto"/>
                <w:kern w:val="0"/>
                <w:sz w:val="20"/>
                <w:szCs w:val="20"/>
                <w:highlight w:val="none"/>
              </w:rPr>
              <w:t>自20</w:t>
            </w:r>
            <w:r>
              <w:rPr>
                <w:rFonts w:hint="eastAsia" w:ascii="仿宋" w:hAnsi="仿宋" w:eastAsia="仿宋" w:cs="仿宋"/>
                <w:color w:val="auto"/>
                <w:kern w:val="0"/>
                <w:sz w:val="20"/>
                <w:szCs w:val="20"/>
                <w:highlight w:val="none"/>
                <w:lang w:val="en-US" w:eastAsia="zh-CN"/>
              </w:rPr>
              <w:t>19</w:t>
            </w:r>
            <w:r>
              <w:rPr>
                <w:rFonts w:hint="eastAsia" w:ascii="仿宋" w:hAnsi="仿宋" w:eastAsia="仿宋" w:cs="仿宋"/>
                <w:color w:val="auto"/>
                <w:kern w:val="0"/>
                <w:sz w:val="20"/>
                <w:szCs w:val="20"/>
                <w:highlight w:val="none"/>
              </w:rPr>
              <w:t>年 1 月 1 日以来</w:t>
            </w:r>
            <w:r>
              <w:rPr>
                <w:rFonts w:hint="eastAsia" w:ascii="仿宋" w:hAnsi="仿宋" w:eastAsia="仿宋" w:cs="仿宋"/>
                <w:color w:val="auto"/>
                <w:kern w:val="0"/>
                <w:sz w:val="20"/>
                <w:szCs w:val="20"/>
                <w:highlight w:val="none"/>
                <w:lang w:eastAsia="zh-CN"/>
              </w:rPr>
              <w:t>承担</w:t>
            </w:r>
            <w:r>
              <w:rPr>
                <w:rFonts w:hint="eastAsia" w:ascii="仿宋" w:hAnsi="仿宋" w:eastAsia="仿宋" w:cs="仿宋"/>
                <w:color w:val="auto"/>
                <w:kern w:val="0"/>
                <w:sz w:val="20"/>
                <w:szCs w:val="20"/>
                <w:highlight w:val="none"/>
              </w:rPr>
              <w:t>过类似空气源热水器业绩的，</w:t>
            </w:r>
            <w:r>
              <w:rPr>
                <w:rFonts w:hint="eastAsia" w:ascii="仿宋" w:hAnsi="仿宋" w:eastAsia="仿宋" w:cs="仿宋"/>
                <w:color w:val="auto"/>
                <w:kern w:val="0"/>
                <w:sz w:val="20"/>
                <w:szCs w:val="20"/>
                <w:highlight w:val="none"/>
                <w:lang w:eastAsia="zh-CN"/>
              </w:rPr>
              <w:t>有一个</w:t>
            </w:r>
            <w:r>
              <w:rPr>
                <w:rFonts w:hint="eastAsia" w:ascii="仿宋" w:hAnsi="仿宋" w:eastAsia="仿宋" w:cs="仿宋"/>
                <w:color w:val="auto"/>
                <w:kern w:val="0"/>
                <w:sz w:val="20"/>
                <w:szCs w:val="20"/>
                <w:highlight w:val="none"/>
              </w:rPr>
              <w:t>得</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分，不可重复提交；最多</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eastAsia="zh-CN"/>
              </w:rPr>
              <w:t>投标文件中提</w:t>
            </w:r>
            <w:r>
              <w:rPr>
                <w:rFonts w:hint="eastAsia" w:ascii="仿宋" w:hAnsi="仿宋" w:eastAsia="仿宋" w:cs="仿宋"/>
                <w:color w:val="auto"/>
                <w:kern w:val="0"/>
                <w:sz w:val="20"/>
                <w:szCs w:val="20"/>
                <w:highlight w:val="none"/>
              </w:rPr>
              <w:t>供合同</w:t>
            </w:r>
            <w:r>
              <w:rPr>
                <w:rFonts w:hint="eastAsia" w:ascii="仿宋" w:hAnsi="仿宋" w:eastAsia="仿宋" w:cs="仿宋"/>
                <w:color w:val="auto"/>
                <w:kern w:val="0"/>
                <w:sz w:val="20"/>
                <w:szCs w:val="20"/>
                <w:highlight w:val="none"/>
                <w:lang w:eastAsia="zh-CN"/>
              </w:rPr>
              <w:t>复印件或打印</w:t>
            </w:r>
            <w:r>
              <w:rPr>
                <w:rFonts w:hint="eastAsia" w:ascii="仿宋" w:hAnsi="仿宋" w:eastAsia="仿宋" w:cs="仿宋"/>
                <w:color w:val="auto"/>
                <w:kern w:val="0"/>
                <w:sz w:val="20"/>
                <w:szCs w:val="20"/>
                <w:highlight w:val="none"/>
              </w:rPr>
              <w:t>扫描件并加盖公章</w:t>
            </w:r>
            <w:r>
              <w:rPr>
                <w:rFonts w:hint="eastAsia" w:ascii="仿宋" w:hAnsi="仿宋" w:eastAsia="仿宋" w:cs="仿宋"/>
                <w:color w:val="auto"/>
                <w:kern w:val="0"/>
                <w:sz w:val="20"/>
                <w:szCs w:val="20"/>
                <w:highlight w:val="none"/>
                <w:lang w:eastAsia="zh-CN"/>
              </w:rPr>
              <w:t>，否则不得分。</w:t>
            </w:r>
            <w:r>
              <w:rPr>
                <w:rFonts w:hint="eastAsia" w:ascii="仿宋" w:hAnsi="仿宋" w:eastAsia="仿宋" w:cs="仿宋"/>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411"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c>
          <w:tcPr>
            <w:tcW w:w="155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体系认证</w:t>
            </w:r>
          </w:p>
        </w:tc>
        <w:tc>
          <w:tcPr>
            <w:tcW w:w="113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6</w:t>
            </w:r>
            <w:r>
              <w:rPr>
                <w:rFonts w:hint="eastAsia" w:ascii="仿宋" w:hAnsi="仿宋" w:eastAsia="仿宋" w:cs="仿宋"/>
                <w:color w:val="auto"/>
                <w:kern w:val="0"/>
                <w:sz w:val="20"/>
                <w:szCs w:val="20"/>
                <w:highlight w:val="none"/>
              </w:rPr>
              <w:t>分</w:t>
            </w:r>
          </w:p>
        </w:tc>
        <w:tc>
          <w:tcPr>
            <w:tcW w:w="5103" w:type="dxa"/>
            <w:tcBorders>
              <w:top w:val="nil"/>
              <w:left w:val="nil"/>
              <w:bottom w:val="single" w:color="auto" w:sz="4" w:space="0"/>
              <w:right w:val="single" w:color="auto" w:sz="4" w:space="0"/>
            </w:tcBorders>
            <w:vAlign w:val="center"/>
          </w:tcPr>
          <w:p>
            <w:pPr>
              <w:pStyle w:val="82"/>
              <w:ind w:left="0" w:leftChars="0" w:firstLine="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投标</w:t>
            </w:r>
            <w:r>
              <w:rPr>
                <w:rFonts w:hint="eastAsia" w:ascii="仿宋" w:hAnsi="仿宋" w:eastAsia="仿宋" w:cs="仿宋"/>
                <w:color w:val="auto"/>
                <w:kern w:val="0"/>
                <w:sz w:val="20"/>
                <w:szCs w:val="20"/>
                <w:highlight w:val="none"/>
                <w:lang w:val="en-US" w:eastAsia="zh-CN"/>
              </w:rPr>
              <w:t>人或制造商</w:t>
            </w:r>
            <w:r>
              <w:rPr>
                <w:rFonts w:hint="eastAsia" w:ascii="仿宋" w:hAnsi="仿宋" w:eastAsia="仿宋" w:cs="仿宋"/>
                <w:color w:val="auto"/>
                <w:kern w:val="0"/>
                <w:sz w:val="20"/>
                <w:szCs w:val="20"/>
                <w:highlight w:val="none"/>
              </w:rPr>
              <w:t>具有质量管理体系认证、</w:t>
            </w:r>
            <w:r>
              <w:rPr>
                <w:rFonts w:hint="eastAsia" w:ascii="仿宋" w:hAnsi="仿宋" w:eastAsia="仿宋" w:cs="仿宋"/>
                <w:color w:val="auto"/>
                <w:kern w:val="0"/>
                <w:sz w:val="20"/>
                <w:szCs w:val="20"/>
                <w:highlight w:val="none"/>
                <w:lang w:val="en-US" w:eastAsia="zh-CN"/>
              </w:rPr>
              <w:t xml:space="preserve"> </w:t>
            </w:r>
            <w:r>
              <w:rPr>
                <w:rFonts w:hint="eastAsia" w:ascii="仿宋" w:hAnsi="仿宋" w:eastAsia="仿宋" w:cs="仿宋"/>
                <w:color w:val="auto"/>
                <w:kern w:val="0"/>
                <w:sz w:val="20"/>
                <w:szCs w:val="20"/>
                <w:highlight w:val="none"/>
              </w:rPr>
              <w:t>环境管理体系认证、</w:t>
            </w:r>
            <w:r>
              <w:rPr>
                <w:rFonts w:hint="eastAsia" w:ascii="仿宋" w:hAnsi="仿宋" w:eastAsia="仿宋" w:cs="仿宋"/>
                <w:color w:val="auto"/>
                <w:kern w:val="0"/>
                <w:sz w:val="20"/>
                <w:szCs w:val="20"/>
                <w:highlight w:val="none"/>
                <w:lang w:val="en-US" w:eastAsia="zh-CN"/>
              </w:rPr>
              <w:t xml:space="preserve"> </w:t>
            </w:r>
            <w:r>
              <w:rPr>
                <w:rFonts w:hint="eastAsia" w:ascii="仿宋" w:hAnsi="仿宋" w:eastAsia="仿宋" w:cs="仿宋"/>
                <w:color w:val="auto"/>
                <w:kern w:val="0"/>
                <w:sz w:val="20"/>
                <w:szCs w:val="20"/>
                <w:highlight w:val="none"/>
              </w:rPr>
              <w:t>职业</w:t>
            </w:r>
            <w:r>
              <w:rPr>
                <w:rFonts w:hint="eastAsia" w:ascii="仿宋" w:hAnsi="仿宋" w:eastAsia="仿宋" w:cs="仿宋"/>
                <w:color w:val="auto"/>
                <w:kern w:val="0"/>
                <w:sz w:val="20"/>
                <w:szCs w:val="20"/>
                <w:highlight w:val="none"/>
                <w:lang w:val="en-US" w:eastAsia="zh-CN"/>
              </w:rPr>
              <w:t>健康</w:t>
            </w:r>
            <w:r>
              <w:rPr>
                <w:rFonts w:hint="eastAsia" w:ascii="仿宋" w:hAnsi="仿宋" w:eastAsia="仿宋" w:cs="仿宋"/>
                <w:color w:val="auto"/>
                <w:kern w:val="0"/>
                <w:sz w:val="20"/>
                <w:szCs w:val="20"/>
                <w:highlight w:val="none"/>
              </w:rPr>
              <w:t>安全管理体系认证证书，</w:t>
            </w:r>
            <w:r>
              <w:rPr>
                <w:rFonts w:hint="eastAsia" w:ascii="仿宋" w:hAnsi="仿宋" w:eastAsia="仿宋" w:cs="仿宋"/>
                <w:color w:val="auto"/>
                <w:kern w:val="0"/>
                <w:sz w:val="20"/>
                <w:szCs w:val="20"/>
                <w:highlight w:val="none"/>
                <w:lang w:eastAsia="zh-CN"/>
              </w:rPr>
              <w:t>且认证范围为</w:t>
            </w:r>
            <w:r>
              <w:rPr>
                <w:rFonts w:hint="eastAsia" w:ascii="仿宋" w:hAnsi="仿宋" w:eastAsia="仿宋" w:cs="仿宋"/>
                <w:color w:val="auto"/>
                <w:kern w:val="0"/>
                <w:sz w:val="20"/>
                <w:szCs w:val="20"/>
                <w:highlight w:val="none"/>
              </w:rPr>
              <w:t>空气能</w:t>
            </w:r>
            <w:r>
              <w:rPr>
                <w:rFonts w:hint="eastAsia" w:ascii="仿宋" w:hAnsi="仿宋" w:eastAsia="仿宋" w:cs="仿宋"/>
                <w:color w:val="auto"/>
                <w:kern w:val="0"/>
                <w:sz w:val="20"/>
                <w:szCs w:val="20"/>
                <w:highlight w:val="none"/>
                <w:lang w:val="en-US" w:eastAsia="zh-CN"/>
              </w:rPr>
              <w:t>热泵热水器</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每提供1个得</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eastAsia="zh-CN"/>
              </w:rPr>
              <w:t>，本项最多得</w:t>
            </w:r>
            <w:r>
              <w:rPr>
                <w:rFonts w:hint="eastAsia" w:ascii="仿宋" w:hAnsi="仿宋" w:eastAsia="仿宋" w:cs="仿宋"/>
                <w:color w:val="auto"/>
                <w:kern w:val="0"/>
                <w:sz w:val="20"/>
                <w:szCs w:val="20"/>
                <w:highlight w:val="none"/>
                <w:lang w:val="en-US" w:eastAsia="zh-CN"/>
              </w:rPr>
              <w:t>6分</w:t>
            </w:r>
            <w:r>
              <w:rPr>
                <w:rFonts w:hint="eastAsia" w:ascii="仿宋" w:hAnsi="仿宋" w:eastAsia="仿宋" w:cs="仿宋"/>
                <w:color w:val="auto"/>
                <w:kern w:val="0"/>
                <w:sz w:val="20"/>
                <w:szCs w:val="20"/>
                <w:highlight w:val="none"/>
              </w:rPr>
              <w:t>。</w:t>
            </w:r>
          </w:p>
          <w:p>
            <w:pPr>
              <w:pStyle w:val="82"/>
              <w:ind w:left="0" w:leftChars="0" w:firstLine="0"/>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（投标文件中提供有效期范围内的认证证书复印件或打印扫描件，否则不得分。）</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tabs>
          <w:tab w:val="right" w:pos="8279"/>
        </w:tabs>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highlight w:val="none"/>
        </w:rPr>
        <w:t>二、评标标准</w:t>
      </w:r>
      <w:r>
        <w:rPr>
          <w:rFonts w:hint="eastAsia" w:ascii="仿宋" w:hAnsi="仿宋" w:eastAsia="仿宋" w:cs="仿宋"/>
          <w:b/>
          <w:color w:val="auto"/>
          <w:sz w:val="32"/>
        </w:rPr>
        <w:tab/>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4.2.12投标人仅提交备份投标</w:t>
      </w:r>
      <w:r>
        <w:rPr>
          <w:rFonts w:hint="eastAsia" w:ascii="仿宋" w:hAnsi="仿宋" w:eastAsia="仿宋" w:cs="仿宋"/>
          <w:color w:val="auto"/>
          <w:kern w:val="0"/>
          <w:sz w:val="24"/>
          <w:highlight w:val="none"/>
        </w:rPr>
        <w:t>文件，未在电子交易平台传输递交投标文件的，投标无效；</w:t>
      </w:r>
    </w:p>
    <w:p>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w:t>
      </w:r>
      <w:r>
        <w:rPr>
          <w:rFonts w:hint="eastAsia" w:ascii="仿宋" w:eastAsia="仿宋" w:cs="仿宋"/>
          <w:b w:val="0"/>
          <w:bCs w:val="0"/>
          <w:color w:val="auto"/>
          <w:kern w:val="0"/>
          <w:sz w:val="24"/>
          <w:szCs w:val="24"/>
          <w:highlight w:val="none"/>
          <w:lang w:val="en-US" w:eastAsia="zh-CN"/>
        </w:rPr>
        <w:t>的</w:t>
      </w:r>
      <w:r>
        <w:rPr>
          <w:rFonts w:hint="eastAsia" w:cs="Arial"/>
          <w:b w:val="0"/>
          <w:bCs w:val="0"/>
          <w:color w:val="auto"/>
          <w:kern w:val="0"/>
          <w:sz w:val="24"/>
          <w:szCs w:val="24"/>
          <w:highlight w:val="none"/>
          <w:lang w:val="en-US"/>
        </w:rPr>
        <w:t>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8"/>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8"/>
        <w:snapToGrid w:val="0"/>
        <w:spacing w:line="360" w:lineRule="auto"/>
        <w:ind w:firstLine="0" w:firstLineChars="0"/>
        <w:rPr>
          <w:rFonts w:hint="eastAsia" w:ascii="仿宋" w:hAnsi="仿宋" w:eastAsia="仿宋" w:cs="仿宋"/>
          <w:color w:val="auto"/>
          <w:highlight w:val="none"/>
        </w:rPr>
      </w:pPr>
    </w:p>
    <w:bookmarkEnd w:id="14"/>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28"/>
        <w:rPr>
          <w:rFonts w:hint="eastAsia" w:ascii="仿宋" w:hAnsi="仿宋" w:eastAsia="仿宋" w:cs="仿宋"/>
          <w:b/>
          <w:color w:val="auto"/>
          <w:sz w:val="36"/>
          <w:szCs w:val="36"/>
          <w:highlight w:val="none"/>
        </w:rPr>
      </w:pPr>
    </w:p>
    <w:p>
      <w:pPr>
        <w:pStyle w:val="29"/>
        <w:rPr>
          <w:rFonts w:hint="eastAsia" w:ascii="仿宋" w:hAnsi="仿宋" w:eastAsia="仿宋" w:cs="仿宋"/>
          <w:b/>
          <w:color w:val="auto"/>
          <w:sz w:val="36"/>
          <w:szCs w:val="36"/>
          <w:highlight w:val="none"/>
        </w:rPr>
      </w:pPr>
    </w:p>
    <w:p>
      <w:pPr>
        <w:pStyle w:val="26"/>
        <w:rPr>
          <w:rFonts w:hint="eastAsia" w:ascii="仿宋" w:hAnsi="仿宋" w:eastAsia="仿宋" w:cs="仿宋"/>
          <w:b/>
          <w:color w:val="auto"/>
          <w:sz w:val="36"/>
          <w:szCs w:val="36"/>
          <w:highlight w:val="none"/>
        </w:rPr>
      </w:pPr>
    </w:p>
    <w:p>
      <w:pPr>
        <w:pStyle w:val="27"/>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27"/>
        <w:rPr>
          <w:rFonts w:hint="eastAsia" w:ascii="仿宋" w:hAnsi="仿宋" w:eastAsia="仿宋" w:cs="仿宋"/>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p>
    <w:p>
      <w:pPr>
        <w:pStyle w:val="389"/>
        <w:rPr>
          <w:rFonts w:hint="eastAsia" w:ascii="仿宋" w:hAnsi="仿宋" w:eastAsia="仿宋" w:cs="仿宋"/>
          <w:color w:val="auto"/>
          <w:szCs w:val="24"/>
          <w:highlight w:val="none"/>
        </w:rPr>
      </w:pPr>
    </w:p>
    <w:p>
      <w:pPr>
        <w:pStyle w:val="389"/>
        <w:jc w:val="center"/>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6"/>
        <w:spacing w:before="120" w:line="22" w:lineRule="atLeast"/>
        <w:rPr>
          <w:rFonts w:hint="eastAsia" w:ascii="仿宋" w:hAnsi="仿宋" w:eastAsia="仿宋" w:cs="仿宋"/>
          <w:color w:val="auto"/>
          <w:szCs w:val="24"/>
          <w:highlight w:val="none"/>
        </w:rPr>
      </w:pPr>
    </w:p>
    <w:p>
      <w:pPr>
        <w:pStyle w:val="28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甲方：（买方）</w:t>
      </w:r>
    </w:p>
    <w:p>
      <w:pPr>
        <w:pStyle w:val="37"/>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乙方：（卖方）</w:t>
      </w:r>
    </w:p>
    <w:p>
      <w:pPr>
        <w:pStyle w:val="37"/>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甲、乙双方根据                  项目（项目编号：     ）公开招标的结果，签署本合同。</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1、货物</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Style w:val="37"/>
        <w:snapToGrid w:val="0"/>
        <w:spacing w:line="360" w:lineRule="auto"/>
        <w:ind w:firstLine="482" w:firstLineChars="200"/>
        <w:rPr>
          <w:rFonts w:hint="eastAsia" w:ascii="仿宋" w:hAnsi="仿宋" w:eastAsia="仿宋" w:cs="仿宋"/>
          <w:b/>
          <w:bCs/>
          <w:color w:val="auto"/>
          <w:sz w:val="24"/>
          <w:szCs w:val="24"/>
        </w:rPr>
      </w:pPr>
    </w:p>
    <w:p>
      <w:pPr>
        <w:pStyle w:val="37"/>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color w:val="auto"/>
          <w:sz w:val="24"/>
        </w:rPr>
        <w:t>2、价款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kern w:val="0"/>
          <w:sz w:val="24"/>
          <w:szCs w:val="20"/>
          <w:highlight w:val="none"/>
        </w:rPr>
      </w:pPr>
    </w:p>
    <w:p>
      <w:pPr>
        <w:pStyle w:val="37"/>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3.技术资料</w:t>
      </w:r>
    </w:p>
    <w:p>
      <w:pPr>
        <w:pStyle w:val="37"/>
        <w:snapToGrid w:val="0"/>
        <w:spacing w:line="360" w:lineRule="auto"/>
        <w:rPr>
          <w:rFonts w:hint="eastAsia" w:ascii="仿宋" w:hAnsi="仿宋" w:eastAsia="仿宋" w:cs="仿宋"/>
          <w:color w:val="auto"/>
          <w:kern w:val="0"/>
          <w:sz w:val="24"/>
          <w:szCs w:val="20"/>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kern w:val="0"/>
          <w:sz w:val="24"/>
          <w:szCs w:val="20"/>
          <w:highlight w:val="none"/>
        </w:rPr>
        <w:t xml:space="preserve">  3.1乙方应按招标文件规定的时间向甲方提供使用货物的有关技术资料。</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color w:val="auto"/>
          <w:sz w:val="24"/>
          <w:szCs w:val="20"/>
          <w:highlight w:val="none"/>
        </w:rPr>
        <w:t>。</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4.权利担保</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4.1乙方应保证所提供的货物或其任何一部分均不会侵犯任何第三方的知识产权。</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4.2乙方保证所交付的货物的所有权完全属于乙方且无任何抵押、查封等产权瑕疵。</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5.履约保证金</w:t>
      </w:r>
    </w:p>
    <w:p>
      <w:pPr>
        <w:pStyle w:val="621"/>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5.1 采购文件要求乙方提交履约保证金的，乙方应按</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  履约保证金在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 甲方根据杭州市政府采购网公布的供应商履约评价情况减免履约保证金。乙方履约验收评价总分为100分的，甲方免收履约保证金；评价总分在</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分以</w:t>
      </w:r>
      <w:r>
        <w:rPr>
          <w:rFonts w:hint="eastAsia" w:ascii="仿宋" w:hAnsi="仿宋" w:eastAsia="仿宋" w:cs="仿宋"/>
          <w:color w:val="auto"/>
          <w:sz w:val="24"/>
          <w:highlight w:val="none"/>
          <w:lang w:eastAsia="zh-CN"/>
        </w:rPr>
        <w:t>下</w:t>
      </w:r>
      <w:r>
        <w:rPr>
          <w:rFonts w:hint="eastAsia" w:ascii="仿宋" w:hAnsi="仿宋" w:eastAsia="仿宋" w:cs="仿宋"/>
          <w:color w:val="auto"/>
          <w:sz w:val="24"/>
          <w:highlight w:val="none"/>
        </w:rPr>
        <w:t>的，收取履约保证金为合同金额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5.6对于因甲方原因导致变更、中止或者终止政府采购合同的，甲方应当依照合同约定对供应商受到的损失予以赔偿或者补偿。</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6.转包或分包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6.2乙方采取分包方式履行合同的，甲方可直接向分包供应商支付款项。</w:t>
      </w:r>
    </w:p>
    <w:p>
      <w:pPr>
        <w:snapToGrid w:val="0"/>
        <w:spacing w:line="360" w:lineRule="auto"/>
        <w:ind w:firstLine="354" w:firstLineChars="147"/>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7.质保期</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质保期：产品验收合格使用之日起，质保期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年（具体再参照乙方按投标文件承诺确定），质保期内的维修费用（包括材料）全部由乙方负责。超过质保期的，维修时只收部件成本费。</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8.交货期、交货方式、交货地点及供货要求</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8.1交货期：</w:t>
      </w:r>
      <w:r>
        <w:rPr>
          <w:rFonts w:hint="eastAsia" w:ascii="仿宋" w:hAnsi="仿宋" w:eastAsia="仿宋" w:cs="仿宋"/>
          <w:color w:val="auto"/>
          <w:sz w:val="24"/>
          <w:highlight w:val="none"/>
        </w:rPr>
        <w:t>签订合同后，供应商须于</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前完成供货、安装</w:t>
      </w:r>
      <w:r>
        <w:rPr>
          <w:rFonts w:hint="eastAsia" w:ascii="仿宋" w:hAnsi="仿宋" w:eastAsia="仿宋" w:cs="仿宋"/>
          <w:color w:val="auto"/>
          <w:kern w:val="0"/>
          <w:sz w:val="24"/>
          <w:highlight w:val="none"/>
        </w:rPr>
        <w:t>调试</w:t>
      </w:r>
      <w:r>
        <w:rPr>
          <w:rFonts w:hint="eastAsia" w:ascii="仿宋" w:hAnsi="仿宋" w:eastAsia="仿宋" w:cs="仿宋"/>
          <w:color w:val="auto"/>
          <w:sz w:val="24"/>
          <w:highlight w:val="none"/>
        </w:rPr>
        <w:t>及使用方初步验收。</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8.2交货方式：由乙方负责运输至指定地点现场交货，并安装调试完毕。安装调试完毕交付甲方前发生的风险均由乙方负责。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8.3 交货地点：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8.4供货要求：乙方所供的货物必须为全新的，符合国家标准的合格产品。凡需国家强制保证或认可的产品、需提供相应的</w:t>
      </w:r>
      <w:r>
        <w:rPr>
          <w:rFonts w:hint="eastAsia" w:ascii="仿宋" w:hAnsi="仿宋" w:eastAsia="仿宋" w:cs="仿宋"/>
          <w:color w:val="auto"/>
          <w:sz w:val="24"/>
          <w:highlight w:val="none"/>
        </w:rPr>
        <w:t>证书和认可的标志。</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8.5乙方应先派有经验的技术人员对安装现场进行实地勘察，对各种设备采购、制造、运输（到现场安装）、安装、工期、安全、文明施工进行总承包，一切费用均由乙方负责。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8.6乙方在设备在安装、调试时不得损坏墙体、门窗等，如有损坏要予以赔偿。</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8.7培训要求：安装调试后，供应商须向使用方人员做好所供产品日常保养、使用、管理的现场实地培训，直至会熟练使用。</w:t>
      </w:r>
    </w:p>
    <w:p>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9.付款方式、时间和条件</w:t>
      </w:r>
    </w:p>
    <w:p>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9.4资金支付的方式、时间和条件：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9.5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10</w:t>
      </w:r>
      <w:r>
        <w:rPr>
          <w:rFonts w:hint="eastAsia" w:ascii="仿宋" w:hAnsi="仿宋" w:eastAsia="仿宋" w:cs="仿宋"/>
          <w:b/>
          <w:color w:val="auto"/>
          <w:sz w:val="24"/>
          <w:highlight w:val="none"/>
        </w:rPr>
        <w:t>.税费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napToGrid w:val="0"/>
        <w:spacing w:line="360" w:lineRule="auto"/>
        <w:ind w:firstLine="352" w:firstLineChars="147"/>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11.质量保证及售后服务</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更换：由乙方承担所发生的全部费用。</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贬值处理：由甲乙双方合议定价。</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退货处理：乙方应退还甲方支付的合同款，同时应承担该货物的直接费用（运输、保险、检验、货款利息及银行手续费等）。</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11.3在质保期内，乙方应对货物出现的质量及安全问题负责处理解决并承担一切费用。</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11.5乙方在质保期内每年应（不少于一次）到使用方进行设备保养、检修。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12.货物包装、发运及运输</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12.2使用说明书、质量检验证明书、随配附件和工具以及清单一并附于货物内。</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12.3乙方在货物发运手续办理完毕后24小时内或货到甲方48小时前通知甲方，以准备接货。</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12.4货物在交付甲方前发生的风险均由乙方负责。</w:t>
      </w:r>
    </w:p>
    <w:p>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12.5货物在规定的交付期限内由乙方送达甲方指定的地点，及时通知甲方货物已送达并安装调试完毕视为交付。</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13.调试和验收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A、甲方初步验收：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1、甲方对乙方提交的货物依据招标文件、投标文件及其补充变更文件上的技术规格要求和国家有关质量标准进行现场初步验收，外观、说明书符合要求的，给予签收，初步验收不合格的不予签收。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2、乙方交货前应对产品作出全面检查和对验收文件进行整理，并列出清单，作为甲方收货验收和使用的技术条件依据，检验的结果应随货物交甲方。</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3、甲方对乙方提供的货物在使用前进行调试时，乙方需负责安装并培训甲方的使用操作人员，并协助甲方一起调试，直到符合技术要求，甲方才做最终验收。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4、对技术复杂的货物，甲方应请国家认可的专业检测机构参与初步验收及最终验收，并由其出具质量检测报告。验收时乙方必须在现场，验收完毕后作出验收结果报告；验收费用由乙方承担。</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B、甲方最终验收：</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1、根据余财采〔2020〕14号《关于转发《杭州市政府采购履约验收暂行办法》的通知》执行。</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2、经验收不合格且无法整改的，不付款不退货，所产生的所有损失由乙方承担。</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3、验收产生的费用，由乙方承担。</w:t>
      </w:r>
    </w:p>
    <w:p>
      <w:pPr>
        <w:snapToGrid w:val="0"/>
        <w:spacing w:line="360" w:lineRule="auto"/>
        <w:ind w:firstLine="352" w:firstLineChars="14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C、国家规定应由专业机构强制检测或已聘请专业监理公司监理的采购项目，在强制检测或专业监理的基础上，采购人根据项目实际需要，组织进一步验收，验收费用由乙方承担。</w:t>
      </w:r>
    </w:p>
    <w:p>
      <w:pPr>
        <w:snapToGrid w:val="0"/>
        <w:spacing w:line="360" w:lineRule="auto"/>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14.违约责任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14.7违约责任采购人另有约定的：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从其约定。</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15.不可抗力事件处理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15.1在合同有效期内，任何一方因不可抗力事件导致不能履行合同，则合同履行期可延长，其延长期与不可抗力影响期相同。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15.2不可抗力事件发生后，应立即通知对方，并寄送有关权威机构出具的证明。</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15.3不可抗力事件延续120天以上，双方应通过友好协商，确定是否继续履行合同。</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16.诉讼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双方在执行合同中所发生的一切争议，应通过协商解决。如协商不成，可向甲方所在地法院起诉。</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17.合同生效及其它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17.1招标文件、投标文件、更正公告、中标通知书、承诺函等均作为本合同组成部分，具有同等效力。</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17.2合同经双方法定代表人或其授权代表签字并加盖单位公章后方可生效。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17.4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17.5本合同未尽事宜，遵照《</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》有关条文执行。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17.6本合同一式多份，具有同等法律效力，甲乙双方、区财政局采购监管科、验收单位，各执一份。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签约时间：      年    月   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签约地点：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394" w:name="_Toc326765771"/>
      <w:bookmarkStart w:id="395" w:name="_Toc868"/>
      <w:bookmarkStart w:id="396" w:name="_Toc350327365"/>
      <w:bookmarkStart w:id="397" w:name="_Toc328381300"/>
      <w:bookmarkStart w:id="398" w:name="_Toc339872468"/>
      <w:bookmarkStart w:id="399" w:name="_Toc349721554"/>
      <w:r>
        <w:rPr>
          <w:rFonts w:hint="eastAsia" w:ascii="仿宋" w:hAnsi="仿宋" w:eastAsia="仿宋" w:cs="仿宋"/>
          <w:b/>
          <w:bCs/>
          <w:color w:val="auto"/>
          <w:sz w:val="24"/>
          <w:highlight w:val="none"/>
        </w:rPr>
        <w:t xml:space="preserve"> 此仅为合同书样本，中标单位需根据实际情况和采购人签订相应的合同！</w:t>
      </w:r>
      <w:bookmarkEnd w:id="394"/>
      <w:bookmarkEnd w:id="395"/>
      <w:bookmarkEnd w:id="396"/>
      <w:bookmarkEnd w:id="397"/>
      <w:bookmarkEnd w:id="398"/>
      <w:bookmarkEnd w:id="399"/>
    </w:p>
    <w:p>
      <w:pPr>
        <w:spacing w:line="360" w:lineRule="auto"/>
        <w:rPr>
          <w:rFonts w:hint="eastAsia" w:ascii="仿宋" w:hAnsi="仿宋" w:eastAsia="仿宋" w:cs="仿宋"/>
          <w:b/>
          <w:bCs/>
          <w:color w:val="auto"/>
          <w:sz w:val="24"/>
          <w:highlight w:val="none"/>
        </w:rPr>
        <w:sectPr>
          <w:pgSz w:w="11906" w:h="16838"/>
          <w:pgMar w:top="1558" w:right="1531" w:bottom="468" w:left="1531" w:header="851" w:footer="851" w:gutter="0"/>
          <w:pgBorders>
            <w:top w:val="none" w:sz="0" w:space="0"/>
            <w:left w:val="none" w:sz="0" w:space="0"/>
            <w:bottom w:val="none" w:sz="0" w:space="0"/>
            <w:right w:val="none" w:sz="0" w:space="0"/>
          </w:pgBorders>
          <w:cols w:space="720" w:num="1"/>
          <w:titlePg/>
          <w:docGrid w:type="lines" w:linePitch="312" w:charSpace="0"/>
        </w:sectPr>
      </w:pPr>
      <w:bookmarkStart w:id="400" w:name="_Toc194217895"/>
    </w:p>
    <w:bookmarkEnd w:id="400"/>
    <w:p>
      <w:pPr>
        <w:pStyle w:val="5"/>
        <w:rPr>
          <w:rFonts w:hint="eastAsia" w:ascii="仿宋" w:hAnsi="仿宋" w:eastAsia="仿宋" w:cs="仿宋"/>
          <w:color w:val="auto"/>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（一）符合参与政府采购活动的资格条件并且没有税收缴纳、社会保障等方面的失信记录的承诺函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pStyle w:val="5"/>
        <w:rPr>
          <w:rFonts w:hint="eastAsia" w:ascii="仿宋" w:hAnsi="仿宋" w:eastAsia="仿宋" w:cs="仿宋"/>
          <w:color w:val="auto"/>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）投标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认为需要的其他文件资料（如有）</w:t>
      </w:r>
      <w:r>
        <w:rPr>
          <w:rFonts w:hint="eastAsia" w:ascii="仿宋" w:hAnsi="仿宋" w:eastAsia="仿宋" w:cs="仿宋"/>
          <w:color w:val="auto"/>
          <w:highlight w:val="none"/>
        </w:rPr>
        <w:t>………………………………… （页码）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5"/>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1"/>
              <w:adjustRightInd w:val="0"/>
              <w:spacing w:line="360" w:lineRule="auto"/>
              <w:rPr>
                <w:rFonts w:hint="eastAsia" w:ascii="仿宋" w:hAnsi="仿宋" w:eastAsia="仿宋" w:cs="仿宋"/>
                <w:bCs/>
                <w:color w:val="auto"/>
                <w:sz w:val="24"/>
                <w:szCs w:val="20"/>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line="240" w:lineRule="atLeast"/>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szCs w:val="20"/>
                <w:highlight w:val="none"/>
              </w:rPr>
            </w:pPr>
          </w:p>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8"/>
        <w:rPr>
          <w:rFonts w:hint="eastAsia" w:ascii="仿宋" w:hAnsi="仿宋" w:eastAsia="仿宋" w:cs="仿宋"/>
          <w:b/>
          <w:color w:val="auto"/>
          <w:kern w:val="0"/>
          <w:sz w:val="32"/>
          <w:szCs w:val="32"/>
          <w:highlight w:val="none"/>
        </w:rPr>
      </w:pPr>
    </w:p>
    <w:p>
      <w:pPr>
        <w:pStyle w:val="29"/>
        <w:rPr>
          <w:rFonts w:hint="eastAsia"/>
          <w:color w:val="auto"/>
          <w:highlight w:val="none"/>
        </w:rPr>
      </w:pPr>
    </w:p>
    <w:p>
      <w:pPr>
        <w:pStyle w:val="5"/>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lang w:val="en-US"/>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lang w:val="en-US"/>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8"/>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（3）投标人针对报价需要说明的其他文件和说明（如有）………………… （页码）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17"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843" w:type="dxa"/>
            <w:vAlign w:val="top"/>
          </w:tcPr>
          <w:p>
            <w:pPr>
              <w:spacing w:line="360" w:lineRule="auto"/>
              <w:jc w:val="center"/>
              <w:rPr>
                <w:rFonts w:hint="eastAsia" w:ascii="仿宋" w:hAnsi="仿宋" w:eastAsia="仿宋" w:cs="仿宋"/>
                <w:b/>
                <w:color w:val="auto"/>
                <w:sz w:val="24"/>
                <w:szCs w:val="20"/>
                <w:highlight w:val="none"/>
              </w:rPr>
            </w:pP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3118"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59"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984" w:type="dxa"/>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3119" w:type="dxa"/>
            <w:vAlign w:val="center"/>
          </w:tcPr>
          <w:p>
            <w:pPr>
              <w:spacing w:line="360" w:lineRule="auto"/>
              <w:jc w:val="center"/>
              <w:rPr>
                <w:rFonts w:hint="eastAsia" w:ascii="仿宋" w:hAnsi="仿宋" w:eastAsia="仿宋" w:cs="仿宋"/>
                <w:b/>
                <w:color w:val="auto"/>
                <w:sz w:val="24"/>
                <w:szCs w:val="20"/>
                <w:highlight w:val="none"/>
              </w:rPr>
            </w:pP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服务要求（年限）</w:t>
            </w:r>
          </w:p>
          <w:p>
            <w:pPr>
              <w:spacing w:line="360" w:lineRule="auto"/>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szCs w:val="20"/>
                <w:highlight w:val="none"/>
              </w:rPr>
            </w:pPr>
          </w:p>
        </w:tc>
        <w:tc>
          <w:tcPr>
            <w:tcW w:w="1417"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84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3118"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993" w:type="dxa"/>
            <w:vAlign w:val="center"/>
          </w:tcPr>
          <w:p>
            <w:pPr>
              <w:snapToGrid w:val="0"/>
              <w:spacing w:line="360" w:lineRule="auto"/>
              <w:jc w:val="center"/>
              <w:rPr>
                <w:rFonts w:hint="eastAsia" w:ascii="仿宋" w:hAnsi="仿宋" w:eastAsia="仿宋" w:cs="仿宋"/>
                <w:color w:val="auto"/>
                <w:sz w:val="24"/>
                <w:szCs w:val="20"/>
                <w:highlight w:val="none"/>
              </w:rPr>
            </w:pPr>
          </w:p>
        </w:tc>
        <w:tc>
          <w:tcPr>
            <w:tcW w:w="1559" w:type="dxa"/>
            <w:vAlign w:val="center"/>
          </w:tcPr>
          <w:p>
            <w:pPr>
              <w:spacing w:line="360" w:lineRule="auto"/>
              <w:jc w:val="center"/>
              <w:rPr>
                <w:rFonts w:hint="eastAsia" w:ascii="仿宋" w:hAnsi="仿宋" w:eastAsia="仿宋" w:cs="仿宋"/>
                <w:color w:val="auto"/>
                <w:sz w:val="24"/>
                <w:szCs w:val="20"/>
                <w:highlight w:val="none"/>
              </w:rPr>
            </w:pPr>
          </w:p>
        </w:tc>
        <w:tc>
          <w:tcPr>
            <w:tcW w:w="1984" w:type="dxa"/>
            <w:vAlign w:val="center"/>
          </w:tcPr>
          <w:p>
            <w:pPr>
              <w:spacing w:line="360" w:lineRule="auto"/>
              <w:jc w:val="center"/>
              <w:rPr>
                <w:rFonts w:hint="eastAsia" w:ascii="仿宋" w:hAnsi="仿宋" w:eastAsia="仿宋" w:cs="仿宋"/>
                <w:color w:val="auto"/>
                <w:sz w:val="24"/>
                <w:szCs w:val="20"/>
                <w:highlight w:val="none"/>
              </w:rPr>
            </w:pPr>
          </w:p>
        </w:tc>
        <w:tc>
          <w:tcPr>
            <w:tcW w:w="3119" w:type="dxa"/>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szCs w:val="20"/>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ind w:firstLine="480" w:firstLineChars="200"/>
        <w:jc w:val="left"/>
        <w:rPr>
          <w:rFonts w:hint="eastAsia" w:ascii="仿宋" w:hAnsi="仿宋" w:eastAsia="仿宋" w:cs="仿宋"/>
          <w:color w:val="auto"/>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5"/>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5"/>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1" w:name="_Toc465665161"/>
      <w:r>
        <w:rPr>
          <w:rFonts w:hint="eastAsia" w:ascii="仿宋" w:hAnsi="仿宋" w:eastAsia="仿宋" w:cs="仿宋"/>
          <w:color w:val="auto"/>
          <w:highlight w:val="none"/>
        </w:rPr>
        <w:t>附件</w:t>
      </w:r>
      <w:bookmarkEnd w:id="40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2" w:name="OLE_LINK14"/>
      <w:bookmarkStart w:id="403" w:name="OLE_LINK13"/>
      <w:r>
        <w:rPr>
          <w:rFonts w:hint="eastAsia" w:ascii="仿宋" w:hAnsi="仿宋" w:eastAsia="仿宋" w:cs="仿宋"/>
          <w:b/>
          <w:color w:val="auto"/>
          <w:spacing w:val="6"/>
          <w:sz w:val="32"/>
          <w:szCs w:val="32"/>
          <w:highlight w:val="none"/>
        </w:rPr>
        <w:t>残疾人福利性单位声明函</w:t>
      </w:r>
    </w:p>
    <w:bookmarkEnd w:id="402"/>
    <w:bookmarkEnd w:id="40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rPr>
          <w:rFonts w:hint="eastAsia" w:ascii="仿宋" w:hAnsi="仿宋" w:eastAsia="仿宋" w:cs="仿宋"/>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13184514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2"/>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separate"/>
    </w:r>
    <w:r>
      <w:rPr>
        <w:rStyle w:val="75"/>
      </w:rPr>
      <w:t>32</w: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F24EE"/>
    <w:multiLevelType w:val="singleLevel"/>
    <w:tmpl w:val="9BCF24EE"/>
    <w:lvl w:ilvl="0" w:tentative="0">
      <w:start w:val="1"/>
      <w:numFmt w:val="decimal"/>
      <w:suff w:val="nothing"/>
      <w:lvlText w:val="%1、"/>
      <w:lvlJc w:val="left"/>
    </w:lvl>
  </w:abstractNum>
  <w:abstractNum w:abstractNumId="1">
    <w:nsid w:val="44C0BD06"/>
    <w:multiLevelType w:val="singleLevel"/>
    <w:tmpl w:val="44C0BD06"/>
    <w:lvl w:ilvl="0" w:tentative="0">
      <w:start w:val="2"/>
      <w:numFmt w:val="decimal"/>
      <w:suff w:val="nothing"/>
      <w:lvlText w:val="%1、"/>
      <w:lvlJc w:val="left"/>
    </w:lvl>
  </w:abstractNum>
  <w:abstractNum w:abstractNumId="2">
    <w:nsid w:val="5874910B"/>
    <w:multiLevelType w:val="singleLevel"/>
    <w:tmpl w:val="5874910B"/>
    <w:lvl w:ilvl="0" w:tentative="0">
      <w:start w:val="1"/>
      <w:numFmt w:val="decimal"/>
      <w:suff w:val="nothing"/>
      <w:lvlText w:val="%1、"/>
      <w:lvlJc w:val="left"/>
    </w:lvl>
  </w:abstractNum>
  <w:abstractNum w:abstractNumId="3">
    <w:nsid w:val="7267BCCE"/>
    <w:multiLevelType w:val="singleLevel"/>
    <w:tmpl w:val="7267BCCE"/>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yYjI5YTdjMjhiZDBmNTkwZTRkY2Q1NDQ3M2Uz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CE8"/>
    <w:rsid w:val="00032EA0"/>
    <w:rsid w:val="000331B0"/>
    <w:rsid w:val="000336D4"/>
    <w:rsid w:val="00034FA7"/>
    <w:rsid w:val="0003533D"/>
    <w:rsid w:val="000357E4"/>
    <w:rsid w:val="00035ACA"/>
    <w:rsid w:val="000372D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0AE"/>
    <w:rsid w:val="00071CD8"/>
    <w:rsid w:val="00071DB2"/>
    <w:rsid w:val="00072AED"/>
    <w:rsid w:val="00072B56"/>
    <w:rsid w:val="00072D2B"/>
    <w:rsid w:val="00072D51"/>
    <w:rsid w:val="000730B1"/>
    <w:rsid w:val="0007350B"/>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5"/>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379"/>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7B"/>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E92"/>
    <w:rsid w:val="00176AA6"/>
    <w:rsid w:val="00177063"/>
    <w:rsid w:val="00180A47"/>
    <w:rsid w:val="001827B7"/>
    <w:rsid w:val="001827EF"/>
    <w:rsid w:val="00182982"/>
    <w:rsid w:val="001829BC"/>
    <w:rsid w:val="00182D68"/>
    <w:rsid w:val="00183031"/>
    <w:rsid w:val="00183468"/>
    <w:rsid w:val="0018397E"/>
    <w:rsid w:val="00183D3C"/>
    <w:rsid w:val="00184466"/>
    <w:rsid w:val="00184DBF"/>
    <w:rsid w:val="001852A8"/>
    <w:rsid w:val="0018620A"/>
    <w:rsid w:val="00186EB0"/>
    <w:rsid w:val="00187121"/>
    <w:rsid w:val="00187243"/>
    <w:rsid w:val="00187C29"/>
    <w:rsid w:val="00190674"/>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0A0"/>
    <w:rsid w:val="001A3335"/>
    <w:rsid w:val="001A3A2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6A"/>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8CC"/>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18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759"/>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43E"/>
    <w:rsid w:val="00303AB6"/>
    <w:rsid w:val="00304640"/>
    <w:rsid w:val="00304AC1"/>
    <w:rsid w:val="00305090"/>
    <w:rsid w:val="00305454"/>
    <w:rsid w:val="00305B9F"/>
    <w:rsid w:val="00305E21"/>
    <w:rsid w:val="0030609D"/>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C47"/>
    <w:rsid w:val="0035455F"/>
    <w:rsid w:val="003559D7"/>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5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C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FB4"/>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07"/>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20"/>
    <w:rsid w:val="00502B31"/>
    <w:rsid w:val="0050434C"/>
    <w:rsid w:val="00504E4B"/>
    <w:rsid w:val="0050537D"/>
    <w:rsid w:val="0050591C"/>
    <w:rsid w:val="005059BD"/>
    <w:rsid w:val="00505DC2"/>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BB4"/>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4BA"/>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D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AC1"/>
    <w:rsid w:val="00702F2D"/>
    <w:rsid w:val="0070353F"/>
    <w:rsid w:val="0070415E"/>
    <w:rsid w:val="00704631"/>
    <w:rsid w:val="00704B79"/>
    <w:rsid w:val="00704E7D"/>
    <w:rsid w:val="00705060"/>
    <w:rsid w:val="00705351"/>
    <w:rsid w:val="00705619"/>
    <w:rsid w:val="0070570E"/>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81"/>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6F6"/>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67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B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DB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A3"/>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62A"/>
    <w:rsid w:val="0080348B"/>
    <w:rsid w:val="00803D82"/>
    <w:rsid w:val="00803D98"/>
    <w:rsid w:val="008052CE"/>
    <w:rsid w:val="0080579A"/>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BFA"/>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2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F48"/>
    <w:rsid w:val="008C5371"/>
    <w:rsid w:val="008C623D"/>
    <w:rsid w:val="008C65F4"/>
    <w:rsid w:val="008C6683"/>
    <w:rsid w:val="008C6E0C"/>
    <w:rsid w:val="008C7273"/>
    <w:rsid w:val="008C78F8"/>
    <w:rsid w:val="008D006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977"/>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DA1"/>
    <w:rsid w:val="00964F5A"/>
    <w:rsid w:val="0096527F"/>
    <w:rsid w:val="009653ED"/>
    <w:rsid w:val="0096643C"/>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B3C"/>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2CD"/>
    <w:rsid w:val="009B4368"/>
    <w:rsid w:val="009B4D4C"/>
    <w:rsid w:val="009B5DE9"/>
    <w:rsid w:val="009B66F5"/>
    <w:rsid w:val="009B68CB"/>
    <w:rsid w:val="009B7505"/>
    <w:rsid w:val="009C0020"/>
    <w:rsid w:val="009C03F7"/>
    <w:rsid w:val="009C10DA"/>
    <w:rsid w:val="009C15CB"/>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69"/>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EE7"/>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03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0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C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1D"/>
    <w:rsid w:val="00B13EDB"/>
    <w:rsid w:val="00B141A5"/>
    <w:rsid w:val="00B14F47"/>
    <w:rsid w:val="00B15282"/>
    <w:rsid w:val="00B15286"/>
    <w:rsid w:val="00B1539F"/>
    <w:rsid w:val="00B1550D"/>
    <w:rsid w:val="00B15F6C"/>
    <w:rsid w:val="00B163E8"/>
    <w:rsid w:val="00B1767E"/>
    <w:rsid w:val="00B17EE6"/>
    <w:rsid w:val="00B20760"/>
    <w:rsid w:val="00B2125C"/>
    <w:rsid w:val="00B21676"/>
    <w:rsid w:val="00B219E1"/>
    <w:rsid w:val="00B21ECF"/>
    <w:rsid w:val="00B22150"/>
    <w:rsid w:val="00B226DE"/>
    <w:rsid w:val="00B22BE9"/>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5D1"/>
    <w:rsid w:val="00BB1688"/>
    <w:rsid w:val="00BB1EFB"/>
    <w:rsid w:val="00BB269F"/>
    <w:rsid w:val="00BB27CC"/>
    <w:rsid w:val="00BB2ACE"/>
    <w:rsid w:val="00BB2E4E"/>
    <w:rsid w:val="00BB2E62"/>
    <w:rsid w:val="00BB36C9"/>
    <w:rsid w:val="00BB3A66"/>
    <w:rsid w:val="00BB40D1"/>
    <w:rsid w:val="00BB5B6A"/>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EBB"/>
    <w:rsid w:val="00BD5624"/>
    <w:rsid w:val="00BD62E6"/>
    <w:rsid w:val="00BD6B0E"/>
    <w:rsid w:val="00BD734D"/>
    <w:rsid w:val="00BD7941"/>
    <w:rsid w:val="00BE0591"/>
    <w:rsid w:val="00BE0C55"/>
    <w:rsid w:val="00BE0F03"/>
    <w:rsid w:val="00BE11A2"/>
    <w:rsid w:val="00BE1EF0"/>
    <w:rsid w:val="00BE1F2B"/>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8FE"/>
    <w:rsid w:val="00BF4A15"/>
    <w:rsid w:val="00BF4E0E"/>
    <w:rsid w:val="00BF4E27"/>
    <w:rsid w:val="00BF4F7C"/>
    <w:rsid w:val="00BF537B"/>
    <w:rsid w:val="00BF5901"/>
    <w:rsid w:val="00BF60C3"/>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E9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F0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63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AC8"/>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F6A"/>
    <w:rsid w:val="00D401A1"/>
    <w:rsid w:val="00D40217"/>
    <w:rsid w:val="00D40385"/>
    <w:rsid w:val="00D404CE"/>
    <w:rsid w:val="00D40E8F"/>
    <w:rsid w:val="00D412BF"/>
    <w:rsid w:val="00D417C6"/>
    <w:rsid w:val="00D417D0"/>
    <w:rsid w:val="00D42B0C"/>
    <w:rsid w:val="00D42D6E"/>
    <w:rsid w:val="00D4354F"/>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4F59"/>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834"/>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764"/>
    <w:rsid w:val="00DE6E4D"/>
    <w:rsid w:val="00DE7498"/>
    <w:rsid w:val="00DE75EF"/>
    <w:rsid w:val="00DE7611"/>
    <w:rsid w:val="00DE7D19"/>
    <w:rsid w:val="00DF05A0"/>
    <w:rsid w:val="00DF1162"/>
    <w:rsid w:val="00DF1BA8"/>
    <w:rsid w:val="00DF1F63"/>
    <w:rsid w:val="00DF28F2"/>
    <w:rsid w:val="00DF2AF0"/>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E5"/>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83E"/>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34F"/>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8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5B1"/>
    <w:rsid w:val="00F97A34"/>
    <w:rsid w:val="00F97E4A"/>
    <w:rsid w:val="00F97EA1"/>
    <w:rsid w:val="00FA003A"/>
    <w:rsid w:val="00FA05C8"/>
    <w:rsid w:val="00FA0678"/>
    <w:rsid w:val="00FA0DB6"/>
    <w:rsid w:val="00FA23F7"/>
    <w:rsid w:val="00FA27EB"/>
    <w:rsid w:val="00FA35B6"/>
    <w:rsid w:val="00FA3EBC"/>
    <w:rsid w:val="00FA423C"/>
    <w:rsid w:val="00FA4323"/>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E0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F65C3"/>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A548F"/>
    <w:rsid w:val="04575BFE"/>
    <w:rsid w:val="046E4E16"/>
    <w:rsid w:val="048C5A1D"/>
    <w:rsid w:val="048F763B"/>
    <w:rsid w:val="049F330E"/>
    <w:rsid w:val="04AA775C"/>
    <w:rsid w:val="04AF1889"/>
    <w:rsid w:val="04F66F48"/>
    <w:rsid w:val="05251E14"/>
    <w:rsid w:val="05A16594"/>
    <w:rsid w:val="05A7762D"/>
    <w:rsid w:val="05C23E5C"/>
    <w:rsid w:val="060E5941"/>
    <w:rsid w:val="06110FAF"/>
    <w:rsid w:val="062C6F51"/>
    <w:rsid w:val="06493CA7"/>
    <w:rsid w:val="065A6178"/>
    <w:rsid w:val="06667154"/>
    <w:rsid w:val="066F1CF3"/>
    <w:rsid w:val="06930BB8"/>
    <w:rsid w:val="07210964"/>
    <w:rsid w:val="07245D42"/>
    <w:rsid w:val="07264C62"/>
    <w:rsid w:val="0779354C"/>
    <w:rsid w:val="07C231CA"/>
    <w:rsid w:val="08061376"/>
    <w:rsid w:val="08452D77"/>
    <w:rsid w:val="086401F8"/>
    <w:rsid w:val="08751CAA"/>
    <w:rsid w:val="087E4C40"/>
    <w:rsid w:val="08D66AD6"/>
    <w:rsid w:val="08DA33A3"/>
    <w:rsid w:val="08E80F13"/>
    <w:rsid w:val="09101D47"/>
    <w:rsid w:val="09335624"/>
    <w:rsid w:val="0944690F"/>
    <w:rsid w:val="09535675"/>
    <w:rsid w:val="095F057D"/>
    <w:rsid w:val="09642282"/>
    <w:rsid w:val="09733572"/>
    <w:rsid w:val="09772C16"/>
    <w:rsid w:val="098353B5"/>
    <w:rsid w:val="09A92330"/>
    <w:rsid w:val="09A9543F"/>
    <w:rsid w:val="09B06B87"/>
    <w:rsid w:val="09C13146"/>
    <w:rsid w:val="09E04166"/>
    <w:rsid w:val="0A1C0718"/>
    <w:rsid w:val="0A3E7710"/>
    <w:rsid w:val="0A5B7E63"/>
    <w:rsid w:val="0A6D5A1B"/>
    <w:rsid w:val="0AA33FDB"/>
    <w:rsid w:val="0AA374A5"/>
    <w:rsid w:val="0AAB7649"/>
    <w:rsid w:val="0ABC5606"/>
    <w:rsid w:val="0AC42132"/>
    <w:rsid w:val="0B30404E"/>
    <w:rsid w:val="0B4C6C14"/>
    <w:rsid w:val="0B631A88"/>
    <w:rsid w:val="0B683D45"/>
    <w:rsid w:val="0B7F3F11"/>
    <w:rsid w:val="0B884417"/>
    <w:rsid w:val="0BB23D2A"/>
    <w:rsid w:val="0BF6188C"/>
    <w:rsid w:val="0BF73C91"/>
    <w:rsid w:val="0C170175"/>
    <w:rsid w:val="0C571A41"/>
    <w:rsid w:val="0C5C1171"/>
    <w:rsid w:val="0C5E1CBC"/>
    <w:rsid w:val="0C5E1E2E"/>
    <w:rsid w:val="0C615B50"/>
    <w:rsid w:val="0C745129"/>
    <w:rsid w:val="0C8445DA"/>
    <w:rsid w:val="0C87121B"/>
    <w:rsid w:val="0CC007F7"/>
    <w:rsid w:val="0CD51B63"/>
    <w:rsid w:val="0CE265BB"/>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071123"/>
    <w:rsid w:val="0F4958DC"/>
    <w:rsid w:val="0F515DF7"/>
    <w:rsid w:val="0F596BA8"/>
    <w:rsid w:val="0F6248D2"/>
    <w:rsid w:val="0F693536"/>
    <w:rsid w:val="0F7B0511"/>
    <w:rsid w:val="0F7B76D9"/>
    <w:rsid w:val="0F816ACD"/>
    <w:rsid w:val="0F9832DB"/>
    <w:rsid w:val="0FBF3FD2"/>
    <w:rsid w:val="0FBF7FF3"/>
    <w:rsid w:val="1028773B"/>
    <w:rsid w:val="103D686A"/>
    <w:rsid w:val="10426755"/>
    <w:rsid w:val="10646583"/>
    <w:rsid w:val="107D4B15"/>
    <w:rsid w:val="108A3C80"/>
    <w:rsid w:val="10C26171"/>
    <w:rsid w:val="10F26336"/>
    <w:rsid w:val="10F33360"/>
    <w:rsid w:val="10FC16EA"/>
    <w:rsid w:val="110F1D40"/>
    <w:rsid w:val="11266F33"/>
    <w:rsid w:val="11513D10"/>
    <w:rsid w:val="118963A1"/>
    <w:rsid w:val="11C6522A"/>
    <w:rsid w:val="11E104CC"/>
    <w:rsid w:val="11E20309"/>
    <w:rsid w:val="12255233"/>
    <w:rsid w:val="12530213"/>
    <w:rsid w:val="127723A9"/>
    <w:rsid w:val="12862074"/>
    <w:rsid w:val="12883966"/>
    <w:rsid w:val="129E45B4"/>
    <w:rsid w:val="12D81596"/>
    <w:rsid w:val="13072A44"/>
    <w:rsid w:val="134E6759"/>
    <w:rsid w:val="135F4BE2"/>
    <w:rsid w:val="136533C6"/>
    <w:rsid w:val="137A4BC0"/>
    <w:rsid w:val="139B1A0A"/>
    <w:rsid w:val="139D25C7"/>
    <w:rsid w:val="13BF3CE4"/>
    <w:rsid w:val="141008D8"/>
    <w:rsid w:val="14125FE6"/>
    <w:rsid w:val="146D271E"/>
    <w:rsid w:val="14982588"/>
    <w:rsid w:val="149A5AD9"/>
    <w:rsid w:val="14A7619D"/>
    <w:rsid w:val="14CE098B"/>
    <w:rsid w:val="150536C3"/>
    <w:rsid w:val="150C1963"/>
    <w:rsid w:val="151447A0"/>
    <w:rsid w:val="154A6454"/>
    <w:rsid w:val="15611802"/>
    <w:rsid w:val="15762120"/>
    <w:rsid w:val="16876065"/>
    <w:rsid w:val="169A4BEA"/>
    <w:rsid w:val="16A8729C"/>
    <w:rsid w:val="16B33777"/>
    <w:rsid w:val="16BC70A7"/>
    <w:rsid w:val="16C32B33"/>
    <w:rsid w:val="16C6339E"/>
    <w:rsid w:val="172F2D79"/>
    <w:rsid w:val="17557BEF"/>
    <w:rsid w:val="175F3F5B"/>
    <w:rsid w:val="17C83201"/>
    <w:rsid w:val="17D349C1"/>
    <w:rsid w:val="1830729E"/>
    <w:rsid w:val="1870062C"/>
    <w:rsid w:val="18817102"/>
    <w:rsid w:val="18830A15"/>
    <w:rsid w:val="18852B28"/>
    <w:rsid w:val="188B5321"/>
    <w:rsid w:val="189C7075"/>
    <w:rsid w:val="196453DF"/>
    <w:rsid w:val="19932372"/>
    <w:rsid w:val="19A20DD5"/>
    <w:rsid w:val="19AC41D9"/>
    <w:rsid w:val="19AE03F1"/>
    <w:rsid w:val="1A071A03"/>
    <w:rsid w:val="1A1F16AE"/>
    <w:rsid w:val="1A3B5C77"/>
    <w:rsid w:val="1A984BAD"/>
    <w:rsid w:val="1AB8220E"/>
    <w:rsid w:val="1AD87250"/>
    <w:rsid w:val="1AE4166C"/>
    <w:rsid w:val="1AF06CFB"/>
    <w:rsid w:val="1AF11B8D"/>
    <w:rsid w:val="1AF85A85"/>
    <w:rsid w:val="1B11359C"/>
    <w:rsid w:val="1B2A271F"/>
    <w:rsid w:val="1B46204F"/>
    <w:rsid w:val="1B530544"/>
    <w:rsid w:val="1B713184"/>
    <w:rsid w:val="1B741675"/>
    <w:rsid w:val="1B8B537D"/>
    <w:rsid w:val="1BA209CF"/>
    <w:rsid w:val="1BB4777D"/>
    <w:rsid w:val="1BC258DA"/>
    <w:rsid w:val="1BD75AB8"/>
    <w:rsid w:val="1C0459C2"/>
    <w:rsid w:val="1C1B3B4A"/>
    <w:rsid w:val="1C1F6FED"/>
    <w:rsid w:val="1C44734F"/>
    <w:rsid w:val="1C88086E"/>
    <w:rsid w:val="1D266CE1"/>
    <w:rsid w:val="1D3963AF"/>
    <w:rsid w:val="1D596C54"/>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6B4983"/>
    <w:rsid w:val="1FE868A9"/>
    <w:rsid w:val="20034907"/>
    <w:rsid w:val="20173E4B"/>
    <w:rsid w:val="204E48BC"/>
    <w:rsid w:val="20730966"/>
    <w:rsid w:val="208921B3"/>
    <w:rsid w:val="20973DEB"/>
    <w:rsid w:val="20B26522"/>
    <w:rsid w:val="20B44310"/>
    <w:rsid w:val="20F10236"/>
    <w:rsid w:val="211116EB"/>
    <w:rsid w:val="2133151A"/>
    <w:rsid w:val="216133FC"/>
    <w:rsid w:val="21D56769"/>
    <w:rsid w:val="21E52EF3"/>
    <w:rsid w:val="21FB5D7B"/>
    <w:rsid w:val="220B1C3D"/>
    <w:rsid w:val="221D1D20"/>
    <w:rsid w:val="22334A87"/>
    <w:rsid w:val="22681CF7"/>
    <w:rsid w:val="22BE6801"/>
    <w:rsid w:val="22FD15B6"/>
    <w:rsid w:val="233500BF"/>
    <w:rsid w:val="23377FF7"/>
    <w:rsid w:val="236B425F"/>
    <w:rsid w:val="23836192"/>
    <w:rsid w:val="23901F29"/>
    <w:rsid w:val="239C0061"/>
    <w:rsid w:val="23B908A4"/>
    <w:rsid w:val="23D46191"/>
    <w:rsid w:val="23E95BEF"/>
    <w:rsid w:val="23F23D7D"/>
    <w:rsid w:val="23FD0064"/>
    <w:rsid w:val="241954AA"/>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5F23DA"/>
    <w:rsid w:val="289F7086"/>
    <w:rsid w:val="28AA222B"/>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BEA713D"/>
    <w:rsid w:val="2C09049E"/>
    <w:rsid w:val="2C0A653C"/>
    <w:rsid w:val="2C191F85"/>
    <w:rsid w:val="2C3167C0"/>
    <w:rsid w:val="2C4E7785"/>
    <w:rsid w:val="2CE82D6F"/>
    <w:rsid w:val="2CF24727"/>
    <w:rsid w:val="2D343236"/>
    <w:rsid w:val="2DD15014"/>
    <w:rsid w:val="2DE16FF1"/>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111E2A"/>
    <w:rsid w:val="31813D45"/>
    <w:rsid w:val="319C6071"/>
    <w:rsid w:val="31AC537E"/>
    <w:rsid w:val="31C75BFC"/>
    <w:rsid w:val="31E3679B"/>
    <w:rsid w:val="31E732FD"/>
    <w:rsid w:val="32271BC7"/>
    <w:rsid w:val="32517576"/>
    <w:rsid w:val="32BE5C2C"/>
    <w:rsid w:val="32FB6478"/>
    <w:rsid w:val="32FE6072"/>
    <w:rsid w:val="33196747"/>
    <w:rsid w:val="33263B3F"/>
    <w:rsid w:val="336963EB"/>
    <w:rsid w:val="33757D46"/>
    <w:rsid w:val="33816EEB"/>
    <w:rsid w:val="33C15E12"/>
    <w:rsid w:val="33EB55CD"/>
    <w:rsid w:val="33EC4C02"/>
    <w:rsid w:val="340D2360"/>
    <w:rsid w:val="3410665D"/>
    <w:rsid w:val="34211214"/>
    <w:rsid w:val="342E63AB"/>
    <w:rsid w:val="34950E68"/>
    <w:rsid w:val="34986E94"/>
    <w:rsid w:val="34AF62C9"/>
    <w:rsid w:val="34CB4388"/>
    <w:rsid w:val="34FA6E12"/>
    <w:rsid w:val="356032FA"/>
    <w:rsid w:val="358D5588"/>
    <w:rsid w:val="36062B06"/>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C81971"/>
    <w:rsid w:val="39FC5695"/>
    <w:rsid w:val="3A006D8E"/>
    <w:rsid w:val="3A23749D"/>
    <w:rsid w:val="3A3651E5"/>
    <w:rsid w:val="3A744481"/>
    <w:rsid w:val="3A8C7BEF"/>
    <w:rsid w:val="3A906246"/>
    <w:rsid w:val="3ACF3B10"/>
    <w:rsid w:val="3B2349B7"/>
    <w:rsid w:val="3B3D2948"/>
    <w:rsid w:val="3B3E0EA3"/>
    <w:rsid w:val="3B616CFF"/>
    <w:rsid w:val="3B6259F6"/>
    <w:rsid w:val="3B976654"/>
    <w:rsid w:val="3BA93230"/>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E513B"/>
    <w:rsid w:val="3DE041CB"/>
    <w:rsid w:val="3E0D48F6"/>
    <w:rsid w:val="3E1868B4"/>
    <w:rsid w:val="3E377251"/>
    <w:rsid w:val="3E42664B"/>
    <w:rsid w:val="3E5A7334"/>
    <w:rsid w:val="3E68794A"/>
    <w:rsid w:val="3E7B5D6B"/>
    <w:rsid w:val="3E843E66"/>
    <w:rsid w:val="3E8F51FE"/>
    <w:rsid w:val="3E926F87"/>
    <w:rsid w:val="3E9A59DE"/>
    <w:rsid w:val="3EAF4836"/>
    <w:rsid w:val="3EC33DFA"/>
    <w:rsid w:val="3F060E16"/>
    <w:rsid w:val="3F1D1096"/>
    <w:rsid w:val="3F2F0234"/>
    <w:rsid w:val="3F35117A"/>
    <w:rsid w:val="3F6363FE"/>
    <w:rsid w:val="3F756B8F"/>
    <w:rsid w:val="3F95482B"/>
    <w:rsid w:val="3FB13584"/>
    <w:rsid w:val="3FED78DE"/>
    <w:rsid w:val="4019356B"/>
    <w:rsid w:val="40592157"/>
    <w:rsid w:val="406E1CAE"/>
    <w:rsid w:val="408D0011"/>
    <w:rsid w:val="409B6773"/>
    <w:rsid w:val="40A0133A"/>
    <w:rsid w:val="40C31A53"/>
    <w:rsid w:val="40FF545D"/>
    <w:rsid w:val="410067C8"/>
    <w:rsid w:val="4111009E"/>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5D457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0B1967"/>
    <w:rsid w:val="4811697D"/>
    <w:rsid w:val="486F6CFB"/>
    <w:rsid w:val="487A3E25"/>
    <w:rsid w:val="488B5503"/>
    <w:rsid w:val="48936824"/>
    <w:rsid w:val="48937E21"/>
    <w:rsid w:val="489A0361"/>
    <w:rsid w:val="48B94FF3"/>
    <w:rsid w:val="48E37AAB"/>
    <w:rsid w:val="48FD4B4C"/>
    <w:rsid w:val="490A68E0"/>
    <w:rsid w:val="491055FE"/>
    <w:rsid w:val="492D4A89"/>
    <w:rsid w:val="495F5B3E"/>
    <w:rsid w:val="496F77D7"/>
    <w:rsid w:val="497654FD"/>
    <w:rsid w:val="49973CAE"/>
    <w:rsid w:val="49B64211"/>
    <w:rsid w:val="49F6167F"/>
    <w:rsid w:val="4A064FA0"/>
    <w:rsid w:val="4A16615C"/>
    <w:rsid w:val="4A4424D7"/>
    <w:rsid w:val="4A867160"/>
    <w:rsid w:val="4AB82D0F"/>
    <w:rsid w:val="4AEB7664"/>
    <w:rsid w:val="4AFD7C19"/>
    <w:rsid w:val="4B0567D1"/>
    <w:rsid w:val="4B236AAE"/>
    <w:rsid w:val="4B630743"/>
    <w:rsid w:val="4B707271"/>
    <w:rsid w:val="4B9739F7"/>
    <w:rsid w:val="4B9E0662"/>
    <w:rsid w:val="4BB75B3C"/>
    <w:rsid w:val="4BE12F60"/>
    <w:rsid w:val="4BEE2503"/>
    <w:rsid w:val="4BEF138D"/>
    <w:rsid w:val="4C245A30"/>
    <w:rsid w:val="4C327461"/>
    <w:rsid w:val="4CB6685F"/>
    <w:rsid w:val="4CC367FE"/>
    <w:rsid w:val="4D077F3C"/>
    <w:rsid w:val="4D123355"/>
    <w:rsid w:val="4D2A3B31"/>
    <w:rsid w:val="4D312C52"/>
    <w:rsid w:val="4D905305"/>
    <w:rsid w:val="4D964A72"/>
    <w:rsid w:val="4D9C1254"/>
    <w:rsid w:val="4DA15BCD"/>
    <w:rsid w:val="4E125FF9"/>
    <w:rsid w:val="4E793892"/>
    <w:rsid w:val="4E800872"/>
    <w:rsid w:val="4EC569ED"/>
    <w:rsid w:val="4EC5770E"/>
    <w:rsid w:val="4ED50EA1"/>
    <w:rsid w:val="4ED51D10"/>
    <w:rsid w:val="4EEC050C"/>
    <w:rsid w:val="4F104EC3"/>
    <w:rsid w:val="4F47354A"/>
    <w:rsid w:val="4F911C54"/>
    <w:rsid w:val="4FE625E0"/>
    <w:rsid w:val="4FE65BDF"/>
    <w:rsid w:val="4FF76E46"/>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0F41CC"/>
    <w:rsid w:val="522A153E"/>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1EBF"/>
    <w:rsid w:val="54605E1E"/>
    <w:rsid w:val="54B3506A"/>
    <w:rsid w:val="54CA0D16"/>
    <w:rsid w:val="54DD4057"/>
    <w:rsid w:val="54E7490F"/>
    <w:rsid w:val="550764A4"/>
    <w:rsid w:val="550B2BF6"/>
    <w:rsid w:val="55214EB5"/>
    <w:rsid w:val="55364EFD"/>
    <w:rsid w:val="555D4828"/>
    <w:rsid w:val="55676BD1"/>
    <w:rsid w:val="557A4C8B"/>
    <w:rsid w:val="55826A84"/>
    <w:rsid w:val="558931E1"/>
    <w:rsid w:val="559029A1"/>
    <w:rsid w:val="55923347"/>
    <w:rsid w:val="55925180"/>
    <w:rsid w:val="55983B1B"/>
    <w:rsid w:val="55A8376B"/>
    <w:rsid w:val="55DC29B6"/>
    <w:rsid w:val="55DD4241"/>
    <w:rsid w:val="56110A7A"/>
    <w:rsid w:val="566B44F9"/>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4D5131"/>
    <w:rsid w:val="595E1678"/>
    <w:rsid w:val="59686533"/>
    <w:rsid w:val="596D5BD4"/>
    <w:rsid w:val="597E3DD8"/>
    <w:rsid w:val="59EF0FAA"/>
    <w:rsid w:val="59F80043"/>
    <w:rsid w:val="5A09252F"/>
    <w:rsid w:val="5A0B2778"/>
    <w:rsid w:val="5A2A7C7B"/>
    <w:rsid w:val="5A3C0E89"/>
    <w:rsid w:val="5A3E2560"/>
    <w:rsid w:val="5A5D3B6E"/>
    <w:rsid w:val="5A637A76"/>
    <w:rsid w:val="5A6D33BA"/>
    <w:rsid w:val="5A792B1F"/>
    <w:rsid w:val="5A874767"/>
    <w:rsid w:val="5A941FC1"/>
    <w:rsid w:val="5AAD6F28"/>
    <w:rsid w:val="5AD63A24"/>
    <w:rsid w:val="5B024457"/>
    <w:rsid w:val="5B091AC4"/>
    <w:rsid w:val="5B2E1A1D"/>
    <w:rsid w:val="5B843A1C"/>
    <w:rsid w:val="5B873E3F"/>
    <w:rsid w:val="5BC84369"/>
    <w:rsid w:val="5C02690E"/>
    <w:rsid w:val="5C196DA7"/>
    <w:rsid w:val="5C2A048C"/>
    <w:rsid w:val="5C80234E"/>
    <w:rsid w:val="5C8A680C"/>
    <w:rsid w:val="5C90464B"/>
    <w:rsid w:val="5CAE598B"/>
    <w:rsid w:val="5CF551D4"/>
    <w:rsid w:val="5D0C4701"/>
    <w:rsid w:val="5D0F0395"/>
    <w:rsid w:val="5D221076"/>
    <w:rsid w:val="5D397964"/>
    <w:rsid w:val="5D54179E"/>
    <w:rsid w:val="5D5A391C"/>
    <w:rsid w:val="5D5F10C0"/>
    <w:rsid w:val="5D891B7B"/>
    <w:rsid w:val="5DAD38EE"/>
    <w:rsid w:val="5E006862"/>
    <w:rsid w:val="5E0207B9"/>
    <w:rsid w:val="5E1834A1"/>
    <w:rsid w:val="5E261785"/>
    <w:rsid w:val="5E431B3A"/>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8B1DE7"/>
    <w:rsid w:val="609F2AC4"/>
    <w:rsid w:val="60B234F3"/>
    <w:rsid w:val="60FA2EE8"/>
    <w:rsid w:val="61054A27"/>
    <w:rsid w:val="610A52BC"/>
    <w:rsid w:val="611D2366"/>
    <w:rsid w:val="61421856"/>
    <w:rsid w:val="615227C4"/>
    <w:rsid w:val="615F53D6"/>
    <w:rsid w:val="61654E3F"/>
    <w:rsid w:val="6182292A"/>
    <w:rsid w:val="619145DE"/>
    <w:rsid w:val="619F7F92"/>
    <w:rsid w:val="61B51E9A"/>
    <w:rsid w:val="61E3027B"/>
    <w:rsid w:val="61F94C26"/>
    <w:rsid w:val="62000E56"/>
    <w:rsid w:val="62085D5B"/>
    <w:rsid w:val="624F3E49"/>
    <w:rsid w:val="62557CB5"/>
    <w:rsid w:val="62632286"/>
    <w:rsid w:val="62885958"/>
    <w:rsid w:val="62F40B65"/>
    <w:rsid w:val="62FC2CFE"/>
    <w:rsid w:val="63024505"/>
    <w:rsid w:val="635B1DB5"/>
    <w:rsid w:val="63711FED"/>
    <w:rsid w:val="63880DDC"/>
    <w:rsid w:val="638D750D"/>
    <w:rsid w:val="63AC6CC0"/>
    <w:rsid w:val="64055776"/>
    <w:rsid w:val="64240056"/>
    <w:rsid w:val="64254456"/>
    <w:rsid w:val="643E143A"/>
    <w:rsid w:val="648B6EEF"/>
    <w:rsid w:val="64C158BF"/>
    <w:rsid w:val="64C847EC"/>
    <w:rsid w:val="64CE2EAA"/>
    <w:rsid w:val="653C3090"/>
    <w:rsid w:val="65671841"/>
    <w:rsid w:val="65854376"/>
    <w:rsid w:val="658767BE"/>
    <w:rsid w:val="65892531"/>
    <w:rsid w:val="66125E6A"/>
    <w:rsid w:val="66195831"/>
    <w:rsid w:val="662E75B1"/>
    <w:rsid w:val="66342C2E"/>
    <w:rsid w:val="663E784C"/>
    <w:rsid w:val="668B6A45"/>
    <w:rsid w:val="672F3F24"/>
    <w:rsid w:val="673E055F"/>
    <w:rsid w:val="67430B21"/>
    <w:rsid w:val="67551CE3"/>
    <w:rsid w:val="677473A5"/>
    <w:rsid w:val="67A22552"/>
    <w:rsid w:val="67A27DD9"/>
    <w:rsid w:val="67B22DCC"/>
    <w:rsid w:val="67BE71AA"/>
    <w:rsid w:val="67D90273"/>
    <w:rsid w:val="67DE5875"/>
    <w:rsid w:val="67E55852"/>
    <w:rsid w:val="67EB1AB4"/>
    <w:rsid w:val="67FA1285"/>
    <w:rsid w:val="684B3FCA"/>
    <w:rsid w:val="68551F4F"/>
    <w:rsid w:val="686F02F5"/>
    <w:rsid w:val="687C10C9"/>
    <w:rsid w:val="68840C16"/>
    <w:rsid w:val="68876EFB"/>
    <w:rsid w:val="68884654"/>
    <w:rsid w:val="689F444F"/>
    <w:rsid w:val="68B96DBB"/>
    <w:rsid w:val="68CA2805"/>
    <w:rsid w:val="68E937A3"/>
    <w:rsid w:val="68ED79FE"/>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981439"/>
    <w:rsid w:val="6BE96690"/>
    <w:rsid w:val="6BFC7894"/>
    <w:rsid w:val="6C196F71"/>
    <w:rsid w:val="6C226FCB"/>
    <w:rsid w:val="6C31226F"/>
    <w:rsid w:val="6C552F0B"/>
    <w:rsid w:val="6C5F420E"/>
    <w:rsid w:val="6C8C67B7"/>
    <w:rsid w:val="6C9D744C"/>
    <w:rsid w:val="6CFE49A9"/>
    <w:rsid w:val="6D167928"/>
    <w:rsid w:val="6D26299B"/>
    <w:rsid w:val="6D4772EC"/>
    <w:rsid w:val="6D9078AF"/>
    <w:rsid w:val="6D956F05"/>
    <w:rsid w:val="6DAA3FEF"/>
    <w:rsid w:val="6DC0172B"/>
    <w:rsid w:val="6DCB690C"/>
    <w:rsid w:val="6DD41A5B"/>
    <w:rsid w:val="6DF43C2E"/>
    <w:rsid w:val="6DF51CA3"/>
    <w:rsid w:val="6E6833C7"/>
    <w:rsid w:val="6E8335BD"/>
    <w:rsid w:val="6E8E12EF"/>
    <w:rsid w:val="6E972936"/>
    <w:rsid w:val="6ED446C5"/>
    <w:rsid w:val="6EFA5469"/>
    <w:rsid w:val="6F2A7D94"/>
    <w:rsid w:val="6F8331F1"/>
    <w:rsid w:val="6FAE1A09"/>
    <w:rsid w:val="6FD75BF8"/>
    <w:rsid w:val="707723D0"/>
    <w:rsid w:val="70AE7CC9"/>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D3D91"/>
    <w:rsid w:val="752E6DCD"/>
    <w:rsid w:val="75342268"/>
    <w:rsid w:val="754A11EA"/>
    <w:rsid w:val="7551380D"/>
    <w:rsid w:val="755A66FA"/>
    <w:rsid w:val="75600BE5"/>
    <w:rsid w:val="7564475C"/>
    <w:rsid w:val="7583797F"/>
    <w:rsid w:val="75D20F1D"/>
    <w:rsid w:val="75DA2C18"/>
    <w:rsid w:val="75F54412"/>
    <w:rsid w:val="761D08E0"/>
    <w:rsid w:val="7647151B"/>
    <w:rsid w:val="765D347C"/>
    <w:rsid w:val="76826699"/>
    <w:rsid w:val="76C87133"/>
    <w:rsid w:val="76CD08D5"/>
    <w:rsid w:val="76D65566"/>
    <w:rsid w:val="76DB4B92"/>
    <w:rsid w:val="77052AA4"/>
    <w:rsid w:val="77136511"/>
    <w:rsid w:val="77340A39"/>
    <w:rsid w:val="77351FD0"/>
    <w:rsid w:val="77472422"/>
    <w:rsid w:val="777D278C"/>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6C5"/>
    <w:rsid w:val="79FD443C"/>
    <w:rsid w:val="7A1D1975"/>
    <w:rsid w:val="7A235449"/>
    <w:rsid w:val="7A357E2B"/>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D06A6"/>
    <w:rsid w:val="7B806288"/>
    <w:rsid w:val="7BEE0103"/>
    <w:rsid w:val="7C0A0FE4"/>
    <w:rsid w:val="7C254906"/>
    <w:rsid w:val="7C590818"/>
    <w:rsid w:val="7C7C10F6"/>
    <w:rsid w:val="7C853BEA"/>
    <w:rsid w:val="7C881368"/>
    <w:rsid w:val="7CE27788"/>
    <w:rsid w:val="7D0C32F1"/>
    <w:rsid w:val="7D0F408D"/>
    <w:rsid w:val="7D3C6DA2"/>
    <w:rsid w:val="7D491C6C"/>
    <w:rsid w:val="7D5429C0"/>
    <w:rsid w:val="7D6E6D43"/>
    <w:rsid w:val="7DB57A34"/>
    <w:rsid w:val="7DE60973"/>
    <w:rsid w:val="7DEF0916"/>
    <w:rsid w:val="7E1E5218"/>
    <w:rsid w:val="7E2F0CAA"/>
    <w:rsid w:val="7E9A4E1F"/>
    <w:rsid w:val="7EA7723A"/>
    <w:rsid w:val="7EF56FBB"/>
    <w:rsid w:val="7F0768EB"/>
    <w:rsid w:val="7F115156"/>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link w:val="72"/>
    <w:unhideWhenUsed/>
    <w:qFormat/>
    <w:uiPriority w:val="1"/>
    <w:rPr>
      <w:rFonts w:ascii="仿宋_GB2312" w:eastAsia="仿宋_GB2312"/>
      <w:b/>
      <w:sz w:val="32"/>
      <w:szCs w:val="32"/>
    </w:rPr>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BodyTextIndent"/>
    <w:basedOn w:val="1"/>
    <w:next w:val="3"/>
    <w:qFormat/>
    <w:uiPriority w:val="0"/>
    <w:pPr>
      <w:spacing w:after="120"/>
      <w:ind w:left="420" w:leftChars="200"/>
      <w:jc w:val="both"/>
      <w:textAlignment w:val="baseline"/>
    </w:pPr>
  </w:style>
  <w:style w:type="paragraph" w:customStyle="1" w:styleId="3">
    <w:name w:val="UserStyle_0"/>
    <w:basedOn w:val="2"/>
    <w:qFormat/>
    <w:uiPriority w:val="0"/>
    <w:pPr>
      <w:spacing w:after="120" w:line="240" w:lineRule="atLeast"/>
      <w:ind w:left="420" w:leftChars="200" w:firstLine="420"/>
      <w:jc w:val="both"/>
      <w:textAlignment w:val="baseline"/>
    </w:pPr>
    <w:rPr>
      <w:rFonts w:ascii="宋体" w:hAnsi="Courier New"/>
      <w:spacing w:val="-4"/>
      <w:sz w:val="18"/>
    </w:rPr>
  </w:style>
  <w:style w:type="paragraph" w:styleId="7">
    <w:name w:val="Normal Indent"/>
    <w:basedOn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3"/>
    <w:qFormat/>
    <w:uiPriority w:val="0"/>
    <w:pPr>
      <w:shd w:val="clear" w:color="auto" w:fill="000080"/>
    </w:pPr>
  </w:style>
  <w:style w:type="paragraph" w:styleId="21">
    <w:name w:val="annotation text"/>
    <w:basedOn w:val="1"/>
    <w:link w:val="861"/>
    <w:qFormat/>
    <w:uiPriority w:val="99"/>
    <w:pPr>
      <w:jc w:val="left"/>
    </w:pPr>
    <w:rPr>
      <w:rFonts w:hint="eastAsia"/>
    </w:rPr>
  </w:style>
  <w:style w:type="paragraph" w:styleId="22">
    <w:name w:val="Salutation"/>
    <w:basedOn w:val="1"/>
    <w:next w:val="1"/>
    <w:link w:val="821"/>
    <w:qFormat/>
    <w:uiPriority w:val="0"/>
    <w:rPr>
      <w:rFonts w:ascii="仿宋_GB2312" w:eastAsia="仿宋_GB2312"/>
      <w:sz w:val="28"/>
      <w:szCs w:val="20"/>
    </w:rPr>
  </w:style>
  <w:style w:type="paragraph" w:styleId="23">
    <w:name w:val="Body Text 3"/>
    <w:basedOn w:val="1"/>
    <w:link w:val="84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0"/>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29"/>
    <w:link w:val="789"/>
    <w:qFormat/>
    <w:uiPriority w:val="0"/>
    <w:pPr>
      <w:spacing w:line="480" w:lineRule="exact"/>
      <w:ind w:firstLine="480" w:firstLineChars="200"/>
    </w:pPr>
    <w:rPr>
      <w:rFonts w:ascii="宋体" w:hAnsi="宋体"/>
      <w:sz w:val="24"/>
    </w:rPr>
  </w:style>
  <w:style w:type="paragraph" w:styleId="29">
    <w:name w:val="Body Text First Indent 2"/>
    <w:basedOn w:val="28"/>
    <w:next w:val="26"/>
    <w:link w:val="661"/>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5"/>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5"/>
    <w:qFormat/>
    <w:uiPriority w:val="0"/>
    <w:pPr>
      <w:ind w:left="100" w:leftChars="2500"/>
    </w:pPr>
    <w:rPr>
      <w:rFonts w:ascii="宋体"/>
      <w:sz w:val="24"/>
      <w:szCs w:val="21"/>
      <w:lang w:val="zh-CN"/>
    </w:rPr>
  </w:style>
  <w:style w:type="paragraph" w:styleId="41">
    <w:name w:val="Body Text Indent 2"/>
    <w:basedOn w:val="1"/>
    <w:link w:val="829"/>
    <w:qFormat/>
    <w:uiPriority w:val="0"/>
    <w:pPr>
      <w:spacing w:line="360" w:lineRule="auto"/>
      <w:ind w:firstLine="601"/>
      <w:textAlignment w:val="baseline"/>
    </w:pPr>
    <w:rPr>
      <w:rFonts w:ascii="宋体"/>
      <w:kern w:val="0"/>
      <w:sz w:val="28"/>
      <w:szCs w:val="20"/>
    </w:rPr>
  </w:style>
  <w:style w:type="paragraph" w:styleId="42">
    <w:name w:val="endnote text"/>
    <w:basedOn w:val="1"/>
    <w:link w:val="946"/>
    <w:qFormat/>
    <w:uiPriority w:val="0"/>
    <w:rPr>
      <w:lang w:val="zh-CN"/>
    </w:rPr>
  </w:style>
  <w:style w:type="paragraph" w:styleId="43">
    <w:name w:val="Balloon Text"/>
    <w:basedOn w:val="1"/>
    <w:link w:val="722"/>
    <w:qFormat/>
    <w:uiPriority w:val="0"/>
    <w:rPr>
      <w:sz w:val="18"/>
      <w:szCs w:val="18"/>
    </w:rPr>
  </w:style>
  <w:style w:type="paragraph" w:styleId="44">
    <w:name w:val="footer"/>
    <w:basedOn w:val="1"/>
    <w:link w:val="897"/>
    <w:qFormat/>
    <w:uiPriority w:val="99"/>
    <w:pPr>
      <w:tabs>
        <w:tab w:val="center" w:pos="4153"/>
        <w:tab w:val="right" w:pos="8306"/>
      </w:tabs>
      <w:snapToGrid w:val="0"/>
      <w:jc w:val="left"/>
    </w:pPr>
    <w:rPr>
      <w:sz w:val="18"/>
      <w:szCs w:val="18"/>
    </w:rPr>
  </w:style>
  <w:style w:type="paragraph" w:styleId="45">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831"/>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0"/>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5"/>
    <w:qFormat/>
    <w:uiPriority w:val="0"/>
    <w:pPr>
      <w:spacing w:after="120" w:line="480" w:lineRule="auto"/>
    </w:pPr>
  </w:style>
  <w:style w:type="paragraph" w:styleId="60">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38"/>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2">
    <w:name w:val="Char Char Char Char Char Char Char Char Char Char Char Char Char"/>
    <w:basedOn w:val="1"/>
    <w:link w:val="71"/>
    <w:qFormat/>
    <w:uiPriority w:val="0"/>
    <w:rPr>
      <w:rFonts w:ascii="仿宋_GB2312" w:eastAsia="仿宋_GB2312"/>
      <w:b/>
      <w:sz w:val="32"/>
      <w:szCs w:val="32"/>
    </w:r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1"/>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1"/>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Body Text First Indent 21"/>
    <w:basedOn w:val="83"/>
    <w:qFormat/>
    <w:uiPriority w:val="0"/>
    <w:pPr>
      <w:ind w:firstLine="420"/>
    </w:pPr>
    <w:rPr>
      <w:rFonts w:cs="宋体"/>
    </w:rPr>
  </w:style>
  <w:style w:type="paragraph" w:customStyle="1" w:styleId="83">
    <w:name w:val="Body Text Indent1"/>
    <w:basedOn w:val="1"/>
    <w:next w:val="1"/>
    <w:qFormat/>
    <w:uiPriority w:val="0"/>
    <w:pPr>
      <w:spacing w:after="120"/>
      <w:ind w:left="420" w:leftChars="200"/>
    </w:pPr>
  </w:style>
  <w:style w:type="paragraph" w:customStyle="1" w:styleId="84">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0"/>
    <w:qFormat/>
    <w:uiPriority w:val="0"/>
    <w:pPr>
      <w:spacing w:before="156" w:line="360" w:lineRule="auto"/>
      <w:ind w:firstLine="510" w:firstLineChars="200"/>
    </w:pPr>
    <w:rPr>
      <w:sz w:val="24"/>
      <w:szCs w:val="20"/>
    </w:rPr>
  </w:style>
  <w:style w:type="paragraph" w:customStyle="1" w:styleId="90">
    <w:name w:val="无间隔1"/>
    <w:link w:val="678"/>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6"/>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1"/>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3"/>
    <w:qFormat/>
    <w:uiPriority w:val="0"/>
    <w:pPr>
      <w:adjustRightInd/>
      <w:spacing w:line="360" w:lineRule="auto"/>
      <w:ind w:firstLine="480" w:firstLineChars="200"/>
    </w:pPr>
    <w:rPr>
      <w:kern w:val="0"/>
      <w:sz w:val="24"/>
    </w:rPr>
  </w:style>
  <w:style w:type="paragraph" w:customStyle="1" w:styleId="102">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4"/>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6"/>
    <w:qFormat/>
    <w:uiPriority w:val="0"/>
    <w:pPr>
      <w:tabs>
        <w:tab w:val="left" w:pos="2356"/>
      </w:tabs>
    </w:pPr>
  </w:style>
  <w:style w:type="paragraph" w:customStyle="1" w:styleId="107">
    <w:name w:val="样式 标题 4h4H4Fab-4T5Ref Heading 1rh1Heading sqlsect 1.2.3...."/>
    <w:basedOn w:val="8"/>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9"/>
    <w:qFormat/>
    <w:uiPriority w:val="0"/>
    <w:pPr>
      <w:adjustRightInd/>
    </w:pPr>
    <w:rPr>
      <w:rFonts w:ascii="宋体" w:hAnsi="Courier New"/>
      <w:kern w:val="0"/>
      <w:sz w:val="20"/>
      <w:szCs w:val="20"/>
    </w:rPr>
  </w:style>
  <w:style w:type="paragraph" w:customStyle="1" w:styleId="110">
    <w:name w:val="正文说明"/>
    <w:basedOn w:val="1"/>
    <w:link w:val="851"/>
    <w:qFormat/>
    <w:uiPriority w:val="0"/>
    <w:pPr>
      <w:adjustRightInd/>
      <w:spacing w:line="360" w:lineRule="auto"/>
    </w:pPr>
    <w:rPr>
      <w:kern w:val="0"/>
      <w:sz w:val="24"/>
    </w:rPr>
  </w:style>
  <w:style w:type="paragraph" w:customStyle="1" w:styleId="111">
    <w:name w:val="Table Text"/>
    <w:basedOn w:val="1"/>
    <w:link w:val="857"/>
    <w:qFormat/>
    <w:uiPriority w:val="0"/>
    <w:pPr>
      <w:widowControl/>
      <w:spacing w:before="60" w:after="60"/>
      <w:jc w:val="left"/>
    </w:pPr>
    <w:rPr>
      <w:kern w:val="0"/>
      <w:sz w:val="24"/>
    </w:rPr>
  </w:style>
  <w:style w:type="paragraph" w:customStyle="1" w:styleId="112">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8"/>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7"/>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9"/>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8"/>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1"/>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5"/>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0"/>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9"/>
    <w:next w:val="1"/>
    <w:qFormat/>
    <w:uiPriority w:val="0"/>
    <w:pPr>
      <w:tabs>
        <w:tab w:val="left" w:pos="1080"/>
        <w:tab w:val="clear" w:pos="1008"/>
      </w:tabs>
      <w:ind w:left="1080" w:hanging="1080"/>
    </w:pPr>
  </w:style>
  <w:style w:type="paragraph" w:customStyle="1" w:styleId="584">
    <w:name w:val="数字标题1"/>
    <w:basedOn w:val="4"/>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List Paragraph"/>
    <w:basedOn w:val="1"/>
    <w:qFormat/>
    <w:uiPriority w:val="34"/>
    <w:pPr>
      <w:spacing w:line="360" w:lineRule="auto"/>
      <w:ind w:firstLine="200" w:firstLineChars="200"/>
    </w:pPr>
    <w:rPr>
      <w:rFonts w:eastAsia="楷体_GB2312" w:cs="Lucida Sans"/>
      <w:sz w:val="24"/>
    </w:rPr>
  </w:style>
  <w:style w:type="paragraph" w:customStyle="1" w:styleId="626">
    <w:name w:val="正文文本首行缩进 2"/>
    <w:basedOn w:val="28"/>
    <w:qFormat/>
    <w:uiPriority w:val="99"/>
    <w:pPr>
      <w:spacing w:line="200" w:lineRule="atLeast"/>
      <w:ind w:firstLine="420"/>
    </w:pPr>
    <w:rPr>
      <w:rFonts w:ascii="宋体" w:hAnsi="Courier New"/>
      <w:spacing w:val="-4"/>
      <w:sz w:val="18"/>
    </w:rPr>
  </w:style>
  <w:style w:type="character" w:customStyle="1" w:styleId="627">
    <w:name w:val="表格非标题文字 Char"/>
    <w:link w:val="84"/>
    <w:qFormat/>
    <w:uiPriority w:val="0"/>
    <w:rPr>
      <w:rFonts w:ascii="Futura Bk" w:hAnsi="Futura Bk"/>
      <w:kern w:val="2"/>
      <w:sz w:val="18"/>
      <w:szCs w:val="21"/>
      <w:lang w:val="en-US" w:eastAsia="zh-CN" w:bidi="ar-SA"/>
    </w:rPr>
  </w:style>
  <w:style w:type="character" w:customStyle="1" w:styleId="628">
    <w:name w:val="*正文 Char"/>
    <w:link w:val="85"/>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6"/>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字符"/>
    <w:link w:val="63"/>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7"/>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8"/>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文本首行缩进 2 字符"/>
    <w:link w:val="29"/>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1"/>
    <w:qFormat/>
    <w:uiPriority w:val="0"/>
    <w:rPr>
      <w:rFonts w:ascii="Arial" w:hAnsi="Arial" w:eastAsia="黑体" w:cs="Arial"/>
      <w:snapToGrid w:val="0"/>
      <w:kern w:val="0"/>
      <w:szCs w:val="21"/>
    </w:rPr>
  </w:style>
  <w:style w:type="character" w:customStyle="1" w:styleId="665">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9"/>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字符"/>
    <w:link w:val="51"/>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0"/>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字符"/>
    <w:link w:val="10"/>
    <w:qFormat/>
    <w:uiPriority w:val="0"/>
    <w:rPr>
      <w:rFonts w:ascii="Arial" w:hAnsi="Arial" w:eastAsia="黑体"/>
      <w:b/>
      <w:bCs/>
      <w:kern w:val="2"/>
      <w:sz w:val="24"/>
      <w:szCs w:val="24"/>
    </w:rPr>
  </w:style>
  <w:style w:type="character" w:customStyle="1" w:styleId="686">
    <w:name w:val="纯文本 Char_0"/>
    <w:link w:val="91"/>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3"/>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4"/>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字符"/>
    <w:link w:val="40"/>
    <w:qFormat/>
    <w:uiPriority w:val="0"/>
    <w:rPr>
      <w:rFonts w:ascii="宋体"/>
      <w:kern w:val="2"/>
      <w:sz w:val="24"/>
      <w:szCs w:val="21"/>
      <w:lang w:val="zh-CN"/>
    </w:rPr>
  </w:style>
  <w:style w:type="character" w:customStyle="1" w:styleId="716">
    <w:name w:val="标题 9 字符"/>
    <w:link w:val="13"/>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字符1"/>
    <w:link w:val="43"/>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5"/>
    <w:qFormat/>
    <w:locked/>
    <w:uiPriority w:val="0"/>
    <w:rPr>
      <w:rFonts w:ascii="Tahoma" w:hAnsi="Tahoma"/>
      <w:sz w:val="24"/>
      <w:szCs w:val="24"/>
    </w:rPr>
  </w:style>
  <w:style w:type="character" w:customStyle="1" w:styleId="726">
    <w:name w:val="正文缩进 字符2"/>
    <w:link w:val="7"/>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6"/>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字符"/>
    <w:link w:val="20"/>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1"/>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字符"/>
    <w:link w:val="34"/>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8"/>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9"/>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字符"/>
    <w:link w:val="18"/>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0"/>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1"/>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2"/>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3"/>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字符1"/>
    <w:link w:val="28"/>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5"/>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字符1"/>
    <w:link w:val="4"/>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字符"/>
    <w:link w:val="62"/>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字符"/>
    <w:link w:val="9"/>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字符"/>
    <w:link w:val="22"/>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字符"/>
    <w:link w:val="60"/>
    <w:qFormat/>
    <w:uiPriority w:val="0"/>
    <w:rPr>
      <w:rFonts w:ascii="黑体" w:hAnsi="Courier New" w:eastAsia="黑体"/>
    </w:rPr>
  </w:style>
  <w:style w:type="character" w:customStyle="1" w:styleId="825">
    <w:name w:val="正文文本 2 字符1"/>
    <w:link w:val="59"/>
    <w:qFormat/>
    <w:uiPriority w:val="0"/>
    <w:rPr>
      <w:kern w:val="2"/>
      <w:sz w:val="21"/>
      <w:szCs w:val="24"/>
    </w:rPr>
  </w:style>
  <w:style w:type="character" w:customStyle="1" w:styleId="826">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字符"/>
    <w:link w:val="11"/>
    <w:qFormat/>
    <w:uiPriority w:val="0"/>
    <w:rPr>
      <w:b/>
      <w:bCs/>
      <w:kern w:val="2"/>
      <w:sz w:val="24"/>
      <w:szCs w:val="24"/>
    </w:rPr>
  </w:style>
  <w:style w:type="character" w:customStyle="1" w:styleId="829">
    <w:name w:val="正文文本缩进 2 字符"/>
    <w:link w:val="41"/>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字符"/>
    <w:link w:val="54"/>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8"/>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9"/>
    <w:qFormat/>
    <w:uiPriority w:val="0"/>
    <w:rPr>
      <w:rFonts w:ascii="宋体" w:hAnsi="Courier New"/>
    </w:rPr>
  </w:style>
  <w:style w:type="character" w:customStyle="1" w:styleId="840">
    <w:name w:val="正文文本首行缩进 字符"/>
    <w:link w:val="26"/>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字符1"/>
    <w:link w:val="8"/>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字符"/>
    <w:link w:val="23"/>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0"/>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1"/>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字符1"/>
    <w:link w:val="21"/>
    <w:qFormat/>
    <w:uiPriority w:val="0"/>
    <w:rPr>
      <w:kern w:val="2"/>
      <w:sz w:val="21"/>
      <w:szCs w:val="24"/>
    </w:rPr>
  </w:style>
  <w:style w:type="character" w:customStyle="1" w:styleId="862">
    <w:name w:val="签名 字符"/>
    <w:link w:val="46"/>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2"/>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3"/>
    <w:qFormat/>
    <w:uiPriority w:val="0"/>
    <w:rPr>
      <w:rFonts w:ascii="宋体"/>
    </w:rPr>
  </w:style>
  <w:style w:type="character" w:customStyle="1" w:styleId="873">
    <w:name w:val="标题 8 字符"/>
    <w:link w:val="12"/>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字符"/>
    <w:link w:val="56"/>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4"/>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字符2"/>
    <w:link w:val="44"/>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5"/>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字符2"/>
    <w:link w:val="45"/>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6"/>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7"/>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8"/>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9"/>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1"/>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0"/>
    <w:qFormat/>
    <w:uiPriority w:val="0"/>
    <w:rPr>
      <w:rFonts w:cs="宋体"/>
      <w:kern w:val="2"/>
      <w:sz w:val="24"/>
    </w:rPr>
  </w:style>
  <w:style w:type="character" w:customStyle="1" w:styleId="93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9">
    <w:name w:val="gray6"/>
    <w:basedOn w:val="71"/>
    <w:qFormat/>
    <w:uiPriority w:val="0"/>
    <w:rPr>
      <w:rFonts w:ascii="Arial" w:hAnsi="Arial" w:eastAsia="黑体" w:cs="Arial"/>
      <w:snapToGrid w:val="0"/>
      <w:kern w:val="0"/>
      <w:szCs w:val="21"/>
    </w:rPr>
  </w:style>
  <w:style w:type="character" w:customStyle="1" w:styleId="940">
    <w:name w:val="hui"/>
    <w:basedOn w:val="71"/>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字符"/>
    <w:link w:val="42"/>
    <w:qFormat/>
    <w:uiPriority w:val="0"/>
    <w:rPr>
      <w:kern w:val="2"/>
      <w:sz w:val="21"/>
      <w:szCs w:val="24"/>
      <w:lang w:val="zh-CN"/>
    </w:rPr>
  </w:style>
  <w:style w:type="character" w:customStyle="1" w:styleId="947">
    <w:name w:val="无间隔 Char"/>
    <w:link w:val="170"/>
    <w:qFormat/>
    <w:uiPriority w:val="99"/>
    <w:rPr>
      <w:kern w:val="2"/>
      <w:sz w:val="21"/>
      <w:szCs w:val="22"/>
    </w:rPr>
  </w:style>
  <w:style w:type="character" w:customStyle="1" w:styleId="948">
    <w:name w:val="标准文本 Char Char"/>
    <w:link w:val="609"/>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36379</Words>
  <Characters>38271</Characters>
  <Lines>329</Lines>
  <Paragraphs>92</Paragraphs>
  <TotalTime>9</TotalTime>
  <ScaleCrop>false</ScaleCrop>
  <LinksUpToDate>false</LinksUpToDate>
  <CharactersWithSpaces>44620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Robin酱。</cp:lastModifiedBy>
  <cp:lastPrinted>2022-11-16T08:39:00Z</cp:lastPrinted>
  <dcterms:modified xsi:type="dcterms:W3CDTF">2022-12-09T03:09:44Z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297AA63719C44CC0875CA62F54270462</vt:lpwstr>
  </property>
</Properties>
</file>