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color w:val="000000"/>
          <w:sz w:val="52"/>
          <w:szCs w:val="52"/>
        </w:rPr>
      </w:pPr>
      <w:bookmarkStart w:id="35" w:name="_GoBack"/>
      <w:bookmarkEnd w:id="35"/>
    </w:p>
    <w:p>
      <w:pPr>
        <w:shd w:val="clear" w:color="auto" w:fill="FFFFFF"/>
        <w:tabs>
          <w:tab w:val="left" w:pos="4500"/>
        </w:tabs>
        <w:snapToGrid w:val="0"/>
        <w:spacing w:line="360" w:lineRule="auto"/>
        <w:jc w:val="center"/>
        <w:textAlignment w:val="bottom"/>
        <w:rPr>
          <w:rFonts w:hint="eastAsia" w:ascii="宋体" w:hAnsi="宋体" w:cs="宋体"/>
          <w:b/>
          <w:bCs/>
          <w:color w:val="000000"/>
          <w:spacing w:val="6"/>
          <w:sz w:val="48"/>
          <w:szCs w:val="48"/>
        </w:rPr>
      </w:pPr>
      <w:r>
        <w:rPr>
          <w:rFonts w:hint="eastAsia" w:cs="宋体"/>
          <w:b/>
          <w:spacing w:val="40"/>
          <w:sz w:val="52"/>
          <w:szCs w:val="52"/>
          <w:lang w:eastAsia="zh-CN"/>
        </w:rPr>
        <w:t>南苑街道综治中心建设服务</w:t>
      </w:r>
      <w:r>
        <w:rPr>
          <w:rFonts w:hint="eastAsia" w:cs="宋体"/>
          <w:b/>
          <w:spacing w:val="40"/>
          <w:sz w:val="52"/>
          <w:szCs w:val="52"/>
        </w:rPr>
        <w:t>采购项目</w:t>
      </w:r>
    </w:p>
    <w:p>
      <w:pPr>
        <w:jc w:val="center"/>
        <w:rPr>
          <w:rFonts w:hint="eastAsia" w:ascii="宋体" w:hAnsi="宋体"/>
          <w:b/>
          <w:color w:val="000000"/>
          <w:sz w:val="52"/>
          <w:szCs w:val="52"/>
        </w:rPr>
      </w:pPr>
    </w:p>
    <w:p>
      <w:pPr>
        <w:jc w:val="center"/>
        <w:rPr>
          <w:rFonts w:hint="eastAsia" w:ascii="宋体" w:hAnsi="宋体"/>
          <w:b/>
          <w:color w:val="000000"/>
          <w:sz w:val="52"/>
          <w:szCs w:val="52"/>
        </w:rPr>
      </w:pPr>
    </w:p>
    <w:p>
      <w:pPr>
        <w:jc w:val="center"/>
        <w:rPr>
          <w:rFonts w:hint="eastAsia" w:ascii="宋体" w:hAnsi="宋体"/>
          <w:b/>
          <w:color w:val="000000"/>
          <w:sz w:val="84"/>
          <w:szCs w:val="84"/>
        </w:rPr>
      </w:pPr>
      <w:r>
        <w:rPr>
          <w:rFonts w:hint="eastAsia" w:ascii="宋体" w:hAnsi="宋体"/>
          <w:b/>
          <w:color w:val="000000"/>
          <w:sz w:val="84"/>
          <w:szCs w:val="84"/>
        </w:rPr>
        <w:t>竞争性谈判采购文件</w:t>
      </w:r>
    </w:p>
    <w:p>
      <w:pPr>
        <w:widowControl/>
        <w:ind w:right="-2"/>
        <w:jc w:val="center"/>
        <w:rPr>
          <w:rFonts w:hint="eastAsia" w:ascii="宋体" w:hAnsi="宋体"/>
          <w:b/>
          <w:color w:val="000000"/>
          <w:sz w:val="36"/>
          <w:szCs w:val="36"/>
        </w:rPr>
      </w:pPr>
      <w:r>
        <w:rPr>
          <w:rFonts w:hint="eastAsia" w:ascii="宋体" w:hAnsi="宋体"/>
          <w:b/>
          <w:color w:val="000000"/>
          <w:sz w:val="36"/>
          <w:szCs w:val="36"/>
        </w:rPr>
        <w:t>（项目编号：</w:t>
      </w:r>
      <w:r>
        <w:rPr>
          <w:rFonts w:hint="eastAsia" w:ascii="宋体" w:hAnsi="宋体"/>
          <w:b/>
          <w:color w:val="000000"/>
          <w:sz w:val="36"/>
          <w:szCs w:val="36"/>
          <w:lang w:val="en-US" w:eastAsia="zh-CN"/>
        </w:rPr>
        <w:t>ZJDDZFCG-2020-007</w:t>
      </w:r>
      <w:r>
        <w:rPr>
          <w:rFonts w:hint="eastAsia" w:ascii="宋体" w:hAnsi="宋体"/>
          <w:b/>
          <w:color w:val="000000"/>
          <w:sz w:val="36"/>
          <w:szCs w:val="36"/>
        </w:rPr>
        <w:t>）</w:t>
      </w:r>
    </w:p>
    <w:p>
      <w:pPr>
        <w:widowControl/>
        <w:spacing w:line="360" w:lineRule="auto"/>
        <w:ind w:right="-2"/>
        <w:jc w:val="center"/>
        <w:rPr>
          <w:rFonts w:hint="eastAsia" w:ascii="宋体" w:hAnsi="宋体"/>
          <w:b/>
          <w:color w:val="000000"/>
          <w:sz w:val="36"/>
        </w:rPr>
      </w:pPr>
      <w:r>
        <w:rPr>
          <w:rFonts w:hint="eastAsia" w:ascii="宋体" w:hAnsi="宋体"/>
          <w:b/>
          <w:color w:val="000000"/>
          <w:sz w:val="36"/>
        </w:rPr>
        <w:t>（线上电子招投标）</w:t>
      </w:r>
    </w:p>
    <w:p>
      <w:pPr>
        <w:pStyle w:val="2"/>
        <w:rPr>
          <w:rFonts w:hint="eastAsia"/>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adjustRightInd w:val="0"/>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采购人：杭州市余杭区人民政府南苑街道办事处</w:t>
      </w:r>
    </w:p>
    <w:p>
      <w:pPr>
        <w:adjustRightInd w:val="0"/>
        <w:snapToGrid w:val="0"/>
        <w:spacing w:line="360" w:lineRule="auto"/>
        <w:jc w:val="center"/>
        <w:rPr>
          <w:rFonts w:hint="eastAsia" w:ascii="宋体" w:hAnsi="宋体"/>
          <w:bCs/>
          <w:color w:val="000000"/>
          <w:sz w:val="28"/>
          <w:szCs w:val="28"/>
        </w:rPr>
      </w:pPr>
      <w:r>
        <w:rPr>
          <w:rFonts w:hint="eastAsia" w:ascii="宋体" w:hAnsi="宋体"/>
          <w:b/>
          <w:color w:val="000000"/>
          <w:sz w:val="36"/>
          <w:szCs w:val="36"/>
        </w:rPr>
        <w:t>采购代理机构：大地工程咨询有限公司</w:t>
      </w:r>
    </w:p>
    <w:p>
      <w:pPr>
        <w:spacing w:line="600" w:lineRule="exact"/>
        <w:jc w:val="center"/>
        <w:rPr>
          <w:rFonts w:ascii="宋体" w:hAnsi="宋体"/>
          <w:b/>
          <w:color w:val="000000"/>
          <w:sz w:val="36"/>
          <w:szCs w:val="36"/>
        </w:rPr>
      </w:pPr>
      <w:r>
        <w:rPr>
          <w:rFonts w:hint="eastAsia" w:ascii="宋体" w:hAnsi="宋体"/>
          <w:b/>
          <w:color w:val="000000"/>
          <w:sz w:val="36"/>
          <w:szCs w:val="36"/>
        </w:rPr>
        <w:t>2020年04月20日</w:t>
      </w:r>
    </w:p>
    <w:p>
      <w:pPr>
        <w:spacing w:line="600" w:lineRule="exact"/>
        <w:jc w:val="center"/>
        <w:rPr>
          <w:rFonts w:hint="eastAsia" w:ascii="宋体" w:hAnsi="宋体"/>
          <w:b/>
          <w:color w:val="000000"/>
          <w:sz w:val="36"/>
          <w:szCs w:val="36"/>
        </w:rPr>
      </w:pPr>
    </w:p>
    <w:p>
      <w:pPr>
        <w:adjustRightInd w:val="0"/>
        <w:snapToGrid w:val="0"/>
        <w:spacing w:line="480" w:lineRule="auto"/>
        <w:jc w:val="center"/>
        <w:rPr>
          <w:rFonts w:hint="eastAsia" w:ascii="宋体" w:hAnsi="宋体"/>
          <w:b/>
          <w:bCs/>
          <w:color w:val="000000"/>
          <w:sz w:val="72"/>
        </w:rPr>
      </w:pPr>
      <w:r>
        <w:rPr>
          <w:rFonts w:hint="eastAsia" w:ascii="宋体" w:hAnsi="宋体"/>
          <w:b/>
          <w:bCs/>
          <w:color w:val="000000"/>
          <w:sz w:val="72"/>
        </w:rPr>
        <w:t>目     录</w:t>
      </w:r>
    </w:p>
    <w:p>
      <w:pPr>
        <w:pStyle w:val="18"/>
        <w:tabs>
          <w:tab w:val="right" w:leader="dot" w:pos="9241"/>
        </w:tabs>
        <w:rPr>
          <w:rFonts w:hint="eastAsia" w:ascii="宋体" w:hAnsi="宋体" w:cs="宋体"/>
          <w:kern w:val="2"/>
          <w:sz w:val="24"/>
          <w:szCs w:val="24"/>
        </w:rPr>
      </w:pPr>
      <w:r>
        <w:rPr>
          <w:rFonts w:ascii="宋体" w:hAnsi="宋体"/>
          <w:color w:val="000000"/>
        </w:rPr>
        <w:fldChar w:fldCharType="begin"/>
      </w:r>
      <w:r>
        <w:rPr>
          <w:rFonts w:ascii="宋体" w:hAnsi="宋体"/>
          <w:color w:val="000000"/>
        </w:rPr>
        <w:instrText xml:space="preserve"> TOC \o "1-1" \h \z \u </w:instrText>
      </w:r>
      <w:r>
        <w:rPr>
          <w:rFonts w:ascii="宋体" w:hAnsi="宋体"/>
          <w:color w:val="000000"/>
        </w:rPr>
        <w:fldChar w:fldCharType="separate"/>
      </w:r>
      <w:r>
        <w:rPr>
          <w:rFonts w:hint="eastAsia" w:ascii="宋体" w:hAnsi="宋体" w:cs="宋体"/>
          <w:color w:val="000000"/>
          <w:kern w:val="2"/>
          <w:sz w:val="24"/>
          <w:szCs w:val="24"/>
        </w:rPr>
        <w:fldChar w:fldCharType="begin"/>
      </w:r>
      <w:r>
        <w:rPr>
          <w:rFonts w:hint="eastAsia" w:ascii="宋体" w:hAnsi="宋体" w:cs="宋体"/>
          <w:color w:val="000000"/>
          <w:kern w:val="2"/>
          <w:sz w:val="24"/>
          <w:szCs w:val="24"/>
        </w:rPr>
        <w:instrText xml:space="preserve"> HYPERLINK \l _Toc4397 </w:instrText>
      </w:r>
      <w:r>
        <w:rPr>
          <w:rFonts w:hint="eastAsia" w:ascii="宋体" w:hAnsi="宋体" w:cs="宋体"/>
          <w:color w:val="000000"/>
          <w:kern w:val="2"/>
          <w:sz w:val="24"/>
          <w:szCs w:val="24"/>
        </w:rPr>
        <w:fldChar w:fldCharType="separate"/>
      </w:r>
      <w:r>
        <w:rPr>
          <w:rFonts w:hint="eastAsia" w:ascii="宋体" w:hAnsi="宋体" w:cs="宋体"/>
          <w:kern w:val="2"/>
          <w:sz w:val="24"/>
          <w:szCs w:val="24"/>
        </w:rPr>
        <w:t>供应商注意事项</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_Toc4397 </w:instrText>
      </w:r>
      <w:r>
        <w:rPr>
          <w:rFonts w:hint="eastAsia" w:ascii="宋体" w:hAnsi="宋体" w:cs="宋体"/>
          <w:kern w:val="2"/>
          <w:sz w:val="24"/>
          <w:szCs w:val="24"/>
        </w:rPr>
        <w:fldChar w:fldCharType="separate"/>
      </w:r>
      <w:r>
        <w:rPr>
          <w:rFonts w:hint="eastAsia" w:ascii="宋体" w:hAnsi="宋体" w:cs="宋体"/>
          <w:kern w:val="2"/>
          <w:sz w:val="24"/>
          <w:szCs w:val="24"/>
        </w:rPr>
        <w:t>- 2 -</w:t>
      </w:r>
      <w:r>
        <w:rPr>
          <w:rFonts w:hint="eastAsia" w:ascii="宋体" w:hAnsi="宋体" w:cs="宋体"/>
          <w:kern w:val="2"/>
          <w:sz w:val="24"/>
          <w:szCs w:val="24"/>
        </w:rPr>
        <w:fldChar w:fldCharType="end"/>
      </w:r>
      <w:r>
        <w:rPr>
          <w:rFonts w:hint="eastAsia" w:ascii="宋体" w:hAnsi="宋体" w:cs="宋体"/>
          <w:color w:val="000000"/>
          <w:kern w:val="2"/>
          <w:sz w:val="24"/>
          <w:szCs w:val="24"/>
        </w:rPr>
        <w:fldChar w:fldCharType="end"/>
      </w:r>
    </w:p>
    <w:p>
      <w:pPr>
        <w:pStyle w:val="18"/>
        <w:tabs>
          <w:tab w:val="right" w:leader="dot" w:pos="9241"/>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_Toc4004 </w:instrText>
      </w:r>
      <w:r>
        <w:rPr>
          <w:rFonts w:hint="eastAsia" w:ascii="宋体" w:hAnsi="宋体" w:cs="宋体"/>
          <w:color w:val="000000"/>
          <w:sz w:val="24"/>
          <w:szCs w:val="24"/>
        </w:rPr>
        <w:fldChar w:fldCharType="separate"/>
      </w:r>
      <w:r>
        <w:rPr>
          <w:rFonts w:hint="eastAsia" w:ascii="宋体" w:hAnsi="宋体" w:cs="宋体"/>
          <w:kern w:val="2"/>
          <w:sz w:val="24"/>
          <w:szCs w:val="24"/>
        </w:rPr>
        <w:t>第一部分 采购公告</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_Toc4004 </w:instrText>
      </w:r>
      <w:r>
        <w:rPr>
          <w:rFonts w:hint="eastAsia" w:ascii="宋体" w:hAnsi="宋体" w:cs="宋体"/>
          <w:kern w:val="2"/>
          <w:sz w:val="24"/>
          <w:szCs w:val="24"/>
        </w:rPr>
        <w:fldChar w:fldCharType="separate"/>
      </w:r>
      <w:r>
        <w:rPr>
          <w:rFonts w:hint="eastAsia" w:ascii="宋体" w:hAnsi="宋体" w:cs="宋体"/>
          <w:kern w:val="2"/>
          <w:sz w:val="24"/>
          <w:szCs w:val="24"/>
        </w:rPr>
        <w:t>- 3 -</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8"/>
        <w:tabs>
          <w:tab w:val="right" w:leader="dot" w:pos="9241"/>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_Toc20057 </w:instrText>
      </w:r>
      <w:r>
        <w:rPr>
          <w:rFonts w:hint="eastAsia" w:ascii="宋体" w:hAnsi="宋体" w:cs="宋体"/>
          <w:color w:val="000000"/>
          <w:sz w:val="24"/>
          <w:szCs w:val="24"/>
        </w:rPr>
        <w:fldChar w:fldCharType="separate"/>
      </w:r>
      <w:r>
        <w:rPr>
          <w:rFonts w:hint="eastAsia" w:ascii="宋体" w:hAnsi="宋体" w:cs="宋体"/>
          <w:kern w:val="2"/>
          <w:sz w:val="24"/>
          <w:szCs w:val="24"/>
        </w:rPr>
        <w:t>第二部分 供应商须知</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_Toc20057 </w:instrText>
      </w:r>
      <w:r>
        <w:rPr>
          <w:rFonts w:hint="eastAsia" w:ascii="宋体" w:hAnsi="宋体" w:cs="宋体"/>
          <w:kern w:val="2"/>
          <w:sz w:val="24"/>
          <w:szCs w:val="24"/>
        </w:rPr>
        <w:fldChar w:fldCharType="separate"/>
      </w:r>
      <w:r>
        <w:rPr>
          <w:rFonts w:hint="eastAsia" w:ascii="宋体" w:hAnsi="宋体" w:cs="宋体"/>
          <w:kern w:val="2"/>
          <w:sz w:val="24"/>
          <w:szCs w:val="24"/>
        </w:rPr>
        <w:t>- 6 -</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8"/>
        <w:tabs>
          <w:tab w:val="right" w:leader="dot" w:pos="9241"/>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_Toc12063 </w:instrText>
      </w:r>
      <w:r>
        <w:rPr>
          <w:rFonts w:hint="eastAsia" w:ascii="宋体" w:hAnsi="宋体" w:cs="宋体"/>
          <w:color w:val="000000"/>
          <w:sz w:val="24"/>
          <w:szCs w:val="24"/>
        </w:rPr>
        <w:fldChar w:fldCharType="separate"/>
      </w:r>
      <w:r>
        <w:rPr>
          <w:rFonts w:hint="eastAsia" w:ascii="宋体" w:hAnsi="宋体" w:cs="宋体"/>
          <w:kern w:val="2"/>
          <w:sz w:val="24"/>
          <w:szCs w:val="24"/>
        </w:rPr>
        <w:t>第三部分 采购需求</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_Toc12063 </w:instrText>
      </w:r>
      <w:r>
        <w:rPr>
          <w:rFonts w:hint="eastAsia" w:ascii="宋体" w:hAnsi="宋体" w:cs="宋体"/>
          <w:kern w:val="2"/>
          <w:sz w:val="24"/>
          <w:szCs w:val="24"/>
        </w:rPr>
        <w:fldChar w:fldCharType="separate"/>
      </w:r>
      <w:r>
        <w:rPr>
          <w:rFonts w:hint="eastAsia" w:ascii="宋体" w:hAnsi="宋体" w:cs="宋体"/>
          <w:kern w:val="2"/>
          <w:sz w:val="24"/>
          <w:szCs w:val="24"/>
        </w:rPr>
        <w:t>- 19 -</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8"/>
        <w:tabs>
          <w:tab w:val="right" w:leader="dot" w:pos="9241"/>
        </w:tabs>
        <w:rPr>
          <w:rFonts w:hint="eastAsia" w:ascii="宋体" w:hAnsi="宋体" w:cs="宋体"/>
          <w:kern w:val="2"/>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_Toc5262 </w:instrText>
      </w:r>
      <w:r>
        <w:rPr>
          <w:rFonts w:hint="eastAsia" w:ascii="宋体" w:hAnsi="宋体" w:cs="宋体"/>
          <w:color w:val="000000"/>
          <w:sz w:val="24"/>
          <w:szCs w:val="24"/>
        </w:rPr>
        <w:fldChar w:fldCharType="separate"/>
      </w:r>
      <w:r>
        <w:rPr>
          <w:rFonts w:hint="eastAsia" w:ascii="宋体" w:hAnsi="宋体" w:cs="宋体"/>
          <w:kern w:val="2"/>
          <w:sz w:val="24"/>
          <w:szCs w:val="24"/>
        </w:rPr>
        <w:t>第四部分 合同样本</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_Toc5262 </w:instrText>
      </w:r>
      <w:r>
        <w:rPr>
          <w:rFonts w:hint="eastAsia" w:ascii="宋体" w:hAnsi="宋体" w:cs="宋体"/>
          <w:kern w:val="2"/>
          <w:sz w:val="24"/>
          <w:szCs w:val="24"/>
        </w:rPr>
        <w:fldChar w:fldCharType="separate"/>
      </w:r>
      <w:r>
        <w:rPr>
          <w:rFonts w:hint="eastAsia" w:ascii="宋体" w:hAnsi="宋体" w:cs="宋体"/>
          <w:kern w:val="2"/>
          <w:sz w:val="24"/>
          <w:szCs w:val="24"/>
        </w:rPr>
        <w:t>- 21 -</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pStyle w:val="18"/>
        <w:tabs>
          <w:tab w:val="right" w:leader="dot" w:pos="9241"/>
        </w:tabs>
        <w:rPr>
          <w:kern w:val="2"/>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\l _Toc29102 </w:instrText>
      </w:r>
      <w:r>
        <w:rPr>
          <w:rFonts w:hint="eastAsia" w:ascii="宋体" w:hAnsi="宋体" w:cs="宋体"/>
          <w:color w:val="000000"/>
          <w:sz w:val="24"/>
          <w:szCs w:val="24"/>
        </w:rPr>
        <w:fldChar w:fldCharType="separate"/>
      </w:r>
      <w:r>
        <w:rPr>
          <w:rFonts w:hint="eastAsia" w:ascii="宋体" w:hAnsi="宋体" w:cs="宋体"/>
          <w:kern w:val="2"/>
          <w:sz w:val="24"/>
          <w:szCs w:val="24"/>
        </w:rPr>
        <w:t>第五部分 响应文件格式</w:t>
      </w:r>
      <w:r>
        <w:rPr>
          <w:rFonts w:hint="eastAsia" w:ascii="宋体" w:hAnsi="宋体" w:cs="宋体"/>
          <w:kern w:val="2"/>
          <w:sz w:val="24"/>
          <w:szCs w:val="24"/>
        </w:rPr>
        <w:tab/>
      </w:r>
      <w:r>
        <w:rPr>
          <w:rFonts w:hint="eastAsia" w:ascii="宋体" w:hAnsi="宋体" w:cs="宋体"/>
          <w:kern w:val="2"/>
          <w:sz w:val="24"/>
          <w:szCs w:val="24"/>
        </w:rPr>
        <w:fldChar w:fldCharType="begin"/>
      </w:r>
      <w:r>
        <w:rPr>
          <w:rFonts w:hint="eastAsia" w:ascii="宋体" w:hAnsi="宋体" w:cs="宋体"/>
          <w:kern w:val="2"/>
          <w:sz w:val="24"/>
          <w:szCs w:val="24"/>
        </w:rPr>
        <w:instrText xml:space="preserve"> PAGEREF _Toc29102 </w:instrText>
      </w:r>
      <w:r>
        <w:rPr>
          <w:rFonts w:hint="eastAsia" w:ascii="宋体" w:hAnsi="宋体" w:cs="宋体"/>
          <w:kern w:val="2"/>
          <w:sz w:val="24"/>
          <w:szCs w:val="24"/>
        </w:rPr>
        <w:fldChar w:fldCharType="separate"/>
      </w:r>
      <w:r>
        <w:rPr>
          <w:rFonts w:hint="eastAsia" w:ascii="宋体" w:hAnsi="宋体" w:cs="宋体"/>
          <w:kern w:val="2"/>
          <w:sz w:val="24"/>
          <w:szCs w:val="24"/>
        </w:rPr>
        <w:t>- 23 -</w:t>
      </w:r>
      <w:r>
        <w:rPr>
          <w:rFonts w:hint="eastAsia" w:ascii="宋体" w:hAnsi="宋体" w:cs="宋体"/>
          <w:kern w:val="2"/>
          <w:sz w:val="24"/>
          <w:szCs w:val="24"/>
        </w:rPr>
        <w:fldChar w:fldCharType="end"/>
      </w:r>
      <w:r>
        <w:rPr>
          <w:rFonts w:hint="eastAsia" w:ascii="宋体" w:hAnsi="宋体" w:cs="宋体"/>
          <w:color w:val="000000"/>
          <w:sz w:val="24"/>
          <w:szCs w:val="24"/>
        </w:rPr>
        <w:fldChar w:fldCharType="end"/>
      </w:r>
    </w:p>
    <w:p>
      <w:pPr>
        <w:rPr>
          <w:rFonts w:ascii="宋体" w:hAnsi="宋体"/>
          <w:color w:val="000000"/>
        </w:rPr>
      </w:pPr>
      <w:r>
        <w:rPr>
          <w:rFonts w:ascii="宋体" w:hAnsi="宋体"/>
          <w:color w:val="000000"/>
          <w:kern w:val="0"/>
        </w:rPr>
        <w:fldChar w:fldCharType="end"/>
      </w:r>
    </w:p>
    <w:p>
      <w:pPr>
        <w:pStyle w:val="61"/>
        <w:rPr>
          <w:rFonts w:hint="eastAsia" w:ascii="宋体" w:hAnsi="宋体" w:eastAsia="宋体"/>
          <w:color w:val="000000"/>
        </w:rPr>
      </w:pPr>
      <w:bookmarkStart w:id="0" w:name="_Toc4397"/>
      <w:r>
        <w:rPr>
          <w:rFonts w:hint="eastAsia" w:ascii="宋体" w:hAnsi="宋体" w:eastAsia="宋体"/>
          <w:color w:val="000000"/>
        </w:rPr>
        <w:t>供应商注意事项</w:t>
      </w:r>
      <w:bookmarkEnd w:id="0"/>
    </w:p>
    <w:p>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一、本采购文件为2020年3月新制版本（电子招投标），请各供应商务必仔细阅读各项条款！</w:t>
      </w:r>
    </w:p>
    <w:p>
      <w:pPr>
        <w:spacing w:line="360" w:lineRule="auto"/>
        <w:ind w:firstLine="480" w:firstLineChars="200"/>
        <w:rPr>
          <w:rFonts w:hint="eastAsia" w:ascii="宋体" w:hAnsi="宋体" w:cs="宋体"/>
          <w:sz w:val="24"/>
        </w:rPr>
      </w:pPr>
      <w:r>
        <w:rPr>
          <w:rFonts w:hint="eastAsia" w:ascii="宋体" w:hAnsi="宋体" w:cs="宋体"/>
          <w:sz w:val="24"/>
        </w:rPr>
        <w:t>二、如遇提交响应文件截止推迟、采购需求变动等，采购代理机构将会在网上发布更正公告（通知），请供应商及时关注原采购信息发布媒介！</w:t>
      </w:r>
    </w:p>
    <w:p>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三、开标时间（提交响应文件截止）以“北京时间”为准，供应商应当在开标时间前到达开标室并递交响应文件，否则响应文件将被拒绝接收。</w:t>
      </w:r>
    </w:p>
    <w:p>
      <w:pPr>
        <w:spacing w:line="360" w:lineRule="auto"/>
        <w:ind w:firstLine="560" w:firstLineChars="200"/>
        <w:rPr>
          <w:rFonts w:hint="eastAsia" w:ascii="宋体" w:hAnsi="宋体"/>
          <w:color w:val="000000"/>
          <w:sz w:val="28"/>
          <w:szCs w:val="28"/>
        </w:rPr>
      </w:pPr>
    </w:p>
    <w:p>
      <w:pPr>
        <w:pStyle w:val="61"/>
        <w:spacing w:line="360" w:lineRule="auto"/>
        <w:rPr>
          <w:rFonts w:hint="eastAsia" w:ascii="宋体" w:hAnsi="宋体" w:eastAsia="宋体"/>
          <w:color w:val="000000"/>
        </w:rPr>
      </w:pPr>
      <w:r>
        <w:rPr>
          <w:rFonts w:ascii="宋体" w:hAnsi="宋体" w:eastAsia="宋体"/>
          <w:color w:val="000000"/>
        </w:rPr>
        <w:br w:type="page"/>
      </w:r>
      <w:bookmarkStart w:id="1" w:name="_Toc4004"/>
      <w:r>
        <w:rPr>
          <w:rFonts w:hint="eastAsia" w:ascii="宋体" w:hAnsi="宋体" w:eastAsia="宋体"/>
          <w:color w:val="000000"/>
        </w:rPr>
        <w:t>第一部分 采购公告</w:t>
      </w:r>
      <w:bookmarkEnd w:id="1"/>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根据《中华人民共和国政府采购法》、《政府采购非招标采购方式管理办法》等规定，经杭州市余杭区</w:t>
      </w:r>
      <w:r>
        <w:rPr>
          <w:rFonts w:hint="eastAsia" w:ascii="宋体" w:hAnsi="宋体"/>
          <w:color w:val="000000"/>
          <w:sz w:val="24"/>
          <w:highlight w:val="green"/>
        </w:rPr>
        <w:t>财政局</w:t>
      </w:r>
      <w:r>
        <w:rPr>
          <w:rFonts w:hint="eastAsia" w:ascii="宋体" w:hAnsi="宋体"/>
          <w:sz w:val="24"/>
          <w:szCs w:val="24"/>
          <w:highlight w:val="green"/>
        </w:rPr>
        <w:t>临【20</w:t>
      </w:r>
      <w:r>
        <w:rPr>
          <w:rFonts w:hint="eastAsia" w:ascii="宋体" w:hAnsi="宋体"/>
          <w:sz w:val="24"/>
          <w:szCs w:val="24"/>
          <w:highlight w:val="green"/>
          <w:lang w:val="en-US" w:eastAsia="zh-CN"/>
        </w:rPr>
        <w:t>20</w:t>
      </w:r>
      <w:r>
        <w:rPr>
          <w:rFonts w:hint="eastAsia" w:ascii="宋体" w:hAnsi="宋体"/>
          <w:sz w:val="24"/>
          <w:szCs w:val="24"/>
          <w:highlight w:val="green"/>
        </w:rPr>
        <w:t>】</w:t>
      </w:r>
      <w:r>
        <w:rPr>
          <w:rFonts w:hint="eastAsia" w:ascii="宋体" w:hAnsi="宋体"/>
          <w:sz w:val="24"/>
          <w:szCs w:val="24"/>
          <w:highlight w:val="green"/>
          <w:lang w:val="en-US" w:eastAsia="zh-CN"/>
        </w:rPr>
        <w:t>2182</w:t>
      </w:r>
      <w:r>
        <w:rPr>
          <w:rFonts w:hint="eastAsia" w:ascii="宋体" w:hAnsi="宋体"/>
          <w:sz w:val="24"/>
          <w:szCs w:val="24"/>
          <w:highlight w:val="green"/>
        </w:rPr>
        <w:t>号</w:t>
      </w:r>
      <w:r>
        <w:rPr>
          <w:rFonts w:hint="eastAsia" w:ascii="宋体" w:hAnsi="宋体"/>
          <w:sz w:val="24"/>
          <w:szCs w:val="24"/>
        </w:rPr>
        <w:t>确认书批准</w:t>
      </w:r>
      <w:r>
        <w:rPr>
          <w:rFonts w:hint="eastAsia" w:ascii="宋体" w:hAnsi="宋体"/>
          <w:color w:val="000000"/>
          <w:sz w:val="24"/>
        </w:rPr>
        <w:t>，现就</w:t>
      </w:r>
      <w:r>
        <w:rPr>
          <w:rFonts w:hint="eastAsia" w:ascii="宋体" w:hAnsi="宋体" w:cs="宋体"/>
          <w:bCs/>
          <w:kern w:val="0"/>
          <w:sz w:val="24"/>
          <w:szCs w:val="24"/>
          <w:lang w:eastAsia="zh-CN"/>
        </w:rPr>
        <w:t>南苑街道综治中心建设服务</w:t>
      </w:r>
      <w:r>
        <w:rPr>
          <w:rFonts w:hint="eastAsia" w:ascii="宋体" w:hAnsi="宋体" w:cs="宋体"/>
          <w:bCs/>
          <w:kern w:val="0"/>
          <w:sz w:val="24"/>
          <w:szCs w:val="24"/>
        </w:rPr>
        <w:t>采购项目</w:t>
      </w:r>
      <w:r>
        <w:rPr>
          <w:rFonts w:hint="eastAsia" w:ascii="宋体" w:hAnsi="宋体"/>
          <w:color w:val="000000"/>
          <w:sz w:val="24"/>
        </w:rPr>
        <w:t>项目进行竞争性谈判采购。欢迎符合要求并有能力完成本项目的供应商前来响应。</w:t>
      </w:r>
    </w:p>
    <w:p>
      <w:pPr>
        <w:adjustRightInd w:val="0"/>
        <w:snapToGrid w:val="0"/>
        <w:spacing w:line="360" w:lineRule="auto"/>
        <w:rPr>
          <w:rFonts w:hint="eastAsia" w:ascii="宋体" w:hAnsi="宋体"/>
          <w:color w:val="000000"/>
          <w:sz w:val="24"/>
        </w:rPr>
      </w:pPr>
      <w:r>
        <w:rPr>
          <w:rFonts w:hint="eastAsia" w:ascii="宋体" w:hAnsi="宋体"/>
          <w:b/>
          <w:color w:val="000000"/>
          <w:sz w:val="24"/>
        </w:rPr>
        <w:t>一、项目名称及编号：</w:t>
      </w:r>
      <w:r>
        <w:rPr>
          <w:rFonts w:hint="eastAsia" w:ascii="宋体" w:hAnsi="宋体" w:cs="宋体"/>
          <w:bCs/>
          <w:kern w:val="0"/>
          <w:sz w:val="24"/>
          <w:szCs w:val="24"/>
          <w:lang w:eastAsia="zh-CN"/>
        </w:rPr>
        <w:t>南苑街道综治中心建设服务</w:t>
      </w:r>
      <w:r>
        <w:rPr>
          <w:rFonts w:hint="eastAsia" w:ascii="宋体" w:hAnsi="宋体" w:cs="宋体"/>
          <w:bCs/>
          <w:kern w:val="0"/>
          <w:sz w:val="24"/>
          <w:szCs w:val="24"/>
        </w:rPr>
        <w:t>采购项目</w:t>
      </w:r>
      <w:r>
        <w:rPr>
          <w:rFonts w:hint="eastAsia" w:ascii="宋体" w:hAnsi="宋体"/>
          <w:color w:val="000000"/>
          <w:sz w:val="24"/>
        </w:rPr>
        <w:t>（</w:t>
      </w:r>
      <w:r>
        <w:rPr>
          <w:rFonts w:hint="eastAsia" w:ascii="宋体" w:hAnsi="宋体" w:cs="宋体"/>
          <w:b w:val="0"/>
          <w:bCs/>
          <w:kern w:val="0"/>
          <w:sz w:val="24"/>
          <w:szCs w:val="24"/>
          <w:lang w:val="en-US" w:eastAsia="zh-CN"/>
        </w:rPr>
        <w:t>ZJDDZFCG-2020-007</w:t>
      </w:r>
      <w:r>
        <w:rPr>
          <w:rFonts w:hint="eastAsia" w:ascii="宋体" w:hAnsi="宋体" w:cs="宋体"/>
          <w:bCs/>
          <w:kern w:val="0"/>
          <w:sz w:val="24"/>
          <w:szCs w:val="24"/>
        </w:rPr>
        <w:t>）</w:t>
      </w:r>
      <w:r>
        <w:rPr>
          <w:rFonts w:hint="eastAsia" w:ascii="宋体" w:hAnsi="宋体"/>
          <w:color w:val="000000"/>
          <w:sz w:val="24"/>
        </w:rPr>
        <w:t>。</w:t>
      </w:r>
    </w:p>
    <w:p>
      <w:pPr>
        <w:adjustRightInd w:val="0"/>
        <w:snapToGrid w:val="0"/>
        <w:spacing w:line="360" w:lineRule="auto"/>
        <w:rPr>
          <w:rFonts w:hint="eastAsia" w:ascii="宋体" w:hAnsi="宋体"/>
          <w:color w:val="000000"/>
          <w:sz w:val="24"/>
        </w:rPr>
      </w:pPr>
      <w:r>
        <w:rPr>
          <w:rFonts w:hint="eastAsia" w:ascii="宋体" w:hAnsi="宋体"/>
          <w:b/>
          <w:bCs/>
          <w:color w:val="000000"/>
          <w:sz w:val="24"/>
        </w:rPr>
        <w:t>二、采购组织类型：</w:t>
      </w:r>
      <w:r>
        <w:rPr>
          <w:rFonts w:hint="eastAsia" w:ascii="宋体" w:hAnsi="宋体"/>
          <w:color w:val="000000"/>
          <w:sz w:val="24"/>
        </w:rPr>
        <w:t>分散采购委托代理</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三、采购方式：</w:t>
      </w:r>
      <w:r>
        <w:rPr>
          <w:rFonts w:hint="eastAsia" w:ascii="宋体" w:hAnsi="宋体"/>
          <w:color w:val="000000"/>
          <w:sz w:val="24"/>
        </w:rPr>
        <w:t>竞争性谈判</w:t>
      </w:r>
    </w:p>
    <w:p>
      <w:pPr>
        <w:snapToGrid w:val="0"/>
        <w:spacing w:line="360" w:lineRule="auto"/>
        <w:rPr>
          <w:rFonts w:hint="eastAsia" w:ascii="宋体" w:hAnsi="宋体" w:cs="Arial"/>
          <w:b/>
          <w:bCs/>
          <w:color w:val="000000"/>
          <w:sz w:val="24"/>
          <w:szCs w:val="24"/>
        </w:rPr>
      </w:pPr>
      <w:r>
        <w:rPr>
          <w:rFonts w:hint="eastAsia" w:ascii="宋体" w:hAnsi="宋体" w:cs="Arial"/>
          <w:b/>
          <w:color w:val="000000"/>
          <w:sz w:val="24"/>
          <w:szCs w:val="24"/>
        </w:rPr>
        <w:t>四、</w:t>
      </w:r>
      <w:r>
        <w:rPr>
          <w:rFonts w:hint="eastAsia" w:ascii="宋体" w:hAnsi="宋体" w:cs="Arial"/>
          <w:b/>
          <w:bCs/>
          <w:color w:val="000000"/>
          <w:sz w:val="24"/>
          <w:szCs w:val="24"/>
        </w:rPr>
        <w:t>采购内容</w:t>
      </w:r>
    </w:p>
    <w:tbl>
      <w:tblPr>
        <w:tblStyle w:val="27"/>
        <w:tblpPr w:leftFromText="180" w:rightFromText="180" w:vertAnchor="text" w:tblpX="156"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55"/>
        <w:gridCol w:w="117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75" w:type="dxa"/>
            <w:noWrap w:val="0"/>
            <w:vAlign w:val="center"/>
          </w:tcPr>
          <w:p>
            <w:pPr>
              <w:spacing w:line="336" w:lineRule="auto"/>
              <w:jc w:val="center"/>
              <w:rPr>
                <w:rFonts w:hint="eastAsia"/>
                <w:b/>
                <w:bCs/>
              </w:rPr>
            </w:pPr>
            <w:r>
              <w:rPr>
                <w:rFonts w:hint="eastAsia"/>
                <w:b/>
                <w:bCs/>
              </w:rPr>
              <w:t>序号</w:t>
            </w:r>
          </w:p>
        </w:tc>
        <w:tc>
          <w:tcPr>
            <w:tcW w:w="2355" w:type="dxa"/>
            <w:noWrap w:val="0"/>
            <w:vAlign w:val="center"/>
          </w:tcPr>
          <w:p>
            <w:pPr>
              <w:spacing w:line="336" w:lineRule="auto"/>
              <w:jc w:val="center"/>
              <w:rPr>
                <w:rFonts w:hint="eastAsia"/>
                <w:b/>
                <w:bCs/>
              </w:rPr>
            </w:pPr>
            <w:r>
              <w:rPr>
                <w:rFonts w:hint="eastAsia"/>
                <w:b/>
                <w:bCs/>
              </w:rPr>
              <w:t>标项内容</w:t>
            </w:r>
          </w:p>
        </w:tc>
        <w:tc>
          <w:tcPr>
            <w:tcW w:w="1170" w:type="dxa"/>
            <w:noWrap w:val="0"/>
            <w:vAlign w:val="center"/>
          </w:tcPr>
          <w:p>
            <w:pPr>
              <w:spacing w:line="336" w:lineRule="auto"/>
              <w:jc w:val="center"/>
              <w:rPr>
                <w:rFonts w:hint="eastAsia"/>
                <w:b/>
                <w:bCs/>
              </w:rPr>
            </w:pPr>
            <w:r>
              <w:rPr>
                <w:rFonts w:hint="eastAsia"/>
                <w:b/>
                <w:bCs/>
              </w:rPr>
              <w:t>预算价</w:t>
            </w:r>
          </w:p>
        </w:tc>
        <w:tc>
          <w:tcPr>
            <w:tcW w:w="4530" w:type="dxa"/>
            <w:noWrap w:val="0"/>
            <w:vAlign w:val="center"/>
          </w:tcPr>
          <w:p>
            <w:pPr>
              <w:spacing w:line="336" w:lineRule="auto"/>
              <w:jc w:val="center"/>
              <w:rPr>
                <w:rFonts w:hint="eastAsia"/>
                <w:b/>
                <w:bCs/>
              </w:rPr>
            </w:pPr>
            <w:r>
              <w:rPr>
                <w:rFonts w:hint="eastAsia"/>
                <w:b/>
                <w:bCs/>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75" w:type="dxa"/>
            <w:noWrap w:val="0"/>
            <w:vAlign w:val="center"/>
          </w:tcPr>
          <w:p>
            <w:pPr>
              <w:snapToGrid w:val="0"/>
              <w:spacing w:line="336" w:lineRule="auto"/>
              <w:jc w:val="center"/>
              <w:rPr>
                <w:rFonts w:ascii="宋体" w:hAnsi="宋体" w:cs="Arial"/>
                <w:szCs w:val="21"/>
              </w:rPr>
            </w:pPr>
            <w:r>
              <w:rPr>
                <w:rFonts w:hint="eastAsia" w:ascii="宋体" w:hAnsi="宋体" w:cs="Arial"/>
                <w:szCs w:val="21"/>
              </w:rPr>
              <w:t>1</w:t>
            </w:r>
          </w:p>
        </w:tc>
        <w:tc>
          <w:tcPr>
            <w:tcW w:w="2355" w:type="dxa"/>
            <w:noWrap w:val="0"/>
            <w:vAlign w:val="center"/>
          </w:tcPr>
          <w:p>
            <w:pPr>
              <w:snapToGrid w:val="0"/>
              <w:spacing w:line="336" w:lineRule="auto"/>
              <w:jc w:val="center"/>
              <w:rPr>
                <w:rFonts w:hint="eastAsia" w:ascii="宋体" w:hAnsi="宋体" w:cs="Arial"/>
                <w:szCs w:val="21"/>
              </w:rPr>
            </w:pPr>
            <w:r>
              <w:rPr>
                <w:rFonts w:hint="eastAsia" w:ascii="宋体" w:hAnsi="宋体" w:cs="Arial"/>
                <w:szCs w:val="21"/>
                <w:lang w:eastAsia="zh-CN"/>
              </w:rPr>
              <w:t>南苑街道综治中心建设服务</w:t>
            </w:r>
            <w:r>
              <w:rPr>
                <w:rFonts w:hint="eastAsia" w:ascii="宋体" w:hAnsi="宋体" w:cs="Arial"/>
                <w:szCs w:val="21"/>
              </w:rPr>
              <w:t>采购项目</w:t>
            </w:r>
          </w:p>
        </w:tc>
        <w:tc>
          <w:tcPr>
            <w:tcW w:w="1170" w:type="dxa"/>
            <w:noWrap w:val="0"/>
            <w:vAlign w:val="center"/>
          </w:tcPr>
          <w:p>
            <w:pPr>
              <w:snapToGrid w:val="0"/>
              <w:spacing w:line="336" w:lineRule="auto"/>
              <w:rPr>
                <w:rFonts w:hint="eastAsia" w:ascii="宋体" w:hAnsi="宋体" w:cs="Arial"/>
                <w:szCs w:val="21"/>
              </w:rPr>
            </w:pPr>
            <w:del w:id="0" w:author="fyq1414237484" w:date="2020-05-20T12:26:00Z">
              <w:r>
                <w:rPr>
                  <w:rFonts w:hint="default" w:ascii="宋体" w:hAnsi="宋体" w:cs="Arial"/>
                  <w:szCs w:val="21"/>
                  <w:lang w:val="en-US"/>
                </w:rPr>
                <w:delText>1100</w:delText>
              </w:r>
            </w:del>
            <w:ins w:id="1" w:author="fyq1414237484" w:date="2020-05-20T12:26:00Z">
              <w:r>
                <w:rPr>
                  <w:rFonts w:hint="eastAsia" w:ascii="宋体" w:hAnsi="宋体" w:cs="Arial"/>
                  <w:szCs w:val="21"/>
                  <w:lang w:val="en-US" w:eastAsia="zh-CN"/>
                </w:rPr>
                <w:t>1020</w:t>
              </w:r>
            </w:ins>
            <w:r>
              <w:rPr>
                <w:rFonts w:hint="eastAsia" w:ascii="宋体" w:hAnsi="宋体" w:cs="Arial"/>
                <w:szCs w:val="21"/>
              </w:rPr>
              <w:t>万元</w:t>
            </w:r>
          </w:p>
        </w:tc>
        <w:tc>
          <w:tcPr>
            <w:tcW w:w="4530" w:type="dxa"/>
            <w:noWrap w:val="0"/>
            <w:vAlign w:val="center"/>
          </w:tcPr>
          <w:p>
            <w:pPr>
              <w:snapToGrid w:val="0"/>
              <w:spacing w:line="336" w:lineRule="auto"/>
              <w:jc w:val="left"/>
              <w:rPr>
                <w:rFonts w:hint="eastAsia" w:ascii="宋体" w:hAnsi="宋体" w:cs="Arial"/>
                <w:szCs w:val="21"/>
              </w:rPr>
            </w:pPr>
            <w:r>
              <w:rPr>
                <w:rFonts w:hint="eastAsia" w:ascii="宋体" w:hAnsi="宋体" w:cs="Arial"/>
                <w:szCs w:val="21"/>
              </w:rPr>
              <w:t>杭州市余杭区人民政府南苑街道办事处的</w:t>
            </w:r>
            <w:r>
              <w:rPr>
                <w:rFonts w:hint="eastAsia" w:ascii="宋体" w:hAnsi="宋体" w:cs="Arial"/>
                <w:szCs w:val="21"/>
                <w:lang w:eastAsia="zh-CN"/>
              </w:rPr>
              <w:t>南苑街道综治中心建设服务</w:t>
            </w:r>
            <w:r>
              <w:rPr>
                <w:rFonts w:hint="eastAsia" w:ascii="宋体" w:hAnsi="宋体" w:cs="Arial"/>
                <w:szCs w:val="21"/>
              </w:rPr>
              <w:t>采购的采购、运输、安装、调试、培训和相关维护等，具体要求详见本采购文件“第三部分 采购需求”。</w:t>
            </w:r>
          </w:p>
        </w:tc>
      </w:tr>
    </w:tbl>
    <w:p>
      <w:pPr>
        <w:snapToGrid w:val="0"/>
        <w:spacing w:line="360" w:lineRule="auto"/>
        <w:rPr>
          <w:rFonts w:hint="eastAsia" w:ascii="宋体" w:hAnsi="宋体" w:cs="Arial"/>
          <w:b/>
          <w:bCs/>
          <w:color w:val="000000"/>
          <w:sz w:val="24"/>
          <w:szCs w:val="24"/>
        </w:rPr>
      </w:pPr>
      <w:r>
        <w:rPr>
          <w:rFonts w:hint="eastAsia" w:ascii="宋体" w:hAnsi="宋体" w:cs="Arial"/>
          <w:b/>
          <w:color w:val="000000"/>
          <w:sz w:val="24"/>
          <w:szCs w:val="24"/>
        </w:rPr>
        <w:t>五</w:t>
      </w:r>
      <w:r>
        <w:rPr>
          <w:rFonts w:hint="eastAsia" w:ascii="宋体" w:hAnsi="宋体" w:cs="Arial"/>
          <w:color w:val="000000"/>
          <w:sz w:val="24"/>
          <w:szCs w:val="24"/>
        </w:rPr>
        <w:t>、</w:t>
      </w:r>
      <w:r>
        <w:rPr>
          <w:rFonts w:hint="eastAsia" w:ascii="宋体" w:hAnsi="宋体" w:cs="Arial"/>
          <w:b/>
          <w:bCs/>
          <w:color w:val="000000"/>
          <w:sz w:val="24"/>
          <w:szCs w:val="24"/>
        </w:rPr>
        <w:t>合格供应商的资格要求</w:t>
      </w:r>
    </w:p>
    <w:p>
      <w:pPr>
        <w:widowControl/>
        <w:numPr>
          <w:ilvl w:val="0"/>
          <w:numId w:val="2"/>
        </w:numPr>
        <w:snapToGrid w:val="0"/>
        <w:spacing w:line="360" w:lineRule="auto"/>
        <w:ind w:firstLine="480" w:firstLineChars="200"/>
        <w:jc w:val="left"/>
        <w:rPr>
          <w:rFonts w:hint="eastAsia" w:ascii="宋体" w:hAnsi="宋体" w:cs="宋体"/>
          <w:color w:val="000000"/>
          <w:kern w:val="0"/>
          <w:sz w:val="24"/>
        </w:rPr>
      </w:pPr>
      <w:bookmarkStart w:id="2" w:name="B18_投标供应商的资格要求"/>
      <w:r>
        <w:rPr>
          <w:rFonts w:hint="eastAsia" w:ascii="宋体" w:hAnsi="宋体"/>
          <w:color w:val="000000"/>
          <w:sz w:val="24"/>
        </w:rPr>
        <w:t>符合《中华人民共和国政府采购法》第二十二条供应商应当具备的条件和浙财采监【2013】24号《关于规范政府采购供应商资格设定及资格审查的通知》第六条规定。</w:t>
      </w:r>
      <w:bookmarkEnd w:id="2"/>
      <w:r>
        <w:rPr>
          <w:rFonts w:hint="eastAsia" w:ascii="宋体" w:hAnsi="宋体"/>
          <w:color w:val="000000"/>
          <w:sz w:val="24"/>
        </w:rPr>
        <w:t xml:space="preserve">  </w:t>
      </w:r>
    </w:p>
    <w:p>
      <w:pPr>
        <w:widowControl/>
        <w:numPr>
          <w:ilvl w:val="0"/>
          <w:numId w:val="2"/>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单位负责人为同一人或者存在直接控股、管理关系的不同供应商，不得参加同一合同项下的政府采购活动；</w:t>
      </w:r>
    </w:p>
    <w:p>
      <w:pPr>
        <w:widowControl/>
        <w:numPr>
          <w:ilvl w:val="0"/>
          <w:numId w:val="2"/>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snapToGrid w:val="0"/>
        <w:spacing w:line="360" w:lineRule="auto"/>
        <w:ind w:left="420" w:leftChars="200"/>
        <w:jc w:val="left"/>
        <w:rPr>
          <w:rFonts w:hint="eastAsia" w:ascii="宋体" w:hAnsi="宋体"/>
          <w:sz w:val="24"/>
          <w:szCs w:val="24"/>
        </w:rPr>
      </w:pPr>
      <w:r>
        <w:rPr>
          <w:rFonts w:hint="eastAsia" w:ascii="宋体" w:hAnsi="宋体"/>
          <w:sz w:val="24"/>
          <w:szCs w:val="24"/>
        </w:rPr>
        <w:t>（4）投标人具有《中华人民共和国增值电信业务经营许可证》；</w:t>
      </w:r>
    </w:p>
    <w:p>
      <w:pPr>
        <w:widowControl/>
        <w:snapToGrid w:val="0"/>
        <w:spacing w:line="360" w:lineRule="auto"/>
        <w:ind w:left="420" w:leftChars="200"/>
        <w:jc w:val="left"/>
        <w:rPr>
          <w:rFonts w:hint="eastAsia" w:ascii="宋体" w:hAnsi="宋体"/>
          <w:color w:val="000000"/>
          <w:sz w:val="24"/>
        </w:rPr>
      </w:pPr>
      <w:r>
        <w:rPr>
          <w:rFonts w:hint="eastAsia" w:ascii="宋体" w:hAnsi="宋体" w:cs="宋体"/>
          <w:color w:val="000000"/>
          <w:kern w:val="0"/>
          <w:sz w:val="24"/>
        </w:rPr>
        <w:t>（5）本项目谢绝联合体投标。</w:t>
      </w:r>
    </w:p>
    <w:p>
      <w:pPr>
        <w:pStyle w:val="2"/>
        <w:spacing w:line="360" w:lineRule="auto"/>
        <w:rPr>
          <w:rFonts w:hint="eastAsia"/>
          <w:b/>
          <w:bCs/>
          <w:lang w:val="en-US"/>
        </w:rPr>
      </w:pPr>
      <w:r>
        <w:rPr>
          <w:rFonts w:hint="eastAsia"/>
          <w:b/>
          <w:bCs/>
          <w:lang w:val="en-US"/>
        </w:rPr>
        <w:t>六、获取招标文件的获取：</w:t>
      </w:r>
    </w:p>
    <w:p>
      <w:pPr>
        <w:spacing w:line="336" w:lineRule="auto"/>
        <w:ind w:firstLine="420"/>
        <w:rPr>
          <w:rFonts w:hint="eastAsia" w:ascii="宋体" w:hAnsi="宋体" w:cs="Arial"/>
          <w:color w:val="000000"/>
          <w:sz w:val="24"/>
        </w:rPr>
      </w:pPr>
      <w:r>
        <w:rPr>
          <w:rFonts w:hint="eastAsia" w:ascii="宋体" w:hAnsi="宋体"/>
          <w:b/>
          <w:bCs/>
          <w:sz w:val="24"/>
        </w:rPr>
        <w:t>1</w:t>
      </w:r>
      <w:r>
        <w:rPr>
          <w:rFonts w:hint="eastAsia" w:ascii="宋体" w:hAnsi="宋体" w:cs="宋体"/>
          <w:b/>
          <w:bCs/>
          <w:sz w:val="24"/>
        </w:rPr>
        <w:t>、</w:t>
      </w:r>
      <w:r>
        <w:rPr>
          <w:rFonts w:hint="eastAsia" w:ascii="宋体" w:hAnsi="宋体" w:cs="Arial"/>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Arial"/>
          <w:b/>
          <w:color w:val="000000"/>
          <w:sz w:val="24"/>
        </w:rPr>
        <w:t>。供应商获取招标文件前应先完成“政府采购云平台”的账号注册同时办理CA领取；</w:t>
      </w:r>
    </w:p>
    <w:p>
      <w:pPr>
        <w:pStyle w:val="10"/>
        <w:snapToGrid w:val="0"/>
        <w:spacing w:line="336" w:lineRule="auto"/>
        <w:ind w:firstLine="482" w:firstLineChars="200"/>
        <w:rPr>
          <w:rFonts w:hint="eastAsia" w:ascii="宋体" w:hAnsi="宋体"/>
          <w:b/>
          <w:bCs/>
          <w:sz w:val="24"/>
        </w:rPr>
      </w:pPr>
      <w:r>
        <w:rPr>
          <w:rFonts w:hint="eastAsia" w:ascii="宋体" w:hAnsi="宋体"/>
          <w:b/>
          <w:bCs/>
          <w:sz w:val="24"/>
        </w:rPr>
        <w:t>2</w:t>
      </w:r>
      <w:r>
        <w:rPr>
          <w:rFonts w:hint="eastAsia" w:ascii="宋体" w:hAnsi="宋体" w:cs="宋体"/>
          <w:b/>
          <w:bCs/>
          <w:sz w:val="24"/>
        </w:rPr>
        <w:t>、</w:t>
      </w:r>
      <w:r>
        <w:rPr>
          <w:rFonts w:hint="eastAsia" w:ascii="宋体" w:hAnsi="宋体"/>
          <w:b/>
          <w:bCs/>
          <w:sz w:val="24"/>
        </w:rPr>
        <w:t>地点：政采云平台（http://zfcg.czt.zj.gov.cn）；</w:t>
      </w:r>
    </w:p>
    <w:p>
      <w:pPr>
        <w:pStyle w:val="10"/>
        <w:snapToGrid w:val="0"/>
        <w:spacing w:line="336" w:lineRule="auto"/>
        <w:ind w:firstLine="482" w:firstLineChars="200"/>
        <w:rPr>
          <w:rFonts w:hint="eastAsia" w:ascii="宋体" w:hAnsi="宋体"/>
          <w:b/>
          <w:bCs/>
          <w:sz w:val="24"/>
        </w:rPr>
      </w:pPr>
      <w:r>
        <w:rPr>
          <w:rFonts w:hint="eastAsia" w:ascii="宋体" w:hAnsi="宋体"/>
          <w:b/>
          <w:bCs/>
          <w:sz w:val="24"/>
        </w:rPr>
        <w:t>3</w:t>
      </w:r>
      <w:r>
        <w:rPr>
          <w:rFonts w:hint="eastAsia" w:ascii="宋体" w:hAnsi="宋体" w:cs="宋体"/>
          <w:b/>
          <w:bCs/>
          <w:sz w:val="24"/>
        </w:rPr>
        <w:t>、</w:t>
      </w:r>
      <w:r>
        <w:rPr>
          <w:rFonts w:hint="eastAsia" w:ascii="宋体" w:hAnsi="宋体"/>
          <w:b/>
          <w:bCs/>
          <w:sz w:val="24"/>
        </w:rPr>
        <w:t>方式：潜在供应商登陆政采云平台，在线申请获取招标文件（进入“项目采购”应用，在获取招标文件菜单中选择项目，申请获取招标文件</w:t>
      </w:r>
      <w:r>
        <w:rPr>
          <w:rFonts w:hint="eastAsia" w:ascii="宋体" w:hAnsi="宋体" w:cs="Arial"/>
          <w:b/>
          <w:bCs/>
          <w:color w:val="000000"/>
          <w:sz w:val="24"/>
        </w:rPr>
        <w:t>，本项目招标文件不收取工本费</w:t>
      </w:r>
      <w:r>
        <w:rPr>
          <w:rFonts w:hint="eastAsia" w:ascii="宋体" w:hAnsi="宋体"/>
          <w:b/>
          <w:bCs/>
          <w:sz w:val="24"/>
        </w:rPr>
        <w:t>；</w:t>
      </w:r>
      <w:r>
        <w:rPr>
          <w:rFonts w:hint="eastAsia" w:ascii="宋体" w:hAnsi="宋体"/>
          <w:b/>
          <w:bCs/>
          <w:sz w:val="24"/>
          <w:u w:val="single"/>
        </w:rPr>
        <w:t>仅需</w:t>
      </w:r>
      <w:r>
        <w:rPr>
          <w:rFonts w:ascii="宋体" w:hAnsi="宋体"/>
          <w:b/>
          <w:bCs/>
          <w:sz w:val="24"/>
          <w:u w:val="single"/>
        </w:rPr>
        <w:t>浏览</w:t>
      </w:r>
      <w:r>
        <w:rPr>
          <w:rFonts w:hint="eastAsia" w:ascii="宋体" w:hAnsi="宋体"/>
          <w:b/>
          <w:bCs/>
          <w:sz w:val="24"/>
          <w:u w:val="single"/>
        </w:rPr>
        <w:t>招标文件的供应商可点击“游客，</w:t>
      </w:r>
      <w:r>
        <w:rPr>
          <w:rFonts w:ascii="宋体" w:hAnsi="宋体"/>
          <w:b/>
          <w:bCs/>
          <w:sz w:val="24"/>
          <w:u w:val="single"/>
        </w:rPr>
        <w:t>浏览</w:t>
      </w:r>
      <w:r>
        <w:rPr>
          <w:rFonts w:hint="eastAsia" w:ascii="宋体" w:hAnsi="宋体"/>
          <w:b/>
          <w:bCs/>
          <w:sz w:val="24"/>
          <w:u w:val="single"/>
        </w:rPr>
        <w:t>招标文件”直接下载招标文件</w:t>
      </w:r>
      <w:r>
        <w:rPr>
          <w:rFonts w:ascii="宋体" w:hAnsi="宋体"/>
          <w:b/>
          <w:bCs/>
          <w:sz w:val="24"/>
          <w:u w:val="single"/>
        </w:rPr>
        <w:t>浏览</w:t>
      </w:r>
      <w:r>
        <w:rPr>
          <w:rFonts w:hint="eastAsia" w:ascii="宋体" w:hAnsi="宋体"/>
          <w:b/>
          <w:bCs/>
          <w:sz w:val="24"/>
        </w:rPr>
        <w:t>）；</w:t>
      </w:r>
    </w:p>
    <w:p>
      <w:pPr>
        <w:widowControl/>
        <w:snapToGrid w:val="0"/>
        <w:spacing w:line="336"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4、供应商获取招标文件时须提交的文件资料：无；</w:t>
      </w:r>
    </w:p>
    <w:p>
      <w:pPr>
        <w:widowControl/>
        <w:snapToGrid w:val="0"/>
        <w:spacing w:line="336"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36" w:lineRule="auto"/>
        <w:ind w:firstLine="482" w:firstLineChars="200"/>
        <w:jc w:val="left"/>
        <w:rPr>
          <w:rFonts w:hint="eastAsia" w:ascii="宋体" w:hAnsi="宋体"/>
          <w:b/>
          <w:bCs/>
          <w:sz w:val="24"/>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36" w:lineRule="auto"/>
        <w:jc w:val="left"/>
        <w:rPr>
          <w:rFonts w:ascii="宋体" w:hAnsi="宋体"/>
          <w:color w:val="000000"/>
          <w:kern w:val="0"/>
          <w:sz w:val="24"/>
        </w:rPr>
      </w:pPr>
      <w:r>
        <w:rPr>
          <w:rFonts w:hint="eastAsia" w:ascii="宋体" w:hAnsi="宋体"/>
          <w:b/>
          <w:bCs/>
          <w:color w:val="000000"/>
          <w:kern w:val="0"/>
          <w:sz w:val="24"/>
        </w:rPr>
        <w:t>七、投标截止时间：</w:t>
      </w:r>
      <w:r>
        <w:rPr>
          <w:rFonts w:hint="eastAsia" w:ascii="宋体" w:hAnsi="宋体"/>
          <w:color w:val="000000"/>
          <w:kern w:val="0"/>
          <w:sz w:val="24"/>
        </w:rPr>
        <w:t>2020年</w:t>
      </w:r>
      <w:r>
        <w:rPr>
          <w:rFonts w:hint="eastAsia" w:ascii="宋体" w:hAnsi="宋体"/>
          <w:color w:val="000000"/>
          <w:kern w:val="0"/>
          <w:sz w:val="24"/>
          <w:lang w:val="en-US" w:eastAsia="zh-CN"/>
        </w:rPr>
        <w:t>5</w:t>
      </w:r>
      <w:r>
        <w:rPr>
          <w:rFonts w:hint="eastAsia" w:ascii="宋体" w:hAnsi="宋体"/>
          <w:color w:val="000000"/>
          <w:kern w:val="0"/>
          <w:sz w:val="24"/>
        </w:rPr>
        <w:t>月</w:t>
      </w:r>
      <w:r>
        <w:rPr>
          <w:rFonts w:hint="eastAsia" w:ascii="宋体" w:hAnsi="宋体"/>
          <w:color w:val="000000"/>
          <w:kern w:val="0"/>
          <w:sz w:val="24"/>
          <w:lang w:val="en-US" w:eastAsia="zh-CN"/>
        </w:rPr>
        <w:t>28</w:t>
      </w:r>
      <w:r>
        <w:rPr>
          <w:rFonts w:hint="eastAsia" w:ascii="宋体" w:hAnsi="宋体"/>
          <w:color w:val="000000"/>
          <w:kern w:val="0"/>
          <w:sz w:val="24"/>
        </w:rPr>
        <w:t>日</w:t>
      </w:r>
      <w:r>
        <w:rPr>
          <w:rFonts w:hint="eastAsia" w:ascii="宋体" w:hAnsi="宋体"/>
          <w:color w:val="000000"/>
          <w:kern w:val="0"/>
          <w:sz w:val="24"/>
          <w:lang w:val="en-US" w:eastAsia="zh-CN"/>
        </w:rPr>
        <w:t>13</w:t>
      </w:r>
      <w:r>
        <w:rPr>
          <w:rFonts w:ascii="宋体" w:hAnsi="宋体"/>
          <w:color w:val="000000"/>
          <w:kern w:val="0"/>
          <w:sz w:val="24"/>
        </w:rPr>
        <w:t xml:space="preserve"> </w:t>
      </w:r>
      <w:r>
        <w:rPr>
          <w:rFonts w:hint="eastAsia" w:ascii="宋体" w:hAnsi="宋体"/>
          <w:color w:val="000000"/>
          <w:kern w:val="0"/>
          <w:sz w:val="24"/>
        </w:rPr>
        <w:t>时</w:t>
      </w:r>
      <w:r>
        <w:rPr>
          <w:rFonts w:hint="eastAsia" w:ascii="宋体" w:hAnsi="宋体"/>
          <w:color w:val="000000"/>
          <w:kern w:val="0"/>
          <w:sz w:val="24"/>
          <w:lang w:val="en-US" w:eastAsia="zh-CN"/>
        </w:rPr>
        <w:t>30</w:t>
      </w:r>
      <w:r>
        <w:rPr>
          <w:rFonts w:hint="eastAsia" w:ascii="宋体" w:hAnsi="宋体"/>
          <w:color w:val="000000"/>
          <w:kern w:val="0"/>
          <w:sz w:val="24"/>
        </w:rPr>
        <w:t>分00秒止；</w:t>
      </w:r>
    </w:p>
    <w:p>
      <w:pPr>
        <w:widowControl/>
        <w:autoSpaceDE w:val="0"/>
        <w:snapToGrid w:val="0"/>
        <w:spacing w:line="336" w:lineRule="auto"/>
        <w:jc w:val="left"/>
        <w:rPr>
          <w:rFonts w:hint="eastAsia" w:ascii="宋体" w:hAnsi="宋体"/>
          <w:kern w:val="0"/>
          <w:sz w:val="24"/>
        </w:rPr>
      </w:pPr>
      <w:r>
        <w:rPr>
          <w:rFonts w:hint="eastAsia" w:ascii="宋体" w:hAnsi="宋体"/>
          <w:b/>
          <w:bCs/>
          <w:color w:val="000000"/>
          <w:kern w:val="0"/>
          <w:sz w:val="24"/>
        </w:rPr>
        <w:t>八、供应商线上投标地点</w:t>
      </w:r>
      <w:r>
        <w:rPr>
          <w:rFonts w:hint="eastAsia" w:ascii="宋体" w:hAnsi="宋体"/>
          <w:kern w:val="0"/>
          <w:sz w:val="24"/>
        </w:rPr>
        <w:t>：“政府采购云平台（www.zcygov.cn）”实行在线投标响应</w:t>
      </w:r>
      <w:r>
        <w:rPr>
          <w:rFonts w:hint="eastAsia" w:ascii="宋体" w:hAnsi="宋体" w:cs="Arial"/>
          <w:b/>
          <w:bCs/>
          <w:color w:val="000000"/>
          <w:sz w:val="24"/>
        </w:rPr>
        <w:t>（电子投标）</w:t>
      </w:r>
      <w:r>
        <w:rPr>
          <w:rFonts w:hint="eastAsia" w:ascii="宋体" w:hAnsi="宋体"/>
          <w:kern w:val="0"/>
          <w:sz w:val="24"/>
        </w:rPr>
        <w:t>。</w:t>
      </w:r>
    </w:p>
    <w:p>
      <w:pPr>
        <w:widowControl/>
        <w:snapToGrid w:val="0"/>
        <w:spacing w:line="336" w:lineRule="auto"/>
        <w:jc w:val="left"/>
        <w:rPr>
          <w:rFonts w:hint="eastAsia" w:ascii="宋体" w:hAnsi="宋体"/>
          <w:color w:val="000000"/>
          <w:kern w:val="0"/>
          <w:sz w:val="24"/>
        </w:rPr>
      </w:pPr>
      <w:r>
        <w:rPr>
          <w:rFonts w:hint="eastAsia" w:ascii="宋体" w:hAnsi="宋体"/>
          <w:b/>
          <w:bCs/>
          <w:color w:val="000000"/>
          <w:kern w:val="0"/>
          <w:sz w:val="24"/>
        </w:rPr>
        <w:t>九、开标时间：</w:t>
      </w:r>
      <w:r>
        <w:rPr>
          <w:rFonts w:hint="eastAsia" w:ascii="宋体" w:hAnsi="宋体"/>
          <w:color w:val="000000"/>
          <w:kern w:val="0"/>
          <w:sz w:val="24"/>
        </w:rPr>
        <w:t>2020年</w:t>
      </w:r>
      <w:r>
        <w:rPr>
          <w:rFonts w:hint="eastAsia" w:ascii="宋体" w:hAnsi="宋体"/>
          <w:color w:val="000000"/>
          <w:kern w:val="0"/>
          <w:sz w:val="24"/>
          <w:lang w:val="en-US" w:eastAsia="zh-CN"/>
        </w:rPr>
        <w:t>5</w:t>
      </w:r>
      <w:r>
        <w:rPr>
          <w:rFonts w:hint="eastAsia" w:ascii="宋体" w:hAnsi="宋体"/>
          <w:color w:val="000000"/>
          <w:kern w:val="0"/>
          <w:sz w:val="24"/>
        </w:rPr>
        <w:t>月</w:t>
      </w:r>
      <w:r>
        <w:rPr>
          <w:rFonts w:hint="eastAsia" w:ascii="宋体" w:hAnsi="宋体"/>
          <w:color w:val="000000"/>
          <w:kern w:val="0"/>
          <w:sz w:val="24"/>
          <w:lang w:val="en-US" w:eastAsia="zh-CN"/>
        </w:rPr>
        <w:t>28</w:t>
      </w:r>
      <w:r>
        <w:rPr>
          <w:rFonts w:hint="eastAsia" w:ascii="宋体" w:hAnsi="宋体"/>
          <w:color w:val="000000"/>
          <w:kern w:val="0"/>
          <w:sz w:val="24"/>
        </w:rPr>
        <w:t>日</w:t>
      </w:r>
      <w:r>
        <w:rPr>
          <w:rFonts w:hint="eastAsia" w:ascii="宋体" w:hAnsi="宋体"/>
          <w:color w:val="000000"/>
          <w:kern w:val="0"/>
          <w:sz w:val="24"/>
          <w:lang w:val="en-US" w:eastAsia="zh-CN"/>
        </w:rPr>
        <w:t>13</w:t>
      </w:r>
      <w:r>
        <w:rPr>
          <w:rFonts w:ascii="宋体" w:hAnsi="宋体"/>
          <w:color w:val="000000"/>
          <w:kern w:val="0"/>
          <w:sz w:val="24"/>
        </w:rPr>
        <w:t xml:space="preserve"> </w:t>
      </w:r>
      <w:r>
        <w:rPr>
          <w:rFonts w:hint="eastAsia" w:ascii="宋体" w:hAnsi="宋体"/>
          <w:color w:val="000000"/>
          <w:kern w:val="0"/>
          <w:sz w:val="24"/>
        </w:rPr>
        <w:t>时</w:t>
      </w:r>
      <w:r>
        <w:rPr>
          <w:rFonts w:hint="eastAsia" w:ascii="宋体" w:hAnsi="宋体"/>
          <w:color w:val="000000"/>
          <w:kern w:val="0"/>
          <w:sz w:val="24"/>
          <w:lang w:val="en-US" w:eastAsia="zh-CN"/>
        </w:rPr>
        <w:t>30</w:t>
      </w:r>
      <w:r>
        <w:rPr>
          <w:rFonts w:hint="eastAsia" w:ascii="宋体" w:hAnsi="宋体"/>
          <w:color w:val="000000"/>
          <w:kern w:val="0"/>
          <w:sz w:val="24"/>
        </w:rPr>
        <w:t>分00秒止；</w:t>
      </w:r>
    </w:p>
    <w:p>
      <w:pPr>
        <w:widowControl/>
        <w:autoSpaceDE w:val="0"/>
        <w:snapToGrid w:val="0"/>
        <w:spacing w:line="336" w:lineRule="auto"/>
        <w:jc w:val="left"/>
        <w:rPr>
          <w:rFonts w:hint="eastAsia" w:ascii="宋体" w:hAnsi="宋体" w:cs="宋体"/>
          <w:b/>
          <w:bCs/>
          <w:color w:val="000000"/>
          <w:kern w:val="0"/>
          <w:sz w:val="24"/>
        </w:rPr>
      </w:pPr>
      <w:r>
        <w:rPr>
          <w:rFonts w:hint="eastAsia" w:ascii="宋体" w:hAnsi="宋体"/>
          <w:b/>
          <w:bCs/>
          <w:color w:val="000000"/>
          <w:kern w:val="0"/>
          <w:sz w:val="24"/>
        </w:rPr>
        <w:t>十、线下开标地点：</w:t>
      </w:r>
      <w:r>
        <w:rPr>
          <w:rFonts w:hint="eastAsia" w:ascii="宋体" w:hAnsi="宋体" w:cs="宋体"/>
          <w:kern w:val="0"/>
          <w:sz w:val="24"/>
        </w:rPr>
        <w:t>　</w:t>
      </w:r>
    </w:p>
    <w:p>
      <w:pPr>
        <w:widowControl/>
        <w:autoSpaceDE w:val="0"/>
        <w:snapToGrid w:val="0"/>
        <w:spacing w:line="336" w:lineRule="auto"/>
        <w:jc w:val="left"/>
        <w:rPr>
          <w:rFonts w:hint="eastAsia" w:ascii="宋体" w:hAnsi="宋体"/>
          <w:kern w:val="0"/>
          <w:sz w:val="24"/>
        </w:rPr>
      </w:pPr>
      <w:r>
        <w:rPr>
          <w:rFonts w:hint="eastAsia" w:ascii="宋体" w:hAnsi="宋体" w:cs="宋体"/>
          <w:b/>
          <w:bCs/>
          <w:color w:val="000000"/>
          <w:kern w:val="0"/>
          <w:sz w:val="24"/>
        </w:rPr>
        <w:t>　　供应商线上开标地点：</w:t>
      </w:r>
      <w:r>
        <w:rPr>
          <w:rFonts w:hint="eastAsia" w:ascii="宋体" w:hAnsi="宋体"/>
          <w:kern w:val="0"/>
          <w:sz w:val="24"/>
        </w:rPr>
        <w:t>“政府采购云平台（www.zcygov.cn）”实行在线开评标。</w:t>
      </w:r>
    </w:p>
    <w:p>
      <w:pPr>
        <w:widowControl/>
        <w:snapToGrid w:val="0"/>
        <w:spacing w:line="336" w:lineRule="auto"/>
        <w:jc w:val="left"/>
        <w:rPr>
          <w:rFonts w:ascii="宋体" w:hAnsi="宋体" w:cs="宋体"/>
          <w:color w:val="000000"/>
          <w:kern w:val="0"/>
          <w:sz w:val="24"/>
        </w:rPr>
      </w:pPr>
      <w:r>
        <w:rPr>
          <w:rFonts w:hint="eastAsia" w:ascii="宋体" w:hAnsi="宋体" w:cs="宋体"/>
          <w:b/>
          <w:color w:val="000000"/>
          <w:kern w:val="0"/>
          <w:sz w:val="24"/>
        </w:rPr>
        <w:t>十一、投标保证金：</w:t>
      </w:r>
      <w:r>
        <w:rPr>
          <w:rFonts w:hint="eastAsia" w:ascii="宋体" w:hAnsi="宋体" w:cs="宋体"/>
          <w:color w:val="000000"/>
          <w:kern w:val="0"/>
          <w:sz w:val="24"/>
        </w:rPr>
        <w:t>无。</w:t>
      </w:r>
    </w:p>
    <w:p>
      <w:pPr>
        <w:spacing w:line="336" w:lineRule="auto"/>
        <w:rPr>
          <w:rFonts w:hint="eastAsia" w:ascii="宋体" w:hAnsi="宋体" w:cs="Arial"/>
          <w:b/>
          <w:color w:val="000000"/>
          <w:sz w:val="24"/>
          <w:szCs w:val="24"/>
        </w:rPr>
      </w:pPr>
      <w:r>
        <w:rPr>
          <w:rFonts w:hint="eastAsia" w:ascii="宋体" w:hAnsi="宋体" w:cs="Arial"/>
          <w:b/>
          <w:color w:val="000000"/>
          <w:sz w:val="24"/>
          <w:szCs w:val="24"/>
        </w:rPr>
        <w:t>十二、在线投标响应（电子投标）说明：</w:t>
      </w:r>
    </w:p>
    <w:p>
      <w:pPr>
        <w:spacing w:line="336" w:lineRule="auto"/>
        <w:ind w:firstLine="663" w:firstLineChars="275"/>
        <w:rPr>
          <w:rFonts w:hint="eastAsia" w:ascii="宋体" w:hAnsi="宋体" w:cs="Arial"/>
          <w:b/>
          <w:color w:val="000000"/>
          <w:sz w:val="24"/>
          <w:szCs w:val="24"/>
        </w:rPr>
      </w:pPr>
      <w:r>
        <w:rPr>
          <w:rFonts w:hint="eastAsia" w:ascii="宋体" w:hAnsi="宋体" w:cs="Arial"/>
          <w:b/>
          <w:color w:val="000000"/>
          <w:sz w:val="24"/>
          <w:szCs w:val="24"/>
        </w:rPr>
        <w:t>1、</w:t>
      </w:r>
      <w:r>
        <w:rPr>
          <w:rFonts w:hint="eastAsia" w:ascii="宋体" w:hAnsi="宋体" w:cs="Arial"/>
          <w:b/>
          <w:color w:val="000000"/>
          <w:sz w:val="24"/>
          <w:szCs w:val="24"/>
          <w:u w:val="single"/>
        </w:rPr>
        <w:t>本项目通过“政府采购云平台（</w:t>
      </w:r>
      <w:r>
        <w:rPr>
          <w:rFonts w:ascii="宋体" w:hAnsi="宋体" w:cs="Arial"/>
          <w:b/>
          <w:color w:val="000000"/>
          <w:sz w:val="24"/>
          <w:szCs w:val="24"/>
          <w:u w:val="single"/>
        </w:rPr>
        <w:t>www.</w:t>
      </w:r>
      <w:r>
        <w:rPr>
          <w:rFonts w:hint="eastAsia" w:ascii="宋体" w:hAnsi="宋体" w:cs="Arial"/>
          <w:b/>
          <w:color w:val="000000"/>
          <w:sz w:val="24"/>
          <w:szCs w:val="24"/>
          <w:u w:val="single"/>
        </w:rPr>
        <w:t>zcy</w:t>
      </w:r>
      <w:r>
        <w:rPr>
          <w:rFonts w:ascii="宋体" w:hAnsi="宋体" w:cs="Arial"/>
          <w:b/>
          <w:color w:val="000000"/>
          <w:sz w:val="24"/>
          <w:szCs w:val="24"/>
          <w:u w:val="single"/>
        </w:rPr>
        <w:t>gov.cn</w:t>
      </w:r>
      <w:r>
        <w:rPr>
          <w:rFonts w:hint="eastAsia" w:ascii="宋体" w:hAnsi="宋体" w:cs="Arial"/>
          <w:b/>
          <w:color w:val="000000"/>
          <w:sz w:val="24"/>
          <w:szCs w:val="24"/>
          <w:u w:val="single"/>
        </w:rPr>
        <w:t>）”实行在线投标响应（电子投标），供应商在投标前完成浙江省政府采购正式供应商注册入库工作且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szCs w:val="24"/>
        </w:rPr>
        <w:t>。</w:t>
      </w:r>
    </w:p>
    <w:p>
      <w:pPr>
        <w:spacing w:line="336" w:lineRule="auto"/>
        <w:ind w:firstLine="424" w:firstLineChars="176"/>
        <w:rPr>
          <w:rFonts w:hint="eastAsia" w:ascii="宋体" w:hAnsi="宋体" w:cs="Arial"/>
          <w:b/>
          <w:bCs/>
          <w:color w:val="000000"/>
          <w:sz w:val="24"/>
        </w:rPr>
      </w:pPr>
      <w:r>
        <w:rPr>
          <w:rFonts w:hint="eastAsia" w:ascii="宋体" w:hAnsi="宋体" w:cs="Arial"/>
          <w:b/>
          <w:bCs/>
          <w:color w:val="000000"/>
          <w:sz w:val="24"/>
          <w:szCs w:val="24"/>
        </w:rPr>
        <w:t>“政采云电子交易客户端”请自行前往“浙江政府采购网-下载专区-电子</w:t>
      </w:r>
      <w:r>
        <w:rPr>
          <w:rFonts w:hint="eastAsia" w:ascii="宋体" w:hAnsi="宋体" w:cs="Arial"/>
          <w:b/>
          <w:bCs/>
          <w:color w:val="000000"/>
          <w:sz w:val="24"/>
        </w:rPr>
        <w:t>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numPr>
          <w:ilvl w:val="0"/>
          <w:numId w:val="3"/>
        </w:numPr>
        <w:spacing w:line="336" w:lineRule="auto"/>
        <w:ind w:firstLine="424" w:firstLineChars="176"/>
        <w:rPr>
          <w:rFonts w:hint="eastAsia" w:ascii="宋体" w:hAnsi="宋体" w:cs="Arial"/>
          <w:b/>
          <w:bCs/>
          <w:color w:val="000000"/>
          <w:sz w:val="24"/>
        </w:rPr>
      </w:pPr>
      <w:r>
        <w:rPr>
          <w:rFonts w:hint="eastAsia" w:ascii="宋体" w:hAnsi="宋体" w:cs="Arial"/>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rPr>
        <w:t>。</w:t>
      </w:r>
      <w:r>
        <w:rPr>
          <w:rFonts w:hint="eastAsia" w:ascii="宋体" w:hAnsi="宋体" w:cs="Arial"/>
          <w:b/>
          <w:bCs/>
          <w:color w:val="000000"/>
          <w:sz w:val="24"/>
        </w:rPr>
        <w:t>使用“政采云电子交易客户端”需要提前申领CA数字证书，申领流程请自行前往“浙江政府采购网-下载专区-电子交易客户端-</w:t>
      </w:r>
      <w:r>
        <w:rPr>
          <w:rFonts w:ascii="宋体" w:hAnsi="宋体" w:cs="Arial"/>
          <w:b/>
          <w:bCs/>
          <w:color w:val="000000"/>
          <w:sz w:val="24"/>
        </w:rPr>
        <w:fldChar w:fldCharType="begin"/>
      </w:r>
      <w:r>
        <w:rPr>
          <w:rFonts w:ascii="宋体" w:hAnsi="宋体" w:cs="Arial"/>
          <w:b/>
          <w:bCs/>
          <w:color w:val="000000"/>
          <w:sz w:val="24"/>
        </w:rPr>
        <w:instrText xml:space="preserve"> HYPERLINK "http://www.zjzfcg.gov.cn/bidClientTemplate/2019-05-27/12945.html" \o "CA驱动和申领流程" \t "_blank" </w:instrText>
      </w:r>
      <w:r>
        <w:rPr>
          <w:rFonts w:ascii="宋体" w:hAnsi="宋体" w:cs="Arial"/>
          <w:b/>
          <w:bCs/>
          <w:color w:val="000000"/>
          <w:sz w:val="24"/>
        </w:rPr>
        <w:fldChar w:fldCharType="separate"/>
      </w:r>
      <w:r>
        <w:rPr>
          <w:rFonts w:ascii="宋体" w:hAnsi="宋体" w:cs="Arial"/>
          <w:b/>
          <w:bCs/>
          <w:color w:val="000000"/>
          <w:sz w:val="24"/>
        </w:rPr>
        <w:t>CA驱动和申领流程</w:t>
      </w:r>
      <w:r>
        <w:rPr>
          <w:rFonts w:ascii="宋体" w:hAnsi="宋体" w:cs="Arial"/>
          <w:b/>
          <w:bCs/>
          <w:color w:val="000000"/>
          <w:sz w:val="24"/>
        </w:rPr>
        <w:fldChar w:fldCharType="end"/>
      </w:r>
      <w:r>
        <w:rPr>
          <w:rFonts w:hint="eastAsia" w:ascii="宋体" w:hAnsi="宋体" w:cs="Arial"/>
          <w:b/>
          <w:bCs/>
          <w:color w:val="000000"/>
          <w:sz w:val="24"/>
        </w:rPr>
        <w:t>”进行查阅；</w:t>
      </w:r>
    </w:p>
    <w:p>
      <w:pPr>
        <w:spacing w:line="336" w:lineRule="auto"/>
        <w:ind w:firstLine="424" w:firstLineChars="176"/>
        <w:rPr>
          <w:rFonts w:hint="eastAsia" w:ascii="宋体" w:hAnsi="宋体" w:cs="Arial"/>
          <w:b/>
          <w:color w:val="000000"/>
          <w:sz w:val="24"/>
          <w:u w:val="single"/>
        </w:rPr>
      </w:pPr>
      <w:r>
        <w:rPr>
          <w:rFonts w:hint="eastAsia" w:ascii="宋体" w:hAnsi="宋体" w:cs="Arial"/>
          <w:b/>
          <w:color w:val="000000"/>
          <w:sz w:val="24"/>
        </w:rPr>
        <w:t>3、</w:t>
      </w:r>
      <w:r>
        <w:rPr>
          <w:rFonts w:hint="eastAsia" w:ascii="宋体" w:hAnsi="宋体" w:cs="Arial"/>
          <w:b/>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36" w:lineRule="auto"/>
        <w:ind w:firstLine="424" w:firstLineChars="176"/>
        <w:rPr>
          <w:rFonts w:hint="eastAsia" w:ascii="宋体" w:hAnsi="宋体" w:cs="Arial"/>
          <w:b/>
          <w:color w:val="000000"/>
          <w:sz w:val="24"/>
        </w:rPr>
      </w:pPr>
      <w:r>
        <w:rPr>
          <w:rFonts w:hint="eastAsia" w:ascii="宋体" w:hAnsi="宋体" w:cs="Arial"/>
          <w:b/>
          <w:color w:val="000000"/>
          <w:sz w:val="24"/>
        </w:rPr>
        <w:t>4、</w:t>
      </w:r>
      <w:r>
        <w:rPr>
          <w:rFonts w:hint="eastAsia" w:ascii="宋体" w:hAnsi="宋体" w:cs="Arial"/>
          <w:b/>
          <w:color w:val="000000"/>
          <w:sz w:val="24"/>
          <w:u w:val="single"/>
        </w:rPr>
        <w:t>投标供应商在“政府采购云平台”完成“电子加密投标文件”的上传递交后，还可以（建议E</w:t>
      </w:r>
      <w:r>
        <w:rPr>
          <w:rFonts w:ascii="宋体" w:hAnsi="宋体" w:cs="Arial"/>
          <w:b/>
          <w:color w:val="000000"/>
          <w:sz w:val="24"/>
          <w:u w:val="single"/>
        </w:rPr>
        <w:t>MS</w:t>
      </w:r>
      <w:r>
        <w:rPr>
          <w:rFonts w:hint="eastAsia" w:ascii="宋体" w:hAnsi="宋体" w:cs="Arial"/>
          <w:b/>
          <w:color w:val="000000"/>
          <w:sz w:val="24"/>
          <w:u w:val="single"/>
        </w:rPr>
        <w:t>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color w:val="000000"/>
          <w:sz w:val="24"/>
        </w:rPr>
        <w:t>。</w:t>
      </w:r>
    </w:p>
    <w:p>
      <w:pPr>
        <w:spacing w:line="336" w:lineRule="auto"/>
        <w:ind w:firstLine="424" w:firstLineChars="176"/>
        <w:rPr>
          <w:rFonts w:hint="eastAsia" w:ascii="宋体" w:hAnsi="宋体" w:cs="Arial"/>
          <w:b/>
          <w:color w:val="000000"/>
          <w:sz w:val="24"/>
        </w:rPr>
      </w:pPr>
      <w:r>
        <w:rPr>
          <w:rFonts w:hint="eastAsia" w:ascii="宋体" w:hAnsi="宋体" w:cs="Arial"/>
          <w:b/>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adjustRightInd w:val="0"/>
        <w:snapToGrid w:val="0"/>
        <w:spacing w:line="336" w:lineRule="auto"/>
        <w:ind w:firstLine="482" w:firstLineChars="200"/>
        <w:rPr>
          <w:rFonts w:hint="eastAsia" w:ascii="宋体" w:hAnsi="宋体" w:cs="宋体"/>
          <w:b/>
          <w:bCs/>
          <w:color w:val="000000"/>
          <w:sz w:val="24"/>
          <w:szCs w:val="24"/>
        </w:rPr>
      </w:pPr>
      <w:r>
        <w:rPr>
          <w:rFonts w:hint="eastAsia" w:ascii="宋体" w:hAnsi="宋体" w:cs="Arial"/>
          <w:b/>
          <w:bCs/>
          <w:color w:val="000000"/>
          <w:sz w:val="24"/>
          <w:szCs w:val="24"/>
        </w:rPr>
        <w:t>6</w:t>
      </w:r>
      <w:r>
        <w:rPr>
          <w:rFonts w:hint="eastAsia" w:ascii="宋体" w:hAnsi="宋体" w:cs="宋体"/>
          <w:b/>
          <w:bCs/>
          <w:color w:val="000000"/>
          <w:sz w:val="24"/>
          <w:szCs w:val="24"/>
        </w:rPr>
        <w:t>、</w:t>
      </w:r>
      <w:r>
        <w:rPr>
          <w:b/>
          <w:bCs/>
          <w:color w:val="000000"/>
          <w:sz w:val="24"/>
          <w:szCs w:val="24"/>
        </w:rPr>
        <w:t>“</w:t>
      </w:r>
      <w:r>
        <w:rPr>
          <w:rFonts w:hint="eastAsia" w:ascii="宋体" w:hAnsi="宋体" w:cs="宋体"/>
          <w:b/>
          <w:bCs/>
          <w:color w:val="000000"/>
          <w:sz w:val="24"/>
          <w:szCs w:val="24"/>
        </w:rPr>
        <w:t>政府采购项目电子交易管理操作指南</w:t>
      </w:r>
      <w:r>
        <w:rPr>
          <w:rFonts w:hint="eastAsia" w:ascii="宋体" w:hAnsi="宋体" w:cs="Arial"/>
          <w:b/>
          <w:bCs/>
          <w:color w:val="000000"/>
          <w:sz w:val="24"/>
          <w:szCs w:val="24"/>
        </w:rPr>
        <w:t>-</w:t>
      </w:r>
      <w:r>
        <w:rPr>
          <w:rFonts w:hint="eastAsia" w:ascii="宋体" w:hAnsi="宋体" w:cs="宋体"/>
          <w:b/>
          <w:bCs/>
          <w:color w:val="000000"/>
          <w:sz w:val="24"/>
          <w:szCs w:val="24"/>
        </w:rPr>
        <w:t>供应商</w:t>
      </w:r>
      <w:r>
        <w:rPr>
          <w:b/>
          <w:bCs/>
          <w:color w:val="000000"/>
          <w:sz w:val="24"/>
          <w:szCs w:val="24"/>
        </w:rPr>
        <w:t>”</w:t>
      </w:r>
      <w:r>
        <w:rPr>
          <w:rFonts w:hint="eastAsia" w:ascii="宋体" w:hAnsi="宋体" w:cs="宋体"/>
          <w:b/>
          <w:bCs/>
          <w:color w:val="000000"/>
          <w:sz w:val="24"/>
          <w:szCs w:val="24"/>
        </w:rPr>
        <w:t>及</w:t>
      </w:r>
      <w:r>
        <w:rPr>
          <w:b/>
          <w:bCs/>
          <w:color w:val="000000"/>
          <w:sz w:val="24"/>
          <w:szCs w:val="24"/>
        </w:rPr>
        <w:t>“</w:t>
      </w:r>
      <w:r>
        <w:rPr>
          <w:rFonts w:hint="eastAsia" w:ascii="宋体" w:hAnsi="宋体" w:cs="宋体"/>
          <w:b/>
          <w:bCs/>
          <w:color w:val="000000"/>
          <w:sz w:val="24"/>
          <w:szCs w:val="24"/>
        </w:rPr>
        <w:t>政府采购项目电子交易管理操作视频</w:t>
      </w:r>
      <w:r>
        <w:rPr>
          <w:rFonts w:hint="eastAsia" w:ascii="宋体" w:hAnsi="宋体" w:cs="Arial"/>
          <w:b/>
          <w:bCs/>
          <w:color w:val="000000"/>
          <w:sz w:val="24"/>
          <w:szCs w:val="24"/>
        </w:rPr>
        <w:t>-</w:t>
      </w:r>
      <w:r>
        <w:rPr>
          <w:rFonts w:hint="eastAsia" w:ascii="宋体" w:hAnsi="宋体" w:cs="宋体"/>
          <w:b/>
          <w:bCs/>
          <w:color w:val="000000"/>
          <w:sz w:val="24"/>
          <w:szCs w:val="24"/>
        </w:rPr>
        <w:t>供应商</w:t>
      </w:r>
      <w:r>
        <w:rPr>
          <w:b/>
          <w:bCs/>
          <w:color w:val="000000"/>
          <w:sz w:val="24"/>
          <w:szCs w:val="24"/>
        </w:rPr>
        <w:t>”</w:t>
      </w:r>
      <w:r>
        <w:rPr>
          <w:rFonts w:hint="eastAsia" w:ascii="宋体" w:hAnsi="宋体" w:cs="宋体"/>
          <w:b/>
          <w:bCs/>
          <w:color w:val="000000"/>
          <w:sz w:val="24"/>
          <w:szCs w:val="24"/>
        </w:rPr>
        <w:t>，获取方式：供应商账号密码登陆政采云平台后点击我的的工作台，然后点击</w:t>
      </w:r>
      <w:r>
        <w:rPr>
          <w:b/>
          <w:bCs/>
          <w:color w:val="000000"/>
          <w:sz w:val="24"/>
          <w:szCs w:val="24"/>
        </w:rPr>
        <w:t>“</w:t>
      </w:r>
      <w:r>
        <w:rPr>
          <w:rFonts w:hint="eastAsia" w:ascii="宋体" w:hAnsi="宋体" w:cs="宋体"/>
          <w:b/>
          <w:bCs/>
          <w:color w:val="000000"/>
          <w:sz w:val="24"/>
          <w:szCs w:val="24"/>
        </w:rPr>
        <w:t>服务中心</w:t>
      </w:r>
      <w:r>
        <w:rPr>
          <w:b/>
          <w:bCs/>
          <w:color w:val="000000"/>
          <w:sz w:val="24"/>
          <w:szCs w:val="24"/>
        </w:rPr>
        <w:t>”</w:t>
      </w:r>
      <w:r>
        <w:rPr>
          <w:rFonts w:hint="eastAsia" w:ascii="宋体" w:hAnsi="宋体" w:cs="宋体"/>
          <w:b/>
          <w:bCs/>
          <w:color w:val="000000"/>
          <w:sz w:val="24"/>
          <w:szCs w:val="24"/>
        </w:rPr>
        <w:t>后下拉框内找到</w:t>
      </w:r>
      <w:r>
        <w:rPr>
          <w:b/>
          <w:bCs/>
          <w:color w:val="000000"/>
          <w:sz w:val="24"/>
          <w:szCs w:val="24"/>
        </w:rPr>
        <w:t>“</w:t>
      </w:r>
      <w:r>
        <w:rPr>
          <w:rFonts w:hint="eastAsia" w:ascii="宋体" w:hAnsi="宋体" w:cs="宋体"/>
          <w:b/>
          <w:bCs/>
          <w:color w:val="000000"/>
          <w:sz w:val="24"/>
          <w:szCs w:val="24"/>
        </w:rPr>
        <w:t>帮助文档</w:t>
      </w:r>
      <w:r>
        <w:rPr>
          <w:b/>
          <w:bCs/>
          <w:color w:val="000000"/>
          <w:sz w:val="24"/>
          <w:szCs w:val="24"/>
        </w:rPr>
        <w:t>”</w:t>
      </w:r>
      <w:r>
        <w:rPr>
          <w:rFonts w:hint="eastAsia" w:ascii="宋体" w:hAnsi="宋体" w:cs="宋体"/>
          <w:b/>
          <w:bCs/>
          <w:color w:val="000000"/>
          <w:sz w:val="24"/>
          <w:szCs w:val="24"/>
        </w:rPr>
        <w:t>点击打开在搜索处直接查找即可找到帮忙文档及视频进行查看学习操作流程。</w:t>
      </w:r>
    </w:p>
    <w:p>
      <w:pPr>
        <w:adjustRightInd w:val="0"/>
        <w:snapToGrid w:val="0"/>
        <w:spacing w:line="336" w:lineRule="auto"/>
        <w:ind w:firstLine="480" w:firstLineChars="200"/>
        <w:rPr>
          <w:rFonts w:hint="eastAsia" w:ascii="宋体" w:hAnsi="宋体" w:cs="宋体"/>
          <w:sz w:val="24"/>
          <w:highlight w:val="yellow"/>
        </w:rPr>
      </w:pPr>
      <w:r>
        <w:rPr>
          <w:rFonts w:hint="eastAsia" w:ascii="宋体" w:hAnsi="宋体" w:cs="宋体"/>
          <w:sz w:val="24"/>
          <w:highlight w:val="yellow"/>
        </w:rPr>
        <w:t>电子投标文件制作，按政采云平台项目采购--电子招投标操作指南及本竞争性谈判文件要求编制。</w:t>
      </w:r>
    </w:p>
    <w:p>
      <w:pPr>
        <w:widowControl/>
        <w:snapToGrid w:val="0"/>
        <w:spacing w:line="336" w:lineRule="auto"/>
        <w:ind w:firstLine="482" w:firstLineChars="200"/>
        <w:jc w:val="left"/>
        <w:rPr>
          <w:rFonts w:hint="eastAsia" w:ascii="宋体" w:hAnsi="宋体" w:cs="Arial"/>
          <w:b/>
          <w:color w:val="000000"/>
          <w:sz w:val="24"/>
          <w:highlight w:val="yellow"/>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36" w:lineRule="auto"/>
        <w:jc w:val="left"/>
        <w:rPr>
          <w:rFonts w:hint="eastAsia" w:ascii="宋体" w:hAnsi="宋体" w:cs="宋体"/>
          <w:b/>
          <w:color w:val="000000"/>
          <w:kern w:val="0"/>
          <w:sz w:val="24"/>
        </w:rPr>
      </w:pPr>
      <w:r>
        <w:rPr>
          <w:rFonts w:hint="eastAsia" w:ascii="宋体" w:hAnsi="宋体" w:cs="宋体"/>
          <w:b/>
          <w:color w:val="000000"/>
          <w:kern w:val="0"/>
          <w:sz w:val="24"/>
        </w:rPr>
        <w:t>十三、其他事项：</w:t>
      </w:r>
    </w:p>
    <w:p>
      <w:pPr>
        <w:widowControl/>
        <w:numPr>
          <w:ilvl w:val="0"/>
          <w:numId w:val="4"/>
        </w:num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本项目公告期限：3个工作日。</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2、质疑事项：</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（1）、供应商如认为采购公告信息使自身的合法权益受到损害的，应于自采购公告发布之日起三个工作日内以书面形式向采购代理机构提出质疑。</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2）、供应商如认为采购文件使自身的合法权益受到损害的，应于自获取采购文件之日起三个工作日内（采购文件获取截止时间之后获取的，应于自采购文件获取截止时间之日起三个工作日内），且应当在谈判响应截止时间之前以书面形式向采购代理机构提出，否则，采购代理机构可不予接受。</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（3）、供应商如认为采购过程使自身的合法权益受到损害的，应于自各采购程序环节结束之日起三个工作日内，以书面形式向采购代理机构提出质疑。</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（4）、供应商如认为成交结果使自身的合法权益受到损害的，应于自成交结果公告期限（公告期限为1个工作日）届满之日起七个工作日内，以书面形式向采购代理机构提出质疑。</w:t>
      </w:r>
    </w:p>
    <w:p>
      <w:pPr>
        <w:widowControl/>
        <w:snapToGrid w:val="0"/>
        <w:spacing w:line="336" w:lineRule="auto"/>
        <w:ind w:firstLine="480" w:firstLineChars="200"/>
        <w:jc w:val="left"/>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书面质疑受理地点</w:t>
      </w:r>
      <w:r>
        <w:rPr>
          <w:rFonts w:hint="eastAsia" w:ascii="宋体" w:hAnsi="宋体" w:cs="Arial"/>
          <w:color w:val="000000"/>
          <w:sz w:val="24"/>
        </w:rPr>
        <w:t>（建议E</w:t>
      </w:r>
      <w:r>
        <w:rPr>
          <w:rFonts w:ascii="宋体" w:hAnsi="宋体" w:cs="Arial"/>
          <w:color w:val="000000"/>
          <w:sz w:val="24"/>
        </w:rPr>
        <w:t>MS</w:t>
      </w:r>
      <w:r>
        <w:rPr>
          <w:rFonts w:hint="eastAsia" w:ascii="宋体" w:hAnsi="宋体" w:cs="Arial"/>
          <w:color w:val="000000"/>
          <w:sz w:val="24"/>
        </w:rPr>
        <w:t>邮寄快递形式送达）</w:t>
      </w:r>
      <w:r>
        <w:rPr>
          <w:rFonts w:hint="eastAsia" w:ascii="宋体" w:hAnsi="宋体" w:cs="宋体"/>
          <w:color w:val="000000"/>
          <w:kern w:val="0"/>
          <w:sz w:val="24"/>
        </w:rPr>
        <w:t>：</w:t>
      </w:r>
      <w:r>
        <w:rPr>
          <w:rFonts w:hint="eastAsia" w:ascii="宋体" w:hAnsi="宋体" w:cs="宋体"/>
          <w:b/>
          <w:bCs/>
          <w:color w:val="000000"/>
          <w:kern w:val="0"/>
          <w:sz w:val="24"/>
        </w:rPr>
        <w:t>杭州市余杭区南苑街道人民大道685号，联系人：</w:t>
      </w:r>
      <w:r>
        <w:rPr>
          <w:rFonts w:hint="eastAsia" w:ascii="宋体" w:hAnsi="宋体" w:cs="宋体"/>
          <w:b/>
          <w:bCs/>
          <w:color w:val="000000"/>
          <w:kern w:val="0"/>
          <w:sz w:val="24"/>
          <w:lang w:val="en-US" w:eastAsia="zh-CN"/>
        </w:rPr>
        <w:t>周</w:t>
      </w:r>
      <w:r>
        <w:rPr>
          <w:rFonts w:hint="eastAsia" w:ascii="宋体" w:hAnsi="宋体" w:cs="宋体"/>
          <w:b/>
          <w:bCs/>
          <w:color w:val="000000"/>
          <w:kern w:val="0"/>
          <w:sz w:val="24"/>
          <w:lang w:val="en-US" w:eastAsia="zh-CN"/>
        </w:rPr>
        <w:t>芸芸</w:t>
      </w:r>
      <w:r>
        <w:rPr>
          <w:rFonts w:hint="eastAsia" w:ascii="宋体" w:hAnsi="宋体" w:cs="宋体"/>
          <w:b/>
          <w:bCs/>
          <w:color w:val="000000"/>
          <w:kern w:val="0"/>
          <w:sz w:val="24"/>
        </w:rPr>
        <w:t>，联系电话：</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lang w:val="en-US" w:eastAsia="zh-CN"/>
        </w:rPr>
        <w:t>8268875057</w:t>
      </w:r>
      <w:r>
        <w:rPr>
          <w:rFonts w:hint="eastAsia" w:ascii="宋体" w:hAnsi="宋体" w:cs="宋体"/>
          <w:b/>
          <w:bCs/>
          <w:color w:val="000000"/>
          <w:kern w:val="0"/>
          <w:sz w:val="24"/>
        </w:rPr>
        <w:t>，采购单位质疑联系人：</w:t>
      </w:r>
      <w:r>
        <w:rPr>
          <w:rFonts w:hint="eastAsia" w:ascii="宋体" w:hAnsi="宋体" w:cs="宋体"/>
          <w:b/>
          <w:bCs/>
          <w:color w:val="000000"/>
          <w:kern w:val="0"/>
          <w:sz w:val="24"/>
          <w:lang w:val="en-US" w:eastAsia="zh-CN"/>
        </w:rPr>
        <w:t>吴</w:t>
      </w:r>
      <w:r>
        <w:rPr>
          <w:rFonts w:hint="eastAsia" w:ascii="宋体" w:hAnsi="宋体" w:cs="宋体"/>
          <w:b/>
          <w:bCs/>
          <w:color w:val="000000"/>
          <w:kern w:val="0"/>
          <w:sz w:val="24"/>
          <w:lang w:val="en-US" w:eastAsia="zh-CN"/>
        </w:rPr>
        <w:t>露君</w:t>
      </w:r>
      <w:r>
        <w:rPr>
          <w:rFonts w:hint="eastAsia" w:ascii="宋体" w:hAnsi="宋体" w:cs="宋体"/>
          <w:b/>
          <w:bCs/>
          <w:color w:val="000000"/>
          <w:kern w:val="0"/>
          <w:sz w:val="24"/>
        </w:rPr>
        <w:t>，联系电话：</w:t>
      </w:r>
      <w:r>
        <w:rPr>
          <w:rFonts w:hint="eastAsia" w:ascii="宋体" w:hAnsi="宋体" w:cs="宋体"/>
          <w:b/>
          <w:bCs/>
          <w:color w:val="000000"/>
          <w:kern w:val="0"/>
          <w:sz w:val="24"/>
          <w:lang w:val="en-US" w:eastAsia="zh-CN"/>
        </w:rPr>
        <w:t>15067164336</w:t>
      </w:r>
      <w:r>
        <w:rPr>
          <w:rFonts w:hint="eastAsia" w:ascii="宋体" w:hAnsi="宋体" w:cs="宋体"/>
          <w:b/>
          <w:bCs/>
          <w:color w:val="000000"/>
          <w:kern w:val="0"/>
          <w:sz w:val="24"/>
        </w:rPr>
        <w:t xml:space="preserve">   。</w:t>
      </w:r>
    </w:p>
    <w:p>
      <w:pPr>
        <w:adjustRightInd w:val="0"/>
        <w:snapToGrid w:val="0"/>
        <w:spacing w:line="336" w:lineRule="auto"/>
        <w:ind w:firstLine="480" w:firstLineChars="200"/>
        <w:rPr>
          <w:rFonts w:hint="eastAsia" w:ascii="宋体" w:hAnsi="宋体" w:cs="宋体"/>
          <w:b/>
          <w:bCs/>
          <w:color w:val="000000"/>
          <w:sz w:val="24"/>
        </w:rPr>
      </w:pPr>
      <w:r>
        <w:rPr>
          <w:rFonts w:hint="eastAsia" w:ascii="宋体" w:hAnsi="宋体" w:cs="宋体"/>
          <w:color w:val="000000"/>
          <w:sz w:val="24"/>
        </w:rPr>
        <w:t>3、投诉事项：供应商对采购代理机构的质疑答复不满意或者采购代理机构未在规定时间内作出答复的，可以在答复期满后十五个工作日内向同级政府采购监督管理部门余杭区财政局采购监管科投诉，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联系电话为0571-89180113。</w:t>
      </w:r>
    </w:p>
    <w:p>
      <w:pPr>
        <w:adjustRightInd w:val="0"/>
        <w:snapToGrid w:val="0"/>
        <w:spacing w:line="360" w:lineRule="auto"/>
        <w:rPr>
          <w:rFonts w:ascii="宋体" w:cs="宋体"/>
          <w:b/>
          <w:color w:val="000000"/>
          <w:sz w:val="24"/>
          <w:szCs w:val="24"/>
        </w:rPr>
      </w:pPr>
      <w:r>
        <w:rPr>
          <w:rFonts w:hint="eastAsia" w:ascii="宋体" w:hAnsi="宋体" w:cs="宋体"/>
          <w:b/>
          <w:color w:val="000000"/>
          <w:sz w:val="24"/>
          <w:szCs w:val="24"/>
        </w:rPr>
        <w:t>十四、业务咨询：</w:t>
      </w:r>
    </w:p>
    <w:p>
      <w:pPr>
        <w:snapToGrid w:val="0"/>
        <w:spacing w:line="360" w:lineRule="auto"/>
        <w:ind w:firstLine="482" w:firstLineChars="200"/>
        <w:rPr>
          <w:rFonts w:hint="eastAsia" w:ascii="宋体" w:hAnsi="宋体" w:cs="宋体"/>
          <w:bCs/>
          <w:color w:val="000000"/>
          <w:sz w:val="24"/>
          <w:szCs w:val="24"/>
        </w:rPr>
      </w:pPr>
      <w:r>
        <w:rPr>
          <w:rFonts w:ascii="宋体" w:hAnsi="宋体" w:cs="宋体"/>
          <w:b/>
          <w:color w:val="000000"/>
          <w:sz w:val="24"/>
          <w:szCs w:val="24"/>
        </w:rPr>
        <w:t>1</w:t>
      </w:r>
      <w:r>
        <w:rPr>
          <w:rFonts w:hint="eastAsia" w:ascii="宋体" w:hAnsi="宋体" w:cs="宋体"/>
          <w:b/>
          <w:color w:val="000000"/>
          <w:sz w:val="24"/>
          <w:szCs w:val="24"/>
        </w:rPr>
        <w:t>、采购人</w:t>
      </w:r>
      <w:r>
        <w:rPr>
          <w:rFonts w:hint="eastAsia" w:ascii="宋体" w:hAnsi="宋体" w:cs="宋体"/>
          <w:bCs/>
          <w:color w:val="000000"/>
          <w:sz w:val="24"/>
          <w:szCs w:val="24"/>
        </w:rPr>
        <w:t>：杭州市余杭区人民政府南苑街道办事处</w:t>
      </w:r>
    </w:p>
    <w:p>
      <w:pPr>
        <w:snapToGrid w:val="0"/>
        <w:spacing w:line="360" w:lineRule="auto"/>
        <w:ind w:firstLine="480" w:firstLineChars="200"/>
        <w:rPr>
          <w:rFonts w:hint="eastAsia" w:ascii="宋体" w:hAnsi="宋体" w:cs="宋体"/>
          <w:bCs/>
          <w:sz w:val="24"/>
        </w:rPr>
      </w:pPr>
      <w:r>
        <w:rPr>
          <w:rFonts w:hint="eastAsia" w:ascii="宋体" w:hAnsi="宋体" w:cs="宋体"/>
          <w:color w:val="000000"/>
          <w:sz w:val="24"/>
        </w:rPr>
        <w:t xml:space="preserve">联系人：沈仕杰     </w:t>
      </w:r>
      <w:r>
        <w:rPr>
          <w:rFonts w:hint="eastAsia" w:ascii="宋体" w:hAnsi="宋体" w:cs="宋体"/>
          <w:color w:val="000000"/>
          <w:sz w:val="24"/>
          <w:highlight w:val="green"/>
        </w:rPr>
        <w:t>联系电话：</w:t>
      </w:r>
      <w:r>
        <w:rPr>
          <w:rFonts w:hint="eastAsia" w:ascii="宋体" w:hAnsi="宋体" w:cs="宋体"/>
          <w:color w:val="000000"/>
          <w:sz w:val="24"/>
          <w:highlight w:val="green"/>
          <w:lang w:val="en-US" w:eastAsia="zh-CN"/>
        </w:rPr>
        <w:t>0571-86232097</w:t>
      </w:r>
      <w:r>
        <w:rPr>
          <w:rFonts w:hint="eastAsia" w:ascii="宋体" w:hAnsi="宋体" w:cs="宋体"/>
          <w:bCs/>
          <w:sz w:val="24"/>
          <w:highlight w:val="green"/>
        </w:rPr>
        <w:t>　</w:t>
      </w:r>
      <w:r>
        <w:rPr>
          <w:rFonts w:hint="eastAsia" w:ascii="宋体" w:hAnsi="宋体" w:cs="宋体"/>
          <w:bCs/>
          <w:sz w:val="24"/>
        </w:rPr>
        <w:t>　</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地点：</w:t>
      </w:r>
      <w:r>
        <w:rPr>
          <w:rFonts w:hint="eastAsia" w:ascii="宋体" w:hAnsi="宋体" w:cs="宋体"/>
          <w:sz w:val="24"/>
          <w:highlight w:val="green"/>
        </w:rPr>
        <w:t>杭州市余杭区南苑街道南大街</w:t>
      </w:r>
    </w:p>
    <w:p>
      <w:pPr>
        <w:pStyle w:val="2"/>
        <w:rPr>
          <w:rFonts w:hint="eastAsia"/>
        </w:rPr>
      </w:pPr>
    </w:p>
    <w:p>
      <w:pPr>
        <w:snapToGrid w:val="0"/>
        <w:spacing w:line="360" w:lineRule="auto"/>
        <w:ind w:firstLine="482" w:firstLineChars="200"/>
        <w:rPr>
          <w:rFonts w:ascii="宋体" w:cs="宋体"/>
          <w:bCs/>
          <w:color w:val="000000"/>
          <w:sz w:val="24"/>
          <w:szCs w:val="24"/>
        </w:rPr>
      </w:pPr>
      <w:r>
        <w:rPr>
          <w:rFonts w:ascii="宋体" w:hAnsi="宋体" w:cs="宋体"/>
          <w:b/>
          <w:color w:val="000000"/>
          <w:sz w:val="24"/>
          <w:szCs w:val="24"/>
        </w:rPr>
        <w:t>2</w:t>
      </w:r>
      <w:r>
        <w:rPr>
          <w:rFonts w:hint="eastAsia" w:ascii="宋体" w:hAnsi="宋体" w:cs="宋体"/>
          <w:b/>
          <w:color w:val="000000"/>
          <w:sz w:val="24"/>
          <w:szCs w:val="24"/>
        </w:rPr>
        <w:t>、委托代理：</w:t>
      </w:r>
      <w:r>
        <w:rPr>
          <w:rFonts w:hint="eastAsia" w:ascii="宋体" w:hAnsi="宋体" w:cs="宋体"/>
          <w:bCs/>
          <w:color w:val="000000"/>
          <w:sz w:val="24"/>
          <w:szCs w:val="24"/>
        </w:rPr>
        <w:t>大地工程咨询有限公司</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联系人：陈敏    联系电话：</w:t>
      </w:r>
      <w:r>
        <w:rPr>
          <w:rFonts w:ascii="宋体" w:hAnsi="宋体" w:cs="宋体"/>
          <w:color w:val="000000"/>
          <w:sz w:val="24"/>
        </w:rPr>
        <w:t>0571-8</w:t>
      </w:r>
      <w:r>
        <w:rPr>
          <w:rFonts w:hint="eastAsia" w:ascii="宋体" w:hAnsi="宋体" w:cs="宋体"/>
          <w:color w:val="000000"/>
          <w:sz w:val="24"/>
        </w:rPr>
        <w:t>9162352</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地点：杭州市余杭区南苑街道南苑街道人民大道685号</w:t>
      </w:r>
    </w:p>
    <w:p>
      <w:pPr>
        <w:pStyle w:val="2"/>
        <w:rPr>
          <w:rFonts w:hint="eastAsia"/>
        </w:rPr>
      </w:pPr>
    </w:p>
    <w:p>
      <w:pPr>
        <w:adjustRightInd w:val="0"/>
        <w:snapToGrid w:val="0"/>
        <w:spacing w:line="360" w:lineRule="auto"/>
        <w:ind w:firstLine="482" w:firstLineChars="200"/>
        <w:rPr>
          <w:rFonts w:ascii="宋体" w:cs="宋体"/>
          <w:b/>
          <w:bCs/>
          <w:sz w:val="24"/>
        </w:rPr>
      </w:pPr>
      <w:r>
        <w:rPr>
          <w:rFonts w:ascii="宋体" w:hAnsi="宋体" w:cs="宋体"/>
          <w:b/>
          <w:bCs/>
          <w:sz w:val="24"/>
        </w:rPr>
        <w:t>3</w:t>
      </w:r>
      <w:r>
        <w:rPr>
          <w:rFonts w:hint="eastAsia" w:ascii="宋体" w:hAnsi="宋体" w:cs="宋体"/>
          <w:b/>
          <w:bCs/>
          <w:sz w:val="24"/>
        </w:rPr>
        <w:t>、同级政府采购监督管理部门</w:t>
      </w:r>
    </w:p>
    <w:p>
      <w:pPr>
        <w:adjustRightInd w:val="0"/>
        <w:snapToGrid w:val="0"/>
        <w:spacing w:line="360" w:lineRule="auto"/>
        <w:ind w:firstLine="480" w:firstLineChars="200"/>
        <w:rPr>
          <w:rFonts w:ascii="宋体" w:cs="宋体"/>
          <w:sz w:val="24"/>
        </w:rPr>
      </w:pPr>
      <w:r>
        <w:rPr>
          <w:rFonts w:hint="eastAsia" w:ascii="宋体" w:hAnsi="宋体" w:cs="宋体"/>
          <w:sz w:val="24"/>
        </w:rPr>
        <w:t>同级政府采购监督管理部门：杭州市余杭区财政局</w:t>
      </w:r>
    </w:p>
    <w:p>
      <w:pPr>
        <w:adjustRightInd w:val="0"/>
        <w:snapToGrid w:val="0"/>
        <w:spacing w:line="360" w:lineRule="auto"/>
        <w:ind w:firstLine="480" w:firstLineChars="200"/>
        <w:rPr>
          <w:rFonts w:ascii="宋体" w:cs="宋体"/>
          <w:sz w:val="24"/>
        </w:rPr>
      </w:pPr>
      <w:r>
        <w:rPr>
          <w:rFonts w:hint="eastAsia" w:ascii="宋体" w:hAnsi="宋体" w:cs="宋体"/>
          <w:sz w:val="24"/>
        </w:rPr>
        <w:t>联系人：杜国强，联系电话：</w:t>
      </w:r>
      <w:r>
        <w:rPr>
          <w:rFonts w:ascii="宋体" w:hAnsi="宋体" w:cs="宋体"/>
          <w:sz w:val="24"/>
        </w:rPr>
        <w:t>0571-89180113</w:t>
      </w:r>
      <w:r>
        <w:rPr>
          <w:rFonts w:hint="eastAsia" w:ascii="宋体" w:hAnsi="宋体" w:cs="宋体"/>
          <w:sz w:val="24"/>
        </w:rPr>
        <w:t>，传真：</w:t>
      </w:r>
      <w:r>
        <w:rPr>
          <w:rFonts w:ascii="宋体" w:hAnsi="宋体" w:cs="宋体"/>
          <w:sz w:val="24"/>
        </w:rPr>
        <w:t>0571-89180113</w:t>
      </w:r>
    </w:p>
    <w:p>
      <w:pPr>
        <w:adjustRightInd w:val="0"/>
        <w:snapToGrid w:val="0"/>
        <w:spacing w:line="360" w:lineRule="auto"/>
        <w:ind w:firstLine="480" w:firstLineChars="200"/>
        <w:rPr>
          <w:rFonts w:ascii="宋体" w:cs="宋体"/>
          <w:sz w:val="24"/>
        </w:rPr>
      </w:pPr>
      <w:r>
        <w:rPr>
          <w:rFonts w:hint="eastAsia" w:ascii="宋体" w:hAnsi="宋体" w:cs="宋体"/>
          <w:sz w:val="24"/>
        </w:rPr>
        <w:t>地址：杭州市余杭区临平东湖中路</w:t>
      </w:r>
      <w:r>
        <w:rPr>
          <w:rFonts w:ascii="宋体" w:hAnsi="宋体" w:cs="宋体"/>
          <w:sz w:val="24"/>
        </w:rPr>
        <w:t>236</w:t>
      </w:r>
      <w:r>
        <w:rPr>
          <w:rFonts w:hint="eastAsia" w:ascii="宋体" w:hAnsi="宋体" w:cs="宋体"/>
          <w:sz w:val="24"/>
        </w:rPr>
        <w:t>号余杭财税大楼</w:t>
      </w:r>
    </w:p>
    <w:p>
      <w:pPr>
        <w:jc w:val="center"/>
        <w:rPr>
          <w:rFonts w:hint="eastAsia"/>
          <w:b/>
          <w:bCs/>
          <w:sz w:val="32"/>
          <w:szCs w:val="32"/>
        </w:rPr>
      </w:pPr>
      <w:r>
        <w:rPr>
          <w:rFonts w:hint="eastAsia" w:ascii="宋体" w:hAnsi="宋体"/>
          <w:color w:val="000000"/>
        </w:rPr>
        <w:br w:type="page"/>
      </w:r>
      <w:bookmarkStart w:id="3" w:name="_Toc20057"/>
      <w:r>
        <w:rPr>
          <w:rFonts w:hint="eastAsia"/>
          <w:b/>
          <w:bCs/>
          <w:sz w:val="32"/>
          <w:szCs w:val="32"/>
        </w:rPr>
        <w:t>第二部分 供应商须知</w:t>
      </w:r>
      <w:bookmarkEnd w:id="3"/>
    </w:p>
    <w:p>
      <w:pPr>
        <w:jc w:val="center"/>
        <w:rPr>
          <w:rFonts w:hint="eastAsia"/>
          <w:b/>
          <w:bCs/>
          <w:sz w:val="24"/>
          <w:szCs w:val="24"/>
          <w:lang/>
        </w:rPr>
      </w:pPr>
      <w:r>
        <w:rPr>
          <w:rFonts w:hint="eastAsia"/>
          <w:b/>
          <w:bCs/>
          <w:sz w:val="24"/>
          <w:szCs w:val="24"/>
          <w:lang/>
        </w:rPr>
        <w:t>前</w:t>
      </w:r>
      <w:r>
        <w:rPr>
          <w:rFonts w:hint="eastAsia"/>
          <w:b/>
          <w:bCs/>
          <w:sz w:val="24"/>
          <w:szCs w:val="24"/>
        </w:rPr>
        <w:t xml:space="preserve"> </w:t>
      </w:r>
      <w:r>
        <w:rPr>
          <w:rFonts w:hint="eastAsia"/>
          <w:b/>
          <w:bCs/>
          <w:sz w:val="24"/>
          <w:szCs w:val="24"/>
          <w:lang/>
        </w:rPr>
        <w:t>附</w:t>
      </w:r>
      <w:r>
        <w:rPr>
          <w:rFonts w:hint="eastAsia"/>
          <w:b/>
          <w:bCs/>
          <w:sz w:val="24"/>
          <w:szCs w:val="24"/>
        </w:rPr>
        <w:t xml:space="preserve"> </w:t>
      </w:r>
      <w:r>
        <w:rPr>
          <w:rFonts w:hint="eastAsia"/>
          <w:b/>
          <w:bCs/>
          <w:sz w:val="24"/>
          <w:szCs w:val="24"/>
          <w:lang/>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54"/>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2" w:type="dxa"/>
            <w:tcBorders>
              <w:left w:val="single" w:color="auto" w:sz="12" w:space="0"/>
            </w:tcBorders>
            <w:noWrap w:val="0"/>
            <w:vAlign w:val="center"/>
          </w:tcPr>
          <w:p>
            <w:pPr>
              <w:spacing w:line="440" w:lineRule="exact"/>
              <w:jc w:val="center"/>
              <w:rPr>
                <w:rFonts w:hint="eastAsia" w:ascii="宋体" w:hAnsi="宋体"/>
                <w:b/>
                <w:bCs/>
                <w:color w:val="000000"/>
                <w:kern w:val="0"/>
                <w:sz w:val="24"/>
                <w:lang/>
              </w:rPr>
            </w:pPr>
            <w:r>
              <w:rPr>
                <w:rFonts w:hint="eastAsia" w:ascii="宋体" w:hAnsi="宋体"/>
                <w:b/>
                <w:bCs/>
                <w:color w:val="000000"/>
                <w:kern w:val="0"/>
                <w:sz w:val="24"/>
                <w:lang/>
              </w:rPr>
              <w:t>序号</w:t>
            </w:r>
          </w:p>
        </w:tc>
        <w:tc>
          <w:tcPr>
            <w:tcW w:w="1754" w:type="dxa"/>
            <w:noWrap w:val="0"/>
            <w:vAlign w:val="center"/>
          </w:tcPr>
          <w:p>
            <w:pPr>
              <w:spacing w:line="440" w:lineRule="exact"/>
              <w:jc w:val="center"/>
              <w:rPr>
                <w:rFonts w:hint="eastAsia" w:ascii="宋体" w:hAnsi="宋体"/>
                <w:b/>
                <w:bCs/>
                <w:color w:val="000000"/>
                <w:kern w:val="0"/>
                <w:sz w:val="24"/>
                <w:lang/>
              </w:rPr>
            </w:pPr>
            <w:r>
              <w:rPr>
                <w:rFonts w:hint="eastAsia" w:ascii="宋体" w:hAnsi="宋体"/>
                <w:b/>
                <w:bCs/>
                <w:color w:val="000000"/>
                <w:kern w:val="0"/>
                <w:sz w:val="24"/>
                <w:lang/>
              </w:rPr>
              <w:t>名   目</w:t>
            </w:r>
          </w:p>
        </w:tc>
        <w:tc>
          <w:tcPr>
            <w:tcW w:w="6962" w:type="dxa"/>
            <w:tcBorders>
              <w:right w:val="single" w:color="auto" w:sz="12" w:space="0"/>
            </w:tcBorders>
            <w:noWrap w:val="0"/>
            <w:vAlign w:val="center"/>
          </w:tcPr>
          <w:p>
            <w:pPr>
              <w:spacing w:line="440" w:lineRule="exact"/>
              <w:jc w:val="center"/>
              <w:rPr>
                <w:rFonts w:hint="eastAsia" w:ascii="宋体" w:hAnsi="宋体"/>
                <w:b/>
                <w:bCs/>
                <w:color w:val="000000"/>
                <w:kern w:val="0"/>
                <w:sz w:val="24"/>
                <w:lang/>
              </w:rPr>
            </w:pPr>
            <w:r>
              <w:rPr>
                <w:rFonts w:hint="eastAsia" w:ascii="宋体" w:hAnsi="宋体"/>
                <w:b/>
                <w:bCs/>
                <w:color w:val="000000"/>
                <w:kern w:val="0"/>
                <w:sz w:val="24"/>
                <w:lang/>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2" w:type="dxa"/>
            <w:tcBorders>
              <w:left w:val="single" w:color="auto" w:sz="12" w:space="0"/>
            </w:tcBorders>
            <w:noWrap w:val="0"/>
            <w:vAlign w:val="center"/>
          </w:tcPr>
          <w:p>
            <w:pPr>
              <w:spacing w:line="312" w:lineRule="auto"/>
              <w:ind w:firstLine="240" w:firstLineChars="100"/>
              <w:rPr>
                <w:rFonts w:hint="eastAsia" w:ascii="宋体" w:hAnsi="宋体"/>
                <w:color w:val="000000"/>
                <w:kern w:val="0"/>
                <w:sz w:val="24"/>
                <w:lang/>
              </w:rPr>
            </w:pPr>
            <w:r>
              <w:rPr>
                <w:rFonts w:hint="eastAsia" w:ascii="宋体" w:hAnsi="宋体"/>
                <w:color w:val="000000"/>
                <w:kern w:val="0"/>
                <w:sz w:val="24"/>
                <w:lang/>
              </w:rPr>
              <w:t>1</w:t>
            </w:r>
          </w:p>
        </w:tc>
        <w:tc>
          <w:tcPr>
            <w:tcW w:w="1754" w:type="dxa"/>
            <w:noWrap w:val="0"/>
            <w:vAlign w:val="center"/>
          </w:tcPr>
          <w:p>
            <w:pPr>
              <w:spacing w:line="312" w:lineRule="auto"/>
              <w:jc w:val="center"/>
              <w:rPr>
                <w:rFonts w:hint="eastAsia" w:ascii="宋体" w:hAnsi="宋体"/>
                <w:color w:val="000000"/>
                <w:kern w:val="0"/>
                <w:sz w:val="24"/>
                <w:lang/>
              </w:rPr>
            </w:pPr>
            <w:r>
              <w:rPr>
                <w:rFonts w:hint="eastAsia" w:ascii="宋体" w:hAnsi="宋体"/>
                <w:color w:val="000000"/>
                <w:kern w:val="0"/>
                <w:sz w:val="24"/>
                <w:lang/>
              </w:rPr>
              <w:t>项目名称</w:t>
            </w:r>
          </w:p>
        </w:tc>
        <w:tc>
          <w:tcPr>
            <w:tcW w:w="6962" w:type="dxa"/>
            <w:tcBorders>
              <w:right w:val="single" w:color="auto" w:sz="12" w:space="0"/>
            </w:tcBorders>
            <w:noWrap w:val="0"/>
            <w:vAlign w:val="center"/>
          </w:tcPr>
          <w:p>
            <w:pPr>
              <w:spacing w:line="312" w:lineRule="auto"/>
              <w:rPr>
                <w:rFonts w:hint="eastAsia" w:ascii="宋体" w:hAnsi="宋体"/>
                <w:color w:val="000000"/>
                <w:kern w:val="0"/>
                <w:sz w:val="24"/>
                <w:highlight w:val="darkGreen"/>
                <w:lang/>
              </w:rPr>
            </w:pPr>
            <w:r>
              <w:rPr>
                <w:rFonts w:hint="eastAsia" w:ascii="宋体" w:hAnsi="宋体" w:cs="宋体"/>
                <w:bCs/>
                <w:kern w:val="0"/>
                <w:sz w:val="24"/>
                <w:szCs w:val="24"/>
                <w:lang w:eastAsia="zh-CN"/>
              </w:rPr>
              <w:t>南苑街道综治中心建设服务</w:t>
            </w:r>
            <w:r>
              <w:rPr>
                <w:rFonts w:hint="eastAsia" w:ascii="宋体" w:hAnsi="宋体" w:cs="宋体"/>
                <w:bCs/>
                <w:kern w:val="0"/>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2" w:type="dxa"/>
            <w:tcBorders>
              <w:left w:val="single" w:color="auto" w:sz="12" w:space="0"/>
            </w:tcBorders>
            <w:noWrap w:val="0"/>
            <w:vAlign w:val="center"/>
          </w:tcPr>
          <w:p>
            <w:pPr>
              <w:spacing w:line="312" w:lineRule="auto"/>
              <w:jc w:val="center"/>
              <w:rPr>
                <w:rFonts w:hint="eastAsia" w:ascii="宋体" w:hAnsi="宋体"/>
                <w:color w:val="000000"/>
                <w:kern w:val="0"/>
                <w:sz w:val="24"/>
                <w:lang/>
              </w:rPr>
            </w:pPr>
            <w:r>
              <w:rPr>
                <w:rFonts w:hint="eastAsia" w:ascii="宋体" w:hAnsi="宋体"/>
                <w:color w:val="000000"/>
                <w:kern w:val="0"/>
                <w:sz w:val="24"/>
                <w:lang/>
              </w:rPr>
              <w:t>2</w:t>
            </w:r>
          </w:p>
        </w:tc>
        <w:tc>
          <w:tcPr>
            <w:tcW w:w="1754" w:type="dxa"/>
            <w:noWrap w:val="0"/>
            <w:vAlign w:val="center"/>
          </w:tcPr>
          <w:p>
            <w:pPr>
              <w:spacing w:line="312" w:lineRule="auto"/>
              <w:jc w:val="center"/>
              <w:rPr>
                <w:rFonts w:hint="eastAsia" w:ascii="宋体" w:hAnsi="宋体"/>
                <w:color w:val="000000"/>
                <w:kern w:val="0"/>
                <w:sz w:val="24"/>
                <w:lang/>
              </w:rPr>
            </w:pPr>
            <w:r>
              <w:rPr>
                <w:rFonts w:hint="eastAsia" w:ascii="宋体" w:hAnsi="宋体"/>
                <w:color w:val="000000"/>
                <w:kern w:val="0"/>
                <w:sz w:val="24"/>
                <w:lang/>
              </w:rPr>
              <w:t>招标编号</w:t>
            </w:r>
          </w:p>
        </w:tc>
        <w:tc>
          <w:tcPr>
            <w:tcW w:w="6962" w:type="dxa"/>
            <w:tcBorders>
              <w:right w:val="single" w:color="auto" w:sz="12" w:space="0"/>
            </w:tcBorders>
            <w:noWrap w:val="0"/>
            <w:vAlign w:val="center"/>
          </w:tcPr>
          <w:p>
            <w:pPr>
              <w:spacing w:line="312" w:lineRule="auto"/>
              <w:rPr>
                <w:rFonts w:hint="eastAsia" w:ascii="宋体" w:hAnsi="宋体"/>
                <w:color w:val="000000"/>
                <w:kern w:val="0"/>
                <w:sz w:val="24"/>
                <w:highlight w:val="darkGreen"/>
                <w:lang/>
              </w:rPr>
            </w:pPr>
            <w:r>
              <w:rPr>
                <w:rFonts w:hint="eastAsia" w:ascii="宋体" w:hAnsi="宋体" w:cs="宋体"/>
                <w:b w:val="0"/>
                <w:bCs/>
                <w:kern w:val="0"/>
                <w:sz w:val="24"/>
                <w:szCs w:val="24"/>
                <w:lang w:val="en-US" w:eastAsia="zh-CN"/>
              </w:rPr>
              <w:t>ZJDDZFCG-2020-007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2" w:type="dxa"/>
            <w:tcBorders>
              <w:left w:val="single" w:color="auto" w:sz="12" w:space="0"/>
            </w:tcBorders>
            <w:noWrap w:val="0"/>
            <w:vAlign w:val="center"/>
          </w:tcPr>
          <w:p>
            <w:pPr>
              <w:spacing w:line="312" w:lineRule="auto"/>
              <w:jc w:val="center"/>
              <w:rPr>
                <w:rFonts w:hint="eastAsia" w:ascii="宋体" w:hAnsi="宋体"/>
                <w:color w:val="000000"/>
                <w:sz w:val="24"/>
              </w:rPr>
            </w:pPr>
            <w:r>
              <w:rPr>
                <w:rFonts w:hint="eastAsia" w:ascii="宋体" w:hAnsi="宋体"/>
                <w:color w:val="000000"/>
                <w:sz w:val="24"/>
              </w:rPr>
              <w:t>3</w:t>
            </w:r>
          </w:p>
        </w:tc>
        <w:tc>
          <w:tcPr>
            <w:tcW w:w="1754" w:type="dxa"/>
            <w:noWrap w:val="0"/>
            <w:vAlign w:val="center"/>
          </w:tcPr>
          <w:p>
            <w:pPr>
              <w:spacing w:line="312" w:lineRule="auto"/>
              <w:rPr>
                <w:rFonts w:hint="eastAsia" w:ascii="宋体" w:hAnsi="宋体"/>
                <w:color w:val="000000"/>
                <w:sz w:val="24"/>
              </w:rPr>
            </w:pPr>
            <w:r>
              <w:rPr>
                <w:rFonts w:hint="eastAsia" w:ascii="宋体" w:hAnsi="宋体"/>
                <w:color w:val="000000"/>
                <w:sz w:val="24"/>
              </w:rPr>
              <w:t>响应有效期</w:t>
            </w:r>
          </w:p>
        </w:tc>
        <w:tc>
          <w:tcPr>
            <w:tcW w:w="6962" w:type="dxa"/>
            <w:tcBorders>
              <w:right w:val="single" w:color="auto" w:sz="12" w:space="0"/>
            </w:tcBorders>
            <w:noWrap w:val="0"/>
            <w:vAlign w:val="center"/>
          </w:tcPr>
          <w:p>
            <w:pPr>
              <w:spacing w:line="312" w:lineRule="auto"/>
              <w:rPr>
                <w:rFonts w:hint="eastAsia" w:ascii="宋体" w:hAnsi="宋体"/>
                <w:color w:val="000000"/>
                <w:sz w:val="24"/>
              </w:rPr>
            </w:pPr>
            <w:r>
              <w:rPr>
                <w:rFonts w:hint="eastAsia" w:ascii="宋体" w:hAnsi="宋体"/>
                <w:color w:val="000000"/>
                <w:sz w:val="24"/>
              </w:rPr>
              <w:t>响应文件递交后60天内有效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left w:val="single" w:color="auto" w:sz="12" w:space="0"/>
            </w:tcBorders>
            <w:noWrap w:val="0"/>
            <w:vAlign w:val="center"/>
          </w:tcPr>
          <w:p>
            <w:pPr>
              <w:spacing w:line="312" w:lineRule="auto"/>
              <w:jc w:val="center"/>
              <w:rPr>
                <w:rFonts w:hint="eastAsia" w:ascii="宋体" w:hAnsi="宋体"/>
                <w:color w:val="000000"/>
                <w:sz w:val="24"/>
              </w:rPr>
            </w:pPr>
            <w:r>
              <w:rPr>
                <w:rFonts w:hint="eastAsia" w:ascii="宋体" w:hAnsi="宋体"/>
                <w:color w:val="000000"/>
                <w:sz w:val="24"/>
              </w:rPr>
              <w:t>4</w:t>
            </w:r>
          </w:p>
        </w:tc>
        <w:tc>
          <w:tcPr>
            <w:tcW w:w="1754" w:type="dxa"/>
            <w:noWrap w:val="0"/>
            <w:vAlign w:val="center"/>
          </w:tcPr>
          <w:p>
            <w:pPr>
              <w:spacing w:line="312" w:lineRule="auto"/>
              <w:rPr>
                <w:rFonts w:hint="eastAsia" w:ascii="宋体" w:hAnsi="宋体"/>
                <w:color w:val="000000"/>
                <w:sz w:val="24"/>
              </w:rPr>
            </w:pPr>
            <w:r>
              <w:rPr>
                <w:rFonts w:hint="eastAsia" w:ascii="宋体" w:hAnsi="宋体"/>
                <w:color w:val="000000"/>
                <w:sz w:val="24"/>
              </w:rPr>
              <w:t>响应文件份数</w:t>
            </w:r>
          </w:p>
        </w:tc>
        <w:tc>
          <w:tcPr>
            <w:tcW w:w="6962" w:type="dxa"/>
            <w:tcBorders>
              <w:right w:val="single" w:color="auto" w:sz="12" w:space="0"/>
            </w:tcBorders>
            <w:noWrap w:val="0"/>
            <w:vAlign w:val="center"/>
          </w:tcPr>
          <w:p>
            <w:pPr>
              <w:spacing w:line="312" w:lineRule="auto"/>
              <w:rPr>
                <w:rFonts w:hint="eastAsia" w:ascii="宋体" w:hAnsi="宋体"/>
                <w:color w:val="000000"/>
                <w:sz w:val="24"/>
              </w:rPr>
            </w:pPr>
            <w:r>
              <w:rPr>
                <w:rFonts w:hint="eastAsia" w:ascii="宋体" w:hAnsi="宋体"/>
                <w:color w:val="000000"/>
                <w:sz w:val="24"/>
              </w:rPr>
              <w:t>正本一份、副本三份</w:t>
            </w:r>
          </w:p>
          <w:p>
            <w:pPr>
              <w:spacing w:line="312" w:lineRule="auto"/>
              <w:rPr>
                <w:rFonts w:hint="eastAsia" w:ascii="宋体" w:hAnsi="宋体"/>
                <w:color w:val="000000"/>
                <w:sz w:val="28"/>
              </w:rPr>
            </w:pPr>
            <w:r>
              <w:rPr>
                <w:rFonts w:hint="eastAsia" w:ascii="宋体" w:hAnsi="宋体"/>
                <w:b/>
                <w:color w:val="000000"/>
                <w:sz w:val="24"/>
                <w:szCs w:val="24"/>
              </w:rPr>
              <w:t>响应文件份数不符合要求的，视为无效。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2" w:type="dxa"/>
            <w:tcBorders>
              <w:left w:val="single" w:color="auto" w:sz="12" w:space="0"/>
            </w:tcBorders>
            <w:noWrap w:val="0"/>
            <w:vAlign w:val="center"/>
          </w:tcPr>
          <w:p>
            <w:pPr>
              <w:spacing w:line="312" w:lineRule="auto"/>
              <w:jc w:val="center"/>
              <w:rPr>
                <w:rFonts w:hint="eastAsia" w:ascii="宋体" w:hAnsi="宋体"/>
                <w:color w:val="000000"/>
                <w:sz w:val="24"/>
              </w:rPr>
            </w:pPr>
            <w:r>
              <w:rPr>
                <w:rFonts w:hint="eastAsia" w:ascii="宋体" w:hAnsi="宋体"/>
                <w:color w:val="000000"/>
                <w:sz w:val="24"/>
              </w:rPr>
              <w:t>5</w:t>
            </w:r>
          </w:p>
        </w:tc>
        <w:tc>
          <w:tcPr>
            <w:tcW w:w="1754" w:type="dxa"/>
            <w:noWrap w:val="0"/>
            <w:vAlign w:val="center"/>
          </w:tcPr>
          <w:p>
            <w:pPr>
              <w:spacing w:line="312" w:lineRule="auto"/>
              <w:jc w:val="center"/>
              <w:rPr>
                <w:rFonts w:hint="eastAsia" w:ascii="宋体" w:hAnsi="宋体"/>
                <w:color w:val="000000"/>
                <w:sz w:val="24"/>
                <w:szCs w:val="20"/>
              </w:rPr>
            </w:pPr>
            <w:r>
              <w:rPr>
                <w:rFonts w:hint="eastAsia" w:ascii="宋体" w:hAnsi="宋体"/>
                <w:color w:val="000000"/>
                <w:sz w:val="24"/>
                <w:szCs w:val="20"/>
              </w:rPr>
              <w:t>评审方法</w:t>
            </w:r>
          </w:p>
        </w:tc>
        <w:tc>
          <w:tcPr>
            <w:tcW w:w="6962" w:type="dxa"/>
            <w:tcBorders>
              <w:right w:val="single" w:color="auto" w:sz="12" w:space="0"/>
            </w:tcBorders>
            <w:noWrap w:val="0"/>
            <w:vAlign w:val="center"/>
          </w:tcPr>
          <w:p>
            <w:pPr>
              <w:pStyle w:val="6"/>
              <w:spacing w:line="312" w:lineRule="auto"/>
              <w:ind w:firstLine="0"/>
              <w:rPr>
                <w:rFonts w:hint="eastAsia" w:ascii="宋体" w:hAnsi="宋体"/>
                <w:b/>
                <w:color w:val="000000"/>
                <w:sz w:val="24"/>
                <w:szCs w:val="24"/>
              </w:rPr>
            </w:pPr>
            <w:r>
              <w:rPr>
                <w:rFonts w:hint="eastAsia" w:ascii="宋体" w:hAnsi="宋体"/>
                <w:b/>
                <w:color w:val="000000"/>
                <w:sz w:val="24"/>
                <w:szCs w:val="24"/>
              </w:rPr>
              <w:t>比照最低评标价法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2" w:type="dxa"/>
            <w:tcBorders>
              <w:left w:val="single" w:color="auto" w:sz="12" w:space="0"/>
            </w:tcBorders>
            <w:noWrap w:val="0"/>
            <w:vAlign w:val="center"/>
          </w:tcPr>
          <w:p>
            <w:pPr>
              <w:spacing w:line="312" w:lineRule="auto"/>
              <w:jc w:val="center"/>
              <w:rPr>
                <w:rFonts w:hint="eastAsia" w:ascii="宋体" w:hAnsi="宋体"/>
                <w:color w:val="000000"/>
                <w:sz w:val="24"/>
              </w:rPr>
            </w:pPr>
            <w:r>
              <w:rPr>
                <w:rFonts w:hint="eastAsia" w:ascii="宋体" w:hAnsi="宋体" w:cs="宋体"/>
                <w:color w:val="FF0000"/>
                <w:sz w:val="24"/>
              </w:rPr>
              <w:t>6</w:t>
            </w:r>
          </w:p>
        </w:tc>
        <w:tc>
          <w:tcPr>
            <w:tcW w:w="1754" w:type="dxa"/>
            <w:noWrap w:val="0"/>
            <w:vAlign w:val="center"/>
          </w:tcPr>
          <w:p>
            <w:pPr>
              <w:spacing w:line="312" w:lineRule="auto"/>
              <w:jc w:val="center"/>
              <w:rPr>
                <w:rFonts w:hint="eastAsia" w:ascii="宋体" w:hAnsi="宋体"/>
                <w:color w:val="000000"/>
                <w:sz w:val="24"/>
                <w:szCs w:val="20"/>
              </w:rPr>
            </w:pPr>
            <w:r>
              <w:rPr>
                <w:rFonts w:hint="eastAsia" w:ascii="宋体" w:hAnsi="宋体" w:cs="宋体"/>
                <w:b/>
                <w:color w:val="FF0000"/>
                <w:sz w:val="24"/>
              </w:rPr>
              <w:t>企业信用融资</w:t>
            </w:r>
          </w:p>
        </w:tc>
        <w:tc>
          <w:tcPr>
            <w:tcW w:w="6962" w:type="dxa"/>
            <w:tcBorders>
              <w:right w:val="single" w:color="auto" w:sz="12" w:space="0"/>
            </w:tcBorders>
            <w:noWrap w:val="0"/>
            <w:vAlign w:val="center"/>
          </w:tcPr>
          <w:p>
            <w:pPr>
              <w:spacing w:line="312" w:lineRule="auto"/>
              <w:rPr>
                <w:rFonts w:hint="eastAsia" w:ascii="宋体" w:hAnsi="宋体"/>
                <w:b/>
                <w:color w:val="000000"/>
                <w:sz w:val="24"/>
                <w:szCs w:val="24"/>
              </w:rPr>
            </w:pPr>
            <w:r>
              <w:rPr>
                <w:rFonts w:hint="eastAsia" w:ascii="宋体" w:hAnsi="宋体" w:cs="宋体"/>
                <w:color w:val="000000"/>
                <w:sz w:val="24"/>
              </w:rPr>
              <w:t>根据《余杭区政府采购支持中小企业信用融资暂行办法》（余财采〔2015〕1号）的规定，凡已在浙江政府采购网上注册入库，并取得余杭区政府采购合同的区内中小企业供应商，均可申请政府采购信用融资，相关信息请在余杭区公共资源交易网（http://www.yhggzy.com.cn/）“余杭区中小企业信用融资”模块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2" w:type="dxa"/>
            <w:vMerge w:val="restart"/>
            <w:tcBorders>
              <w:left w:val="single" w:color="auto" w:sz="12"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7</w:t>
            </w:r>
          </w:p>
        </w:tc>
        <w:tc>
          <w:tcPr>
            <w:tcW w:w="1754" w:type="dxa"/>
            <w:vMerge w:val="restart"/>
            <w:noWrap w:val="0"/>
            <w:vAlign w:val="center"/>
          </w:tcPr>
          <w:p>
            <w:pPr>
              <w:spacing w:line="312" w:lineRule="auto"/>
              <w:jc w:val="center"/>
              <w:rPr>
                <w:rFonts w:hint="eastAsia" w:ascii="宋体" w:hAnsi="宋体"/>
                <w:color w:val="000000"/>
                <w:sz w:val="24"/>
                <w:szCs w:val="20"/>
              </w:rPr>
            </w:pPr>
            <w:r>
              <w:rPr>
                <w:rFonts w:hint="eastAsia" w:ascii="宋体" w:hAnsi="宋体" w:cs="宋体"/>
                <w:b/>
                <w:color w:val="FF0000"/>
                <w:sz w:val="24"/>
              </w:rPr>
              <w:t>信用信息事项</w:t>
            </w:r>
          </w:p>
        </w:tc>
        <w:tc>
          <w:tcPr>
            <w:tcW w:w="6962" w:type="dxa"/>
            <w:tcBorders>
              <w:right w:val="single" w:color="auto" w:sz="12" w:space="0"/>
            </w:tcBorders>
            <w:noWrap w:val="0"/>
            <w:vAlign w:val="center"/>
          </w:tcPr>
          <w:p>
            <w:pPr>
              <w:spacing w:line="312" w:lineRule="auto"/>
              <w:rPr>
                <w:rFonts w:hint="eastAsia" w:ascii="宋体" w:hAnsi="宋体"/>
                <w:b/>
                <w:color w:val="000000"/>
                <w:sz w:val="24"/>
                <w:szCs w:val="24"/>
              </w:rPr>
            </w:pPr>
            <w:r>
              <w:rPr>
                <w:rFonts w:hint="eastAsia" w:ascii="宋体" w:hAnsi="宋体" w:cs="宋体"/>
                <w:b/>
                <w:sz w:val="24"/>
              </w:rPr>
              <w:t>信用信息查询渠道及截止时间：</w:t>
            </w:r>
            <w:r>
              <w:rPr>
                <w:rFonts w:hint="eastAsia" w:ascii="宋体" w:hAnsi="宋体" w:cs="宋体"/>
                <w:sz w:val="24"/>
              </w:rPr>
              <w:t>项目评审组织人员将通过“信用中国”网站(www.creditchina.gov.cn)、中国政府采购网(www.ccgp.gov.cn)渠道查询供应商</w:t>
            </w:r>
            <w:r>
              <w:rPr>
                <w:rFonts w:hint="eastAsia" w:ascii="宋体" w:hAnsi="宋体" w:cs="宋体"/>
                <w:b/>
                <w:sz w:val="24"/>
              </w:rPr>
              <w:t>响应截止时间前</w:t>
            </w:r>
            <w:r>
              <w:rPr>
                <w:rFonts w:hint="eastAsia" w:ascii="宋体" w:hAnsi="宋体" w:cs="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2" w:type="dxa"/>
            <w:vMerge w:val="continue"/>
            <w:tcBorders>
              <w:left w:val="single" w:color="auto" w:sz="12" w:space="0"/>
            </w:tcBorders>
            <w:noWrap w:val="0"/>
            <w:vAlign w:val="center"/>
          </w:tcPr>
          <w:p>
            <w:pPr>
              <w:spacing w:line="312" w:lineRule="auto"/>
              <w:jc w:val="center"/>
              <w:rPr>
                <w:rFonts w:hint="eastAsia" w:ascii="宋体" w:hAnsi="宋体"/>
                <w:color w:val="000000"/>
                <w:sz w:val="24"/>
              </w:rPr>
            </w:pPr>
          </w:p>
        </w:tc>
        <w:tc>
          <w:tcPr>
            <w:tcW w:w="1754" w:type="dxa"/>
            <w:vMerge w:val="continue"/>
            <w:noWrap w:val="0"/>
            <w:vAlign w:val="center"/>
          </w:tcPr>
          <w:p>
            <w:pPr>
              <w:spacing w:line="312" w:lineRule="auto"/>
              <w:jc w:val="center"/>
              <w:rPr>
                <w:rFonts w:hint="eastAsia" w:ascii="宋体" w:hAnsi="宋体"/>
                <w:color w:val="000000"/>
                <w:sz w:val="24"/>
                <w:szCs w:val="20"/>
              </w:rPr>
            </w:pPr>
          </w:p>
        </w:tc>
        <w:tc>
          <w:tcPr>
            <w:tcW w:w="6962" w:type="dxa"/>
            <w:tcBorders>
              <w:right w:val="single" w:color="auto" w:sz="12" w:space="0"/>
            </w:tcBorders>
            <w:noWrap w:val="0"/>
            <w:vAlign w:val="center"/>
          </w:tcPr>
          <w:p>
            <w:pPr>
              <w:spacing w:line="312" w:lineRule="auto"/>
              <w:rPr>
                <w:rFonts w:hint="eastAsia" w:ascii="宋体" w:hAnsi="宋体"/>
                <w:b/>
                <w:color w:val="000000"/>
                <w:sz w:val="24"/>
                <w:szCs w:val="24"/>
              </w:rPr>
            </w:pPr>
            <w:r>
              <w:rPr>
                <w:rFonts w:hint="eastAsia" w:ascii="宋体" w:hAnsi="宋体" w:cs="宋体"/>
                <w:b/>
                <w:sz w:val="24"/>
              </w:rPr>
              <w:t>信用信息查询记录和证据留存的具体方式：</w:t>
            </w:r>
            <w:r>
              <w:rPr>
                <w:rFonts w:hint="eastAsia" w:ascii="宋体" w:hAnsi="宋体" w:cs="宋体"/>
                <w:sz w:val="24"/>
              </w:rPr>
              <w:t>项目评审组织人员现场查询供应商的信用记录，查询结果与采购文件一起存档。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2" w:type="dxa"/>
            <w:vMerge w:val="continue"/>
            <w:tcBorders>
              <w:left w:val="single" w:color="auto" w:sz="12" w:space="0"/>
            </w:tcBorders>
            <w:noWrap w:val="0"/>
            <w:vAlign w:val="center"/>
          </w:tcPr>
          <w:p>
            <w:pPr>
              <w:spacing w:line="312" w:lineRule="auto"/>
              <w:jc w:val="center"/>
              <w:rPr>
                <w:rFonts w:hint="eastAsia" w:ascii="宋体" w:hAnsi="宋体"/>
                <w:color w:val="000000"/>
                <w:sz w:val="24"/>
              </w:rPr>
            </w:pPr>
          </w:p>
        </w:tc>
        <w:tc>
          <w:tcPr>
            <w:tcW w:w="1754" w:type="dxa"/>
            <w:vMerge w:val="continue"/>
            <w:noWrap w:val="0"/>
            <w:vAlign w:val="center"/>
          </w:tcPr>
          <w:p>
            <w:pPr>
              <w:spacing w:line="312" w:lineRule="auto"/>
              <w:jc w:val="center"/>
              <w:rPr>
                <w:rFonts w:hint="eastAsia" w:ascii="宋体" w:hAnsi="宋体"/>
                <w:color w:val="000000"/>
                <w:sz w:val="24"/>
                <w:szCs w:val="20"/>
              </w:rPr>
            </w:pPr>
          </w:p>
        </w:tc>
        <w:tc>
          <w:tcPr>
            <w:tcW w:w="6962" w:type="dxa"/>
            <w:tcBorders>
              <w:right w:val="single" w:color="auto" w:sz="12" w:space="0"/>
            </w:tcBorders>
            <w:noWrap w:val="0"/>
            <w:vAlign w:val="center"/>
          </w:tcPr>
          <w:p>
            <w:pPr>
              <w:spacing w:line="312" w:lineRule="auto"/>
              <w:rPr>
                <w:rFonts w:hint="eastAsia" w:ascii="宋体" w:hAnsi="宋体"/>
                <w:b/>
                <w:color w:val="000000"/>
                <w:sz w:val="24"/>
                <w:szCs w:val="24"/>
              </w:rPr>
            </w:pPr>
            <w:r>
              <w:rPr>
                <w:rFonts w:hint="eastAsia" w:ascii="宋体" w:hAnsi="宋体" w:cs="宋体"/>
                <w:b/>
                <w:sz w:val="24"/>
              </w:rPr>
              <w:t>信用信息的使用规则：</w:t>
            </w:r>
            <w:r>
              <w:rPr>
                <w:rFonts w:hint="eastAsia" w:ascii="宋体" w:hAnsi="宋体" w:cs="宋体"/>
                <w:sz w:val="24"/>
              </w:rPr>
              <w:t>经查询列入失信被执行人名单、重大税收违法案件当事人名单、政府采购严重违法失信行为记录名单的供应商的响应文件将被拒绝。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2" w:type="dxa"/>
            <w:tcBorders>
              <w:left w:val="single" w:color="auto" w:sz="12"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8</w:t>
            </w:r>
          </w:p>
        </w:tc>
        <w:tc>
          <w:tcPr>
            <w:tcW w:w="1754" w:type="dxa"/>
            <w:noWrap w:val="0"/>
            <w:vAlign w:val="center"/>
          </w:tcPr>
          <w:p>
            <w:pPr>
              <w:spacing w:line="312" w:lineRule="auto"/>
              <w:jc w:val="center"/>
              <w:rPr>
                <w:rFonts w:hint="eastAsia" w:ascii="宋体" w:hAnsi="宋体"/>
                <w:color w:val="000000"/>
                <w:sz w:val="24"/>
                <w:szCs w:val="20"/>
              </w:rPr>
            </w:pPr>
            <w:r>
              <w:rPr>
                <w:rFonts w:hint="eastAsia" w:ascii="宋体" w:hAnsi="宋体" w:cs="宋体"/>
                <w:b/>
                <w:bCs/>
                <w:color w:val="FF0000"/>
                <w:sz w:val="24"/>
              </w:rPr>
              <w:t>节能环保要求</w:t>
            </w:r>
          </w:p>
        </w:tc>
        <w:tc>
          <w:tcPr>
            <w:tcW w:w="6962" w:type="dxa"/>
            <w:tcBorders>
              <w:right w:val="single" w:color="auto" w:sz="12" w:space="0"/>
            </w:tcBorders>
            <w:noWrap w:val="0"/>
            <w:vAlign w:val="center"/>
          </w:tcPr>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1、节能产品、环境标志产品的强制采购政策</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2、节能产品、环境标志产品的优先采购政策</w:t>
            </w:r>
          </w:p>
          <w:p>
            <w:pPr>
              <w:spacing w:line="312" w:lineRule="auto"/>
              <w:rPr>
                <w:rFonts w:hint="eastAsia" w:ascii="宋体" w:hAnsi="宋体"/>
                <w:b/>
                <w:color w:val="000000"/>
                <w:sz w:val="24"/>
                <w:szCs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12"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9</w:t>
            </w:r>
          </w:p>
        </w:tc>
        <w:tc>
          <w:tcPr>
            <w:tcW w:w="8716" w:type="dxa"/>
            <w:gridSpan w:val="2"/>
            <w:tcBorders>
              <w:right w:val="single" w:color="auto" w:sz="12" w:space="0"/>
            </w:tcBorders>
            <w:noWrap w:val="0"/>
            <w:vAlign w:val="center"/>
          </w:tcPr>
          <w:p>
            <w:pPr>
              <w:spacing w:line="312" w:lineRule="auto"/>
              <w:rPr>
                <w:rFonts w:hint="eastAsia" w:ascii="宋体" w:hAnsi="宋体"/>
                <w:color w:val="000000"/>
                <w:sz w:val="24"/>
                <w:szCs w:val="20"/>
              </w:rPr>
            </w:pPr>
            <w:r>
              <w:rPr>
                <w:rFonts w:hint="eastAsia" w:ascii="宋体" w:hAnsi="宋体"/>
                <w:color w:val="000000"/>
                <w:sz w:val="24"/>
                <w:szCs w:val="20"/>
              </w:rPr>
              <w:t>本项目预算公开，总预算价为</w:t>
            </w:r>
            <w:r>
              <w:rPr>
                <w:rFonts w:hint="eastAsia" w:ascii="宋体" w:hAnsi="宋体"/>
                <w:color w:val="000000"/>
                <w:sz w:val="24"/>
                <w:u w:val="single"/>
              </w:rPr>
              <w:t xml:space="preserve"> </w:t>
            </w:r>
            <w:del w:id="2" w:author="fyq1414237484" w:date="2020-05-20T12:28:00Z">
              <w:r>
                <w:rPr>
                  <w:rFonts w:hint="default" w:ascii="宋体" w:hAnsi="宋体"/>
                  <w:color w:val="000000"/>
                  <w:sz w:val="24"/>
                  <w:u w:val="single"/>
                  <w:lang w:val="en-US"/>
                </w:rPr>
                <w:delText>1100</w:delText>
              </w:r>
            </w:del>
            <w:ins w:id="3" w:author="fyq1414237484" w:date="2020-05-20T12:28:00Z">
              <w:r>
                <w:rPr>
                  <w:rFonts w:hint="eastAsia" w:ascii="宋体" w:hAnsi="宋体"/>
                  <w:color w:val="000000"/>
                  <w:sz w:val="24"/>
                  <w:u w:val="single"/>
                  <w:lang w:val="en-US" w:eastAsia="zh-CN"/>
                </w:rPr>
                <w:t>1020</w:t>
              </w:r>
            </w:ins>
            <w:r>
              <w:rPr>
                <w:rFonts w:hint="eastAsia" w:ascii="宋体" w:hAnsi="宋体"/>
                <w:color w:val="000000"/>
                <w:sz w:val="24"/>
                <w:u w:val="single"/>
              </w:rPr>
              <w:t xml:space="preserve">  </w:t>
            </w:r>
            <w:r>
              <w:rPr>
                <w:rFonts w:hint="eastAsia" w:ascii="宋体" w:hAnsi="宋体"/>
                <w:color w:val="000000"/>
                <w:sz w:val="24"/>
                <w:szCs w:val="20"/>
                <w:highlight w:val="darkGreen"/>
              </w:rPr>
              <w:t>万元</w:t>
            </w:r>
            <w:r>
              <w:rPr>
                <w:rFonts w:hint="eastAsia" w:ascii="宋体" w:hAnsi="宋体"/>
                <w:color w:val="000000"/>
                <w:sz w:val="24"/>
                <w:szCs w:val="20"/>
              </w:rPr>
              <w:t>。</w:t>
            </w:r>
          </w:p>
          <w:p>
            <w:pPr>
              <w:spacing w:line="312" w:lineRule="auto"/>
              <w:rPr>
                <w:rFonts w:hint="eastAsia" w:ascii="宋体" w:hAnsi="宋体"/>
                <w:color w:val="000000"/>
                <w:sz w:val="24"/>
                <w:szCs w:val="20"/>
              </w:rPr>
            </w:pPr>
            <w:r>
              <w:rPr>
                <w:rFonts w:hint="eastAsia" w:ascii="宋体" w:hAnsi="宋体"/>
                <w:color w:val="000000"/>
                <w:sz w:val="24"/>
                <w:szCs w:val="20"/>
              </w:rPr>
              <w:t>本项目报价超过预算价的（即报价&gt;预算价），</w:t>
            </w:r>
            <w:r>
              <w:rPr>
                <w:rFonts w:hint="eastAsia" w:ascii="宋体" w:hAnsi="宋体"/>
                <w:color w:val="000000"/>
                <w:sz w:val="24"/>
                <w:szCs w:val="24"/>
              </w:rPr>
              <w:t>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Borders>
              <w:left w:val="single" w:color="auto" w:sz="12"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10</w:t>
            </w:r>
          </w:p>
        </w:tc>
        <w:tc>
          <w:tcPr>
            <w:tcW w:w="8716" w:type="dxa"/>
            <w:gridSpan w:val="2"/>
            <w:tcBorders>
              <w:right w:val="single" w:color="auto" w:sz="12" w:space="0"/>
            </w:tcBorders>
            <w:noWrap w:val="0"/>
            <w:vAlign w:val="center"/>
          </w:tcPr>
          <w:p>
            <w:pPr>
              <w:snapToGrid w:val="0"/>
              <w:spacing w:line="360" w:lineRule="auto"/>
              <w:rPr>
                <w:rFonts w:hint="eastAsia" w:ascii="宋体" w:hAnsi="宋体"/>
                <w:b/>
                <w:bCs/>
                <w:color w:val="000000"/>
                <w:sz w:val="24"/>
                <w:szCs w:val="24"/>
              </w:rPr>
            </w:pPr>
            <w:r>
              <w:rPr>
                <w:rFonts w:hint="eastAsia" w:ascii="宋体" w:hAnsi="宋体" w:cs="宋体"/>
                <w:b/>
                <w:bCs/>
                <w:color w:val="000000"/>
                <w:sz w:val="24"/>
                <w:szCs w:val="24"/>
                <w:lang w:bidi="ar"/>
              </w:rPr>
              <w:t>投标响应文件的签章</w:t>
            </w:r>
            <w:r>
              <w:rPr>
                <w:rFonts w:hint="eastAsia" w:ascii="宋体" w:hAnsi="宋体" w:cs="宋体"/>
                <w:b/>
                <w:bCs/>
                <w:color w:val="000000"/>
                <w:sz w:val="24"/>
                <w:szCs w:val="24"/>
                <w:u w:val="single"/>
                <w:lang w:bidi="ar"/>
              </w:rPr>
              <w:t>：投标单位公章电子签章，其中</w:t>
            </w:r>
            <w:r>
              <w:rPr>
                <w:rFonts w:hint="eastAsia" w:ascii="宋体" w:hAnsi="宋体"/>
                <w:b/>
                <w:bCs/>
                <w:sz w:val="24"/>
                <w:szCs w:val="24"/>
                <w:u w:val="single"/>
              </w:rPr>
              <w:t>CA签章上目前没有法人或授权代表签字信息，需要投标人联系浙江杭州汇信科技有限公司等相应公司进行办理，或在投标文件中涉及到签字的位置线下签好字然后扫描或者拍照做成PDF的格式上传至响应文件内。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12"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11</w:t>
            </w:r>
          </w:p>
        </w:tc>
        <w:tc>
          <w:tcPr>
            <w:tcW w:w="8716" w:type="dxa"/>
            <w:gridSpan w:val="2"/>
            <w:tcBorders>
              <w:right w:val="single" w:color="auto" w:sz="12"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投标响应文件的形式：</w:t>
            </w:r>
            <w:r>
              <w:rPr>
                <w:rFonts w:ascii="Segoe UI Emoji" w:hAnsi="Segoe UI Emoji" w:cs="Segoe UI Emoji"/>
                <w:b/>
                <w:bCs/>
                <w:color w:val="000000"/>
                <w:sz w:val="24"/>
                <w:lang w:bidi="ar"/>
              </w:rPr>
              <w:t>☑</w:t>
            </w:r>
            <w:r>
              <w:rPr>
                <w:rFonts w:hint="eastAsia" w:ascii="宋体" w:hAnsi="宋体" w:cs="宋体"/>
                <w:b/>
                <w:bCs/>
                <w:color w:val="000000"/>
                <w:sz w:val="24"/>
                <w:lang w:bidi="ar"/>
              </w:rPr>
              <w:t>电子投标响应文件（包括“电子加密投标响应文件”和“备份投标响应文件”，在投标响应文件编制完成后同时生成）；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文件”是指通过“政采云电子交易客户端”完成投标</w:t>
            </w:r>
            <w:r>
              <w:rPr>
                <w:rFonts w:hint="eastAsia" w:ascii="宋体" w:hAnsi="宋体" w:cs="宋体"/>
                <w:b/>
                <w:bCs/>
                <w:color w:val="000000"/>
                <w:sz w:val="24"/>
                <w:lang w:bidi="ar"/>
              </w:rPr>
              <w:t>响应</w:t>
            </w:r>
            <w:r>
              <w:rPr>
                <w:rFonts w:hint="eastAsia" w:ascii="宋体" w:hAnsi="宋体" w:cs="宋体"/>
                <w:color w:val="000000"/>
                <w:sz w:val="24"/>
                <w:lang w:bidi="ar"/>
              </w:rPr>
              <w:t>文件编制后生成并加密的数据电文形式的投标</w:t>
            </w:r>
            <w:r>
              <w:rPr>
                <w:rFonts w:hint="eastAsia" w:ascii="宋体" w:hAnsi="宋体" w:cs="宋体"/>
                <w:b/>
                <w:bCs/>
                <w:color w:val="000000"/>
                <w:sz w:val="24"/>
                <w:lang w:bidi="ar"/>
              </w:rPr>
              <w:t>响应</w:t>
            </w:r>
            <w:r>
              <w:rPr>
                <w:rFonts w:hint="eastAsia" w:ascii="宋体" w:hAnsi="宋体" w:cs="宋体"/>
                <w:color w:val="000000"/>
                <w:sz w:val="24"/>
                <w:lang w:bidi="ar"/>
              </w:rPr>
              <w:t>文件。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w:t>
            </w:r>
            <w:r>
              <w:rPr>
                <w:rFonts w:hint="eastAsia" w:ascii="宋体" w:hAnsi="宋体" w:cs="宋体"/>
                <w:b/>
                <w:bCs/>
                <w:color w:val="000000"/>
                <w:sz w:val="24"/>
                <w:lang w:bidi="ar"/>
              </w:rPr>
              <w:t>响应</w:t>
            </w:r>
            <w:r>
              <w:rPr>
                <w:rFonts w:hint="eastAsia" w:ascii="宋体" w:hAnsi="宋体" w:cs="宋体"/>
                <w:color w:val="000000"/>
                <w:sz w:val="24"/>
                <w:lang w:bidi="ar"/>
              </w:rPr>
              <w:t>文件”是指与“电子加密投标文件”同时生成的数据电文形式的电子文件（备份标书），</w:t>
            </w:r>
            <w:r>
              <w:rPr>
                <w:rFonts w:hint="eastAsia" w:ascii="宋体" w:hAnsi="宋体" w:cs="宋体"/>
                <w:b/>
                <w:bCs/>
                <w:color w:val="000000"/>
                <w:sz w:val="24"/>
                <w:lang w:bidi="ar"/>
              </w:rPr>
              <w:t>其他方式编制的备份投标文件视为无效备份投标响应文件。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12"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12</w:t>
            </w:r>
          </w:p>
        </w:tc>
        <w:tc>
          <w:tcPr>
            <w:tcW w:w="8716" w:type="dxa"/>
            <w:gridSpan w:val="2"/>
            <w:tcBorders>
              <w:right w:val="single" w:color="auto" w:sz="12" w:space="0"/>
            </w:tcBorders>
            <w:noWrap w:val="0"/>
            <w:vAlign w:val="center"/>
          </w:tcPr>
          <w:p>
            <w:pPr>
              <w:spacing w:line="312" w:lineRule="auto"/>
              <w:rPr>
                <w:rFonts w:hint="eastAsia" w:ascii="宋体" w:hAnsi="宋体" w:cs="宋体"/>
                <w:sz w:val="24"/>
              </w:rPr>
            </w:pPr>
            <w:r>
              <w:rPr>
                <w:rFonts w:hint="eastAsia" w:ascii="宋体" w:hAnsi="宋体" w:cs="宋体"/>
                <w:sz w:val="24"/>
              </w:rPr>
              <w:t>投标</w:t>
            </w:r>
            <w:r>
              <w:rPr>
                <w:rFonts w:hint="eastAsia" w:ascii="宋体" w:hAnsi="宋体" w:cs="宋体"/>
                <w:b/>
                <w:bCs/>
                <w:color w:val="000000"/>
                <w:sz w:val="24"/>
                <w:lang w:bidi="ar"/>
              </w:rPr>
              <w:t>响应</w:t>
            </w:r>
            <w:r>
              <w:rPr>
                <w:rFonts w:hint="eastAsia" w:ascii="宋体" w:hAnsi="宋体" w:cs="宋体"/>
                <w:sz w:val="24"/>
              </w:rPr>
              <w:t>文件份数：（1）“电子加密投标</w:t>
            </w:r>
            <w:r>
              <w:rPr>
                <w:rFonts w:hint="eastAsia" w:ascii="宋体" w:hAnsi="宋体" w:cs="宋体"/>
                <w:b/>
                <w:bCs/>
                <w:color w:val="000000"/>
                <w:sz w:val="24"/>
                <w:lang w:bidi="ar"/>
              </w:rPr>
              <w:t>响应</w:t>
            </w:r>
            <w:r>
              <w:rPr>
                <w:rFonts w:hint="eastAsia" w:ascii="宋体" w:hAnsi="宋体" w:cs="宋体"/>
                <w:sz w:val="24"/>
              </w:rPr>
              <w:t>文件”：在线上传递交</w:t>
            </w:r>
            <w:r>
              <w:rPr>
                <w:rFonts w:hint="eastAsia" w:ascii="宋体" w:hAnsi="宋体" w:cs="宋体"/>
                <w:b/>
                <w:bCs/>
                <w:sz w:val="24"/>
              </w:rPr>
              <w:t>一份</w:t>
            </w:r>
            <w:r>
              <w:rPr>
                <w:rFonts w:hint="eastAsia" w:ascii="宋体" w:hAnsi="宋体" w:cs="宋体"/>
                <w:sz w:val="24"/>
              </w:rPr>
              <w:t>。（2）“备份投标</w:t>
            </w:r>
            <w:r>
              <w:rPr>
                <w:rFonts w:hint="eastAsia" w:ascii="宋体" w:hAnsi="宋体" w:cs="宋体"/>
                <w:b/>
                <w:bCs/>
                <w:color w:val="000000"/>
                <w:sz w:val="24"/>
                <w:lang w:bidi="ar"/>
              </w:rPr>
              <w:t>响应</w:t>
            </w:r>
            <w:r>
              <w:rPr>
                <w:rFonts w:hint="eastAsia" w:ascii="宋体" w:hAnsi="宋体" w:cs="宋体"/>
                <w:sz w:val="24"/>
              </w:rPr>
              <w:t>文件”：密封包装后（建议EMS邮寄形式）投标截止时间前递交、一份（邮寄地址：</w:t>
            </w:r>
            <w:del w:id="4" w:author="fyq1414237484" w:date="2020-05-20T12:28:00Z">
              <w:r>
                <w:rPr>
                  <w:rFonts w:hint="default" w:ascii="宋体" w:hAnsi="宋体" w:cs="宋体"/>
                  <w:sz w:val="24"/>
                  <w:lang w:val="en-US"/>
                </w:rPr>
                <w:delText>　　　　　</w:delText>
              </w:r>
            </w:del>
            <w:ins w:id="5" w:author="fyq1414237484" w:date="2020-05-20T12:28:00Z">
              <w:r>
                <w:rPr>
                  <w:rFonts w:hint="eastAsia" w:ascii="宋体" w:hAnsi="宋体" w:cs="宋体"/>
                  <w:sz w:val="24"/>
                  <w:lang w:val="en-US" w:eastAsia="zh-CN"/>
                </w:rPr>
                <w:t>余杭区临平</w:t>
              </w:r>
            </w:ins>
            <w:ins w:id="6" w:author="fyq1414237484" w:date="2020-05-20T12:29:00Z">
              <w:r>
                <w:rPr>
                  <w:rFonts w:hint="eastAsia" w:ascii="宋体" w:hAnsi="宋体" w:cs="宋体"/>
                  <w:sz w:val="24"/>
                  <w:lang w:val="en-US" w:eastAsia="zh-CN"/>
                </w:rPr>
                <w:t>人民大道687号二楼招标代理部一</w:t>
              </w:r>
            </w:ins>
            <w:r>
              <w:rPr>
                <w:rFonts w:hint="eastAsia" w:ascii="宋体" w:hAnsi="宋体" w:cs="宋体"/>
                <w:sz w:val="24"/>
              </w:rPr>
              <w:t>）。</w:t>
            </w:r>
          </w:p>
          <w:p>
            <w:pPr>
              <w:pStyle w:val="2"/>
              <w:spacing w:line="312" w:lineRule="auto"/>
              <w:rPr>
                <w:rFonts w:hint="eastAsia" w:cs="宋体"/>
                <w:color w:val="000000"/>
                <w:lang w:bidi="ar"/>
              </w:rPr>
            </w:pPr>
            <w:r>
              <w:rPr>
                <w:rFonts w:hint="eastAsia" w:cs="宋体"/>
                <w:szCs w:val="24"/>
              </w:rPr>
              <w:t>（3）</w:t>
            </w:r>
            <w:r>
              <w:rPr>
                <w:rFonts w:hint="eastAsia" w:cs="宋体"/>
                <w:b/>
                <w:bCs/>
                <w:szCs w:val="24"/>
              </w:rPr>
              <w:t>投标</w:t>
            </w:r>
            <w:r>
              <w:rPr>
                <w:rFonts w:hint="eastAsia" w:cs="宋体"/>
                <w:b/>
                <w:bCs/>
                <w:color w:val="000000"/>
                <w:lang w:bidi="ar"/>
              </w:rPr>
              <w:t>响应</w:t>
            </w:r>
            <w:r>
              <w:rPr>
                <w:rFonts w:hint="eastAsia" w:cs="宋体"/>
                <w:b/>
                <w:bCs/>
                <w:szCs w:val="24"/>
              </w:rPr>
              <w:t>单位中标后提供三份</w:t>
            </w:r>
            <w:r>
              <w:rPr>
                <w:rFonts w:hint="eastAsia" w:cs="宋体"/>
                <w:szCs w:val="24"/>
              </w:rPr>
              <w:t>纸质投标</w:t>
            </w:r>
            <w:r>
              <w:rPr>
                <w:rFonts w:hint="eastAsia" w:cs="宋体"/>
                <w:b/>
                <w:bCs/>
                <w:color w:val="000000"/>
                <w:lang w:bidi="ar"/>
              </w:rPr>
              <w:t>响应</w:t>
            </w:r>
            <w:r>
              <w:rPr>
                <w:rFonts w:hint="eastAsia" w:cs="宋体"/>
                <w:szCs w:val="24"/>
              </w:rPr>
              <w:t>文件和电子投标</w:t>
            </w:r>
            <w:r>
              <w:rPr>
                <w:rFonts w:hint="eastAsia" w:cs="宋体"/>
                <w:b/>
                <w:bCs/>
                <w:color w:val="000000"/>
                <w:lang w:bidi="ar"/>
              </w:rPr>
              <w:t>响应</w:t>
            </w:r>
            <w:r>
              <w:rPr>
                <w:rFonts w:hint="eastAsia" w:cs="宋体"/>
                <w:szCs w:val="24"/>
              </w:rPr>
              <w:t>文件与纸质投标文件内容一致的承诺书给采购代理机构留底以作项目验收存档使用。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4"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13</w:t>
            </w:r>
          </w:p>
        </w:tc>
        <w:tc>
          <w:tcPr>
            <w:tcW w:w="8716" w:type="dxa"/>
            <w:gridSpan w:val="2"/>
            <w:tcBorders>
              <w:right w:val="single" w:color="auto" w:sz="12"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投标文件的上传和递交：</w:t>
            </w:r>
          </w:p>
          <w:p>
            <w:pPr>
              <w:pStyle w:val="2"/>
              <w:spacing w:line="360" w:lineRule="auto"/>
              <w:rPr>
                <w:rFonts w:hint="eastAsia" w:cs="宋体"/>
                <w:color w:val="000000"/>
                <w:lang w:bidi="ar"/>
              </w:rPr>
            </w:pPr>
            <w:r>
              <w:rPr>
                <w:rFonts w:hint="eastAsia" w:cs="宋体"/>
                <w:color w:val="000000"/>
                <w:lang w:bidi="ar"/>
              </w:rPr>
              <w:t>（1）“电子加密投标文件”的上传、递交：</w:t>
            </w:r>
          </w:p>
          <w:p>
            <w:pPr>
              <w:pStyle w:val="2"/>
              <w:spacing w:line="360" w:lineRule="auto"/>
              <w:rPr>
                <w:rFonts w:hint="eastAsia" w:cs="宋体"/>
                <w:color w:val="000000"/>
                <w:lang w:bidi="ar"/>
              </w:rPr>
            </w:pPr>
            <w:r>
              <w:rPr>
                <w:rFonts w:hint="eastAsia" w:cs="宋体"/>
                <w:color w:val="000000"/>
                <w:lang w:bidi="ar"/>
              </w:rPr>
              <w:t>a.投标供应商应在投标截止时间前将“电子加密投标文件”成功上传递交至“政府采购云平台”，否则投标无效。</w:t>
            </w:r>
          </w:p>
          <w:p>
            <w:pPr>
              <w:pStyle w:val="2"/>
              <w:spacing w:line="360" w:lineRule="auto"/>
              <w:rPr>
                <w:rFonts w:hint="eastAsia" w:cs="宋体"/>
                <w:color w:val="000000"/>
                <w:lang w:bidi="ar"/>
              </w:rPr>
            </w:pPr>
            <w:r>
              <w:rPr>
                <w:rFonts w:hint="eastAsia" w:cs="宋体"/>
                <w:color w:val="000000"/>
                <w:lang w:bidi="ar"/>
              </w:rPr>
              <w:t>b.“电子加密投标</w:t>
            </w:r>
            <w:r>
              <w:rPr>
                <w:rFonts w:hint="eastAsia" w:cs="宋体"/>
                <w:b/>
                <w:bCs/>
                <w:color w:val="000000"/>
                <w:lang w:bidi="ar"/>
              </w:rPr>
              <w:t>响应</w:t>
            </w:r>
            <w:r>
              <w:rPr>
                <w:rFonts w:hint="eastAsia" w:cs="宋体"/>
                <w:color w:val="000000"/>
                <w:lang w:bidi="ar"/>
              </w:rPr>
              <w:t>文件”成功上传递交后，供应商可自行打印投标</w:t>
            </w:r>
            <w:r>
              <w:rPr>
                <w:rFonts w:hint="eastAsia" w:cs="宋体"/>
                <w:b/>
                <w:bCs/>
                <w:color w:val="000000"/>
                <w:lang w:bidi="ar"/>
              </w:rPr>
              <w:t>响应</w:t>
            </w:r>
            <w:r>
              <w:rPr>
                <w:rFonts w:hint="eastAsia" w:cs="宋体"/>
                <w:color w:val="000000"/>
                <w:lang w:bidi="ar"/>
              </w:rPr>
              <w:t>文件接收回执。</w:t>
            </w:r>
          </w:p>
          <w:p>
            <w:pPr>
              <w:pStyle w:val="2"/>
              <w:spacing w:line="360" w:lineRule="auto"/>
              <w:rPr>
                <w:rFonts w:hint="eastAsia" w:cs="宋体"/>
                <w:color w:val="000000"/>
                <w:lang w:bidi="ar"/>
              </w:rPr>
            </w:pPr>
            <w:r>
              <w:rPr>
                <w:rFonts w:hint="eastAsia" w:cs="宋体"/>
                <w:color w:val="000000"/>
                <w:lang w:bidi="ar"/>
              </w:rPr>
              <w:t>（2）“备份投标</w:t>
            </w:r>
            <w:r>
              <w:rPr>
                <w:rFonts w:hint="eastAsia" w:cs="宋体"/>
                <w:b/>
                <w:bCs/>
                <w:color w:val="000000"/>
                <w:lang w:bidi="ar"/>
              </w:rPr>
              <w:t>响应</w:t>
            </w:r>
            <w:r>
              <w:rPr>
                <w:rFonts w:hint="eastAsia" w:cs="宋体"/>
                <w:color w:val="000000"/>
                <w:lang w:bidi="ar"/>
              </w:rPr>
              <w:t>文件”的密封包装、递交：</w:t>
            </w:r>
          </w:p>
          <w:p>
            <w:pPr>
              <w:pStyle w:val="2"/>
              <w:spacing w:line="360" w:lineRule="auto"/>
              <w:rPr>
                <w:rFonts w:hint="eastAsia" w:cs="宋体"/>
                <w:color w:val="000000"/>
                <w:lang w:bidi="ar"/>
              </w:rPr>
            </w:pPr>
            <w:r>
              <w:rPr>
                <w:rFonts w:hint="eastAsia" w:cs="宋体"/>
                <w:color w:val="000000"/>
                <w:lang w:bidi="ar"/>
              </w:rPr>
              <w:t>a.投标供应商在“政府采购云平台”完成“电子加密投标</w:t>
            </w:r>
            <w:r>
              <w:rPr>
                <w:rFonts w:hint="eastAsia" w:cs="宋体"/>
                <w:b/>
                <w:bCs/>
                <w:color w:val="000000"/>
                <w:lang w:bidi="ar"/>
              </w:rPr>
              <w:t>响应</w:t>
            </w:r>
            <w:r>
              <w:rPr>
                <w:rFonts w:hint="eastAsia" w:cs="宋体"/>
                <w:color w:val="000000"/>
                <w:lang w:bidi="ar"/>
              </w:rPr>
              <w:t>文件”的上传递交后，还可以（建议EMS邮寄形式）在投标截止时间前递交以介质（U盘）存储的 “备份投标</w:t>
            </w:r>
            <w:r>
              <w:rPr>
                <w:rFonts w:hint="eastAsia" w:cs="宋体"/>
                <w:b/>
                <w:bCs/>
                <w:color w:val="000000"/>
                <w:lang w:bidi="ar"/>
              </w:rPr>
              <w:t>响应</w:t>
            </w:r>
            <w:r>
              <w:rPr>
                <w:rFonts w:hint="eastAsia" w:cs="宋体"/>
                <w:color w:val="000000"/>
                <w:lang w:bidi="ar"/>
              </w:rPr>
              <w:t>文件”（一份）；</w:t>
            </w:r>
            <w:r>
              <w:rPr>
                <w:rFonts w:hint="eastAsia" w:cs="宋体"/>
                <w:b/>
                <w:bCs/>
                <w:color w:val="000000"/>
                <w:lang w:bidi="ar"/>
              </w:rPr>
              <w:t>建议EMS邮寄等形式快递至招标代理公司地址（地址详见招标采购文件，防疫期间不建议供应商代表抵达开标地点）；解密CA必须是上传并制作电子投标文件CA锁。</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w:t>
            </w:r>
            <w:r>
              <w:rPr>
                <w:rFonts w:hint="eastAsia" w:ascii="宋体" w:hAnsi="宋体" w:cs="宋体"/>
                <w:b/>
                <w:bCs/>
                <w:color w:val="000000"/>
                <w:sz w:val="24"/>
                <w:lang w:bidi="ar"/>
              </w:rPr>
              <w:t>响应</w:t>
            </w:r>
            <w:r>
              <w:rPr>
                <w:rFonts w:hint="eastAsia" w:ascii="宋体" w:hAnsi="宋体" w:cs="宋体"/>
                <w:color w:val="000000"/>
                <w:sz w:val="24"/>
                <w:lang w:bidi="ar"/>
              </w:rPr>
              <w:t>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w:t>
            </w:r>
            <w:r>
              <w:rPr>
                <w:rFonts w:hint="eastAsia" w:ascii="宋体" w:hAnsi="宋体" w:cs="宋体"/>
                <w:b/>
                <w:bCs/>
                <w:color w:val="000000"/>
                <w:sz w:val="24"/>
                <w:lang w:bidi="ar"/>
              </w:rPr>
              <w:t>响应</w:t>
            </w:r>
            <w:r>
              <w:rPr>
                <w:rFonts w:hint="eastAsia" w:ascii="宋体" w:hAnsi="宋体" w:cs="宋体"/>
                <w:color w:val="000000"/>
                <w:sz w:val="24"/>
                <w:lang w:bidi="ar"/>
              </w:rPr>
              <w:t>文件”将不予接收；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c.通过“政府采购云平台”成功上传递交的“电子加密投标文件”已按时解密的，“备份投标</w:t>
            </w:r>
            <w:r>
              <w:rPr>
                <w:rFonts w:hint="eastAsia" w:ascii="宋体" w:hAnsi="宋体" w:cs="宋体"/>
                <w:b/>
                <w:bCs/>
                <w:color w:val="000000"/>
                <w:sz w:val="24"/>
                <w:lang w:bidi="ar"/>
              </w:rPr>
              <w:t>响应</w:t>
            </w:r>
            <w:r>
              <w:rPr>
                <w:rFonts w:hint="eastAsia" w:ascii="宋体" w:hAnsi="宋体" w:cs="宋体"/>
                <w:color w:val="000000"/>
                <w:sz w:val="24"/>
                <w:lang w:bidi="ar"/>
              </w:rPr>
              <w:t>文件”自动失效。投标截止时间前，投标供应商仅递交了“备份投标</w:t>
            </w:r>
            <w:r>
              <w:rPr>
                <w:rFonts w:hint="eastAsia" w:ascii="宋体" w:hAnsi="宋体" w:cs="宋体"/>
                <w:b/>
                <w:bCs/>
                <w:color w:val="000000"/>
                <w:sz w:val="24"/>
                <w:lang w:bidi="ar"/>
              </w:rPr>
              <w:t>响应</w:t>
            </w:r>
            <w:r>
              <w:rPr>
                <w:rFonts w:hint="eastAsia" w:ascii="宋体" w:hAnsi="宋体" w:cs="宋体"/>
                <w:color w:val="000000"/>
                <w:sz w:val="24"/>
                <w:lang w:bidi="ar"/>
              </w:rPr>
              <w:t>文件”而未将“电子加密投标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4"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14</w:t>
            </w:r>
          </w:p>
        </w:tc>
        <w:tc>
          <w:tcPr>
            <w:tcW w:w="8716" w:type="dxa"/>
            <w:gridSpan w:val="2"/>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电子加密投标响应文件的解密和异常情况处理：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（1）开标后，采购组织机构将向各投标供应商发出“电子加密投标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文件”的解密通知，各投标供应商代表应当在接到解密通知后45分钟内自行完成“电子加密投标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文件”的在线解密。</w:t>
            </w:r>
          </w:p>
          <w:p>
            <w:pPr>
              <w:spacing w:line="312"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w:t>
            </w:r>
            <w:r>
              <w:rPr>
                <w:rFonts w:hint="eastAsia" w:ascii="宋体" w:hAnsi="宋体" w:cs="宋体"/>
                <w:b/>
                <w:bCs/>
                <w:color w:val="000000"/>
                <w:sz w:val="24"/>
                <w:lang w:bidi="ar"/>
              </w:rPr>
              <w:t>响应</w:t>
            </w:r>
            <w:r>
              <w:rPr>
                <w:rFonts w:hint="eastAsia" w:ascii="宋体" w:hAnsi="宋体" w:cs="宋体"/>
                <w:color w:val="000000"/>
                <w:sz w:val="24"/>
                <w:lang w:bidi="ar"/>
              </w:rPr>
              <w:t>文件”的，以“备份投标</w:t>
            </w:r>
            <w:r>
              <w:rPr>
                <w:rFonts w:hint="eastAsia" w:ascii="宋体" w:hAnsi="宋体" w:cs="宋体"/>
                <w:b/>
                <w:bCs/>
                <w:color w:val="000000"/>
                <w:sz w:val="24"/>
                <w:lang w:bidi="ar"/>
              </w:rPr>
              <w:t>响应</w:t>
            </w:r>
            <w:r>
              <w:rPr>
                <w:rFonts w:hint="eastAsia" w:ascii="宋体" w:hAnsi="宋体" w:cs="宋体"/>
                <w:color w:val="000000"/>
                <w:sz w:val="24"/>
                <w:lang w:bidi="ar"/>
              </w:rPr>
              <w:t>文件”为依据（由采购组织机构按“政府采购云平台”操作规范将“备份投标</w:t>
            </w:r>
            <w:r>
              <w:rPr>
                <w:rFonts w:hint="eastAsia" w:ascii="宋体" w:hAnsi="宋体" w:cs="宋体"/>
                <w:b/>
                <w:bCs/>
                <w:color w:val="000000"/>
                <w:sz w:val="24"/>
                <w:lang w:bidi="ar"/>
              </w:rPr>
              <w:t>响应</w:t>
            </w:r>
            <w:r>
              <w:rPr>
                <w:rFonts w:hint="eastAsia" w:ascii="宋体" w:hAnsi="宋体" w:cs="宋体"/>
                <w:color w:val="000000"/>
                <w:sz w:val="24"/>
                <w:lang w:bidi="ar"/>
              </w:rPr>
              <w:t>文件”上传至“政府采购云平台”，上传成功后，“电子加密投标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文件”自动失效），否则视为投标</w:t>
            </w:r>
            <w:r>
              <w:rPr>
                <w:rFonts w:hint="eastAsia" w:ascii="宋体" w:hAnsi="宋体" w:cs="宋体"/>
                <w:b/>
                <w:bCs/>
                <w:color w:val="000000"/>
                <w:sz w:val="24"/>
                <w:lang w:bidi="ar"/>
              </w:rPr>
              <w:t>响应</w:t>
            </w:r>
            <w:r>
              <w:rPr>
                <w:rFonts w:hint="eastAsia" w:ascii="宋体" w:hAnsi="宋体" w:cs="宋体"/>
                <w:color w:val="000000"/>
                <w:sz w:val="24"/>
                <w:lang w:bidi="ar"/>
              </w:rPr>
              <w:t>文件撤回。</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（3）投标截止时间前，投标供应商仅递交了“备份投标</w:t>
            </w:r>
            <w:r>
              <w:rPr>
                <w:rFonts w:hint="eastAsia" w:ascii="宋体" w:hAnsi="宋体" w:cs="宋体"/>
                <w:b/>
                <w:bCs/>
                <w:color w:val="000000"/>
                <w:sz w:val="24"/>
                <w:lang w:bidi="ar"/>
              </w:rPr>
              <w:t>响应</w:t>
            </w:r>
            <w:r>
              <w:rPr>
                <w:rFonts w:hint="eastAsia" w:ascii="宋体" w:hAnsi="宋体" w:cs="宋体"/>
                <w:color w:val="000000"/>
                <w:sz w:val="24"/>
                <w:lang w:bidi="ar"/>
              </w:rPr>
              <w:t>文件”而未将电子加密投标</w:t>
            </w:r>
            <w:r>
              <w:rPr>
                <w:rFonts w:hint="eastAsia" w:ascii="宋体" w:hAnsi="宋体" w:cs="宋体"/>
                <w:b/>
                <w:bCs/>
                <w:color w:val="000000"/>
                <w:sz w:val="24"/>
                <w:lang w:bidi="ar"/>
              </w:rPr>
              <w:t>响应</w:t>
            </w:r>
            <w:r>
              <w:rPr>
                <w:rFonts w:hint="eastAsia" w:ascii="宋体" w:hAnsi="宋体" w:cs="宋体"/>
                <w:color w:val="000000"/>
                <w:sz w:val="24"/>
                <w:lang w:bidi="ar"/>
              </w:rPr>
              <w:t>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4"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15</w:t>
            </w:r>
          </w:p>
        </w:tc>
        <w:tc>
          <w:tcPr>
            <w:tcW w:w="8716" w:type="dxa"/>
            <w:gridSpan w:val="2"/>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tcBorders>
              <w:left w:val="single" w:color="auto" w:sz="4" w:space="0"/>
            </w:tcBorders>
            <w:noWrap w:val="0"/>
            <w:vAlign w:val="center"/>
          </w:tcPr>
          <w:p>
            <w:pPr>
              <w:spacing w:line="312" w:lineRule="auto"/>
              <w:jc w:val="center"/>
              <w:rPr>
                <w:rFonts w:ascii="宋体" w:hAnsi="宋体"/>
                <w:color w:val="000000"/>
                <w:sz w:val="24"/>
              </w:rPr>
            </w:pPr>
            <w:r>
              <w:rPr>
                <w:rFonts w:hint="eastAsia" w:ascii="宋体" w:hAnsi="宋体"/>
                <w:color w:val="000000"/>
                <w:sz w:val="24"/>
              </w:rPr>
              <w:t>16</w:t>
            </w:r>
          </w:p>
        </w:tc>
        <w:tc>
          <w:tcPr>
            <w:tcW w:w="8716" w:type="dxa"/>
            <w:gridSpan w:val="2"/>
            <w:noWrap w:val="0"/>
            <w:vAlign w:val="center"/>
          </w:tcPr>
          <w:p>
            <w:pPr>
              <w:snapToGrid w:val="0"/>
              <w:spacing w:line="312"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12"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12"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12"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12" w:lineRule="auto"/>
              <w:rPr>
                <w:rFonts w:hint="eastAsia" w:ascii="宋体" w:hAnsi="宋体" w:cs="宋体"/>
                <w:color w:val="000000"/>
                <w:sz w:val="24"/>
                <w:lang w:bidi="ar"/>
              </w:rPr>
            </w:pPr>
            <w:r>
              <w:rPr>
                <w:rFonts w:hint="eastAsia" w:ascii="宋体" w:hAnsi="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2" w:type="dxa"/>
            <w:noWrap w:val="0"/>
            <w:vAlign w:val="center"/>
          </w:tcPr>
          <w:p>
            <w:pPr>
              <w:widowControl/>
              <w:snapToGrid w:val="0"/>
              <w:spacing w:line="360" w:lineRule="auto"/>
              <w:jc w:val="center"/>
              <w:textAlignment w:val="center"/>
              <w:rPr>
                <w:rFonts w:hint="eastAsia" w:ascii="宋体" w:hAnsi="宋体"/>
                <w:color w:val="000000"/>
                <w:sz w:val="24"/>
              </w:rPr>
            </w:pPr>
            <w:r>
              <w:rPr>
                <w:rFonts w:ascii="宋体" w:hAnsi="宋体" w:cs="宋体"/>
                <w:b/>
                <w:bCs/>
                <w:color w:val="000000"/>
                <w:kern w:val="0"/>
                <w:sz w:val="24"/>
                <w:lang w:bidi="ar"/>
              </w:rPr>
              <w:t>1</w:t>
            </w:r>
            <w:r>
              <w:rPr>
                <w:rFonts w:hint="eastAsia" w:ascii="宋体" w:hAnsi="宋体" w:cs="宋体"/>
                <w:b/>
                <w:bCs/>
                <w:color w:val="000000"/>
                <w:kern w:val="0"/>
                <w:sz w:val="24"/>
                <w:lang w:bidi="ar"/>
              </w:rPr>
              <w:t>7</w:t>
            </w:r>
          </w:p>
        </w:tc>
        <w:tc>
          <w:tcPr>
            <w:tcW w:w="8716" w:type="dxa"/>
            <w:gridSpan w:val="2"/>
            <w:noWrap w:val="0"/>
            <w:vAlign w:val="center"/>
          </w:tcPr>
          <w:p>
            <w:pPr>
              <w:snapToGrid w:val="0"/>
              <w:spacing w:line="360" w:lineRule="auto"/>
              <w:rPr>
                <w:rFonts w:hint="eastAsia" w:ascii="宋体" w:hAnsi="宋体" w:cs="宋体"/>
                <w:color w:val="000000"/>
                <w:sz w:val="24"/>
                <w:lang w:bidi="ar"/>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lang/>
              </w:rPr>
              <w:drawing>
                <wp:inline distT="0" distB="0" distL="114300" distR="114300">
                  <wp:extent cx="182880" cy="137160"/>
                  <wp:effectExtent l="0" t="0" r="7620" b="15240"/>
                  <wp:docPr id="20"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57"/>
                          <pic:cNvPicPr>
                            <a:picLocks noChangeAspect="1"/>
                          </pic:cNvPicPr>
                        </pic:nvPicPr>
                        <pic:blipFill>
                          <a:blip r:embed="rId14"/>
                          <a:stretch>
                            <a:fillRect/>
                          </a:stretch>
                        </pic:blipFill>
                        <pic:spPr>
                          <a:xfrm>
                            <a:off x="0" y="0"/>
                            <a:ext cx="182880" cy="13716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bl>
    <w:p>
      <w:pPr>
        <w:adjustRightInd w:val="0"/>
        <w:snapToGrid w:val="0"/>
        <w:spacing w:line="440" w:lineRule="exact"/>
        <w:ind w:firstLine="96" w:firstLineChars="40"/>
        <w:jc w:val="center"/>
        <w:rPr>
          <w:rFonts w:hint="eastAsia" w:ascii="宋体" w:hAnsi="宋体"/>
          <w:b/>
          <w:bCs/>
          <w:color w:val="000000"/>
          <w:sz w:val="24"/>
        </w:rPr>
      </w:pPr>
      <w:r>
        <w:rPr>
          <w:rFonts w:ascii="宋体" w:hAnsi="宋体"/>
          <w:b/>
          <w:bCs/>
          <w:color w:val="000000"/>
          <w:sz w:val="24"/>
        </w:rPr>
        <w:br w:type="page"/>
      </w:r>
      <w:r>
        <w:rPr>
          <w:rFonts w:hint="eastAsia" w:ascii="宋体" w:hAnsi="宋体"/>
          <w:b/>
          <w:bCs/>
          <w:color w:val="000000"/>
          <w:sz w:val="24"/>
        </w:rPr>
        <w:t>第一节 供应商须知之通用条款</w:t>
      </w:r>
    </w:p>
    <w:p>
      <w:pPr>
        <w:adjustRightInd w:val="0"/>
        <w:snapToGrid w:val="0"/>
        <w:spacing w:line="440" w:lineRule="exact"/>
        <w:rPr>
          <w:rFonts w:hint="eastAsia" w:ascii="宋体" w:hAnsi="宋体"/>
          <w:b/>
          <w:color w:val="000000"/>
          <w:sz w:val="24"/>
        </w:rPr>
      </w:pPr>
      <w:r>
        <w:rPr>
          <w:rFonts w:hint="eastAsia" w:ascii="宋体" w:hAnsi="宋体"/>
          <w:b/>
          <w:color w:val="000000"/>
          <w:sz w:val="24"/>
        </w:rPr>
        <w:t>1、适用范围</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本采购文件适用于本次竞争性谈判采购所叙述的采购项目。</w:t>
      </w:r>
    </w:p>
    <w:p>
      <w:pPr>
        <w:adjustRightInd w:val="0"/>
        <w:snapToGrid w:val="0"/>
        <w:spacing w:line="440" w:lineRule="exact"/>
        <w:rPr>
          <w:rFonts w:hint="eastAsia" w:ascii="宋体" w:hAnsi="宋体"/>
          <w:b/>
          <w:color w:val="000000"/>
          <w:sz w:val="24"/>
        </w:rPr>
      </w:pPr>
      <w:r>
        <w:rPr>
          <w:rFonts w:hint="eastAsia" w:ascii="宋体" w:hAnsi="宋体"/>
          <w:b/>
          <w:color w:val="000000"/>
          <w:sz w:val="24"/>
        </w:rPr>
        <w:t>2、定义</w:t>
      </w:r>
    </w:p>
    <w:p>
      <w:pPr>
        <w:spacing w:line="360" w:lineRule="auto"/>
        <w:ind w:firstLine="480" w:firstLineChars="200"/>
        <w:rPr>
          <w:rFonts w:hint="eastAsia"/>
          <w:color w:val="000000"/>
          <w:sz w:val="24"/>
          <w:szCs w:val="24"/>
        </w:rPr>
      </w:pPr>
      <w:r>
        <w:rPr>
          <w:rFonts w:hint="eastAsia" w:ascii="宋体" w:hAnsi="宋体"/>
          <w:color w:val="000000"/>
          <w:sz w:val="24"/>
        </w:rPr>
        <w:t>2.1、“采购代理机构”系指</w:t>
      </w:r>
      <w:r>
        <w:rPr>
          <w:rFonts w:hint="eastAsia"/>
          <w:color w:val="000000"/>
          <w:sz w:val="24"/>
          <w:szCs w:val="24"/>
        </w:rPr>
        <w:t>按政府采购有关规定，受采购单位委托，组织本次采购</w:t>
      </w:r>
      <w:r>
        <w:rPr>
          <w:rFonts w:hint="eastAsia" w:ascii="宋体" w:hAnsi="宋体"/>
          <w:color w:val="000000"/>
          <w:sz w:val="24"/>
        </w:rPr>
        <w:t>的大地工程咨询有限公司</w:t>
      </w:r>
      <w:r>
        <w:rPr>
          <w:rFonts w:hint="eastAsia"/>
          <w:color w:val="000000"/>
          <w:sz w:val="24"/>
          <w:szCs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2.2、“采购人”系指按政府采购有关规定委托采购项目的采购单位。</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2.2、“谈判</w:t>
      </w:r>
      <w:r>
        <w:rPr>
          <w:rFonts w:hint="eastAsia"/>
          <w:color w:val="000000"/>
          <w:sz w:val="24"/>
          <w:szCs w:val="24"/>
        </w:rPr>
        <w:t>响应方</w:t>
      </w:r>
      <w:r>
        <w:rPr>
          <w:rFonts w:hint="eastAsia" w:ascii="宋体" w:hAnsi="宋体"/>
          <w:color w:val="000000"/>
          <w:sz w:val="24"/>
        </w:rPr>
        <w:t>”</w:t>
      </w:r>
      <w:r>
        <w:rPr>
          <w:rFonts w:hint="eastAsia"/>
          <w:color w:val="000000"/>
          <w:sz w:val="24"/>
          <w:szCs w:val="24"/>
        </w:rPr>
        <w:t xml:space="preserve"> 系指向采购代理机构递交响应文件的供应商</w:t>
      </w:r>
      <w:r>
        <w:rPr>
          <w:rFonts w:hint="eastAsia" w:ascii="宋体" w:hAnsi="宋体"/>
          <w:color w:val="000000"/>
          <w:sz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2.3、“书面形式”包括信函、传真、电报等。</w:t>
      </w:r>
    </w:p>
    <w:p>
      <w:pPr>
        <w:adjustRightInd w:val="0"/>
        <w:snapToGrid w:val="0"/>
        <w:spacing w:line="440" w:lineRule="exact"/>
        <w:rPr>
          <w:rFonts w:hint="eastAsia" w:ascii="宋体" w:hAnsi="宋体"/>
          <w:color w:val="000000"/>
          <w:sz w:val="24"/>
        </w:rPr>
      </w:pPr>
      <w:r>
        <w:rPr>
          <w:rFonts w:hint="eastAsia" w:ascii="宋体" w:hAnsi="宋体"/>
          <w:b/>
          <w:color w:val="000000"/>
          <w:sz w:val="24"/>
        </w:rPr>
        <w:t>3、采购方式：</w:t>
      </w:r>
      <w:r>
        <w:rPr>
          <w:rFonts w:hint="eastAsia" w:ascii="宋体" w:hAnsi="宋体"/>
          <w:color w:val="000000"/>
          <w:sz w:val="24"/>
        </w:rPr>
        <w:t>竞争性谈判。</w:t>
      </w:r>
    </w:p>
    <w:p>
      <w:pPr>
        <w:adjustRightInd w:val="0"/>
        <w:snapToGrid w:val="0"/>
        <w:spacing w:line="440" w:lineRule="exact"/>
        <w:rPr>
          <w:rFonts w:hint="eastAsia" w:ascii="宋体" w:hAnsi="宋体"/>
          <w:b/>
          <w:color w:val="000000"/>
          <w:sz w:val="24"/>
        </w:rPr>
      </w:pPr>
      <w:r>
        <w:rPr>
          <w:rFonts w:hint="eastAsia" w:ascii="宋体" w:hAnsi="宋体"/>
          <w:b/>
          <w:color w:val="000000"/>
          <w:sz w:val="24"/>
        </w:rPr>
        <w:t>4、谈判响应方代表应当是供应商的在职正式职工，并请携带本人有效身份证件。如谈判响应方代表不是法定代表人，须有法定代表人出具的授权委托书。</w:t>
      </w:r>
      <w:r>
        <w:rPr>
          <w:rFonts w:hint="eastAsia" w:ascii="宋体" w:hAnsi="宋体" w:cs="宋体"/>
          <w:b/>
          <w:color w:val="FF0000"/>
          <w:sz w:val="24"/>
        </w:rPr>
        <w:t>授权委托书必须按照“第五部分 响应文件格式”填写，如有不符授权无效，可能会导致无效。</w:t>
      </w:r>
    </w:p>
    <w:p>
      <w:pPr>
        <w:adjustRightInd w:val="0"/>
        <w:snapToGrid w:val="0"/>
        <w:spacing w:line="440" w:lineRule="exact"/>
        <w:rPr>
          <w:rFonts w:hint="eastAsia" w:ascii="宋体" w:hAnsi="宋体"/>
          <w:color w:val="000000"/>
          <w:sz w:val="24"/>
        </w:rPr>
      </w:pPr>
      <w:r>
        <w:rPr>
          <w:rFonts w:hint="eastAsia" w:ascii="宋体" w:hAnsi="宋体"/>
          <w:b/>
          <w:color w:val="000000"/>
          <w:sz w:val="24"/>
        </w:rPr>
        <w:t>5、</w:t>
      </w:r>
      <w:r>
        <w:rPr>
          <w:rFonts w:hint="eastAsia"/>
          <w:b/>
          <w:color w:val="000000"/>
          <w:sz w:val="24"/>
          <w:szCs w:val="24"/>
        </w:rPr>
        <w:t>响应采购费用</w:t>
      </w:r>
      <w:r>
        <w:rPr>
          <w:rFonts w:hint="eastAsia" w:ascii="宋体" w:hAnsi="宋体"/>
          <w:b/>
          <w:color w:val="000000"/>
          <w:sz w:val="24"/>
        </w:rPr>
        <w:t>：</w:t>
      </w:r>
      <w:r>
        <w:rPr>
          <w:rFonts w:hint="eastAsia" w:ascii="宋体" w:hAnsi="宋体"/>
          <w:color w:val="000000"/>
          <w:sz w:val="24"/>
        </w:rPr>
        <w:t>谈判响应方需自行承担涉及与</w:t>
      </w:r>
      <w:r>
        <w:rPr>
          <w:rFonts w:hint="eastAsia"/>
          <w:color w:val="000000"/>
          <w:sz w:val="24"/>
          <w:szCs w:val="24"/>
        </w:rPr>
        <w:t>本次采购有关</w:t>
      </w:r>
      <w:r>
        <w:rPr>
          <w:rFonts w:hint="eastAsia" w:ascii="宋体" w:hAnsi="宋体"/>
          <w:color w:val="000000"/>
          <w:sz w:val="24"/>
        </w:rPr>
        <w:t>的一切费用。</w:t>
      </w:r>
    </w:p>
    <w:p>
      <w:pPr>
        <w:adjustRightInd w:val="0"/>
        <w:snapToGrid w:val="0"/>
        <w:spacing w:line="440" w:lineRule="exact"/>
        <w:rPr>
          <w:rFonts w:hint="eastAsia" w:ascii="宋体" w:hAnsi="宋体"/>
          <w:b/>
          <w:bCs/>
          <w:color w:val="000000"/>
          <w:sz w:val="24"/>
        </w:rPr>
      </w:pPr>
      <w:r>
        <w:rPr>
          <w:rFonts w:hint="eastAsia" w:ascii="宋体" w:hAnsi="宋体"/>
          <w:b/>
          <w:bCs/>
          <w:color w:val="000000"/>
          <w:sz w:val="24"/>
        </w:rPr>
        <w:t>6、特别说明：</w:t>
      </w:r>
    </w:p>
    <w:p>
      <w:pPr>
        <w:adjustRightInd w:val="0"/>
        <w:snapToGrid w:val="0"/>
        <w:spacing w:line="440" w:lineRule="exact"/>
        <w:rPr>
          <w:rFonts w:hint="eastAsia" w:ascii="宋体" w:hAnsi="宋体"/>
          <w:color w:val="000000"/>
          <w:sz w:val="24"/>
        </w:rPr>
      </w:pPr>
      <w:r>
        <w:rPr>
          <w:rFonts w:hint="eastAsia" w:ascii="宋体" w:hAnsi="宋体"/>
          <w:color w:val="000000"/>
          <w:sz w:val="24"/>
        </w:rPr>
        <w:t>6.1、供应商应仔细阅读采购文件的所有内容，按照采购文件的要求提交响应文件，并对所提供的全部资料的真实性承担法律责任。</w:t>
      </w:r>
    </w:p>
    <w:p>
      <w:pPr>
        <w:adjustRightInd w:val="0"/>
        <w:snapToGrid w:val="0"/>
        <w:spacing w:line="440" w:lineRule="exact"/>
        <w:rPr>
          <w:rFonts w:hint="eastAsia" w:ascii="宋体" w:hAnsi="宋体"/>
          <w:color w:val="000000"/>
          <w:sz w:val="24"/>
        </w:rPr>
      </w:pPr>
      <w:r>
        <w:rPr>
          <w:rFonts w:hint="eastAsia" w:ascii="宋体" w:hAnsi="宋体"/>
          <w:color w:val="000000"/>
          <w:sz w:val="24"/>
        </w:rPr>
        <w:t>6.2、单位负责人为同一人或者存在直接控股、管理关系的不同供应商，不得参加同一合同项下的政府采购活动。</w:t>
      </w:r>
    </w:p>
    <w:p>
      <w:pPr>
        <w:adjustRightInd w:val="0"/>
        <w:snapToGrid w:val="0"/>
        <w:spacing w:line="440" w:lineRule="exact"/>
        <w:rPr>
          <w:rFonts w:hint="eastAsia" w:ascii="宋体" w:hAnsi="宋体"/>
          <w:color w:val="000000"/>
          <w:sz w:val="24"/>
        </w:rPr>
      </w:pPr>
      <w:r>
        <w:rPr>
          <w:rFonts w:hint="eastAsia" w:ascii="宋体" w:hAnsi="宋体"/>
          <w:color w:val="000000"/>
          <w:sz w:val="24"/>
        </w:rPr>
        <w:t>6.3、持“五证合一”新版营业执照的供应商不要求提供组织机构代码证、社保登记证、税务登记证；持“三证合一”新版营业执照的供应商不要求提供组织机构代码证、税务登记证；个体工商户不要求提供组织机构代码证，持“两证整合” 新版营业执照的个体工商户不要求提供税务登记证。</w:t>
      </w:r>
    </w:p>
    <w:p>
      <w:pPr>
        <w:adjustRightInd w:val="0"/>
        <w:snapToGrid w:val="0"/>
        <w:spacing w:line="440" w:lineRule="exact"/>
        <w:rPr>
          <w:rFonts w:hint="eastAsia" w:ascii="宋体" w:hAnsi="宋体"/>
          <w:color w:val="000000"/>
          <w:sz w:val="24"/>
        </w:rPr>
      </w:pPr>
      <w:r>
        <w:rPr>
          <w:rFonts w:hint="eastAsia" w:ascii="宋体" w:hAnsi="宋体"/>
          <w:color w:val="000000"/>
          <w:sz w:val="24"/>
        </w:rPr>
        <w:t>6.4、如多家供应商提供相同品牌相同型号的产品参加同一政府采购项目竞争的，应当按一家供应商认定。评审时，应取其中通过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adjustRightInd w:val="0"/>
        <w:snapToGrid w:val="0"/>
        <w:spacing w:line="440" w:lineRule="exact"/>
        <w:rPr>
          <w:rFonts w:hint="eastAsia" w:ascii="宋体" w:hAnsi="宋体"/>
          <w:color w:val="000000"/>
          <w:sz w:val="24"/>
        </w:rPr>
      </w:pPr>
      <w:r>
        <w:rPr>
          <w:rFonts w:hint="eastAsia" w:ascii="宋体" w:hAnsi="宋体"/>
          <w:color w:val="000000"/>
          <w:sz w:val="24"/>
        </w:rPr>
        <w:t>6.5、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olor w:val="000000"/>
          <w:sz w:val="24"/>
          <w:lang w:val="zh-CN"/>
        </w:rPr>
        <w:t>供应商</w:t>
      </w:r>
      <w:r>
        <w:rPr>
          <w:rFonts w:hint="eastAsia" w:ascii="宋体" w:hAnsi="宋体"/>
          <w:color w:val="000000"/>
          <w:sz w:val="24"/>
        </w:rPr>
        <w:t>应承担相应后果，</w:t>
      </w:r>
      <w:r>
        <w:rPr>
          <w:rFonts w:hint="eastAsia" w:ascii="宋体" w:hAnsi="宋体"/>
          <w:color w:val="000000"/>
          <w:sz w:val="24"/>
          <w:lang w:val="zh-CN"/>
        </w:rPr>
        <w:t>并负责赔偿。</w:t>
      </w:r>
      <w:r>
        <w:rPr>
          <w:rFonts w:hint="eastAsia" w:ascii="宋体" w:hAnsi="宋体"/>
          <w:color w:val="000000"/>
          <w:sz w:val="24"/>
        </w:rPr>
        <w:t>供应商为执行本项目合同而提供的技术资料等归采购人所有。</w:t>
      </w:r>
    </w:p>
    <w:p>
      <w:pPr>
        <w:adjustRightInd w:val="0"/>
        <w:snapToGrid w:val="0"/>
        <w:spacing w:line="440" w:lineRule="exact"/>
        <w:rPr>
          <w:rFonts w:hint="eastAsia" w:ascii="宋体" w:hAnsi="宋体"/>
          <w:color w:val="000000"/>
          <w:sz w:val="24"/>
        </w:rPr>
      </w:pPr>
      <w:r>
        <w:rPr>
          <w:rFonts w:hint="eastAsia" w:ascii="宋体" w:hAnsi="宋体"/>
          <w:color w:val="000000"/>
          <w:sz w:val="24"/>
        </w:rPr>
        <w:t>6.6、本采购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adjustRightInd w:val="0"/>
        <w:snapToGrid w:val="0"/>
        <w:spacing w:line="440" w:lineRule="exact"/>
        <w:rPr>
          <w:rFonts w:hint="eastAsia" w:ascii="宋体" w:hAnsi="宋体"/>
          <w:b/>
          <w:color w:val="000000"/>
          <w:sz w:val="24"/>
        </w:rPr>
      </w:pPr>
      <w:r>
        <w:rPr>
          <w:rFonts w:hint="eastAsia" w:ascii="宋体" w:hAnsi="宋体"/>
          <w:b/>
          <w:color w:val="000000"/>
          <w:sz w:val="24"/>
        </w:rPr>
        <w:t>7、采购文件的澄清与修改</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7.1、</w:t>
      </w:r>
      <w:r>
        <w:rPr>
          <w:rFonts w:hint="eastAsia" w:ascii="宋体" w:hAnsi="宋体"/>
          <w:bCs/>
          <w:color w:val="000000"/>
          <w:sz w:val="24"/>
        </w:rPr>
        <w:t>供应商应认真阅读本采购文件，发现其中有误或有不合理要求的，供应商必须以书面形式要求采购人、采购代理机构澄清</w:t>
      </w:r>
      <w:r>
        <w:rPr>
          <w:rFonts w:hint="eastAsia" w:ascii="宋体" w:hAnsi="宋体"/>
          <w:color w:val="000000"/>
          <w:sz w:val="24"/>
        </w:rPr>
        <w:t>。采购人、采购代理机构对已发出的采购文件进行必要澄清、答复、修改或补充的，应当在采购信息发布媒体上发布更正公告，并以书面形式通知所有报名的供应商。</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7.2、采购代理机构必须以书面形式答复供应商要求澄清的问题，并将不包含问题来源的答复书面通知所有前来报名的供应商。</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7.3、采购文件澄清、答复、修改、补充的内容为采购文件的组成部分。当采购文件与采购文件的答复、澄清、修改、补充通知就同一内容的表述不一致时，以最后发出的书面文件为准。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7.4、采购文件的澄清、答复、修改或补充都应该通过本代理机构以法定形式发布，采购人非通过本机构，不得擅自澄清、答复、修改或补充采购文件。</w:t>
      </w:r>
    </w:p>
    <w:p>
      <w:pPr>
        <w:spacing w:line="440" w:lineRule="exact"/>
        <w:rPr>
          <w:rFonts w:hint="eastAsia" w:ascii="宋体" w:hAnsi="宋体"/>
          <w:b/>
          <w:color w:val="000000"/>
          <w:sz w:val="24"/>
        </w:rPr>
      </w:pPr>
      <w:r>
        <w:rPr>
          <w:rFonts w:hint="eastAsia" w:ascii="宋体" w:hAnsi="宋体"/>
          <w:b/>
          <w:color w:val="000000"/>
          <w:sz w:val="24"/>
        </w:rPr>
        <w:t>8、响应文件的语言及计量</w:t>
      </w:r>
    </w:p>
    <w:p>
      <w:pPr>
        <w:spacing w:line="440" w:lineRule="exact"/>
        <w:ind w:firstLine="480" w:firstLineChars="200"/>
        <w:rPr>
          <w:rFonts w:hint="eastAsia" w:ascii="宋体" w:hAnsi="宋体"/>
          <w:color w:val="000000"/>
          <w:sz w:val="24"/>
        </w:rPr>
      </w:pPr>
      <w:r>
        <w:rPr>
          <w:rFonts w:hint="eastAsia" w:ascii="宋体" w:hAnsi="宋体"/>
          <w:color w:val="000000"/>
          <w:sz w:val="24"/>
        </w:rPr>
        <w:t>8.1、响应文件以及供应商与采购人、采购代理机构就有关采购事宜的所有来往函电，均应以中文汉语书写。除签名、盖章、专用名称等特殊情形外，以中文汉语以外的文字表述的响应文件视同未提供。</w:t>
      </w:r>
    </w:p>
    <w:p>
      <w:pPr>
        <w:spacing w:line="440" w:lineRule="exact"/>
        <w:ind w:firstLine="480" w:firstLineChars="200"/>
        <w:rPr>
          <w:rFonts w:hint="eastAsia" w:ascii="宋体" w:hAnsi="宋体"/>
          <w:color w:val="000000"/>
          <w:sz w:val="24"/>
        </w:rPr>
      </w:pPr>
      <w:r>
        <w:rPr>
          <w:rFonts w:hint="eastAsia" w:ascii="宋体" w:hAnsi="宋体"/>
          <w:color w:val="000000"/>
          <w:sz w:val="24"/>
        </w:rPr>
        <w:t>8.2、响应文件中如附有外文资料，必须逐一对应翻译成中文并加盖谈判响应方公章后附在相关外文资料后面，否则外文资料不予认可。翻译的中文资料与外文资料不符的，均不予认可。翻译严重错误的，将视同提供虚假资料。</w:t>
      </w:r>
    </w:p>
    <w:p>
      <w:pPr>
        <w:spacing w:line="440" w:lineRule="exact"/>
        <w:ind w:firstLine="360" w:firstLineChars="150"/>
        <w:rPr>
          <w:rFonts w:hint="eastAsia" w:ascii="宋体" w:hAnsi="宋体"/>
          <w:color w:val="000000"/>
          <w:sz w:val="24"/>
        </w:rPr>
      </w:pPr>
      <w:r>
        <w:rPr>
          <w:rFonts w:hint="eastAsia" w:ascii="宋体" w:hAnsi="宋体"/>
          <w:color w:val="000000"/>
          <w:sz w:val="24"/>
        </w:rPr>
        <w:t>8.3、计量单位，采购文件已有明确规定的，使用采购文件规定的计量单位；采购文件没有规定的，应采用中华人民共和国法定计量单位（货币单位：人民币元），否则视同未响应。</w:t>
      </w:r>
    </w:p>
    <w:p>
      <w:pPr>
        <w:pStyle w:val="12"/>
        <w:spacing w:line="440" w:lineRule="exact"/>
        <w:ind w:firstLine="360" w:firstLineChars="150"/>
        <w:rPr>
          <w:rFonts w:hint="eastAsia" w:hAnsi="宋体"/>
          <w:color w:val="000000"/>
          <w:sz w:val="24"/>
          <w:szCs w:val="24"/>
        </w:rPr>
      </w:pPr>
      <w:r>
        <w:rPr>
          <w:rFonts w:hint="eastAsia" w:hAnsi="宋体"/>
          <w:color w:val="000000"/>
          <w:sz w:val="24"/>
        </w:rPr>
        <w:t>8.</w:t>
      </w:r>
      <w:r>
        <w:rPr>
          <w:rFonts w:hint="eastAsia" w:hAnsi="宋体"/>
          <w:color w:val="000000"/>
          <w:sz w:val="24"/>
          <w:szCs w:val="24"/>
        </w:rPr>
        <w:t>4、响应文件中优惠条件事项不能包括采购项目本身所包括涉及的采购事项。谈判响应方不能以“赠送、赠予”等任何名义提供货物和服务以规避采购文件的约束。</w:t>
      </w:r>
    </w:p>
    <w:p>
      <w:pPr>
        <w:adjustRightInd w:val="0"/>
        <w:snapToGrid w:val="0"/>
        <w:spacing w:line="440" w:lineRule="exact"/>
        <w:rPr>
          <w:rFonts w:hint="eastAsia" w:ascii="宋体" w:hAnsi="宋体"/>
          <w:b/>
          <w:color w:val="000000"/>
          <w:sz w:val="24"/>
          <w:szCs w:val="24"/>
        </w:rPr>
      </w:pPr>
      <w:r>
        <w:rPr>
          <w:rFonts w:hint="eastAsia" w:ascii="宋体" w:hAnsi="宋体"/>
          <w:b/>
          <w:color w:val="000000"/>
          <w:sz w:val="24"/>
          <w:szCs w:val="24"/>
        </w:rPr>
        <w:t>9、响应文件组成详见“第二节 供应商须知之专用条款”中相关条款。</w:t>
      </w:r>
    </w:p>
    <w:p>
      <w:pPr>
        <w:pStyle w:val="36"/>
        <w:spacing w:before="0" w:line="440" w:lineRule="exact"/>
        <w:ind w:firstLine="0" w:firstLineChars="0"/>
        <w:rPr>
          <w:rFonts w:hint="eastAsia" w:ascii="宋体" w:hAnsi="宋体"/>
          <w:b/>
          <w:color w:val="000000"/>
          <w:szCs w:val="24"/>
        </w:rPr>
      </w:pPr>
      <w:r>
        <w:rPr>
          <w:rFonts w:hint="eastAsia" w:ascii="宋体" w:hAnsi="宋体"/>
          <w:b/>
          <w:color w:val="000000"/>
          <w:szCs w:val="24"/>
        </w:rPr>
        <w:t>10、 响应有效期</w:t>
      </w:r>
    </w:p>
    <w:p>
      <w:pPr>
        <w:pStyle w:val="36"/>
        <w:spacing w:before="0" w:line="440" w:lineRule="exact"/>
        <w:ind w:firstLine="480"/>
        <w:rPr>
          <w:rFonts w:hint="eastAsia" w:ascii="宋体" w:hAnsi="宋体"/>
          <w:color w:val="000000"/>
        </w:rPr>
      </w:pPr>
      <w:r>
        <w:rPr>
          <w:rFonts w:hint="eastAsia" w:ascii="宋体" w:hAnsi="宋体"/>
          <w:color w:val="000000"/>
        </w:rPr>
        <w:t>10.1、响应文件递交后60天内有效。</w:t>
      </w:r>
    </w:p>
    <w:p>
      <w:pPr>
        <w:pStyle w:val="36"/>
        <w:spacing w:before="0" w:line="440" w:lineRule="exact"/>
        <w:ind w:firstLine="480"/>
        <w:rPr>
          <w:rFonts w:hint="eastAsia" w:ascii="宋体" w:hAnsi="宋体"/>
          <w:color w:val="000000"/>
        </w:rPr>
      </w:pPr>
      <w:r>
        <w:rPr>
          <w:rFonts w:hint="eastAsia" w:ascii="宋体" w:hAnsi="宋体"/>
          <w:color w:val="000000"/>
        </w:rPr>
        <w:t>10.2、在原定响应有效期之前，如果出现特殊情况，采购代理机构可以以书面形式通知供应商延长响应有效期。</w:t>
      </w:r>
    </w:p>
    <w:p>
      <w:pPr>
        <w:pStyle w:val="36"/>
        <w:spacing w:before="0" w:line="440" w:lineRule="exact"/>
        <w:ind w:firstLine="0" w:firstLineChars="0"/>
        <w:rPr>
          <w:rFonts w:hint="eastAsia" w:ascii="宋体" w:hAnsi="宋体"/>
          <w:b/>
          <w:color w:val="000000"/>
        </w:rPr>
      </w:pPr>
      <w:r>
        <w:rPr>
          <w:rFonts w:hint="eastAsia" w:ascii="宋体" w:hAnsi="宋体"/>
          <w:b/>
          <w:color w:val="000000"/>
        </w:rPr>
        <w:t>11、 保证金</w:t>
      </w:r>
    </w:p>
    <w:p>
      <w:pPr>
        <w:pStyle w:val="36"/>
        <w:spacing w:before="0" w:line="440" w:lineRule="exact"/>
        <w:ind w:firstLine="482"/>
        <w:rPr>
          <w:rFonts w:hint="eastAsia" w:ascii="宋体" w:hAnsi="宋体"/>
          <w:b/>
          <w:color w:val="000000"/>
        </w:rPr>
      </w:pPr>
      <w:r>
        <w:rPr>
          <w:rFonts w:hint="eastAsia" w:ascii="宋体" w:hAnsi="宋体"/>
          <w:b/>
          <w:color w:val="000000"/>
        </w:rPr>
        <w:t>无须提交保证金。</w:t>
      </w:r>
    </w:p>
    <w:p>
      <w:pPr>
        <w:pStyle w:val="36"/>
        <w:spacing w:before="0" w:line="440" w:lineRule="exact"/>
        <w:ind w:firstLine="0" w:firstLineChars="0"/>
        <w:rPr>
          <w:rFonts w:hint="eastAsia" w:ascii="宋体" w:hAnsi="宋体"/>
          <w:b/>
          <w:color w:val="000000"/>
        </w:rPr>
      </w:pPr>
      <w:r>
        <w:rPr>
          <w:rFonts w:hint="eastAsia" w:ascii="宋体" w:hAnsi="宋体"/>
          <w:b/>
          <w:color w:val="000000"/>
        </w:rPr>
        <w:t>12、 响应文件的编制</w:t>
      </w:r>
    </w:p>
    <w:p>
      <w:pPr>
        <w:spacing w:line="360" w:lineRule="auto"/>
        <w:ind w:firstLine="482" w:firstLineChars="200"/>
        <w:rPr>
          <w:rFonts w:hint="eastAsia" w:ascii="宋体" w:hAnsi="宋体" w:cs="Arial"/>
          <w:b/>
          <w:color w:val="000000"/>
          <w:sz w:val="24"/>
        </w:rPr>
      </w:pPr>
      <w:r>
        <w:rPr>
          <w:rFonts w:hint="eastAsia" w:ascii="宋体" w:hAnsi="宋体" w:cs="Arial"/>
          <w:b/>
          <w:color w:val="000000"/>
          <w:kern w:val="0"/>
          <w:sz w:val="24"/>
        </w:rPr>
        <w:t>12.1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hint="eastAsia" w:ascii="宋体" w:hAnsi="宋体" w:cs="Arial"/>
          <w:b/>
          <w:color w:val="000000"/>
          <w:kern w:val="0"/>
          <w:sz w:val="24"/>
        </w:rPr>
        <w:t>12.2投标供应商应当按照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w:t>
      </w:r>
    </w:p>
    <w:p>
      <w:pPr>
        <w:spacing w:line="360" w:lineRule="auto"/>
        <w:ind w:firstLine="422" w:firstLineChars="175"/>
        <w:rPr>
          <w:rFonts w:hint="eastAsia" w:ascii="宋体" w:hAnsi="宋体"/>
          <w:b/>
          <w:color w:val="000000"/>
          <w:sz w:val="24"/>
        </w:rPr>
      </w:pPr>
      <w:r>
        <w:rPr>
          <w:rFonts w:hint="eastAsia" w:ascii="宋体" w:hAnsi="宋体"/>
          <w:b/>
          <w:color w:val="000000"/>
          <w:sz w:val="24"/>
        </w:rPr>
        <w:t>12.3本文件《第五部分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hint="eastAsia" w:ascii="宋体" w:hAnsi="宋体" w:cs="Arial"/>
          <w:color w:val="000000"/>
          <w:kern w:val="0"/>
          <w:sz w:val="24"/>
        </w:rPr>
        <w:t>12.</w:t>
      </w:r>
      <w:r>
        <w:rPr>
          <w:rFonts w:ascii="宋体" w:hAnsi="宋体" w:cs="Arial"/>
          <w:color w:val="000000"/>
          <w:kern w:val="0"/>
          <w:sz w:val="24"/>
        </w:rPr>
        <w:t>4《</w:t>
      </w:r>
      <w:r>
        <w:rPr>
          <w:rFonts w:hint="eastAsia" w:ascii="宋体" w:hAnsi="宋体" w:cs="Arial"/>
          <w:color w:val="000000"/>
          <w:kern w:val="0"/>
          <w:sz w:val="24"/>
        </w:rPr>
        <w:t>响应</w:t>
      </w:r>
      <w:r>
        <w:rPr>
          <w:rFonts w:ascii="宋体" w:hAnsi="宋体" w:cs="Arial"/>
          <w:color w:val="000000"/>
          <w:kern w:val="0"/>
          <w:sz w:val="24"/>
        </w:rPr>
        <w:t>文件》内容不完整、编排混乱导致《投标</w:t>
      </w:r>
      <w:r>
        <w:rPr>
          <w:rFonts w:hint="eastAsia" w:ascii="宋体" w:hAnsi="宋体" w:cs="Arial"/>
          <w:color w:val="000000"/>
          <w:kern w:val="0"/>
          <w:sz w:val="24"/>
        </w:rPr>
        <w:t>响应</w:t>
      </w:r>
      <w:r>
        <w:rPr>
          <w:rFonts w:ascii="宋体" w:hAnsi="宋体" w:cs="Arial"/>
          <w:color w:val="000000"/>
          <w:kern w:val="0"/>
          <w:sz w:val="24"/>
        </w:rPr>
        <w:t>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hint="eastAsia" w:ascii="宋体" w:hAnsi="宋体" w:cs="Arial"/>
          <w:color w:val="000000"/>
          <w:kern w:val="0"/>
          <w:sz w:val="24"/>
        </w:rPr>
        <w:t>12.</w:t>
      </w:r>
      <w:r>
        <w:rPr>
          <w:rFonts w:ascii="宋体" w:hAnsi="宋体" w:cs="Arial"/>
          <w:color w:val="000000"/>
          <w:kern w:val="0"/>
          <w:sz w:val="24"/>
        </w:rPr>
        <w:t>5</w:t>
      </w:r>
      <w:r>
        <w:rPr>
          <w:rFonts w:hint="eastAsia" w:ascii="宋体" w:hAnsi="宋体" w:cs="Arial"/>
          <w:color w:val="000000"/>
          <w:kern w:val="0"/>
          <w:sz w:val="24"/>
        </w:rPr>
        <w:t>《响应</w:t>
      </w:r>
      <w:r>
        <w:rPr>
          <w:rFonts w:ascii="宋体" w:hAnsi="宋体" w:cs="Arial"/>
          <w:color w:val="000000"/>
          <w:kern w:val="0"/>
          <w:sz w:val="24"/>
        </w:rPr>
        <w:t>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hint="eastAsia" w:ascii="宋体" w:hAnsi="宋体" w:cs="Arial"/>
          <w:color w:val="000000"/>
          <w:kern w:val="0"/>
          <w:sz w:val="24"/>
        </w:rPr>
        <w:t>12.</w:t>
      </w:r>
      <w:r>
        <w:rPr>
          <w:rFonts w:ascii="宋体" w:hAnsi="宋体" w:cs="Arial"/>
          <w:color w:val="000000"/>
          <w:kern w:val="0"/>
          <w:sz w:val="24"/>
        </w:rPr>
        <w:t>6投标供应商没有按照本</w:t>
      </w:r>
      <w:r>
        <w:rPr>
          <w:rFonts w:hint="eastAsia" w:ascii="宋体" w:hAnsi="宋体" w:cs="Arial"/>
          <w:color w:val="000000"/>
          <w:kern w:val="0"/>
          <w:sz w:val="24"/>
        </w:rPr>
        <w:t>章节 “投标响应文件组成”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36"/>
        <w:spacing w:before="0" w:line="440" w:lineRule="exact"/>
        <w:ind w:firstLine="0" w:firstLineChars="0"/>
        <w:rPr>
          <w:rFonts w:hint="eastAsia" w:ascii="宋体" w:hAnsi="宋体"/>
          <w:b/>
          <w:color w:val="000000"/>
        </w:rPr>
      </w:pPr>
      <w:r>
        <w:rPr>
          <w:rFonts w:hint="eastAsia" w:ascii="宋体" w:hAnsi="宋体"/>
          <w:b/>
          <w:color w:val="000000"/>
        </w:rPr>
        <w:t>13、响应文件的签署和份数</w:t>
      </w:r>
    </w:p>
    <w:p>
      <w:pPr>
        <w:pStyle w:val="5"/>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（一）响应文件的签章</w:t>
      </w:r>
    </w:p>
    <w:p>
      <w:pPr>
        <w:spacing w:line="360" w:lineRule="auto"/>
        <w:ind w:firstLine="463" w:firstLineChars="192"/>
        <w:rPr>
          <w:rFonts w:hint="eastAsia" w:ascii="宋体" w:hAnsi="宋体" w:cs="Arial"/>
          <w:b/>
          <w:color w:val="000000"/>
          <w:kern w:val="0"/>
          <w:sz w:val="24"/>
        </w:rPr>
      </w:pPr>
      <w:r>
        <w:rPr>
          <w:rFonts w:hint="eastAsia" w:ascii="宋体" w:hAnsi="宋体" w:cs="Arial"/>
          <w:b/>
          <w:color w:val="000000"/>
          <w:kern w:val="0"/>
          <w:sz w:val="24"/>
        </w:rPr>
        <w:t>13.1《响应</w:t>
      </w:r>
      <w:r>
        <w:rPr>
          <w:rFonts w:ascii="宋体" w:hAnsi="宋体" w:cs="Arial"/>
          <w:b/>
          <w:color w:val="000000"/>
          <w:kern w:val="0"/>
          <w:sz w:val="24"/>
        </w:rPr>
        <w:t>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hint="eastAsia" w:ascii="宋体" w:hAnsi="宋体" w:cs="Arial"/>
          <w:b/>
          <w:color w:val="000000"/>
          <w:kern w:val="0"/>
          <w:sz w:val="24"/>
        </w:rPr>
        <w:t>13.2《响应</w:t>
      </w:r>
      <w:r>
        <w:rPr>
          <w:rFonts w:ascii="宋体" w:hAnsi="宋体" w:cs="Arial"/>
          <w:b/>
          <w:color w:val="000000"/>
          <w:kern w:val="0"/>
          <w:sz w:val="24"/>
        </w:rPr>
        <w:t>文件</w:t>
      </w:r>
      <w:r>
        <w:rPr>
          <w:rFonts w:hint="eastAsia" w:ascii="宋体" w:hAnsi="宋体" w:cs="Arial"/>
          <w:b/>
          <w:color w:val="000000"/>
          <w:kern w:val="0"/>
          <w:sz w:val="24"/>
        </w:rPr>
        <w:t>》应由投标供应商法定代表人或其授权代表签字（或盖章），并加盖投标供应商公章。</w:t>
      </w:r>
    </w:p>
    <w:p>
      <w:pPr>
        <w:spacing w:line="360" w:lineRule="auto"/>
        <w:ind w:firstLine="424" w:firstLineChars="176"/>
        <w:rPr>
          <w:rFonts w:ascii="宋体" w:hAnsi="宋体" w:cs="Arial"/>
          <w:color w:val="000000"/>
          <w:sz w:val="24"/>
        </w:rPr>
      </w:pPr>
      <w:r>
        <w:rPr>
          <w:rFonts w:hint="eastAsia" w:ascii="宋体" w:hAnsi="宋体" w:cs="Arial"/>
          <w:b/>
          <w:color w:val="000000"/>
          <w:kern w:val="0"/>
          <w:sz w:val="24"/>
        </w:rPr>
        <w:t>13.</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5"/>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（二）响应</w:t>
      </w:r>
      <w:r>
        <w:rPr>
          <w:rFonts w:hint="eastAsia" w:ascii="宋体" w:hAnsi="宋体" w:eastAsia="宋体"/>
          <w:sz w:val="24"/>
          <w:szCs w:val="24"/>
        </w:rPr>
        <w:t>文件的形式</w:t>
      </w:r>
    </w:p>
    <w:p>
      <w:pPr>
        <w:spacing w:line="360" w:lineRule="auto"/>
        <w:ind w:firstLine="424" w:firstLineChars="176"/>
        <w:rPr>
          <w:rFonts w:hint="eastAsia" w:ascii="宋体" w:hAnsi="宋体" w:cs="Arial"/>
          <w:color w:val="000000"/>
          <w:sz w:val="24"/>
        </w:rPr>
      </w:pPr>
      <w:r>
        <w:rPr>
          <w:rFonts w:hint="eastAsia" w:ascii="宋体" w:hAnsi="宋体" w:cs="Arial"/>
          <w:b/>
          <w:color w:val="000000"/>
          <w:sz w:val="24"/>
        </w:rPr>
        <w:t>13.1响应文件的形式：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hint="eastAsia" w:ascii="宋体" w:hAnsi="宋体" w:cs="Arial"/>
          <w:b/>
          <w:color w:val="000000"/>
          <w:sz w:val="24"/>
        </w:rPr>
        <w:t>13.2“电子加密响应文件”：“电子加密投标响应文件”是指通过“政采云电子交易客户端”完成投标文件编制后生成并加密的数据电文形式的投标响应文件。</w:t>
      </w:r>
    </w:p>
    <w:p>
      <w:pPr>
        <w:spacing w:line="360" w:lineRule="auto"/>
        <w:ind w:firstLine="424" w:firstLineChars="176"/>
        <w:rPr>
          <w:rFonts w:hint="eastAsia" w:ascii="宋体" w:hAnsi="宋体" w:cs="Arial"/>
          <w:b/>
          <w:color w:val="000000"/>
          <w:sz w:val="24"/>
        </w:rPr>
      </w:pPr>
      <w:r>
        <w:rPr>
          <w:rFonts w:hint="eastAsia" w:ascii="宋体" w:hAnsi="宋体" w:cs="Arial"/>
          <w:b/>
          <w:color w:val="000000"/>
          <w:sz w:val="24"/>
        </w:rPr>
        <w:t>13.3“备份投标响应文件”：“备份投标响应文件”是指与“电子加密投标响应文件”同时生成的数据电文形式的电子文件（备份标书），其他方式编制的“备份投标响应文件”视为无效的“备份投标响应文件”。</w:t>
      </w:r>
    </w:p>
    <w:p>
      <w:pPr>
        <w:pStyle w:val="5"/>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sz w:val="24"/>
        </w:rPr>
        <w:t>13.1投标文件的份数：</w:t>
      </w:r>
      <w:r>
        <w:rPr>
          <w:rFonts w:hint="eastAsia" w:ascii="宋体" w:hAnsi="宋体"/>
          <w:b/>
          <w:color w:val="000000"/>
          <w:sz w:val="24"/>
        </w:rPr>
        <w:t>见《前附表》</w:t>
      </w:r>
      <w:r>
        <w:rPr>
          <w:rFonts w:hint="eastAsia" w:ascii="宋体" w:hAnsi="宋体" w:cs="Arial"/>
          <w:b/>
          <w:color w:val="000000"/>
          <w:sz w:val="24"/>
        </w:rPr>
        <w:t>。</w:t>
      </w:r>
    </w:p>
    <w:p>
      <w:pPr>
        <w:pStyle w:val="36"/>
        <w:spacing w:before="0" w:line="440" w:lineRule="exact"/>
        <w:ind w:firstLine="0" w:firstLineChars="0"/>
        <w:rPr>
          <w:rFonts w:hint="eastAsia" w:ascii="宋体" w:hAnsi="宋体"/>
          <w:b/>
          <w:color w:val="000000"/>
        </w:rPr>
      </w:pPr>
      <w:r>
        <w:rPr>
          <w:rFonts w:hint="eastAsia" w:ascii="宋体" w:hAnsi="宋体"/>
          <w:b/>
          <w:color w:val="000000"/>
        </w:rPr>
        <w:t>14、响应文件的递交</w:t>
      </w:r>
    </w:p>
    <w:p>
      <w:pPr>
        <w:adjustRightInd w:val="0"/>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详见招标公告。</w:t>
      </w:r>
    </w:p>
    <w:p>
      <w:pPr>
        <w:adjustRightInd w:val="0"/>
        <w:snapToGrid w:val="0"/>
        <w:spacing w:line="440" w:lineRule="exact"/>
        <w:rPr>
          <w:rFonts w:hint="eastAsia" w:ascii="宋体" w:hAnsi="宋体"/>
          <w:color w:val="000000"/>
          <w:sz w:val="24"/>
          <w:szCs w:val="24"/>
        </w:rPr>
      </w:pPr>
      <w:r>
        <w:rPr>
          <w:rFonts w:hint="eastAsia" w:ascii="宋体" w:hAnsi="宋体"/>
          <w:b/>
          <w:color w:val="000000"/>
          <w:sz w:val="24"/>
          <w:szCs w:val="24"/>
        </w:rPr>
        <w:t>15、递交响应文件的截止时间</w:t>
      </w:r>
    </w:p>
    <w:p>
      <w:pPr>
        <w:adjustRightInd w:val="0"/>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详见招标公告。</w:t>
      </w:r>
    </w:p>
    <w:p>
      <w:pPr>
        <w:adjustRightInd w:val="0"/>
        <w:snapToGrid w:val="0"/>
        <w:spacing w:line="440" w:lineRule="exact"/>
        <w:rPr>
          <w:rFonts w:hint="eastAsia" w:ascii="宋体" w:hAnsi="宋体"/>
          <w:b/>
          <w:color w:val="000000"/>
          <w:sz w:val="24"/>
          <w:szCs w:val="24"/>
        </w:rPr>
      </w:pPr>
      <w:r>
        <w:rPr>
          <w:rFonts w:hint="eastAsia" w:ascii="宋体" w:hAnsi="宋体"/>
          <w:b/>
          <w:color w:val="000000"/>
          <w:sz w:val="24"/>
          <w:szCs w:val="24"/>
        </w:rPr>
        <w:t>16、响应文件的修改和撤回</w:t>
      </w:r>
    </w:p>
    <w:p>
      <w:pPr>
        <w:spacing w:line="360" w:lineRule="auto"/>
        <w:ind w:firstLine="426" w:firstLineChars="177"/>
        <w:rPr>
          <w:rFonts w:hint="eastAsia" w:ascii="宋体" w:hAnsi="宋体" w:cs="Arial"/>
          <w:color w:val="000000"/>
          <w:kern w:val="0"/>
          <w:sz w:val="24"/>
        </w:rPr>
      </w:pPr>
      <w:r>
        <w:rPr>
          <w:rFonts w:hint="eastAsia" w:ascii="宋体" w:hAnsi="宋体" w:cs="Arial"/>
          <w:b/>
          <w:color w:val="000000"/>
          <w:kern w:val="0"/>
          <w:sz w:val="24"/>
        </w:rPr>
        <w:t>16.1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16.2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spacing w:line="360" w:lineRule="auto"/>
        <w:ind w:firstLine="424" w:firstLineChars="177"/>
        <w:rPr>
          <w:rFonts w:hint="eastAsia" w:ascii="宋体" w:hAnsi="宋体" w:cs="Arial"/>
          <w:color w:val="000000"/>
          <w:kern w:val="0"/>
          <w:sz w:val="24"/>
        </w:rPr>
      </w:pPr>
      <w:r>
        <w:rPr>
          <w:rFonts w:hint="eastAsia" w:ascii="宋体" w:hAnsi="宋体" w:cs="Arial"/>
          <w:color w:val="000000"/>
          <w:kern w:val="0"/>
          <w:sz w:val="24"/>
        </w:rPr>
        <w:t>对于投标响应文件中含义不明确、同类问题表述不一致或者有明显文字和计算错误的内容，评标委员会将以书面形式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在规定的时间内作出必要的澄清、说明或者补正，投标响应供应商澄清、说明或补正时间为30分钟。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adjustRightInd w:val="0"/>
        <w:snapToGrid w:val="0"/>
        <w:spacing w:line="440" w:lineRule="exact"/>
        <w:rPr>
          <w:rFonts w:hint="eastAsia" w:ascii="宋体" w:hAnsi="宋体"/>
          <w:b/>
          <w:color w:val="000000"/>
          <w:sz w:val="24"/>
        </w:rPr>
      </w:pPr>
      <w:r>
        <w:rPr>
          <w:rFonts w:hint="eastAsia" w:ascii="宋体" w:hAnsi="宋体"/>
          <w:b/>
          <w:color w:val="000000"/>
          <w:sz w:val="24"/>
        </w:rPr>
        <w:t>17、无效情形</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17.1、被拒绝的响应文件；</w:t>
      </w:r>
    </w:p>
    <w:p>
      <w:pPr>
        <w:pStyle w:val="36"/>
        <w:spacing w:before="0" w:line="440" w:lineRule="exact"/>
        <w:ind w:firstLine="480"/>
        <w:rPr>
          <w:rFonts w:hint="eastAsia" w:ascii="宋体" w:hAnsi="宋体"/>
          <w:color w:val="000000"/>
          <w:szCs w:val="24"/>
        </w:rPr>
      </w:pPr>
      <w:r>
        <w:rPr>
          <w:rFonts w:hint="eastAsia" w:ascii="宋体" w:hAnsi="宋体"/>
          <w:color w:val="000000"/>
          <w:szCs w:val="24"/>
        </w:rPr>
        <w:t>17.2 、资格证明文件不全，或者不符合采购文件标明的资格要求（参见采购公告之“五、供应商资格要求” ）；</w:t>
      </w:r>
    </w:p>
    <w:p>
      <w:pPr>
        <w:adjustRightInd w:val="0"/>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17.3、信用审查不通过的；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17.4、响应文件封面、初次报价表、谈判响应函、授权委托书，任意一项未加盖单位公章；</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17.5、初次报价表、谈判响应函无法定代表人（或授权代表）签字；</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 xml:space="preserve">17.6、授权代表与响应文件中授权委托书所载内容有异； </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17.7、 提供虚假证明材料；</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17.8、响应文件不响应采购需求的实质性内容，谈判小组不能确认为有效；</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17.9、响应文件中对于采购需求中的实质性内容的响应表述不清，谈判小组不能确认为有效；</w:t>
      </w:r>
    </w:p>
    <w:p>
      <w:pPr>
        <w:adjustRightInd w:val="0"/>
        <w:snapToGrid w:val="0"/>
        <w:spacing w:line="500" w:lineRule="exact"/>
        <w:ind w:firstLine="480" w:firstLineChars="200"/>
        <w:rPr>
          <w:rFonts w:ascii="宋体" w:hAnsi="宋体"/>
          <w:color w:val="000000"/>
          <w:sz w:val="24"/>
        </w:rPr>
      </w:pPr>
      <w:r>
        <w:rPr>
          <w:rFonts w:hint="eastAsia" w:ascii="宋体" w:hAnsi="宋体"/>
          <w:color w:val="000000"/>
          <w:sz w:val="24"/>
        </w:rPr>
        <w:t>17.10、响应文件组成中带“▲”资料提供不全的；</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17.11、响应文件份数不符合要求；</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17.12、技术方案不明确或存在备选（替代）响应方案；</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17.13、未按照采购文件标明的币种报价；</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17.14、最终报价超出最高限价，或者超出采购预算金额，采购人不能支付；</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17.15、报价具有选择性；</w:t>
      </w:r>
    </w:p>
    <w:p>
      <w:pPr>
        <w:adjustRightInd w:val="0"/>
        <w:snapToGrid w:val="0"/>
        <w:spacing w:line="500" w:lineRule="exact"/>
        <w:ind w:firstLine="480" w:firstLineChars="200"/>
        <w:rPr>
          <w:rFonts w:hint="eastAsia" w:ascii="宋体" w:hAnsi="宋体" w:cs="宋体"/>
          <w:color w:val="000000"/>
          <w:sz w:val="24"/>
        </w:rPr>
      </w:pPr>
      <w:r>
        <w:rPr>
          <w:rFonts w:hint="eastAsia" w:ascii="宋体" w:hAnsi="宋体"/>
          <w:color w:val="000000"/>
          <w:sz w:val="24"/>
        </w:rPr>
        <w:t>17.16、</w:t>
      </w:r>
      <w:r>
        <w:rPr>
          <w:rFonts w:hint="eastAsia" w:ascii="宋体" w:hAnsi="宋体" w:cs="宋体"/>
          <w:color w:val="000000"/>
          <w:sz w:val="24"/>
        </w:rPr>
        <w:t>供应商串通投标的；</w:t>
      </w:r>
    </w:p>
    <w:p>
      <w:pPr>
        <w:adjustRightInd w:val="0"/>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17.17、本项目如需采购节能清单中的政府强制采购的节能产品的，所投产品不在节能产品政府采购清单中的；</w:t>
      </w:r>
    </w:p>
    <w:p>
      <w:pPr>
        <w:adjustRightInd w:val="0"/>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17.18、响应文件中承诺的响应有效期少于采购文件中载明的响应有效期的；</w:t>
      </w:r>
    </w:p>
    <w:p>
      <w:pPr>
        <w:adjustRightInd w:val="0"/>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17.19、响应文件含有采购人不能接受的附加条件的;</w:t>
      </w:r>
    </w:p>
    <w:p>
      <w:pPr>
        <w:adjustRightInd w:val="0"/>
        <w:snapToGrid w:val="0"/>
        <w:spacing w:line="500" w:lineRule="exact"/>
        <w:ind w:firstLine="480" w:firstLineChars="200"/>
        <w:rPr>
          <w:rFonts w:hint="eastAsia" w:ascii="宋体" w:hAnsi="宋体"/>
          <w:color w:val="000000"/>
          <w:sz w:val="24"/>
        </w:rPr>
      </w:pPr>
      <w:r>
        <w:rPr>
          <w:rFonts w:hint="eastAsia" w:ascii="宋体" w:hAnsi="宋体"/>
          <w:color w:val="000000"/>
          <w:sz w:val="24"/>
        </w:rPr>
        <w:t>17.20、不符合法律、法规等相关规定或响应文件有采购人、采购代理机构不能接受的附加条件；</w:t>
      </w:r>
    </w:p>
    <w:p>
      <w:pPr>
        <w:adjustRightInd w:val="0"/>
        <w:snapToGrid w:val="0"/>
        <w:spacing w:line="500" w:lineRule="exact"/>
        <w:ind w:firstLine="480" w:firstLineChars="200"/>
        <w:rPr>
          <w:rFonts w:hint="eastAsia" w:ascii="宋体" w:hAnsi="宋体"/>
          <w:color w:val="000000"/>
          <w:sz w:val="24"/>
        </w:rPr>
      </w:pPr>
      <w:r>
        <w:rPr>
          <w:rFonts w:hint="eastAsia" w:ascii="宋体" w:hAnsi="宋体"/>
          <w:bCs/>
          <w:color w:val="000000"/>
          <w:sz w:val="24"/>
        </w:rPr>
        <w:t>17.21、根据采购文件要求</w:t>
      </w:r>
      <w:r>
        <w:rPr>
          <w:rFonts w:hint="eastAsia" w:hAnsi="宋体" w:cs="宋体"/>
          <w:bCs/>
          <w:color w:val="000000"/>
          <w:sz w:val="24"/>
          <w:szCs w:val="24"/>
        </w:rPr>
        <w:t>、相关法律法规等</w:t>
      </w:r>
      <w:r>
        <w:rPr>
          <w:rFonts w:hint="eastAsia" w:ascii="宋体" w:hAnsi="宋体" w:cs="宋体"/>
          <w:bCs/>
          <w:color w:val="000000"/>
          <w:sz w:val="24"/>
          <w:szCs w:val="24"/>
        </w:rPr>
        <w:t>要求</w:t>
      </w:r>
      <w:r>
        <w:rPr>
          <w:rFonts w:hint="eastAsia" w:ascii="宋体" w:hAnsi="宋体"/>
          <w:bCs/>
          <w:color w:val="000000"/>
          <w:sz w:val="24"/>
        </w:rPr>
        <w:t xml:space="preserve">，谈判小组认为应当作无效处理的其他情况。    </w:t>
      </w:r>
      <w:r>
        <w:rPr>
          <w:rFonts w:hint="eastAsia" w:ascii="宋体" w:hAnsi="宋体"/>
          <w:color w:val="000000"/>
          <w:sz w:val="24"/>
        </w:rPr>
        <w:t xml:space="preserve">                                                                                               </w:t>
      </w:r>
    </w:p>
    <w:p>
      <w:pPr>
        <w:pStyle w:val="10"/>
        <w:spacing w:line="440" w:lineRule="exact"/>
        <w:ind w:firstLine="0"/>
        <w:rPr>
          <w:rFonts w:hint="eastAsia" w:ascii="宋体" w:hAnsi="宋体"/>
          <w:b/>
          <w:color w:val="000000"/>
          <w:sz w:val="24"/>
        </w:rPr>
      </w:pPr>
      <w:r>
        <w:rPr>
          <w:rFonts w:hint="eastAsia" w:ascii="宋体" w:hAnsi="宋体"/>
          <w:b/>
          <w:color w:val="000000"/>
          <w:sz w:val="24"/>
        </w:rPr>
        <w:t>18、废标</w:t>
      </w:r>
    </w:p>
    <w:p>
      <w:pPr>
        <w:widowControl/>
        <w:spacing w:line="380" w:lineRule="atLeast"/>
        <w:jc w:val="left"/>
        <w:rPr>
          <w:rFonts w:ascii="Arial" w:hAnsi="Arial" w:cs="Arial"/>
          <w:color w:val="000000"/>
          <w:kern w:val="0"/>
          <w:sz w:val="24"/>
        </w:rPr>
      </w:pPr>
      <w:r>
        <w:rPr>
          <w:rFonts w:hint="eastAsia" w:ascii="宋体" w:hAnsi="宋体" w:cs="仿宋_GB2312"/>
          <w:color w:val="000000"/>
          <w:kern w:val="0"/>
          <w:sz w:val="24"/>
        </w:rPr>
        <w:t xml:space="preserve">     根据《中华人民共和国政府采购法》</w:t>
      </w:r>
      <w:r>
        <w:rPr>
          <w:rFonts w:ascii="Arial" w:hAnsi="Arial" w:cs="Arial"/>
          <w:color w:val="000000"/>
          <w:kern w:val="0"/>
          <w:sz w:val="24"/>
        </w:rPr>
        <w:t>第三十六条</w:t>
      </w:r>
      <w:r>
        <w:rPr>
          <w:rFonts w:hint="eastAsia" w:ascii="Arial" w:hAnsi="Arial" w:cs="Arial"/>
          <w:color w:val="000000"/>
          <w:kern w:val="0"/>
          <w:sz w:val="24"/>
        </w:rPr>
        <w:t>规定，</w:t>
      </w:r>
      <w:r>
        <w:rPr>
          <w:rFonts w:ascii="Arial" w:hAnsi="Arial" w:cs="Arial"/>
          <w:color w:val="000000"/>
          <w:kern w:val="0"/>
          <w:sz w:val="24"/>
        </w:rPr>
        <w:t xml:space="preserve"> 在招标采购中，出现下列情形之一的，应予废标：</w:t>
      </w:r>
    </w:p>
    <w:p>
      <w:pPr>
        <w:widowControl/>
        <w:spacing w:line="380" w:lineRule="atLeast"/>
        <w:jc w:val="left"/>
        <w:rPr>
          <w:rFonts w:ascii="Arial" w:hAnsi="Arial" w:cs="Arial"/>
          <w:color w:val="000000"/>
          <w:kern w:val="0"/>
          <w:sz w:val="24"/>
        </w:rPr>
      </w:pPr>
      <w:r>
        <w:rPr>
          <w:rFonts w:ascii="Arial" w:hAnsi="Arial" w:cs="Arial"/>
          <w:color w:val="000000"/>
          <w:kern w:val="0"/>
          <w:sz w:val="24"/>
        </w:rPr>
        <w:t>　　（一）符合专业条件的供应商或者对招标文件作实质响应的供应商不足三家的；</w:t>
      </w:r>
    </w:p>
    <w:p>
      <w:pPr>
        <w:widowControl/>
        <w:spacing w:line="380" w:lineRule="atLeast"/>
        <w:jc w:val="left"/>
        <w:rPr>
          <w:rFonts w:ascii="Arial" w:hAnsi="Arial" w:cs="Arial"/>
          <w:color w:val="000000"/>
          <w:kern w:val="0"/>
          <w:sz w:val="24"/>
        </w:rPr>
      </w:pPr>
      <w:r>
        <w:rPr>
          <w:rFonts w:ascii="Arial" w:hAnsi="Arial" w:cs="Arial"/>
          <w:color w:val="000000"/>
          <w:kern w:val="0"/>
          <w:sz w:val="24"/>
        </w:rPr>
        <w:t>　　（二）出现影响采购公正的违法、违规行为的；</w:t>
      </w:r>
    </w:p>
    <w:p>
      <w:pPr>
        <w:widowControl/>
        <w:spacing w:line="380" w:lineRule="atLeast"/>
        <w:jc w:val="left"/>
        <w:rPr>
          <w:rFonts w:ascii="Arial" w:hAnsi="Arial" w:cs="Arial"/>
          <w:color w:val="000000"/>
          <w:kern w:val="0"/>
          <w:sz w:val="24"/>
        </w:rPr>
      </w:pPr>
      <w:r>
        <w:rPr>
          <w:rFonts w:ascii="Arial" w:hAnsi="Arial" w:cs="Arial"/>
          <w:color w:val="000000"/>
          <w:kern w:val="0"/>
          <w:sz w:val="24"/>
        </w:rPr>
        <w:t>　　（三）投标人的报价均超过了采购预算，采购人不能支付的；</w:t>
      </w:r>
    </w:p>
    <w:p>
      <w:pPr>
        <w:widowControl/>
        <w:spacing w:line="380" w:lineRule="atLeast"/>
        <w:jc w:val="left"/>
        <w:rPr>
          <w:rFonts w:ascii="Arial" w:hAnsi="Arial" w:cs="Arial"/>
          <w:color w:val="000000"/>
          <w:kern w:val="0"/>
          <w:sz w:val="24"/>
        </w:rPr>
      </w:pPr>
      <w:r>
        <w:rPr>
          <w:rFonts w:ascii="Arial" w:hAnsi="Arial" w:cs="Arial"/>
          <w:color w:val="000000"/>
          <w:kern w:val="0"/>
          <w:sz w:val="24"/>
        </w:rPr>
        <w:t>　　（四）因重大变故，采购任务取消的。</w:t>
      </w:r>
    </w:p>
    <w:p>
      <w:pPr>
        <w:autoSpaceDE w:val="0"/>
        <w:autoSpaceDN w:val="0"/>
        <w:adjustRightInd w:val="0"/>
        <w:spacing w:line="440" w:lineRule="exact"/>
        <w:ind w:firstLine="570"/>
        <w:rPr>
          <w:rFonts w:hint="eastAsia" w:ascii="宋体" w:hAnsi="宋体" w:cs="仿宋_GB2312"/>
          <w:color w:val="000000"/>
          <w:kern w:val="0"/>
          <w:sz w:val="24"/>
        </w:rPr>
      </w:pPr>
      <w:r>
        <w:rPr>
          <w:rFonts w:hint="eastAsia" w:ascii="宋体" w:hAnsi="宋体" w:cs="仿宋_GB2312"/>
          <w:color w:val="000000"/>
          <w:kern w:val="0"/>
          <w:sz w:val="24"/>
        </w:rPr>
        <w:t>第一条款按照有关法律法规，除作为废标外可经批准后继续按原采购方式进行或采取其它采购方式。废标后，采购代理机构将就废标理由通知所有供应商。</w:t>
      </w:r>
    </w:p>
    <w:p>
      <w:pPr>
        <w:pStyle w:val="10"/>
        <w:spacing w:line="440" w:lineRule="exact"/>
        <w:ind w:firstLine="0"/>
        <w:rPr>
          <w:rFonts w:hint="eastAsia" w:ascii="宋体" w:hAnsi="宋体"/>
          <w:b/>
          <w:color w:val="000000"/>
          <w:sz w:val="24"/>
        </w:rPr>
      </w:pPr>
      <w:r>
        <w:rPr>
          <w:rFonts w:hint="eastAsia" w:ascii="宋体" w:hAnsi="宋体"/>
          <w:b/>
          <w:color w:val="000000"/>
          <w:sz w:val="24"/>
        </w:rPr>
        <w:t>19、评审内容的保密</w:t>
      </w:r>
    </w:p>
    <w:p>
      <w:pPr>
        <w:pStyle w:val="36"/>
        <w:spacing w:before="0" w:line="440" w:lineRule="exact"/>
        <w:ind w:firstLine="480"/>
        <w:rPr>
          <w:rFonts w:hint="eastAsia" w:ascii="宋体" w:hAnsi="宋体"/>
          <w:color w:val="000000"/>
          <w:szCs w:val="24"/>
        </w:rPr>
      </w:pPr>
      <w:r>
        <w:rPr>
          <w:rFonts w:hint="eastAsia" w:ascii="宋体" w:hAnsi="宋体"/>
          <w:color w:val="000000"/>
          <w:szCs w:val="24"/>
        </w:rPr>
        <w:t>19.1、凡属于审查、澄清、比较和评审的所有资料，都不应向谈判响应方或与评审无关的其他人泄漏。</w:t>
      </w:r>
    </w:p>
    <w:p>
      <w:pPr>
        <w:pStyle w:val="36"/>
        <w:spacing w:before="0" w:line="440" w:lineRule="exact"/>
        <w:ind w:firstLine="480"/>
        <w:rPr>
          <w:rFonts w:hint="eastAsia" w:ascii="宋体" w:hAnsi="宋体"/>
          <w:b/>
          <w:color w:val="000000"/>
          <w:szCs w:val="24"/>
        </w:rPr>
      </w:pPr>
      <w:r>
        <w:rPr>
          <w:rFonts w:hint="eastAsia" w:ascii="宋体" w:hAnsi="宋体"/>
          <w:color w:val="000000"/>
          <w:szCs w:val="24"/>
        </w:rPr>
        <w:t>19.2、在响应文件的审查、澄清、评价和比较以及确定成交供应商过程中，谈判响应方对采购代理机构和谈判小组施加影响的违规行为，都将导致其不被推荐为成交候选人。</w:t>
      </w:r>
    </w:p>
    <w:p>
      <w:pPr>
        <w:pStyle w:val="36"/>
        <w:spacing w:before="0" w:line="440" w:lineRule="exact"/>
        <w:ind w:firstLine="0" w:firstLineChars="0"/>
        <w:rPr>
          <w:rFonts w:hint="eastAsia" w:ascii="宋体" w:hAnsi="宋体"/>
          <w:b/>
          <w:color w:val="000000"/>
          <w:szCs w:val="24"/>
        </w:rPr>
      </w:pPr>
      <w:r>
        <w:rPr>
          <w:rFonts w:hint="eastAsia" w:ascii="宋体" w:hAnsi="宋体"/>
          <w:b/>
          <w:color w:val="000000"/>
          <w:szCs w:val="24"/>
        </w:rPr>
        <w:t xml:space="preserve">20、 </w:t>
      </w:r>
      <w:r>
        <w:rPr>
          <w:rFonts w:hint="eastAsia" w:ascii="宋体" w:hAnsi="宋体"/>
          <w:b/>
          <w:color w:val="000000"/>
        </w:rPr>
        <w:t>资格最终审查</w:t>
      </w:r>
    </w:p>
    <w:p>
      <w:pPr>
        <w:pStyle w:val="36"/>
        <w:spacing w:before="0" w:line="440" w:lineRule="exact"/>
        <w:ind w:firstLine="480"/>
        <w:rPr>
          <w:rFonts w:hint="eastAsia" w:ascii="宋体" w:hAnsi="宋体"/>
          <w:color w:val="000000"/>
        </w:rPr>
      </w:pPr>
      <w:r>
        <w:rPr>
          <w:rFonts w:hint="eastAsia" w:ascii="宋体" w:hAnsi="宋体"/>
          <w:color w:val="000000"/>
        </w:rPr>
        <w:t>响应文件资格性检查和符合性检查通过，且</w:t>
      </w:r>
      <w:r>
        <w:rPr>
          <w:rFonts w:ascii="宋体" w:hAnsi="宋体"/>
          <w:b/>
          <w:color w:val="000000"/>
        </w:rPr>
        <w:t>符合采购需求、质量和服务的前提下，以提出最低报价的谈判响应方作为</w:t>
      </w:r>
      <w:r>
        <w:rPr>
          <w:rFonts w:hint="eastAsia" w:ascii="宋体" w:hAnsi="宋体"/>
          <w:b/>
          <w:color w:val="000000"/>
        </w:rPr>
        <w:t>成交候选人</w:t>
      </w:r>
      <w:r>
        <w:rPr>
          <w:rFonts w:ascii="宋体" w:hAnsi="宋体"/>
          <w:b/>
          <w:color w:val="000000"/>
        </w:rPr>
        <w:t>。</w:t>
      </w:r>
    </w:p>
    <w:p>
      <w:pPr>
        <w:pStyle w:val="36"/>
        <w:spacing w:before="0" w:line="440" w:lineRule="exact"/>
        <w:ind w:firstLine="0" w:firstLineChars="0"/>
        <w:rPr>
          <w:rFonts w:hint="eastAsia" w:ascii="宋体" w:hAnsi="宋体"/>
          <w:b/>
          <w:color w:val="000000"/>
          <w:szCs w:val="24"/>
        </w:rPr>
      </w:pPr>
      <w:r>
        <w:rPr>
          <w:rFonts w:hint="eastAsia" w:ascii="宋体" w:hAnsi="宋体"/>
          <w:b/>
          <w:color w:val="000000"/>
          <w:szCs w:val="24"/>
        </w:rPr>
        <w:t>21、发布成交结果公告</w:t>
      </w:r>
    </w:p>
    <w:p>
      <w:pPr>
        <w:pStyle w:val="36"/>
        <w:spacing w:before="0" w:line="440" w:lineRule="exact"/>
        <w:ind w:firstLine="480"/>
        <w:rPr>
          <w:rFonts w:hint="eastAsia" w:ascii="宋体" w:hAnsi="宋体"/>
          <w:color w:val="000000"/>
          <w:szCs w:val="22"/>
        </w:rPr>
      </w:pPr>
      <w:r>
        <w:rPr>
          <w:rFonts w:hint="eastAsia" w:ascii="宋体" w:hAnsi="宋体"/>
          <w:color w:val="000000"/>
          <w:szCs w:val="22"/>
        </w:rPr>
        <w:t>21.1、招标采购单位将在成交供应商确定之日起2个工作日内，将成交公告发布于以下网站：</w:t>
      </w:r>
    </w:p>
    <w:p>
      <w:pPr>
        <w:pStyle w:val="36"/>
        <w:spacing w:before="0" w:line="440" w:lineRule="exact"/>
        <w:ind w:firstLine="480"/>
        <w:rPr>
          <w:rFonts w:hint="eastAsia" w:ascii="宋体" w:hAnsi="宋体"/>
          <w:color w:val="000000"/>
          <w:szCs w:val="22"/>
        </w:rPr>
      </w:pPr>
      <w:r>
        <w:rPr>
          <w:rFonts w:hint="eastAsia" w:ascii="宋体" w:hAnsi="宋体"/>
          <w:color w:val="000000"/>
          <w:szCs w:val="22"/>
        </w:rPr>
        <w:t>浙江省政府采购网(</w:t>
      </w:r>
      <w:r>
        <w:rPr>
          <w:rFonts w:hint="eastAsia" w:ascii="宋体" w:hAnsi="宋体"/>
          <w:color w:val="000000"/>
          <w:szCs w:val="22"/>
        </w:rPr>
        <w:fldChar w:fldCharType="begin"/>
      </w:r>
      <w:r>
        <w:rPr>
          <w:rFonts w:hint="eastAsia" w:ascii="宋体" w:hAnsi="宋体"/>
          <w:color w:val="000000"/>
          <w:szCs w:val="22"/>
        </w:rPr>
        <w:instrText xml:space="preserve"> HYPERLINK "http://www.zjzfcg.gov.cn/" </w:instrText>
      </w:r>
      <w:r>
        <w:rPr>
          <w:rFonts w:hint="eastAsia" w:ascii="宋体" w:hAnsi="宋体"/>
          <w:color w:val="000000"/>
          <w:szCs w:val="22"/>
        </w:rPr>
        <w:fldChar w:fldCharType="separate"/>
      </w:r>
      <w:r>
        <w:rPr>
          <w:rFonts w:hint="eastAsia" w:ascii="宋体" w:hAnsi="宋体"/>
          <w:color w:val="000000"/>
          <w:szCs w:val="22"/>
        </w:rPr>
        <w:t>http://www.zjzfcg.gov.cn</w:t>
      </w:r>
      <w:r>
        <w:rPr>
          <w:rFonts w:hint="eastAsia" w:ascii="宋体" w:hAnsi="宋体"/>
          <w:color w:val="000000"/>
          <w:szCs w:val="22"/>
        </w:rPr>
        <w:fldChar w:fldCharType="end"/>
      </w:r>
      <w:r>
        <w:rPr>
          <w:rFonts w:hint="eastAsia" w:ascii="宋体" w:hAnsi="宋体"/>
          <w:color w:val="000000"/>
          <w:szCs w:val="22"/>
        </w:rPr>
        <w:t>)；</w:t>
      </w:r>
    </w:p>
    <w:p>
      <w:pPr>
        <w:pStyle w:val="36"/>
        <w:spacing w:before="0" w:line="440" w:lineRule="exact"/>
        <w:ind w:firstLine="480"/>
        <w:rPr>
          <w:rFonts w:hint="eastAsia" w:ascii="宋体" w:hAnsi="宋体"/>
          <w:color w:val="000000"/>
          <w:szCs w:val="22"/>
        </w:rPr>
      </w:pPr>
      <w:r>
        <w:rPr>
          <w:rFonts w:hint="eastAsia" w:ascii="宋体" w:hAnsi="宋体"/>
          <w:color w:val="000000"/>
          <w:szCs w:val="22"/>
        </w:rPr>
        <w:t>杭州市余杭区公共资源交易网（</w:t>
      </w:r>
      <w:r>
        <w:rPr>
          <w:rFonts w:hint="eastAsia" w:ascii="宋体" w:hAnsi="宋体"/>
          <w:color w:val="000000"/>
          <w:szCs w:val="22"/>
        </w:rPr>
        <w:fldChar w:fldCharType="begin"/>
      </w:r>
      <w:r>
        <w:rPr>
          <w:rFonts w:hint="eastAsia" w:ascii="宋体" w:hAnsi="宋体"/>
          <w:color w:val="000000"/>
          <w:szCs w:val="22"/>
        </w:rPr>
        <w:instrText xml:space="preserve"> HYPERLINK "http://www.yhggzy.com.cn" </w:instrText>
      </w:r>
      <w:r>
        <w:rPr>
          <w:rFonts w:hint="eastAsia" w:ascii="宋体" w:hAnsi="宋体"/>
          <w:color w:val="000000"/>
          <w:szCs w:val="22"/>
        </w:rPr>
        <w:fldChar w:fldCharType="separate"/>
      </w:r>
      <w:r>
        <w:rPr>
          <w:rFonts w:hint="eastAsia" w:ascii="宋体" w:hAnsi="宋体"/>
          <w:color w:val="000000"/>
          <w:szCs w:val="22"/>
        </w:rPr>
        <w:t>http://www.yhggzy.com.cn</w:t>
      </w:r>
      <w:r>
        <w:rPr>
          <w:rFonts w:hint="eastAsia" w:ascii="宋体" w:hAnsi="宋体"/>
          <w:color w:val="000000"/>
          <w:szCs w:val="22"/>
        </w:rPr>
        <w:fldChar w:fldCharType="end"/>
      </w:r>
      <w:r>
        <w:rPr>
          <w:rFonts w:hint="eastAsia" w:ascii="宋体" w:hAnsi="宋体"/>
          <w:color w:val="000000"/>
          <w:szCs w:val="22"/>
        </w:rPr>
        <w:t>）；</w:t>
      </w:r>
    </w:p>
    <w:p>
      <w:pPr>
        <w:pStyle w:val="36"/>
        <w:spacing w:before="0" w:line="440" w:lineRule="exact"/>
        <w:ind w:firstLine="480"/>
        <w:rPr>
          <w:rFonts w:hint="eastAsia" w:ascii="宋体" w:hAnsi="宋体"/>
          <w:color w:val="000000"/>
          <w:szCs w:val="22"/>
        </w:rPr>
      </w:pPr>
      <w:r>
        <w:rPr>
          <w:rFonts w:hint="eastAsia" w:ascii="宋体" w:hAnsi="宋体"/>
          <w:color w:val="000000"/>
          <w:szCs w:val="22"/>
        </w:rPr>
        <w:t>对于未成交单位，将不再另行通知，招标采购单位无义务解释未成交原因。</w:t>
      </w:r>
    </w:p>
    <w:p>
      <w:pPr>
        <w:pStyle w:val="36"/>
        <w:spacing w:before="0" w:line="440" w:lineRule="exact"/>
        <w:ind w:firstLine="480"/>
        <w:rPr>
          <w:rFonts w:hint="eastAsia" w:ascii="宋体" w:hAnsi="宋体"/>
          <w:color w:val="000000"/>
          <w:szCs w:val="22"/>
        </w:rPr>
      </w:pPr>
      <w:r>
        <w:rPr>
          <w:rFonts w:hint="eastAsia" w:ascii="宋体" w:hAnsi="宋体"/>
          <w:color w:val="000000"/>
          <w:szCs w:val="22"/>
        </w:rPr>
        <w:t>21.2、成交公告发布后，招标采购单位将以书面形式发出成交通知书，成交通知书一经发出即发生法律效力。成交通知书将作为签订合同的依据。</w:t>
      </w:r>
    </w:p>
    <w:p>
      <w:pPr>
        <w:adjustRightInd w:val="0"/>
        <w:snapToGrid w:val="0"/>
        <w:spacing w:line="440" w:lineRule="exact"/>
        <w:ind w:left="482" w:hanging="482" w:hangingChars="200"/>
        <w:rPr>
          <w:rFonts w:hint="eastAsia" w:ascii="宋体" w:hAnsi="宋体"/>
          <w:b/>
          <w:color w:val="000000"/>
          <w:sz w:val="24"/>
        </w:rPr>
      </w:pPr>
      <w:r>
        <w:rPr>
          <w:rFonts w:hint="eastAsia" w:ascii="宋体" w:hAnsi="宋体"/>
          <w:b/>
          <w:color w:val="000000"/>
          <w:sz w:val="24"/>
        </w:rPr>
        <w:t>22、签订合同</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22.1、采购人与成交供应商应当在成交通知书发出之日起30日内签订政府采购合同。</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22.2、采购文件、成交供应商的响应文件、澄清文件及成交通知书等，均为签订合同的依据。</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22.3、成交供应商不遵守采购文件或响应文件的要约、承诺，擅自修改报价或在接到成交通知书规定时间内借故拖延、拒签合同者，将上报并处罚。同时，采购代理机构有权取消该单位的成交资格，与下一成交候选人签订合同或重新组织采购。</w:t>
      </w:r>
    </w:p>
    <w:p>
      <w:pPr>
        <w:pStyle w:val="36"/>
        <w:spacing w:before="0" w:line="440" w:lineRule="exact"/>
        <w:ind w:firstLine="0" w:firstLineChars="0"/>
        <w:rPr>
          <w:rFonts w:hint="eastAsia" w:ascii="宋体" w:hAnsi="宋体"/>
          <w:color w:val="000000"/>
          <w:szCs w:val="24"/>
        </w:rPr>
      </w:pPr>
      <w:r>
        <w:rPr>
          <w:rFonts w:hint="eastAsia" w:ascii="宋体" w:hAnsi="宋体"/>
          <w:b/>
          <w:color w:val="000000"/>
          <w:szCs w:val="24"/>
        </w:rPr>
        <w:t>23、合同备案：</w:t>
      </w:r>
      <w:r>
        <w:rPr>
          <w:rFonts w:hint="eastAsia" w:ascii="宋体" w:hAnsi="宋体"/>
          <w:color w:val="000000"/>
          <w:szCs w:val="24"/>
        </w:rPr>
        <w:t>政府采购合同一式多份，双方各自备案。</w:t>
      </w:r>
    </w:p>
    <w:p>
      <w:pPr>
        <w:pStyle w:val="36"/>
        <w:spacing w:before="0" w:line="440" w:lineRule="exact"/>
        <w:ind w:firstLine="0" w:firstLineChars="0"/>
        <w:rPr>
          <w:rFonts w:hint="eastAsia" w:ascii="宋体" w:hAnsi="宋体"/>
          <w:color w:val="000000"/>
          <w:szCs w:val="24"/>
        </w:rPr>
      </w:pPr>
      <w:r>
        <w:rPr>
          <w:rFonts w:hint="eastAsia" w:ascii="宋体" w:hAnsi="宋体"/>
          <w:b/>
          <w:color w:val="000000"/>
          <w:szCs w:val="24"/>
        </w:rPr>
        <w:t>24、</w:t>
      </w:r>
      <w:r>
        <w:rPr>
          <w:rFonts w:hint="eastAsia" w:ascii="宋体" w:hAnsi="宋体"/>
          <w:color w:val="000000"/>
          <w:szCs w:val="24"/>
        </w:rPr>
        <w:t>履约保证金、质量保证金</w:t>
      </w:r>
    </w:p>
    <w:p>
      <w:pPr>
        <w:adjustRightInd w:val="0"/>
        <w:snapToGrid w:val="0"/>
        <w:spacing w:line="600" w:lineRule="exact"/>
        <w:ind w:firstLine="480" w:firstLineChars="200"/>
        <w:rPr>
          <w:rFonts w:hint="eastAsia" w:ascii="宋体" w:hAnsi="宋体"/>
          <w:color w:val="000000"/>
          <w:szCs w:val="24"/>
        </w:rPr>
      </w:pPr>
      <w:r>
        <w:rPr>
          <w:rFonts w:hint="eastAsia" w:ascii="宋体" w:hAnsi="宋体"/>
          <w:color w:val="000000"/>
          <w:sz w:val="24"/>
        </w:rPr>
        <w:t>24.1、履约保证金、质量保证金根据不同采购人的采购需求而定。</w:t>
      </w:r>
    </w:p>
    <w:p>
      <w:pPr>
        <w:pStyle w:val="36"/>
        <w:spacing w:before="0" w:line="440" w:lineRule="exact"/>
        <w:ind w:firstLine="480"/>
        <w:rPr>
          <w:rFonts w:hint="eastAsia" w:ascii="宋体" w:hAnsi="宋体"/>
          <w:color w:val="000000"/>
          <w:szCs w:val="24"/>
        </w:rPr>
      </w:pPr>
      <w:r>
        <w:rPr>
          <w:rFonts w:hint="eastAsia" w:ascii="宋体" w:hAnsi="宋体"/>
          <w:color w:val="000000"/>
        </w:rPr>
        <w:t>24.2、履约保证金、</w:t>
      </w:r>
      <w:r>
        <w:rPr>
          <w:rFonts w:hint="eastAsia" w:ascii="宋体" w:hAnsi="宋体"/>
          <w:color w:val="000000"/>
          <w:szCs w:val="24"/>
        </w:rPr>
        <w:t>质量保证金均由采购人收取。</w:t>
      </w:r>
    </w:p>
    <w:p>
      <w:pPr>
        <w:adjustRightInd w:val="0"/>
        <w:snapToGrid w:val="0"/>
        <w:spacing w:line="440" w:lineRule="exact"/>
        <w:rPr>
          <w:rFonts w:hint="eastAsia" w:ascii="宋体" w:hAnsi="宋体" w:cs="宋体"/>
          <w:color w:val="000000"/>
          <w:sz w:val="24"/>
        </w:rPr>
      </w:pPr>
      <w:r>
        <w:rPr>
          <w:rFonts w:hint="eastAsia" w:hAnsi="宋体"/>
          <w:b/>
          <w:color w:val="000000"/>
          <w:sz w:val="24"/>
          <w:szCs w:val="20"/>
        </w:rPr>
        <w:t>25、</w:t>
      </w:r>
      <w:r>
        <w:rPr>
          <w:rFonts w:hint="eastAsia" w:ascii="宋体" w:hAnsi="宋体" w:cs="宋体"/>
          <w:b/>
          <w:bCs/>
          <w:sz w:val="24"/>
          <w:szCs w:val="24"/>
        </w:rPr>
        <w:t>货物类：</w:t>
      </w:r>
      <w:r>
        <w:rPr>
          <w:rFonts w:hint="eastAsia" w:ascii="宋体" w:hAnsi="宋体" w:cs="宋体"/>
          <w:sz w:val="24"/>
          <w:szCs w:val="24"/>
        </w:rPr>
        <w:t>根据余财采〔2012〕2号《关于进一步加强政府采购验收工作的意见》的通知，对于单次采购金额在十万元以上的货物类采购项目（除国家规定应由专业机构强制检测或已聘请专业监理公司监理的采购项目），委托余杭区质量计量监测中心政府采购验收办公室进行验收。对不按采购文件、投标承诺及政府采购合同要求供货的供应商，将依据《中华人民共和国政府采购法》、《中华人民共和国政府采购法实施条例》等相关法律法规的规定，列入不良行为记录名单，给予1至3年内禁止参加政府采购活动的处罚，同时将处罚结果上网进行公示。</w:t>
      </w:r>
    </w:p>
    <w:p>
      <w:pPr>
        <w:pStyle w:val="36"/>
        <w:spacing w:before="0" w:line="440" w:lineRule="exact"/>
        <w:ind w:firstLine="0" w:firstLineChars="0"/>
        <w:rPr>
          <w:rFonts w:hint="eastAsia" w:ascii="宋体" w:hAnsi="宋体"/>
          <w:b/>
          <w:color w:val="000000"/>
          <w:szCs w:val="24"/>
        </w:rPr>
      </w:pPr>
      <w:r>
        <w:rPr>
          <w:rFonts w:hint="eastAsia" w:ascii="宋体" w:hAnsi="宋体"/>
          <w:b/>
          <w:color w:val="000000"/>
          <w:szCs w:val="24"/>
        </w:rPr>
        <w:t>26、质疑与投诉</w:t>
      </w:r>
    </w:p>
    <w:p>
      <w:pPr>
        <w:adjustRightInd w:val="0"/>
        <w:snapToGrid w:val="0"/>
        <w:spacing w:line="440" w:lineRule="exact"/>
        <w:rPr>
          <w:rFonts w:hint="eastAsia" w:ascii="宋体" w:hAnsi="宋体" w:cs="宋体"/>
          <w:sz w:val="24"/>
          <w:szCs w:val="24"/>
        </w:rPr>
      </w:pPr>
      <w:r>
        <w:rPr>
          <w:rFonts w:hint="eastAsia" w:ascii="宋体" w:hAnsi="宋体" w:cs="宋体"/>
          <w:sz w:val="24"/>
          <w:szCs w:val="24"/>
        </w:rPr>
        <w:t>26.1、供应商如认为采购公告信息使自身的合法权益受到损害的，应于自采购公告发布之日起三个工作日内以书面形式向采购代理机构提出质疑。</w:t>
      </w:r>
    </w:p>
    <w:p>
      <w:pPr>
        <w:adjustRightInd w:val="0"/>
        <w:snapToGrid w:val="0"/>
        <w:spacing w:line="440" w:lineRule="exact"/>
        <w:rPr>
          <w:rFonts w:hint="eastAsia" w:ascii="宋体" w:hAnsi="宋体" w:cs="宋体"/>
          <w:sz w:val="24"/>
          <w:szCs w:val="24"/>
        </w:rPr>
      </w:pPr>
      <w:r>
        <w:rPr>
          <w:rFonts w:hint="eastAsia" w:ascii="宋体" w:hAnsi="宋体" w:cs="宋体"/>
          <w:sz w:val="24"/>
          <w:szCs w:val="24"/>
        </w:rPr>
        <w:t>26.2、供应商如认为采购文件使自身的合法权益受到损害的，应于自获取采购文件之日起三个工作日内（采购文件获取截止时间之后获取的，应于自采购文件获取截止时间之日起三个工作日内），且应当在谈判响应截止时间之前以书面形式向采购代理机构提出，否则，采购代理机构可不予接受。</w:t>
      </w:r>
    </w:p>
    <w:p>
      <w:pPr>
        <w:adjustRightInd w:val="0"/>
        <w:snapToGrid w:val="0"/>
        <w:spacing w:line="440" w:lineRule="exact"/>
        <w:rPr>
          <w:rFonts w:hint="eastAsia" w:ascii="宋体" w:hAnsi="宋体" w:cs="宋体"/>
          <w:sz w:val="24"/>
          <w:szCs w:val="24"/>
        </w:rPr>
      </w:pPr>
      <w:r>
        <w:rPr>
          <w:rFonts w:hint="eastAsia" w:ascii="宋体" w:hAnsi="宋体" w:cs="宋体"/>
          <w:sz w:val="24"/>
          <w:szCs w:val="24"/>
        </w:rPr>
        <w:t>26.3、供应商如认为采购过程使自身的合法权益受到损害的，应于自各采购程序环节结束之日起三个工作日内，以书面形式向采购代理机构提出质疑。</w:t>
      </w:r>
    </w:p>
    <w:p>
      <w:pPr>
        <w:adjustRightInd w:val="0"/>
        <w:snapToGrid w:val="0"/>
        <w:spacing w:line="440" w:lineRule="exact"/>
        <w:rPr>
          <w:rFonts w:hint="eastAsia" w:ascii="宋体" w:hAnsi="宋体" w:cs="宋体"/>
          <w:sz w:val="24"/>
          <w:szCs w:val="24"/>
        </w:rPr>
      </w:pPr>
      <w:r>
        <w:rPr>
          <w:rFonts w:hint="eastAsia" w:ascii="宋体" w:hAnsi="宋体" w:cs="宋体"/>
          <w:sz w:val="24"/>
          <w:szCs w:val="24"/>
        </w:rPr>
        <w:t>26.4、供应商如认为成交结果使自身的合法权益受到损害的，应于自成交结果公告期限（公告期限为1个工作日）届满之日起七个工作日内，以书面形式向采购代理机构提出质疑。</w:t>
      </w:r>
    </w:p>
    <w:p>
      <w:pPr>
        <w:adjustRightInd w:val="0"/>
        <w:snapToGrid w:val="0"/>
        <w:spacing w:line="440" w:lineRule="exact"/>
        <w:rPr>
          <w:rFonts w:hint="eastAsia" w:ascii="宋体" w:hAnsi="宋体" w:cs="宋体"/>
          <w:sz w:val="24"/>
          <w:szCs w:val="24"/>
        </w:rPr>
      </w:pPr>
      <w:r>
        <w:rPr>
          <w:rFonts w:hint="eastAsia" w:ascii="宋体" w:hAnsi="宋体" w:cs="宋体"/>
          <w:sz w:val="24"/>
          <w:szCs w:val="24"/>
        </w:rPr>
        <w:t>26.5、供应商对采购代理机构的质疑答复不满意或者采购代理机构未在规定时间内作出答复的，可以在答复期满后十五个工作日内向同级政府采购监督管理部门余杭区财政局采购监管科投诉，联系电话为0571-89180113。</w:t>
      </w:r>
    </w:p>
    <w:p>
      <w:pPr>
        <w:adjustRightInd w:val="0"/>
        <w:snapToGrid w:val="0"/>
        <w:spacing w:line="440" w:lineRule="exact"/>
        <w:rPr>
          <w:rFonts w:hint="eastAsia" w:ascii="宋体" w:hAnsi="宋体" w:cs="宋体"/>
          <w:sz w:val="24"/>
          <w:szCs w:val="24"/>
        </w:rPr>
      </w:pPr>
    </w:p>
    <w:p>
      <w:pPr>
        <w:pStyle w:val="36"/>
        <w:numPr>
          <w:ilvl w:val="0"/>
          <w:numId w:val="5"/>
        </w:numPr>
        <w:spacing w:before="0" w:line="440" w:lineRule="exact"/>
        <w:ind w:firstLineChars="0"/>
        <w:jc w:val="center"/>
        <w:rPr>
          <w:rFonts w:hint="eastAsia" w:ascii="宋体" w:hAnsi="宋体"/>
          <w:b/>
          <w:bCs/>
          <w:color w:val="000000"/>
        </w:rPr>
      </w:pPr>
      <w:r>
        <w:rPr>
          <w:rFonts w:hint="eastAsia" w:ascii="宋体" w:hAnsi="宋体"/>
          <w:b/>
          <w:bCs/>
          <w:color w:val="000000"/>
        </w:rPr>
        <w:t>供应商须知之专用条款</w:t>
      </w:r>
    </w:p>
    <w:p>
      <w:pPr>
        <w:pStyle w:val="36"/>
        <w:spacing w:before="0" w:line="440" w:lineRule="exact"/>
        <w:ind w:firstLine="0" w:firstLineChars="0"/>
        <w:rPr>
          <w:rFonts w:hint="eastAsia" w:ascii="宋体" w:hAnsi="宋体"/>
          <w:b/>
          <w:color w:val="000000"/>
          <w:szCs w:val="24"/>
        </w:rPr>
      </w:pPr>
      <w:r>
        <w:rPr>
          <w:rFonts w:hint="eastAsia" w:ascii="宋体" w:hAnsi="宋体" w:cs="宋体"/>
          <w:b/>
          <w:color w:val="000000"/>
          <w:kern w:val="0"/>
          <w:szCs w:val="24"/>
        </w:rPr>
        <w:t>27、响应文件组成</w:t>
      </w:r>
      <w:r>
        <w:rPr>
          <w:rFonts w:hint="eastAsia" w:ascii="宋体" w:hAnsi="宋体"/>
          <w:b/>
          <w:color w:val="000000"/>
          <w:szCs w:val="24"/>
        </w:rPr>
        <w:t>（加“</w:t>
      </w:r>
      <w:r>
        <w:rPr>
          <w:rFonts w:hint="eastAsia" w:ascii="宋体" w:hAnsi="宋体" w:cs="宋体"/>
          <w:b/>
          <w:color w:val="000000"/>
          <w:kern w:val="0"/>
          <w:szCs w:val="24"/>
        </w:rPr>
        <w:t>▲</w:t>
      </w:r>
      <w:r>
        <w:rPr>
          <w:rFonts w:hint="eastAsia" w:ascii="宋体" w:hAnsi="宋体"/>
          <w:b/>
          <w:color w:val="000000"/>
          <w:szCs w:val="24"/>
        </w:rPr>
        <w:t>”的资料为必须提供，否则将视为无效处理）</w:t>
      </w:r>
    </w:p>
    <w:p>
      <w:pPr>
        <w:pStyle w:val="36"/>
        <w:spacing w:before="0" w:line="440" w:lineRule="exact"/>
        <w:ind w:firstLine="590" w:firstLineChars="245"/>
        <w:rPr>
          <w:rFonts w:hint="eastAsia" w:ascii="宋体" w:hAnsi="宋体"/>
          <w:b/>
          <w:color w:val="000000"/>
        </w:rPr>
      </w:pPr>
      <w:r>
        <w:rPr>
          <w:rFonts w:hint="eastAsia" w:ascii="宋体" w:hAnsi="宋体"/>
          <w:b/>
          <w:color w:val="000000"/>
        </w:rPr>
        <w:t>部分格式可参考“第五部分 响应文件格式”，未提供参考格式的由谈判响应方根据相关要求自行编制。响应文件一般应当包括以下主要内容：</w:t>
      </w:r>
    </w:p>
    <w:p>
      <w:pPr>
        <w:adjustRightInd w:val="0"/>
        <w:snapToGrid w:val="0"/>
        <w:spacing w:line="440" w:lineRule="exact"/>
        <w:ind w:firstLine="482" w:firstLineChars="200"/>
        <w:rPr>
          <w:rFonts w:hint="eastAsia" w:ascii="宋体" w:hAnsi="宋体"/>
          <w:b/>
          <w:color w:val="000000"/>
          <w:sz w:val="24"/>
        </w:rPr>
      </w:pPr>
      <w:r>
        <w:rPr>
          <w:rFonts w:hint="eastAsia" w:ascii="宋体" w:hAnsi="宋体"/>
          <w:b/>
          <w:color w:val="000000"/>
          <w:sz w:val="24"/>
        </w:rPr>
        <w:t>注意：响应文件封面、初次报价表、谈判响应函、授权委托书须加盖单位公章，初次报价表、谈判响应函须经法定代表人（或授权代表）签字，否则视为无效。</w:t>
      </w:r>
    </w:p>
    <w:p>
      <w:pPr>
        <w:snapToGrid w:val="0"/>
        <w:spacing w:line="360" w:lineRule="auto"/>
        <w:ind w:firstLine="211" w:firstLineChars="100"/>
        <w:rPr>
          <w:rFonts w:hint="eastAsia" w:ascii="宋体" w:hAnsi="宋体" w:cs="宋体"/>
          <w:color w:val="000000"/>
          <w:sz w:val="24"/>
          <w:szCs w:val="21"/>
          <w:highlight w:val="yellow"/>
        </w:rPr>
      </w:pPr>
      <w:r>
        <w:rPr>
          <w:rFonts w:hint="eastAsia" w:ascii="宋体" w:hAnsi="宋体" w:cs="宋体"/>
          <w:b/>
          <w:color w:val="000000"/>
          <w:kern w:val="0"/>
          <w:szCs w:val="24"/>
        </w:rPr>
        <w:t>▲</w:t>
      </w:r>
      <w:r>
        <w:rPr>
          <w:rFonts w:ascii="宋体" w:hAnsi="宋体" w:cs="宋体"/>
          <w:color w:val="000000"/>
          <w:kern w:val="0"/>
          <w:sz w:val="24"/>
          <w:highlight w:val="yellow"/>
          <w:lang w:val="zh-CN"/>
        </w:rPr>
        <w:t>1</w:t>
      </w:r>
      <w:r>
        <w:rPr>
          <w:rFonts w:hint="eastAsia" w:ascii="宋体" w:hAnsi="宋体" w:cs="宋体"/>
          <w:color w:val="000000"/>
          <w:kern w:val="0"/>
          <w:sz w:val="24"/>
          <w:highlight w:val="yellow"/>
          <w:lang w:val="zh-CN"/>
        </w:rPr>
        <w:t>、</w:t>
      </w:r>
      <w:r>
        <w:rPr>
          <w:rFonts w:hint="eastAsia" w:ascii="宋体" w:hAnsi="宋体" w:cs="宋体"/>
          <w:color w:val="000000"/>
          <w:sz w:val="24"/>
          <w:szCs w:val="21"/>
          <w:highlight w:val="yellow"/>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（2）最近一年财务报表</w:t>
      </w:r>
      <w:r>
        <w:rPr>
          <w:rFonts w:hint="eastAsia" w:ascii="宋体" w:hAnsi="宋体" w:cs="宋体"/>
          <w:b/>
          <w:bCs/>
          <w:color w:val="000000"/>
          <w:sz w:val="24"/>
          <w:szCs w:val="21"/>
        </w:rPr>
        <w:t>(可提供审计报告或资产负责表及利润表，新成立的公司提供情况说明)</w:t>
      </w:r>
      <w:r>
        <w:rPr>
          <w:rFonts w:hint="eastAsia" w:ascii="宋体" w:hAnsi="宋体" w:cs="宋体"/>
          <w:color w:val="000000"/>
          <w:sz w:val="24"/>
          <w:szCs w:val="21"/>
        </w:rPr>
        <w:t>；</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（8）投标供应商不属于公益一类事业单位承诺函。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highlight w:val="yellow"/>
        </w:rPr>
      </w:pPr>
      <w:r>
        <w:rPr>
          <w:rFonts w:hint="eastAsia" w:ascii="宋体" w:hAnsi="宋体" w:cs="宋体"/>
          <w:color w:val="000000"/>
          <w:kern w:val="0"/>
          <w:sz w:val="24"/>
          <w:highlight w:val="yellow"/>
        </w:rPr>
        <w:t>2</w:t>
      </w:r>
      <w:r>
        <w:rPr>
          <w:rFonts w:hint="eastAsia" w:ascii="宋体" w:hAnsi="宋体" w:cs="宋体"/>
          <w:color w:val="000000"/>
          <w:kern w:val="0"/>
          <w:sz w:val="24"/>
          <w:highlight w:val="yellow"/>
          <w:lang w:val="zh-CN"/>
        </w:rPr>
        <w:t>、供应商谈判文件组成</w:t>
      </w:r>
      <w:r>
        <w:rPr>
          <w:rFonts w:hint="eastAsia" w:ascii="宋体" w:hAnsi="宋体" w:cs="宋体"/>
          <w:color w:val="000000"/>
          <w:sz w:val="24"/>
          <w:highlight w:val="yellow"/>
        </w:rPr>
        <w:t xml:space="preserve">： </w:t>
      </w:r>
    </w:p>
    <w:p>
      <w:pPr>
        <w:spacing w:line="440" w:lineRule="exact"/>
        <w:ind w:firstLine="720" w:firstLineChars="300"/>
        <w:rPr>
          <w:rFonts w:hint="eastAsia" w:ascii="宋体" w:hAnsi="宋体"/>
          <w:color w:val="000000"/>
          <w:sz w:val="24"/>
        </w:rPr>
      </w:pPr>
      <w:r>
        <w:rPr>
          <w:rFonts w:hint="eastAsia" w:ascii="宋体" w:hAnsi="宋体"/>
          <w:color w:val="000000"/>
          <w:sz w:val="24"/>
        </w:rPr>
        <w:t>2.1、</w:t>
      </w:r>
      <w:r>
        <w:rPr>
          <w:rFonts w:hint="eastAsia" w:ascii="宋体" w:hAnsi="宋体" w:cs="仿宋_GB2312"/>
          <w:color w:val="000000"/>
          <w:sz w:val="24"/>
          <w:lang w:val="zh-CN"/>
        </w:rPr>
        <w:t>目录；</w:t>
      </w:r>
    </w:p>
    <w:p>
      <w:pPr>
        <w:spacing w:line="440" w:lineRule="exact"/>
        <w:ind w:firstLine="482" w:firstLineChars="200"/>
        <w:rPr>
          <w:rFonts w:hint="eastAsia" w:ascii="宋体" w:hAnsi="宋体" w:cs="仿宋_GB2312"/>
          <w:b/>
          <w:color w:val="000000"/>
          <w:sz w:val="24"/>
          <w:szCs w:val="24"/>
          <w:lang w:val="zh-CN"/>
        </w:rPr>
      </w:pPr>
      <w:r>
        <w:rPr>
          <w:rFonts w:hint="eastAsia" w:ascii="宋体" w:hAnsi="宋体" w:cs="宋体"/>
          <w:b/>
          <w:color w:val="000000"/>
          <w:kern w:val="0"/>
          <w:sz w:val="24"/>
          <w:szCs w:val="24"/>
        </w:rPr>
        <w:t>▲2</w:t>
      </w:r>
      <w:r>
        <w:rPr>
          <w:rFonts w:hint="eastAsia" w:ascii="宋体" w:hAnsi="宋体"/>
          <w:b/>
          <w:color w:val="000000"/>
          <w:sz w:val="24"/>
          <w:szCs w:val="24"/>
        </w:rPr>
        <w:t>.2、</w:t>
      </w:r>
      <w:r>
        <w:rPr>
          <w:rFonts w:hint="eastAsia" w:ascii="宋体" w:hAnsi="宋体" w:cs="仿宋_GB2312"/>
          <w:b/>
          <w:color w:val="000000"/>
          <w:sz w:val="24"/>
          <w:szCs w:val="24"/>
          <w:lang w:val="zh-CN"/>
        </w:rPr>
        <w:t>谈判响应函；</w:t>
      </w:r>
    </w:p>
    <w:p>
      <w:pPr>
        <w:spacing w:line="440" w:lineRule="exact"/>
        <w:ind w:firstLine="482" w:firstLineChars="200"/>
        <w:rPr>
          <w:rFonts w:hint="eastAsia" w:ascii="宋体" w:hAnsi="宋体" w:cs="宋体"/>
          <w:b/>
          <w:color w:val="000000"/>
          <w:kern w:val="0"/>
          <w:sz w:val="24"/>
          <w:szCs w:val="24"/>
        </w:rPr>
      </w:pPr>
      <w:r>
        <w:rPr>
          <w:rFonts w:hint="eastAsia" w:ascii="宋体" w:hAnsi="宋体" w:cs="宋体"/>
          <w:b/>
          <w:color w:val="000000"/>
          <w:kern w:val="0"/>
          <w:sz w:val="24"/>
          <w:szCs w:val="24"/>
        </w:rPr>
        <w:t>▲2.3、初次报价表；</w:t>
      </w:r>
    </w:p>
    <w:p>
      <w:pPr>
        <w:numPr>
          <w:ilvl w:val="0"/>
          <w:numId w:val="0"/>
        </w:numPr>
        <w:spacing w:line="440" w:lineRule="exact"/>
        <w:ind w:firstLine="482" w:firstLineChars="200"/>
        <w:rPr>
          <w:rFonts w:hint="eastAsia"/>
        </w:rPr>
      </w:pPr>
      <w:r>
        <w:rPr>
          <w:rFonts w:hint="eastAsia" w:ascii="宋体" w:hAnsi="宋体" w:cs="宋体"/>
          <w:b/>
          <w:color w:val="000000"/>
          <w:kern w:val="0"/>
          <w:sz w:val="24"/>
          <w:szCs w:val="24"/>
        </w:rPr>
        <w:t>▲2.</w:t>
      </w:r>
      <w:r>
        <w:rPr>
          <w:rFonts w:hint="eastAsia" w:ascii="宋体" w:hAnsi="宋体" w:cs="宋体"/>
          <w:b/>
          <w:color w:val="000000"/>
          <w:kern w:val="0"/>
          <w:sz w:val="24"/>
          <w:szCs w:val="24"/>
          <w:lang w:val="en-US" w:eastAsia="zh-CN"/>
        </w:rPr>
        <w:t>4、分项报价表</w:t>
      </w:r>
    </w:p>
    <w:p>
      <w:pPr>
        <w:spacing w:line="440" w:lineRule="exact"/>
        <w:ind w:firstLine="482" w:firstLineChars="200"/>
        <w:rPr>
          <w:rFonts w:hint="eastAsia" w:ascii="宋体" w:hAnsi="宋体" w:cs="宋体"/>
          <w:b/>
          <w:color w:val="000000"/>
          <w:kern w:val="0"/>
          <w:sz w:val="24"/>
          <w:szCs w:val="24"/>
        </w:rPr>
      </w:pPr>
      <w:r>
        <w:rPr>
          <w:rFonts w:hint="eastAsia" w:ascii="宋体" w:hAnsi="宋体" w:cs="宋体"/>
          <w:b/>
          <w:color w:val="000000"/>
          <w:kern w:val="0"/>
          <w:sz w:val="24"/>
          <w:szCs w:val="24"/>
        </w:rPr>
        <w:t>▲2.</w:t>
      </w:r>
      <w:r>
        <w:rPr>
          <w:rFonts w:hint="eastAsia" w:ascii="宋体" w:hAnsi="宋体" w:cs="宋体"/>
          <w:b/>
          <w:color w:val="000000"/>
          <w:kern w:val="0"/>
          <w:sz w:val="24"/>
          <w:szCs w:val="24"/>
          <w:lang w:val="en-US" w:eastAsia="zh-CN"/>
        </w:rPr>
        <w:t>5</w:t>
      </w:r>
      <w:r>
        <w:rPr>
          <w:rFonts w:hint="eastAsia" w:ascii="宋体" w:hAnsi="宋体" w:cs="宋体"/>
          <w:b/>
          <w:color w:val="000000"/>
          <w:kern w:val="0"/>
          <w:sz w:val="24"/>
          <w:szCs w:val="24"/>
        </w:rPr>
        <w:t>、无失信行为承诺书（格式见第五部分 响应文件格式）；</w:t>
      </w:r>
    </w:p>
    <w:p>
      <w:pPr>
        <w:spacing w:line="440" w:lineRule="exact"/>
        <w:ind w:firstLine="480" w:firstLineChars="200"/>
        <w:rPr>
          <w:rFonts w:hint="eastAsia" w:ascii="宋体" w:hAnsi="宋体" w:cs="宋体"/>
          <w:bCs/>
          <w:color w:val="000000"/>
          <w:kern w:val="0"/>
          <w:sz w:val="24"/>
          <w:szCs w:val="24"/>
        </w:rPr>
      </w:pPr>
      <w:r>
        <w:rPr>
          <w:rFonts w:hint="eastAsia" w:ascii="宋体" w:hAnsi="宋体" w:cs="宋体"/>
          <w:bCs/>
          <w:color w:val="000000"/>
          <w:kern w:val="0"/>
          <w:sz w:val="24"/>
          <w:szCs w:val="24"/>
        </w:rPr>
        <w:t>2.</w:t>
      </w:r>
      <w:r>
        <w:rPr>
          <w:rFonts w:hint="eastAsia" w:ascii="宋体" w:hAnsi="宋体" w:cs="宋体"/>
          <w:bCs/>
          <w:color w:val="000000"/>
          <w:kern w:val="0"/>
          <w:sz w:val="24"/>
          <w:szCs w:val="24"/>
          <w:lang w:val="en-US" w:eastAsia="zh-CN"/>
        </w:rPr>
        <w:t>6</w:t>
      </w:r>
      <w:r>
        <w:rPr>
          <w:rFonts w:hint="eastAsia" w:ascii="宋体" w:hAnsi="宋体" w:cs="宋体"/>
          <w:bCs/>
          <w:color w:val="000000"/>
          <w:kern w:val="0"/>
          <w:sz w:val="24"/>
          <w:szCs w:val="24"/>
        </w:rPr>
        <w:t>、所投产品具体配置表：详细列明所投产品设备清单，完整配置方案及技术指标，项目的主要设备必须明确所投产品的品牌、规格型号、材质及具体技术指标，任何含糊不清的表述对评审结果的影响将是谈判响应方的责任；</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w:t>
      </w:r>
      <w:r>
        <w:rPr>
          <w:rFonts w:hint="eastAsia" w:ascii="宋体" w:hAnsi="宋体"/>
          <w:bCs/>
          <w:color w:val="000000"/>
          <w:sz w:val="24"/>
          <w:lang w:val="en-US" w:eastAsia="zh-CN"/>
        </w:rPr>
        <w:t>7</w:t>
      </w:r>
      <w:r>
        <w:rPr>
          <w:rFonts w:hint="eastAsia" w:ascii="宋体" w:hAnsi="宋体"/>
          <w:bCs/>
          <w:color w:val="000000"/>
          <w:sz w:val="24"/>
        </w:rPr>
        <w:t>、所投产品各厂商网站公开的该产品技术指标或印刷版的产品技术白皮书或手册、厂家出具盖厂家公章的特别说明（技术指标部分须加盖谈判响应方公章）；</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w:t>
      </w:r>
      <w:r>
        <w:rPr>
          <w:rFonts w:hint="eastAsia" w:ascii="宋体" w:hAnsi="宋体"/>
          <w:bCs/>
          <w:color w:val="000000"/>
          <w:sz w:val="24"/>
          <w:lang w:val="en-US" w:eastAsia="zh-CN"/>
        </w:rPr>
        <w:t>8</w:t>
      </w:r>
      <w:r>
        <w:rPr>
          <w:rFonts w:hint="eastAsia" w:ascii="宋体" w:hAnsi="宋体"/>
          <w:bCs/>
          <w:color w:val="000000"/>
          <w:sz w:val="24"/>
        </w:rPr>
        <w:t>、技术偏离表：谈判响应方必须针对</w:t>
      </w:r>
      <w:r>
        <w:rPr>
          <w:rFonts w:hint="eastAsia" w:ascii="宋体" w:hAnsi="宋体"/>
          <w:bCs/>
          <w:sz w:val="24"/>
        </w:rPr>
        <w:t>采购清单中技术参数等要求</w:t>
      </w:r>
      <w:r>
        <w:rPr>
          <w:rFonts w:hint="eastAsia" w:ascii="宋体" w:hAnsi="宋体"/>
          <w:bCs/>
          <w:color w:val="000000"/>
          <w:sz w:val="24"/>
        </w:rPr>
        <w:t>逐个做出响应；</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w:t>
      </w:r>
      <w:r>
        <w:rPr>
          <w:rFonts w:hint="eastAsia" w:ascii="宋体" w:hAnsi="宋体"/>
          <w:bCs/>
          <w:color w:val="000000"/>
          <w:sz w:val="24"/>
          <w:lang w:val="en-US" w:eastAsia="zh-CN"/>
        </w:rPr>
        <w:t>9</w:t>
      </w:r>
      <w:r>
        <w:rPr>
          <w:rFonts w:hint="eastAsia" w:ascii="宋体" w:hAnsi="宋体"/>
          <w:bCs/>
          <w:color w:val="000000"/>
          <w:sz w:val="24"/>
        </w:rPr>
        <w:t>、项目实施方案，可包括：组织机构、工作时间进度表、工作程序和步骤、管理和协调方法等；送货、货物存放、安装调试方案；确保按时交付、正常运行等措施；</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w:t>
      </w:r>
      <w:r>
        <w:rPr>
          <w:rFonts w:hint="eastAsia" w:ascii="宋体" w:hAnsi="宋体"/>
          <w:bCs/>
          <w:color w:val="000000"/>
          <w:sz w:val="24"/>
          <w:lang w:val="en-US" w:eastAsia="zh-CN"/>
        </w:rPr>
        <w:t>10</w:t>
      </w:r>
      <w:r>
        <w:rPr>
          <w:rFonts w:hint="eastAsia" w:ascii="宋体" w:hAnsi="宋体"/>
          <w:bCs/>
          <w:color w:val="000000"/>
          <w:sz w:val="24"/>
        </w:rPr>
        <w:t>、项目组人员情况安排表；</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2.1</w:t>
      </w:r>
      <w:r>
        <w:rPr>
          <w:rFonts w:hint="eastAsia" w:ascii="宋体" w:hAnsi="宋体"/>
          <w:bCs/>
          <w:color w:val="000000"/>
          <w:sz w:val="24"/>
          <w:lang w:val="en-US" w:eastAsia="zh-CN"/>
        </w:rPr>
        <w:t>1</w:t>
      </w:r>
      <w:r>
        <w:rPr>
          <w:rFonts w:hint="eastAsia" w:ascii="宋体" w:hAnsi="宋体"/>
          <w:bCs/>
          <w:color w:val="000000"/>
          <w:sz w:val="24"/>
        </w:rPr>
        <w:t>、售后服务方案，包括：以书面形式完整准确地表述原厂家的标准售后服务承诺（范围、标准及期限等），谈判响应方可能增加的服务承诺等，包括质保期内提供上门维护服务，日常检测及保养，出现质量问题如何处理和赔偿，对应急维修、故障响应、到达现场、解决问题时效、现场不能修复的所采取的措施，提供故障排除、性能调优、技术咨询等售后技术支持服务情况，并明示服务承诺可能涉及的前提设定和费用，否则将被认为是无条件和免费的；</w:t>
      </w:r>
    </w:p>
    <w:p>
      <w:pPr>
        <w:spacing w:line="440" w:lineRule="exact"/>
        <w:ind w:firstLine="480" w:firstLineChars="200"/>
        <w:rPr>
          <w:rFonts w:hint="eastAsia" w:ascii="宋体" w:hAnsi="宋体"/>
          <w:bCs/>
          <w:color w:val="000000"/>
          <w:sz w:val="24"/>
        </w:rPr>
      </w:pPr>
      <w:r>
        <w:rPr>
          <w:rFonts w:hint="eastAsia" w:ascii="宋体" w:hAnsi="宋体"/>
          <w:bCs/>
          <w:color w:val="000000"/>
          <w:sz w:val="24"/>
        </w:rPr>
        <w:t>2.1</w:t>
      </w:r>
      <w:r>
        <w:rPr>
          <w:rFonts w:hint="eastAsia" w:ascii="宋体" w:hAnsi="宋体"/>
          <w:bCs/>
          <w:color w:val="000000"/>
          <w:sz w:val="24"/>
          <w:lang w:val="en-US" w:eastAsia="zh-CN"/>
        </w:rPr>
        <w:t>2</w:t>
      </w:r>
      <w:r>
        <w:rPr>
          <w:rFonts w:hint="eastAsia" w:ascii="宋体" w:hAnsi="宋体"/>
          <w:bCs/>
          <w:color w:val="000000"/>
          <w:sz w:val="24"/>
        </w:rPr>
        <w:t>、本地化服务能力证明，列明距采购人最近或者能为本项目提供最优服务的网点情况，确保能够快速提供良好的售后服务；</w:t>
      </w:r>
    </w:p>
    <w:p>
      <w:pPr>
        <w:pStyle w:val="36"/>
        <w:spacing w:before="0" w:line="440" w:lineRule="exact"/>
        <w:ind w:firstLine="480"/>
        <w:rPr>
          <w:rFonts w:hint="eastAsia" w:ascii="宋体" w:hAnsi="宋体"/>
          <w:bCs/>
          <w:color w:val="000000"/>
        </w:rPr>
      </w:pPr>
      <w:r>
        <w:rPr>
          <w:rFonts w:hint="eastAsia" w:ascii="宋体" w:hAnsi="宋体"/>
          <w:bCs/>
          <w:color w:val="000000"/>
        </w:rPr>
        <w:t>2.1</w:t>
      </w:r>
      <w:r>
        <w:rPr>
          <w:rFonts w:hint="eastAsia" w:ascii="宋体" w:hAnsi="宋体"/>
          <w:bCs/>
          <w:color w:val="000000"/>
          <w:lang w:val="en-US" w:eastAsia="zh-CN"/>
        </w:rPr>
        <w:t>3</w:t>
      </w:r>
      <w:r>
        <w:rPr>
          <w:rFonts w:hint="eastAsia" w:ascii="宋体" w:hAnsi="宋体"/>
          <w:bCs/>
          <w:color w:val="000000"/>
        </w:rPr>
        <w:t>、类似项目实施业绩一览表：谈判响应方自  年  月  日以来承担过类似项目的业绩（以合同签订时间为准，须提供合同复印件加盖公章）；</w:t>
      </w:r>
    </w:p>
    <w:p>
      <w:pPr>
        <w:pStyle w:val="36"/>
        <w:spacing w:before="0" w:line="440" w:lineRule="exact"/>
        <w:ind w:firstLine="508" w:firstLineChars="212"/>
        <w:rPr>
          <w:rFonts w:hint="eastAsia" w:ascii="宋体" w:hAnsi="宋体" w:cs="宋体"/>
          <w:bCs/>
          <w:color w:val="000000"/>
          <w:kern w:val="0"/>
        </w:rPr>
      </w:pPr>
      <w:r>
        <w:rPr>
          <w:rFonts w:hint="eastAsia" w:ascii="宋体" w:hAnsi="宋体"/>
          <w:bCs/>
          <w:color w:val="000000"/>
        </w:rPr>
        <w:t>2.1</w:t>
      </w:r>
      <w:r>
        <w:rPr>
          <w:rFonts w:hint="eastAsia" w:ascii="宋体" w:hAnsi="宋体"/>
          <w:bCs/>
          <w:color w:val="000000"/>
          <w:lang w:val="en-US" w:eastAsia="zh-CN"/>
        </w:rPr>
        <w:t>4</w:t>
      </w:r>
      <w:r>
        <w:rPr>
          <w:rFonts w:hint="eastAsia" w:ascii="宋体" w:hAnsi="宋体"/>
          <w:bCs/>
          <w:color w:val="000000"/>
        </w:rPr>
        <w:t>、关于对采购文件中有关条款的拒绝声明（</w:t>
      </w:r>
      <w:r>
        <w:rPr>
          <w:rFonts w:hint="eastAsia" w:ascii="宋体" w:hAnsi="宋体" w:cs="仿宋_GB2312"/>
          <w:bCs/>
          <w:color w:val="000000"/>
          <w:kern w:val="0"/>
          <w:lang w:val="zh-CN"/>
        </w:rPr>
        <w:t>如果有的话）</w:t>
      </w:r>
      <w:r>
        <w:rPr>
          <w:rFonts w:hint="eastAsia" w:ascii="宋体" w:hAnsi="宋体"/>
          <w:bCs/>
          <w:color w:val="000000"/>
          <w:lang w:val="zh-CN"/>
        </w:rPr>
        <w:t>；</w:t>
      </w:r>
    </w:p>
    <w:p>
      <w:pPr>
        <w:snapToGrid w:val="0"/>
        <w:spacing w:line="440" w:lineRule="exact"/>
        <w:ind w:firstLine="480" w:firstLineChars="200"/>
        <w:rPr>
          <w:rFonts w:hint="eastAsia" w:ascii="宋体" w:hAnsi="宋体"/>
          <w:bCs/>
          <w:color w:val="000000"/>
          <w:sz w:val="24"/>
          <w:szCs w:val="20"/>
        </w:rPr>
      </w:pPr>
      <w:r>
        <w:rPr>
          <w:rFonts w:hint="eastAsia" w:ascii="宋体" w:hAnsi="宋体"/>
          <w:bCs/>
          <w:color w:val="000000"/>
          <w:sz w:val="24"/>
          <w:szCs w:val="20"/>
        </w:rPr>
        <w:t>2.1</w:t>
      </w:r>
      <w:r>
        <w:rPr>
          <w:rFonts w:hint="eastAsia" w:ascii="宋体" w:hAnsi="宋体"/>
          <w:bCs/>
          <w:color w:val="000000"/>
          <w:sz w:val="24"/>
          <w:szCs w:val="20"/>
          <w:lang w:val="en-US" w:eastAsia="zh-CN"/>
        </w:rPr>
        <w:t>5</w:t>
      </w:r>
      <w:r>
        <w:rPr>
          <w:rFonts w:hint="eastAsia" w:ascii="宋体" w:hAnsi="宋体"/>
          <w:bCs/>
          <w:color w:val="000000"/>
          <w:sz w:val="24"/>
          <w:szCs w:val="20"/>
        </w:rPr>
        <w:t>、谈判响应方认为需要提供的其他说明。</w:t>
      </w:r>
    </w:p>
    <w:p>
      <w:pPr>
        <w:spacing w:line="360" w:lineRule="auto"/>
        <w:rPr>
          <w:rFonts w:hint="eastAsia" w:ascii="宋体" w:hAnsi="宋体"/>
          <w:b/>
          <w:color w:val="000000"/>
          <w:sz w:val="24"/>
          <w:szCs w:val="24"/>
        </w:rPr>
      </w:pPr>
      <w:r>
        <w:rPr>
          <w:rFonts w:hint="eastAsia" w:ascii="宋体" w:hAnsi="宋体"/>
          <w:b/>
          <w:color w:val="000000"/>
          <w:sz w:val="24"/>
          <w:szCs w:val="24"/>
        </w:rPr>
        <w:t>28、报价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谈判响应方的报价是响应本项目要求的全部工作内容的价格体现，投标报价应包括完成整个项目的各种人工费、设备设施、管理、利润、税务费、必要的保险费用及合同实施过程中不可预见的费用等的总和；。</w:t>
      </w:r>
    </w:p>
    <w:p>
      <w:pPr>
        <w:spacing w:line="360" w:lineRule="auto"/>
        <w:rPr>
          <w:rFonts w:ascii="宋体" w:hAnsi="宋体"/>
          <w:b/>
          <w:color w:val="000000"/>
          <w:sz w:val="24"/>
          <w:szCs w:val="24"/>
        </w:rPr>
      </w:pPr>
      <w:r>
        <w:rPr>
          <w:rFonts w:hint="eastAsia" w:ascii="宋体" w:hAnsi="宋体"/>
          <w:b/>
          <w:color w:val="000000"/>
          <w:sz w:val="24"/>
          <w:szCs w:val="24"/>
        </w:rPr>
        <w:t>29、竞争性谈判评审办法</w:t>
      </w:r>
    </w:p>
    <w:p>
      <w:pPr>
        <w:pStyle w:val="36"/>
        <w:spacing w:before="0" w:line="440" w:lineRule="exact"/>
        <w:ind w:firstLine="511" w:firstLineChars="212"/>
        <w:rPr>
          <w:rFonts w:hint="eastAsia" w:ascii="宋体" w:hAnsi="宋体"/>
          <w:b/>
          <w:color w:val="000000"/>
        </w:rPr>
      </w:pPr>
      <w:r>
        <w:rPr>
          <w:rFonts w:hint="eastAsia" w:ascii="宋体" w:hAnsi="宋体"/>
          <w:b/>
          <w:color w:val="000000"/>
        </w:rPr>
        <w:t>29.1、谈判准备</w:t>
      </w:r>
    </w:p>
    <w:p>
      <w:pPr>
        <w:pStyle w:val="5"/>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采购组织机构将按照竞争性谈判文件规定的时间通过“政府采购云平台”组织开标、开启投标文件，所有响应供应商均应当准时在线参加。</w:t>
      </w:r>
    </w:p>
    <w:p>
      <w:pPr>
        <w:pStyle w:val="5"/>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b/>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采购组织机构将按照招标文件规定的时间通过“政府采购云平台”组织谈判、开启投标响应文件，所有响应供应商均应当准时在线参加。响应</w:t>
      </w:r>
      <w:r>
        <w:rPr>
          <w:rFonts w:hint="eastAsia" w:ascii="宋体" w:hAnsi="宋体" w:cs="Arial"/>
          <w:b/>
          <w:color w:val="000000"/>
          <w:kern w:val="0"/>
          <w:sz w:val="24"/>
        </w:rPr>
        <w:t>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，同时投标响应供应商因未在线参加开标而导致投标响应文件无法按时解密等一切后果由供应商自己承担。</w:t>
      </w:r>
    </w:p>
    <w:p>
      <w:pPr>
        <w:spacing w:line="360" w:lineRule="auto"/>
        <w:ind w:firstLine="422" w:firstLineChars="176"/>
        <w:rPr>
          <w:rFonts w:hint="eastAsia" w:ascii="宋体" w:hAnsi="宋体" w:cs="Arial"/>
          <w:b/>
          <w:bCs/>
          <w:color w:val="000000"/>
          <w:kern w:val="0"/>
          <w:sz w:val="24"/>
        </w:rPr>
      </w:pPr>
      <w:r>
        <w:rPr>
          <w:rFonts w:hint="eastAsia" w:ascii="宋体" w:hAnsi="宋体" w:cs="Arial"/>
          <w:color w:val="000000"/>
          <w:kern w:val="0"/>
          <w:sz w:val="24"/>
        </w:rPr>
        <w:t>2.3</w:t>
      </w:r>
      <w:r>
        <w:rPr>
          <w:rFonts w:hint="eastAsia" w:ascii="宋体" w:hAnsi="宋体" w:cs="Arial"/>
          <w:b/>
          <w:bCs/>
          <w:color w:val="000000"/>
          <w:kern w:val="0"/>
          <w:sz w:val="24"/>
        </w:rPr>
        <w:t>开标期间，投标响应人等交易主体应使用数字证书(CA)在各自的电脑终端上登录不见面开标大厅，并进行相关操作。各电脑终端上的所有操作均被视为各交易主体的行为，并各自承担相应的法律责任。</w:t>
      </w:r>
    </w:p>
    <w:p>
      <w:pPr>
        <w:pStyle w:val="36"/>
        <w:spacing w:before="0" w:line="440" w:lineRule="exact"/>
        <w:ind w:firstLine="508" w:firstLineChars="212"/>
        <w:rPr>
          <w:rFonts w:hint="eastAsia" w:ascii="宋体" w:hAnsi="宋体"/>
          <w:b/>
          <w:color w:val="000000"/>
        </w:rPr>
      </w:pPr>
      <w:r>
        <w:rPr>
          <w:rFonts w:hint="eastAsia" w:ascii="宋体" w:hAnsi="宋体" w:cs="Arial"/>
          <w:color w:val="000000"/>
          <w:kern w:val="0"/>
        </w:rPr>
        <w:t>2.4</w:t>
      </w:r>
      <w:r>
        <w:rPr>
          <w:rFonts w:hint="eastAsia" w:ascii="宋体" w:hAnsi="宋体" w:cs="Arial"/>
          <w:b/>
          <w:bCs/>
          <w:color w:val="000000"/>
          <w:kern w:val="0"/>
        </w:rPr>
        <w:t>投标响应人应在投标截止时间之前使用数字证书(CA)自行登录不见面开标大厅，在线等待开标，并在开标期间保持通讯畅通。</w:t>
      </w:r>
      <w:r>
        <w:rPr>
          <w:rFonts w:hint="eastAsia" w:ascii="宋体" w:hAnsi="宋体"/>
          <w:b/>
          <w:color w:val="000000"/>
        </w:rPr>
        <w:t>采购组织机构</w:t>
      </w:r>
      <w:r>
        <w:rPr>
          <w:rFonts w:hint="eastAsia" w:ascii="宋体" w:hAnsi="宋体" w:cs="Arial"/>
          <w:color w:val="000000"/>
          <w:kern w:val="0"/>
        </w:rPr>
        <w:t>向各投标响应人发出电子加密投标文件【开始解密】通知，由投标响应人按竞争性谈判文件规定的时间内自行进行投标响应文件解密。投标文件的制作和解密应使用同一个数字证书，否则将可能解密失败。</w:t>
      </w:r>
      <w:r>
        <w:rPr>
          <w:rFonts w:hint="eastAsia" w:ascii="宋体" w:hAnsi="宋体"/>
          <w:b/>
          <w:color w:val="000000"/>
        </w:rPr>
        <w:t>29.2、组建谈判小组</w:t>
      </w:r>
    </w:p>
    <w:p>
      <w:pPr>
        <w:spacing w:line="360" w:lineRule="auto"/>
        <w:ind w:firstLine="480" w:firstLineChars="200"/>
        <w:rPr>
          <w:rFonts w:hint="eastAsia" w:ascii="宋体" w:hAnsi="宋体"/>
          <w:color w:val="000000"/>
        </w:rPr>
      </w:pPr>
      <w:r>
        <w:rPr>
          <w:rFonts w:hint="eastAsia" w:ascii="宋体" w:hAnsi="宋体"/>
          <w:color w:val="000000"/>
          <w:sz w:val="24"/>
          <w:szCs w:val="24"/>
        </w:rPr>
        <w:t>谈判小组由采购人的代表和有关专家共三人</w:t>
      </w:r>
      <w:r>
        <w:rPr>
          <w:rFonts w:hint="eastAsia" w:ascii="宋体" w:hAnsi="宋体"/>
          <w:color w:val="000000"/>
          <w:sz w:val="24"/>
          <w:szCs w:val="24"/>
          <w:highlight w:val="lightGray"/>
        </w:rPr>
        <w:t>及</w:t>
      </w:r>
      <w:r>
        <w:rPr>
          <w:rFonts w:hint="eastAsia" w:ascii="宋体" w:hAnsi="宋体"/>
          <w:color w:val="000000"/>
          <w:sz w:val="24"/>
          <w:szCs w:val="24"/>
        </w:rPr>
        <w:t>以上的单数组成，其中专家的人数不得少于成员总数的三分之二</w:t>
      </w:r>
      <w:r>
        <w:rPr>
          <w:rFonts w:hint="eastAsia" w:ascii="宋体" w:hAnsi="宋体"/>
          <w:color w:val="000000"/>
        </w:rPr>
        <w:t>。</w:t>
      </w:r>
    </w:p>
    <w:p>
      <w:pPr>
        <w:pStyle w:val="36"/>
        <w:spacing w:before="0" w:line="440" w:lineRule="exact"/>
        <w:ind w:firstLine="511" w:firstLineChars="212"/>
        <w:rPr>
          <w:rFonts w:ascii="宋体" w:hAnsi="宋体"/>
          <w:b/>
          <w:color w:val="000000"/>
        </w:rPr>
      </w:pPr>
      <w:r>
        <w:rPr>
          <w:rFonts w:hint="eastAsia" w:ascii="宋体" w:hAnsi="宋体"/>
          <w:b/>
          <w:color w:val="000000"/>
        </w:rPr>
        <w:t>29.3、响应文件鉴定</w:t>
      </w:r>
    </w:p>
    <w:p>
      <w:pPr>
        <w:pStyle w:val="36"/>
        <w:spacing w:before="0" w:line="460" w:lineRule="exact"/>
        <w:ind w:firstLine="480"/>
        <w:rPr>
          <w:rFonts w:hint="eastAsia" w:ascii="宋体" w:hAnsi="宋体"/>
          <w:color w:val="000000"/>
        </w:rPr>
      </w:pPr>
      <w:r>
        <w:rPr>
          <w:rFonts w:hint="eastAsia" w:ascii="宋体" w:hAnsi="宋体"/>
          <w:color w:val="000000"/>
        </w:rPr>
        <w:t>谈判小组对响应文件进行初步审查，检查文件签署是否规范以及谈判响应方资格是否符合要求等。如响应文件被确认为无效，采购代理机构将及时通知该谈判响应方。</w:t>
      </w:r>
    </w:p>
    <w:p>
      <w:pPr>
        <w:spacing w:line="440" w:lineRule="exact"/>
        <w:ind w:firstLine="470" w:firstLineChars="196"/>
        <w:rPr>
          <w:rFonts w:hint="eastAsia" w:ascii="宋体" w:hAnsi="宋体" w:cs="宋体"/>
          <w:color w:val="000000"/>
          <w:sz w:val="24"/>
        </w:rPr>
      </w:pPr>
      <w:r>
        <w:rPr>
          <w:rFonts w:hint="eastAsia" w:ascii="宋体" w:hAnsi="宋体" w:cs="宋体"/>
          <w:color w:val="000000"/>
          <w:sz w:val="24"/>
        </w:rPr>
        <w:t>参照《政府采购货物和服务招标投标管理办法 （中华人民共和国财政部令第87号）》第三十七条规定，有下列情形之一的，视为供应商串通投标，其投标无效：</w:t>
      </w:r>
    </w:p>
    <w:p>
      <w:pPr>
        <w:spacing w:line="440" w:lineRule="exact"/>
        <w:ind w:firstLine="470" w:firstLineChars="196"/>
        <w:rPr>
          <w:rFonts w:hint="eastAsia" w:ascii="宋体" w:hAnsi="宋体" w:cs="宋体"/>
          <w:color w:val="000000"/>
          <w:sz w:val="24"/>
        </w:rPr>
      </w:pPr>
      <w:r>
        <w:rPr>
          <w:rFonts w:hint="eastAsia" w:ascii="宋体" w:hAnsi="宋体" w:cs="宋体"/>
          <w:color w:val="000000"/>
          <w:sz w:val="24"/>
        </w:rPr>
        <w:t>　　（一）不同供应商的响应文件由同一单位或者个人编制；</w:t>
      </w:r>
    </w:p>
    <w:p>
      <w:pPr>
        <w:spacing w:line="440" w:lineRule="exact"/>
        <w:ind w:firstLine="470" w:firstLineChars="196"/>
        <w:rPr>
          <w:rFonts w:hint="eastAsia" w:ascii="宋体" w:hAnsi="宋体" w:cs="宋体"/>
          <w:color w:val="000000"/>
          <w:sz w:val="24"/>
        </w:rPr>
      </w:pPr>
      <w:r>
        <w:rPr>
          <w:rFonts w:hint="eastAsia" w:ascii="宋体" w:hAnsi="宋体" w:cs="宋体"/>
          <w:color w:val="000000"/>
          <w:sz w:val="24"/>
        </w:rPr>
        <w:t>　　（二）不同供应商委托同一单位或者个人办理投标事宜；</w:t>
      </w:r>
    </w:p>
    <w:p>
      <w:pPr>
        <w:spacing w:line="440" w:lineRule="exact"/>
        <w:ind w:firstLine="470" w:firstLineChars="196"/>
        <w:rPr>
          <w:rFonts w:hint="eastAsia" w:ascii="宋体" w:hAnsi="宋体" w:cs="宋体"/>
          <w:color w:val="000000"/>
          <w:sz w:val="24"/>
        </w:rPr>
      </w:pPr>
      <w:r>
        <w:rPr>
          <w:rFonts w:hint="eastAsia" w:ascii="宋体" w:hAnsi="宋体" w:cs="宋体"/>
          <w:color w:val="000000"/>
          <w:sz w:val="24"/>
        </w:rPr>
        <w:t>　　（三）不同供应商的响应文件载明的项目管理成员或者联系人员为同一人；</w:t>
      </w:r>
    </w:p>
    <w:p>
      <w:pPr>
        <w:spacing w:line="440" w:lineRule="exact"/>
        <w:ind w:firstLine="470" w:firstLineChars="196"/>
        <w:rPr>
          <w:rFonts w:hint="eastAsia" w:ascii="宋体" w:hAnsi="宋体" w:cs="宋体"/>
          <w:color w:val="000000"/>
          <w:sz w:val="24"/>
        </w:rPr>
      </w:pPr>
      <w:r>
        <w:rPr>
          <w:rFonts w:hint="eastAsia" w:ascii="宋体" w:hAnsi="宋体" w:cs="宋体"/>
          <w:color w:val="000000"/>
          <w:sz w:val="24"/>
        </w:rPr>
        <w:t>　　（四）不同供应商的响应文件异常一致或者报价呈规律性差异；</w:t>
      </w:r>
    </w:p>
    <w:p>
      <w:pPr>
        <w:spacing w:line="440" w:lineRule="exact"/>
        <w:ind w:firstLine="470" w:firstLineChars="196"/>
        <w:rPr>
          <w:rFonts w:hint="eastAsia" w:ascii="宋体" w:hAnsi="宋体" w:cs="宋体"/>
          <w:color w:val="000000"/>
          <w:sz w:val="24"/>
        </w:rPr>
      </w:pPr>
      <w:r>
        <w:rPr>
          <w:rFonts w:hint="eastAsia" w:ascii="宋体" w:hAnsi="宋体" w:cs="宋体"/>
          <w:color w:val="000000"/>
          <w:sz w:val="24"/>
        </w:rPr>
        <w:t>　　（五）不同供应商的响应文件相互混装；</w:t>
      </w:r>
    </w:p>
    <w:p>
      <w:pPr>
        <w:pStyle w:val="36"/>
        <w:spacing w:before="0" w:line="440" w:lineRule="exact"/>
        <w:ind w:firstLine="511" w:firstLineChars="212"/>
        <w:rPr>
          <w:rFonts w:hint="eastAsia" w:ascii="宋体" w:hAnsi="宋体"/>
          <w:b/>
          <w:color w:val="000000"/>
        </w:rPr>
      </w:pPr>
      <w:r>
        <w:rPr>
          <w:rFonts w:hint="eastAsia" w:ascii="宋体" w:hAnsi="宋体"/>
          <w:b/>
          <w:color w:val="000000"/>
        </w:rPr>
        <w:t>29.4、评审办法</w:t>
      </w:r>
    </w:p>
    <w:p>
      <w:pPr>
        <w:spacing w:line="460" w:lineRule="exact"/>
        <w:ind w:firstLine="482"/>
        <w:rPr>
          <w:rFonts w:hint="eastAsia" w:ascii="宋体" w:hAnsi="宋体"/>
          <w:color w:val="000000"/>
          <w:sz w:val="24"/>
        </w:rPr>
      </w:pPr>
      <w:r>
        <w:rPr>
          <w:rFonts w:hint="eastAsia" w:ascii="宋体" w:hAnsi="宋体"/>
          <w:color w:val="000000"/>
          <w:sz w:val="24"/>
        </w:rPr>
        <w:t>本项目</w:t>
      </w:r>
      <w:r>
        <w:rPr>
          <w:rFonts w:hint="eastAsia" w:ascii="宋体" w:hAnsi="宋体" w:cs="宋体"/>
          <w:color w:val="000000"/>
          <w:kern w:val="0"/>
          <w:sz w:val="24"/>
        </w:rPr>
        <w:t>比照</w:t>
      </w:r>
      <w:r>
        <w:rPr>
          <w:rFonts w:hint="eastAsia" w:ascii="宋体" w:hAnsi="宋体"/>
          <w:color w:val="000000"/>
          <w:sz w:val="24"/>
        </w:rPr>
        <w:t>最低评标价法确定成交供应商，</w:t>
      </w:r>
      <w:r>
        <w:rPr>
          <w:rFonts w:hint="eastAsia" w:ascii="宋体" w:hAnsi="宋体" w:cs="宋体"/>
          <w:color w:val="000000"/>
          <w:kern w:val="0"/>
          <w:sz w:val="24"/>
        </w:rPr>
        <w:t>即在符合采购需求、质量和服务相等的前提下，以提出最低报价的供应商作为成交供应商。</w:t>
      </w:r>
    </w:p>
    <w:p>
      <w:pPr>
        <w:autoSpaceDE w:val="0"/>
        <w:autoSpaceDN w:val="0"/>
        <w:adjustRightInd w:val="0"/>
        <w:spacing w:line="460" w:lineRule="exact"/>
        <w:ind w:firstLine="540" w:firstLineChars="225"/>
        <w:rPr>
          <w:rFonts w:hint="eastAsia" w:ascii="宋体" w:hAnsi="宋体"/>
          <w:color w:val="000000"/>
          <w:sz w:val="24"/>
        </w:rPr>
      </w:pPr>
      <w:bookmarkStart w:id="4" w:name="_Toc367698153"/>
      <w:r>
        <w:rPr>
          <w:rFonts w:hint="eastAsia" w:ascii="宋体" w:hAnsi="宋体"/>
          <w:color w:val="000000"/>
          <w:sz w:val="24"/>
        </w:rPr>
        <w:t>谈判小组将按最终报价由低到高顺序排列。最终报价相同的，按技术指标从优至劣顺序排列。</w:t>
      </w:r>
      <w:bookmarkEnd w:id="4"/>
    </w:p>
    <w:p>
      <w:pPr>
        <w:pStyle w:val="36"/>
        <w:spacing w:before="0" w:line="440" w:lineRule="exact"/>
        <w:ind w:firstLine="511" w:firstLineChars="212"/>
        <w:rPr>
          <w:rFonts w:hint="eastAsia" w:ascii="宋体" w:hAnsi="宋体"/>
          <w:b/>
          <w:color w:val="000000"/>
        </w:rPr>
      </w:pPr>
      <w:r>
        <w:rPr>
          <w:rFonts w:hint="eastAsia" w:ascii="宋体" w:hAnsi="宋体"/>
          <w:b/>
          <w:color w:val="000000"/>
        </w:rPr>
        <w:t>29.5、 谈判流程</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1）由招标代理机构登陆“政府采购云平台”在线向各投标响应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）投标响应文件解密结束，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）开启投标响应文件，谈判小组审阅采购文件和响应文件，进入资格审查；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4</w:t>
      </w:r>
      <w:r>
        <w:rPr>
          <w:rFonts w:hint="eastAsia" w:ascii="宋体" w:hAnsi="宋体" w:cs="Arial"/>
          <w:color w:val="000000"/>
          <w:kern w:val="0"/>
          <w:sz w:val="24"/>
        </w:rPr>
        <w:t>）开启资格审查通过的投标供应商的响应文件进入符合性审查；</w:t>
      </w:r>
    </w:p>
    <w:p>
      <w:pPr>
        <w:spacing w:line="360" w:lineRule="auto"/>
        <w:ind w:firstLine="424" w:firstLineChars="177"/>
        <w:jc w:val="left"/>
        <w:rPr>
          <w:rFonts w:hint="eastAsia" w:ascii="宋体" w:hAnsi="宋体" w:cs="仿宋_GB2312"/>
          <w:color w:val="000000"/>
          <w:kern w:val="0"/>
          <w:sz w:val="24"/>
          <w:lang w:val="zh-CN"/>
        </w:rPr>
      </w:pPr>
      <w:r>
        <w:rPr>
          <w:rFonts w:hint="eastAsia" w:ascii="宋体" w:hAnsi="宋体" w:cs="Arial"/>
          <w:color w:val="000000"/>
          <w:kern w:val="0"/>
          <w:sz w:val="24"/>
        </w:rPr>
        <w:t>（5）符合性审查通过后</w:t>
      </w:r>
      <w:r>
        <w:rPr>
          <w:rFonts w:hint="eastAsia" w:ascii="宋体" w:hAnsi="宋体" w:cs="仿宋_GB2312"/>
          <w:color w:val="000000"/>
          <w:kern w:val="0"/>
          <w:sz w:val="24"/>
          <w:lang w:val="zh-CN"/>
        </w:rPr>
        <w:t>谈判小组讨论、通过谈判评审工作流程和谈判要点；</w:t>
      </w:r>
    </w:p>
    <w:p>
      <w:pPr>
        <w:tabs>
          <w:tab w:val="left" w:pos="0"/>
        </w:tabs>
        <w:autoSpaceDE w:val="0"/>
        <w:autoSpaceDN w:val="0"/>
        <w:adjustRightInd w:val="0"/>
        <w:spacing w:line="460" w:lineRule="exact"/>
        <w:ind w:firstLine="480"/>
        <w:rPr>
          <w:rFonts w:hint="eastAsia" w:ascii="宋体" w:hAnsi="宋体"/>
          <w:color w:val="000000"/>
          <w:sz w:val="24"/>
        </w:rPr>
      </w:pPr>
      <w:r>
        <w:rPr>
          <w:rFonts w:hint="eastAsia" w:ascii="宋体" w:hAnsi="宋体" w:cs="仿宋_GB2312"/>
          <w:color w:val="000000"/>
          <w:kern w:val="0"/>
          <w:sz w:val="24"/>
          <w:lang w:val="zh-CN"/>
        </w:rPr>
        <w:t>（</w:t>
      </w:r>
      <w:r>
        <w:rPr>
          <w:rFonts w:hint="eastAsia" w:ascii="宋体" w:hAnsi="宋体" w:cs="仿宋_GB2312"/>
          <w:color w:val="000000"/>
          <w:kern w:val="0"/>
          <w:sz w:val="24"/>
        </w:rPr>
        <w:t>6</w:t>
      </w:r>
      <w:r>
        <w:rPr>
          <w:rFonts w:hint="eastAsia" w:ascii="宋体" w:hAnsi="宋体" w:cs="仿宋_GB2312"/>
          <w:color w:val="000000"/>
          <w:kern w:val="0"/>
          <w:sz w:val="24"/>
          <w:lang w:val="zh-CN"/>
        </w:rPr>
        <w:t>）</w:t>
      </w:r>
      <w:r>
        <w:rPr>
          <w:rFonts w:hint="eastAsia" w:ascii="宋体" w:hAnsi="宋体"/>
          <w:color w:val="000000"/>
          <w:sz w:val="24"/>
        </w:rPr>
        <w:t>谈判响应方根据电子</w:t>
      </w:r>
      <w:r>
        <w:rPr>
          <w:rFonts w:hint="eastAsia" w:ascii="宋体" w:hAnsi="宋体"/>
          <w:b/>
          <w:bCs/>
          <w:color w:val="000000"/>
          <w:sz w:val="24"/>
        </w:rPr>
        <w:t>投标文件</w:t>
      </w:r>
      <w:r>
        <w:rPr>
          <w:rFonts w:hint="eastAsia" w:ascii="宋体" w:hAnsi="宋体"/>
          <w:color w:val="000000"/>
          <w:sz w:val="24"/>
        </w:rPr>
        <w:t>顺序逐家与谈判小组谈判。</w:t>
      </w:r>
    </w:p>
    <w:p>
      <w:pPr>
        <w:tabs>
          <w:tab w:val="left" w:pos="0"/>
        </w:tabs>
        <w:autoSpaceDE w:val="0"/>
        <w:autoSpaceDN w:val="0"/>
        <w:adjustRightInd w:val="0"/>
        <w:spacing w:line="460" w:lineRule="exact"/>
        <w:ind w:firstLine="480"/>
        <w:rPr>
          <w:rFonts w:hint="eastAsia" w:ascii="宋体" w:hAnsi="宋体" w:cs="仿宋_GB2312"/>
          <w:color w:val="000000"/>
          <w:kern w:val="0"/>
          <w:sz w:val="24"/>
          <w:lang w:val="zh-CN"/>
        </w:rPr>
      </w:pPr>
      <w:r>
        <w:rPr>
          <w:rFonts w:hint="eastAsia" w:ascii="宋体" w:hAnsi="宋体" w:cs="仿宋_GB2312"/>
          <w:color w:val="000000"/>
          <w:kern w:val="0"/>
          <w:sz w:val="24"/>
          <w:lang w:val="zh-CN"/>
        </w:rPr>
        <w:t>（</w:t>
      </w:r>
      <w:r>
        <w:rPr>
          <w:rFonts w:hint="eastAsia" w:ascii="宋体" w:hAnsi="宋体" w:cs="仿宋_GB2312"/>
          <w:color w:val="000000"/>
          <w:kern w:val="0"/>
          <w:sz w:val="24"/>
        </w:rPr>
        <w:t>7</w:t>
      </w:r>
      <w:r>
        <w:rPr>
          <w:rFonts w:hint="eastAsia" w:ascii="宋体" w:hAnsi="宋体" w:cs="仿宋_GB2312"/>
          <w:color w:val="000000"/>
          <w:kern w:val="0"/>
          <w:sz w:val="24"/>
          <w:lang w:val="zh-CN"/>
        </w:rPr>
        <w:t>）</w:t>
      </w:r>
      <w:r>
        <w:rPr>
          <w:rFonts w:hint="eastAsia" w:ascii="宋体" w:hAnsi="宋体"/>
          <w:color w:val="000000"/>
          <w:sz w:val="24"/>
        </w:rPr>
        <w:t>围绕谈判要点谈判小组全体成员集中与各个谈判响应方分别进行谈判。逐家谈判一次为一个轮次，谈判轮次由谈判小组视情况决定。</w:t>
      </w:r>
      <w:r>
        <w:rPr>
          <w:rFonts w:hint="eastAsia" w:ascii="宋体" w:hAnsi="宋体"/>
          <w:b/>
          <w:color w:val="000000"/>
          <w:sz w:val="24"/>
        </w:rPr>
        <w:t>谈判轮次最多不超过3轮。（供应商政采云平台进行多轮报价，建议各投标响应供应商应准备好笔记本电脑及CA锁，并保持网络正常，如因响应供应商因网络或电脑等原因造成报价失败，责任投标人自行承担。）</w:t>
      </w:r>
    </w:p>
    <w:p>
      <w:pPr>
        <w:autoSpaceDE w:val="0"/>
        <w:autoSpaceDN w:val="0"/>
        <w:adjustRightInd w:val="0"/>
        <w:spacing w:line="460" w:lineRule="exact"/>
        <w:ind w:firstLine="523"/>
        <w:rPr>
          <w:rFonts w:hint="eastAsia" w:ascii="宋体" w:hAnsi="宋体"/>
          <w:color w:val="000000"/>
          <w:sz w:val="24"/>
        </w:rPr>
      </w:pPr>
      <w:r>
        <w:rPr>
          <w:rFonts w:hint="eastAsia" w:ascii="宋体" w:hAnsi="宋体" w:cs="仿宋_GB2312"/>
          <w:color w:val="000000"/>
          <w:kern w:val="0"/>
          <w:sz w:val="24"/>
          <w:lang w:val="zh-CN"/>
        </w:rPr>
        <w:t>（</w:t>
      </w:r>
      <w:r>
        <w:rPr>
          <w:rFonts w:hint="eastAsia" w:ascii="宋体" w:hAnsi="宋体" w:cs="仿宋_GB2312"/>
          <w:color w:val="000000"/>
          <w:kern w:val="0"/>
          <w:sz w:val="24"/>
        </w:rPr>
        <w:t>8</w:t>
      </w:r>
      <w:r>
        <w:rPr>
          <w:rFonts w:hint="eastAsia" w:ascii="宋体" w:hAnsi="宋体" w:cs="仿宋_GB2312"/>
          <w:color w:val="000000"/>
          <w:kern w:val="0"/>
          <w:sz w:val="24"/>
          <w:lang w:val="zh-CN"/>
        </w:rPr>
        <w:t>）</w:t>
      </w:r>
      <w:r>
        <w:rPr>
          <w:rFonts w:hint="eastAsia" w:ascii="宋体" w:hAnsi="宋体"/>
          <w:color w:val="000000"/>
          <w:sz w:val="24"/>
        </w:rPr>
        <w:t>采购文件有实质性变动的，谈判小组将以书面形式通知所有参加谈判的谈判响应方。</w:t>
      </w:r>
    </w:p>
    <w:p>
      <w:pPr>
        <w:autoSpaceDE w:val="0"/>
        <w:autoSpaceDN w:val="0"/>
        <w:adjustRightInd w:val="0"/>
        <w:spacing w:line="460" w:lineRule="exact"/>
        <w:ind w:firstLine="523"/>
        <w:rPr>
          <w:rFonts w:hint="eastAsia" w:ascii="宋体" w:hAnsi="宋体" w:cs="仿宋_GB2312"/>
          <w:color w:val="000000"/>
          <w:kern w:val="0"/>
          <w:sz w:val="24"/>
          <w:lang w:val="zh-CN"/>
        </w:rPr>
      </w:pPr>
      <w:r>
        <w:rPr>
          <w:rFonts w:hint="eastAsia" w:ascii="宋体" w:hAnsi="宋体" w:cs="仿宋_GB2312"/>
          <w:color w:val="000000"/>
          <w:kern w:val="0"/>
          <w:sz w:val="24"/>
          <w:lang w:val="zh-CN"/>
        </w:rPr>
        <w:t>（</w:t>
      </w:r>
      <w:r>
        <w:rPr>
          <w:rFonts w:hint="eastAsia" w:ascii="宋体" w:hAnsi="宋体" w:cs="仿宋_GB2312"/>
          <w:color w:val="000000"/>
          <w:kern w:val="0"/>
          <w:sz w:val="24"/>
        </w:rPr>
        <w:t>9</w:t>
      </w:r>
      <w:r>
        <w:rPr>
          <w:rFonts w:hint="eastAsia" w:ascii="宋体" w:hAnsi="宋体" w:cs="仿宋_GB2312"/>
          <w:color w:val="000000"/>
          <w:kern w:val="0"/>
          <w:sz w:val="24"/>
          <w:lang w:val="zh-CN"/>
        </w:rPr>
        <w:t>）最终报价。谈判结束后，谈判小组将要求所有实质性响应采购文件的谈判响应方在规定时间内确定最终报价。</w:t>
      </w:r>
    </w:p>
    <w:p>
      <w:pPr>
        <w:autoSpaceDE w:val="0"/>
        <w:autoSpaceDN w:val="0"/>
        <w:adjustRightInd w:val="0"/>
        <w:spacing w:line="460" w:lineRule="exact"/>
        <w:ind w:firstLine="523"/>
        <w:rPr>
          <w:rFonts w:hint="eastAsia" w:ascii="宋体" w:hAnsi="宋体" w:cs="仿宋_GB2312"/>
          <w:color w:val="000000"/>
          <w:kern w:val="0"/>
          <w:sz w:val="24"/>
          <w:lang w:val="zh-CN"/>
        </w:rPr>
      </w:pPr>
      <w:r>
        <w:rPr>
          <w:rFonts w:hint="eastAsia" w:ascii="宋体" w:hAnsi="宋体" w:cs="仿宋_GB2312"/>
          <w:color w:val="000000"/>
          <w:kern w:val="0"/>
          <w:sz w:val="24"/>
          <w:lang w:val="zh-CN"/>
        </w:rPr>
        <w:t>（</w:t>
      </w:r>
      <w:r>
        <w:rPr>
          <w:rFonts w:hint="eastAsia" w:ascii="宋体" w:hAnsi="宋体" w:cs="仿宋_GB2312"/>
          <w:color w:val="000000"/>
          <w:kern w:val="0"/>
          <w:sz w:val="24"/>
        </w:rPr>
        <w:t>10</w:t>
      </w:r>
      <w:r>
        <w:rPr>
          <w:rFonts w:hint="eastAsia" w:ascii="宋体" w:hAnsi="宋体" w:cs="仿宋_GB2312"/>
          <w:color w:val="000000"/>
          <w:kern w:val="0"/>
          <w:sz w:val="24"/>
          <w:lang w:val="zh-CN"/>
        </w:rPr>
        <w:t>）推荐成交候选供应商。谈判小组根据“符合采购需求、质量和服务相等且报价最低”的原则按最终报价由低到高顺序推荐成交候选供应商。</w:t>
      </w:r>
    </w:p>
    <w:p>
      <w:pPr>
        <w:spacing w:line="360" w:lineRule="auto"/>
        <w:ind w:firstLine="424" w:firstLineChars="177"/>
        <w:jc w:val="left"/>
        <w:rPr>
          <w:rFonts w:hint="eastAsia" w:ascii="宋体" w:hAnsi="宋体" w:cs="仿宋_GB2312"/>
          <w:color w:val="000000"/>
          <w:kern w:val="0"/>
          <w:sz w:val="24"/>
          <w:lang w:val="zh-CN"/>
        </w:rPr>
      </w:pPr>
      <w:r>
        <w:rPr>
          <w:rFonts w:hint="eastAsia" w:ascii="宋体" w:hAnsi="宋体" w:cs="仿宋_GB2312"/>
          <w:color w:val="000000"/>
          <w:kern w:val="0"/>
          <w:sz w:val="24"/>
          <w:lang w:val="zh-CN"/>
        </w:rPr>
        <w:t>（</w:t>
      </w:r>
      <w:r>
        <w:rPr>
          <w:rFonts w:hint="eastAsia" w:ascii="宋体" w:hAnsi="宋体" w:cs="仿宋_GB2312"/>
          <w:color w:val="000000"/>
          <w:kern w:val="0"/>
          <w:sz w:val="24"/>
        </w:rPr>
        <w:t>11</w:t>
      </w:r>
      <w:r>
        <w:rPr>
          <w:rFonts w:hint="eastAsia" w:ascii="宋体" w:hAnsi="宋体" w:cs="仿宋_GB2312"/>
          <w:color w:val="000000"/>
          <w:kern w:val="0"/>
          <w:sz w:val="24"/>
          <w:lang w:val="zh-CN"/>
        </w:rPr>
        <w:t>）谈判小组出具谈判报告</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（12）谈判结束后，</w:t>
      </w:r>
      <w:r>
        <w:rPr>
          <w:rFonts w:hint="eastAsia" w:ascii="宋体" w:hAnsi="宋体" w:cs="Arial"/>
          <w:b/>
          <w:bCs/>
          <w:kern w:val="0"/>
          <w:sz w:val="24"/>
        </w:rPr>
        <w:t>通过</w:t>
      </w:r>
      <w:r>
        <w:rPr>
          <w:rFonts w:hint="eastAsia" w:ascii="宋体" w:hAnsi="宋体" w:cs="Arial"/>
          <w:color w:val="000000"/>
          <w:kern w:val="0"/>
          <w:sz w:val="24"/>
        </w:rPr>
        <w:t>“政府采购云平台”</w:t>
      </w:r>
      <w:r>
        <w:rPr>
          <w:rFonts w:hint="eastAsia" w:ascii="宋体" w:hAnsi="宋体" w:cs="Arial"/>
          <w:kern w:val="0"/>
          <w:sz w:val="24"/>
        </w:rPr>
        <w:t>公布中标（成交）候选供应商名单，及最终确定中标或成交供应商名单的时间和公告方式等。</w:t>
      </w:r>
    </w:p>
    <w:p>
      <w:pPr>
        <w:autoSpaceDE w:val="0"/>
        <w:autoSpaceDN w:val="0"/>
        <w:adjustRightInd w:val="0"/>
        <w:spacing w:line="460" w:lineRule="exact"/>
        <w:ind w:firstLine="523"/>
        <w:rPr>
          <w:rFonts w:hint="eastAsia" w:ascii="宋体" w:hAnsi="宋体" w:cs="仿宋_GB2312"/>
          <w:b/>
          <w:bCs/>
          <w:color w:val="000000"/>
          <w:kern w:val="0"/>
          <w:sz w:val="24"/>
          <w:lang w:val="zh-CN"/>
        </w:rPr>
      </w:pPr>
      <w:r>
        <w:rPr>
          <w:rFonts w:hint="eastAsia" w:ascii="宋体" w:hAnsi="宋体" w:cs="仿宋_GB2312"/>
          <w:b/>
          <w:bCs/>
          <w:color w:val="000000"/>
          <w:kern w:val="0"/>
          <w:sz w:val="24"/>
          <w:lang w:val="zh-CN"/>
        </w:rPr>
        <w:t>特别说明：如遇“政府采购云平台”电子化开标或评审程序调整的，按调整后程序执行。整个在线谈判过程各响应供应商代表不得离开电脑及保持通讯畅通，以便完成整个项目的谈判流程，否则引起的责任自负。</w:t>
      </w:r>
    </w:p>
    <w:p>
      <w:pPr>
        <w:spacing w:line="360" w:lineRule="auto"/>
        <w:rPr>
          <w:rFonts w:hint="eastAsia" w:ascii="宋体" w:hAnsi="宋体"/>
          <w:b/>
          <w:color w:val="000000"/>
          <w:sz w:val="24"/>
          <w:szCs w:val="24"/>
        </w:rPr>
      </w:pPr>
      <w:r>
        <w:rPr>
          <w:rFonts w:hint="eastAsia" w:ascii="宋体" w:hAnsi="宋体"/>
          <w:b/>
          <w:color w:val="000000"/>
          <w:sz w:val="24"/>
          <w:szCs w:val="24"/>
        </w:rPr>
        <w:t>30、谈判要点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30.1、响应文件的完整性：</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响应文件是否按照采购文件要求内容填写，有否遗漏，资格证明文件是否齐全。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30.2、技术方案、质量等针对本次项目的综合评审：</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从技术性能、指标、质量、技术方案等各个方面综合考评。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30.3、公司基本情况</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公司的规模、人员结构和经营状况及成功案例等。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30.4、售后服务承诺及保证措施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售后服务的响应时间，修复时间，保修期限，延长期限等。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30.5、服务进度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30.6、报价构成及最终报价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30.7、付款方式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30.8、有否特别承诺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30.9、其他</w:t>
      </w:r>
    </w:p>
    <w:p>
      <w:pPr>
        <w:pStyle w:val="36"/>
        <w:spacing w:before="0" w:line="440" w:lineRule="exact"/>
        <w:ind w:firstLine="0" w:firstLineChars="0"/>
        <w:rPr>
          <w:rFonts w:hint="eastAsia" w:ascii="宋体" w:hAnsi="宋体" w:cs="宋体"/>
          <w:b/>
          <w:color w:val="000000"/>
          <w:kern w:val="0"/>
          <w:szCs w:val="24"/>
        </w:rPr>
      </w:pPr>
      <w:r>
        <w:rPr>
          <w:rFonts w:hint="eastAsia" w:ascii="宋体" w:hAnsi="宋体" w:cs="宋体"/>
          <w:b/>
          <w:color w:val="000000"/>
          <w:kern w:val="0"/>
          <w:szCs w:val="24"/>
        </w:rPr>
        <w:t>31、解释权</w:t>
      </w:r>
    </w:p>
    <w:p>
      <w:pPr>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专用条款与通用条款有矛盾之处，以专用条款为准。凡涉及本次采购文件的解释权属于采购人与大地工程咨询有限公司。   </w:t>
      </w:r>
    </w:p>
    <w:p>
      <w:pPr>
        <w:jc w:val="center"/>
        <w:rPr>
          <w:rFonts w:hint="eastAsia"/>
          <w:b/>
          <w:bCs/>
          <w:sz w:val="36"/>
          <w:szCs w:val="36"/>
        </w:rPr>
      </w:pPr>
      <w:r>
        <w:rPr>
          <w:rFonts w:ascii="宋体" w:hAnsi="宋体"/>
          <w:color w:val="000000"/>
        </w:rPr>
        <w:br w:type="page"/>
      </w:r>
      <w:bookmarkStart w:id="5" w:name="_Toc303256681"/>
      <w:bookmarkStart w:id="6" w:name="_Toc12063"/>
      <w:r>
        <w:rPr>
          <w:rFonts w:hint="eastAsia"/>
          <w:b/>
          <w:bCs/>
          <w:sz w:val="36"/>
          <w:szCs w:val="36"/>
        </w:rPr>
        <w:t>第三部分 采购需求</w:t>
      </w:r>
      <w:bookmarkEnd w:id="5"/>
      <w:bookmarkEnd w:id="6"/>
    </w:p>
    <w:p>
      <w:pPr>
        <w:adjustRightInd w:val="0"/>
        <w:snapToGrid w:val="0"/>
        <w:spacing w:line="360" w:lineRule="auto"/>
        <w:rPr>
          <w:rFonts w:hint="eastAsia" w:ascii="宋体" w:hAnsi="宋体"/>
          <w:b/>
          <w:bCs/>
          <w:sz w:val="24"/>
          <w:szCs w:val="24"/>
        </w:rPr>
      </w:pPr>
      <w:bookmarkStart w:id="7" w:name="_Toc5262"/>
      <w:bookmarkStart w:id="8" w:name="_Toc303256693"/>
      <w:r>
        <w:rPr>
          <w:rFonts w:hint="eastAsia" w:ascii="宋体" w:hAnsi="宋体"/>
          <w:b/>
          <w:bCs/>
          <w:sz w:val="24"/>
          <w:szCs w:val="24"/>
        </w:rPr>
        <w:t>一、项目概述：</w:t>
      </w:r>
    </w:p>
    <w:p>
      <w:pPr>
        <w:adjustRightInd w:val="0"/>
        <w:snapToGrid w:val="0"/>
        <w:spacing w:line="360" w:lineRule="auto"/>
        <w:ind w:firstLine="480" w:firstLineChars="200"/>
        <w:rPr>
          <w:rFonts w:hint="eastAsia" w:ascii="宋体" w:hAnsi="宋体"/>
          <w:b/>
          <w:bCs/>
          <w:sz w:val="24"/>
          <w:szCs w:val="24"/>
        </w:rPr>
      </w:pPr>
      <w:r>
        <w:rPr>
          <w:rFonts w:hint="eastAsia" w:ascii="宋体" w:hAnsi="宋体" w:cs="宋体"/>
          <w:sz w:val="24"/>
          <w:szCs w:val="24"/>
        </w:rPr>
        <w:t>本次项目为</w:t>
      </w:r>
      <w:r>
        <w:rPr>
          <w:rFonts w:hint="eastAsia" w:ascii="宋体" w:hAnsi="宋体" w:cs="宋体"/>
          <w:sz w:val="24"/>
          <w:szCs w:val="24"/>
          <w:lang w:eastAsia="zh-CN"/>
        </w:rPr>
        <w:t>南苑街道综治中心建设服务</w:t>
      </w:r>
      <w:r>
        <w:rPr>
          <w:rFonts w:hint="eastAsia" w:ascii="宋体" w:hAnsi="宋体" w:cs="宋体"/>
          <w:sz w:val="24"/>
          <w:szCs w:val="24"/>
        </w:rPr>
        <w:t>采购，投标人应根据招标要求，在对现场、周边环境全面了解的情况下编制科学合理、切实可行的组织实施计划以及具体的保障措施、工作等程序。</w:t>
      </w:r>
    </w:p>
    <w:p>
      <w:pPr>
        <w:adjustRightInd w:val="0"/>
        <w:snapToGrid w:val="0"/>
        <w:spacing w:line="360" w:lineRule="auto"/>
        <w:ind w:firstLine="352" w:firstLineChars="147"/>
        <w:rPr>
          <w:rFonts w:hint="eastAsia" w:ascii="宋体" w:hAnsi="宋体"/>
          <w:bCs/>
          <w:sz w:val="24"/>
          <w:szCs w:val="24"/>
        </w:rPr>
      </w:pPr>
      <w:r>
        <w:rPr>
          <w:rFonts w:hint="eastAsia" w:ascii="宋体" w:hAnsi="宋体"/>
          <w:bCs/>
          <w:sz w:val="24"/>
          <w:szCs w:val="24"/>
        </w:rPr>
        <w:t>本项目为“交钥匙”项目，采购内容包括采购清单中货物供货、安装调试、货物验收、培训、质保期内的售后服务、</w:t>
      </w:r>
      <w:r>
        <w:rPr>
          <w:rFonts w:hint="eastAsia" w:ascii="宋体" w:hAnsi="宋体" w:cs="宋体"/>
          <w:sz w:val="24"/>
          <w:szCs w:val="24"/>
        </w:rPr>
        <w:t>有关部门的验收费、政策性文件规定及合同包含的所有风险、责任等各项全部费用</w:t>
      </w:r>
      <w:r>
        <w:rPr>
          <w:rFonts w:hint="eastAsia" w:ascii="宋体" w:hAnsi="宋体"/>
          <w:bCs/>
          <w:sz w:val="24"/>
          <w:szCs w:val="24"/>
        </w:rPr>
        <w:t>。采购需求清单中未提到，但在实际采购和安装过程中需要配置的各种设备、材料和其他费用等均计入本次报价中。</w:t>
      </w:r>
    </w:p>
    <w:p>
      <w:pPr>
        <w:adjustRightInd w:val="0"/>
        <w:snapToGrid w:val="0"/>
        <w:spacing w:line="460" w:lineRule="exact"/>
        <w:ind w:left="105"/>
        <w:outlineLvl w:val="1"/>
        <w:rPr>
          <w:rFonts w:ascii="宋体" w:hAnsi="宋体" w:cs="宋体"/>
          <w:b/>
          <w:bCs/>
          <w:sz w:val="24"/>
          <w:szCs w:val="24"/>
        </w:rPr>
      </w:pPr>
      <w:r>
        <w:rPr>
          <w:rFonts w:hint="eastAsia" w:ascii="宋体" w:hAnsi="宋体" w:cs="仿宋_GB2312"/>
          <w:kern w:val="0"/>
          <w:sz w:val="24"/>
          <w:szCs w:val="24"/>
          <w:lang w:val="zh-CN"/>
        </w:rPr>
        <w:t>●</w:t>
      </w:r>
      <w:r>
        <w:rPr>
          <w:rFonts w:hint="eastAsia" w:ascii="宋体" w:hAnsi="宋体"/>
          <w:b/>
          <w:bCs/>
          <w:sz w:val="24"/>
          <w:szCs w:val="24"/>
        </w:rPr>
        <w:t>二、</w:t>
      </w:r>
      <w:r>
        <w:rPr>
          <w:rFonts w:hint="eastAsia" w:ascii="宋体" w:hAnsi="宋体" w:cs="宋体"/>
          <w:b/>
          <w:sz w:val="24"/>
          <w:szCs w:val="24"/>
        </w:rPr>
        <w:t>主要服务范围</w:t>
      </w:r>
      <w:r>
        <w:rPr>
          <w:rFonts w:hint="eastAsia" w:ascii="宋体" w:hAnsi="宋体" w:cs="宋体"/>
          <w:b/>
          <w:bCs/>
          <w:sz w:val="24"/>
          <w:szCs w:val="24"/>
        </w:rPr>
        <w:t>及功能区块</w:t>
      </w:r>
    </w:p>
    <w:p>
      <w:pPr>
        <w:pStyle w:val="66"/>
        <w:spacing w:line="460" w:lineRule="exact"/>
        <w:rPr>
          <w:rFonts w:hint="eastAsia" w:ascii="宋体" w:hAnsi="宋体" w:cs="宋体"/>
          <w:szCs w:val="24"/>
        </w:rPr>
      </w:pPr>
      <w:r>
        <w:rPr>
          <w:rFonts w:hint="eastAsia" w:ascii="宋体" w:hAnsi="宋体" w:cs="宋体"/>
          <w:b/>
          <w:szCs w:val="24"/>
        </w:rPr>
        <w:t>注：</w:t>
      </w:r>
      <w:r>
        <w:rPr>
          <w:rFonts w:hint="eastAsia" w:ascii="宋体" w:hAnsi="宋体" w:cs="宋体"/>
          <w:szCs w:val="24"/>
        </w:rPr>
        <w:t>支持各部门应急系统接入，后期所有系统接入，中标方无条件配合，不产生任何费用。</w:t>
      </w:r>
    </w:p>
    <w:p>
      <w:pPr>
        <w:adjustRightInd w:val="0"/>
        <w:snapToGrid w:val="0"/>
        <w:spacing w:line="360" w:lineRule="auto"/>
        <w:rPr>
          <w:rFonts w:hint="eastAsia" w:ascii="宋体" w:hAnsi="宋体"/>
          <w:b/>
          <w:bCs/>
          <w:sz w:val="24"/>
          <w:szCs w:val="24"/>
        </w:rPr>
      </w:pPr>
      <w:r>
        <w:rPr>
          <w:rFonts w:hint="eastAsia" w:ascii="宋体" w:hAnsi="宋体" w:cs="仿宋_GB2312"/>
          <w:kern w:val="0"/>
          <w:sz w:val="24"/>
          <w:szCs w:val="24"/>
          <w:lang w:val="zh-CN"/>
        </w:rPr>
        <w:t>●</w:t>
      </w:r>
      <w:r>
        <w:rPr>
          <w:rFonts w:hint="eastAsia" w:ascii="宋体" w:hAnsi="宋体"/>
          <w:b/>
          <w:bCs/>
          <w:sz w:val="24"/>
          <w:szCs w:val="24"/>
        </w:rPr>
        <w:t>三、供货要求：</w:t>
      </w:r>
    </w:p>
    <w:p>
      <w:pPr>
        <w:adjustRightInd w:val="0"/>
        <w:snapToGrid w:val="0"/>
        <w:spacing w:line="360" w:lineRule="auto"/>
        <w:ind w:firstLine="352" w:firstLineChars="147"/>
        <w:rPr>
          <w:rFonts w:hint="eastAsia" w:ascii="宋体" w:hAnsi="宋体"/>
          <w:bCs/>
          <w:sz w:val="24"/>
          <w:szCs w:val="24"/>
        </w:rPr>
      </w:pPr>
      <w:r>
        <w:rPr>
          <w:rFonts w:hint="eastAsia" w:ascii="宋体" w:hAnsi="宋体"/>
          <w:bCs/>
          <w:sz w:val="24"/>
          <w:szCs w:val="24"/>
        </w:rPr>
        <w:t>1、供方所供的货物必须为全新的，符合国家标准的合格产品；</w:t>
      </w:r>
    </w:p>
    <w:p>
      <w:pPr>
        <w:adjustRightInd w:val="0"/>
        <w:snapToGrid w:val="0"/>
        <w:spacing w:line="360" w:lineRule="auto"/>
        <w:ind w:firstLine="352" w:firstLineChars="147"/>
        <w:rPr>
          <w:rFonts w:hint="eastAsia" w:ascii="宋体" w:hAnsi="宋体"/>
          <w:bCs/>
          <w:sz w:val="24"/>
          <w:szCs w:val="24"/>
        </w:rPr>
      </w:pPr>
      <w:r>
        <w:rPr>
          <w:rFonts w:hint="eastAsia" w:ascii="宋体" w:hAnsi="宋体"/>
          <w:bCs/>
          <w:sz w:val="24"/>
          <w:szCs w:val="24"/>
        </w:rPr>
        <w:t>2、所供货物不会侵犯任何第三方知识产权；</w:t>
      </w:r>
    </w:p>
    <w:p>
      <w:pPr>
        <w:adjustRightInd w:val="0"/>
        <w:snapToGrid w:val="0"/>
        <w:spacing w:line="360" w:lineRule="auto"/>
        <w:ind w:firstLine="352" w:firstLineChars="147"/>
        <w:rPr>
          <w:rFonts w:ascii="宋体" w:hAnsi="宋体"/>
          <w:bCs/>
          <w:sz w:val="24"/>
          <w:szCs w:val="24"/>
        </w:rPr>
      </w:pPr>
      <w:r>
        <w:rPr>
          <w:rFonts w:hint="eastAsia" w:ascii="宋体" w:hAnsi="宋体"/>
          <w:bCs/>
          <w:sz w:val="24"/>
          <w:szCs w:val="24"/>
        </w:rPr>
        <w:t>3、所供货物必须在中标后30天内安装调试到位。</w:t>
      </w:r>
    </w:p>
    <w:p>
      <w:pPr>
        <w:adjustRightInd w:val="0"/>
        <w:snapToGrid w:val="0"/>
        <w:spacing w:line="360" w:lineRule="auto"/>
        <w:rPr>
          <w:rFonts w:hint="eastAsia" w:ascii="宋体" w:hAnsi="宋体"/>
          <w:b/>
          <w:bCs/>
          <w:sz w:val="24"/>
          <w:szCs w:val="24"/>
        </w:rPr>
      </w:pPr>
      <w:r>
        <w:rPr>
          <w:rFonts w:hint="eastAsia" w:ascii="宋体" w:hAnsi="宋体" w:cs="仿宋_GB2312"/>
          <w:kern w:val="0"/>
          <w:sz w:val="24"/>
          <w:szCs w:val="24"/>
          <w:lang w:val="zh-CN"/>
        </w:rPr>
        <w:t>●</w:t>
      </w:r>
      <w:r>
        <w:rPr>
          <w:rFonts w:hint="eastAsia" w:ascii="宋体" w:hAnsi="宋体"/>
          <w:b/>
          <w:bCs/>
          <w:sz w:val="24"/>
          <w:szCs w:val="24"/>
        </w:rPr>
        <w:t>四、售后服务要求：</w:t>
      </w:r>
    </w:p>
    <w:p>
      <w:pPr>
        <w:adjustRightInd w:val="0"/>
        <w:snapToGrid w:val="0"/>
        <w:spacing w:line="360" w:lineRule="auto"/>
        <w:ind w:firstLine="352" w:firstLineChars="147"/>
        <w:rPr>
          <w:rFonts w:hint="eastAsia" w:ascii="宋体" w:hAnsi="宋体"/>
          <w:bCs/>
          <w:sz w:val="24"/>
          <w:szCs w:val="24"/>
        </w:rPr>
      </w:pPr>
      <w:r>
        <w:rPr>
          <w:rFonts w:hint="eastAsia" w:ascii="宋体" w:hAnsi="宋体"/>
          <w:bCs/>
          <w:sz w:val="24"/>
          <w:szCs w:val="24"/>
        </w:rPr>
        <w:t xml:space="preserve">1、质保期要求： 软硬件质保期5年                             </w:t>
      </w:r>
    </w:p>
    <w:p>
      <w:pPr>
        <w:adjustRightInd w:val="0"/>
        <w:snapToGrid w:val="0"/>
        <w:spacing w:line="360" w:lineRule="auto"/>
        <w:ind w:firstLine="352" w:firstLineChars="147"/>
        <w:rPr>
          <w:rFonts w:ascii="宋体" w:hAnsi="宋体"/>
          <w:bCs/>
          <w:sz w:val="24"/>
          <w:szCs w:val="24"/>
        </w:rPr>
      </w:pPr>
      <w:r>
        <w:rPr>
          <w:rFonts w:hint="eastAsia" w:ascii="宋体" w:hAnsi="宋体"/>
          <w:bCs/>
          <w:sz w:val="24"/>
          <w:szCs w:val="24"/>
        </w:rPr>
        <w:t>2、技术支持要求：质保期内出现问题，1小时内响应，2小时内到达现场，4小时内解决问题，现场解决不了的1个工作日内协调备用装置，保证设备正常运行使用。</w:t>
      </w:r>
    </w:p>
    <w:p>
      <w:pPr>
        <w:adjustRightInd w:val="0"/>
        <w:snapToGrid w:val="0"/>
        <w:spacing w:line="360" w:lineRule="auto"/>
        <w:ind w:firstLine="352" w:firstLineChars="147"/>
        <w:rPr>
          <w:rFonts w:hint="eastAsia" w:ascii="宋体" w:hAnsi="宋体"/>
          <w:sz w:val="24"/>
          <w:szCs w:val="24"/>
          <w:u w:val="single"/>
        </w:rPr>
      </w:pPr>
      <w:r>
        <w:rPr>
          <w:rFonts w:hint="eastAsia" w:ascii="宋体" w:hAnsi="宋体"/>
          <w:bCs/>
          <w:sz w:val="24"/>
          <w:szCs w:val="24"/>
        </w:rPr>
        <w:t>3、其他：</w:t>
      </w:r>
      <w:r>
        <w:rPr>
          <w:rFonts w:hint="eastAsia" w:ascii="宋体" w:hAnsi="宋体" w:cs="宋体"/>
          <w:kern w:val="0"/>
          <w:sz w:val="24"/>
          <w:szCs w:val="24"/>
        </w:rPr>
        <w:t xml:space="preserve">                                </w:t>
      </w:r>
    </w:p>
    <w:p>
      <w:pPr>
        <w:adjustRightInd w:val="0"/>
        <w:snapToGrid w:val="0"/>
        <w:spacing w:line="360" w:lineRule="auto"/>
        <w:rPr>
          <w:rFonts w:hint="eastAsia" w:ascii="宋体" w:hAnsi="宋体"/>
          <w:b/>
          <w:bCs/>
          <w:sz w:val="24"/>
          <w:szCs w:val="24"/>
        </w:rPr>
      </w:pPr>
      <w:r>
        <w:rPr>
          <w:rFonts w:hint="eastAsia" w:ascii="宋体" w:hAnsi="宋体" w:cs="仿宋_GB2312"/>
          <w:kern w:val="0"/>
          <w:sz w:val="24"/>
          <w:szCs w:val="24"/>
          <w:lang w:val="zh-CN"/>
        </w:rPr>
        <w:t>●</w:t>
      </w:r>
      <w:r>
        <w:rPr>
          <w:rFonts w:hint="eastAsia" w:ascii="宋体" w:hAnsi="宋体"/>
          <w:b/>
          <w:bCs/>
          <w:sz w:val="24"/>
          <w:szCs w:val="24"/>
        </w:rPr>
        <w:t>五、培训要求：</w:t>
      </w:r>
      <w:r>
        <w:rPr>
          <w:rFonts w:hint="eastAsia" w:ascii="宋体" w:hAnsi="宋体"/>
          <w:bCs/>
          <w:sz w:val="24"/>
          <w:szCs w:val="24"/>
        </w:rPr>
        <w:t>负责设备使用培训，直到操作人员熟练使用为止。</w:t>
      </w:r>
    </w:p>
    <w:p>
      <w:pPr>
        <w:pStyle w:val="36"/>
        <w:spacing w:before="0" w:line="440" w:lineRule="exact"/>
        <w:ind w:firstLine="0" w:firstLineChars="0"/>
        <w:rPr>
          <w:rFonts w:hint="eastAsia" w:ascii="宋体" w:hAnsi="宋体" w:cs="宋体"/>
          <w:kern w:val="0"/>
          <w:szCs w:val="24"/>
        </w:rPr>
      </w:pPr>
      <w:r>
        <w:rPr>
          <w:rFonts w:hint="eastAsia" w:ascii="宋体" w:hAnsi="宋体" w:cs="仿宋_GB2312"/>
          <w:kern w:val="0"/>
          <w:szCs w:val="24"/>
          <w:lang w:val="zh-CN"/>
        </w:rPr>
        <w:t>●</w:t>
      </w:r>
      <w:r>
        <w:rPr>
          <w:rFonts w:hint="eastAsia" w:ascii="宋体" w:hAnsi="宋体"/>
          <w:b/>
          <w:bCs/>
          <w:szCs w:val="24"/>
        </w:rPr>
        <w:t>六、工期要求：</w:t>
      </w:r>
      <w:r>
        <w:rPr>
          <w:rFonts w:hint="eastAsia" w:ascii="宋体" w:hAnsi="宋体" w:cs="宋体"/>
          <w:kern w:val="0"/>
          <w:szCs w:val="24"/>
        </w:rPr>
        <w:t>中标后一个月内。</w:t>
      </w:r>
    </w:p>
    <w:p>
      <w:pPr>
        <w:adjustRightInd w:val="0"/>
        <w:snapToGrid w:val="0"/>
        <w:spacing w:line="440" w:lineRule="exact"/>
        <w:rPr>
          <w:rFonts w:hint="eastAsia" w:ascii="宋体" w:hAnsi="宋体" w:cs="宋体"/>
          <w:kern w:val="0"/>
          <w:sz w:val="24"/>
          <w:szCs w:val="24"/>
        </w:rPr>
      </w:pPr>
      <w:r>
        <w:rPr>
          <w:rFonts w:hint="eastAsia" w:ascii="宋体" w:hAnsi="宋体" w:cs="仿宋_GB2312"/>
          <w:kern w:val="0"/>
          <w:sz w:val="24"/>
          <w:szCs w:val="24"/>
          <w:lang w:val="zh-CN"/>
        </w:rPr>
        <w:t>●</w:t>
      </w:r>
      <w:r>
        <w:rPr>
          <w:rFonts w:hint="eastAsia" w:ascii="宋体" w:hAnsi="宋体"/>
          <w:b/>
          <w:bCs/>
          <w:sz w:val="24"/>
          <w:szCs w:val="24"/>
        </w:rPr>
        <w:t>七、履约保证金和质量保证金：</w:t>
      </w:r>
      <w:r>
        <w:rPr>
          <w:rFonts w:hint="eastAsia" w:ascii="宋体" w:hAnsi="宋体" w:cs="宋体"/>
          <w:kern w:val="0"/>
          <w:sz w:val="24"/>
          <w:szCs w:val="24"/>
        </w:rPr>
        <w:t>在合同签订以前供应商向采购人缴纳</w:t>
      </w:r>
      <w:r>
        <w:rPr>
          <w:rFonts w:hint="eastAsia" w:ascii="宋体" w:hAnsi="宋体"/>
          <w:sz w:val="24"/>
          <w:szCs w:val="24"/>
        </w:rPr>
        <w:t>成交总额</w:t>
      </w:r>
      <w:r>
        <w:rPr>
          <w:rFonts w:hint="eastAsia" w:ascii="宋体" w:hAnsi="宋体" w:cs="宋体"/>
          <w:kern w:val="0"/>
          <w:sz w:val="24"/>
          <w:szCs w:val="24"/>
        </w:rPr>
        <w:t>5%的履约保证金，验收合格后履约保证金自动转为质量保证金，在无质量问题的情况下，质量保证金将在质保期满后无息退还。</w:t>
      </w:r>
    </w:p>
    <w:p>
      <w:pPr>
        <w:adjustRightInd w:val="0"/>
        <w:snapToGrid w:val="0"/>
        <w:spacing w:line="440" w:lineRule="exact"/>
        <w:rPr>
          <w:rFonts w:hint="eastAsia" w:ascii="宋体" w:hAnsi="宋体" w:cs="宋体"/>
          <w:kern w:val="0"/>
          <w:sz w:val="24"/>
          <w:szCs w:val="24"/>
        </w:rPr>
      </w:pPr>
      <w:r>
        <w:rPr>
          <w:rFonts w:hint="eastAsia" w:ascii="宋体" w:hAnsi="宋体" w:cs="仿宋_GB2312"/>
          <w:kern w:val="0"/>
          <w:sz w:val="24"/>
          <w:szCs w:val="24"/>
          <w:lang w:val="zh-CN"/>
        </w:rPr>
        <w:t>●</w:t>
      </w:r>
      <w:r>
        <w:rPr>
          <w:rFonts w:hint="eastAsia" w:ascii="宋体" w:hAnsi="宋体"/>
          <w:b/>
          <w:bCs/>
          <w:sz w:val="24"/>
          <w:szCs w:val="24"/>
        </w:rPr>
        <w:t>八、货款支付：</w:t>
      </w:r>
      <w:r>
        <w:rPr>
          <w:rFonts w:hint="eastAsia" w:ascii="宋体" w:hAnsi="宋体"/>
          <w:bCs/>
          <w:sz w:val="24"/>
          <w:szCs w:val="24"/>
        </w:rPr>
        <w:t>具体付款进度按采购人与招标人合同规定执行。</w:t>
      </w: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宋体" w:eastAsia="宋体" w:cs="宋体"/>
          <w:kern w:val="0"/>
          <w:szCs w:val="24"/>
          <w:lang w:val="en-US" w:eastAsia="zh-CN"/>
        </w:rPr>
      </w:pPr>
      <w:r>
        <w:rPr>
          <w:rFonts w:hint="eastAsia" w:ascii="宋体" w:eastAsia="宋体" w:cs="宋体"/>
          <w:kern w:val="0"/>
          <w:szCs w:val="24"/>
          <w:lang w:val="en-US" w:eastAsia="zh-CN"/>
        </w:rPr>
        <w:t>采购清单附表：</w:t>
      </w:r>
    </w:p>
    <w:tbl>
      <w:tblPr>
        <w:tblStyle w:val="27"/>
        <w:tblW w:w="8951" w:type="dxa"/>
        <w:tblInd w:w="0" w:type="dxa"/>
        <w:tblLayout w:type="autofit"/>
        <w:tblCellMar>
          <w:top w:w="0" w:type="dxa"/>
          <w:left w:w="0" w:type="dxa"/>
          <w:bottom w:w="0" w:type="dxa"/>
          <w:right w:w="0" w:type="dxa"/>
        </w:tblCellMar>
      </w:tblPr>
      <w:tblGrid>
        <w:gridCol w:w="761"/>
        <w:gridCol w:w="1275"/>
        <w:gridCol w:w="4545"/>
        <w:gridCol w:w="1230"/>
        <w:gridCol w:w="1140"/>
      </w:tblGrid>
      <w:tr>
        <w:tblPrEx>
          <w:tblCellMar>
            <w:top w:w="0" w:type="dxa"/>
            <w:left w:w="0" w:type="dxa"/>
            <w:bottom w:w="0" w:type="dxa"/>
            <w:right w:w="0" w:type="dxa"/>
          </w:tblCellMar>
        </w:tblPrEx>
        <w:trPr>
          <w:trHeight w:val="450" w:hRule="atLeast"/>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5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r>
      <w:tr>
        <w:tblPrEx>
          <w:tblCellMar>
            <w:top w:w="0" w:type="dxa"/>
            <w:left w:w="0" w:type="dxa"/>
            <w:bottom w:w="0" w:type="dxa"/>
            <w:right w:w="0" w:type="dxa"/>
          </w:tblCellMar>
        </w:tblPrEx>
        <w:trPr>
          <w:trHeight w:val="45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门厅、办事大厅</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766.20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53.76</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吊顶（造型回光）：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1、18mm厚细木工板灯槽基层，暗藏LED灯带；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22.25</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木窗帘盒</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窗帘盒：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办事及办公区域地面瓷砖：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766.20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3、10mm厚烤漆玻璃；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4、20mm宽1.2mm厚304黑钛拉丝不锈钢边框。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22.32</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墙面大理石干挂：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1、20mm米黄大理石干挂（石材甲供）；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2、预埋200*200*12mm镀锌钢板，M12膨胀螺栓，不锈钢干挂件；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3、50*50*5mm镀锌角钢，8#镀锌槽钢；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653.92</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石材柱面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柱面大理石干挂：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1.20mm米黄色大理石干挂（石材甲供）；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2、预埋200*200*12mm镀锌钢板，M12膨胀螺栓，不锈钢干挂件；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3、50*50*5mm镀锌角钢，8#镀锌槽钢；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72.18</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显示屏墙面：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1、镀锌钢骨架基层；18mm厚细木工板基层；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2、木基层刷防火涂料3遍，1.2mm厚304黑钛拉丝不锈钢饰面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w:t>
            </w:r>
          </w:p>
        </w:tc>
      </w:tr>
      <w:tr>
        <w:tblPrEx>
          <w:tblCellMar>
            <w:top w:w="0" w:type="dxa"/>
            <w:left w:w="0" w:type="dxa"/>
            <w:bottom w:w="0" w:type="dxa"/>
            <w:right w:w="0" w:type="dxa"/>
          </w:tblCellMar>
        </w:tblPrEx>
        <w:trPr>
          <w:trHeight w:val="23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柜台</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办事大厅对公柜台：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1、20厚米黄大理石；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2、米色抛光砖；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3、18厚细木工板，防火涂料3遍；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4、钢架结构，金属面刷防锈漆；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6、304黑钛拉丝不锈钢(1.2厚)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21.67</w:t>
            </w:r>
          </w:p>
        </w:tc>
      </w:tr>
      <w:tr>
        <w:tblPrEx>
          <w:tblCellMar>
            <w:top w:w="0" w:type="dxa"/>
            <w:left w:w="0" w:type="dxa"/>
            <w:bottom w:w="0" w:type="dxa"/>
            <w:right w:w="0" w:type="dxa"/>
          </w:tblCellMar>
        </w:tblPrEx>
        <w:trPr>
          <w:trHeight w:val="23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柜台</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大厅前台：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1、GRG钢琴漆面板；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2、密度板刷白，柜体、柜门、抽屉制作，含把手、合页等所有五金配件；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3、内凹刷白；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4、钢架结构，金属面刷防锈漆；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5、暗藏LED灯带；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群访入口、群访大厅</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77.70</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铝板吊顶（侧面）：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4、3mm铝板面层。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办事及办公区域地面瓷砖：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124.90</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3、木饰面。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11.72</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墙面大理石干挂：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1、20mm米黄大理石干挂（石材甲供）；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2、预埋200*200*12mm镀锌钢板，M12膨胀螺栓，不锈钢干挂件；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3、50*50*5mm镀锌角钢，8#镀锌槽钢；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218.16</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石材柱面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柱面大理石干挂：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1.20mm米黄色大理石干挂（石材甲供）；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2、预埋200*200*12mm镀锌钢板，M12膨胀螺栓，不锈钢干挂件；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3、50*50*5mm镀锌角钢，8#镀锌槽钢；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18.05</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201.70</w:t>
            </w:r>
          </w:p>
        </w:tc>
      </w:tr>
      <w:tr>
        <w:tblPrEx>
          <w:tblCellMar>
            <w:top w:w="0" w:type="dxa"/>
            <w:left w:w="0" w:type="dxa"/>
            <w:bottom w:w="0" w:type="dxa"/>
            <w:right w:w="0" w:type="dxa"/>
          </w:tblCellMar>
        </w:tblPrEx>
        <w:trPr>
          <w:trHeight w:val="23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柜台</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群访大厅柜台：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1、20厚米黄大理石；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2、米色抛光砖；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3、18厚细木工板，防火涂料3遍；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4、钢架结构，金属面刷防锈漆；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5、成品木饰面；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6、304黑钛拉丝不锈钢(1.2厚)</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办公室1-4</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303.48</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94.30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储藏间</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备用办公室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纪委谈话室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司法公室1-3</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0.88</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151.38</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成品免漆木质套装门：1400*3300，含木饰面、门锁、门吸、合页等所有五金配件；304黑钛拉丝不锈钢(1.2厚)门套含基层，门套贴防震条，防火涂料3遍；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禁毒办</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解铃工作室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信访工作室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**装备区</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领导接访室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灯光膜</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A级防火白色灯光膜</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16.48</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吊顶（造型回光）：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1、18mm厚细木工板灯槽基层，暗藏LED灯带；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0.38</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巡回法庭（民主协商议事室、宣告室）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灯光膜</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A级防火白色灯光膜</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吊顶（造型回光）：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1、18mm厚细木工板灯槽基层，暗藏LED灯带；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3、10mm厚烤漆玻璃；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4、20mm宽1.2mm厚304黑钛拉丝不锈钢边框。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22.32</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信访超市</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44.35</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调解室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灯光膜</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A级防火白色灯光膜</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吊顶（造型回光）：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1、18mm厚细木工板灯槽基层，暗藏LED灯带；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0.38</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3、10mm厚烤漆玻璃；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4、20mm宽1.2mm厚304黑钛拉丝不锈钢边框。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安检区</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墙面大理石干挂：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1、20mm米黄大理石干挂（石材甲供）；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2、预埋200*200*12mm镀锌钢板，M12膨胀螺栓，不锈钢干挂件；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3、50*50*5mm镀锌角钢，8#镀锌槽钢；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218.16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全玻自由门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10mm厚成品玻璃平开门：2550*3600，含成品地弹簧、门锁、门吸、合页等所有五金配件；304黑钛拉丝不锈钢(1.2厚)门套含基层，防火涂料3遍；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9.18</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资料室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79.59</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工作人员走道</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82.11</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82.11</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261.63</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80.55</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成品免漆木质套装门：1200*3600，含木饰面、门锁、门吸、合页等所有五金配件；304黑钛拉丝不锈钢(1.2厚)门套含基层，门套贴防震条，防火涂料3遍；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成品免漆木质套装门：1400*3600，含木饰面、门锁、门吸、合页等所有五金配件；304黑钛拉丝不锈钢(1.2厚)门套含基层，门套贴防震条，防火涂料3遍；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办事大厅大门、电梯厅门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电子感应门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10mm厚成品玻璃感应门：9740*3600，含成品地弹簧、门锁、门吸、合页等所有五金配件；304黑钛拉丝不锈钢(1.2厚)门套含基层，防火涂料3遍；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全玻自由门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10mm厚成品玻璃平开门：2100*3600，含成品地弹簧、门锁、门吸、合页等所有五金配件；304黑钛拉丝不锈钢(1.2厚)门套含基层，防火涂料3遍；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卫生间（1）原——卫生间</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1、300*300防滑地砖铺贴；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33.85</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楼（地）面涂膜防水</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1.5mm厚聚氨酯防水涂料，上翻300mm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零星砌砖</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砖墙卫生间蹲坑，蒸压加气混凝土砌块，M7.5砂浆砌筑</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2、双层9.5厚防水纸面石膏板面层；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卫生间墙砖：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1、墙砖铺贴300*600；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2、15mm厚胶泥粘贴；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3、墙砖刷背胶；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其他隔断</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卫生间隔断：20厚成品抗倍特版，黑色烤漆金属件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16.72</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成品免漆木质套装门：850*2550，含木饰面、门锁、门吸、合页等所有五金配件；304黑钛拉丝不锈钢(1.2厚)门套含基层，门套贴防震条，防火涂料3遍；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金属门窗套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3、1.2mm厚304黑钛拉丝不锈钢门套面层；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1、20mm厚云多拉灰大理石洗漱台；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2、4#镀锌角钢基层；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3、含石材倒角、台面开孔。</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镜面玻璃</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镜面玻璃：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3、表面5mm厚银镜饰面；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4、20mm宽1.2mm厚304黑钛拉丝不锈钢边框。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卫生间（1）原——盥洗区</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盥洗区地面瓷砖：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卫生间墙砖：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1、墙砖铺贴300*600；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2、15mm厚胶泥粘贴；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3、墙砖刷背胶；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成品免漆木质套装门：800*2550，含木饰面、门锁、门吸、合页等所有五金配件；304黑钛拉丝不锈钢(1.2厚)门套含基层，门套贴防震条，防火涂料3遍；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金属门窗套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3、1.2mm厚304黑钛拉丝不锈钢门套面层；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消控室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r>
      <w:tr>
        <w:tblPrEx>
          <w:tblCellMar>
            <w:top w:w="0" w:type="dxa"/>
            <w:left w:w="0" w:type="dxa"/>
            <w:bottom w:w="0" w:type="dxa"/>
            <w:right w:w="0" w:type="dxa"/>
          </w:tblCellMar>
        </w:tblPrEx>
        <w:trPr>
          <w:trHeight w:val="8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木质防火门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成品木质防火门（甲级）：900*2550，含门套边线，门锁、门吸、合页等所有五金配件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杂物间</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卫生间（2）新——卫生间</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1、300*300防滑地砖铺贴；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34.10</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楼（地）面涂膜防水</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1.5mm厚聚氨酯防水涂料，上翻300mm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39.22</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零星砌砖</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砖墙卫生间蹲坑，蒸压加气混凝土砌块，M7.5砂浆砌筑</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2、双层9.5厚防水纸面石膏板面层；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卫生间墙砖：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1、墙砖铺贴300*600；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2、15mm厚胶泥粘贴；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3、墙砖刷背胶；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143.28</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其他隔断</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卫生间隔断：20厚成品抗倍特版，黑色烤漆金属件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27.72</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金属门窗套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3、1.2mm厚304黑钛拉丝不锈钢门套面层；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卫生间（1）原——盥洗区</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盥洗区地面瓷砖：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块料墙面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卫生间墙砖：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1、墙砖铺贴300*600；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2、15mm厚胶泥粘贴；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3、墙砖刷背胶；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成品免漆木质套装门：800*2550，含木饰面、门锁、门吸、合页等所有五金配件；304黑钛拉丝不锈钢(1.2厚)门套含基层，门套贴防震条，防火涂料3遍；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金属门窗套</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金属门套：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3、1.2mm厚304黑钛拉丝不锈钢门套面层；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0.92</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洗漱台：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1、20mm厚云多拉灰大理石洗漱台；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2、4#镀锌角钢基层；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3、含石材倒角、台面开孔。</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镜面玻璃</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镜面玻璃：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3、表面5mm厚银镜饰面；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4、20mm宽1.2mm厚304黑钛拉丝不锈钢边框。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24小时自助服务室</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35.90</w:t>
            </w:r>
          </w:p>
        </w:tc>
      </w:tr>
      <w:tr>
        <w:tblPrEx>
          <w:tblCellMar>
            <w:top w:w="0" w:type="dxa"/>
            <w:left w:w="0" w:type="dxa"/>
            <w:bottom w:w="0" w:type="dxa"/>
            <w:right w:w="0" w:type="dxa"/>
          </w:tblCellMar>
        </w:tblPrEx>
        <w:trPr>
          <w:trHeight w:val="19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r>
      <w:tr>
        <w:tblPrEx>
          <w:tblCellMar>
            <w:top w:w="0" w:type="dxa"/>
            <w:left w:w="0" w:type="dxa"/>
            <w:bottom w:w="0" w:type="dxa"/>
            <w:right w:w="0" w:type="dxa"/>
          </w:tblCellMar>
        </w:tblPrEx>
        <w:trPr>
          <w:trHeight w:val="102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24小时自助服务室地面瓷砖：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35.90</w:t>
            </w:r>
          </w:p>
        </w:tc>
      </w:tr>
      <w:tr>
        <w:tblPrEx>
          <w:tblCellMar>
            <w:top w:w="0" w:type="dxa"/>
            <w:left w:w="0" w:type="dxa"/>
            <w:bottom w:w="0" w:type="dxa"/>
            <w:right w:w="0" w:type="dxa"/>
          </w:tblCellMar>
        </w:tblPrEx>
        <w:trPr>
          <w:trHeight w:val="171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3、成品10mm厚UV烤漆板；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4、20mm宽1.2mm厚304黑钛拉丝不锈钢边框。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10.14</w:t>
            </w:r>
          </w:p>
        </w:tc>
      </w:tr>
      <w:tr>
        <w:tblPrEx>
          <w:tblCellMar>
            <w:top w:w="0" w:type="dxa"/>
            <w:left w:w="0" w:type="dxa"/>
            <w:bottom w:w="0" w:type="dxa"/>
            <w:right w:w="0" w:type="dxa"/>
          </w:tblCellMar>
        </w:tblPrEx>
        <w:trPr>
          <w:trHeight w:val="5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60.12</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全玻自由门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自主书吧：10mm厚成品玻璃移门门：2250*3600，含轨道、门锁、门吸、合页等所有五金配件；304黑钛拉丝不锈钢(1.2厚)门套含基层，门套贴防震条，防火涂料3遍；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12.96</w:t>
            </w:r>
          </w:p>
        </w:tc>
      </w:tr>
      <w:tr>
        <w:tblPrEx>
          <w:tblCellMar>
            <w:top w:w="0" w:type="dxa"/>
            <w:left w:w="0" w:type="dxa"/>
            <w:bottom w:w="0" w:type="dxa"/>
            <w:right w:w="0" w:type="dxa"/>
          </w:tblCellMar>
        </w:tblPrEx>
        <w:trPr>
          <w:trHeight w:val="147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全玻自由门</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10mm厚成品玻璃平开门：2250*3600，含成品地弹簧、门锁、门吸、合页等所有五金配件；304黑钛拉丝不锈钢(1.2厚)门套含基层，防火涂料3遍；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新增墙体</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26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金属隔断</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1、U100轻钢龙骨隔墙到顶，中距竖600mm横1500mm；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2、9.5mm双层石膏板；板缝贴胶带点绣</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937.13</w:t>
            </w:r>
          </w:p>
        </w:tc>
      </w:tr>
      <w:tr>
        <w:tblPrEx>
          <w:tblCellMar>
            <w:top w:w="0" w:type="dxa"/>
            <w:left w:w="0" w:type="dxa"/>
            <w:bottom w:w="0" w:type="dxa"/>
            <w:right w:w="0" w:type="dxa"/>
          </w:tblCellMar>
        </w:tblPrEx>
        <w:trPr>
          <w:trHeight w:val="45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实心砖墙</w:t>
            </w:r>
          </w:p>
        </w:tc>
        <w:tc>
          <w:tcPr>
            <w:tcW w:w="4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95红砖隔墙，M7.5砂浆砌筑</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16.47</w:t>
            </w:r>
          </w:p>
        </w:tc>
      </w:tr>
    </w:tbl>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tbl>
      <w:tblPr>
        <w:tblStyle w:val="27"/>
        <w:tblW w:w="8936" w:type="dxa"/>
        <w:tblInd w:w="0" w:type="dxa"/>
        <w:tblLayout w:type="fixed"/>
        <w:tblCellMar>
          <w:top w:w="0" w:type="dxa"/>
          <w:left w:w="0" w:type="dxa"/>
          <w:bottom w:w="0" w:type="dxa"/>
          <w:right w:w="0" w:type="dxa"/>
        </w:tblCellMar>
      </w:tblPr>
      <w:tblGrid>
        <w:gridCol w:w="776"/>
        <w:gridCol w:w="1245"/>
        <w:gridCol w:w="4560"/>
        <w:gridCol w:w="1189"/>
        <w:gridCol w:w="1166"/>
      </w:tblGrid>
      <w:tr>
        <w:tblPrEx>
          <w:tblCellMar>
            <w:top w:w="0" w:type="dxa"/>
            <w:left w:w="0" w:type="dxa"/>
            <w:bottom w:w="0" w:type="dxa"/>
            <w:right w:w="0" w:type="dxa"/>
          </w:tblCellMar>
        </w:tblPrEx>
        <w:trPr>
          <w:trHeight w:val="45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5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r>
      <w:tr>
        <w:tblPrEx>
          <w:tblCellMar>
            <w:top w:w="0" w:type="dxa"/>
            <w:left w:w="0" w:type="dxa"/>
            <w:bottom w:w="0" w:type="dxa"/>
            <w:right w:w="0" w:type="dxa"/>
          </w:tblCellMar>
        </w:tblPrEx>
        <w:trPr>
          <w:trHeight w:val="45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213.30</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吊顶（造型回光）：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1、18mm厚细木工板灯槽基层，暗藏LED灯带；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13.23</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办事及办公区域地面瓷砖：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213.30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200.61</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成品免漆木质套装门：1500*2500，含木饰面、门锁、门吸、合页等所有五金配件；304黑钛拉丝不锈钢(1.2厚)门套含基层，门套贴防震条，防火涂料3遍；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会议室</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34.34</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灯光膜</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A级防火白色灯光膜</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31.76</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吊顶（造型回光）：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1、18mm厚细木工板灯槽基层，暗藏LED灯带；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w:t>
            </w:r>
          </w:p>
        </w:tc>
      </w:tr>
      <w:tr>
        <w:tblPrEx>
          <w:tblCellMar>
            <w:top w:w="0" w:type="dxa"/>
            <w:left w:w="0" w:type="dxa"/>
            <w:bottom w:w="0" w:type="dxa"/>
            <w:right w:w="0" w:type="dxa"/>
          </w:tblCellMar>
        </w:tblPrEx>
        <w:trPr>
          <w:trHeight w:val="1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成品木饰面吊顶：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4、成品防火木饰面；</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地毯楼地面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地毯地面：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1、50mm厚C20细石混凝土找平，随捣随抹平；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2、固定带垫地毯；</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113.10</w:t>
            </w:r>
          </w:p>
        </w:tc>
      </w:tr>
      <w:tr>
        <w:tblPrEx>
          <w:tblCellMar>
            <w:top w:w="0" w:type="dxa"/>
            <w:left w:w="0" w:type="dxa"/>
            <w:bottom w:w="0" w:type="dxa"/>
            <w:right w:w="0" w:type="dxa"/>
          </w:tblCellMar>
        </w:tblPrEx>
        <w:trPr>
          <w:trHeight w:val="1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3、成品防火木饰面。</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105.79</w:t>
            </w:r>
          </w:p>
        </w:tc>
      </w:tr>
      <w:tr>
        <w:tblPrEx>
          <w:tblCellMar>
            <w:top w:w="0" w:type="dxa"/>
            <w:left w:w="0" w:type="dxa"/>
            <w:bottom w:w="0" w:type="dxa"/>
            <w:right w:w="0" w:type="dxa"/>
          </w:tblCellMar>
        </w:tblPrEx>
        <w:trPr>
          <w:trHeight w:val="1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墙面装饰板：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3、墙面装饰贴织物，硬包。</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成品免漆木质套装门：1500*2500，含木饰面、门锁、门吸、合页等所有五金配件；304黑钛拉丝不锈钢(1.2厚)门套含基层，门套贴防震条，防火涂料3遍；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综治办公室1-4</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81.90</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81.90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229.32</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司法办公室1-4</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80.20</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226.80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17.40</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55.15</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值班室1-2</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19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吊顶（侧面）：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1、侧面轻钢龙骨（U50型）；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4、9.5mm厚纸面石膏板面层；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154.26</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成品免漆木质套装门：900*3600，含木饰面、门锁、门吸、合页等所有五金配件；304黑钛拉丝不锈钢(1.2厚)门套含基层，门套贴防震条，防火涂料3遍；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值班室内卫生间</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1、300*300防滑地砖铺贴；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楼（地）面涂膜防水</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1.5mm厚聚氨酯防水涂料，上翻300mm</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12.08</w:t>
            </w:r>
          </w:p>
        </w:tc>
      </w:tr>
      <w:tr>
        <w:tblPrEx>
          <w:tblCellMar>
            <w:top w:w="0" w:type="dxa"/>
            <w:left w:w="0" w:type="dxa"/>
            <w:bottom w:w="0" w:type="dxa"/>
            <w:right w:w="0" w:type="dxa"/>
          </w:tblCellMar>
        </w:tblPrEx>
        <w:trPr>
          <w:trHeight w:val="171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2、双层9.5厚防水纸面石膏板面层；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块料墙面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卫生间墙砖：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1、墙砖铺贴300*600；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2、15mm厚胶泥粘贴；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3、墙砖刷背胶；</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其他隔断</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卫生间隔断：20厚成品抗倍特版，黑色烤漆金属件</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8.27</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成品免漆木质套装门：800*2550，含木饰面、门锁、门吸、合页等所有五金配件；304黑钛拉丝不锈钢(1.2厚)门套含基层，门套贴防震条，防火涂料3遍；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走道</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116.40</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116.40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349.02</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105.80</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储物间</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1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吊顶天棚</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吊顶（平面）：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1、平面轻钢龙骨（U50型）；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4、双层9.5厚纸面石膏板面层；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5、板缝点绣贴胶带纸；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6、批腻子3遍；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石材零星项目</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石材零星地面：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1、20mm厚云多拉灰大理石门槛石湿铺；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2、石材防护及镜面处理；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3、20mm1:3水泥砂浆结合层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r>
      <w:tr>
        <w:tblPrEx>
          <w:tblCellMar>
            <w:top w:w="0" w:type="dxa"/>
            <w:left w:w="0" w:type="dxa"/>
            <w:bottom w:w="0" w:type="dxa"/>
            <w:right w:w="0"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办公室地面瓷砖：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1、800*800抛光砖铺贴；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2、30mm厚1:3水泥砂浆结合层。</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r>
      <w:tr>
        <w:tblPrEx>
          <w:tblCellMar>
            <w:top w:w="0" w:type="dxa"/>
            <w:left w:w="0" w:type="dxa"/>
            <w:bottom w:w="0" w:type="dxa"/>
            <w:right w:w="0" w:type="dxa"/>
          </w:tblCellMar>
        </w:tblPrEx>
        <w:trPr>
          <w:trHeight w:val="5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墙面喷刷涂料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墙面满刮批腻子3遍，刷乳胶漆3遍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41.04</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金属踢脚线</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不锈钢踢脚线: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1、墙面木龙骨18mm厚细木工板基层；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2、木基层刷防火涂料3遍；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3、50mm高1.2mm厚304黑钛拉丝不锈钢踢脚线。</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11.40</w:t>
            </w:r>
          </w:p>
        </w:tc>
      </w:tr>
      <w:tr>
        <w:tblPrEx>
          <w:tblCellMar>
            <w:top w:w="0" w:type="dxa"/>
            <w:left w:w="0" w:type="dxa"/>
            <w:bottom w:w="0" w:type="dxa"/>
            <w:right w:w="0"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木质门带套</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成品免漆木质套装门：800*2550，含木饰面、门锁、门吸、合页等所有五金配件；304黑钛拉丝不锈钢(1.2厚)门套含基层，门套贴防震条，防火涂料3遍；</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樘</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新增墙体</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实心砖墙</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95红砖隔墙，M7.5砂浆砌筑</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w:t>
            </w:r>
          </w:p>
        </w:tc>
      </w:tr>
      <w:tr>
        <w:tblPrEx>
          <w:tblCellMar>
            <w:top w:w="0" w:type="dxa"/>
            <w:left w:w="0" w:type="dxa"/>
            <w:bottom w:w="0" w:type="dxa"/>
            <w:right w:w="0" w:type="dxa"/>
          </w:tblCellMar>
        </w:tblPrEx>
        <w:trPr>
          <w:trHeight w:val="1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金属隔断</w:t>
            </w:r>
          </w:p>
        </w:tc>
        <w:tc>
          <w:tcPr>
            <w:tcW w:w="4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1、U100轻钢龙骨隔墙到顶，中距竖600mm横1500mm；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2、9.5mm双层石膏板；板缝贴胶带点绣</w:t>
            </w:r>
          </w:p>
        </w:tc>
        <w:tc>
          <w:tcPr>
            <w:tcW w:w="11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937.13</w:t>
            </w:r>
          </w:p>
        </w:tc>
      </w:tr>
    </w:tbl>
    <w:p>
      <w:pPr>
        <w:pStyle w:val="2"/>
        <w:spacing w:line="360" w:lineRule="auto"/>
        <w:ind w:left="479" w:leftChars="228"/>
        <w:rPr>
          <w:rFonts w:hint="eastAsia" w:ascii="??" w:eastAsia="??"/>
          <w:kern w:val="2"/>
          <w:szCs w:val="24"/>
          <w:lang w:val="en-US"/>
        </w:rPr>
      </w:pPr>
    </w:p>
    <w:tbl>
      <w:tblPr>
        <w:tblStyle w:val="27"/>
        <w:tblW w:w="8951" w:type="dxa"/>
        <w:tblInd w:w="0" w:type="dxa"/>
        <w:tblLayout w:type="fixed"/>
        <w:tblCellMar>
          <w:top w:w="0" w:type="dxa"/>
          <w:left w:w="0" w:type="dxa"/>
          <w:bottom w:w="0" w:type="dxa"/>
          <w:right w:w="0" w:type="dxa"/>
        </w:tblCellMar>
      </w:tblPr>
      <w:tblGrid>
        <w:gridCol w:w="821"/>
        <w:gridCol w:w="169"/>
        <w:gridCol w:w="1046"/>
        <w:gridCol w:w="739"/>
        <w:gridCol w:w="3375"/>
        <w:gridCol w:w="416"/>
        <w:gridCol w:w="814"/>
        <w:gridCol w:w="371"/>
        <w:gridCol w:w="829"/>
        <w:gridCol w:w="371"/>
      </w:tblGrid>
      <w:tr>
        <w:tblPrEx>
          <w:tblCellMar>
            <w:top w:w="0" w:type="dxa"/>
            <w:left w:w="0" w:type="dxa"/>
            <w:bottom w:w="0" w:type="dxa"/>
            <w:right w:w="0" w:type="dxa"/>
          </w:tblCellMar>
        </w:tblPrEx>
        <w:trPr>
          <w:trHeight w:val="450"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5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r>
      <w:tr>
        <w:tblPrEx>
          <w:tblCellMar>
            <w:top w:w="0" w:type="dxa"/>
            <w:left w:w="0" w:type="dxa"/>
            <w:bottom w:w="0" w:type="dxa"/>
            <w:right w:w="0" w:type="dxa"/>
          </w:tblCellMar>
        </w:tblPrEx>
        <w:trPr>
          <w:trHeight w:val="450"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拆除门窗洞</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砖砌体拆除</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凿门窗洞口，垃圾清理及外运，运距自行考虑</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0.84</w:t>
            </w:r>
          </w:p>
        </w:tc>
      </w:tr>
      <w:tr>
        <w:tblPrEx>
          <w:tblCellMar>
            <w:top w:w="0" w:type="dxa"/>
            <w:left w:w="0" w:type="dxa"/>
            <w:bottom w:w="0" w:type="dxa"/>
            <w:right w:w="0" w:type="dxa"/>
          </w:tblCellMar>
        </w:tblPrEx>
        <w:trPr>
          <w:trHeight w:val="4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门窗洞口修复</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门窗洞口修复</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1-3F所有装修地面20mm找平</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5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水泥砂浆楼地面</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1-3F所有装修地面20mm找平：20mm厚1:3水泥砂浆找平层</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2456.00</w:t>
            </w:r>
          </w:p>
        </w:tc>
      </w:tr>
      <w:tr>
        <w:tblPrEx>
          <w:tblCellMar>
            <w:top w:w="0" w:type="dxa"/>
            <w:left w:w="0" w:type="dxa"/>
            <w:bottom w:w="0" w:type="dxa"/>
            <w:right w:w="0" w:type="dxa"/>
          </w:tblCellMar>
        </w:tblPrEx>
        <w:trPr>
          <w:trHeight w:val="4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指挥中心机房基础结构基础加固</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结构基础加固</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碳钢纤维加固：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1、将原基础构件表面清理；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2、裂缝修补：缝宽小于0.2mm的裂缝，用环氧树脂进行表面涂刷密封；大于0.2mm的裂缝用环氧树脂灌缝；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3、粘结剂粘贴碳纤维布，搭接长度不小于20cm，层间错开搭接至少50cm；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4、养护1-2小时达到初期固化；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5、所有材料符合质量标准。</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w:t>
            </w:r>
          </w:p>
        </w:tc>
      </w:tr>
      <w:tr>
        <w:tblPrEx>
          <w:tblCellMar>
            <w:top w:w="0" w:type="dxa"/>
            <w:left w:w="0" w:type="dxa"/>
            <w:bottom w:w="0" w:type="dxa"/>
            <w:right w:w="0" w:type="dxa"/>
          </w:tblCellMar>
        </w:tblPrEx>
        <w:trPr>
          <w:trHeight w:val="4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宣传及背景制作</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1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吸塑字</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背景字PVC加水晶亚克力字450@450，尺寸规格材质设计等符合甲方要求，含设计费；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0" w:type="dxa"/>
            <w:bottom w:w="0" w:type="dxa"/>
            <w:right w:w="0" w:type="dxa"/>
          </w:tblCellMar>
        </w:tblPrEx>
        <w:trPr>
          <w:trHeight w:val="10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室内门牌标识</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室内门牌标识：铝合金烤漆丝印门牌，4人牌，含所有五金配件，尺寸规格材质设计等符合甲方要求</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0" w:type="dxa"/>
            <w:bottom w:w="0" w:type="dxa"/>
            <w:right w:w="0" w:type="dxa"/>
          </w:tblCellMar>
        </w:tblPrEx>
        <w:trPr>
          <w:trHeight w:val="1020" w:hRule="atLeast"/>
        </w:trPr>
        <w:tc>
          <w:tcPr>
            <w:tcW w:w="8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文化上墙</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室内制度文化墙面展示：10mm高密度PVC，UV打印，尺寸规格材质设计等符合甲方要求，暂按2.4*1m计入，含设计费；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45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r>
      <w:tr>
        <w:tblPrEx>
          <w:tblCellMar>
            <w:top w:w="0" w:type="dxa"/>
            <w:left w:w="0" w:type="dxa"/>
            <w:bottom w:w="0" w:type="dxa"/>
            <w:right w:w="0" w:type="dxa"/>
          </w:tblCellMar>
        </w:tblPrEx>
        <w:trPr>
          <w:gridAfter w:val="1"/>
          <w:wAfter w:w="371" w:type="dxa"/>
          <w:trHeight w:val="45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综合布线系统 工作区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单口模块面板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单口模块面板 规格：86铜光兼容型单口面板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面板表面带嵌入式图表及标签位置，配有电话和网络标签，可识别数据和语音端口，并配有防尘滑门用以保护模块、遮蔽灰尘和污物进入。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面板采用快速免工具拆卸设计，可以和光纤面板互换，可免工具外部拆卸面板中间的网络组件或光纤组件，光纤面板可以使用双工SC耦合器或四位LC耦合器。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所有塑料材料采用ABS材质耐腐塑料， UL 94V-0 防火等级。</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双口模块面板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双口模块面板 规格：86铜光兼容型双口面板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面板表面带嵌入式图表及标签位置，配有电话和网络标签，可识别数据和语音端口，并配有防尘滑门用以保护模块、遮蔽灰尘和污物进入。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面板采用快速免工具拆卸设计，可以和光纤面板互换，可免工具外部拆卸面板中间的网络组件或光纤组件，光纤面板可以使用双工SC耦合器或四位LC耦合器。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所有塑料材料采用ABS材质耐腐塑料， UL 94V-0 防火等级。</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r>
      <w:tr>
        <w:tblPrEx>
          <w:tblCellMar>
            <w:top w:w="0" w:type="dxa"/>
            <w:left w:w="0" w:type="dxa"/>
            <w:bottom w:w="0" w:type="dxa"/>
            <w:right w:w="0" w:type="dxa"/>
          </w:tblCellMar>
        </w:tblPrEx>
        <w:trPr>
          <w:gridAfter w:val="1"/>
          <w:wAfter w:w="371" w:type="dxa"/>
          <w:trHeight w:val="50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双口面板（地插）</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双口面板（地插） ■产品描述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用于工作区布线子系统，提供迅速而经济的现场安装方式，可以水平安装在各种地板上或桌面上，尤其在大开间的房间，如会议、机房、开放式办公室等场所。通过转接板可按BAS数据、语音等模块。有铜、铝、不锈钢三种金属材质可选，材料坚固一体成型具有防渗、防尘构造。符合UL认证标准、FCC Part67标准。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外型尺寸符合国家标准；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嵌入式面框，安装方便；防渗构造，嵌入式面框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根据需求打开方式分别设计了弹起式与开启式；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在非使用状态下其盖板面与地面齐平，不影响通行和清扫；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通用接入方式，使用更方便。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三口面板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三口面板 规格：86铜光兼容型三口面板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面板表面带嵌入式图表及标签位置，配有电话和网络标签，可识别数据和语音端口，并配有防尘滑门用以保护模块、遮蔽灰尘和污物进入。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面板采用快速免工具拆卸设计，可以和光纤面板互换，可免工具外部拆卸面板中间的网络组件或光纤组件，光纤面板可以使用双工SC耦合器或四位LC耦合器。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所有塑料材料采用ABS材质耐腐塑料， UL 94V-0 防火等级。</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r>
      <w:tr>
        <w:tblPrEx>
          <w:tblCellMar>
            <w:top w:w="0" w:type="dxa"/>
            <w:left w:w="0" w:type="dxa"/>
            <w:bottom w:w="0" w:type="dxa"/>
            <w:right w:w="0" w:type="dxa"/>
          </w:tblCellMar>
        </w:tblPrEx>
        <w:trPr>
          <w:gridAfter w:val="1"/>
          <w:wAfter w:w="371" w:type="dxa"/>
          <w:trHeight w:val="41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六类非屏蔽模块(新型180度）</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六类非屏蔽模块(新型180度） 规格：180度六类RJ45非屏蔽模块插座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性能参数满足ISO/IEC 11801和TIA/EIA 568标准；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性能优于六类标准的要求，向下兼容五类、超五类产品；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金针整体50μm镀金，防止表面氧化，提高接触性能，保证性能及使用寿命；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采用优质阻燃聚碳酸脂材料，符合UL94V-0阻燃性标准；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可采用110 型、GigaPro等端接工具进行端接；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可卡接22～26AWG规格导体；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耐用性：可插拔1500次以上，端接300次以上；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兼容BAS所有系列面板。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综合布线系统 水平区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双绞线缆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规格：六类非屏蔽双绞线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双绞线采用规格23AWG的单芯裸铜为导体，聚乙烯类高分子材料为绝缘体，外皮材料采用阻燃型高分子材料；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双绞线符合国际规范(ISO/IEC)，美国规范(ANSI/TIA/EIA)，欧洲规范(EN)的要求</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22250.00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综合布线系统 垂直区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2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大对数电缆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规格：室内三类50对大对数线缆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线缆采用单芯裸铜，导体规格为26AWG，每芯带有彩色护套，聚乙烯类高分子材料为绝缘体，外皮材料采用阻燃型热塑材料，使得线缆更好地实现语音系统信道传输。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线缆线符合国际规范(ISO/IEC)，美国规范(TIA/EIA)，欧洲规范(EN)和澳洲规范的要求。电气特性超过TIA/EIA-568C  Cat.3规范的要求。</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w:t>
            </w:r>
          </w:p>
        </w:tc>
      </w:tr>
      <w:tr>
        <w:tblPrEx>
          <w:tblCellMar>
            <w:top w:w="0" w:type="dxa"/>
            <w:left w:w="0" w:type="dxa"/>
            <w:bottom w:w="0" w:type="dxa"/>
            <w:right w:w="0" w:type="dxa"/>
          </w:tblCellMar>
        </w:tblPrEx>
        <w:trPr>
          <w:gridAfter w:val="1"/>
          <w:wAfter w:w="371" w:type="dxa"/>
          <w:trHeight w:val="32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规格：室内12芯单模光纤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符合TIA/EIA-568-B.3标准，ITU G.651 、IEC793-2A1b技术要求；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紧套光纤外径均匀，具有很好的剥离效果；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外皮和紧套光纤之间有多股纺纶丝，增加了光纤的强度；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外皮备有阻燃型和低烟无卤型，供不同场合使用；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衰减：1310nm    ≤0.36dB/km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1550nm    ≤0.22dB/km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综合布线系统 弱电间</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2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24口六类兼容型空口配线架（模块式） 规格：通用型24口光纤配线架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配线架内可容纳多达48芯尾纤的熔接；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够安装不同类型的光纤耦合器，以满足不同功能和性能的要求。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1U高度、19英寸宽度，空间合理，保证光纤跳接、熔接的合理弯曲半径；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单模、多模两种光纤均适用；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安装、检查、测试都非常方便。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100对机架型110配线架（含背板、连接块） 规格：110型100对机架式配线架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110型配线架采用阻燃PVC，材质符合 UL 94V-0 阻燃性标准；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配线架能承接22～26AWG规格的芯线；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110型配线架符合TIA/EIA-568C超五类连接件的性能要求；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适合于语音布线和超5类布线的高速数据传输。</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理线器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规格：语音理线架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应用于110语音配线架的跳线管理；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开放式环型结构，最多可安装管理多达一百条跳线；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更深设计的理线环，可确保线缆弯曲半径，满足跳线或交叉线弯曲半径的合理性。</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线管理器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1U封闭滑槽式理线架 规格：网络理线架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应用于配线架和网络设备之间的跳线管理；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滑槽封闭式结构金属材质；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最多可安装管理多达五十条跳线；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更深设计的理线环，可确保线缆弯曲半径。</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规格：2米六类非屏蔽网络跳线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符合ANSI/TIA/EIA 568-B.2-1、 ISO/IEC 11801第二版、EN50173-1第二版的要求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采用多股绞合线电缆，跳线柔韧性好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渐变型受力原理的加长护套，防滑抗拉，保证一定的弯曲半径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提供多种长度和多种颜色及不同防火等级外护套选择。</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规格：通用型12口光纤配线架（带LC单模耦合器）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配线架内可容纳多达24芯尾纤的熔接；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够安装不同类型的光纤耦合器，以满足不同功能和性能的要求。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1U高度、19英寸宽度，空间合理，保证光纤跳接、熔接的合理弯曲半径；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单模、多模两种光纤均适用；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安装、检查、测试都非常方便。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规格：3米单模双芯LC-LC光纤跳线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符合TIA/EIA-568B.3、ISO/IEC 11801标准；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提供多种规格和长度的跳线；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接头类型包括ST、SC、FC、LC、MTRJ等。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平均连接损耗：≤ 0.2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重复插拔：&lt; 0.2 dB，每500次插拔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最小反射损耗：20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最大回损：-50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材料：陶瓷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尾纤</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规格：1.5米单模LC光纤尾纤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符合TIA/EIA-568B.3、ISO/IEC 11801标准；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提供多种规格和长度的跳线；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接头类型包括ST、SC、FC、LC、MTRJ等。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平均连接损耗：≤ 0.2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重复插拔：&lt; 0.2 dB，每500次插拔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最小反射损耗：20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最大回损：-50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材料：陶瓷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光纤连接</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芯</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机柜、机架</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标准型42U机柜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2、可关闭的下部走线通道，底部大走线孔尺寸可按需调整；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3、可方便拆卸的左右侧门和前后门，全方位操作,多方位查看；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4、可同时安装脚轮和支撑脚；最大静载达300KG；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5、高级月牙门锁；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6、有U数标识的方孔条，上框侧面为圆形通风孔；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7、脱脂、酸洗、防锈磷化、纯水清洗，静电喷塑符合欧洲ROHS环保标准；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8、机柜颜色：黑色（RAL9004）；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9、齐全的可选配件；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10、全部选用优质冷轧钢板制作；厚度：方孔条 1.2mm,框架0.8mm；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标准配置包括：顶盖:1个(0.8mm);框架:2个(0.8mm);前门:1个(0.8mm);侧门: 2个(0.8mm),配有锁扣;后门: 1个(0.8mm) ;锁:2个;方孔条:4个(1.2mm);安装梁:6个(0.8mm) (32U以下4个);底板: 1个(0.8mm);层板:2个(37U以下1个)；脚轮：4个；支脚：4个；螺丝钉和螺母：40个；风扇：2个；6位电源插座：1个；扳钳：1个。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12、提供原生产厂家授权。</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6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综合布线系统 弱电机房-MDF</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规格：110型100对机架式配线架 （含背板、连接块）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110型配线架采用阻燃PVC，材质符合 UL 94V-0 阻燃性标准；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配线架能承接22～26AWG规格的芯线；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110型配线架符合TIA/EIA-568C超五类连接件的性能要求；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适合于语音布线和超5类布线的高速数据传输。</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线管理器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规格：语音理线架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应用于110语音配线架的跳线管理；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开放式环型结构，最多可安装管理多达一百条跳线；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更深设计的理线环，可确保线缆弯曲半径，满足跳线或交叉线弯曲半径的合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规格：24口1U机架式光纤配线箱（带LC单模耦合器）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配线架内可容纳多达48芯尾纤的熔接；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够安装不同类型的光纤耦合器，以满足不同功能和性能的要求。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1U高度、19英寸宽度，空间合理，保证光纤跳接、熔接的合理弯曲半径；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单模、多模两种光纤均适用；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安装、检查、测试都非常方便。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规格：3米单模双芯LC-LC光纤跳线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符合TIA/EIA-568B.3、ISO/IEC 11801标准；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提供多种规格和长度的跳线；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接头类型包括ST、SC、FC、LC、MTRJ等。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平均连接损耗：≤ 0.2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重复插拔：&lt; 0.2 dB，每500次插拔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最小反射损耗：20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最大回损：-50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材料：陶瓷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尾纤</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规格：1.5米单模LC光纤尾纤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符合TIA/EIA-568B.3、ISO/IEC 11801标准；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提供多种规格和长度的跳线；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接头类型包括ST、SC、FC、LC、MTRJ等。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平均连接损耗：≤ 0.2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重复插拔：&lt; 0.2 dB，每500次插拔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最小反射损耗：20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最大回损：-50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材料：陶瓷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光纤连接</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芯</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机柜、机架</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标准型42U机柜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1、符合ANSI/EIA RS-310-D、DIN41491;PART1、IEC297-2、DIN41494;PART7、 GB/T3047.2- 92标准，兼容19"国际标准、公制标准和ETSI标准；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2、可关闭的下部走线通道，底部大走线孔尺寸可按需调整；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3、可方便拆卸的左右侧门和前后门，全方位操作,多方位查看；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4、可同时安装脚轮和支撑脚；最大静载达300KG；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5、高级月牙门锁；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6、有U数标识的方孔条，上框侧面为圆形通风孔；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7、脱脂、酸洗、防锈磷化、纯水清洗，静电喷塑符合欧洲ROHS环保标准；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8、机柜颜色：黑色（RAL9004）；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9、齐全的可选配件；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10、全部选用优质冷轧钢板制作；厚度：方孔条 1.2mm,框架0.8mm；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标准配置包括：顶盖:1个(0.8mm);框架:2个(0.8mm);前门:1个(0.8mm);侧门: 2个(0.8mm),配有锁扣;后门: 1个(0.8mm) ;锁:2个;方孔条:4个(1.2mm);安装梁:6个(0.8mm) (32U以下4个);底板: 1个(0.8mm);层板:2个(37U以下1个)；脚轮：4个；支脚：4个；螺丝钉和螺母：40个；风扇：2个；6位电源插座：1个；扳钳：1个。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12、提供原生产厂家授权。</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6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机柜、机架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网络型42U机柜 800*1000*2000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计算机网络系统 办公网+无线网</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24口接入交换机带POE供电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★1.提供24个千兆POE电口，4千兆Combo口，提供相关设备照片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★2.支持802.3af/at智能POE智能POE，POE功率370W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★3.交换容量≥256Gbps，包转发能力≥40Mpps，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4.支持IEEE 802.1d（STP）、802.1w（RSTP）、802.1s(MSTP)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5.支持802.1q VLAN,支持QINQ</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6.支持802.3ad端口聚合每组最大8个、支持动态LACP或静态聚合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7.支持802.1p，支持SP、WRR算法队列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8.支持IGMPv1/v2/v3、PIM-SM、PIM-DM，支持组播流量跨VLAN复制功能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9.支持静态路由，rip/ospf动态路由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★10.支持DHCP server，DHCP raleay；支持DHCP Snooping有效防范欺骗攻击（提供相关专利证明）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★11.支持标准和扩展ACL，支持IP ACL、支持基于源/目的IP、三层IP协议号、TCP/UDP四层端口号、IP优先级、ToS、时间范围对数据进行过滤（提供相关专利证明）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★12.支持实现IP、MAC地址进行访问控制的过滤技术（提供相关专利证明）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★13.支持提供中/英文双语界面（提供产品配置截图）；支持CLI；WEB；Telnet；（提供telnet相关专利证明）；SNMP V1/V2/V3；RMON 1/2/3/9；支持或兼容CDP邻居发现协议，并提供相关软件著作权登记证书（提供产品配置截图）                                                                    ★14.与核心交换机为同一品牌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★15.提供原厂ISO9001、ISO14001、管理体系认证证书，提供CMMI3认证证书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36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24口接入交换机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★1.提供24个千兆电口，4千兆独立自适应SFP光口，提供设备照片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★2.交换容量≥256Gbps，包转发能力≥51Mpps，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3.支持IEEE 802.1d（STP）、802.1w（RSTP）、802.1s(MSTP)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4.支持802.1q VLAN,支持QINQ</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5.支持802.3ad端口聚合每组最大8个、支持动态LACP或静态聚合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6.支持802.1p，支持SP、WRR算法队列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7.支持IGMPv1/v2/v3、PIM-SM、PIM-DM，支持组播流量跨VLAN复制功能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8.支持静态路由，rip/ospf动态路由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★9.支持DHCP server，DHCP raleay；支持DHCP Snooping有效防范欺骗攻击（提供相关专利证明）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★10.支持标准和扩展ACL，支持IP ACL、支持基于源/目的IP、三层IP协议号、TCP/UDP四层端口号、IP优先级、ToS、时间范围对数据进行过滤（提供相关专利证明）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★11.支持实现IP、MAC地址进行访问控制的过滤技术（提供相关专利证明）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★12.支持提供中/英文双语界面（提供产品配置截图）；支持CLI；WEB；Telnet；（提供telnet相关专利证明）；SNMP V1/V2/V3；RMON 1/2/3/9；支持或兼容CDP邻居发现协议，并提供相关软件著作权登记证书（提供产品配置截图）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★13.与核心交换机为同一品牌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★14.提供原厂ISO9001、ISO14001、管理体系认证证书 ，提供CMMI3认证证书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gridAfter w:val="1"/>
          <w:wAfter w:w="371" w:type="dxa"/>
          <w:trHeight w:val="2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核心交换机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★1.扩展槽6个，其中2个固定插主控，4个为业务槽位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★2.交换容量≥17.92Tbps/81.6Tbps,包转发速率≥2880Mpps/25920Mpps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3.支持IPv6 ND， Pv6 ACL, NAT-PT，IPv6隧道，6PE,Ipv6静态路由，RIPng，OSPFv3， BGP4+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4.支持4K VLAN，支持PVLAN，支持Super Vlan，支持VLAN Stacking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5.支持RIP、OSPF、BGP、IS-IS、BEIGRP路由协议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6.支持IGMP、IGMP Snooping、IGMP Proxy、PIM-SM、PIM-DM，支持组播流量跨VLAN复制功能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7.支持Ingress和Egress ACL，支持匹配L2、L3、L4和IP五元组，进行复制、转发、丢弃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8.支持Hash同源同宿负载均衡，保证流量输出的会话完整性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9.支持MCE，支持MPLS VPN的P/PE功能要求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10.支持虚拟化技术，支持将多台设备虚拟为一台设备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11.支持Console、Telnet、SSH、WEB；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★12.配置双冗余主控，双电源，千兆光口≥36个，千兆电≥36个；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★13.支持基于DHCP和IP的安全防护方法防ARP欺骗，提供第三方出具的基于DHCP和IP的以太网多层交换机安全防护方法相关证书证明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★14.支持虚拟化集群交换技术，提供官网链接及官网截图证明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★15.为了便于管理，获取相邻设备地址及平台，支持PDP邻居发现协议，提供WEB界面PDP配置截图证明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★16.为避免安全漏洞或后门，原厂必须具备符合GJB9001B的质量体系认证有效证书；                                                               ★17.提供原厂ISO9001、ISO14001、管理体系认证证书 ，提供CMMI3认证证书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无线AP</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无线AP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★1.高通芯片方案，支持802.11ac wave2无线协议；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★2.1167M无线带宽，整机四条空间流，支持MU-MIMO；</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★3.1个千兆以太口，支持POE供电，1个防盗锁孔；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4.铝合金后盖，避免垂直方向层间干扰；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5.支持胖瘦AP一体化，支持多SSID，中文SSID和SSID隐藏；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6.支持无线本地转发、CAPWAP集中转发、支持混合组网；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7.内置8种场景的无线信道、功率、频宽模板，支持一键无线网优；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8.支持802.1Q VLAN，支持管理VLAN和业务VLAN分别设置；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9.内置短信、微信、本地、云平台、卡券等方式的Portal认证功能；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10.支持无线探针，支持审计合规、室内定位系统的对接；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★11.支持云平台对接，实现认证、大数据分析和广告推送；提供相关功能截图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★12.支持运维云平台，实现跨广域网远程管理，用户体验度图形化图表，自动告警和诊断，自动发现和推送版本等；提供相关功能截图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13.支持AC远程/批量开关LED；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★14.与核心交换机为同一品牌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★15.提供原厂ISO9001、ISO14001、管理体系认证证书 ，提供CMMI3认证证书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r>
      <w:tr>
        <w:tblPrEx>
          <w:tblCellMar>
            <w:top w:w="0" w:type="dxa"/>
            <w:left w:w="0" w:type="dxa"/>
            <w:bottom w:w="0" w:type="dxa"/>
            <w:right w:w="0" w:type="dxa"/>
          </w:tblCellMar>
        </w:tblPrEx>
        <w:trPr>
          <w:gridAfter w:val="1"/>
          <w:wAfter w:w="371" w:type="dxa"/>
          <w:trHeight w:val="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无线控制器（已含授权）</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无线控制器（已含授权）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★1.1个Console，1个USB，2个千兆光电复用口，8个千兆电口；提供相关设备照片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★M2.IPS嵌入式硬件平台，双FLASH存储，系统和数据库分别存放；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★3.支持VxWorks和Linux双系统引导；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★4.免费License，无需另购，无需现场升级；支持面板AP占用减半；最大支持64个正常AP或者128个面板AP接入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5.支持路由、无线AC和Portal认证功能三合一；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6.支持无线本地转发、CAPWAP集中转发、支持混合组网；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7.支持AP自动发现，零配置上线；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8.支持DHCP、DNS等方式发现设备发现，支持NAT穿越；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9.支持认证和业务的漫游；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10.支持高密度场景AP和用户的负载均衡策略；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11.内置8种场景的无线信道、功率、频宽模板，支持一键无线网优；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12.内置短信、微信、本地、云平台、卡券等方式的Portal认证功能；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13.支持无线探针，支持审计合规、室内定位系统的对接；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★14.支持云平台对接，实现认证、大数据分析和广告推送；提供相关功能截图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★15.支持运维云平台，实现跨广域网远程管理，用户体验度图形化图表，自动告警和诊断，自动发现和推送版本等；提供相关功能截图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★16.与核心交换机为同一品牌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★17.提供原厂ISO9001、ISO14001、管理体系认证证书 ，提供CMMI3认证证书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2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千兆单模光模块</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千兆SFP单模（10Km，1310nm，LC，DDM）,与交换机同一品牌</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计算机网络系统 设备网</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设备网-核心交换机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★1.提供1个Mini usb型Console口，提供24个千兆光口+8个千兆电口，8个千兆/万兆自适应SFP+光口，支持热插拔双电源插槽；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★2.交换容量≥598Gbps，包转发能力≥222Mpps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3.支持虚拟化技术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4.支持IPv6 ND， Pv6 ACL, NAT-PT，IPv6隧道，6PE,Ipv6静态路由，RIPng，OSPFv3， BGP4+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5.支持RIP、OSPF、BGP、IS-IS、BEIGRP路由协议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6.支持Ingress和Egress ACL，支持匹配L2、L3、L4和IP五元组，进行复制、转发、丢弃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7.支持Hash同源同宿负载均衡，保证流量输出的会话完整性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8.支持MCE，支持MPLS VPN的P/PE功能要求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9.支持ZTP零接触配置开通（Zero Touch Provisioning）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10.支持DHCP SNOOPING，支持EAPS、MEAPS环网保护协议，环网倒换时间小于100ms，支持HSRP，VRRP热备份协议。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11.支持Console、Telnet、SSH、WEB；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12.整机设备高度为1U结构，节省机柜空间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★13.支持基于DHCP和IP的安全防护方法防ARP欺骗，提供第三方出具的基于DHCP和IP的以太网多层交换机安全防护方法相关证书证明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★14.支持虚拟化集群交换技术，提供官网链接及官网截图证明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★15.为了便于管理，获取相邻设备地址及平台，支持PDP邻居发现协议，提供WEB界面PDP配置截图证明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★16.为避免安全漏洞或后门，原厂必须具备符合GJB9001B的质量体系认证有效证书；                                                               ★17.提供原厂ISO9001、ISO14001、管理体系认证证书 ，提供CMMI3认证证书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0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24口接入交换机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★1.提供24个千兆电口，4千兆独立自适应SFP光口，提供设备照片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★2.交换容量≥256Gbps，包转发能力≥51Mpps，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3.支持IEEE 802.1d（STP）、802.1w（RSTP）、802.1s(MSTP)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4.支持802.1q VLAN,支持QINQ</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5.支持802.3ad端口聚合每组最大8个、支持动态LACP或静态聚合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6.支持802.1p，支持SP、WRR算法队列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7.支持IGMPv1/v2/v3、PIM-SM、PIM-DM，支持组播流量跨VLAN复制功能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8.支持静态路由，rip/ospf动态路由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★9.支持DHCP server，DHCP raleay；支持DHCP Snooping有效防范欺骗攻击（提供相关专利证明）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★10.支持标准和扩展ACL，支持IP ACL、支持基于源/目的IP、三层IP协议号、TCP/UDP四层端口号、IP优先级、ToS、时间范围对数据进行过滤（提供相关专利证明）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★11.支持实现IP、MAC地址进行访问控制的过滤技术（提供相关专利证明）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★12.支持提供中/英文双语界面（提供产品配置截图）；支持CLI；WEB；Telnet；（提供telnet相关专利证明）；SNMP V1/V2/V3；RMON 1/2/3/9；支持或兼容CDP邻居发现协议，并提供相关软件著作权登记证书（提供产品配置截图）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★13.与核心交换机同一品牌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★14.提供原厂ISO9001、ISO14001、管理体系认证证书 ，提供CMMI3认证证书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0" w:type="dxa"/>
            <w:bottom w:w="0" w:type="dxa"/>
            <w:right w:w="0" w:type="dxa"/>
          </w:tblCellMar>
        </w:tblPrEx>
        <w:trPr>
          <w:gridAfter w:val="1"/>
          <w:wAfter w:w="371" w:type="dxa"/>
          <w:trHeight w:val="24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交换机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8口接入交换机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★1.提供8个千兆电口，2千兆SFP光口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★2.交换容量≥256Gbps，包转发能力≥15Mpps，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3.支持IEEE 802.1d（STP）、802.1w（RSTP）、802.1s(MSTP)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4.支持802.1q VLAN,支持QINQ</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5.支持802.3ad端口聚合每组最大8个、支持动态LACP或静态聚合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6.支持802.1p，支持SP、WRR算法队列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7.支持IGMPv1/v2/v3、PIM-SM、PIM-DM，支持组播流量跨VLAN复制功能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8.支持静态路由，rip/ospf动态路由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★9.支持DHCP server，DHCP raleay；支持DHCP Snooping有效防范欺骗攻击（提供相关专利证明）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★10.支持标准和扩展ACL，支持IP ACL、支持基于源/目的IP、三层IP协议号、TCP/UDP四层端口号、IP优先级、ToS、时间范围对数据进行过滤（提供相关专利证明）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★11.支持实现IP、MAC地址进行访问控制的过滤技术（提供相关专利证明）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★12.支持提供中/英文双语界面（提供产品配置截图）；支持CLI；WEB；Telnet；（提供telnet相关专利证明）；SNMP V1/V2/V3；RMON 1/2/3/9；支持或兼容CDP邻居发现协议，并提供相关软件著作权登记证书（提供产品配置截图）                                                                        ★13.与核心交换机同一品牌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★14.提供原厂ISO9001、ISO14001、管理体系认证证书，提供CMMI3认证证书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★15.提供原厂授权和原厂三年质保</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93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千兆单模光模块</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千兆SFP单模（10Km，1310nm，LC，DDM）,与交换机同一品牌</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视频监控系统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300万1/3”CMOS ICR日夜型半球型网络摄像机；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支持H.265/H.264/MJPEG编码；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 0.07Lux @(F1.2,AGC ON) ,0 Lux with IR；0.19 Lux @(F2.0,AGC ON), 0 Lux with IR；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 4mm，水平视场角60.5°；(2.8mm,6mm,8mm可选)；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调整角度 水平:0°~360°;垂直:0°~ 75°;旋转:0°~360°；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 50Hz: 25fps(2048 × 1536, 1920 × 1080, 1280 × 720)；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宽动态范围 120dB；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感兴趣区域 ROI支持三码流分别设置1个固定区域；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智能报警 越界侦测,区域入侵侦测,场景变更侦测,人脸侦测,虚焦侦测，物品遗留侦测,物品拾取侦测,非法停车侦测,人员聚集侦测,,徘徊侦测,快速移动侦测,进入区域侦测,离开区域侦测；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 DC12V±25%；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 5.5W MAX（ICR切换瞬间7.5W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红外照射距离 EXIR 20-30米；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支持智能后检索，配合NVR支持事件的二次检索分析；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 NAS(NFS,SMB/CIFS均支持)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快门 1/3秒至1/100,000秒；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 -30℃~60℃,湿度小于95%(无凝结)；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 IP67；</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r>
      <w:tr>
        <w:tblPrEx>
          <w:tblCellMar>
            <w:top w:w="0" w:type="dxa"/>
            <w:left w:w="0" w:type="dxa"/>
            <w:bottom w:w="0" w:type="dxa"/>
            <w:right w:w="0" w:type="dxa"/>
          </w:tblCellMar>
        </w:tblPrEx>
        <w:trPr>
          <w:gridAfter w:val="1"/>
          <w:wAfter w:w="371" w:type="dxa"/>
          <w:trHeight w:val="68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75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400万1/1.8"CMOS 全彩半球网络摄像机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最小照度:彩色0.0005Lux@F1.0,AGC ON;0Lux with Light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镜头:4mm,水平视场角89°;(6mm 水平视场角56°可选)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宽动态范围:120dB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视频压缩标准:H.265 / H.264 / 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最大图像尺寸:2560 × 1440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通讯接口:1 个RJ45 10M / 100M 自适应以太网口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音频接口:1对音频输入(Line in)/输出外部接口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报警输入:1路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报警输出:1路(报警输出最大支持DC12V 30mA)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工作温度和湿度:-30℃~60℃,湿度小于95%(无凝结)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电源供应:DC12V±25%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电源接口类型:Φ5.5圆头电源接口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功耗:非PoE： 6W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补光照射距离:暖光最远可达30米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尺寸:Φ130 x 103.6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全向监控拾音器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全向监控拾音器；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拾音范围70平方米；音频传输距离3000米；灵敏度-34dB；信噪比60dB；安装方式：吸顶安装（自带底座转接盘）；连接方式 3芯导线（红-电源  黑-公共地  白-音频）；电源DC 12V（9V-15V）；推荐电源：DC12V/1A，两线；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300万1/3”CMOS ICR红外阵列筒型网络摄像机；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视频压缩标准 H.265 / H.264 / 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 0.07Lux @(F1.2,AGC ON) ,0 Lux with IR；0.1 Lux @(F1.4,AGC ON), 0 Lux with IR；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 4mm, 水平视场角:60.5°(6mm,8mm,12mm可选)；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快门 1/3秒至1/100,000秒；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支持数字宽动态；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 50Hz: 25fps(2048 × 1536, 1920 × 1080, 1280 × 720)；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感兴趣区域 ROI支持三码流分别设置1个固定区域；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 NAS(NFS,SMB/CIFS均支持)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智能报警 越界侦测,区域入侵侦测,场景变更侦测,人脸侦测,虚焦侦测，物品遗留侦测,物品拾取侦测,非法停车侦测,人员聚集侦测,徘徊侦测,快速移动侦测,进入区域侦测,离开区域侦测；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支持智能后检索，配合NVR支持事件的二次检索分析；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 -30℃~60℃,湿度小于95%(无凝结)；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 DC12V±25%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功耗：6W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红外照射距离：最远可达30米；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 IP67 含支架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室外IP带红外枪型摄像机（1080P）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300万1/3”CMOS ICR红外阵列筒型网络摄像机；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视频压缩标准 H.265 / H.264 / 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 0.07Lux @(F1.2,AGC ON) ,0 Lux with IR；0.1 Lux @(F1.4,AGC ON), 0 Lux with IR；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 4mm, 水平视场角:60.5°(6mm,8mm,12mm可选)；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快门 1/3秒至1/100,000秒；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支持数字宽动态；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 50Hz: 25fps(2048 × 1536, 1920 × 1080, 1280 × 720)；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感兴趣区域 ROI支持三码流分别设置1个固定区域；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 NAS(NFS,SMB/CIFS均支持)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智能报警 越界侦测,区域入侵侦测,场景变更侦测,人脸侦测,虚焦侦测，物品遗留侦测,物品拾取侦测,非法停车侦测,人员聚集侦测,徘徊侦测,快速移动侦测,进入区域侦测,离开区域侦测；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支持智能后检索，配合NVR支持事件的二次检索分析；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 -30℃~60℃,湿度小于95%(无凝结)；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 DC12V±25%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功耗：6W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红外照射距离：最远可达30米；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 IP67</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CellMar>
            <w:top w:w="0" w:type="dxa"/>
            <w:left w:w="0" w:type="dxa"/>
            <w:bottom w:w="0" w:type="dxa"/>
            <w:right w:w="0" w:type="dxa"/>
          </w:tblCellMar>
        </w:tblPrEx>
        <w:trPr>
          <w:gridAfter w:val="1"/>
          <w:wAfter w:w="371" w:type="dxa"/>
          <w:trHeight w:val="23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电梯监控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200万1/2.7” CMOS日夜型迷你半球型网络摄像机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内置麦克风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最低照度:彩色:0.01 Lux @ (F1.2, AGC ON),0 Lux with IR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镜头:2.8 mm@ F1.6, 水平视场角:114.8°,垂直视场角:62.1°,对角线视场角:135.6°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调整角度:水平-15~15°,垂直0~75°,旋转0-360°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宽动态范围:105dB数字宽动态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视频压缩标准:H.264/H.265/MJPEG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最大图像尺寸:1920 × 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存储功能:支持Micro SD(即TF卡)/Micro SDHC /Micro SDXC 卡(128G)断网本地存储,NAS(NFS,SMB/CIFS 均支持)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通讯接口:1 个RJ45 10M / 100M 自适应以太网口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工作温度和湿度:-10℃~40℃,湿度小于95%(无凝结)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电源供应:DC:12V±25%(支持防反接保护),POE:802.3af</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电源接口类型:Φ5.5mm 圆口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功耗:DC:Max: 6.0W,PoE:Max:7.5W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红外照射距离:3m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防护等级:IP66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防暴等级:IK08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尺寸(mm):φ110*57.37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重量:370g</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23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17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无线网桥</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无线网桥 200米电梯专用无线网桥 (单位为套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内含摄像机端和机房端)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黑白配设计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实际有效带宽40Mbps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1个百兆电口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适用于200米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8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32路硬盘录像机 硬件规格：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1.5U标准机架式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1个HDMI，1个VGA，异源输出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8盘位，可满配6TB硬盘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2个千兆网口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2个USB2.0接口、1个USB3.0接口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选配：1个eSATA接口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报警IO：16进4路（可选配8出）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软件性能：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输入带宽：256M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32路H.264、H.265接入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最大支持8×1080P解码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支持H.264、H.265解码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Smart 2.0/整机热备/ANR/智能检索/智能回放/车牌检索/人脸检索/热度图/客流量统计/分时段回放/超高倍速回放/双系统备份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监控级硬盘</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监控级硬盘6T硬盘</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监视器（屏、墙）</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43寸液晶监视器，塑胶边框，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显示：LED背光；分辨率1920*1080；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亮度380cd/㎡，对比度1200:1，功耗≤65W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裸机尺寸(W×L×D)(mm)：968.2×78.5×565.2，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接口：BNC输入接口1个；音频输入 1个；DVI输入接口1个；VGA输入接口1个；HDMI输入接口 1个；RS232输入接口 1个；RS232输出接口 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标准配置：遥控器*1、电池*2、电源线*1、说明书*1、合格证*1、保修卡*1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68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监视器支架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高清视音频解码器，采用Linux操作系统，运行稳定可靠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输出接口：支持1路HDMI、VGA、BNC三种输出接口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编码格式：支持H.265、H.264、MPEG4、MJPEG等主流的编码格式；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封装格式：支持PS、RTP、TS、ES等主流的封装格式；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音频解码：支持G.722、G.711A、G.726、G.711U、MPEG2-L2、AAC音频格式的解码；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解码能力：支持2路1200W，或4路800W，或6路500W，或10路300W，或16路1080P及以下分辨率同时实时解码；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画面分割：支持1、2、4、6、8、9、10、12、16、25、36画面分割显示。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网络接口：支持1个RJ45网络接口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音频接口：1路音频输出、1路对讲输入、1路对讲输出，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串行接口：一个标准232接口（RJ45）、一个标准485接口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报警接口：8路报警输入，8路报警输出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管控软件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 管控软件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操作台管理电脑（监控用,带23寸显示器）酷睿i5处理器、1T、4G</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 双联</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监控电源</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监控专用电源12V/20A</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监控电源</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监控专用电源12V/10A</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安防箱</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室外安防箱600*800*400mm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室外立杆3.5米，含基础及接地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规格：通用型24口光纤配线架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配线架内可容纳多达48芯尾纤的熔接；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够安装不同类型的光纤耦合器，以满足不同功能和性能的要求。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1U高度、19英寸宽度，空间合理，保证光纤跳接、熔接的合理弯曲半径；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单模、多模两种光纤均适用；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安装、检查、测试都非常方便。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线管理器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规格：网络1U封闭滑槽式理线架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应用于配线架和网络设备之间的跳线管理；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滑槽封闭式结构金属材质；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最多可安装管理多达五十条跳线；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更深设计的理线环，可确保线缆弯曲半径。</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规格：2米六类非屏蔽网络跳线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符合ANSI/TIA/EIA 568-B.2-1、 ISO/IEC 11801第二版、EN50173-1第二版的要求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采用多股绞合线电缆，跳线柔韧性好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渐变型受力原理的加长护套，防滑抗拉，保证一定的弯曲半径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提供多种长度和多种颜色及不同防火等级外护套选择。</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规格：通用型12口光纤配线架（带LC单模耦合器）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配线架内可容纳多达24芯尾纤的熔接；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够安装不同类型的光纤耦合器，以满足不同功能和性能的要求。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1U高度、19英寸宽度，空间合理，保证光纤跳接、熔接的合理弯曲半径；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单模、多模两种光纤均适用；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安装、检查、测试都非常方便。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规格：通用型24口光纤配线架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配线架内可容纳多达48芯尾纤的熔接；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够安装不同类型的光纤耦合器，以满足不同功能和性能的要求。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1U高度、19英寸宽度，空间合理，保证光纤跳接、熔接的合理弯曲半径；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单模、多模两种光纤均适用；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安装、检查、测试都非常方便。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规格：3米单模双芯LC-LC光纤跳线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符合TIA/EIA-568B.3、ISO/IEC 11801标准；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提供多种规格和长度的跳线；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接头类型包括ST、SC、FC、LC、MTRJ等。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平均连接损耗：≤ 0.2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重复插拔：&lt; 0.2 dB，每500次插拔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最小反射损耗：20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最大回损：-50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材料：陶瓷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尾纤</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规格：1.5米单模LC光纤尾纤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符合TIA/EIA-568B.3、ISO/IEC 11801标准；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提供多种规格和长度的跳线；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接头类型包括ST、SC、FC、LC、MTRJ等。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平均连接损耗：≤ 0.2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重复插拔：&lt; 0.2 dB，每500次插拔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最小反射损耗：20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最大回损：-50 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材料：陶瓷</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光纤盒</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光纤盒</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光纤连接</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芯</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室外6芯单模光纤 规格：9/125单模光缆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符合TIA/EIA-568-B.3标准，ITU G.651 、IEC793-2A1b技术要求；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紧套光纤外径均匀，具有很好的剥离效果；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外皮和紧套光纤之间有多股纺纶丝，增加了光纤的强度；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外皮备有阻燃型和低烟无卤型，供不同场合使用；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衰减：1310nm    ≤0.36dB/km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1550nm    ≤0.22dB/km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室内6芯单模光纤 规格：9/125单模光缆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符合TIA/EIA-568-B.3标准，ITU G.651 、IEC793-2A1b技术要求；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紧套光纤外径均匀，具有很好的剥离效果；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外皮和紧套光纤之间有多股纺纶丝，增加了光纤的强度；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外皮备有阻燃型和低烟无卤型，供不同场合使用；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衰减：1310nm    ≤0.36dB/km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1550nm    ≤0.22dB/km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tblPrEx>
          <w:tblCellMar>
            <w:top w:w="0" w:type="dxa"/>
            <w:left w:w="0" w:type="dxa"/>
            <w:bottom w:w="0" w:type="dxa"/>
            <w:right w:w="0" w:type="dxa"/>
          </w:tblCellMar>
        </w:tblPrEx>
        <w:trPr>
          <w:gridAfter w:val="1"/>
          <w:wAfter w:w="371" w:type="dxa"/>
          <w:trHeight w:val="71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双绞线缆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六类非屏蔽双绞线缆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符合ANSI/TIA/EIA-568-C.2 和ISO/IEC 11801:2008标准的要求；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2、带中心十字隔离骨架，可有效防止因线对之间绞距变化带来的性能下降；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3、可提供350MHZ带宽，线规23AWG；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4、护套采用优良的PVC材料；护套长度为逆序标注以方便识别线缆长度；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5、导体材料：无氧圆铜（纯度99.99%）；最大导体直流电阻@20 Deg.C :7.32Ω/100m；线对直流电阻不平衡：≤2%；线对对地电容不平衡：＜330pF/100m；延迟偏差：≤45ns/100m；额定传输速率(NVP)：65%；绝缘电阻: ≥5000MΩ/km +20℃ DC (100-500)；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6、通过信产部六类非屏蔽信道检验报告、六类非屏蔽永久链路检验报告和六类非屏蔽双绞线检验报告、FCC认证，并加盖生产厂家公章；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7、投标时提供：原生产厂家授权和25年售后服务承诺函，加盖原厂公章。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4545.00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电源线RVV2*1.0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4545.00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食堂</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IP带红外半球摄像机 300万1/3”CMOS ICR日夜型半球型网络摄像机；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支持H.265/H.264/MJPEG编码；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 0.07Lux @(F1.2,AGC ON) ,0 Lux with IR；0.19 Lux @(F2.0,AGC ON), 0 Lux with IR；</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 4mm，水平视场角60.5°；(2.8mm,6mm,8mm可选)；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调整角度 水平:0°~360°;垂直:0°~ 75°;旋转:0°~360°；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 50Hz: 25fps(2048 × 1536, 1920 × 1080, 1280 × 720)；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宽动态范围 120dB；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感兴趣区域 ROI支持三码流分别设置1个固定区域；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智能报警 越界侦测,区域入侵侦测,场景变更侦测,人脸侦测,虚焦侦测，物品遗留侦测,物品拾取侦测,非法停车侦测,人员聚集侦测,,徘徊侦测,快速移动侦测,进入区域侦测,离开区域侦测；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 DC12V±25%；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 5.5W MAX（ICR切换瞬间7.5W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红外照射距离 EXIR 20-30米；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支持智能后检索，配合NVR支持事件的二次检索分析；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 NAS(NFS,SMB/CIFS均支持)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快门 1/3秒至1/100,000秒；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 -30℃~60℃,湿度小于95%(无凝结)；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 IP67；</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tblCellMar>
            <w:top w:w="0" w:type="dxa"/>
            <w:left w:w="0" w:type="dxa"/>
            <w:bottom w:w="0" w:type="dxa"/>
            <w:right w:w="0" w:type="dxa"/>
          </w:tblCellMar>
        </w:tblPrEx>
        <w:trPr>
          <w:gridAfter w:val="1"/>
          <w:wAfter w:w="371" w:type="dxa"/>
          <w:trHeight w:val="9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8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16路硬盘录像机 硬件规格：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1.5U标准机架式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1个HDMI，1个VGA，异源输出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8盘位，可满配6TB硬盘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2个千兆网口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2个USB2.0接口、1个USB3.0接口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选配：1个eSATA接口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报警IO：16进4路（可选配8出）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软件性能：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输入带宽：256M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16路H.264、H.265接入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最大支持8×1080P解码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支持H.264、H.265解码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Smart 2.0/整机热备/ANR/智能检索/智能回放/车牌检索/人脸检索/热度图/客流量统计/分时段回放/超高倍速回放/双系统备份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4T硬盘</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4TB/64MB(6Gb/秒 NCQ)/5900RPM/SATA3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1"/>
          <w:wAfter w:w="371" w:type="dxa"/>
          <w:trHeight w:val="66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收发器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单路解码器 高清视音频解码器，采用Linux操作系统，运行稳定可靠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输出接口：支持1路HDMI、VGA、BNC三种输出接口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编码格式：支持H.265、H.264、MPEG4、MJPEG等主流的编码格式；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封装格式：支持PS、RTP、TS、ES等主流的封装格式；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音频解码：支持G.722、G.711A、G.726、G.711U、MPEG2-L2、AAC音频格式的解码；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解码能力：支持2路1200W，或4路800W，或6路500W，或10路300W，或16路1080P及以下分辨率同时实时解码；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画面分割：支持1、2、4、6、8、9、10、12、16画面分割显示.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网络接口：支持1个RJ45网络接口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音频接口：1路音频输出、1路对讲输入、1路对讲输出，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串行接口：一个标准232接口（RJ45）、一个标准485接口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报警接口：8路报警输入，8路报警输出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监视器（屏、墙）</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43寸液晶监视器，塑胶边框，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显示：LED背光；分辨率1920*1080；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亮度380cd/㎡，对比度1200:1，功耗≤65W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裸机尺寸(W×L×D)(mm)：968.2×78.5×565.2，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接口：BNC输入接口1个；音频输入 1个；DVI输入接口1个；VGA输入接口1个；HDMI输入接口 1个；RS232输入接口 1个；RS232输出接口 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标准配置：遥控器*1、电池*2、电源线*1、说明书*1、合格证*1、保修卡*1</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68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监视器支架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高清视音频解码器，采用Linux操作系统，运行稳定可靠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输出接口：支持1路HDMI、VGA、BNC三种输出接口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编码格式：支持H.265、H.264、MPEG4、MJPEG等主流的编码格式；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封装格式：支持PS、RTP、TS、ES等主流的封装格式；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音频解码：支持G.722、G.711A、G.726、G.711U、MPEG2-L2、AAC音频格式的解码；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解码能力：支持2路1200W，或4路800W，或6路500W，或10路300W，或16路1080P及以下分辨率同时实时解码；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画面分割：支持1、2、4、6、8、9、10、12、16、25、36画面分割显示。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网络接口：支持1个RJ45网络接口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音频接口：1路音频输出、1路对讲输入、1路对讲输出，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串行接口：一个标准232接口（RJ45）、一个标准485接口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报警接口：8路报警输入，8路报警输出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监控电源</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监控专用电源12V/20A</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跳线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规格：2米六类非屏蔽网络跳线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符合ANSI/TIA/EIA 568-B.2-1、 ISO/IEC 11801第二版、EN50173-1第二版的要求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采用多股绞合线电缆，跳线柔韧性好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渐变型受力原理的加长护套，防滑抗拉，保证一定的弯曲半径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提供多种长度和多种颜色及不同防火等级外护套选择。</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r>
      <w:tr>
        <w:tblPrEx>
          <w:tblCellMar>
            <w:top w:w="0" w:type="dxa"/>
            <w:left w:w="0" w:type="dxa"/>
            <w:bottom w:w="0" w:type="dxa"/>
            <w:right w:w="0" w:type="dxa"/>
          </w:tblCellMar>
        </w:tblPrEx>
        <w:trPr>
          <w:gridAfter w:val="1"/>
          <w:wAfter w:w="371" w:type="dxa"/>
          <w:trHeight w:val="71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双绞线缆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六类非屏蔽双绞线缆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符合ANSI/TIA/EIA-568-C.2 和ISO/IEC 11801:2008标准的要求；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2、带中心十字隔离骨架，可有效防止因线对之间绞距变化带来的性能下降；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3、可提供350MHZ带宽，线规23AWG；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4、护套采用优良的PVC材料；护套长度为逆序标注以方便识别线缆长度；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5、导体材料：无氧圆铜（纯度99.99%）；最大导体直流电阻@20 Deg.C :7.32Ω/100m；线对直流电阻不平衡：≤2%；线对对地电容不平衡：＜330pF/100m；延迟偏差：≤45ns/100m；额定传输速率(NVP)：65%；绝缘电阻: ≥5000MΩ/km +20℃ DC (100-500)；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6、通过信产部六类非屏蔽信道检验报告、六类非屏蔽永久链路检验报告和六类非屏蔽双绞线检验报告、FCC认证，并加盖生产厂家公章；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7、投标时提供：原生产厂家授权和25年售后服务承诺函，加盖原厂公章。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电源线RVV2*1.0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人脸门禁系统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373</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出入口控制设备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人脸门禁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1、设备外观：采用7英寸LCD触摸显示屏，200万像素双目摄像头，面部识别距离大于2m，支持照片视频防假；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2、设备容量：支持5000张人脸白名单，1：N人脸比对时间＜0.2S/人，支持6000张卡片，50000条记录；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证方式：支持人脸、刷卡、密码（超级密码）及其组合的认证方式；可读取Mifare卡（IC卡）卡号、CPU序列号、身份证序列号；支持二维码识别（需选择2.8mm焦距镜头型号设备，与门口机可识别二维码类型保持一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4、通讯方式：上行通讯为TCP/IP，支持Ehome跨公网传输；支持外接RS485，Wiegand副读卡器（不支持外接指纹读卡器）；基线支持标准韦根34/26；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5、视频对讲：支持与云眸、4200客户端、主副室内分机、管理机的视频对讲功能；支持远程视频预览功能，可以通过RTSP协议输出视频码流，编码格式H.264；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6、输入接口：LAN*1、RS485*1、wiegand * 1、USB*1、门磁*1、报警输入*2、防拆*1、开门按钮*1；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7、输出接口：电锁*1个，报警输出*1个；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8、工作电压： DC 12V/3A，不自带电源；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9、使用环境：室内外环境，室外使用需要配遮阳罩，避免阳光直射；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10、安装方式：标配金属安装挂板，支持明装、86底盒安装；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11、产品尺寸：239mm*116.5mm*33mm；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12、工作温度：-30~65℃。</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gridAfter w:val="1"/>
          <w:wAfter w:w="371" w:type="dxa"/>
          <w:trHeight w:val="203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双门磁力锁</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双门磁力锁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最大拉力：280kg(600Lbs)*2静态直线拉力；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支持锁状态反馈，门磁输出；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断电开锁；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具有电锁状态指示灯；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锁体尺寸：长480*宽48.5*厚26.5(mm)；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吸板尺寸：长180*宽38*厚11(mm)；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使用环境：室内；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工作电压：12V/500mA*2   24V/250mA*2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适用门型：木门、玻璃门、金属门、防火门。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出门按钮</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开门按钮 结构：塑料面板；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性能：最大耐电流1.25A，电压250V；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输出：常开；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类型：适合埋入式电器盒使用；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尺寸：86*86mm；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重量：0.07kg；</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门禁电源</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门禁定制电源</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人脸采集摄像头</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人脸采集摄像头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200万USB电视摄像机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传感器类型:2.0 Mega Progressive Scan CMOS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总像素:1920(水平)×1080(垂直)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最低照度:0.1Lux @ (F1.2,AGC ON)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镜头:6mm(2.1mm可选)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出线长度:2m(2.1mm焦距设备出线为4m)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日夜转换模式:单彩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调整角度:水平:0°;垂直:-10°~30°;旋转:0°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视频帧率:1080p@25fps;1080p@30fps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信噪比:大于62dB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视频输出:USB2.0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音频输入:内置MIC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音频输出:USB2.0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白平衡:自动白平衡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蜂鸣功能:支持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LED指示灯:红色：待机状态; 蓝色：正常视频通话状态; 红色闪烁+蜂鸣：有视频通话请求状态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工作温度和湿度:-10℃~45℃ ,湿度小于90%(无凝结)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电源供应:DC5V±15%（USB接口）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功耗:2W MAX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尺寸(mm):118.0×46.8×54.9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重量:150g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提供海康SDK做2次开发，可支持windows和安卓系统</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人脸门禁系统 线材、配件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人脸门禁系统 线材、配件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人员通道系统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出入口执行机构设备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单机芯左边道 1500mm*200mm*960mm/20-60人每分钟，受人员情况和通行模式影响/通道宽度550mm—1100mm，不接受定制/12对红外检测/门翼亚克力、不锈钢可选/室内外/工作电压220V/工作温度范围-25℃~70℃/翻越报警/分时段管控，最多支持8个时段常开、常闭模式设定/反潜回功能，单通道反潜回，多通道跨主机反潜回</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出入口执行机构设备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双机芯中间道 1500mm*200mm*960mm/20-60人每分钟，受人员情况和通行模式影响/通道宽度550mm—1100mm，不接受定制/12对红外检测/门翼亚克力、不锈钢可选/室内外/工作电压220V/工作温度范围-25℃~70℃/翻越报警/分时段管控，最多支持8个时段常开、常闭模式设定/反潜回功能，单通道反潜回，多通道跨主机反潜回</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出入口执行机构设备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单机芯右边道 1500mm*200mm*960mm/20-60人每分钟，受人员情况和通行模式影响/通道宽度550mm—1100mm，不接受定制/12对红外检测/门翼亚克力、不锈钢可选/室内外/工作电压220V/工作温度范围-25℃~70℃/翻越报警/分时段管控，最多支持8个时段常开、常闭模式设定/反潜回功能，单通道反潜回，多通道跨主机反潜回</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出入口控制设备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控制器主板套件 32位处理器，上行TCP/IP、RS485，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下行RS485、维根、232串口，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225mm(L) x 180mm(w) x 15(H)</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出入口目标识别设备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读卡器套件 支持Mifare卡;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支持485、Wiegand协议;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闸机内安装;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读卡频率 13.56MHz;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规格尺寸 90.5x68x1.2（mm）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gridAfter w:val="1"/>
          <w:wAfter w:w="371" w:type="dxa"/>
          <w:trHeight w:val="80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出入口目标识别设备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人脸识别组件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1、设备外观：采用10.1英寸LCD触摸显示屏；200万像素双目宽动态摄像头；采用星光级图像传感器，可适应夜间低照度环境；人脸识别距离可大于2m，支持照片视频防假；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2、设备容量：支持50000张人脸白名单，1：N人脸比对时间≤0.2s/人；支持100000笔记录存储；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3、认证方式：支持人脸比对；支持通过RS485或wiegand外接读卡器，实现刷卡；支持通过USB口外接身份证阅读器，实现人证比对；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4、通讯方式：上行通讯为TCP/IP；支持WIFI传输；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5、视频对讲：支持视频语音对讲功能；可接NVR，支持视频预览；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6、设备接口： LAN*1；RS485*1；韦根*1；USB *1；门磁*1、开门按钮*1、报警输入*2；电锁*1、报警输出*1；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7、工作电压： DC 12V/3A，需独立供电；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8、使用环境：室内外，（防护等级IP65），室外场景使用时需加装遮阳罩DS-K1Z5604-Z；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9、安装方式：通道安装；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10、产品尺寸：172mm*504.8mm*155.53mm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11、工作温度：-30~60℃。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gridAfter w:val="1"/>
          <w:wAfter w:w="371" w:type="dxa"/>
          <w:trHeight w:val="23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出入口目标识别设备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发卡器 支持发卡类型：ID卡、Mifare卡、二三代身份证卡（序列号）、普通CPU卡、国密CPU卡；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USB2.0接口；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具有2个Sim卡尺寸的PSAM卡座；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工作电压：DC 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工作电流：0.2A；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尺寸：117*67.5*14.3mm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人员通道系统 线材、配件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人员通道系统 线材、配件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车牌自动识别系统 入口设备（1进）</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电动道闸</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电动道闸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包含：2个遥控器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道闸类型：直杆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道闸方向：右向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道闸杆长：4米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运行速度：3秒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机箱材质：冷轧钢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机箱颜色：橙色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遥控距离：≥30m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输入电压：220VAC+10%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电机驱动：交流电机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电机功率：90W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功能特性：支持外接红绿灯警示、外接红外保护、外接地感功能，支持强冷天气</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安全检查设备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数字车辆检测器 独立式,支持接入的最大线圈数2,继电器输出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车牌识别一体控制机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车牌识别一体控制机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包含：防护罩、镜头、摄像机、2个LED补光灯等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分辨率：200万，1920*1200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帧率：25fps(1920*1080)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传感器类型：1/3" Progressive Scan CMOS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最小照度：彩色0.002Lux@(F1.2,AGC ON)，黑白0.0002Lux @(F1.2,AGC ON)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镜头：3.1-9mm电动变焦镜头，支持软件自动调焦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补光灯：内置2颗LED补光灯，2颗灯珠颜色保持一致，红外/白光可配置切换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自动光圈：DC驱动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ICR切换：支持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视频压缩标准：H.264/H.265/MJPEG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图像设置：饱和度,亮度,对比度,白平衡,增益,3D降噪通过软件可调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存储功能：内置TF卡槽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智能识别：车牌识别、车型识别、车标识别、车身颜色识别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补光灯控制：补光灯自动光控、时控可选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接口：1 个RJ45 10M/100M/1000M 自适应以太网口，1个 RS-485 接口，1个RS-232接口，1路音频输入，1路音频输出，3路触发输入，2路继电器输出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无线模块：（型号带4，表示支持4G传输）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性：外接道闸，布防状态下可根据存储黑白名单自动控制外接道闸开/关；车辆抓拍：支持车牌、车型、车标、车身颜色识别，电动变焦、自动光圈，内置LED补光灯，同步补光，同步录像，黑白名单控制，视频触发</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8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62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LED显示屏</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【四行四字】室外显示屏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工作电压:AC220V±10％，50Hz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LED亮度:1200cd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LED角度:110°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外框材料:铁框喷塑（显示部分为深色钢化玻璃）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安装方式:背面抱箍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喇叭规格:4Ω10W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防护等级:IP54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点距:P4.75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基色:1红1绿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下行通讯方式:RJ45（特殊场景也支持RS485）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显示方式:即显、左移、上移、上展开、下展开等显示方式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字符显示:支持GB2312字符集，支持16×16点阵常用汉字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通讯距离:RJ45 120米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功耗:最大50W，平均30W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显示面积:高304mm*宽304mm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外形尺寸:宽364mm*高484mm*厚60mm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功能特性：四行，四字，双色，带语音模块及音箱，出入口室外显示屏，P4.75，抱箍安装</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配套立柱，含基础及接地</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配套立柱，含基础及接地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车牌自动识别系统 出口设备 (1出）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电动道闸</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电动道闸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包含：2个遥控器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道闸类型：直杆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道闸方向：右向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道闸杆长：4米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运行速度：3秒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机箱材质：冷轧钢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机箱颜色：橙色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遥控距离：≥30m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输入电压：220VAC+10%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电机驱动：交流电机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电机功率：90W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功能特性：支持外接红绿灯警示、外接红外保护、外接地感功能，支持强冷天气</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安全检查设备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数字车辆检测器 独立式,支持接入的最大线圈数2,继电器输出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车牌识别一体控制机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车牌识别一体控制机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包含：防护罩、镜头、摄像机、2个LED补光灯等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分辨率：200万，1920*1200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帧率：25fps(1920*1080)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传感器类型：1/3" Progressive Scan CMOS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最小照度：彩色0.002Lux@(F1.2,AGC ON)，黑白0.0002Lux @(F1.2,AGC ON)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镜头：3.1-9mm电动变焦镜头，支持软件自动调焦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补光灯：内置2颗LED补光灯，2颗灯珠颜色保持一致，红外/白光可配置切换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自动光圈：DC驱动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ICR切换：支持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视频压缩标准：H.264/H.265/MJPEG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图像设置：饱和度,亮度,对比度,白平衡,增益,3D降噪通过软件可调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存储功能：内置TF卡槽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智能识别：车牌识别、车型识别、车标识别、车身颜色识别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补光灯控制：补光灯自动光控、时控可选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接口：1 个RJ45 10M/100M/1000M 自适应以太网口，1个 RS-485 接口，1个RS-232接口，1路音频输入，1路音频输出，3路触发输入，2路继电器输出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无线模块：（型号带4，表示支持4G传输）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性：外接道闸，布防状态下可根据存储黑白名单自动控制外接道闸开/关；车辆抓拍：支持车牌、车型、车标、车身颜色识别，电动变焦、自动光圈，内置LED补光灯，同步补光，同步录像，黑白名单控制，视频触发</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8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配套立柱，含基础及接地</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配套立柱，含基础及接地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车牌自动识别系统 出口管理工作站设备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工作站</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管理电脑 酷睿i5处理器、1T、4G</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车牌自动识别软件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车牌自动识别软件 出入口管理，车牌黑白名单布控等</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车牌自动识别系统 线材及辅材</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地感线圈</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地感线圈</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71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停车通信线Cat6 utp</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停车通信线Cat6 utp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符合ANSI/TIA/EIA-568-C.2 和ISO/IEC 11801:2008标准的要求；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2、带中心十字隔离骨架，可有效防止因线对之间绞距变化带来的性能下降；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3、可提供350MHZ带宽，线规23AWG；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4、护套采用优良的PVC材料；护套长度为逆序标注以方便识别线缆长度；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5、导体材料：无氧圆铜（纯度99.99%）；最大导体直流电阻@20 Deg.C :7.32Ω/100m；线对直流电阻不平衡：≤2%；线对对地电容不平衡：＜330pF/100m；延迟偏差：≤45ns/100m；额定传输速率(NVP)：65%；绝缘电阻: ≥5000MΩ/km +20℃ DC (100-500)；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6、通过信产部六类非屏蔽信道检验报告、六类非屏蔽永久链路检验报告和六类非屏蔽双绞线检验报告、FCC认证，并加盖生产厂家公章；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7、投标时提供：原生产厂家授权和25年售后服务承诺函，加盖原厂公章。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停车控制线RVVSP2*1.0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停车电源线RVV2*1.0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信息发布系统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室内全彩显示屏(点间距为2.5mm,共需模组132个，显示尺寸为3.52m长×1.92m高=9.01m2，分辨率为1408点×768点)1) 像素间距：P2.5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像素密度：160,000pixels/m²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模组尺寸：320mm×160mm×12mm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模组分辨率：128x64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维护方式：前后维护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输入功率 (最大值) :400W/m²</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P2.5模组LED附件包</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P2.5模组LED附件包 含接收卡、电源及线材(排线、网线以及电源线)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发送卡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1.230W像素点带载能力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2.支持HDMI 和DVI信号输入及HDMI信号LOOP输出；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3.支持亮度和色温调节；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4.四路网口输出；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5.USB 接口控制，可级联多台进行统一控制；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LED产品定制支架工程安装服务费</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LED产品定制支架工程安装服务费 1) 一般用于箱体产品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2）落地安装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3）屏表面离后墙70cm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4）地面需考虑承重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 1、机箱大小：2U;槽位：4个业务插槽，主机箱自带两个HDMI输入接口;满配功耗：＜100W;主机功耗：＜20W;工作环境温度：0℃～50℃;工作环境湿度：0%～95%（无冷凝）；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2、★为保证设备使用灵活度，设备应采用插卡式机箱设计，可灵活配置板卡，不区分输入与输出业务卡槽，输入板卡与输出板卡支持混插（需提公安部检测报告复印件）；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3、★为满足客户应用设备机框应具有1个10M/100M/1000M自适应RJ45接口，2个HDMI输入接口，2个风扇。（需提公安部检测报告复印件）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4、输出板卡具备DVI视频输出口，单卡可支持4口，本项目配置一块；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5、★支持控制LED屏幕的手动、定时、倒计时开关机以及延时关机（需提公安部检测报告复印件）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6、★为保证设备切换效果，从256路画面场景切换到256路画面的时间≤0.3s（需提公安部检测报告复印件）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7、为方便移动设备上墙显示，设备应支持手机或移动终端进行无线投屏操作（需提公安部检测报告复印件）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8、为方便应对不同的屏幕需求，可自定义输出分辨率，可外接由LED显示屏组成的电视墙，并进行显示。（需提公安部检测报告复印件）</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3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输入板卡 拼接处理器4口DVI输出卡模块</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LED10KW配电箱 10千瓦，远程开关机功能，过载保护功能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信息发布系统 线材、配件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信息发布系统 线材、配件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0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室内全彩显示屏(点间距为2.0mm,共需模组168个，显示尺寸为3.07m长×1.79m高=5.51平方，分辨率为1536点×896点)1) 像素间距：P2.0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像素密度：250,000pixels/m²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模组尺寸：256mm×128mm×12mm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模组分辨率：128x64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维护方式：前后维护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输入功率 (最大值) :437W/m²</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P2.0模组LED附件包</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P2.0模组LED附件包 含接收卡、电源及线材(排线、网线以及电源线)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发送卡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1.230W像素点带载能力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2.支持HDMI 和DVI信号输入及HDMI信号LOOP输出；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3.支持亮度和色温调节；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4.四路网口输出；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5.USB 接口控制，可级联多台进行统一控制；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LED产品定制支架工程安装服务费</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LED产品定制支架工程安装服务费 1) 一般用于箱体产品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2）落地安装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3）屏表面离后墙70cm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4）地面需考虑承重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排队等候区大屏处理器 1、机箱大小：2U;槽位：4个业务插槽，主机箱自带两个HDMI输入接口;满配功耗：＜100W;主机功耗：＜20W;工作环境温度：0℃～50℃;工作环境湿度：0%～95%（无冷凝）；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2、★为保证设备使用灵活度，设备应采用插卡式机箱设计，可灵活配置板卡，不区分输入与输出业务卡槽，输入板卡与输出板卡支持混插（需提公安部检测报告复印件）；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3、★为满足客户应用设备机框应具有1个10M/100M/1000M自适应RJ45接口，2个HDMI输入接口，2个风扇。（需提公安部检测报告复印件）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4、输出板卡具备DVI视频输出口，单卡可支持4口，本项目配置一块；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5、★支持控制LED屏幕的手动、定时、倒计时开关机以及延时关机（需提公安部检测报告复印件）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6、★为保证设备切换效果，从256路画面场景切换到256路画面的时间≤0.3s（需提公安部检测报告复印件）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7、为方便移动设备上墙显示，设备应支持手机或移动终端进行无线投屏操作（需提公安部检测报告复印件）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8、为方便应对不同的屏幕需求，可自定义输出分辨率，可外接由LED显示屏组成的电视墙，并进行显示。（需提公安部检测报告复印件）</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3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输入板卡 拼接处理器4口DVI输出卡模块</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LED10KW配电箱 10千瓦，远程开关机功能，过载保护功能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排队等候区 线材、配件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排队等候区 线材、配件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排队叫号系统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管理电脑</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管理电脑  i5-7400/8G DDR4 2400(4G*2)/1TB/无光驱/集成显卡 /五合一读卡器/Wi-Fi/USB3.0/VGA/蓝牙4.0/HDMI/,24寸液晶屏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6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排队管理系统软件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排队管理系统软件 管理系统中的显示设备，包括窗口显示屏、综合显示屏、液晶显示屏。根据需要设置显示设备的编号、IP地址、显示类型、显示内容等。管理系统中的语音播报设备，包括播报的顺序、播报内容等。管理系统中的打印设备，包括打印机ID、打印机所在的队列、打印的内容等。记录当前服务的窗口和操作员，包括当前操作员工号和姓名、对应的窗口等。生成统计和报表，如工作量分析表、工作状况报表、受理时间分析表等。为操作员提供当前服务的信息，如当前等待客户数、等待时间、开放的窗口等。 配置对外服务的业务类型，如挂号窗口、收费窗口等。</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66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无线呼叫终端</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无线呼叫终端 1、产品尺寸：16.5cm X 9cm X 3.5cm                                  2、输入电压：直流7.5V~12V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3、最大功耗：3W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4、液晶屏：132*64点阵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5、液晶显示信息：当前号码、当前队列、等待人数、通讯状态、联机状态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6、按键数量：21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7、按键材质：防水导电橡胶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8、通讯方式：标配为485有线；可选无线通讯方式为：FSK调频，通讯频率：433MHZ，通讯速率：9600bps，通讯最大距离：空旷环境300米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9、工作环境温度：-25℃至+60℃；                          10、工作环境湿度：10%~90%，无凝露</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LED窗口显示屏 3.75双基色，网络mini控制卡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r>
      <w:tr>
        <w:tblPrEx>
          <w:tblCellMar>
            <w:top w:w="0" w:type="dxa"/>
            <w:left w:w="0" w:type="dxa"/>
            <w:bottom w:w="0" w:type="dxa"/>
            <w:right w:w="0" w:type="dxa"/>
          </w:tblCellMar>
        </w:tblPrEx>
        <w:trPr>
          <w:gridAfter w:val="1"/>
          <w:wAfter w:w="371" w:type="dxa"/>
          <w:trHeight w:val="46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22寸立式自助取号终端</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22寸立式自助取号终端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1)外形尺寸：150x524x463cm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2)液晶显示屏：横屏，21.5全高清全视角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3)触摸屏：多点电容触摸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4)操作系统： Windows7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5)打印机：80mm一体式热敏打印机，带缺纸提醒功能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6)主机配置：嵌入式工控主板， Intel 4核CPU主频 1.8GHz（含）以上；4G内存，64G固态硬盘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7)内置：身份证阅读器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8)内置提示灯带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9)接口：1个有线RJ45接口，1个USB接口，电源开关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10)其他配置：内置功放音箱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11)电源输入：110~220V，交流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12)安装方式：落地立式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41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液晶评价终端</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液晶评价终端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1)主板配置：四核CPU，主频1.2GHz 1G内存，8G存储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2)显示：10.1寸IPS液晶屏，1280X800分辨率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3)触摸：多点触控电容屏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4)操作系统：Android 4.2以上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5)通讯接口：USB2.0/WiFi/RJ45网络接口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6)摄像头：内置200万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7)外壳：ABS整机塑料外壳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8)电源适配器：5V，2A及以上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9)功能：支持多种格式广告播放功能，视频、文字、图片等、时间日期、通知、公告等，员工照片、星级显示，办事人员评价等；</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tblCellMar>
            <w:top w:w="0" w:type="dxa"/>
            <w:left w:w="0" w:type="dxa"/>
            <w:bottom w:w="0" w:type="dxa"/>
            <w:right w:w="0" w:type="dxa"/>
          </w:tblCellMar>
        </w:tblPrEx>
        <w:trPr>
          <w:gridAfter w:val="1"/>
          <w:wAfter w:w="371" w:type="dxa"/>
          <w:trHeight w:val="80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网络语音播放终端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1)主板配置：CPU: Cortex-A7 4核，主频高达1.2GHz；内存：1G DDR3；内置存储：8G；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2)内置功放：功放输出形式为定阻：4-16Ω，定压110V，可直接连接大功率喇叭。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3)通讯接口：RJ45接口，10/100M以太网口，WIFI；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4)音频输出接口： 可直接驱动大功率吸顶喇叭、音柱等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5)支持红外遥控开关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6)电源输入：交流110V~220V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7)外壳材质：钣金压制成型、金属烤漆工艺，颜色可定制。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将网络传输文本信息（例如叫号信息）转语音合成并播放功能：单次最大合成文本量：4K字节；支持文本：中文、数字、字母；音量调节等级：10级；语速调节等级：10级；语调调节等级：10级；发音人：男女声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9)可通过网络远程设置播放音量大小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10)可通过网络设置定时开关机时间，也可以手动远程开关机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11)可远程监测播放终端的在线状态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12)可远程在线修改播放终端设置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0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功放 120W/100V定压功放；3个话筒输入，3个辅助信号输入，具备高低音量调节，频率响应：20-20KHZ</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7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吸顶音箱 最大功率(W) 3/6,输入电压(V) 100,灵敏度(dB) 94±3,频率响应(Hz) 130~15K,天花板开孔尺寸(mm) φ155,装饰罩尺寸(mm) φ175,安装形式 吸顶式 安装 调试</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73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55寸多媒体一体显示终端</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55寸多媒体一体显示终端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1)外观参数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整机尺寸：125 X 72 X 50cm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前盖铝合金拉丝金属边，黑色直角，钢化玻璃；后盖钣金钢琴烤漆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安装方式：支持壁挂式、吊挂式整机嵌入式安装；支持横屏和竖屏安装。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2）配置参数：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CPU:标配：Cortex-A7 4核CPU，主频高达1.2GHz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内存：标配1G DDR3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板载存储：标配8G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操作系统：安卓4.2以上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通讯接口：RJ45 10M/100M，WIFI 802.11 b/g/n，可扩展USB 3G/4G无线通讯模块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外部存储：TF卡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内置RTC实时时钟模块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外扩设备：2个USB 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内置麦格米特同等品牌电源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采用55寸16:9 品牌 LED宽视角液晶屏，分辨率：1920x1080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内置双声道8Ω，5W高保真喇叭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整机最大功耗：150W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电源输入：220V，60Hz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工作温度：-10°~45°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工作湿度：20%～80%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4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65寸液晶电视机（信访）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65寸液晶电视机（信访） HDR显示：支持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支持格式（高清）：2160p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屏幕尺寸：65英寸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背光方式：直下式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屏幕分辨率：超高清4K</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排队叫号系统 线材、配件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排队叫号系统 线材、配件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14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55寸液晶电视机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55寸液晶电视机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HDR显示：支持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支持格式（高清）：2160p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屏幕尺寸：55英寸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背光方式：直下式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屏幕分辨率：超高清4K</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安检系统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入侵探测设备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手持金属探测器 可续充电，声光震动报警可调。</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0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入侵探测设备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金属探测门 面板操作，LED显示屏，6个探测区，2000级灵敏度可调。门头、门柱灯180度可视分区报警。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安全检查设备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X射线安检机 通道尺寸：505（宽）╳ 305（高）mm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传送带速度：0.22m/s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传送带最大负荷：160Kg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分辨率：直径 0.10mm金属线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穿透力：43mm钢板设备净重：375kg 包含主机和一台19寸显示器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机房工程</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4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金属复合地板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钢质防静电地板 600×600×35mm，面层采用不小于1.5mm厚防开裂防静电HPL贴面,四周有45°倒角处理。表层三氧化二铝耐磨层厚度不小于30g/cm2,耐磨转数≥2000转。电阻在1x106～1x1010Ω区间范围； 上层钢板采用不小于0.8mm厚度的冷硬钢板，下层钢板采用不小于0.7mm厚度的深冲拉伸板；底部中间特有双十字加强筋，另加增加凸点，半球深度达到21mm以上，底部四周边条加宽处理，上有直条压筋以增加强度；集中荷载：≥360KG（挠度≤2mm、永久变型≤0.25mm）；表面平面度：≤0.6mm；邻边垂直度：≤0.3mm；板厚公差：≤0.3mm。</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避雷器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电源防雷器 限压型 ,四模块, 40kA（In）,80kA（Imax）,Up＜2500V。</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避雷器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电源防雷器 限压型 , 四模块,20kA（In）,40kA（Imax）,Up＜1800V。</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接地铜排 40×4mm紫铜排</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绝缘子固定桩 SM40绝缘子φ8内螺纹，φ8膨胀螺丝，φ8*150mm螺丝</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防雷箱</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防雷箱 等电位防雷箱</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接地线 黄绿线ZR-BVR-6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接地线 黄绿线ZR-BVR-16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接地母线</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接地线 黄绿线ZR-BVR-50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防雷接地系统 线材、配件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防雷接地系统 线材、配件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UPS配电柜，采用壁挂式安装结构，内含满足现场需求的配电开关。</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不间断电源设备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ups电源30KVA 30KVA三进三出在线式机型</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蓄电池</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蓄电池 蓄电池12V100AH</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32节电池柜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含直流开关、电池连接线</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铜芯电力电缆敷设 电缆 YJV3*2.5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铜芯电力电缆敷设 电缆 YJV3X4</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铜芯电力电缆敷设 电缆 WDZB-YJV-4X25+BYJR-1X16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tblPrEx>
          <w:tblCellMar>
            <w:top w:w="0" w:type="dxa"/>
            <w:left w:w="0" w:type="dxa"/>
            <w:bottom w:w="0" w:type="dxa"/>
            <w:right w:w="0" w:type="dxa"/>
          </w:tblCellMar>
        </w:tblPrEx>
        <w:trPr>
          <w:gridAfter w:val="1"/>
          <w:wAfter w:w="371" w:type="dxa"/>
          <w:trHeight w:val="10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户内干包式电力电缆头制作、安装 干包终端头（1kV以下截面mm2以下）35`10mm2及以下三芯及以上电缆头制安</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10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户内干包式电力电缆头制作、安装 干包终端头（1kV以下截面mm2以下）35`25mm2及以下三芯及以上电缆头制安</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综合管路系统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喷塑桥架100*50 含桥架支架、刷油防腐</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喷塑桥架200*100 含桥架支架、刷油防腐</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135.00</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喷塑桥架300*150 含桥架支架、刷油防腐</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室内穿管KBG20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室内穿管KBG25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电缆保护管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塑料管铺设PE25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325.00</w:t>
            </w:r>
          </w:p>
        </w:tc>
      </w:tr>
      <w:tr>
        <w:tblPrEx>
          <w:tblCellMar>
            <w:top w:w="0" w:type="dxa"/>
            <w:left w:w="0" w:type="dxa"/>
            <w:bottom w:w="0" w:type="dxa"/>
            <w:right w:w="0" w:type="dxa"/>
          </w:tblCellMar>
        </w:tblPrEx>
        <w:trPr>
          <w:gridAfter w:val="1"/>
          <w:wAfter w:w="371" w:type="dxa"/>
          <w:trHeight w:val="6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指挥中心建设 视频显示系统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全彩LED显示屏（点间距为1.25mm,共需箱体85个(宽17个 高5个)，显示尺寸为10.88m*1.8m=19.59平米，三块16:9的LED小屏组合，两边各一列箱体做条屏）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1.LED小间距全彩显示屏，物理点间距≤1.25mm, 为保证灯珠的质量，灯珠要求使用金线灯，箱体尺寸箱体尺寸：640mm×360mm×54.5mm。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2.显示面积：19.59㎡， 其中，长10.88m，高1.8m，长度偏差不超过±2%，高度偏差不超过±2%；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3.对比度≥9500:1（要求提供国家广播电视产品质量检验中心出具的检测报告复印件）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4.刷新频率≥3840Hz。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5.亮度可调范围需高于50-1300cd/㎡。（要求提供国家广播电视产品质量检验中心出具的检测报告复印件）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6.为保证不同视角亮度的均匀性，要求水平方向±45°，亮度变化不超过±15%。（要求提供国家广播电视产品质量检验中心出具的检测报告复印件）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7.像素密度≥640000（像素/㎡）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8.箱体材料：采用一体化压铸铝或压铸镁铝箱体，后面板非塑料材质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9.投标产品要求箱体上有定位梢、箱体边角部分没有棱角。（提供公安部检测报告复印件）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10.为达到更好的防护性能，箱体后面板防护等级不低于IP66。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11.为保证大屏整体维护的便捷性，要求投标产品箱体支持完全前维护。（要求提供国家广播电视产品质量检验中心出具的检测报告复印件）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12.为提高大屏的稳定性及可靠性，要求模组与箱体通过双边缘连接器硬连接，电源信号一体式连接器，无需多余线缆。（要求提供国家广播电视产品质量检验中心出具的检测报告复印件）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13.为达到更好的显示效果，屏幕显示延时不超过25ms。（要求提供国家广播电视产品质量检验中心出具的检测报告复印件）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14.★为保证今后项目改造的灵活性及节约成本， P0.9、P1.2、P1.4、P1.6、P1.8、P2.5间距的模组可安装在统一规格的箱体上。（要求提供国家广播电视产品质量检验中心出具的检测报告复印件）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15.为保证大屏整体良好的散热性，要求投标产品电源跟机箱中间涂抹导热硅脂，模组板背面有敷铜。（提供公安部检测报告复印件）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16.★为达到更好的防潮效果，延长大屏使用寿命，LED灯板模组需具备纳米镀膜。（要求提供国家广播电视产品质量检验中心出具的检测报告复印件）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17.为方便后期大屏维护，设备需支持逐点校正参数存储。（要求提供国家广播电视产品质量检验中心出具的检测报告复印件）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18.为更好的适应市电波动，LED显示单元需采用宽压电源，电源波动在100-240V之间，设备可正常工作（要求提供国家广播电视产品质量检验中心出具的检测报告复印件）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19、★投标产品其视网膜蓝光危害（蓝光加权辐射亮度LB）应≤0.5W 。（要求提供国家广播电视产品质量检验中心出具的检测报告复印件）</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19.59</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w:t>
            </w: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935"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镀膜 防水镀膜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LED全彩屏发送卡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1.230W像素点带载能力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2.一路 DVI 、HDMI视频输入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3.HDMI音频输入/外部音频输入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4.USB 接口控制，可级联多台进行统一控制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5.一路光探头接口，230W像素点带载能力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2.支持HDMI 和DVI信号输入及HDMI信号LOOP输出；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3.支持亮度和色温调节；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4.四路网口输出；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5.USB 接口控制，可级联多台进行统一控制。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LED产品定制支架工程安装服务费</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LED产品定制支架工程安装服务费 1) 一般用于箱体产品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2）落地安装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3）屏表面离后墙70cm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4）地面需考虑承重</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 1、机箱大小：8U;槽位：输入13槽、输出4槽;支持冗余电源；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采用全硬件FPGA架构，内部自建核心运算机制，图像处理性能优异。无内嵌操作系统，启动速度快（约5秒），稳定性高，支持365×24小时的连续运行，能够适应控制室、调度中心、监控中心等场所对系统性能日益严格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采用自主研发的巨量数据交换芯片技术，高速宽带总线，采用CrossPoint全交叉调度架构高速数据传输技术，底层数据传输由数据调度芯片控制，每路信号独享专用通道进行传输，保证了所有信号图像的完全实时显示，信号显示速度达到60帧/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4、每个窗口可在输出的画面中任意漫游，可显示在任意一块或多块大屏上，画面显示没有区域范围上的边界限制。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5、每个窗口的画面大小可任意进行缩放，可单独或组合对高度、宽度进行放大或缩小，通过独有的视频处理算法保证画质不受损失。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设备不仅支持对模拟视频信号的去黑边，而且支持对所有高分辨率数字信号的去边、裁剪功能，使得对画面的控制方法更加丰富多样，可7、以完美解决前端信号（尤其是非标准的摄像头输出信号）产生的黑边问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8、每路信号均可实现跨多块显示屏显示，最大可扩大至整体全屏显示。图像尺寸放大时设备自动进行线处理，最大程度地保证画面质量的无损重现。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9、画面上方可叠加显示另一窗口画面，即所谓的“画中画”功能。其中小画面不受下方画面的区域控制，可以跨越大画面的边界进行显示，布局方式更加灵活自由。</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93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4K输入板卡 拼接控制器2通道4K HDMI视频输入卡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输出板卡  4路DVI输出卡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LED10KW配电箱 10千瓦，远程开关机功能，过载保护功能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专用线缆，15米DVI</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指挥中心建设 数字会议系统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一拖八会议话筒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采用UHF超高频段，比传统的VHF频段干扰更少，传输更可靠；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PLL数字锁相环多信道频率合成技术，在50MHZ频率范围内，以250KHZ信道间隔，提供多达200个信道选择，方便多套机器同时使用，轻松避开各类干扰；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先进的自动对频技术，即使将发射机与接收机的频率调乱了， 只需轻轻一按，发射机就会自动追锁频率并调整一致，使用方便；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高档液晶显示屏，使接收机及发射器的工作状态一目了然；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无线会议发射系统，采用两节AA电池供电，采用高碱性电池可使用较长时间（高功率10小时，低功率14小时）。若使用充电电池，使用时间会有所下降。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空阔最大使用范围100米以上，理想空阔使用范围60米。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会议发射带静音功能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数字ID身份识别技术,确保通讯互不干扰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独有的数字加密技术,不再有场外被监听或窃听的困扰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振荡方式: 锁相环频率合成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频率范围：UHF520MHz-950MHz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频率稳定性：±0.001%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调制方式：FM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信噪比：&gt;60dB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失真度:&lt;0.5%@1KHz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接收灵敏度：1.2/UV @S/N=12dB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 12V-17V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音频输出：独立0-400mV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混合0-300mV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发射器参数：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 4.5V(1.5V AA×3)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话筒耗电量：100mA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载波频率：UHF 520MHz-950MHz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频率稳定度：±0.001%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最大频偏：±30KHz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信噪比：&gt;60dB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邻频干扰比：&gt;80dB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动态范围：≥100dB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类型：电容式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极性模式：单一指向性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频率响应：40Hz-20KHz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话筒灵敏度：-43±3dB@1KHz</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97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无线头戴话筒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功能特点：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采用UHF超高频段，比传统的VHF频段干扰更少，传输更可靠；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PLL数字锁相环多信道频率合成技术，在50MHZ频率范围内，以250KHZ信道间隔，提供多达200个信道选择，方便多套机器同时使用，轻松避开各类干扰；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先进的自动对频技术，即使将发射机与接收机的频率调乱了， 只需轻轻一按，发射机就会自动追锁频率并调整一致，使用方便；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高档液晶显示屏，使接收机及发射器的工作状态一目了然；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无线会议发射系统，采用两节AA电池供电，采用高碱性电池可使用较长时间（高功率10小时，低功率14小时）。若使用充电电池，使用时间会有所下降。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空阔最大使用范围100米以上，理想空阔使用范围60米。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会议发射带静音功能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数字ID身份识别技术,确保通讯互不干扰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独有的数字加密技术,不再有场外被监听或窃听的困扰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振荡方式: 锁相环频率合成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频率范围：UHF520MHz-950MHz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频率稳定性：±0.001%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调制方式：FM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信噪比：&gt;60dB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失真度:&lt;0.5%@1KHz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接收灵敏度：1.2/UV @S/N=12dB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 12V-17V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音频输出：独立0-400mV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混合0-300mV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发射器参数：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电源供应：DC 4.5V(1.5V AA×3)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话筒耗电量：100mA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载波频率：UHF 520MHz-950MHz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频率稳定度：±0.001%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最大频偏：±30KHz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信噪比：&gt;60dB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邻频干扰比：&gt;80dB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动态范围：≥100dB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类型：电容式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极性模式：单一指向性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频率响应：40Hz-20KHz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话筒灵敏度：-43±3dB@1KHz</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9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指挥中心建设 扩声系统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调音台 24输入通道，16麦克风；4立体声线路输入，14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总线（立体声，4组，6辅助，2FX）低噪音；3波段通道均衡器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66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数字音频处理器 高性能浮点DSP处理芯片；8通道输入音频通道，8通道支持MI C输入，每个MIC输入支持48V幻象供电，8个音频输出通道，8通道独立的自适应反馈抑制器，16通道自动混音ADC CS5368 114dB动态，AC CS4385 114dB动态输入每通道：前级放大、噪声门、压缩器、16段参量均衡、延时器、自动混音台输出每通道： 16段参量均衡、分频器、高低通滤波器、限幅器、延时器内置信号发生器：正弦波信号、粉红噪声、白噪声开放RS- 232、TCP/ I P协议实现第三方控制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有摄像跟踪代码输出，便于通过第三方中控实现摄像联动功能支持32组场景预设功能，可通过TCP/IP、RS-232协议调用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▲兼容多方平台控制管理，支持windows系统、iOS系统（iPAD、Iphone)以及Andriod系统； （需提供官网链接或彩页截图加盖原厂公章）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需提供3C复印件加盖生产厂家红章;提供计算机软件著作权复印件加盖生产厂家红章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全频音箱 系统类型 无源烤漆木质音箱,系统组成 4×4"全频单元频率响应 （-3dB）90Hz-16kHz （-10dB）80Hz-17kHz额定功率 120W,长期连续功率 240W短期连续功率 480W,指向性（H×V） 180°×30  °灵敏度 (1m/1W) 91dB最大声压级  112dB/118dB(峰值) 阻抗 8Ω ,箱体 方形箱层压板,安装 16×M8，3×M6（用于固定支撑座）连接器 2×NL4，4位接线端子标配件 1×支撑座,选配件 U型架U型吊装板，连接杆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会议室全频音箱功放 额定功率8Ω400W最大增益37.5dB总谐波失真 &lt;0.025%互调失真 &lt;0.05% 频率响应 &lt;±0.5dB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相移特性 &lt;±15°阻尼系数 &gt;300:1 8Ω分离度 &gt;80dB 1kHz 信噪比 &gt;106dB 1kHz通道增益差 &lt;0.15dB 输入灵敏度 0.775V 环境温度 工作温度 -10℃~40℃  储运温度 -25℃～80℃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17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充电箱 采用AC110V~240V开关电源供电 可同时为16枚专用锂电池充电。具有智能充电管理电路，可有效保护电池。充电时有红灯闪烁，电充满后变为绿色; 具有伸缩拉杆及滑轮方便移动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71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电源时序器 AC 电压输入范围 180-270 VAC, 50/60Hz，总最大AC 电流额定 30A ，单路最大AC电流额定13A，AC 电源线: 自配国标最大负载30A以上电源线，AC 插座:前面板2路万能直通插座，后面板12路受控万能插座，浪涌/ 欠压- 过压尖波保护:AC 浪涌保护: 变压器防尖波保护，尖波保护模式: 线路到中性，零接地泄漏，尖波钳制电压: 375 V 峰值，反应时间: 1 纳秒，AC 滤波:噪音衰减: 线性, 10dB @10KHz,操作温度范围: 5C (40F) 至40C (105F) 度，参数会因为产品升级和更新而改变。湿度范围:&lt;90% rH ( 相对湿度)，用户界面:钥匙开关: 前面板,锁手动轻触按扭钥匙: 附带, 1 对按键开关: 前面板，单路手动开关，总开关前面板电压表: 显示当前电压实况，强制关闭/ 延迟3 端子: 5 针凤凰头带螺纹套筒, 强制关闭, 延迟3，RS-232 兼容性: 可兼容。可以连接电脑界面控制时序设置。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★提供3C复印件加盖原厂红章；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指挥中心建设 视频监控系统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高清摄像机 图像传感器 1/2.3英寸MOS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 15倍光学变焦镜头 F1.6～F3.7（f=4.3mm～64.5mm；35mm等同于：31.6mm～480mm）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聚焦 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焦距 整体变焦范围：1.2m、广角端：10cm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分色光学系统 片内滤色片系统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 0.7 lx（50 IRE、F1.6、48dB、无蓄积 1/60或1/50）                             0.35 lx（50 IRE、F1.6、48dB、有蓄积 1/30或1/25（Frame MIX 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水平分辨率 1000电视线以上（中心标准）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增益 自动、0dB～48dB（3dB步进）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Frame MIX 自动、关闭、6dB、12dB、18dB、24dB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电子快门速度 全自动时：1/30～1/2000（59.94Hz）、1/25～1/2000（50Hz）                  自动时：1/60～1/2000（59.94Hz）、1/50～1/2000（50Hz）                    手动时：59.94Hz：1/100、1/250、1/500、1/1000、1/2000、1/4000、1/10000   50Hz：1/120、1/250、1/500、1/1000、1/2000、1/4000、1/10000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同步扫描 59.94Hz：59.94Hz～660.09Hz                                                       50Hz：50.00Hz～570.12Hz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伽玛 关、标准（低、中、高）、电影风格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白平衡 AWB A、AWB B、ATW、3200K、5600K、VAR（2400K至9900K）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色调量可调性 ±3步进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场景模式 全自动、手动1、手动2、手动3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输出格式 1080/29.97p/25p、1080/59.94i/50i/29.97PsF/25PsF、720/59.94p/50p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同步 内部同步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视频输出 HD-SDI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 Φ3.5mm立体声迷你插孔 输入阻抗：约2kΩ（高阻抗）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输入/输出接口 LAN（用于IP控制）、RS-232C（IN OUT）、RS-422、USB、micro SD存储卡槽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SD卡类型 micro SDHC（4G/32G），micro SDXC（64G/128G），                         速度为10级或更高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USB视频输出 USB视频类型 ver1.0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视频压缩格式 JPEG格式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 1920×1080、1280×720、640×360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云台旋转范围 水平：±175°；俯仰：-30°～+90°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云台旋转速度 调用预置位时: 300°/s 最高速度: 90°/s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安装方式 桌面安装或吊装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 DC12V(标配交流适配器)、DC42V-57V(PoE+ 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 1.2A(交流适配器供电) 0.4A(PoE+电源)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操作温度 0℃至 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存放温度  -20℃至 50℃</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2135"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5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高清视像中央处理器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高清视像中央处理器 配合高清混合矩阵使用，实现高清摄像球切换跟踪功能；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单机支持多个摄像机位置跟踪控制点：Pelco-D协议250个点，VISCA协议128个点；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持两种常用高速云球协议(Pelco-D波特率9600、VISCA波特率9600)；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支持三种高速云球控制方式，RS232和RS422和RS485；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可通过RS-232口与计算机或中控系统等外部设备通讯，具有联动控制功能；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可通过专用Matrix接口与高清混合矩阵通讯，具有联动控制功能。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脱离电脑时，可通过主机面板按键进行摄像位置预设，也可通过摄像机遥控器进行预设；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具备有3个RS232接口，1个RS422接口(RS422接口同时可作为RS485接口使用。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指挥中心建设 附件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HDMI线 成品（根据现场长度和数量）</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多媒体地插 ★HDMI地插网传延长器（发射端），最大输出分辨率1080P，单线延长50-100米距离。HDMI延长器可以接收来自PC/DVD/视频播放器等影音视频输出的HDMI视频信号，并对视频信号进行编码压缩，通过传统网线把视频信号传送到远端的接收器。HDMI延长器接收来自发送器发过来的数据，并将其解压还原成HDMI视频、音频信号，最终送给显示终端设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HDMI-A接口，带音频接口，采用高带宽芯片，高性能的图像处理及信号长矩离传输失真增益补偿技术，采用数字同步识别处理技术，图像输出更加稳定可靠，全贴片SMD工艺，特有的ESD静电保护技术，支持信号时序重整，完美显示1920×1080P高清图像，安装简单，即插即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支持从800X600到1920X1080等视频分辨率；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采用专用格式对视频压缩解压，降低传输带宽、保证影音播放流畅性、画质还原好、延时时间短；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采用网线传输，传输距离远，抗干扰能力强；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支持立体声音频输入、RS-232传输；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传输器集成度高，对其他视频输出显示设备兼容性好；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★使用CAT5e/6屏蔽线缆最远可达50-100米。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即插即用，方便简单。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可选网络支持HDBaseT协议、TCP/IP协议传输。</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gridAfter w:val="1"/>
          <w:wAfter w:w="371" w:type="dxa"/>
          <w:trHeight w:val="6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音响壁架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音响壁架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机柜、机架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机柜600*600*2000mm，玻璃门带排风扇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音响线 无氧铜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话筒线 无氧铜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双绞线缆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规格：六类非屏蔽双绞线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双绞线采用规格23AWG的单芯裸铜为导体，聚乙烯类高分子材料为绝缘体，外皮材料采用阻燃型高分子材料；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双绞线符合国际规范(ISO/IEC)，美国规范(ANSI/TIA/EIA)，欧洲规范(EN)的要求</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电脑、桌椅</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12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工作站</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i9 9900/32G/512GB SSD+2T机械/AMD WX4100 4G/DVD RW/460W 戴尔原装电源 ，显卡接口是4个HDIM dp接口</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27英寸 4K IPS 广色域 低蓝光 旋转升降 四边微边框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笔记本ALW15M-R4739 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i7-9750H (6-Core, 12MB Cache, up to 4.5GHz w/ Turbo Boost)/16GB (2x 8GB) DDR4 at 2666MHz/1TB PCIe M.2 SSD/15.6英寸 OLED UHD (3840 x 2160) 60Hz+ Tobii/Windows 10 with Office Home and Student/NVIDIA GeForce RTX 2060 OC 6GB GDDR6/2Yr Premium Support Plus 先智服務/76Wh Battery/Intel Dual-Band Wireless-AC 8265 with MU-MIMO and Bluetooth 4.2/240W Power Adapter</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17“笔记本 ALW17M-R4737 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i7-9750H (6-Core, 12MB Cache, up to 4.5GHz w/ Turbo Boost)/16GB (2x 8GB) DDR4 at 2666MHz/1TB PCIe M.2 SSD/17.3 FHD 144Hz + Tobii /Windows 10 with Office Home and Student/NVIDIA GeForce RTX 2060 OC 6GB GDDR6/2Yr Premium Support Plus 先智服務/76Wh Battery/Intel Dual-Band Wireless-AC 8265 with MU-MIMO and Bluetooth 4.2/240W Power Adapter</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4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控制台 1.尺寸：4600*800*1000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2、内部主框架为2.0mm冷轧钢板，台面支撑件为3.0mm冷轧钢板，防静电喷塑处理。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3、台面板及前后门板为进口HPL防火板，无缝拼接；台面分前后2块组合，前台面为固定工作台面，后台面为活动台面，可拆卸方便穿线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4、台面封边为软聚氨酯鸭嘴边弧形封边条；                                   5、铝型材后背墙，防静电喷塑处理，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6、强弱电分离，保障线路安全。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gridAfter w:val="1"/>
          <w:wAfter w:w="371" w:type="dxa"/>
          <w:trHeight w:val="53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控制台 2.尺寸：4800*800*1000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2、内部主框架为2.0mm冷轧钢板，台面支撑件为3.0mm冷轧钢板，防静电喷塑处理。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3、台面板及前后门板为进口HPL防火板，无缝拼接；台面分前后2块组合，前台面为固定工作台面，后台面为活动台面，可拆卸方便穿线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4、台面封边为软聚氨酯鸭嘴边弧形封边条；                                   5、铝型材后背墙，防静电喷塑处理，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6、强弱电分离，保障线路安全。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7、可放主机尺寸不大于500（W)*200(D)*500(H)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8、主机为横向放置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塑料、铁艺、金属椅</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会议椅 西皮皮面柔软而富有韧性，手感舒适，电镀支架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矩阵切换及集中控制系统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视频控制设备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高清混合矩阵 1) ★混合插卡式矩阵，采用纯硬件FPGA图像处理，无内嵌操作系统，安全稳定性强。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可以支持大规模36*36路信号输入输出；1卡4路，所有板卡支持热拔插，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支持DVI1.0协议，HDMI1.4a协议，HDCP 1.3协议，EDID1.4协议；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输入输出板卡带有音频接口，支持音视频的分离合成。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★支持信号：CV、YUV、VGA、RGBHV、HDMI、DVI、SDI、HDBaseT、IP、FIBER光纤等信号的输入和输出，需提供CNAS授权的第三方检测机构的检验报告。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★HDBaseT支持音频，视频，RS232，红外信号的双向同时传输，并可以选择随视频信号切换或分离切换传输距离至少100米；需提供CNAS授权的第三方检测机构的检验报告。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光纤传输支持音频，视频，RS232，红外信号的同时传输，传输距离至少20公里；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★IP板卡支持网络监控球机的接入，并可对其云台遥控，每张板卡至少可连接400台；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 ★所有通道的输出均支持无缝切换，且分辨率可单独调节，支持4K视频图像的输入输出；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 ★且具备冗余电源、电源模块支持热插拔；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★支持大屏拼接分组，至少5组拼接，可以实现对图像拼接、叠加、漫游、缩放功能，单块屏至少可同时开4个1080P画面，16个标清画面；厂家需提供拼接分组软件管理界面截图和输入输出板卡的彩页资料。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 支持客户端图像预览功能，至少同时支持4路视频同时预览；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 ▲内嵌可编程中控功能，可编程控制接口至少具备2路RS232，1路RJ-45网络接口；支持厂家触屏、IPAD和win系统触控平板的直接控制和对周边设备的控制。厂家需提供可编程模块彩页资料和CNAS授权检测机构的检验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 支持字幕叠加，字幕显示的位置大小颜色可自定义调节；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 SDI输入输出板卡带环出监视功能；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 支持KVM坐席管理功能，可以实时对鼠标键盘和视频显示信号的实时切换和调配管理，支持KVM键盘直接控制矩阵切换；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17）▲矩阵主机支持大规模矩阵预案和拼接预案管理，至少可支持512组预案场景的管理；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18）★支持软件端信号预切功能，在信号切换操作后确认完成才执行切换避免出现信号误切；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 支持EDID读取、编辑、自定义、断电保存功能；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 HDMI、DVI板卡前驱35m；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21）★智能温控调节，可智能控制矩阵风扇的运行。厂家需提供CNAS授权机构的检验报告。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 ★至少4种不同的控制方式：具有RS-485 扩展键盘操作， RS-232 协议和TCP/IP网络协议，同时支持HDBaseT、SF传输器远程控制矩阵切换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23）▲支持支持系统线路的备份，和备份模块组合成光网或双光热备份结构，厂家需提供双备份产品彩页资料；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24）▲MTBF≥40000，需提供具有CNAS授权的第三方检测机构的报告；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 ▲投标厂家注册资金不低于3000万，且具备省级单位认证的音视频研究中心资质。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26）▲厂家生产管理和产品需通过国际ISO9001认证、RoHS认证、CE认证、HDBaseT联盟会员；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 ▲为确保系统自主研发产品，方便系统以后升级扩容，投标产品需要提供由国家版权局提供的计算机软件著作权登记证书。</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7085"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HDMI输入板卡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HDMI输入板卡 1) 4路HDMI-A接口，3.5mm音频座；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输入最长距离达35M；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支持热插拔，支持音视频信号一起切换,支持音频AUTO DELAY；</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支持模拟音频与HDMI内嵌音频选择输入；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支持EDID读取功能；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兼容HDMI1.3a的标准，HDCP1.3协议, DVI1.0协议；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最大支持分辨率：HDPC：1920x1200P@60；HDTV：1920x1080P@60。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▲厂家需提供输入板卡软件著作权证书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1"/>
          <w:wAfter w:w="371" w:type="dxa"/>
          <w:trHeight w:val="44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HDMI输出板卡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HDMI输出板卡 1) 支持4路HDMI-A接口无缝输出，3.5mm音频座；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输出最长距离达7M；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支持热插拔，支持音视频信号一起切换,支持音频AUTO DELAY；</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支持模拟音频与HDMI内嵌音频同时输出；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支持EDID读取功能；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兼容HDMI1.3a的标准，HDCP1.3协议, DVI1.0协议；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最大支持分辨率：HDPC：1920x1200P@60；HDTV：1920x1080P@60；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支持自定义分辨率；支持信号无缝输出；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 ▲厂家需提供输出板卡软件著作权证书</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钉钉传屏器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钉钉传屏器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无线传屏器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最长连接距离8 米，传输延迟&lt;120ms，帧率15fps-25fps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Windows7：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1920x1080@15fps/1366x768@20fps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Windows8(8.1)/OSX：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1920x1080@20fps/1366x768@25fps</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9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集中控制主机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集中控制主机 （1）主频≥667MHz的32位内嵌式处理器，ARM11 CPU，内存≥256M， Flash闪存≥1G；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（2）★完全可编程，开放式的接口、具有至少4个业务扩展卡槽；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（3）不低于8路独立可编程RS-232/422/485 控制接口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（4）不低于8路弱电继电器接口和8路数字输入/输出IO 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（5）★前面板具有设备状态指示灯和电源指示灯，具备至少8路RS232/485/422通讯指示灯，8路红外数据通讯指示灯。厂家需提供设备前面板图片。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（6）▲支持网络通讯：CR-NET，CR-LINK ；TCP/IP；三种网络通讯方式，厂家需提供设备的面板接口图片和彩页资料。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（7）USB2.0 编程通讯接口；方便用户下载与上传程序；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（8）不低于8路红外可编程控制接口，内置红外学习器，可以支持对周边所有红外设备（如：DVD/TV）的控制，且单个红外接口可以同时连接控制多个不同设备，可以做RS232串口转发。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（9）支持大型组网集中管理；支持多会议室互控，远程上传和维护程序；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（10）★支持iPad／iPhone作为触控终端，具备pc端触控软件通过windows平台进行控制，厂家需提供IOS平台软件或Windows平台编辑软件著作权认证；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（11）★可实时控制会议室内设备，并监测设备控制状态；可实时监测应用环境中的温度，湿度，PM2.5；厂家需提供传感发送器的产品彩页资料；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（12）▲支持中控双机热备份功能。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（13）▲厂家需提供高新企业认证证书，需通过ISO9001质量管理体系ISO14001环境认证体系，厂家需提供相关软件著作权等级证书和控制主机的3C，CE认证。</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83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w:t>
            </w: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3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无线AP接入点</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无线AP接入点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（1）具有可抗12KV静电的能力；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（2）采用WEP 64位/128位数字加密技术的WiFi信号传输，确保了会议私密性，避免窃听和恶意干扰；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（3）3种配置模式：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（4）存取点模式；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（5）点对点的桥模式；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（6）点对多点桥模式；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（7）具有一路RJ45接口，可连接CR-PGMIII中控主机或者交换机接口；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（8）在空旷受干扰弱的情况下信号覆盖面积可达到半径为15米的圆面积，一般为半径10米的圆面积；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（9）网络标准达到IEEE802.11g，IEEE802.11b的标准；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（10）双天线设计使数据传输更加的稳定。</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55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无线控制终端</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无线控制终端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 支持局域网内通讯，无距离限制；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支持TFT真彩全视角LCD，1280*800解析度16:9宽屏清晰显示；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支持电容屏，透光率高达99.9%；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支持USB充电；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★支持网络画中画，传输稳定距离无限制；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支持双向控制。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内存：RAM：256M；ROM：4G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10/100Mbps自适应网络；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 支持usb更新系统固件，支持网络在线升级；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 ▲支持双机热备份，可实时检测主机和备份机的工作状态，实现主从机的自动切换。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▲自主研发的触屏，厂家需提供高新企业认证证书，提供触摸屏CE认证和触摸屏底层软件著作权认证</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8路电源控制器 （1）支持至少3种不同的控制协议：CR-NET，RS-232，TCP/IP；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（2）至少支持8路独立控制接口，每路负载不低于AC220V/20A、DC30V/20A；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（3）支持至少两种不同的供电方式：CR-NET供电和DC12V供电</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管控软件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中控软件 定制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会商室建设 视频显示系统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显示设备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全彩LED显示屏（点间距为1.25mm,共需箱体50个(宽10个 高5个)，显示尺寸为6.4m*1.8m=11.52平米，）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1.LED小间距全彩显示屏，物理点间距≤1.25mm, 为保证灯珠的质量，灯珠要求使用金线灯，箱体尺寸箱体尺寸：640mm×360mm×54.5mm。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2.显示面积：10.37㎡， 其中，长5.76m，高1.8m，长度偏差不超过±2%，高度偏差不超过±2%；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3.对比度≥9500:1（要求提供国家广播电视产品质量检验中心出具的检测报告复印件）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4.刷新频率≥3840Hz。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5.亮度可调范围需高于50-1300cd/㎡。（要求提供国家广播电视产品质量检验中心出具的检测报告复印件）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6.为保证不同视角亮度的均匀性，要求水平方向±45°，亮度变化不超过±15%。（要求提供国家广播电视产品质量检验中心出具的检测报告复印件）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7.像素密度≥640000（像素/㎡）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8.箱体材料：采用一体化压铸铝或压铸镁铝箱体，后面板非塑料材质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9.投标产品要求箱体上有定位梢、箱体边角部分没有棱角。（提供公安部检测报告复印件）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10.为达到更好的防护性能</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11.52</w:t>
            </w:r>
          </w:p>
        </w:tc>
      </w:tr>
      <w:tr>
        <w:tblPrEx>
          <w:tblCellMar>
            <w:top w:w="0" w:type="dxa"/>
            <w:left w:w="0" w:type="dxa"/>
            <w:bottom w:w="0" w:type="dxa"/>
            <w:right w:w="0" w:type="dxa"/>
          </w:tblCellMar>
        </w:tblPrEx>
        <w:trPr>
          <w:gridAfter w:val="1"/>
          <w:wAfter w:w="371" w:type="dxa"/>
          <w:trHeight w:val="34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镀膜 防水镀膜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r>
      <w:tr>
        <w:tblPrEx>
          <w:tblCellMar>
            <w:top w:w="0" w:type="dxa"/>
            <w:left w:w="0" w:type="dxa"/>
            <w:bottom w:w="0" w:type="dxa"/>
            <w:right w:w="0" w:type="dxa"/>
          </w:tblCellMar>
        </w:tblPrEx>
        <w:trPr>
          <w:gridAfter w:val="1"/>
          <w:wAfter w:w="371" w:type="dxa"/>
          <w:trHeight w:val="35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LED全彩屏发送卡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1.230W像素点带载能力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2.一路 DVI 、HDMI视频输入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3.HDMI音频输入/外部音频输入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4.USB 接口控制，可级联多台进行统一控制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5.一路光探头接口，230W像素点带载能力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2.支持HDMI 和DVI信号输入及HDMI信号LOOP输出；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3.支持亮度和色温调节；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4.四路网口输出；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5.USB 接口控制，可级联多台进行统一控制。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LED屏支架安装服务费（含钢结构）</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LED屏支架安装服务费（含钢结构）</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大屏处理器 1、机箱大小：8U;槽位：输入13槽、输出4槽;支持冗余电源；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采用全硬件FPGA架构，内部自建核心运算机制，图像处理性能优异。无内嵌操作系统，启动速度快（约5秒），稳定性高，支持365×24小时的连续运行，能够适应控制室、调度中心、监控中心等场所对系统性能日益严格的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采用自主研发的巨量数据交换芯片技术，高速宽带总线，采用CrossPoint全交叉调度架构高速数据传输技术，底层数据传输由数据调度芯片控制，每路信号独享专用通道进行传输，保证了所有信号图像的完全实时显示，信号显示速度达到60帧/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4、每个窗口可在输出的画面中任意漫游，可显示在任意一块或多块大屏上，画面显示没有区域范围上的边界限制。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5、每个窗口的画面大小可任意进行缩放，可单独或组合对高度、宽度进行放大或缩小，通过独有的视频处理算法保证画质不受损失。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设备不仅支持对模拟视频信号的去黑边，而且支持对所有高分辨率数字信号的去边、裁剪功能，使得对画面的控制方法更加丰富多样，可7、以完美解决前端信号（尤其是非标准的摄像头输出信号）产生的黑边问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8、每路信号均可实现跨多块显示屏显示，最大可扩大至整体全屏显示。图像尺寸放大时设备自动进行线处理，最大程度地保证画面质量的无损重现。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9、画面上方可叠加显示另一窗口画面，即所谓的“画中画”功能。其中小画面不受下方画面的区域控制，可以跨越大画面的边界进行显示，布局方式更加灵活自由。</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93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4K输入板卡 拼接控制器2通道4K HDMI视频输入卡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输出板卡</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输出板卡  4路DVI输出卡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配电柜</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LED10KW配电箱 10千瓦，远程开关机功能，过载保护功能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专用线缆，15米DVI</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钉钉传屏器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钉钉传屏器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无线传屏器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无线传屏器 最长连接距离8 米，传输延迟&lt;120ms，帧率15fps-25fps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Windows7：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1920x1080@15fps/1366x768@20fps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Windows8(8.1)/OSX：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1920x1080@20fps/1366x768@25fps</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会商室建设 数字会议系统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9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无线手持话筒 頻帶寬度：50MHz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頻率間隔：250KH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載波頻段：UHF620~950MHz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頻道組數：雙頻道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機箱材質：金屬機箱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機箱規格：EIA標準1U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適用範圍：卡拉OK包房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射頻穩定度：±0.005%(-10~50℃)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振蕩模式：PLL相位鎖定頻率合成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可切換頻率數：200組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接收方式：雙調諧器自動選訊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頻帶寬度：25MHz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調頻方式：紅外對頻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輸出功率：30rnW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射頻穩定性：±0.005%( -10~50℃)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最大偏移：±70KHz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拾音頭：動圈式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供電方式：2節AA電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★需提供3C复印件加盖原厂红章；第三方检测报告复印件加盖原厂红章；中国著名品牌荣誉证书并加盖原厂公章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无线会议主机 主面板采用金属喷涂工艺，带多路话筒音量旋钮及3个功能按键，外观设计新颖高档，凸显高科技感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路与外壳都加强了与地线的连接，保证具备可抗静电8000V的能力，符合GB/T17618-1998国家标准采用FM调频传输音频，配合高还原电路及防啸叫设设计，加上采用新型防啸叫单指向高灵敏度电容咪芯，使会议声音音质实现高保真度还原全新概念的抗电磁干扰电路设计，杜绝手机等电子产品的电磁干扰控制及音频信号皆采用无线高频信号通讯，避免布设话筒线缆，安装简单方便灵活高清新LCD显示，菜单分级设计，操作简明方便。且有诸多如电量显示和欠压警告，频率信道和信号指示等功能。主机具有16个控制信道，主席及代表错开了音频信道，并且各有100个音频信道可调，解决了高密度的叠波、谐波干扰的可能性，可同时使用16套系统。每套系统可支持1个主席和300个代表，同时发言人数为1主席和4代表。系统主机基于稳定可靠的PLL锁相环电路、无线传输数字控制电路和模拟音频传输相结合，通过主机可设置主席专用、主席开放、限制发言、先进先出等发言功能。数字控制技术，话筒仅占用5个音频频点，避免串频现象的出现。解决了传统一拖四UHF无线会议无法解决多只无线会议话筒在同一场合同时使用的难题。可配合视像跟踪主机，相互通讯实现视像跟踪功能。</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13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39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无线主席单元 工作电压 DC 3.7V -- 4.5V消耗功率 待机≦350mW, 讲话状态≦620mW显示屏 128x32 PMOLED 蓝色 音频信号 传输方式 UHF无线方式（单向）信道数 5传输频段 UHF512-945MHz解调方式 FM灵敏度 -90dBm最大调制量 60K辐射功率 ≦+9dBm频率偏差&lt;0.002拾音距离： 10cm--30cm控制信号传输方式 UHF无线方式（双向）信道数 16传输频段UHF423-436MHz调制方式 FSK灵敏度 -90dBm辐射功率 ≦+7dBm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频率偏差&lt;0.003数据速率 110KBPS</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39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无线代表单元 工作电压 DC 3.7V -- 4.5V消耗功率 待机≦350mW, 讲话状态≦620mW显示屏 128x32 PMOLED 蓝色 音频信号 传输方式 UHF无线方式（单向）信道数 5传输频段 UHF512-945MHz解调方式 FM灵敏度 -90dBm最大调制量 60K辐射功率 ≦+9dBm频率偏差&lt;0.002拾音距离： 10cm--30cm控制信号传输方式 UHF无线方式（双向）信道数 16传输频段UHF423-436MHz调制方式 FSK灵敏度 -90dBm辐射功率 ≦+7dBm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频率偏差&lt;0.003数据速率 110KBPS</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会商室建设 扩声系统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4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调音台 频响：+0.5dB/-1.5dB(20Hz-48kHz)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总谐波失真：0.03%@+14dBu (20 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输入通道：16通道，单声道：8；立体声：4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输出通道：STEREO OUT：2；PHONES：1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母线：立体声：1；编组：4,AUX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电平表：2x12 - 点距LED电平表[PEAK, +10, +6, +3, 0, -3, -6, -10, -15, -20, -25, -30 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幻象电源电压：+48V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功率要求：AC 100 – 240 V, 50 / 60 Hz</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80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数字音频处理器 采用96KHz采样处理的音频处理器，32-bit 高精度DSP处理器，及高性能24-bit A/D及D/A转换器，高音质保证；有2路输入4路输出任意设置，可灵活组合各类型音频系统；每路输入均设有31段图示均衡GEQ+10段PEQ,输出设有10段PEQ；每路输入通道均设有增益、相位、延时、静音的功能及每路输出通道均设有增益、相位、分频、压限、静音、延时的功能；每路输出延时均可调，最长可达1000MS，最小调整步距为0.021MS；输入输出通道可实现全路由，并可同步多个输出通道联调所有参数以及通道参数拷贝功能；可变高/低通滤波器的斜率均可设置，其中贝塞尔（Bessel）,巴特活斯（Butterworth）设置为12dB、18dB、24dB每倍频程，林克维茨-瑞莱（Linkwitz-Riley）可设置为12dB、18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24dB、36dB、48dB 每倍频程；每台机器均可根据用户需要存储，最多可存储12种用户程序；设有面板操作锁，以防止误操作而导致的工作状态紊乱；设有USB、RS485和RS232多种控制方式，通过RS485接口可级联，且设有RS232串口，可通过第三方做远程编辑和控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37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全频扬声器 系统类型 无源烤漆木质音箱,系统组成 4×4"全频单元频率响应 （-3dB）90Hz-16kHz （-10dB）80Hz-17kHz额定功率 120W,长期连续功率 240W短期连续功率 480W,指向性（H×V） 180°×30  °灵敏度 (1m/1W) 91dB最大声压级  112dB/118dB(峰值) 阻抗 8Ω ,箱体 方形箱层压板,安装 16×M8，3×M6（用于固定支撑座）连接器 2×NL4，4位接线端子标配件 1×支撑座,选配件 U型架U型吊装板，连接杆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28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主功放 额定功率8Ω400W最大增益37.5dB总谐波失真 &lt;0.025%互调失真 &lt;0.05% 频率响应 &lt;±0.5dB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相移特性 &lt;±15°阻尼系数 &gt;300:1 8Ω分离度 &gt;80dB 1kHz 信噪比 &gt;106dB 1kHz通道增益差 &lt;0.15dB 输入灵敏度 0.775V 环境温度 工作温度 -10℃~40℃  储运温度 -25℃～80℃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7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充电箱 采用AC110V~240V开关电源供电 可同时为16枚专用锂电池充电。具有智能充电管理电路，可有效保护电池。充电时有红灯闪烁，电充满后变为绿色; 具有伸缩拉杆及滑轮方便移动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71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扩声系统设备</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电源时序器 AC 电压输入范围 180-270 VAC, 50/60Hz，总最大AC 电流额定 30A ，单路最大AC电流额定13A，AC 电源线: 自配国标最大负载30A以上电源线，AC 插座:前面板2路万能直通插座，后面板12路受控万能插座，浪涌/ 欠压- 过压尖波保护:AC 浪涌保护: 变压器防尖波保护，尖波保护模式: 线路到中性，零接地泄漏，尖波钳制电压: 375 V 峰值，反应时间: 1 纳秒，AC 滤波:噪音衰减: 线性, 10dB @10KHz,操作温度范围: 5C (40F) 至40C (105F) 度，参数会因为产品升级和更新而改变。湿度范围:&lt;90% rH ( 相对湿度)，用户界面:钥匙开关: 前面板,锁手动轻触按扭钥匙: 附带, 1 对按键开关: 前面板，单路手动开关，总开关前面板电压表: 显示当前电压实况，强制关闭/ 延迟3 端子: 5 针凤凰头带螺纹套筒, 强制关闭, 延迟3，RS-232 兼容性: 可兼容。可以连接电脑界面控制时序设置。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★提供3C复印件加盖原厂红章；</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会商室建设 视频监控系统</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监控摄像机</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高清摄像机 图像传感器 1/2.3英寸MOS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镜头 15倍光学变焦镜头 F1.6～F3.7（f=4.3mm～64.5mm；35mm等同于：31.6mm～480mm）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聚焦 自动/手动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焦距 整体变焦范围：1.2m、广角端：10cm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分色光学系统 片内滤色片系统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最低照度 0.7 lx（50 IRE、F1.6、48dB、无蓄积 1/60或1/50）                             0.35 lx（50 IRE、F1.6、48dB、有蓄积 1/30或1/25（Frame MIX 6dB））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水平分辨率 1000电视线以上（中心标准）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增益 自动、0dB～48dB（3dB步进）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Frame MIX 自动、关闭、6dB、12dB、18dB、24dB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电子快门速度 全自动时：1/30～1/2000（59.94Hz）、1/25～1/2000（50Hz）                  自动时：1/60～1/2000（59.94Hz）、1/50～1/2000（50Hz）                    手动时：59.94Hz：1/100、1/250、1/500、1/1000、1/2000、1/4000、1/10000   50Hz：1/120、1/250、1/500、1/1000、1/2000、1/4000、1/10000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同步扫描 59.94Hz：59.94Hz～660.09Hz                                                       50Hz：50.00Hz～570.12Hz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伽玛 关、标准（低、中、高）、电影风格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白平衡 AWB A、AWB B、ATW、3200K、5600K、VAR（2400K至9900K）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色调量可调性 ±3步进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场景模式 全自动、手动1、手动2、手动3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输出格式 1080/29.97p/25p、1080/59.94i/50i/29.97PsF/25PsF、720/59.94p/50p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同步 内部同步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视频输出 HD-SDI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音频输入 Φ3.5mm立体声迷你插孔 输入阻抗：约2kΩ（高阻抗）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输入/输出接口 LAN（用于IP控制）、RS-232C（IN OUT）、RS-422、USB、micro SD存储卡槽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SD卡类型 micro SDHC（4G/32G），micro SDXC（64G/128G），                         速度为10级或更高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USB视频输出 USB视频类型 ver1.0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视频压缩格式 JPEG格式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 1920×1080、1280×720、640×360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云台旋转范围 水平：±175°；俯仰：-30°～+90°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云台旋转速度 调用预置位时: 300°/s 最高速度: 90°/s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安装方式 桌面安装或吊装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 DC12V(标配交流适配器)、DC42V-57V(PoE+ 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 1.2A(交流适配器供电) 0.4A(PoE+电源)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操作温度 0℃至 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存放温度  -20℃至 50℃</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2135"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55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高清视像中央处理器</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高清视像中央处理器 配合高清混合矩阵使用，实现高清摄像球切换跟踪功能；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单机支持多个摄像机位置跟踪控制点：Pelco-D协议250个点，VISCA协议128个点；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持两种常用高速云球协议(Pelco-D波特率9600、VISCA波特率9600)；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支持三种高速云球控制方式，RS232和RS422和RS485；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可通过RS-232口与计算机或中控系统等外部设备通讯，具有联动控制功能；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可通过专用Matrix接口与高清混合矩阵通讯，具有联动控制功能。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脱离电脑时，可通过主机面板按键进行摄像位置预设，也可通过摄像机遥控器进行预设；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具备有3个RS232接口，1个RS422接口(RS422接口同时可作为RS485接口使用。</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会商室建设 附件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音响线 无氧铜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话筒线 无氧铜</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r>
      <w:tr>
        <w:tblPrEx>
          <w:tblCellMar>
            <w:top w:w="0" w:type="dxa"/>
            <w:left w:w="0" w:type="dxa"/>
            <w:bottom w:w="0" w:type="dxa"/>
            <w:right w:w="0" w:type="dxa"/>
          </w:tblCellMar>
        </w:tblPrEx>
        <w:trPr>
          <w:gridAfter w:val="1"/>
          <w:wAfter w:w="371" w:type="dxa"/>
          <w:trHeight w:val="216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双绞线缆</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规格：六类非屏蔽双绞线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双绞线采用规格23AWG的单芯裸铜为导体，聚乙烯类高分子材料为绝缘体，外皮材料采用阻燃型高分子材料；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双绞线符合国际规范(ISO/IEC)，美国规范(ANSI/TIA/EIA)，欧洲规范(EN)的要求</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305.00</w:t>
            </w:r>
          </w:p>
        </w:tc>
      </w:tr>
      <w:tr>
        <w:tblPrEx>
          <w:tblCellMar>
            <w:top w:w="0" w:type="dxa"/>
            <w:left w:w="0" w:type="dxa"/>
            <w:bottom w:w="0" w:type="dxa"/>
            <w:right w:w="0" w:type="dxa"/>
          </w:tblCellMar>
        </w:tblPrEx>
        <w:trPr>
          <w:gridAfter w:val="1"/>
          <w:wAfter w:w="371" w:type="dxa"/>
          <w:trHeight w:val="819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多媒体地插</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多媒体地插 ★HDMI地插网传延长器（发射端），最大输出分辨率1080P，单线延长50-100米距离。HDMI延长器可以接收来自PC/DVD/视频播放器等影音视频输出的HDMI视频信号，并对视频信号进行编码压缩，通过传统网线把视频信号传送到远端的接收器。HDMI延长器接收来自发送器发过来的数据，并将其解压还原成HDMI视频、音频信号，最终送给显示终端设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HDMI-A接口，带音频接口，采用高带宽芯片，高性能的图像处理及信号长矩离传输失真增益补偿技术，采用数字同步识别处理技术，图像输出更加稳定可靠，全贴片SMD工艺，特有的ESD静电保护技术，支持信号时序重整，完美显示1920×1080P高清图像，安装简单，即插即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支持从800X600到1920X1080等视频分辨率；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采用专用格式对视频压缩解压，降低传输带宽、保证影音播放流畅性、画质还原好、延时时间短；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采用网线传输，传输距离远，抗干扰能力强；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支持立体声音频输入、RS-232传输；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传输器集成度高，对其他视频输出显示设备兼容性好；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★使用CAT5e/6屏蔽线缆最远可达50-100米。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即插即用，方便简单。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可选网络支持HDBaseT协议、TCP/IP协议传输。</w:t>
            </w: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gridAfter w:val="1"/>
          <w:wAfter w:w="371" w:type="dxa"/>
          <w:trHeight w:val="68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音响壁架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音响壁架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371" w:type="dxa"/>
          <w:trHeight w:val="57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机柜、机架</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 600*600*2000mm，玻璃门带排风扇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45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24小时服务区</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71" w:type="dxa"/>
          <w:trHeight w:val="81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24小时服务自助机(暂定1台）</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24小时服务自助机(暂定1台） 具有办事、查询、打印、支付等功能</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gridAfter w:val="1"/>
          <w:wAfter w:w="371" w:type="dxa"/>
          <w:trHeight w:val="192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24小时服务区文件柜，(尺寸为:(750*450*1950mm，含一年服务费）</w:t>
            </w:r>
          </w:p>
        </w:tc>
        <w:tc>
          <w:tcPr>
            <w:tcW w:w="33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24小时服务区文件柜，(尺寸为:(750*450*1950mm，含一年服务费） 优质冷轧钢板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抗氧化处理，钢板实厚1.0MM、柜门涂装前处理后经静电喷涂，再加热烘烤熔融固化，使形成平整光亮的永久性涂膜，达到装饰和防腐蚀的目的</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bl>
    <w:p>
      <w:pPr>
        <w:pStyle w:val="2"/>
        <w:spacing w:line="360" w:lineRule="auto"/>
        <w:ind w:left="479" w:leftChars="228"/>
        <w:rPr>
          <w:rFonts w:hint="eastAsia" w:ascii="??" w:eastAsia="??"/>
          <w:kern w:val="2"/>
          <w:szCs w:val="24"/>
          <w:lang w:val="en-US"/>
        </w:rPr>
      </w:pPr>
    </w:p>
    <w:tbl>
      <w:tblPr>
        <w:tblStyle w:val="27"/>
        <w:tblW w:w="8591" w:type="dxa"/>
        <w:tblInd w:w="0" w:type="dxa"/>
        <w:tblLayout w:type="fixed"/>
        <w:tblCellMar>
          <w:top w:w="0" w:type="dxa"/>
          <w:left w:w="0" w:type="dxa"/>
          <w:bottom w:w="0" w:type="dxa"/>
          <w:right w:w="0" w:type="dxa"/>
        </w:tblCellMar>
      </w:tblPr>
      <w:tblGrid>
        <w:gridCol w:w="1001"/>
        <w:gridCol w:w="1785"/>
        <w:gridCol w:w="3360"/>
        <w:gridCol w:w="1215"/>
        <w:gridCol w:w="1230"/>
      </w:tblGrid>
      <w:tr>
        <w:tblPrEx>
          <w:tblCellMar>
            <w:top w:w="0" w:type="dxa"/>
            <w:left w:w="0" w:type="dxa"/>
            <w:bottom w:w="0" w:type="dxa"/>
            <w:right w:w="0" w:type="dxa"/>
          </w:tblCellMar>
        </w:tblPrEx>
        <w:trPr>
          <w:trHeight w:val="450" w:hRule="atLeast"/>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r>
      <w:tr>
        <w:tblPrEx>
          <w:tblCellMar>
            <w:top w:w="0" w:type="dxa"/>
            <w:left w:w="0" w:type="dxa"/>
            <w:bottom w:w="0" w:type="dxa"/>
            <w:right w:w="0" w:type="dxa"/>
          </w:tblCellMar>
        </w:tblPrEx>
        <w:trPr>
          <w:trHeight w:val="450" w:hRule="atLeast"/>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电气部分</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成套配电箱安装 悬挂式 配电箱1AL1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成套配电箱安装 悬挂式 配电箱2AL1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成套配电箱安装 双电源配电箱1ALE</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成套配电箱安装 双电源配电箱2ALE</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配电箱</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集中电源</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控制器</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集中电源控制器</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砖、混凝土结构暗配JDG管 JDG20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砖、混凝土结构暗配焊接钢管 SC20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配管</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砖、混凝土结构暗配焊接钢管 SC150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桥架</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热镀锌防火桥架200*150含桥架支架刷油防腐</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穿照明线 BYJ2.5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8480.00</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配线</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穿照明线 BYJR2.5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3609.00</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铜芯电力电缆敷设 WDZB-YJY-4x25+PE16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w:t>
            </w:r>
          </w:p>
        </w:tc>
      </w:tr>
      <w:tr>
        <w:tblPrEx>
          <w:tblCellMar>
            <w:top w:w="0" w:type="dxa"/>
            <w:left w:w="0" w:type="dxa"/>
            <w:bottom w:w="0" w:type="dxa"/>
            <w:right w:w="0" w:type="dxa"/>
          </w:tblCellMar>
        </w:tblPrEx>
        <w:trPr>
          <w:trHeight w:val="102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电力电缆头</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户内干包式电力电缆头制作、安装 干包终端头（1kV以下截面mm2以下）35`25mm2及以下三芯及以上电缆头制安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暗装插座 二三插</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插座</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地插</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板式开关暗装单联</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板式开关暗装双联</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板式开关暗装三联</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板式开关暗装单联双控</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板式开关暗装双联双控</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板式开关暗装三联双控</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接线盒</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开关盒、接线盒</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600*600平板灯含光源</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LED灯带</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242.00</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节能筒灯 含光源</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防雾节能筒灯 含光源</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1.2米日光灯 含光源</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应急灯 集中控制灯具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疏散指示灯 集中控制灯具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装饰灯</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安全出口灯 集中控制灯具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给排水部分</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蹲坑 含角阀、软管等附件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洗脸盆</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洗手台盆 含水龙头、角阀、软管等附件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洗脸盆</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立柱式洗手台 含水龙头、角阀、软管等附件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小便器</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挂式小便器 含角阀、软管等附件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坐便器 含角阀、软管等附件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残疾人坐便器 含角阀、软管等附件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4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w:t>
            </w:r>
          </w:p>
        </w:tc>
        <w:tc>
          <w:tcPr>
            <w:tcW w:w="17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残疾人扶手</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残疾人扶手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bl>
    <w:p>
      <w:pPr>
        <w:pStyle w:val="2"/>
        <w:spacing w:line="360" w:lineRule="auto"/>
        <w:ind w:left="479" w:leftChars="228"/>
        <w:rPr>
          <w:rFonts w:hint="eastAsia" w:ascii="??" w:eastAsia="??"/>
          <w:kern w:val="2"/>
          <w:szCs w:val="24"/>
          <w:lang w:val="en-US"/>
        </w:rPr>
      </w:pPr>
    </w:p>
    <w:p>
      <w:pPr>
        <w:pStyle w:val="2"/>
        <w:spacing w:line="360" w:lineRule="auto"/>
        <w:ind w:left="479" w:leftChars="228"/>
        <w:rPr>
          <w:ins w:id="7" w:author="fyq1414237484" w:date="2020-05-20T12:03:00Z"/>
          <w:rFonts w:hint="eastAsia" w:ascii="??" w:eastAsia="宋体"/>
          <w:kern w:val="2"/>
          <w:szCs w:val="24"/>
          <w:lang w:val="en-US" w:eastAsia="zh-CN"/>
        </w:rPr>
      </w:pPr>
    </w:p>
    <w:p>
      <w:pPr>
        <w:pStyle w:val="2"/>
        <w:spacing w:line="360" w:lineRule="auto"/>
        <w:ind w:left="479" w:leftChars="228"/>
        <w:rPr>
          <w:ins w:id="8" w:author="fyq1414237484" w:date="2020-05-20T12:03:00Z"/>
          <w:rFonts w:hint="eastAsia" w:ascii="??" w:eastAsia="宋体"/>
          <w:kern w:val="2"/>
          <w:szCs w:val="24"/>
          <w:lang w:val="en-US" w:eastAsia="zh-CN"/>
        </w:rPr>
      </w:pPr>
    </w:p>
    <w:p>
      <w:pPr>
        <w:pStyle w:val="2"/>
        <w:spacing w:line="360" w:lineRule="auto"/>
        <w:ind w:left="479" w:leftChars="228"/>
        <w:rPr>
          <w:ins w:id="9" w:author="fyq1414237484" w:date="2020-05-20T12:03:00Z"/>
          <w:rFonts w:hint="eastAsia" w:ascii="??" w:eastAsia="宋体"/>
          <w:kern w:val="2"/>
          <w:szCs w:val="24"/>
          <w:lang w:val="en-US" w:eastAsia="zh-CN"/>
        </w:rPr>
      </w:pPr>
    </w:p>
    <w:p>
      <w:pPr>
        <w:pStyle w:val="2"/>
        <w:spacing w:line="360" w:lineRule="auto"/>
        <w:ind w:left="479" w:leftChars="228"/>
        <w:rPr>
          <w:ins w:id="10" w:author="fyq1414237484" w:date="2020-05-20T12:03:00Z"/>
          <w:rFonts w:hint="eastAsia" w:ascii="??" w:eastAsia="宋体"/>
          <w:kern w:val="2"/>
          <w:szCs w:val="24"/>
          <w:lang w:val="en-US" w:eastAsia="zh-CN"/>
        </w:rPr>
      </w:pPr>
    </w:p>
    <w:p>
      <w:pPr>
        <w:pStyle w:val="2"/>
        <w:spacing w:line="360" w:lineRule="auto"/>
        <w:ind w:left="479" w:leftChars="228"/>
        <w:rPr>
          <w:rFonts w:hint="default" w:ascii="??" w:eastAsia="宋体"/>
          <w:kern w:val="2"/>
          <w:szCs w:val="24"/>
          <w:lang w:val="en-US" w:eastAsia="zh-CN"/>
        </w:rPr>
      </w:pPr>
      <w:ins w:id="11" w:author="fyq1414237484" w:date="2020-05-20T12:00:00Z">
        <w:r>
          <w:rPr>
            <w:rFonts w:hint="eastAsia" w:ascii="??" w:eastAsia="宋体"/>
            <w:kern w:val="2"/>
            <w:szCs w:val="24"/>
            <w:lang w:val="en-US" w:eastAsia="zh-CN"/>
          </w:rPr>
          <w:t>参考品牌：</w:t>
        </w:r>
      </w:ins>
      <w:ins w:id="12" w:author="fyq1414237484" w:date="2020-05-20T12:02:00Z">
        <w:r>
          <w:rPr>
            <w:rFonts w:hint="eastAsia" w:ascii="??" w:eastAsia="宋体"/>
            <w:kern w:val="2"/>
            <w:szCs w:val="24"/>
            <w:lang w:val="en-US" w:eastAsia="zh-CN"/>
          </w:rPr>
          <w:t>为了保证工程质量统一工程用材口径和施工管理，本工程建设单位拟对下列材料作如下要求以供投标人</w:t>
        </w:r>
      </w:ins>
      <w:ins w:id="13" w:author="fyq1414237484" w:date="2020-05-20T12:03:00Z">
        <w:r>
          <w:rPr>
            <w:rFonts w:hint="eastAsia" w:ascii="??" w:eastAsia="宋体"/>
            <w:kern w:val="2"/>
            <w:szCs w:val="24"/>
            <w:lang w:val="en-US" w:eastAsia="zh-CN"/>
          </w:rPr>
          <w:t>参考</w:t>
        </w:r>
      </w:ins>
      <w:ins w:id="14" w:author="fyq1414237484" w:date="2020-05-20T12:02:00Z">
        <w:r>
          <w:rPr>
            <w:rFonts w:hint="eastAsia" w:ascii="??" w:eastAsia="宋体"/>
            <w:kern w:val="2"/>
            <w:szCs w:val="24"/>
            <w:lang w:val="en-US" w:eastAsia="zh-CN"/>
          </w:rPr>
          <w:t>报价：</w:t>
        </w:r>
      </w:ins>
    </w:p>
    <w:tbl>
      <w:tblPr>
        <w:tblStyle w:val="27"/>
        <w:tblW w:w="8475" w:type="dxa"/>
        <w:tblInd w:w="0" w:type="dxa"/>
        <w:tblLayout w:type="autofit"/>
        <w:tblCellMar>
          <w:top w:w="0" w:type="dxa"/>
          <w:left w:w="0" w:type="dxa"/>
          <w:bottom w:w="0" w:type="dxa"/>
          <w:right w:w="0" w:type="dxa"/>
        </w:tblCellMar>
      </w:tblPr>
      <w:tblGrid>
        <w:gridCol w:w="705"/>
        <w:gridCol w:w="1755"/>
        <w:gridCol w:w="2010"/>
        <w:gridCol w:w="1380"/>
        <w:gridCol w:w="1050"/>
        <w:gridCol w:w="1575"/>
      </w:tblGrid>
      <w:tr>
        <w:tblPrEx>
          <w:tblCellMar>
            <w:top w:w="0" w:type="dxa"/>
            <w:left w:w="0" w:type="dxa"/>
            <w:bottom w:w="0" w:type="dxa"/>
            <w:right w:w="0" w:type="dxa"/>
          </w:tblCellMar>
        </w:tblPrEx>
        <w:trPr>
          <w:trHeight w:val="563" w:hRule="atLeast"/>
          <w:ins w:id="15" w:author="fyq1414237484" w:date="2020-05-20T12:03:00Z"/>
        </w:trPr>
        <w:tc>
          <w:tcPr>
            <w:tcW w:w="84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6" w:author="fyq1414237484" w:date="2020-05-20T12:03:00Z"/>
                <w:rFonts w:hint="eastAsia" w:ascii="宋体" w:hAnsi="宋体" w:eastAsia="宋体" w:cs="宋体"/>
                <w:b/>
                <w:i w:val="0"/>
                <w:color w:val="000000"/>
                <w:sz w:val="28"/>
                <w:szCs w:val="28"/>
                <w:u w:val="none"/>
              </w:rPr>
            </w:pPr>
            <w:ins w:id="17" w:author="fyq1414237484" w:date="2020-05-20T12:03:00Z">
              <w:r>
                <w:rPr>
                  <w:rFonts w:hint="eastAsia" w:ascii="宋体" w:hAnsi="宋体" w:eastAsia="宋体" w:cs="宋体"/>
                  <w:b/>
                  <w:i w:val="0"/>
                  <w:color w:val="000000"/>
                  <w:kern w:val="0"/>
                  <w:sz w:val="28"/>
                  <w:szCs w:val="28"/>
                  <w:u w:val="none"/>
                  <w:lang w:val="en-US" w:eastAsia="zh-CN" w:bidi="ar"/>
                </w:rPr>
                <w:t>主要材料品牌表</w:t>
              </w:r>
            </w:ins>
          </w:p>
        </w:tc>
      </w:tr>
      <w:tr>
        <w:tblPrEx>
          <w:tblCellMar>
            <w:top w:w="0" w:type="dxa"/>
            <w:left w:w="0" w:type="dxa"/>
            <w:bottom w:w="0" w:type="dxa"/>
            <w:right w:w="0" w:type="dxa"/>
          </w:tblCellMar>
        </w:tblPrEx>
        <w:trPr>
          <w:trHeight w:val="398" w:hRule="atLeast"/>
          <w:ins w:id="18"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9" w:author="fyq1414237484" w:date="2020-05-20T12:03:00Z"/>
                <w:rFonts w:hint="eastAsia" w:ascii="宋体" w:hAnsi="宋体" w:eastAsia="宋体" w:cs="宋体"/>
                <w:b/>
                <w:i w:val="0"/>
                <w:color w:val="000000"/>
                <w:sz w:val="20"/>
                <w:szCs w:val="20"/>
                <w:u w:val="none"/>
              </w:rPr>
            </w:pPr>
            <w:ins w:id="20" w:author="fyq1414237484" w:date="2020-05-20T12:03:00Z">
              <w:r>
                <w:rPr>
                  <w:rFonts w:hint="eastAsia" w:ascii="宋体" w:hAnsi="宋体" w:eastAsia="宋体" w:cs="宋体"/>
                  <w:b/>
                  <w:i w:val="0"/>
                  <w:color w:val="000000"/>
                  <w:kern w:val="0"/>
                  <w:sz w:val="20"/>
                  <w:szCs w:val="20"/>
                  <w:u w:val="none"/>
                  <w:lang w:val="en-US" w:eastAsia="zh-CN" w:bidi="ar"/>
                </w:rPr>
                <w:t>序号</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1" w:author="fyq1414237484" w:date="2020-05-20T12:03:00Z"/>
                <w:rFonts w:hint="eastAsia" w:ascii="宋体" w:hAnsi="宋体" w:eastAsia="宋体" w:cs="宋体"/>
                <w:b/>
                <w:i w:val="0"/>
                <w:color w:val="000000"/>
                <w:sz w:val="20"/>
                <w:szCs w:val="20"/>
                <w:u w:val="none"/>
              </w:rPr>
            </w:pPr>
            <w:ins w:id="22" w:author="fyq1414237484" w:date="2020-05-20T12:03:00Z">
              <w:r>
                <w:rPr>
                  <w:rFonts w:hint="eastAsia" w:ascii="宋体" w:hAnsi="宋体" w:eastAsia="宋体" w:cs="宋体"/>
                  <w:b/>
                  <w:i w:val="0"/>
                  <w:color w:val="000000"/>
                  <w:kern w:val="0"/>
                  <w:sz w:val="20"/>
                  <w:szCs w:val="20"/>
                  <w:u w:val="none"/>
                  <w:lang w:val="en-US" w:eastAsia="zh-CN" w:bidi="ar"/>
                </w:rPr>
                <w:t>材料名称</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3" w:author="fyq1414237484" w:date="2020-05-20T12:03:00Z"/>
                <w:rFonts w:hint="eastAsia" w:ascii="宋体" w:hAnsi="宋体" w:eastAsia="宋体" w:cs="宋体"/>
                <w:b/>
                <w:i w:val="0"/>
                <w:color w:val="000000"/>
                <w:sz w:val="20"/>
                <w:szCs w:val="20"/>
                <w:u w:val="none"/>
              </w:rPr>
            </w:pPr>
            <w:ins w:id="24" w:author="fyq1414237484" w:date="2020-05-20T12:03:00Z">
              <w:r>
                <w:rPr>
                  <w:rFonts w:hint="eastAsia" w:ascii="宋体" w:hAnsi="宋体" w:eastAsia="宋体" w:cs="宋体"/>
                  <w:b/>
                  <w:i w:val="0"/>
                  <w:color w:val="000000"/>
                  <w:kern w:val="0"/>
                  <w:sz w:val="20"/>
                  <w:szCs w:val="20"/>
                  <w:u w:val="none"/>
                  <w:lang w:val="en-US" w:eastAsia="zh-CN" w:bidi="ar"/>
                </w:rPr>
                <w:t>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5" w:author="fyq1414237484" w:date="2020-05-20T12:03:00Z"/>
                <w:rFonts w:hint="eastAsia" w:ascii="宋体" w:hAnsi="宋体" w:eastAsia="宋体" w:cs="宋体"/>
                <w:b/>
                <w:i w:val="0"/>
                <w:color w:val="000000"/>
                <w:sz w:val="20"/>
                <w:szCs w:val="20"/>
                <w:u w:val="none"/>
              </w:rPr>
            </w:pPr>
            <w:ins w:id="26" w:author="fyq1414237484" w:date="2020-05-20T12:03:00Z">
              <w:r>
                <w:rPr>
                  <w:rFonts w:hint="eastAsia" w:ascii="宋体" w:hAnsi="宋体" w:eastAsia="宋体" w:cs="宋体"/>
                  <w:b/>
                  <w:i w:val="0"/>
                  <w:color w:val="000000"/>
                  <w:kern w:val="0"/>
                  <w:sz w:val="20"/>
                  <w:szCs w:val="20"/>
                  <w:u w:val="none"/>
                  <w:lang w:val="en-US" w:eastAsia="zh-CN" w:bidi="ar"/>
                </w:rPr>
                <w:t>规格（型号）</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7" w:author="fyq1414237484" w:date="2020-05-20T12:03:00Z"/>
                <w:rFonts w:hint="eastAsia" w:ascii="宋体" w:hAnsi="宋体" w:eastAsia="宋体" w:cs="宋体"/>
                <w:b/>
                <w:i w:val="0"/>
                <w:color w:val="000000"/>
                <w:sz w:val="20"/>
                <w:szCs w:val="20"/>
                <w:u w:val="none"/>
              </w:rPr>
            </w:pPr>
            <w:ins w:id="28" w:author="fyq1414237484" w:date="2020-05-20T12:03:00Z">
              <w:r>
                <w:rPr>
                  <w:rFonts w:hint="eastAsia" w:ascii="宋体" w:hAnsi="宋体" w:eastAsia="宋体" w:cs="宋体"/>
                  <w:b/>
                  <w:i w:val="0"/>
                  <w:color w:val="000000"/>
                  <w:kern w:val="0"/>
                  <w:sz w:val="20"/>
                  <w:szCs w:val="20"/>
                  <w:u w:val="none"/>
                  <w:lang w:val="en-US" w:eastAsia="zh-CN" w:bidi="ar"/>
                </w:rPr>
                <w:t>等级</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9" w:author="fyq1414237484" w:date="2020-05-20T12:03:00Z"/>
                <w:rFonts w:hint="eastAsia" w:ascii="宋体" w:hAnsi="宋体" w:eastAsia="宋体" w:cs="宋体"/>
                <w:b/>
                <w:i w:val="0"/>
                <w:color w:val="000000"/>
                <w:sz w:val="20"/>
                <w:szCs w:val="20"/>
                <w:u w:val="none"/>
              </w:rPr>
            </w:pPr>
            <w:ins w:id="30" w:author="fyq1414237484" w:date="2020-05-20T12:03:00Z">
              <w:r>
                <w:rPr>
                  <w:rFonts w:hint="eastAsia" w:ascii="宋体" w:hAnsi="宋体" w:eastAsia="宋体" w:cs="宋体"/>
                  <w:b/>
                  <w:i w:val="0"/>
                  <w:color w:val="000000"/>
                  <w:kern w:val="0"/>
                  <w:sz w:val="20"/>
                  <w:szCs w:val="20"/>
                  <w:u w:val="none"/>
                  <w:lang w:val="en-US" w:eastAsia="zh-CN" w:bidi="ar"/>
                </w:rPr>
                <w:t>备注</w:t>
              </w:r>
            </w:ins>
          </w:p>
        </w:tc>
      </w:tr>
      <w:tr>
        <w:tblPrEx>
          <w:tblCellMar>
            <w:top w:w="0" w:type="dxa"/>
            <w:left w:w="0" w:type="dxa"/>
            <w:bottom w:w="0" w:type="dxa"/>
            <w:right w:w="0" w:type="dxa"/>
          </w:tblCellMar>
        </w:tblPrEx>
        <w:trPr>
          <w:trHeight w:val="510" w:hRule="atLeast"/>
          <w:ins w:id="31"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2" w:author="fyq1414237484" w:date="2020-05-20T12:03:00Z"/>
                <w:rFonts w:hint="eastAsia" w:ascii="宋体" w:hAnsi="宋体" w:eastAsia="宋体" w:cs="宋体"/>
                <w:i w:val="0"/>
                <w:color w:val="000000"/>
                <w:sz w:val="20"/>
                <w:szCs w:val="20"/>
                <w:u w:val="none"/>
              </w:rPr>
            </w:pPr>
            <w:ins w:id="33" w:author="fyq1414237484" w:date="2020-05-20T12:03:00Z">
              <w:r>
                <w:rPr>
                  <w:rFonts w:hint="eastAsia" w:ascii="宋体" w:hAnsi="宋体" w:eastAsia="宋体" w:cs="宋体"/>
                  <w:i w:val="0"/>
                  <w:color w:val="000000"/>
                  <w:kern w:val="0"/>
                  <w:sz w:val="20"/>
                  <w:szCs w:val="20"/>
                  <w:u w:val="none"/>
                  <w:lang w:val="en-US" w:eastAsia="zh-CN" w:bidi="ar"/>
                </w:rPr>
                <w:t>1</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4" w:author="fyq1414237484" w:date="2020-05-20T12:03:00Z"/>
                <w:rFonts w:hint="eastAsia" w:ascii="宋体" w:hAnsi="宋体" w:eastAsia="宋体" w:cs="宋体"/>
                <w:i w:val="0"/>
                <w:color w:val="000000"/>
                <w:sz w:val="20"/>
                <w:szCs w:val="20"/>
                <w:u w:val="none"/>
              </w:rPr>
            </w:pPr>
            <w:ins w:id="35" w:author="fyq1414237484" w:date="2020-05-20T12:03:00Z">
              <w:r>
                <w:rPr>
                  <w:rFonts w:hint="eastAsia" w:ascii="宋体" w:hAnsi="宋体" w:eastAsia="宋体" w:cs="宋体"/>
                  <w:i w:val="0"/>
                  <w:color w:val="000000"/>
                  <w:kern w:val="0"/>
                  <w:sz w:val="20"/>
                  <w:szCs w:val="20"/>
                  <w:u w:val="none"/>
                  <w:lang w:val="en-US" w:eastAsia="zh-CN" w:bidi="ar"/>
                </w:rPr>
                <w:t>瓷砖</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6" w:author="fyq1414237484" w:date="2020-05-20T12:03:00Z"/>
                <w:rFonts w:hint="eastAsia" w:ascii="宋体" w:hAnsi="宋体" w:eastAsia="宋体" w:cs="宋体"/>
                <w:i w:val="0"/>
                <w:color w:val="000000"/>
                <w:sz w:val="20"/>
                <w:szCs w:val="20"/>
                <w:u w:val="none"/>
              </w:rPr>
            </w:pPr>
            <w:ins w:id="37" w:author="fyq1414237484" w:date="2020-05-20T12:03:00Z">
              <w:r>
                <w:rPr>
                  <w:rFonts w:hint="eastAsia" w:ascii="宋体" w:hAnsi="宋体" w:eastAsia="宋体" w:cs="宋体"/>
                  <w:i w:val="0"/>
                  <w:color w:val="000000"/>
                  <w:kern w:val="0"/>
                  <w:sz w:val="20"/>
                  <w:szCs w:val="20"/>
                  <w:u w:val="none"/>
                  <w:lang w:val="en-US" w:eastAsia="zh-CN" w:bidi="ar"/>
                </w:rPr>
                <w:t>诺贝尔、冠军、亚细亚或同档次及以上品牌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8" w:author="fyq1414237484" w:date="2020-05-20T12:03:00Z"/>
                <w:rFonts w:hint="eastAsia" w:ascii="宋体" w:hAnsi="宋体" w:eastAsia="宋体" w:cs="宋体"/>
                <w:i w:val="0"/>
                <w:color w:val="000000"/>
                <w:sz w:val="20"/>
                <w:szCs w:val="20"/>
                <w:u w:val="none"/>
              </w:rPr>
            </w:pPr>
            <w:ins w:id="39" w:author="fyq1414237484" w:date="2020-05-20T12:03:00Z">
              <w:r>
                <w:rPr>
                  <w:rFonts w:hint="eastAsia" w:ascii="宋体" w:hAnsi="宋体" w:eastAsia="宋体" w:cs="宋体"/>
                  <w:i w:val="0"/>
                  <w:color w:val="000000"/>
                  <w:kern w:val="0"/>
                  <w:sz w:val="20"/>
                  <w:szCs w:val="20"/>
                  <w:u w:val="none"/>
                  <w:lang w:val="en-US" w:eastAsia="zh-CN" w:bidi="ar"/>
                </w:rPr>
                <w:t>参欧美凝灰印记系列、水木凝石系列、斯米顿灰系列,汇亚帕提欧系列、玉石系列,亚细亚复古砖系列、玻化砖系列,施工前送样由甲方确定（若所需规格无成品板，则需切割）</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0" w:author="fyq1414237484" w:date="2020-05-20T12:03:00Z"/>
                <w:rFonts w:hint="eastAsia" w:ascii="宋体" w:hAnsi="宋体" w:eastAsia="宋体" w:cs="宋体"/>
                <w:i w:val="0"/>
                <w:color w:val="000000"/>
                <w:sz w:val="20"/>
                <w:szCs w:val="20"/>
                <w:u w:val="none"/>
              </w:rPr>
            </w:pPr>
            <w:ins w:id="41"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42"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43"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4" w:author="fyq1414237484" w:date="2020-05-20T12:03:00Z"/>
                <w:rFonts w:hint="eastAsia" w:ascii="宋体" w:hAnsi="宋体" w:eastAsia="宋体" w:cs="宋体"/>
                <w:i w:val="0"/>
                <w:color w:val="000000"/>
                <w:sz w:val="20"/>
                <w:szCs w:val="20"/>
                <w:u w:val="none"/>
              </w:rPr>
            </w:pPr>
            <w:ins w:id="45" w:author="fyq1414237484" w:date="2020-05-20T12:03:00Z">
              <w:r>
                <w:rPr>
                  <w:rFonts w:hint="eastAsia" w:ascii="宋体" w:hAnsi="宋体" w:eastAsia="宋体" w:cs="宋体"/>
                  <w:i w:val="0"/>
                  <w:color w:val="000000"/>
                  <w:kern w:val="0"/>
                  <w:sz w:val="20"/>
                  <w:szCs w:val="20"/>
                  <w:u w:val="none"/>
                  <w:lang w:val="en-US" w:eastAsia="zh-CN" w:bidi="ar"/>
                </w:rPr>
                <w:t>2</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6" w:author="fyq1414237484" w:date="2020-05-20T12:03:00Z"/>
                <w:rFonts w:hint="eastAsia" w:ascii="宋体" w:hAnsi="宋体" w:eastAsia="宋体" w:cs="宋体"/>
                <w:i w:val="0"/>
                <w:color w:val="000000"/>
                <w:sz w:val="20"/>
                <w:szCs w:val="20"/>
                <w:u w:val="none"/>
              </w:rPr>
            </w:pPr>
            <w:ins w:id="47" w:author="fyq1414237484" w:date="2020-05-20T12:03:00Z">
              <w:r>
                <w:rPr>
                  <w:rFonts w:hint="eastAsia" w:ascii="宋体" w:hAnsi="宋体" w:eastAsia="宋体" w:cs="宋体"/>
                  <w:i w:val="0"/>
                  <w:color w:val="000000"/>
                  <w:kern w:val="0"/>
                  <w:sz w:val="20"/>
                  <w:szCs w:val="20"/>
                  <w:u w:val="none"/>
                  <w:lang w:val="en-US" w:eastAsia="zh-CN" w:bidi="ar"/>
                </w:rPr>
                <w:t>石膏板、矿棉板</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8" w:author="fyq1414237484" w:date="2020-05-20T12:03:00Z"/>
                <w:rFonts w:hint="eastAsia" w:ascii="宋体" w:hAnsi="宋体" w:eastAsia="宋体" w:cs="宋体"/>
                <w:i w:val="0"/>
                <w:color w:val="000000"/>
                <w:sz w:val="20"/>
                <w:szCs w:val="20"/>
                <w:u w:val="none"/>
              </w:rPr>
            </w:pPr>
            <w:ins w:id="49" w:author="fyq1414237484" w:date="2020-05-20T12:03:00Z">
              <w:r>
                <w:rPr>
                  <w:rFonts w:hint="eastAsia" w:ascii="宋体" w:hAnsi="宋体" w:eastAsia="宋体" w:cs="宋体"/>
                  <w:i w:val="0"/>
                  <w:color w:val="000000"/>
                  <w:kern w:val="0"/>
                  <w:sz w:val="20"/>
                  <w:szCs w:val="20"/>
                  <w:u w:val="none"/>
                  <w:lang w:val="en-US" w:eastAsia="zh-CN" w:bidi="ar"/>
                </w:rPr>
                <w:t>圣戈班杰科、可耐福、拉法基、龙牌或同档次及以上品牌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50"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51" w:author="fyq1414237484" w:date="2020-05-20T12:03:00Z"/>
                <w:rFonts w:hint="eastAsia" w:ascii="宋体" w:hAnsi="宋体" w:eastAsia="宋体" w:cs="宋体"/>
                <w:i w:val="0"/>
                <w:color w:val="000000"/>
                <w:sz w:val="20"/>
                <w:szCs w:val="20"/>
                <w:u w:val="none"/>
              </w:rPr>
            </w:pPr>
            <w:ins w:id="52"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53" w:author="fyq1414237484" w:date="2020-05-20T12:03:00Z"/>
                <w:rFonts w:hint="eastAsia" w:ascii="宋体" w:hAnsi="宋体" w:eastAsia="宋体" w:cs="宋体"/>
                <w:i w:val="0"/>
                <w:color w:val="000000"/>
                <w:sz w:val="20"/>
                <w:szCs w:val="20"/>
                <w:u w:val="none"/>
              </w:rPr>
            </w:pPr>
            <w:ins w:id="54"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182245"/>
                    <wp:effectExtent l="0" t="0" r="0" b="0"/>
                    <wp:wrapNone/>
                    <wp:docPr id="2" name="AutoShape_94"/>
                    <wp:cNvGraphicFramePr/>
                    <a:graphic xmlns:a="http://schemas.openxmlformats.org/drawingml/2006/main">
                      <a:graphicData uri="http://schemas.openxmlformats.org/drawingml/2006/picture">
                        <pic:pic xmlns:pic="http://schemas.openxmlformats.org/drawingml/2006/picture">
                          <pic:nvPicPr>
                            <pic:cNvPr id="2" name="AutoShape_94"/>
                            <pic:cNvPicPr/>
                          </pic:nvPicPr>
                          <pic:blipFill>
                            <a:blip r:embed="rId15"/>
                            <a:stretch>
                              <a:fillRect/>
                            </a:stretch>
                          </pic:blipFill>
                          <pic:spPr>
                            <a:xfrm>
                              <a:off x="0" y="0"/>
                              <a:ext cx="304800" cy="182245"/>
                            </a:xfrm>
                            <a:prstGeom prst="rect">
                              <a:avLst/>
                            </a:prstGeom>
                            <a:noFill/>
                            <a:ln>
                              <a:noFill/>
                            </a:ln>
                          </pic:spPr>
                        </pic:pic>
                      </a:graphicData>
                    </a:graphic>
                  </wp:anchor>
                </w:drawing>
              </w:r>
            </w:ins>
            <w:ins w:id="56"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182245"/>
                    <wp:effectExtent l="0" t="0" r="0" b="0"/>
                    <wp:wrapNone/>
                    <wp:docPr id="3" name="AutoShape_95"/>
                    <wp:cNvGraphicFramePr/>
                    <a:graphic xmlns:a="http://schemas.openxmlformats.org/drawingml/2006/main">
                      <a:graphicData uri="http://schemas.openxmlformats.org/drawingml/2006/picture">
                        <pic:pic xmlns:pic="http://schemas.openxmlformats.org/drawingml/2006/picture">
                          <pic:nvPicPr>
                            <pic:cNvPr id="3" name="AutoShape_95"/>
                            <pic:cNvPicPr/>
                          </pic:nvPicPr>
                          <pic:blipFill>
                            <a:blip r:embed="rId15"/>
                            <a:stretch>
                              <a:fillRect/>
                            </a:stretch>
                          </pic:blipFill>
                          <pic:spPr>
                            <a:xfrm>
                              <a:off x="0" y="0"/>
                              <a:ext cx="304800" cy="182245"/>
                            </a:xfrm>
                            <a:prstGeom prst="rect">
                              <a:avLst/>
                            </a:prstGeom>
                            <a:noFill/>
                            <a:ln>
                              <a:noFill/>
                            </a:ln>
                          </pic:spPr>
                        </pic:pic>
                      </a:graphicData>
                    </a:graphic>
                  </wp:anchor>
                </w:drawing>
              </w:r>
            </w:ins>
            <w:ins w:id="58"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182245"/>
                    <wp:effectExtent l="0" t="0" r="0" b="0"/>
                    <wp:wrapNone/>
                    <wp:docPr id="4" name="AutoShape_96"/>
                    <wp:cNvGraphicFramePr/>
                    <a:graphic xmlns:a="http://schemas.openxmlformats.org/drawingml/2006/main">
                      <a:graphicData uri="http://schemas.openxmlformats.org/drawingml/2006/picture">
                        <pic:pic xmlns:pic="http://schemas.openxmlformats.org/drawingml/2006/picture">
                          <pic:nvPicPr>
                            <pic:cNvPr id="4" name="AutoShape_96"/>
                            <pic:cNvPicPr/>
                          </pic:nvPicPr>
                          <pic:blipFill>
                            <a:blip r:embed="rId15"/>
                            <a:stretch>
                              <a:fillRect/>
                            </a:stretch>
                          </pic:blipFill>
                          <pic:spPr>
                            <a:xfrm>
                              <a:off x="0" y="0"/>
                              <a:ext cx="304800" cy="182245"/>
                            </a:xfrm>
                            <a:prstGeom prst="rect">
                              <a:avLst/>
                            </a:prstGeom>
                            <a:noFill/>
                            <a:ln>
                              <a:noFill/>
                            </a:ln>
                          </pic:spPr>
                        </pic:pic>
                      </a:graphicData>
                    </a:graphic>
                  </wp:anchor>
                </w:drawing>
              </w:r>
            </w:ins>
            <w:ins w:id="60"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182245"/>
                    <wp:effectExtent l="0" t="0" r="0" b="0"/>
                    <wp:wrapNone/>
                    <wp:docPr id="5" name="AutoShape_96_SpCnt_1"/>
                    <wp:cNvGraphicFramePr/>
                    <a:graphic xmlns:a="http://schemas.openxmlformats.org/drawingml/2006/main">
                      <a:graphicData uri="http://schemas.openxmlformats.org/drawingml/2006/picture">
                        <pic:pic xmlns:pic="http://schemas.openxmlformats.org/drawingml/2006/picture">
                          <pic:nvPicPr>
                            <pic:cNvPr id="5" name="AutoShape_96_SpCnt_1"/>
                            <pic:cNvPicPr/>
                          </pic:nvPicPr>
                          <pic:blipFill>
                            <a:blip r:embed="rId15"/>
                            <a:stretch>
                              <a:fillRect/>
                            </a:stretch>
                          </pic:blipFill>
                          <pic:spPr>
                            <a:xfrm>
                              <a:off x="0" y="0"/>
                              <a:ext cx="304800" cy="182245"/>
                            </a:xfrm>
                            <a:prstGeom prst="rect">
                              <a:avLst/>
                            </a:prstGeom>
                            <a:noFill/>
                            <a:ln>
                              <a:noFill/>
                            </a:ln>
                          </pic:spPr>
                        </pic:pic>
                      </a:graphicData>
                    </a:graphic>
                  </wp:anchor>
                </w:drawing>
              </w:r>
            </w:ins>
            <w:ins w:id="62"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182245"/>
                    <wp:effectExtent l="0" t="0" r="0" b="0"/>
                    <wp:wrapNone/>
                    <wp:docPr id="6" name="AutoShape_94_SpCnt_1"/>
                    <wp:cNvGraphicFramePr/>
                    <a:graphic xmlns:a="http://schemas.openxmlformats.org/drawingml/2006/main">
                      <a:graphicData uri="http://schemas.openxmlformats.org/drawingml/2006/picture">
                        <pic:pic xmlns:pic="http://schemas.openxmlformats.org/drawingml/2006/picture">
                          <pic:nvPicPr>
                            <pic:cNvPr id="6" name="AutoShape_94_SpCnt_1"/>
                            <pic:cNvPicPr/>
                          </pic:nvPicPr>
                          <pic:blipFill>
                            <a:blip r:embed="rId15"/>
                            <a:stretch>
                              <a:fillRect/>
                            </a:stretch>
                          </pic:blipFill>
                          <pic:spPr>
                            <a:xfrm>
                              <a:off x="0" y="0"/>
                              <a:ext cx="304800" cy="182245"/>
                            </a:xfrm>
                            <a:prstGeom prst="rect">
                              <a:avLst/>
                            </a:prstGeom>
                            <a:noFill/>
                            <a:ln>
                              <a:noFill/>
                            </a:ln>
                          </pic:spPr>
                        </pic:pic>
                      </a:graphicData>
                    </a:graphic>
                  </wp:anchor>
                </w:drawing>
              </w:r>
            </w:ins>
            <w:ins w:id="64"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182245"/>
                    <wp:effectExtent l="0" t="0" r="0" b="0"/>
                    <wp:wrapNone/>
                    <wp:docPr id="7" name="AutoShape_95_SpCnt_1"/>
                    <wp:cNvGraphicFramePr/>
                    <a:graphic xmlns:a="http://schemas.openxmlformats.org/drawingml/2006/main">
                      <a:graphicData uri="http://schemas.openxmlformats.org/drawingml/2006/picture">
                        <pic:pic xmlns:pic="http://schemas.openxmlformats.org/drawingml/2006/picture">
                          <pic:nvPicPr>
                            <pic:cNvPr id="7" name="AutoShape_95_SpCnt_1"/>
                            <pic:cNvPicPr/>
                          </pic:nvPicPr>
                          <pic:blipFill>
                            <a:blip r:embed="rId15"/>
                            <a:stretch>
                              <a:fillRect/>
                            </a:stretch>
                          </pic:blipFill>
                          <pic:spPr>
                            <a:xfrm>
                              <a:off x="0" y="0"/>
                              <a:ext cx="304800" cy="182245"/>
                            </a:xfrm>
                            <a:prstGeom prst="rect">
                              <a:avLst/>
                            </a:prstGeom>
                            <a:noFill/>
                            <a:ln>
                              <a:noFill/>
                            </a:ln>
                          </pic:spPr>
                        </pic:pic>
                      </a:graphicData>
                    </a:graphic>
                  </wp:anchor>
                </w:drawing>
              </w:r>
            </w:ins>
          </w:p>
        </w:tc>
      </w:tr>
      <w:tr>
        <w:tblPrEx>
          <w:tblCellMar>
            <w:top w:w="0" w:type="dxa"/>
            <w:left w:w="0" w:type="dxa"/>
            <w:bottom w:w="0" w:type="dxa"/>
            <w:right w:w="0" w:type="dxa"/>
          </w:tblCellMar>
        </w:tblPrEx>
        <w:trPr>
          <w:trHeight w:val="510" w:hRule="atLeast"/>
          <w:ins w:id="66"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67" w:author="fyq1414237484" w:date="2020-05-20T12:03:00Z"/>
                <w:rFonts w:hint="eastAsia" w:ascii="宋体" w:hAnsi="宋体" w:eastAsia="宋体" w:cs="宋体"/>
                <w:i w:val="0"/>
                <w:color w:val="000000"/>
                <w:sz w:val="20"/>
                <w:szCs w:val="20"/>
                <w:u w:val="none"/>
              </w:rPr>
            </w:pPr>
            <w:ins w:id="68" w:author="fyq1414237484" w:date="2020-05-20T12:03:00Z">
              <w:r>
                <w:rPr>
                  <w:rFonts w:hint="eastAsia" w:ascii="宋体" w:hAnsi="宋体" w:eastAsia="宋体" w:cs="宋体"/>
                  <w:i w:val="0"/>
                  <w:color w:val="000000"/>
                  <w:kern w:val="0"/>
                  <w:sz w:val="20"/>
                  <w:szCs w:val="20"/>
                  <w:u w:val="none"/>
                  <w:lang w:val="en-US" w:eastAsia="zh-CN" w:bidi="ar"/>
                </w:rPr>
                <w:t>3</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69" w:author="fyq1414237484" w:date="2020-05-20T12:03:00Z"/>
                <w:rFonts w:hint="eastAsia" w:ascii="宋体" w:hAnsi="宋体" w:eastAsia="宋体" w:cs="宋体"/>
                <w:i w:val="0"/>
                <w:color w:val="000000"/>
                <w:sz w:val="20"/>
                <w:szCs w:val="20"/>
                <w:u w:val="none"/>
              </w:rPr>
            </w:pPr>
            <w:ins w:id="70" w:author="fyq1414237484" w:date="2020-05-20T12:03:00Z">
              <w:r>
                <w:rPr>
                  <w:rFonts w:hint="eastAsia" w:ascii="宋体" w:hAnsi="宋体" w:eastAsia="宋体" w:cs="宋体"/>
                  <w:i w:val="0"/>
                  <w:color w:val="000000"/>
                  <w:kern w:val="0"/>
                  <w:sz w:val="20"/>
                  <w:szCs w:val="20"/>
                  <w:u w:val="none"/>
                  <w:lang w:val="en-US" w:eastAsia="zh-CN" w:bidi="ar"/>
                </w:rPr>
                <w:t>轻钢龙骨</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71" w:author="fyq1414237484" w:date="2020-05-20T12:03:00Z"/>
                <w:rFonts w:hint="eastAsia" w:ascii="宋体" w:hAnsi="宋体" w:eastAsia="宋体" w:cs="宋体"/>
                <w:i w:val="0"/>
                <w:color w:val="000000"/>
                <w:sz w:val="20"/>
                <w:szCs w:val="20"/>
                <w:u w:val="none"/>
              </w:rPr>
            </w:pPr>
            <w:ins w:id="72" w:author="fyq1414237484" w:date="2020-05-20T12:03:00Z">
              <w:r>
                <w:rPr>
                  <w:rFonts w:hint="eastAsia" w:ascii="宋体" w:hAnsi="宋体" w:eastAsia="宋体" w:cs="宋体"/>
                  <w:i w:val="0"/>
                  <w:color w:val="000000"/>
                  <w:kern w:val="0"/>
                  <w:sz w:val="20"/>
                  <w:szCs w:val="20"/>
                  <w:u w:val="none"/>
                  <w:lang w:val="en-US" w:eastAsia="zh-CN" w:bidi="ar"/>
                </w:rPr>
                <w:t>圣戈班杰科、可耐福、拉法基、龙牌或同档次及以上品牌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73"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74" w:author="fyq1414237484" w:date="2020-05-20T12:03:00Z"/>
                <w:rFonts w:hint="eastAsia" w:ascii="宋体" w:hAnsi="宋体" w:eastAsia="宋体" w:cs="宋体"/>
                <w:i w:val="0"/>
                <w:color w:val="000000"/>
                <w:sz w:val="20"/>
                <w:szCs w:val="20"/>
                <w:u w:val="none"/>
              </w:rPr>
            </w:pPr>
            <w:ins w:id="75"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76" w:author="fyq1414237484" w:date="2020-05-20T12:03:00Z"/>
                <w:rFonts w:hint="eastAsia" w:ascii="宋体" w:hAnsi="宋体" w:eastAsia="宋体" w:cs="宋体"/>
                <w:i w:val="0"/>
                <w:color w:val="000000"/>
                <w:sz w:val="20"/>
                <w:szCs w:val="20"/>
                <w:u w:val="none"/>
              </w:rPr>
            </w:pPr>
            <w:ins w:id="77"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182245"/>
                    <wp:effectExtent l="0" t="0" r="0" b="0"/>
                    <wp:wrapNone/>
                    <wp:docPr id="8" name="AutoShape_94_SpCnt_2"/>
                    <wp:cNvGraphicFramePr/>
                    <a:graphic xmlns:a="http://schemas.openxmlformats.org/drawingml/2006/main">
                      <a:graphicData uri="http://schemas.openxmlformats.org/drawingml/2006/picture">
                        <pic:pic xmlns:pic="http://schemas.openxmlformats.org/drawingml/2006/picture">
                          <pic:nvPicPr>
                            <pic:cNvPr id="8" name="AutoShape_94_SpCnt_2"/>
                            <pic:cNvPicPr/>
                          </pic:nvPicPr>
                          <pic:blipFill>
                            <a:blip r:embed="rId15"/>
                            <a:stretch>
                              <a:fillRect/>
                            </a:stretch>
                          </pic:blipFill>
                          <pic:spPr>
                            <a:xfrm>
                              <a:off x="0" y="0"/>
                              <a:ext cx="304800" cy="182245"/>
                            </a:xfrm>
                            <a:prstGeom prst="rect">
                              <a:avLst/>
                            </a:prstGeom>
                            <a:noFill/>
                            <a:ln>
                              <a:noFill/>
                            </a:ln>
                          </pic:spPr>
                        </pic:pic>
                      </a:graphicData>
                    </a:graphic>
                  </wp:anchor>
                </w:drawing>
              </w:r>
            </w:ins>
            <w:ins w:id="79"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182245"/>
                    <wp:effectExtent l="0" t="0" r="0" b="0"/>
                    <wp:wrapNone/>
                    <wp:docPr id="9" name="AutoShape_96_SpCnt_2"/>
                    <wp:cNvGraphicFramePr/>
                    <a:graphic xmlns:a="http://schemas.openxmlformats.org/drawingml/2006/main">
                      <a:graphicData uri="http://schemas.openxmlformats.org/drawingml/2006/picture">
                        <pic:pic xmlns:pic="http://schemas.openxmlformats.org/drawingml/2006/picture">
                          <pic:nvPicPr>
                            <pic:cNvPr id="9" name="AutoShape_96_SpCnt_2"/>
                            <pic:cNvPicPr/>
                          </pic:nvPicPr>
                          <pic:blipFill>
                            <a:blip r:embed="rId15"/>
                            <a:stretch>
                              <a:fillRect/>
                            </a:stretch>
                          </pic:blipFill>
                          <pic:spPr>
                            <a:xfrm>
                              <a:off x="0" y="0"/>
                              <a:ext cx="304800" cy="182245"/>
                            </a:xfrm>
                            <a:prstGeom prst="rect">
                              <a:avLst/>
                            </a:prstGeom>
                            <a:noFill/>
                            <a:ln>
                              <a:noFill/>
                            </a:ln>
                          </pic:spPr>
                        </pic:pic>
                      </a:graphicData>
                    </a:graphic>
                  </wp:anchor>
                </w:drawing>
              </w:r>
            </w:ins>
            <w:ins w:id="81"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 name="AutoShape_96_SpCnt_3"/>
                    <wp:cNvGraphicFramePr/>
                    <a:graphic xmlns:a="http://schemas.openxmlformats.org/drawingml/2006/main">
                      <a:graphicData uri="http://schemas.openxmlformats.org/drawingml/2006/picture">
                        <pic:pic xmlns:pic="http://schemas.openxmlformats.org/drawingml/2006/picture">
                          <pic:nvPicPr>
                            <pic:cNvPr id="10" name="AutoShape_96_SpCnt_3"/>
                            <pic:cNvPicPr/>
                          </pic:nvPicPr>
                          <pic:blipFill>
                            <a:blip r:embed="rId15"/>
                            <a:stretch>
                              <a:fillRect/>
                            </a:stretch>
                          </pic:blipFill>
                          <pic:spPr>
                            <a:xfrm>
                              <a:off x="0" y="0"/>
                              <a:ext cx="304800" cy="182245"/>
                            </a:xfrm>
                            <a:prstGeom prst="rect">
                              <a:avLst/>
                            </a:prstGeom>
                            <a:noFill/>
                            <a:ln>
                              <a:noFill/>
                            </a:ln>
                          </pic:spPr>
                        </pic:pic>
                      </a:graphicData>
                    </a:graphic>
                  </wp:anchor>
                </w:drawing>
              </w:r>
            </w:ins>
            <w:ins w:id="83"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1" name="AutoShape_94_SpCnt_3"/>
                    <wp:cNvGraphicFramePr/>
                    <a:graphic xmlns:a="http://schemas.openxmlformats.org/drawingml/2006/main">
                      <a:graphicData uri="http://schemas.openxmlformats.org/drawingml/2006/picture">
                        <pic:pic xmlns:pic="http://schemas.openxmlformats.org/drawingml/2006/picture">
                          <pic:nvPicPr>
                            <pic:cNvPr id="11" name="AutoShape_94_SpCnt_3"/>
                            <pic:cNvPicPr/>
                          </pic:nvPicPr>
                          <pic:blipFill>
                            <a:blip r:embed="rId15"/>
                            <a:stretch>
                              <a:fillRect/>
                            </a:stretch>
                          </pic:blipFill>
                          <pic:spPr>
                            <a:xfrm>
                              <a:off x="0" y="0"/>
                              <a:ext cx="304800" cy="182245"/>
                            </a:xfrm>
                            <a:prstGeom prst="rect">
                              <a:avLst/>
                            </a:prstGeom>
                            <a:noFill/>
                            <a:ln>
                              <a:noFill/>
                            </a:ln>
                          </pic:spPr>
                        </pic:pic>
                      </a:graphicData>
                    </a:graphic>
                  </wp:anchor>
                </w:drawing>
              </w:r>
            </w:ins>
            <w:ins w:id="85"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182245"/>
                    <wp:effectExtent l="0" t="0" r="0" b="0"/>
                    <wp:wrapNone/>
                    <wp:docPr id="12" name="AutoShape_95_SpCnt_2"/>
                    <wp:cNvGraphicFramePr/>
                    <a:graphic xmlns:a="http://schemas.openxmlformats.org/drawingml/2006/main">
                      <a:graphicData uri="http://schemas.openxmlformats.org/drawingml/2006/picture">
                        <pic:pic xmlns:pic="http://schemas.openxmlformats.org/drawingml/2006/picture">
                          <pic:nvPicPr>
                            <pic:cNvPr id="12" name="AutoShape_95_SpCnt_2"/>
                            <pic:cNvPicPr/>
                          </pic:nvPicPr>
                          <pic:blipFill>
                            <a:blip r:embed="rId15"/>
                            <a:stretch>
                              <a:fillRect/>
                            </a:stretch>
                          </pic:blipFill>
                          <pic:spPr>
                            <a:xfrm>
                              <a:off x="0" y="0"/>
                              <a:ext cx="304800" cy="182245"/>
                            </a:xfrm>
                            <a:prstGeom prst="rect">
                              <a:avLst/>
                            </a:prstGeom>
                            <a:noFill/>
                            <a:ln>
                              <a:noFill/>
                            </a:ln>
                          </pic:spPr>
                        </pic:pic>
                      </a:graphicData>
                    </a:graphic>
                  </wp:anchor>
                </w:drawing>
              </w:r>
            </w:ins>
            <w:ins w:id="87"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182245"/>
                    <wp:effectExtent l="0" t="0" r="0" b="0"/>
                    <wp:wrapNone/>
                    <wp:docPr id="13" name="AutoShape_95_SpCnt_3"/>
                    <wp:cNvGraphicFramePr/>
                    <a:graphic xmlns:a="http://schemas.openxmlformats.org/drawingml/2006/main">
                      <a:graphicData uri="http://schemas.openxmlformats.org/drawingml/2006/picture">
                        <pic:pic xmlns:pic="http://schemas.openxmlformats.org/drawingml/2006/picture">
                          <pic:nvPicPr>
                            <pic:cNvPr id="13" name="AutoShape_95_SpCnt_3"/>
                            <pic:cNvPicPr/>
                          </pic:nvPicPr>
                          <pic:blipFill>
                            <a:blip r:embed="rId15"/>
                            <a:stretch>
                              <a:fillRect/>
                            </a:stretch>
                          </pic:blipFill>
                          <pic:spPr>
                            <a:xfrm>
                              <a:off x="0" y="0"/>
                              <a:ext cx="304800" cy="182245"/>
                            </a:xfrm>
                            <a:prstGeom prst="rect">
                              <a:avLst/>
                            </a:prstGeom>
                            <a:noFill/>
                            <a:ln>
                              <a:noFill/>
                            </a:ln>
                          </pic:spPr>
                        </pic:pic>
                      </a:graphicData>
                    </a:graphic>
                  </wp:anchor>
                </w:drawing>
              </w:r>
            </w:ins>
          </w:p>
        </w:tc>
      </w:tr>
      <w:tr>
        <w:tblPrEx>
          <w:tblCellMar>
            <w:top w:w="0" w:type="dxa"/>
            <w:left w:w="0" w:type="dxa"/>
            <w:bottom w:w="0" w:type="dxa"/>
            <w:right w:w="0" w:type="dxa"/>
          </w:tblCellMar>
        </w:tblPrEx>
        <w:trPr>
          <w:trHeight w:val="510" w:hRule="atLeast"/>
          <w:ins w:id="89"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90" w:author="fyq1414237484" w:date="2020-05-20T12:03:00Z"/>
                <w:rFonts w:hint="eastAsia" w:ascii="宋体" w:hAnsi="宋体" w:eastAsia="宋体" w:cs="宋体"/>
                <w:i w:val="0"/>
                <w:color w:val="000000"/>
                <w:sz w:val="20"/>
                <w:szCs w:val="20"/>
                <w:u w:val="none"/>
              </w:rPr>
            </w:pPr>
            <w:ins w:id="91" w:author="fyq1414237484" w:date="2020-05-20T12:03:00Z">
              <w:r>
                <w:rPr>
                  <w:rFonts w:hint="eastAsia" w:ascii="宋体" w:hAnsi="宋体" w:eastAsia="宋体" w:cs="宋体"/>
                  <w:i w:val="0"/>
                  <w:color w:val="000000"/>
                  <w:kern w:val="0"/>
                  <w:sz w:val="20"/>
                  <w:szCs w:val="20"/>
                  <w:u w:val="none"/>
                  <w:lang w:val="en-US" w:eastAsia="zh-CN" w:bidi="ar"/>
                </w:rPr>
                <w:t>4</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92" w:author="fyq1414237484" w:date="2020-05-20T12:03:00Z"/>
                <w:rFonts w:hint="eastAsia" w:ascii="宋体" w:hAnsi="宋体" w:eastAsia="宋体" w:cs="宋体"/>
                <w:i w:val="0"/>
                <w:color w:val="000000"/>
                <w:sz w:val="20"/>
                <w:szCs w:val="20"/>
                <w:u w:val="none"/>
              </w:rPr>
            </w:pPr>
            <w:ins w:id="93" w:author="fyq1414237484" w:date="2020-05-20T12:03:00Z">
              <w:r>
                <w:rPr>
                  <w:rFonts w:hint="eastAsia" w:ascii="宋体" w:hAnsi="宋体" w:eastAsia="宋体" w:cs="宋体"/>
                  <w:i w:val="0"/>
                  <w:color w:val="000000"/>
                  <w:kern w:val="0"/>
                  <w:sz w:val="20"/>
                  <w:szCs w:val="20"/>
                  <w:u w:val="none"/>
                  <w:lang w:val="en-US" w:eastAsia="zh-CN" w:bidi="ar"/>
                </w:rPr>
                <w:t>抗倍特板</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94" w:author="fyq1414237484" w:date="2020-05-20T12:03:00Z"/>
                <w:rFonts w:hint="eastAsia" w:ascii="宋体" w:hAnsi="宋体" w:eastAsia="宋体" w:cs="宋体"/>
                <w:i w:val="0"/>
                <w:color w:val="000000"/>
                <w:sz w:val="20"/>
                <w:szCs w:val="20"/>
                <w:u w:val="none"/>
              </w:rPr>
            </w:pPr>
            <w:ins w:id="95" w:author="fyq1414237484" w:date="2020-05-20T12:03:00Z">
              <w:r>
                <w:rPr>
                  <w:rFonts w:hint="eastAsia" w:ascii="宋体" w:hAnsi="宋体" w:eastAsia="宋体" w:cs="宋体"/>
                  <w:i w:val="0"/>
                  <w:color w:val="000000"/>
                  <w:kern w:val="0"/>
                  <w:sz w:val="20"/>
                  <w:szCs w:val="20"/>
                  <w:u w:val="none"/>
                  <w:lang w:val="en-US" w:eastAsia="zh-CN" w:bidi="ar"/>
                </w:rPr>
                <w:t>富美家、威盛亚、明骏或同档次及以上品牌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96"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97" w:author="fyq1414237484" w:date="2020-05-20T12:03:00Z"/>
                <w:rFonts w:hint="eastAsia" w:ascii="宋体" w:hAnsi="宋体" w:eastAsia="宋体" w:cs="宋体"/>
                <w:i w:val="0"/>
                <w:color w:val="000000"/>
                <w:sz w:val="20"/>
                <w:szCs w:val="20"/>
                <w:u w:val="none"/>
              </w:rPr>
            </w:pPr>
            <w:ins w:id="98"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99"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00"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01" w:author="fyq1414237484" w:date="2020-05-20T12:03:00Z"/>
                <w:rFonts w:hint="eastAsia" w:ascii="宋体" w:hAnsi="宋体" w:eastAsia="宋体" w:cs="宋体"/>
                <w:i w:val="0"/>
                <w:color w:val="000000"/>
                <w:sz w:val="20"/>
                <w:szCs w:val="20"/>
                <w:u w:val="none"/>
              </w:rPr>
            </w:pPr>
            <w:ins w:id="102" w:author="fyq1414237484" w:date="2020-05-20T12:03:00Z">
              <w:r>
                <w:rPr>
                  <w:rFonts w:hint="eastAsia" w:ascii="宋体" w:hAnsi="宋体" w:eastAsia="宋体" w:cs="宋体"/>
                  <w:i w:val="0"/>
                  <w:color w:val="000000"/>
                  <w:kern w:val="0"/>
                  <w:sz w:val="20"/>
                  <w:szCs w:val="20"/>
                  <w:u w:val="none"/>
                  <w:lang w:val="en-US" w:eastAsia="zh-CN" w:bidi="ar"/>
                </w:rPr>
                <w:t>5</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03" w:author="fyq1414237484" w:date="2020-05-20T12:03:00Z"/>
                <w:rFonts w:hint="eastAsia" w:ascii="宋体" w:hAnsi="宋体" w:eastAsia="宋体" w:cs="宋体"/>
                <w:i w:val="0"/>
                <w:color w:val="000000"/>
                <w:sz w:val="20"/>
                <w:szCs w:val="20"/>
                <w:u w:val="none"/>
              </w:rPr>
            </w:pPr>
            <w:ins w:id="104" w:author="fyq1414237484" w:date="2020-05-20T12:03:00Z">
              <w:r>
                <w:rPr>
                  <w:rFonts w:hint="eastAsia" w:ascii="宋体" w:hAnsi="宋体" w:eastAsia="宋体" w:cs="宋体"/>
                  <w:i w:val="0"/>
                  <w:color w:val="000000"/>
                  <w:kern w:val="0"/>
                  <w:sz w:val="20"/>
                  <w:szCs w:val="20"/>
                  <w:u w:val="none"/>
                  <w:lang w:val="en-US" w:eastAsia="zh-CN" w:bidi="ar"/>
                </w:rPr>
                <w:t>门五金</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05" w:author="fyq1414237484" w:date="2020-05-20T12:03:00Z"/>
                <w:rFonts w:hint="eastAsia" w:ascii="宋体" w:hAnsi="宋体" w:eastAsia="宋体" w:cs="宋体"/>
                <w:i w:val="0"/>
                <w:color w:val="000000"/>
                <w:sz w:val="20"/>
                <w:szCs w:val="20"/>
                <w:u w:val="none"/>
              </w:rPr>
            </w:pPr>
            <w:ins w:id="106" w:author="fyq1414237484" w:date="2020-05-20T12:03:00Z">
              <w:r>
                <w:rPr>
                  <w:rFonts w:hint="eastAsia" w:ascii="宋体" w:hAnsi="宋体" w:eastAsia="宋体" w:cs="宋体"/>
                  <w:i w:val="0"/>
                  <w:color w:val="000000"/>
                  <w:kern w:val="0"/>
                  <w:sz w:val="20"/>
                  <w:szCs w:val="20"/>
                  <w:u w:val="none"/>
                  <w:lang w:val="en-US" w:eastAsia="zh-CN" w:bidi="ar"/>
                </w:rPr>
                <w:t>顶固、GMT、百隆或同档次及以上品牌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07"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08" w:author="fyq1414237484" w:date="2020-05-20T12:03:00Z"/>
                <w:rFonts w:hint="eastAsia" w:ascii="宋体" w:hAnsi="宋体" w:eastAsia="宋体" w:cs="宋体"/>
                <w:i w:val="0"/>
                <w:color w:val="000000"/>
                <w:sz w:val="20"/>
                <w:szCs w:val="20"/>
                <w:u w:val="none"/>
              </w:rPr>
            </w:pPr>
            <w:ins w:id="109"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10"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11"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12" w:author="fyq1414237484" w:date="2020-05-20T12:03:00Z"/>
                <w:rFonts w:hint="eastAsia" w:ascii="宋体" w:hAnsi="宋体" w:eastAsia="宋体" w:cs="宋体"/>
                <w:i w:val="0"/>
                <w:color w:val="000000"/>
                <w:sz w:val="20"/>
                <w:szCs w:val="20"/>
                <w:u w:val="none"/>
              </w:rPr>
            </w:pPr>
            <w:ins w:id="113" w:author="fyq1414237484" w:date="2020-05-20T12:03:00Z">
              <w:r>
                <w:rPr>
                  <w:rFonts w:hint="eastAsia" w:ascii="宋体" w:hAnsi="宋体" w:eastAsia="宋体" w:cs="宋体"/>
                  <w:i w:val="0"/>
                  <w:color w:val="000000"/>
                  <w:kern w:val="0"/>
                  <w:sz w:val="20"/>
                  <w:szCs w:val="20"/>
                  <w:u w:val="none"/>
                  <w:lang w:val="en-US" w:eastAsia="zh-CN" w:bidi="ar"/>
                </w:rPr>
                <w:t>6</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14" w:author="fyq1414237484" w:date="2020-05-20T12:03:00Z"/>
                <w:rFonts w:hint="eastAsia" w:ascii="宋体" w:hAnsi="宋体" w:eastAsia="宋体" w:cs="宋体"/>
                <w:i w:val="0"/>
                <w:color w:val="000000"/>
                <w:sz w:val="20"/>
                <w:szCs w:val="20"/>
                <w:u w:val="none"/>
              </w:rPr>
            </w:pPr>
            <w:ins w:id="115" w:author="fyq1414237484" w:date="2020-05-20T12:03:00Z">
              <w:r>
                <w:rPr>
                  <w:rFonts w:hint="eastAsia" w:ascii="宋体" w:hAnsi="宋体" w:eastAsia="宋体" w:cs="宋体"/>
                  <w:i w:val="0"/>
                  <w:color w:val="000000"/>
                  <w:kern w:val="0"/>
                  <w:sz w:val="20"/>
                  <w:szCs w:val="20"/>
                  <w:u w:val="none"/>
                  <w:lang w:val="en-US" w:eastAsia="zh-CN" w:bidi="ar"/>
                </w:rPr>
                <w:t>门锁</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16" w:author="fyq1414237484" w:date="2020-05-20T12:03:00Z"/>
                <w:rFonts w:hint="eastAsia" w:ascii="宋体" w:hAnsi="宋体" w:eastAsia="宋体" w:cs="宋体"/>
                <w:i w:val="0"/>
                <w:color w:val="000000"/>
                <w:sz w:val="20"/>
                <w:szCs w:val="20"/>
                <w:u w:val="none"/>
              </w:rPr>
            </w:pPr>
            <w:ins w:id="117" w:author="fyq1414237484" w:date="2020-05-20T12:03:00Z">
              <w:r>
                <w:rPr>
                  <w:rFonts w:hint="eastAsia" w:ascii="宋体" w:hAnsi="宋体" w:eastAsia="宋体" w:cs="宋体"/>
                  <w:i w:val="0"/>
                  <w:color w:val="000000"/>
                  <w:kern w:val="0"/>
                  <w:sz w:val="20"/>
                  <w:szCs w:val="20"/>
                  <w:u w:val="none"/>
                  <w:lang w:val="en-US" w:eastAsia="zh-CN" w:bidi="ar"/>
                </w:rPr>
                <w:t>顶固、GMT、百隆或同档次及以上品牌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18" w:author="fyq1414237484" w:date="2020-05-20T12:03:00Z"/>
                <w:rFonts w:hint="eastAsia" w:ascii="宋体" w:hAnsi="宋体" w:eastAsia="宋体" w:cs="宋体"/>
                <w:i w:val="0"/>
                <w:color w:val="000000"/>
                <w:sz w:val="20"/>
                <w:szCs w:val="20"/>
                <w:u w:val="none"/>
              </w:rPr>
            </w:pPr>
            <w:ins w:id="119" w:author="fyq1414237484" w:date="2020-05-20T12:03:00Z">
              <w:r>
                <w:rPr>
                  <w:rFonts w:hint="eastAsia" w:ascii="宋体" w:hAnsi="宋体" w:eastAsia="宋体" w:cs="宋体"/>
                  <w:i w:val="0"/>
                  <w:color w:val="000000"/>
                  <w:kern w:val="0"/>
                  <w:sz w:val="20"/>
                  <w:szCs w:val="20"/>
                  <w:u w:val="none"/>
                  <w:lang w:val="en-US" w:eastAsia="zh-CN" w:bidi="ar"/>
                </w:rPr>
                <w:t>顶固XW331302、盈亚SH5009、雅丽丝GT5537</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20" w:author="fyq1414237484" w:date="2020-05-20T12:03:00Z"/>
                <w:rFonts w:hint="eastAsia" w:ascii="宋体" w:hAnsi="宋体" w:eastAsia="宋体" w:cs="宋体"/>
                <w:i w:val="0"/>
                <w:color w:val="000000"/>
                <w:sz w:val="20"/>
                <w:szCs w:val="20"/>
                <w:u w:val="none"/>
              </w:rPr>
            </w:pPr>
            <w:ins w:id="121"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22"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23"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24" w:author="fyq1414237484" w:date="2020-05-20T12:03:00Z"/>
                <w:rFonts w:hint="eastAsia" w:ascii="宋体" w:hAnsi="宋体" w:eastAsia="宋体" w:cs="宋体"/>
                <w:i w:val="0"/>
                <w:color w:val="000000"/>
                <w:sz w:val="20"/>
                <w:szCs w:val="20"/>
                <w:u w:val="none"/>
              </w:rPr>
            </w:pPr>
            <w:ins w:id="125" w:author="fyq1414237484" w:date="2020-05-20T12:03:00Z">
              <w:r>
                <w:rPr>
                  <w:rFonts w:hint="eastAsia" w:ascii="宋体" w:hAnsi="宋体" w:eastAsia="宋体" w:cs="宋体"/>
                  <w:i w:val="0"/>
                  <w:color w:val="000000"/>
                  <w:kern w:val="0"/>
                  <w:sz w:val="20"/>
                  <w:szCs w:val="20"/>
                  <w:u w:val="none"/>
                  <w:lang w:val="en-US" w:eastAsia="zh-CN" w:bidi="ar"/>
                </w:rPr>
                <w:t>7</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26" w:author="fyq1414237484" w:date="2020-05-20T12:03:00Z"/>
                <w:rFonts w:hint="eastAsia" w:ascii="宋体" w:hAnsi="宋体" w:eastAsia="宋体" w:cs="宋体"/>
                <w:i w:val="0"/>
                <w:color w:val="000000"/>
                <w:sz w:val="20"/>
                <w:szCs w:val="20"/>
                <w:u w:val="none"/>
              </w:rPr>
            </w:pPr>
            <w:ins w:id="127" w:author="fyq1414237484" w:date="2020-05-20T12:03:00Z">
              <w:r>
                <w:rPr>
                  <w:rFonts w:hint="eastAsia" w:ascii="宋体" w:hAnsi="宋体" w:eastAsia="宋体" w:cs="宋体"/>
                  <w:i w:val="0"/>
                  <w:color w:val="000000"/>
                  <w:kern w:val="0"/>
                  <w:sz w:val="20"/>
                  <w:szCs w:val="20"/>
                  <w:u w:val="none"/>
                  <w:lang w:val="en-US" w:eastAsia="zh-CN" w:bidi="ar"/>
                </w:rPr>
                <w:t>地胶板</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28" w:author="fyq1414237484" w:date="2020-05-20T12:03:00Z"/>
                <w:rFonts w:hint="eastAsia" w:ascii="宋体" w:hAnsi="宋体" w:eastAsia="宋体" w:cs="宋体"/>
                <w:i w:val="0"/>
                <w:color w:val="000000"/>
                <w:sz w:val="20"/>
                <w:szCs w:val="20"/>
                <w:u w:val="none"/>
              </w:rPr>
            </w:pPr>
            <w:ins w:id="129" w:author="fyq1414237484" w:date="2020-05-20T12:03:00Z">
              <w:r>
                <w:rPr>
                  <w:rFonts w:hint="eastAsia" w:ascii="宋体" w:hAnsi="宋体" w:eastAsia="宋体" w:cs="宋体"/>
                  <w:i w:val="0"/>
                  <w:color w:val="000000"/>
                  <w:kern w:val="0"/>
                  <w:sz w:val="20"/>
                  <w:szCs w:val="20"/>
                  <w:u w:val="none"/>
                  <w:lang w:val="en-US" w:eastAsia="zh-CN" w:bidi="ar"/>
                </w:rPr>
                <w:t>洁福、保丽、欧晨或同档次及以上品牌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30"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31" w:author="fyq1414237484" w:date="2020-05-20T12:03:00Z"/>
                <w:rFonts w:hint="eastAsia" w:ascii="宋体" w:hAnsi="宋体" w:eastAsia="宋体" w:cs="宋体"/>
                <w:i w:val="0"/>
                <w:color w:val="000000"/>
                <w:sz w:val="20"/>
                <w:szCs w:val="20"/>
                <w:u w:val="none"/>
              </w:rPr>
            </w:pPr>
            <w:ins w:id="132"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33"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34"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35" w:author="fyq1414237484" w:date="2020-05-20T12:03:00Z"/>
                <w:rFonts w:hint="eastAsia" w:ascii="宋体" w:hAnsi="宋体" w:eastAsia="宋体" w:cs="宋体"/>
                <w:i w:val="0"/>
                <w:color w:val="000000"/>
                <w:sz w:val="20"/>
                <w:szCs w:val="20"/>
                <w:u w:val="none"/>
              </w:rPr>
            </w:pPr>
            <w:ins w:id="136" w:author="fyq1414237484" w:date="2020-05-20T12:03:00Z">
              <w:r>
                <w:rPr>
                  <w:rFonts w:hint="eastAsia" w:ascii="宋体" w:hAnsi="宋体" w:eastAsia="宋体" w:cs="宋体"/>
                  <w:i w:val="0"/>
                  <w:color w:val="000000"/>
                  <w:kern w:val="0"/>
                  <w:sz w:val="20"/>
                  <w:szCs w:val="20"/>
                  <w:u w:val="none"/>
                  <w:lang w:val="en-US" w:eastAsia="zh-CN" w:bidi="ar"/>
                </w:rPr>
                <w:t>8</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37" w:author="fyq1414237484" w:date="2020-05-20T12:03:00Z"/>
                <w:rFonts w:hint="eastAsia" w:ascii="宋体" w:hAnsi="宋体" w:eastAsia="宋体" w:cs="宋体"/>
                <w:i w:val="0"/>
                <w:color w:val="000000"/>
                <w:sz w:val="20"/>
                <w:szCs w:val="20"/>
                <w:u w:val="none"/>
              </w:rPr>
            </w:pPr>
            <w:ins w:id="138" w:author="fyq1414237484" w:date="2020-05-20T12:03:00Z">
              <w:r>
                <w:rPr>
                  <w:rFonts w:hint="eastAsia" w:ascii="宋体" w:hAnsi="宋体" w:eastAsia="宋体" w:cs="宋体"/>
                  <w:i w:val="0"/>
                  <w:color w:val="000000"/>
                  <w:kern w:val="0"/>
                  <w:sz w:val="20"/>
                  <w:szCs w:val="20"/>
                  <w:u w:val="none"/>
                  <w:lang w:val="en-US" w:eastAsia="zh-CN" w:bidi="ar"/>
                </w:rPr>
                <w:t>窗帘</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39" w:author="fyq1414237484" w:date="2020-05-20T12:03:00Z"/>
                <w:rFonts w:hint="eastAsia" w:ascii="宋体" w:hAnsi="宋体" w:eastAsia="宋体" w:cs="宋体"/>
                <w:i w:val="0"/>
                <w:color w:val="000000"/>
                <w:sz w:val="20"/>
                <w:szCs w:val="20"/>
                <w:u w:val="none"/>
              </w:rPr>
            </w:pPr>
            <w:ins w:id="140" w:author="fyq1414237484" w:date="2020-05-20T12:03:00Z">
              <w:r>
                <w:rPr>
                  <w:rFonts w:hint="eastAsia" w:ascii="宋体" w:hAnsi="宋体" w:eastAsia="宋体" w:cs="宋体"/>
                  <w:i w:val="0"/>
                  <w:color w:val="000000"/>
                  <w:kern w:val="0"/>
                  <w:sz w:val="20"/>
                  <w:szCs w:val="20"/>
                  <w:u w:val="none"/>
                  <w:lang w:val="en-US" w:eastAsia="zh-CN" w:bidi="ar"/>
                </w:rPr>
                <w:t>博开、创明、格宁斯、卡迪可或同档次及以上品牌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41"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42" w:author="fyq1414237484" w:date="2020-05-20T12:03:00Z"/>
                <w:rFonts w:hint="eastAsia" w:ascii="宋体" w:hAnsi="宋体" w:eastAsia="宋体" w:cs="宋体"/>
                <w:i w:val="0"/>
                <w:color w:val="000000"/>
                <w:sz w:val="20"/>
                <w:szCs w:val="20"/>
                <w:u w:val="none"/>
              </w:rPr>
            </w:pPr>
            <w:ins w:id="143"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44"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45"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46" w:author="fyq1414237484" w:date="2020-05-20T12:03:00Z"/>
                <w:rFonts w:hint="eastAsia" w:ascii="宋体" w:hAnsi="宋体" w:eastAsia="宋体" w:cs="宋体"/>
                <w:i w:val="0"/>
                <w:color w:val="000000"/>
                <w:sz w:val="20"/>
                <w:szCs w:val="20"/>
                <w:u w:val="none"/>
              </w:rPr>
            </w:pPr>
            <w:ins w:id="147" w:author="fyq1414237484" w:date="2020-05-20T12:03:00Z">
              <w:r>
                <w:rPr>
                  <w:rFonts w:hint="eastAsia" w:ascii="宋体" w:hAnsi="宋体" w:eastAsia="宋体" w:cs="宋体"/>
                  <w:i w:val="0"/>
                  <w:color w:val="000000"/>
                  <w:kern w:val="0"/>
                  <w:sz w:val="20"/>
                  <w:szCs w:val="20"/>
                  <w:u w:val="none"/>
                  <w:lang w:val="en-US" w:eastAsia="zh-CN" w:bidi="ar"/>
                </w:rPr>
                <w:t>9</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48" w:author="fyq1414237484" w:date="2020-05-20T12:03:00Z"/>
                <w:rFonts w:hint="eastAsia" w:ascii="宋体" w:hAnsi="宋体" w:eastAsia="宋体" w:cs="宋体"/>
                <w:i w:val="0"/>
                <w:color w:val="000000"/>
                <w:sz w:val="20"/>
                <w:szCs w:val="20"/>
                <w:u w:val="none"/>
              </w:rPr>
            </w:pPr>
            <w:ins w:id="149" w:author="fyq1414237484" w:date="2020-05-20T12:03:00Z">
              <w:r>
                <w:rPr>
                  <w:rFonts w:hint="eastAsia" w:ascii="宋体" w:hAnsi="宋体" w:eastAsia="宋体" w:cs="宋体"/>
                  <w:i w:val="0"/>
                  <w:color w:val="000000"/>
                  <w:kern w:val="0"/>
                  <w:sz w:val="20"/>
                  <w:szCs w:val="20"/>
                  <w:u w:val="none"/>
                  <w:lang w:val="en-US" w:eastAsia="zh-CN" w:bidi="ar"/>
                </w:rPr>
                <w:t>乳胶漆、防水乳胶漆、油漆、金属漆、地坪漆</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50" w:author="fyq1414237484" w:date="2020-05-20T12:03:00Z"/>
                <w:rFonts w:hint="eastAsia" w:ascii="宋体" w:hAnsi="宋体" w:eastAsia="宋体" w:cs="宋体"/>
                <w:i w:val="0"/>
                <w:color w:val="000000"/>
                <w:sz w:val="20"/>
                <w:szCs w:val="20"/>
                <w:u w:val="none"/>
              </w:rPr>
            </w:pPr>
            <w:ins w:id="151" w:author="fyq1414237484" w:date="2020-05-20T12:03:00Z">
              <w:r>
                <w:rPr>
                  <w:rFonts w:hint="eastAsia" w:ascii="宋体" w:hAnsi="宋体" w:eastAsia="宋体" w:cs="宋体"/>
                  <w:i w:val="0"/>
                  <w:color w:val="000000"/>
                  <w:kern w:val="0"/>
                  <w:sz w:val="20"/>
                  <w:szCs w:val="20"/>
                  <w:u w:val="none"/>
                  <w:lang w:val="en-US" w:eastAsia="zh-CN" w:bidi="ar"/>
                </w:rPr>
                <w:t>多乐士、圣丹、立邦或同档次及以上品牌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52"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53" w:author="fyq1414237484" w:date="2020-05-20T12:03:00Z"/>
                <w:rFonts w:hint="eastAsia" w:ascii="宋体" w:hAnsi="宋体" w:eastAsia="宋体" w:cs="宋体"/>
                <w:i w:val="0"/>
                <w:color w:val="000000"/>
                <w:sz w:val="20"/>
                <w:szCs w:val="20"/>
                <w:u w:val="none"/>
              </w:rPr>
            </w:pPr>
            <w:ins w:id="154"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55" w:author="fyq1414237484" w:date="2020-05-20T12:03:00Z"/>
                <w:rFonts w:hint="eastAsia" w:ascii="宋体" w:hAnsi="宋体" w:eastAsia="宋体" w:cs="宋体"/>
                <w:i w:val="0"/>
                <w:color w:val="000000"/>
                <w:sz w:val="20"/>
                <w:szCs w:val="20"/>
                <w:u w:val="none"/>
              </w:rPr>
            </w:pPr>
            <w:ins w:id="156"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179705"/>
                    <wp:effectExtent l="0" t="0" r="0" b="0"/>
                    <wp:wrapNone/>
                    <wp:docPr id="14" name="AutoShape_96_SpCnt_4"/>
                    <wp:cNvGraphicFramePr/>
                    <a:graphic xmlns:a="http://schemas.openxmlformats.org/drawingml/2006/main">
                      <a:graphicData uri="http://schemas.openxmlformats.org/drawingml/2006/picture">
                        <pic:pic xmlns:pic="http://schemas.openxmlformats.org/drawingml/2006/picture">
                          <pic:nvPicPr>
                            <pic:cNvPr id="14" name="AutoShape_96_SpCnt_4"/>
                            <pic:cNvPicPr/>
                          </pic:nvPicPr>
                          <pic:blipFill>
                            <a:blip r:embed="rId16"/>
                            <a:stretch>
                              <a:fillRect/>
                            </a:stretch>
                          </pic:blipFill>
                          <pic:spPr>
                            <a:xfrm>
                              <a:off x="0" y="0"/>
                              <a:ext cx="304800" cy="179705"/>
                            </a:xfrm>
                            <a:prstGeom prst="rect">
                              <a:avLst/>
                            </a:prstGeom>
                            <a:noFill/>
                            <a:ln>
                              <a:noFill/>
                            </a:ln>
                          </pic:spPr>
                        </pic:pic>
                      </a:graphicData>
                    </a:graphic>
                  </wp:anchor>
                </w:drawing>
              </w:r>
            </w:ins>
            <w:ins w:id="158"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04800" cy="179705"/>
                    <wp:effectExtent l="0" t="0" r="0" b="0"/>
                    <wp:wrapNone/>
                    <wp:docPr id="15" name="AutoShape_95_SpCnt_4"/>
                    <wp:cNvGraphicFramePr/>
                    <a:graphic xmlns:a="http://schemas.openxmlformats.org/drawingml/2006/main">
                      <a:graphicData uri="http://schemas.openxmlformats.org/drawingml/2006/picture">
                        <pic:pic xmlns:pic="http://schemas.openxmlformats.org/drawingml/2006/picture">
                          <pic:nvPicPr>
                            <pic:cNvPr id="15" name="AutoShape_95_SpCnt_4"/>
                            <pic:cNvPicPr/>
                          </pic:nvPicPr>
                          <pic:blipFill>
                            <a:blip r:embed="rId16"/>
                            <a:stretch>
                              <a:fillRect/>
                            </a:stretch>
                          </pic:blipFill>
                          <pic:spPr>
                            <a:xfrm>
                              <a:off x="0" y="0"/>
                              <a:ext cx="304800" cy="179705"/>
                            </a:xfrm>
                            <a:prstGeom prst="rect">
                              <a:avLst/>
                            </a:prstGeom>
                            <a:noFill/>
                            <a:ln>
                              <a:noFill/>
                            </a:ln>
                          </pic:spPr>
                        </pic:pic>
                      </a:graphicData>
                    </a:graphic>
                  </wp:anchor>
                </w:drawing>
              </w:r>
            </w:ins>
            <w:ins w:id="160"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04800" cy="179705"/>
                    <wp:effectExtent l="0" t="0" r="0" b="0"/>
                    <wp:wrapNone/>
                    <wp:docPr id="16" name="AutoShape_94_SpCnt_4"/>
                    <wp:cNvGraphicFramePr/>
                    <a:graphic xmlns:a="http://schemas.openxmlformats.org/drawingml/2006/main">
                      <a:graphicData uri="http://schemas.openxmlformats.org/drawingml/2006/picture">
                        <pic:pic xmlns:pic="http://schemas.openxmlformats.org/drawingml/2006/picture">
                          <pic:nvPicPr>
                            <pic:cNvPr id="16" name="AutoShape_94_SpCnt_4"/>
                            <pic:cNvPicPr/>
                          </pic:nvPicPr>
                          <pic:blipFill>
                            <a:blip r:embed="rId16"/>
                            <a:stretch>
                              <a:fillRect/>
                            </a:stretch>
                          </pic:blipFill>
                          <pic:spPr>
                            <a:xfrm>
                              <a:off x="0" y="0"/>
                              <a:ext cx="304800" cy="179705"/>
                            </a:xfrm>
                            <a:prstGeom prst="rect">
                              <a:avLst/>
                            </a:prstGeom>
                            <a:noFill/>
                            <a:ln>
                              <a:noFill/>
                            </a:ln>
                          </pic:spPr>
                        </pic:pic>
                      </a:graphicData>
                    </a:graphic>
                  </wp:anchor>
                </w:drawing>
              </w:r>
            </w:ins>
          </w:p>
        </w:tc>
      </w:tr>
      <w:tr>
        <w:tblPrEx>
          <w:tblCellMar>
            <w:top w:w="0" w:type="dxa"/>
            <w:left w:w="0" w:type="dxa"/>
            <w:bottom w:w="0" w:type="dxa"/>
            <w:right w:w="0" w:type="dxa"/>
          </w:tblCellMar>
        </w:tblPrEx>
        <w:trPr>
          <w:trHeight w:val="510" w:hRule="atLeast"/>
          <w:ins w:id="162"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63" w:author="fyq1414237484" w:date="2020-05-20T12:03:00Z"/>
                <w:rFonts w:hint="eastAsia" w:ascii="宋体" w:hAnsi="宋体" w:eastAsia="宋体" w:cs="宋体"/>
                <w:i w:val="0"/>
                <w:color w:val="000000"/>
                <w:sz w:val="20"/>
                <w:szCs w:val="20"/>
                <w:u w:val="none"/>
              </w:rPr>
            </w:pPr>
            <w:ins w:id="164" w:author="fyq1414237484" w:date="2020-05-20T12:03:00Z">
              <w:r>
                <w:rPr>
                  <w:rFonts w:hint="eastAsia" w:ascii="宋体" w:hAnsi="宋体" w:eastAsia="宋体" w:cs="宋体"/>
                  <w:i w:val="0"/>
                  <w:color w:val="000000"/>
                  <w:kern w:val="0"/>
                  <w:sz w:val="20"/>
                  <w:szCs w:val="20"/>
                  <w:u w:val="none"/>
                  <w:lang w:val="en-US" w:eastAsia="zh-CN" w:bidi="ar"/>
                </w:rPr>
                <w:t>10</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65" w:author="fyq1414237484" w:date="2020-05-20T12:03:00Z"/>
                <w:rFonts w:hint="eastAsia" w:ascii="宋体" w:hAnsi="宋体" w:eastAsia="宋体" w:cs="宋体"/>
                <w:i w:val="0"/>
                <w:color w:val="000000"/>
                <w:sz w:val="20"/>
                <w:szCs w:val="20"/>
                <w:u w:val="none"/>
              </w:rPr>
            </w:pPr>
            <w:ins w:id="166" w:author="fyq1414237484" w:date="2020-05-20T12:03:00Z">
              <w:r>
                <w:rPr>
                  <w:rFonts w:hint="eastAsia" w:ascii="宋体" w:hAnsi="宋体" w:eastAsia="宋体" w:cs="宋体"/>
                  <w:i w:val="0"/>
                  <w:color w:val="000000"/>
                  <w:kern w:val="0"/>
                  <w:sz w:val="20"/>
                  <w:szCs w:val="20"/>
                  <w:u w:val="none"/>
                  <w:lang w:val="en-US" w:eastAsia="zh-CN" w:bidi="ar"/>
                </w:rPr>
                <w:t>阻燃胶合板</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67" w:author="fyq1414237484" w:date="2020-05-20T12:03:00Z"/>
                <w:rFonts w:hint="eastAsia" w:ascii="宋体" w:hAnsi="宋体" w:eastAsia="宋体" w:cs="宋体"/>
                <w:i w:val="0"/>
                <w:color w:val="000000"/>
                <w:sz w:val="20"/>
                <w:szCs w:val="20"/>
                <w:u w:val="none"/>
              </w:rPr>
            </w:pPr>
            <w:ins w:id="168" w:author="fyq1414237484" w:date="2020-05-20T12:03:00Z">
              <w:r>
                <w:rPr>
                  <w:rFonts w:hint="eastAsia" w:ascii="宋体" w:hAnsi="宋体" w:eastAsia="宋体" w:cs="宋体"/>
                  <w:i w:val="0"/>
                  <w:color w:val="000000"/>
                  <w:kern w:val="0"/>
                  <w:sz w:val="20"/>
                  <w:szCs w:val="20"/>
                  <w:u w:val="none"/>
                  <w:lang w:val="en-US" w:eastAsia="zh-CN" w:bidi="ar"/>
                </w:rPr>
                <w:t>千年舟、兔宝宝、莫干山或同档次及以上品牌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69"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70" w:author="fyq1414237484" w:date="2020-05-20T12:03:00Z"/>
                <w:rFonts w:hint="eastAsia" w:ascii="宋体" w:hAnsi="宋体" w:eastAsia="宋体" w:cs="宋体"/>
                <w:i w:val="0"/>
                <w:color w:val="000000"/>
                <w:sz w:val="20"/>
                <w:szCs w:val="20"/>
                <w:u w:val="none"/>
              </w:rPr>
            </w:pPr>
            <w:ins w:id="171"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72"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73"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74" w:author="fyq1414237484" w:date="2020-05-20T12:03:00Z"/>
                <w:rFonts w:hint="eastAsia" w:ascii="宋体" w:hAnsi="宋体" w:eastAsia="宋体" w:cs="宋体"/>
                <w:i w:val="0"/>
                <w:color w:val="000000"/>
                <w:sz w:val="20"/>
                <w:szCs w:val="20"/>
                <w:u w:val="none"/>
              </w:rPr>
            </w:pPr>
            <w:ins w:id="175" w:author="fyq1414237484" w:date="2020-05-20T12:03:00Z">
              <w:r>
                <w:rPr>
                  <w:rFonts w:hint="eastAsia" w:ascii="宋体" w:hAnsi="宋体" w:eastAsia="宋体" w:cs="宋体"/>
                  <w:i w:val="0"/>
                  <w:color w:val="000000"/>
                  <w:kern w:val="0"/>
                  <w:sz w:val="20"/>
                  <w:szCs w:val="20"/>
                  <w:u w:val="none"/>
                  <w:lang w:val="en-US" w:eastAsia="zh-CN" w:bidi="ar"/>
                </w:rPr>
                <w:t>11</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76" w:author="fyq1414237484" w:date="2020-05-20T12:03:00Z"/>
                <w:rFonts w:hint="eastAsia" w:ascii="宋体" w:hAnsi="宋体" w:eastAsia="宋体" w:cs="宋体"/>
                <w:i w:val="0"/>
                <w:color w:val="000000"/>
                <w:sz w:val="20"/>
                <w:szCs w:val="20"/>
                <w:u w:val="none"/>
              </w:rPr>
            </w:pPr>
            <w:ins w:id="177" w:author="fyq1414237484" w:date="2020-05-20T12:03:00Z">
              <w:r>
                <w:rPr>
                  <w:rFonts w:hint="eastAsia" w:ascii="宋体" w:hAnsi="宋体" w:eastAsia="宋体" w:cs="宋体"/>
                  <w:i w:val="0"/>
                  <w:color w:val="000000"/>
                  <w:kern w:val="0"/>
                  <w:sz w:val="20"/>
                  <w:szCs w:val="20"/>
                  <w:u w:val="none"/>
                  <w:lang w:val="en-US" w:eastAsia="zh-CN" w:bidi="ar"/>
                </w:rPr>
                <w:t>饰面板、木工板</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78" w:author="fyq1414237484" w:date="2020-05-20T12:03:00Z"/>
                <w:rFonts w:hint="eastAsia" w:ascii="宋体" w:hAnsi="宋体" w:eastAsia="宋体" w:cs="宋体"/>
                <w:i w:val="0"/>
                <w:color w:val="000000"/>
                <w:sz w:val="20"/>
                <w:szCs w:val="20"/>
                <w:u w:val="none"/>
              </w:rPr>
            </w:pPr>
            <w:ins w:id="179" w:author="fyq1414237484" w:date="2020-05-20T12:03:00Z">
              <w:r>
                <w:rPr>
                  <w:rFonts w:hint="eastAsia" w:ascii="宋体" w:hAnsi="宋体" w:eastAsia="宋体" w:cs="宋体"/>
                  <w:i w:val="0"/>
                  <w:color w:val="000000"/>
                  <w:kern w:val="0"/>
                  <w:sz w:val="20"/>
                  <w:szCs w:val="20"/>
                  <w:u w:val="none"/>
                  <w:lang w:val="en-US" w:eastAsia="zh-CN" w:bidi="ar"/>
                </w:rPr>
                <w:t>千年舟、兔宝宝、莫干山或同档次及以上品牌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80"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81" w:author="fyq1414237484" w:date="2020-05-20T12:03:00Z"/>
                <w:rFonts w:hint="eastAsia" w:ascii="宋体" w:hAnsi="宋体" w:eastAsia="宋体" w:cs="宋体"/>
                <w:i w:val="0"/>
                <w:color w:val="000000"/>
                <w:sz w:val="20"/>
                <w:szCs w:val="20"/>
                <w:u w:val="none"/>
              </w:rPr>
            </w:pPr>
            <w:ins w:id="182"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83"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84"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85" w:author="fyq1414237484" w:date="2020-05-20T12:03:00Z"/>
                <w:rFonts w:hint="eastAsia" w:ascii="宋体" w:hAnsi="宋体" w:eastAsia="宋体" w:cs="宋体"/>
                <w:i w:val="0"/>
                <w:color w:val="000000"/>
                <w:sz w:val="20"/>
                <w:szCs w:val="20"/>
                <w:u w:val="none"/>
              </w:rPr>
            </w:pPr>
            <w:ins w:id="186" w:author="fyq1414237484" w:date="2020-05-20T12:03:00Z">
              <w:r>
                <w:rPr>
                  <w:rFonts w:hint="eastAsia" w:ascii="宋体" w:hAnsi="宋体" w:eastAsia="宋体" w:cs="宋体"/>
                  <w:i w:val="0"/>
                  <w:color w:val="000000"/>
                  <w:kern w:val="0"/>
                  <w:sz w:val="20"/>
                  <w:szCs w:val="20"/>
                  <w:u w:val="none"/>
                  <w:lang w:val="en-US" w:eastAsia="zh-CN" w:bidi="ar"/>
                </w:rPr>
                <w:t>12</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87" w:author="fyq1414237484" w:date="2020-05-20T12:03:00Z"/>
                <w:rFonts w:hint="eastAsia" w:ascii="宋体" w:hAnsi="宋体" w:eastAsia="宋体" w:cs="宋体"/>
                <w:i w:val="0"/>
                <w:color w:val="000000"/>
                <w:sz w:val="20"/>
                <w:szCs w:val="20"/>
                <w:u w:val="none"/>
              </w:rPr>
            </w:pPr>
            <w:ins w:id="188" w:author="fyq1414237484" w:date="2020-05-20T12:03:00Z">
              <w:r>
                <w:rPr>
                  <w:rFonts w:hint="eastAsia" w:ascii="宋体" w:hAnsi="宋体" w:eastAsia="宋体" w:cs="宋体"/>
                  <w:i w:val="0"/>
                  <w:color w:val="000000"/>
                  <w:kern w:val="0"/>
                  <w:sz w:val="20"/>
                  <w:szCs w:val="20"/>
                  <w:u w:val="none"/>
                  <w:lang w:val="en-US" w:eastAsia="zh-CN" w:bidi="ar"/>
                </w:rPr>
                <w:t>镜面玻璃(玻璃）</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89" w:author="fyq1414237484" w:date="2020-05-20T12:03:00Z"/>
                <w:rFonts w:hint="eastAsia" w:ascii="宋体" w:hAnsi="宋体" w:eastAsia="宋体" w:cs="宋体"/>
                <w:i w:val="0"/>
                <w:color w:val="000000"/>
                <w:sz w:val="20"/>
                <w:szCs w:val="20"/>
                <w:u w:val="none"/>
              </w:rPr>
            </w:pPr>
            <w:ins w:id="190" w:author="fyq1414237484" w:date="2020-05-20T12:03:00Z">
              <w:r>
                <w:rPr>
                  <w:rFonts w:hint="eastAsia" w:ascii="宋体" w:hAnsi="宋体" w:eastAsia="宋体" w:cs="宋体"/>
                  <w:i w:val="0"/>
                  <w:color w:val="000000"/>
                  <w:kern w:val="0"/>
                  <w:sz w:val="20"/>
                  <w:szCs w:val="20"/>
                  <w:u w:val="none"/>
                  <w:lang w:val="en-US" w:eastAsia="zh-CN" w:bidi="ar"/>
                </w:rPr>
                <w:t>上海耀皮、深圳南玻、深圳信义或同档次及以上品牌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91"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92" w:author="fyq1414237484" w:date="2020-05-20T12:03:00Z"/>
                <w:rFonts w:hint="eastAsia" w:ascii="宋体" w:hAnsi="宋体" w:eastAsia="宋体" w:cs="宋体"/>
                <w:i w:val="0"/>
                <w:color w:val="000000"/>
                <w:sz w:val="20"/>
                <w:szCs w:val="20"/>
                <w:u w:val="none"/>
              </w:rPr>
            </w:pPr>
            <w:ins w:id="193"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194"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195"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96" w:author="fyq1414237484" w:date="2020-05-20T12:03:00Z"/>
                <w:rFonts w:hint="eastAsia" w:ascii="宋体" w:hAnsi="宋体" w:eastAsia="宋体" w:cs="宋体"/>
                <w:i w:val="0"/>
                <w:color w:val="000000"/>
                <w:sz w:val="20"/>
                <w:szCs w:val="20"/>
                <w:u w:val="none"/>
              </w:rPr>
            </w:pPr>
            <w:ins w:id="197" w:author="fyq1414237484" w:date="2020-05-20T12:03:00Z">
              <w:r>
                <w:rPr>
                  <w:rFonts w:hint="eastAsia" w:ascii="宋体" w:hAnsi="宋体" w:eastAsia="宋体" w:cs="宋体"/>
                  <w:i w:val="0"/>
                  <w:color w:val="000000"/>
                  <w:kern w:val="0"/>
                  <w:sz w:val="20"/>
                  <w:szCs w:val="20"/>
                  <w:u w:val="none"/>
                  <w:lang w:val="en-US" w:eastAsia="zh-CN" w:bidi="ar"/>
                </w:rPr>
                <w:t>13</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98" w:author="fyq1414237484" w:date="2020-05-20T12:03:00Z"/>
                <w:rFonts w:hint="eastAsia" w:ascii="宋体" w:hAnsi="宋体" w:eastAsia="宋体" w:cs="宋体"/>
                <w:i w:val="0"/>
                <w:color w:val="000000"/>
                <w:sz w:val="20"/>
                <w:szCs w:val="20"/>
                <w:u w:val="none"/>
              </w:rPr>
            </w:pPr>
            <w:ins w:id="199" w:author="fyq1414237484" w:date="2020-05-20T12:03:00Z">
              <w:r>
                <w:rPr>
                  <w:rFonts w:hint="eastAsia" w:ascii="宋体" w:hAnsi="宋体" w:eastAsia="宋体" w:cs="宋体"/>
                  <w:i w:val="0"/>
                  <w:color w:val="000000"/>
                  <w:kern w:val="0"/>
                  <w:sz w:val="20"/>
                  <w:szCs w:val="20"/>
                  <w:u w:val="none"/>
                  <w:lang w:val="en-US" w:eastAsia="zh-CN" w:bidi="ar"/>
                </w:rPr>
                <w:t>成品实木复合门</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0" w:author="fyq1414237484" w:date="2020-05-20T12:03:00Z"/>
                <w:rFonts w:hint="eastAsia" w:ascii="宋体" w:hAnsi="宋体" w:eastAsia="宋体" w:cs="宋体"/>
                <w:i w:val="0"/>
                <w:color w:val="000000"/>
                <w:sz w:val="20"/>
                <w:szCs w:val="20"/>
                <w:u w:val="none"/>
              </w:rPr>
            </w:pPr>
            <w:ins w:id="201" w:author="fyq1414237484" w:date="2020-05-20T12:03:00Z">
              <w:r>
                <w:rPr>
                  <w:rFonts w:hint="eastAsia" w:ascii="宋体" w:hAnsi="宋体" w:eastAsia="宋体" w:cs="宋体"/>
                  <w:i w:val="0"/>
                  <w:color w:val="000000"/>
                  <w:kern w:val="0"/>
                  <w:sz w:val="20"/>
                  <w:szCs w:val="20"/>
                  <w:u w:val="none"/>
                  <w:lang w:val="en-US" w:eastAsia="zh-CN" w:bidi="ar"/>
                </w:rPr>
                <w:t>名盛木门、兔宝宝木门、美心、TATA或同档次及以上品牌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2" w:author="fyq1414237484" w:date="2020-05-20T12:03:00Z"/>
                <w:rFonts w:hint="eastAsia" w:ascii="宋体" w:hAnsi="宋体" w:eastAsia="宋体" w:cs="宋体"/>
                <w:i w:val="0"/>
                <w:color w:val="000000"/>
                <w:sz w:val="20"/>
                <w:szCs w:val="20"/>
                <w:u w:val="none"/>
              </w:rPr>
            </w:pPr>
            <w:ins w:id="203" w:author="fyq1414237484" w:date="2020-05-20T12:03:00Z">
              <w:r>
                <w:rPr>
                  <w:rFonts w:hint="eastAsia" w:ascii="宋体" w:hAnsi="宋体" w:eastAsia="宋体" w:cs="宋体"/>
                  <w:i w:val="0"/>
                  <w:color w:val="000000"/>
                  <w:kern w:val="0"/>
                  <w:sz w:val="20"/>
                  <w:szCs w:val="20"/>
                  <w:u w:val="none"/>
                  <w:lang w:val="en-US" w:eastAsia="zh-CN" w:bidi="ar"/>
                </w:rPr>
                <w:t>施工前送样由甲方确定</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4" w:author="fyq1414237484" w:date="2020-05-20T12:03:00Z"/>
                <w:rFonts w:hint="eastAsia" w:ascii="宋体" w:hAnsi="宋体" w:eastAsia="宋体" w:cs="宋体"/>
                <w:i w:val="0"/>
                <w:color w:val="000000"/>
                <w:sz w:val="20"/>
                <w:szCs w:val="20"/>
                <w:u w:val="none"/>
              </w:rPr>
            </w:pPr>
            <w:ins w:id="205"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6" w:author="fyq1414237484" w:date="2020-05-20T12:03:00Z"/>
                <w:rFonts w:hint="eastAsia" w:ascii="宋体" w:hAnsi="宋体" w:eastAsia="宋体" w:cs="宋体"/>
                <w:i w:val="0"/>
                <w:color w:val="000000"/>
                <w:sz w:val="20"/>
                <w:szCs w:val="20"/>
                <w:u w:val="none"/>
              </w:rPr>
            </w:pPr>
            <w:ins w:id="207" w:author="fyq1414237484" w:date="2020-05-20T12:03:00Z">
              <w:r>
                <w:rPr>
                  <w:rFonts w:hint="eastAsia" w:ascii="宋体" w:hAnsi="宋体" w:eastAsia="宋体" w:cs="宋体"/>
                  <w:i w:val="0"/>
                  <w:color w:val="000000"/>
                  <w:kern w:val="0"/>
                  <w:sz w:val="20"/>
                  <w:szCs w:val="20"/>
                  <w:u w:val="none"/>
                  <w:lang w:val="en-US" w:eastAsia="zh-CN" w:bidi="ar"/>
                </w:rPr>
                <w:t>成品定制</w:t>
              </w:r>
            </w:ins>
          </w:p>
        </w:tc>
      </w:tr>
      <w:tr>
        <w:tblPrEx>
          <w:tblCellMar>
            <w:top w:w="0" w:type="dxa"/>
            <w:left w:w="0" w:type="dxa"/>
            <w:bottom w:w="0" w:type="dxa"/>
            <w:right w:w="0" w:type="dxa"/>
          </w:tblCellMar>
        </w:tblPrEx>
        <w:trPr>
          <w:trHeight w:val="510" w:hRule="atLeast"/>
          <w:ins w:id="208"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09" w:author="fyq1414237484" w:date="2020-05-20T12:03:00Z"/>
                <w:rFonts w:hint="eastAsia" w:ascii="宋体" w:hAnsi="宋体" w:eastAsia="宋体" w:cs="宋体"/>
                <w:i w:val="0"/>
                <w:color w:val="000000"/>
                <w:sz w:val="20"/>
                <w:szCs w:val="20"/>
                <w:u w:val="none"/>
              </w:rPr>
            </w:pPr>
            <w:ins w:id="210" w:author="fyq1414237484" w:date="2020-05-20T12:03:00Z">
              <w:r>
                <w:rPr>
                  <w:rFonts w:hint="eastAsia" w:ascii="宋体" w:hAnsi="宋体" w:eastAsia="宋体" w:cs="宋体"/>
                  <w:i w:val="0"/>
                  <w:color w:val="000000"/>
                  <w:kern w:val="0"/>
                  <w:sz w:val="20"/>
                  <w:szCs w:val="20"/>
                  <w:u w:val="none"/>
                  <w:lang w:val="en-US" w:eastAsia="zh-CN" w:bidi="ar"/>
                </w:rPr>
                <w:t>14</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11" w:author="fyq1414237484" w:date="2020-05-20T12:03:00Z"/>
                <w:rFonts w:hint="eastAsia" w:ascii="宋体" w:hAnsi="宋体" w:eastAsia="宋体" w:cs="宋体"/>
                <w:i w:val="0"/>
                <w:color w:val="000000"/>
                <w:sz w:val="20"/>
                <w:szCs w:val="20"/>
                <w:u w:val="none"/>
              </w:rPr>
            </w:pPr>
            <w:ins w:id="212" w:author="fyq1414237484" w:date="2020-05-20T12:03:00Z">
              <w:r>
                <w:rPr>
                  <w:rFonts w:hint="eastAsia" w:ascii="宋体" w:hAnsi="宋体" w:eastAsia="宋体" w:cs="宋体"/>
                  <w:i w:val="0"/>
                  <w:color w:val="000000"/>
                  <w:kern w:val="0"/>
                  <w:sz w:val="20"/>
                  <w:szCs w:val="20"/>
                  <w:u w:val="none"/>
                  <w:lang w:val="en-US" w:eastAsia="zh-CN" w:bidi="ar"/>
                </w:rPr>
                <w:t>成品防火门</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13" w:author="fyq1414237484" w:date="2020-05-20T12:03:00Z"/>
                <w:rFonts w:hint="eastAsia" w:ascii="宋体" w:hAnsi="宋体" w:eastAsia="宋体" w:cs="宋体"/>
                <w:i w:val="0"/>
                <w:color w:val="000000"/>
                <w:sz w:val="20"/>
                <w:szCs w:val="20"/>
                <w:u w:val="none"/>
              </w:rPr>
            </w:pPr>
            <w:ins w:id="214" w:author="fyq1414237484" w:date="2020-05-20T12:03:00Z">
              <w:r>
                <w:rPr>
                  <w:rFonts w:hint="eastAsia" w:ascii="宋体" w:hAnsi="宋体" w:eastAsia="宋体" w:cs="宋体"/>
                  <w:i w:val="0"/>
                  <w:color w:val="000000"/>
                  <w:kern w:val="0"/>
                  <w:sz w:val="20"/>
                  <w:szCs w:val="20"/>
                  <w:u w:val="none"/>
                  <w:lang w:val="en-US" w:eastAsia="zh-CN" w:bidi="ar"/>
                </w:rPr>
                <w:t>丰成、钱江、杜鹃或同档次及以上品牌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15" w:author="fyq1414237484" w:date="2020-05-20T12:03:00Z"/>
                <w:rFonts w:hint="eastAsia" w:ascii="宋体" w:hAnsi="宋体" w:eastAsia="宋体" w:cs="宋体"/>
                <w:i w:val="0"/>
                <w:color w:val="000000"/>
                <w:sz w:val="20"/>
                <w:szCs w:val="20"/>
                <w:u w:val="none"/>
              </w:rPr>
            </w:pPr>
            <w:ins w:id="216" w:author="fyq1414237484" w:date="2020-05-20T12:03:00Z">
              <w:r>
                <w:rPr>
                  <w:rFonts w:hint="eastAsia" w:ascii="宋体" w:hAnsi="宋体" w:eastAsia="宋体" w:cs="宋体"/>
                  <w:i w:val="0"/>
                  <w:color w:val="000000"/>
                  <w:kern w:val="0"/>
                  <w:sz w:val="20"/>
                  <w:szCs w:val="20"/>
                  <w:u w:val="none"/>
                  <w:lang w:val="en-US" w:eastAsia="zh-CN" w:bidi="ar"/>
                </w:rPr>
                <w:t>施工前送样由甲方确定</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17" w:author="fyq1414237484" w:date="2020-05-20T12:03:00Z"/>
                <w:rFonts w:hint="eastAsia" w:ascii="宋体" w:hAnsi="宋体" w:eastAsia="宋体" w:cs="宋体"/>
                <w:i w:val="0"/>
                <w:color w:val="000000"/>
                <w:sz w:val="20"/>
                <w:szCs w:val="20"/>
                <w:u w:val="none"/>
              </w:rPr>
            </w:pPr>
            <w:ins w:id="218"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19" w:author="fyq1414237484" w:date="2020-05-20T12:03:00Z"/>
                <w:rFonts w:hint="eastAsia" w:ascii="宋体" w:hAnsi="宋体" w:eastAsia="宋体" w:cs="宋体"/>
                <w:i w:val="0"/>
                <w:color w:val="000000"/>
                <w:sz w:val="20"/>
                <w:szCs w:val="20"/>
                <w:u w:val="none"/>
              </w:rPr>
            </w:pPr>
            <w:ins w:id="220" w:author="fyq1414237484" w:date="2020-05-20T12:03:00Z">
              <w:r>
                <w:rPr>
                  <w:rFonts w:hint="eastAsia" w:ascii="宋体" w:hAnsi="宋体" w:eastAsia="宋体" w:cs="宋体"/>
                  <w:i w:val="0"/>
                  <w:color w:val="000000"/>
                  <w:kern w:val="0"/>
                  <w:sz w:val="20"/>
                  <w:szCs w:val="20"/>
                  <w:u w:val="none"/>
                  <w:lang w:val="en-US" w:eastAsia="zh-CN" w:bidi="ar"/>
                </w:rPr>
                <w:t>成品定制</w:t>
              </w:r>
            </w:ins>
          </w:p>
        </w:tc>
      </w:tr>
      <w:tr>
        <w:tblPrEx>
          <w:tblCellMar>
            <w:top w:w="0" w:type="dxa"/>
            <w:left w:w="0" w:type="dxa"/>
            <w:bottom w:w="0" w:type="dxa"/>
            <w:right w:w="0" w:type="dxa"/>
          </w:tblCellMar>
        </w:tblPrEx>
        <w:trPr>
          <w:trHeight w:val="510" w:hRule="atLeast"/>
          <w:ins w:id="221"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22" w:author="fyq1414237484" w:date="2020-05-20T12:03:00Z"/>
                <w:rFonts w:hint="eastAsia" w:ascii="宋体" w:hAnsi="宋体" w:eastAsia="宋体" w:cs="宋体"/>
                <w:i w:val="0"/>
                <w:color w:val="000000"/>
                <w:sz w:val="20"/>
                <w:szCs w:val="20"/>
                <w:u w:val="none"/>
              </w:rPr>
            </w:pPr>
            <w:ins w:id="223" w:author="fyq1414237484" w:date="2020-05-20T12:03:00Z">
              <w:r>
                <w:rPr>
                  <w:rFonts w:hint="eastAsia" w:ascii="宋体" w:hAnsi="宋体" w:eastAsia="宋体" w:cs="宋体"/>
                  <w:i w:val="0"/>
                  <w:color w:val="000000"/>
                  <w:kern w:val="0"/>
                  <w:sz w:val="20"/>
                  <w:szCs w:val="20"/>
                  <w:u w:val="none"/>
                  <w:lang w:val="en-US" w:eastAsia="zh-CN" w:bidi="ar"/>
                </w:rPr>
                <w:t>15</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24" w:author="fyq1414237484" w:date="2020-05-20T12:03:00Z"/>
                <w:rFonts w:hint="eastAsia" w:ascii="宋体" w:hAnsi="宋体" w:eastAsia="宋体" w:cs="宋体"/>
                <w:i w:val="0"/>
                <w:color w:val="000000"/>
                <w:sz w:val="20"/>
                <w:szCs w:val="20"/>
                <w:u w:val="none"/>
              </w:rPr>
            </w:pPr>
            <w:ins w:id="225" w:author="fyq1414237484" w:date="2020-05-20T12:03:00Z">
              <w:r>
                <w:rPr>
                  <w:rFonts w:hint="eastAsia" w:ascii="宋体" w:hAnsi="宋体" w:eastAsia="宋体" w:cs="宋体"/>
                  <w:i w:val="0"/>
                  <w:color w:val="000000"/>
                  <w:kern w:val="0"/>
                  <w:sz w:val="20"/>
                  <w:szCs w:val="20"/>
                  <w:u w:val="none"/>
                  <w:lang w:val="en-US" w:eastAsia="zh-CN" w:bidi="ar"/>
                </w:rPr>
                <w:t>防水涂料</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26" w:author="fyq1414237484" w:date="2020-05-20T12:03:00Z"/>
                <w:rFonts w:hint="eastAsia" w:ascii="宋体" w:hAnsi="宋体" w:eastAsia="宋体" w:cs="宋体"/>
                <w:i w:val="0"/>
                <w:color w:val="000000"/>
                <w:sz w:val="20"/>
                <w:szCs w:val="20"/>
                <w:u w:val="none"/>
              </w:rPr>
            </w:pPr>
            <w:ins w:id="227" w:author="fyq1414237484" w:date="2020-05-20T12:03:00Z">
              <w:r>
                <w:rPr>
                  <w:rFonts w:hint="eastAsia" w:ascii="宋体" w:hAnsi="宋体" w:eastAsia="宋体" w:cs="宋体"/>
                  <w:i w:val="0"/>
                  <w:color w:val="000000"/>
                  <w:kern w:val="0"/>
                  <w:sz w:val="20"/>
                  <w:szCs w:val="20"/>
                  <w:u w:val="none"/>
                  <w:lang w:val="en-US" w:eastAsia="zh-CN" w:bidi="ar"/>
                </w:rPr>
                <w:t>上海东方雨虹、上海月皇、上海格雷斯、德国威达（上海分公司）或同档次及以上品牌</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228" w:author="fyq1414237484" w:date="2020-05-20T12:03:00Z"/>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29" w:author="fyq1414237484" w:date="2020-05-20T12:03:00Z"/>
                <w:rFonts w:hint="eastAsia" w:ascii="宋体" w:hAnsi="宋体" w:eastAsia="宋体" w:cs="宋体"/>
                <w:i w:val="0"/>
                <w:color w:val="000000"/>
                <w:sz w:val="20"/>
                <w:szCs w:val="20"/>
                <w:u w:val="none"/>
              </w:rPr>
            </w:pPr>
            <w:ins w:id="230"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31" w:author="fyq1414237484" w:date="2020-05-20T12:03:00Z"/>
                <w:rFonts w:hint="eastAsia" w:ascii="宋体" w:hAnsi="宋体" w:eastAsia="宋体" w:cs="宋体"/>
                <w:i w:val="0"/>
                <w:color w:val="000000"/>
                <w:sz w:val="20"/>
                <w:szCs w:val="20"/>
                <w:u w:val="none"/>
              </w:rPr>
            </w:pPr>
            <w:ins w:id="232"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04800" cy="179705"/>
                    <wp:effectExtent l="0" t="0" r="0" b="0"/>
                    <wp:wrapNone/>
                    <wp:docPr id="17" name="AutoShape_95_SpCnt_5"/>
                    <wp:cNvGraphicFramePr/>
                    <a:graphic xmlns:a="http://schemas.openxmlformats.org/drawingml/2006/main">
                      <a:graphicData uri="http://schemas.openxmlformats.org/drawingml/2006/picture">
                        <pic:pic xmlns:pic="http://schemas.openxmlformats.org/drawingml/2006/picture">
                          <pic:nvPicPr>
                            <pic:cNvPr id="17" name="AutoShape_95_SpCnt_5"/>
                            <pic:cNvPicPr/>
                          </pic:nvPicPr>
                          <pic:blipFill>
                            <a:blip r:embed="rId16"/>
                            <a:stretch>
                              <a:fillRect/>
                            </a:stretch>
                          </pic:blipFill>
                          <pic:spPr>
                            <a:xfrm>
                              <a:off x="0" y="0"/>
                              <a:ext cx="304800" cy="179705"/>
                            </a:xfrm>
                            <a:prstGeom prst="rect">
                              <a:avLst/>
                            </a:prstGeom>
                            <a:noFill/>
                            <a:ln>
                              <a:noFill/>
                            </a:ln>
                          </pic:spPr>
                        </pic:pic>
                      </a:graphicData>
                    </a:graphic>
                  </wp:anchor>
                </w:drawing>
              </w:r>
            </w:ins>
            <w:ins w:id="234"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04800" cy="179705"/>
                    <wp:effectExtent l="0" t="0" r="0" b="0"/>
                    <wp:wrapNone/>
                    <wp:docPr id="18" name="AutoShape_94_SpCnt_5"/>
                    <wp:cNvGraphicFramePr/>
                    <a:graphic xmlns:a="http://schemas.openxmlformats.org/drawingml/2006/main">
                      <a:graphicData uri="http://schemas.openxmlformats.org/drawingml/2006/picture">
                        <pic:pic xmlns:pic="http://schemas.openxmlformats.org/drawingml/2006/picture">
                          <pic:nvPicPr>
                            <pic:cNvPr id="18" name="AutoShape_94_SpCnt_5"/>
                            <pic:cNvPicPr/>
                          </pic:nvPicPr>
                          <pic:blipFill>
                            <a:blip r:embed="rId16"/>
                            <a:stretch>
                              <a:fillRect/>
                            </a:stretch>
                          </pic:blipFill>
                          <pic:spPr>
                            <a:xfrm>
                              <a:off x="0" y="0"/>
                              <a:ext cx="304800" cy="179705"/>
                            </a:xfrm>
                            <a:prstGeom prst="rect">
                              <a:avLst/>
                            </a:prstGeom>
                            <a:noFill/>
                            <a:ln>
                              <a:noFill/>
                            </a:ln>
                          </pic:spPr>
                        </pic:pic>
                      </a:graphicData>
                    </a:graphic>
                  </wp:anchor>
                </w:drawing>
              </w:r>
            </w:ins>
            <w:ins w:id="236" w:author="fyq1414237484" w:date="2020-05-20T12:03:00Z">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04800" cy="179705"/>
                    <wp:effectExtent l="0" t="0" r="0" b="0"/>
                    <wp:wrapNone/>
                    <wp:docPr id="19" name="AutoShape_96_SpCnt_5"/>
                    <wp:cNvGraphicFramePr/>
                    <a:graphic xmlns:a="http://schemas.openxmlformats.org/drawingml/2006/main">
                      <a:graphicData uri="http://schemas.openxmlformats.org/drawingml/2006/picture">
                        <pic:pic xmlns:pic="http://schemas.openxmlformats.org/drawingml/2006/picture">
                          <pic:nvPicPr>
                            <pic:cNvPr id="19" name="AutoShape_96_SpCnt_5"/>
                            <pic:cNvPicPr/>
                          </pic:nvPicPr>
                          <pic:blipFill>
                            <a:blip r:embed="rId16"/>
                            <a:stretch>
                              <a:fillRect/>
                            </a:stretch>
                          </pic:blipFill>
                          <pic:spPr>
                            <a:xfrm>
                              <a:off x="0" y="0"/>
                              <a:ext cx="304800" cy="179705"/>
                            </a:xfrm>
                            <a:prstGeom prst="rect">
                              <a:avLst/>
                            </a:prstGeom>
                            <a:noFill/>
                            <a:ln>
                              <a:noFill/>
                            </a:ln>
                          </pic:spPr>
                        </pic:pic>
                      </a:graphicData>
                    </a:graphic>
                  </wp:anchor>
                </w:drawing>
              </w:r>
            </w:ins>
          </w:p>
        </w:tc>
      </w:tr>
      <w:tr>
        <w:tblPrEx>
          <w:tblCellMar>
            <w:top w:w="0" w:type="dxa"/>
            <w:left w:w="0" w:type="dxa"/>
            <w:bottom w:w="0" w:type="dxa"/>
            <w:right w:w="0" w:type="dxa"/>
          </w:tblCellMar>
        </w:tblPrEx>
        <w:trPr>
          <w:trHeight w:val="510" w:hRule="atLeast"/>
          <w:ins w:id="238"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39" w:author="fyq1414237484" w:date="2020-05-20T12:03:00Z"/>
                <w:rFonts w:hint="eastAsia" w:ascii="宋体" w:hAnsi="宋体" w:eastAsia="宋体" w:cs="宋体"/>
                <w:i w:val="0"/>
                <w:color w:val="000000"/>
                <w:sz w:val="20"/>
                <w:szCs w:val="20"/>
                <w:u w:val="none"/>
              </w:rPr>
            </w:pPr>
            <w:ins w:id="240" w:author="fyq1414237484" w:date="2020-05-20T12:03:00Z">
              <w:r>
                <w:rPr>
                  <w:rFonts w:hint="eastAsia" w:ascii="宋体" w:hAnsi="宋体" w:eastAsia="宋体" w:cs="宋体"/>
                  <w:i w:val="0"/>
                  <w:color w:val="000000"/>
                  <w:kern w:val="0"/>
                  <w:sz w:val="20"/>
                  <w:szCs w:val="20"/>
                  <w:u w:val="none"/>
                  <w:lang w:val="en-US" w:eastAsia="zh-CN" w:bidi="ar"/>
                </w:rPr>
                <w:t>16</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41" w:author="fyq1414237484" w:date="2020-05-20T12:03:00Z"/>
                <w:rFonts w:hint="eastAsia" w:ascii="宋体" w:hAnsi="宋体" w:eastAsia="宋体" w:cs="宋体"/>
                <w:i w:val="0"/>
                <w:color w:val="000000"/>
                <w:sz w:val="20"/>
                <w:szCs w:val="20"/>
                <w:u w:val="none"/>
              </w:rPr>
            </w:pPr>
            <w:ins w:id="242" w:author="fyq1414237484" w:date="2020-05-20T12:03:00Z">
              <w:r>
                <w:rPr>
                  <w:rFonts w:hint="eastAsia" w:ascii="宋体" w:hAnsi="宋体" w:eastAsia="宋体" w:cs="宋体"/>
                  <w:i w:val="0"/>
                  <w:color w:val="000000"/>
                  <w:kern w:val="0"/>
                  <w:sz w:val="20"/>
                  <w:szCs w:val="20"/>
                  <w:u w:val="none"/>
                  <w:lang w:val="en-US" w:eastAsia="zh-CN" w:bidi="ar"/>
                </w:rPr>
                <w:t>卫生洁具</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43" w:author="fyq1414237484" w:date="2020-05-20T12:03:00Z"/>
                <w:rFonts w:hint="eastAsia" w:ascii="宋体" w:hAnsi="宋体" w:eastAsia="宋体" w:cs="宋体"/>
                <w:i w:val="0"/>
                <w:color w:val="000000"/>
                <w:sz w:val="20"/>
                <w:szCs w:val="20"/>
                <w:u w:val="none"/>
              </w:rPr>
            </w:pPr>
            <w:ins w:id="244" w:author="fyq1414237484" w:date="2020-05-20T12:03:00Z">
              <w:r>
                <w:rPr>
                  <w:rFonts w:hint="eastAsia" w:ascii="宋体" w:hAnsi="宋体" w:eastAsia="宋体" w:cs="宋体"/>
                  <w:i w:val="0"/>
                  <w:color w:val="000000"/>
                  <w:kern w:val="0"/>
                  <w:sz w:val="20"/>
                  <w:szCs w:val="20"/>
                  <w:u w:val="none"/>
                  <w:lang w:val="en-US" w:eastAsia="zh-CN" w:bidi="ar"/>
                </w:rPr>
                <w:t>箭牌、法恩莎、东鹏或同档次及以上</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45" w:author="fyq1414237484" w:date="2020-05-20T12:03:00Z"/>
                <w:rFonts w:hint="eastAsia" w:ascii="宋体" w:hAnsi="宋体" w:eastAsia="宋体" w:cs="宋体"/>
                <w:i w:val="0"/>
                <w:color w:val="000000"/>
                <w:sz w:val="20"/>
                <w:szCs w:val="20"/>
                <w:u w:val="none"/>
              </w:rPr>
            </w:pPr>
            <w:ins w:id="246"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47" w:author="fyq1414237484" w:date="2020-05-20T12:03:00Z"/>
                <w:rFonts w:hint="eastAsia" w:ascii="宋体" w:hAnsi="宋体" w:eastAsia="宋体" w:cs="宋体"/>
                <w:i w:val="0"/>
                <w:color w:val="000000"/>
                <w:sz w:val="20"/>
                <w:szCs w:val="20"/>
                <w:u w:val="none"/>
              </w:rPr>
            </w:pPr>
            <w:ins w:id="248"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49" w:author="fyq1414237484" w:date="2020-05-20T12:03:00Z"/>
                <w:rFonts w:hint="eastAsia" w:ascii="宋体" w:hAnsi="宋体" w:eastAsia="宋体" w:cs="宋体"/>
                <w:i w:val="0"/>
                <w:color w:val="000000"/>
                <w:sz w:val="20"/>
                <w:szCs w:val="20"/>
                <w:u w:val="none"/>
              </w:rPr>
            </w:pPr>
            <w:ins w:id="250" w:author="fyq1414237484" w:date="2020-05-20T12:03:00Z">
              <w:r>
                <w:rPr>
                  <w:rFonts w:hint="eastAsia" w:ascii="宋体" w:hAnsi="宋体" w:eastAsia="宋体" w:cs="宋体"/>
                  <w:i w:val="0"/>
                  <w:color w:val="000000"/>
                  <w:kern w:val="0"/>
                  <w:sz w:val="20"/>
                  <w:szCs w:val="20"/>
                  <w:u w:val="none"/>
                  <w:lang w:val="en-US" w:eastAsia="zh-CN" w:bidi="ar"/>
                </w:rPr>
                <w:t>五金与洁具同一品牌</w:t>
              </w:r>
            </w:ins>
          </w:p>
        </w:tc>
      </w:tr>
      <w:tr>
        <w:tblPrEx>
          <w:tblCellMar>
            <w:top w:w="0" w:type="dxa"/>
            <w:left w:w="0" w:type="dxa"/>
            <w:bottom w:w="0" w:type="dxa"/>
            <w:right w:w="0" w:type="dxa"/>
          </w:tblCellMar>
        </w:tblPrEx>
        <w:trPr>
          <w:trHeight w:val="510" w:hRule="atLeast"/>
          <w:ins w:id="251"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52" w:author="fyq1414237484" w:date="2020-05-20T12:03:00Z"/>
                <w:rFonts w:hint="eastAsia" w:ascii="宋体" w:hAnsi="宋体" w:eastAsia="宋体" w:cs="宋体"/>
                <w:i w:val="0"/>
                <w:color w:val="000000"/>
                <w:sz w:val="20"/>
                <w:szCs w:val="20"/>
                <w:u w:val="none"/>
              </w:rPr>
            </w:pPr>
            <w:ins w:id="253" w:author="fyq1414237484" w:date="2020-05-20T12:03:00Z">
              <w:r>
                <w:rPr>
                  <w:rFonts w:hint="eastAsia" w:ascii="宋体" w:hAnsi="宋体" w:eastAsia="宋体" w:cs="宋体"/>
                  <w:i w:val="0"/>
                  <w:color w:val="000000"/>
                  <w:kern w:val="0"/>
                  <w:sz w:val="20"/>
                  <w:szCs w:val="20"/>
                  <w:u w:val="none"/>
                  <w:lang w:val="en-US" w:eastAsia="zh-CN" w:bidi="ar"/>
                </w:rPr>
                <w:t>17</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54" w:author="fyq1414237484" w:date="2020-05-20T12:03:00Z"/>
                <w:rFonts w:hint="eastAsia" w:ascii="宋体" w:hAnsi="宋体" w:eastAsia="宋体" w:cs="宋体"/>
                <w:i w:val="0"/>
                <w:color w:val="000000"/>
                <w:sz w:val="20"/>
                <w:szCs w:val="20"/>
                <w:u w:val="none"/>
              </w:rPr>
            </w:pPr>
            <w:ins w:id="255" w:author="fyq1414237484" w:date="2020-05-20T12:03:00Z">
              <w:r>
                <w:rPr>
                  <w:rFonts w:hint="eastAsia" w:ascii="宋体" w:hAnsi="宋体" w:eastAsia="宋体" w:cs="宋体"/>
                  <w:i w:val="0"/>
                  <w:color w:val="000000"/>
                  <w:kern w:val="0"/>
                  <w:sz w:val="20"/>
                  <w:szCs w:val="20"/>
                  <w:u w:val="none"/>
                  <w:lang w:val="en-US" w:eastAsia="zh-CN" w:bidi="ar"/>
                </w:rPr>
                <w:t>电线、电缆</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56" w:author="fyq1414237484" w:date="2020-05-20T12:03:00Z"/>
                <w:rFonts w:hint="eastAsia" w:ascii="宋体" w:hAnsi="宋体" w:eastAsia="宋体" w:cs="宋体"/>
                <w:i w:val="0"/>
                <w:color w:val="000000"/>
                <w:sz w:val="20"/>
                <w:szCs w:val="20"/>
                <w:u w:val="none"/>
              </w:rPr>
            </w:pPr>
            <w:ins w:id="257" w:author="fyq1414237484" w:date="2020-05-20T12:03:00Z">
              <w:r>
                <w:rPr>
                  <w:rFonts w:hint="eastAsia" w:ascii="宋体" w:hAnsi="宋体" w:eastAsia="宋体" w:cs="宋体"/>
                  <w:i w:val="0"/>
                  <w:color w:val="000000"/>
                  <w:kern w:val="0"/>
                  <w:sz w:val="20"/>
                  <w:szCs w:val="20"/>
                  <w:u w:val="none"/>
                  <w:lang w:val="en-US" w:eastAsia="zh-CN" w:bidi="ar"/>
                </w:rPr>
                <w:t>杭州中策、浙江万马、中大元通或同档次及以上</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58" w:author="fyq1414237484" w:date="2020-05-20T12:03:00Z"/>
                <w:rFonts w:hint="eastAsia" w:ascii="宋体" w:hAnsi="宋体" w:eastAsia="宋体" w:cs="宋体"/>
                <w:i w:val="0"/>
                <w:color w:val="000000"/>
                <w:sz w:val="20"/>
                <w:szCs w:val="20"/>
                <w:u w:val="none"/>
              </w:rPr>
            </w:pPr>
            <w:ins w:id="259"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60" w:author="fyq1414237484" w:date="2020-05-20T12:03:00Z"/>
                <w:rFonts w:hint="eastAsia" w:ascii="宋体" w:hAnsi="宋体" w:eastAsia="宋体" w:cs="宋体"/>
                <w:i w:val="0"/>
                <w:color w:val="000000"/>
                <w:sz w:val="20"/>
                <w:szCs w:val="20"/>
                <w:u w:val="none"/>
              </w:rPr>
            </w:pPr>
            <w:ins w:id="261"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262"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263"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64" w:author="fyq1414237484" w:date="2020-05-20T12:03:00Z"/>
                <w:rFonts w:hint="eastAsia" w:ascii="宋体" w:hAnsi="宋体" w:eastAsia="宋体" w:cs="宋体"/>
                <w:i w:val="0"/>
                <w:color w:val="000000"/>
                <w:sz w:val="20"/>
                <w:szCs w:val="20"/>
                <w:u w:val="none"/>
              </w:rPr>
            </w:pPr>
            <w:ins w:id="265" w:author="fyq1414237484" w:date="2020-05-20T12:03:00Z">
              <w:r>
                <w:rPr>
                  <w:rFonts w:hint="eastAsia" w:ascii="宋体" w:hAnsi="宋体" w:eastAsia="宋体" w:cs="宋体"/>
                  <w:i w:val="0"/>
                  <w:color w:val="000000"/>
                  <w:kern w:val="0"/>
                  <w:sz w:val="20"/>
                  <w:szCs w:val="20"/>
                  <w:u w:val="none"/>
                  <w:lang w:val="en-US" w:eastAsia="zh-CN" w:bidi="ar"/>
                </w:rPr>
                <w:t>18</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66" w:author="fyq1414237484" w:date="2020-05-20T12:03:00Z"/>
                <w:rFonts w:hint="eastAsia" w:ascii="宋体" w:hAnsi="宋体" w:eastAsia="宋体" w:cs="宋体"/>
                <w:i w:val="0"/>
                <w:color w:val="000000"/>
                <w:sz w:val="20"/>
                <w:szCs w:val="20"/>
                <w:u w:val="none"/>
              </w:rPr>
            </w:pPr>
            <w:ins w:id="267" w:author="fyq1414237484" w:date="2020-05-20T12:03:00Z">
              <w:r>
                <w:rPr>
                  <w:rFonts w:hint="eastAsia" w:ascii="宋体" w:hAnsi="宋体" w:eastAsia="宋体" w:cs="宋体"/>
                  <w:i w:val="0"/>
                  <w:color w:val="000000"/>
                  <w:kern w:val="0"/>
                  <w:sz w:val="20"/>
                  <w:szCs w:val="20"/>
                  <w:u w:val="none"/>
                  <w:lang w:val="en-US" w:eastAsia="zh-CN" w:bidi="ar"/>
                </w:rPr>
                <w:t>开关、插座</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68" w:author="fyq1414237484" w:date="2020-05-20T12:03:00Z"/>
                <w:rFonts w:hint="eastAsia" w:ascii="宋体" w:hAnsi="宋体" w:eastAsia="宋体" w:cs="宋体"/>
                <w:i w:val="0"/>
                <w:color w:val="000000"/>
                <w:sz w:val="20"/>
                <w:szCs w:val="20"/>
                <w:u w:val="none"/>
              </w:rPr>
            </w:pPr>
            <w:ins w:id="269" w:author="fyq1414237484" w:date="2020-05-20T12:03:00Z">
              <w:r>
                <w:rPr>
                  <w:rFonts w:hint="eastAsia" w:ascii="宋体" w:hAnsi="宋体" w:eastAsia="宋体" w:cs="宋体"/>
                  <w:i w:val="0"/>
                  <w:color w:val="000000"/>
                  <w:kern w:val="0"/>
                  <w:sz w:val="20"/>
                  <w:szCs w:val="20"/>
                  <w:u w:val="none"/>
                  <w:lang w:val="en-US" w:eastAsia="zh-CN" w:bidi="ar"/>
                </w:rPr>
                <w:t>西门子、正泰、西蒙或同档次及以上</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70" w:author="fyq1414237484" w:date="2020-05-20T12:03:00Z"/>
                <w:rFonts w:hint="eastAsia" w:ascii="宋体" w:hAnsi="宋体" w:eastAsia="宋体" w:cs="宋体"/>
                <w:i w:val="0"/>
                <w:color w:val="000000"/>
                <w:sz w:val="20"/>
                <w:szCs w:val="20"/>
                <w:u w:val="none"/>
              </w:rPr>
            </w:pPr>
            <w:ins w:id="271"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72" w:author="fyq1414237484" w:date="2020-05-20T12:03:00Z"/>
                <w:rFonts w:hint="eastAsia" w:ascii="宋体" w:hAnsi="宋体" w:eastAsia="宋体" w:cs="宋体"/>
                <w:i w:val="0"/>
                <w:color w:val="000000"/>
                <w:sz w:val="20"/>
                <w:szCs w:val="20"/>
                <w:u w:val="none"/>
              </w:rPr>
            </w:pPr>
            <w:ins w:id="273"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274"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275"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76" w:author="fyq1414237484" w:date="2020-05-20T12:03:00Z"/>
                <w:rFonts w:hint="eastAsia" w:ascii="宋体" w:hAnsi="宋体" w:eastAsia="宋体" w:cs="宋体"/>
                <w:i w:val="0"/>
                <w:color w:val="000000"/>
                <w:sz w:val="20"/>
                <w:szCs w:val="20"/>
                <w:u w:val="none"/>
              </w:rPr>
            </w:pPr>
            <w:ins w:id="277" w:author="fyq1414237484" w:date="2020-05-20T12:03:00Z">
              <w:r>
                <w:rPr>
                  <w:rFonts w:hint="eastAsia" w:ascii="宋体" w:hAnsi="宋体" w:eastAsia="宋体" w:cs="宋体"/>
                  <w:i w:val="0"/>
                  <w:color w:val="000000"/>
                  <w:kern w:val="0"/>
                  <w:sz w:val="20"/>
                  <w:szCs w:val="20"/>
                  <w:u w:val="none"/>
                  <w:lang w:val="en-US" w:eastAsia="zh-CN" w:bidi="ar"/>
                </w:rPr>
                <w:t>19</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78" w:author="fyq1414237484" w:date="2020-05-20T12:03:00Z"/>
                <w:rFonts w:hint="eastAsia" w:ascii="宋体" w:hAnsi="宋体" w:eastAsia="宋体" w:cs="宋体"/>
                <w:i w:val="0"/>
                <w:color w:val="000000"/>
                <w:sz w:val="20"/>
                <w:szCs w:val="20"/>
                <w:u w:val="none"/>
              </w:rPr>
            </w:pPr>
            <w:ins w:id="279" w:author="fyq1414237484" w:date="2020-05-20T12:03:00Z">
              <w:r>
                <w:rPr>
                  <w:rFonts w:hint="eastAsia" w:ascii="宋体" w:hAnsi="宋体" w:eastAsia="宋体" w:cs="宋体"/>
                  <w:i w:val="0"/>
                  <w:color w:val="000000"/>
                  <w:kern w:val="0"/>
                  <w:sz w:val="20"/>
                  <w:szCs w:val="20"/>
                  <w:u w:val="none"/>
                  <w:lang w:val="en-US" w:eastAsia="zh-CN" w:bidi="ar"/>
                </w:rPr>
                <w:t>室内灯具（含光源）</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80" w:author="fyq1414237484" w:date="2020-05-20T12:03:00Z"/>
                <w:rFonts w:hint="eastAsia" w:ascii="宋体" w:hAnsi="宋体" w:eastAsia="宋体" w:cs="宋体"/>
                <w:i w:val="0"/>
                <w:color w:val="000000"/>
                <w:sz w:val="20"/>
                <w:szCs w:val="20"/>
                <w:u w:val="none"/>
              </w:rPr>
            </w:pPr>
            <w:ins w:id="281" w:author="fyq1414237484" w:date="2020-05-20T12:03:00Z">
              <w:r>
                <w:rPr>
                  <w:rFonts w:hint="eastAsia" w:ascii="宋体" w:hAnsi="宋体" w:eastAsia="宋体" w:cs="宋体"/>
                  <w:i w:val="0"/>
                  <w:color w:val="000000"/>
                  <w:kern w:val="0"/>
                  <w:sz w:val="20"/>
                  <w:szCs w:val="20"/>
                  <w:u w:val="none"/>
                  <w:lang w:val="en-US" w:eastAsia="zh-CN" w:bidi="ar"/>
                </w:rPr>
                <w:t>品上、三雄极光、欧普或同档次及以上</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82" w:author="fyq1414237484" w:date="2020-05-20T12:03:00Z"/>
                <w:rFonts w:hint="eastAsia" w:ascii="宋体" w:hAnsi="宋体" w:eastAsia="宋体" w:cs="宋体"/>
                <w:i w:val="0"/>
                <w:color w:val="000000"/>
                <w:sz w:val="20"/>
                <w:szCs w:val="20"/>
                <w:u w:val="none"/>
              </w:rPr>
            </w:pPr>
            <w:ins w:id="283"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84" w:author="fyq1414237484" w:date="2020-05-20T12:03:00Z"/>
                <w:rFonts w:hint="eastAsia" w:ascii="宋体" w:hAnsi="宋体" w:eastAsia="宋体" w:cs="宋体"/>
                <w:i w:val="0"/>
                <w:color w:val="000000"/>
                <w:sz w:val="20"/>
                <w:szCs w:val="20"/>
                <w:u w:val="none"/>
              </w:rPr>
            </w:pPr>
            <w:ins w:id="285"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286"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287"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88" w:author="fyq1414237484" w:date="2020-05-20T12:03:00Z"/>
                <w:rFonts w:hint="eastAsia" w:ascii="宋体" w:hAnsi="宋体" w:eastAsia="宋体" w:cs="宋体"/>
                <w:i w:val="0"/>
                <w:color w:val="000000"/>
                <w:sz w:val="20"/>
                <w:szCs w:val="20"/>
                <w:u w:val="none"/>
              </w:rPr>
            </w:pPr>
            <w:ins w:id="289" w:author="fyq1414237484" w:date="2020-05-20T12:03:00Z">
              <w:r>
                <w:rPr>
                  <w:rFonts w:hint="eastAsia" w:ascii="宋体" w:hAnsi="宋体" w:eastAsia="宋体" w:cs="宋体"/>
                  <w:i w:val="0"/>
                  <w:color w:val="000000"/>
                  <w:kern w:val="0"/>
                  <w:sz w:val="20"/>
                  <w:szCs w:val="20"/>
                  <w:u w:val="none"/>
                  <w:lang w:val="en-US" w:eastAsia="zh-CN" w:bidi="ar"/>
                </w:rPr>
                <w:t>20</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90" w:author="fyq1414237484" w:date="2020-05-20T12:03:00Z"/>
                <w:rFonts w:hint="eastAsia" w:ascii="宋体" w:hAnsi="宋体" w:eastAsia="宋体" w:cs="宋体"/>
                <w:i w:val="0"/>
                <w:color w:val="000000"/>
                <w:sz w:val="20"/>
                <w:szCs w:val="20"/>
                <w:u w:val="none"/>
              </w:rPr>
            </w:pPr>
            <w:ins w:id="291" w:author="fyq1414237484" w:date="2020-05-20T12:03:00Z">
              <w:r>
                <w:rPr>
                  <w:rFonts w:hint="eastAsia" w:ascii="宋体" w:hAnsi="宋体" w:eastAsia="宋体" w:cs="宋体"/>
                  <w:i w:val="0"/>
                  <w:color w:val="000000"/>
                  <w:kern w:val="0"/>
                  <w:sz w:val="20"/>
                  <w:szCs w:val="20"/>
                  <w:u w:val="none"/>
                  <w:lang w:val="en-US" w:eastAsia="zh-CN" w:bidi="ar"/>
                </w:rPr>
                <w:t>JDG管</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92" w:author="fyq1414237484" w:date="2020-05-20T12:03:00Z"/>
                <w:rFonts w:hint="eastAsia" w:ascii="宋体" w:hAnsi="宋体" w:eastAsia="宋体" w:cs="宋体"/>
                <w:i w:val="0"/>
                <w:color w:val="000000"/>
                <w:sz w:val="20"/>
                <w:szCs w:val="20"/>
                <w:u w:val="none"/>
              </w:rPr>
            </w:pPr>
            <w:ins w:id="293" w:author="fyq1414237484" w:date="2020-05-20T12:03:00Z">
              <w:r>
                <w:rPr>
                  <w:rFonts w:hint="eastAsia" w:ascii="宋体" w:hAnsi="宋体" w:eastAsia="宋体" w:cs="宋体"/>
                  <w:i w:val="0"/>
                  <w:color w:val="000000"/>
                  <w:kern w:val="0"/>
                  <w:sz w:val="20"/>
                  <w:szCs w:val="20"/>
                  <w:u w:val="none"/>
                  <w:lang w:val="en-US" w:eastAsia="zh-CN" w:bidi="ar"/>
                </w:rPr>
                <w:t>森飞天一、正云、萧通或同档次及以上</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94" w:author="fyq1414237484" w:date="2020-05-20T12:03:00Z"/>
                <w:rFonts w:hint="eastAsia" w:ascii="宋体" w:hAnsi="宋体" w:eastAsia="宋体" w:cs="宋体"/>
                <w:i w:val="0"/>
                <w:color w:val="000000"/>
                <w:sz w:val="20"/>
                <w:szCs w:val="20"/>
                <w:u w:val="none"/>
              </w:rPr>
            </w:pPr>
            <w:ins w:id="295"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96" w:author="fyq1414237484" w:date="2020-05-20T12:03:00Z"/>
                <w:rFonts w:hint="eastAsia" w:ascii="宋体" w:hAnsi="宋体" w:eastAsia="宋体" w:cs="宋体"/>
                <w:i w:val="0"/>
                <w:color w:val="000000"/>
                <w:sz w:val="20"/>
                <w:szCs w:val="20"/>
                <w:u w:val="none"/>
              </w:rPr>
            </w:pPr>
            <w:ins w:id="297"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298"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ins w:id="299" w:author="fyq1414237484" w:date="2020-05-20T12:03:00Z"/>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00" w:author="fyq1414237484" w:date="2020-05-20T12:03:00Z"/>
                <w:rFonts w:hint="eastAsia" w:ascii="宋体" w:hAnsi="宋体" w:eastAsia="宋体" w:cs="宋体"/>
                <w:i w:val="0"/>
                <w:color w:val="000000"/>
                <w:sz w:val="20"/>
                <w:szCs w:val="20"/>
                <w:u w:val="none"/>
              </w:rPr>
            </w:pPr>
            <w:ins w:id="301" w:author="fyq1414237484" w:date="2020-05-20T12:03:00Z">
              <w:r>
                <w:rPr>
                  <w:rFonts w:hint="eastAsia" w:ascii="宋体" w:hAnsi="宋体" w:eastAsia="宋体" w:cs="宋体"/>
                  <w:i w:val="0"/>
                  <w:color w:val="000000"/>
                  <w:kern w:val="0"/>
                  <w:sz w:val="20"/>
                  <w:szCs w:val="20"/>
                  <w:u w:val="none"/>
                  <w:lang w:val="en-US" w:eastAsia="zh-CN" w:bidi="ar"/>
                </w:rPr>
                <w:t>21</w:t>
              </w:r>
            </w:ins>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02" w:author="fyq1414237484" w:date="2020-05-20T12:03:00Z"/>
                <w:rFonts w:hint="eastAsia" w:ascii="宋体" w:hAnsi="宋体" w:eastAsia="宋体" w:cs="宋体"/>
                <w:i w:val="0"/>
                <w:color w:val="000000"/>
                <w:sz w:val="20"/>
                <w:szCs w:val="20"/>
                <w:u w:val="none"/>
              </w:rPr>
            </w:pPr>
            <w:ins w:id="303" w:author="fyq1414237484" w:date="2020-05-20T12:03:00Z">
              <w:r>
                <w:rPr>
                  <w:rFonts w:hint="eastAsia" w:ascii="宋体" w:hAnsi="宋体" w:eastAsia="宋体" w:cs="宋体"/>
                  <w:i w:val="0"/>
                  <w:color w:val="000000"/>
                  <w:kern w:val="0"/>
                  <w:sz w:val="20"/>
                  <w:szCs w:val="20"/>
                  <w:u w:val="none"/>
                  <w:lang w:val="en-US" w:eastAsia="zh-CN" w:bidi="ar"/>
                </w:rPr>
                <w:t>电线管</w:t>
              </w:r>
            </w:ins>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04" w:author="fyq1414237484" w:date="2020-05-20T12:03:00Z"/>
                <w:rFonts w:hint="eastAsia" w:ascii="宋体" w:hAnsi="宋体" w:eastAsia="宋体" w:cs="宋体"/>
                <w:i w:val="0"/>
                <w:color w:val="000000"/>
                <w:sz w:val="20"/>
                <w:szCs w:val="20"/>
                <w:u w:val="none"/>
              </w:rPr>
            </w:pPr>
            <w:ins w:id="305" w:author="fyq1414237484" w:date="2020-05-20T12:03:00Z">
              <w:r>
                <w:rPr>
                  <w:rFonts w:hint="eastAsia" w:ascii="宋体" w:hAnsi="宋体" w:eastAsia="宋体" w:cs="宋体"/>
                  <w:i w:val="0"/>
                  <w:color w:val="000000"/>
                  <w:kern w:val="0"/>
                  <w:sz w:val="20"/>
                  <w:szCs w:val="20"/>
                  <w:u w:val="none"/>
                  <w:lang w:val="en-US" w:eastAsia="zh-CN" w:bidi="ar"/>
                </w:rPr>
                <w:t>中财、伟星、联塑或同档次及以上</w:t>
              </w:r>
            </w:ins>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06" w:author="fyq1414237484" w:date="2020-05-20T12:03:00Z"/>
                <w:rFonts w:hint="eastAsia" w:ascii="宋体" w:hAnsi="宋体" w:eastAsia="宋体" w:cs="宋体"/>
                <w:i w:val="0"/>
                <w:color w:val="000000"/>
                <w:sz w:val="20"/>
                <w:szCs w:val="20"/>
                <w:u w:val="none"/>
              </w:rPr>
            </w:pPr>
            <w:ins w:id="307"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08" w:author="fyq1414237484" w:date="2020-05-20T12:03:00Z"/>
                <w:rFonts w:hint="eastAsia" w:ascii="宋体" w:hAnsi="宋体" w:eastAsia="宋体" w:cs="宋体"/>
                <w:i w:val="0"/>
                <w:color w:val="000000"/>
                <w:sz w:val="20"/>
                <w:szCs w:val="20"/>
                <w:u w:val="none"/>
              </w:rPr>
            </w:pPr>
            <w:ins w:id="309" w:author="fyq1414237484" w:date="2020-05-20T12:03:00Z">
              <w:r>
                <w:rPr>
                  <w:rFonts w:hint="eastAsia" w:ascii="宋体" w:hAnsi="宋体" w:eastAsia="宋体" w:cs="宋体"/>
                  <w:i w:val="0"/>
                  <w:color w:val="000000"/>
                  <w:kern w:val="0"/>
                  <w:sz w:val="20"/>
                  <w:szCs w:val="20"/>
                  <w:u w:val="none"/>
                  <w:lang w:val="en-US" w:eastAsia="zh-CN" w:bidi="ar"/>
                </w:rPr>
                <w:t>优等</w:t>
              </w:r>
            </w:ins>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ins w:id="310" w:author="fyq1414237484" w:date="2020-05-20T12:03:00Z"/>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05" w:hRule="atLeast"/>
          <w:ins w:id="311" w:author="fyq1414237484" w:date="2020-05-20T12:03:00Z"/>
        </w:trPr>
        <w:tc>
          <w:tcPr>
            <w:tcW w:w="8475"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ins w:id="312" w:author="fyq1414237484" w:date="2020-05-20T12:03:00Z"/>
                <w:rFonts w:hint="eastAsia" w:ascii="宋体" w:hAnsi="宋体" w:eastAsia="宋体" w:cs="宋体"/>
                <w:i w:val="0"/>
                <w:color w:val="000000"/>
                <w:sz w:val="20"/>
                <w:szCs w:val="20"/>
                <w:u w:val="none"/>
              </w:rPr>
            </w:pPr>
            <w:ins w:id="313" w:author="fyq1414237484" w:date="2020-05-20T12:03:00Z">
              <w:r>
                <w:rPr>
                  <w:rFonts w:hint="eastAsia" w:ascii="宋体" w:hAnsi="宋体" w:eastAsia="宋体" w:cs="宋体"/>
                  <w:i w:val="0"/>
                  <w:color w:val="000000"/>
                  <w:kern w:val="0"/>
                  <w:sz w:val="20"/>
                  <w:szCs w:val="20"/>
                  <w:u w:val="none"/>
                  <w:lang w:val="en-US" w:eastAsia="zh-CN" w:bidi="ar"/>
                </w:rPr>
                <w:t>注：1、所有材料必须达到国标及相关标准和环保要求。</w:t>
              </w:r>
            </w:ins>
            <w:ins w:id="314" w:author="fyq1414237484" w:date="2020-05-20T12:03:00Z">
              <w:r>
                <w:rPr>
                  <w:rFonts w:hint="eastAsia" w:ascii="宋体" w:hAnsi="宋体" w:eastAsia="宋体" w:cs="宋体"/>
                  <w:i w:val="0"/>
                  <w:color w:val="000000"/>
                  <w:kern w:val="0"/>
                  <w:sz w:val="20"/>
                  <w:szCs w:val="20"/>
                  <w:u w:val="none"/>
                  <w:lang w:val="en-US" w:eastAsia="zh-CN" w:bidi="ar"/>
                </w:rPr>
                <w:br w:type="textWrapping"/>
              </w:r>
            </w:ins>
            <w:ins w:id="315" w:author="fyq1414237484" w:date="2020-05-20T12:03:00Z">
              <w:r>
                <w:rPr>
                  <w:rFonts w:hint="eastAsia" w:ascii="宋体" w:hAnsi="宋体" w:eastAsia="宋体" w:cs="宋体"/>
                  <w:i w:val="0"/>
                  <w:color w:val="000000"/>
                  <w:kern w:val="0"/>
                  <w:sz w:val="20"/>
                  <w:szCs w:val="20"/>
                  <w:u w:val="none"/>
                  <w:lang w:val="en-US" w:eastAsia="zh-CN" w:bidi="ar"/>
                </w:rPr>
                <w:t xml:space="preserve">    2、所有产品均采用优等品，若该系列产品无优等品则选择一级品（若该系列产品无优等品或一级品时方可采用合格品）            </w:t>
              </w:r>
            </w:ins>
          </w:p>
        </w:tc>
      </w:tr>
      <w:tr>
        <w:tblPrEx>
          <w:tblCellMar>
            <w:top w:w="0" w:type="dxa"/>
            <w:left w:w="0" w:type="dxa"/>
            <w:bottom w:w="0" w:type="dxa"/>
            <w:right w:w="0" w:type="dxa"/>
          </w:tblCellMar>
        </w:tblPrEx>
        <w:trPr>
          <w:trHeight w:val="402" w:hRule="atLeast"/>
          <w:ins w:id="316" w:author="fyq1414237484" w:date="2020-05-20T12:03:00Z"/>
        </w:trPr>
        <w:tc>
          <w:tcPr>
            <w:tcW w:w="8475"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ins w:id="317" w:author="fyq1414237484" w:date="2020-05-20T12:03:00Z"/>
                <w:rFonts w:hint="eastAsia" w:ascii="宋体" w:hAnsi="宋体" w:eastAsia="宋体" w:cs="宋体"/>
                <w:i w:val="0"/>
                <w:color w:val="000000"/>
                <w:sz w:val="20"/>
                <w:szCs w:val="20"/>
                <w:u w:val="none"/>
              </w:rPr>
            </w:pPr>
            <w:ins w:id="318" w:author="fyq1414237484" w:date="2020-05-20T12:03:00Z">
              <w:r>
                <w:rPr>
                  <w:rFonts w:hint="eastAsia" w:ascii="宋体" w:hAnsi="宋体" w:eastAsia="宋体" w:cs="宋体"/>
                  <w:i w:val="0"/>
                  <w:color w:val="000000"/>
                  <w:kern w:val="0"/>
                  <w:sz w:val="20"/>
                  <w:szCs w:val="20"/>
                  <w:u w:val="none"/>
                  <w:lang w:val="en-US" w:eastAsia="zh-CN" w:bidi="ar"/>
                </w:rPr>
                <w:t xml:space="preserve">    3、本工程所用材料品牌均必须采用以上指定品牌同等类型、同等质量、同等价位及以上的产品。</w:t>
              </w:r>
            </w:ins>
          </w:p>
        </w:tc>
      </w:tr>
      <w:tr>
        <w:tblPrEx>
          <w:tblCellMar>
            <w:top w:w="0" w:type="dxa"/>
            <w:left w:w="0" w:type="dxa"/>
            <w:bottom w:w="0" w:type="dxa"/>
            <w:right w:w="0" w:type="dxa"/>
          </w:tblCellMar>
        </w:tblPrEx>
        <w:trPr>
          <w:trHeight w:val="402" w:hRule="atLeast"/>
          <w:ins w:id="319" w:author="fyq1414237484" w:date="2020-05-20T12:03:00Z"/>
        </w:trPr>
        <w:tc>
          <w:tcPr>
            <w:tcW w:w="0" w:type="auto"/>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ins w:id="320" w:author="fyq1414237484" w:date="2020-05-20T12:03:00Z"/>
                <w:rFonts w:hint="eastAsia" w:ascii="宋体" w:hAnsi="宋体" w:eastAsia="宋体" w:cs="宋体"/>
                <w:i w:val="0"/>
                <w:color w:val="000000"/>
                <w:sz w:val="20"/>
                <w:szCs w:val="20"/>
                <w:u w:val="none"/>
              </w:rPr>
            </w:pPr>
            <w:ins w:id="321" w:author="fyq1414237484" w:date="2020-05-20T12:03:00Z">
              <w:r>
                <w:rPr>
                  <w:rFonts w:hint="eastAsia" w:ascii="宋体" w:hAnsi="宋体" w:eastAsia="宋体" w:cs="宋体"/>
                  <w:i w:val="0"/>
                  <w:color w:val="000000"/>
                  <w:kern w:val="0"/>
                  <w:sz w:val="20"/>
                  <w:szCs w:val="20"/>
                  <w:u w:val="none"/>
                  <w:lang w:val="en-US" w:eastAsia="zh-CN" w:bidi="ar"/>
                </w:rPr>
                <w:t xml:space="preserve">    4、本工程所用各类胶水必须达到环保E0级。</w:t>
              </w:r>
            </w:ins>
          </w:p>
        </w:tc>
      </w:tr>
      <w:tr>
        <w:tblPrEx>
          <w:tblCellMar>
            <w:top w:w="0" w:type="dxa"/>
            <w:left w:w="0" w:type="dxa"/>
            <w:bottom w:w="0" w:type="dxa"/>
            <w:right w:w="0" w:type="dxa"/>
          </w:tblCellMar>
        </w:tblPrEx>
        <w:trPr>
          <w:trHeight w:val="563" w:hRule="atLeast"/>
          <w:ins w:id="322" w:author="fyq1414237484" w:date="2020-05-20T12:03:00Z"/>
        </w:trPr>
        <w:tc>
          <w:tcPr>
            <w:tcW w:w="8475" w:type="dxa"/>
            <w:gridSpan w:val="6"/>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left"/>
              <w:textAlignment w:val="top"/>
              <w:rPr>
                <w:ins w:id="323" w:author="fyq1414237484" w:date="2020-05-20T12:03:00Z"/>
                <w:rFonts w:hint="eastAsia" w:ascii="宋体" w:hAnsi="宋体" w:eastAsia="宋体" w:cs="宋体"/>
                <w:i w:val="0"/>
                <w:color w:val="000000"/>
                <w:sz w:val="20"/>
                <w:szCs w:val="20"/>
                <w:u w:val="none"/>
              </w:rPr>
            </w:pPr>
            <w:ins w:id="324" w:author="fyq1414237484" w:date="2020-05-20T12:03:00Z">
              <w:r>
                <w:rPr>
                  <w:rFonts w:hint="eastAsia" w:ascii="宋体" w:hAnsi="宋体" w:eastAsia="宋体" w:cs="宋体"/>
                  <w:i w:val="0"/>
                  <w:color w:val="000000"/>
                  <w:kern w:val="0"/>
                  <w:sz w:val="20"/>
                  <w:szCs w:val="20"/>
                  <w:u w:val="none"/>
                  <w:lang w:val="en-US" w:eastAsia="zh-CN" w:bidi="ar"/>
                </w:rPr>
                <w:t xml:space="preserve">    5、在本项目施工期间如出现业主提供的品牌表中某品牌已停止生产或其他何种原因无法采购到时，由业主在原有品牌中  任选其他某一品牌，中标单位不得有异议，费用不作调整。  </w:t>
              </w:r>
            </w:ins>
          </w:p>
        </w:tc>
      </w:tr>
    </w:tbl>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spacing w:line="360" w:lineRule="auto"/>
        <w:ind w:left="479" w:leftChars="228"/>
        <w:rPr>
          <w:rFonts w:hint="eastAsia" w:ascii="??" w:eastAsia="??"/>
          <w:kern w:val="2"/>
          <w:szCs w:val="24"/>
          <w:lang w:val="en-US"/>
        </w:rPr>
      </w:pPr>
    </w:p>
    <w:p>
      <w:pPr>
        <w:pStyle w:val="2"/>
        <w:numPr>
          <w:ilvl w:val="0"/>
          <w:numId w:val="6"/>
        </w:numPr>
        <w:spacing w:line="360" w:lineRule="auto"/>
        <w:ind w:left="479" w:leftChars="228"/>
        <w:jc w:val="center"/>
        <w:rPr>
          <w:rFonts w:hint="eastAsia"/>
          <w:b/>
          <w:bCs/>
          <w:kern w:val="2"/>
          <w:sz w:val="36"/>
          <w:szCs w:val="36"/>
          <w:lang w:val="en-US"/>
        </w:rPr>
      </w:pPr>
      <w:r>
        <w:rPr>
          <w:rFonts w:hint="eastAsia"/>
          <w:b/>
          <w:bCs/>
          <w:kern w:val="2"/>
          <w:sz w:val="36"/>
          <w:szCs w:val="36"/>
          <w:lang w:val="en-US"/>
        </w:rPr>
        <w:t>合同样本</w:t>
      </w:r>
      <w:bookmarkEnd w:id="7"/>
      <w:bookmarkEnd w:id="8"/>
    </w:p>
    <w:p>
      <w:pPr>
        <w:pStyle w:val="12"/>
        <w:wordWrap w:val="0"/>
        <w:snapToGrid w:val="0"/>
        <w:spacing w:line="360" w:lineRule="auto"/>
        <w:jc w:val="right"/>
        <w:rPr>
          <w:rFonts w:hint="eastAsia" w:hAnsi="宋体"/>
          <w:color w:val="000000"/>
          <w:sz w:val="24"/>
          <w:szCs w:val="24"/>
        </w:rPr>
      </w:pPr>
    </w:p>
    <w:p>
      <w:pPr>
        <w:pStyle w:val="12"/>
        <w:wordWrap w:val="0"/>
        <w:snapToGrid w:val="0"/>
        <w:spacing w:line="360" w:lineRule="auto"/>
        <w:jc w:val="right"/>
        <w:rPr>
          <w:rFonts w:hint="eastAsia" w:hAnsi="宋体"/>
          <w:b/>
          <w:sz w:val="24"/>
          <w:szCs w:val="24"/>
        </w:rPr>
      </w:pPr>
      <w:r>
        <w:rPr>
          <w:rFonts w:hint="eastAsia" w:hAnsi="宋体"/>
          <w:sz w:val="24"/>
          <w:szCs w:val="24"/>
        </w:rPr>
        <w:t xml:space="preserve">合同编号：            </w:t>
      </w:r>
    </w:p>
    <w:p>
      <w:pPr>
        <w:snapToGrid w:val="0"/>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甲方： </w:t>
      </w:r>
      <w:r>
        <w:rPr>
          <w:rFonts w:ascii="宋体" w:hAnsi="宋体" w:cs="宋体"/>
          <w:kern w:val="0"/>
          <w:sz w:val="24"/>
          <w:szCs w:val="24"/>
        </w:rPr>
        <w:t xml:space="preserve">          </w:t>
      </w:r>
      <w:r>
        <w:rPr>
          <w:rFonts w:hint="eastAsia" w:ascii="宋体" w:hAnsi="宋体" w:cs="宋体"/>
          <w:kern w:val="0"/>
          <w:sz w:val="24"/>
          <w:szCs w:val="24"/>
        </w:rPr>
        <w:t xml:space="preserve"> （以下简称甲方）</w:t>
      </w:r>
    </w:p>
    <w:p>
      <w:pPr>
        <w:spacing w:line="520" w:lineRule="exact"/>
        <w:ind w:firstLine="480" w:firstLineChars="200"/>
        <w:rPr>
          <w:rFonts w:hint="eastAsia" w:ascii="宋体" w:hAnsi="宋体" w:cs="宋体"/>
          <w:kern w:val="0"/>
          <w:sz w:val="24"/>
          <w:szCs w:val="24"/>
        </w:rPr>
      </w:pPr>
      <w:r>
        <w:rPr>
          <w:rFonts w:hint="eastAsia" w:ascii="宋体" w:hAnsi="宋体" w:cs="宋体"/>
          <w:kern w:val="0"/>
          <w:sz w:val="24"/>
          <w:szCs w:val="24"/>
        </w:rPr>
        <w:t>乙方：</w:t>
      </w:r>
      <w:r>
        <w:rPr>
          <w:rFonts w:ascii="宋体" w:hAnsi="宋体" w:cs="宋体"/>
          <w:kern w:val="0"/>
          <w:sz w:val="24"/>
          <w:szCs w:val="24"/>
        </w:rPr>
        <w:t xml:space="preserve">     </w:t>
      </w:r>
      <w:r>
        <w:rPr>
          <w:rFonts w:hint="eastAsia" w:ascii="宋体" w:hAnsi="宋体" w:cs="宋体"/>
          <w:kern w:val="0"/>
          <w:sz w:val="24"/>
          <w:szCs w:val="24"/>
        </w:rPr>
        <w:t xml:space="preserve">       （以下简称乙方）</w:t>
      </w:r>
    </w:p>
    <w:p>
      <w:pPr>
        <w:pStyle w:val="10"/>
        <w:spacing w:line="520" w:lineRule="exact"/>
        <w:ind w:firstLine="480" w:firstLineChars="200"/>
        <w:rPr>
          <w:rFonts w:ascii="宋体" w:hAnsi="宋体" w:cs="宋体"/>
          <w:kern w:val="0"/>
          <w:sz w:val="24"/>
          <w:szCs w:val="24"/>
        </w:rPr>
      </w:pPr>
      <w:r>
        <w:rPr>
          <w:rFonts w:hint="eastAsia" w:ascii="宋体" w:hAnsi="宋体" w:cs="宋体"/>
          <w:kern w:val="0"/>
          <w:sz w:val="24"/>
          <w:szCs w:val="24"/>
        </w:rPr>
        <w:t>经甲、乙双方友好协商，现就</w:t>
      </w:r>
      <w:r>
        <w:rPr>
          <w:rFonts w:hint="eastAsia" w:ascii="宋体" w:hAnsi="宋体"/>
          <w:sz w:val="24"/>
          <w:szCs w:val="24"/>
          <w:lang w:eastAsia="zh-CN"/>
        </w:rPr>
        <w:t>南苑街道综治中心建设服务</w:t>
      </w:r>
      <w:r>
        <w:rPr>
          <w:rFonts w:hint="eastAsia" w:ascii="宋体" w:hAnsi="宋体"/>
          <w:sz w:val="24"/>
          <w:szCs w:val="24"/>
        </w:rPr>
        <w:t>采购项目</w:t>
      </w:r>
      <w:r>
        <w:rPr>
          <w:rFonts w:hint="eastAsia" w:ascii="宋体" w:hAnsi="宋体" w:cs="宋体"/>
          <w:kern w:val="0"/>
          <w:sz w:val="24"/>
          <w:szCs w:val="24"/>
        </w:rPr>
        <w:t>的有关事宜达成如下约定：</w:t>
      </w:r>
    </w:p>
    <w:p>
      <w:pPr>
        <w:numPr>
          <w:ilvl w:val="0"/>
          <w:numId w:val="7"/>
        </w:numPr>
        <w:spacing w:line="360" w:lineRule="auto"/>
        <w:rPr>
          <w:rFonts w:ascii="宋体" w:hAnsi="宋体"/>
          <w:b/>
          <w:sz w:val="24"/>
          <w:szCs w:val="24"/>
        </w:rPr>
      </w:pPr>
      <w:r>
        <w:rPr>
          <w:rFonts w:hint="eastAsia" w:ascii="宋体" w:hAnsi="宋体"/>
          <w:b/>
          <w:sz w:val="24"/>
          <w:szCs w:val="24"/>
        </w:rPr>
        <w:t>下列文件为本工程的合同文件（ 以下简称“合同文件” ）</w:t>
      </w:r>
    </w:p>
    <w:p>
      <w:pPr>
        <w:numPr>
          <w:ilvl w:val="0"/>
          <w:numId w:val="8"/>
        </w:numPr>
        <w:spacing w:line="360" w:lineRule="auto"/>
        <w:rPr>
          <w:rFonts w:ascii="宋体"/>
          <w:sz w:val="24"/>
          <w:szCs w:val="24"/>
        </w:rPr>
      </w:pPr>
      <w:r>
        <w:rPr>
          <w:rFonts w:hint="eastAsia" w:ascii="宋体"/>
          <w:sz w:val="24"/>
          <w:szCs w:val="24"/>
        </w:rPr>
        <w:t>提交投标文件后双方签署的中标协议及往来函件</w:t>
      </w:r>
    </w:p>
    <w:p>
      <w:pPr>
        <w:numPr>
          <w:ilvl w:val="0"/>
          <w:numId w:val="8"/>
        </w:numPr>
        <w:spacing w:line="360" w:lineRule="auto"/>
        <w:rPr>
          <w:sz w:val="24"/>
          <w:szCs w:val="24"/>
        </w:rPr>
      </w:pPr>
      <w:r>
        <w:rPr>
          <w:rFonts w:hint="eastAsia" w:ascii="宋体" w:hAnsi="宋体"/>
          <w:sz w:val="24"/>
          <w:szCs w:val="24"/>
        </w:rPr>
        <w:t>本合同条件</w:t>
      </w:r>
    </w:p>
    <w:p>
      <w:pPr>
        <w:numPr>
          <w:ilvl w:val="0"/>
          <w:numId w:val="8"/>
        </w:numPr>
        <w:spacing w:line="360" w:lineRule="auto"/>
        <w:rPr>
          <w:sz w:val="24"/>
          <w:szCs w:val="24"/>
        </w:rPr>
      </w:pPr>
      <w:r>
        <w:rPr>
          <w:rFonts w:hint="eastAsia" w:ascii="宋体" w:hAnsi="宋体"/>
          <w:sz w:val="24"/>
          <w:szCs w:val="24"/>
        </w:rPr>
        <w:t>附件内容及要求</w:t>
      </w:r>
    </w:p>
    <w:p>
      <w:pPr>
        <w:numPr>
          <w:ilvl w:val="0"/>
          <w:numId w:val="8"/>
        </w:numPr>
        <w:spacing w:line="360" w:lineRule="auto"/>
        <w:rPr>
          <w:sz w:val="24"/>
          <w:szCs w:val="24"/>
        </w:rPr>
      </w:pPr>
      <w:r>
        <w:rPr>
          <w:rFonts w:hint="eastAsia"/>
          <w:sz w:val="24"/>
          <w:szCs w:val="24"/>
        </w:rPr>
        <w:t>投标书、招标文件中关于基本技术要求、交货期及安装工期要求、质量要求、商务标报价要求</w:t>
      </w:r>
    </w:p>
    <w:p>
      <w:pPr>
        <w:numPr>
          <w:ilvl w:val="0"/>
          <w:numId w:val="8"/>
        </w:numPr>
        <w:spacing w:line="360" w:lineRule="auto"/>
        <w:rPr>
          <w:sz w:val="24"/>
          <w:szCs w:val="24"/>
        </w:rPr>
      </w:pPr>
      <w:r>
        <w:rPr>
          <w:rFonts w:hint="eastAsia" w:ascii="宋体" w:hAnsi="宋体"/>
          <w:sz w:val="24"/>
          <w:szCs w:val="24"/>
        </w:rPr>
        <w:t>图纸、设计变更</w:t>
      </w:r>
    </w:p>
    <w:p>
      <w:pPr>
        <w:numPr>
          <w:ilvl w:val="0"/>
          <w:numId w:val="8"/>
        </w:numPr>
        <w:spacing w:line="360" w:lineRule="auto"/>
        <w:rPr>
          <w:sz w:val="24"/>
          <w:szCs w:val="24"/>
        </w:rPr>
      </w:pPr>
      <w:r>
        <w:rPr>
          <w:rFonts w:hint="eastAsia" w:ascii="宋体" w:hAnsi="宋体"/>
          <w:sz w:val="24"/>
          <w:szCs w:val="24"/>
        </w:rPr>
        <w:t>技术法规、强制性标准条文</w:t>
      </w:r>
    </w:p>
    <w:p>
      <w:pPr>
        <w:numPr>
          <w:ilvl w:val="0"/>
          <w:numId w:val="8"/>
        </w:numPr>
        <w:spacing w:line="360" w:lineRule="auto"/>
        <w:rPr>
          <w:sz w:val="24"/>
          <w:szCs w:val="24"/>
        </w:rPr>
      </w:pPr>
      <w:r>
        <w:rPr>
          <w:rFonts w:hint="eastAsia" w:ascii="宋体" w:hAnsi="宋体"/>
          <w:sz w:val="24"/>
          <w:szCs w:val="24"/>
        </w:rPr>
        <w:t>国家、地方其他行政或技术规定。</w:t>
      </w:r>
    </w:p>
    <w:p>
      <w:pPr>
        <w:spacing w:line="360" w:lineRule="auto"/>
        <w:ind w:left="481" w:leftChars="229" w:firstLine="480" w:firstLineChars="200"/>
        <w:rPr>
          <w:sz w:val="24"/>
          <w:szCs w:val="24"/>
        </w:rPr>
      </w:pPr>
      <w:r>
        <w:rPr>
          <w:rFonts w:hint="eastAsia" w:ascii="宋体" w:hAnsi="宋体"/>
          <w:sz w:val="24"/>
          <w:szCs w:val="24"/>
        </w:rPr>
        <w:t>上述各文件条文是相互解释的，但在出现含糊不清或彼此矛盾时，以上述文件的排列次序作为优先次序对合同意义解释。</w:t>
      </w:r>
    </w:p>
    <w:p>
      <w:pPr>
        <w:spacing w:line="360" w:lineRule="auto"/>
        <w:ind w:left="481" w:leftChars="229" w:firstLine="480" w:firstLineChars="200"/>
        <w:rPr>
          <w:rFonts w:ascii="宋体" w:hAnsi="宋体"/>
          <w:sz w:val="24"/>
          <w:szCs w:val="24"/>
        </w:rPr>
      </w:pPr>
      <w:r>
        <w:rPr>
          <w:rFonts w:hint="eastAsia" w:ascii="宋体" w:hAnsi="宋体"/>
          <w:sz w:val="24"/>
          <w:szCs w:val="24"/>
        </w:rPr>
        <w:t>合同履行中，双方有关工程的洽商、变更等书面协议或文件，一经双方签字盖章，即视为本合同的组成部分，双方明确遵守合同文件内所有条款。</w:t>
      </w:r>
    </w:p>
    <w:p>
      <w:pPr>
        <w:numPr>
          <w:ilvl w:val="0"/>
          <w:numId w:val="7"/>
        </w:numPr>
        <w:spacing w:line="360" w:lineRule="auto"/>
        <w:rPr>
          <w:rFonts w:hint="eastAsia" w:ascii="宋体" w:hAnsi="宋体"/>
          <w:sz w:val="24"/>
          <w:szCs w:val="24"/>
          <w:u w:val="single"/>
        </w:rPr>
      </w:pPr>
      <w:r>
        <w:rPr>
          <w:rFonts w:hint="eastAsia" w:ascii="宋体" w:hAnsi="宋体"/>
          <w:b/>
          <w:sz w:val="24"/>
          <w:szCs w:val="24"/>
        </w:rPr>
        <w:t>材料供应工程名称：</w:t>
      </w:r>
      <w:r>
        <w:rPr>
          <w:rFonts w:hint="eastAsia" w:ascii="宋体" w:hAnsi="宋体"/>
          <w:sz w:val="24"/>
          <w:szCs w:val="24"/>
        </w:rPr>
        <w:t>余杭区基层治理综合信息指挥中心建设项目</w:t>
      </w:r>
    </w:p>
    <w:p>
      <w:pPr>
        <w:numPr>
          <w:ilvl w:val="0"/>
          <w:numId w:val="7"/>
        </w:numPr>
        <w:spacing w:line="360" w:lineRule="auto"/>
        <w:rPr>
          <w:rFonts w:ascii="宋体" w:hAnsi="宋体"/>
          <w:b/>
          <w:sz w:val="24"/>
          <w:szCs w:val="24"/>
        </w:rPr>
      </w:pPr>
      <w:r>
        <w:rPr>
          <w:rFonts w:hint="eastAsia" w:ascii="宋体" w:hAnsi="宋体"/>
          <w:b/>
          <w:sz w:val="24"/>
          <w:szCs w:val="24"/>
        </w:rPr>
        <w:t>定义</w:t>
      </w:r>
    </w:p>
    <w:p>
      <w:pPr>
        <w:numPr>
          <w:ilvl w:val="0"/>
          <w:numId w:val="9"/>
        </w:numPr>
        <w:spacing w:line="360" w:lineRule="auto"/>
        <w:rPr>
          <w:sz w:val="24"/>
          <w:szCs w:val="24"/>
        </w:rPr>
      </w:pPr>
      <w:r>
        <w:rPr>
          <w:rFonts w:hint="eastAsia"/>
          <w:sz w:val="24"/>
          <w:szCs w:val="24"/>
        </w:rPr>
        <w:t>甲方合同代表：</w:t>
      </w:r>
      <w:r>
        <w:rPr>
          <w:rFonts w:hint="eastAsia"/>
          <w:sz w:val="24"/>
          <w:szCs w:val="24"/>
          <w:u w:val="single"/>
        </w:rPr>
        <w:t xml:space="preserve">                 </w:t>
      </w:r>
      <w:r>
        <w:rPr>
          <w:rFonts w:hint="eastAsia"/>
          <w:sz w:val="24"/>
          <w:szCs w:val="24"/>
        </w:rPr>
        <w:t>，甲方履行本合同的代表，甲方文件经甲方合同代表签署后生效。</w:t>
      </w:r>
    </w:p>
    <w:p>
      <w:pPr>
        <w:numPr>
          <w:ilvl w:val="0"/>
          <w:numId w:val="9"/>
        </w:numPr>
        <w:spacing w:line="360" w:lineRule="auto"/>
        <w:rPr>
          <w:sz w:val="24"/>
          <w:szCs w:val="24"/>
        </w:rPr>
      </w:pPr>
      <w:r>
        <w:rPr>
          <w:rFonts w:hint="eastAsia" w:ascii="宋体" w:hAnsi="宋体"/>
          <w:sz w:val="24"/>
          <w:szCs w:val="24"/>
        </w:rPr>
        <w:t>乙方合同代表：</w:t>
      </w:r>
      <w:r>
        <w:rPr>
          <w:rFonts w:hint="eastAsia" w:ascii="宋体" w:hAnsi="宋体"/>
          <w:sz w:val="24"/>
          <w:szCs w:val="24"/>
          <w:u w:val="single"/>
        </w:rPr>
        <w:t>　　           　</w:t>
      </w:r>
      <w:r>
        <w:rPr>
          <w:rFonts w:hint="eastAsia" w:ascii="宋体" w:hAnsi="宋体"/>
          <w:sz w:val="24"/>
          <w:szCs w:val="24"/>
        </w:rPr>
        <w:t xml:space="preserve">，乙方履行本合同的代表，乙方文件经乙方合同代表签署后生效。 </w:t>
      </w:r>
    </w:p>
    <w:p>
      <w:pPr>
        <w:numPr>
          <w:ilvl w:val="0"/>
          <w:numId w:val="9"/>
        </w:numPr>
        <w:spacing w:line="360" w:lineRule="auto"/>
        <w:rPr>
          <w:sz w:val="24"/>
          <w:szCs w:val="24"/>
        </w:rPr>
      </w:pPr>
      <w:r>
        <w:rPr>
          <w:rFonts w:hint="eastAsia" w:ascii="宋体" w:hAnsi="宋体"/>
          <w:sz w:val="24"/>
          <w:szCs w:val="24"/>
        </w:rPr>
        <w:t>合同价款：指甲乙双方在协议书中约定，</w:t>
      </w:r>
      <w:r>
        <w:rPr>
          <w:rFonts w:hint="eastAsia"/>
          <w:sz w:val="24"/>
          <w:szCs w:val="24"/>
        </w:rPr>
        <w:t>用于</w:t>
      </w:r>
      <w:r>
        <w:rPr>
          <w:rFonts w:hint="eastAsia" w:ascii="宋体" w:hAnsi="宋体"/>
          <w:sz w:val="24"/>
          <w:szCs w:val="24"/>
        </w:rPr>
        <w:t>支付乙方按照合同约定完成承包范围内全部供货或工程并承担质量保修责任的款项。</w:t>
      </w:r>
    </w:p>
    <w:p>
      <w:pPr>
        <w:numPr>
          <w:ilvl w:val="0"/>
          <w:numId w:val="9"/>
        </w:numPr>
        <w:spacing w:line="360" w:lineRule="auto"/>
        <w:rPr>
          <w:rFonts w:ascii="宋体" w:hAnsi="宋体"/>
          <w:sz w:val="24"/>
          <w:szCs w:val="24"/>
        </w:rPr>
      </w:pPr>
      <w:r>
        <w:rPr>
          <w:rFonts w:hint="eastAsia" w:ascii="宋体" w:hAnsi="宋体"/>
          <w:sz w:val="24"/>
          <w:szCs w:val="24"/>
        </w:rPr>
        <w:t>追加</w:t>
      </w:r>
      <w:r>
        <w:rPr>
          <w:rFonts w:ascii="宋体" w:hAnsi="宋体"/>
          <w:sz w:val="24"/>
          <w:szCs w:val="24"/>
        </w:rPr>
        <w:t>/</w:t>
      </w:r>
      <w:r>
        <w:rPr>
          <w:rFonts w:hint="eastAsia" w:ascii="宋体" w:hAnsi="宋体"/>
          <w:sz w:val="24"/>
          <w:szCs w:val="24"/>
        </w:rPr>
        <w:t>扣减合同价款：指在合同履行中发生的需要增加</w:t>
      </w:r>
      <w:r>
        <w:rPr>
          <w:rFonts w:ascii="宋体" w:hAnsi="宋体"/>
          <w:sz w:val="24"/>
          <w:szCs w:val="24"/>
        </w:rPr>
        <w:t>/</w:t>
      </w:r>
      <w:r>
        <w:rPr>
          <w:rFonts w:hint="eastAsia" w:ascii="宋体" w:hAnsi="宋体"/>
          <w:sz w:val="24"/>
          <w:szCs w:val="24"/>
        </w:rPr>
        <w:t>扣减合同价款的情况，经甲方确认后按计算合同价款的方法增加</w:t>
      </w:r>
      <w:r>
        <w:rPr>
          <w:rFonts w:ascii="宋体" w:hAnsi="宋体"/>
          <w:sz w:val="24"/>
          <w:szCs w:val="24"/>
        </w:rPr>
        <w:t>/</w:t>
      </w:r>
      <w:r>
        <w:rPr>
          <w:rFonts w:hint="eastAsia" w:ascii="宋体" w:hAnsi="宋体"/>
          <w:sz w:val="24"/>
          <w:szCs w:val="24"/>
        </w:rPr>
        <w:t>减少的合同价款。</w:t>
      </w:r>
    </w:p>
    <w:p>
      <w:pPr>
        <w:numPr>
          <w:ilvl w:val="0"/>
          <w:numId w:val="9"/>
        </w:numPr>
        <w:spacing w:line="360" w:lineRule="auto"/>
        <w:rPr>
          <w:rFonts w:ascii="宋体" w:hAnsi="宋体"/>
          <w:sz w:val="24"/>
          <w:szCs w:val="24"/>
        </w:rPr>
      </w:pPr>
      <w:r>
        <w:rPr>
          <w:rFonts w:hint="eastAsia" w:ascii="宋体" w:hAnsi="宋体"/>
          <w:sz w:val="24"/>
          <w:szCs w:val="24"/>
        </w:rPr>
        <w:t>费用：指不包含在合同价款之内的应当由甲方或乙方承担的经济支出。</w:t>
      </w:r>
    </w:p>
    <w:p>
      <w:pPr>
        <w:numPr>
          <w:ilvl w:val="0"/>
          <w:numId w:val="9"/>
        </w:numPr>
        <w:spacing w:line="360" w:lineRule="auto"/>
        <w:rPr>
          <w:rFonts w:ascii="宋体" w:hAnsi="宋体"/>
          <w:sz w:val="24"/>
          <w:szCs w:val="24"/>
        </w:rPr>
      </w:pPr>
      <w:r>
        <w:rPr>
          <w:rFonts w:hint="eastAsia" w:ascii="宋体" w:hAnsi="宋体"/>
          <w:sz w:val="24"/>
          <w:szCs w:val="24"/>
        </w:rPr>
        <w:t>供货期/工期：指乙方投标书中承诺，按照日历天数（包括法定节假日）计算的承包天数（总工期、供货期），已充分考虑下雨、下雪、台风、停水、停电等因素在内。</w:t>
      </w:r>
    </w:p>
    <w:p>
      <w:pPr>
        <w:numPr>
          <w:ilvl w:val="0"/>
          <w:numId w:val="9"/>
        </w:numPr>
        <w:spacing w:line="360" w:lineRule="auto"/>
        <w:rPr>
          <w:rFonts w:ascii="宋体" w:hAnsi="宋体"/>
          <w:sz w:val="24"/>
          <w:szCs w:val="24"/>
        </w:rPr>
      </w:pPr>
      <w:r>
        <w:rPr>
          <w:rFonts w:hint="eastAsia" w:ascii="宋体" w:hAnsi="宋体"/>
          <w:sz w:val="24"/>
          <w:szCs w:val="24"/>
        </w:rPr>
        <w:t>工日期：指协议书中约定，乙方完成供货，并通过甲方验收的绝对或相对的日期，承包范围内任何一项材料分段供货未按时或经甲方组织的验收评定为不合格，均视为供货日期延误。</w:t>
      </w:r>
    </w:p>
    <w:p>
      <w:pPr>
        <w:numPr>
          <w:ilvl w:val="0"/>
          <w:numId w:val="9"/>
        </w:numPr>
        <w:spacing w:line="360" w:lineRule="auto"/>
        <w:rPr>
          <w:rFonts w:ascii="宋体" w:hAnsi="宋体"/>
          <w:sz w:val="24"/>
          <w:szCs w:val="24"/>
        </w:rPr>
      </w:pPr>
      <w:r>
        <w:rPr>
          <w:rFonts w:hint="eastAsia" w:ascii="宋体" w:hAnsi="宋体"/>
          <w:sz w:val="24"/>
          <w:szCs w:val="24"/>
        </w:rPr>
        <w:t>书面形式：指合同文件、信件和数据文件（包括电报、电传、传真、电子资料交换和电子邮件）等可以有形地表现所载内容的形式。</w:t>
      </w:r>
    </w:p>
    <w:p>
      <w:pPr>
        <w:numPr>
          <w:ilvl w:val="0"/>
          <w:numId w:val="7"/>
        </w:numPr>
        <w:spacing w:line="360" w:lineRule="auto"/>
        <w:rPr>
          <w:rFonts w:hint="eastAsia" w:ascii="宋体" w:hAnsi="宋体"/>
          <w:b/>
          <w:sz w:val="24"/>
          <w:szCs w:val="24"/>
        </w:rPr>
      </w:pPr>
      <w:r>
        <w:rPr>
          <w:rFonts w:hint="eastAsia" w:ascii="宋体" w:hAnsi="宋体"/>
          <w:b/>
          <w:sz w:val="24"/>
          <w:szCs w:val="24"/>
        </w:rPr>
        <w:t>委托供货内容及价格清单：详见招标文件。</w:t>
      </w:r>
    </w:p>
    <w:p>
      <w:pPr>
        <w:numPr>
          <w:ilvl w:val="0"/>
          <w:numId w:val="7"/>
        </w:numPr>
        <w:spacing w:line="360" w:lineRule="auto"/>
        <w:rPr>
          <w:rFonts w:ascii="宋体" w:hAnsi="宋体"/>
          <w:b/>
          <w:sz w:val="24"/>
          <w:szCs w:val="24"/>
        </w:rPr>
      </w:pPr>
      <w:r>
        <w:rPr>
          <w:rFonts w:hint="eastAsia" w:ascii="宋体" w:hAnsi="宋体"/>
          <w:b/>
          <w:sz w:val="24"/>
          <w:szCs w:val="24"/>
        </w:rPr>
        <w:t>合同价款及支付</w:t>
      </w:r>
    </w:p>
    <w:p>
      <w:pPr>
        <w:numPr>
          <w:ilvl w:val="0"/>
          <w:numId w:val="10"/>
        </w:numPr>
        <w:spacing w:line="360" w:lineRule="auto"/>
        <w:rPr>
          <w:sz w:val="24"/>
          <w:szCs w:val="24"/>
        </w:rPr>
      </w:pPr>
      <w:r>
        <w:rPr>
          <w:rFonts w:hint="eastAsia"/>
          <w:sz w:val="24"/>
          <w:szCs w:val="24"/>
        </w:rPr>
        <w:t>合同签署后，合同中的各单价任何一方不得擅自改变。</w:t>
      </w:r>
    </w:p>
    <w:p>
      <w:pPr>
        <w:numPr>
          <w:ilvl w:val="0"/>
          <w:numId w:val="10"/>
        </w:numPr>
        <w:spacing w:line="360" w:lineRule="auto"/>
        <w:rPr>
          <w:sz w:val="24"/>
          <w:szCs w:val="24"/>
        </w:rPr>
      </w:pPr>
      <w:r>
        <w:rPr>
          <w:rFonts w:hint="eastAsia" w:ascii="宋体" w:hAnsi="宋体"/>
          <w:sz w:val="24"/>
          <w:szCs w:val="24"/>
        </w:rPr>
        <w:t>合同价款及支付：</w:t>
      </w:r>
    </w:p>
    <w:p>
      <w:pPr>
        <w:numPr>
          <w:ilvl w:val="1"/>
          <w:numId w:val="10"/>
        </w:numPr>
        <w:spacing w:line="360" w:lineRule="auto"/>
        <w:rPr>
          <w:rFonts w:hint="eastAsia"/>
          <w:sz w:val="24"/>
          <w:szCs w:val="24"/>
        </w:rPr>
      </w:pPr>
      <w:r>
        <w:rPr>
          <w:rFonts w:hint="eastAsia"/>
          <w:sz w:val="24"/>
          <w:szCs w:val="24"/>
        </w:rPr>
        <w:t xml:space="preserve">合同总金额： （小写）RMB:  </w:t>
      </w:r>
      <w:r>
        <w:rPr>
          <w:rFonts w:hint="eastAsia"/>
          <w:sz w:val="24"/>
          <w:szCs w:val="24"/>
          <w:u w:val="single"/>
        </w:rPr>
        <w:t xml:space="preserve">                       </w:t>
      </w:r>
      <w:r>
        <w:rPr>
          <w:rFonts w:hint="eastAsia"/>
          <w:sz w:val="24"/>
          <w:szCs w:val="24"/>
        </w:rPr>
        <w:t>元整；</w:t>
      </w:r>
    </w:p>
    <w:p>
      <w:pPr>
        <w:spacing w:line="360" w:lineRule="auto"/>
        <w:ind w:left="420"/>
        <w:rPr>
          <w:rFonts w:hint="eastAsia"/>
          <w:sz w:val="24"/>
          <w:szCs w:val="24"/>
        </w:rPr>
      </w:pPr>
      <w:r>
        <w:rPr>
          <w:rFonts w:hint="eastAsia"/>
          <w:sz w:val="24"/>
          <w:szCs w:val="24"/>
        </w:rPr>
        <w:t xml:space="preserve">                  （大写）RMB:  </w:t>
      </w:r>
      <w:r>
        <w:rPr>
          <w:rFonts w:hint="eastAsia"/>
          <w:sz w:val="24"/>
          <w:szCs w:val="24"/>
          <w:u w:val="single"/>
        </w:rPr>
        <w:t xml:space="preserve">                       </w:t>
      </w:r>
      <w:r>
        <w:rPr>
          <w:rFonts w:hint="eastAsia"/>
          <w:sz w:val="24"/>
          <w:szCs w:val="24"/>
        </w:rPr>
        <w:t>元整；</w:t>
      </w:r>
    </w:p>
    <w:p>
      <w:pPr>
        <w:spacing w:line="360" w:lineRule="auto"/>
        <w:ind w:left="420"/>
        <w:rPr>
          <w:rFonts w:hint="eastAsia"/>
          <w:sz w:val="24"/>
          <w:szCs w:val="24"/>
        </w:rPr>
      </w:pPr>
      <w:r>
        <w:rPr>
          <w:rFonts w:hint="eastAsia"/>
          <w:sz w:val="24"/>
          <w:szCs w:val="24"/>
        </w:rPr>
        <w:t xml:space="preserve">                    综合单价固定，工程量按实结算。</w:t>
      </w:r>
    </w:p>
    <w:p>
      <w:pPr>
        <w:numPr>
          <w:ilvl w:val="1"/>
          <w:numId w:val="10"/>
        </w:numPr>
        <w:spacing w:line="360" w:lineRule="auto"/>
        <w:rPr>
          <w:rFonts w:hint="eastAsia"/>
          <w:sz w:val="24"/>
          <w:szCs w:val="24"/>
        </w:rPr>
      </w:pPr>
      <w:r>
        <w:rPr>
          <w:rFonts w:hint="eastAsia" w:ascii="宋体"/>
          <w:sz w:val="24"/>
          <w:szCs w:val="24"/>
        </w:rPr>
        <w:t>付款方式：</w:t>
      </w:r>
    </w:p>
    <w:p>
      <w:pPr>
        <w:autoSpaceDE w:val="0"/>
        <w:autoSpaceDN w:val="0"/>
        <w:adjustRightInd w:val="0"/>
        <w:snapToGrid w:val="0"/>
        <w:spacing w:line="420" w:lineRule="exact"/>
        <w:ind w:left="480"/>
        <w:textAlignment w:val="bottom"/>
        <w:rPr>
          <w:rFonts w:hint="eastAsia"/>
          <w:sz w:val="24"/>
          <w:szCs w:val="24"/>
          <w:highlight w:val="yellow"/>
        </w:rPr>
      </w:pPr>
      <w:r>
        <w:rPr>
          <w:rFonts w:hint="eastAsia"/>
          <w:sz w:val="24"/>
          <w:szCs w:val="24"/>
          <w:highlight w:val="yellow"/>
        </w:rPr>
        <w:t>1、</w:t>
      </w:r>
      <w:r>
        <w:rPr>
          <w:sz w:val="24"/>
          <w:szCs w:val="24"/>
          <w:highlight w:val="yellow"/>
        </w:rPr>
        <w:t>合同签订后</w:t>
      </w:r>
      <w:r>
        <w:rPr>
          <w:rFonts w:hint="eastAsia"/>
          <w:sz w:val="24"/>
          <w:szCs w:val="24"/>
          <w:highlight w:val="yellow"/>
        </w:rPr>
        <w:t>10天内</w:t>
      </w:r>
      <w:r>
        <w:rPr>
          <w:sz w:val="24"/>
          <w:szCs w:val="24"/>
          <w:highlight w:val="yellow"/>
        </w:rPr>
        <w:t>，买方支付合同总价的</w:t>
      </w:r>
      <w:r>
        <w:rPr>
          <w:rFonts w:hint="eastAsia"/>
          <w:sz w:val="24"/>
          <w:szCs w:val="24"/>
          <w:highlight w:val="yellow"/>
        </w:rPr>
        <w:t>2</w:t>
      </w:r>
      <w:r>
        <w:rPr>
          <w:sz w:val="24"/>
          <w:szCs w:val="24"/>
          <w:highlight w:val="yellow"/>
        </w:rPr>
        <w:t>0%作为</w:t>
      </w:r>
      <w:r>
        <w:rPr>
          <w:rFonts w:hint="eastAsia"/>
          <w:sz w:val="24"/>
          <w:szCs w:val="24"/>
          <w:highlight w:val="yellow"/>
        </w:rPr>
        <w:t>预付款</w:t>
      </w:r>
      <w:r>
        <w:rPr>
          <w:sz w:val="24"/>
          <w:szCs w:val="24"/>
          <w:highlight w:val="yellow"/>
        </w:rPr>
        <w:t>；</w:t>
      </w:r>
    </w:p>
    <w:p>
      <w:pPr>
        <w:autoSpaceDE w:val="0"/>
        <w:autoSpaceDN w:val="0"/>
        <w:adjustRightInd w:val="0"/>
        <w:snapToGrid w:val="0"/>
        <w:spacing w:line="420" w:lineRule="exact"/>
        <w:ind w:left="480"/>
        <w:textAlignment w:val="bottom"/>
        <w:rPr>
          <w:rFonts w:hint="eastAsia"/>
          <w:sz w:val="24"/>
          <w:szCs w:val="24"/>
          <w:highlight w:val="yellow"/>
        </w:rPr>
      </w:pPr>
      <w:r>
        <w:rPr>
          <w:rFonts w:hint="eastAsia"/>
          <w:sz w:val="24"/>
          <w:szCs w:val="24"/>
          <w:highlight w:val="yellow"/>
        </w:rPr>
        <w:t>2、设备到货后10天内并收到下列单据</w:t>
      </w:r>
      <w:r>
        <w:rPr>
          <w:sz w:val="24"/>
          <w:szCs w:val="24"/>
          <w:highlight w:val="yellow"/>
        </w:rPr>
        <w:t>后，买方支付合同总价的</w:t>
      </w:r>
      <w:r>
        <w:rPr>
          <w:rFonts w:hint="eastAsia"/>
          <w:sz w:val="24"/>
          <w:szCs w:val="24"/>
          <w:highlight w:val="yellow"/>
        </w:rPr>
        <w:t>6</w:t>
      </w:r>
      <w:r>
        <w:rPr>
          <w:sz w:val="24"/>
          <w:szCs w:val="24"/>
          <w:highlight w:val="yellow"/>
        </w:rPr>
        <w:t>0%；</w:t>
      </w:r>
    </w:p>
    <w:p>
      <w:pPr>
        <w:numPr>
          <w:ilvl w:val="0"/>
          <w:numId w:val="11"/>
        </w:numPr>
        <w:autoSpaceDE w:val="0"/>
        <w:autoSpaceDN w:val="0"/>
        <w:adjustRightInd w:val="0"/>
        <w:snapToGrid w:val="0"/>
        <w:spacing w:line="420" w:lineRule="exact"/>
        <w:textAlignment w:val="bottom"/>
        <w:rPr>
          <w:rFonts w:hint="eastAsia"/>
          <w:sz w:val="24"/>
          <w:szCs w:val="24"/>
        </w:rPr>
      </w:pPr>
      <w:r>
        <w:rPr>
          <w:rFonts w:hint="eastAsia"/>
          <w:sz w:val="24"/>
          <w:szCs w:val="24"/>
        </w:rPr>
        <w:t>由卖方出具的原始装箱单，标明箱号/总箱号；</w:t>
      </w:r>
    </w:p>
    <w:p>
      <w:pPr>
        <w:numPr>
          <w:ilvl w:val="0"/>
          <w:numId w:val="11"/>
        </w:numPr>
        <w:autoSpaceDE w:val="0"/>
        <w:autoSpaceDN w:val="0"/>
        <w:adjustRightInd w:val="0"/>
        <w:snapToGrid w:val="0"/>
        <w:spacing w:line="420" w:lineRule="exact"/>
        <w:textAlignment w:val="bottom"/>
        <w:rPr>
          <w:rFonts w:hint="eastAsia"/>
          <w:sz w:val="24"/>
          <w:szCs w:val="24"/>
        </w:rPr>
      </w:pPr>
      <w:r>
        <w:rPr>
          <w:rFonts w:hint="eastAsia"/>
          <w:sz w:val="24"/>
          <w:szCs w:val="24"/>
        </w:rPr>
        <w:t>若进口设备，提供海关报关单、商检合格证明、原产地证明等文件；</w:t>
      </w:r>
    </w:p>
    <w:p>
      <w:pPr>
        <w:numPr>
          <w:ilvl w:val="0"/>
          <w:numId w:val="11"/>
        </w:numPr>
        <w:autoSpaceDE w:val="0"/>
        <w:autoSpaceDN w:val="0"/>
        <w:adjustRightInd w:val="0"/>
        <w:snapToGrid w:val="0"/>
        <w:spacing w:line="420" w:lineRule="exact"/>
        <w:textAlignment w:val="bottom"/>
        <w:rPr>
          <w:rFonts w:hint="eastAsia"/>
          <w:sz w:val="24"/>
          <w:szCs w:val="24"/>
        </w:rPr>
      </w:pPr>
      <w:r>
        <w:rPr>
          <w:rFonts w:hint="eastAsia"/>
          <w:sz w:val="24"/>
          <w:szCs w:val="24"/>
        </w:rPr>
        <w:t>由卖方及买方代表签署的初验合格证书；</w:t>
      </w:r>
    </w:p>
    <w:p>
      <w:pPr>
        <w:numPr>
          <w:ilvl w:val="0"/>
          <w:numId w:val="11"/>
        </w:numPr>
        <w:autoSpaceDE w:val="0"/>
        <w:autoSpaceDN w:val="0"/>
        <w:adjustRightInd w:val="0"/>
        <w:snapToGrid w:val="0"/>
        <w:spacing w:line="420" w:lineRule="exact"/>
        <w:textAlignment w:val="bottom"/>
        <w:rPr>
          <w:rFonts w:hint="eastAsia"/>
          <w:sz w:val="24"/>
          <w:szCs w:val="24"/>
        </w:rPr>
      </w:pPr>
      <w:r>
        <w:rPr>
          <w:rFonts w:hint="eastAsia"/>
          <w:sz w:val="24"/>
          <w:szCs w:val="24"/>
        </w:rPr>
        <w:t>由卖方签发的质量和数量证明书；</w:t>
      </w:r>
    </w:p>
    <w:p>
      <w:pPr>
        <w:adjustRightInd w:val="0"/>
        <w:snapToGrid w:val="0"/>
        <w:spacing w:line="420" w:lineRule="exact"/>
        <w:ind w:left="480"/>
        <w:rPr>
          <w:rFonts w:hint="eastAsia"/>
          <w:sz w:val="24"/>
          <w:szCs w:val="24"/>
        </w:rPr>
      </w:pPr>
      <w:r>
        <w:rPr>
          <w:rFonts w:hint="eastAsia"/>
          <w:sz w:val="24"/>
          <w:szCs w:val="24"/>
        </w:rPr>
        <w:t>3、</w:t>
      </w:r>
      <w:r>
        <w:rPr>
          <w:sz w:val="24"/>
          <w:szCs w:val="24"/>
        </w:rPr>
        <w:t>在设备</w:t>
      </w:r>
      <w:r>
        <w:rPr>
          <w:rFonts w:hint="eastAsia"/>
          <w:sz w:val="24"/>
          <w:szCs w:val="24"/>
        </w:rPr>
        <w:t>安装</w:t>
      </w:r>
      <w:r>
        <w:rPr>
          <w:sz w:val="24"/>
          <w:szCs w:val="24"/>
        </w:rPr>
        <w:t>调试</w:t>
      </w:r>
      <w:r>
        <w:rPr>
          <w:rFonts w:hint="eastAsia"/>
          <w:sz w:val="24"/>
          <w:szCs w:val="24"/>
        </w:rPr>
        <w:t>完毕后10天内并收到下列单据</w:t>
      </w:r>
      <w:r>
        <w:rPr>
          <w:sz w:val="24"/>
          <w:szCs w:val="24"/>
        </w:rPr>
        <w:t>后，买方支付合同总价的</w:t>
      </w:r>
      <w:r>
        <w:rPr>
          <w:rFonts w:hint="eastAsia"/>
          <w:sz w:val="24"/>
          <w:szCs w:val="24"/>
        </w:rPr>
        <w:t>20</w:t>
      </w:r>
      <w:r>
        <w:rPr>
          <w:sz w:val="24"/>
          <w:szCs w:val="24"/>
        </w:rPr>
        <w:t>%；</w:t>
      </w:r>
    </w:p>
    <w:p>
      <w:pPr>
        <w:numPr>
          <w:ilvl w:val="0"/>
          <w:numId w:val="12"/>
        </w:numPr>
        <w:autoSpaceDE w:val="0"/>
        <w:autoSpaceDN w:val="0"/>
        <w:adjustRightInd w:val="0"/>
        <w:snapToGrid w:val="0"/>
        <w:spacing w:line="420" w:lineRule="exact"/>
        <w:textAlignment w:val="bottom"/>
        <w:rPr>
          <w:rFonts w:hint="eastAsia"/>
          <w:sz w:val="24"/>
          <w:szCs w:val="24"/>
        </w:rPr>
      </w:pPr>
      <w:r>
        <w:rPr>
          <w:rFonts w:hint="eastAsia"/>
          <w:sz w:val="24"/>
          <w:szCs w:val="24"/>
        </w:rPr>
        <w:t>双方签署的试运行合格报告；</w:t>
      </w:r>
    </w:p>
    <w:p>
      <w:pPr>
        <w:numPr>
          <w:ilvl w:val="0"/>
          <w:numId w:val="12"/>
        </w:numPr>
        <w:autoSpaceDE w:val="0"/>
        <w:autoSpaceDN w:val="0"/>
        <w:adjustRightInd w:val="0"/>
        <w:snapToGrid w:val="0"/>
        <w:spacing w:line="420" w:lineRule="exact"/>
        <w:textAlignment w:val="bottom"/>
        <w:rPr>
          <w:sz w:val="24"/>
          <w:szCs w:val="24"/>
        </w:rPr>
      </w:pPr>
      <w:r>
        <w:rPr>
          <w:rFonts w:hint="eastAsia"/>
          <w:sz w:val="24"/>
          <w:szCs w:val="24"/>
        </w:rPr>
        <w:t>双方签署的最终验收合格报告（或政府检验机构的验收合格证明文件）。</w:t>
      </w:r>
    </w:p>
    <w:p>
      <w:pPr>
        <w:numPr>
          <w:ilvl w:val="0"/>
          <w:numId w:val="7"/>
        </w:numPr>
        <w:spacing w:line="360" w:lineRule="auto"/>
        <w:rPr>
          <w:rFonts w:ascii="宋体" w:hAnsi="宋体"/>
          <w:b/>
          <w:sz w:val="24"/>
          <w:szCs w:val="24"/>
        </w:rPr>
      </w:pPr>
      <w:r>
        <w:rPr>
          <w:rFonts w:hint="eastAsia" w:ascii="宋体" w:hAnsi="宋体"/>
          <w:b/>
          <w:sz w:val="24"/>
          <w:szCs w:val="24"/>
        </w:rPr>
        <w:t>材料数量及计量方法</w:t>
      </w:r>
    </w:p>
    <w:p>
      <w:pPr>
        <w:numPr>
          <w:ilvl w:val="0"/>
          <w:numId w:val="13"/>
        </w:numPr>
        <w:spacing w:line="360" w:lineRule="auto"/>
        <w:rPr>
          <w:sz w:val="24"/>
          <w:szCs w:val="24"/>
        </w:rPr>
      </w:pPr>
      <w:r>
        <w:rPr>
          <w:rFonts w:hint="eastAsia"/>
          <w:sz w:val="24"/>
          <w:szCs w:val="24"/>
        </w:rPr>
        <w:t>甲方接受材料的数量计量以交货验收合格的数量为准。</w:t>
      </w:r>
    </w:p>
    <w:p>
      <w:pPr>
        <w:numPr>
          <w:ilvl w:val="0"/>
          <w:numId w:val="13"/>
        </w:numPr>
        <w:spacing w:line="360" w:lineRule="auto"/>
        <w:rPr>
          <w:rFonts w:hint="eastAsia"/>
          <w:sz w:val="24"/>
          <w:szCs w:val="24"/>
        </w:rPr>
      </w:pPr>
      <w:r>
        <w:rPr>
          <w:rFonts w:hint="eastAsia"/>
          <w:sz w:val="24"/>
          <w:szCs w:val="24"/>
        </w:rPr>
        <w:t>现场数量计量时，甲方、乙方至少应有一人参与，现场计量由乙方准备计量记录，计量完成后，各方签字作实。</w:t>
      </w:r>
    </w:p>
    <w:p>
      <w:pPr>
        <w:numPr>
          <w:ilvl w:val="0"/>
          <w:numId w:val="13"/>
        </w:numPr>
        <w:spacing w:line="360" w:lineRule="auto"/>
        <w:rPr>
          <w:sz w:val="24"/>
          <w:szCs w:val="24"/>
        </w:rPr>
      </w:pPr>
      <w:r>
        <w:rPr>
          <w:rFonts w:hint="eastAsia"/>
          <w:sz w:val="24"/>
          <w:szCs w:val="24"/>
        </w:rPr>
        <w:t>乙方应按照订货单的数量及时间地点供货，不得随意打乱顺序及时间供货，发现未按订货单的要求数量供货情况，乙方应尽快配合补足数量，如因此造成工程工期、人力资源浪费等情况的，甲方有权提出索赔。</w:t>
      </w:r>
    </w:p>
    <w:p>
      <w:pPr>
        <w:numPr>
          <w:ilvl w:val="0"/>
          <w:numId w:val="13"/>
        </w:numPr>
        <w:spacing w:line="360" w:lineRule="auto"/>
        <w:rPr>
          <w:rFonts w:hint="eastAsia"/>
          <w:sz w:val="24"/>
          <w:szCs w:val="24"/>
        </w:rPr>
      </w:pPr>
      <w:r>
        <w:rPr>
          <w:rFonts w:hint="eastAsia"/>
          <w:sz w:val="24"/>
          <w:szCs w:val="24"/>
        </w:rPr>
        <w:t>乙方需接受甲方增加供货数量的要求，具体方式为：甲方提前一个生产周期发出有甲方代表签发的书面通知，乙方接到书面文件后即可执行。有成品存货的，乙方应尽快交货。</w:t>
      </w:r>
    </w:p>
    <w:p>
      <w:pPr>
        <w:numPr>
          <w:ilvl w:val="0"/>
          <w:numId w:val="7"/>
        </w:numPr>
        <w:spacing w:line="360" w:lineRule="auto"/>
        <w:rPr>
          <w:b/>
          <w:sz w:val="24"/>
          <w:szCs w:val="24"/>
        </w:rPr>
      </w:pPr>
      <w:r>
        <w:rPr>
          <w:rFonts w:hint="eastAsia" w:ascii="宋体" w:hAnsi="宋体"/>
          <w:b/>
          <w:sz w:val="24"/>
          <w:szCs w:val="24"/>
        </w:rPr>
        <w:t>变更</w:t>
      </w:r>
    </w:p>
    <w:p>
      <w:pPr>
        <w:numPr>
          <w:ilvl w:val="0"/>
          <w:numId w:val="14"/>
        </w:numPr>
        <w:spacing w:line="360" w:lineRule="auto"/>
        <w:rPr>
          <w:sz w:val="24"/>
          <w:szCs w:val="24"/>
        </w:rPr>
      </w:pPr>
      <w:r>
        <w:rPr>
          <w:rFonts w:hint="eastAsia" w:ascii="宋体" w:hAnsi="宋体"/>
          <w:sz w:val="24"/>
          <w:szCs w:val="24"/>
        </w:rPr>
        <w:t>当甲方提出材料数量增减时，合同价款可进行调整。调整的依据为：设备</w:t>
      </w:r>
      <w:r>
        <w:rPr>
          <w:rFonts w:ascii="宋体" w:hAnsi="宋体"/>
          <w:sz w:val="24"/>
          <w:szCs w:val="24"/>
        </w:rPr>
        <w:t>/</w:t>
      </w:r>
      <w:r>
        <w:rPr>
          <w:rFonts w:hint="eastAsia" w:ascii="宋体" w:hAnsi="宋体"/>
          <w:sz w:val="24"/>
          <w:szCs w:val="24"/>
        </w:rPr>
        <w:t>材料清单中的单价×增减的数量。</w:t>
      </w:r>
    </w:p>
    <w:p>
      <w:pPr>
        <w:numPr>
          <w:ilvl w:val="0"/>
          <w:numId w:val="14"/>
        </w:numPr>
        <w:spacing w:line="360" w:lineRule="auto"/>
        <w:rPr>
          <w:sz w:val="24"/>
          <w:szCs w:val="24"/>
        </w:rPr>
      </w:pPr>
      <w:r>
        <w:rPr>
          <w:rFonts w:hint="eastAsia" w:ascii="宋体" w:hAnsi="宋体"/>
          <w:sz w:val="24"/>
          <w:szCs w:val="24"/>
        </w:rPr>
        <w:t>涉及甲方在材料变更的，在变更确定后7天内，提出变更合同价款的报告，经甲方确认后调整合同价款。变更合同价款按下列方法进行：</w:t>
      </w:r>
    </w:p>
    <w:p>
      <w:pPr>
        <w:numPr>
          <w:ilvl w:val="0"/>
          <w:numId w:val="15"/>
        </w:numPr>
        <w:spacing w:line="360" w:lineRule="auto"/>
        <w:rPr>
          <w:sz w:val="24"/>
          <w:szCs w:val="24"/>
        </w:rPr>
      </w:pPr>
      <w:r>
        <w:rPr>
          <w:rFonts w:hint="eastAsia" w:ascii="宋体" w:hAnsi="宋体"/>
          <w:sz w:val="24"/>
          <w:szCs w:val="24"/>
        </w:rPr>
        <w:drawing>
          <wp:anchor distT="0" distB="0" distL="114300" distR="114300" simplePos="0" relativeHeight="251659264" behindDoc="1" locked="1" layoutInCell="1" allowOverlap="1">
            <wp:simplePos x="0" y="0"/>
            <wp:positionH relativeFrom="column">
              <wp:posOffset>4368800</wp:posOffset>
            </wp:positionH>
            <wp:positionV relativeFrom="paragraph">
              <wp:posOffset>9372600</wp:posOffset>
            </wp:positionV>
            <wp:extent cx="558800" cy="533400"/>
            <wp:effectExtent l="0" t="0" r="12700" b="0"/>
            <wp:wrapNone/>
            <wp:docPr id="1" name="Picture 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38"/>
                    <pic:cNvPicPr>
                      <a:picLocks noChangeAspect="1"/>
                    </pic:cNvPicPr>
                  </pic:nvPicPr>
                  <pic:blipFill>
                    <a:blip r:embed="rId17"/>
                    <a:stretch>
                      <a:fillRect/>
                    </a:stretch>
                  </pic:blipFill>
                  <pic:spPr>
                    <a:xfrm>
                      <a:off x="0" y="0"/>
                      <a:ext cx="558800" cy="533400"/>
                    </a:xfrm>
                    <a:prstGeom prst="rect">
                      <a:avLst/>
                    </a:prstGeom>
                    <a:noFill/>
                    <a:ln>
                      <a:noFill/>
                    </a:ln>
                  </pic:spPr>
                </pic:pic>
              </a:graphicData>
            </a:graphic>
          </wp:anchor>
        </w:drawing>
      </w:r>
      <w:r>
        <w:rPr>
          <w:rFonts w:hint="eastAsia" w:ascii="宋体" w:hAnsi="宋体"/>
          <w:sz w:val="24"/>
          <w:szCs w:val="24"/>
        </w:rPr>
        <w:t>合同中已有适用于变更材料的单价，按合同已有的单价变更合同价款；</w:t>
      </w:r>
    </w:p>
    <w:p>
      <w:pPr>
        <w:numPr>
          <w:ilvl w:val="0"/>
          <w:numId w:val="15"/>
        </w:numPr>
        <w:spacing w:line="360" w:lineRule="auto"/>
        <w:rPr>
          <w:sz w:val="24"/>
          <w:szCs w:val="24"/>
        </w:rPr>
      </w:pPr>
      <w:r>
        <w:rPr>
          <w:rFonts w:hint="eastAsia" w:ascii="宋体" w:hAnsi="宋体"/>
          <w:sz w:val="24"/>
          <w:szCs w:val="24"/>
        </w:rPr>
        <w:t>合同中只有适用或类似于变更材料的单价，可以参照类似单价变更合同价款；</w:t>
      </w:r>
    </w:p>
    <w:p>
      <w:pPr>
        <w:numPr>
          <w:ilvl w:val="0"/>
          <w:numId w:val="15"/>
        </w:numPr>
        <w:spacing w:line="360" w:lineRule="auto"/>
        <w:rPr>
          <w:sz w:val="24"/>
          <w:szCs w:val="24"/>
        </w:rPr>
      </w:pPr>
      <w:r>
        <w:rPr>
          <w:rFonts w:hint="eastAsia" w:ascii="宋体" w:hAnsi="宋体"/>
          <w:sz w:val="24"/>
          <w:szCs w:val="24"/>
        </w:rPr>
        <w:t>合同中没有适用或类似于变更材料的价格，由乙方提出适当的变更单价，经甲方确认后执行。</w:t>
      </w:r>
    </w:p>
    <w:p>
      <w:pPr>
        <w:numPr>
          <w:ilvl w:val="0"/>
          <w:numId w:val="14"/>
        </w:numPr>
        <w:spacing w:line="360" w:lineRule="auto"/>
        <w:rPr>
          <w:sz w:val="24"/>
          <w:szCs w:val="24"/>
        </w:rPr>
      </w:pPr>
      <w:r>
        <w:rPr>
          <w:rFonts w:hint="eastAsia" w:ascii="宋体" w:hAnsi="宋体"/>
          <w:sz w:val="24"/>
          <w:szCs w:val="24"/>
        </w:rPr>
        <w:t xml:space="preserve">  乙方在双方确定变更后7天内不向甲方提出变更签证的报告时，视为该项变更不涉及合同价款的变更。</w:t>
      </w:r>
    </w:p>
    <w:p>
      <w:pPr>
        <w:numPr>
          <w:ilvl w:val="0"/>
          <w:numId w:val="14"/>
        </w:numPr>
        <w:spacing w:line="360" w:lineRule="auto"/>
        <w:rPr>
          <w:sz w:val="24"/>
          <w:szCs w:val="24"/>
        </w:rPr>
      </w:pPr>
      <w:r>
        <w:rPr>
          <w:rFonts w:hint="eastAsia" w:ascii="宋体" w:hAnsi="宋体"/>
          <w:sz w:val="24"/>
          <w:szCs w:val="24"/>
        </w:rPr>
        <w:t xml:space="preserve">  甲方提出的对已交货或安装完成的部分进行变更，乙方对于有可能被重复 利用的材料，必须报甲方确认，否则视为全部重新利用。</w:t>
      </w:r>
    </w:p>
    <w:p>
      <w:pPr>
        <w:numPr>
          <w:ilvl w:val="0"/>
          <w:numId w:val="16"/>
        </w:numPr>
        <w:spacing w:line="360" w:lineRule="auto"/>
        <w:rPr>
          <w:rFonts w:hint="eastAsia"/>
          <w:sz w:val="24"/>
          <w:szCs w:val="24"/>
        </w:rPr>
      </w:pPr>
      <w:r>
        <w:rPr>
          <w:rFonts w:hint="eastAsia" w:ascii="宋体" w:hAnsi="宋体"/>
          <w:sz w:val="24"/>
          <w:szCs w:val="24"/>
        </w:rPr>
        <w:t>现场签证须由乙方填写，甲方单位派人审核数量和单价，经甲方代表审定</w:t>
      </w:r>
    </w:p>
    <w:p>
      <w:pPr>
        <w:spacing w:line="360" w:lineRule="auto"/>
        <w:ind w:left="420" w:leftChars="200" w:firstLine="480" w:firstLineChars="200"/>
        <w:rPr>
          <w:sz w:val="24"/>
          <w:szCs w:val="24"/>
        </w:rPr>
      </w:pPr>
      <w:r>
        <w:rPr>
          <w:rFonts w:hint="eastAsia" w:ascii="宋体" w:hAnsi="宋体"/>
          <w:sz w:val="24"/>
          <w:szCs w:val="24"/>
        </w:rPr>
        <w:t>后方为有效。</w:t>
      </w:r>
    </w:p>
    <w:p>
      <w:pPr>
        <w:numPr>
          <w:ilvl w:val="0"/>
          <w:numId w:val="16"/>
        </w:numPr>
        <w:spacing w:line="360" w:lineRule="auto"/>
        <w:ind w:left="839" w:hanging="357"/>
        <w:rPr>
          <w:sz w:val="24"/>
          <w:szCs w:val="24"/>
        </w:rPr>
      </w:pPr>
      <w:r>
        <w:rPr>
          <w:rFonts w:hint="eastAsia" w:ascii="宋体" w:hAnsi="宋体"/>
          <w:sz w:val="24"/>
          <w:szCs w:val="24"/>
        </w:rPr>
        <w:t>乙方不得对合同约定的清单内容进行变更。因乙方擅自变更发生的费用和由此导致甲方的直接损失，由乙方承担，延误的供货期（工期）不予顺延。</w:t>
      </w:r>
    </w:p>
    <w:p>
      <w:pPr>
        <w:numPr>
          <w:ilvl w:val="0"/>
          <w:numId w:val="16"/>
        </w:numPr>
        <w:spacing w:line="360" w:lineRule="auto"/>
        <w:ind w:left="839" w:hanging="357"/>
        <w:rPr>
          <w:sz w:val="24"/>
          <w:szCs w:val="24"/>
        </w:rPr>
      </w:pPr>
      <w:r>
        <w:rPr>
          <w:rFonts w:hint="eastAsia" w:ascii="宋体" w:hAnsi="宋体"/>
          <w:sz w:val="24"/>
          <w:szCs w:val="24"/>
        </w:rPr>
        <w:t>乙方提出的合理化建议涉及到对清单内规定的材料或安装的更改及对材料、的换用，须经甲方代表同意。未经同意擅自更改或换用时，乙方承担由此发生的费用，并赔偿甲方的有关损失，延误的供货期（工期）不予顺延。</w:t>
      </w:r>
    </w:p>
    <w:p>
      <w:pPr>
        <w:numPr>
          <w:ilvl w:val="0"/>
          <w:numId w:val="16"/>
        </w:numPr>
        <w:spacing w:line="360" w:lineRule="auto"/>
        <w:ind w:left="839" w:hanging="357"/>
        <w:rPr>
          <w:sz w:val="24"/>
          <w:szCs w:val="24"/>
        </w:rPr>
      </w:pPr>
      <w:r>
        <w:rPr>
          <w:rFonts w:hint="eastAsia" w:ascii="宋体" w:hAnsi="宋体"/>
          <w:sz w:val="24"/>
          <w:szCs w:val="24"/>
        </w:rPr>
        <w:t>因乙方自身原因导致的签证及变更，乙方无权要求追加合同价款，因甲方原因产生的变更，由甲乙方单独结算及支付。</w:t>
      </w:r>
    </w:p>
    <w:p>
      <w:pPr>
        <w:rPr>
          <w:sz w:val="24"/>
          <w:szCs w:val="24"/>
        </w:rPr>
      </w:pPr>
    </w:p>
    <w:p>
      <w:pPr>
        <w:numPr>
          <w:ilvl w:val="0"/>
          <w:numId w:val="7"/>
        </w:numPr>
        <w:spacing w:line="360" w:lineRule="auto"/>
        <w:rPr>
          <w:rFonts w:ascii="宋体" w:hAnsi="宋体"/>
          <w:b/>
          <w:sz w:val="24"/>
          <w:szCs w:val="24"/>
        </w:rPr>
      </w:pPr>
      <w:r>
        <w:rPr>
          <w:rFonts w:hint="eastAsia" w:ascii="宋体" w:hAnsi="宋体"/>
          <w:b/>
          <w:sz w:val="24"/>
          <w:szCs w:val="24"/>
        </w:rPr>
        <w:t>产品包装和保护</w:t>
      </w:r>
    </w:p>
    <w:p>
      <w:pPr>
        <w:numPr>
          <w:ilvl w:val="0"/>
          <w:numId w:val="17"/>
        </w:numPr>
        <w:spacing w:line="360" w:lineRule="auto"/>
        <w:rPr>
          <w:sz w:val="24"/>
          <w:szCs w:val="24"/>
        </w:rPr>
      </w:pPr>
      <w:r>
        <w:rPr>
          <w:rFonts w:hint="eastAsia" w:ascii="宋体" w:hAnsi="宋体"/>
          <w:sz w:val="24"/>
          <w:szCs w:val="24"/>
        </w:rPr>
        <w:t>材料的包装由乙方负责，按适合运输及仓储的方式设计，费用包含在合同价款中，材料防划伤保护、外包装等齐全。包扎标准可由乙方先做一个样板供甲方认可，包装材料均应为无污染的合格材料，适合长途运输及搬运。</w:t>
      </w:r>
    </w:p>
    <w:p>
      <w:pPr>
        <w:numPr>
          <w:ilvl w:val="0"/>
          <w:numId w:val="17"/>
        </w:numPr>
        <w:spacing w:line="360" w:lineRule="auto"/>
        <w:rPr>
          <w:rFonts w:hint="eastAsia" w:ascii="宋体" w:hAnsi="宋体"/>
          <w:sz w:val="24"/>
          <w:szCs w:val="24"/>
        </w:rPr>
      </w:pPr>
      <w:r>
        <w:rPr>
          <w:rFonts w:hint="eastAsia" w:ascii="宋体" w:hAnsi="宋体"/>
          <w:sz w:val="24"/>
          <w:szCs w:val="24"/>
        </w:rPr>
        <w:t>乙方应在产品明显部位应注明产品标志：制造厂名或商标、产品名称、</w:t>
      </w:r>
    </w:p>
    <w:p>
      <w:pPr>
        <w:spacing w:line="360" w:lineRule="auto"/>
        <w:ind w:left="840" w:leftChars="400"/>
        <w:rPr>
          <w:sz w:val="24"/>
          <w:szCs w:val="24"/>
        </w:rPr>
      </w:pPr>
      <w:r>
        <w:rPr>
          <w:rFonts w:hint="eastAsia" w:ascii="宋体" w:hAnsi="宋体"/>
          <w:sz w:val="24"/>
          <w:szCs w:val="24"/>
        </w:rPr>
        <w:t>产品型号规格、安装部位、制造日期、编号、装箱数量、产品等级、堆放要求、保存环境要求、生产商等资料标识，因标示缺少、不清或与订货单要求编号不匹配，导致安装、推放、保管错误并造成的损失的，乙方负责赔偿，对甲方造成工程工期、人力资源浪费等情况的，甲方有权提出索赔。</w:t>
      </w:r>
    </w:p>
    <w:p>
      <w:pPr>
        <w:numPr>
          <w:ilvl w:val="0"/>
          <w:numId w:val="17"/>
        </w:numPr>
        <w:spacing w:line="360" w:lineRule="auto"/>
        <w:rPr>
          <w:sz w:val="24"/>
          <w:szCs w:val="24"/>
        </w:rPr>
      </w:pPr>
      <w:r>
        <w:rPr>
          <w:rFonts w:hint="eastAsia" w:ascii="宋体" w:hAnsi="宋体"/>
          <w:sz w:val="24"/>
          <w:szCs w:val="24"/>
        </w:rPr>
        <w:t>包装应根据材料特点具备防潮、防雨、防锈、防震、防腐蚀、防刮擦等的功能，乙方对包装的风险负责，因包装设计、制作、质量等原因造成产品损失的，由乙方承担责任。对甲方造成工程工期、人力资源浪费等情况的，甲方有权提出索赔。</w:t>
      </w:r>
    </w:p>
    <w:p>
      <w:pPr>
        <w:numPr>
          <w:ilvl w:val="0"/>
          <w:numId w:val="17"/>
        </w:numPr>
        <w:spacing w:line="360" w:lineRule="auto"/>
        <w:rPr>
          <w:sz w:val="24"/>
          <w:szCs w:val="24"/>
        </w:rPr>
      </w:pPr>
      <w:r>
        <w:rPr>
          <w:rFonts w:hint="eastAsia" w:ascii="宋体" w:hAnsi="宋体"/>
          <w:sz w:val="24"/>
          <w:szCs w:val="24"/>
        </w:rPr>
        <w:t>运输中捆扎稳妥，以保证产品不受磨擦损伤。对没有进行保护或受损的产品，甲方将不予接受。由此产生的一切工期和经济损失均由乙方承担。</w:t>
      </w:r>
    </w:p>
    <w:p>
      <w:pPr>
        <w:numPr>
          <w:ilvl w:val="0"/>
          <w:numId w:val="7"/>
        </w:numPr>
        <w:spacing w:line="360" w:lineRule="auto"/>
        <w:rPr>
          <w:rFonts w:ascii="宋体" w:hAnsi="宋体"/>
          <w:b/>
          <w:sz w:val="24"/>
          <w:szCs w:val="24"/>
        </w:rPr>
      </w:pPr>
      <w:r>
        <w:rPr>
          <w:rFonts w:hint="eastAsia" w:ascii="宋体" w:hAnsi="宋体"/>
          <w:b/>
          <w:sz w:val="24"/>
          <w:szCs w:val="24"/>
        </w:rPr>
        <w:t>运输</w:t>
      </w:r>
    </w:p>
    <w:p>
      <w:pPr>
        <w:spacing w:line="360" w:lineRule="auto"/>
        <w:ind w:left="420" w:leftChars="200" w:firstLine="480" w:firstLineChars="200"/>
        <w:rPr>
          <w:sz w:val="24"/>
          <w:szCs w:val="24"/>
        </w:rPr>
      </w:pPr>
      <w:r>
        <w:rPr>
          <w:rFonts w:hint="eastAsia" w:ascii="宋体" w:hAnsi="宋体"/>
          <w:sz w:val="24"/>
          <w:szCs w:val="24"/>
        </w:rPr>
        <w:t>本合同材料的运输及运输风险由乙方负责，运输费用及运输保险费用包含在合同单价中，甲方对此不负任何责任。</w:t>
      </w:r>
    </w:p>
    <w:p>
      <w:pPr>
        <w:numPr>
          <w:ilvl w:val="0"/>
          <w:numId w:val="7"/>
        </w:numPr>
        <w:spacing w:line="360" w:lineRule="auto"/>
        <w:rPr>
          <w:rFonts w:ascii="宋体" w:hAnsi="宋体"/>
          <w:b/>
          <w:sz w:val="24"/>
          <w:szCs w:val="24"/>
        </w:rPr>
      </w:pPr>
      <w:r>
        <w:rPr>
          <w:rFonts w:hint="eastAsia" w:ascii="宋体" w:hAnsi="宋体"/>
          <w:b/>
          <w:sz w:val="24"/>
          <w:szCs w:val="24"/>
        </w:rPr>
        <w:t>交货</w:t>
      </w:r>
    </w:p>
    <w:p>
      <w:pPr>
        <w:numPr>
          <w:ilvl w:val="0"/>
          <w:numId w:val="18"/>
        </w:numPr>
        <w:spacing w:line="360" w:lineRule="auto"/>
        <w:rPr>
          <w:rFonts w:hint="eastAsia" w:ascii="宋体" w:hAnsi="宋体"/>
          <w:sz w:val="24"/>
          <w:szCs w:val="24"/>
        </w:rPr>
      </w:pPr>
      <w:r>
        <w:rPr>
          <w:rFonts w:hint="eastAsia" w:ascii="宋体" w:hAnsi="宋体"/>
          <w:sz w:val="24"/>
          <w:szCs w:val="24"/>
        </w:rPr>
        <w:t>交货地点：另行通知</w:t>
      </w:r>
    </w:p>
    <w:p>
      <w:pPr>
        <w:numPr>
          <w:ilvl w:val="0"/>
          <w:numId w:val="18"/>
        </w:numPr>
        <w:spacing w:line="360" w:lineRule="auto"/>
        <w:rPr>
          <w:sz w:val="24"/>
          <w:szCs w:val="24"/>
        </w:rPr>
      </w:pPr>
      <w:r>
        <w:rPr>
          <w:rFonts w:hint="eastAsia" w:ascii="宋体" w:hAnsi="宋体"/>
          <w:sz w:val="24"/>
          <w:szCs w:val="24"/>
        </w:rPr>
        <w:t>交货期限：详见招标文件。</w:t>
      </w:r>
    </w:p>
    <w:p>
      <w:pPr>
        <w:numPr>
          <w:ilvl w:val="0"/>
          <w:numId w:val="18"/>
        </w:numPr>
        <w:spacing w:line="360" w:lineRule="auto"/>
        <w:rPr>
          <w:sz w:val="24"/>
          <w:szCs w:val="24"/>
        </w:rPr>
      </w:pPr>
      <w:r>
        <w:rPr>
          <w:rFonts w:hint="eastAsia" w:ascii="宋体" w:hAnsi="宋体"/>
          <w:sz w:val="24"/>
          <w:szCs w:val="24"/>
        </w:rPr>
        <w:t>验收</w:t>
      </w:r>
    </w:p>
    <w:p>
      <w:pPr>
        <w:numPr>
          <w:ilvl w:val="0"/>
          <w:numId w:val="19"/>
        </w:numPr>
        <w:spacing w:line="360" w:lineRule="auto"/>
        <w:rPr>
          <w:sz w:val="24"/>
          <w:szCs w:val="24"/>
        </w:rPr>
      </w:pPr>
      <w:r>
        <w:rPr>
          <w:rFonts w:hint="eastAsia" w:ascii="宋体" w:hAnsi="宋体"/>
          <w:sz w:val="24"/>
          <w:szCs w:val="24"/>
        </w:rPr>
        <w:t>验收应在货物安装完成之后进行。</w:t>
      </w:r>
    </w:p>
    <w:p>
      <w:pPr>
        <w:numPr>
          <w:ilvl w:val="0"/>
          <w:numId w:val="19"/>
        </w:numPr>
        <w:spacing w:line="360" w:lineRule="auto"/>
        <w:rPr>
          <w:rFonts w:hint="eastAsia"/>
          <w:sz w:val="24"/>
          <w:szCs w:val="24"/>
        </w:rPr>
      </w:pPr>
      <w:r>
        <w:rPr>
          <w:rFonts w:hint="eastAsia" w:ascii="宋体" w:hAnsi="宋体"/>
          <w:sz w:val="24"/>
          <w:szCs w:val="24"/>
        </w:rPr>
        <w:t>甲乙双方验收参与人员，根据本合同约定的计量方式、技术标准和质量要求进行交货计量和验收，主要核对：数量、规格型号、产地、质量等级、尺寸、颜色、铭牌参数、包装及标识完整、完好程度、交货资料，双方签字后即表示交货验收完成，可以进行后续加工或安装，但并不免除任何乙方对交货产品存在质量、性能方面的缺陷和不合格的责任、违约责任及对甲方造成损失的赔偿。</w:t>
      </w:r>
    </w:p>
    <w:p>
      <w:pPr>
        <w:numPr>
          <w:ilvl w:val="0"/>
          <w:numId w:val="19"/>
        </w:numPr>
        <w:spacing w:line="360" w:lineRule="auto"/>
        <w:rPr>
          <w:rFonts w:hint="eastAsia" w:ascii="宋体" w:hAnsi="宋体"/>
          <w:sz w:val="24"/>
          <w:szCs w:val="24"/>
        </w:rPr>
      </w:pPr>
      <w:r>
        <w:rPr>
          <w:rFonts w:hint="eastAsia" w:ascii="宋体" w:hAnsi="宋体"/>
          <w:sz w:val="24"/>
          <w:szCs w:val="24"/>
        </w:rPr>
        <w:t>如乙方未指派有关人员在收货地点清点，关于产品的数量及不合格品数量的确定以甲方的验货记录为准进行结算，如甲方收到的数量少于乙方送货单中标明的数量时，乙方承担缺少材料的相应费用及运输费用责任。</w:t>
      </w:r>
    </w:p>
    <w:p>
      <w:pPr>
        <w:numPr>
          <w:ilvl w:val="0"/>
          <w:numId w:val="19"/>
        </w:numPr>
        <w:spacing w:line="360" w:lineRule="auto"/>
        <w:rPr>
          <w:sz w:val="24"/>
          <w:szCs w:val="24"/>
        </w:rPr>
      </w:pPr>
      <w:r>
        <w:rPr>
          <w:rFonts w:hint="eastAsia" w:ascii="宋体" w:hAnsi="宋体"/>
          <w:sz w:val="24"/>
          <w:szCs w:val="24"/>
        </w:rPr>
        <w:t>抽样检验：按每项品种、规格抽检</w:t>
      </w:r>
      <w:r>
        <w:rPr>
          <w:rFonts w:ascii="宋体" w:hAnsi="宋体"/>
          <w:sz w:val="24"/>
          <w:szCs w:val="24"/>
        </w:rPr>
        <w:t>5</w:t>
      </w:r>
      <w:r>
        <w:rPr>
          <w:rFonts w:hint="eastAsia" w:ascii="宋体" w:hAnsi="宋体"/>
          <w:sz w:val="24"/>
          <w:szCs w:val="24"/>
        </w:rPr>
        <w:t>％，并不少于</w:t>
      </w:r>
      <w:r>
        <w:rPr>
          <w:rFonts w:ascii="宋体" w:hAnsi="宋体"/>
          <w:sz w:val="24"/>
          <w:szCs w:val="24"/>
        </w:rPr>
        <w:t>3</w:t>
      </w:r>
      <w:r>
        <w:rPr>
          <w:rFonts w:hint="eastAsia" w:ascii="宋体" w:hAnsi="宋体"/>
          <w:sz w:val="24"/>
          <w:szCs w:val="24"/>
        </w:rPr>
        <w:t>个单位样本，当其中有一个样本不符合合同规定的标准技术要求时，应加倍抽检，其中仍有一个样本不符合要求时，则视为乙方违约，应全部拒收，因此对甲方造成的全部损失由乙方承担。加倍抽检后合格的，则本批货按</w:t>
      </w:r>
      <w:r>
        <w:rPr>
          <w:rFonts w:ascii="宋体" w:hAnsi="宋体"/>
          <w:sz w:val="24"/>
          <w:szCs w:val="24"/>
        </w:rPr>
        <w:t>90</w:t>
      </w:r>
      <w:r>
        <w:rPr>
          <w:rFonts w:hint="eastAsia" w:ascii="宋体" w:hAnsi="宋体"/>
          <w:sz w:val="24"/>
          <w:szCs w:val="24"/>
        </w:rPr>
        <w:t>％的合格率计，扣除</w:t>
      </w:r>
      <w:r>
        <w:rPr>
          <w:rFonts w:ascii="宋体" w:hAnsi="宋体"/>
          <w:sz w:val="24"/>
          <w:szCs w:val="24"/>
        </w:rPr>
        <w:t>10</w:t>
      </w:r>
      <w:r>
        <w:rPr>
          <w:rFonts w:hint="eastAsia" w:ascii="宋体" w:hAnsi="宋体"/>
          <w:sz w:val="24"/>
          <w:szCs w:val="24"/>
        </w:rPr>
        <w:t>％部分</w:t>
      </w:r>
      <w:r>
        <w:rPr>
          <w:rFonts w:ascii="宋体" w:hAnsi="宋体"/>
          <w:sz w:val="24"/>
          <w:szCs w:val="24"/>
        </w:rPr>
        <w:t>10</w:t>
      </w:r>
      <w:r>
        <w:rPr>
          <w:rFonts w:hint="eastAsia" w:ascii="宋体" w:hAnsi="宋体"/>
          <w:sz w:val="24"/>
          <w:szCs w:val="24"/>
        </w:rPr>
        <w:t>％的质量违约金。</w:t>
      </w:r>
    </w:p>
    <w:p>
      <w:pPr>
        <w:numPr>
          <w:ilvl w:val="0"/>
          <w:numId w:val="19"/>
        </w:numPr>
        <w:spacing w:line="360" w:lineRule="auto"/>
        <w:rPr>
          <w:sz w:val="24"/>
          <w:szCs w:val="24"/>
        </w:rPr>
      </w:pPr>
      <w:r>
        <w:rPr>
          <w:rFonts w:hint="eastAsia" w:ascii="宋体" w:hAnsi="宋体"/>
          <w:sz w:val="24"/>
          <w:szCs w:val="24"/>
        </w:rPr>
        <w:t>存在数量、规格型号、产地、质量等级、尺寸、颜色、铭牌参数、包装及标识完整、完好程度、交货资料方面不合格情况的，甲方有权拒收、部分拒收、退货、部分退货、解除合同，并向乙方索赔因此造成的其他诸如工期、返工等损失。</w:t>
      </w:r>
    </w:p>
    <w:p>
      <w:pPr>
        <w:numPr>
          <w:ilvl w:val="0"/>
          <w:numId w:val="19"/>
        </w:numPr>
        <w:spacing w:line="360" w:lineRule="auto"/>
        <w:rPr>
          <w:sz w:val="24"/>
          <w:szCs w:val="24"/>
        </w:rPr>
      </w:pPr>
      <w:r>
        <w:rPr>
          <w:rFonts w:hint="eastAsia" w:ascii="宋体" w:hAnsi="宋体"/>
          <w:sz w:val="24"/>
          <w:szCs w:val="24"/>
        </w:rPr>
        <w:t>乙方负责供货材料现场抽样送检，并及时提交甲方合格的检测报告，送检不合格的，乙方负责全部直接及间接责任。费用已包含在合同单价中。</w:t>
      </w:r>
    </w:p>
    <w:p>
      <w:pPr>
        <w:numPr>
          <w:ilvl w:val="0"/>
          <w:numId w:val="19"/>
        </w:numPr>
        <w:spacing w:line="360" w:lineRule="auto"/>
        <w:rPr>
          <w:sz w:val="24"/>
          <w:szCs w:val="24"/>
        </w:rPr>
      </w:pPr>
      <w:r>
        <w:rPr>
          <w:rFonts w:hint="eastAsia" w:ascii="宋体" w:hAnsi="宋体"/>
          <w:sz w:val="24"/>
          <w:szCs w:val="24"/>
        </w:rPr>
        <w:t>在生产期间，甲方有权派人员到生产现场跟踪检查，乙方不得以任何理由拒绝，并需提供配合。对于生产过程中发现的质量缺陷，需及时处理，否则因此造成对甲方产生一切损失，由乙方承担。</w:t>
      </w:r>
    </w:p>
    <w:p>
      <w:pPr>
        <w:numPr>
          <w:ilvl w:val="0"/>
          <w:numId w:val="19"/>
        </w:numPr>
        <w:spacing w:line="360" w:lineRule="auto"/>
        <w:rPr>
          <w:sz w:val="24"/>
          <w:szCs w:val="24"/>
        </w:rPr>
      </w:pPr>
      <w:r>
        <w:rPr>
          <w:rFonts w:hint="eastAsia" w:ascii="宋体" w:hAnsi="宋体"/>
          <w:sz w:val="24"/>
          <w:szCs w:val="24"/>
        </w:rPr>
        <w:t>如发现交货材料与清单约定生产商不符的，甲方有权采取拒收、部分拒收、退货、部分退货、解除合同等行动，因此造成的一切损失均由乙方承担。</w:t>
      </w:r>
    </w:p>
    <w:p>
      <w:pPr>
        <w:numPr>
          <w:ilvl w:val="0"/>
          <w:numId w:val="19"/>
        </w:numPr>
        <w:spacing w:line="360" w:lineRule="auto"/>
        <w:ind w:left="1083" w:hanging="601"/>
        <w:rPr>
          <w:rFonts w:ascii="宋体" w:hAnsi="宋体"/>
          <w:sz w:val="24"/>
          <w:szCs w:val="24"/>
        </w:rPr>
      </w:pPr>
      <w:r>
        <w:rPr>
          <w:rFonts w:hint="eastAsia" w:ascii="宋体" w:hAnsi="宋体"/>
          <w:sz w:val="24"/>
          <w:szCs w:val="24"/>
        </w:rPr>
        <w:t>对有些缺陷须在安装后方可进行验收或识别（如色差或性能等），若甲方在安装使用过程中发现品质缺陷，则立即通知乙方，乙方接甲方通知后48小时内到达现场，在双方确认后，乙方应立即无条件无偿提供补货换货，以最短的时间及安全有效的方式替换存在有质量问题的产品，乙方须承担由于更换所发生的材料、制造、运输、安装等费用及由于工程延误的原因而发生的业主对甲方的罚金和延期交货的责任。如乙方未能按时到达现场时（包括未派人到现场），则以甲方的处理方式和结果为准，乙方无条件认可。</w:t>
      </w:r>
    </w:p>
    <w:p>
      <w:pPr>
        <w:numPr>
          <w:ilvl w:val="0"/>
          <w:numId w:val="7"/>
        </w:numPr>
        <w:spacing w:line="360" w:lineRule="auto"/>
        <w:rPr>
          <w:rFonts w:ascii="宋体" w:hAnsi="宋体"/>
          <w:b/>
          <w:sz w:val="24"/>
          <w:szCs w:val="24"/>
        </w:rPr>
      </w:pPr>
      <w:r>
        <w:rPr>
          <w:rFonts w:hint="eastAsia" w:ascii="宋体" w:hAnsi="宋体"/>
          <w:b/>
          <w:sz w:val="24"/>
          <w:szCs w:val="24"/>
        </w:rPr>
        <w:t>安全</w:t>
      </w:r>
    </w:p>
    <w:p>
      <w:pPr>
        <w:numPr>
          <w:ilvl w:val="1"/>
          <w:numId w:val="19"/>
        </w:numPr>
        <w:spacing w:line="360" w:lineRule="auto"/>
        <w:rPr>
          <w:sz w:val="24"/>
          <w:szCs w:val="24"/>
        </w:rPr>
      </w:pPr>
      <w:r>
        <w:rPr>
          <w:rFonts w:hint="eastAsia" w:ascii="宋体" w:hAnsi="宋体"/>
          <w:sz w:val="24"/>
          <w:szCs w:val="24"/>
        </w:rPr>
        <w:t>乙方进场后应遵守施工现场安全有关管理规定。由于乙方安全措施不力造成事故的责任和因此发生的费用，由乙方独自承担。</w:t>
      </w:r>
    </w:p>
    <w:p>
      <w:pPr>
        <w:numPr>
          <w:ilvl w:val="0"/>
          <w:numId w:val="7"/>
        </w:numPr>
        <w:spacing w:line="360" w:lineRule="auto"/>
        <w:rPr>
          <w:sz w:val="24"/>
          <w:szCs w:val="24"/>
        </w:rPr>
      </w:pPr>
      <w:r>
        <w:rPr>
          <w:rFonts w:hint="eastAsia" w:ascii="宋体" w:hAnsi="宋体"/>
          <w:b/>
          <w:sz w:val="24"/>
          <w:szCs w:val="24"/>
        </w:rPr>
        <w:t>技术标准和质量要求：详见招标文件</w:t>
      </w:r>
      <w:r>
        <w:rPr>
          <w:sz w:val="24"/>
          <w:szCs w:val="24"/>
        </w:rPr>
        <w:t xml:space="preserve"> </w:t>
      </w:r>
    </w:p>
    <w:p>
      <w:pPr>
        <w:spacing w:line="360" w:lineRule="auto"/>
        <w:ind w:left="480"/>
        <w:rPr>
          <w:rFonts w:ascii="宋体" w:hAnsi="宋体"/>
          <w:b/>
          <w:sz w:val="24"/>
          <w:szCs w:val="24"/>
        </w:rPr>
      </w:pPr>
      <w:r>
        <w:rPr>
          <w:rFonts w:hint="eastAsia" w:ascii="宋体" w:hAnsi="宋体"/>
          <w:sz w:val="24"/>
          <w:szCs w:val="24"/>
        </w:rPr>
        <w:t xml:space="preserve"> </w:t>
      </w:r>
      <w:r>
        <w:rPr>
          <w:rFonts w:hint="eastAsia" w:ascii="宋体" w:hAnsi="宋体"/>
          <w:b/>
          <w:sz w:val="24"/>
          <w:szCs w:val="24"/>
        </w:rPr>
        <w:t>甲方权利和义务</w:t>
      </w:r>
    </w:p>
    <w:p>
      <w:pPr>
        <w:numPr>
          <w:ilvl w:val="0"/>
          <w:numId w:val="20"/>
        </w:numPr>
        <w:spacing w:line="360" w:lineRule="auto"/>
        <w:rPr>
          <w:sz w:val="24"/>
          <w:szCs w:val="24"/>
        </w:rPr>
      </w:pPr>
      <w:r>
        <w:rPr>
          <w:rFonts w:hint="eastAsia" w:ascii="宋体" w:hAnsi="宋体"/>
          <w:sz w:val="24"/>
          <w:szCs w:val="24"/>
        </w:rPr>
        <w:t>向乙方提供样板、图纸或使用技术要求，并对乙方提出的生产加工工艺进行审核，但并不能免除乙方责任。</w:t>
      </w:r>
    </w:p>
    <w:p>
      <w:pPr>
        <w:numPr>
          <w:ilvl w:val="0"/>
          <w:numId w:val="20"/>
        </w:numPr>
        <w:spacing w:line="360" w:lineRule="auto"/>
        <w:rPr>
          <w:rFonts w:hint="eastAsia" w:ascii="宋体" w:hAnsi="宋体"/>
          <w:sz w:val="24"/>
          <w:szCs w:val="24"/>
        </w:rPr>
      </w:pPr>
      <w:r>
        <w:rPr>
          <w:rFonts w:hint="eastAsia" w:ascii="宋体" w:hAnsi="宋体"/>
          <w:sz w:val="24"/>
          <w:szCs w:val="24"/>
        </w:rPr>
        <w:t>接受乙方按要求加工的验收合格的材料并及时按合同支付款项。</w:t>
      </w:r>
    </w:p>
    <w:p>
      <w:pPr>
        <w:numPr>
          <w:ilvl w:val="0"/>
          <w:numId w:val="20"/>
        </w:numPr>
        <w:spacing w:line="360" w:lineRule="auto"/>
        <w:rPr>
          <w:sz w:val="24"/>
          <w:szCs w:val="24"/>
        </w:rPr>
      </w:pPr>
      <w:r>
        <w:rPr>
          <w:rFonts w:hint="eastAsia" w:ascii="宋体" w:hAnsi="宋体"/>
          <w:sz w:val="24"/>
          <w:szCs w:val="24"/>
        </w:rPr>
        <w:t>对乙方提供的包装、运输方式进行审核，但并不能免除乙方责任。</w:t>
      </w:r>
    </w:p>
    <w:p>
      <w:pPr>
        <w:numPr>
          <w:ilvl w:val="0"/>
          <w:numId w:val="20"/>
        </w:numPr>
        <w:spacing w:line="360" w:lineRule="auto"/>
        <w:rPr>
          <w:rFonts w:hint="eastAsia"/>
          <w:sz w:val="24"/>
          <w:szCs w:val="24"/>
        </w:rPr>
      </w:pPr>
      <w:r>
        <w:rPr>
          <w:rFonts w:hint="eastAsia" w:ascii="宋体" w:hAnsi="宋体"/>
          <w:sz w:val="24"/>
          <w:szCs w:val="24"/>
        </w:rPr>
        <w:t>对乙方提供的到货书面文件进行确认，但并不能免除乙方责任。</w:t>
      </w:r>
    </w:p>
    <w:p>
      <w:pPr>
        <w:numPr>
          <w:ilvl w:val="0"/>
          <w:numId w:val="20"/>
        </w:numPr>
        <w:spacing w:line="360" w:lineRule="auto"/>
        <w:rPr>
          <w:sz w:val="24"/>
          <w:szCs w:val="24"/>
        </w:rPr>
      </w:pPr>
      <w:r>
        <w:rPr>
          <w:rFonts w:hint="eastAsia" w:ascii="宋体" w:hAnsi="宋体"/>
          <w:sz w:val="24"/>
          <w:szCs w:val="24"/>
        </w:rPr>
        <w:t>按照工程的要求，及时提交乙方内容准确完备的订货单，但对于乙方擅自打乱顺序交货或提前交货的，有权拒绝接收并不承担任何责任及费用。</w:t>
      </w:r>
    </w:p>
    <w:p>
      <w:pPr>
        <w:numPr>
          <w:ilvl w:val="0"/>
          <w:numId w:val="20"/>
        </w:numPr>
        <w:spacing w:line="360" w:lineRule="auto"/>
        <w:rPr>
          <w:sz w:val="24"/>
          <w:szCs w:val="24"/>
        </w:rPr>
      </w:pPr>
      <w:r>
        <w:rPr>
          <w:rFonts w:hint="eastAsia" w:ascii="宋体" w:hAnsi="宋体"/>
          <w:sz w:val="24"/>
          <w:szCs w:val="24"/>
        </w:rPr>
        <w:t>根据工程协调实际需要，提前24小时向乙方发出参加工程例会之通知（材料供货商在必要时刻，如甲方要有求，需无条件参与工程例会）</w:t>
      </w:r>
    </w:p>
    <w:p>
      <w:pPr>
        <w:numPr>
          <w:ilvl w:val="0"/>
          <w:numId w:val="20"/>
        </w:numPr>
        <w:spacing w:line="360" w:lineRule="auto"/>
        <w:rPr>
          <w:sz w:val="24"/>
          <w:szCs w:val="24"/>
        </w:rPr>
      </w:pPr>
      <w:r>
        <w:rPr>
          <w:rFonts w:hint="eastAsia" w:ascii="宋体" w:hAnsi="宋体"/>
          <w:sz w:val="24"/>
          <w:szCs w:val="24"/>
        </w:rPr>
        <w:t>组织交货验收，对于双方未验收的材料，无义务支付此部分款项。</w:t>
      </w:r>
    </w:p>
    <w:p>
      <w:pPr>
        <w:numPr>
          <w:ilvl w:val="0"/>
          <w:numId w:val="20"/>
        </w:numPr>
        <w:spacing w:line="360" w:lineRule="auto"/>
        <w:rPr>
          <w:sz w:val="24"/>
          <w:szCs w:val="24"/>
        </w:rPr>
      </w:pPr>
      <w:r>
        <w:rPr>
          <w:rFonts w:hint="eastAsia" w:ascii="宋体" w:hAnsi="宋体"/>
          <w:sz w:val="24"/>
          <w:szCs w:val="24"/>
        </w:rPr>
        <w:t>据合同约定的方式向乙方发出增加供货、供货期调整、取消订货等指令。</w:t>
      </w:r>
    </w:p>
    <w:p>
      <w:pPr>
        <w:numPr>
          <w:ilvl w:val="0"/>
          <w:numId w:val="20"/>
        </w:numPr>
        <w:spacing w:line="360" w:lineRule="auto"/>
        <w:rPr>
          <w:sz w:val="24"/>
          <w:szCs w:val="24"/>
        </w:rPr>
      </w:pPr>
      <w:r>
        <w:rPr>
          <w:rFonts w:hint="eastAsia" w:ascii="宋体" w:hAnsi="宋体"/>
          <w:sz w:val="24"/>
          <w:szCs w:val="24"/>
        </w:rPr>
        <w:t>根据需要对乙方的加工过程进行监督和检查。</w:t>
      </w:r>
    </w:p>
    <w:p>
      <w:pPr>
        <w:numPr>
          <w:ilvl w:val="0"/>
          <w:numId w:val="20"/>
        </w:numPr>
        <w:spacing w:line="360" w:lineRule="auto"/>
        <w:rPr>
          <w:sz w:val="24"/>
          <w:szCs w:val="24"/>
        </w:rPr>
      </w:pPr>
      <w:r>
        <w:rPr>
          <w:rFonts w:hint="eastAsia" w:ascii="宋体" w:hAnsi="宋体"/>
          <w:sz w:val="24"/>
          <w:szCs w:val="24"/>
        </w:rPr>
        <w:t>现场协调配合管理，监督检查安装质量，隐蔽验收、签署验收合格报告。</w:t>
      </w:r>
    </w:p>
    <w:p>
      <w:pPr>
        <w:numPr>
          <w:ilvl w:val="0"/>
          <w:numId w:val="20"/>
        </w:numPr>
        <w:spacing w:line="360" w:lineRule="auto"/>
        <w:rPr>
          <w:rFonts w:ascii="宋体" w:hAnsi="宋体"/>
          <w:sz w:val="24"/>
          <w:szCs w:val="24"/>
        </w:rPr>
      </w:pPr>
      <w:r>
        <w:rPr>
          <w:rFonts w:hint="eastAsia" w:ascii="宋体" w:hAnsi="宋体"/>
          <w:sz w:val="24"/>
          <w:szCs w:val="24"/>
        </w:rPr>
        <w:t>在乙方不按合同要求进行交货或安装，以及安装质量明显与合同文件不符时，勒令乙方暂停供货或施工，在乙方整改完毕并审核合格后批准复工。</w:t>
      </w:r>
    </w:p>
    <w:p>
      <w:pPr>
        <w:numPr>
          <w:ilvl w:val="0"/>
          <w:numId w:val="7"/>
        </w:numPr>
        <w:spacing w:line="360" w:lineRule="auto"/>
        <w:rPr>
          <w:rFonts w:ascii="宋体" w:hAnsi="宋体"/>
          <w:b/>
          <w:sz w:val="24"/>
          <w:szCs w:val="24"/>
        </w:rPr>
      </w:pPr>
      <w:r>
        <w:rPr>
          <w:rFonts w:hint="eastAsia" w:ascii="宋体" w:hAnsi="宋体"/>
          <w:b/>
          <w:sz w:val="24"/>
          <w:szCs w:val="24"/>
        </w:rPr>
        <w:t>乙方权利和义务</w:t>
      </w:r>
    </w:p>
    <w:p>
      <w:pPr>
        <w:numPr>
          <w:ilvl w:val="0"/>
          <w:numId w:val="21"/>
        </w:numPr>
        <w:spacing w:line="360" w:lineRule="auto"/>
        <w:rPr>
          <w:rFonts w:hint="eastAsia"/>
          <w:sz w:val="24"/>
          <w:szCs w:val="24"/>
        </w:rPr>
      </w:pPr>
      <w:r>
        <w:rPr>
          <w:rFonts w:hint="eastAsia"/>
          <w:sz w:val="24"/>
          <w:szCs w:val="24"/>
        </w:rPr>
        <w:t>甲方定制的材料，不得转为其他单位或工程的材料供货。</w:t>
      </w:r>
    </w:p>
    <w:p>
      <w:pPr>
        <w:numPr>
          <w:ilvl w:val="0"/>
          <w:numId w:val="21"/>
        </w:numPr>
        <w:spacing w:line="360" w:lineRule="auto"/>
        <w:rPr>
          <w:rFonts w:hint="eastAsia"/>
          <w:sz w:val="24"/>
          <w:szCs w:val="24"/>
        </w:rPr>
      </w:pPr>
      <w:r>
        <w:rPr>
          <w:rFonts w:hint="eastAsia"/>
          <w:sz w:val="24"/>
          <w:szCs w:val="24"/>
        </w:rPr>
        <w:t>乙方应以自己的设备及工艺来完成甲方委托乙方加工的材料，不许转包。若乙方私自转包或转包委托制作中的某项工序则视为乙方违约，一旦出现此种情况，乙方承诺甲方不予支付此批物品的加工费用。</w:t>
      </w:r>
    </w:p>
    <w:p>
      <w:pPr>
        <w:numPr>
          <w:ilvl w:val="0"/>
          <w:numId w:val="21"/>
        </w:numPr>
        <w:spacing w:line="360" w:lineRule="auto"/>
        <w:rPr>
          <w:rFonts w:hint="eastAsia"/>
          <w:sz w:val="24"/>
          <w:szCs w:val="24"/>
        </w:rPr>
      </w:pPr>
      <w:r>
        <w:rPr>
          <w:rFonts w:hint="eastAsia" w:ascii="宋体" w:hAnsi="宋体"/>
          <w:sz w:val="24"/>
          <w:szCs w:val="24"/>
        </w:rPr>
        <w:t>按照协议约定设备</w:t>
      </w:r>
      <w:r>
        <w:rPr>
          <w:rFonts w:ascii="宋体" w:hAnsi="宋体"/>
          <w:sz w:val="24"/>
          <w:szCs w:val="24"/>
        </w:rPr>
        <w:t>/</w:t>
      </w:r>
      <w:r>
        <w:rPr>
          <w:rFonts w:hint="eastAsia" w:ascii="宋体" w:hAnsi="宋体"/>
          <w:sz w:val="24"/>
          <w:szCs w:val="24"/>
        </w:rPr>
        <w:t>材料清单内容、合同价款、交货地点、交货方式和时间向甲方供应满足协议技术标准及质量要求的产品。承担因乙方质量缺陷、工期延误因素对甲方造成的全部直接和间接损失。</w:t>
      </w:r>
    </w:p>
    <w:p>
      <w:pPr>
        <w:numPr>
          <w:ilvl w:val="0"/>
          <w:numId w:val="21"/>
        </w:numPr>
        <w:spacing w:line="360" w:lineRule="auto"/>
        <w:rPr>
          <w:sz w:val="24"/>
          <w:szCs w:val="24"/>
        </w:rPr>
      </w:pPr>
      <w:r>
        <w:rPr>
          <w:rFonts w:hint="eastAsia" w:ascii="宋体" w:hAnsi="宋体"/>
          <w:sz w:val="24"/>
          <w:szCs w:val="24"/>
        </w:rPr>
        <w:t>乙方依据合同发出的通知，必须以书面形式由合同代表签字、公司盖章后提交甲方单位，否则甲方有权拒收。</w:t>
      </w:r>
    </w:p>
    <w:p>
      <w:pPr>
        <w:numPr>
          <w:ilvl w:val="0"/>
          <w:numId w:val="21"/>
        </w:numPr>
        <w:spacing w:line="360" w:lineRule="auto"/>
        <w:rPr>
          <w:sz w:val="24"/>
          <w:szCs w:val="24"/>
        </w:rPr>
      </w:pPr>
      <w:r>
        <w:rPr>
          <w:rFonts w:hint="eastAsia" w:ascii="宋体" w:hAnsi="宋体"/>
          <w:sz w:val="24"/>
          <w:szCs w:val="24"/>
        </w:rPr>
        <w:t>按照合同和甲方发出的指令组织生产及交货。在情况紧急时，乙方应采取保证人员生命和材料、财产安全的紧急措施，并在采取措施后</w:t>
      </w:r>
      <w:r>
        <w:rPr>
          <w:rFonts w:ascii="宋体" w:hAnsi="宋体"/>
          <w:sz w:val="24"/>
          <w:szCs w:val="24"/>
        </w:rPr>
        <w:t>48</w:t>
      </w:r>
      <w:r>
        <w:rPr>
          <w:rFonts w:hint="eastAsia" w:ascii="宋体" w:hAnsi="宋体"/>
          <w:sz w:val="24"/>
          <w:szCs w:val="24"/>
        </w:rPr>
        <w:t>小时内向甲方代表送交报告。由责任方承担费用，属于乙方责任的，工期不顺延。</w:t>
      </w:r>
    </w:p>
    <w:p>
      <w:pPr>
        <w:numPr>
          <w:ilvl w:val="0"/>
          <w:numId w:val="21"/>
        </w:numPr>
        <w:spacing w:line="360" w:lineRule="auto"/>
        <w:rPr>
          <w:sz w:val="24"/>
          <w:szCs w:val="24"/>
        </w:rPr>
      </w:pPr>
      <w:r>
        <w:rPr>
          <w:rFonts w:hint="eastAsia" w:ascii="宋体" w:hAnsi="宋体"/>
          <w:sz w:val="24"/>
          <w:szCs w:val="24"/>
        </w:rPr>
        <w:t>乙方如需更换合同代表，应至少提前</w:t>
      </w:r>
      <w:r>
        <w:rPr>
          <w:rFonts w:ascii="宋体" w:hAnsi="宋体"/>
          <w:sz w:val="24"/>
          <w:szCs w:val="24"/>
        </w:rPr>
        <w:t>7</w:t>
      </w:r>
      <w:r>
        <w:rPr>
          <w:rFonts w:hint="eastAsia" w:ascii="宋体" w:hAnsi="宋体"/>
          <w:sz w:val="24"/>
          <w:szCs w:val="24"/>
        </w:rPr>
        <w:t>天以书面形式通知甲方，并随函附上拟任合同代表的详细资料和工作业绩，并征得甲方同意。后任继续行使合同文件约定的前任的职权，履行前任的义务。</w:t>
      </w:r>
    </w:p>
    <w:p>
      <w:pPr>
        <w:numPr>
          <w:ilvl w:val="0"/>
          <w:numId w:val="21"/>
        </w:numPr>
        <w:spacing w:line="360" w:lineRule="auto"/>
        <w:rPr>
          <w:sz w:val="24"/>
          <w:szCs w:val="24"/>
        </w:rPr>
      </w:pPr>
      <w:r>
        <w:rPr>
          <w:rFonts w:hint="eastAsia" w:ascii="宋体" w:hAnsi="宋体"/>
          <w:sz w:val="24"/>
          <w:szCs w:val="24"/>
        </w:rPr>
        <w:t>甲方可以与乙方协商，要求更换其认为不称职的项目负责人。</w:t>
      </w:r>
    </w:p>
    <w:p>
      <w:pPr>
        <w:numPr>
          <w:ilvl w:val="0"/>
          <w:numId w:val="21"/>
        </w:numPr>
        <w:spacing w:line="360" w:lineRule="auto"/>
        <w:rPr>
          <w:sz w:val="24"/>
          <w:szCs w:val="24"/>
        </w:rPr>
      </w:pPr>
      <w:r>
        <w:rPr>
          <w:rFonts w:hint="eastAsia" w:ascii="宋体" w:hAnsi="宋体"/>
          <w:sz w:val="24"/>
          <w:szCs w:val="24"/>
        </w:rPr>
        <w:t>若承包范围包含设计，乙方应在其设计资质等级和业务允许的范围内进行，并报甲方代表确认并经过图纸会审后方可使用。</w:t>
      </w:r>
    </w:p>
    <w:p>
      <w:pPr>
        <w:numPr>
          <w:ilvl w:val="0"/>
          <w:numId w:val="21"/>
        </w:numPr>
        <w:spacing w:line="360" w:lineRule="auto"/>
        <w:rPr>
          <w:sz w:val="24"/>
          <w:szCs w:val="24"/>
        </w:rPr>
      </w:pPr>
      <w:r>
        <w:rPr>
          <w:rFonts w:hint="eastAsia" w:ascii="宋体" w:hAnsi="宋体"/>
          <w:sz w:val="24"/>
          <w:szCs w:val="24"/>
        </w:rPr>
        <w:t>在接到甲方通知后，乙方项目经理必须参加工程例会，因故不能参加的应提前12小时向甲方提出申请并在获得甲方代表批准后方可缺席，但对会议纪要确定的指令应无条件执行，否则等同于合同违约，承担相关处罚。</w:t>
      </w:r>
    </w:p>
    <w:p>
      <w:pPr>
        <w:numPr>
          <w:ilvl w:val="0"/>
          <w:numId w:val="21"/>
        </w:numPr>
        <w:spacing w:line="360" w:lineRule="auto"/>
        <w:ind w:left="839" w:hanging="357"/>
        <w:rPr>
          <w:sz w:val="24"/>
          <w:szCs w:val="24"/>
        </w:rPr>
      </w:pPr>
      <w:r>
        <w:rPr>
          <w:rFonts w:hint="eastAsia" w:ascii="宋体" w:hAnsi="宋体"/>
          <w:sz w:val="24"/>
          <w:szCs w:val="24"/>
        </w:rPr>
        <w:t>遵守国家法律、法规及《中华人民共和国工程建设标准强制性条文》。</w:t>
      </w:r>
    </w:p>
    <w:p>
      <w:pPr>
        <w:numPr>
          <w:ilvl w:val="0"/>
          <w:numId w:val="21"/>
        </w:numPr>
        <w:spacing w:line="360" w:lineRule="auto"/>
        <w:ind w:left="839" w:hanging="357"/>
        <w:rPr>
          <w:rFonts w:hint="eastAsia"/>
          <w:sz w:val="24"/>
          <w:szCs w:val="24"/>
        </w:rPr>
      </w:pPr>
      <w:r>
        <w:rPr>
          <w:rFonts w:hint="eastAsia" w:ascii="宋体" w:hAnsi="宋体"/>
          <w:sz w:val="24"/>
          <w:szCs w:val="24"/>
        </w:rPr>
        <w:t>遵守政府有关主管部门对施工场地交通、施工噪音以及环境保护和安全生产等的管理规定，按规定办理有关手续，自行承担因乙方责任造成的政府处罚及罚款。</w:t>
      </w:r>
    </w:p>
    <w:p>
      <w:pPr>
        <w:numPr>
          <w:ilvl w:val="0"/>
          <w:numId w:val="21"/>
        </w:numPr>
        <w:spacing w:line="360" w:lineRule="auto"/>
        <w:ind w:left="839" w:hanging="357"/>
        <w:rPr>
          <w:rFonts w:hint="eastAsia"/>
          <w:sz w:val="24"/>
          <w:szCs w:val="24"/>
        </w:rPr>
      </w:pPr>
      <w:r>
        <w:rPr>
          <w:rFonts w:hint="eastAsia" w:ascii="宋体" w:hAnsi="宋体"/>
          <w:sz w:val="24"/>
          <w:szCs w:val="24"/>
        </w:rPr>
        <w:t>乙方保证所从事的与本合同有关的商务活动均遵循国家有关法律、法规。否则出现的一切后果均由乙方承担，且甲方并不因此而减轻对乙方的处罚。</w:t>
      </w:r>
    </w:p>
    <w:p>
      <w:pPr>
        <w:numPr>
          <w:ilvl w:val="0"/>
          <w:numId w:val="21"/>
        </w:numPr>
        <w:tabs>
          <w:tab w:val="left" w:pos="525"/>
        </w:tabs>
        <w:spacing w:line="500" w:lineRule="exact"/>
        <w:ind w:left="839" w:hanging="357"/>
        <w:rPr>
          <w:rFonts w:hint="eastAsia" w:ascii="宋体" w:hAnsi="宋体"/>
          <w:sz w:val="24"/>
          <w:szCs w:val="24"/>
        </w:rPr>
      </w:pPr>
      <w:r>
        <w:rPr>
          <w:rFonts w:hint="eastAsia" w:ascii="宋体" w:hAnsi="宋体"/>
          <w:sz w:val="24"/>
          <w:szCs w:val="24"/>
        </w:rPr>
        <w:t>在到货同时乙方须提供与供货材料货值相等增值税发票，甲方每次付 款前乙方应提供甲方将付金额的送货双方确认签字的收据（原件），否则甲方有权拒付货款。</w:t>
      </w:r>
    </w:p>
    <w:p>
      <w:pPr>
        <w:numPr>
          <w:ilvl w:val="1"/>
          <w:numId w:val="22"/>
        </w:numPr>
        <w:tabs>
          <w:tab w:val="left" w:pos="525"/>
        </w:tabs>
        <w:spacing w:line="360" w:lineRule="auto"/>
        <w:rPr>
          <w:rFonts w:hint="eastAsia" w:ascii="宋体" w:hAnsi="宋体"/>
          <w:sz w:val="24"/>
          <w:szCs w:val="24"/>
        </w:rPr>
      </w:pPr>
      <w:r>
        <w:rPr>
          <w:rFonts w:hint="eastAsia" w:ascii="宋体" w:hAnsi="宋体"/>
          <w:sz w:val="24"/>
          <w:szCs w:val="24"/>
        </w:rPr>
        <w:t>双方约定签约单位、受款单位及开具发票单位一致。如乙方更改签约单位、受款单位、开具发票单位及开户行、账号时须在甲方应付乙方货款之日起2日内书面通知甲方。待双方确认后按双方确认的事宜执行。</w:t>
      </w:r>
    </w:p>
    <w:p>
      <w:pPr>
        <w:numPr>
          <w:ilvl w:val="1"/>
          <w:numId w:val="22"/>
        </w:numPr>
        <w:tabs>
          <w:tab w:val="left" w:pos="525"/>
        </w:tabs>
        <w:spacing w:line="360" w:lineRule="auto"/>
        <w:rPr>
          <w:rFonts w:ascii="宋体" w:hAnsi="宋体"/>
          <w:sz w:val="24"/>
          <w:szCs w:val="24"/>
        </w:rPr>
      </w:pPr>
      <w:r>
        <w:rPr>
          <w:rFonts w:hint="eastAsia" w:ascii="宋体" w:hAnsi="宋体"/>
          <w:sz w:val="24"/>
          <w:szCs w:val="24"/>
        </w:rPr>
        <w:t>自甲方支付预付款后，乙方所提供的货物落地及验收合格后，其所有权归甲方所有。</w:t>
      </w:r>
    </w:p>
    <w:p>
      <w:pPr>
        <w:numPr>
          <w:ilvl w:val="1"/>
          <w:numId w:val="22"/>
        </w:numPr>
        <w:tabs>
          <w:tab w:val="left" w:pos="525"/>
        </w:tabs>
        <w:spacing w:line="360" w:lineRule="auto"/>
        <w:rPr>
          <w:rFonts w:hint="eastAsia"/>
          <w:sz w:val="24"/>
          <w:szCs w:val="24"/>
        </w:rPr>
      </w:pPr>
      <w:r>
        <w:rPr>
          <w:rFonts w:hint="eastAsia" w:ascii="宋体" w:hAnsi="宋体"/>
          <w:sz w:val="24"/>
          <w:szCs w:val="24"/>
        </w:rPr>
        <w:t>合同包括安装施工的，以下条款适用：</w:t>
      </w:r>
    </w:p>
    <w:p>
      <w:pPr>
        <w:spacing w:line="360" w:lineRule="auto"/>
        <w:ind w:left="1200" w:leftChars="501" w:hanging="148" w:hangingChars="62"/>
        <w:rPr>
          <w:sz w:val="24"/>
          <w:szCs w:val="24"/>
        </w:rPr>
      </w:pPr>
      <w:r>
        <w:rPr>
          <w:rFonts w:hint="eastAsia" w:ascii="宋体" w:hAnsi="宋体"/>
          <w:sz w:val="24"/>
          <w:szCs w:val="24"/>
        </w:rPr>
        <w:t>1）工程未交付甲方前，乙方负责已完工程的保护工作，保护期间发生损坏、丢失，乙方自费予以修复。因乙方责任对现场其它承包单位原工程或材料造成损坏的，乙方承担修复及赔偿责任，如乙方未能按照甲方及监理公司的要求及时修补和赔偿，甲方有权另请他人完成，费用及后果由乙方负责。</w:t>
      </w:r>
    </w:p>
    <w:p>
      <w:pPr>
        <w:tabs>
          <w:tab w:val="left" w:pos="1470"/>
        </w:tabs>
        <w:spacing w:line="360" w:lineRule="auto"/>
        <w:ind w:left="1258" w:leftChars="300" w:hanging="628" w:hangingChars="262"/>
        <w:rPr>
          <w:sz w:val="24"/>
          <w:szCs w:val="24"/>
        </w:rPr>
      </w:pPr>
      <w:r>
        <w:rPr>
          <w:rFonts w:hint="eastAsia" w:ascii="宋体" w:hAnsi="宋体"/>
          <w:sz w:val="24"/>
          <w:szCs w:val="24"/>
        </w:rPr>
        <w:t xml:space="preserve">    2）保证施工场地清洁符合环境卫生管理的有关规定，施工期间须及时将垃圾清理出施工现场，竣工前清理至不影响竣工验收程度。移交甲方前清理完废料、垃圾、施工机具等，并将工程成品擦拭干净。乙方未能按照甲方和监理的要求和指示做好文明施工、垃圾清运、成品保护、现场保安工作的，监理公司及甲方有权另请他人完成上述工作，所发生的费用及产生后果由乙方负责。</w:t>
      </w:r>
    </w:p>
    <w:p>
      <w:pPr>
        <w:spacing w:line="360" w:lineRule="auto"/>
        <w:ind w:left="1387" w:leftChars="546" w:hanging="240" w:hangingChars="100"/>
        <w:rPr>
          <w:sz w:val="24"/>
          <w:szCs w:val="24"/>
        </w:rPr>
      </w:pPr>
      <w:r>
        <w:rPr>
          <w:rFonts w:hint="eastAsia" w:ascii="宋体" w:hAnsi="宋体"/>
          <w:sz w:val="24"/>
          <w:szCs w:val="24"/>
        </w:rPr>
        <w:t>3）乙方出现以下情况人员，经甲方代表确认，必须在</w:t>
      </w:r>
      <w:r>
        <w:rPr>
          <w:rFonts w:ascii="宋体" w:hAnsi="宋体"/>
          <w:sz w:val="24"/>
          <w:szCs w:val="24"/>
        </w:rPr>
        <w:t>24</w:t>
      </w:r>
      <w:r>
        <w:rPr>
          <w:rFonts w:hint="eastAsia" w:ascii="宋体" w:hAnsi="宋体"/>
          <w:sz w:val="24"/>
          <w:szCs w:val="24"/>
        </w:rPr>
        <w:t>小时内调离本工程范围，并应尽快用甲方批准的合格人员代替。</w:t>
      </w:r>
    </w:p>
    <w:p>
      <w:pPr>
        <w:numPr>
          <w:ilvl w:val="0"/>
          <w:numId w:val="23"/>
        </w:numPr>
        <w:tabs>
          <w:tab w:val="left" w:pos="1470"/>
          <w:tab w:val="left" w:pos="1800"/>
          <w:tab w:val="clear" w:pos="1080"/>
        </w:tabs>
        <w:spacing w:line="360" w:lineRule="auto"/>
        <w:ind w:firstLine="74" w:firstLineChars="31"/>
        <w:rPr>
          <w:rFonts w:hint="eastAsia"/>
          <w:sz w:val="24"/>
          <w:szCs w:val="24"/>
        </w:rPr>
      </w:pPr>
      <w:r>
        <w:rPr>
          <w:rFonts w:hint="eastAsia" w:ascii="宋体" w:hAnsi="宋体"/>
          <w:sz w:val="24"/>
          <w:szCs w:val="24"/>
        </w:rPr>
        <w:t>甲方确认无法胜任工作者，包括：对安装施工进度及质量达不到合</w:t>
      </w:r>
    </w:p>
    <w:p>
      <w:pPr>
        <w:tabs>
          <w:tab w:val="left" w:pos="1800"/>
        </w:tabs>
        <w:spacing w:line="360" w:lineRule="auto"/>
        <w:ind w:left="1753" w:leftChars="835"/>
        <w:rPr>
          <w:sz w:val="24"/>
          <w:szCs w:val="24"/>
        </w:rPr>
      </w:pPr>
      <w:r>
        <w:rPr>
          <w:rFonts w:hint="eastAsia" w:ascii="宋体" w:hAnsi="宋体"/>
          <w:sz w:val="24"/>
          <w:szCs w:val="24"/>
        </w:rPr>
        <w:t>同要求负有责任的施工人员、不熟悉本专业工作的施工人员、工作责任心不强的施工人员等等；</w:t>
      </w:r>
    </w:p>
    <w:p>
      <w:pPr>
        <w:numPr>
          <w:ilvl w:val="0"/>
          <w:numId w:val="23"/>
        </w:numPr>
        <w:tabs>
          <w:tab w:val="left" w:pos="1260"/>
          <w:tab w:val="left" w:pos="1800"/>
          <w:tab w:val="clear" w:pos="1080"/>
        </w:tabs>
        <w:spacing w:line="360" w:lineRule="auto"/>
        <w:ind w:firstLine="0"/>
        <w:rPr>
          <w:sz w:val="24"/>
          <w:szCs w:val="24"/>
        </w:rPr>
      </w:pPr>
      <w:r>
        <w:rPr>
          <w:rFonts w:hint="eastAsia" w:ascii="宋体" w:hAnsi="宋体"/>
          <w:sz w:val="24"/>
          <w:szCs w:val="24"/>
        </w:rPr>
        <w:t>不能积极配合甲方正常工作者；</w:t>
      </w:r>
    </w:p>
    <w:p>
      <w:pPr>
        <w:numPr>
          <w:ilvl w:val="0"/>
          <w:numId w:val="23"/>
        </w:numPr>
        <w:tabs>
          <w:tab w:val="left" w:pos="1800"/>
        </w:tabs>
        <w:spacing w:line="360" w:lineRule="auto"/>
        <w:ind w:firstLine="0"/>
        <w:rPr>
          <w:sz w:val="24"/>
          <w:szCs w:val="24"/>
        </w:rPr>
      </w:pPr>
      <w:r>
        <w:rPr>
          <w:rFonts w:hint="eastAsia" w:ascii="宋体" w:hAnsi="宋体"/>
          <w:sz w:val="24"/>
          <w:szCs w:val="24"/>
        </w:rPr>
        <w:t>违反甲方或乙方工地现场管理规定者；</w:t>
      </w:r>
    </w:p>
    <w:p>
      <w:pPr>
        <w:numPr>
          <w:ilvl w:val="0"/>
          <w:numId w:val="23"/>
        </w:numPr>
        <w:tabs>
          <w:tab w:val="left" w:pos="1800"/>
        </w:tabs>
        <w:spacing w:line="360" w:lineRule="auto"/>
        <w:ind w:firstLine="0"/>
        <w:rPr>
          <w:sz w:val="24"/>
          <w:szCs w:val="24"/>
        </w:rPr>
      </w:pPr>
      <w:r>
        <w:rPr>
          <w:rFonts w:hint="eastAsia" w:ascii="宋体" w:hAnsi="宋体"/>
          <w:sz w:val="24"/>
          <w:szCs w:val="24"/>
        </w:rPr>
        <w:t>无证上岗者（适用于按规定必须有上岗证）；</w:t>
      </w:r>
    </w:p>
    <w:p>
      <w:pPr>
        <w:numPr>
          <w:ilvl w:val="0"/>
          <w:numId w:val="23"/>
        </w:numPr>
        <w:tabs>
          <w:tab w:val="left" w:pos="1800"/>
        </w:tabs>
        <w:spacing w:line="360" w:lineRule="auto"/>
        <w:ind w:firstLine="0"/>
        <w:rPr>
          <w:sz w:val="24"/>
          <w:szCs w:val="24"/>
        </w:rPr>
      </w:pPr>
      <w:r>
        <w:rPr>
          <w:rFonts w:hint="eastAsia" w:ascii="宋体" w:hAnsi="宋体"/>
          <w:sz w:val="24"/>
          <w:szCs w:val="24"/>
        </w:rPr>
        <w:t>与本工程施工无关的人员。</w:t>
      </w:r>
    </w:p>
    <w:p>
      <w:pPr>
        <w:spacing w:line="360" w:lineRule="auto"/>
        <w:ind w:left="1364" w:leftChars="549" w:hanging="211" w:hangingChars="88"/>
        <w:rPr>
          <w:rFonts w:hint="eastAsia"/>
          <w:sz w:val="24"/>
          <w:szCs w:val="24"/>
        </w:rPr>
      </w:pPr>
      <w:r>
        <w:rPr>
          <w:rFonts w:hint="eastAsia" w:ascii="宋体" w:hAnsi="宋体"/>
          <w:sz w:val="24"/>
          <w:szCs w:val="24"/>
        </w:rPr>
        <w:t>4）乙方按甲方归档资料的要求，向甲方提供完整相关资料及检测报告、生产中间检查记录、各种原材料的材质证明等。（承诺达到本工程评杯资料要求内容）</w:t>
      </w:r>
    </w:p>
    <w:p>
      <w:pPr>
        <w:spacing w:line="360" w:lineRule="auto"/>
        <w:ind w:left="1364" w:leftChars="549" w:hanging="211" w:hangingChars="88"/>
        <w:rPr>
          <w:rFonts w:hint="eastAsia"/>
          <w:sz w:val="24"/>
          <w:szCs w:val="24"/>
        </w:rPr>
      </w:pPr>
      <w:r>
        <w:rPr>
          <w:rFonts w:hint="eastAsia" w:ascii="宋体" w:hAnsi="宋体"/>
          <w:sz w:val="24"/>
          <w:szCs w:val="24"/>
        </w:rPr>
        <w:t>5）乙方应遵守工程建设安全生产有关管理规定，严格按照安全标准组织施工，并随时接受安全监督检查单位、甲方、监理单位安全检查人员的监督检查，采取必要的安全措施，消除事故隐患。由于乙方安全措施不力造成事故的责任和因此发生的费用，由乙方承担。</w:t>
      </w:r>
    </w:p>
    <w:p>
      <w:pPr>
        <w:numPr>
          <w:ilvl w:val="0"/>
          <w:numId w:val="24"/>
        </w:numPr>
        <w:tabs>
          <w:tab w:val="left" w:pos="525"/>
        </w:tabs>
        <w:spacing w:line="500" w:lineRule="exact"/>
        <w:rPr>
          <w:rFonts w:hint="eastAsia" w:ascii="宋体" w:hAnsi="宋体"/>
          <w:sz w:val="24"/>
          <w:szCs w:val="24"/>
        </w:rPr>
      </w:pPr>
      <w:r>
        <w:rPr>
          <w:rFonts w:hint="eastAsia" w:ascii="宋体" w:hAnsi="宋体"/>
          <w:sz w:val="24"/>
          <w:szCs w:val="24"/>
        </w:rPr>
        <w:t>乙方随货提供的资料如下（外文资料需提供中文译本）：</w:t>
      </w:r>
    </w:p>
    <w:p>
      <w:pPr>
        <w:spacing w:line="420" w:lineRule="exact"/>
        <w:ind w:left="1140"/>
        <w:rPr>
          <w:rFonts w:hint="eastAsia"/>
          <w:sz w:val="24"/>
          <w:szCs w:val="24"/>
        </w:rPr>
      </w:pPr>
      <w:r>
        <w:rPr>
          <w:rFonts w:hint="eastAsia"/>
          <w:sz w:val="24"/>
          <w:szCs w:val="24"/>
        </w:rPr>
        <w:t>（1）、设备样本及技术规格书，要求有3份；</w:t>
      </w:r>
    </w:p>
    <w:p>
      <w:pPr>
        <w:spacing w:line="420" w:lineRule="exact"/>
        <w:ind w:left="1140"/>
        <w:rPr>
          <w:rFonts w:hint="eastAsia"/>
          <w:sz w:val="24"/>
          <w:szCs w:val="24"/>
        </w:rPr>
      </w:pPr>
      <w:r>
        <w:rPr>
          <w:rFonts w:hint="eastAsia"/>
          <w:sz w:val="24"/>
          <w:szCs w:val="24"/>
        </w:rPr>
        <w:t>（2）、设备零部件原产地清单及装箱清单正本；</w:t>
      </w:r>
    </w:p>
    <w:p>
      <w:pPr>
        <w:spacing w:line="420" w:lineRule="exact"/>
        <w:ind w:left="1140"/>
        <w:rPr>
          <w:rFonts w:hint="eastAsia"/>
          <w:sz w:val="24"/>
          <w:szCs w:val="24"/>
        </w:rPr>
      </w:pPr>
      <w:r>
        <w:rPr>
          <w:rFonts w:hint="eastAsia"/>
          <w:sz w:val="24"/>
          <w:szCs w:val="24"/>
        </w:rPr>
        <w:t>（3）、设备安装图（包括电气、系统安装线路图等）、电路电气控制图、系统原理图等，要求有3份；</w:t>
      </w:r>
    </w:p>
    <w:p>
      <w:pPr>
        <w:spacing w:line="420" w:lineRule="exact"/>
        <w:ind w:left="1140"/>
        <w:rPr>
          <w:rFonts w:hint="eastAsia"/>
          <w:sz w:val="24"/>
          <w:szCs w:val="24"/>
        </w:rPr>
      </w:pPr>
      <w:r>
        <w:rPr>
          <w:rFonts w:hint="eastAsia"/>
          <w:sz w:val="24"/>
          <w:szCs w:val="24"/>
        </w:rPr>
        <w:t>（4）、设备安装、操作、维护手册或说明书，要求有3份；</w:t>
      </w:r>
    </w:p>
    <w:p>
      <w:pPr>
        <w:spacing w:line="420" w:lineRule="exact"/>
        <w:ind w:left="1140"/>
        <w:rPr>
          <w:rFonts w:hint="eastAsia"/>
          <w:sz w:val="24"/>
          <w:szCs w:val="24"/>
        </w:rPr>
      </w:pPr>
      <w:r>
        <w:rPr>
          <w:rFonts w:hint="eastAsia"/>
          <w:sz w:val="24"/>
          <w:szCs w:val="24"/>
        </w:rPr>
        <w:t>（5）、设备制造厂的设备生产许可证明和设备合格证书；</w:t>
      </w:r>
    </w:p>
    <w:p>
      <w:pPr>
        <w:spacing w:line="420" w:lineRule="exact"/>
        <w:ind w:left="1140"/>
        <w:rPr>
          <w:rFonts w:hint="eastAsia"/>
          <w:sz w:val="24"/>
          <w:szCs w:val="24"/>
        </w:rPr>
      </w:pPr>
      <w:r>
        <w:rPr>
          <w:rFonts w:hint="eastAsia"/>
          <w:sz w:val="24"/>
          <w:szCs w:val="24"/>
        </w:rPr>
        <w:t>（6）、设备制造厂出具的品质保证书正本；</w:t>
      </w:r>
    </w:p>
    <w:p>
      <w:pPr>
        <w:spacing w:line="420" w:lineRule="exact"/>
        <w:ind w:left="1140"/>
        <w:rPr>
          <w:rFonts w:hint="eastAsia"/>
          <w:sz w:val="24"/>
          <w:szCs w:val="24"/>
        </w:rPr>
      </w:pPr>
      <w:r>
        <w:rPr>
          <w:rFonts w:hint="eastAsia"/>
          <w:sz w:val="24"/>
          <w:szCs w:val="24"/>
        </w:rPr>
        <w:t>（7）、买方认为有必要提供的其他技术资料；</w:t>
      </w:r>
    </w:p>
    <w:p>
      <w:pPr>
        <w:spacing w:line="420" w:lineRule="exact"/>
        <w:ind w:left="1140"/>
        <w:rPr>
          <w:rFonts w:hint="eastAsia"/>
          <w:sz w:val="24"/>
          <w:szCs w:val="24"/>
        </w:rPr>
      </w:pPr>
      <w:r>
        <w:rPr>
          <w:rFonts w:hint="eastAsia"/>
          <w:sz w:val="24"/>
          <w:szCs w:val="24"/>
        </w:rPr>
        <w:t>（8）、以上所有资料必须为中文。</w:t>
      </w:r>
    </w:p>
    <w:p>
      <w:pPr>
        <w:tabs>
          <w:tab w:val="left" w:pos="525"/>
          <w:tab w:val="left" w:pos="1080"/>
        </w:tabs>
        <w:spacing w:line="500" w:lineRule="exact"/>
        <w:ind w:left="1260" w:hanging="900"/>
        <w:rPr>
          <w:rFonts w:hint="eastAsia" w:ascii="宋体" w:hAnsi="宋体"/>
          <w:sz w:val="24"/>
          <w:szCs w:val="24"/>
        </w:rPr>
      </w:pPr>
      <w:r>
        <w:rPr>
          <w:rFonts w:hint="eastAsia" w:ascii="宋体" w:hAnsi="宋体"/>
          <w:sz w:val="24"/>
          <w:szCs w:val="24"/>
        </w:rPr>
        <w:t xml:space="preserve">         上述资料需加盖乙方公章</w:t>
      </w:r>
    </w:p>
    <w:p>
      <w:pPr>
        <w:numPr>
          <w:ilvl w:val="0"/>
          <w:numId w:val="7"/>
        </w:numPr>
        <w:spacing w:line="360" w:lineRule="auto"/>
        <w:rPr>
          <w:rFonts w:ascii="宋体" w:hAnsi="宋体"/>
          <w:b/>
          <w:sz w:val="24"/>
          <w:szCs w:val="24"/>
        </w:rPr>
      </w:pPr>
      <w:r>
        <w:rPr>
          <w:rFonts w:hint="eastAsia" w:ascii="宋体" w:hAnsi="宋体"/>
          <w:b/>
          <w:sz w:val="24"/>
          <w:szCs w:val="24"/>
        </w:rPr>
        <w:t>违约</w:t>
      </w:r>
    </w:p>
    <w:p>
      <w:pPr>
        <w:numPr>
          <w:ilvl w:val="0"/>
          <w:numId w:val="25"/>
        </w:numPr>
        <w:spacing w:line="360" w:lineRule="auto"/>
        <w:rPr>
          <w:rFonts w:hint="eastAsia"/>
          <w:sz w:val="24"/>
          <w:szCs w:val="24"/>
        </w:rPr>
      </w:pPr>
      <w:r>
        <w:rPr>
          <w:rFonts w:hint="eastAsia" w:ascii="宋体" w:hAnsi="宋体"/>
          <w:sz w:val="24"/>
          <w:szCs w:val="24"/>
        </w:rPr>
        <w:t>双方任何一方不能全面履行合同条款，均属违约。违约所造成的所有责任和经济损失概由违约方承担。除非双方协商终止本合同，违约方承担违约责任后仍必须履行合同。</w:t>
      </w:r>
    </w:p>
    <w:p>
      <w:pPr>
        <w:numPr>
          <w:ilvl w:val="0"/>
          <w:numId w:val="25"/>
        </w:numPr>
        <w:spacing w:line="360" w:lineRule="auto"/>
        <w:rPr>
          <w:rFonts w:hint="eastAsia"/>
          <w:sz w:val="24"/>
          <w:szCs w:val="24"/>
        </w:rPr>
      </w:pPr>
      <w:r>
        <w:rPr>
          <w:rFonts w:hint="eastAsia"/>
          <w:sz w:val="24"/>
          <w:szCs w:val="24"/>
        </w:rPr>
        <w:t>乙方应严格保证供货周期，若未按约定的日期交货，则每拖延一天支付合同总金额的0.5%违约金,延期超过3天，第四天起每日违约金为1%，违约金直接从材料款中扣除。</w:t>
      </w:r>
    </w:p>
    <w:p>
      <w:pPr>
        <w:numPr>
          <w:ilvl w:val="0"/>
          <w:numId w:val="25"/>
        </w:numPr>
        <w:spacing w:line="360" w:lineRule="auto"/>
        <w:rPr>
          <w:sz w:val="24"/>
          <w:szCs w:val="24"/>
        </w:rPr>
      </w:pPr>
      <w:r>
        <w:rPr>
          <w:rFonts w:hint="eastAsia"/>
          <w:sz w:val="24"/>
          <w:szCs w:val="24"/>
        </w:rPr>
        <w:t>乙方不得随意打乱供货顺序及时间，必须严格按采购单要求供货，提前送达货物，甲方有权不予接收。</w:t>
      </w:r>
    </w:p>
    <w:p>
      <w:pPr>
        <w:numPr>
          <w:ilvl w:val="0"/>
          <w:numId w:val="25"/>
        </w:numPr>
        <w:spacing w:line="360" w:lineRule="auto"/>
        <w:rPr>
          <w:sz w:val="24"/>
          <w:szCs w:val="24"/>
        </w:rPr>
      </w:pPr>
      <w:r>
        <w:rPr>
          <w:rFonts w:hint="eastAsia" w:ascii="宋体" w:hAnsi="宋体"/>
          <w:sz w:val="24"/>
          <w:szCs w:val="24"/>
        </w:rPr>
        <w:t>如果乙方对合同的执行敷衍了事，或忽视履行本合同约定的乙方工作及责任，而且从书面要求其改正之日起</w:t>
      </w:r>
      <w:r>
        <w:rPr>
          <w:rFonts w:ascii="宋体" w:hAnsi="宋体"/>
          <w:sz w:val="24"/>
          <w:szCs w:val="24"/>
        </w:rPr>
        <w:t>5</w:t>
      </w:r>
      <w:r>
        <w:rPr>
          <w:rFonts w:hint="eastAsia" w:ascii="宋体" w:hAnsi="宋体"/>
          <w:sz w:val="24"/>
          <w:szCs w:val="24"/>
        </w:rPr>
        <w:t>日内仍未采取有效措施并体现效果的，甲方有权解除合同，并书面通知乙方后收回合约，由此造成的经济损失，甲方有权在给乙方的任何款项中提取补偿。</w:t>
      </w:r>
    </w:p>
    <w:p>
      <w:pPr>
        <w:numPr>
          <w:ilvl w:val="0"/>
          <w:numId w:val="25"/>
        </w:numPr>
        <w:spacing w:line="360" w:lineRule="auto"/>
        <w:rPr>
          <w:sz w:val="24"/>
          <w:szCs w:val="24"/>
        </w:rPr>
      </w:pPr>
      <w:r>
        <w:rPr>
          <w:rFonts w:hint="eastAsia" w:ascii="宋体" w:hAnsi="宋体"/>
          <w:sz w:val="24"/>
          <w:szCs w:val="24"/>
        </w:rPr>
        <w:t>因乙方原因（质量、供货速度、配合服务等无法满足要求）终止合同时，乙方应向甲方支付合同价款</w:t>
      </w:r>
      <w:r>
        <w:rPr>
          <w:rFonts w:ascii="宋体" w:hAnsi="宋体"/>
          <w:sz w:val="24"/>
          <w:szCs w:val="24"/>
        </w:rPr>
        <w:t>10%</w:t>
      </w:r>
      <w:r>
        <w:rPr>
          <w:rFonts w:hint="eastAsia" w:ascii="宋体" w:hAnsi="宋体"/>
          <w:sz w:val="24"/>
          <w:szCs w:val="24"/>
        </w:rPr>
        <w:t>的违约金，违约金可重复计算。</w:t>
      </w:r>
    </w:p>
    <w:p>
      <w:pPr>
        <w:numPr>
          <w:ilvl w:val="0"/>
          <w:numId w:val="25"/>
        </w:numPr>
        <w:spacing w:line="360" w:lineRule="auto"/>
        <w:rPr>
          <w:rFonts w:hint="eastAsia"/>
          <w:sz w:val="24"/>
          <w:szCs w:val="24"/>
        </w:rPr>
      </w:pPr>
      <w:r>
        <w:rPr>
          <w:rFonts w:hint="eastAsia" w:ascii="宋体" w:hAnsi="宋体"/>
          <w:sz w:val="24"/>
          <w:szCs w:val="24"/>
        </w:rPr>
        <w:t>本合同中所有乙方应支付的违约金，甲方有权在给乙方的任何款项中扣除，不够补偿而乙方又未即时支付的，甲方有权采取法律途径或没收及处理乙方送达材料用于补偿。</w:t>
      </w:r>
    </w:p>
    <w:p>
      <w:pPr>
        <w:numPr>
          <w:ilvl w:val="0"/>
          <w:numId w:val="7"/>
        </w:numPr>
        <w:spacing w:line="360" w:lineRule="auto"/>
        <w:rPr>
          <w:rFonts w:ascii="宋体" w:hAnsi="宋体"/>
          <w:b/>
          <w:sz w:val="24"/>
          <w:szCs w:val="24"/>
        </w:rPr>
      </w:pPr>
      <w:r>
        <w:rPr>
          <w:rFonts w:hint="eastAsia" w:ascii="宋体" w:hAnsi="宋体"/>
          <w:b/>
          <w:sz w:val="24"/>
          <w:szCs w:val="24"/>
        </w:rPr>
        <w:t>争议</w:t>
      </w:r>
    </w:p>
    <w:p>
      <w:pPr>
        <w:pStyle w:val="59"/>
        <w:tabs>
          <w:tab w:val="left" w:pos="840"/>
        </w:tabs>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1、双方在履行合同时发生争议，可以和解或者要求有关主管部门调解。</w:t>
      </w:r>
      <w:r>
        <w:rPr>
          <w:rFonts w:hint="eastAsia" w:ascii="宋体" w:hAnsi="宋体" w:eastAsia="宋体"/>
          <w:sz w:val="24"/>
          <w:szCs w:val="24"/>
        </w:rPr>
        <w:t>当事人</w:t>
      </w:r>
      <w:r>
        <w:rPr>
          <w:rFonts w:hint="eastAsia" w:ascii="宋体" w:hAnsi="宋体" w:eastAsia="宋体"/>
          <w:sz w:val="24"/>
          <w:szCs w:val="24"/>
          <w:lang w:eastAsia="zh-CN"/>
        </w:rPr>
        <w:t>协商不成</w:t>
      </w:r>
      <w:r>
        <w:rPr>
          <w:rFonts w:hint="eastAsia" w:ascii="宋体" w:hAnsi="宋体" w:eastAsia="宋体"/>
          <w:sz w:val="24"/>
          <w:szCs w:val="24"/>
        </w:rPr>
        <w:t>的，双方</w:t>
      </w:r>
      <w:r>
        <w:rPr>
          <w:rFonts w:hint="eastAsia" w:ascii="宋体" w:hAnsi="宋体" w:eastAsia="宋体"/>
          <w:sz w:val="24"/>
          <w:szCs w:val="24"/>
          <w:lang w:eastAsia="zh-CN"/>
        </w:rPr>
        <w:t>可</w:t>
      </w:r>
      <w:r>
        <w:rPr>
          <w:rFonts w:hint="eastAsia" w:ascii="宋体" w:hAnsi="宋体" w:eastAsia="宋体"/>
          <w:sz w:val="24"/>
          <w:szCs w:val="24"/>
        </w:rPr>
        <w:t>向甲方所在地人民法院起诉。</w:t>
      </w:r>
      <w:r>
        <w:rPr>
          <w:rFonts w:ascii="宋体" w:hAnsi="宋体" w:eastAsia="宋体"/>
          <w:sz w:val="24"/>
          <w:szCs w:val="24"/>
          <w:lang w:eastAsia="zh-CN"/>
        </w:rPr>
        <w:t>依据本合同规定提起的诉讼，败诉的一方应负担胜诉方因此而发生的合理的开支，包括</w:t>
      </w:r>
      <w:r>
        <w:rPr>
          <w:rFonts w:hint="eastAsia" w:ascii="宋体" w:hAnsi="宋体" w:eastAsia="宋体"/>
          <w:sz w:val="24"/>
          <w:szCs w:val="24"/>
          <w:lang w:eastAsia="zh-CN"/>
        </w:rPr>
        <w:t>但不限于</w:t>
      </w:r>
      <w:r>
        <w:rPr>
          <w:rFonts w:ascii="宋体" w:hAnsi="宋体" w:eastAsia="宋体"/>
          <w:sz w:val="24"/>
          <w:szCs w:val="24"/>
          <w:lang w:eastAsia="zh-CN"/>
        </w:rPr>
        <w:t>律师费、调查费、鉴定费、公证费、差旅费及其他相关费用</w:t>
      </w:r>
      <w:r>
        <w:rPr>
          <w:rFonts w:hint="eastAsia" w:ascii="宋体" w:hAnsi="宋体" w:eastAsia="宋体"/>
          <w:sz w:val="24"/>
          <w:szCs w:val="24"/>
          <w:lang w:eastAsia="zh-CN"/>
        </w:rPr>
        <w:t>。</w:t>
      </w:r>
    </w:p>
    <w:p>
      <w:pPr>
        <w:numPr>
          <w:ilvl w:val="0"/>
          <w:numId w:val="7"/>
        </w:numPr>
        <w:spacing w:line="360" w:lineRule="auto"/>
        <w:rPr>
          <w:rFonts w:ascii="宋体" w:hAnsi="宋体"/>
          <w:b/>
          <w:sz w:val="24"/>
          <w:szCs w:val="24"/>
        </w:rPr>
      </w:pPr>
      <w:r>
        <w:rPr>
          <w:rFonts w:hint="eastAsia" w:ascii="宋体" w:hAnsi="宋体"/>
          <w:b/>
          <w:sz w:val="24"/>
          <w:szCs w:val="24"/>
        </w:rPr>
        <w:t>不可抗力</w:t>
      </w:r>
    </w:p>
    <w:p>
      <w:pPr>
        <w:pStyle w:val="10"/>
        <w:rPr>
          <w:rFonts w:hint="eastAsia" w:ascii="宋体" w:hAnsi="宋体"/>
          <w:sz w:val="24"/>
          <w:szCs w:val="24"/>
        </w:rPr>
      </w:pPr>
      <w:r>
        <w:rPr>
          <w:rFonts w:hint="eastAsia" w:ascii="宋体" w:hAnsi="宋体"/>
          <w:sz w:val="24"/>
          <w:szCs w:val="24"/>
        </w:rPr>
        <w:t>不可抗力的认定标准：六级以上的地震、战争、动乱 、国家调整与本工程有关的重大政策。</w:t>
      </w:r>
    </w:p>
    <w:p>
      <w:pPr>
        <w:numPr>
          <w:ilvl w:val="0"/>
          <w:numId w:val="7"/>
        </w:numPr>
        <w:spacing w:line="360" w:lineRule="auto"/>
        <w:rPr>
          <w:rFonts w:ascii="宋体" w:hAnsi="宋体"/>
          <w:b/>
          <w:sz w:val="24"/>
          <w:szCs w:val="24"/>
        </w:rPr>
      </w:pPr>
      <w:r>
        <w:rPr>
          <w:rFonts w:hint="eastAsia" w:ascii="宋体" w:hAnsi="宋体"/>
          <w:b/>
          <w:sz w:val="24"/>
          <w:szCs w:val="24"/>
        </w:rPr>
        <w:t>保险</w:t>
      </w:r>
    </w:p>
    <w:p>
      <w:pPr>
        <w:pStyle w:val="10"/>
        <w:rPr>
          <w:rFonts w:hint="eastAsia" w:ascii="宋体" w:hAnsi="宋体"/>
          <w:sz w:val="24"/>
          <w:szCs w:val="24"/>
        </w:rPr>
      </w:pPr>
      <w:r>
        <w:rPr>
          <w:rFonts w:hint="eastAsia" w:ascii="宋体" w:hAnsi="宋体"/>
          <w:sz w:val="24"/>
          <w:szCs w:val="24"/>
        </w:rPr>
        <w:t>乙方应自行为进入现场的乙方人员办理保险，所有因乙方原因造成的任何人员伤亡（包括第三方人员在内），所造成依法应该支付的损失赔偿费，抚恤费和法律责任均由乙方负责。</w:t>
      </w:r>
    </w:p>
    <w:p>
      <w:pPr>
        <w:numPr>
          <w:ilvl w:val="0"/>
          <w:numId w:val="7"/>
        </w:numPr>
        <w:spacing w:line="360" w:lineRule="auto"/>
        <w:rPr>
          <w:rFonts w:ascii="宋体" w:hAnsi="宋体"/>
          <w:b/>
          <w:sz w:val="24"/>
          <w:szCs w:val="24"/>
        </w:rPr>
      </w:pPr>
      <w:r>
        <w:rPr>
          <w:rFonts w:hint="eastAsia" w:ascii="宋体" w:hAnsi="宋体"/>
          <w:b/>
          <w:sz w:val="24"/>
          <w:szCs w:val="24"/>
        </w:rPr>
        <w:t>专利技术及特殊工艺</w:t>
      </w:r>
    </w:p>
    <w:p>
      <w:pPr>
        <w:numPr>
          <w:ilvl w:val="0"/>
          <w:numId w:val="26"/>
        </w:numPr>
        <w:spacing w:line="360" w:lineRule="auto"/>
        <w:rPr>
          <w:sz w:val="24"/>
          <w:szCs w:val="24"/>
        </w:rPr>
      </w:pPr>
      <w:r>
        <w:rPr>
          <w:rFonts w:hint="eastAsia" w:ascii="宋体" w:hAnsi="宋体"/>
          <w:sz w:val="24"/>
          <w:szCs w:val="24"/>
        </w:rPr>
        <w:t>甲方要求使用专利技术或特殊工艺，应负责办理相应的申报手续，承担申报、试验、使用等费用；乙方提出使用专利技术或特殊工艺，应取得甲方单位认可，乙方负责办理申报手续并承担有关费用。</w:t>
      </w:r>
    </w:p>
    <w:p>
      <w:pPr>
        <w:numPr>
          <w:ilvl w:val="0"/>
          <w:numId w:val="26"/>
        </w:numPr>
        <w:spacing w:line="360" w:lineRule="auto"/>
        <w:rPr>
          <w:rFonts w:hint="eastAsia" w:ascii="宋体" w:hAnsi="宋体"/>
          <w:sz w:val="24"/>
          <w:szCs w:val="24"/>
        </w:rPr>
      </w:pPr>
      <w:r>
        <w:rPr>
          <w:rFonts w:hint="eastAsia" w:ascii="宋体" w:hAnsi="宋体"/>
          <w:sz w:val="24"/>
          <w:szCs w:val="24"/>
        </w:rPr>
        <w:t>擅自使用专利技术侵犯他人专利权的，责任者依法承担相应责任。</w:t>
      </w:r>
    </w:p>
    <w:p>
      <w:pPr>
        <w:numPr>
          <w:ilvl w:val="0"/>
          <w:numId w:val="7"/>
        </w:numPr>
        <w:spacing w:line="360" w:lineRule="auto"/>
        <w:rPr>
          <w:rFonts w:ascii="宋体" w:hAnsi="宋体"/>
          <w:b/>
          <w:sz w:val="24"/>
          <w:szCs w:val="24"/>
        </w:rPr>
      </w:pPr>
      <w:r>
        <w:rPr>
          <w:rFonts w:hint="eastAsia" w:ascii="宋体" w:hAnsi="宋体"/>
          <w:b/>
          <w:sz w:val="24"/>
          <w:szCs w:val="24"/>
        </w:rPr>
        <w:t>合同解除</w:t>
      </w:r>
    </w:p>
    <w:p>
      <w:pPr>
        <w:numPr>
          <w:ilvl w:val="0"/>
          <w:numId w:val="27"/>
        </w:numPr>
        <w:spacing w:line="360" w:lineRule="auto"/>
        <w:rPr>
          <w:sz w:val="24"/>
          <w:szCs w:val="24"/>
        </w:rPr>
      </w:pPr>
      <w:r>
        <w:rPr>
          <w:rFonts w:hint="eastAsia" w:ascii="宋体" w:hAnsi="宋体"/>
          <w:sz w:val="24"/>
          <w:szCs w:val="24"/>
        </w:rPr>
        <w:t>发生乙方将其承包的材料供货或安装工程转包给他人，或者肢解以后以分包的名义分别转包给他人，甲方有权解除合同。</w:t>
      </w:r>
    </w:p>
    <w:p>
      <w:pPr>
        <w:numPr>
          <w:ilvl w:val="0"/>
          <w:numId w:val="27"/>
        </w:numPr>
        <w:spacing w:line="360" w:lineRule="auto"/>
        <w:rPr>
          <w:sz w:val="24"/>
          <w:szCs w:val="24"/>
        </w:rPr>
      </w:pPr>
      <w:r>
        <w:rPr>
          <w:rFonts w:hint="eastAsia" w:ascii="宋体" w:hAnsi="宋体"/>
          <w:sz w:val="24"/>
          <w:szCs w:val="24"/>
        </w:rPr>
        <w:t>因乙方原因超过五个工作日仍未按期交货或安装完成的，甲方有权解除合同。</w:t>
      </w:r>
    </w:p>
    <w:p>
      <w:pPr>
        <w:numPr>
          <w:ilvl w:val="0"/>
          <w:numId w:val="27"/>
        </w:numPr>
        <w:spacing w:line="360" w:lineRule="auto"/>
        <w:rPr>
          <w:sz w:val="24"/>
          <w:szCs w:val="24"/>
        </w:rPr>
      </w:pPr>
      <w:r>
        <w:rPr>
          <w:rFonts w:hint="eastAsia" w:ascii="宋体" w:hAnsi="宋体"/>
          <w:sz w:val="24"/>
          <w:szCs w:val="24"/>
        </w:rPr>
        <w:t>因乙方原因导致材料或安装工程出现不可弥补的质量缺陷或对甲方造成媒体曝光等社会影响的，甲方有权解除合同。</w:t>
      </w:r>
    </w:p>
    <w:p>
      <w:pPr>
        <w:numPr>
          <w:ilvl w:val="0"/>
          <w:numId w:val="27"/>
        </w:numPr>
        <w:spacing w:line="360" w:lineRule="auto"/>
        <w:rPr>
          <w:sz w:val="24"/>
          <w:szCs w:val="24"/>
        </w:rPr>
      </w:pPr>
      <w:r>
        <w:rPr>
          <w:rFonts w:hint="eastAsia" w:ascii="宋体" w:hAnsi="宋体"/>
          <w:sz w:val="24"/>
          <w:szCs w:val="24"/>
        </w:rPr>
        <w:t>有下列情形之一的，双方应协商解除合同：</w:t>
      </w:r>
    </w:p>
    <w:p>
      <w:pPr>
        <w:pStyle w:val="10"/>
        <w:ind w:firstLine="720" w:firstLineChars="300"/>
        <w:rPr>
          <w:bCs/>
          <w:sz w:val="24"/>
          <w:szCs w:val="24"/>
        </w:rPr>
      </w:pPr>
      <w:r>
        <w:rPr>
          <w:bCs/>
          <w:sz w:val="24"/>
          <w:szCs w:val="24"/>
        </w:rPr>
        <w:t>a</w:t>
      </w:r>
      <w:r>
        <w:rPr>
          <w:rFonts w:hint="eastAsia"/>
          <w:bCs/>
          <w:sz w:val="24"/>
          <w:szCs w:val="24"/>
        </w:rPr>
        <w:t>：因不可抗力致使合同无法履行；</w:t>
      </w:r>
    </w:p>
    <w:p>
      <w:pPr>
        <w:pStyle w:val="10"/>
        <w:ind w:firstLine="720" w:firstLineChars="300"/>
        <w:rPr>
          <w:bCs/>
          <w:sz w:val="24"/>
          <w:szCs w:val="24"/>
        </w:rPr>
      </w:pPr>
      <w:r>
        <w:rPr>
          <w:bCs/>
          <w:sz w:val="24"/>
          <w:szCs w:val="24"/>
        </w:rPr>
        <w:t>b</w:t>
      </w:r>
      <w:r>
        <w:rPr>
          <w:rFonts w:hint="eastAsia"/>
          <w:bCs/>
          <w:sz w:val="24"/>
          <w:szCs w:val="24"/>
        </w:rPr>
        <w:t>：因其它原因造成工程停建或缓建，致使合同无法履行。</w:t>
      </w:r>
    </w:p>
    <w:p>
      <w:pPr>
        <w:numPr>
          <w:ilvl w:val="0"/>
          <w:numId w:val="27"/>
        </w:numPr>
        <w:spacing w:line="360" w:lineRule="auto"/>
        <w:rPr>
          <w:rFonts w:hint="eastAsia" w:ascii="宋体" w:hAnsi="宋体"/>
          <w:sz w:val="24"/>
          <w:szCs w:val="24"/>
        </w:rPr>
      </w:pPr>
      <w:r>
        <w:rPr>
          <w:rFonts w:hint="eastAsia" w:ascii="宋体" w:hAnsi="宋体"/>
          <w:sz w:val="24"/>
          <w:szCs w:val="24"/>
        </w:rPr>
        <w:t>甲方根据合同文件要求解除合同的，以书面形式向乙方发解除合同的通知，并在发出通知前告知对方，通知到达对方时合同解除。合同解除后，不影响双方在合同中约定的结算和清理条款的效力。</w:t>
      </w:r>
    </w:p>
    <w:p>
      <w:pPr>
        <w:numPr>
          <w:ilvl w:val="0"/>
          <w:numId w:val="7"/>
        </w:numPr>
        <w:spacing w:line="360" w:lineRule="auto"/>
        <w:rPr>
          <w:rFonts w:ascii="宋体" w:hAnsi="宋体"/>
          <w:b/>
          <w:sz w:val="24"/>
          <w:szCs w:val="24"/>
        </w:rPr>
      </w:pPr>
      <w:r>
        <w:rPr>
          <w:rFonts w:hint="eastAsia" w:ascii="宋体" w:hAnsi="宋体"/>
          <w:b/>
          <w:sz w:val="24"/>
          <w:szCs w:val="24"/>
        </w:rPr>
        <w:t>合同生效与终止</w:t>
      </w:r>
    </w:p>
    <w:p>
      <w:pPr>
        <w:numPr>
          <w:ilvl w:val="0"/>
          <w:numId w:val="28"/>
        </w:numPr>
        <w:spacing w:line="360" w:lineRule="auto"/>
        <w:rPr>
          <w:sz w:val="24"/>
          <w:szCs w:val="24"/>
        </w:rPr>
      </w:pPr>
      <w:r>
        <w:rPr>
          <w:rFonts w:hint="eastAsia" w:ascii="宋体" w:hAnsi="宋体"/>
          <w:sz w:val="24"/>
          <w:szCs w:val="24"/>
        </w:rPr>
        <w:t>本合同由双方法人代表下面签署并加盖双方公章后生效，竣工结算价款支付完毕，乙方向甲方交付完毕材料或竣工工程后，本合同即告终止。</w:t>
      </w:r>
    </w:p>
    <w:p>
      <w:pPr>
        <w:numPr>
          <w:ilvl w:val="0"/>
          <w:numId w:val="28"/>
        </w:numPr>
        <w:spacing w:line="360" w:lineRule="auto"/>
        <w:rPr>
          <w:sz w:val="24"/>
          <w:szCs w:val="24"/>
        </w:rPr>
      </w:pPr>
      <w:r>
        <w:rPr>
          <w:rFonts w:hint="eastAsia" w:ascii="宋体" w:hAnsi="宋体"/>
          <w:sz w:val="24"/>
          <w:szCs w:val="24"/>
        </w:rPr>
        <w:t>合同的权利义务终止后，双方应当遵循诚实信用原则，履行通知、协助、保密等义务。</w:t>
      </w:r>
    </w:p>
    <w:p>
      <w:pPr>
        <w:numPr>
          <w:ilvl w:val="0"/>
          <w:numId w:val="28"/>
        </w:numPr>
        <w:spacing w:line="360" w:lineRule="auto"/>
        <w:rPr>
          <w:sz w:val="24"/>
          <w:szCs w:val="24"/>
        </w:rPr>
      </w:pPr>
      <w:r>
        <w:rPr>
          <w:rFonts w:hint="eastAsia" w:ascii="宋体" w:hAnsi="宋体"/>
          <w:sz w:val="24"/>
          <w:szCs w:val="24"/>
        </w:rPr>
        <w:t>合同订立时间：</w:t>
      </w:r>
      <w:r>
        <w:rPr>
          <w:rFonts w:ascii="宋体" w:hAnsi="宋体"/>
          <w:sz w:val="24"/>
          <w:szCs w:val="24"/>
        </w:rPr>
        <w:t>_______</w:t>
      </w:r>
      <w:r>
        <w:rPr>
          <w:rFonts w:hint="eastAsia" w:ascii="宋体" w:hAnsi="宋体"/>
          <w:sz w:val="24"/>
          <w:szCs w:val="24"/>
        </w:rPr>
        <w:t>年</w:t>
      </w:r>
      <w:r>
        <w:rPr>
          <w:rFonts w:ascii="宋体" w:hAnsi="宋体"/>
          <w:sz w:val="24"/>
          <w:szCs w:val="24"/>
        </w:rPr>
        <w:t>______</w:t>
      </w:r>
      <w:r>
        <w:rPr>
          <w:rFonts w:hint="eastAsia" w:ascii="宋体" w:hAnsi="宋体"/>
          <w:sz w:val="24"/>
          <w:szCs w:val="24"/>
        </w:rPr>
        <w:t>月</w:t>
      </w:r>
      <w:r>
        <w:rPr>
          <w:rFonts w:ascii="宋体" w:hAnsi="宋体"/>
          <w:sz w:val="24"/>
          <w:szCs w:val="24"/>
        </w:rPr>
        <w:t>____</w:t>
      </w:r>
      <w:r>
        <w:rPr>
          <w:rFonts w:hint="eastAsia" w:ascii="宋体" w:hAnsi="宋体"/>
          <w:sz w:val="24"/>
          <w:szCs w:val="24"/>
        </w:rPr>
        <w:t>日</w:t>
      </w:r>
    </w:p>
    <w:p>
      <w:pPr>
        <w:numPr>
          <w:ilvl w:val="0"/>
          <w:numId w:val="28"/>
        </w:numPr>
        <w:spacing w:line="360" w:lineRule="auto"/>
        <w:rPr>
          <w:sz w:val="24"/>
          <w:szCs w:val="24"/>
        </w:rPr>
      </w:pPr>
      <w:r>
        <w:rPr>
          <w:rFonts w:hint="eastAsia" w:ascii="宋体" w:hAnsi="宋体"/>
          <w:sz w:val="24"/>
          <w:szCs w:val="24"/>
        </w:rPr>
        <w:t>合同订立地点：</w:t>
      </w:r>
      <w:r>
        <w:rPr>
          <w:rFonts w:ascii="宋体" w:hAnsi="宋体"/>
          <w:sz w:val="24"/>
          <w:szCs w:val="24"/>
        </w:rPr>
        <w:t>_______</w:t>
      </w:r>
    </w:p>
    <w:p>
      <w:pPr>
        <w:numPr>
          <w:ilvl w:val="0"/>
          <w:numId w:val="28"/>
        </w:numPr>
        <w:spacing w:line="360" w:lineRule="auto"/>
        <w:rPr>
          <w:rFonts w:ascii="Times New Roman" w:hAnsi="Times New Roman"/>
          <w:sz w:val="24"/>
          <w:szCs w:val="24"/>
        </w:rPr>
      </w:pPr>
      <w:r>
        <w:rPr>
          <w:rFonts w:hint="eastAsia" w:ascii="宋体" w:hAnsi="宋体"/>
          <w:sz w:val="24"/>
          <w:szCs w:val="24"/>
        </w:rPr>
        <w:t>本合同未尽事宜，遵照《合同法》有关条文执行，或由甲乙双方协商一致签订书面补充协议解决，补充协议具有同等法律效力。</w:t>
      </w:r>
    </w:p>
    <w:p>
      <w:pPr>
        <w:numPr>
          <w:ilvl w:val="0"/>
          <w:numId w:val="28"/>
        </w:numPr>
        <w:spacing w:line="360" w:lineRule="auto"/>
        <w:rPr>
          <w:sz w:val="24"/>
          <w:szCs w:val="24"/>
        </w:rPr>
      </w:pPr>
      <w:r>
        <w:rPr>
          <w:rFonts w:hint="eastAsia" w:ascii="宋体" w:hAnsi="宋体"/>
          <w:sz w:val="24"/>
          <w:szCs w:val="24"/>
        </w:rPr>
        <w:t>本合同一式六份，具有同等效力，由双方分别保存正本一份，副本二份。正本与副本不符合时，以正本为准。</w:t>
      </w:r>
    </w:p>
    <w:p>
      <w:pPr>
        <w:numPr>
          <w:ilvl w:val="0"/>
          <w:numId w:val="0"/>
        </w:numPr>
        <w:tabs>
          <w:tab w:val="left" w:pos="840"/>
        </w:tabs>
        <w:spacing w:line="360" w:lineRule="auto"/>
        <w:rPr>
          <w:rFonts w:hint="eastAsia"/>
          <w:sz w:val="24"/>
          <w:szCs w:val="24"/>
        </w:rPr>
      </w:pPr>
    </w:p>
    <w:p>
      <w:pPr>
        <w:spacing w:line="360" w:lineRule="auto"/>
        <w:rPr>
          <w:rFonts w:hint="eastAsia" w:ascii="宋体"/>
          <w:sz w:val="24"/>
          <w:szCs w:val="24"/>
        </w:rPr>
      </w:pPr>
      <w:r>
        <w:rPr>
          <w:rFonts w:ascii="宋体" w:hAnsi="宋体"/>
          <w:sz w:val="24"/>
          <w:szCs w:val="24"/>
        </w:rPr>
        <w:t xml:space="preserve"> </w:t>
      </w:r>
      <w:r>
        <w:rPr>
          <w:rFonts w:hint="eastAsia" w:ascii="宋体" w:hAnsi="宋体"/>
          <w:sz w:val="24"/>
          <w:szCs w:val="24"/>
        </w:rPr>
        <w:t>甲方：（公章）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乙方：（公章）          </w:t>
      </w:r>
      <w:r>
        <w:rPr>
          <w:rFonts w:hint="eastAsia" w:ascii="宋体"/>
          <w:sz w:val="24"/>
          <w:szCs w:val="24"/>
        </w:rPr>
        <w:t xml:space="preserve"> </w:t>
      </w:r>
    </w:p>
    <w:p>
      <w:pPr>
        <w:spacing w:line="360" w:lineRule="auto"/>
        <w:rPr>
          <w:rFonts w:hint="eastAsia"/>
          <w:sz w:val="24"/>
          <w:szCs w:val="24"/>
        </w:rPr>
      </w:pPr>
      <w:r>
        <w:rPr>
          <w:rFonts w:ascii="宋体" w:hAnsi="宋体"/>
          <w:sz w:val="24"/>
          <w:szCs w:val="24"/>
        </w:rPr>
        <w:t xml:space="preserve"> </w:t>
      </w:r>
      <w:r>
        <w:rPr>
          <w:rFonts w:hint="eastAsia" w:ascii="宋体" w:hAnsi="宋体"/>
          <w:sz w:val="24"/>
          <w:szCs w:val="24"/>
        </w:rPr>
        <w:t xml:space="preserve">       地址：</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地址：             </w:t>
      </w:r>
    </w:p>
    <w:p>
      <w:pPr>
        <w:spacing w:line="360" w:lineRule="auto"/>
        <w:ind w:firstLine="240" w:firstLineChars="100"/>
        <w:rPr>
          <w:rFonts w:hint="eastAsia"/>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法定代表人：             </w:t>
      </w:r>
    </w:p>
    <w:p>
      <w:pPr>
        <w:spacing w:line="360" w:lineRule="auto"/>
        <w:ind w:firstLine="240" w:firstLineChars="100"/>
        <w:rPr>
          <w:rFonts w:hint="eastAsia"/>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委托代理人：            </w:t>
      </w:r>
    </w:p>
    <w:p>
      <w:pPr>
        <w:spacing w:line="360" w:lineRule="auto"/>
        <w:rPr>
          <w:rFonts w:hint="eastAsia"/>
          <w:sz w:val="24"/>
          <w:szCs w:val="24"/>
        </w:rPr>
      </w:pPr>
      <w:r>
        <w:rPr>
          <w:rFonts w:ascii="宋体" w:hAnsi="宋体"/>
          <w:sz w:val="24"/>
          <w:szCs w:val="24"/>
        </w:rPr>
        <w:t xml:space="preserve">        </w:t>
      </w: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电话：                  </w:t>
      </w:r>
    </w:p>
    <w:p>
      <w:pPr>
        <w:spacing w:line="360" w:lineRule="auto"/>
        <w:rPr>
          <w:rFonts w:hint="eastAsia"/>
          <w:sz w:val="24"/>
          <w:szCs w:val="24"/>
        </w:rPr>
      </w:pPr>
      <w:r>
        <w:rPr>
          <w:rFonts w:ascii="宋体" w:hAnsi="宋体"/>
          <w:sz w:val="24"/>
          <w:szCs w:val="24"/>
        </w:rPr>
        <w:t xml:space="preserve">        </w:t>
      </w:r>
      <w:r>
        <w:rPr>
          <w:rFonts w:hint="eastAsia" w:ascii="宋体" w:hAnsi="宋体"/>
          <w:sz w:val="24"/>
          <w:szCs w:val="24"/>
        </w:rPr>
        <w:t>传真：</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传真：                   </w:t>
      </w:r>
    </w:p>
    <w:p>
      <w:pPr>
        <w:spacing w:line="360" w:lineRule="auto"/>
        <w:rPr>
          <w:rFonts w:hint="eastAsia"/>
          <w:sz w:val="24"/>
          <w:szCs w:val="24"/>
        </w:rPr>
      </w:pPr>
      <w:r>
        <w:rPr>
          <w:rFonts w:ascii="宋体" w:hAnsi="宋体"/>
          <w:sz w:val="24"/>
          <w:szCs w:val="24"/>
        </w:rPr>
        <w:t xml:space="preserve">    </w:t>
      </w: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开户银行：                </w:t>
      </w:r>
    </w:p>
    <w:p>
      <w:pPr>
        <w:spacing w:line="360" w:lineRule="auto"/>
        <w:rPr>
          <w:rFonts w:hint="eastAsia"/>
          <w:sz w:val="24"/>
          <w:szCs w:val="24"/>
        </w:rPr>
      </w:pPr>
      <w:r>
        <w:rPr>
          <w:rFonts w:ascii="宋体" w:hAnsi="宋体"/>
          <w:sz w:val="24"/>
          <w:szCs w:val="24"/>
        </w:rPr>
        <w:t xml:space="preserve">        </w:t>
      </w: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 xml:space="preserve">         帐号：                 </w:t>
      </w:r>
    </w:p>
    <w:p>
      <w:pPr>
        <w:spacing w:line="360" w:lineRule="auto"/>
        <w:ind w:firstLine="480" w:firstLineChars="200"/>
        <w:rPr>
          <w:rFonts w:hint="eastAsia" w:ascii="宋体" w:hAnsi="宋体"/>
          <w:sz w:val="24"/>
          <w:szCs w:val="24"/>
        </w:rPr>
      </w:pPr>
      <w:r>
        <w:rPr>
          <w:rFonts w:hint="eastAsia" w:ascii="宋体" w:hAnsi="宋体"/>
          <w:sz w:val="24"/>
          <w:szCs w:val="24"/>
        </w:rPr>
        <w:t>邮政编码：</w:t>
      </w:r>
      <w:r>
        <w:rPr>
          <w:rFonts w:ascii="宋体" w:hAnsi="宋体"/>
          <w:sz w:val="24"/>
          <w:szCs w:val="24"/>
        </w:rPr>
        <w:t xml:space="preserve">                  </w:t>
      </w:r>
      <w:r>
        <w:rPr>
          <w:rFonts w:hint="eastAsia" w:ascii="宋体" w:hAnsi="宋体"/>
          <w:sz w:val="24"/>
          <w:szCs w:val="24"/>
        </w:rPr>
        <w:t xml:space="preserve">             邮政编码：           </w:t>
      </w:r>
    </w:p>
    <w:p>
      <w:pPr>
        <w:spacing w:line="360" w:lineRule="auto"/>
        <w:ind w:firstLine="480" w:firstLineChars="200"/>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鉴证方（盖章）：                                         </w:t>
      </w: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法定代表人或授权代表（签字）：  </w:t>
      </w: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地址：    </w:t>
      </w: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邮编：                                                     </w:t>
      </w: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电话：                                              </w:t>
      </w:r>
    </w:p>
    <w:p>
      <w:pPr>
        <w:spacing w:line="360" w:lineRule="auto"/>
        <w:ind w:firstLine="480" w:firstLineChars="200"/>
        <w:jc w:val="left"/>
        <w:rPr>
          <w:rFonts w:hint="eastAsia" w:ascii="宋体" w:hAnsi="宋体"/>
          <w:sz w:val="24"/>
          <w:szCs w:val="24"/>
        </w:rPr>
      </w:pPr>
      <w:r>
        <w:rPr>
          <w:rFonts w:hint="eastAsia" w:ascii="宋体" w:hAnsi="宋体"/>
          <w:sz w:val="24"/>
          <w:szCs w:val="24"/>
        </w:rPr>
        <w:t xml:space="preserve">传真：                                         </w:t>
      </w:r>
    </w:p>
    <w:p>
      <w:pPr>
        <w:spacing w:line="360" w:lineRule="auto"/>
        <w:ind w:firstLine="480" w:firstLineChars="200"/>
        <w:rPr>
          <w:rFonts w:hint="eastAsia"/>
          <w:sz w:val="24"/>
          <w:szCs w:val="24"/>
        </w:rPr>
      </w:pPr>
      <w:r>
        <w:rPr>
          <w:rFonts w:hint="eastAsia" w:ascii="宋体" w:hAnsi="宋体"/>
          <w:sz w:val="24"/>
          <w:szCs w:val="24"/>
        </w:rPr>
        <w:t xml:space="preserve">    </w:t>
      </w:r>
      <w:bookmarkStart w:id="9" w:name="_Toc350327365"/>
      <w:bookmarkStart w:id="10" w:name="_Toc339872468"/>
      <w:bookmarkStart w:id="11" w:name="_Toc326765771"/>
      <w:bookmarkStart w:id="12" w:name="_Toc349721554"/>
      <w:bookmarkStart w:id="13" w:name="_Toc328381300"/>
      <w:r>
        <w:rPr>
          <w:rFonts w:hint="eastAsia" w:ascii="宋体" w:hAnsi="宋体"/>
          <w:b/>
          <w:sz w:val="24"/>
          <w:szCs w:val="24"/>
        </w:rPr>
        <w:t>★ 此仅为合同书样本，中标单位需根据实际情况和采购人签订相应的合同！</w:t>
      </w:r>
      <w:bookmarkEnd w:id="9"/>
      <w:bookmarkEnd w:id="10"/>
      <w:bookmarkEnd w:id="11"/>
      <w:bookmarkEnd w:id="12"/>
      <w:bookmarkEnd w:id="13"/>
    </w:p>
    <w:p>
      <w:pPr>
        <w:rPr>
          <w:rFonts w:hint="eastAsia"/>
        </w:rPr>
      </w:pPr>
    </w:p>
    <w:p>
      <w:pPr>
        <w:rPr>
          <w:rFonts w:hint="eastAsia"/>
        </w:rPr>
      </w:pPr>
    </w:p>
    <w:p>
      <w:pPr>
        <w:pStyle w:val="61"/>
        <w:rPr>
          <w:rFonts w:hint="eastAsia" w:ascii="宋体" w:hAnsi="宋体" w:eastAsia="宋体"/>
          <w:color w:val="000000"/>
        </w:rPr>
      </w:pPr>
      <w:r>
        <w:rPr>
          <w:rFonts w:ascii="宋体" w:hAnsi="宋体" w:eastAsia="宋体"/>
          <w:color w:val="000000"/>
        </w:rPr>
        <w:br w:type="page"/>
      </w:r>
      <w:bookmarkStart w:id="14" w:name="_Toc29102"/>
      <w:bookmarkStart w:id="15" w:name="_Toc303256682"/>
      <w:r>
        <w:rPr>
          <w:rFonts w:hint="eastAsia" w:ascii="宋体" w:hAnsi="宋体" w:eastAsia="宋体"/>
          <w:color w:val="000000"/>
        </w:rPr>
        <w:t>第五部分 响应文件格式</w:t>
      </w:r>
      <w:bookmarkEnd w:id="14"/>
      <w:bookmarkEnd w:id="15"/>
    </w:p>
    <w:p>
      <w:pPr>
        <w:spacing w:line="440" w:lineRule="exact"/>
        <w:jc w:val="center"/>
        <w:rPr>
          <w:rFonts w:hint="eastAsia" w:ascii="宋体" w:hAnsi="宋体"/>
          <w:color w:val="000000"/>
          <w:szCs w:val="21"/>
        </w:rPr>
      </w:pPr>
    </w:p>
    <w:p>
      <w:pPr>
        <w:spacing w:line="440" w:lineRule="exact"/>
        <w:jc w:val="center"/>
        <w:rPr>
          <w:rFonts w:hint="eastAsia" w:ascii="宋体" w:hAnsi="宋体"/>
          <w:b/>
          <w:bCs/>
          <w:color w:val="000000"/>
          <w:sz w:val="32"/>
          <w:szCs w:val="32"/>
        </w:rPr>
      </w:pPr>
      <w:bookmarkStart w:id="16" w:name="_Toc297472057"/>
      <w:bookmarkStart w:id="17" w:name="_Toc297472825"/>
      <w:bookmarkStart w:id="18" w:name="_Toc328381294"/>
      <w:bookmarkStart w:id="19" w:name="_Toc350410022"/>
      <w:bookmarkStart w:id="20" w:name="_Toc303256683"/>
      <w:bookmarkStart w:id="21" w:name="_Toc367698158"/>
      <w:bookmarkStart w:id="22" w:name="_Toc350409931"/>
      <w:bookmarkStart w:id="23" w:name="_Toc339872470"/>
      <w:r>
        <w:rPr>
          <w:rFonts w:hint="eastAsia" w:ascii="宋体" w:hAnsi="宋体" w:cs="宋体"/>
          <w:b/>
          <w:color w:val="000000"/>
          <w:kern w:val="0"/>
          <w:sz w:val="32"/>
          <w:szCs w:val="32"/>
        </w:rPr>
        <w:t>一、谈判响应</w:t>
      </w:r>
      <w:r>
        <w:rPr>
          <w:rFonts w:hint="eastAsia" w:ascii="宋体" w:hAnsi="宋体"/>
          <w:b/>
          <w:color w:val="000000"/>
          <w:sz w:val="32"/>
          <w:szCs w:val="32"/>
        </w:rPr>
        <w:t>函</w:t>
      </w:r>
      <w:bookmarkEnd w:id="16"/>
      <w:bookmarkEnd w:id="17"/>
      <w:bookmarkEnd w:id="18"/>
      <w:bookmarkEnd w:id="19"/>
      <w:bookmarkEnd w:id="20"/>
      <w:bookmarkEnd w:id="21"/>
      <w:bookmarkEnd w:id="22"/>
      <w:bookmarkEnd w:id="23"/>
    </w:p>
    <w:p>
      <w:pPr>
        <w:spacing w:line="440" w:lineRule="exact"/>
        <w:rPr>
          <w:rFonts w:hint="eastAsia" w:ascii="宋体" w:hAnsi="宋体"/>
          <w:b/>
          <w:color w:val="000000"/>
          <w:sz w:val="24"/>
        </w:rPr>
      </w:pPr>
      <w:r>
        <w:rPr>
          <w:rFonts w:hint="eastAsia" w:ascii="宋体" w:hAnsi="宋体" w:cs="宋体"/>
          <w:color w:val="000000"/>
          <w:sz w:val="24"/>
        </w:rPr>
        <w:t>杭州市余杭区人民政府南苑街道办事处、大地工程咨询有限公司</w:t>
      </w:r>
      <w:r>
        <w:rPr>
          <w:rFonts w:hint="eastAsia" w:ascii="宋体" w:hAnsi="宋体"/>
          <w:b/>
          <w:color w:val="000000"/>
          <w:sz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(谈判响应方全称)授权</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(全权代表姓名)</w:t>
      </w:r>
      <w:r>
        <w:rPr>
          <w:rFonts w:ascii="宋体" w:hAnsi="宋体"/>
          <w:color w:val="000000"/>
          <w:sz w:val="24"/>
          <w:u w:val="single"/>
        </w:rPr>
        <w:t xml:space="preserve">          </w:t>
      </w:r>
      <w:r>
        <w:rPr>
          <w:rFonts w:hint="eastAsia" w:ascii="宋体" w:hAnsi="宋体"/>
          <w:color w:val="000000"/>
          <w:sz w:val="24"/>
        </w:rPr>
        <w:t>(职务、职称)为全权代表，参加贵方组织</w:t>
      </w:r>
      <w:r>
        <w:rPr>
          <w:rFonts w:hint="eastAsia" w:ascii="宋体" w:hAnsi="宋体"/>
          <w:color w:val="000000"/>
          <w:sz w:val="24"/>
          <w:u w:val="single"/>
        </w:rPr>
        <w:t xml:space="preserve">            </w:t>
      </w:r>
      <w:r>
        <w:rPr>
          <w:rFonts w:hint="eastAsia" w:ascii="宋体" w:hAnsi="宋体"/>
          <w:color w:val="000000"/>
          <w:sz w:val="24"/>
        </w:rPr>
        <w:t>项目（项目编号：       ）采购的有关活动，并对此项目进行响应。全部响应文件，包括正本一份、副本三份，以及其他要求谈判响应方提交的全部文件。</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据此函，签字代表宣布同意如下：</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1、我方承诺已经具备《中华人民共和国政府采购法》</w:t>
      </w:r>
      <w:r>
        <w:rPr>
          <w:rFonts w:ascii="宋体" w:hAnsi="宋体"/>
          <w:color w:val="000000"/>
          <w:sz w:val="24"/>
        </w:rPr>
        <w:t>第二十二条</w:t>
      </w:r>
      <w:r>
        <w:rPr>
          <w:rFonts w:hint="eastAsia" w:ascii="宋体" w:hAnsi="宋体"/>
          <w:color w:val="000000"/>
          <w:sz w:val="24"/>
        </w:rPr>
        <w:t>中规定的参加政府采购活动的谈判响应方应当具备的条件：</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（一）具有独立承担民事责任的能力；</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（二）具有良好的商业信誉和健全的财务会计制度；</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（三）具有履行合同所必需的设备和专业技术能力；</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（四）有依法缴纳税收和社会保障资金的良好记录；</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（五）参加政府采购活动前三年内，在经营活动中没有重大违法记录；</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（六）法律、行政法规规定的其他条件。</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2、本响应有效期自响应文件合格递交之日起</w:t>
      </w:r>
      <w:r>
        <w:rPr>
          <w:rFonts w:ascii="宋体" w:hAnsi="宋体"/>
          <w:b/>
          <w:color w:val="000000"/>
          <w:sz w:val="24"/>
          <w:u w:val="thick"/>
        </w:rPr>
        <w:t xml:space="preserve"> </w:t>
      </w:r>
      <w:r>
        <w:rPr>
          <w:rFonts w:hint="eastAsia" w:ascii="宋体" w:hAnsi="宋体"/>
          <w:b/>
          <w:color w:val="000000"/>
          <w:sz w:val="24"/>
          <w:u w:val="thick"/>
        </w:rPr>
        <w:t>60日</w:t>
      </w:r>
      <w:r>
        <w:rPr>
          <w:rFonts w:hint="eastAsia" w:ascii="宋体" w:hAnsi="宋体"/>
          <w:color w:val="000000"/>
          <w:sz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3、如我方成交，本响应文件至本项目合同履行完毕止均保持有效，我方将按采购文件及政府采购法律、法规的规定履行合同责任和义务。</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4、我方同意按照贵方要求提供与谈判响应有关的一切数据或资料，配合采购人、采购代理机构进行评审、验收等与本次采购相关工作。</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5、我方在谈判响应之前已经与贵方进行了充分的沟通，完全理解并接受采购文件的各项规定和要求，对采购文件的合理性、合法性不再有异议。并保证遵守采购文件中的有关规定。</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6、我方已详细审查全部采购文件，包括更正通知（如有的话）以及全部参考资料和有关附件，已经了解我方对于采购文件、采购过程、采购结果有依法进行询问、质疑、投诉的权利及相关渠道和要求。</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我方向贵方提交的所有响应文件、资料都是准确的和真实的</w:t>
      </w:r>
      <w:r>
        <w:rPr>
          <w:rFonts w:hint="eastAsia" w:ascii="宋体" w:hAnsi="宋体"/>
          <w:color w:val="000000"/>
          <w:sz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8、我方将严格遵守《中华人民共和国政府采购法》第七十七条规定，</w:t>
      </w:r>
      <w:r>
        <w:rPr>
          <w:rFonts w:ascii="宋体" w:hAnsi="宋体"/>
          <w:color w:val="000000"/>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（一）提供虚假材料谋取中标、成交的；</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（二）采取不正当手段诋毁、排挤其他供应商的；</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（三）与采购人、其他供应商或者采购代理机构恶意串通的；</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（四）向采购人、采购代理机构行贿或者提供其他不正当利益的；</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（五）在招标采购过程中与采购人进行协商谈判的；</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（六）拒绝有关部门监督检查或者提供虚假情况的。</w:t>
      </w:r>
    </w:p>
    <w:p>
      <w:pPr>
        <w:adjustRightInd w:val="0"/>
        <w:snapToGrid w:val="0"/>
        <w:spacing w:line="440" w:lineRule="exact"/>
        <w:ind w:firstLine="480" w:firstLineChars="200"/>
        <w:rPr>
          <w:rFonts w:hint="eastAsia" w:ascii="宋体" w:hAnsi="宋体"/>
          <w:color w:val="000000"/>
          <w:sz w:val="24"/>
        </w:rPr>
      </w:pPr>
      <w:r>
        <w:rPr>
          <w:rFonts w:ascii="宋体" w:hAnsi="宋体"/>
          <w:color w:val="000000"/>
          <w:sz w:val="24"/>
        </w:rPr>
        <w:t>供应商有前款第（一）至（五）项情形之一的，中标、成交无效。</w:t>
      </w:r>
    </w:p>
    <w:p>
      <w:pPr>
        <w:adjustRightInd w:val="0"/>
        <w:snapToGrid w:val="0"/>
        <w:spacing w:line="440" w:lineRule="exact"/>
        <w:ind w:firstLine="480" w:firstLineChars="200"/>
        <w:rPr>
          <w:rFonts w:hint="eastAsia" w:ascii="宋体" w:hAnsi="宋体"/>
          <w:color w:val="000000"/>
          <w:sz w:val="24"/>
        </w:rPr>
      </w:pPr>
    </w:p>
    <w:p>
      <w:pPr>
        <w:autoSpaceDE w:val="0"/>
        <w:autoSpaceDN w:val="0"/>
        <w:adjustRightInd w:val="0"/>
        <w:spacing w:line="440" w:lineRule="exact"/>
        <w:rPr>
          <w:rFonts w:ascii="宋体" w:hAnsi="宋体" w:cs="仿宋_GB2312"/>
          <w:color w:val="000000"/>
          <w:kern w:val="0"/>
          <w:sz w:val="24"/>
          <w:u w:val="single"/>
          <w:lang w:val="zh-CN"/>
        </w:rPr>
      </w:pPr>
      <w:r>
        <w:rPr>
          <w:rFonts w:hint="eastAsia" w:ascii="宋体" w:hAnsi="宋体" w:cs="仿宋_GB2312"/>
          <w:color w:val="000000"/>
          <w:kern w:val="0"/>
          <w:sz w:val="24"/>
          <w:lang w:val="zh-CN"/>
        </w:rPr>
        <w:t xml:space="preserve">法定代表人或授权代表（签字）： </w:t>
      </w:r>
      <w:r>
        <w:rPr>
          <w:rFonts w:ascii="宋体" w:hAnsi="宋体" w:cs="仿宋_GB2312"/>
          <w:color w:val="000000"/>
          <w:kern w:val="0"/>
          <w:sz w:val="24"/>
          <w:u w:val="single"/>
          <w:lang w:val="zh-CN"/>
        </w:rPr>
        <w:t xml:space="preserve">                     </w:t>
      </w:r>
    </w:p>
    <w:p>
      <w:pPr>
        <w:autoSpaceDE w:val="0"/>
        <w:autoSpaceDN w:val="0"/>
        <w:adjustRightInd w:val="0"/>
        <w:spacing w:line="440" w:lineRule="exact"/>
        <w:rPr>
          <w:rFonts w:ascii="宋体" w:hAnsi="宋体" w:cs="仿宋_GB2312"/>
          <w:color w:val="000000"/>
          <w:kern w:val="0"/>
          <w:sz w:val="24"/>
          <w:u w:val="single"/>
          <w:lang w:val="zh-CN"/>
        </w:rPr>
      </w:pPr>
      <w:r>
        <w:rPr>
          <w:rFonts w:hint="eastAsia" w:ascii="宋体" w:hAnsi="宋体" w:cs="仿宋_GB2312"/>
          <w:color w:val="000000"/>
          <w:kern w:val="0"/>
          <w:sz w:val="24"/>
          <w:lang w:val="zh-CN"/>
        </w:rPr>
        <w:t>谈判响应方（公章）</w:t>
      </w:r>
      <w:r>
        <w:rPr>
          <w:rFonts w:ascii="宋体" w:hAnsi="宋体" w:cs="仿宋_GB2312"/>
          <w:color w:val="000000"/>
          <w:kern w:val="0"/>
          <w:sz w:val="24"/>
          <w:lang w:val="zh-CN"/>
        </w:rPr>
        <w:t xml:space="preserve">:  </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 xml:space="preserve">  </w:t>
      </w:r>
      <w:r>
        <w:rPr>
          <w:rFonts w:ascii="宋体" w:hAnsi="宋体" w:cs="仿宋_GB2312"/>
          <w:color w:val="000000"/>
          <w:kern w:val="0"/>
          <w:sz w:val="24"/>
          <w:u w:val="single"/>
          <w:lang w:val="zh-CN"/>
        </w:rPr>
        <w:t xml:space="preserve">         </w:t>
      </w:r>
    </w:p>
    <w:p>
      <w:pPr>
        <w:autoSpaceDE w:val="0"/>
        <w:autoSpaceDN w:val="0"/>
        <w:adjustRightInd w:val="0"/>
        <w:spacing w:line="440" w:lineRule="exact"/>
        <w:rPr>
          <w:rFonts w:ascii="宋体" w:hAnsi="宋体"/>
          <w:color w:val="000000"/>
          <w:kern w:val="0"/>
          <w:sz w:val="24"/>
        </w:rPr>
      </w:pPr>
      <w:r>
        <w:rPr>
          <w:rFonts w:hint="eastAsia" w:ascii="宋体" w:hAnsi="宋体" w:cs="仿宋_GB2312"/>
          <w:color w:val="000000"/>
          <w:kern w:val="0"/>
          <w:sz w:val="24"/>
          <w:lang w:val="zh-CN"/>
        </w:rPr>
        <w:t>联系人：</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 xml:space="preserve">  邮政编码：</w:t>
      </w:r>
      <w:r>
        <w:rPr>
          <w:rFonts w:ascii="宋体" w:hAnsi="宋体" w:cs="仿宋_GB2312"/>
          <w:color w:val="000000"/>
          <w:kern w:val="0"/>
          <w:sz w:val="24"/>
          <w:u w:val="single"/>
          <w:lang w:val="zh-CN"/>
        </w:rPr>
        <w:t xml:space="preserve">                     </w:t>
      </w:r>
    </w:p>
    <w:p>
      <w:pPr>
        <w:autoSpaceDE w:val="0"/>
        <w:autoSpaceDN w:val="0"/>
        <w:adjustRightInd w:val="0"/>
        <w:spacing w:line="440" w:lineRule="exact"/>
        <w:rPr>
          <w:rFonts w:ascii="宋体" w:hAnsi="宋体"/>
          <w:color w:val="000000"/>
          <w:kern w:val="0"/>
          <w:sz w:val="24"/>
        </w:rPr>
      </w:pPr>
      <w:r>
        <w:rPr>
          <w:rFonts w:hint="eastAsia" w:ascii="宋体" w:hAnsi="宋体" w:cs="仿宋_GB2312"/>
          <w:color w:val="000000"/>
          <w:kern w:val="0"/>
          <w:sz w:val="24"/>
          <w:lang w:val="zh-CN"/>
        </w:rPr>
        <w:t>联系地址：</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 xml:space="preserve">     </w:t>
      </w:r>
      <w:r>
        <w:rPr>
          <w:rFonts w:ascii="宋体" w:hAnsi="宋体" w:cs="仿宋_GB2312"/>
          <w:color w:val="000000"/>
          <w:kern w:val="0"/>
          <w:sz w:val="24"/>
          <w:u w:val="single"/>
          <w:lang w:val="zh-CN"/>
        </w:rPr>
        <w:t xml:space="preserve">                           </w:t>
      </w:r>
    </w:p>
    <w:p>
      <w:pPr>
        <w:autoSpaceDE w:val="0"/>
        <w:autoSpaceDN w:val="0"/>
        <w:adjustRightInd w:val="0"/>
        <w:spacing w:line="440" w:lineRule="exact"/>
        <w:rPr>
          <w:rFonts w:ascii="宋体" w:hAnsi="宋体"/>
          <w:color w:val="000000"/>
          <w:kern w:val="0"/>
          <w:sz w:val="24"/>
        </w:rPr>
      </w:pPr>
      <w:r>
        <w:rPr>
          <w:rFonts w:hint="eastAsia" w:ascii="宋体" w:hAnsi="宋体" w:cs="仿宋_GB2312"/>
          <w:color w:val="000000"/>
          <w:kern w:val="0"/>
          <w:sz w:val="24"/>
          <w:lang w:val="zh-CN"/>
        </w:rPr>
        <w:t>联系电话</w:t>
      </w:r>
      <w:r>
        <w:rPr>
          <w:rFonts w:ascii="宋体" w:hAnsi="宋体" w:cs="仿宋_GB2312"/>
          <w:color w:val="000000"/>
          <w:kern w:val="0"/>
          <w:sz w:val="24"/>
          <w:lang w:val="zh-CN"/>
        </w:rPr>
        <w:t xml:space="preserve">: </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lang w:val="zh-CN"/>
        </w:rPr>
        <w:t>传真号码：</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 xml:space="preserve">  </w:t>
      </w:r>
      <w:r>
        <w:rPr>
          <w:rFonts w:ascii="宋体" w:hAnsi="宋体" w:cs="仿宋_GB2312"/>
          <w:color w:val="000000"/>
          <w:kern w:val="0"/>
          <w:sz w:val="24"/>
          <w:u w:val="single"/>
          <w:lang w:val="zh-CN"/>
        </w:rPr>
        <w:t xml:space="preserve">          </w:t>
      </w:r>
    </w:p>
    <w:p>
      <w:pPr>
        <w:spacing w:line="440" w:lineRule="exact"/>
        <w:rPr>
          <w:rFonts w:hint="eastAsia" w:ascii="宋体" w:hAnsi="宋体"/>
          <w:color w:val="000000"/>
          <w:sz w:val="24"/>
        </w:rPr>
      </w:pPr>
      <w:r>
        <w:rPr>
          <w:rFonts w:hint="eastAsia" w:ascii="宋体" w:hAnsi="宋体" w:cs="仿宋_GB2312"/>
          <w:color w:val="000000"/>
          <w:kern w:val="0"/>
          <w:sz w:val="24"/>
          <w:lang w:val="zh-CN"/>
        </w:rPr>
        <w:t>日</w:t>
      </w:r>
      <w:r>
        <w:rPr>
          <w:rFonts w:ascii="宋体" w:hAnsi="宋体" w:cs="仿宋_GB2312"/>
          <w:color w:val="000000"/>
          <w:kern w:val="0"/>
          <w:sz w:val="24"/>
        </w:rPr>
        <w:t xml:space="preserve">    </w:t>
      </w:r>
      <w:r>
        <w:rPr>
          <w:rFonts w:hint="eastAsia" w:ascii="宋体" w:hAnsi="宋体" w:cs="仿宋_GB2312"/>
          <w:color w:val="000000"/>
          <w:kern w:val="0"/>
          <w:sz w:val="24"/>
          <w:lang w:val="zh-CN"/>
        </w:rPr>
        <w:t>期</w:t>
      </w:r>
      <w:r>
        <w:rPr>
          <w:rFonts w:hint="eastAsia" w:ascii="宋体" w:hAnsi="宋体" w:cs="仿宋_GB2312"/>
          <w:color w:val="000000"/>
          <w:kern w:val="0"/>
          <w:sz w:val="24"/>
        </w:rPr>
        <w:t>：</w:t>
      </w:r>
      <w:r>
        <w:rPr>
          <w:rFonts w:ascii="宋体" w:hAnsi="宋体" w:cs="仿宋_GB2312"/>
          <w:color w:val="000000"/>
          <w:kern w:val="0"/>
          <w:sz w:val="24"/>
        </w:rPr>
        <w:t xml:space="preserve"> </w:t>
      </w:r>
      <w:r>
        <w:rPr>
          <w:rFonts w:ascii="宋体" w:hAnsi="宋体" w:cs="仿宋_GB2312"/>
          <w:color w:val="000000"/>
          <w:kern w:val="0"/>
          <w:sz w:val="24"/>
          <w:u w:val="single"/>
        </w:rPr>
        <w:t xml:space="preserve">       </w:t>
      </w:r>
      <w:r>
        <w:rPr>
          <w:rFonts w:hint="eastAsia" w:ascii="宋体" w:hAnsi="宋体" w:cs="仿宋_GB2312"/>
          <w:color w:val="000000"/>
          <w:kern w:val="0"/>
          <w:sz w:val="24"/>
          <w:lang w:val="zh-CN"/>
        </w:rPr>
        <w:t>年</w:t>
      </w:r>
      <w:r>
        <w:rPr>
          <w:rFonts w:ascii="宋体" w:hAnsi="宋体" w:cs="仿宋_GB2312"/>
          <w:color w:val="000000"/>
          <w:kern w:val="0"/>
          <w:sz w:val="24"/>
        </w:rPr>
        <w:t xml:space="preserve">  </w:t>
      </w:r>
      <w:r>
        <w:rPr>
          <w:rFonts w:ascii="宋体" w:hAnsi="宋体"/>
          <w:color w:val="000000"/>
          <w:kern w:val="0"/>
          <w:sz w:val="24"/>
          <w:u w:val="single"/>
        </w:rPr>
        <w:tab/>
      </w:r>
      <w:r>
        <w:rPr>
          <w:rFonts w:hint="eastAsia" w:ascii="宋体" w:hAnsi="宋体" w:cs="仿宋_GB2312"/>
          <w:color w:val="000000"/>
          <w:kern w:val="0"/>
          <w:sz w:val="24"/>
          <w:lang w:val="zh-CN"/>
        </w:rPr>
        <w:t>月</w:t>
      </w:r>
      <w:r>
        <w:rPr>
          <w:rFonts w:ascii="宋体" w:hAnsi="宋体" w:cs="仿宋_GB2312"/>
          <w:color w:val="000000"/>
          <w:kern w:val="0"/>
          <w:sz w:val="24"/>
        </w:rPr>
        <w:t xml:space="preserve"> </w:t>
      </w:r>
      <w:r>
        <w:rPr>
          <w:rFonts w:ascii="宋体" w:hAnsi="宋体"/>
          <w:color w:val="000000"/>
          <w:kern w:val="0"/>
          <w:sz w:val="24"/>
          <w:u w:val="single"/>
        </w:rPr>
        <w:tab/>
      </w:r>
      <w:r>
        <w:rPr>
          <w:rFonts w:ascii="宋体" w:hAnsi="宋体"/>
          <w:color w:val="000000"/>
          <w:kern w:val="0"/>
          <w:sz w:val="24"/>
          <w:u w:val="single"/>
        </w:rPr>
        <w:tab/>
      </w:r>
      <w:r>
        <w:rPr>
          <w:rFonts w:hint="eastAsia" w:ascii="宋体" w:hAnsi="宋体" w:cs="仿宋_GB2312"/>
          <w:color w:val="000000"/>
          <w:kern w:val="0"/>
          <w:sz w:val="24"/>
          <w:lang w:val="zh-CN"/>
        </w:rPr>
        <w:t>日</w:t>
      </w:r>
    </w:p>
    <w:p>
      <w:pPr>
        <w:autoSpaceDE w:val="0"/>
        <w:autoSpaceDN w:val="0"/>
        <w:adjustRightInd w:val="0"/>
        <w:spacing w:line="440" w:lineRule="exact"/>
        <w:jc w:val="center"/>
        <w:rPr>
          <w:rFonts w:hint="eastAsia" w:ascii="宋体" w:hAnsi="宋体"/>
          <w:b/>
          <w:color w:val="000000"/>
          <w:sz w:val="32"/>
          <w:szCs w:val="32"/>
        </w:rPr>
      </w:pPr>
      <w:r>
        <w:rPr>
          <w:rFonts w:ascii="宋体" w:hAnsi="宋体"/>
          <w:b/>
          <w:color w:val="000000"/>
          <w:kern w:val="0"/>
          <w:sz w:val="24"/>
        </w:rPr>
        <w:br w:type="page"/>
      </w:r>
      <w:r>
        <w:rPr>
          <w:rFonts w:hint="eastAsia" w:ascii="宋体" w:hAnsi="宋体"/>
          <w:b/>
          <w:color w:val="000000"/>
          <w:sz w:val="32"/>
          <w:szCs w:val="32"/>
        </w:rPr>
        <w:t>二、授权委托书</w:t>
      </w:r>
    </w:p>
    <w:p>
      <w:pPr>
        <w:spacing w:line="440" w:lineRule="exact"/>
        <w:jc w:val="center"/>
        <w:rPr>
          <w:rFonts w:hint="eastAsia" w:ascii="宋体" w:hAnsi="宋体"/>
          <w:b/>
          <w:color w:val="000000"/>
          <w:sz w:val="32"/>
          <w:szCs w:val="32"/>
        </w:rPr>
      </w:pPr>
    </w:p>
    <w:p>
      <w:pPr>
        <w:spacing w:line="440" w:lineRule="exact"/>
        <w:rPr>
          <w:rFonts w:hint="eastAsia" w:ascii="宋体" w:hAnsi="宋体"/>
          <w:b/>
          <w:color w:val="000000"/>
          <w:sz w:val="24"/>
        </w:rPr>
      </w:pPr>
      <w:r>
        <w:rPr>
          <w:rFonts w:hint="eastAsia" w:ascii="宋体" w:hAnsi="宋体" w:cs="宋体"/>
          <w:color w:val="000000"/>
          <w:sz w:val="24"/>
        </w:rPr>
        <w:t>杭州市余杭区人民政府南苑街道办事处、大地工程咨询有限公司</w:t>
      </w:r>
      <w:r>
        <w:rPr>
          <w:rFonts w:hint="eastAsia" w:ascii="宋体" w:hAnsi="宋体"/>
          <w:b/>
          <w:color w:val="000000"/>
          <w:sz w:val="24"/>
        </w:rPr>
        <w:t>：</w:t>
      </w:r>
    </w:p>
    <w:p>
      <w:pPr>
        <w:spacing w:line="440" w:lineRule="exact"/>
        <w:rPr>
          <w:rFonts w:hint="eastAsia" w:ascii="宋体" w:hAnsi="宋体"/>
          <w:b/>
          <w:color w:val="000000"/>
          <w:sz w:val="24"/>
        </w:rPr>
      </w:pPr>
    </w:p>
    <w:p>
      <w:pPr>
        <w:spacing w:line="440" w:lineRule="exact"/>
        <w:ind w:firstLine="480" w:firstLineChars="200"/>
        <w:rPr>
          <w:rFonts w:hint="eastAsia" w:ascii="宋体" w:hAnsi="宋体"/>
          <w:color w:val="000000"/>
          <w:sz w:val="24"/>
        </w:rPr>
      </w:pPr>
      <w:r>
        <w:rPr>
          <w:rFonts w:hint="eastAsia" w:ascii="宋体" w:hAnsi="宋体"/>
          <w:color w:val="000000"/>
          <w:sz w:val="24"/>
        </w:rPr>
        <w:t>兹委派我公司</w:t>
      </w:r>
      <w:r>
        <w:rPr>
          <w:rFonts w:hint="eastAsia" w:ascii="宋体" w:hAnsi="宋体"/>
          <w:color w:val="000000"/>
          <w:sz w:val="24"/>
          <w:u w:val="single"/>
        </w:rPr>
        <w:t xml:space="preserve">                </w:t>
      </w:r>
      <w:r>
        <w:rPr>
          <w:rFonts w:hint="eastAsia" w:ascii="宋体" w:hAnsi="宋体"/>
          <w:color w:val="000000"/>
          <w:sz w:val="24"/>
        </w:rPr>
        <w:t>先生/女士（其在本公司的职务是：</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，手机：</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r>
        <w:rPr>
          <w:rFonts w:hint="eastAsia" w:ascii="宋体" w:hAnsi="宋体"/>
          <w:color w:val="000000"/>
          <w:sz w:val="24"/>
        </w:rPr>
        <w:t>，身份证号：</w:t>
      </w:r>
      <w:r>
        <w:rPr>
          <w:rFonts w:hint="eastAsia" w:ascii="宋体" w:hAnsi="宋体"/>
          <w:color w:val="000000"/>
          <w:sz w:val="24"/>
          <w:u w:val="single"/>
        </w:rPr>
        <w:t xml:space="preserve">                </w:t>
      </w:r>
      <w:r>
        <w:rPr>
          <w:rFonts w:hint="eastAsia" w:ascii="宋体" w:hAnsi="宋体"/>
          <w:color w:val="000000"/>
          <w:sz w:val="24"/>
        </w:rPr>
        <w:t>）代表我公司全权处理</w:t>
      </w:r>
      <w:r>
        <w:rPr>
          <w:rFonts w:hint="eastAsia" w:ascii="宋体" w:hAnsi="宋体"/>
          <w:color w:val="000000"/>
          <w:sz w:val="24"/>
          <w:u w:val="single"/>
        </w:rPr>
        <w:t xml:space="preserve">                   </w:t>
      </w:r>
      <w:r>
        <w:rPr>
          <w:rFonts w:hint="eastAsia" w:ascii="宋体" w:hAnsi="宋体"/>
          <w:color w:val="000000"/>
          <w:sz w:val="24"/>
        </w:rPr>
        <w:t>项目（项目编号：        ）的一切事项，若成交则全权代表本公司签订合同，并负责处理合同履行等事宜。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在撤销授权的书面通知以前，本授权书一直有效。授权代表在授权书有效期内签署的所有文件不因授权的撤销而失效。</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授权代表无转委托权，特此委托。</w:t>
      </w:r>
    </w:p>
    <w:p>
      <w:pPr>
        <w:spacing w:line="440" w:lineRule="exact"/>
        <w:ind w:firstLine="480" w:firstLineChars="200"/>
        <w:rPr>
          <w:rFonts w:hint="eastAsia" w:ascii="宋体" w:hAnsi="宋体"/>
          <w:color w:val="000000"/>
          <w:sz w:val="24"/>
        </w:rPr>
      </w:pPr>
      <w:r>
        <w:rPr>
          <w:rFonts w:hint="eastAsia" w:ascii="宋体" w:hAnsi="宋体"/>
          <w:color w:val="000000"/>
          <w:sz w:val="24"/>
        </w:rPr>
        <w:t>特此告知。</w:t>
      </w:r>
    </w:p>
    <w:p>
      <w:pPr>
        <w:spacing w:line="440" w:lineRule="exact"/>
        <w:rPr>
          <w:rFonts w:hint="eastAsia" w:ascii="宋体" w:hAnsi="宋体"/>
          <w:color w:val="000000"/>
          <w:sz w:val="24"/>
        </w:rPr>
      </w:pPr>
    </w:p>
    <w:p>
      <w:pPr>
        <w:spacing w:line="440" w:lineRule="exact"/>
        <w:rPr>
          <w:rFonts w:hint="eastAsia" w:ascii="宋体" w:hAnsi="宋体"/>
          <w:color w:val="000000"/>
          <w:sz w:val="24"/>
        </w:rPr>
      </w:pPr>
      <w:r>
        <w:rPr>
          <w:rFonts w:hint="eastAsia" w:ascii="宋体" w:hAnsi="宋体"/>
          <w:color w:val="000000"/>
          <w:sz w:val="24"/>
        </w:rPr>
        <w:t xml:space="preserve">法定代表人（签字）：                     授权代表（签字）：           </w:t>
      </w:r>
    </w:p>
    <w:p>
      <w:pPr>
        <w:spacing w:line="440" w:lineRule="exact"/>
        <w:rPr>
          <w:rFonts w:hint="eastAsia" w:ascii="宋体" w:hAnsi="宋体"/>
          <w:color w:val="000000"/>
          <w:sz w:val="24"/>
        </w:rPr>
      </w:pPr>
      <w:r>
        <w:rPr>
          <w:rFonts w:hint="eastAsia" w:ascii="宋体" w:hAnsi="宋体"/>
          <w:color w:val="000000"/>
          <w:sz w:val="24"/>
        </w:rPr>
        <w:t>职务：                                  职务：</w:t>
      </w:r>
    </w:p>
    <w:p>
      <w:pPr>
        <w:spacing w:line="440" w:lineRule="exact"/>
        <w:rPr>
          <w:rFonts w:hint="eastAsia" w:ascii="宋体" w:hAnsi="宋体"/>
          <w:color w:val="000000"/>
          <w:sz w:val="24"/>
        </w:rPr>
      </w:pPr>
      <w:r>
        <w:rPr>
          <w:rFonts w:hint="eastAsia" w:ascii="宋体" w:hAnsi="宋体"/>
          <w:color w:val="000000"/>
          <w:sz w:val="24"/>
        </w:rPr>
        <w:t>身份证号码：                            身份证号码：</w:t>
      </w:r>
    </w:p>
    <w:p>
      <w:pPr>
        <w:spacing w:line="440" w:lineRule="exact"/>
        <w:rPr>
          <w:rFonts w:hint="eastAsia" w:ascii="宋体" w:hAnsi="宋体"/>
          <w:color w:val="000000"/>
          <w:sz w:val="24"/>
        </w:rPr>
      </w:pPr>
      <w:r>
        <w:rPr>
          <w:rFonts w:hint="eastAsia" w:ascii="宋体" w:hAnsi="宋体"/>
          <w:color w:val="000000"/>
          <w:sz w:val="24"/>
        </w:rPr>
        <w:t xml:space="preserve">                               </w:t>
      </w:r>
    </w:p>
    <w:p>
      <w:pPr>
        <w:spacing w:line="44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highlight w:val="yellow"/>
        </w:rPr>
        <w:t xml:space="preserve"> (法定代表人和授权代表的身份证正反面复印件附后)</w:t>
      </w:r>
    </w:p>
    <w:p>
      <w:pPr>
        <w:spacing w:line="44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440" w:lineRule="exact"/>
        <w:ind w:firstLine="480" w:firstLineChars="200"/>
        <w:rPr>
          <w:rFonts w:hint="eastAsia" w:ascii="宋体" w:hAnsi="宋体"/>
          <w:color w:val="000000"/>
          <w:sz w:val="24"/>
        </w:rPr>
      </w:pPr>
    </w:p>
    <w:p>
      <w:pPr>
        <w:wordWrap w:val="0"/>
        <w:autoSpaceDE w:val="0"/>
        <w:autoSpaceDN w:val="0"/>
        <w:adjustRightInd w:val="0"/>
        <w:spacing w:line="440" w:lineRule="exact"/>
        <w:ind w:right="480" w:firstLine="5040" w:firstLineChars="2100"/>
        <w:rPr>
          <w:rFonts w:ascii="宋体" w:hAnsi="宋体" w:cs="仿宋_GB2312"/>
          <w:color w:val="000000"/>
          <w:kern w:val="0"/>
          <w:sz w:val="24"/>
          <w:lang w:val="zh-CN"/>
        </w:rPr>
      </w:pPr>
      <w:r>
        <w:rPr>
          <w:rFonts w:hint="eastAsia" w:ascii="宋体" w:hAnsi="宋体" w:cs="仿宋_GB2312"/>
          <w:color w:val="000000"/>
          <w:kern w:val="0"/>
          <w:sz w:val="24"/>
          <w:lang w:val="zh-CN"/>
        </w:rPr>
        <w:t xml:space="preserve">谈判响应方（公章）：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r>
        <w:rPr>
          <w:rFonts w:hint="eastAsia" w:ascii="宋体" w:hAnsi="宋体"/>
          <w:color w:val="000000"/>
          <w:sz w:val="24"/>
        </w:rPr>
        <w:t>授权委托日期</w:t>
      </w:r>
      <w:r>
        <w:rPr>
          <w:rFonts w:hint="eastAsia" w:ascii="宋体" w:hAnsi="宋体" w:cs="仿宋_GB2312"/>
          <w:color w:val="000000"/>
          <w:kern w:val="0"/>
          <w:sz w:val="24"/>
          <w:lang w:val="zh-CN"/>
        </w:rPr>
        <w:t>：</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 xml:space="preserve">日   </w:t>
      </w:r>
    </w:p>
    <w:p>
      <w:pPr>
        <w:autoSpaceDE w:val="0"/>
        <w:autoSpaceDN w:val="0"/>
        <w:adjustRightInd w:val="0"/>
        <w:spacing w:line="400" w:lineRule="atLeast"/>
        <w:jc w:val="center"/>
        <w:rPr>
          <w:b/>
          <w:sz w:val="32"/>
          <w:szCs w:val="32"/>
        </w:rPr>
      </w:pPr>
      <w:r>
        <w:rPr>
          <w:rFonts w:hint="eastAsia" w:ascii="宋体" w:hAnsi="宋体" w:cs="仿宋_GB2312"/>
          <w:color w:val="000000"/>
          <w:kern w:val="0"/>
          <w:sz w:val="24"/>
          <w:lang w:val="zh-CN"/>
        </w:rPr>
        <w:br w:type="page"/>
      </w:r>
      <w:r>
        <w:rPr>
          <w:rFonts w:hint="eastAsia" w:ascii="宋体" w:hAnsi="宋体"/>
          <w:b/>
          <w:color w:val="000000"/>
          <w:sz w:val="32"/>
          <w:szCs w:val="32"/>
          <w:lang w:val="zh-CN"/>
        </w:rPr>
        <w:t>三、</w:t>
      </w:r>
      <w:r>
        <w:rPr>
          <w:rFonts w:hint="eastAsia" w:ascii="宋体" w:hAnsi="宋体"/>
          <w:b/>
          <w:color w:val="000000"/>
          <w:sz w:val="32"/>
          <w:szCs w:val="32"/>
        </w:rPr>
        <w:t>总公司（总机构）授权书</w:t>
      </w:r>
    </w:p>
    <w:p>
      <w:pPr>
        <w:spacing w:line="400" w:lineRule="atLeast"/>
        <w:jc w:val="center"/>
        <w:rPr>
          <w:b/>
          <w:sz w:val="32"/>
          <w:szCs w:val="32"/>
        </w:rPr>
      </w:pPr>
      <w:r>
        <w:rPr>
          <w:b/>
          <w:sz w:val="32"/>
          <w:szCs w:val="32"/>
        </w:rPr>
        <w:t xml:space="preserve"> </w:t>
      </w:r>
    </w:p>
    <w:p>
      <w:pPr>
        <w:spacing w:line="400" w:lineRule="atLeast"/>
        <w:rPr>
          <w:b/>
          <w:sz w:val="24"/>
        </w:rPr>
      </w:pPr>
      <w:r>
        <w:rPr>
          <w:rFonts w:hint="eastAsia" w:ascii="宋体" w:hAnsi="宋体" w:cs="宋体"/>
          <w:color w:val="000000"/>
          <w:sz w:val="24"/>
        </w:rPr>
        <w:t>杭州市余杭区人民政府南苑街道办事处、大地工程咨询有限公司</w:t>
      </w:r>
      <w:r>
        <w:rPr>
          <w:b/>
          <w:sz w:val="24"/>
        </w:rPr>
        <w:t>：</w:t>
      </w:r>
    </w:p>
    <w:p>
      <w:pPr>
        <w:spacing w:line="400" w:lineRule="atLeast"/>
        <w:rPr>
          <w:b/>
          <w:sz w:val="24"/>
        </w:rPr>
      </w:pPr>
      <w:r>
        <w:rPr>
          <w:b/>
          <w:sz w:val="24"/>
        </w:rPr>
        <w:t xml:space="preserve"> </w:t>
      </w:r>
    </w:p>
    <w:p>
      <w:pPr>
        <w:spacing w:line="360" w:lineRule="auto"/>
        <w:ind w:firstLine="480" w:firstLineChars="200"/>
        <w:rPr>
          <w:sz w:val="24"/>
          <w:u w:val="single"/>
        </w:rPr>
      </w:pPr>
      <w:r>
        <w:rPr>
          <w:sz w:val="24"/>
          <w:u w:val="single"/>
        </w:rPr>
        <w:t xml:space="preserve">                    （区域性分支机构）</w:t>
      </w:r>
      <w:r>
        <w:rPr>
          <w:sz w:val="24"/>
        </w:rPr>
        <w:t>具备实际承担责任的能力和法定的缔结合同的能力，因此我公司授权</w:t>
      </w:r>
      <w:r>
        <w:rPr>
          <w:sz w:val="24"/>
          <w:u w:val="single"/>
        </w:rPr>
        <w:t xml:space="preserve">                              （区域性分支机构）</w:t>
      </w:r>
      <w:r>
        <w:rPr>
          <w:sz w:val="24"/>
        </w:rPr>
        <w:t>参加</w:t>
      </w:r>
      <w:r>
        <w:rPr>
          <w:sz w:val="24"/>
          <w:u w:val="single"/>
        </w:rPr>
        <w:t xml:space="preserve">           </w:t>
      </w:r>
      <w:r>
        <w:rPr>
          <w:sz w:val="24"/>
        </w:rPr>
        <w:t>项目（项目编号</w:t>
      </w:r>
      <w:r>
        <w:rPr>
          <w:rFonts w:hint="eastAsia"/>
          <w:sz w:val="24"/>
        </w:rPr>
        <w:t xml:space="preserve">     </w:t>
      </w:r>
      <w:r>
        <w:rPr>
          <w:sz w:val="24"/>
        </w:rPr>
        <w:t xml:space="preserve">  ）的投标，若中标则由</w:t>
      </w:r>
      <w:r>
        <w:rPr>
          <w:sz w:val="24"/>
          <w:u w:val="single"/>
        </w:rPr>
        <w:t xml:space="preserve">                  （区域性分支机构）</w:t>
      </w:r>
      <w:r>
        <w:rPr>
          <w:sz w:val="24"/>
        </w:rPr>
        <w:t>签订合同，并负责处理合同履行等事宜。且本公司就采购合同约定的事项对采购人承担连带责任。</w:t>
      </w:r>
    </w:p>
    <w:p>
      <w:pPr>
        <w:spacing w:line="360" w:lineRule="auto"/>
        <w:rPr>
          <w:sz w:val="24"/>
        </w:rPr>
      </w:pPr>
      <w:r>
        <w:rPr>
          <w:sz w:val="24"/>
        </w:rPr>
        <w:t xml:space="preserve"> </w:t>
      </w:r>
    </w:p>
    <w:p>
      <w:pPr>
        <w:spacing w:line="360" w:lineRule="auto"/>
        <w:rPr>
          <w:sz w:val="24"/>
        </w:rPr>
      </w:pPr>
      <w:r>
        <w:rPr>
          <w:sz w:val="24"/>
        </w:rPr>
        <w:t xml:space="preserve"> </w:t>
      </w:r>
    </w:p>
    <w:p>
      <w:pPr>
        <w:spacing w:line="360" w:lineRule="auto"/>
        <w:jc w:val="right"/>
        <w:rPr>
          <w:sz w:val="24"/>
        </w:rPr>
      </w:pPr>
      <w:r>
        <w:rPr>
          <w:sz w:val="24"/>
        </w:rPr>
        <w:t>授权单位：</w:t>
      </w:r>
    </w:p>
    <w:p>
      <w:pPr>
        <w:spacing w:line="360" w:lineRule="auto"/>
        <w:jc w:val="right"/>
        <w:rPr>
          <w:sz w:val="24"/>
        </w:rPr>
      </w:pPr>
      <w:r>
        <w:rPr>
          <w:sz w:val="24"/>
        </w:rPr>
        <w:t>授权单位盖章：</w:t>
      </w:r>
    </w:p>
    <w:p>
      <w:pPr>
        <w:spacing w:line="360" w:lineRule="auto"/>
        <w:jc w:val="right"/>
        <w:rPr>
          <w:sz w:val="24"/>
        </w:rPr>
      </w:pPr>
      <w:r>
        <w:rPr>
          <w:sz w:val="24"/>
        </w:rPr>
        <w:t xml:space="preserve"> </w:t>
      </w:r>
    </w:p>
    <w:p>
      <w:pPr>
        <w:spacing w:line="360" w:lineRule="auto"/>
        <w:jc w:val="right"/>
        <w:rPr>
          <w:sz w:val="24"/>
        </w:rPr>
      </w:pPr>
      <w:r>
        <w:rPr>
          <w:sz w:val="24"/>
        </w:rPr>
        <w:t xml:space="preserve"> </w:t>
      </w:r>
    </w:p>
    <w:p>
      <w:pPr>
        <w:spacing w:line="360" w:lineRule="auto"/>
        <w:jc w:val="right"/>
        <w:rPr>
          <w:sz w:val="24"/>
        </w:rPr>
      </w:pPr>
      <w:r>
        <w:rPr>
          <w:sz w:val="24"/>
        </w:rPr>
        <w:t xml:space="preserve">授权单位法定代表人（签字）：                              </w:t>
      </w:r>
    </w:p>
    <w:p>
      <w:pPr>
        <w:spacing w:line="400" w:lineRule="atLeast"/>
        <w:jc w:val="right"/>
        <w:rPr>
          <w:sz w:val="24"/>
        </w:rPr>
      </w:pPr>
      <w:r>
        <w:rPr>
          <w:sz w:val="24"/>
        </w:rPr>
        <w:t xml:space="preserve">                                                 </w:t>
      </w:r>
    </w:p>
    <w:p>
      <w:pPr>
        <w:spacing w:line="400" w:lineRule="atLeast"/>
        <w:jc w:val="right"/>
        <w:rPr>
          <w:sz w:val="24"/>
        </w:rPr>
      </w:pPr>
      <w:r>
        <w:rPr>
          <w:sz w:val="24"/>
        </w:rPr>
        <w:t>日期：    年  月  日</w:t>
      </w:r>
    </w:p>
    <w:p>
      <w:pPr>
        <w:spacing w:line="240" w:lineRule="atLeast"/>
        <w:jc w:val="center"/>
        <w:rPr>
          <w:rFonts w:ascii="宋体" w:hAnsi="宋体"/>
          <w:b/>
          <w:color w:val="000000"/>
          <w:spacing w:val="-6"/>
          <w:sz w:val="32"/>
          <w:szCs w:val="32"/>
        </w:rPr>
      </w:pPr>
      <w:r>
        <w:rPr>
          <w:sz w:val="24"/>
        </w:rPr>
        <w:br w:type="page"/>
      </w:r>
      <w:r>
        <w:rPr>
          <w:rFonts w:hint="eastAsia" w:ascii="宋体" w:hAnsi="宋体"/>
          <w:b/>
          <w:color w:val="000000"/>
          <w:sz w:val="32"/>
          <w:szCs w:val="32"/>
          <w:lang w:val="zh-CN"/>
        </w:rPr>
        <w:t>四、无失信行为承诺书</w:t>
      </w:r>
    </w:p>
    <w:p>
      <w:pPr>
        <w:spacing w:line="240" w:lineRule="atLeast"/>
        <w:ind w:firstLine="2156" w:firstLineChars="700"/>
        <w:rPr>
          <w:rFonts w:hint="eastAsia" w:ascii="宋体" w:hAnsi="宋体"/>
          <w:color w:val="000000"/>
          <w:spacing w:val="-6"/>
          <w:sz w:val="32"/>
          <w:szCs w:val="32"/>
        </w:rPr>
      </w:pPr>
    </w:p>
    <w:p>
      <w:pPr>
        <w:spacing w:line="440" w:lineRule="exact"/>
        <w:rPr>
          <w:rFonts w:hint="eastAsia" w:ascii="宋体" w:hAnsi="宋体" w:cs="仿宋_GB2312"/>
          <w:b/>
          <w:color w:val="000000"/>
          <w:kern w:val="0"/>
          <w:sz w:val="28"/>
          <w:szCs w:val="28"/>
          <w:lang w:val="zh-CN"/>
        </w:rPr>
      </w:pPr>
      <w:r>
        <w:rPr>
          <w:rFonts w:hint="eastAsia" w:ascii="宋体" w:hAnsi="宋体" w:cs="仿宋_GB2312"/>
          <w:b/>
          <w:color w:val="000000"/>
          <w:kern w:val="0"/>
          <w:sz w:val="28"/>
          <w:szCs w:val="28"/>
          <w:lang w:val="zh-CN"/>
        </w:rPr>
        <w:t>大地工程咨询有限公司：</w:t>
      </w:r>
    </w:p>
    <w:p>
      <w:pPr>
        <w:spacing w:line="440" w:lineRule="exact"/>
        <w:rPr>
          <w:rFonts w:hint="eastAsia" w:ascii="宋体" w:hAnsi="宋体" w:cs="仿宋_GB2312"/>
          <w:color w:val="000000"/>
          <w:kern w:val="0"/>
          <w:sz w:val="24"/>
          <w:lang w:val="zh-CN"/>
        </w:rPr>
      </w:pPr>
    </w:p>
    <w:p>
      <w:pPr>
        <w:spacing w:line="240" w:lineRule="atLeast"/>
        <w:ind w:firstLine="585"/>
        <w:rPr>
          <w:rFonts w:hint="eastAsia" w:ascii="宋体" w:hAnsi="宋体"/>
          <w:color w:val="000000"/>
          <w:spacing w:val="-6"/>
          <w:sz w:val="28"/>
          <w:szCs w:val="28"/>
        </w:rPr>
      </w:pPr>
      <w:r>
        <w:rPr>
          <w:rFonts w:hint="eastAsia" w:ascii="宋体" w:hAnsi="宋体"/>
          <w:color w:val="000000"/>
          <w:spacing w:val="-6"/>
          <w:sz w:val="28"/>
          <w:szCs w:val="28"/>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pPr>
        <w:spacing w:line="240" w:lineRule="atLeast"/>
        <w:ind w:firstLine="585"/>
        <w:rPr>
          <w:rFonts w:hint="eastAsia" w:ascii="宋体" w:hAnsi="宋体"/>
          <w:color w:val="000000"/>
          <w:spacing w:val="-6"/>
          <w:sz w:val="32"/>
          <w:szCs w:val="32"/>
        </w:rPr>
      </w:pP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法定代表人（签字或盖章）：</w:t>
      </w:r>
    </w:p>
    <w:p>
      <w:pPr>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供应商（公章）：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w:t>
      </w:r>
    </w:p>
    <w:p>
      <w:pPr>
        <w:autoSpaceDE w:val="0"/>
        <w:autoSpaceDN w:val="0"/>
        <w:adjustRightInd w:val="0"/>
        <w:spacing w:line="440" w:lineRule="exact"/>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日期：20  年  月   日  </w:t>
      </w:r>
    </w:p>
    <w:p>
      <w:pPr>
        <w:rPr>
          <w:rFonts w:hint="eastAsia" w:ascii="宋体" w:hAnsi="宋体"/>
          <w:color w:val="000000"/>
        </w:rPr>
      </w:pPr>
    </w:p>
    <w:p>
      <w:pPr>
        <w:spacing w:line="400" w:lineRule="atLeast"/>
        <w:jc w:val="right"/>
        <w:rPr>
          <w:sz w:val="24"/>
        </w:rPr>
      </w:pPr>
    </w:p>
    <w:p>
      <w:pPr>
        <w:spacing w:line="400" w:lineRule="atLeast"/>
        <w:rPr>
          <w:szCs w:val="21"/>
        </w:rPr>
      </w:pPr>
      <w:r>
        <w:rPr>
          <w:sz w:val="24"/>
        </w:rPr>
        <w:t xml:space="preserve">    </w:t>
      </w:r>
    </w:p>
    <w:p>
      <w:pPr>
        <w:spacing w:line="400" w:lineRule="atLeast"/>
        <w:rPr>
          <w:szCs w:val="21"/>
        </w:rPr>
      </w:pPr>
      <w:r>
        <w:rPr>
          <w:szCs w:val="21"/>
        </w:rPr>
        <w:t xml:space="preserve"> </w:t>
      </w:r>
    </w:p>
    <w:p>
      <w:pPr>
        <w:wordWrap w:val="0"/>
        <w:autoSpaceDE w:val="0"/>
        <w:autoSpaceDN w:val="0"/>
        <w:adjustRightInd w:val="0"/>
        <w:spacing w:line="440" w:lineRule="exact"/>
        <w:jc w:val="right"/>
        <w:rPr>
          <w:rFonts w:ascii="宋体" w:hAnsi="宋体"/>
          <w:b/>
          <w:color w:val="000000"/>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531" w:right="1361" w:bottom="1531" w:left="1304" w:header="851" w:footer="601" w:gutter="0"/>
          <w:pgNumType w:fmt="numberInDash"/>
          <w:cols w:space="720" w:num="1"/>
          <w:docGrid w:type="lines" w:linePitch="312" w:charSpace="0"/>
        </w:sectPr>
      </w:pPr>
      <w:r>
        <w:rPr>
          <w:rFonts w:hint="eastAsia" w:ascii="宋体" w:hAnsi="宋体" w:cs="仿宋_GB2312"/>
          <w:color w:val="000000"/>
          <w:kern w:val="0"/>
          <w:sz w:val="24"/>
          <w:lang w:val="zh-CN"/>
        </w:rPr>
        <w:t xml:space="preserve">   </w:t>
      </w:r>
    </w:p>
    <w:p>
      <w:pPr>
        <w:spacing w:line="440" w:lineRule="exact"/>
        <w:jc w:val="center"/>
        <w:rPr>
          <w:rFonts w:hint="eastAsia" w:ascii="宋体" w:hAnsi="宋体" w:cs="宋体"/>
          <w:b/>
          <w:color w:val="000000"/>
          <w:kern w:val="0"/>
          <w:sz w:val="32"/>
          <w:szCs w:val="32"/>
        </w:rPr>
      </w:pPr>
      <w:bookmarkStart w:id="24" w:name="_Toc350410023"/>
      <w:bookmarkStart w:id="25" w:name="_Toc328381297"/>
      <w:bookmarkStart w:id="26" w:name="_Toc350409932"/>
      <w:bookmarkStart w:id="27" w:name="_Toc367698159"/>
      <w:bookmarkStart w:id="28" w:name="_Toc303256686"/>
      <w:r>
        <w:rPr>
          <w:rFonts w:hint="eastAsia" w:ascii="宋体" w:hAnsi="宋体" w:cs="宋体"/>
          <w:b/>
          <w:color w:val="000000"/>
          <w:kern w:val="0"/>
          <w:sz w:val="32"/>
          <w:szCs w:val="32"/>
        </w:rPr>
        <w:t>五、初次报价表</w:t>
      </w:r>
      <w:bookmarkEnd w:id="24"/>
      <w:bookmarkEnd w:id="25"/>
      <w:bookmarkEnd w:id="26"/>
      <w:bookmarkEnd w:id="27"/>
      <w:bookmarkEnd w:id="28"/>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rPr>
        <w:t>项目名称：                                                                   项目编号：</w:t>
      </w:r>
    </w:p>
    <w:tbl>
      <w:tblPr>
        <w:tblStyle w:val="27"/>
        <w:tblpPr w:leftFromText="180" w:rightFromText="180" w:vertAnchor="text" w:tblpY="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10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1" w:hRule="atLeast"/>
        </w:trPr>
        <w:tc>
          <w:tcPr>
            <w:tcW w:w="2711" w:type="dxa"/>
            <w:noWrap w:val="0"/>
            <w:vAlign w:val="center"/>
          </w:tcPr>
          <w:p>
            <w:pPr>
              <w:jc w:val="center"/>
              <w:rPr>
                <w:rFonts w:hint="eastAsia" w:ascii="宋体" w:hAnsi="宋体"/>
                <w:b/>
                <w:sz w:val="18"/>
                <w:szCs w:val="18"/>
              </w:rPr>
            </w:pPr>
            <w:r>
              <w:rPr>
                <w:rFonts w:hint="eastAsia" w:ascii="宋体" w:hAnsi="宋体"/>
                <w:b/>
                <w:sz w:val="18"/>
                <w:szCs w:val="18"/>
              </w:rPr>
              <w:t>总报价</w:t>
            </w:r>
          </w:p>
        </w:tc>
        <w:tc>
          <w:tcPr>
            <w:tcW w:w="10177" w:type="dxa"/>
            <w:noWrap w:val="0"/>
            <w:vAlign w:val="center"/>
          </w:tcPr>
          <w:p>
            <w:pPr>
              <w:jc w:val="left"/>
              <w:rPr>
                <w:rFonts w:ascii="宋体" w:hAnsi="宋体"/>
                <w:b/>
                <w:sz w:val="18"/>
                <w:szCs w:val="18"/>
              </w:rPr>
            </w:pPr>
            <w:r>
              <w:rPr>
                <w:rFonts w:hint="eastAsia" w:ascii="宋体" w:hAnsi="宋体"/>
                <w:b/>
                <w:sz w:val="18"/>
                <w:szCs w:val="18"/>
              </w:rPr>
              <w:t>大写：</w:t>
            </w:r>
            <w:r>
              <w:rPr>
                <w:rFonts w:ascii="宋体" w:hAnsi="宋体"/>
                <w:b/>
                <w:sz w:val="18"/>
                <w:szCs w:val="18"/>
              </w:rPr>
              <w:t>人民币</w:t>
            </w:r>
            <w:r>
              <w:rPr>
                <w:rFonts w:hint="eastAsia" w:ascii="宋体" w:hAnsi="宋体"/>
                <w:b/>
                <w:sz w:val="18"/>
                <w:szCs w:val="18"/>
              </w:rPr>
              <w:t xml:space="preserve">              </w:t>
            </w:r>
            <w:r>
              <w:rPr>
                <w:rFonts w:ascii="宋体" w:hAnsi="宋体"/>
                <w:b/>
                <w:sz w:val="18"/>
                <w:szCs w:val="18"/>
              </w:rPr>
              <w:t>元整</w:t>
            </w:r>
          </w:p>
          <w:p>
            <w:pPr>
              <w:rPr>
                <w:rFonts w:hint="eastAsia" w:ascii="宋体" w:hAnsi="宋体"/>
                <w:sz w:val="18"/>
                <w:szCs w:val="18"/>
              </w:rPr>
            </w:pPr>
            <w:r>
              <w:rPr>
                <w:rFonts w:hint="eastAsia" w:ascii="宋体" w:hAnsi="宋体"/>
                <w:b/>
                <w:sz w:val="18"/>
                <w:szCs w:val="18"/>
              </w:rPr>
              <w:t>小写：</w:t>
            </w:r>
            <w:r>
              <w:rPr>
                <w:rFonts w:ascii="宋体" w:hAnsi="宋体"/>
                <w:b/>
                <w:sz w:val="18"/>
                <w:szCs w:val="18"/>
              </w:rPr>
              <w:t>￥</w:t>
            </w:r>
          </w:p>
        </w:tc>
      </w:tr>
    </w:tbl>
    <w:p>
      <w:pPr>
        <w:pStyle w:val="2"/>
        <w:rPr>
          <w:rFonts w:hint="eastAsia"/>
        </w:rPr>
      </w:pPr>
    </w:p>
    <w:p>
      <w:pPr>
        <w:spacing w:before="156" w:beforeLines="50" w:after="156" w:afterLines="50" w:line="360" w:lineRule="auto"/>
        <w:rPr>
          <w:rFonts w:hint="eastAsia" w:ascii="宋体" w:hAnsi="宋体" w:cs="宋体"/>
          <w:color w:val="000000"/>
          <w:kern w:val="0"/>
          <w:sz w:val="24"/>
        </w:rPr>
      </w:pPr>
    </w:p>
    <w:p>
      <w:pPr>
        <w:spacing w:before="156" w:beforeLines="50" w:after="156" w:afterLines="50" w:line="360" w:lineRule="auto"/>
        <w:rPr>
          <w:rFonts w:hint="eastAsia" w:ascii="宋体" w:hAnsi="宋体" w:cs="宋体"/>
          <w:color w:val="000000"/>
          <w:kern w:val="0"/>
          <w:sz w:val="24"/>
        </w:rPr>
      </w:pPr>
    </w:p>
    <w:p>
      <w:pPr>
        <w:spacing w:before="156" w:beforeLines="50" w:after="156" w:afterLines="50" w:line="360" w:lineRule="auto"/>
        <w:rPr>
          <w:rFonts w:hint="eastAsia" w:ascii="宋体" w:hAnsi="宋体" w:cs="宋体"/>
          <w:color w:val="000000"/>
          <w:kern w:val="0"/>
          <w:sz w:val="24"/>
        </w:rPr>
      </w:pPr>
    </w:p>
    <w:p>
      <w:pPr>
        <w:spacing w:before="156" w:beforeLines="50" w:after="156" w:afterLines="50" w:line="360" w:lineRule="auto"/>
        <w:rPr>
          <w:rFonts w:hint="eastAsia" w:ascii="宋体" w:hAnsi="宋体" w:cs="宋体"/>
          <w:color w:val="000000"/>
          <w:kern w:val="0"/>
          <w:sz w:val="24"/>
        </w:rPr>
      </w:pPr>
    </w:p>
    <w:p>
      <w:pPr>
        <w:spacing w:before="156" w:beforeLines="50" w:after="156" w:afterLines="50" w:line="360" w:lineRule="auto"/>
        <w:rPr>
          <w:rFonts w:hint="eastAsia" w:ascii="宋体" w:hAnsi="宋体" w:cs="宋体"/>
          <w:color w:val="000000"/>
          <w:kern w:val="0"/>
          <w:sz w:val="24"/>
        </w:rPr>
      </w:pPr>
    </w:p>
    <w:p>
      <w:pPr>
        <w:spacing w:before="156" w:beforeLines="50" w:after="156" w:afterLines="50" w:line="360" w:lineRule="auto"/>
        <w:rPr>
          <w:rFonts w:hint="eastAsia" w:ascii="宋体" w:hAnsi="宋体" w:cs="宋体"/>
          <w:color w:val="000000"/>
          <w:kern w:val="0"/>
          <w:sz w:val="24"/>
        </w:rPr>
      </w:pPr>
    </w:p>
    <w:p>
      <w:pPr>
        <w:rPr>
          <w:rFonts w:hint="eastAsia" w:ascii="宋体" w:hAnsi="宋体"/>
          <w:kern w:val="0"/>
          <w:sz w:val="18"/>
          <w:szCs w:val="18"/>
        </w:rPr>
      </w:pPr>
      <w:r>
        <w:rPr>
          <w:rFonts w:hint="eastAsia" w:ascii="宋体" w:hAnsi="宋体" w:cs="宋体"/>
          <w:color w:val="000000"/>
          <w:kern w:val="0"/>
          <w:sz w:val="24"/>
        </w:rPr>
        <w:t>备注：</w:t>
      </w:r>
    </w:p>
    <w:p>
      <w:pPr>
        <w:rPr>
          <w:rFonts w:hint="eastAsia" w:ascii="宋体" w:hAnsi="宋体" w:cs="宋体"/>
          <w:color w:val="000000"/>
          <w:kern w:val="0"/>
          <w:sz w:val="24"/>
        </w:rPr>
      </w:pPr>
      <w:r>
        <w:rPr>
          <w:rFonts w:hint="eastAsia" w:ascii="宋体" w:hAnsi="宋体" w:cs="宋体"/>
          <w:color w:val="000000"/>
          <w:kern w:val="0"/>
          <w:sz w:val="24"/>
        </w:rPr>
        <w:t>1、大写总价与小写总价不一致，以大写总价为准。</w:t>
      </w:r>
    </w:p>
    <w:p>
      <w:pPr>
        <w:rPr>
          <w:rFonts w:hint="eastAsia" w:ascii="宋体" w:hAnsi="宋体" w:cs="宋体"/>
          <w:color w:val="000000"/>
          <w:kern w:val="0"/>
          <w:sz w:val="24"/>
        </w:rPr>
      </w:pPr>
      <w:r>
        <w:rPr>
          <w:rFonts w:hint="eastAsia" w:ascii="宋体" w:hAnsi="宋体" w:cs="宋体"/>
          <w:color w:val="000000"/>
          <w:kern w:val="0"/>
          <w:sz w:val="24"/>
        </w:rPr>
        <w:t>2、总报价应包括产品价格、运费、调试费、附属材料及设备费、税收、售后服务等须由谈判响应方支付的所有费用。</w:t>
      </w:r>
    </w:p>
    <w:p>
      <w:pPr>
        <w:spacing w:before="156" w:beforeLines="50" w:after="156" w:afterLines="50" w:line="360" w:lineRule="auto"/>
        <w:rPr>
          <w:rFonts w:ascii="宋体" w:hAnsi="宋体" w:cs="宋体"/>
          <w:color w:val="000000"/>
          <w:kern w:val="0"/>
          <w:sz w:val="24"/>
        </w:rPr>
      </w:pPr>
    </w:p>
    <w:p>
      <w:pPr>
        <w:spacing w:line="360" w:lineRule="auto"/>
        <w:rPr>
          <w:rFonts w:hint="eastAsia" w:ascii="宋体" w:hAnsi="宋体" w:cs="宋体"/>
          <w:color w:val="000000"/>
          <w:kern w:val="0"/>
          <w:sz w:val="24"/>
        </w:rPr>
      </w:pPr>
    </w:p>
    <w:p>
      <w:pPr>
        <w:wordWrap w:val="0"/>
        <w:autoSpaceDE w:val="0"/>
        <w:autoSpaceDN w:val="0"/>
        <w:adjustRightInd w:val="0"/>
        <w:spacing w:line="360" w:lineRule="auto"/>
        <w:ind w:firstLine="5760" w:firstLineChars="2400"/>
        <w:jc w:val="right"/>
        <w:rPr>
          <w:rFonts w:hint="eastAsia" w:ascii="宋体" w:hAnsi="宋体" w:cs="宋体"/>
          <w:color w:val="000000"/>
          <w:kern w:val="0"/>
          <w:sz w:val="24"/>
        </w:rPr>
      </w:pPr>
    </w:p>
    <w:p>
      <w:pPr>
        <w:wordWrap w:val="0"/>
        <w:autoSpaceDE w:val="0"/>
        <w:autoSpaceDN w:val="0"/>
        <w:adjustRightInd w:val="0"/>
        <w:spacing w:line="440" w:lineRule="exact"/>
        <w:jc w:val="right"/>
        <w:rPr>
          <w:rFonts w:ascii="宋体" w:hAnsi="宋体" w:cs="仿宋_GB2312"/>
          <w:color w:val="000000"/>
          <w:kern w:val="0"/>
          <w:sz w:val="24"/>
          <w:lang w:val="zh-CN"/>
        </w:rPr>
      </w:pPr>
      <w:r>
        <w:rPr>
          <w:rFonts w:hint="eastAsia" w:ascii="宋体" w:hAnsi="宋体" w:cs="仿宋_GB2312"/>
          <w:color w:val="000000"/>
          <w:kern w:val="0"/>
          <w:sz w:val="24"/>
          <w:lang w:val="zh-CN"/>
        </w:rPr>
        <w:t xml:space="preserve">   谈判响应方（公章）：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 xml:space="preserve">日    </w:t>
      </w:r>
    </w:p>
    <w:p>
      <w:pPr>
        <w:numPr>
          <w:ilvl w:val="0"/>
          <w:numId w:val="0"/>
        </w:numPr>
        <w:wordWrap/>
        <w:autoSpaceDE/>
        <w:autoSpaceDN/>
        <w:adjustRightInd/>
        <w:spacing w:line="440" w:lineRule="exact"/>
        <w:jc w:val="center"/>
        <w:rPr>
          <w:rFonts w:hint="eastAsia" w:ascii="宋体" w:hAnsi="宋体" w:cs="宋体"/>
          <w:b/>
          <w:color w:val="000000"/>
          <w:kern w:val="0"/>
          <w:sz w:val="32"/>
          <w:szCs w:val="32"/>
          <w:lang w:val="zh-CN"/>
        </w:rPr>
      </w:pPr>
      <w:r>
        <w:rPr>
          <w:rFonts w:hint="eastAsia" w:ascii="宋体" w:hAnsi="宋体" w:cs="宋体"/>
          <w:b/>
          <w:color w:val="000000"/>
          <w:kern w:val="0"/>
          <w:sz w:val="32"/>
          <w:szCs w:val="32"/>
          <w:lang w:val="en-US" w:eastAsia="zh-CN"/>
        </w:rPr>
        <w:t>六、分项报价表</w:t>
      </w:r>
    </w:p>
    <w:p>
      <w:pPr>
        <w:widowControl w:val="0"/>
        <w:numPr>
          <w:ilvl w:val="0"/>
          <w:numId w:val="0"/>
        </w:numPr>
        <w:spacing w:line="360" w:lineRule="auto"/>
        <w:jc w:val="both"/>
        <w:rPr>
          <w:rFonts w:hint="eastAsia" w:ascii="宋体" w:hAnsi="宋体" w:cs="宋体"/>
          <w:b/>
          <w:color w:val="000000"/>
          <w:kern w:val="0"/>
          <w:sz w:val="32"/>
          <w:szCs w:val="32"/>
        </w:rPr>
      </w:pPr>
    </w:p>
    <w:tbl>
      <w:tblPr>
        <w:tblStyle w:val="27"/>
        <w:tblW w:w="13385" w:type="dxa"/>
        <w:tblInd w:w="0" w:type="dxa"/>
        <w:tblLayout w:type="fixed"/>
        <w:tblCellMar>
          <w:top w:w="0" w:type="dxa"/>
          <w:left w:w="0" w:type="dxa"/>
          <w:bottom w:w="0" w:type="dxa"/>
          <w:right w:w="0" w:type="dxa"/>
        </w:tblCellMar>
      </w:tblPr>
      <w:tblGrid>
        <w:gridCol w:w="725"/>
        <w:gridCol w:w="1875"/>
        <w:gridCol w:w="3570"/>
        <w:gridCol w:w="1530"/>
        <w:gridCol w:w="1605"/>
        <w:gridCol w:w="2430"/>
        <w:gridCol w:w="1650"/>
      </w:tblGrid>
      <w:tr>
        <w:tblPrEx>
          <w:tblCellMar>
            <w:top w:w="0" w:type="dxa"/>
            <w:left w:w="0" w:type="dxa"/>
            <w:bottom w:w="0" w:type="dxa"/>
            <w:right w:w="0" w:type="dxa"/>
          </w:tblCellMar>
        </w:tblPrEx>
        <w:trPr>
          <w:trHeight w:val="91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ins w:id="325" w:author="fyq1414237484" w:date="2020-05-20T12:04:00Z">
              <w:r>
                <w:rPr>
                  <w:rFonts w:hint="eastAsia" w:ascii="宋体" w:hAnsi="宋体" w:eastAsia="宋体" w:cs="宋体"/>
                  <w:i w:val="0"/>
                  <w:color w:val="000000"/>
                  <w:kern w:val="0"/>
                  <w:sz w:val="18"/>
                  <w:szCs w:val="18"/>
                  <w:u w:val="none"/>
                  <w:lang w:val="en-US" w:eastAsia="zh-CN" w:bidi="ar"/>
                </w:rPr>
                <w:t>（</w:t>
              </w:r>
            </w:ins>
            <w:ins w:id="326" w:author="fyq1414237484" w:date="2020-05-20T12:05:00Z">
              <w:r>
                <w:rPr>
                  <w:rFonts w:hint="eastAsia" w:ascii="宋体" w:hAnsi="宋体" w:eastAsia="宋体" w:cs="宋体"/>
                  <w:i w:val="0"/>
                  <w:color w:val="000000"/>
                  <w:kern w:val="0"/>
                  <w:sz w:val="18"/>
                  <w:szCs w:val="18"/>
                  <w:u w:val="none"/>
                  <w:lang w:val="en-US" w:eastAsia="zh-CN" w:bidi="ar"/>
                </w:rPr>
                <w:t>需明确品牌</w:t>
              </w:r>
            </w:ins>
            <w:ins w:id="327" w:author="fyq1414237484" w:date="2020-05-20T12:04:00Z">
              <w:r>
                <w:rPr>
                  <w:rFonts w:hint="eastAsia" w:ascii="宋体" w:hAnsi="宋体" w:eastAsia="宋体" w:cs="宋体"/>
                  <w:i w:val="0"/>
                  <w:color w:val="000000"/>
                  <w:kern w:val="0"/>
                  <w:sz w:val="18"/>
                  <w:szCs w:val="18"/>
                  <w:u w:val="none"/>
                  <w:lang w:val="en-US" w:eastAsia="zh-CN" w:bidi="ar"/>
                </w:rPr>
                <w:t>）</w:t>
              </w:r>
            </w:ins>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单位</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(元)</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合价</w:t>
            </w:r>
          </w:p>
        </w:tc>
      </w:tr>
      <w:tr>
        <w:tblPrEx>
          <w:tblCellMar>
            <w:top w:w="0" w:type="dxa"/>
            <w:left w:w="0" w:type="dxa"/>
            <w:bottom w:w="0" w:type="dxa"/>
            <w:right w:w="0" w:type="dxa"/>
          </w:tblCellMar>
        </w:tblPrEx>
        <w:trPr>
          <w:trHeight w:val="4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58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合价</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val="0"/>
        <w:numPr>
          <w:ilvl w:val="0"/>
          <w:numId w:val="0"/>
        </w:numPr>
        <w:spacing w:line="360" w:lineRule="auto"/>
        <w:jc w:val="both"/>
        <w:rPr>
          <w:rFonts w:hint="eastAsia" w:ascii="宋体" w:hAnsi="宋体" w:cs="宋体"/>
          <w:b/>
          <w:color w:val="000000"/>
          <w:kern w:val="0"/>
          <w:sz w:val="32"/>
          <w:szCs w:val="32"/>
        </w:rPr>
      </w:pPr>
    </w:p>
    <w:p>
      <w:pPr>
        <w:widowControl w:val="0"/>
        <w:numPr>
          <w:ilvl w:val="0"/>
          <w:numId w:val="0"/>
        </w:numPr>
        <w:spacing w:line="360" w:lineRule="auto"/>
        <w:jc w:val="center"/>
        <w:rPr>
          <w:rFonts w:hint="eastAsia" w:ascii="宋体" w:hAnsi="宋体" w:cs="宋体"/>
          <w:b/>
          <w:color w:val="000000"/>
          <w:kern w:val="0"/>
          <w:sz w:val="32"/>
          <w:szCs w:val="32"/>
        </w:rPr>
      </w:pPr>
    </w:p>
    <w:p>
      <w:pPr>
        <w:wordWrap w:val="0"/>
        <w:autoSpaceDE w:val="0"/>
        <w:autoSpaceDN w:val="0"/>
        <w:adjustRightInd w:val="0"/>
        <w:spacing w:line="440" w:lineRule="exact"/>
        <w:jc w:val="right"/>
        <w:rPr>
          <w:rFonts w:ascii="宋体" w:hAnsi="宋体" w:cs="仿宋_GB2312"/>
          <w:color w:val="000000"/>
          <w:kern w:val="0"/>
          <w:sz w:val="24"/>
          <w:u w:val="single"/>
          <w:lang w:val="zh-CN"/>
        </w:rPr>
      </w:pPr>
      <w:r>
        <w:rPr>
          <w:rFonts w:hint="eastAsia" w:ascii="宋体" w:hAnsi="宋体" w:cs="仿宋_GB2312"/>
          <w:color w:val="000000"/>
          <w:kern w:val="0"/>
          <w:sz w:val="24"/>
          <w:u w:val="single"/>
          <w:lang w:val="zh-CN"/>
        </w:rPr>
        <w:t xml:space="preserve">谈判响应方（公章）：     </w:t>
      </w:r>
    </w:p>
    <w:p>
      <w:pPr>
        <w:wordWrap w:val="0"/>
        <w:autoSpaceDE w:val="0"/>
        <w:autoSpaceDN w:val="0"/>
        <w:adjustRightInd w:val="0"/>
        <w:spacing w:line="440" w:lineRule="exact"/>
        <w:jc w:val="right"/>
        <w:rPr>
          <w:rFonts w:hint="eastAsia" w:ascii="宋体" w:hAnsi="宋体" w:cs="仿宋_GB2312"/>
          <w:color w:val="000000"/>
          <w:kern w:val="0"/>
          <w:sz w:val="24"/>
          <w:u w:val="single"/>
          <w:lang w:val="zh-CN"/>
        </w:rPr>
      </w:pPr>
      <w:r>
        <w:rPr>
          <w:rFonts w:hint="eastAsia" w:ascii="宋体" w:hAnsi="宋体" w:cs="仿宋_GB2312"/>
          <w:color w:val="000000"/>
          <w:kern w:val="0"/>
          <w:sz w:val="24"/>
          <w:u w:val="single"/>
          <w:lang w:val="zh-CN"/>
        </w:rPr>
        <w:t xml:space="preserve">  法定代表人或授权代表（签字）：   </w:t>
      </w:r>
    </w:p>
    <w:p>
      <w:pPr>
        <w:widowControl w:val="0"/>
        <w:numPr>
          <w:ilvl w:val="0"/>
          <w:numId w:val="0"/>
        </w:numPr>
        <w:spacing w:line="360" w:lineRule="auto"/>
        <w:jc w:val="right"/>
        <w:rPr>
          <w:rFonts w:hint="eastAsia" w:ascii="宋体" w:hAnsi="宋体" w:cs="宋体"/>
          <w:b/>
          <w:color w:val="000000"/>
          <w:kern w:val="0"/>
          <w:sz w:val="32"/>
          <w:szCs w:val="32"/>
        </w:rPr>
        <w:sectPr>
          <w:headerReference r:id="rId9" w:type="default"/>
          <w:footerReference r:id="rId11" w:type="default"/>
          <w:headerReference r:id="rId10" w:type="even"/>
          <w:footerReference r:id="rId12" w:type="even"/>
          <w:pgSz w:w="16838" w:h="11906" w:orient="landscape"/>
          <w:pgMar w:top="1304" w:right="1531" w:bottom="1361" w:left="1531" w:header="851" w:footer="601" w:gutter="0"/>
          <w:pgNumType w:fmt="numberInDash"/>
          <w:cols w:space="720" w:num="1"/>
          <w:docGrid w:type="linesAndChars" w:linePitch="312" w:charSpace="0"/>
        </w:sectPr>
      </w:pPr>
      <w:r>
        <w:rPr>
          <w:rFonts w:hint="eastAsia" w:ascii="宋体" w:hAnsi="宋体" w:cs="仿宋_GB2312"/>
          <w:color w:val="000000"/>
          <w:kern w:val="0"/>
          <w:sz w:val="24"/>
          <w:u w:val="single"/>
          <w:lang w:val="zh-CN"/>
        </w:rPr>
        <w:t xml:space="preserve"> 日期：</w:t>
      </w:r>
      <w:r>
        <w:rPr>
          <w:rFonts w:ascii="宋体" w:hAnsi="宋体" w:cs="仿宋_GB2312"/>
          <w:color w:val="000000"/>
          <w:kern w:val="0"/>
          <w:sz w:val="24"/>
          <w:u w:val="single"/>
          <w:lang w:val="zh-CN"/>
        </w:rPr>
        <w:t>20</w:t>
      </w:r>
      <w:r>
        <w:rPr>
          <w:rFonts w:hint="eastAsia" w:ascii="宋体" w:hAnsi="宋体" w:cs="仿宋_GB2312"/>
          <w:color w:val="000000"/>
          <w:kern w:val="0"/>
          <w:sz w:val="24"/>
          <w:u w:val="single"/>
          <w:lang w:val="zh-CN"/>
        </w:rPr>
        <w:t xml:space="preserve">  年</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月</w:t>
      </w:r>
      <w:r>
        <w:rPr>
          <w:rFonts w:ascii="宋体" w:hAnsi="宋体" w:cs="仿宋_GB2312"/>
          <w:color w:val="000000"/>
          <w:kern w:val="0"/>
          <w:sz w:val="24"/>
          <w:u w:val="single"/>
          <w:lang w:val="zh-CN"/>
        </w:rPr>
        <w:t xml:space="preserve">   </w:t>
      </w:r>
      <w:r>
        <w:rPr>
          <w:rFonts w:hint="eastAsia" w:ascii="宋体" w:hAnsi="宋体" w:cs="仿宋_GB2312"/>
          <w:color w:val="000000"/>
          <w:kern w:val="0"/>
          <w:sz w:val="24"/>
          <w:u w:val="single"/>
          <w:lang w:val="zh-CN"/>
        </w:rPr>
        <w:t>日</w:t>
      </w:r>
      <w:r>
        <w:rPr>
          <w:rFonts w:hint="eastAsia" w:ascii="宋体" w:hAnsi="宋体" w:cs="仿宋_GB2312"/>
          <w:color w:val="000000"/>
          <w:kern w:val="0"/>
          <w:sz w:val="24"/>
          <w:lang w:val="zh-CN"/>
        </w:rPr>
        <w:t xml:space="preserve">   </w:t>
      </w:r>
    </w:p>
    <w:p>
      <w:pPr>
        <w:numPr>
          <w:ilvl w:val="0"/>
          <w:numId w:val="29"/>
        </w:numPr>
        <w:spacing w:line="360" w:lineRule="auto"/>
        <w:ind w:left="482"/>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七</w:t>
      </w:r>
      <w:r>
        <w:rPr>
          <w:rFonts w:hint="eastAsia" w:ascii="宋体" w:hAnsi="宋体" w:cs="宋体"/>
          <w:b/>
          <w:color w:val="000000"/>
          <w:kern w:val="0"/>
          <w:sz w:val="32"/>
          <w:szCs w:val="32"/>
        </w:rPr>
        <w:t>、技术偏离表</w:t>
      </w:r>
    </w:p>
    <w:p>
      <w:pPr>
        <w:autoSpaceDE w:val="0"/>
        <w:autoSpaceDN w:val="0"/>
        <w:adjustRightInd w:val="0"/>
        <w:spacing w:line="440" w:lineRule="exact"/>
        <w:ind w:firstLine="360" w:firstLineChars="150"/>
        <w:rPr>
          <w:rFonts w:hint="eastAsia" w:ascii="宋体" w:hAnsi="宋体"/>
          <w:b/>
          <w:kern w:val="0"/>
          <w:sz w:val="24"/>
          <w:szCs w:val="24"/>
        </w:rPr>
      </w:pPr>
      <w:r>
        <w:rPr>
          <w:rFonts w:hint="eastAsia" w:ascii="宋体" w:hAnsi="宋体"/>
          <w:b/>
          <w:kern w:val="0"/>
          <w:sz w:val="24"/>
          <w:szCs w:val="24"/>
        </w:rPr>
        <w:t xml:space="preserve">项目编号：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序号</w:t>
            </w:r>
          </w:p>
        </w:tc>
        <w:tc>
          <w:tcPr>
            <w:tcW w:w="1855"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内  容</w:t>
            </w:r>
          </w:p>
        </w:tc>
        <w:tc>
          <w:tcPr>
            <w:tcW w:w="1957"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采购文件</w:t>
            </w:r>
          </w:p>
          <w:p>
            <w:pPr>
              <w:jc w:val="center"/>
              <w:rPr>
                <w:rFonts w:hint="eastAsia" w:ascii="宋体" w:hAnsi="宋体"/>
                <w:sz w:val="24"/>
                <w:szCs w:val="24"/>
              </w:rPr>
            </w:pPr>
            <w:r>
              <w:rPr>
                <w:rFonts w:hint="eastAsia" w:ascii="宋体" w:hAnsi="宋体"/>
                <w:sz w:val="24"/>
                <w:szCs w:val="24"/>
              </w:rPr>
              <w:t>规范要求</w:t>
            </w:r>
          </w:p>
        </w:tc>
        <w:tc>
          <w:tcPr>
            <w:tcW w:w="1620"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响应文件对应规范</w:t>
            </w:r>
          </w:p>
        </w:tc>
        <w:tc>
          <w:tcPr>
            <w:tcW w:w="2328"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noWrap w:val="0"/>
            <w:vAlign w:val="top"/>
          </w:tcPr>
          <w:p>
            <w:pPr>
              <w:spacing w:line="360" w:lineRule="auto"/>
              <w:jc w:val="center"/>
              <w:rPr>
                <w:rFonts w:hint="eastAsia" w:ascii="宋体" w:hAnsi="宋体"/>
                <w:sz w:val="24"/>
                <w:szCs w:val="24"/>
              </w:rPr>
            </w:pPr>
          </w:p>
        </w:tc>
        <w:tc>
          <w:tcPr>
            <w:tcW w:w="1855" w:type="dxa"/>
            <w:noWrap w:val="0"/>
            <w:vAlign w:val="top"/>
          </w:tcPr>
          <w:p>
            <w:pPr>
              <w:spacing w:line="360" w:lineRule="auto"/>
              <w:rPr>
                <w:rFonts w:hint="eastAsia" w:ascii="宋体" w:hAnsi="宋体"/>
                <w:sz w:val="24"/>
                <w:szCs w:val="24"/>
              </w:rPr>
            </w:pPr>
          </w:p>
        </w:tc>
        <w:tc>
          <w:tcPr>
            <w:tcW w:w="1957" w:type="dxa"/>
            <w:noWrap w:val="0"/>
            <w:vAlign w:val="top"/>
          </w:tcPr>
          <w:p>
            <w:pPr>
              <w:spacing w:line="360" w:lineRule="auto"/>
              <w:rPr>
                <w:rFonts w:hint="eastAsia" w:ascii="宋体" w:hAnsi="宋体"/>
                <w:sz w:val="24"/>
                <w:szCs w:val="24"/>
              </w:rPr>
            </w:pPr>
          </w:p>
        </w:tc>
        <w:tc>
          <w:tcPr>
            <w:tcW w:w="1620" w:type="dxa"/>
            <w:noWrap w:val="0"/>
            <w:vAlign w:val="top"/>
          </w:tcPr>
          <w:p>
            <w:pPr>
              <w:spacing w:line="360" w:lineRule="auto"/>
              <w:rPr>
                <w:rFonts w:hint="eastAsia" w:ascii="宋体" w:hAnsi="宋体"/>
                <w:sz w:val="24"/>
                <w:szCs w:val="24"/>
              </w:rPr>
            </w:pPr>
          </w:p>
        </w:tc>
        <w:tc>
          <w:tcPr>
            <w:tcW w:w="2328"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noWrap w:val="0"/>
            <w:vAlign w:val="top"/>
          </w:tcPr>
          <w:p>
            <w:pPr>
              <w:spacing w:line="360" w:lineRule="auto"/>
              <w:rPr>
                <w:rFonts w:hint="eastAsia" w:ascii="宋体" w:hAnsi="宋体"/>
                <w:sz w:val="24"/>
                <w:szCs w:val="24"/>
              </w:rPr>
            </w:pPr>
          </w:p>
        </w:tc>
        <w:tc>
          <w:tcPr>
            <w:tcW w:w="1855" w:type="dxa"/>
            <w:noWrap w:val="0"/>
            <w:vAlign w:val="top"/>
          </w:tcPr>
          <w:p>
            <w:pPr>
              <w:spacing w:line="360" w:lineRule="auto"/>
              <w:rPr>
                <w:rFonts w:hint="eastAsia" w:ascii="宋体" w:hAnsi="宋体"/>
                <w:sz w:val="24"/>
                <w:szCs w:val="24"/>
              </w:rPr>
            </w:pPr>
          </w:p>
        </w:tc>
        <w:tc>
          <w:tcPr>
            <w:tcW w:w="1957" w:type="dxa"/>
            <w:noWrap w:val="0"/>
            <w:vAlign w:val="top"/>
          </w:tcPr>
          <w:p>
            <w:pPr>
              <w:spacing w:line="360" w:lineRule="auto"/>
              <w:rPr>
                <w:rFonts w:hint="eastAsia" w:ascii="宋体" w:hAnsi="宋体"/>
                <w:sz w:val="24"/>
                <w:szCs w:val="24"/>
              </w:rPr>
            </w:pPr>
          </w:p>
        </w:tc>
        <w:tc>
          <w:tcPr>
            <w:tcW w:w="1620" w:type="dxa"/>
            <w:noWrap w:val="0"/>
            <w:vAlign w:val="top"/>
          </w:tcPr>
          <w:p>
            <w:pPr>
              <w:spacing w:line="360" w:lineRule="auto"/>
              <w:rPr>
                <w:rFonts w:hint="eastAsia" w:ascii="宋体" w:hAnsi="宋体"/>
                <w:sz w:val="24"/>
                <w:szCs w:val="24"/>
              </w:rPr>
            </w:pPr>
          </w:p>
        </w:tc>
        <w:tc>
          <w:tcPr>
            <w:tcW w:w="2328"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noWrap w:val="0"/>
            <w:vAlign w:val="top"/>
          </w:tcPr>
          <w:p>
            <w:pPr>
              <w:spacing w:line="360" w:lineRule="auto"/>
              <w:rPr>
                <w:rFonts w:hint="eastAsia" w:ascii="宋体" w:hAnsi="宋体"/>
                <w:sz w:val="24"/>
                <w:szCs w:val="24"/>
              </w:rPr>
            </w:pPr>
          </w:p>
        </w:tc>
        <w:tc>
          <w:tcPr>
            <w:tcW w:w="1855" w:type="dxa"/>
            <w:noWrap w:val="0"/>
            <w:vAlign w:val="top"/>
          </w:tcPr>
          <w:p>
            <w:pPr>
              <w:spacing w:line="360" w:lineRule="auto"/>
              <w:rPr>
                <w:rFonts w:hint="eastAsia" w:ascii="宋体" w:hAnsi="宋体"/>
                <w:sz w:val="24"/>
                <w:szCs w:val="24"/>
              </w:rPr>
            </w:pPr>
          </w:p>
        </w:tc>
        <w:tc>
          <w:tcPr>
            <w:tcW w:w="1957" w:type="dxa"/>
            <w:noWrap w:val="0"/>
            <w:vAlign w:val="top"/>
          </w:tcPr>
          <w:p>
            <w:pPr>
              <w:spacing w:line="360" w:lineRule="auto"/>
              <w:rPr>
                <w:rFonts w:hint="eastAsia" w:ascii="宋体" w:hAnsi="宋体"/>
                <w:sz w:val="24"/>
                <w:szCs w:val="24"/>
              </w:rPr>
            </w:pPr>
          </w:p>
        </w:tc>
        <w:tc>
          <w:tcPr>
            <w:tcW w:w="1620" w:type="dxa"/>
            <w:noWrap w:val="0"/>
            <w:vAlign w:val="top"/>
          </w:tcPr>
          <w:p>
            <w:pPr>
              <w:spacing w:line="360" w:lineRule="auto"/>
              <w:rPr>
                <w:rFonts w:hint="eastAsia" w:ascii="宋体" w:hAnsi="宋体"/>
                <w:sz w:val="24"/>
                <w:szCs w:val="24"/>
              </w:rPr>
            </w:pPr>
          </w:p>
        </w:tc>
        <w:tc>
          <w:tcPr>
            <w:tcW w:w="2328"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noWrap w:val="0"/>
            <w:vAlign w:val="top"/>
          </w:tcPr>
          <w:p>
            <w:pPr>
              <w:spacing w:line="360" w:lineRule="auto"/>
              <w:rPr>
                <w:rFonts w:hint="eastAsia" w:ascii="宋体" w:hAnsi="宋体"/>
                <w:sz w:val="24"/>
                <w:szCs w:val="24"/>
              </w:rPr>
            </w:pPr>
          </w:p>
        </w:tc>
        <w:tc>
          <w:tcPr>
            <w:tcW w:w="1855" w:type="dxa"/>
            <w:noWrap w:val="0"/>
            <w:vAlign w:val="top"/>
          </w:tcPr>
          <w:p>
            <w:pPr>
              <w:spacing w:line="360" w:lineRule="auto"/>
              <w:rPr>
                <w:rFonts w:hint="eastAsia" w:ascii="宋体" w:hAnsi="宋体"/>
                <w:sz w:val="24"/>
                <w:szCs w:val="24"/>
              </w:rPr>
            </w:pPr>
          </w:p>
        </w:tc>
        <w:tc>
          <w:tcPr>
            <w:tcW w:w="1957" w:type="dxa"/>
            <w:noWrap w:val="0"/>
            <w:vAlign w:val="top"/>
          </w:tcPr>
          <w:p>
            <w:pPr>
              <w:spacing w:line="360" w:lineRule="auto"/>
              <w:rPr>
                <w:rFonts w:hint="eastAsia" w:ascii="宋体" w:hAnsi="宋体"/>
                <w:sz w:val="24"/>
                <w:szCs w:val="24"/>
              </w:rPr>
            </w:pPr>
          </w:p>
        </w:tc>
        <w:tc>
          <w:tcPr>
            <w:tcW w:w="1620" w:type="dxa"/>
            <w:noWrap w:val="0"/>
            <w:vAlign w:val="top"/>
          </w:tcPr>
          <w:p>
            <w:pPr>
              <w:spacing w:line="360" w:lineRule="auto"/>
              <w:rPr>
                <w:rFonts w:hint="eastAsia" w:ascii="宋体" w:hAnsi="宋体"/>
                <w:sz w:val="24"/>
                <w:szCs w:val="24"/>
              </w:rPr>
            </w:pPr>
          </w:p>
        </w:tc>
        <w:tc>
          <w:tcPr>
            <w:tcW w:w="2328" w:type="dxa"/>
            <w:noWrap w:val="0"/>
            <w:vAlign w:val="top"/>
          </w:tcPr>
          <w:p>
            <w:pPr>
              <w:spacing w:line="360" w:lineRule="auto"/>
              <w:rPr>
                <w:rFonts w:hint="eastAsia" w:ascii="宋体" w:hAnsi="宋体"/>
                <w:sz w:val="24"/>
                <w:szCs w:val="24"/>
              </w:rPr>
            </w:pPr>
          </w:p>
        </w:tc>
      </w:tr>
    </w:tbl>
    <w:p>
      <w:pPr>
        <w:pStyle w:val="8"/>
        <w:rPr>
          <w:rFonts w:hint="eastAsia" w:ascii="宋体" w:hAnsi="宋体"/>
          <w:sz w:val="24"/>
          <w:szCs w:val="24"/>
        </w:rPr>
      </w:pPr>
    </w:p>
    <w:p>
      <w:pPr>
        <w:pStyle w:val="8"/>
        <w:rPr>
          <w:rFonts w:ascii="宋体" w:hAnsi="宋体"/>
          <w:spacing w:val="20"/>
          <w:sz w:val="24"/>
          <w:szCs w:val="24"/>
        </w:rPr>
      </w:pPr>
      <w:r>
        <w:rPr>
          <w:rFonts w:hint="eastAsia" w:ascii="宋体" w:hAnsi="宋体"/>
          <w:sz w:val="24"/>
          <w:szCs w:val="24"/>
        </w:rPr>
        <w:t>注：谈判响应方应根据响应设备的性能指标、对照采购文件要求在“偏离情况”栏注明“正偏离”、“负偏离”或“无偏离”。</w:t>
      </w:r>
    </w:p>
    <w:p>
      <w:pPr>
        <w:pStyle w:val="2"/>
        <w:rPr>
          <w:rFonts w:hint="eastAsia"/>
          <w:szCs w:val="24"/>
        </w:rPr>
      </w:pPr>
    </w:p>
    <w:p>
      <w:pPr>
        <w:autoSpaceDE w:val="0"/>
        <w:autoSpaceDN w:val="0"/>
        <w:adjustRightInd w:val="0"/>
        <w:spacing w:line="400" w:lineRule="atLeast"/>
        <w:jc w:val="right"/>
        <w:rPr>
          <w:color w:val="000000"/>
          <w:kern w:val="0"/>
          <w:sz w:val="24"/>
          <w:lang w:val="zh-CN"/>
        </w:rPr>
      </w:pPr>
      <w:r>
        <w:rPr>
          <w:rFonts w:hint="eastAsia" w:ascii="宋体" w:hAnsi="宋体" w:cs="仿宋_GB2312"/>
          <w:color w:val="000000"/>
          <w:kern w:val="0"/>
          <w:sz w:val="24"/>
          <w:lang w:val="zh-CN"/>
        </w:rPr>
        <w:t xml:space="preserve"> 谈判响应方（公章）：    </w:t>
      </w:r>
    </w:p>
    <w:p>
      <w:pPr>
        <w:autoSpaceDE w:val="0"/>
        <w:autoSpaceDN w:val="0"/>
        <w:adjustRightInd w:val="0"/>
        <w:spacing w:line="400" w:lineRule="atLeast"/>
        <w:jc w:val="right"/>
        <w:rPr>
          <w:color w:val="000000"/>
          <w:kern w:val="0"/>
          <w:sz w:val="24"/>
          <w:lang w:val="zh-CN"/>
        </w:rPr>
      </w:pPr>
      <w:r>
        <w:rPr>
          <w:color w:val="000000"/>
          <w:kern w:val="0"/>
          <w:sz w:val="24"/>
          <w:lang w:val="zh-CN"/>
        </w:rPr>
        <w:t xml:space="preserve">                                   法定代表人或授权代表（签字）：     </w:t>
      </w:r>
    </w:p>
    <w:p>
      <w:pPr>
        <w:autoSpaceDE w:val="0"/>
        <w:autoSpaceDN w:val="0"/>
        <w:adjustRightInd w:val="0"/>
        <w:spacing w:line="400" w:lineRule="atLeast"/>
        <w:jc w:val="right"/>
        <w:rPr>
          <w:color w:val="000000"/>
          <w:kern w:val="0"/>
          <w:sz w:val="24"/>
          <w:lang w:val="zh-CN"/>
        </w:rPr>
      </w:pPr>
      <w:r>
        <w:rPr>
          <w:color w:val="000000"/>
          <w:kern w:val="0"/>
          <w:sz w:val="24"/>
          <w:lang w:val="zh-CN"/>
        </w:rPr>
        <w:t xml:space="preserve"> 日期：20  年  月   日      </w:t>
      </w:r>
    </w:p>
    <w:p>
      <w:pPr>
        <w:autoSpaceDE w:val="0"/>
        <w:autoSpaceDN w:val="0"/>
        <w:adjustRightInd w:val="0"/>
        <w:spacing w:line="440" w:lineRule="exact"/>
        <w:rPr>
          <w:b/>
          <w:color w:val="000000"/>
          <w:kern w:val="0"/>
          <w:sz w:val="32"/>
          <w:szCs w:val="32"/>
        </w:rPr>
        <w:sectPr>
          <w:pgSz w:w="11906" w:h="16838"/>
          <w:pgMar w:top="1531" w:right="1361" w:bottom="1531" w:left="1304" w:header="851" w:footer="601" w:gutter="0"/>
          <w:pgNumType w:fmt="numberInDash"/>
          <w:cols w:space="720" w:num="1"/>
          <w:docGrid w:type="linesAndChars" w:linePitch="312" w:charSpace="4"/>
        </w:sectPr>
      </w:pPr>
    </w:p>
    <w:p>
      <w:pPr>
        <w:spacing w:line="440" w:lineRule="exact"/>
        <w:jc w:val="center"/>
        <w:rPr>
          <w:rFonts w:hint="eastAsia" w:ascii="宋体" w:hAnsi="宋体" w:cs="宋体"/>
          <w:b/>
          <w:color w:val="000000"/>
          <w:kern w:val="0"/>
          <w:sz w:val="32"/>
          <w:szCs w:val="32"/>
        </w:rPr>
      </w:pPr>
      <w:r>
        <w:rPr>
          <w:rFonts w:hint="eastAsia" w:ascii="宋体" w:hAnsi="宋体"/>
          <w:b/>
          <w:color w:val="000000"/>
          <w:sz w:val="32"/>
          <w:szCs w:val="32"/>
          <w:lang w:val="en-US" w:eastAsia="zh-CN"/>
        </w:rPr>
        <w:t>八</w:t>
      </w:r>
      <w:r>
        <w:rPr>
          <w:rFonts w:hint="eastAsia" w:ascii="宋体" w:hAnsi="宋体"/>
          <w:b/>
          <w:color w:val="000000"/>
          <w:sz w:val="32"/>
          <w:szCs w:val="32"/>
        </w:rPr>
        <w:t>、</w:t>
      </w:r>
      <w:r>
        <w:rPr>
          <w:rFonts w:hint="eastAsia" w:ascii="宋体" w:hAnsi="宋体" w:cs="宋体"/>
          <w:b/>
          <w:color w:val="000000"/>
          <w:kern w:val="0"/>
          <w:sz w:val="32"/>
          <w:szCs w:val="32"/>
        </w:rPr>
        <w:t>项目组人员情况安排表</w:t>
      </w:r>
    </w:p>
    <w:p>
      <w:pPr>
        <w:spacing w:line="440" w:lineRule="exact"/>
        <w:jc w:val="left"/>
        <w:rPr>
          <w:rFonts w:ascii="宋体" w:hAnsi="宋体" w:cs="仿宋_GB2312"/>
          <w:color w:val="000000"/>
          <w:kern w:val="0"/>
          <w:sz w:val="30"/>
          <w:szCs w:val="30"/>
        </w:rPr>
      </w:pPr>
      <w:r>
        <w:rPr>
          <w:rFonts w:hint="eastAsia" w:ascii="宋体" w:hAnsi="宋体" w:cs="宋体"/>
          <w:color w:val="000000"/>
          <w:kern w:val="0"/>
          <w:sz w:val="24"/>
        </w:rPr>
        <w:t xml:space="preserve">项目名称：                                                                  </w:t>
      </w:r>
      <w:r>
        <w:rPr>
          <w:rFonts w:hint="eastAsia" w:ascii="宋体" w:hAnsi="宋体"/>
          <w:color w:val="000000"/>
          <w:sz w:val="24"/>
        </w:rPr>
        <w:t>项目编号：</w:t>
      </w:r>
      <w:r>
        <w:rPr>
          <w:rFonts w:hint="eastAsia" w:ascii="宋体" w:hAnsi="宋体"/>
          <w:color w:val="000000"/>
          <w:kern w:val="0"/>
          <w:sz w:val="24"/>
        </w:rPr>
        <w:t xml:space="preserve">  </w:t>
      </w:r>
    </w:p>
    <w:tbl>
      <w:tblPr>
        <w:tblStyle w:val="27"/>
        <w:tblW w:w="0" w:type="auto"/>
        <w:tblInd w:w="-31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002"/>
        <w:gridCol w:w="1260"/>
        <w:gridCol w:w="1575"/>
        <w:gridCol w:w="1365"/>
        <w:gridCol w:w="2625"/>
        <w:gridCol w:w="1890"/>
        <w:gridCol w:w="19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60" w:hRule="atLeast"/>
        </w:trPr>
        <w:tc>
          <w:tcPr>
            <w:tcW w:w="1419" w:type="dxa"/>
            <w:tcBorders>
              <w:top w:val="single" w:color="auto" w:sz="12" w:space="0"/>
              <w:bottom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拟任分工</w:t>
            </w:r>
          </w:p>
        </w:tc>
        <w:tc>
          <w:tcPr>
            <w:tcW w:w="1002" w:type="dxa"/>
            <w:tcBorders>
              <w:top w:val="single" w:color="auto" w:sz="12" w:space="0"/>
              <w:bottom w:val="single" w:color="auto" w:sz="2" w:space="0"/>
            </w:tcBorders>
            <w:noWrap w:val="0"/>
            <w:vAlign w:val="center"/>
          </w:tcPr>
          <w:p>
            <w:pPr>
              <w:spacing w:line="360" w:lineRule="auto"/>
              <w:ind w:left="105" w:leftChars="50"/>
              <w:jc w:val="center"/>
              <w:rPr>
                <w:rFonts w:hint="eastAsia" w:ascii="宋体" w:hAnsi="宋体"/>
                <w:color w:val="000000"/>
                <w:sz w:val="24"/>
                <w:szCs w:val="24"/>
              </w:rPr>
            </w:pPr>
            <w:r>
              <w:rPr>
                <w:rFonts w:hint="eastAsia" w:ascii="宋体" w:hAnsi="宋体"/>
                <w:color w:val="000000"/>
                <w:sz w:val="24"/>
                <w:szCs w:val="24"/>
              </w:rPr>
              <w:t>姓名</w:t>
            </w:r>
          </w:p>
        </w:tc>
        <w:tc>
          <w:tcPr>
            <w:tcW w:w="1260" w:type="dxa"/>
            <w:tcBorders>
              <w:top w:val="single" w:color="auto" w:sz="12" w:space="0"/>
              <w:bottom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学历</w:t>
            </w:r>
          </w:p>
        </w:tc>
        <w:tc>
          <w:tcPr>
            <w:tcW w:w="1575" w:type="dxa"/>
            <w:tcBorders>
              <w:top w:val="single" w:color="auto" w:sz="12" w:space="0"/>
              <w:bottom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本单位工作时间</w:t>
            </w:r>
          </w:p>
        </w:tc>
        <w:tc>
          <w:tcPr>
            <w:tcW w:w="1365" w:type="dxa"/>
            <w:tcBorders>
              <w:top w:val="single" w:color="auto" w:sz="12" w:space="0"/>
              <w:bottom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专业工龄</w:t>
            </w:r>
          </w:p>
        </w:tc>
        <w:tc>
          <w:tcPr>
            <w:tcW w:w="2625" w:type="dxa"/>
            <w:tcBorders>
              <w:top w:val="single" w:color="auto" w:sz="12" w:space="0"/>
              <w:bottom w:val="single" w:color="auto" w:sz="2" w:space="0"/>
            </w:tcBorders>
            <w:noWrap w:val="0"/>
            <w:vAlign w:val="center"/>
          </w:tcPr>
          <w:p>
            <w:pPr>
              <w:spacing w:line="360" w:lineRule="auto"/>
              <w:ind w:left="132" w:leftChars="63"/>
              <w:jc w:val="center"/>
              <w:rPr>
                <w:rFonts w:hint="eastAsia" w:ascii="宋体" w:hAnsi="宋体"/>
                <w:color w:val="000000"/>
                <w:sz w:val="24"/>
                <w:szCs w:val="24"/>
              </w:rPr>
            </w:pPr>
            <w:r>
              <w:rPr>
                <w:rFonts w:hint="eastAsia" w:ascii="宋体" w:hAnsi="宋体"/>
                <w:color w:val="000000"/>
                <w:sz w:val="24"/>
                <w:szCs w:val="24"/>
              </w:rPr>
              <w:t>获得的专业技术资格证或技术培训登记证</w:t>
            </w:r>
          </w:p>
        </w:tc>
        <w:tc>
          <w:tcPr>
            <w:tcW w:w="1890" w:type="dxa"/>
            <w:tcBorders>
              <w:top w:val="single" w:color="auto" w:sz="12" w:space="0"/>
              <w:bottom w:val="single" w:color="auto" w:sz="2" w:space="0"/>
              <w:right w:val="single" w:color="auto" w:sz="4"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履 历</w:t>
            </w:r>
          </w:p>
        </w:tc>
        <w:tc>
          <w:tcPr>
            <w:tcW w:w="1995" w:type="dxa"/>
            <w:tcBorders>
              <w:top w:val="single" w:color="auto" w:sz="12" w:space="0"/>
              <w:left w:val="single" w:color="auto" w:sz="4" w:space="0"/>
              <w:bottom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tcBorders>
              <w:top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项目负责人</w:t>
            </w: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vMerge w:val="restart"/>
            <w:tcBorders>
              <w:top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供货人员</w:t>
            </w: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vMerge w:val="continue"/>
            <w:noWrap w:val="0"/>
            <w:vAlign w:val="center"/>
          </w:tcPr>
          <w:p>
            <w:pPr>
              <w:spacing w:line="360" w:lineRule="auto"/>
              <w:jc w:val="center"/>
              <w:rPr>
                <w:rFonts w:hint="eastAsia" w:ascii="宋体" w:hAnsi="宋体"/>
                <w:color w:val="000000"/>
                <w:sz w:val="24"/>
                <w:szCs w:val="24"/>
              </w:rPr>
            </w:pP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vMerge w:val="restart"/>
            <w:tcBorders>
              <w:top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安装调试人员</w:t>
            </w: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vMerge w:val="continue"/>
            <w:noWrap w:val="0"/>
            <w:vAlign w:val="center"/>
          </w:tcPr>
          <w:p>
            <w:pPr>
              <w:spacing w:line="360" w:lineRule="auto"/>
              <w:jc w:val="center"/>
              <w:rPr>
                <w:rFonts w:hint="eastAsia" w:ascii="宋体" w:hAnsi="宋体"/>
                <w:color w:val="000000"/>
                <w:sz w:val="24"/>
                <w:szCs w:val="24"/>
              </w:rPr>
            </w:pP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tcBorders>
              <w:top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培训人员</w:t>
            </w: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vMerge w:val="restart"/>
            <w:tcBorders>
              <w:top w:val="single" w:color="auto" w:sz="2" w:space="0"/>
            </w:tcBorders>
            <w:noWrap w:val="0"/>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售后服务人员</w:t>
            </w: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vMerge w:val="continue"/>
            <w:noWrap w:val="0"/>
            <w:vAlign w:val="center"/>
          </w:tcPr>
          <w:p>
            <w:pPr>
              <w:spacing w:line="360" w:lineRule="auto"/>
              <w:jc w:val="center"/>
              <w:rPr>
                <w:rFonts w:hint="eastAsia" w:ascii="宋体" w:hAnsi="宋体"/>
                <w:color w:val="000000"/>
                <w:sz w:val="24"/>
                <w:szCs w:val="24"/>
              </w:rPr>
            </w:pPr>
          </w:p>
        </w:tc>
        <w:tc>
          <w:tcPr>
            <w:tcW w:w="1002"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260" w:type="dxa"/>
            <w:tcBorders>
              <w:top w:val="single" w:color="auto" w:sz="2" w:space="0"/>
            </w:tcBorders>
            <w:noWrap w:val="0"/>
            <w:vAlign w:val="top"/>
          </w:tcPr>
          <w:p>
            <w:pPr>
              <w:spacing w:line="360" w:lineRule="auto"/>
              <w:ind w:firstLine="921" w:firstLineChars="384"/>
              <w:jc w:val="center"/>
              <w:rPr>
                <w:rFonts w:hint="eastAsia" w:ascii="宋体" w:hAnsi="宋体"/>
                <w:color w:val="000000"/>
                <w:sz w:val="24"/>
                <w:szCs w:val="24"/>
              </w:rPr>
            </w:pPr>
          </w:p>
        </w:tc>
        <w:tc>
          <w:tcPr>
            <w:tcW w:w="1575" w:type="dxa"/>
            <w:tcBorders>
              <w:top w:val="single" w:color="auto" w:sz="2" w:space="0"/>
            </w:tcBorders>
            <w:noWrap w:val="0"/>
            <w:vAlign w:val="center"/>
          </w:tcPr>
          <w:p>
            <w:pPr>
              <w:spacing w:line="360" w:lineRule="auto"/>
              <w:ind w:firstLine="921" w:firstLineChars="384"/>
              <w:jc w:val="center"/>
              <w:rPr>
                <w:rFonts w:hint="eastAsia" w:ascii="宋体" w:hAnsi="宋体"/>
                <w:color w:val="000000"/>
                <w:sz w:val="24"/>
                <w:szCs w:val="24"/>
              </w:rPr>
            </w:pPr>
          </w:p>
        </w:tc>
        <w:tc>
          <w:tcPr>
            <w:tcW w:w="1365" w:type="dxa"/>
            <w:tcBorders>
              <w:top w:val="single" w:color="auto" w:sz="2" w:space="0"/>
            </w:tcBorders>
            <w:noWrap w:val="0"/>
            <w:vAlign w:val="center"/>
          </w:tcPr>
          <w:p>
            <w:pPr>
              <w:spacing w:line="360" w:lineRule="auto"/>
              <w:jc w:val="center"/>
              <w:rPr>
                <w:rFonts w:hint="eastAsia" w:ascii="宋体" w:hAnsi="宋体"/>
                <w:color w:val="000000"/>
                <w:sz w:val="24"/>
                <w:szCs w:val="24"/>
              </w:rPr>
            </w:pPr>
          </w:p>
        </w:tc>
        <w:tc>
          <w:tcPr>
            <w:tcW w:w="2625" w:type="dxa"/>
            <w:tcBorders>
              <w:top w:val="single" w:color="auto" w:sz="2" w:space="0"/>
            </w:tcBorders>
            <w:noWrap w:val="0"/>
            <w:vAlign w:val="center"/>
          </w:tcPr>
          <w:p>
            <w:pPr>
              <w:spacing w:line="360" w:lineRule="auto"/>
              <w:ind w:firstLine="600"/>
              <w:jc w:val="center"/>
              <w:rPr>
                <w:rFonts w:hint="eastAsia" w:ascii="宋体" w:hAnsi="宋体"/>
                <w:color w:val="000000"/>
                <w:sz w:val="24"/>
                <w:szCs w:val="24"/>
              </w:rPr>
            </w:pPr>
          </w:p>
        </w:tc>
        <w:tc>
          <w:tcPr>
            <w:tcW w:w="1890" w:type="dxa"/>
            <w:tcBorders>
              <w:top w:val="single" w:color="auto" w:sz="2" w:space="0"/>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top w:val="single" w:color="auto" w:sz="2" w:space="0"/>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5" w:hRule="atLeast"/>
        </w:trPr>
        <w:tc>
          <w:tcPr>
            <w:tcW w:w="1419" w:type="dxa"/>
            <w:noWrap w:val="0"/>
            <w:vAlign w:val="top"/>
          </w:tcPr>
          <w:p>
            <w:pPr>
              <w:spacing w:line="360" w:lineRule="auto"/>
              <w:rPr>
                <w:rFonts w:hint="eastAsia" w:ascii="宋体" w:hAnsi="宋体"/>
                <w:color w:val="000000"/>
                <w:sz w:val="24"/>
                <w:szCs w:val="24"/>
              </w:rPr>
            </w:pPr>
            <w:r>
              <w:rPr>
                <w:rFonts w:hint="eastAsia" w:ascii="宋体" w:hAnsi="宋体"/>
                <w:color w:val="000000"/>
                <w:sz w:val="24"/>
                <w:szCs w:val="24"/>
              </w:rPr>
              <w:t>其他人员</w:t>
            </w:r>
          </w:p>
        </w:tc>
        <w:tc>
          <w:tcPr>
            <w:tcW w:w="1002" w:type="dxa"/>
            <w:noWrap w:val="0"/>
            <w:vAlign w:val="center"/>
          </w:tcPr>
          <w:p>
            <w:pPr>
              <w:spacing w:line="360" w:lineRule="auto"/>
              <w:ind w:firstLine="600"/>
              <w:jc w:val="center"/>
              <w:rPr>
                <w:rFonts w:hint="eastAsia" w:ascii="宋体" w:hAnsi="宋体"/>
                <w:color w:val="000000"/>
                <w:sz w:val="24"/>
                <w:szCs w:val="24"/>
              </w:rPr>
            </w:pPr>
          </w:p>
        </w:tc>
        <w:tc>
          <w:tcPr>
            <w:tcW w:w="1260" w:type="dxa"/>
            <w:noWrap w:val="0"/>
            <w:vAlign w:val="top"/>
          </w:tcPr>
          <w:p>
            <w:pPr>
              <w:spacing w:line="360" w:lineRule="auto"/>
              <w:ind w:firstLine="921" w:firstLineChars="384"/>
              <w:jc w:val="center"/>
              <w:rPr>
                <w:rFonts w:hint="eastAsia" w:ascii="宋体" w:hAnsi="宋体"/>
                <w:color w:val="000000"/>
                <w:sz w:val="24"/>
                <w:szCs w:val="24"/>
              </w:rPr>
            </w:pPr>
          </w:p>
        </w:tc>
        <w:tc>
          <w:tcPr>
            <w:tcW w:w="1575" w:type="dxa"/>
            <w:noWrap w:val="0"/>
            <w:vAlign w:val="center"/>
          </w:tcPr>
          <w:p>
            <w:pPr>
              <w:spacing w:line="360" w:lineRule="auto"/>
              <w:ind w:firstLine="921" w:firstLineChars="384"/>
              <w:jc w:val="center"/>
              <w:rPr>
                <w:rFonts w:hint="eastAsia" w:ascii="宋体" w:hAnsi="宋体"/>
                <w:color w:val="000000"/>
                <w:sz w:val="24"/>
                <w:szCs w:val="24"/>
              </w:rPr>
            </w:pPr>
          </w:p>
        </w:tc>
        <w:tc>
          <w:tcPr>
            <w:tcW w:w="1365" w:type="dxa"/>
            <w:noWrap w:val="0"/>
            <w:vAlign w:val="center"/>
          </w:tcPr>
          <w:p>
            <w:pPr>
              <w:spacing w:line="360" w:lineRule="auto"/>
              <w:jc w:val="center"/>
              <w:rPr>
                <w:rFonts w:hint="eastAsia" w:ascii="宋体" w:hAnsi="宋体"/>
                <w:color w:val="000000"/>
                <w:sz w:val="24"/>
                <w:szCs w:val="24"/>
              </w:rPr>
            </w:pPr>
          </w:p>
        </w:tc>
        <w:tc>
          <w:tcPr>
            <w:tcW w:w="2625" w:type="dxa"/>
            <w:noWrap w:val="0"/>
            <w:vAlign w:val="center"/>
          </w:tcPr>
          <w:p>
            <w:pPr>
              <w:spacing w:line="360" w:lineRule="auto"/>
              <w:ind w:firstLine="600"/>
              <w:jc w:val="center"/>
              <w:rPr>
                <w:rFonts w:hint="eastAsia" w:ascii="宋体" w:hAnsi="宋体"/>
                <w:color w:val="000000"/>
                <w:sz w:val="24"/>
                <w:szCs w:val="24"/>
              </w:rPr>
            </w:pPr>
          </w:p>
        </w:tc>
        <w:tc>
          <w:tcPr>
            <w:tcW w:w="1890" w:type="dxa"/>
            <w:tcBorders>
              <w:right w:val="single" w:color="auto" w:sz="4" w:space="0"/>
            </w:tcBorders>
            <w:noWrap w:val="0"/>
            <w:vAlign w:val="center"/>
          </w:tcPr>
          <w:p>
            <w:pPr>
              <w:spacing w:line="360" w:lineRule="auto"/>
              <w:ind w:firstLine="600"/>
              <w:jc w:val="center"/>
              <w:rPr>
                <w:rFonts w:hint="eastAsia" w:ascii="宋体" w:hAnsi="宋体"/>
                <w:color w:val="000000"/>
                <w:sz w:val="24"/>
                <w:szCs w:val="24"/>
              </w:rPr>
            </w:pPr>
          </w:p>
        </w:tc>
        <w:tc>
          <w:tcPr>
            <w:tcW w:w="1995" w:type="dxa"/>
            <w:tcBorders>
              <w:left w:val="single" w:color="auto" w:sz="4" w:space="0"/>
            </w:tcBorders>
            <w:noWrap w:val="0"/>
            <w:vAlign w:val="center"/>
          </w:tcPr>
          <w:p>
            <w:pPr>
              <w:spacing w:line="360" w:lineRule="auto"/>
              <w:ind w:firstLine="600"/>
              <w:jc w:val="center"/>
              <w:rPr>
                <w:rFonts w:hint="eastAsia" w:ascii="宋体" w:hAnsi="宋体"/>
                <w:color w:val="000000"/>
                <w:sz w:val="24"/>
                <w:szCs w:val="24"/>
              </w:rPr>
            </w:pPr>
          </w:p>
        </w:tc>
      </w:tr>
    </w:tbl>
    <w:p>
      <w:pPr>
        <w:adjustRightInd w:val="0"/>
        <w:snapToGrid w:val="0"/>
        <w:spacing w:line="440" w:lineRule="exact"/>
        <w:rPr>
          <w:rFonts w:hint="eastAsia" w:ascii="宋体" w:hAnsi="宋体"/>
          <w:color w:val="000000"/>
          <w:sz w:val="24"/>
        </w:rPr>
      </w:pPr>
      <w:r>
        <w:rPr>
          <w:rFonts w:hint="eastAsia" w:ascii="宋体" w:hAnsi="宋体"/>
          <w:b/>
          <w:color w:val="000000"/>
          <w:sz w:val="24"/>
          <w:szCs w:val="24"/>
        </w:rPr>
        <w:t>备注：</w:t>
      </w:r>
      <w:r>
        <w:rPr>
          <w:rFonts w:hint="eastAsia" w:ascii="宋体" w:hAnsi="宋体"/>
          <w:color w:val="000000"/>
          <w:sz w:val="24"/>
        </w:rPr>
        <w:t>上述人员的履历、学历、资质证书等资料的复印件请附后。</w:t>
      </w:r>
    </w:p>
    <w:p>
      <w:pPr>
        <w:adjustRightInd w:val="0"/>
        <w:snapToGrid w:val="0"/>
        <w:spacing w:line="440" w:lineRule="exact"/>
        <w:ind w:firstLine="235" w:firstLineChars="98"/>
        <w:rPr>
          <w:rFonts w:ascii="宋体" w:hAnsi="宋体"/>
          <w:color w:val="000000"/>
          <w:kern w:val="0"/>
          <w:sz w:val="24"/>
        </w:rPr>
      </w:pPr>
      <w:r>
        <w:rPr>
          <w:rFonts w:hint="eastAsia" w:ascii="宋体" w:hAnsi="宋体" w:cs="仿宋_GB2312"/>
          <w:color w:val="000000"/>
          <w:kern w:val="0"/>
          <w:sz w:val="24"/>
          <w:szCs w:val="24"/>
          <w:lang w:val="zh-CN"/>
        </w:rPr>
        <w:t xml:space="preserve">                                      </w:t>
      </w:r>
      <w:r>
        <w:rPr>
          <w:rFonts w:hint="eastAsia" w:ascii="宋体" w:hAnsi="宋体" w:cs="仿宋_GB2312"/>
          <w:color w:val="000000"/>
          <w:kern w:val="0"/>
          <w:sz w:val="24"/>
          <w:szCs w:val="24"/>
        </w:rPr>
        <w:t xml:space="preserve">                      </w:t>
      </w:r>
      <w:r>
        <w:rPr>
          <w:rFonts w:hint="eastAsia" w:ascii="宋体" w:hAnsi="宋体" w:cs="仿宋_GB2312"/>
          <w:color w:val="000000"/>
          <w:kern w:val="0"/>
          <w:sz w:val="24"/>
          <w:szCs w:val="24"/>
          <w:lang w:val="zh-CN"/>
        </w:rPr>
        <w:t xml:space="preserve">   </w:t>
      </w:r>
      <w:r>
        <w:rPr>
          <w:rFonts w:hint="eastAsia" w:ascii="宋体" w:hAnsi="宋体"/>
          <w:color w:val="000000"/>
          <w:kern w:val="0"/>
          <w:sz w:val="24"/>
        </w:rPr>
        <w:t>谈判响应方（公章）：</w:t>
      </w:r>
      <w:r>
        <w:rPr>
          <w:rFonts w:ascii="宋体" w:hAnsi="宋体"/>
          <w:color w:val="000000"/>
          <w:kern w:val="0"/>
          <w:sz w:val="24"/>
        </w:rPr>
        <w:t xml:space="preserve">      </w:t>
      </w:r>
    </w:p>
    <w:p>
      <w:pPr>
        <w:autoSpaceDE w:val="0"/>
        <w:autoSpaceDN w:val="0"/>
        <w:adjustRightInd w:val="0"/>
        <w:spacing w:line="440" w:lineRule="exact"/>
        <w:rPr>
          <w:rFonts w:hint="eastAsia" w:ascii="宋体" w:hAnsi="宋体"/>
          <w:color w:val="000000"/>
          <w:kern w:val="0"/>
          <w:sz w:val="24"/>
        </w:rPr>
      </w:pPr>
      <w:r>
        <w:rPr>
          <w:rFonts w:ascii="宋体" w:hAnsi="宋体"/>
          <w:color w:val="000000"/>
          <w:kern w:val="0"/>
          <w:sz w:val="24"/>
        </w:rPr>
        <w:t xml:space="preserve">                                        </w:t>
      </w:r>
      <w:r>
        <w:rPr>
          <w:rFonts w:hint="eastAsia" w:ascii="宋体" w:hAnsi="宋体"/>
          <w:color w:val="000000"/>
          <w:kern w:val="0"/>
          <w:sz w:val="24"/>
        </w:rPr>
        <w:t xml:space="preserve">                          法定代表人或授权代表（签字）：</w:t>
      </w:r>
      <w:r>
        <w:rPr>
          <w:rFonts w:ascii="宋体" w:hAnsi="宋体"/>
          <w:color w:val="000000"/>
          <w:kern w:val="0"/>
          <w:sz w:val="24"/>
        </w:rPr>
        <w:t xml:space="preserve"> </w:t>
      </w:r>
    </w:p>
    <w:p>
      <w:pPr>
        <w:autoSpaceDE w:val="0"/>
        <w:autoSpaceDN w:val="0"/>
        <w:adjustRightInd w:val="0"/>
        <w:spacing w:line="440" w:lineRule="exact"/>
        <w:rPr>
          <w:rFonts w:ascii="宋体" w:hAnsi="宋体"/>
          <w:color w:val="000000"/>
          <w:kern w:val="0"/>
          <w:sz w:val="24"/>
        </w:rPr>
      </w:pPr>
      <w:r>
        <w:rPr>
          <w:rFonts w:ascii="宋体" w:hAnsi="宋体"/>
          <w:color w:val="000000"/>
          <w:kern w:val="0"/>
          <w:sz w:val="24"/>
        </w:rPr>
        <w:t xml:space="preserve"> </w:t>
      </w: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日期：</w:t>
      </w:r>
      <w:r>
        <w:rPr>
          <w:rFonts w:ascii="宋体" w:hAnsi="宋体"/>
          <w:color w:val="000000"/>
          <w:kern w:val="0"/>
          <w:sz w:val="24"/>
        </w:rPr>
        <w:t>20</w:t>
      </w:r>
      <w:r>
        <w:rPr>
          <w:rFonts w:hint="eastAsia" w:ascii="宋体" w:hAnsi="宋体"/>
          <w:color w:val="000000"/>
          <w:kern w:val="0"/>
          <w:sz w:val="24"/>
        </w:rPr>
        <w:t xml:space="preserve">  年</w:t>
      </w:r>
      <w:r>
        <w:rPr>
          <w:rFonts w:ascii="宋体" w:hAnsi="宋体"/>
          <w:color w:val="000000"/>
          <w:kern w:val="0"/>
          <w:sz w:val="24"/>
        </w:rPr>
        <w:t xml:space="preserve">  </w:t>
      </w:r>
      <w:r>
        <w:rPr>
          <w:rFonts w:hint="eastAsia" w:ascii="宋体" w:hAnsi="宋体"/>
          <w:color w:val="000000"/>
          <w:kern w:val="0"/>
          <w:sz w:val="24"/>
        </w:rPr>
        <w:t>月</w:t>
      </w:r>
      <w:r>
        <w:rPr>
          <w:rFonts w:ascii="宋体" w:hAnsi="宋体"/>
          <w:color w:val="000000"/>
          <w:kern w:val="0"/>
          <w:sz w:val="24"/>
        </w:rPr>
        <w:t xml:space="preserve">   </w:t>
      </w:r>
      <w:r>
        <w:rPr>
          <w:rFonts w:hint="eastAsia" w:ascii="宋体" w:hAnsi="宋体"/>
          <w:color w:val="000000"/>
          <w:kern w:val="0"/>
          <w:sz w:val="24"/>
        </w:rPr>
        <w:t>日</w:t>
      </w:r>
    </w:p>
    <w:p>
      <w:pPr>
        <w:autoSpaceDE w:val="0"/>
        <w:autoSpaceDN w:val="0"/>
        <w:adjustRightInd w:val="0"/>
        <w:spacing w:line="440" w:lineRule="exact"/>
        <w:jc w:val="right"/>
        <w:rPr>
          <w:rFonts w:ascii="宋体" w:hAnsi="宋体" w:cs="仿宋_GB2312"/>
          <w:color w:val="000000"/>
          <w:kern w:val="0"/>
          <w:sz w:val="24"/>
          <w:lang w:val="zh-CN"/>
        </w:rPr>
        <w:sectPr>
          <w:pgSz w:w="16838" w:h="11906" w:orient="landscape"/>
          <w:pgMar w:top="1304" w:right="1531" w:bottom="1361" w:left="1531" w:header="851" w:footer="601" w:gutter="0"/>
          <w:pgNumType w:fmt="numberInDash"/>
          <w:cols w:space="720" w:num="1"/>
          <w:docGrid w:type="linesAndChars" w:linePitch="312" w:charSpace="0"/>
        </w:sectPr>
      </w:pPr>
    </w:p>
    <w:p>
      <w:pPr>
        <w:spacing w:line="440" w:lineRule="exact"/>
        <w:jc w:val="center"/>
        <w:rPr>
          <w:rFonts w:hint="eastAsia" w:ascii="宋体" w:hAnsi="宋体" w:cs="宋体"/>
          <w:b/>
          <w:kern w:val="0"/>
          <w:sz w:val="24"/>
          <w:szCs w:val="24"/>
        </w:rPr>
      </w:pPr>
      <w:bookmarkStart w:id="29" w:name="_Toc297472063"/>
      <w:bookmarkStart w:id="30" w:name="_Toc297472830"/>
      <w:r>
        <w:rPr>
          <w:rFonts w:hint="eastAsia" w:ascii="宋体" w:hAnsi="宋体"/>
          <w:b/>
          <w:color w:val="000000"/>
          <w:kern w:val="0"/>
          <w:sz w:val="32"/>
          <w:szCs w:val="32"/>
          <w:lang w:val="en-US" w:eastAsia="zh-CN"/>
        </w:rPr>
        <w:t>九</w:t>
      </w:r>
      <w:r>
        <w:rPr>
          <w:rFonts w:hint="eastAsia" w:ascii="宋体" w:hAnsi="宋体"/>
          <w:b/>
          <w:color w:val="000000"/>
          <w:kern w:val="0"/>
          <w:sz w:val="32"/>
          <w:szCs w:val="32"/>
        </w:rPr>
        <w:t>、采购需求实质性内容响应表</w:t>
      </w:r>
    </w:p>
    <w:p>
      <w:pPr>
        <w:spacing w:line="440" w:lineRule="exact"/>
        <w:jc w:val="left"/>
        <w:rPr>
          <w:rFonts w:hint="eastAsia" w:ascii="宋体" w:hAnsi="宋体" w:cs="仿宋_GB2312"/>
          <w:b/>
          <w:bCs/>
          <w:kern w:val="0"/>
          <w:sz w:val="24"/>
          <w:szCs w:val="24"/>
          <w:lang w:val="zh-CN"/>
        </w:rPr>
      </w:pPr>
      <w:r>
        <w:rPr>
          <w:rFonts w:hint="eastAsia" w:ascii="宋体" w:hAnsi="宋体"/>
          <w:b/>
          <w:sz w:val="24"/>
          <w:szCs w:val="24"/>
        </w:rPr>
        <w:t>　　项目编号：</w:t>
      </w:r>
    </w:p>
    <w:p>
      <w:pPr>
        <w:autoSpaceDE w:val="0"/>
        <w:autoSpaceDN w:val="0"/>
        <w:adjustRightInd w:val="0"/>
        <w:spacing w:line="360" w:lineRule="auto"/>
        <w:ind w:firstLine="361" w:firstLineChars="150"/>
        <w:rPr>
          <w:rFonts w:hint="eastAsia" w:ascii="宋体" w:hAnsi="宋体"/>
          <w:b/>
          <w:kern w:val="0"/>
          <w:sz w:val="24"/>
          <w:szCs w:val="24"/>
        </w:rPr>
      </w:pPr>
      <w:r>
        <w:rPr>
          <w:rFonts w:hint="eastAsia" w:ascii="宋体" w:hAnsi="宋体"/>
          <w:b/>
          <w:kern w:val="0"/>
          <w:sz w:val="24"/>
          <w:szCs w:val="24"/>
        </w:rPr>
        <w:t>标项序号：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2419"/>
        <w:gridCol w:w="151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76" w:hRule="atLeast"/>
          <w:jc w:val="center"/>
        </w:trPr>
        <w:tc>
          <w:tcPr>
            <w:tcW w:w="878" w:type="dxa"/>
            <w:tcBorders>
              <w:bottom w:val="single" w:color="auto" w:sz="4" w:space="0"/>
            </w:tcBorders>
            <w:noWrap w:val="0"/>
            <w:vAlign w:val="center"/>
          </w:tcPr>
          <w:p>
            <w:pPr>
              <w:spacing w:line="360" w:lineRule="auto"/>
              <w:jc w:val="center"/>
              <w:rPr>
                <w:rFonts w:hint="eastAsia" w:ascii="宋体" w:hAnsi="宋体"/>
                <w:b/>
                <w:sz w:val="24"/>
                <w:szCs w:val="24"/>
              </w:rPr>
            </w:pPr>
            <w:r>
              <w:rPr>
                <w:rFonts w:hint="eastAsia" w:ascii="宋体" w:hAnsi="宋体"/>
                <w:b/>
                <w:sz w:val="24"/>
                <w:szCs w:val="24"/>
              </w:rPr>
              <w:t>序号</w:t>
            </w:r>
          </w:p>
        </w:tc>
        <w:tc>
          <w:tcPr>
            <w:tcW w:w="1855" w:type="dxa"/>
            <w:tcBorders>
              <w:bottom w:val="single" w:color="auto" w:sz="4" w:space="0"/>
            </w:tcBorders>
            <w:noWrap w:val="0"/>
            <w:vAlign w:val="center"/>
          </w:tcPr>
          <w:p>
            <w:pPr>
              <w:spacing w:line="360" w:lineRule="auto"/>
              <w:jc w:val="center"/>
              <w:rPr>
                <w:rFonts w:hint="eastAsia" w:ascii="宋体" w:hAnsi="宋体"/>
                <w:b/>
                <w:sz w:val="24"/>
                <w:szCs w:val="24"/>
              </w:rPr>
            </w:pPr>
            <w:r>
              <w:rPr>
                <w:rFonts w:hint="eastAsia" w:ascii="宋体" w:hAnsi="宋体"/>
                <w:b/>
                <w:sz w:val="24"/>
                <w:szCs w:val="24"/>
              </w:rPr>
              <w:t>实质性条款</w:t>
            </w:r>
          </w:p>
        </w:tc>
        <w:tc>
          <w:tcPr>
            <w:tcW w:w="2419" w:type="dxa"/>
            <w:tcBorders>
              <w:bottom w:val="single" w:color="auto" w:sz="4" w:space="0"/>
            </w:tcBorders>
            <w:noWrap w:val="0"/>
            <w:vAlign w:val="center"/>
          </w:tcPr>
          <w:p>
            <w:pPr>
              <w:spacing w:line="360" w:lineRule="auto"/>
              <w:jc w:val="center"/>
              <w:rPr>
                <w:rFonts w:hint="eastAsia" w:ascii="宋体" w:hAnsi="宋体"/>
                <w:b/>
                <w:sz w:val="24"/>
                <w:szCs w:val="24"/>
              </w:rPr>
            </w:pPr>
            <w:r>
              <w:rPr>
                <w:rFonts w:hint="eastAsia" w:ascii="宋体" w:hAnsi="宋体"/>
                <w:b/>
                <w:sz w:val="24"/>
                <w:szCs w:val="24"/>
              </w:rPr>
              <w:t>招标文件要求</w:t>
            </w:r>
          </w:p>
        </w:tc>
        <w:tc>
          <w:tcPr>
            <w:tcW w:w="1512" w:type="dxa"/>
            <w:tcBorders>
              <w:bottom w:val="single" w:color="auto" w:sz="4" w:space="0"/>
            </w:tcBorders>
            <w:noWrap w:val="0"/>
            <w:vAlign w:val="center"/>
          </w:tcPr>
          <w:p>
            <w:pPr>
              <w:spacing w:line="360" w:lineRule="auto"/>
              <w:rPr>
                <w:rFonts w:hint="eastAsia" w:ascii="宋体" w:hAnsi="宋体"/>
                <w:b/>
                <w:sz w:val="24"/>
                <w:szCs w:val="24"/>
              </w:rPr>
            </w:pPr>
            <w:r>
              <w:rPr>
                <w:rFonts w:hint="eastAsia" w:ascii="宋体" w:hAnsi="宋体"/>
                <w:b/>
                <w:sz w:val="24"/>
                <w:szCs w:val="24"/>
              </w:rPr>
              <w:t>投标承诺或说明</w:t>
            </w:r>
          </w:p>
        </w:tc>
        <w:tc>
          <w:tcPr>
            <w:tcW w:w="1730" w:type="dxa"/>
            <w:tcBorders>
              <w:bottom w:val="single" w:color="auto" w:sz="4" w:space="0"/>
            </w:tcBorders>
            <w:noWrap w:val="0"/>
            <w:vAlign w:val="center"/>
          </w:tcPr>
          <w:p>
            <w:pPr>
              <w:spacing w:line="360" w:lineRule="auto"/>
              <w:jc w:val="center"/>
              <w:rPr>
                <w:rFonts w:hint="eastAsia" w:ascii="宋体" w:hAnsi="宋体"/>
                <w:b/>
                <w:sz w:val="24"/>
                <w:szCs w:val="24"/>
              </w:rPr>
            </w:pPr>
            <w:r>
              <w:rPr>
                <w:rFonts w:hint="eastAsia" w:ascii="宋体" w:hAnsi="宋体"/>
                <w:b/>
                <w:sz w:val="24"/>
                <w:szCs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33" w:hRule="atLeast"/>
          <w:jc w:val="center"/>
        </w:trPr>
        <w:tc>
          <w:tcPr>
            <w:tcW w:w="8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1855" w:type="dxa"/>
            <w:noWrap w:val="0"/>
            <w:vAlign w:val="top"/>
          </w:tcPr>
          <w:p>
            <w:pPr>
              <w:spacing w:line="360" w:lineRule="auto"/>
              <w:rPr>
                <w:rFonts w:hint="eastAsia" w:ascii="宋体" w:hAnsi="宋体"/>
                <w:sz w:val="24"/>
                <w:szCs w:val="24"/>
              </w:rPr>
            </w:pPr>
          </w:p>
        </w:tc>
        <w:tc>
          <w:tcPr>
            <w:tcW w:w="2419" w:type="dxa"/>
            <w:noWrap w:val="0"/>
            <w:vAlign w:val="top"/>
          </w:tcPr>
          <w:p>
            <w:pPr>
              <w:spacing w:line="360" w:lineRule="auto"/>
              <w:rPr>
                <w:rFonts w:hint="eastAsia" w:ascii="宋体" w:hAnsi="宋体"/>
                <w:sz w:val="24"/>
                <w:szCs w:val="24"/>
              </w:rPr>
            </w:pPr>
          </w:p>
        </w:tc>
        <w:tc>
          <w:tcPr>
            <w:tcW w:w="1512" w:type="dxa"/>
            <w:noWrap w:val="0"/>
            <w:vAlign w:val="top"/>
          </w:tcPr>
          <w:p>
            <w:pPr>
              <w:spacing w:line="360" w:lineRule="auto"/>
              <w:rPr>
                <w:rFonts w:hint="eastAsia" w:ascii="宋体" w:hAnsi="宋体"/>
                <w:sz w:val="24"/>
                <w:szCs w:val="24"/>
              </w:rPr>
            </w:pPr>
          </w:p>
        </w:tc>
        <w:tc>
          <w:tcPr>
            <w:tcW w:w="1730"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33" w:hRule="atLeast"/>
          <w:jc w:val="center"/>
        </w:trPr>
        <w:tc>
          <w:tcPr>
            <w:tcW w:w="8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1855" w:type="dxa"/>
            <w:noWrap w:val="0"/>
            <w:vAlign w:val="top"/>
          </w:tcPr>
          <w:p>
            <w:pPr>
              <w:spacing w:line="360" w:lineRule="auto"/>
              <w:rPr>
                <w:rFonts w:hint="eastAsia" w:ascii="宋体" w:hAnsi="宋体"/>
                <w:sz w:val="24"/>
                <w:szCs w:val="24"/>
              </w:rPr>
            </w:pPr>
          </w:p>
        </w:tc>
        <w:tc>
          <w:tcPr>
            <w:tcW w:w="2419" w:type="dxa"/>
            <w:noWrap w:val="0"/>
            <w:vAlign w:val="top"/>
          </w:tcPr>
          <w:p>
            <w:pPr>
              <w:spacing w:line="360" w:lineRule="auto"/>
              <w:rPr>
                <w:rFonts w:hint="eastAsia" w:ascii="宋体" w:hAnsi="宋体"/>
                <w:sz w:val="24"/>
                <w:szCs w:val="24"/>
              </w:rPr>
            </w:pPr>
          </w:p>
        </w:tc>
        <w:tc>
          <w:tcPr>
            <w:tcW w:w="1512" w:type="dxa"/>
            <w:noWrap w:val="0"/>
            <w:vAlign w:val="top"/>
          </w:tcPr>
          <w:p>
            <w:pPr>
              <w:spacing w:line="360" w:lineRule="auto"/>
              <w:rPr>
                <w:rFonts w:hint="eastAsia" w:ascii="宋体" w:hAnsi="宋体"/>
                <w:sz w:val="24"/>
                <w:szCs w:val="24"/>
              </w:rPr>
            </w:pPr>
          </w:p>
        </w:tc>
        <w:tc>
          <w:tcPr>
            <w:tcW w:w="1730"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33" w:hRule="atLeast"/>
          <w:jc w:val="center"/>
        </w:trPr>
        <w:tc>
          <w:tcPr>
            <w:tcW w:w="8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3</w:t>
            </w:r>
          </w:p>
        </w:tc>
        <w:tc>
          <w:tcPr>
            <w:tcW w:w="1855" w:type="dxa"/>
            <w:noWrap w:val="0"/>
            <w:vAlign w:val="top"/>
          </w:tcPr>
          <w:p>
            <w:pPr>
              <w:spacing w:line="360" w:lineRule="auto"/>
              <w:rPr>
                <w:rFonts w:hint="eastAsia" w:ascii="宋体" w:hAnsi="宋体"/>
                <w:sz w:val="24"/>
                <w:szCs w:val="24"/>
              </w:rPr>
            </w:pPr>
          </w:p>
        </w:tc>
        <w:tc>
          <w:tcPr>
            <w:tcW w:w="2419" w:type="dxa"/>
            <w:noWrap w:val="0"/>
            <w:vAlign w:val="top"/>
          </w:tcPr>
          <w:p>
            <w:pPr>
              <w:spacing w:line="360" w:lineRule="auto"/>
              <w:rPr>
                <w:rFonts w:hint="eastAsia" w:ascii="宋体" w:hAnsi="宋体"/>
                <w:sz w:val="24"/>
                <w:szCs w:val="24"/>
              </w:rPr>
            </w:pPr>
          </w:p>
        </w:tc>
        <w:tc>
          <w:tcPr>
            <w:tcW w:w="1512" w:type="dxa"/>
            <w:noWrap w:val="0"/>
            <w:vAlign w:val="top"/>
          </w:tcPr>
          <w:p>
            <w:pPr>
              <w:spacing w:line="360" w:lineRule="auto"/>
              <w:rPr>
                <w:rFonts w:hint="eastAsia" w:ascii="宋体" w:hAnsi="宋体"/>
                <w:sz w:val="24"/>
                <w:szCs w:val="24"/>
              </w:rPr>
            </w:pPr>
          </w:p>
        </w:tc>
        <w:tc>
          <w:tcPr>
            <w:tcW w:w="1730"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30" w:hRule="atLeast"/>
          <w:jc w:val="center"/>
        </w:trPr>
        <w:tc>
          <w:tcPr>
            <w:tcW w:w="8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4</w:t>
            </w:r>
          </w:p>
        </w:tc>
        <w:tc>
          <w:tcPr>
            <w:tcW w:w="1855" w:type="dxa"/>
            <w:noWrap w:val="0"/>
            <w:vAlign w:val="top"/>
          </w:tcPr>
          <w:p>
            <w:pPr>
              <w:spacing w:line="360" w:lineRule="auto"/>
              <w:rPr>
                <w:rFonts w:hint="eastAsia" w:ascii="宋体" w:hAnsi="宋体"/>
                <w:sz w:val="24"/>
                <w:szCs w:val="24"/>
              </w:rPr>
            </w:pPr>
          </w:p>
        </w:tc>
        <w:tc>
          <w:tcPr>
            <w:tcW w:w="2419" w:type="dxa"/>
            <w:noWrap w:val="0"/>
            <w:vAlign w:val="top"/>
          </w:tcPr>
          <w:p>
            <w:pPr>
              <w:spacing w:line="360" w:lineRule="auto"/>
              <w:rPr>
                <w:rFonts w:hint="eastAsia" w:ascii="宋体" w:hAnsi="宋体"/>
                <w:sz w:val="24"/>
                <w:szCs w:val="24"/>
              </w:rPr>
            </w:pPr>
          </w:p>
        </w:tc>
        <w:tc>
          <w:tcPr>
            <w:tcW w:w="1512" w:type="dxa"/>
            <w:noWrap w:val="0"/>
            <w:vAlign w:val="top"/>
          </w:tcPr>
          <w:p>
            <w:pPr>
              <w:spacing w:line="360" w:lineRule="auto"/>
              <w:rPr>
                <w:rFonts w:hint="eastAsia" w:ascii="宋体" w:hAnsi="宋体"/>
                <w:sz w:val="24"/>
                <w:szCs w:val="24"/>
              </w:rPr>
            </w:pPr>
          </w:p>
        </w:tc>
        <w:tc>
          <w:tcPr>
            <w:tcW w:w="1730"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30" w:hRule="atLeast"/>
          <w:jc w:val="center"/>
        </w:trPr>
        <w:tc>
          <w:tcPr>
            <w:tcW w:w="878" w:type="dxa"/>
            <w:noWrap w:val="0"/>
            <w:vAlign w:val="center"/>
          </w:tcPr>
          <w:p>
            <w:pPr>
              <w:spacing w:line="360" w:lineRule="auto"/>
              <w:jc w:val="center"/>
              <w:rPr>
                <w:rFonts w:hint="eastAsia" w:ascii="宋体" w:hAnsi="宋体"/>
                <w:sz w:val="24"/>
                <w:szCs w:val="24"/>
              </w:rPr>
            </w:pPr>
            <w:r>
              <w:rPr>
                <w:rFonts w:hint="eastAsia" w:ascii="宋体" w:hAnsi="宋体"/>
                <w:sz w:val="24"/>
                <w:szCs w:val="24"/>
              </w:rPr>
              <w:t>5</w:t>
            </w:r>
          </w:p>
        </w:tc>
        <w:tc>
          <w:tcPr>
            <w:tcW w:w="1855" w:type="dxa"/>
            <w:noWrap w:val="0"/>
            <w:vAlign w:val="top"/>
          </w:tcPr>
          <w:p>
            <w:pPr>
              <w:spacing w:line="360" w:lineRule="auto"/>
              <w:rPr>
                <w:rFonts w:hint="eastAsia" w:ascii="宋体" w:hAnsi="宋体"/>
                <w:sz w:val="24"/>
                <w:szCs w:val="24"/>
              </w:rPr>
            </w:pPr>
          </w:p>
        </w:tc>
        <w:tc>
          <w:tcPr>
            <w:tcW w:w="2419" w:type="dxa"/>
            <w:noWrap w:val="0"/>
            <w:vAlign w:val="top"/>
          </w:tcPr>
          <w:p>
            <w:pPr>
              <w:spacing w:line="360" w:lineRule="auto"/>
              <w:rPr>
                <w:rFonts w:hint="eastAsia" w:ascii="宋体" w:hAnsi="宋体"/>
                <w:sz w:val="24"/>
                <w:szCs w:val="24"/>
              </w:rPr>
            </w:pPr>
          </w:p>
        </w:tc>
        <w:tc>
          <w:tcPr>
            <w:tcW w:w="1512" w:type="dxa"/>
            <w:noWrap w:val="0"/>
            <w:vAlign w:val="top"/>
          </w:tcPr>
          <w:p>
            <w:pPr>
              <w:spacing w:line="360" w:lineRule="auto"/>
              <w:rPr>
                <w:rFonts w:hint="eastAsia" w:ascii="宋体" w:hAnsi="宋体"/>
                <w:sz w:val="24"/>
                <w:szCs w:val="24"/>
              </w:rPr>
            </w:pPr>
          </w:p>
        </w:tc>
        <w:tc>
          <w:tcPr>
            <w:tcW w:w="1730" w:type="dxa"/>
            <w:noWrap w:val="0"/>
            <w:vAlign w:val="top"/>
          </w:tcPr>
          <w:p>
            <w:pPr>
              <w:spacing w:line="360" w:lineRule="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30" w:hRule="atLeast"/>
          <w:jc w:val="center"/>
        </w:trPr>
        <w:tc>
          <w:tcPr>
            <w:tcW w:w="878" w:type="dxa"/>
            <w:noWrap w:val="0"/>
            <w:vAlign w:val="top"/>
          </w:tcPr>
          <w:p>
            <w:pPr>
              <w:spacing w:line="360" w:lineRule="auto"/>
              <w:rPr>
                <w:rFonts w:hint="eastAsia" w:ascii="宋体" w:hAnsi="宋体"/>
                <w:sz w:val="24"/>
                <w:szCs w:val="24"/>
              </w:rPr>
            </w:pPr>
          </w:p>
        </w:tc>
        <w:tc>
          <w:tcPr>
            <w:tcW w:w="1855" w:type="dxa"/>
            <w:noWrap w:val="0"/>
            <w:vAlign w:val="top"/>
          </w:tcPr>
          <w:p>
            <w:pPr>
              <w:spacing w:line="360" w:lineRule="auto"/>
              <w:rPr>
                <w:rFonts w:hint="eastAsia" w:ascii="宋体" w:hAnsi="宋体"/>
                <w:sz w:val="24"/>
                <w:szCs w:val="24"/>
              </w:rPr>
            </w:pPr>
          </w:p>
        </w:tc>
        <w:tc>
          <w:tcPr>
            <w:tcW w:w="2419" w:type="dxa"/>
            <w:noWrap w:val="0"/>
            <w:vAlign w:val="top"/>
          </w:tcPr>
          <w:p>
            <w:pPr>
              <w:spacing w:line="360" w:lineRule="auto"/>
              <w:rPr>
                <w:rFonts w:hint="eastAsia" w:ascii="宋体" w:hAnsi="宋体"/>
                <w:sz w:val="24"/>
                <w:szCs w:val="24"/>
              </w:rPr>
            </w:pPr>
          </w:p>
        </w:tc>
        <w:tc>
          <w:tcPr>
            <w:tcW w:w="1512" w:type="dxa"/>
            <w:noWrap w:val="0"/>
            <w:vAlign w:val="top"/>
          </w:tcPr>
          <w:p>
            <w:pPr>
              <w:spacing w:line="360" w:lineRule="auto"/>
              <w:rPr>
                <w:rFonts w:hint="eastAsia" w:ascii="宋体" w:hAnsi="宋体"/>
                <w:sz w:val="24"/>
                <w:szCs w:val="24"/>
              </w:rPr>
            </w:pPr>
          </w:p>
        </w:tc>
        <w:tc>
          <w:tcPr>
            <w:tcW w:w="1730" w:type="dxa"/>
            <w:noWrap w:val="0"/>
            <w:vAlign w:val="top"/>
          </w:tcPr>
          <w:p>
            <w:pPr>
              <w:spacing w:line="360" w:lineRule="auto"/>
              <w:rPr>
                <w:rFonts w:hint="eastAsia" w:ascii="宋体" w:hAnsi="宋体"/>
                <w:sz w:val="24"/>
                <w:szCs w:val="24"/>
              </w:rPr>
            </w:pPr>
          </w:p>
        </w:tc>
      </w:tr>
    </w:tbl>
    <w:p>
      <w:pPr>
        <w:adjustRightInd w:val="0"/>
        <w:snapToGrid w:val="0"/>
        <w:spacing w:line="500" w:lineRule="exact"/>
        <w:rPr>
          <w:rFonts w:hint="eastAsia" w:ascii="宋体" w:hAnsi="宋体"/>
          <w:kern w:val="0"/>
          <w:sz w:val="24"/>
          <w:szCs w:val="24"/>
        </w:rPr>
      </w:pPr>
      <w:r>
        <w:rPr>
          <w:rFonts w:hint="eastAsia" w:ascii="宋体" w:hAnsi="宋体"/>
          <w:kern w:val="0"/>
          <w:sz w:val="24"/>
          <w:szCs w:val="24"/>
        </w:rPr>
        <w:t>填表说明：</w:t>
      </w:r>
    </w:p>
    <w:p>
      <w:pPr>
        <w:adjustRightInd w:val="0"/>
        <w:snapToGrid w:val="0"/>
        <w:spacing w:line="500" w:lineRule="exact"/>
        <w:ind w:firstLine="480" w:firstLineChars="200"/>
        <w:rPr>
          <w:rFonts w:hint="eastAsia" w:ascii="宋体" w:hAnsi="宋体" w:cs="仿宋_GB2312"/>
          <w:kern w:val="0"/>
          <w:sz w:val="24"/>
          <w:szCs w:val="24"/>
          <w:lang w:val="zh-CN"/>
        </w:rPr>
      </w:pPr>
      <w:r>
        <w:rPr>
          <w:rFonts w:hint="eastAsia" w:ascii="宋体" w:hAnsi="宋体"/>
          <w:kern w:val="0"/>
          <w:sz w:val="24"/>
          <w:szCs w:val="24"/>
        </w:rPr>
        <w:t>1、</w:t>
      </w:r>
      <w:r>
        <w:rPr>
          <w:rFonts w:hint="eastAsia" w:ascii="宋体" w:hAnsi="宋体" w:cs="仿宋_GB2312"/>
          <w:kern w:val="0"/>
          <w:sz w:val="24"/>
          <w:szCs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kern w:val="0"/>
          <w:sz w:val="24"/>
          <w:szCs w:val="24"/>
        </w:rPr>
      </w:pPr>
      <w:r>
        <w:rPr>
          <w:rFonts w:hint="eastAsia" w:ascii="宋体" w:hAnsi="宋体" w:cs="仿宋_GB2312"/>
          <w:kern w:val="0"/>
          <w:sz w:val="24"/>
          <w:szCs w:val="24"/>
          <w:lang w:val="zh-CN"/>
        </w:rPr>
        <w:t>2、</w:t>
      </w:r>
      <w:r>
        <w:rPr>
          <w:rFonts w:hint="eastAsia" w:ascii="宋体" w:hAnsi="宋体"/>
          <w:kern w:val="0"/>
          <w:sz w:val="24"/>
          <w:szCs w:val="24"/>
        </w:rPr>
        <w:t>投标人应根据投标承诺或说明、对照招标文件要求在“满足情况”栏注明“满足”或“不满足”；</w:t>
      </w:r>
    </w:p>
    <w:p>
      <w:pPr>
        <w:pStyle w:val="12"/>
        <w:spacing w:before="120" w:after="120"/>
        <w:ind w:firstLine="720" w:firstLineChars="300"/>
        <w:rPr>
          <w:rFonts w:hint="eastAsia" w:hAnsi="宋体"/>
          <w:sz w:val="24"/>
          <w:szCs w:val="24"/>
        </w:rPr>
      </w:pPr>
      <w:r>
        <w:rPr>
          <w:rFonts w:hint="eastAsia" w:hAnsi="宋体"/>
          <w:kern w:val="0"/>
          <w:sz w:val="24"/>
          <w:szCs w:val="24"/>
        </w:rPr>
        <w:t>3、</w:t>
      </w:r>
      <w:r>
        <w:rPr>
          <w:rFonts w:hint="eastAsia" w:hAnsi="宋体" w:cs="仿宋_GB2312"/>
          <w:kern w:val="0"/>
          <w:sz w:val="24"/>
          <w:szCs w:val="24"/>
          <w:lang w:val="zh-CN"/>
        </w:rPr>
        <w:t>本项目“第三部分 采购需求”中所有带“●”条款，投标人必须作出实质性响应，如有任意一条未响应或不满足，将被视为无效。</w:t>
      </w:r>
    </w:p>
    <w:p>
      <w:pPr>
        <w:pStyle w:val="12"/>
        <w:spacing w:before="120" w:after="120"/>
        <w:ind w:firstLine="720" w:firstLineChars="300"/>
        <w:rPr>
          <w:rFonts w:hint="eastAsia" w:hAnsi="宋体"/>
          <w:sz w:val="24"/>
          <w:szCs w:val="24"/>
        </w:rPr>
      </w:pPr>
    </w:p>
    <w:p>
      <w:pPr>
        <w:wordWrap w:val="0"/>
        <w:autoSpaceDE w:val="0"/>
        <w:autoSpaceDN w:val="0"/>
        <w:adjustRightInd w:val="0"/>
        <w:spacing w:line="440" w:lineRule="exact"/>
        <w:jc w:val="right"/>
        <w:rPr>
          <w:rFonts w:ascii="宋体" w:hAnsi="宋体"/>
          <w:kern w:val="0"/>
          <w:sz w:val="24"/>
          <w:szCs w:val="24"/>
        </w:rPr>
      </w:pPr>
      <w:r>
        <w:rPr>
          <w:rFonts w:hint="eastAsia" w:ascii="宋体" w:hAnsi="宋体"/>
          <w:kern w:val="0"/>
          <w:sz w:val="24"/>
          <w:szCs w:val="24"/>
        </w:rPr>
        <w:t xml:space="preserve">谈判响应方（公章）：    </w:t>
      </w:r>
      <w:r>
        <w:rPr>
          <w:rFonts w:ascii="宋体" w:hAnsi="宋体"/>
          <w:kern w:val="0"/>
          <w:sz w:val="24"/>
          <w:szCs w:val="24"/>
        </w:rPr>
        <w:t xml:space="preserve">      </w:t>
      </w:r>
    </w:p>
    <w:p>
      <w:pPr>
        <w:autoSpaceDE w:val="0"/>
        <w:autoSpaceDN w:val="0"/>
        <w:adjustRightInd w:val="0"/>
        <w:spacing w:line="440" w:lineRule="exact"/>
        <w:rPr>
          <w:rFonts w:hint="eastAsia" w:ascii="宋体" w:hAnsi="宋体"/>
          <w:kern w:val="0"/>
          <w:sz w:val="24"/>
          <w:szCs w:val="24"/>
        </w:rPr>
      </w:pPr>
      <w:r>
        <w:rPr>
          <w:rFonts w:ascii="宋体" w:hAnsi="宋体"/>
          <w:kern w:val="0"/>
          <w:sz w:val="24"/>
          <w:szCs w:val="24"/>
        </w:rPr>
        <w:t xml:space="preserve">                                        </w:t>
      </w:r>
      <w:r>
        <w:rPr>
          <w:rFonts w:hint="eastAsia" w:ascii="宋体" w:hAnsi="宋体"/>
          <w:kern w:val="0"/>
          <w:sz w:val="24"/>
          <w:szCs w:val="24"/>
        </w:rPr>
        <w:t>法定代表人或授权代表（签字）：</w:t>
      </w:r>
      <w:r>
        <w:rPr>
          <w:rFonts w:ascii="宋体" w:hAnsi="宋体"/>
          <w:kern w:val="0"/>
          <w:sz w:val="24"/>
          <w:szCs w:val="24"/>
        </w:rPr>
        <w:t xml:space="preserve"> </w:t>
      </w:r>
    </w:p>
    <w:p>
      <w:pPr>
        <w:autoSpaceDE w:val="0"/>
        <w:autoSpaceDN w:val="0"/>
        <w:adjustRightInd w:val="0"/>
        <w:spacing w:line="440" w:lineRule="exact"/>
        <w:rPr>
          <w:rFonts w:ascii="宋体" w:hAnsi="宋体"/>
          <w:kern w:val="0"/>
          <w:sz w:val="24"/>
          <w:szCs w:val="24"/>
        </w:rPr>
      </w:pPr>
      <w:r>
        <w:rPr>
          <w:rFonts w:ascii="宋体" w:hAnsi="宋体"/>
          <w:kern w:val="0"/>
          <w:sz w:val="24"/>
          <w:szCs w:val="24"/>
        </w:rPr>
        <w:t xml:space="preserve"> </w:t>
      </w:r>
      <w:r>
        <w:rPr>
          <w:rFonts w:hint="eastAsia" w:ascii="宋体" w:hAnsi="宋体"/>
          <w:kern w:val="0"/>
          <w:sz w:val="24"/>
          <w:szCs w:val="24"/>
        </w:rPr>
        <w:t xml:space="preserve">                                         </w:t>
      </w:r>
      <w:r>
        <w:rPr>
          <w:rFonts w:ascii="宋体" w:hAnsi="宋体"/>
          <w:kern w:val="0"/>
          <w:sz w:val="24"/>
          <w:szCs w:val="24"/>
        </w:rPr>
        <w:t xml:space="preserve"> </w:t>
      </w:r>
      <w:r>
        <w:rPr>
          <w:rFonts w:hint="eastAsia" w:ascii="宋体" w:hAnsi="宋体"/>
          <w:kern w:val="0"/>
          <w:sz w:val="24"/>
          <w:szCs w:val="24"/>
        </w:rPr>
        <w:t>日期：</w:t>
      </w:r>
      <w:r>
        <w:rPr>
          <w:rFonts w:ascii="宋体" w:hAnsi="宋体"/>
          <w:kern w:val="0"/>
          <w:sz w:val="24"/>
          <w:szCs w:val="24"/>
        </w:rPr>
        <w:t>20</w:t>
      </w:r>
      <w:r>
        <w:rPr>
          <w:rFonts w:hint="eastAsia" w:ascii="宋体" w:hAnsi="宋体"/>
          <w:kern w:val="0"/>
          <w:sz w:val="24"/>
          <w:szCs w:val="24"/>
        </w:rPr>
        <w:t xml:space="preserve">  年</w:t>
      </w:r>
      <w:r>
        <w:rPr>
          <w:rFonts w:ascii="宋体" w:hAnsi="宋体"/>
          <w:kern w:val="0"/>
          <w:sz w:val="24"/>
          <w:szCs w:val="24"/>
        </w:rPr>
        <w:t xml:space="preserve">  </w:t>
      </w:r>
      <w:r>
        <w:rPr>
          <w:rFonts w:hint="eastAsia" w:ascii="宋体" w:hAnsi="宋体"/>
          <w:kern w:val="0"/>
          <w:sz w:val="24"/>
          <w:szCs w:val="24"/>
        </w:rPr>
        <w:t>月</w:t>
      </w:r>
      <w:r>
        <w:rPr>
          <w:rFonts w:ascii="宋体" w:hAnsi="宋体"/>
          <w:kern w:val="0"/>
          <w:sz w:val="24"/>
          <w:szCs w:val="24"/>
        </w:rPr>
        <w:t xml:space="preserve">   </w:t>
      </w:r>
      <w:r>
        <w:rPr>
          <w:rFonts w:hint="eastAsia" w:ascii="宋体" w:hAnsi="宋体"/>
          <w:kern w:val="0"/>
          <w:sz w:val="24"/>
          <w:szCs w:val="24"/>
        </w:rPr>
        <w:t>日</w:t>
      </w:r>
    </w:p>
    <w:p>
      <w:pPr>
        <w:autoSpaceDE w:val="0"/>
        <w:autoSpaceDN w:val="0"/>
        <w:adjustRightInd w:val="0"/>
        <w:spacing w:line="440" w:lineRule="exact"/>
        <w:jc w:val="center"/>
        <w:rPr>
          <w:rFonts w:ascii="宋体" w:hAnsi="宋体"/>
          <w:b/>
          <w:color w:val="000000"/>
          <w:kern w:val="0"/>
          <w:sz w:val="32"/>
          <w:szCs w:val="32"/>
        </w:rPr>
      </w:pPr>
      <w:r>
        <w:rPr>
          <w:rFonts w:hint="eastAsia" w:ascii="宋体" w:hAnsi="宋体" w:cs="宋体"/>
          <w:b/>
          <w:color w:val="000000"/>
          <w:kern w:val="0"/>
          <w:sz w:val="32"/>
          <w:szCs w:val="32"/>
        </w:rPr>
        <w:br w:type="page"/>
      </w:r>
      <w:r>
        <w:rPr>
          <w:rFonts w:hint="eastAsia" w:ascii="宋体" w:hAnsi="宋体" w:cs="宋体"/>
          <w:b/>
          <w:color w:val="000000"/>
          <w:kern w:val="0"/>
          <w:sz w:val="32"/>
          <w:szCs w:val="32"/>
          <w:lang w:val="en-US" w:eastAsia="zh-CN"/>
        </w:rPr>
        <w:t>十</w:t>
      </w:r>
      <w:r>
        <w:rPr>
          <w:rFonts w:hint="eastAsia" w:ascii="宋体" w:hAnsi="宋体" w:cs="宋体"/>
          <w:b/>
          <w:color w:val="000000"/>
          <w:kern w:val="0"/>
          <w:sz w:val="32"/>
          <w:szCs w:val="32"/>
        </w:rPr>
        <w:t>、距采购人最近或者能为本项目提供最优服务的网点情况表</w:t>
      </w:r>
    </w:p>
    <w:p>
      <w:pPr>
        <w:spacing w:line="440" w:lineRule="exact"/>
        <w:jc w:val="left"/>
        <w:rPr>
          <w:rFonts w:hint="eastAsia" w:ascii="宋体" w:hAnsi="宋体"/>
          <w:color w:val="000000"/>
          <w:sz w:val="24"/>
        </w:rPr>
      </w:pPr>
    </w:p>
    <w:p>
      <w:pPr>
        <w:spacing w:line="440" w:lineRule="exact"/>
        <w:ind w:firstLine="600" w:firstLineChars="250"/>
        <w:jc w:val="left"/>
        <w:rPr>
          <w:rFonts w:hint="eastAsia" w:ascii="宋体" w:hAnsi="宋体" w:cs="仿宋_GB2312"/>
          <w:color w:val="000000"/>
          <w:kern w:val="0"/>
          <w:sz w:val="30"/>
          <w:szCs w:val="30"/>
          <w:lang w:val="zh-CN"/>
        </w:rPr>
      </w:pPr>
      <w:r>
        <w:rPr>
          <w:rFonts w:hint="eastAsia" w:ascii="宋体" w:hAnsi="宋体" w:cs="宋体"/>
          <w:color w:val="000000"/>
          <w:kern w:val="0"/>
          <w:sz w:val="24"/>
        </w:rPr>
        <w:t xml:space="preserve">项目名称：                                </w:t>
      </w:r>
      <w:r>
        <w:rPr>
          <w:rFonts w:hint="eastAsia" w:ascii="宋体" w:hAnsi="宋体"/>
          <w:color w:val="000000"/>
          <w:sz w:val="24"/>
        </w:rPr>
        <w:t>项目编号：</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地址</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注册资本金</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其中：谈判响应方出资比例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员工总人数</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ind w:left="60"/>
              <w:jc w:val="left"/>
              <w:rPr>
                <w:rFonts w:ascii="宋体" w:hAnsi="宋体"/>
                <w:color w:val="000000"/>
                <w:sz w:val="24"/>
                <w:szCs w:val="20"/>
              </w:rPr>
            </w:pPr>
            <w:r>
              <w:rPr>
                <w:rFonts w:hint="eastAsia" w:ascii="宋体" w:hAnsi="宋体"/>
                <w:color w:val="000000"/>
                <w:sz w:val="24"/>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经营期限</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5"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售后服务协议</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78"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工作业绩</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服务承诺</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000000"/>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传</w:t>
            </w:r>
            <w:r>
              <w:rPr>
                <w:rFonts w:ascii="宋体" w:hAnsi="宋体"/>
                <w:color w:val="000000"/>
                <w:sz w:val="24"/>
              </w:rPr>
              <w:t xml:space="preserve">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负责人</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000000"/>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ascii="宋体" w:hAnsi="宋体"/>
                <w:color w:val="000000"/>
                <w:sz w:val="24"/>
                <w:szCs w:val="20"/>
              </w:rPr>
            </w:pPr>
            <w:r>
              <w:rPr>
                <w:rFonts w:hint="eastAsia" w:ascii="宋体" w:hAnsi="宋体"/>
                <w:color w:val="000000"/>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ascii="宋体" w:hAnsi="宋体"/>
                <w:color w:val="000000"/>
                <w:sz w:val="24"/>
                <w:szCs w:val="20"/>
              </w:rPr>
            </w:pPr>
          </w:p>
        </w:tc>
      </w:tr>
    </w:tbl>
    <w:p>
      <w:pPr>
        <w:spacing w:line="460" w:lineRule="exact"/>
        <w:ind w:firstLine="5280" w:firstLineChars="2200"/>
        <w:rPr>
          <w:rFonts w:hint="eastAsia" w:ascii="宋体" w:hAnsi="宋体"/>
          <w:color w:val="000000"/>
          <w:sz w:val="24"/>
        </w:rPr>
      </w:pPr>
    </w:p>
    <w:p>
      <w:pPr>
        <w:spacing w:line="460" w:lineRule="exact"/>
        <w:ind w:firstLine="5280" w:firstLineChars="2200"/>
        <w:rPr>
          <w:rFonts w:hint="eastAsia" w:ascii="宋体" w:hAnsi="宋体"/>
          <w:color w:val="000000"/>
          <w:sz w:val="24"/>
        </w:rPr>
      </w:pPr>
    </w:p>
    <w:p>
      <w:pPr>
        <w:wordWrap w:val="0"/>
        <w:autoSpaceDE w:val="0"/>
        <w:autoSpaceDN w:val="0"/>
        <w:adjustRightInd w:val="0"/>
        <w:spacing w:line="440" w:lineRule="exact"/>
        <w:jc w:val="right"/>
        <w:rPr>
          <w:rFonts w:ascii="宋体" w:hAnsi="宋体" w:cs="仿宋_GB2312"/>
          <w:color w:val="000000"/>
          <w:kern w:val="0"/>
          <w:sz w:val="24"/>
          <w:lang w:val="zh-CN"/>
        </w:rPr>
      </w:pPr>
      <w:r>
        <w:rPr>
          <w:rFonts w:hint="eastAsia" w:ascii="宋体" w:hAnsi="宋体" w:cs="仿宋_GB2312"/>
          <w:color w:val="000000"/>
          <w:kern w:val="0"/>
          <w:sz w:val="24"/>
          <w:lang w:val="zh-CN"/>
        </w:rPr>
        <w:t xml:space="preserve">      谈判响应方（公章）：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法定代表人或授权代表（签字）：     </w:t>
      </w:r>
    </w:p>
    <w:p>
      <w:pPr>
        <w:autoSpaceDE w:val="0"/>
        <w:autoSpaceDN w:val="0"/>
        <w:adjustRightInd w:val="0"/>
        <w:spacing w:line="440" w:lineRule="exact"/>
        <w:rPr>
          <w:rFonts w:ascii="宋体" w:hAnsi="宋体"/>
          <w:color w:val="000000"/>
          <w:kern w:val="0"/>
          <w:sz w:val="24"/>
        </w:rPr>
      </w:pPr>
      <w:r>
        <w:rPr>
          <w:rFonts w:hint="eastAsia" w:ascii="宋体" w:hAnsi="宋体" w:cs="仿宋_GB2312"/>
          <w:color w:val="000000"/>
          <w:kern w:val="0"/>
          <w:sz w:val="24"/>
          <w:lang w:val="zh-CN"/>
        </w:rPr>
        <w:t xml:space="preserve">                                              日期：</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 xml:space="preserve">日   </w:t>
      </w:r>
    </w:p>
    <w:p>
      <w:pPr>
        <w:autoSpaceDE w:val="0"/>
        <w:autoSpaceDN w:val="0"/>
        <w:adjustRightInd w:val="0"/>
        <w:spacing w:line="440" w:lineRule="exact"/>
        <w:rPr>
          <w:rFonts w:ascii="宋体" w:hAnsi="宋体"/>
          <w:color w:val="000000"/>
          <w:kern w:val="0"/>
          <w:sz w:val="24"/>
        </w:rPr>
      </w:pPr>
    </w:p>
    <w:p>
      <w:pPr>
        <w:spacing w:line="360" w:lineRule="auto"/>
        <w:jc w:val="center"/>
        <w:rPr>
          <w:rFonts w:hint="eastAsia" w:ascii="宋体" w:hAnsi="宋体"/>
          <w:b/>
          <w:color w:val="000000"/>
          <w:sz w:val="32"/>
          <w:szCs w:val="32"/>
        </w:rPr>
      </w:pPr>
      <w:r>
        <w:rPr>
          <w:rFonts w:ascii="宋体" w:hAnsi="宋体"/>
          <w:b/>
          <w:bCs/>
          <w:color w:val="000000"/>
          <w:sz w:val="24"/>
        </w:rPr>
        <w:br w:type="page"/>
      </w:r>
      <w:r>
        <w:rPr>
          <w:rFonts w:hint="eastAsia" w:ascii="宋体" w:hAnsi="宋体"/>
          <w:b/>
          <w:color w:val="000000"/>
          <w:sz w:val="32"/>
          <w:szCs w:val="32"/>
        </w:rPr>
        <w:t>十</w:t>
      </w:r>
      <w:r>
        <w:rPr>
          <w:rFonts w:hint="eastAsia" w:ascii="宋体" w:hAnsi="宋体"/>
          <w:b/>
          <w:color w:val="000000"/>
          <w:sz w:val="32"/>
          <w:szCs w:val="32"/>
          <w:lang w:val="en-US" w:eastAsia="zh-CN"/>
        </w:rPr>
        <w:t>一</w:t>
      </w:r>
      <w:r>
        <w:rPr>
          <w:rFonts w:hint="eastAsia" w:ascii="宋体" w:hAnsi="宋体"/>
          <w:b/>
          <w:color w:val="000000"/>
          <w:sz w:val="32"/>
          <w:szCs w:val="32"/>
        </w:rPr>
        <w:t>、类似项目实施业绩一览表</w:t>
      </w:r>
    </w:p>
    <w:p>
      <w:pPr>
        <w:autoSpaceDE w:val="0"/>
        <w:autoSpaceDN w:val="0"/>
        <w:adjustRightInd w:val="0"/>
        <w:spacing w:line="440" w:lineRule="exact"/>
        <w:ind w:firstLine="360" w:firstLineChars="150"/>
        <w:rPr>
          <w:rFonts w:hint="eastAsia" w:ascii="宋体" w:hAnsi="宋体"/>
          <w:bCs/>
          <w:color w:val="000000"/>
          <w:kern w:val="0"/>
          <w:sz w:val="24"/>
        </w:rPr>
      </w:pPr>
      <w:r>
        <w:rPr>
          <w:rFonts w:hint="eastAsia" w:ascii="宋体" w:hAnsi="宋体" w:cs="宋体"/>
          <w:color w:val="000000"/>
          <w:kern w:val="0"/>
          <w:sz w:val="24"/>
        </w:rPr>
        <w:t xml:space="preserve">项目名称：                                          </w:t>
      </w:r>
      <w:r>
        <w:rPr>
          <w:rFonts w:hint="eastAsia" w:ascii="宋体" w:hAnsi="宋体"/>
          <w:bCs/>
          <w:color w:val="000000"/>
          <w:kern w:val="0"/>
          <w:sz w:val="24"/>
        </w:rPr>
        <w:t>项目编号：</w:t>
      </w:r>
    </w:p>
    <w:tbl>
      <w:tblPr>
        <w:tblStyle w:val="2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7" w:hRule="atLeast"/>
        </w:trPr>
        <w:tc>
          <w:tcPr>
            <w:tcW w:w="1470" w:type="dxa"/>
            <w:tcBorders>
              <w:top w:val="double" w:color="auto" w:sz="4" w:space="0"/>
              <w:bottom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项目名称</w:t>
            </w:r>
          </w:p>
        </w:tc>
        <w:tc>
          <w:tcPr>
            <w:tcW w:w="1281" w:type="dxa"/>
            <w:tcBorders>
              <w:top w:val="double" w:color="auto" w:sz="4" w:space="0"/>
              <w:bottom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项目</w:t>
            </w:r>
          </w:p>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类型</w:t>
            </w:r>
          </w:p>
        </w:tc>
        <w:tc>
          <w:tcPr>
            <w:tcW w:w="1356" w:type="dxa"/>
            <w:tcBorders>
              <w:top w:val="double" w:color="auto" w:sz="4" w:space="0"/>
              <w:bottom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简要描述</w:t>
            </w:r>
          </w:p>
        </w:tc>
        <w:tc>
          <w:tcPr>
            <w:tcW w:w="1773" w:type="dxa"/>
            <w:tcBorders>
              <w:top w:val="double" w:color="auto" w:sz="4" w:space="0"/>
              <w:bottom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项目金额</w:t>
            </w:r>
          </w:p>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（万元）</w:t>
            </w:r>
          </w:p>
        </w:tc>
        <w:tc>
          <w:tcPr>
            <w:tcW w:w="1365" w:type="dxa"/>
            <w:tcBorders>
              <w:top w:val="double" w:color="auto" w:sz="4" w:space="0"/>
              <w:bottom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合同签订时间</w:t>
            </w:r>
          </w:p>
        </w:tc>
        <w:tc>
          <w:tcPr>
            <w:tcW w:w="2475" w:type="dxa"/>
            <w:tcBorders>
              <w:top w:val="double" w:color="auto" w:sz="4" w:space="0"/>
              <w:bottom w:val="single" w:color="auto" w:sz="4" w:space="0"/>
            </w:tcBorders>
            <w:shd w:val="clear" w:color="auto" w:fill="FFFF99"/>
            <w:noWrap w:val="0"/>
            <w:vAlign w:val="center"/>
          </w:tcPr>
          <w:p>
            <w:pPr>
              <w:widowControl/>
              <w:spacing w:line="360" w:lineRule="auto"/>
              <w:jc w:val="center"/>
              <w:rPr>
                <w:rFonts w:hint="eastAsia" w:ascii="宋体" w:hAnsi="宋体"/>
                <w:color w:val="000000"/>
                <w:sz w:val="24"/>
                <w:lang w:val="zh-CN"/>
              </w:rPr>
            </w:pPr>
            <w:r>
              <w:rPr>
                <w:rFonts w:hint="eastAsia" w:ascii="宋体" w:hAnsi="宋体"/>
                <w:color w:val="000000"/>
                <w:sz w:val="24"/>
                <w:lang w:val="zh-CN"/>
              </w:rPr>
              <w:t>项目单位</w:t>
            </w:r>
          </w:p>
          <w:p>
            <w:pPr>
              <w:autoSpaceDE w:val="0"/>
              <w:autoSpaceDN w:val="0"/>
              <w:adjustRightInd w:val="0"/>
              <w:spacing w:line="360" w:lineRule="auto"/>
              <w:jc w:val="center"/>
              <w:rPr>
                <w:rFonts w:hint="eastAsia" w:ascii="宋体" w:hAnsi="宋体"/>
                <w:color w:val="000000"/>
                <w:sz w:val="24"/>
                <w:lang w:val="zh-CN"/>
              </w:rPr>
            </w:pPr>
            <w:r>
              <w:rPr>
                <w:rFonts w:hint="eastAsia" w:ascii="宋体" w:hAnsi="宋体"/>
                <w:color w:val="000000"/>
                <w:sz w:val="24"/>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470" w:type="dxa"/>
            <w:tcBorders>
              <w:top w:val="single" w:color="auto" w:sz="4" w:space="0"/>
            </w:tcBorders>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tcBorders>
              <w:top w:val="single" w:color="auto" w:sz="4" w:space="0"/>
            </w:tcBorders>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tcBorders>
              <w:top w:val="single" w:color="auto" w:sz="4" w:space="0"/>
            </w:tcBorders>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tcBorders>
              <w:top w:val="single" w:color="auto" w:sz="4" w:space="0"/>
            </w:tcBorders>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tcBorders>
              <w:top w:val="single" w:color="auto" w:sz="4" w:space="0"/>
            </w:tcBorders>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tcBorders>
              <w:top w:val="single" w:color="auto" w:sz="4" w:space="0"/>
            </w:tcBorders>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trPr>
        <w:tc>
          <w:tcPr>
            <w:tcW w:w="1470" w:type="dxa"/>
            <w:noWrap w:val="0"/>
            <w:vAlign w:val="top"/>
          </w:tcPr>
          <w:p>
            <w:pPr>
              <w:autoSpaceDE w:val="0"/>
              <w:autoSpaceDN w:val="0"/>
              <w:adjustRightInd w:val="0"/>
              <w:spacing w:line="360" w:lineRule="auto"/>
              <w:rPr>
                <w:rFonts w:hint="eastAsia" w:ascii="宋体" w:hAnsi="宋体"/>
                <w:color w:val="000000"/>
                <w:sz w:val="24"/>
                <w:lang w:val="zh-CN"/>
              </w:rPr>
            </w:pPr>
          </w:p>
        </w:tc>
        <w:tc>
          <w:tcPr>
            <w:tcW w:w="1281" w:type="dxa"/>
            <w:noWrap w:val="0"/>
            <w:vAlign w:val="top"/>
          </w:tcPr>
          <w:p>
            <w:pPr>
              <w:autoSpaceDE w:val="0"/>
              <w:autoSpaceDN w:val="0"/>
              <w:adjustRightInd w:val="0"/>
              <w:spacing w:line="360" w:lineRule="auto"/>
              <w:rPr>
                <w:rFonts w:hint="eastAsia" w:ascii="宋体" w:hAnsi="宋体"/>
                <w:color w:val="000000"/>
                <w:sz w:val="24"/>
                <w:lang w:val="zh-CN"/>
              </w:rPr>
            </w:pPr>
          </w:p>
        </w:tc>
        <w:tc>
          <w:tcPr>
            <w:tcW w:w="1356" w:type="dxa"/>
            <w:noWrap w:val="0"/>
            <w:vAlign w:val="top"/>
          </w:tcPr>
          <w:p>
            <w:pPr>
              <w:autoSpaceDE w:val="0"/>
              <w:autoSpaceDN w:val="0"/>
              <w:adjustRightInd w:val="0"/>
              <w:spacing w:line="360" w:lineRule="auto"/>
              <w:rPr>
                <w:rFonts w:hint="eastAsia" w:ascii="宋体" w:hAnsi="宋体"/>
                <w:color w:val="000000"/>
                <w:sz w:val="24"/>
                <w:lang w:val="zh-CN"/>
              </w:rPr>
            </w:pPr>
          </w:p>
        </w:tc>
        <w:tc>
          <w:tcPr>
            <w:tcW w:w="1773" w:type="dxa"/>
            <w:noWrap w:val="0"/>
            <w:vAlign w:val="top"/>
          </w:tcPr>
          <w:p>
            <w:pPr>
              <w:autoSpaceDE w:val="0"/>
              <w:autoSpaceDN w:val="0"/>
              <w:adjustRightInd w:val="0"/>
              <w:spacing w:line="360" w:lineRule="auto"/>
              <w:rPr>
                <w:rFonts w:hint="eastAsia" w:ascii="宋体" w:hAnsi="宋体"/>
                <w:color w:val="000000"/>
                <w:sz w:val="24"/>
                <w:lang w:val="zh-CN"/>
              </w:rPr>
            </w:pPr>
          </w:p>
        </w:tc>
        <w:tc>
          <w:tcPr>
            <w:tcW w:w="1365" w:type="dxa"/>
            <w:noWrap w:val="0"/>
            <w:vAlign w:val="top"/>
          </w:tcPr>
          <w:p>
            <w:pPr>
              <w:autoSpaceDE w:val="0"/>
              <w:autoSpaceDN w:val="0"/>
              <w:adjustRightInd w:val="0"/>
              <w:spacing w:line="360" w:lineRule="auto"/>
              <w:rPr>
                <w:rFonts w:hint="eastAsia" w:ascii="宋体" w:hAnsi="宋体"/>
                <w:color w:val="000000"/>
                <w:sz w:val="24"/>
                <w:lang w:val="zh-CN"/>
              </w:rPr>
            </w:pPr>
          </w:p>
        </w:tc>
        <w:tc>
          <w:tcPr>
            <w:tcW w:w="2475" w:type="dxa"/>
            <w:noWrap w:val="0"/>
            <w:vAlign w:val="top"/>
          </w:tcPr>
          <w:p>
            <w:pPr>
              <w:autoSpaceDE w:val="0"/>
              <w:autoSpaceDN w:val="0"/>
              <w:adjustRightInd w:val="0"/>
              <w:spacing w:line="360" w:lineRule="auto"/>
              <w:rPr>
                <w:rFonts w:hint="eastAsia" w:ascii="宋体" w:hAnsi="宋体"/>
                <w:color w:val="000000"/>
                <w:sz w:val="24"/>
                <w:lang w:val="zh-CN"/>
              </w:rPr>
            </w:pPr>
          </w:p>
        </w:tc>
      </w:tr>
    </w:tbl>
    <w:p>
      <w:pPr>
        <w:pStyle w:val="36"/>
        <w:spacing w:before="0" w:line="440" w:lineRule="exact"/>
        <w:ind w:firstLine="602" w:firstLineChars="250"/>
        <w:rPr>
          <w:rFonts w:hint="eastAsia" w:ascii="宋体" w:hAnsi="宋体"/>
          <w:color w:val="000000"/>
          <w:kern w:val="0"/>
          <w:szCs w:val="24"/>
        </w:rPr>
      </w:pPr>
      <w:r>
        <w:rPr>
          <w:rFonts w:hint="eastAsia" w:ascii="宋体" w:hAnsi="宋体"/>
          <w:b/>
          <w:color w:val="000000"/>
        </w:rPr>
        <w:t>备注：</w:t>
      </w:r>
      <w:r>
        <w:rPr>
          <w:rFonts w:hint="eastAsia" w:ascii="宋体" w:hAnsi="宋体"/>
          <w:color w:val="000000"/>
          <w:kern w:val="0"/>
          <w:szCs w:val="24"/>
        </w:rPr>
        <w:t>以合同签订时间为准，须提供合同复印件</w:t>
      </w:r>
      <w:r>
        <w:rPr>
          <w:rFonts w:hint="eastAsia" w:ascii="宋体" w:hAnsi="宋体"/>
          <w:color w:val="000000"/>
          <w:szCs w:val="24"/>
        </w:rPr>
        <w:t>加盖公章</w:t>
      </w:r>
      <w:r>
        <w:rPr>
          <w:rFonts w:hint="eastAsia" w:ascii="宋体" w:hAnsi="宋体"/>
          <w:color w:val="000000"/>
          <w:kern w:val="0"/>
          <w:szCs w:val="24"/>
        </w:rPr>
        <w:t>。</w:t>
      </w:r>
    </w:p>
    <w:p>
      <w:pPr>
        <w:pStyle w:val="36"/>
        <w:spacing w:before="0" w:line="440" w:lineRule="exact"/>
        <w:ind w:firstLine="600" w:firstLineChars="250"/>
        <w:rPr>
          <w:rFonts w:hint="eastAsia" w:ascii="宋体" w:hAnsi="宋体"/>
          <w:color w:val="000000"/>
        </w:rPr>
      </w:pPr>
    </w:p>
    <w:p>
      <w:pPr>
        <w:wordWrap w:val="0"/>
        <w:autoSpaceDE w:val="0"/>
        <w:autoSpaceDN w:val="0"/>
        <w:adjustRightInd w:val="0"/>
        <w:spacing w:line="440" w:lineRule="exact"/>
        <w:jc w:val="right"/>
        <w:rPr>
          <w:rFonts w:ascii="宋体" w:hAnsi="宋体" w:cs="仿宋_GB2312"/>
          <w:color w:val="000000"/>
          <w:kern w:val="0"/>
          <w:sz w:val="24"/>
          <w:lang w:val="zh-CN"/>
        </w:rPr>
      </w:pPr>
      <w:r>
        <w:rPr>
          <w:rFonts w:hint="eastAsia" w:ascii="宋体" w:hAnsi="宋体" w:cs="仿宋_GB2312"/>
          <w:color w:val="000000"/>
          <w:kern w:val="0"/>
          <w:sz w:val="24"/>
          <w:lang w:val="zh-CN"/>
        </w:rPr>
        <w:t xml:space="preserve">   谈判响应方（公章）：     </w:t>
      </w:r>
    </w:p>
    <w:p>
      <w:pPr>
        <w:wordWrap w:val="0"/>
        <w:autoSpaceDE w:val="0"/>
        <w:autoSpaceDN w:val="0"/>
        <w:adjustRightInd w:val="0"/>
        <w:spacing w:line="440" w:lineRule="exact"/>
        <w:jc w:val="right"/>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法定代表人或授权代表（签字）：     </w:t>
      </w:r>
    </w:p>
    <w:p>
      <w:pPr>
        <w:jc w:val="center"/>
        <w:rPr>
          <w:rFonts w:ascii="宋体" w:hAnsi="宋体"/>
          <w:color w:val="000000"/>
          <w:sz w:val="24"/>
          <w:lang w:val="zh-CN"/>
        </w:rPr>
      </w:pPr>
      <w:r>
        <w:rPr>
          <w:rFonts w:hint="eastAsia" w:ascii="宋体" w:hAnsi="宋体" w:cs="仿宋_GB2312"/>
          <w:color w:val="000000"/>
          <w:kern w:val="0"/>
          <w:sz w:val="24"/>
          <w:lang w:val="zh-CN"/>
        </w:rPr>
        <w:t xml:space="preserve">                                            日期：</w:t>
      </w:r>
      <w:r>
        <w:rPr>
          <w:rFonts w:ascii="宋体" w:hAnsi="宋体" w:cs="仿宋_GB2312"/>
          <w:color w:val="000000"/>
          <w:kern w:val="0"/>
          <w:sz w:val="24"/>
          <w:lang w:val="zh-CN"/>
        </w:rPr>
        <w:t>20</w:t>
      </w:r>
      <w:r>
        <w:rPr>
          <w:rFonts w:hint="eastAsia" w:ascii="宋体" w:hAnsi="宋体" w:cs="仿宋_GB2312"/>
          <w:color w:val="000000"/>
          <w:kern w:val="0"/>
          <w:sz w:val="24"/>
          <w:lang w:val="zh-CN"/>
        </w:rPr>
        <w:t xml:space="preserve">  年</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月</w:t>
      </w:r>
      <w:r>
        <w:rPr>
          <w:rFonts w:ascii="宋体" w:hAnsi="宋体" w:cs="仿宋_GB2312"/>
          <w:color w:val="000000"/>
          <w:kern w:val="0"/>
          <w:sz w:val="24"/>
          <w:lang w:val="zh-CN"/>
        </w:rPr>
        <w:t xml:space="preserve">   </w:t>
      </w:r>
      <w:r>
        <w:rPr>
          <w:rFonts w:hint="eastAsia" w:ascii="宋体" w:hAnsi="宋体" w:cs="仿宋_GB2312"/>
          <w:color w:val="000000"/>
          <w:kern w:val="0"/>
          <w:sz w:val="24"/>
          <w:lang w:val="zh-CN"/>
        </w:rPr>
        <w:t xml:space="preserve">日      </w:t>
      </w:r>
    </w:p>
    <w:p>
      <w:pPr>
        <w:autoSpaceDE w:val="0"/>
        <w:autoSpaceDN w:val="0"/>
        <w:adjustRightInd w:val="0"/>
        <w:spacing w:line="440" w:lineRule="exact"/>
        <w:jc w:val="center"/>
        <w:rPr>
          <w:rFonts w:hint="eastAsia" w:ascii="宋体" w:hAnsi="宋体"/>
          <w:b/>
          <w:color w:val="000000"/>
          <w:sz w:val="30"/>
          <w:szCs w:val="30"/>
        </w:rPr>
      </w:pPr>
      <w:r>
        <w:rPr>
          <w:rFonts w:ascii="宋体" w:hAnsi="宋体"/>
          <w:color w:val="000000"/>
          <w:sz w:val="24"/>
          <w:lang w:val="zh-CN"/>
        </w:rPr>
        <w:br w:type="page"/>
      </w:r>
      <w:bookmarkEnd w:id="29"/>
      <w:bookmarkEnd w:id="30"/>
      <w:r>
        <w:rPr>
          <w:rFonts w:hint="eastAsia" w:ascii="宋体" w:hAnsi="宋体"/>
          <w:b/>
          <w:color w:val="000000"/>
          <w:sz w:val="30"/>
          <w:szCs w:val="30"/>
        </w:rPr>
        <w:t>十</w:t>
      </w:r>
      <w:r>
        <w:rPr>
          <w:rFonts w:hint="eastAsia" w:ascii="宋体" w:hAnsi="宋体"/>
          <w:b/>
          <w:color w:val="000000"/>
          <w:sz w:val="30"/>
          <w:szCs w:val="30"/>
          <w:lang w:val="en-US" w:eastAsia="zh-CN"/>
        </w:rPr>
        <w:t>二</w:t>
      </w:r>
      <w:r>
        <w:rPr>
          <w:rFonts w:hint="eastAsia" w:ascii="宋体" w:hAnsi="宋体"/>
          <w:b/>
          <w:color w:val="000000"/>
          <w:sz w:val="30"/>
          <w:szCs w:val="30"/>
        </w:rPr>
        <w:t>、响应文件外层包装封面（格式供参考）</w:t>
      </w:r>
    </w:p>
    <w:p>
      <w:pPr>
        <w:jc w:val="center"/>
        <w:rPr>
          <w:rFonts w:hint="eastAsia" w:ascii="宋体" w:hAnsi="宋体"/>
          <w:color w:val="000000"/>
          <w:sz w:val="30"/>
          <w:szCs w:val="30"/>
        </w:rPr>
      </w:pPr>
    </w:p>
    <w:p>
      <w:pPr>
        <w:jc w:val="center"/>
        <w:rPr>
          <w:rFonts w:hint="eastAsia" w:ascii="宋体" w:hAnsi="宋体"/>
          <w:b/>
          <w:color w:val="000000"/>
          <w:sz w:val="30"/>
          <w:szCs w:val="30"/>
        </w:rPr>
      </w:pPr>
      <w:r>
        <w:rPr>
          <w:rFonts w:hint="eastAsia" w:ascii="宋体" w:hAnsi="宋体"/>
          <w:b/>
          <w:color w:val="000000"/>
          <w:sz w:val="30"/>
          <w:szCs w:val="30"/>
        </w:rPr>
        <w:t>响应文件</w:t>
      </w:r>
      <w:bookmarkStart w:id="31" w:name="_Toc297472066"/>
    </w:p>
    <w:p>
      <w:pPr>
        <w:jc w:val="center"/>
        <w:rPr>
          <w:rFonts w:hint="eastAsia" w:ascii="宋体" w:hAnsi="宋体"/>
          <w:b/>
          <w:color w:val="000000"/>
          <w:sz w:val="30"/>
          <w:szCs w:val="30"/>
        </w:rPr>
      </w:pPr>
      <w:r>
        <w:rPr>
          <w:rFonts w:hint="eastAsia" w:ascii="宋体" w:hAnsi="宋体"/>
          <w:b/>
          <w:color w:val="000000"/>
          <w:sz w:val="30"/>
          <w:szCs w:val="30"/>
        </w:rPr>
        <w:t xml:space="preserve"> (开标时启封)</w:t>
      </w:r>
      <w:bookmarkEnd w:id="31"/>
    </w:p>
    <w:p>
      <w:pPr>
        <w:rPr>
          <w:rFonts w:hint="eastAsia" w:ascii="宋体" w:hAnsi="宋体"/>
          <w:b/>
          <w:color w:val="000000"/>
          <w:sz w:val="30"/>
          <w:szCs w:val="30"/>
        </w:rPr>
      </w:pPr>
      <w:r>
        <w:rPr>
          <w:rFonts w:hint="eastAsia" w:ascii="宋体" w:hAnsi="宋体"/>
          <w:b/>
          <w:color w:val="000000"/>
          <w:sz w:val="30"/>
          <w:szCs w:val="30"/>
        </w:rPr>
        <w:t>项目名称：</w:t>
      </w:r>
      <w:r>
        <w:rPr>
          <w:rFonts w:hint="eastAsia" w:ascii="宋体" w:hAnsi="宋体"/>
          <w:b/>
          <w:color w:val="000000"/>
          <w:sz w:val="30"/>
          <w:szCs w:val="30"/>
          <w:u w:val="single"/>
        </w:rPr>
        <w:t xml:space="preserve">                                    </w:t>
      </w:r>
    </w:p>
    <w:p>
      <w:pPr>
        <w:rPr>
          <w:rFonts w:hint="eastAsia" w:ascii="宋体" w:hAnsi="宋体"/>
          <w:b/>
          <w:color w:val="000000"/>
          <w:sz w:val="30"/>
          <w:szCs w:val="30"/>
        </w:rPr>
      </w:pPr>
      <w:r>
        <w:rPr>
          <w:rFonts w:hint="eastAsia" w:ascii="宋体" w:hAnsi="宋体"/>
          <w:b/>
          <w:color w:val="000000"/>
          <w:sz w:val="30"/>
          <w:szCs w:val="30"/>
        </w:rPr>
        <w:t>项目编号：</w:t>
      </w:r>
      <w:r>
        <w:rPr>
          <w:rFonts w:hint="eastAsia" w:ascii="宋体" w:hAnsi="宋体"/>
          <w:b/>
          <w:color w:val="000000"/>
          <w:sz w:val="30"/>
          <w:szCs w:val="30"/>
          <w:u w:val="single"/>
        </w:rPr>
        <w:t xml:space="preserve">                                    </w:t>
      </w:r>
    </w:p>
    <w:p>
      <w:pPr>
        <w:rPr>
          <w:rFonts w:hint="eastAsia" w:ascii="宋体" w:hAnsi="宋体"/>
          <w:b/>
          <w:color w:val="000000"/>
          <w:sz w:val="30"/>
          <w:szCs w:val="30"/>
        </w:rPr>
      </w:pPr>
      <w:r>
        <w:rPr>
          <w:rFonts w:hint="eastAsia" w:ascii="宋体" w:hAnsi="宋体"/>
          <w:b/>
          <w:color w:val="000000"/>
          <w:sz w:val="30"/>
          <w:szCs w:val="30"/>
        </w:rPr>
        <w:t>谈判响应方名称（盖章）：</w:t>
      </w:r>
      <w:r>
        <w:rPr>
          <w:rFonts w:hint="eastAsia" w:ascii="宋体" w:hAnsi="宋体"/>
          <w:b/>
          <w:color w:val="000000"/>
          <w:sz w:val="30"/>
          <w:szCs w:val="30"/>
          <w:u w:val="single"/>
        </w:rPr>
        <w:t xml:space="preserve">                       </w:t>
      </w:r>
    </w:p>
    <w:p>
      <w:pPr>
        <w:rPr>
          <w:rFonts w:hint="eastAsia" w:ascii="宋体" w:hAnsi="宋体"/>
          <w:b/>
          <w:color w:val="000000"/>
          <w:sz w:val="30"/>
          <w:szCs w:val="30"/>
        </w:rPr>
      </w:pPr>
      <w:r>
        <w:rPr>
          <w:rFonts w:hint="eastAsia" w:ascii="宋体" w:hAnsi="宋体"/>
          <w:b/>
          <w:color w:val="000000"/>
          <w:sz w:val="30"/>
          <w:szCs w:val="30"/>
        </w:rPr>
        <w:t xml:space="preserve">     </w:t>
      </w:r>
    </w:p>
    <w:p>
      <w:pPr>
        <w:rPr>
          <w:rFonts w:hint="eastAsia" w:ascii="宋体" w:hAnsi="宋体"/>
          <w:b/>
          <w:color w:val="000000"/>
          <w:sz w:val="30"/>
          <w:szCs w:val="30"/>
        </w:rPr>
      </w:pPr>
      <w:r>
        <w:rPr>
          <w:rFonts w:hint="eastAsia" w:ascii="宋体" w:hAnsi="宋体"/>
          <w:b/>
          <w:color w:val="000000"/>
          <w:sz w:val="30"/>
          <w:szCs w:val="30"/>
        </w:rPr>
        <w:t>在    年    月     日     时     分之前不得启封</w:t>
      </w:r>
    </w:p>
    <w:p>
      <w:pPr>
        <w:rPr>
          <w:rFonts w:hint="eastAsia" w:ascii="宋体" w:hAnsi="宋体"/>
          <w:color w:val="000000"/>
          <w:sz w:val="30"/>
          <w:szCs w:val="30"/>
        </w:rPr>
      </w:pPr>
      <w:bookmarkStart w:id="32" w:name="_Toc297472067"/>
    </w:p>
    <w:p>
      <w:pPr>
        <w:rPr>
          <w:rFonts w:hint="eastAsia" w:ascii="宋体" w:hAnsi="宋体"/>
          <w:color w:val="000000"/>
          <w:sz w:val="30"/>
          <w:szCs w:val="30"/>
        </w:rPr>
      </w:pPr>
    </w:p>
    <w:bookmarkEnd w:id="32"/>
    <w:p>
      <w:pPr>
        <w:autoSpaceDE w:val="0"/>
        <w:autoSpaceDN w:val="0"/>
        <w:adjustRightInd w:val="0"/>
        <w:spacing w:line="460" w:lineRule="exact"/>
        <w:jc w:val="center"/>
        <w:rPr>
          <w:rFonts w:hint="eastAsia" w:ascii="宋体" w:hAnsi="宋体"/>
          <w:b/>
          <w:color w:val="000000"/>
          <w:sz w:val="32"/>
          <w:szCs w:val="32"/>
        </w:rPr>
      </w:pPr>
    </w:p>
    <w:p>
      <w:pPr>
        <w:autoSpaceDE w:val="0"/>
        <w:autoSpaceDN w:val="0"/>
        <w:adjustRightInd w:val="0"/>
        <w:spacing w:line="360" w:lineRule="auto"/>
        <w:jc w:val="center"/>
        <w:rPr>
          <w:rFonts w:hint="eastAsia" w:ascii="宋体" w:hAnsi="宋体"/>
          <w:b/>
          <w:color w:val="000000"/>
          <w:sz w:val="32"/>
          <w:szCs w:val="32"/>
        </w:rPr>
      </w:pPr>
      <w:r>
        <w:rPr>
          <w:rFonts w:hint="eastAsia" w:ascii="宋体" w:hAnsi="宋体"/>
          <w:b/>
          <w:color w:val="000000"/>
          <w:sz w:val="32"/>
          <w:szCs w:val="32"/>
        </w:rPr>
        <w:t>十</w:t>
      </w:r>
      <w:r>
        <w:rPr>
          <w:rFonts w:hint="eastAsia" w:ascii="宋体" w:hAnsi="宋体"/>
          <w:b/>
          <w:color w:val="000000"/>
          <w:sz w:val="32"/>
          <w:szCs w:val="32"/>
          <w:lang w:val="en-US" w:eastAsia="zh-CN"/>
        </w:rPr>
        <w:t>三</w:t>
      </w:r>
      <w:r>
        <w:rPr>
          <w:rFonts w:hint="eastAsia" w:ascii="宋体" w:hAnsi="宋体"/>
          <w:b/>
          <w:color w:val="000000"/>
          <w:sz w:val="32"/>
          <w:szCs w:val="32"/>
        </w:rPr>
        <w:t>、响应文件封面（格式供参考）</w:t>
      </w:r>
    </w:p>
    <w:p>
      <w:pPr>
        <w:autoSpaceDE w:val="0"/>
        <w:autoSpaceDN w:val="0"/>
        <w:adjustRightInd w:val="0"/>
        <w:spacing w:line="360" w:lineRule="auto"/>
        <w:jc w:val="right"/>
        <w:rPr>
          <w:rFonts w:hint="eastAsia" w:ascii="宋体" w:hAnsi="宋体"/>
          <w:b/>
          <w:color w:val="000000"/>
          <w:sz w:val="32"/>
          <w:szCs w:val="32"/>
        </w:rPr>
      </w:pPr>
    </w:p>
    <w:p>
      <w:pPr>
        <w:autoSpaceDE w:val="0"/>
        <w:autoSpaceDN w:val="0"/>
        <w:adjustRightInd w:val="0"/>
        <w:spacing w:line="360" w:lineRule="auto"/>
        <w:jc w:val="right"/>
        <w:rPr>
          <w:rFonts w:hint="eastAsia" w:ascii="宋体" w:hAnsi="宋体"/>
          <w:b/>
          <w:color w:val="000000"/>
          <w:sz w:val="28"/>
          <w:szCs w:val="28"/>
        </w:rPr>
      </w:pPr>
      <w:r>
        <w:rPr>
          <w:rFonts w:hint="eastAsia" w:ascii="宋体" w:hAnsi="宋体"/>
          <w:b/>
          <w:color w:val="000000"/>
          <w:sz w:val="32"/>
          <w:szCs w:val="32"/>
        </w:rPr>
        <w:t xml:space="preserve">                </w:t>
      </w:r>
      <w:r>
        <w:rPr>
          <w:rFonts w:hint="eastAsia" w:ascii="宋体" w:hAnsi="宋体"/>
          <w:b/>
          <w:color w:val="000000"/>
          <w:sz w:val="28"/>
          <w:szCs w:val="28"/>
        </w:rPr>
        <w:t>正本/副本</w:t>
      </w:r>
    </w:p>
    <w:p>
      <w:pPr>
        <w:autoSpaceDE w:val="0"/>
        <w:autoSpaceDN w:val="0"/>
        <w:adjustRightInd w:val="0"/>
        <w:spacing w:line="360" w:lineRule="auto"/>
        <w:ind w:firstLine="4160" w:firstLineChars="1295"/>
        <w:rPr>
          <w:rFonts w:hint="eastAsia" w:ascii="宋体" w:hAnsi="宋体"/>
          <w:b/>
          <w:color w:val="000000"/>
          <w:sz w:val="32"/>
          <w:szCs w:val="32"/>
        </w:rPr>
      </w:pPr>
      <w:r>
        <w:rPr>
          <w:rFonts w:hint="eastAsia" w:ascii="宋体" w:hAnsi="宋体"/>
          <w:b/>
          <w:color w:val="000000"/>
          <w:sz w:val="32"/>
          <w:szCs w:val="32"/>
        </w:rPr>
        <w:t>响应文件</w:t>
      </w:r>
    </w:p>
    <w:p>
      <w:pPr>
        <w:autoSpaceDE w:val="0"/>
        <w:autoSpaceDN w:val="0"/>
        <w:adjustRightInd w:val="0"/>
        <w:spacing w:line="360" w:lineRule="auto"/>
        <w:rPr>
          <w:rFonts w:hint="eastAsia"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32"/>
          <w:szCs w:val="32"/>
          <w:u w:val="single"/>
        </w:rPr>
        <w:t xml:space="preserve">                                    </w:t>
      </w:r>
    </w:p>
    <w:p>
      <w:pPr>
        <w:autoSpaceDE w:val="0"/>
        <w:autoSpaceDN w:val="0"/>
        <w:adjustRightInd w:val="0"/>
        <w:spacing w:line="360" w:lineRule="auto"/>
        <w:rPr>
          <w:rFonts w:hint="eastAsia" w:ascii="宋体" w:hAnsi="宋体"/>
          <w:b/>
          <w:color w:val="000000"/>
          <w:sz w:val="32"/>
          <w:szCs w:val="32"/>
        </w:rPr>
      </w:pPr>
      <w:r>
        <w:rPr>
          <w:rFonts w:hint="eastAsia" w:ascii="宋体" w:hAnsi="宋体"/>
          <w:b/>
          <w:color w:val="000000"/>
          <w:sz w:val="32"/>
          <w:szCs w:val="32"/>
        </w:rPr>
        <w:t>项目编号：</w:t>
      </w:r>
      <w:r>
        <w:rPr>
          <w:rFonts w:hint="eastAsia" w:ascii="宋体" w:hAnsi="宋体"/>
          <w:b/>
          <w:color w:val="000000"/>
          <w:sz w:val="32"/>
          <w:szCs w:val="32"/>
          <w:u w:val="single"/>
        </w:rPr>
        <w:t xml:space="preserve">                                    </w:t>
      </w:r>
    </w:p>
    <w:p>
      <w:pPr>
        <w:autoSpaceDE w:val="0"/>
        <w:autoSpaceDN w:val="0"/>
        <w:adjustRightInd w:val="0"/>
        <w:spacing w:line="360" w:lineRule="auto"/>
        <w:rPr>
          <w:rFonts w:hint="eastAsia" w:ascii="宋体" w:hAnsi="宋体"/>
          <w:b/>
          <w:color w:val="000000"/>
          <w:sz w:val="32"/>
          <w:szCs w:val="32"/>
        </w:rPr>
      </w:pPr>
      <w:r>
        <w:rPr>
          <w:rFonts w:hint="eastAsia" w:ascii="宋体" w:hAnsi="宋体"/>
          <w:b/>
          <w:color w:val="000000"/>
          <w:sz w:val="32"/>
          <w:szCs w:val="32"/>
        </w:rPr>
        <w:t>谈判响应方名称（盖章）：</w:t>
      </w:r>
      <w:r>
        <w:rPr>
          <w:rFonts w:hint="eastAsia" w:ascii="宋体" w:hAnsi="宋体"/>
          <w:b/>
          <w:color w:val="000000"/>
          <w:sz w:val="32"/>
          <w:szCs w:val="32"/>
          <w:u w:val="single"/>
        </w:rPr>
        <w:t xml:space="preserve">                       </w:t>
      </w:r>
      <w:bookmarkStart w:id="33" w:name="_Toc350410024"/>
      <w:bookmarkStart w:id="34" w:name="_Toc350409933"/>
    </w:p>
    <w:p>
      <w:pPr>
        <w:autoSpaceDE w:val="0"/>
        <w:autoSpaceDN w:val="0"/>
        <w:adjustRightInd w:val="0"/>
        <w:spacing w:line="360" w:lineRule="auto"/>
        <w:rPr>
          <w:rFonts w:hint="eastAsia" w:ascii="宋体" w:hAnsi="宋体"/>
          <w:b/>
          <w:color w:val="000000"/>
          <w:sz w:val="32"/>
          <w:szCs w:val="32"/>
          <w:u w:val="single"/>
        </w:rPr>
      </w:pPr>
      <w:r>
        <w:rPr>
          <w:rFonts w:hint="eastAsia" w:ascii="宋体" w:hAnsi="宋体"/>
          <w:b/>
          <w:color w:val="000000"/>
          <w:sz w:val="32"/>
          <w:szCs w:val="32"/>
        </w:rPr>
        <w:t>法定代表人或授权代表签字：</w:t>
      </w:r>
      <w:bookmarkEnd w:id="33"/>
      <w:bookmarkEnd w:id="34"/>
      <w:r>
        <w:rPr>
          <w:rFonts w:hint="eastAsia" w:ascii="宋体" w:hAnsi="宋体"/>
          <w:b/>
          <w:color w:val="000000"/>
          <w:sz w:val="32"/>
          <w:szCs w:val="32"/>
          <w:u w:val="single"/>
        </w:rPr>
        <w:t xml:space="preserve">                    </w:t>
      </w:r>
    </w:p>
    <w:p>
      <w:pPr>
        <w:rPr>
          <w:rFonts w:hint="eastAsia" w:ascii="宋体" w:hAnsi="宋体"/>
          <w:color w:val="000000"/>
          <w:szCs w:val="21"/>
        </w:rPr>
      </w:pPr>
    </w:p>
    <w:sectPr>
      <w:pgSz w:w="11906" w:h="16838"/>
      <w:pgMar w:top="1531" w:right="1361" w:bottom="1531" w:left="1304" w:header="851" w:footer="6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20B0604020202020204"/>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- 2 -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33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- 33 -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33</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r>
      <w:rPr>
        <w:rFonts w:hint="eastAsia"/>
        <w:i/>
        <w:iCs/>
      </w:rPr>
      <w:t>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lvl>
  </w:abstractNum>
  <w:abstractNum w:abstractNumId="1">
    <w:nsid w:val="C60DD5C2"/>
    <w:multiLevelType w:val="singleLevel"/>
    <w:tmpl w:val="C60DD5C2"/>
    <w:lvl w:ilvl="0" w:tentative="0">
      <w:start w:val="2"/>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tabs>
          <w:tab w:val="left" w:pos="840"/>
        </w:tabs>
        <w:ind w:left="840" w:hanging="360"/>
      </w:pPr>
      <w:rPr>
        <w:rFonts w:hint="eastAsia"/>
        <w:sz w:val="24"/>
      </w:rPr>
    </w:lvl>
    <w:lvl w:ilvl="1" w:tentative="0">
      <w:start w:val="1"/>
      <w:numFmt w:val="decimal"/>
      <w:lvlText w:val="（%2）"/>
      <w:lvlJc w:val="left"/>
      <w:pPr>
        <w:tabs>
          <w:tab w:val="left" w:pos="1020"/>
        </w:tabs>
        <w:ind w:left="1020" w:hanging="60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multilevel"/>
    <w:tmpl w:val="00000003"/>
    <w:lvl w:ilvl="0" w:tentative="0">
      <w:start w:val="15"/>
      <w:numFmt w:val="decimal"/>
      <w:lvlText w:val="%1、"/>
      <w:lvlJc w:val="left"/>
      <w:pPr>
        <w:tabs>
          <w:tab w:val="left" w:pos="1140"/>
        </w:tabs>
        <w:ind w:left="1140" w:hanging="720"/>
      </w:pPr>
      <w:rPr>
        <w:rFonts w:hint="default"/>
      </w:rPr>
    </w:lvl>
    <w:lvl w:ilvl="1" w:tentative="0">
      <w:start w:val="14"/>
      <w:numFmt w:val="decimal"/>
      <w:lvlText w:val="%2、"/>
      <w:lvlJc w:val="left"/>
      <w:pPr>
        <w:tabs>
          <w:tab w:val="left" w:pos="1140"/>
        </w:tabs>
        <w:ind w:left="1140" w:hanging="720"/>
      </w:pPr>
      <w:rPr>
        <w:rFonts w:hint="default"/>
      </w:rPr>
    </w:lvl>
    <w:lvl w:ilvl="2" w:tentative="0">
      <w:start w:val="4"/>
      <w:numFmt w:val="decimalEnclosedCircle"/>
      <w:lvlText w:val="%3_x0001_"/>
      <w:lvlJc w:val="left"/>
      <w:pPr>
        <w:ind w:left="1200" w:hanging="360"/>
      </w:pPr>
      <w:rPr>
        <w:rFonts w:hint="default" w:ascii="宋体" w:hAnsi="宋体"/>
      </w:rPr>
    </w:lvl>
    <w:lvl w:ilvl="3" w:tentative="0">
      <w:start w:val="1"/>
      <w:numFmt w:val="japaneseCounting"/>
      <w:lvlText w:val="%4、"/>
      <w:lvlJc w:val="left"/>
      <w:pPr>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020"/>
        </w:tabs>
        <w:ind w:left="1020" w:hanging="60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singleLevel"/>
    <w:tmpl w:val="00000007"/>
    <w:lvl w:ilvl="0" w:tentative="0">
      <w:start w:val="1"/>
      <w:numFmt w:val="decimal"/>
      <w:lvlText w:val="%1、"/>
      <w:lvlJc w:val="left"/>
      <w:pPr>
        <w:tabs>
          <w:tab w:val="left" w:pos="840"/>
        </w:tabs>
        <w:ind w:left="840" w:hanging="360"/>
      </w:pPr>
      <w:rPr>
        <w:rFonts w:hint="eastAsia"/>
      </w:rPr>
    </w:lvl>
  </w:abstractNum>
  <w:abstractNum w:abstractNumId="8">
    <w:nsid w:val="00000008"/>
    <w:multiLevelType w:val="singleLevel"/>
    <w:tmpl w:val="00000008"/>
    <w:lvl w:ilvl="0" w:tentative="0">
      <w:start w:val="1"/>
      <w:numFmt w:val="japaneseCounting"/>
      <w:lvlText w:val="%1、"/>
      <w:lvlJc w:val="left"/>
      <w:pPr>
        <w:tabs>
          <w:tab w:val="left" w:pos="480"/>
        </w:tabs>
        <w:ind w:left="480" w:hanging="480"/>
      </w:pPr>
      <w:rPr>
        <w:rFonts w:hint="eastAsia"/>
      </w:rPr>
    </w:lvl>
  </w:abstractNum>
  <w:abstractNum w:abstractNumId="9">
    <w:nsid w:val="00000009"/>
    <w:multiLevelType w:val="singleLevel"/>
    <w:tmpl w:val="00000009"/>
    <w:lvl w:ilvl="0" w:tentative="0">
      <w:start w:val="1"/>
      <w:numFmt w:val="decimal"/>
      <w:lvlText w:val="%1、"/>
      <w:lvlJc w:val="left"/>
      <w:pPr>
        <w:tabs>
          <w:tab w:val="left" w:pos="840"/>
        </w:tabs>
        <w:ind w:left="840" w:hanging="360"/>
      </w:pPr>
      <w:rPr>
        <w:rFonts w:hint="eastAsia"/>
      </w:rPr>
    </w:lvl>
  </w:abstractNum>
  <w:abstractNum w:abstractNumId="10">
    <w:nsid w:val="0000000A"/>
    <w:multiLevelType w:val="multilevel"/>
    <w:tmpl w:val="0000000A"/>
    <w:lvl w:ilvl="0" w:tentative="0">
      <w:start w:val="5"/>
      <w:numFmt w:val="decimal"/>
      <w:lvlText w:val="%1、"/>
      <w:lvlJc w:val="left"/>
      <w:pPr>
        <w:tabs>
          <w:tab w:val="left" w:pos="1140"/>
        </w:tabs>
        <w:ind w:left="1140" w:hanging="720"/>
      </w:pPr>
      <w:rPr>
        <w:rFonts w:hint="default"/>
      </w:rPr>
    </w:lvl>
    <w:lvl w:ilvl="1" w:tentative="0">
      <w:start w:val="5"/>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860"/>
        </w:tabs>
        <w:ind w:left="1860" w:hanging="60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0"/>
    <w:multiLevelType w:val="multilevel"/>
    <w:tmpl w:val="0000001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0">
      <w:start w:val="17"/>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multilevel"/>
    <w:tmpl w:val="0000001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020"/>
        </w:tabs>
        <w:ind w:left="1020" w:hanging="600"/>
      </w:pPr>
      <w:rPr>
        <w:rFonts w:hint="eastAsia"/>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5"/>
    <w:multiLevelType w:val="multilevel"/>
    <w:tmpl w:val="00000015"/>
    <w:lvl w:ilvl="0" w:tentative="0">
      <w:start w:val="1"/>
      <w:numFmt w:val="decimal"/>
      <w:lvlText w:val="%1、"/>
      <w:lvlJc w:val="left"/>
      <w:pPr>
        <w:tabs>
          <w:tab w:val="left" w:pos="840"/>
        </w:tabs>
        <w:ind w:left="84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251D6FFB"/>
    <w:multiLevelType w:val="multilevel"/>
    <w:tmpl w:val="251D6FF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377C3F09"/>
    <w:multiLevelType w:val="multilevel"/>
    <w:tmpl w:val="377C3F0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5">
    <w:nsid w:val="5E9D11E4"/>
    <w:multiLevelType w:val="singleLevel"/>
    <w:tmpl w:val="5E9D11E4"/>
    <w:lvl w:ilvl="0" w:tentative="0">
      <w:start w:val="1"/>
      <w:numFmt w:val="bullet"/>
      <w:lvlText w:val=""/>
      <w:lvlJc w:val="left"/>
      <w:pPr>
        <w:tabs>
          <w:tab w:val="left" w:pos="1620"/>
        </w:tabs>
        <w:ind w:left="1620" w:hanging="360"/>
      </w:pPr>
      <w:rPr>
        <w:rFonts w:hint="default" w:ascii="Wingdings" w:hAnsi="Wingdings"/>
      </w:rPr>
    </w:lvl>
  </w:abstractNum>
  <w:abstractNum w:abstractNumId="26">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7">
    <w:nsid w:val="61CE416D"/>
    <w:multiLevelType w:val="singleLevel"/>
    <w:tmpl w:val="61CE416D"/>
    <w:lvl w:ilvl="0" w:tentative="0">
      <w:start w:val="4"/>
      <w:numFmt w:val="chineseCounting"/>
      <w:suff w:val="space"/>
      <w:lvlText w:val="第%1部分"/>
      <w:lvlJc w:val="left"/>
      <w:rPr>
        <w:rFonts w:hint="eastAsia"/>
      </w:rPr>
    </w:lvl>
  </w:abstractNum>
  <w:abstractNum w:abstractNumId="28">
    <w:nsid w:val="6D581352"/>
    <w:multiLevelType w:val="multilevel"/>
    <w:tmpl w:val="6D581352"/>
    <w:lvl w:ilvl="0" w:tentative="0">
      <w:start w:val="2"/>
      <w:numFmt w:val="japaneseCounting"/>
      <w:lvlText w:val="第%1节"/>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26"/>
  </w:num>
  <w:num w:numId="2">
    <w:abstractNumId w:val="24"/>
  </w:num>
  <w:num w:numId="3">
    <w:abstractNumId w:val="1"/>
  </w:num>
  <w:num w:numId="4">
    <w:abstractNumId w:val="0"/>
  </w:num>
  <w:num w:numId="5">
    <w:abstractNumId w:val="28"/>
  </w:num>
  <w:num w:numId="6">
    <w:abstractNumId w:val="27"/>
  </w:num>
  <w:num w:numId="7">
    <w:abstractNumId w:val="8"/>
  </w:num>
  <w:num w:numId="8">
    <w:abstractNumId w:val="7"/>
  </w:num>
  <w:num w:numId="9">
    <w:abstractNumId w:val="9"/>
  </w:num>
  <w:num w:numId="10">
    <w:abstractNumId w:val="20"/>
  </w:num>
  <w:num w:numId="11">
    <w:abstractNumId w:val="22"/>
  </w:num>
  <w:num w:numId="12">
    <w:abstractNumId w:val="23"/>
  </w:num>
  <w:num w:numId="13">
    <w:abstractNumId w:val="16"/>
  </w:num>
  <w:num w:numId="14">
    <w:abstractNumId w:val="14"/>
  </w:num>
  <w:num w:numId="15">
    <w:abstractNumId w:val="12"/>
  </w:num>
  <w:num w:numId="16">
    <w:abstractNumId w:val="10"/>
  </w:num>
  <w:num w:numId="17">
    <w:abstractNumId w:val="19"/>
  </w:num>
  <w:num w:numId="18">
    <w:abstractNumId w:val="6"/>
  </w:num>
  <w:num w:numId="19">
    <w:abstractNumId w:val="15"/>
  </w:num>
  <w:num w:numId="20">
    <w:abstractNumId w:val="21"/>
  </w:num>
  <w:num w:numId="21">
    <w:abstractNumId w:val="2"/>
  </w:num>
  <w:num w:numId="22">
    <w:abstractNumId w:val="3"/>
  </w:num>
  <w:num w:numId="23">
    <w:abstractNumId w:val="5"/>
  </w:num>
  <w:num w:numId="24">
    <w:abstractNumId w:val="18"/>
  </w:num>
  <w:num w:numId="25">
    <w:abstractNumId w:val="17"/>
  </w:num>
  <w:num w:numId="26">
    <w:abstractNumId w:val="4"/>
  </w:num>
  <w:num w:numId="27">
    <w:abstractNumId w:val="11"/>
  </w:num>
  <w:num w:numId="28">
    <w:abstractNumId w:val="13"/>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yq1414237484">
    <w15:presenceInfo w15:providerId="None" w15:userId="fyq1414237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A2"/>
    <w:rsid w:val="000051F8"/>
    <w:rsid w:val="00005BFE"/>
    <w:rsid w:val="00006BF6"/>
    <w:rsid w:val="00013D00"/>
    <w:rsid w:val="00014CAC"/>
    <w:rsid w:val="000311BA"/>
    <w:rsid w:val="000535D3"/>
    <w:rsid w:val="00064D81"/>
    <w:rsid w:val="00073EFE"/>
    <w:rsid w:val="00077FE9"/>
    <w:rsid w:val="00087920"/>
    <w:rsid w:val="000A2AD7"/>
    <w:rsid w:val="000A52A9"/>
    <w:rsid w:val="000A53D6"/>
    <w:rsid w:val="000A59B5"/>
    <w:rsid w:val="000A6A28"/>
    <w:rsid w:val="000A7643"/>
    <w:rsid w:val="000B7280"/>
    <w:rsid w:val="000C265D"/>
    <w:rsid w:val="000C2FCE"/>
    <w:rsid w:val="000C7372"/>
    <w:rsid w:val="000C7BB2"/>
    <w:rsid w:val="000D34D1"/>
    <w:rsid w:val="000D7C81"/>
    <w:rsid w:val="000E7B55"/>
    <w:rsid w:val="000F203A"/>
    <w:rsid w:val="00101765"/>
    <w:rsid w:val="00105639"/>
    <w:rsid w:val="00110B43"/>
    <w:rsid w:val="00123E50"/>
    <w:rsid w:val="00124563"/>
    <w:rsid w:val="001271D1"/>
    <w:rsid w:val="00131EF4"/>
    <w:rsid w:val="00133731"/>
    <w:rsid w:val="0014288F"/>
    <w:rsid w:val="00143291"/>
    <w:rsid w:val="001607D6"/>
    <w:rsid w:val="0016087C"/>
    <w:rsid w:val="001622AA"/>
    <w:rsid w:val="0017016E"/>
    <w:rsid w:val="00170486"/>
    <w:rsid w:val="00182773"/>
    <w:rsid w:val="00184A85"/>
    <w:rsid w:val="00192BF0"/>
    <w:rsid w:val="00195499"/>
    <w:rsid w:val="00196756"/>
    <w:rsid w:val="001A413D"/>
    <w:rsid w:val="001A6679"/>
    <w:rsid w:val="001B3A1A"/>
    <w:rsid w:val="001C3803"/>
    <w:rsid w:val="001C57BE"/>
    <w:rsid w:val="001D0C63"/>
    <w:rsid w:val="001D16CE"/>
    <w:rsid w:val="001D66D8"/>
    <w:rsid w:val="001E450C"/>
    <w:rsid w:val="001E5828"/>
    <w:rsid w:val="001F2827"/>
    <w:rsid w:val="001F50B5"/>
    <w:rsid w:val="001F637D"/>
    <w:rsid w:val="0020021F"/>
    <w:rsid w:val="00203ED2"/>
    <w:rsid w:val="00205F11"/>
    <w:rsid w:val="00223A18"/>
    <w:rsid w:val="0022624A"/>
    <w:rsid w:val="00227193"/>
    <w:rsid w:val="00231575"/>
    <w:rsid w:val="002452B5"/>
    <w:rsid w:val="00257184"/>
    <w:rsid w:val="00264E57"/>
    <w:rsid w:val="00267E7E"/>
    <w:rsid w:val="00271E90"/>
    <w:rsid w:val="00296F91"/>
    <w:rsid w:val="002A54D7"/>
    <w:rsid w:val="002B6955"/>
    <w:rsid w:val="002C3FA2"/>
    <w:rsid w:val="002C72FD"/>
    <w:rsid w:val="002C7325"/>
    <w:rsid w:val="002C73A4"/>
    <w:rsid w:val="002C7825"/>
    <w:rsid w:val="002E67B1"/>
    <w:rsid w:val="002F104C"/>
    <w:rsid w:val="002F1C8D"/>
    <w:rsid w:val="00316FEF"/>
    <w:rsid w:val="0032123C"/>
    <w:rsid w:val="0032132D"/>
    <w:rsid w:val="00327741"/>
    <w:rsid w:val="00331FD0"/>
    <w:rsid w:val="0033215C"/>
    <w:rsid w:val="003330C9"/>
    <w:rsid w:val="00335F45"/>
    <w:rsid w:val="003372BA"/>
    <w:rsid w:val="00337C58"/>
    <w:rsid w:val="0034168C"/>
    <w:rsid w:val="00346986"/>
    <w:rsid w:val="00347DAC"/>
    <w:rsid w:val="00351BA9"/>
    <w:rsid w:val="003565EA"/>
    <w:rsid w:val="0036647E"/>
    <w:rsid w:val="00366E01"/>
    <w:rsid w:val="003715EB"/>
    <w:rsid w:val="00373DD7"/>
    <w:rsid w:val="003932CB"/>
    <w:rsid w:val="003A107B"/>
    <w:rsid w:val="003B0139"/>
    <w:rsid w:val="003B65C0"/>
    <w:rsid w:val="003E0434"/>
    <w:rsid w:val="003E2B77"/>
    <w:rsid w:val="003E3E0D"/>
    <w:rsid w:val="003F06CA"/>
    <w:rsid w:val="003F08A3"/>
    <w:rsid w:val="003F1869"/>
    <w:rsid w:val="003F27E7"/>
    <w:rsid w:val="003F5232"/>
    <w:rsid w:val="00403458"/>
    <w:rsid w:val="00403D8F"/>
    <w:rsid w:val="00404FD1"/>
    <w:rsid w:val="00405F9C"/>
    <w:rsid w:val="004304DD"/>
    <w:rsid w:val="004311E2"/>
    <w:rsid w:val="00431788"/>
    <w:rsid w:val="00433DC4"/>
    <w:rsid w:val="00434473"/>
    <w:rsid w:val="00434D1C"/>
    <w:rsid w:val="004466C5"/>
    <w:rsid w:val="00446AAD"/>
    <w:rsid w:val="0045216F"/>
    <w:rsid w:val="00452E43"/>
    <w:rsid w:val="00454F06"/>
    <w:rsid w:val="00460307"/>
    <w:rsid w:val="0046383B"/>
    <w:rsid w:val="004715C2"/>
    <w:rsid w:val="00472B41"/>
    <w:rsid w:val="0047376A"/>
    <w:rsid w:val="004755B4"/>
    <w:rsid w:val="0047663D"/>
    <w:rsid w:val="0047670A"/>
    <w:rsid w:val="00480BD2"/>
    <w:rsid w:val="004854CF"/>
    <w:rsid w:val="00485D04"/>
    <w:rsid w:val="00487F9F"/>
    <w:rsid w:val="004920C4"/>
    <w:rsid w:val="00494A7F"/>
    <w:rsid w:val="004A15D8"/>
    <w:rsid w:val="004A268B"/>
    <w:rsid w:val="004A2883"/>
    <w:rsid w:val="004A3BD4"/>
    <w:rsid w:val="004A3D79"/>
    <w:rsid w:val="004A5DC0"/>
    <w:rsid w:val="004B06EF"/>
    <w:rsid w:val="004B26DE"/>
    <w:rsid w:val="004B27EE"/>
    <w:rsid w:val="004B527D"/>
    <w:rsid w:val="004B6127"/>
    <w:rsid w:val="004E3E76"/>
    <w:rsid w:val="005028D0"/>
    <w:rsid w:val="00505198"/>
    <w:rsid w:val="005076EA"/>
    <w:rsid w:val="00514AB3"/>
    <w:rsid w:val="005177C5"/>
    <w:rsid w:val="005216FB"/>
    <w:rsid w:val="00525708"/>
    <w:rsid w:val="005316A5"/>
    <w:rsid w:val="0053335F"/>
    <w:rsid w:val="00556FE7"/>
    <w:rsid w:val="00561FD5"/>
    <w:rsid w:val="00563599"/>
    <w:rsid w:val="00567914"/>
    <w:rsid w:val="0058091C"/>
    <w:rsid w:val="00583067"/>
    <w:rsid w:val="00584E4D"/>
    <w:rsid w:val="00586A60"/>
    <w:rsid w:val="00586E82"/>
    <w:rsid w:val="00591323"/>
    <w:rsid w:val="005923C9"/>
    <w:rsid w:val="005A0C53"/>
    <w:rsid w:val="005B5015"/>
    <w:rsid w:val="005B68F2"/>
    <w:rsid w:val="005C306E"/>
    <w:rsid w:val="005C51F2"/>
    <w:rsid w:val="005C561C"/>
    <w:rsid w:val="005C756F"/>
    <w:rsid w:val="005D0CF9"/>
    <w:rsid w:val="005D2C4E"/>
    <w:rsid w:val="005E06C1"/>
    <w:rsid w:val="005F6FF3"/>
    <w:rsid w:val="006075D3"/>
    <w:rsid w:val="006107D3"/>
    <w:rsid w:val="006301C5"/>
    <w:rsid w:val="00633F2B"/>
    <w:rsid w:val="006344B4"/>
    <w:rsid w:val="00641B03"/>
    <w:rsid w:val="006427AC"/>
    <w:rsid w:val="00643619"/>
    <w:rsid w:val="0064694B"/>
    <w:rsid w:val="00647FD8"/>
    <w:rsid w:val="00652048"/>
    <w:rsid w:val="00655190"/>
    <w:rsid w:val="00671A71"/>
    <w:rsid w:val="00672654"/>
    <w:rsid w:val="00675193"/>
    <w:rsid w:val="00682C03"/>
    <w:rsid w:val="00685BBD"/>
    <w:rsid w:val="00690486"/>
    <w:rsid w:val="0069151B"/>
    <w:rsid w:val="006A2A62"/>
    <w:rsid w:val="006A5B90"/>
    <w:rsid w:val="006B091D"/>
    <w:rsid w:val="006B782A"/>
    <w:rsid w:val="006C2A24"/>
    <w:rsid w:val="006C6D2D"/>
    <w:rsid w:val="006D371F"/>
    <w:rsid w:val="006D4125"/>
    <w:rsid w:val="006D6CB2"/>
    <w:rsid w:val="006E10C1"/>
    <w:rsid w:val="006E3876"/>
    <w:rsid w:val="006F2C5F"/>
    <w:rsid w:val="006F48AB"/>
    <w:rsid w:val="006F5485"/>
    <w:rsid w:val="006F5555"/>
    <w:rsid w:val="006F780B"/>
    <w:rsid w:val="00703143"/>
    <w:rsid w:val="0070616E"/>
    <w:rsid w:val="00712237"/>
    <w:rsid w:val="00714454"/>
    <w:rsid w:val="00715451"/>
    <w:rsid w:val="0071580F"/>
    <w:rsid w:val="007176D6"/>
    <w:rsid w:val="00730F8E"/>
    <w:rsid w:val="00731D39"/>
    <w:rsid w:val="007354EE"/>
    <w:rsid w:val="0074606D"/>
    <w:rsid w:val="00746580"/>
    <w:rsid w:val="007521E7"/>
    <w:rsid w:val="00765286"/>
    <w:rsid w:val="00770758"/>
    <w:rsid w:val="007738A8"/>
    <w:rsid w:val="007774A1"/>
    <w:rsid w:val="007873F4"/>
    <w:rsid w:val="00792B34"/>
    <w:rsid w:val="007A69C5"/>
    <w:rsid w:val="007B1045"/>
    <w:rsid w:val="007B3820"/>
    <w:rsid w:val="007B4975"/>
    <w:rsid w:val="007C7B53"/>
    <w:rsid w:val="007D391A"/>
    <w:rsid w:val="007E2F3D"/>
    <w:rsid w:val="007E64A0"/>
    <w:rsid w:val="007F7A19"/>
    <w:rsid w:val="007F7E7C"/>
    <w:rsid w:val="0080216B"/>
    <w:rsid w:val="0080461C"/>
    <w:rsid w:val="00810797"/>
    <w:rsid w:val="00810975"/>
    <w:rsid w:val="00812CC5"/>
    <w:rsid w:val="008246DF"/>
    <w:rsid w:val="0083623D"/>
    <w:rsid w:val="0084363F"/>
    <w:rsid w:val="0085151D"/>
    <w:rsid w:val="00853E3F"/>
    <w:rsid w:val="00857717"/>
    <w:rsid w:val="0086111C"/>
    <w:rsid w:val="00864557"/>
    <w:rsid w:val="00865E72"/>
    <w:rsid w:val="00866F3E"/>
    <w:rsid w:val="00871424"/>
    <w:rsid w:val="0087717C"/>
    <w:rsid w:val="0088045E"/>
    <w:rsid w:val="008835EF"/>
    <w:rsid w:val="00884BD4"/>
    <w:rsid w:val="0088561B"/>
    <w:rsid w:val="008872B5"/>
    <w:rsid w:val="00891821"/>
    <w:rsid w:val="00894489"/>
    <w:rsid w:val="008A0DFB"/>
    <w:rsid w:val="008A2B52"/>
    <w:rsid w:val="008A409F"/>
    <w:rsid w:val="008B06C5"/>
    <w:rsid w:val="008C146B"/>
    <w:rsid w:val="008C58BA"/>
    <w:rsid w:val="008C625C"/>
    <w:rsid w:val="008C7142"/>
    <w:rsid w:val="008C7617"/>
    <w:rsid w:val="008C7710"/>
    <w:rsid w:val="008D0CA4"/>
    <w:rsid w:val="008D26E8"/>
    <w:rsid w:val="008D74CF"/>
    <w:rsid w:val="008E32DB"/>
    <w:rsid w:val="008E4D0D"/>
    <w:rsid w:val="008E520A"/>
    <w:rsid w:val="008E56A2"/>
    <w:rsid w:val="008E58CD"/>
    <w:rsid w:val="008F2BE0"/>
    <w:rsid w:val="008F661D"/>
    <w:rsid w:val="00906118"/>
    <w:rsid w:val="009073A5"/>
    <w:rsid w:val="00914449"/>
    <w:rsid w:val="009226E6"/>
    <w:rsid w:val="00924858"/>
    <w:rsid w:val="009271F9"/>
    <w:rsid w:val="0093361A"/>
    <w:rsid w:val="009375E7"/>
    <w:rsid w:val="00944CFB"/>
    <w:rsid w:val="00951207"/>
    <w:rsid w:val="00951D5F"/>
    <w:rsid w:val="0096113F"/>
    <w:rsid w:val="00961A43"/>
    <w:rsid w:val="009646AB"/>
    <w:rsid w:val="00965E0D"/>
    <w:rsid w:val="00967E21"/>
    <w:rsid w:val="009731B8"/>
    <w:rsid w:val="00981B4F"/>
    <w:rsid w:val="009823A5"/>
    <w:rsid w:val="00984133"/>
    <w:rsid w:val="00991A08"/>
    <w:rsid w:val="00997A21"/>
    <w:rsid w:val="009A5C7F"/>
    <w:rsid w:val="009A6E2C"/>
    <w:rsid w:val="009B03E4"/>
    <w:rsid w:val="009B0D7C"/>
    <w:rsid w:val="009D6004"/>
    <w:rsid w:val="009E1CE7"/>
    <w:rsid w:val="009E5520"/>
    <w:rsid w:val="009F2C2F"/>
    <w:rsid w:val="00A0008D"/>
    <w:rsid w:val="00A049F3"/>
    <w:rsid w:val="00A07B2E"/>
    <w:rsid w:val="00A147EC"/>
    <w:rsid w:val="00A15F32"/>
    <w:rsid w:val="00A177B9"/>
    <w:rsid w:val="00A25950"/>
    <w:rsid w:val="00A30A80"/>
    <w:rsid w:val="00A32CA8"/>
    <w:rsid w:val="00A4594B"/>
    <w:rsid w:val="00A46BC3"/>
    <w:rsid w:val="00A46FE6"/>
    <w:rsid w:val="00A52362"/>
    <w:rsid w:val="00A612B1"/>
    <w:rsid w:val="00A67D30"/>
    <w:rsid w:val="00A84046"/>
    <w:rsid w:val="00A8722A"/>
    <w:rsid w:val="00A9077E"/>
    <w:rsid w:val="00AA0C47"/>
    <w:rsid w:val="00AA3217"/>
    <w:rsid w:val="00AA343A"/>
    <w:rsid w:val="00AA3E56"/>
    <w:rsid w:val="00AB38A0"/>
    <w:rsid w:val="00AB50E0"/>
    <w:rsid w:val="00AB6EF7"/>
    <w:rsid w:val="00AC26F1"/>
    <w:rsid w:val="00AC3F1B"/>
    <w:rsid w:val="00AC5FA5"/>
    <w:rsid w:val="00AD07BD"/>
    <w:rsid w:val="00AD5361"/>
    <w:rsid w:val="00AD537E"/>
    <w:rsid w:val="00AD5E2A"/>
    <w:rsid w:val="00AF7DE0"/>
    <w:rsid w:val="00B103E9"/>
    <w:rsid w:val="00B1587E"/>
    <w:rsid w:val="00B16AE9"/>
    <w:rsid w:val="00B2523C"/>
    <w:rsid w:val="00B26154"/>
    <w:rsid w:val="00B35D36"/>
    <w:rsid w:val="00B36660"/>
    <w:rsid w:val="00B421B7"/>
    <w:rsid w:val="00B5337F"/>
    <w:rsid w:val="00B57E95"/>
    <w:rsid w:val="00B60CE5"/>
    <w:rsid w:val="00B679BB"/>
    <w:rsid w:val="00B67A01"/>
    <w:rsid w:val="00B7224B"/>
    <w:rsid w:val="00B73815"/>
    <w:rsid w:val="00B7455C"/>
    <w:rsid w:val="00B74765"/>
    <w:rsid w:val="00B75CED"/>
    <w:rsid w:val="00B951D6"/>
    <w:rsid w:val="00BA5E5C"/>
    <w:rsid w:val="00BB2C37"/>
    <w:rsid w:val="00BB7753"/>
    <w:rsid w:val="00BC1022"/>
    <w:rsid w:val="00BC3023"/>
    <w:rsid w:val="00BD642E"/>
    <w:rsid w:val="00BE4EC0"/>
    <w:rsid w:val="00BF2218"/>
    <w:rsid w:val="00BF7524"/>
    <w:rsid w:val="00BF7D25"/>
    <w:rsid w:val="00C04A3F"/>
    <w:rsid w:val="00C14FA1"/>
    <w:rsid w:val="00C26563"/>
    <w:rsid w:val="00C36C72"/>
    <w:rsid w:val="00C50A57"/>
    <w:rsid w:val="00C578D1"/>
    <w:rsid w:val="00C616B2"/>
    <w:rsid w:val="00C63183"/>
    <w:rsid w:val="00C66D8F"/>
    <w:rsid w:val="00C67CEE"/>
    <w:rsid w:val="00C759BB"/>
    <w:rsid w:val="00C8349E"/>
    <w:rsid w:val="00C96478"/>
    <w:rsid w:val="00CB0CA5"/>
    <w:rsid w:val="00CB20E2"/>
    <w:rsid w:val="00CB4759"/>
    <w:rsid w:val="00CB6044"/>
    <w:rsid w:val="00CD2C8E"/>
    <w:rsid w:val="00CE27BE"/>
    <w:rsid w:val="00CE7C47"/>
    <w:rsid w:val="00CF0A4A"/>
    <w:rsid w:val="00CF6CF0"/>
    <w:rsid w:val="00D00D78"/>
    <w:rsid w:val="00D06C52"/>
    <w:rsid w:val="00D10CF5"/>
    <w:rsid w:val="00D112C3"/>
    <w:rsid w:val="00D12829"/>
    <w:rsid w:val="00D130E8"/>
    <w:rsid w:val="00D16014"/>
    <w:rsid w:val="00D331E9"/>
    <w:rsid w:val="00D371B3"/>
    <w:rsid w:val="00D42E29"/>
    <w:rsid w:val="00D4606E"/>
    <w:rsid w:val="00D46E21"/>
    <w:rsid w:val="00D512D1"/>
    <w:rsid w:val="00D5171D"/>
    <w:rsid w:val="00D57588"/>
    <w:rsid w:val="00D65387"/>
    <w:rsid w:val="00D653DC"/>
    <w:rsid w:val="00D67D58"/>
    <w:rsid w:val="00D7147C"/>
    <w:rsid w:val="00D71C78"/>
    <w:rsid w:val="00D7267F"/>
    <w:rsid w:val="00D726F8"/>
    <w:rsid w:val="00D83D48"/>
    <w:rsid w:val="00D8512E"/>
    <w:rsid w:val="00D9014F"/>
    <w:rsid w:val="00D925FB"/>
    <w:rsid w:val="00DA0E77"/>
    <w:rsid w:val="00DA1243"/>
    <w:rsid w:val="00DA5C9D"/>
    <w:rsid w:val="00DA7DCA"/>
    <w:rsid w:val="00DB774D"/>
    <w:rsid w:val="00DC0E87"/>
    <w:rsid w:val="00DC17C4"/>
    <w:rsid w:val="00DC4339"/>
    <w:rsid w:val="00DC5666"/>
    <w:rsid w:val="00DE384D"/>
    <w:rsid w:val="00DF027E"/>
    <w:rsid w:val="00E126D7"/>
    <w:rsid w:val="00E12BD3"/>
    <w:rsid w:val="00E16DD2"/>
    <w:rsid w:val="00E17D06"/>
    <w:rsid w:val="00E212B2"/>
    <w:rsid w:val="00E21BB1"/>
    <w:rsid w:val="00E22C07"/>
    <w:rsid w:val="00E33315"/>
    <w:rsid w:val="00E3336C"/>
    <w:rsid w:val="00E354D1"/>
    <w:rsid w:val="00E36983"/>
    <w:rsid w:val="00E40464"/>
    <w:rsid w:val="00E41372"/>
    <w:rsid w:val="00E44220"/>
    <w:rsid w:val="00E46463"/>
    <w:rsid w:val="00E47B25"/>
    <w:rsid w:val="00E47DFA"/>
    <w:rsid w:val="00E53395"/>
    <w:rsid w:val="00E61465"/>
    <w:rsid w:val="00E70DE7"/>
    <w:rsid w:val="00E7171E"/>
    <w:rsid w:val="00E73F99"/>
    <w:rsid w:val="00E741DC"/>
    <w:rsid w:val="00E74533"/>
    <w:rsid w:val="00E759C8"/>
    <w:rsid w:val="00E77AB9"/>
    <w:rsid w:val="00E85C49"/>
    <w:rsid w:val="00E91C88"/>
    <w:rsid w:val="00E923F8"/>
    <w:rsid w:val="00E961AE"/>
    <w:rsid w:val="00E9643F"/>
    <w:rsid w:val="00E97736"/>
    <w:rsid w:val="00EA61D2"/>
    <w:rsid w:val="00EB150F"/>
    <w:rsid w:val="00EB1955"/>
    <w:rsid w:val="00EC4CC1"/>
    <w:rsid w:val="00ED16F7"/>
    <w:rsid w:val="00ED22E6"/>
    <w:rsid w:val="00EE518C"/>
    <w:rsid w:val="00EF1643"/>
    <w:rsid w:val="00EF5363"/>
    <w:rsid w:val="00F004A8"/>
    <w:rsid w:val="00F05DD1"/>
    <w:rsid w:val="00F07367"/>
    <w:rsid w:val="00F11729"/>
    <w:rsid w:val="00F12B1C"/>
    <w:rsid w:val="00F23187"/>
    <w:rsid w:val="00F24036"/>
    <w:rsid w:val="00F2407D"/>
    <w:rsid w:val="00F251CD"/>
    <w:rsid w:val="00F265EE"/>
    <w:rsid w:val="00F308C9"/>
    <w:rsid w:val="00F33E29"/>
    <w:rsid w:val="00F33F49"/>
    <w:rsid w:val="00F46525"/>
    <w:rsid w:val="00F610E8"/>
    <w:rsid w:val="00F70E25"/>
    <w:rsid w:val="00F733A5"/>
    <w:rsid w:val="00F75408"/>
    <w:rsid w:val="00F82E76"/>
    <w:rsid w:val="00F91644"/>
    <w:rsid w:val="00F974F1"/>
    <w:rsid w:val="00F97D40"/>
    <w:rsid w:val="00FA093B"/>
    <w:rsid w:val="00FA7A33"/>
    <w:rsid w:val="00FC2211"/>
    <w:rsid w:val="00FD0663"/>
    <w:rsid w:val="00FD376B"/>
    <w:rsid w:val="00FD4EFF"/>
    <w:rsid w:val="00FE3377"/>
    <w:rsid w:val="00FF2700"/>
    <w:rsid w:val="03496FC1"/>
    <w:rsid w:val="046B4DF0"/>
    <w:rsid w:val="071868AB"/>
    <w:rsid w:val="0898683B"/>
    <w:rsid w:val="0E436CEA"/>
    <w:rsid w:val="1124546D"/>
    <w:rsid w:val="13441CAA"/>
    <w:rsid w:val="167827AB"/>
    <w:rsid w:val="185E0387"/>
    <w:rsid w:val="185E180F"/>
    <w:rsid w:val="204F7556"/>
    <w:rsid w:val="20821803"/>
    <w:rsid w:val="217C1876"/>
    <w:rsid w:val="22BB6C8C"/>
    <w:rsid w:val="24F86E17"/>
    <w:rsid w:val="253B03CB"/>
    <w:rsid w:val="2A734D40"/>
    <w:rsid w:val="2B3C2961"/>
    <w:rsid w:val="2BDA1418"/>
    <w:rsid w:val="2F2E0818"/>
    <w:rsid w:val="34E90F82"/>
    <w:rsid w:val="357D741B"/>
    <w:rsid w:val="3916021E"/>
    <w:rsid w:val="3A8C3BBA"/>
    <w:rsid w:val="40824B31"/>
    <w:rsid w:val="42A36B37"/>
    <w:rsid w:val="450A421F"/>
    <w:rsid w:val="466445B0"/>
    <w:rsid w:val="48940735"/>
    <w:rsid w:val="48B07D07"/>
    <w:rsid w:val="49464947"/>
    <w:rsid w:val="4B8009C4"/>
    <w:rsid w:val="4B811698"/>
    <w:rsid w:val="4DAF32B8"/>
    <w:rsid w:val="4DC6125B"/>
    <w:rsid w:val="4E5477F1"/>
    <w:rsid w:val="4E7D12C5"/>
    <w:rsid w:val="50641576"/>
    <w:rsid w:val="53235674"/>
    <w:rsid w:val="53392E91"/>
    <w:rsid w:val="550D6DF6"/>
    <w:rsid w:val="57E27BF1"/>
    <w:rsid w:val="58207D89"/>
    <w:rsid w:val="58874681"/>
    <w:rsid w:val="591522B1"/>
    <w:rsid w:val="5A6E7820"/>
    <w:rsid w:val="5C702407"/>
    <w:rsid w:val="5F6F0632"/>
    <w:rsid w:val="6136099F"/>
    <w:rsid w:val="62C1649B"/>
    <w:rsid w:val="6395391B"/>
    <w:rsid w:val="63C21394"/>
    <w:rsid w:val="672F47AD"/>
    <w:rsid w:val="69BD18BF"/>
    <w:rsid w:val="6BD66F77"/>
    <w:rsid w:val="6FB829D3"/>
    <w:rsid w:val="713804C8"/>
    <w:rsid w:val="752B2A8B"/>
    <w:rsid w:val="77D20BA6"/>
    <w:rsid w:val="79177A4B"/>
    <w:rsid w:val="7A255823"/>
    <w:rsid w:val="7B700F6F"/>
    <w:rsid w:val="7F111D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rFonts w:ascii="Times New Roman" w:hAnsi="Times New Roman" w:eastAsia="??"/>
      <w:b/>
      <w:kern w:val="0"/>
      <w:sz w:val="32"/>
      <w:szCs w:val="28"/>
    </w:rPr>
  </w:style>
  <w:style w:type="character" w:default="1" w:styleId="29">
    <w:name w:val="Default Paragraph Font"/>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customStyle="1" w:styleId="2">
    <w:name w:val="[Normal]"/>
    <w:qFormat/>
    <w:uiPriority w:val="0"/>
    <w:rPr>
      <w:rFonts w:ascii="宋体" w:hAnsi="宋体"/>
      <w:sz w:val="24"/>
      <w:szCs w:val="22"/>
      <w:lang w:val="zh-CN" w:eastAsia="zh-CN" w:bidi="ar-SA"/>
    </w:rPr>
  </w:style>
  <w:style w:type="paragraph" w:styleId="6">
    <w:name w:val="Normal Indent"/>
    <w:basedOn w:val="1"/>
    <w:uiPriority w:val="0"/>
    <w:pPr>
      <w:ind w:firstLine="420"/>
    </w:pPr>
    <w:rPr>
      <w:szCs w:val="20"/>
    </w:rPr>
  </w:style>
  <w:style w:type="paragraph" w:styleId="7">
    <w:name w:val="annotation text"/>
    <w:basedOn w:val="1"/>
    <w:link w:val="44"/>
    <w:uiPriority w:val="0"/>
    <w:pPr>
      <w:jc w:val="left"/>
    </w:pPr>
    <w:rPr>
      <w:kern w:val="2"/>
      <w:sz w:val="21"/>
      <w:szCs w:val="24"/>
    </w:rPr>
  </w:style>
  <w:style w:type="paragraph" w:styleId="8">
    <w:name w:val="Body Text 3"/>
    <w:basedOn w:val="1"/>
    <w:link w:val="37"/>
    <w:uiPriority w:val="0"/>
    <w:pPr>
      <w:spacing w:after="120" w:afterLines="0"/>
    </w:pPr>
    <w:rPr>
      <w:kern w:val="2"/>
      <w:sz w:val="16"/>
      <w:szCs w:val="16"/>
    </w:rPr>
  </w:style>
  <w:style w:type="paragraph" w:styleId="9">
    <w:name w:val="Body Text"/>
    <w:basedOn w:val="1"/>
    <w:uiPriority w:val="0"/>
    <w:rPr>
      <w:sz w:val="32"/>
    </w:rPr>
  </w:style>
  <w:style w:type="paragraph" w:styleId="10">
    <w:name w:val="Body Text Indent"/>
    <w:basedOn w:val="1"/>
    <w:uiPriority w:val="0"/>
    <w:pPr>
      <w:ind w:firstLine="645"/>
    </w:pPr>
    <w:rPr>
      <w:sz w:val="28"/>
    </w:rPr>
  </w:style>
  <w:style w:type="paragraph" w:styleId="11">
    <w:name w:val="toc 3"/>
    <w:basedOn w:val="1"/>
    <w:next w:val="1"/>
    <w:uiPriority w:val="0"/>
    <w:pPr>
      <w:widowControl/>
      <w:spacing w:after="100" w:afterLines="0" w:line="276" w:lineRule="auto"/>
      <w:ind w:left="440"/>
      <w:jc w:val="left"/>
    </w:pPr>
    <w:rPr>
      <w:kern w:val="0"/>
      <w:sz w:val="22"/>
    </w:rPr>
  </w:style>
  <w:style w:type="paragraph" w:styleId="12">
    <w:name w:val="Plain Text"/>
    <w:basedOn w:val="1"/>
    <w:link w:val="48"/>
    <w:uiPriority w:val="0"/>
    <w:rPr>
      <w:rFonts w:ascii="宋体" w:hAnsi="Courier New"/>
      <w:kern w:val="2"/>
      <w:sz w:val="21"/>
    </w:rPr>
  </w:style>
  <w:style w:type="paragraph" w:styleId="13">
    <w:name w:val="Date"/>
    <w:basedOn w:val="1"/>
    <w:next w:val="1"/>
    <w:uiPriority w:val="0"/>
    <w:pPr>
      <w:ind w:left="100"/>
    </w:pPr>
    <w:rPr>
      <w:sz w:val="28"/>
      <w:szCs w:val="20"/>
    </w:rPr>
  </w:style>
  <w:style w:type="paragraph" w:styleId="14">
    <w:name w:val="Body Text Indent 2"/>
    <w:basedOn w:val="1"/>
    <w:uiPriority w:val="0"/>
    <w:pPr>
      <w:ind w:left="360"/>
    </w:pPr>
    <w:rPr>
      <w:rFonts w:ascii="宋体" w:hAnsi="宋体"/>
      <w:sz w:val="32"/>
    </w:rPr>
  </w:style>
  <w:style w:type="paragraph" w:styleId="15">
    <w:name w:val="Balloon Text"/>
    <w:basedOn w:val="1"/>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link w:val="46"/>
    <w:uiPriority w:val="0"/>
    <w:pPr>
      <w:pBdr>
        <w:bottom w:val="single" w:color="auto" w:sz="6" w:space="1"/>
      </w:pBdr>
      <w:tabs>
        <w:tab w:val="center" w:pos="4153"/>
        <w:tab w:val="right" w:pos="8306"/>
      </w:tabs>
      <w:snapToGrid w:val="0"/>
      <w:jc w:val="center"/>
    </w:pPr>
    <w:rPr>
      <w:kern w:val="2"/>
      <w:sz w:val="18"/>
      <w:szCs w:val="18"/>
    </w:rPr>
  </w:style>
  <w:style w:type="paragraph" w:styleId="18">
    <w:name w:val="toc 1"/>
    <w:basedOn w:val="1"/>
    <w:next w:val="1"/>
    <w:uiPriority w:val="39"/>
    <w:pPr>
      <w:widowControl/>
      <w:spacing w:after="100" w:afterLines="0" w:line="276" w:lineRule="auto"/>
      <w:jc w:val="left"/>
    </w:pPr>
    <w:rPr>
      <w:kern w:val="0"/>
      <w:sz w:val="22"/>
    </w:rPr>
  </w:style>
  <w:style w:type="paragraph" w:styleId="19">
    <w:name w:val="Body Text Indent 3"/>
    <w:basedOn w:val="1"/>
    <w:uiPriority w:val="0"/>
    <w:pPr>
      <w:ind w:left="420"/>
    </w:pPr>
    <w:rPr>
      <w:rFonts w:ascii="宋体" w:hAnsi="宋体"/>
      <w:sz w:val="32"/>
    </w:rPr>
  </w:style>
  <w:style w:type="paragraph" w:styleId="20">
    <w:name w:val="toc 2"/>
    <w:basedOn w:val="1"/>
    <w:next w:val="1"/>
    <w:uiPriority w:val="0"/>
    <w:pPr>
      <w:widowControl/>
      <w:spacing w:after="100" w:afterLines="0" w:line="276" w:lineRule="auto"/>
      <w:ind w:left="220"/>
      <w:jc w:val="left"/>
    </w:pPr>
    <w:rPr>
      <w:kern w:val="0"/>
      <w:sz w:val="22"/>
    </w:rPr>
  </w:style>
  <w:style w:type="paragraph" w:styleId="21">
    <w:name w:val="Body Text 2"/>
    <w:basedOn w:val="1"/>
    <w:uiPriority w:val="0"/>
    <w:pPr>
      <w:spacing w:after="120" w:afterLines="0" w:line="480" w:lineRule="auto"/>
    </w:pPr>
  </w:style>
  <w:style w:type="paragraph" w:styleId="22">
    <w:name w:val="HTML Preformatted"/>
    <w:basedOn w:val="1"/>
    <w:link w:val="4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24">
    <w:name w:val="Title"/>
    <w:basedOn w:val="1"/>
    <w:next w:val="1"/>
    <w:link w:val="42"/>
    <w:qFormat/>
    <w:uiPriority w:val="0"/>
    <w:pPr>
      <w:spacing w:before="240" w:beforeLines="0" w:after="60" w:afterLines="0"/>
      <w:jc w:val="center"/>
      <w:outlineLvl w:val="0"/>
    </w:pPr>
    <w:rPr>
      <w:rFonts w:ascii="Cambria" w:hAnsi="Cambria" w:eastAsia="宋体" w:cs="Times New Roman"/>
      <w:b/>
      <w:bCs/>
      <w:sz w:val="32"/>
      <w:szCs w:val="32"/>
    </w:rPr>
  </w:style>
  <w:style w:type="paragraph" w:styleId="25">
    <w:name w:val="annotation subject"/>
    <w:basedOn w:val="7"/>
    <w:next w:val="7"/>
    <w:semiHidden/>
    <w:uiPriority w:val="0"/>
    <w:rPr>
      <w:b/>
      <w:bCs/>
      <w:szCs w:val="22"/>
    </w:rPr>
  </w:style>
  <w:style w:type="paragraph" w:styleId="26">
    <w:name w:val="Body Text First Indent 2"/>
    <w:basedOn w:val="10"/>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28">
    <w:name w:val="Table Grid"/>
    <w:basedOn w:val="27"/>
    <w:uiPriority w:val="0"/>
    <w:tblPr>
      <w:tblStyle w:val="2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0"/>
    <w:rPr>
      <w:b/>
      <w:bCs/>
    </w:rPr>
  </w:style>
  <w:style w:type="character" w:styleId="31">
    <w:name w:val="page number"/>
    <w:basedOn w:val="29"/>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semiHidden/>
    <w:uiPriority w:val="0"/>
    <w:rPr>
      <w:sz w:val="21"/>
      <w:szCs w:val="21"/>
    </w:rPr>
  </w:style>
  <w:style w:type="character" w:customStyle="1" w:styleId="35">
    <w:name w:val="正文2 Char"/>
    <w:link w:val="36"/>
    <w:uiPriority w:val="0"/>
    <w:rPr>
      <w:rFonts w:ascii="Calibri" w:hAnsi="Calibri" w:eastAsia="宋体"/>
      <w:kern w:val="2"/>
      <w:sz w:val="24"/>
      <w:lang w:val="en-US" w:eastAsia="zh-CN" w:bidi="ar-SA"/>
    </w:rPr>
  </w:style>
  <w:style w:type="paragraph" w:customStyle="1" w:styleId="36">
    <w:name w:val="正文2"/>
    <w:basedOn w:val="1"/>
    <w:link w:val="35"/>
    <w:uiPriority w:val="0"/>
    <w:pPr>
      <w:spacing w:before="156" w:beforeLines="0" w:line="360" w:lineRule="auto"/>
      <w:ind w:firstLine="510" w:firstLineChars="200"/>
    </w:pPr>
    <w:rPr>
      <w:sz w:val="24"/>
      <w:szCs w:val="20"/>
    </w:rPr>
  </w:style>
  <w:style w:type="character" w:customStyle="1" w:styleId="37">
    <w:name w:val="正文文本 3 字符"/>
    <w:link w:val="8"/>
    <w:uiPriority w:val="0"/>
    <w:rPr>
      <w:kern w:val="2"/>
      <w:sz w:val="16"/>
      <w:szCs w:val="16"/>
    </w:rPr>
  </w:style>
  <w:style w:type="character" w:customStyle="1" w:styleId="38">
    <w:name w:val="Char Char3"/>
    <w:locked/>
    <w:uiPriority w:val="0"/>
    <w:rPr>
      <w:kern w:val="2"/>
      <w:sz w:val="21"/>
      <w:szCs w:val="24"/>
      <w:lang w:bidi="ar-SA"/>
    </w:rPr>
  </w:style>
  <w:style w:type="character" w:customStyle="1" w:styleId="39">
    <w:name w:val="无间隔 字符"/>
    <w:link w:val="40"/>
    <w:uiPriority w:val="0"/>
    <w:rPr>
      <w:sz w:val="22"/>
      <w:szCs w:val="22"/>
      <w:lang w:val="en-US" w:eastAsia="zh-CN" w:bidi="ar-SA"/>
    </w:rPr>
  </w:style>
  <w:style w:type="paragraph" w:styleId="40">
    <w:name w:val="No Spacing"/>
    <w:link w:val="39"/>
    <w:qFormat/>
    <w:uiPriority w:val="0"/>
    <w:rPr>
      <w:sz w:val="22"/>
      <w:szCs w:val="22"/>
      <w:lang w:val="en-US" w:eastAsia="zh-CN" w:bidi="ar-SA"/>
    </w:rPr>
  </w:style>
  <w:style w:type="character" w:customStyle="1" w:styleId="41">
    <w:name w:val="纯文本 Char1"/>
    <w:uiPriority w:val="0"/>
    <w:rPr>
      <w:rFonts w:ascii="宋体" w:hAnsi="Courier New" w:eastAsia="宋体" w:cs="Times New Roman"/>
      <w:szCs w:val="20"/>
    </w:rPr>
  </w:style>
  <w:style w:type="character" w:customStyle="1" w:styleId="42">
    <w:name w:val="标题 字符"/>
    <w:link w:val="24"/>
    <w:uiPriority w:val="0"/>
    <w:rPr>
      <w:rFonts w:ascii="Cambria" w:hAnsi="Cambria" w:eastAsia="宋体" w:cs="Times New Roman"/>
      <w:b/>
      <w:bCs/>
      <w:sz w:val="32"/>
      <w:szCs w:val="32"/>
    </w:rPr>
  </w:style>
  <w:style w:type="character" w:customStyle="1" w:styleId="43">
    <w:name w:val="style191"/>
    <w:uiPriority w:val="0"/>
    <w:rPr>
      <w:b/>
      <w:bCs/>
      <w:sz w:val="21"/>
      <w:szCs w:val="21"/>
    </w:rPr>
  </w:style>
  <w:style w:type="character" w:customStyle="1" w:styleId="44">
    <w:name w:val="批注文字 字符"/>
    <w:link w:val="7"/>
    <w:uiPriority w:val="0"/>
    <w:rPr>
      <w:kern w:val="2"/>
      <w:sz w:val="21"/>
      <w:szCs w:val="24"/>
    </w:rPr>
  </w:style>
  <w:style w:type="character" w:customStyle="1" w:styleId="45">
    <w:name w:val="style2 bin1"/>
    <w:basedOn w:val="29"/>
    <w:uiPriority w:val="0"/>
  </w:style>
  <w:style w:type="character" w:customStyle="1" w:styleId="46">
    <w:name w:val="页眉 字符"/>
    <w:link w:val="17"/>
    <w:uiPriority w:val="0"/>
    <w:rPr>
      <w:kern w:val="2"/>
      <w:sz w:val="18"/>
      <w:szCs w:val="18"/>
    </w:rPr>
  </w:style>
  <w:style w:type="character" w:customStyle="1" w:styleId="47">
    <w:name w:val="HTML 预设格式 字符"/>
    <w:link w:val="22"/>
    <w:uiPriority w:val="99"/>
    <w:rPr>
      <w:rFonts w:ascii="Arial" w:hAnsi="Arial" w:cs="Arial"/>
      <w:sz w:val="24"/>
      <w:szCs w:val="24"/>
    </w:rPr>
  </w:style>
  <w:style w:type="character" w:customStyle="1" w:styleId="48">
    <w:name w:val="纯文本 字符"/>
    <w:link w:val="12"/>
    <w:uiPriority w:val="0"/>
    <w:rPr>
      <w:rFonts w:ascii="宋体" w:hAnsi="Courier New"/>
      <w:kern w:val="2"/>
      <w:sz w:val="21"/>
    </w:rPr>
  </w:style>
  <w:style w:type="character" w:customStyle="1" w:styleId="49">
    <w:name w:val="style171"/>
    <w:uiPriority w:val="0"/>
    <w:rPr>
      <w:b/>
      <w:bCs/>
      <w:color w:val="000000"/>
    </w:rPr>
  </w:style>
  <w:style w:type="paragraph" w:customStyle="1" w:styleId="50">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51">
    <w:name w:val="Char Char Char"/>
    <w:basedOn w:val="1"/>
    <w:uiPriority w:val="0"/>
  </w:style>
  <w:style w:type="paragraph" w:customStyle="1" w:styleId="52">
    <w:name w:val="2"/>
    <w:basedOn w:val="1"/>
    <w:next w:val="1"/>
    <w:uiPriority w:val="0"/>
    <w:rPr>
      <w:rFonts w:eastAsia="仿宋_GB2312"/>
      <w:sz w:val="18"/>
      <w:szCs w:val="20"/>
    </w:rPr>
  </w:style>
  <w:style w:type="paragraph" w:customStyle="1" w:styleId="53">
    <w:name w:val="style17"/>
    <w:basedOn w:val="1"/>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styleId="54">
    <w:name w:val=""/>
    <w:basedOn w:val="1"/>
    <w:next w:val="1"/>
    <w:uiPriority w:val="0"/>
    <w:pPr>
      <w:pBdr>
        <w:bottom w:val="single" w:color="auto" w:sz="6" w:space="1"/>
      </w:pBdr>
      <w:jc w:val="center"/>
    </w:pPr>
    <w:rPr>
      <w:rFonts w:ascii="Arial" w:eastAsia="宋体"/>
      <w:vanish/>
      <w:sz w:val="16"/>
    </w:rPr>
  </w:style>
  <w:style w:type="paragraph" w:customStyle="1" w:styleId="55">
    <w:name w:val="font7"/>
    <w:basedOn w:val="1"/>
    <w:uiPriority w:val="0"/>
    <w:pPr>
      <w:widowControl/>
      <w:spacing w:before="100" w:beforeLines="0" w:beforeAutospacing="1" w:after="100" w:afterLines="0" w:afterAutospacing="1"/>
      <w:jc w:val="left"/>
    </w:pPr>
    <w:rPr>
      <w:kern w:val="0"/>
      <w:sz w:val="20"/>
      <w:szCs w:val="20"/>
    </w:rPr>
  </w:style>
  <w:style w:type="paragraph" w:customStyle="1" w:styleId="56">
    <w:name w:val=" Char1"/>
    <w:basedOn w:val="1"/>
    <w:uiPriority w:val="0"/>
  </w:style>
  <w:style w:type="paragraph" w:customStyle="1" w:styleId="57">
    <w:name w:val=" Char"/>
    <w:basedOn w:val="1"/>
    <w:uiPriority w:val="0"/>
    <w:rPr>
      <w:rFonts w:ascii="Tahoma" w:hAnsi="Tahoma"/>
      <w:sz w:val="24"/>
      <w:szCs w:val="20"/>
    </w:rPr>
  </w:style>
  <w:style w:type="paragraph" w:customStyle="1" w:styleId="58">
    <w:name w:val="Char2"/>
    <w:basedOn w:val="1"/>
    <w:uiPriority w:val="0"/>
    <w:rPr>
      <w:rFonts w:ascii="仿宋_GB2312" w:eastAsia="仿宋_GB2312"/>
      <w:b/>
      <w:sz w:val="32"/>
      <w:szCs w:val="32"/>
    </w:rPr>
  </w:style>
  <w:style w:type="paragraph" w:customStyle="1" w:styleId="59">
    <w:name w:val="No Spacing"/>
    <w:uiPriority w:val="0"/>
    <w:rPr>
      <w:rFonts w:eastAsia="??" w:cs="宋体"/>
      <w:sz w:val="22"/>
      <w:szCs w:val="22"/>
      <w:lang w:val="en-US" w:eastAsia="en-US" w:bidi="ar-SA"/>
    </w:rPr>
  </w:style>
  <w:style w:type="paragraph" w:customStyle="1" w:styleId="60">
    <w:name w:val="正文缩进1"/>
    <w:basedOn w:val="1"/>
    <w:next w:val="10"/>
    <w:uiPriority w:val="0"/>
    <w:pPr>
      <w:autoSpaceDE w:val="0"/>
      <w:autoSpaceDN w:val="0"/>
      <w:adjustRightInd w:val="0"/>
      <w:snapToGrid w:val="0"/>
      <w:spacing w:after="120" w:afterLines="0" w:line="360" w:lineRule="auto"/>
      <w:ind w:left="420" w:leftChars="200" w:firstLine="480" w:firstLineChars="200"/>
    </w:pPr>
    <w:rPr>
      <w:rFonts w:ascii="Times New Roman" w:hAnsi="Times New Roman"/>
      <w:sz w:val="24"/>
      <w:szCs w:val="21"/>
    </w:rPr>
  </w:style>
  <w:style w:type="paragraph" w:customStyle="1" w:styleId="61">
    <w:name w:val="样式1"/>
    <w:basedOn w:val="3"/>
    <w:uiPriority w:val="0"/>
    <w:pPr>
      <w:jc w:val="center"/>
    </w:pPr>
    <w:rPr>
      <w:rFonts w:eastAsia="黑体"/>
    </w:rPr>
  </w:style>
  <w:style w:type="paragraph" w:styleId="62">
    <w:name w:val=""/>
    <w:basedOn w:val="3"/>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63">
    <w:name w:val="p0"/>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4">
    <w:name w:val=" Char Char Char Char"/>
    <w:basedOn w:val="1"/>
    <w:uiPriority w:val="0"/>
    <w:rPr>
      <w:rFonts w:ascii="Tahoma" w:hAnsi="Tahoma"/>
      <w:sz w:val="24"/>
      <w:szCs w:val="20"/>
    </w:rPr>
  </w:style>
  <w:style w:type="paragraph" w:customStyle="1" w:styleId="65">
    <w:name w:val=" Char2"/>
    <w:basedOn w:val="1"/>
    <w:uiPriority w:val="0"/>
    <w:rPr>
      <w:rFonts w:ascii="仿宋_GB2312" w:eastAsia="仿宋_GB2312"/>
      <w:b/>
      <w:sz w:val="32"/>
      <w:szCs w:val="32"/>
    </w:rPr>
  </w:style>
  <w:style w:type="paragraph" w:customStyle="1" w:styleId="66">
    <w:name w:val="Char Char"/>
    <w:basedOn w:val="1"/>
    <w:qFormat/>
    <w:uiPriority w:val="0"/>
    <w:pPr>
      <w:spacing w:line="360" w:lineRule="auto"/>
    </w:pPr>
    <w:rPr>
      <w:rFonts w:ascii="Tahoma" w:hAnsi="Tahoma" w:cs="黑体"/>
      <w:sz w:val="24"/>
      <w:szCs w:val="20"/>
    </w:rPr>
  </w:style>
  <w:style w:type="paragraph" w:customStyle="1" w:styleId="67">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8">
    <w:name w:val="style1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9">
    <w:name w:val=" Char Char Char Char Char Char Char"/>
    <w:basedOn w:val="1"/>
    <w:uiPriority w:val="0"/>
    <w:rPr>
      <w:rFonts w:ascii="仿宋_GB2312" w:eastAsia="仿宋_GB2312"/>
      <w:b/>
      <w:sz w:val="32"/>
      <w:szCs w:val="32"/>
    </w:rPr>
  </w:style>
  <w:style w:type="paragraph" w:customStyle="1" w:styleId="70">
    <w:name w:val="公文标2级"/>
    <w:basedOn w:val="1"/>
    <w:qFormat/>
    <w:uiPriority w:val="1664"/>
    <w:rPr>
      <w:rFonts w:ascii="楷体_GB2312" w:hAnsi="楷体_GB2312" w:eastAsia="楷体" w:cs="楷体"/>
      <w:color w:val="000000"/>
      <w:kern w:val="1"/>
      <w:sz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theme/theme1.xml" Type="http://schemas.openxmlformats.org/officeDocument/2006/relationships/theme"/><Relationship Id="rId14" Target="media/image1.png" Type="http://schemas.openxmlformats.org/officeDocument/2006/relationships/image"/><Relationship Id="rId15" Target="media/image2.png" Type="http://schemas.openxmlformats.org/officeDocument/2006/relationships/image"/><Relationship Id="rId16" Target="media/image3.png" Type="http://schemas.openxmlformats.org/officeDocument/2006/relationships/image"/><Relationship Id="rId17" Target="media/image4.png" Type="http://schemas.openxmlformats.org/officeDocument/2006/relationships/image"/><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20" Target="people.xml" Type="http://schemas.microsoft.com/office/2011/relationships/peop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_rels/settings.xml.rels><?xml version="1.0" encoding="UTF-8" standalone="yes"?><Relationships xmlns="http://schemas.openxmlformats.org/package/2006/relationships"><Relationship Id="rId1" Target="file:///C:/WINDOWS/system32/&#39640;&#32852;" TargetMode="External" Type="http://schemas.openxmlformats.org/officeDocument/2006/relationships/attachedTemplat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高联</Template>
  <Company>jujumao</Company>
  <Pages>46</Pages>
  <Words>4679</Words>
  <Characters>26671</Characters>
  <Lines>222</Lines>
  <Paragraphs>62</Paragraphs>
  <TotalTime>8</TotalTime>
  <ScaleCrop>false</ScaleCrop>
  <LinksUpToDate>false</LinksUpToDate>
  <CharactersWithSpaces>31288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2011-07-10T21:26:00Z</dcterms:created>
  <dc:creator>wfy</dc:creator>
  <cp:lastModifiedBy>WPS_1701756769</cp:lastModifiedBy>
  <cp:lastPrinted>2014-02-28T07:53:00Z</cp:lastPrinted>
  <dcterms:modified xsi:type="dcterms:W3CDTF">2024-02-23T03:05:58Z</dcterms:modified>
  <cp:revision>2</cp:revision>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5156B427728249B6AE5A7F6C95D34217_13</vt:lpwstr>
  </property>
</Properties>
</file>